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7D161" w14:textId="77777777" w:rsidR="006E3AA2" w:rsidRPr="00AF1555" w:rsidRDefault="006E3AA2" w:rsidP="006E3AA2">
      <w:pPr>
        <w:tabs>
          <w:tab w:val="left" w:pos="709"/>
        </w:tabs>
        <w:spacing w:after="0" w:line="240" w:lineRule="auto"/>
        <w:jc w:val="both"/>
        <w:rPr>
          <w:rFonts w:ascii="Verdana" w:eastAsia="Calibri" w:hAnsi="Verdana" w:cs="Arial"/>
          <w:bCs/>
          <w:sz w:val="20"/>
          <w:szCs w:val="20"/>
          <w:lang w:val="es-ES_tradnl" w:eastAsia="es-ES_tradnl"/>
        </w:rPr>
      </w:pPr>
    </w:p>
    <w:p w14:paraId="06083D80" w14:textId="77777777" w:rsidR="006E3AA2" w:rsidRPr="00AF1555" w:rsidRDefault="006E3AA2" w:rsidP="006E3AA2">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052C0104" w14:textId="77777777" w:rsidR="006E3AA2" w:rsidRPr="00AF1555" w:rsidRDefault="006E3AA2" w:rsidP="006E3AA2">
      <w:pPr>
        <w:spacing w:after="0" w:line="240" w:lineRule="auto"/>
        <w:jc w:val="both"/>
        <w:rPr>
          <w:rFonts w:ascii="Verdana" w:eastAsia="Calibri" w:hAnsi="Verdana" w:cs="Arial"/>
          <w:bCs/>
          <w:color w:val="000000" w:themeColor="text1"/>
          <w:sz w:val="20"/>
          <w:szCs w:val="20"/>
          <w:lang w:val="es-ES"/>
        </w:rPr>
      </w:pPr>
    </w:p>
    <w:p w14:paraId="042F9BB2" w14:textId="77777777" w:rsidR="006E3AA2" w:rsidRDefault="006E3AA2" w:rsidP="006E3AA2">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3174B9B5" w14:textId="77777777" w:rsidR="006E3AA2" w:rsidRPr="0006328C" w:rsidRDefault="006E3AA2" w:rsidP="006E3AA2">
      <w:pPr>
        <w:spacing w:after="0" w:line="240" w:lineRule="auto"/>
        <w:jc w:val="both"/>
        <w:rPr>
          <w:rFonts w:ascii="Verdana" w:eastAsia="Calibri" w:hAnsi="Verdana" w:cs="Arial"/>
          <w:bCs/>
          <w:color w:val="000000" w:themeColor="text1"/>
          <w:sz w:val="20"/>
          <w:szCs w:val="20"/>
          <w:lang w:val="es-ES" w:eastAsia="es-ES_tradnl"/>
        </w:rPr>
      </w:pPr>
    </w:p>
    <w:p w14:paraId="66051783" w14:textId="77777777" w:rsidR="006E3AA2" w:rsidRDefault="006E3AA2" w:rsidP="006E3AA2">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6C63F6B8" w14:textId="77777777" w:rsidR="006E3AA2" w:rsidRPr="0006328C" w:rsidRDefault="006E3AA2" w:rsidP="006E3AA2">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 </w:t>
      </w:r>
    </w:p>
    <w:p w14:paraId="51FCF3E4" w14:textId="77777777" w:rsidR="006E3AA2" w:rsidRDefault="006E3AA2" w:rsidP="006E3AA2">
      <w:pPr>
        <w:spacing w:after="0" w:line="240" w:lineRule="auto"/>
        <w:jc w:val="both"/>
        <w:rPr>
          <w:rFonts w:ascii="Verdana" w:eastAsia="Calibri" w:hAnsi="Verdana" w:cs="Arial"/>
          <w:color w:val="000000" w:themeColor="text1"/>
          <w:sz w:val="20"/>
          <w:szCs w:val="20"/>
          <w:lang w:val="es-ES_tradnl"/>
        </w:rPr>
      </w:pPr>
      <w:r w:rsidRPr="0006328C">
        <w:rPr>
          <w:rFonts w:ascii="Verdana" w:eastAsia="Calibri" w:hAnsi="Verdana"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AF1555">
        <w:rPr>
          <w:rFonts w:ascii="Verdana" w:eastAsia="Calibri" w:hAnsi="Verdana" w:cs="Arial"/>
          <w:color w:val="000000" w:themeColor="text1"/>
          <w:sz w:val="20"/>
          <w:szCs w:val="20"/>
          <w:lang w:val="es-ES_tradnl"/>
        </w:rPr>
        <w:t>.</w:t>
      </w:r>
    </w:p>
    <w:p w14:paraId="70256630" w14:textId="77777777" w:rsidR="006E3AA2" w:rsidRPr="00EB0B5F" w:rsidRDefault="006E3AA2" w:rsidP="006E3AA2">
      <w:pPr>
        <w:spacing w:after="0" w:line="240" w:lineRule="auto"/>
        <w:jc w:val="both"/>
        <w:rPr>
          <w:rFonts w:ascii="Verdana" w:eastAsia="Calibri" w:hAnsi="Verdana" w:cs="Arial"/>
          <w:iCs/>
          <w:color w:val="000000" w:themeColor="text1"/>
          <w:sz w:val="20"/>
          <w:szCs w:val="20"/>
          <w:lang w:eastAsia="es-ES_tradnl"/>
        </w:rPr>
      </w:pPr>
    </w:p>
    <w:p w14:paraId="65CE4302" w14:textId="77777777" w:rsidR="006E3AA2" w:rsidRPr="007D0816" w:rsidRDefault="006E3AA2" w:rsidP="006E3AA2">
      <w:pPr>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CONTRATO DE DONACIÓN</w:t>
      </w:r>
      <w:r w:rsidRPr="007D0816">
        <w:rPr>
          <w:rFonts w:ascii="Verdana" w:eastAsia="Calibri" w:hAnsi="Verdana" w:cs="Arial"/>
          <w:b/>
          <w:lang w:val="es-ES_tradnl" w:eastAsia="es-ES_tradnl"/>
        </w:rPr>
        <w:t xml:space="preserve"> – </w:t>
      </w:r>
      <w:r>
        <w:rPr>
          <w:rFonts w:ascii="Verdana" w:eastAsia="Calibri" w:hAnsi="Verdana" w:cs="Arial"/>
          <w:b/>
          <w:lang w:val="es-ES_tradnl" w:eastAsia="es-ES_tradnl"/>
        </w:rPr>
        <w:t>Fundamento normativo – Definición</w:t>
      </w:r>
    </w:p>
    <w:p w14:paraId="34EDA26E" w14:textId="77777777" w:rsidR="006E3AA2" w:rsidRPr="00DE2AC7" w:rsidRDefault="006E3AA2" w:rsidP="006E3AA2">
      <w:pPr>
        <w:spacing w:after="0" w:line="240" w:lineRule="auto"/>
        <w:jc w:val="both"/>
        <w:rPr>
          <w:rFonts w:ascii="Verdana" w:eastAsia="Calibri" w:hAnsi="Verdana" w:cs="Arial"/>
          <w:bCs/>
          <w:sz w:val="20"/>
          <w:szCs w:val="20"/>
          <w:lang w:val="es-ES_tradnl" w:eastAsia="es-ES_tradnl"/>
        </w:rPr>
      </w:pPr>
    </w:p>
    <w:p w14:paraId="1B7D35B9" w14:textId="77777777" w:rsidR="006E3AA2" w:rsidRPr="00AA6008" w:rsidRDefault="006E3AA2" w:rsidP="006E3AA2">
      <w:pPr>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L</w:t>
      </w:r>
      <w:r w:rsidRPr="00AA6008">
        <w:rPr>
          <w:rFonts w:ascii="Verdana" w:eastAsia="Calibri" w:hAnsi="Verdana" w:cs="Arial"/>
          <w:color w:val="000000" w:themeColor="text1"/>
          <w:sz w:val="20"/>
          <w:szCs w:val="20"/>
        </w:rPr>
        <w:t xml:space="preserve">a donación se encuentra tipificada en el Código Civil y allí se encuentra gran parte de su régimen jurídico. El artículo 1443 </w:t>
      </w:r>
      <w:r w:rsidRPr="00AA6008">
        <w:rPr>
          <w:rFonts w:ascii="Verdana" w:eastAsia="Calibri" w:hAnsi="Verdana" w:cs="Arial"/>
          <w:i/>
          <w:iCs/>
          <w:color w:val="000000" w:themeColor="text1"/>
          <w:sz w:val="20"/>
          <w:szCs w:val="20"/>
        </w:rPr>
        <w:t>ibidem</w:t>
      </w:r>
      <w:r w:rsidRPr="00AA6008">
        <w:rPr>
          <w:rFonts w:ascii="Verdana" w:eastAsia="Calibri" w:hAnsi="Verdana" w:cs="Arial"/>
          <w:color w:val="000000" w:themeColor="text1"/>
          <w:sz w:val="20"/>
          <w:szCs w:val="20"/>
        </w:rPr>
        <w:t xml:space="preserve">, inspirándose en el artículo 894 del Código de Napoleón, dispone que “La donación entre vivos es un acto por el cual una persona transfiere, gratuita e irrevocablemente, una parte de sus bienes a otra persona que la acepta”.  Esta norma ha sido ampliamente criticada, pues –más que un simple “acto”– la donación tiene la naturaleza contractual, pues aunque en la mayoría de los casos imponga obligaciones a una sola de las partes, surge del acuerdo de voluntades. </w:t>
      </w:r>
    </w:p>
    <w:p w14:paraId="2D82B2EE" w14:textId="77777777" w:rsidR="006E3AA2" w:rsidRDefault="006E3AA2" w:rsidP="006E3AA2">
      <w:pPr>
        <w:spacing w:after="0" w:line="240" w:lineRule="auto"/>
        <w:jc w:val="both"/>
        <w:rPr>
          <w:rFonts w:ascii="Verdana" w:eastAsia="Calibri" w:hAnsi="Verdana" w:cs="Arial"/>
          <w:color w:val="000000" w:themeColor="text1"/>
          <w:sz w:val="20"/>
          <w:szCs w:val="20"/>
        </w:rPr>
      </w:pPr>
    </w:p>
    <w:p w14:paraId="0A171B32" w14:textId="77777777" w:rsidR="006E3AA2" w:rsidRPr="00AA6008" w:rsidRDefault="006E3AA2" w:rsidP="006E3AA2">
      <w:pPr>
        <w:spacing w:after="0" w:line="240" w:lineRule="auto"/>
        <w:jc w:val="both"/>
        <w:rPr>
          <w:rFonts w:ascii="Verdana" w:eastAsia="Calibri" w:hAnsi="Verdana" w:cs="Arial"/>
          <w:color w:val="000000" w:themeColor="text1"/>
          <w:sz w:val="20"/>
          <w:szCs w:val="20"/>
        </w:rPr>
      </w:pPr>
      <w:r w:rsidRPr="00AA6008">
        <w:rPr>
          <w:rFonts w:ascii="Verdana" w:eastAsia="Calibri" w:hAnsi="Verdana" w:cs="Arial"/>
          <w:color w:val="000000" w:themeColor="text1"/>
          <w:sz w:val="20"/>
          <w:szCs w:val="20"/>
        </w:rPr>
        <w:t xml:space="preserve">Por su parte, GUZMÁN BRITO define la donación como “[…] la atribución convencional dispositiva entre vivos, no debida, gratuita y lucrativa de una cosa corporal o incorporal o de un valor, que disminuyendo el patrimonio del donante aumenta el del donatario”. Este carácter atributivo no es de naturaleza legal –como sucede en la adjudicación del tesoro encontrado en terreno ajeno conforme a las reglas del artículo 701 del Código Civil–, no tiene como propósito entregar la mera tenencia de la cosa –como sucede en </w:t>
      </w:r>
      <w:r w:rsidRPr="00AA6008">
        <w:rPr>
          <w:rFonts w:ascii="Verdana" w:eastAsia="Calibri" w:hAnsi="Verdana" w:cs="Arial"/>
          <w:color w:val="000000" w:themeColor="text1"/>
          <w:sz w:val="20"/>
          <w:szCs w:val="20"/>
        </w:rPr>
        <w:lastRenderedPageBreak/>
        <w:t>los contratos de comodato o arrendamiento–, ni se origina en aplicación de las reglas de la sucesión por causa de muerte. Asimismo, la donación es una liberalidad y depende completamente de la voluntad del donante, por lo que –a diferencia de la compraventa, por ejemplo– la transferencia de la cosa no surge de un acto debido. Esta liberalidad entraña, por un lado, la falta de contraprestación –gratuidad– y, por otro, la usencia del deber de restituir lo donado –</w:t>
      </w:r>
      <w:proofErr w:type="spellStart"/>
      <w:r w:rsidRPr="00AA6008">
        <w:rPr>
          <w:rFonts w:ascii="Verdana" w:eastAsia="Calibri" w:hAnsi="Verdana" w:cs="Arial"/>
          <w:color w:val="000000" w:themeColor="text1"/>
          <w:sz w:val="20"/>
          <w:szCs w:val="20"/>
        </w:rPr>
        <w:t>lucratividad</w:t>
      </w:r>
      <w:proofErr w:type="spellEnd"/>
      <w:r w:rsidRPr="00AA6008">
        <w:rPr>
          <w:rFonts w:ascii="Verdana" w:eastAsia="Calibri" w:hAnsi="Verdana" w:cs="Arial"/>
          <w:color w:val="000000" w:themeColor="text1"/>
          <w:sz w:val="20"/>
          <w:szCs w:val="20"/>
        </w:rPr>
        <w:t xml:space="preserve">–. Por tanto, es necesario una modificación en el patrimonio de las partes involucradas en el negocio jurídico.  </w:t>
      </w:r>
    </w:p>
    <w:p w14:paraId="337B12A0" w14:textId="77777777" w:rsidR="006E3AA2" w:rsidRPr="00DE2AC7" w:rsidRDefault="006E3AA2" w:rsidP="006E3AA2">
      <w:pPr>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 </w:t>
      </w:r>
    </w:p>
    <w:p w14:paraId="13864637" w14:textId="77777777" w:rsidR="006E3AA2" w:rsidRPr="007D0816" w:rsidRDefault="006E3AA2" w:rsidP="006E3AA2">
      <w:pPr>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 xml:space="preserve">SECOP – </w:t>
      </w:r>
      <w:r w:rsidRPr="00200F17">
        <w:rPr>
          <w:rFonts w:ascii="Verdana" w:eastAsia="Calibri" w:hAnsi="Verdana" w:cs="Arial"/>
          <w:b/>
          <w:lang w:val="es-ES_tradnl" w:eastAsia="es-ES_tradnl"/>
        </w:rPr>
        <w:t>Publicidad – Contratos sin erogación presupuestal</w:t>
      </w:r>
    </w:p>
    <w:p w14:paraId="21406767" w14:textId="77777777" w:rsidR="006E3AA2" w:rsidRPr="00DE2AC7" w:rsidRDefault="006E3AA2" w:rsidP="006E3AA2">
      <w:pPr>
        <w:spacing w:after="0" w:line="240" w:lineRule="auto"/>
        <w:jc w:val="both"/>
        <w:rPr>
          <w:rFonts w:ascii="Verdana" w:eastAsia="Calibri" w:hAnsi="Verdana" w:cs="Arial"/>
          <w:color w:val="000000" w:themeColor="text1"/>
          <w:sz w:val="20"/>
          <w:szCs w:val="20"/>
        </w:rPr>
      </w:pPr>
    </w:p>
    <w:p w14:paraId="3ECB8F78" w14:textId="77777777" w:rsidR="006E3AA2" w:rsidRPr="00200F17" w:rsidRDefault="006E3AA2" w:rsidP="006E3AA2">
      <w:pPr>
        <w:tabs>
          <w:tab w:val="left" w:pos="709"/>
        </w:tabs>
        <w:spacing w:after="0" w:line="240" w:lineRule="auto"/>
        <w:jc w:val="both"/>
        <w:rPr>
          <w:rFonts w:ascii="Verdana" w:eastAsia="Calibri" w:hAnsi="Verdana" w:cs="Arial"/>
          <w:color w:val="000000" w:themeColor="text1"/>
          <w:sz w:val="20"/>
          <w:szCs w:val="20"/>
        </w:rPr>
      </w:pPr>
      <w:r w:rsidRPr="00200F17">
        <w:rPr>
          <w:rFonts w:ascii="Verdana" w:eastAsia="Calibri" w:hAnsi="Verdana" w:cs="Arial"/>
          <w:color w:val="000000" w:themeColor="text1"/>
          <w:sz w:val="20"/>
          <w:szCs w:val="20"/>
        </w:rPr>
        <w:t>El SECOP generó un cambio en la contratación pública, donde las actuaciones de las entidades se realizaban por escrito y en papel, y ahora se crea un mecanismo eficiente que reduce costos para que se cumpla el principio de publicidad, como un deber de las autoridades públicas en el ejercicio de las funciones administrativas que la ley les otorga. No obstante, es necesario aclarar que la norma no impone como requisito que únicamente se deba publicar en el SECOP cuando se ejecuten recursos públicos, ya que el deber de publicidad es amplio, teniendo en cuenta que está consagrado en una norma que aplica a las entidades, esto es, que son ellas quienes deben publicar las actuaciones relacionadas con su actividad contractual, sin que sea relevante en el cumplimiento de este deber la ejecución o no de recursos públicos, a pesar de que cuando se ejecutan cobra mayor importancia que se cumpla el principio de publicidad por involucrar un interés principal de la ciudadanía.</w:t>
      </w:r>
    </w:p>
    <w:p w14:paraId="224BB926" w14:textId="77777777" w:rsidR="006E3AA2" w:rsidRDefault="006E3AA2" w:rsidP="006E3AA2">
      <w:pPr>
        <w:tabs>
          <w:tab w:val="left" w:pos="709"/>
        </w:tabs>
        <w:spacing w:after="0" w:line="240" w:lineRule="auto"/>
        <w:jc w:val="both"/>
        <w:rPr>
          <w:rFonts w:ascii="Verdana" w:eastAsia="Calibri" w:hAnsi="Verdana" w:cs="Arial"/>
          <w:color w:val="000000" w:themeColor="text1"/>
          <w:sz w:val="20"/>
          <w:szCs w:val="20"/>
        </w:rPr>
      </w:pPr>
    </w:p>
    <w:p w14:paraId="4E0AB661" w14:textId="77777777" w:rsidR="006E3AA2" w:rsidRPr="00200F17" w:rsidRDefault="006E3AA2" w:rsidP="006E3AA2">
      <w:pPr>
        <w:tabs>
          <w:tab w:val="left" w:pos="709"/>
        </w:tabs>
        <w:spacing w:after="0" w:line="240" w:lineRule="auto"/>
        <w:jc w:val="both"/>
        <w:rPr>
          <w:rFonts w:ascii="Verdana" w:eastAsia="Calibri" w:hAnsi="Verdana" w:cs="Arial"/>
          <w:color w:val="000000" w:themeColor="text1"/>
          <w:sz w:val="20"/>
          <w:szCs w:val="20"/>
        </w:rPr>
      </w:pPr>
      <w:r w:rsidRPr="00200F17">
        <w:rPr>
          <w:rFonts w:ascii="Verdana" w:eastAsia="Calibri" w:hAnsi="Verdana" w:cs="Arial"/>
          <w:color w:val="000000" w:themeColor="text1"/>
          <w:sz w:val="20"/>
          <w:szCs w:val="20"/>
        </w:rPr>
        <w:t xml:space="preserve">Así, analizando las normas sobre publicidad en el SECOP, se concluye que no existen disposiciones de las que se pueda inferir el interés de la ley en exigir la publicación exclusiva de los actos que comprometan la ejecución de recursos públicos, puesto que su objetivo es general y se refiere a la actividad precontractual, contractual y </w:t>
      </w:r>
      <w:proofErr w:type="spellStart"/>
      <w:r w:rsidRPr="00200F17">
        <w:rPr>
          <w:rFonts w:ascii="Verdana" w:eastAsia="Calibri" w:hAnsi="Verdana" w:cs="Arial"/>
          <w:color w:val="000000" w:themeColor="text1"/>
          <w:sz w:val="20"/>
          <w:szCs w:val="20"/>
        </w:rPr>
        <w:t>poscontractual</w:t>
      </w:r>
      <w:proofErr w:type="spellEnd"/>
      <w:r w:rsidRPr="00200F17">
        <w:rPr>
          <w:rFonts w:ascii="Verdana" w:eastAsia="Calibri" w:hAnsi="Verdana" w:cs="Arial"/>
          <w:color w:val="000000" w:themeColor="text1"/>
          <w:sz w:val="20"/>
          <w:szCs w:val="20"/>
        </w:rPr>
        <w:t xml:space="preserve"> de las entidades, sin que quepa interpretación diferente, debido a la finalidad de la ley respecto de la ciudadanía y su derecho a conocer las decisiones de la Administración pública. Por ello, como indica el párrafo final del numeral 1.1 de la Circular Externa Única de la ANCP – CCE, “Las Entidades Estatales que contratan con cargo a recursos públicos están obligadas a publicar oportunamente su actividad contractual en el SECOP, sin que sea relevante, para la exigencia de esta obligación, su régimen jurídico, naturaleza de público o privada o la pertenencia a una u otra rama del poder público. </w:t>
      </w:r>
      <w:r w:rsidRPr="00200F17">
        <w:rPr>
          <w:rFonts w:ascii="Verdana" w:eastAsia="Calibri" w:hAnsi="Verdana" w:cs="Arial"/>
          <w:i/>
          <w:iCs/>
          <w:color w:val="000000" w:themeColor="text1"/>
          <w:sz w:val="20"/>
          <w:szCs w:val="20"/>
        </w:rPr>
        <w:t>Esta obligación deberá cumplirse, inclusive, si la ejecución del contrato no implica erogación presupuestal</w:t>
      </w:r>
      <w:r w:rsidRPr="00200F17">
        <w:rPr>
          <w:rFonts w:ascii="Verdana" w:eastAsia="Calibri" w:hAnsi="Verdana" w:cs="Arial"/>
          <w:color w:val="000000" w:themeColor="text1"/>
          <w:sz w:val="20"/>
          <w:szCs w:val="20"/>
        </w:rPr>
        <w:t>” (Énfasis fuera de texto).</w:t>
      </w:r>
    </w:p>
    <w:p w14:paraId="0C037D56" w14:textId="77777777" w:rsidR="006E3AA2" w:rsidRPr="004456CC" w:rsidRDefault="006E3AA2" w:rsidP="006E3AA2">
      <w:pPr>
        <w:spacing w:after="0" w:line="240" w:lineRule="auto"/>
        <w:rPr>
          <w:rFonts w:ascii="Verdana" w:eastAsia="Calibri" w:hAnsi="Verdana" w:cs="Arial"/>
          <w:b/>
          <w:sz w:val="20"/>
          <w:szCs w:val="20"/>
          <w:lang w:eastAsia="es-ES_tradnl"/>
        </w:rPr>
      </w:pPr>
    </w:p>
    <w:p w14:paraId="7CEBF466" w14:textId="77777777" w:rsidR="006E3AA2" w:rsidRPr="00911055" w:rsidRDefault="006E3AA2" w:rsidP="006E3AA2">
      <w:pPr>
        <w:spacing w:after="0" w:line="240" w:lineRule="auto"/>
        <w:jc w:val="both"/>
        <w:rPr>
          <w:rFonts w:ascii="Verdana" w:eastAsia="Calibri" w:hAnsi="Verdana" w:cs="Arial"/>
          <w:b/>
          <w:lang w:val="es-MX" w:eastAsia="es-ES_tradnl"/>
        </w:rPr>
      </w:pPr>
      <w:r w:rsidRPr="00911055">
        <w:rPr>
          <w:rFonts w:ascii="Verdana" w:eastAsia="Calibri" w:hAnsi="Verdana" w:cs="Arial"/>
          <w:b/>
          <w:lang w:val="es-MX" w:eastAsia="es-ES_tradnl"/>
        </w:rPr>
        <w:t>INHABILIDADES – Definición – Finalidad – Limitación capacidad contractual</w:t>
      </w:r>
    </w:p>
    <w:p w14:paraId="030BFB0C" w14:textId="77777777" w:rsidR="006E3AA2" w:rsidRPr="00911055" w:rsidRDefault="006E3AA2" w:rsidP="006E3AA2">
      <w:pPr>
        <w:spacing w:after="0" w:line="240" w:lineRule="auto"/>
        <w:rPr>
          <w:rFonts w:ascii="Verdana" w:eastAsia="Calibri" w:hAnsi="Verdana" w:cs="Arial"/>
          <w:bCs/>
          <w:sz w:val="20"/>
          <w:szCs w:val="20"/>
          <w:lang w:val="es-MX" w:eastAsia="es-ES_tradnl"/>
        </w:rPr>
      </w:pPr>
    </w:p>
    <w:p w14:paraId="7DAAB6ED" w14:textId="77777777" w:rsidR="006E3AA2" w:rsidRPr="00911055" w:rsidRDefault="006E3AA2" w:rsidP="006E3AA2">
      <w:pPr>
        <w:spacing w:after="0" w:line="240" w:lineRule="auto"/>
        <w:jc w:val="both"/>
        <w:rPr>
          <w:rFonts w:ascii="Verdana" w:eastAsia="Geomanist Light" w:hAnsi="Verdana" w:cs="Arial"/>
          <w:color w:val="000000" w:themeColor="text1"/>
          <w:sz w:val="20"/>
          <w:szCs w:val="20"/>
          <w:lang w:val="es-MX"/>
        </w:rPr>
      </w:pPr>
      <w:r w:rsidRPr="00911055">
        <w:rPr>
          <w:rFonts w:ascii="Verdana" w:eastAsia="Geomanist Light" w:hAnsi="Verdana" w:cs="Arial"/>
          <w:color w:val="000000" w:themeColor="text1"/>
          <w:sz w:val="20"/>
          <w:szCs w:val="20"/>
          <w:lang w:val="es-MX"/>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El régimen de inhabilidades para contratar con el Estado es un conjunto de restricciones establecidas por el constituyente o por el legislador que afectan directamente la capacidad de las personas para establecer relaciones contractuales con </w:t>
      </w:r>
      <w:r w:rsidRPr="00911055">
        <w:rPr>
          <w:rFonts w:ascii="Verdana" w:eastAsia="Geomanist Light" w:hAnsi="Verdana" w:cs="Arial"/>
          <w:color w:val="000000" w:themeColor="text1"/>
          <w:sz w:val="20"/>
          <w:szCs w:val="20"/>
          <w:lang w:val="es-MX"/>
        </w:rPr>
        <w:lastRenderedPageBreak/>
        <w:t>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La consagración limitaciones que afectan la capacidad jurídica para contratar desarrolla los principios de la función administrativa consagrados en el artículo 209 de la Constitución Política, con especial énfasis el de moralidad.</w:t>
      </w:r>
    </w:p>
    <w:p w14:paraId="19388B74" w14:textId="77777777" w:rsidR="006E3AA2" w:rsidRPr="00911055" w:rsidRDefault="006E3AA2" w:rsidP="006E3AA2">
      <w:pPr>
        <w:spacing w:after="0" w:line="240" w:lineRule="auto"/>
        <w:jc w:val="both"/>
        <w:rPr>
          <w:rFonts w:ascii="Verdana" w:eastAsia="Geomanist Light" w:hAnsi="Verdana" w:cs="Arial"/>
          <w:color w:val="000000" w:themeColor="text1"/>
          <w:sz w:val="20"/>
          <w:szCs w:val="20"/>
          <w:lang w:val="es-MX"/>
        </w:rPr>
      </w:pPr>
    </w:p>
    <w:p w14:paraId="294A9405" w14:textId="77777777" w:rsidR="006E3AA2" w:rsidRPr="00DE2AC7" w:rsidRDefault="006E3AA2" w:rsidP="006E3AA2">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 </w:t>
      </w:r>
    </w:p>
    <w:p w14:paraId="2D1D441B" w14:textId="77777777" w:rsidR="006E3AA2" w:rsidRPr="00DE2AC7" w:rsidRDefault="006E3AA2" w:rsidP="006E3AA2">
      <w:pPr>
        <w:spacing w:after="0" w:line="240" w:lineRule="auto"/>
        <w:rPr>
          <w:rFonts w:ascii="Verdana" w:eastAsia="Geomanist Light" w:hAnsi="Verdana" w:cs="Arial"/>
          <w:color w:val="000000" w:themeColor="text1"/>
        </w:rPr>
      </w:pPr>
    </w:p>
    <w:p w14:paraId="56CA93CD" w14:textId="77777777" w:rsidR="006E3AA2" w:rsidRDefault="006E3AA2" w:rsidP="006E3AA2">
      <w:pPr>
        <w:spacing w:after="0" w:line="240" w:lineRule="auto"/>
        <w:rPr>
          <w:rFonts w:ascii="Verdana" w:eastAsia="Geomanist Light" w:hAnsi="Verdana" w:cs="Arial"/>
          <w:color w:val="000000" w:themeColor="text1"/>
          <w:lang w:val="es-MX"/>
        </w:rPr>
      </w:pPr>
    </w:p>
    <w:p w14:paraId="34951111" w14:textId="77777777" w:rsidR="006E3AA2" w:rsidRDefault="006E3AA2" w:rsidP="006E3AA2">
      <w:pPr>
        <w:spacing w:after="0" w:line="240" w:lineRule="auto"/>
        <w:rPr>
          <w:rFonts w:ascii="Verdana" w:eastAsia="Geomanist Light" w:hAnsi="Verdana" w:cs="Arial"/>
          <w:color w:val="000000" w:themeColor="text1"/>
          <w:lang w:val="es-MX"/>
        </w:rPr>
      </w:pPr>
    </w:p>
    <w:p w14:paraId="55BC7ABD" w14:textId="77777777" w:rsidR="006E3AA2" w:rsidRDefault="006E3AA2" w:rsidP="006E3AA2">
      <w:pPr>
        <w:spacing w:after="0" w:line="240" w:lineRule="auto"/>
        <w:rPr>
          <w:rFonts w:ascii="Verdana" w:eastAsia="Geomanist Light" w:hAnsi="Verdana" w:cs="Arial"/>
          <w:color w:val="000000" w:themeColor="text1"/>
          <w:lang w:val="es-MX"/>
        </w:rPr>
      </w:pPr>
    </w:p>
    <w:p w14:paraId="3ABD7C07" w14:textId="77777777" w:rsidR="006E3AA2" w:rsidRDefault="006E3AA2" w:rsidP="006E3AA2">
      <w:pPr>
        <w:spacing w:after="0" w:line="240" w:lineRule="auto"/>
        <w:rPr>
          <w:rFonts w:ascii="Verdana" w:eastAsia="Geomanist Light" w:hAnsi="Verdana" w:cs="Arial"/>
          <w:color w:val="000000" w:themeColor="text1"/>
          <w:lang w:val="es-MX"/>
        </w:rPr>
      </w:pPr>
    </w:p>
    <w:p w14:paraId="124BEA71" w14:textId="77777777" w:rsidR="006E3AA2" w:rsidRDefault="006E3AA2" w:rsidP="006E3AA2">
      <w:pPr>
        <w:spacing w:after="0" w:line="240" w:lineRule="auto"/>
        <w:rPr>
          <w:rFonts w:ascii="Verdana" w:eastAsia="Geomanist Light" w:hAnsi="Verdana" w:cs="Arial"/>
          <w:color w:val="000000" w:themeColor="text1"/>
          <w:lang w:val="es-MX"/>
        </w:rPr>
      </w:pPr>
    </w:p>
    <w:p w14:paraId="056DB8FC" w14:textId="77777777" w:rsidR="006E3AA2" w:rsidRDefault="006E3AA2" w:rsidP="006E3AA2">
      <w:pPr>
        <w:spacing w:after="0" w:line="240" w:lineRule="auto"/>
        <w:rPr>
          <w:rFonts w:ascii="Verdana" w:eastAsia="Geomanist Light" w:hAnsi="Verdana" w:cs="Arial"/>
          <w:color w:val="000000" w:themeColor="text1"/>
          <w:lang w:val="es-MX"/>
        </w:rPr>
      </w:pPr>
    </w:p>
    <w:p w14:paraId="5D5E5D68" w14:textId="77777777" w:rsidR="006E3AA2" w:rsidRDefault="006E3AA2" w:rsidP="006E3AA2">
      <w:pPr>
        <w:spacing w:after="0" w:line="240" w:lineRule="auto"/>
        <w:rPr>
          <w:rFonts w:ascii="Verdana" w:eastAsia="Geomanist Light" w:hAnsi="Verdana" w:cs="Arial"/>
          <w:color w:val="000000" w:themeColor="text1"/>
          <w:lang w:val="es-MX"/>
        </w:rPr>
      </w:pPr>
    </w:p>
    <w:p w14:paraId="08325206" w14:textId="77777777" w:rsidR="006E3AA2" w:rsidRDefault="006E3AA2" w:rsidP="006E3AA2">
      <w:pPr>
        <w:spacing w:after="0" w:line="240" w:lineRule="auto"/>
        <w:rPr>
          <w:rFonts w:ascii="Verdana" w:eastAsia="Geomanist Light" w:hAnsi="Verdana" w:cs="Arial"/>
          <w:color w:val="000000" w:themeColor="text1"/>
          <w:lang w:val="es-MX"/>
        </w:rPr>
      </w:pPr>
    </w:p>
    <w:p w14:paraId="0D817198" w14:textId="77777777" w:rsidR="006E3AA2" w:rsidRDefault="006E3AA2" w:rsidP="006E3AA2">
      <w:pPr>
        <w:spacing w:after="0" w:line="240" w:lineRule="auto"/>
        <w:rPr>
          <w:rFonts w:ascii="Verdana" w:eastAsia="Geomanist Light" w:hAnsi="Verdana" w:cs="Arial"/>
          <w:color w:val="000000" w:themeColor="text1"/>
          <w:lang w:val="es-MX"/>
        </w:rPr>
      </w:pPr>
    </w:p>
    <w:p w14:paraId="39EF9DA6" w14:textId="77777777" w:rsidR="006E3AA2" w:rsidRDefault="006E3AA2" w:rsidP="006E3AA2">
      <w:pPr>
        <w:spacing w:after="0" w:line="240" w:lineRule="auto"/>
        <w:rPr>
          <w:rFonts w:ascii="Verdana" w:eastAsia="Geomanist Light" w:hAnsi="Verdana" w:cs="Arial"/>
          <w:color w:val="000000" w:themeColor="text1"/>
          <w:lang w:val="es-MX"/>
        </w:rPr>
      </w:pPr>
    </w:p>
    <w:p w14:paraId="387FC372" w14:textId="77777777" w:rsidR="006E3AA2" w:rsidRDefault="006E3AA2" w:rsidP="006E3AA2">
      <w:pPr>
        <w:spacing w:after="0" w:line="240" w:lineRule="auto"/>
        <w:rPr>
          <w:rFonts w:ascii="Verdana" w:eastAsia="Geomanist Light" w:hAnsi="Verdana" w:cs="Arial"/>
          <w:color w:val="000000" w:themeColor="text1"/>
          <w:lang w:val="es-MX"/>
        </w:rPr>
      </w:pPr>
    </w:p>
    <w:p w14:paraId="1879B399" w14:textId="77777777" w:rsidR="006E3AA2" w:rsidRDefault="006E3AA2" w:rsidP="006E3AA2">
      <w:pPr>
        <w:spacing w:after="0" w:line="240" w:lineRule="auto"/>
        <w:rPr>
          <w:rFonts w:ascii="Verdana" w:eastAsia="Geomanist Light" w:hAnsi="Verdana" w:cs="Arial"/>
          <w:color w:val="000000" w:themeColor="text1"/>
          <w:lang w:val="es-MX"/>
        </w:rPr>
      </w:pPr>
    </w:p>
    <w:p w14:paraId="0FEBBD7E" w14:textId="77777777" w:rsidR="006E3AA2" w:rsidRDefault="006E3AA2" w:rsidP="006E3AA2">
      <w:pPr>
        <w:spacing w:after="0" w:line="240" w:lineRule="auto"/>
        <w:rPr>
          <w:rFonts w:ascii="Verdana" w:eastAsia="Geomanist Light" w:hAnsi="Verdana" w:cs="Arial"/>
          <w:color w:val="000000" w:themeColor="text1"/>
          <w:lang w:val="es-MX"/>
        </w:rPr>
      </w:pPr>
    </w:p>
    <w:p w14:paraId="61D13422" w14:textId="77777777" w:rsidR="006E3AA2" w:rsidRDefault="006E3AA2" w:rsidP="006E3AA2">
      <w:pPr>
        <w:spacing w:after="0" w:line="240" w:lineRule="auto"/>
        <w:rPr>
          <w:rFonts w:ascii="Verdana" w:eastAsia="Geomanist Light" w:hAnsi="Verdana" w:cs="Arial"/>
          <w:color w:val="000000" w:themeColor="text1"/>
          <w:lang w:val="es-MX"/>
        </w:rPr>
      </w:pPr>
    </w:p>
    <w:p w14:paraId="31C9E062" w14:textId="77777777" w:rsidR="006E3AA2" w:rsidRDefault="006E3AA2" w:rsidP="006E3AA2">
      <w:pPr>
        <w:spacing w:after="0" w:line="240" w:lineRule="auto"/>
        <w:rPr>
          <w:rFonts w:ascii="Verdana" w:eastAsia="Geomanist Light" w:hAnsi="Verdana" w:cs="Arial"/>
          <w:color w:val="000000" w:themeColor="text1"/>
          <w:lang w:val="es-MX"/>
        </w:rPr>
      </w:pPr>
    </w:p>
    <w:p w14:paraId="28B1D5E3" w14:textId="77777777" w:rsidR="006E3AA2" w:rsidRDefault="006E3AA2" w:rsidP="006E3AA2">
      <w:pPr>
        <w:spacing w:after="0" w:line="240" w:lineRule="auto"/>
        <w:rPr>
          <w:rFonts w:ascii="Verdana" w:eastAsia="Geomanist Light" w:hAnsi="Verdana" w:cs="Arial"/>
          <w:color w:val="000000" w:themeColor="text1"/>
          <w:lang w:val="es-MX"/>
        </w:rPr>
      </w:pPr>
    </w:p>
    <w:p w14:paraId="4967277A" w14:textId="77777777" w:rsidR="006E3AA2" w:rsidRDefault="006E3AA2" w:rsidP="006E3AA2">
      <w:pPr>
        <w:spacing w:after="0" w:line="240" w:lineRule="auto"/>
        <w:rPr>
          <w:rFonts w:ascii="Verdana" w:eastAsia="Geomanist Light" w:hAnsi="Verdana" w:cs="Arial"/>
          <w:color w:val="000000" w:themeColor="text1"/>
          <w:lang w:val="es-MX"/>
        </w:rPr>
      </w:pPr>
    </w:p>
    <w:p w14:paraId="15624E23" w14:textId="77777777" w:rsidR="006E3AA2" w:rsidRDefault="006E3AA2" w:rsidP="006E3AA2">
      <w:pPr>
        <w:spacing w:after="0" w:line="240" w:lineRule="auto"/>
        <w:rPr>
          <w:rFonts w:ascii="Verdana" w:eastAsia="Geomanist Light" w:hAnsi="Verdana" w:cs="Arial"/>
          <w:color w:val="000000" w:themeColor="text1"/>
          <w:lang w:val="es-MX"/>
        </w:rPr>
      </w:pPr>
    </w:p>
    <w:p w14:paraId="775C4DE2" w14:textId="77777777" w:rsidR="006E3AA2" w:rsidRDefault="006E3AA2" w:rsidP="006E3AA2">
      <w:pPr>
        <w:spacing w:after="0" w:line="240" w:lineRule="auto"/>
        <w:rPr>
          <w:rFonts w:ascii="Verdana" w:eastAsia="Geomanist Light" w:hAnsi="Verdana" w:cs="Arial"/>
          <w:color w:val="000000" w:themeColor="text1"/>
          <w:lang w:val="es-MX"/>
        </w:rPr>
      </w:pPr>
    </w:p>
    <w:p w14:paraId="2B24C7A5" w14:textId="77777777" w:rsidR="006E3AA2" w:rsidRDefault="006E3AA2" w:rsidP="006E3AA2">
      <w:pPr>
        <w:spacing w:after="0" w:line="240" w:lineRule="auto"/>
        <w:rPr>
          <w:rFonts w:ascii="Verdana" w:eastAsia="Geomanist Light" w:hAnsi="Verdana" w:cs="Arial"/>
          <w:color w:val="000000" w:themeColor="text1"/>
          <w:lang w:val="es-MX"/>
        </w:rPr>
      </w:pPr>
    </w:p>
    <w:p w14:paraId="3D0BD80A" w14:textId="77777777" w:rsidR="006E3AA2" w:rsidRDefault="006E3AA2" w:rsidP="006E3AA2">
      <w:pPr>
        <w:spacing w:after="0" w:line="240" w:lineRule="auto"/>
        <w:rPr>
          <w:rFonts w:ascii="Verdana" w:eastAsia="Geomanist Light" w:hAnsi="Verdana" w:cs="Arial"/>
          <w:color w:val="000000" w:themeColor="text1"/>
          <w:lang w:val="es-MX"/>
        </w:rPr>
      </w:pPr>
    </w:p>
    <w:p w14:paraId="0A6BBBF9" w14:textId="77777777" w:rsidR="006E3AA2" w:rsidRDefault="006E3AA2" w:rsidP="006E3AA2">
      <w:pPr>
        <w:spacing w:after="0" w:line="240" w:lineRule="auto"/>
        <w:rPr>
          <w:rFonts w:ascii="Verdana" w:eastAsia="Geomanist Light" w:hAnsi="Verdana" w:cs="Arial"/>
          <w:color w:val="000000" w:themeColor="text1"/>
          <w:lang w:val="es-MX"/>
        </w:rPr>
      </w:pPr>
    </w:p>
    <w:p w14:paraId="6216E5BE" w14:textId="77777777" w:rsidR="006E3AA2" w:rsidRDefault="006E3AA2" w:rsidP="006E3AA2">
      <w:pPr>
        <w:spacing w:after="0" w:line="240" w:lineRule="auto"/>
        <w:rPr>
          <w:rFonts w:ascii="Verdana" w:eastAsia="Geomanist Light" w:hAnsi="Verdana" w:cs="Arial"/>
          <w:color w:val="000000" w:themeColor="text1"/>
          <w:lang w:val="es-MX"/>
        </w:rPr>
      </w:pPr>
    </w:p>
    <w:p w14:paraId="2378A342" w14:textId="77777777" w:rsidR="006E3AA2" w:rsidRDefault="006E3AA2" w:rsidP="006E3AA2">
      <w:pPr>
        <w:spacing w:after="0" w:line="240" w:lineRule="auto"/>
        <w:rPr>
          <w:rFonts w:ascii="Verdana" w:eastAsia="Geomanist Light" w:hAnsi="Verdana" w:cs="Arial"/>
          <w:color w:val="000000" w:themeColor="text1"/>
          <w:lang w:val="es-MX"/>
        </w:rPr>
      </w:pPr>
    </w:p>
    <w:p w14:paraId="661BF0C4" w14:textId="77777777" w:rsidR="006E3AA2" w:rsidRDefault="006E3AA2" w:rsidP="006E3AA2">
      <w:pPr>
        <w:spacing w:after="0" w:line="240" w:lineRule="auto"/>
        <w:rPr>
          <w:rFonts w:ascii="Verdana" w:eastAsia="Geomanist Light" w:hAnsi="Verdana" w:cs="Arial"/>
          <w:color w:val="000000" w:themeColor="text1"/>
          <w:lang w:val="es-MX"/>
        </w:rPr>
      </w:pPr>
    </w:p>
    <w:p w14:paraId="58F08E94" w14:textId="77777777" w:rsidR="006E3AA2" w:rsidRDefault="006E3AA2" w:rsidP="006E3AA2">
      <w:pPr>
        <w:spacing w:after="0" w:line="240" w:lineRule="auto"/>
        <w:rPr>
          <w:rFonts w:ascii="Verdana" w:eastAsia="Geomanist Light" w:hAnsi="Verdana" w:cs="Arial"/>
          <w:color w:val="000000" w:themeColor="text1"/>
          <w:lang w:val="es-MX"/>
        </w:rPr>
      </w:pPr>
    </w:p>
    <w:p w14:paraId="1F9ABBE1" w14:textId="77777777" w:rsidR="006E3AA2" w:rsidRDefault="006E3AA2" w:rsidP="006E3AA2">
      <w:pPr>
        <w:spacing w:after="0" w:line="240" w:lineRule="auto"/>
        <w:rPr>
          <w:rFonts w:ascii="Verdana" w:eastAsia="Geomanist Light" w:hAnsi="Verdana" w:cs="Arial"/>
          <w:color w:val="000000" w:themeColor="text1"/>
          <w:lang w:val="es-MX"/>
        </w:rPr>
      </w:pPr>
    </w:p>
    <w:p w14:paraId="0E2660BC" w14:textId="77777777" w:rsidR="006E3AA2" w:rsidRDefault="006E3AA2" w:rsidP="006E3AA2">
      <w:pPr>
        <w:spacing w:after="0" w:line="240" w:lineRule="auto"/>
        <w:rPr>
          <w:rFonts w:ascii="Verdana" w:eastAsia="Geomanist Light" w:hAnsi="Verdana" w:cs="Arial"/>
          <w:color w:val="000000" w:themeColor="text1"/>
          <w:lang w:val="es-MX"/>
        </w:rPr>
      </w:pPr>
    </w:p>
    <w:p w14:paraId="6D1187C6" w14:textId="77777777" w:rsidR="006E3AA2" w:rsidRDefault="006E3AA2" w:rsidP="00EE10B4">
      <w:pPr>
        <w:spacing w:after="0" w:line="240" w:lineRule="auto"/>
        <w:rPr>
          <w:rFonts w:ascii="Verdana" w:eastAsia="Geomanist Light" w:hAnsi="Verdana" w:cs="Arial"/>
          <w:color w:val="000000" w:themeColor="text1"/>
          <w:lang w:val="es-MX"/>
        </w:rPr>
      </w:pPr>
    </w:p>
    <w:p w14:paraId="1B65E6A7" w14:textId="77777777" w:rsidR="006E3AA2" w:rsidRDefault="006E3AA2" w:rsidP="00EE10B4">
      <w:pPr>
        <w:spacing w:after="0" w:line="240" w:lineRule="auto"/>
        <w:rPr>
          <w:rFonts w:ascii="Verdana" w:eastAsia="Geomanist Light" w:hAnsi="Verdana" w:cs="Arial"/>
          <w:color w:val="000000" w:themeColor="text1"/>
          <w:lang w:val="es-MX"/>
        </w:rPr>
      </w:pPr>
    </w:p>
    <w:p w14:paraId="6BD606B8" w14:textId="77777777" w:rsidR="006E3AA2" w:rsidRDefault="006E3AA2" w:rsidP="00EE10B4">
      <w:pPr>
        <w:spacing w:after="0" w:line="240" w:lineRule="auto"/>
        <w:rPr>
          <w:rFonts w:ascii="Verdana" w:eastAsia="Geomanist Light" w:hAnsi="Verdana" w:cs="Arial"/>
          <w:color w:val="000000" w:themeColor="text1"/>
          <w:lang w:val="es-MX"/>
        </w:rPr>
      </w:pPr>
    </w:p>
    <w:p w14:paraId="61B19852" w14:textId="77777777" w:rsidR="006E3AA2" w:rsidRDefault="006E3AA2" w:rsidP="00EE10B4">
      <w:pPr>
        <w:spacing w:after="0" w:line="240" w:lineRule="auto"/>
        <w:rPr>
          <w:rFonts w:ascii="Verdana" w:eastAsia="Geomanist Light" w:hAnsi="Verdana" w:cs="Arial"/>
          <w:color w:val="000000" w:themeColor="text1"/>
          <w:lang w:val="es-MX"/>
        </w:rPr>
      </w:pPr>
    </w:p>
    <w:p w14:paraId="6CE98A11" w14:textId="77777777" w:rsidR="006E3AA2" w:rsidRDefault="006E3AA2" w:rsidP="00EE10B4">
      <w:pPr>
        <w:spacing w:after="0" w:line="240" w:lineRule="auto"/>
        <w:rPr>
          <w:rFonts w:ascii="Verdana" w:eastAsia="Geomanist Light" w:hAnsi="Verdana" w:cs="Arial"/>
          <w:color w:val="000000" w:themeColor="text1"/>
          <w:lang w:val="es-MX"/>
        </w:rPr>
      </w:pPr>
    </w:p>
    <w:p w14:paraId="281825D0" w14:textId="752D7B8B" w:rsidR="00EE10B4" w:rsidRPr="00593A5F" w:rsidRDefault="00EE10B4" w:rsidP="00EE10B4">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231132">
        <w:rPr>
          <w:rFonts w:ascii="Verdana" w:hAnsi="Verdana" w:cs="Verdana"/>
          <w:color w:val="000000"/>
          <w:lang w:val="es-MX"/>
        </w:rPr>
        <w:t>29 de Septiembre de 2025</w:t>
      </w:r>
    </w:p>
    <w:p w14:paraId="416F6A7D" w14:textId="77777777" w:rsidR="00EE10B4" w:rsidRDefault="00EE10B4" w:rsidP="00EE10B4">
      <w:pPr>
        <w:spacing w:after="0" w:line="240" w:lineRule="auto"/>
        <w:jc w:val="both"/>
        <w:rPr>
          <w:rFonts w:ascii="Verdana" w:eastAsia="Calibri" w:hAnsi="Verdana" w:cs="Arial"/>
          <w:color w:val="000000"/>
          <w:lang w:val="es-ES"/>
        </w:rPr>
      </w:pPr>
    </w:p>
    <w:p w14:paraId="14CFB54D" w14:textId="12D74BEB" w:rsidR="009D3E85" w:rsidRDefault="009D3E85" w:rsidP="009D3E85">
      <w:pPr>
        <w:spacing w:after="0" w:line="240" w:lineRule="auto"/>
        <w:jc w:val="right"/>
        <w:rPr>
          <w:rFonts w:ascii="Verdana" w:eastAsia="Calibri" w:hAnsi="Verdana" w:cs="Arial"/>
          <w:color w:val="000000"/>
          <w:lang w:val="es-ES"/>
        </w:rPr>
      </w:pPr>
      <w:r w:rsidRPr="009D3E85">
        <w:rPr>
          <w:rFonts w:ascii="Verdana" w:eastAsia="Calibri" w:hAnsi="Verdana" w:cs="Arial"/>
          <w:noProof/>
          <w:color w:val="000000"/>
          <w:lang w:val="es-ES"/>
        </w:rPr>
        <w:drawing>
          <wp:inline distT="0" distB="0" distL="0" distR="0" wp14:anchorId="6888389B" wp14:editId="4CF08207">
            <wp:extent cx="2400300" cy="622300"/>
            <wp:effectExtent l="0" t="0" r="0" b="0"/>
            <wp:docPr id="18627483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748326" name=""/>
                    <pic:cNvPicPr/>
                  </pic:nvPicPr>
                  <pic:blipFill>
                    <a:blip r:embed="rId10"/>
                    <a:stretch>
                      <a:fillRect/>
                    </a:stretch>
                  </pic:blipFill>
                  <pic:spPr>
                    <a:xfrm>
                      <a:off x="0" y="0"/>
                      <a:ext cx="2400300" cy="622300"/>
                    </a:xfrm>
                    <a:prstGeom prst="rect">
                      <a:avLst/>
                    </a:prstGeom>
                  </pic:spPr>
                </pic:pic>
              </a:graphicData>
            </a:graphic>
          </wp:inline>
        </w:drawing>
      </w:r>
    </w:p>
    <w:p w14:paraId="6A5513A6" w14:textId="77777777" w:rsidR="00EE10B4" w:rsidRPr="00593A5F" w:rsidRDefault="00EE10B4" w:rsidP="00EE10B4">
      <w:pPr>
        <w:spacing w:after="0" w:line="240" w:lineRule="auto"/>
        <w:jc w:val="both"/>
        <w:rPr>
          <w:rFonts w:ascii="Verdana" w:eastAsia="Calibri" w:hAnsi="Verdana" w:cs="Arial"/>
          <w:color w:val="000000"/>
          <w:lang w:val="es-ES"/>
        </w:rPr>
      </w:pPr>
    </w:p>
    <w:p w14:paraId="5CDFCA21" w14:textId="77777777" w:rsidR="00EE10B4" w:rsidRPr="00B96799" w:rsidRDefault="00EE10B4" w:rsidP="00EE10B4">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105A3360" w14:textId="77777777" w:rsidR="00EE10B4" w:rsidRPr="0085423D" w:rsidRDefault="00EE10B4" w:rsidP="00EE10B4">
      <w:pPr>
        <w:spacing w:after="0" w:line="240" w:lineRule="auto"/>
        <w:rPr>
          <w:rFonts w:ascii="Verdana" w:eastAsia="Calibri" w:hAnsi="Verdana" w:cs="Arial"/>
          <w:b/>
          <w:lang w:val="es-ES_tradnl" w:eastAsia="es-ES_tradnl"/>
        </w:rPr>
      </w:pPr>
      <w:r w:rsidRPr="001A4764">
        <w:rPr>
          <w:rFonts w:ascii="Verdana" w:eastAsia="Calibri" w:hAnsi="Verdana" w:cs="Arial"/>
          <w:b/>
          <w:lang w:val="es-ES_tradnl" w:eastAsia="es-ES_tradnl"/>
        </w:rPr>
        <w:t>Dayron Oswaldo Aguilera Cárdenas</w:t>
      </w:r>
      <w:r>
        <w:rPr>
          <w:rFonts w:ascii="Verdana" w:eastAsia="Calibri" w:hAnsi="Verdana" w:cs="Arial"/>
          <w:b/>
          <w:lang w:val="es-ES_tradnl" w:eastAsia="es-ES_tradnl"/>
        </w:rPr>
        <w:t xml:space="preserve"> </w:t>
      </w:r>
    </w:p>
    <w:p w14:paraId="6F71A61D" w14:textId="77777777" w:rsidR="00EE10B4" w:rsidRPr="00435A0E" w:rsidRDefault="00EE10B4" w:rsidP="00EE10B4">
      <w:pPr>
        <w:spacing w:after="0" w:line="240" w:lineRule="auto"/>
        <w:rPr>
          <w:rFonts w:ascii="Verdana" w:eastAsia="Calibri" w:hAnsi="Verdana" w:cs="Arial"/>
          <w:lang w:val="es-ES" w:eastAsia="es-ES"/>
        </w:rPr>
      </w:pPr>
      <w:hyperlink r:id="rId11" w:history="1">
        <w:r w:rsidRPr="009439EA">
          <w:rPr>
            <w:rStyle w:val="Hipervnculo"/>
            <w:rFonts w:ascii="Verdana" w:hAnsi="Verdana"/>
          </w:rPr>
          <w:t>dayron.aguilera@barrancabermeja.gov.co</w:t>
        </w:r>
      </w:hyperlink>
      <w:r>
        <w:rPr>
          <w:rFonts w:ascii="Verdana" w:hAnsi="Verdana"/>
        </w:rPr>
        <w:t xml:space="preserve"> </w:t>
      </w:r>
      <w:r w:rsidRPr="00435A0E">
        <w:rPr>
          <w:rFonts w:ascii="Verdana" w:hAnsi="Verdana"/>
        </w:rPr>
        <w:t xml:space="preserve">          </w:t>
      </w:r>
      <w:r w:rsidRPr="00435A0E">
        <w:rPr>
          <w:rFonts w:ascii="Verdana" w:eastAsia="Calibri" w:hAnsi="Verdana" w:cs="Arial"/>
          <w:lang w:val="es-ES" w:eastAsia="es-ES"/>
        </w:rPr>
        <w:t xml:space="preserve">    </w:t>
      </w:r>
    </w:p>
    <w:p w14:paraId="75FEA83C" w14:textId="77777777" w:rsidR="00EE10B4" w:rsidRDefault="00EE10B4" w:rsidP="00EE10B4">
      <w:pPr>
        <w:spacing w:after="0" w:line="240" w:lineRule="auto"/>
        <w:rPr>
          <w:rFonts w:ascii="Verdana" w:eastAsia="Calibri" w:hAnsi="Verdana" w:cs="Arial"/>
          <w:lang w:val="es-ES" w:eastAsia="es-ES"/>
        </w:rPr>
      </w:pPr>
      <w:r>
        <w:rPr>
          <w:rFonts w:ascii="Verdana" w:eastAsia="Calibri" w:hAnsi="Verdana" w:cs="Arial"/>
          <w:lang w:val="es-ES" w:eastAsia="es-ES"/>
        </w:rPr>
        <w:t xml:space="preserve">Barrancabermeja, Santander  </w:t>
      </w:r>
    </w:p>
    <w:p w14:paraId="4588EFD2" w14:textId="77777777" w:rsidR="00EE10B4" w:rsidRPr="00593A5F" w:rsidRDefault="00EE10B4" w:rsidP="00EE10B4">
      <w:pPr>
        <w:spacing w:after="0" w:line="240" w:lineRule="auto"/>
        <w:rPr>
          <w:rFonts w:ascii="Verdana" w:eastAsia="Calibri" w:hAnsi="Verdana" w:cs="Arial"/>
          <w:b/>
          <w:bCs/>
          <w:color w:val="000000"/>
          <w:lang w:val="es-ES_tradnl" w:eastAsia="es-ES_tradnl"/>
        </w:rPr>
      </w:pPr>
    </w:p>
    <w:p w14:paraId="31652607" w14:textId="77777777" w:rsidR="00EE10B4" w:rsidRPr="00593A5F" w:rsidRDefault="00EE10B4" w:rsidP="00EE10B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E10B4" w:rsidRPr="00593A5F" w14:paraId="1FEF7FAE" w14:textId="77777777" w:rsidTr="00456BB0">
        <w:trPr>
          <w:trHeight w:val="884"/>
        </w:trPr>
        <w:tc>
          <w:tcPr>
            <w:tcW w:w="2689" w:type="dxa"/>
          </w:tcPr>
          <w:p w14:paraId="1070B31D" w14:textId="77777777" w:rsidR="00EE10B4" w:rsidRPr="00C00976" w:rsidRDefault="00EE10B4" w:rsidP="00456BB0">
            <w:pPr>
              <w:jc w:val="both"/>
              <w:rPr>
                <w:rFonts w:ascii="Verdana" w:eastAsia="Calibri" w:hAnsi="Verdana" w:cs="Arial"/>
                <w:b/>
                <w:bCs/>
                <w:color w:val="7030A0"/>
                <w:lang w:val="es-ES_tradnl" w:eastAsia="es-ES_tradnl"/>
              </w:rPr>
            </w:pPr>
          </w:p>
        </w:tc>
        <w:tc>
          <w:tcPr>
            <w:tcW w:w="6100" w:type="dxa"/>
          </w:tcPr>
          <w:p w14:paraId="4E940779" w14:textId="77777777" w:rsidR="00EE10B4" w:rsidRPr="00C00976" w:rsidRDefault="00EE10B4" w:rsidP="00456BB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1313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EE10B4" w:rsidRPr="00593A5F" w14:paraId="7BED8330" w14:textId="77777777" w:rsidTr="00456BB0">
        <w:trPr>
          <w:trHeight w:val="884"/>
        </w:trPr>
        <w:tc>
          <w:tcPr>
            <w:tcW w:w="2689" w:type="dxa"/>
          </w:tcPr>
          <w:p w14:paraId="4201FE11" w14:textId="77777777" w:rsidR="00EE10B4" w:rsidRPr="00593A5F" w:rsidRDefault="00EE10B4" w:rsidP="00456BB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17CB36E" w14:textId="77777777" w:rsidR="00EE10B4" w:rsidRPr="00A11406" w:rsidRDefault="00EE10B4" w:rsidP="00456BB0">
            <w:pPr>
              <w:spacing w:line="276" w:lineRule="auto"/>
              <w:jc w:val="both"/>
              <w:rPr>
                <w:rFonts w:ascii="Verdana" w:eastAsia="Calibri" w:hAnsi="Verdana" w:cs="Arial"/>
                <w:lang w:val="es-ES" w:eastAsia="es-ES"/>
              </w:rPr>
            </w:pPr>
            <w:r w:rsidRPr="0003131A">
              <w:rPr>
                <w:rFonts w:ascii="Verdana" w:eastAsia="Calibri" w:hAnsi="Verdana" w:cs="Arial"/>
                <w:lang w:val="es-ES" w:eastAsia="es-ES"/>
              </w:rPr>
              <w:t xml:space="preserve">EGCAP – Ámbito de aplicación – Entidades estatales </w:t>
            </w:r>
            <w:r>
              <w:rPr>
                <w:rFonts w:ascii="Verdana" w:eastAsia="Calibri" w:hAnsi="Verdana" w:cs="Arial"/>
                <w:lang w:val="es-ES" w:eastAsia="es-ES"/>
              </w:rPr>
              <w:t xml:space="preserve">/ </w:t>
            </w:r>
            <w:r w:rsidRPr="0003131A">
              <w:rPr>
                <w:rFonts w:ascii="Verdana" w:eastAsia="Calibri" w:hAnsi="Verdana" w:cs="Arial"/>
                <w:lang w:val="es-ES" w:eastAsia="es-ES"/>
              </w:rPr>
              <w:t>CONTRATO DE DONACIÓN – Fundamento normativo – Definición</w:t>
            </w:r>
            <w:r>
              <w:rPr>
                <w:rFonts w:ascii="Verdana" w:eastAsia="Calibri" w:hAnsi="Verdana" w:cs="Arial"/>
                <w:lang w:val="es-ES" w:eastAsia="es-ES"/>
              </w:rPr>
              <w:t xml:space="preserve"> / </w:t>
            </w:r>
            <w:r w:rsidRPr="0003131A">
              <w:rPr>
                <w:rFonts w:ascii="Verdana" w:eastAsia="Calibri" w:hAnsi="Verdana" w:cs="Arial"/>
                <w:lang w:val="es-ES" w:eastAsia="es-ES"/>
              </w:rPr>
              <w:t>SECOP – Publicidad – Contratos sin erogación presupuestal</w:t>
            </w:r>
            <w:r>
              <w:rPr>
                <w:rFonts w:ascii="Verdana" w:eastAsia="Calibri" w:hAnsi="Verdana" w:cs="Arial"/>
                <w:lang w:val="es-ES" w:eastAsia="es-ES"/>
              </w:rPr>
              <w:t xml:space="preserve"> / </w:t>
            </w:r>
            <w:r w:rsidRPr="0003131A">
              <w:rPr>
                <w:rFonts w:ascii="Verdana" w:eastAsia="Calibri" w:hAnsi="Verdana" w:cs="Arial"/>
                <w:lang w:val="es-ES" w:eastAsia="es-ES"/>
              </w:rPr>
              <w:t>INHABILIDADES – Definición – Finalidad – Limitación capacidad contractual</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7FC7A53" w14:textId="77777777" w:rsidR="00EE10B4" w:rsidRPr="00593A5F" w:rsidRDefault="00EE10B4" w:rsidP="00456BB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EE10B4" w:rsidRPr="008E6AD9" w14:paraId="1A60E452" w14:textId="77777777" w:rsidTr="00456BB0">
        <w:tc>
          <w:tcPr>
            <w:tcW w:w="2689" w:type="dxa"/>
          </w:tcPr>
          <w:p w14:paraId="61CEBBC0" w14:textId="77777777" w:rsidR="00EE10B4" w:rsidRPr="008E6AD9" w:rsidRDefault="00EE10B4" w:rsidP="00456BB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305A391" w14:textId="77777777" w:rsidR="00EE10B4" w:rsidRPr="00B92340" w:rsidRDefault="00EE10B4" w:rsidP="00456BB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585976">
              <w:rPr>
                <w:rFonts w:ascii="Verdana" w:eastAsia="Calibri" w:hAnsi="Verdana" w:cs="Arial"/>
                <w:lang w:val="es-ES_tradnl" w:eastAsia="es-ES_tradnl"/>
              </w:rPr>
              <w:t>1_2025_09_15_010024</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223CDD2" w14:textId="77777777" w:rsidR="00EE10B4" w:rsidRPr="00593A5F" w:rsidRDefault="00EE10B4" w:rsidP="00EE10B4">
      <w:pPr>
        <w:spacing w:after="0" w:line="240" w:lineRule="auto"/>
        <w:jc w:val="both"/>
        <w:rPr>
          <w:rFonts w:ascii="Verdana" w:eastAsia="Calibri" w:hAnsi="Verdana" w:cs="Arial"/>
          <w:color w:val="000000"/>
          <w:lang w:val="es-ES_tradnl" w:eastAsia="es-ES_tradnl"/>
        </w:rPr>
      </w:pPr>
    </w:p>
    <w:p w14:paraId="029BB554" w14:textId="77777777" w:rsidR="00EE10B4" w:rsidRPr="00593A5F" w:rsidRDefault="00EE10B4" w:rsidP="00EE10B4">
      <w:pPr>
        <w:spacing w:after="0" w:line="240" w:lineRule="auto"/>
        <w:jc w:val="both"/>
        <w:rPr>
          <w:rFonts w:ascii="Verdana" w:eastAsia="Calibri" w:hAnsi="Verdana" w:cs="Arial"/>
          <w:color w:val="000000"/>
          <w:lang w:val="es-ES_tradnl" w:eastAsia="es-ES_tradnl"/>
        </w:rPr>
      </w:pPr>
    </w:p>
    <w:p w14:paraId="2A88084C" w14:textId="77777777" w:rsidR="00EE10B4" w:rsidRPr="008E6AD9" w:rsidRDefault="00EE10B4" w:rsidP="00EE10B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D8382A">
        <w:rPr>
          <w:rFonts w:ascii="Verdana" w:eastAsia="Calibri" w:hAnsi="Verdana" w:cs="Arial"/>
          <w:lang w:val="es-ES" w:eastAsia="es-ES"/>
        </w:rPr>
        <w:t>Aguilera Cárdenas</w:t>
      </w:r>
      <w:r w:rsidRPr="008E6AD9">
        <w:rPr>
          <w:rFonts w:ascii="Verdana" w:eastAsia="Calibri" w:hAnsi="Verdana" w:cs="Arial"/>
          <w:lang w:val="es-ES" w:eastAsia="es-ES"/>
        </w:rPr>
        <w:t xml:space="preserve">: </w:t>
      </w:r>
    </w:p>
    <w:p w14:paraId="3FB3089B" w14:textId="77777777" w:rsidR="00EE10B4" w:rsidRDefault="00EE10B4" w:rsidP="00EE10B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25DE73E" w14:textId="77777777" w:rsidR="00EE10B4" w:rsidRDefault="00EE10B4" w:rsidP="00EE10B4">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12 de septiembre de 2025</w:t>
      </w:r>
      <w:r w:rsidRPr="008E6AD9">
        <w:rPr>
          <w:rFonts w:ascii="Verdana" w:eastAsia="Calibri" w:hAnsi="Verdana" w:cs="Arial"/>
          <w:lang w:val="es-ES" w:eastAsia="es-ES"/>
        </w:rPr>
        <w:t>,</w:t>
      </w:r>
      <w:r>
        <w:rPr>
          <w:rFonts w:ascii="Verdana" w:eastAsia="Calibri" w:hAnsi="Verdana" w:cs="Arial"/>
          <w:lang w:val="es-ES" w:eastAsia="es-ES"/>
        </w:rPr>
        <w:t xml:space="preserve"> en la cual manifiesta lo siguiente:</w:t>
      </w:r>
    </w:p>
    <w:p w14:paraId="777D138E" w14:textId="77777777" w:rsidR="00EE10B4" w:rsidRDefault="00EE10B4" w:rsidP="00EE10B4">
      <w:pPr>
        <w:spacing w:after="0" w:line="276" w:lineRule="auto"/>
        <w:jc w:val="both"/>
        <w:rPr>
          <w:rFonts w:ascii="Verdana" w:eastAsia="Calibri" w:hAnsi="Verdana" w:cs="Arial"/>
          <w:lang w:val="es-ES" w:eastAsia="es-ES"/>
        </w:rPr>
      </w:pPr>
    </w:p>
    <w:p w14:paraId="14642D38" w14:textId="77777777" w:rsidR="00EE10B4" w:rsidRPr="006C6662" w:rsidRDefault="00EE10B4" w:rsidP="00EE10B4">
      <w:pPr>
        <w:spacing w:after="120" w:line="240" w:lineRule="auto"/>
        <w:ind w:left="709" w:right="709"/>
        <w:jc w:val="both"/>
        <w:rPr>
          <w:rFonts w:ascii="Verdana" w:eastAsia="Times New Roman" w:hAnsi="Verdana" w:cs="Times New Roman"/>
          <w:color w:val="000000"/>
          <w:sz w:val="20"/>
          <w:szCs w:val="20"/>
          <w:lang w:eastAsia="es-MX"/>
        </w:rPr>
      </w:pPr>
      <w:r w:rsidRPr="006C6662">
        <w:rPr>
          <w:rFonts w:ascii="Verdana" w:eastAsia="Calibri" w:hAnsi="Verdana" w:cs="Arial"/>
          <w:sz w:val="20"/>
          <w:szCs w:val="20"/>
          <w:lang w:val="es-ES" w:eastAsia="es-ES"/>
        </w:rPr>
        <w:t>“</w:t>
      </w:r>
      <w:r w:rsidRPr="006C6662">
        <w:rPr>
          <w:rFonts w:ascii="Verdana" w:eastAsia="Times New Roman" w:hAnsi="Verdana" w:cs="Times New Roman"/>
          <w:b/>
          <w:color w:val="000000"/>
          <w:sz w:val="20"/>
          <w:szCs w:val="20"/>
          <w:u w:val="single"/>
          <w:lang w:eastAsia="es-MX"/>
        </w:rPr>
        <w:t>1. CONTEXTO DE LA CONSULTA (NATURALEZA Y CONTROLES SOBRE LAS JUNTAS ADMINISTRADORAS LOCALES).</w:t>
      </w:r>
    </w:p>
    <w:p w14:paraId="62276FC5" w14:textId="77777777" w:rsidR="00EE10B4" w:rsidRPr="006C6662" w:rsidRDefault="00EE10B4" w:rsidP="00EE10B4">
      <w:pPr>
        <w:spacing w:after="120" w:line="240" w:lineRule="auto"/>
        <w:ind w:left="709" w:right="709"/>
        <w:jc w:val="both"/>
        <w:rPr>
          <w:rFonts w:ascii="Verdana" w:eastAsia="Times New Roman" w:hAnsi="Verdana" w:cs="Times New Roman"/>
          <w:color w:val="000000"/>
          <w:sz w:val="20"/>
          <w:szCs w:val="20"/>
          <w:lang w:eastAsia="es-MX"/>
        </w:rPr>
      </w:pPr>
      <w:r w:rsidRPr="006C6662">
        <w:rPr>
          <w:rFonts w:ascii="Verdana" w:eastAsia="Times New Roman" w:hAnsi="Verdana" w:cs="Times New Roman"/>
          <w:color w:val="000000"/>
          <w:sz w:val="20"/>
          <w:szCs w:val="20"/>
          <w:lang w:eastAsia="es-MX"/>
        </w:rPr>
        <w:t xml:space="preserve">Las Juntas Administradoras Locales son corporaciones públicas de elección popular (artículo 318 de la Constitución Política) cuyas decisiones se adoptan mediante resoluciones (art. 120, Ley 136/1994). La Sección Primera del Consejo de Estado, en sentencia del 21 de mayo de 2020 (Rad. </w:t>
      </w:r>
      <w:r w:rsidRPr="006C6662">
        <w:rPr>
          <w:rFonts w:ascii="Verdana" w:eastAsia="Times New Roman" w:hAnsi="Verdana" w:cs="Times New Roman"/>
          <w:color w:val="000000"/>
          <w:sz w:val="20"/>
          <w:szCs w:val="20"/>
          <w:lang w:eastAsia="es-MX"/>
        </w:rPr>
        <w:lastRenderedPageBreak/>
        <w:t>05001-23-31-000-2009-01088-01), destacó que las JAL ejercen funciones decisorias en materia de inversión pública y, de forma expresa, precisó que:</w:t>
      </w:r>
    </w:p>
    <w:p w14:paraId="1DF7BBC6" w14:textId="77777777" w:rsidR="00EE10B4" w:rsidRPr="006C6662" w:rsidRDefault="00EE10B4" w:rsidP="00EE10B4">
      <w:pPr>
        <w:spacing w:after="120" w:line="240" w:lineRule="auto"/>
        <w:ind w:left="709" w:right="709"/>
        <w:jc w:val="both"/>
        <w:rPr>
          <w:rFonts w:ascii="Verdana" w:eastAsia="Times New Roman" w:hAnsi="Verdana" w:cs="Times New Roman"/>
          <w:color w:val="000000"/>
          <w:sz w:val="20"/>
          <w:szCs w:val="20"/>
          <w:lang w:eastAsia="es-MX"/>
        </w:rPr>
      </w:pPr>
      <w:r w:rsidRPr="006C6662">
        <w:rPr>
          <w:rFonts w:ascii="Verdana" w:eastAsia="Times New Roman" w:hAnsi="Verdana" w:cs="Times New Roman"/>
          <w:color w:val="000000"/>
          <w:sz w:val="20"/>
          <w:szCs w:val="20"/>
          <w:lang w:eastAsia="es-MX"/>
        </w:rPr>
        <w:t>‘</w:t>
      </w:r>
      <w:r w:rsidRPr="006C6662">
        <w:rPr>
          <w:rFonts w:ascii="Verdana" w:eastAsia="Times New Roman" w:hAnsi="Verdana" w:cs="Times New Roman"/>
          <w:i/>
          <w:color w:val="000000"/>
          <w:sz w:val="20"/>
          <w:szCs w:val="20"/>
          <w:lang w:eastAsia="es-MX"/>
        </w:rPr>
        <w:t>Las Juntas Administradoras Locales estarán sometidas al régimen de control fiscal establecido para el respectivo municipio (art. 136, Ley 136 de 1994), y sus resoluciones, actos, contratos, hechos y operaciones tendrán control judicial por parte de la jurisdicción de lo contencioso administrativo, en los términos señalados para el orden municipal (art. 137, ibidem).</w:t>
      </w:r>
      <w:r w:rsidRPr="006C6662">
        <w:rPr>
          <w:rFonts w:ascii="Verdana" w:eastAsia="Times New Roman" w:hAnsi="Verdana" w:cs="Times New Roman"/>
          <w:color w:val="000000"/>
          <w:sz w:val="20"/>
          <w:szCs w:val="20"/>
          <w:lang w:eastAsia="es-MX"/>
        </w:rPr>
        <w:t>’</w:t>
      </w:r>
    </w:p>
    <w:p w14:paraId="43EB614A" w14:textId="77777777" w:rsidR="00EE10B4" w:rsidRPr="006C6662" w:rsidRDefault="00EE10B4" w:rsidP="00EE10B4">
      <w:pPr>
        <w:spacing w:after="120" w:line="240" w:lineRule="auto"/>
        <w:ind w:left="709" w:right="709"/>
        <w:jc w:val="both"/>
        <w:rPr>
          <w:rFonts w:ascii="Verdana" w:eastAsia="Times New Roman" w:hAnsi="Verdana" w:cs="Times New Roman"/>
          <w:color w:val="000000"/>
          <w:sz w:val="20"/>
          <w:szCs w:val="20"/>
          <w:lang w:eastAsia="es-MX"/>
        </w:rPr>
      </w:pPr>
      <w:r w:rsidRPr="006C6662">
        <w:rPr>
          <w:rFonts w:ascii="Verdana" w:eastAsia="Times New Roman" w:hAnsi="Verdana" w:cs="Times New Roman"/>
          <w:color w:val="000000"/>
          <w:sz w:val="20"/>
          <w:szCs w:val="20"/>
          <w:lang w:eastAsia="es-MX"/>
        </w:rPr>
        <w:t>En este sentido, lo anterior implicaría que las Juntas Administradoras Locales están sujetas a obligaciones y responsabilidades públicas: </w:t>
      </w:r>
      <w:r w:rsidRPr="006C6662">
        <w:rPr>
          <w:rFonts w:ascii="Verdana" w:eastAsia="Times New Roman" w:hAnsi="Verdana" w:cs="Times New Roman"/>
          <w:b/>
          <w:color w:val="000000"/>
          <w:sz w:val="20"/>
          <w:szCs w:val="20"/>
          <w:lang w:eastAsia="es-MX"/>
        </w:rPr>
        <w:t>(i)</w:t>
      </w:r>
      <w:r w:rsidRPr="006C6662">
        <w:rPr>
          <w:rFonts w:ascii="Verdana" w:eastAsia="Times New Roman" w:hAnsi="Verdana" w:cs="Times New Roman"/>
          <w:color w:val="000000"/>
          <w:sz w:val="20"/>
          <w:szCs w:val="20"/>
          <w:lang w:eastAsia="es-MX"/>
        </w:rPr>
        <w:t> control fiscal municipal (art. 136 Ley 136/1994) y </w:t>
      </w:r>
      <w:r w:rsidRPr="006C6662">
        <w:rPr>
          <w:rFonts w:ascii="Verdana" w:eastAsia="Times New Roman" w:hAnsi="Verdana" w:cs="Times New Roman"/>
          <w:b/>
          <w:color w:val="000000"/>
          <w:sz w:val="20"/>
          <w:szCs w:val="20"/>
          <w:lang w:eastAsia="es-MX"/>
        </w:rPr>
        <w:t>(</w:t>
      </w:r>
      <w:proofErr w:type="spellStart"/>
      <w:r w:rsidRPr="006C6662">
        <w:rPr>
          <w:rFonts w:ascii="Verdana" w:eastAsia="Times New Roman" w:hAnsi="Verdana" w:cs="Times New Roman"/>
          <w:b/>
          <w:color w:val="000000"/>
          <w:sz w:val="20"/>
          <w:szCs w:val="20"/>
          <w:lang w:eastAsia="es-MX"/>
        </w:rPr>
        <w:t>ii</w:t>
      </w:r>
      <w:proofErr w:type="spellEnd"/>
      <w:r w:rsidRPr="006C6662">
        <w:rPr>
          <w:rFonts w:ascii="Verdana" w:eastAsia="Times New Roman" w:hAnsi="Verdana" w:cs="Times New Roman"/>
          <w:b/>
          <w:color w:val="000000"/>
          <w:sz w:val="20"/>
          <w:szCs w:val="20"/>
          <w:lang w:eastAsia="es-MX"/>
        </w:rPr>
        <w:t>)</w:t>
      </w:r>
      <w:r w:rsidRPr="006C6662">
        <w:rPr>
          <w:rFonts w:ascii="Verdana" w:eastAsia="Times New Roman" w:hAnsi="Verdana" w:cs="Times New Roman"/>
          <w:color w:val="000000"/>
          <w:sz w:val="20"/>
          <w:szCs w:val="20"/>
          <w:lang w:eastAsia="es-MX"/>
        </w:rPr>
        <w:t> control judicial contencioso sobre sus actos, contratos y operaciones (art. 137 Ley 136/1994). Estos mandatos legales confirman que cualquier relación jurídica que involucre a las Juntas Administradoras Locales no queda en un vacío normativo, sino bajo un sistema integral de controles.</w:t>
      </w:r>
    </w:p>
    <w:p w14:paraId="38001CDD" w14:textId="77777777" w:rsidR="00EE10B4" w:rsidRPr="006C6662" w:rsidRDefault="00EE10B4" w:rsidP="00EE10B4">
      <w:pPr>
        <w:spacing w:after="120" w:line="240" w:lineRule="auto"/>
        <w:ind w:left="709" w:right="709"/>
        <w:jc w:val="both"/>
        <w:rPr>
          <w:rFonts w:ascii="Verdana" w:eastAsia="Times New Roman" w:hAnsi="Verdana" w:cs="Times New Roman"/>
          <w:color w:val="000000"/>
          <w:sz w:val="20"/>
          <w:szCs w:val="20"/>
          <w:lang w:eastAsia="es-MX"/>
        </w:rPr>
      </w:pPr>
      <w:r w:rsidRPr="006C6662">
        <w:rPr>
          <w:rFonts w:ascii="Verdana" w:eastAsia="Times New Roman" w:hAnsi="Verdana" w:cs="Times New Roman"/>
          <w:color w:val="000000"/>
          <w:sz w:val="20"/>
          <w:szCs w:val="20"/>
          <w:lang w:eastAsia="es-MX"/>
        </w:rPr>
        <w:t>Adicionalmente, la Sentencia la sentencia del Consejo de Estado (Rad. 05001-23-31-000-2009-01088-01, 2020) señala que los actos de las Juntas Administradoras Locales son resoluciones (artículo 120 de la Ley 136 de 1994), lo cual faculta a estas corporaciones para adoptar formalmente decisiones </w:t>
      </w:r>
      <w:r w:rsidRPr="006C6662">
        <w:rPr>
          <w:rFonts w:ascii="Verdana" w:eastAsia="Times New Roman" w:hAnsi="Verdana" w:cs="Times New Roman"/>
          <w:i/>
          <w:color w:val="000000"/>
          <w:sz w:val="20"/>
          <w:szCs w:val="20"/>
          <w:lang w:eastAsia="es-MX"/>
        </w:rPr>
        <w:t>(por ejemplo, la aceptación de una donación o la asunción de deberes de custodia, inventario, destinación y reversión)</w:t>
      </w:r>
      <w:r w:rsidRPr="006C6662">
        <w:rPr>
          <w:rFonts w:ascii="Verdana" w:eastAsia="Times New Roman" w:hAnsi="Verdana" w:cs="Times New Roman"/>
          <w:color w:val="000000"/>
          <w:sz w:val="20"/>
          <w:szCs w:val="20"/>
          <w:lang w:eastAsia="es-MX"/>
        </w:rPr>
        <w:t> mediante acto propio, sujeto a los controles antes mencionados.</w:t>
      </w:r>
    </w:p>
    <w:p w14:paraId="776020F9" w14:textId="77777777" w:rsidR="00EE10B4" w:rsidRPr="006C6662" w:rsidRDefault="00EE10B4" w:rsidP="00EE10B4">
      <w:pPr>
        <w:spacing w:after="120" w:line="240" w:lineRule="auto"/>
        <w:ind w:left="709" w:right="709"/>
        <w:jc w:val="both"/>
        <w:rPr>
          <w:rFonts w:ascii="Verdana" w:eastAsia="Times New Roman" w:hAnsi="Verdana" w:cs="Times New Roman"/>
          <w:color w:val="000000"/>
          <w:sz w:val="20"/>
          <w:szCs w:val="20"/>
          <w:lang w:eastAsia="es-MX"/>
        </w:rPr>
      </w:pPr>
      <w:r w:rsidRPr="006C6662">
        <w:rPr>
          <w:rFonts w:ascii="Verdana" w:eastAsia="Times New Roman" w:hAnsi="Verdana" w:cs="Times New Roman"/>
          <w:b/>
          <w:color w:val="000000"/>
          <w:sz w:val="20"/>
          <w:szCs w:val="20"/>
          <w:u w:val="single"/>
          <w:lang w:eastAsia="es-MX"/>
        </w:rPr>
        <w:t>2. ALCANCE DE LA AUTORIZACIÓN DE ENAJENACIÓN Y NECESIDAD DE INSTRUMENTO IDÓNEO.</w:t>
      </w:r>
    </w:p>
    <w:p w14:paraId="3DDDF6BB" w14:textId="77777777" w:rsidR="00EE10B4" w:rsidRPr="006C6662" w:rsidRDefault="00EE10B4" w:rsidP="00EE10B4">
      <w:pPr>
        <w:spacing w:after="0" w:line="240" w:lineRule="auto"/>
        <w:ind w:left="709" w:right="709"/>
        <w:jc w:val="both"/>
        <w:rPr>
          <w:rFonts w:ascii="Verdana" w:eastAsia="Times New Roman" w:hAnsi="Verdana" w:cs="Times New Roman"/>
          <w:color w:val="000000"/>
          <w:sz w:val="20"/>
          <w:szCs w:val="20"/>
          <w:lang w:eastAsia="es-MX"/>
        </w:rPr>
      </w:pPr>
      <w:r w:rsidRPr="006C6662">
        <w:rPr>
          <w:rFonts w:ascii="Verdana" w:eastAsia="Times New Roman" w:hAnsi="Verdana" w:cs="Times New Roman"/>
          <w:color w:val="000000"/>
          <w:sz w:val="20"/>
          <w:szCs w:val="20"/>
          <w:lang w:eastAsia="es-MX"/>
        </w:rPr>
        <w:t>El Concejo Distrital, en el marco del artículo 313, numeral 3, C.P. y de la Ley 136 de 1994, puede autorizar al Alcalde la enajenación de bienes. La enajenación implica traslado de dominio y puede realizarse a cualquier título (gratuito u oneroso), siempre que responda a una finalidad pública y se sujete a los controles fiscal y judicial ya referidos. La pregunta práctica es cómo formalizar, en términos de contratación estatal y documentación contractual/administrativa, esa transferencia cuando el receptor es una Junta Administradora Local”.</w:t>
      </w:r>
    </w:p>
    <w:p w14:paraId="074F2A98" w14:textId="77777777" w:rsidR="00EE10B4" w:rsidRPr="00305A61" w:rsidRDefault="00EE10B4" w:rsidP="00305A61">
      <w:pPr>
        <w:spacing w:after="0" w:line="276" w:lineRule="auto"/>
        <w:jc w:val="both"/>
        <w:rPr>
          <w:rFonts w:ascii="Verdana" w:eastAsia="Calibri" w:hAnsi="Verdana" w:cs="Arial"/>
          <w:lang w:val="es-ES" w:eastAsia="es-ES"/>
        </w:rPr>
      </w:pPr>
    </w:p>
    <w:p w14:paraId="0321C7B7" w14:textId="77777777" w:rsidR="00EE10B4" w:rsidRPr="00305A61" w:rsidRDefault="00EE10B4" w:rsidP="00305A61">
      <w:pPr>
        <w:spacing w:after="0" w:line="276" w:lineRule="auto"/>
        <w:ind w:firstLine="708"/>
        <w:jc w:val="both"/>
        <w:rPr>
          <w:rFonts w:ascii="Verdana" w:eastAsia="Calibri" w:hAnsi="Verdana" w:cs="Arial"/>
          <w:color w:val="7030A0"/>
          <w:lang w:val="es-ES" w:eastAsia="es-ES"/>
        </w:rPr>
      </w:pPr>
      <w:r w:rsidRPr="00305A61">
        <w:rPr>
          <w:rFonts w:ascii="Verdana" w:eastAsia="Calibri" w:hAnsi="Verdana" w:cs="Arial"/>
          <w:lang w:val="es-ES" w:eastAsia="es-ES"/>
        </w:rPr>
        <w:t xml:space="preserve">Por ello, planea las siguientes inquietudes: </w:t>
      </w:r>
    </w:p>
    <w:p w14:paraId="41F75753" w14:textId="77777777" w:rsidR="00EE10B4" w:rsidRPr="00305A61" w:rsidRDefault="00EE10B4" w:rsidP="00305A61">
      <w:pPr>
        <w:pStyle w:val="Prrafodelista"/>
        <w:tabs>
          <w:tab w:val="left" w:pos="142"/>
          <w:tab w:val="left" w:pos="284"/>
        </w:tabs>
        <w:spacing w:after="0" w:line="276" w:lineRule="auto"/>
        <w:ind w:left="0"/>
        <w:jc w:val="both"/>
        <w:rPr>
          <w:rFonts w:ascii="Verdana" w:eastAsia="Century Gothic" w:hAnsi="Verdana" w:cs="Century Gothic"/>
          <w:b/>
        </w:rPr>
      </w:pPr>
    </w:p>
    <w:p w14:paraId="48DDEC90" w14:textId="77777777" w:rsidR="00EE10B4" w:rsidRPr="006C6662" w:rsidRDefault="00EE10B4" w:rsidP="00EE10B4">
      <w:pPr>
        <w:spacing w:after="120" w:line="240" w:lineRule="auto"/>
        <w:ind w:left="720" w:right="709"/>
        <w:jc w:val="both"/>
        <w:rPr>
          <w:rFonts w:ascii="Verdana" w:eastAsia="Century Gothic" w:hAnsi="Verdana" w:cs="Century Gothic"/>
          <w:sz w:val="20"/>
          <w:szCs w:val="20"/>
        </w:rPr>
      </w:pPr>
      <w:bookmarkStart w:id="0" w:name="_Hlk95313578"/>
      <w:r w:rsidRPr="006C6662">
        <w:rPr>
          <w:rFonts w:ascii="Verdana" w:eastAsia="Century Gothic" w:hAnsi="Verdana" w:cs="Century Gothic"/>
          <w:sz w:val="20"/>
          <w:szCs w:val="20"/>
          <w:lang w:val="es-ES"/>
        </w:rPr>
        <w:t>“</w:t>
      </w:r>
      <w:bookmarkEnd w:id="0"/>
      <w:r w:rsidRPr="006C6662">
        <w:rPr>
          <w:rFonts w:ascii="Verdana" w:eastAsia="Century Gothic" w:hAnsi="Verdana" w:cs="Century Gothic"/>
          <w:b/>
          <w:sz w:val="20"/>
          <w:szCs w:val="20"/>
          <w:lang w:val="es-ES"/>
        </w:rPr>
        <w:t xml:space="preserve">1. </w:t>
      </w:r>
      <w:r w:rsidRPr="006C6662">
        <w:rPr>
          <w:rFonts w:ascii="Verdana" w:eastAsia="Century Gothic" w:hAnsi="Verdana" w:cs="Century Gothic"/>
          <w:b/>
          <w:sz w:val="20"/>
          <w:szCs w:val="20"/>
        </w:rPr>
        <w:t>Sujeción al régimen de contratación y calidad de las Juntas Administradoras Locales frente a la relación jurídica:</w:t>
      </w:r>
    </w:p>
    <w:p w14:paraId="04C91FE4" w14:textId="77777777" w:rsidR="00EE10B4" w:rsidRPr="006C6662" w:rsidRDefault="00EE10B4" w:rsidP="00EE10B4">
      <w:pPr>
        <w:spacing w:after="120" w:line="240" w:lineRule="auto"/>
        <w:ind w:left="709" w:right="709"/>
        <w:jc w:val="both"/>
        <w:rPr>
          <w:rFonts w:ascii="Verdana" w:eastAsia="Century Gothic" w:hAnsi="Verdana" w:cs="Century Gothic"/>
          <w:sz w:val="20"/>
          <w:szCs w:val="20"/>
        </w:rPr>
      </w:pPr>
      <w:r w:rsidRPr="006C6662">
        <w:rPr>
          <w:rFonts w:ascii="Verdana" w:eastAsia="Century Gothic" w:hAnsi="Verdana" w:cs="Century Gothic"/>
          <w:b/>
          <w:sz w:val="20"/>
          <w:szCs w:val="20"/>
        </w:rPr>
        <w:t>i)</w:t>
      </w:r>
      <w:r w:rsidRPr="006C6662">
        <w:rPr>
          <w:rFonts w:ascii="Verdana" w:eastAsia="Century Gothic" w:hAnsi="Verdana" w:cs="Century Gothic"/>
          <w:sz w:val="20"/>
          <w:szCs w:val="20"/>
        </w:rPr>
        <w:t> ¿Al tenor de lo regulado por los artículos 136 y 137 de la Ley 136 de 1994 es viable afirmar sí o no que las JAL cuentan con capacidad para celebrar negocios jurídicos?</w:t>
      </w:r>
    </w:p>
    <w:p w14:paraId="32D91D8F" w14:textId="77777777" w:rsidR="00EE10B4" w:rsidRPr="006C6662" w:rsidRDefault="00EE10B4" w:rsidP="00EE10B4">
      <w:pPr>
        <w:spacing w:after="120" w:line="240" w:lineRule="auto"/>
        <w:ind w:left="720" w:right="709"/>
        <w:jc w:val="both"/>
        <w:rPr>
          <w:rFonts w:ascii="Verdana" w:eastAsia="Century Gothic" w:hAnsi="Verdana" w:cs="Century Gothic"/>
          <w:sz w:val="20"/>
          <w:szCs w:val="20"/>
        </w:rPr>
      </w:pPr>
      <w:r w:rsidRPr="006C6662">
        <w:rPr>
          <w:rFonts w:ascii="Verdana" w:eastAsia="Century Gothic" w:hAnsi="Verdana" w:cs="Century Gothic"/>
          <w:b/>
          <w:sz w:val="20"/>
          <w:szCs w:val="20"/>
        </w:rPr>
        <w:lastRenderedPageBreak/>
        <w:t>2. Instrumento jurídico idóneo para perfeccionar la transferencia de dominio:</w:t>
      </w:r>
    </w:p>
    <w:p w14:paraId="4E4FC579" w14:textId="77777777" w:rsidR="00EE10B4" w:rsidRPr="006C6662" w:rsidRDefault="00EE10B4" w:rsidP="00EE10B4">
      <w:pPr>
        <w:spacing w:after="120" w:line="240" w:lineRule="auto"/>
        <w:ind w:left="709" w:right="709"/>
        <w:jc w:val="both"/>
        <w:rPr>
          <w:rFonts w:ascii="Verdana" w:eastAsia="Century Gothic" w:hAnsi="Verdana" w:cs="Century Gothic"/>
          <w:sz w:val="20"/>
          <w:szCs w:val="20"/>
        </w:rPr>
      </w:pPr>
      <w:proofErr w:type="spellStart"/>
      <w:r w:rsidRPr="006C6662">
        <w:rPr>
          <w:rFonts w:ascii="Verdana" w:eastAsia="Century Gothic" w:hAnsi="Verdana" w:cs="Century Gothic"/>
          <w:b/>
          <w:sz w:val="20"/>
          <w:szCs w:val="20"/>
        </w:rPr>
        <w:t>ii</w:t>
      </w:r>
      <w:proofErr w:type="spellEnd"/>
      <w:r w:rsidRPr="006C6662">
        <w:rPr>
          <w:rFonts w:ascii="Verdana" w:eastAsia="Century Gothic" w:hAnsi="Verdana" w:cs="Century Gothic"/>
          <w:b/>
          <w:sz w:val="20"/>
          <w:szCs w:val="20"/>
        </w:rPr>
        <w:t>)</w:t>
      </w:r>
      <w:r w:rsidRPr="006C6662">
        <w:rPr>
          <w:rFonts w:ascii="Verdana" w:eastAsia="Century Gothic" w:hAnsi="Verdana" w:cs="Century Gothic"/>
          <w:sz w:val="20"/>
          <w:szCs w:val="20"/>
        </w:rPr>
        <w:t> En el evento que la pregunta descrita en el literal anterior sea resuelta de manera favorable ¿Cuál o cuáles tipologías contractuales se pueden utilizar para transferir el derecho de dominio de unos bienes, en forma gratuita, a las JAL?</w:t>
      </w:r>
    </w:p>
    <w:p w14:paraId="65579A95" w14:textId="77777777" w:rsidR="00EE10B4" w:rsidRPr="006C6662" w:rsidRDefault="00EE10B4" w:rsidP="00EE10B4">
      <w:pPr>
        <w:spacing w:after="120" w:line="240" w:lineRule="auto"/>
        <w:ind w:left="709" w:right="709"/>
        <w:jc w:val="both"/>
        <w:rPr>
          <w:rFonts w:ascii="Verdana" w:eastAsia="Century Gothic" w:hAnsi="Verdana" w:cs="Century Gothic"/>
          <w:sz w:val="20"/>
          <w:szCs w:val="20"/>
        </w:rPr>
      </w:pPr>
      <w:proofErr w:type="spellStart"/>
      <w:r w:rsidRPr="006C6662">
        <w:rPr>
          <w:rFonts w:ascii="Verdana" w:eastAsia="Century Gothic" w:hAnsi="Verdana" w:cs="Century Gothic"/>
          <w:b/>
          <w:sz w:val="20"/>
          <w:szCs w:val="20"/>
        </w:rPr>
        <w:t>iii</w:t>
      </w:r>
      <w:proofErr w:type="spellEnd"/>
      <w:r w:rsidRPr="006C6662">
        <w:rPr>
          <w:rFonts w:ascii="Verdana" w:eastAsia="Century Gothic" w:hAnsi="Verdana" w:cs="Century Gothic"/>
          <w:b/>
          <w:sz w:val="20"/>
          <w:szCs w:val="20"/>
        </w:rPr>
        <w:t>)</w:t>
      </w:r>
      <w:r w:rsidRPr="006C6662">
        <w:rPr>
          <w:rFonts w:ascii="Verdana" w:eastAsia="Century Gothic" w:hAnsi="Verdana" w:cs="Century Gothic"/>
          <w:sz w:val="20"/>
          <w:szCs w:val="20"/>
        </w:rPr>
        <w:t> ¿Cuáles cláusulas o estipulaciones recomienda CCE para garantizar destinación específica, custodia, régimen de inventarios, prohibiciones de enajenación a terceros y reversión por incumplimiento, en la celebración de negocios jurídicos entre las JAL y una Entidad Pública sujeta al Estatuto de Contratación Estatal que tenga por objeto la transferencia gratuita de bienes de las segundas a favor de las primeras? </w:t>
      </w:r>
      <w:r w:rsidRPr="006C6662">
        <w:rPr>
          <w:rFonts w:ascii="Verdana" w:eastAsia="Century Gothic" w:hAnsi="Verdana" w:cs="Century Gothic"/>
          <w:i/>
          <w:sz w:val="20"/>
          <w:szCs w:val="20"/>
        </w:rPr>
        <w:t>(por ejemplo, obligaciones de uso oficial, reportes de inventario, auditorías de control fiscal, entre otros)</w:t>
      </w:r>
      <w:r w:rsidRPr="006C6662">
        <w:rPr>
          <w:rFonts w:ascii="Verdana" w:eastAsia="Century Gothic" w:hAnsi="Verdana" w:cs="Century Gothic"/>
          <w:sz w:val="20"/>
          <w:szCs w:val="20"/>
        </w:rPr>
        <w:t>.</w:t>
      </w:r>
    </w:p>
    <w:p w14:paraId="6CD227FC" w14:textId="77777777" w:rsidR="00EE10B4" w:rsidRPr="006C6662" w:rsidRDefault="00EE10B4" w:rsidP="00EE10B4">
      <w:pPr>
        <w:spacing w:after="120" w:line="240" w:lineRule="auto"/>
        <w:ind w:left="720" w:right="709"/>
        <w:jc w:val="both"/>
        <w:rPr>
          <w:rFonts w:ascii="Verdana" w:eastAsia="Century Gothic" w:hAnsi="Verdana" w:cs="Century Gothic"/>
          <w:sz w:val="20"/>
          <w:szCs w:val="20"/>
        </w:rPr>
      </w:pPr>
      <w:r w:rsidRPr="006C6662">
        <w:rPr>
          <w:rFonts w:ascii="Verdana" w:eastAsia="Century Gothic" w:hAnsi="Verdana" w:cs="Century Gothic"/>
          <w:b/>
          <w:sz w:val="20"/>
          <w:szCs w:val="20"/>
        </w:rPr>
        <w:t>3. Representación y firma del instrumento de aceptación por parte de la JAL:</w:t>
      </w:r>
    </w:p>
    <w:p w14:paraId="5554D0ED" w14:textId="77777777" w:rsidR="00EE10B4" w:rsidRPr="006C6662" w:rsidRDefault="00EE10B4" w:rsidP="00EE10B4">
      <w:pPr>
        <w:spacing w:after="120" w:line="240" w:lineRule="auto"/>
        <w:ind w:left="709" w:right="709"/>
        <w:jc w:val="both"/>
        <w:rPr>
          <w:rFonts w:ascii="Verdana" w:eastAsia="Century Gothic" w:hAnsi="Verdana" w:cs="Century Gothic"/>
          <w:sz w:val="20"/>
          <w:szCs w:val="20"/>
        </w:rPr>
      </w:pPr>
      <w:proofErr w:type="spellStart"/>
      <w:r w:rsidRPr="006C6662">
        <w:rPr>
          <w:rFonts w:ascii="Verdana" w:eastAsia="Century Gothic" w:hAnsi="Verdana" w:cs="Century Gothic"/>
          <w:b/>
          <w:sz w:val="20"/>
          <w:szCs w:val="20"/>
        </w:rPr>
        <w:t>iv</w:t>
      </w:r>
      <w:proofErr w:type="spellEnd"/>
      <w:r w:rsidRPr="006C6662">
        <w:rPr>
          <w:rFonts w:ascii="Verdana" w:eastAsia="Century Gothic" w:hAnsi="Verdana" w:cs="Century Gothic"/>
          <w:b/>
          <w:sz w:val="20"/>
          <w:szCs w:val="20"/>
        </w:rPr>
        <w:t>)</w:t>
      </w:r>
      <w:r w:rsidRPr="006C6662">
        <w:rPr>
          <w:rFonts w:ascii="Verdana" w:eastAsia="Century Gothic" w:hAnsi="Verdana" w:cs="Century Gothic"/>
          <w:sz w:val="20"/>
          <w:szCs w:val="20"/>
        </w:rPr>
        <w:t> ¿El Presidente de la Junta Administradora Local ostenta sí o no la capacidad para suscribir los negocios jurídicos a nombre de dicho ente,  requiere una autorización colegiada </w:t>
      </w:r>
      <w:r w:rsidRPr="006C6662">
        <w:rPr>
          <w:rFonts w:ascii="Verdana" w:eastAsia="Century Gothic" w:hAnsi="Verdana" w:cs="Century Gothic"/>
          <w:i/>
          <w:sz w:val="20"/>
          <w:szCs w:val="20"/>
        </w:rPr>
        <w:t>(por ejemplo, resolución de la corporación que aprueba y autoriza la firma), </w:t>
      </w:r>
      <w:r w:rsidRPr="006C6662">
        <w:rPr>
          <w:rFonts w:ascii="Verdana" w:eastAsia="Century Gothic" w:hAnsi="Verdana" w:cs="Century Gothic"/>
          <w:sz w:val="20"/>
          <w:szCs w:val="20"/>
        </w:rPr>
        <w:t>o se sujeta a lo estipulado en su reglamento?</w:t>
      </w:r>
    </w:p>
    <w:p w14:paraId="31E000F8" w14:textId="77777777" w:rsidR="00EE10B4" w:rsidRPr="006C6662" w:rsidRDefault="00EE10B4" w:rsidP="00EE10B4">
      <w:pPr>
        <w:spacing w:after="120" w:line="240" w:lineRule="auto"/>
        <w:ind w:left="720" w:right="709"/>
        <w:jc w:val="both"/>
        <w:rPr>
          <w:rFonts w:ascii="Verdana" w:eastAsia="Century Gothic" w:hAnsi="Verdana" w:cs="Century Gothic"/>
          <w:sz w:val="20"/>
          <w:szCs w:val="20"/>
        </w:rPr>
      </w:pPr>
      <w:r w:rsidRPr="006C6662">
        <w:rPr>
          <w:rFonts w:ascii="Verdana" w:eastAsia="Century Gothic" w:hAnsi="Verdana" w:cs="Century Gothic"/>
          <w:b/>
          <w:sz w:val="20"/>
          <w:szCs w:val="20"/>
        </w:rPr>
        <w:t>4. Registro, publicidad y SECOP:</w:t>
      </w:r>
    </w:p>
    <w:p w14:paraId="79920102" w14:textId="77777777" w:rsidR="00EE10B4" w:rsidRPr="006C6662" w:rsidRDefault="00EE10B4" w:rsidP="00EE10B4">
      <w:pPr>
        <w:spacing w:after="120" w:line="240" w:lineRule="auto"/>
        <w:ind w:left="709" w:right="709"/>
        <w:jc w:val="both"/>
        <w:rPr>
          <w:rFonts w:ascii="Verdana" w:eastAsia="Century Gothic" w:hAnsi="Verdana" w:cs="Century Gothic"/>
          <w:sz w:val="20"/>
          <w:szCs w:val="20"/>
        </w:rPr>
      </w:pPr>
      <w:r w:rsidRPr="006C6662">
        <w:rPr>
          <w:rFonts w:ascii="Verdana" w:eastAsia="Century Gothic" w:hAnsi="Verdana" w:cs="Century Gothic"/>
          <w:b/>
          <w:sz w:val="20"/>
          <w:szCs w:val="20"/>
        </w:rPr>
        <w:t>v)</w:t>
      </w:r>
      <w:r w:rsidRPr="006C6662">
        <w:rPr>
          <w:rFonts w:ascii="Verdana" w:eastAsia="Century Gothic" w:hAnsi="Verdana" w:cs="Century Gothic"/>
          <w:sz w:val="20"/>
          <w:szCs w:val="20"/>
        </w:rPr>
        <w:t xml:space="preserve"> ¿Deben publicarse  en el </w:t>
      </w:r>
      <w:proofErr w:type="spellStart"/>
      <w:r w:rsidRPr="006C6662">
        <w:rPr>
          <w:rFonts w:ascii="Verdana" w:eastAsia="Century Gothic" w:hAnsi="Verdana" w:cs="Century Gothic"/>
          <w:sz w:val="20"/>
          <w:szCs w:val="20"/>
        </w:rPr>
        <w:t>Secop</w:t>
      </w:r>
      <w:proofErr w:type="spellEnd"/>
      <w:r w:rsidRPr="006C6662">
        <w:rPr>
          <w:rFonts w:ascii="Verdana" w:eastAsia="Century Gothic" w:hAnsi="Verdana" w:cs="Century Gothic"/>
          <w:sz w:val="20"/>
          <w:szCs w:val="20"/>
        </w:rPr>
        <w:t xml:space="preserve"> sí o no, los negocios jurídicos que suscriba las JAL con una Entidad Pública sujeta al Estatuto de la Contratación Estatal?.</w:t>
      </w:r>
    </w:p>
    <w:p w14:paraId="713D9E89" w14:textId="77777777" w:rsidR="00EE10B4" w:rsidRPr="006C6662" w:rsidRDefault="00EE10B4" w:rsidP="00EE10B4">
      <w:pPr>
        <w:spacing w:after="120" w:line="240" w:lineRule="auto"/>
        <w:ind w:left="709" w:right="709"/>
        <w:jc w:val="both"/>
        <w:rPr>
          <w:rFonts w:ascii="Verdana" w:eastAsia="Century Gothic" w:hAnsi="Verdana" w:cs="Century Gothic"/>
          <w:sz w:val="20"/>
          <w:szCs w:val="20"/>
        </w:rPr>
      </w:pPr>
      <w:r w:rsidRPr="006C6662">
        <w:rPr>
          <w:rFonts w:ascii="Verdana" w:eastAsia="Century Gothic" w:hAnsi="Verdana" w:cs="Century Gothic"/>
          <w:sz w:val="20"/>
          <w:szCs w:val="20"/>
        </w:rPr>
        <w:t>En caso que se resuelva de manera favorable por favor explicar el procedimiento a seguir para tal efecto.</w:t>
      </w:r>
    </w:p>
    <w:p w14:paraId="63F7F4DD" w14:textId="77777777" w:rsidR="00EE10B4" w:rsidRPr="006C6662" w:rsidRDefault="00EE10B4" w:rsidP="00EE10B4">
      <w:pPr>
        <w:spacing w:after="120" w:line="240" w:lineRule="auto"/>
        <w:ind w:left="720" w:right="709"/>
        <w:jc w:val="both"/>
        <w:rPr>
          <w:rFonts w:ascii="Verdana" w:eastAsia="Century Gothic" w:hAnsi="Verdana" w:cs="Century Gothic"/>
          <w:sz w:val="20"/>
          <w:szCs w:val="20"/>
        </w:rPr>
      </w:pPr>
      <w:r w:rsidRPr="006C6662">
        <w:rPr>
          <w:rFonts w:ascii="Verdana" w:eastAsia="Century Gothic" w:hAnsi="Verdana" w:cs="Century Gothic"/>
          <w:b/>
          <w:sz w:val="20"/>
          <w:szCs w:val="20"/>
        </w:rPr>
        <w:t>5. Compatibilidad con inhabilidades e incompatibilidades:</w:t>
      </w:r>
    </w:p>
    <w:p w14:paraId="3A79AF4E" w14:textId="77777777" w:rsidR="00EE10B4" w:rsidRPr="006C6662" w:rsidRDefault="00EE10B4" w:rsidP="00EE10B4">
      <w:pPr>
        <w:spacing w:after="0" w:line="240" w:lineRule="auto"/>
        <w:ind w:left="709" w:right="709"/>
        <w:jc w:val="both"/>
        <w:rPr>
          <w:rFonts w:ascii="Verdana" w:eastAsia="Century Gothic" w:hAnsi="Verdana" w:cs="Century Gothic"/>
          <w:sz w:val="20"/>
          <w:szCs w:val="20"/>
        </w:rPr>
      </w:pPr>
      <w:r w:rsidRPr="006C6662">
        <w:rPr>
          <w:rFonts w:ascii="Verdana" w:eastAsia="Century Gothic" w:hAnsi="Verdana" w:cs="Century Gothic"/>
          <w:b/>
          <w:sz w:val="20"/>
          <w:szCs w:val="20"/>
        </w:rPr>
        <w:t>vi)</w:t>
      </w:r>
      <w:r w:rsidRPr="006C6662">
        <w:rPr>
          <w:rFonts w:ascii="Verdana" w:eastAsia="Century Gothic" w:hAnsi="Verdana" w:cs="Century Gothic"/>
          <w:sz w:val="20"/>
          <w:szCs w:val="20"/>
        </w:rPr>
        <w:t> ¿La suscripción de un negocio jurídico entre el representante de la Junta Administradora Local o la persona designada para tal efecto y  una Entidad Pública, cuyo objeto sea el desarrollo de actividades de ambos entes -interés público- pueden configurar sí o no una violación al régimen de inhabilidad e incompatibilidades?</w:t>
      </w:r>
      <w:r w:rsidRPr="006C6662">
        <w:rPr>
          <w:rFonts w:ascii="Verdana" w:eastAsia="Century Gothic" w:hAnsi="Verdana" w:cs="Century Gothic"/>
          <w:sz w:val="20"/>
          <w:szCs w:val="20"/>
          <w:lang w:val="es-ES"/>
        </w:rPr>
        <w:t>”.</w:t>
      </w:r>
    </w:p>
    <w:p w14:paraId="69472830" w14:textId="77777777" w:rsidR="00EE10B4" w:rsidRPr="008E6AD9" w:rsidRDefault="00EE10B4" w:rsidP="00EE10B4">
      <w:pPr>
        <w:pStyle w:val="Prrafodelista"/>
        <w:tabs>
          <w:tab w:val="left" w:pos="142"/>
          <w:tab w:val="left" w:pos="284"/>
        </w:tabs>
        <w:spacing w:after="0" w:line="276" w:lineRule="auto"/>
        <w:ind w:left="0"/>
        <w:jc w:val="both"/>
        <w:rPr>
          <w:rFonts w:ascii="Verdana" w:eastAsia="Century Gothic" w:hAnsi="Verdana" w:cs="Century Gothic"/>
          <w:b/>
          <w:bCs/>
        </w:rPr>
      </w:pPr>
    </w:p>
    <w:p w14:paraId="69DDA602" w14:textId="77777777" w:rsidR="00EE10B4" w:rsidRPr="00A652FF" w:rsidRDefault="00EE10B4" w:rsidP="00EE10B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w:t>
      </w:r>
      <w:r w:rsidRPr="00593A5F">
        <w:rPr>
          <w:rFonts w:ascii="Verdana" w:eastAsia="Calibri" w:hAnsi="Verdana" w:cs="Arial"/>
          <w:color w:val="000000"/>
          <w:lang w:val="es-ES" w:eastAsia="es-ES"/>
        </w:rPr>
        <w:lastRenderedPageBreak/>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7367C21" w14:textId="77777777" w:rsidR="00EE10B4" w:rsidRDefault="00EE10B4" w:rsidP="00EE10B4">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045034A" w14:textId="77777777" w:rsidR="00EE10B4" w:rsidRPr="00593A5F" w:rsidRDefault="00EE10B4" w:rsidP="00EE10B4">
      <w:pPr>
        <w:spacing w:after="0" w:line="276" w:lineRule="auto"/>
        <w:ind w:firstLine="709"/>
        <w:jc w:val="both"/>
        <w:rPr>
          <w:rFonts w:ascii="Verdana" w:eastAsia="Calibri" w:hAnsi="Verdana" w:cs="Arial"/>
          <w:color w:val="000000"/>
          <w:lang w:val="es-ES" w:eastAsia="es-ES"/>
        </w:rPr>
      </w:pPr>
    </w:p>
    <w:p w14:paraId="729BE6C0" w14:textId="77777777" w:rsidR="00EE10B4" w:rsidRPr="00593A5F" w:rsidRDefault="00EE10B4" w:rsidP="00EE10B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1F04EC8" w14:textId="77777777" w:rsidR="00EE10B4" w:rsidRPr="00593A5F" w:rsidRDefault="00EE10B4" w:rsidP="00EE10B4">
      <w:pPr>
        <w:tabs>
          <w:tab w:val="left" w:pos="426"/>
        </w:tabs>
        <w:spacing w:after="0" w:line="276" w:lineRule="auto"/>
        <w:jc w:val="both"/>
        <w:rPr>
          <w:rFonts w:ascii="Verdana" w:eastAsia="Century Gothic" w:hAnsi="Verdana" w:cs="Century Gothic"/>
          <w:lang w:val="es-ES"/>
        </w:rPr>
      </w:pPr>
    </w:p>
    <w:p w14:paraId="5B0B409F" w14:textId="5E1AD123" w:rsidR="00EE10B4" w:rsidRPr="00593A5F" w:rsidRDefault="00EE10B4" w:rsidP="00EE10B4">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¿bajo qué parámetros normativos se analiza la competencia de las juntas administradoras locales para la celebración de contratos estatales que impliquen </w:t>
      </w:r>
      <w:r w:rsidRPr="00B63712">
        <w:rPr>
          <w:rFonts w:ascii="Verdana" w:eastAsia="Century Gothic" w:hAnsi="Verdana" w:cs="Century Gothic"/>
        </w:rPr>
        <w:t xml:space="preserve">transferir el derecho de dominio </w:t>
      </w:r>
      <w:r>
        <w:rPr>
          <w:rFonts w:ascii="Verdana" w:eastAsia="Century Gothic" w:hAnsi="Verdana" w:cs="Century Gothic"/>
        </w:rPr>
        <w:t>de bienes a título gratuito?</w:t>
      </w:r>
      <w:r w:rsidRPr="00906BE9">
        <w:rPr>
          <w:rFonts w:ascii="Verdana" w:eastAsia="Century Gothic" w:hAnsi="Verdana" w:cs="Century Gothic"/>
        </w:rPr>
        <w:t xml:space="preserve"> </w:t>
      </w:r>
    </w:p>
    <w:p w14:paraId="59BAF82A" w14:textId="77777777" w:rsidR="00EE10B4" w:rsidRPr="004B140F" w:rsidRDefault="00EE10B4" w:rsidP="00EE10B4">
      <w:pPr>
        <w:spacing w:after="0" w:line="276" w:lineRule="auto"/>
        <w:jc w:val="both"/>
        <w:rPr>
          <w:rFonts w:ascii="Verdana" w:eastAsia="Calibri" w:hAnsi="Verdana" w:cs="Arial"/>
          <w:color w:val="7030A0"/>
        </w:rPr>
      </w:pPr>
    </w:p>
    <w:p w14:paraId="74CF4C61" w14:textId="77777777" w:rsidR="00EE10B4" w:rsidRPr="00593A5F" w:rsidRDefault="00EE10B4" w:rsidP="00EE10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FB21F5F" w14:textId="77777777" w:rsidR="00EE10B4" w:rsidRPr="00593A5F" w:rsidRDefault="00EE10B4" w:rsidP="00EE10B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E10B4" w:rsidRPr="00593A5F" w14:paraId="343A6F32" w14:textId="77777777">
        <w:trPr>
          <w:jc w:val="center"/>
        </w:trPr>
        <w:tc>
          <w:tcPr>
            <w:tcW w:w="8828" w:type="dxa"/>
          </w:tcPr>
          <w:p w14:paraId="7F6A5C32" w14:textId="77777777" w:rsidR="00EE10B4" w:rsidRDefault="00EE10B4" w:rsidP="00456BB0">
            <w:pPr>
              <w:spacing w:after="120" w:line="276" w:lineRule="auto"/>
              <w:jc w:val="both"/>
              <w:rPr>
                <w:rFonts w:ascii="Verdana" w:hAnsi="Verdana" w:cs="Arial"/>
                <w:bCs/>
                <w:lang w:val="es-MX"/>
              </w:rPr>
            </w:pPr>
            <w:bookmarkStart w:id="1" w:name="_Hlk171694685"/>
            <w:r>
              <w:rPr>
                <w:rFonts w:ascii="Verdana" w:eastAsia="Calibri" w:hAnsi="Verdana" w:cs="Arial"/>
                <w:bCs/>
                <w:color w:val="000000" w:themeColor="text1"/>
              </w:rPr>
              <w:t>Conforme a la interpretación general de las normas del sistema de compras públicas, p</w:t>
            </w:r>
            <w:r>
              <w:rPr>
                <w:rFonts w:ascii="Verdana" w:hAnsi="Verdana" w:cs="Arial"/>
                <w:bCs/>
                <w:lang w:val="es-MX"/>
              </w:rPr>
              <w:t xml:space="preserve">ara efectos de la Ley 80 de 1993, las juntas administradoras locales serán consideradas </w:t>
            </w:r>
            <w:r w:rsidRPr="000373B4">
              <w:rPr>
                <w:rFonts w:ascii="Verdana" w:hAnsi="Verdana" w:cs="Arial"/>
                <w:bCs/>
                <w:i/>
                <w:iCs/>
                <w:lang w:val="es-MX"/>
              </w:rPr>
              <w:t>entidades estatales</w:t>
            </w:r>
            <w:r>
              <w:rPr>
                <w:rFonts w:ascii="Verdana" w:hAnsi="Verdana" w:cs="Arial"/>
                <w:bCs/>
                <w:lang w:val="es-MX"/>
              </w:rPr>
              <w:t xml:space="preserve"> si se trata de órganos con personería jurídica –art. 2.1, lit. a)– o, si careciendo de este atributo, tienen autorización expresa para la celebración de contratos –art. 2.1, lit. b)–. Si bien el peticionario se apoya en los artículos 136 y 137 de la Ley 136 de 1994, dichas normas no definen la calidad de </w:t>
            </w:r>
            <w:r w:rsidRPr="005D2400">
              <w:rPr>
                <w:rFonts w:ascii="Verdana" w:hAnsi="Verdana" w:cs="Arial"/>
                <w:bCs/>
                <w:i/>
                <w:iCs/>
                <w:lang w:val="es-MX"/>
              </w:rPr>
              <w:t>entidad estatal</w:t>
            </w:r>
            <w:r>
              <w:rPr>
                <w:rFonts w:ascii="Verdana" w:hAnsi="Verdana" w:cs="Arial"/>
                <w:bCs/>
                <w:lang w:val="es-MX"/>
              </w:rPr>
              <w:t xml:space="preserve"> de las juntas administradoras locales respecto a la aplicación del Estatuto General de Contratación de la Administración Pública, sino que establecen que dichos organismos son sujetos del control fiscal y judicial conforme al régimen establecido para los municipios.</w:t>
            </w:r>
          </w:p>
          <w:p w14:paraId="2E5FDE74" w14:textId="45D60B40" w:rsidR="00EE10B4" w:rsidRDefault="00EE10B4" w:rsidP="00456BB0">
            <w:pPr>
              <w:spacing w:after="120" w:line="276" w:lineRule="auto"/>
              <w:jc w:val="both"/>
              <w:rPr>
                <w:rFonts w:ascii="Verdana" w:eastAsia="Times New Roman" w:hAnsi="Verdana" w:cs="Times New Roman"/>
                <w:color w:val="000000"/>
                <w:lang w:eastAsia="es-MX"/>
              </w:rPr>
            </w:pPr>
            <w:r>
              <w:rPr>
                <w:rFonts w:ascii="Verdana" w:hAnsi="Verdana" w:cs="Arial"/>
                <w:bCs/>
                <w:lang w:val="es-MX"/>
              </w:rPr>
              <w:tab/>
            </w:r>
            <w:r w:rsidRPr="00BA7F04">
              <w:rPr>
                <w:rFonts w:ascii="Verdana" w:hAnsi="Verdana" w:cs="Arial"/>
                <w:bCs/>
                <w:lang w:val="es-MX"/>
              </w:rPr>
              <w:t>Asímismo, se apoya en la Sentencia del Consejo de Estado</w:t>
            </w:r>
            <w:r>
              <w:rPr>
                <w:rFonts w:ascii="Verdana" w:hAnsi="Verdana" w:cs="Arial"/>
                <w:bCs/>
                <w:lang w:val="es-MX"/>
              </w:rPr>
              <w:t xml:space="preserve"> del 21 de mayo de 2020</w:t>
            </w:r>
            <w:r w:rsidRPr="00BA7F04">
              <w:rPr>
                <w:rFonts w:ascii="Verdana" w:hAnsi="Verdana" w:cs="Arial"/>
                <w:bCs/>
                <w:lang w:val="es-MX"/>
              </w:rPr>
              <w:t xml:space="preserve">, rad. </w:t>
            </w:r>
            <w:r w:rsidRPr="00BA7F04">
              <w:rPr>
                <w:rFonts w:ascii="Verdana" w:eastAsia="Times New Roman" w:hAnsi="Verdana" w:cs="Times New Roman"/>
                <w:color w:val="000000"/>
                <w:lang w:eastAsia="es-MX"/>
              </w:rPr>
              <w:t>05001-23-31-000-2009-01088-01, p</w:t>
            </w:r>
            <w:r>
              <w:rPr>
                <w:rFonts w:ascii="Verdana" w:eastAsia="Times New Roman" w:hAnsi="Verdana" w:cs="Times New Roman"/>
                <w:color w:val="000000"/>
                <w:lang w:eastAsia="es-MX"/>
              </w:rPr>
              <w:t xml:space="preserve">ara sostener que las juntas administradoras locales expiden resoluciones. Sin embargo, con la modificación del artículo 3 de la Ley 2086 de 2021, el artículo 120 de la Ley 136 de 1994 dispone que mediante dichos actos administrativos “[…] </w:t>
            </w:r>
            <w:r w:rsidRPr="004B72B2">
              <w:rPr>
                <w:rFonts w:ascii="Verdana" w:eastAsia="Times New Roman" w:hAnsi="Verdana" w:cs="Times New Roman"/>
                <w:color w:val="000000"/>
                <w:lang w:eastAsia="es-MX"/>
              </w:rPr>
              <w:t xml:space="preserve">se </w:t>
            </w:r>
            <w:r w:rsidRPr="004B72B2">
              <w:rPr>
                <w:rFonts w:ascii="Verdana" w:eastAsia="Times New Roman" w:hAnsi="Verdana" w:cs="Times New Roman"/>
                <w:color w:val="000000"/>
                <w:lang w:eastAsia="es-MX"/>
              </w:rPr>
              <w:lastRenderedPageBreak/>
              <w:t>aprobarán entre otros los planes estratégicos de desarrollo, la revisión y ajuste del ordenamiento territorial sectorial de las respectivas comunas o corregimientos según el caso, elaborado por el consejo consultivo de planeación de las comunas o el corregimiento previamente revisados y viabilizados por la Secretaría de Planeación Municipal; así mismo sesionarán conjuntamente con otras Juntas Administradoras Locales del municipio, para analizar y orientar soluciones a temas o problemáticas que involucren a varias comunas</w:t>
            </w:r>
            <w:r>
              <w:rPr>
                <w:rFonts w:ascii="Verdana" w:eastAsia="Times New Roman" w:hAnsi="Verdana" w:cs="Times New Roman"/>
                <w:color w:val="000000"/>
                <w:lang w:eastAsia="es-MX"/>
              </w:rPr>
              <w:t xml:space="preserve">”. Por tanto, respecto al fundamento de la solicitud, no se observa la facultad de “[…] </w:t>
            </w:r>
            <w:r w:rsidRPr="004B72B2">
              <w:rPr>
                <w:rFonts w:ascii="Verdana" w:eastAsia="Times New Roman" w:hAnsi="Verdana" w:cs="Times New Roman"/>
                <w:color w:val="000000"/>
                <w:lang w:eastAsia="es-MX"/>
              </w:rPr>
              <w:t>adoptar formalmente decisiones </w:t>
            </w:r>
            <w:r w:rsidRPr="004B72B2">
              <w:rPr>
                <w:rFonts w:ascii="Verdana" w:eastAsia="Times New Roman" w:hAnsi="Verdana" w:cs="Times New Roman"/>
                <w:i/>
                <w:iCs/>
                <w:color w:val="000000"/>
                <w:lang w:eastAsia="es-MX"/>
              </w:rPr>
              <w:t>(por ejemplo, la aceptación de una donación o la asunción de deberes de custodia, inventario, destinación y reversión)</w:t>
            </w:r>
            <w:r w:rsidR="00A22926">
              <w:rPr>
                <w:rFonts w:ascii="Verdana" w:eastAsia="Times New Roman" w:hAnsi="Verdana" w:cs="Times New Roman"/>
                <w:color w:val="000000"/>
                <w:lang w:eastAsia="es-MX"/>
              </w:rPr>
              <w:t xml:space="preserve"> </w:t>
            </w:r>
            <w:r w:rsidRPr="004B72B2">
              <w:rPr>
                <w:rFonts w:ascii="Verdana" w:eastAsia="Times New Roman" w:hAnsi="Verdana" w:cs="Times New Roman"/>
                <w:color w:val="000000"/>
                <w:lang w:eastAsia="es-MX"/>
              </w:rPr>
              <w:t>mediante acto propio</w:t>
            </w:r>
            <w:r>
              <w:rPr>
                <w:rFonts w:ascii="Verdana" w:eastAsia="Times New Roman" w:hAnsi="Verdana" w:cs="Times New Roman"/>
                <w:color w:val="000000"/>
                <w:lang w:eastAsia="es-MX"/>
              </w:rPr>
              <w:t xml:space="preserve"> […]” en la disposición precitada.</w:t>
            </w:r>
          </w:p>
          <w:p w14:paraId="2EE5DE62" w14:textId="77777777" w:rsidR="00EE10B4" w:rsidRPr="009B1432" w:rsidRDefault="00EE10B4" w:rsidP="00456BB0">
            <w:pPr>
              <w:spacing w:after="120" w:line="276" w:lineRule="auto"/>
              <w:ind w:right="51"/>
              <w:jc w:val="both"/>
              <w:rPr>
                <w:rFonts w:ascii="Verdana" w:eastAsia="Calibri" w:hAnsi="Verdana" w:cs="Arial"/>
                <w:color w:val="000000" w:themeColor="text1"/>
              </w:rPr>
            </w:pPr>
            <w:r>
              <w:rPr>
                <w:rFonts w:ascii="Verdana" w:eastAsia="Times New Roman" w:hAnsi="Verdana" w:cs="Times New Roman"/>
                <w:color w:val="000000"/>
                <w:lang w:eastAsia="es-MX"/>
              </w:rPr>
              <w:tab/>
              <w:t xml:space="preserve">Siempre que se cumplan los criterios establecidos en los literales a) y b) del artículo 2.1 de la Ley 80 de 1993, la entidad tendrá competencia para la celebración de contratos. </w:t>
            </w:r>
            <w:r>
              <w:rPr>
                <w:rFonts w:ascii="Verdana" w:hAnsi="Verdana" w:cs="Arial"/>
                <w:bCs/>
                <w:lang w:val="es-MX"/>
              </w:rPr>
              <w:t xml:space="preserve">La atribución </w:t>
            </w:r>
            <w:r w:rsidRPr="000E5C6D">
              <w:rPr>
                <w:rFonts w:ascii="Verdana" w:hAnsi="Verdana" w:cs="Arial"/>
                <w:bCs/>
                <w:lang w:val="es-MX"/>
              </w:rPr>
              <w:t xml:space="preserve">para dirigir </w:t>
            </w:r>
            <w:r>
              <w:rPr>
                <w:rFonts w:ascii="Verdana" w:hAnsi="Verdana" w:cs="Arial"/>
                <w:bCs/>
                <w:lang w:val="es-MX"/>
              </w:rPr>
              <w:t xml:space="preserve">procesos de selección corresponde a los funcionarios previstos en el artículo 11 del EGCAP, sin perjuicio de la delegación prevista en el artículo 12 </w:t>
            </w:r>
            <w:r w:rsidRPr="000E5C6D">
              <w:rPr>
                <w:rFonts w:ascii="Verdana" w:hAnsi="Verdana" w:cs="Arial"/>
                <w:bCs/>
                <w:i/>
                <w:iCs/>
                <w:lang w:val="es-MX"/>
              </w:rPr>
              <w:t>ibidem</w:t>
            </w:r>
            <w:r>
              <w:rPr>
                <w:rFonts w:ascii="Verdana" w:hAnsi="Verdana" w:cs="Arial"/>
                <w:bCs/>
                <w:lang w:val="es-MX"/>
              </w:rPr>
              <w:t>.</w:t>
            </w:r>
            <w:r>
              <w:rPr>
                <w:rFonts w:ascii="Verdana" w:eastAsia="Times New Roman" w:hAnsi="Verdana" w:cs="Times New Roman"/>
                <w:color w:val="000000"/>
                <w:lang w:eastAsia="es-MX"/>
              </w:rPr>
              <w:t xml:space="preserve"> Por ello, al margen de la regulación que establezca el concejo sobre los fondos de desarrollo local, dichas entidades podrán celebrar contratos de donación con otras autoridades del Estado, los cuales se someten tanto a la publicidad en el SECOP como al régimen de inhabilidades e incompatibilidades. Ello conforme a la explicación de los siguientes apartados.</w:t>
            </w:r>
          </w:p>
          <w:p w14:paraId="43913210" w14:textId="3F7A606E" w:rsidR="00EE10B4" w:rsidRPr="001941FD" w:rsidRDefault="00EE10B4" w:rsidP="00456BB0">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Pr>
                <w:rFonts w:ascii="Verdana" w:eastAsia="Calibri" w:hAnsi="Verdana" w:cs="Arial"/>
                <w:bCs/>
                <w:color w:val="000000" w:themeColor="text1"/>
              </w:rPr>
              <w:t>Así, dentro de los límites del ordenamiento, las partes pueden definir el contenido del negocio, pues –conforme al inciso 3 del artículo 40 del EGCAP– “</w:t>
            </w:r>
            <w:r w:rsidRPr="004468C9">
              <w:rPr>
                <w:rFonts w:ascii="Verdana" w:eastAsia="Calibri" w:hAnsi="Verdana" w:cs="Arial"/>
                <w:bCs/>
                <w:color w:val="000000" w:themeColor="text1"/>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Pr>
                <w:rFonts w:ascii="Verdana" w:eastAsia="Calibri" w:hAnsi="Verdana" w:cs="Arial"/>
                <w:bCs/>
                <w:color w:val="000000" w:themeColor="text1"/>
              </w:rPr>
              <w:t xml:space="preserve">”. </w:t>
            </w:r>
            <w:r w:rsidRPr="001941FD">
              <w:rPr>
                <w:rStyle w:val="s15"/>
                <w:rFonts w:ascii="Verdana" w:hAnsi="Verdana"/>
                <w:color w:val="000000"/>
              </w:rPr>
              <w:t>Por lo anterior, previo</w:t>
            </w:r>
            <w:r w:rsidR="00672A59">
              <w:rPr>
                <w:rStyle w:val="apple-converted-space"/>
              </w:rPr>
              <w:t xml:space="preserve"> </w:t>
            </w:r>
            <w:r w:rsidRPr="001941FD">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Así, cada entidad definirá la forma de </w:t>
            </w:r>
            <w:r w:rsidRPr="001941FD">
              <w:rPr>
                <w:rStyle w:val="s15"/>
                <w:rFonts w:ascii="Verdana" w:hAnsi="Verdana"/>
                <w:color w:val="000000"/>
              </w:rPr>
              <w:lastRenderedPageBreak/>
              <w:t>adelantar su gestión contractual, sin que sea atribución de Colombia Compra Eficiente validar sus actuaciones.</w:t>
            </w:r>
          </w:p>
        </w:tc>
      </w:tr>
    </w:tbl>
    <w:p w14:paraId="40C8B3C5" w14:textId="77777777" w:rsidR="00EE10B4" w:rsidRPr="00593A5F" w:rsidRDefault="00EE10B4" w:rsidP="00EE10B4">
      <w:pPr>
        <w:tabs>
          <w:tab w:val="left" w:pos="142"/>
          <w:tab w:val="left" w:pos="284"/>
        </w:tabs>
        <w:spacing w:after="0" w:line="276" w:lineRule="auto"/>
        <w:jc w:val="both"/>
        <w:rPr>
          <w:rFonts w:ascii="Verdana" w:eastAsia="Century Gothic" w:hAnsi="Verdana" w:cs="Century Gothic"/>
          <w:b/>
          <w:bCs/>
          <w:lang w:val="es-ES"/>
        </w:rPr>
      </w:pPr>
    </w:p>
    <w:bookmarkEnd w:id="1"/>
    <w:p w14:paraId="6EA567E7" w14:textId="77777777" w:rsidR="00EE10B4" w:rsidRPr="00593A5F" w:rsidRDefault="00EE10B4" w:rsidP="00EE10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A8FF2DE" w14:textId="77777777" w:rsidR="00EE10B4" w:rsidRPr="00593A5F" w:rsidRDefault="00EE10B4" w:rsidP="00EE10B4">
      <w:pPr>
        <w:spacing w:after="0" w:line="276" w:lineRule="auto"/>
        <w:jc w:val="both"/>
        <w:rPr>
          <w:rFonts w:ascii="Verdana" w:eastAsia="Calibri" w:hAnsi="Verdana" w:cs="Arial"/>
          <w:color w:val="7030A0"/>
          <w:lang w:val="es-ES"/>
        </w:rPr>
      </w:pPr>
    </w:p>
    <w:p w14:paraId="5F650257" w14:textId="77777777" w:rsidR="00EE10B4" w:rsidRDefault="00EE10B4" w:rsidP="00EE10B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117BFB0" w14:textId="77777777" w:rsidR="00EE10B4" w:rsidRDefault="00EE10B4" w:rsidP="00EE10B4">
      <w:pPr>
        <w:spacing w:after="0" w:line="276" w:lineRule="auto"/>
        <w:jc w:val="both"/>
        <w:rPr>
          <w:rFonts w:ascii="Verdana" w:eastAsia="Calibri" w:hAnsi="Verdana" w:cs="Arial"/>
          <w:lang w:val="es-ES"/>
        </w:rPr>
      </w:pPr>
    </w:p>
    <w:p w14:paraId="472194FC" w14:textId="77777777" w:rsidR="00EE10B4" w:rsidRPr="0035328D" w:rsidRDefault="00EE10B4" w:rsidP="00EE10B4">
      <w:pPr>
        <w:spacing w:after="120" w:line="276" w:lineRule="auto"/>
        <w:jc w:val="both"/>
        <w:rPr>
          <w:rFonts w:ascii="Verdana" w:hAnsi="Verdana" w:cs="Arial"/>
          <w:lang w:val="es-ES"/>
        </w:rPr>
      </w:pPr>
      <w:r>
        <w:rPr>
          <w:rFonts w:ascii="Verdana" w:eastAsia="Calibri" w:hAnsi="Verdana" w:cs="Arial"/>
          <w:lang w:val="es-ES"/>
        </w:rPr>
        <w:t xml:space="preserve">i. </w:t>
      </w:r>
      <w:r w:rsidRPr="0035328D">
        <w:rPr>
          <w:rFonts w:ascii="Verdana" w:hAnsi="Verdana" w:cs="Arial"/>
          <w:lang w:val="es-ES"/>
        </w:rPr>
        <w:t xml:space="preserve">De acuerdo con el inciso final del artículo 150 superior, corresponde al Congreso de la República expedir el </w:t>
      </w:r>
      <w:r>
        <w:rPr>
          <w:rFonts w:ascii="Verdana" w:hAnsi="Verdana" w:cs="Arial"/>
          <w:lang w:val="es-ES"/>
        </w:rPr>
        <w:t>E</w:t>
      </w:r>
      <w:r w:rsidRPr="0035328D">
        <w:rPr>
          <w:rFonts w:ascii="Verdana" w:hAnsi="Verdana" w:cs="Arial"/>
          <w:lang w:val="es-ES"/>
        </w:rPr>
        <w:t xml:space="preserve">statuto </w:t>
      </w:r>
      <w:r>
        <w:rPr>
          <w:rFonts w:ascii="Verdana" w:hAnsi="Verdana" w:cs="Arial"/>
          <w:lang w:val="es-ES"/>
        </w:rPr>
        <w:t>G</w:t>
      </w:r>
      <w:r w:rsidRPr="0035328D">
        <w:rPr>
          <w:rFonts w:ascii="Verdana" w:hAnsi="Verdana" w:cs="Arial"/>
          <w:lang w:val="es-ES"/>
        </w:rPr>
        <w:t xml:space="preserve">eneral de </w:t>
      </w:r>
      <w:r>
        <w:rPr>
          <w:rFonts w:ascii="Verdana" w:hAnsi="Verdana" w:cs="Arial"/>
          <w:lang w:val="es-ES"/>
        </w:rPr>
        <w:t>C</w:t>
      </w:r>
      <w:r w:rsidRPr="0035328D">
        <w:rPr>
          <w:rFonts w:ascii="Verdana" w:hAnsi="Verdana" w:cs="Arial"/>
          <w:lang w:val="es-ES"/>
        </w:rPr>
        <w:t xml:space="preserve">ontratación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P</w:t>
      </w:r>
      <w:r w:rsidRPr="0035328D">
        <w:rPr>
          <w:rFonts w:ascii="Verdana" w:hAnsi="Verdana" w:cs="Arial"/>
          <w:lang w:val="es-ES"/>
        </w:rPr>
        <w:t xml:space="preserve">ública y, en especial,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N</w:t>
      </w:r>
      <w:r w:rsidRPr="0035328D">
        <w:rPr>
          <w:rFonts w:ascii="Verdana" w:hAnsi="Verdana" w:cs="Arial"/>
          <w:lang w:val="es-ES"/>
        </w:rPr>
        <w:t xml:space="preserve">acional. Esta competencia fue ejercida con la expedición de la Ley 80 de 1993, la cual rige para las </w:t>
      </w:r>
      <w:r w:rsidRPr="00F34258">
        <w:rPr>
          <w:rFonts w:ascii="Verdana" w:hAnsi="Verdana" w:cs="Arial"/>
          <w:i/>
          <w:iCs/>
          <w:lang w:val="es-ES"/>
        </w:rPr>
        <w:t>entidades estatales</w:t>
      </w:r>
      <w:r w:rsidRPr="0035328D">
        <w:rPr>
          <w:rFonts w:ascii="Verdana" w:hAnsi="Verdana" w:cs="Arial"/>
          <w:lang w:val="es-ES"/>
        </w:rPr>
        <w:t xml:space="preserve">, esto es, aquellas previstas en los literales a) y b) del numeral 1 del artículo 2 </w:t>
      </w:r>
      <w:r w:rsidRPr="0035328D">
        <w:rPr>
          <w:rFonts w:ascii="Verdana" w:hAnsi="Verdana" w:cs="Arial"/>
          <w:i/>
          <w:iCs/>
          <w:lang w:val="es-ES"/>
        </w:rPr>
        <w:t>ibidem</w:t>
      </w:r>
      <w:r w:rsidRPr="0035328D">
        <w:rPr>
          <w:rFonts w:ascii="Verdana" w:hAnsi="Verdana" w:cs="Arial"/>
          <w:lang w:val="es-ES"/>
        </w:rPr>
        <w:t xml:space="preserve">. La norma citada define la competencia contractual en los siguientes términos: </w:t>
      </w:r>
    </w:p>
    <w:p w14:paraId="6E5D5D6A" w14:textId="77777777" w:rsidR="00EE10B4" w:rsidRPr="0035328D" w:rsidRDefault="00EE10B4" w:rsidP="00EE10B4">
      <w:pPr>
        <w:spacing w:after="120" w:line="276" w:lineRule="auto"/>
        <w:ind w:firstLine="708"/>
        <w:jc w:val="both"/>
        <w:rPr>
          <w:rFonts w:ascii="Verdana" w:hAnsi="Verdana" w:cs="Arial"/>
          <w:lang w:val="es-ES"/>
        </w:rPr>
      </w:pPr>
      <w:r w:rsidRPr="0035328D">
        <w:rPr>
          <w:rFonts w:ascii="Verdana" w:hAnsi="Verdana" w:cs="Arial"/>
          <w:lang w:val="es-ES"/>
        </w:rPr>
        <w:t>El literal a) aplica a las entidades con personería jurídica</w:t>
      </w:r>
      <w:r>
        <w:rPr>
          <w:rFonts w:ascii="Verdana" w:hAnsi="Verdana" w:cs="Arial"/>
          <w:lang w:val="es-ES"/>
        </w:rPr>
        <w:t>.</w:t>
      </w:r>
      <w:r w:rsidRPr="0035328D">
        <w:rPr>
          <w:rFonts w:ascii="Verdana" w:hAnsi="Verdana" w:cs="Arial"/>
          <w:lang w:val="es-ES"/>
        </w:rPr>
        <w:t xml:space="preserve"> </w:t>
      </w:r>
      <w:r>
        <w:rPr>
          <w:rFonts w:ascii="Verdana" w:hAnsi="Verdana" w:cs="Arial"/>
          <w:lang w:val="es-ES"/>
        </w:rPr>
        <w:t>A</w:t>
      </w:r>
      <w:r w:rsidRPr="0035328D">
        <w:rPr>
          <w:rFonts w:ascii="Verdana" w:hAnsi="Verdana" w:cs="Arial"/>
          <w:lang w:val="es-ES"/>
        </w:rPr>
        <w:t xml:space="preserve">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0ED58B7F" w14:textId="77777777" w:rsidR="00EE10B4" w:rsidRDefault="00EE10B4" w:rsidP="00EE10B4">
      <w:pPr>
        <w:spacing w:after="120" w:line="276" w:lineRule="auto"/>
        <w:ind w:firstLine="708"/>
        <w:jc w:val="both"/>
        <w:rPr>
          <w:rFonts w:ascii="Verdana" w:hAnsi="Verdana" w:cs="Arial"/>
          <w:lang w:val="es-ES"/>
        </w:rPr>
      </w:pPr>
      <w:r w:rsidRPr="0035328D">
        <w:rPr>
          <w:rFonts w:ascii="Verdana" w:hAnsi="Verdana" w:cs="Arial"/>
          <w:lang w:val="es-ES"/>
        </w:rPr>
        <w:t xml:space="preserve">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w:t>
      </w:r>
      <w:r w:rsidRPr="0035328D">
        <w:rPr>
          <w:rFonts w:ascii="Verdana" w:hAnsi="Verdana" w:cs="Arial"/>
          <w:lang w:val="es-ES"/>
        </w:rPr>
        <w:lastRenderedPageBreak/>
        <w:t>debe armonizarse con el artículo 110 del Decreto 111 de 1996, modificado por el artículo 124 de la Ley 1957 de 2019</w:t>
      </w:r>
      <w:r w:rsidRPr="0035328D">
        <w:rPr>
          <w:rStyle w:val="Refdenotaalpie"/>
          <w:rFonts w:ascii="Verdana" w:hAnsi="Verdana" w:cs="Arial"/>
          <w:lang w:val="es-ES"/>
        </w:rPr>
        <w:footnoteReference w:id="2"/>
      </w:r>
      <w:r w:rsidRPr="0035328D">
        <w:rPr>
          <w:rFonts w:ascii="Verdana" w:hAnsi="Verdana" w:cs="Arial"/>
          <w:lang w:val="es-ES"/>
        </w:rPr>
        <w:t xml:space="preserve">. </w:t>
      </w:r>
    </w:p>
    <w:p w14:paraId="31552E7A" w14:textId="77777777" w:rsidR="00EE10B4" w:rsidRDefault="00EE10B4" w:rsidP="00EE10B4">
      <w:pPr>
        <w:spacing w:after="0" w:line="276" w:lineRule="auto"/>
        <w:ind w:firstLine="708"/>
        <w:jc w:val="both"/>
        <w:rPr>
          <w:rFonts w:ascii="Verdana" w:hAnsi="Verdana" w:cs="Arial"/>
          <w:bCs/>
          <w:lang w:val="es-MX"/>
        </w:rPr>
      </w:pPr>
      <w:r w:rsidRPr="00F34258">
        <w:rPr>
          <w:rFonts w:ascii="Verdana" w:hAnsi="Verdana" w:cs="Arial"/>
          <w:lang w:val="es-ES"/>
        </w:rPr>
        <w:t xml:space="preserve">Para las entidades de los párrafos anteriores, </w:t>
      </w:r>
      <w:r>
        <w:rPr>
          <w:rFonts w:ascii="Verdana" w:hAnsi="Verdana" w:cs="Arial"/>
          <w:lang w:val="es-ES"/>
        </w:rPr>
        <w:t xml:space="preserve">sin perjuicio de las excepciones puntales a la aplicación del EGCAP, </w:t>
      </w:r>
      <w:r w:rsidRPr="00F34258">
        <w:rPr>
          <w:rFonts w:ascii="Verdana" w:hAnsi="Verdana" w:cs="Arial"/>
          <w:lang w:val="es-ES"/>
        </w:rPr>
        <w:t xml:space="preserve">los procesos de selección se rigen por el artículo 2 de la Ley 1150 de 2007. El </w:t>
      </w:r>
      <w:r w:rsidRPr="00F34258">
        <w:rPr>
          <w:rFonts w:ascii="Verdana" w:hAnsi="Verdana" w:cs="Arial"/>
          <w:bCs/>
          <w:lang w:val="es-MX"/>
        </w:rPr>
        <w:t xml:space="preserve">numeral uno, inciso primero, dispone que “La escogencia del contratista se efectuará por </w:t>
      </w:r>
      <w:r w:rsidRPr="00F34258">
        <w:rPr>
          <w:rFonts w:ascii="Verdana" w:hAnsi="Verdana" w:cs="Arial"/>
          <w:bCs/>
          <w:i/>
          <w:iCs/>
          <w:lang w:val="es-MX"/>
        </w:rPr>
        <w:t>regla general</w:t>
      </w:r>
      <w:r w:rsidRPr="00F34258">
        <w:rPr>
          <w:rFonts w:ascii="Verdana" w:hAnsi="Verdana" w:cs="Arial"/>
          <w:bCs/>
          <w:lang w:val="es-MX"/>
        </w:rPr>
        <w:t xml:space="preserve"> a través de licitación pública, con las </w:t>
      </w:r>
      <w:r w:rsidRPr="00F34258">
        <w:rPr>
          <w:rFonts w:ascii="Verdana" w:hAnsi="Verdana" w:cs="Arial"/>
          <w:bCs/>
          <w:i/>
          <w:iCs/>
          <w:lang w:val="es-MX"/>
        </w:rPr>
        <w:t>excepciones</w:t>
      </w:r>
      <w:r w:rsidRPr="00F34258">
        <w:rPr>
          <w:rFonts w:ascii="Verdana" w:hAnsi="Verdana" w:cs="Arial"/>
          <w:bCs/>
          <w:lang w:val="es-MX"/>
        </w:rPr>
        <w:t xml:space="preserve"> que se señalan en los numerales 2, 3 y 4 del presente artículo”</w:t>
      </w:r>
      <w:r>
        <w:rPr>
          <w:rFonts w:ascii="Verdana" w:hAnsi="Verdana" w:cs="Arial"/>
          <w:bCs/>
          <w:lang w:val="es-MX"/>
        </w:rPr>
        <w:t xml:space="preserve"> (Énfasis fuera de texto)</w:t>
      </w:r>
      <w:r w:rsidRPr="00F34258">
        <w:rPr>
          <w:rFonts w:ascii="Verdana" w:hAnsi="Verdana" w:cs="Arial"/>
          <w:bCs/>
          <w:lang w:val="es-MX"/>
        </w:rPr>
        <w:t>, norma que sustituye el derogado numeral 1 del artículo 24 de la Ley 80 de 1993 sobre el principio de transparencia</w:t>
      </w:r>
      <w:r w:rsidRPr="00F34258">
        <w:rPr>
          <w:rFonts w:ascii="Verdana" w:hAnsi="Verdana" w:cs="Arial"/>
          <w:bCs/>
          <w:vertAlign w:val="superscript"/>
          <w:lang w:val="es-MX"/>
        </w:rPr>
        <w:footnoteReference w:id="3"/>
      </w:r>
      <w:r w:rsidRPr="00F34258">
        <w:rPr>
          <w:rFonts w:ascii="Verdana" w:hAnsi="Verdana" w:cs="Arial"/>
          <w:bCs/>
          <w:lang w:val="es-MX"/>
        </w:rPr>
        <w:t xml:space="preserve">. </w:t>
      </w:r>
      <w:r>
        <w:rPr>
          <w:rFonts w:ascii="Verdana" w:hAnsi="Verdana" w:cs="Arial"/>
          <w:bCs/>
          <w:lang w:val="es-MX"/>
        </w:rPr>
        <w:t>Por ello</w:t>
      </w:r>
      <w:r w:rsidRPr="00F34258">
        <w:rPr>
          <w:rFonts w:ascii="Verdana" w:hAnsi="Verdana" w:cs="Arial"/>
          <w:bCs/>
          <w:lang w:val="es-MX"/>
        </w:rPr>
        <w:t xml:space="preserve">, salvo norma especial que ordene la celebración del negocio jurídico por </w:t>
      </w:r>
      <w:r>
        <w:rPr>
          <w:rFonts w:ascii="Verdana" w:hAnsi="Verdana" w:cs="Arial"/>
          <w:bCs/>
          <w:lang w:val="es-MX"/>
        </w:rPr>
        <w:t>selección abreviada, concurso de méritos, mínima cuantía o contratación directa</w:t>
      </w:r>
      <w:r w:rsidRPr="00F34258">
        <w:rPr>
          <w:rFonts w:ascii="Verdana" w:hAnsi="Verdana" w:cs="Arial"/>
          <w:bCs/>
          <w:lang w:val="es-MX"/>
        </w:rPr>
        <w:t>, debe aplicarse la regla general de licitación pública</w:t>
      </w:r>
      <w:r w:rsidRPr="00F34258">
        <w:rPr>
          <w:rFonts w:ascii="Verdana" w:hAnsi="Verdana" w:cs="Arial"/>
          <w:bCs/>
          <w:vertAlign w:val="superscript"/>
          <w:lang w:val="es-MX"/>
        </w:rPr>
        <w:footnoteReference w:id="4"/>
      </w:r>
      <w:r w:rsidRPr="00F34258">
        <w:rPr>
          <w:rFonts w:ascii="Verdana" w:hAnsi="Verdana" w:cs="Arial"/>
          <w:bCs/>
          <w:lang w:val="es-MX"/>
        </w:rPr>
        <w:t>.</w:t>
      </w:r>
      <w:r>
        <w:rPr>
          <w:rFonts w:ascii="Verdana" w:hAnsi="Verdana" w:cs="Arial"/>
          <w:bCs/>
          <w:lang w:val="es-MX"/>
        </w:rPr>
        <w:t xml:space="preserve"> </w:t>
      </w:r>
    </w:p>
    <w:p w14:paraId="2BE4BFA9" w14:textId="77777777" w:rsidR="00EE10B4" w:rsidRDefault="00EE10B4" w:rsidP="00EE10B4">
      <w:pPr>
        <w:spacing w:after="0" w:line="276" w:lineRule="auto"/>
        <w:jc w:val="both"/>
        <w:rPr>
          <w:rFonts w:ascii="Verdana" w:hAnsi="Verdana" w:cs="Arial"/>
          <w:bCs/>
          <w:lang w:val="es-MX"/>
        </w:rPr>
      </w:pPr>
    </w:p>
    <w:p w14:paraId="019978DC" w14:textId="77777777" w:rsidR="00EE10B4" w:rsidRDefault="00EE10B4" w:rsidP="00EE10B4">
      <w:pPr>
        <w:spacing w:after="120" w:line="276" w:lineRule="auto"/>
        <w:jc w:val="both"/>
        <w:rPr>
          <w:rFonts w:ascii="Verdana" w:hAnsi="Verdana" w:cs="Arial"/>
          <w:bCs/>
          <w:lang w:val="es-MX"/>
        </w:rPr>
      </w:pPr>
      <w:r w:rsidRPr="0096223E">
        <w:rPr>
          <w:rFonts w:ascii="Verdana" w:hAnsi="Verdana" w:cs="Arial"/>
          <w:bCs/>
          <w:lang w:val="es-MX"/>
        </w:rPr>
        <w:lastRenderedPageBreak/>
        <w:t xml:space="preserve">ii. </w:t>
      </w:r>
      <w:r>
        <w:rPr>
          <w:rFonts w:ascii="Verdana" w:hAnsi="Verdana" w:cs="Arial"/>
          <w:bCs/>
          <w:lang w:val="es-MX"/>
        </w:rPr>
        <w:t>La Constitución Política de 1991 se refiere a la juntas administradoras locales en el artículo 318. Dicha norma dispone que “</w:t>
      </w:r>
      <w:r w:rsidRPr="00573B55">
        <w:rPr>
          <w:rFonts w:ascii="Verdana" w:hAnsi="Verdana" w:cs="Arial"/>
          <w:bCs/>
          <w:lang w:val="es-MX"/>
        </w:rPr>
        <w:t>Con el fin de mejorar la prestación de los servicios y asegurar la participación de la ciudadanía en el manejo de los asuntos públicos de carácter local, los concejos podrán dividir sus municipios en comunas cuando se trate de áreas urbanas, y en corregimientos en el caso de las zonas rurales</w:t>
      </w:r>
      <w:r>
        <w:rPr>
          <w:rFonts w:ascii="Verdana" w:hAnsi="Verdana" w:cs="Arial"/>
          <w:bCs/>
          <w:lang w:val="es-MX"/>
        </w:rPr>
        <w:t>”</w:t>
      </w:r>
      <w:r w:rsidRPr="00573B55">
        <w:rPr>
          <w:rFonts w:ascii="Verdana" w:hAnsi="Verdana" w:cs="Arial"/>
          <w:bCs/>
          <w:lang w:val="es-MX"/>
        </w:rPr>
        <w:t>.</w:t>
      </w:r>
      <w:r>
        <w:rPr>
          <w:rFonts w:ascii="Verdana" w:hAnsi="Verdana" w:cs="Arial"/>
          <w:bCs/>
          <w:lang w:val="es-MX"/>
        </w:rPr>
        <w:t xml:space="preserve"> Además, agrega lo siguiente: “</w:t>
      </w:r>
      <w:r w:rsidRPr="00573B55">
        <w:rPr>
          <w:rFonts w:ascii="Verdana" w:hAnsi="Verdana" w:cs="Arial"/>
          <w:bCs/>
          <w:lang w:val="es-MX"/>
        </w:rPr>
        <w:t>En cada una de las comunas o corregimientos habrá una junta administradora local de elección popular, integrada por el número de miembros que determine la ley</w:t>
      </w:r>
      <w:r>
        <w:rPr>
          <w:rFonts w:ascii="Verdana" w:hAnsi="Verdana" w:cs="Arial"/>
          <w:bCs/>
          <w:lang w:val="es-MX"/>
        </w:rPr>
        <w:t xml:space="preserve"> […]”. Sus funciones se encuentran tanto en el citado artículo 318 superior como como en el artículo 131 de la Ley 136 de 1994.</w:t>
      </w:r>
    </w:p>
    <w:p w14:paraId="77BE47D1" w14:textId="77777777" w:rsidR="00EE10B4" w:rsidRDefault="00EE10B4" w:rsidP="00EE10B4">
      <w:pPr>
        <w:spacing w:after="120" w:line="276" w:lineRule="auto"/>
        <w:jc w:val="both"/>
        <w:rPr>
          <w:rFonts w:ascii="Verdana" w:hAnsi="Verdana" w:cs="Arial"/>
          <w:bCs/>
          <w:lang w:val="es-MX"/>
        </w:rPr>
      </w:pPr>
      <w:r>
        <w:rPr>
          <w:rFonts w:ascii="Verdana" w:hAnsi="Verdana" w:cs="Arial"/>
          <w:bCs/>
          <w:lang w:val="es-MX"/>
        </w:rPr>
        <w:tab/>
        <w:t xml:space="preserve">Como están concebidos, las juntas administradoras locales se relacionan estrechamente con el fenómeno de las </w:t>
      </w:r>
      <w:r w:rsidRPr="00052869">
        <w:rPr>
          <w:rFonts w:ascii="Verdana" w:hAnsi="Verdana" w:cs="Arial"/>
          <w:bCs/>
          <w:i/>
          <w:iCs/>
          <w:lang w:val="es-MX"/>
        </w:rPr>
        <w:t>desconcentración administrativa</w:t>
      </w:r>
      <w:r>
        <w:rPr>
          <w:rFonts w:ascii="Verdana" w:hAnsi="Verdana" w:cs="Arial"/>
          <w:bCs/>
          <w:lang w:val="es-MX"/>
        </w:rPr>
        <w:t xml:space="preserve">. El artículo 8 de la Ley 489 de 1998 la define como “[…] </w:t>
      </w:r>
      <w:r w:rsidRPr="00052869">
        <w:rPr>
          <w:rFonts w:ascii="Verdana" w:hAnsi="Verdana" w:cs="Arial"/>
          <w:bCs/>
          <w:lang w:val="es-MX"/>
        </w:rPr>
        <w:t>la radicación de competencias y funciones en dependencias ubicadas fuera de la sede principal del organismo o entidad administrativa, sin perjuicio de las potestades y deberes de orientación e instrucción que corresponde ejercer a los jefes superiores de la Administración, la cual no implica delegación y podrá hacerse por territorio y por funciones</w:t>
      </w:r>
      <w:r>
        <w:rPr>
          <w:rFonts w:ascii="Verdana" w:hAnsi="Verdana" w:cs="Arial"/>
          <w:bCs/>
          <w:lang w:val="es-MX"/>
        </w:rPr>
        <w:t>”</w:t>
      </w:r>
      <w:r w:rsidRPr="00052869">
        <w:rPr>
          <w:rFonts w:ascii="Verdana" w:hAnsi="Verdana" w:cs="Arial"/>
          <w:bCs/>
          <w:lang w:val="es-MX"/>
        </w:rPr>
        <w:t>.</w:t>
      </w:r>
      <w:r>
        <w:rPr>
          <w:rFonts w:ascii="Verdana" w:hAnsi="Verdana" w:cs="Arial"/>
          <w:bCs/>
          <w:lang w:val="es-MX"/>
        </w:rPr>
        <w:t xml:space="preserve"> De esta manera, las juntas administradoras locales son una instancia de representación de los comunas y corregimentos ubicadas en cada uno de los municipios del territorio nacional.</w:t>
      </w:r>
    </w:p>
    <w:p w14:paraId="59D60A19" w14:textId="77777777" w:rsidR="00EE10B4" w:rsidRDefault="00EE10B4" w:rsidP="00EE10B4">
      <w:pPr>
        <w:spacing w:after="120" w:line="276" w:lineRule="auto"/>
        <w:jc w:val="both"/>
        <w:rPr>
          <w:rFonts w:ascii="Verdana" w:hAnsi="Verdana" w:cs="Arial"/>
          <w:bCs/>
          <w:lang w:val="es-MX"/>
        </w:rPr>
      </w:pPr>
      <w:r>
        <w:rPr>
          <w:rFonts w:ascii="Verdana" w:hAnsi="Verdana" w:cs="Arial"/>
          <w:bCs/>
          <w:lang w:val="es-MX"/>
        </w:rPr>
        <w:tab/>
        <w:t xml:space="preserve">Para efectos de la Ley 80 de 1993, las juntas administradoras locales serán consideradas </w:t>
      </w:r>
      <w:r w:rsidRPr="000373B4">
        <w:rPr>
          <w:rFonts w:ascii="Verdana" w:hAnsi="Verdana" w:cs="Arial"/>
          <w:bCs/>
          <w:i/>
          <w:iCs/>
          <w:lang w:val="es-MX"/>
        </w:rPr>
        <w:t>entidades estatales</w:t>
      </w:r>
      <w:r>
        <w:rPr>
          <w:rFonts w:ascii="Verdana" w:hAnsi="Verdana" w:cs="Arial"/>
          <w:bCs/>
          <w:lang w:val="es-MX"/>
        </w:rPr>
        <w:t xml:space="preserve"> si se trata de órganos con personería jurídica –art. 2.1, lit. a)– o, si careciendo de este atributo, tienen autorización expresa para la celebración de contratos –art. 2.1, lit. b)–. Si bien el peticionario se apoya en los artículos 136 y 137 de la Ley 136 de 1994, dichas normas no definen la calidad de </w:t>
      </w:r>
      <w:r w:rsidRPr="005D2400">
        <w:rPr>
          <w:rFonts w:ascii="Verdana" w:hAnsi="Verdana" w:cs="Arial"/>
          <w:bCs/>
          <w:i/>
          <w:iCs/>
          <w:lang w:val="es-MX"/>
        </w:rPr>
        <w:t>entidad estatal</w:t>
      </w:r>
      <w:r>
        <w:rPr>
          <w:rFonts w:ascii="Verdana" w:hAnsi="Verdana" w:cs="Arial"/>
          <w:bCs/>
          <w:lang w:val="es-MX"/>
        </w:rPr>
        <w:t xml:space="preserve"> de las juntas administradoras locales respecto a la aplicación del Estatuto General de Contratación de la Administración Pública, sino que establecen que dichos organismos son sujetos del control fiscal y judicial conforme al régimen establecido para los municipios.</w:t>
      </w:r>
    </w:p>
    <w:p w14:paraId="034E38FA" w14:textId="77777777" w:rsidR="00EE10B4" w:rsidRDefault="00EE10B4" w:rsidP="00EE10B4">
      <w:pPr>
        <w:spacing w:after="120" w:line="276" w:lineRule="auto"/>
        <w:jc w:val="both"/>
        <w:rPr>
          <w:rFonts w:ascii="Verdana" w:eastAsia="Times New Roman" w:hAnsi="Verdana" w:cs="Times New Roman"/>
          <w:color w:val="000000"/>
          <w:lang w:eastAsia="es-MX"/>
        </w:rPr>
      </w:pPr>
      <w:r>
        <w:rPr>
          <w:rFonts w:ascii="Verdana" w:hAnsi="Verdana" w:cs="Arial"/>
          <w:bCs/>
          <w:lang w:val="es-MX"/>
        </w:rPr>
        <w:tab/>
      </w:r>
      <w:r w:rsidRPr="00BA7F04">
        <w:rPr>
          <w:rFonts w:ascii="Verdana" w:hAnsi="Verdana" w:cs="Arial"/>
          <w:bCs/>
          <w:lang w:val="es-MX"/>
        </w:rPr>
        <w:t>Asímismo, se apoya en la Sentencia del Consejo de Estado</w:t>
      </w:r>
      <w:r>
        <w:rPr>
          <w:rFonts w:ascii="Verdana" w:hAnsi="Verdana" w:cs="Arial"/>
          <w:bCs/>
          <w:lang w:val="es-MX"/>
        </w:rPr>
        <w:t xml:space="preserve"> del 21 de mayo de 2020</w:t>
      </w:r>
      <w:r w:rsidRPr="00BA7F04">
        <w:rPr>
          <w:rFonts w:ascii="Verdana" w:hAnsi="Verdana" w:cs="Arial"/>
          <w:bCs/>
          <w:lang w:val="es-MX"/>
        </w:rPr>
        <w:t xml:space="preserve">, rad. </w:t>
      </w:r>
      <w:r w:rsidRPr="00BA7F04">
        <w:rPr>
          <w:rFonts w:ascii="Verdana" w:eastAsia="Times New Roman" w:hAnsi="Verdana" w:cs="Times New Roman"/>
          <w:color w:val="000000"/>
          <w:lang w:eastAsia="es-MX"/>
        </w:rPr>
        <w:t>05001-23-31-000-2009-01088-01, p</w:t>
      </w:r>
      <w:r>
        <w:rPr>
          <w:rFonts w:ascii="Verdana" w:eastAsia="Times New Roman" w:hAnsi="Verdana" w:cs="Times New Roman"/>
          <w:color w:val="000000"/>
          <w:lang w:eastAsia="es-MX"/>
        </w:rPr>
        <w:t xml:space="preserve">ara sostener que las juntas administradoras locales expiden resoluciones. Sin embargo, con la modificación del artículo 3 de la Ley 2086 de 2021, el artículo 120 de la Ley 136 de 1994 dispone que dichos mediante dichos actos administrativos “[…] </w:t>
      </w:r>
      <w:r w:rsidRPr="004B72B2">
        <w:rPr>
          <w:rFonts w:ascii="Verdana" w:eastAsia="Times New Roman" w:hAnsi="Verdana" w:cs="Times New Roman"/>
          <w:color w:val="000000"/>
          <w:lang w:eastAsia="es-MX"/>
        </w:rPr>
        <w:t xml:space="preserve">se aprobarán entre otros los planes estratégicos de desarrollo, la revisión y ajuste del ordenamiento territorial sectorial de las respectivas comunas o corregimientos </w:t>
      </w:r>
      <w:r w:rsidRPr="004B72B2">
        <w:rPr>
          <w:rFonts w:ascii="Verdana" w:eastAsia="Times New Roman" w:hAnsi="Verdana" w:cs="Times New Roman"/>
          <w:color w:val="000000"/>
          <w:lang w:eastAsia="es-MX"/>
        </w:rPr>
        <w:lastRenderedPageBreak/>
        <w:t>según el caso, elaborado por el consejo consultivo de planeación de las comunas o el corregimiento previamente revisados y viabilizados por la Secretaría de Planeación Municipal; así mismo sesionarán conjuntamente con otras Juntas Administradoras Locales del municipio, para analizar y orientar soluciones a temas o problemáticas que involucren a varias comunas</w:t>
      </w:r>
      <w:r>
        <w:rPr>
          <w:rFonts w:ascii="Verdana" w:eastAsia="Times New Roman" w:hAnsi="Verdana" w:cs="Times New Roman"/>
          <w:color w:val="000000"/>
          <w:lang w:eastAsia="es-MX"/>
        </w:rPr>
        <w:t xml:space="preserve">”. Por tanto, respecto al fundamento de la solicitud, no se observa la facultad de “[…] </w:t>
      </w:r>
      <w:r w:rsidRPr="004B72B2">
        <w:rPr>
          <w:rFonts w:ascii="Verdana" w:eastAsia="Times New Roman" w:hAnsi="Verdana" w:cs="Times New Roman"/>
          <w:color w:val="000000"/>
          <w:lang w:eastAsia="es-MX"/>
        </w:rPr>
        <w:t>adoptar formalmente decisiones </w:t>
      </w:r>
      <w:r w:rsidRPr="004B72B2">
        <w:rPr>
          <w:rFonts w:ascii="Verdana" w:eastAsia="Times New Roman" w:hAnsi="Verdana" w:cs="Times New Roman"/>
          <w:i/>
          <w:iCs/>
          <w:color w:val="000000"/>
          <w:lang w:eastAsia="es-MX"/>
        </w:rPr>
        <w:t>(por ejemplo, la aceptación de una donación o la asunción de deberes de custodia, inventario, destinación y reversión)</w:t>
      </w:r>
      <w:r w:rsidRPr="004B72B2">
        <w:rPr>
          <w:rFonts w:ascii="Verdana" w:eastAsia="Times New Roman" w:hAnsi="Verdana" w:cs="Times New Roman"/>
          <w:color w:val="000000"/>
          <w:lang w:eastAsia="es-MX"/>
        </w:rPr>
        <w:t> mediante acto propio</w:t>
      </w:r>
      <w:r>
        <w:rPr>
          <w:rFonts w:ascii="Verdana" w:eastAsia="Times New Roman" w:hAnsi="Verdana" w:cs="Times New Roman"/>
          <w:color w:val="000000"/>
          <w:lang w:eastAsia="es-MX"/>
        </w:rPr>
        <w:t xml:space="preserve"> […]” en la disposición precitada.</w:t>
      </w:r>
    </w:p>
    <w:p w14:paraId="6AEC84C4" w14:textId="77777777" w:rsidR="00EE10B4" w:rsidRPr="00BA7F04" w:rsidRDefault="00EE10B4" w:rsidP="00EE10B4">
      <w:pPr>
        <w:spacing w:after="0" w:line="276" w:lineRule="auto"/>
        <w:jc w:val="both"/>
        <w:rPr>
          <w:rFonts w:ascii="Verdana" w:hAnsi="Verdana" w:cs="Arial"/>
          <w:bCs/>
          <w:lang w:val="es-MX"/>
        </w:rPr>
      </w:pPr>
      <w:r>
        <w:rPr>
          <w:rFonts w:ascii="Verdana" w:eastAsia="Times New Roman" w:hAnsi="Verdana" w:cs="Times New Roman"/>
          <w:color w:val="000000"/>
          <w:lang w:eastAsia="es-MX"/>
        </w:rPr>
        <w:tab/>
        <w:t xml:space="preserve">Siempre que se cumplan los criterios establecidos en los literales a) y b) del artículo 2.1 de la Ley 80 de 1993, la entidad tendrá competencia para la celebración de contratos. </w:t>
      </w:r>
      <w:r>
        <w:rPr>
          <w:rFonts w:ascii="Verdana" w:hAnsi="Verdana" w:cs="Arial"/>
          <w:bCs/>
          <w:lang w:val="es-MX"/>
        </w:rPr>
        <w:t xml:space="preserve">La atribución </w:t>
      </w:r>
      <w:r w:rsidRPr="000E5C6D">
        <w:rPr>
          <w:rFonts w:ascii="Verdana" w:hAnsi="Verdana" w:cs="Arial"/>
          <w:bCs/>
          <w:lang w:val="es-MX"/>
        </w:rPr>
        <w:t xml:space="preserve">para dirigir </w:t>
      </w:r>
      <w:r>
        <w:rPr>
          <w:rFonts w:ascii="Verdana" w:hAnsi="Verdana" w:cs="Arial"/>
          <w:bCs/>
          <w:lang w:val="es-MX"/>
        </w:rPr>
        <w:t xml:space="preserve">procesos de selección corresponde a los funcionarios previstos en el artículo 11 del EGCAP, sin perjuicio de la delegación prevista en el artículo 12 </w:t>
      </w:r>
      <w:r w:rsidRPr="000E5C6D">
        <w:rPr>
          <w:rFonts w:ascii="Verdana" w:hAnsi="Verdana" w:cs="Arial"/>
          <w:bCs/>
          <w:i/>
          <w:iCs/>
          <w:lang w:val="es-MX"/>
        </w:rPr>
        <w:t>ibidem</w:t>
      </w:r>
      <w:r>
        <w:rPr>
          <w:rFonts w:ascii="Verdana" w:hAnsi="Verdana" w:cs="Arial"/>
          <w:bCs/>
          <w:lang w:val="es-MX"/>
        </w:rPr>
        <w:t>.</w:t>
      </w:r>
      <w:r>
        <w:rPr>
          <w:rFonts w:ascii="Verdana" w:eastAsia="Times New Roman" w:hAnsi="Verdana" w:cs="Times New Roman"/>
          <w:color w:val="000000"/>
          <w:lang w:eastAsia="es-MX"/>
        </w:rPr>
        <w:t xml:space="preserve"> Por ello, al margen de la regulación que establezca el concejo sobre los fondos de desarrollo local</w:t>
      </w:r>
      <w:r>
        <w:rPr>
          <w:rStyle w:val="Refdenotaalpie"/>
          <w:rFonts w:ascii="Verdana" w:eastAsia="Times New Roman" w:hAnsi="Verdana" w:cs="Times New Roman"/>
          <w:color w:val="000000"/>
          <w:lang w:eastAsia="es-MX"/>
        </w:rPr>
        <w:footnoteReference w:id="5"/>
      </w:r>
      <w:r>
        <w:rPr>
          <w:rFonts w:ascii="Verdana" w:eastAsia="Times New Roman" w:hAnsi="Verdana" w:cs="Times New Roman"/>
          <w:color w:val="000000"/>
          <w:lang w:eastAsia="es-MX"/>
        </w:rPr>
        <w:t>, dichas entidades podrán celebrar contratos de donación con otras autoridades del Estado, los cuales se someten tanto a la publicidad en el SECOP como al régimen de inhabilidades e incompatibilidades. Ello conforme a la explicación de los siguientes apartados.</w:t>
      </w:r>
      <w:r w:rsidRPr="00BA7F04">
        <w:rPr>
          <w:rFonts w:ascii="Verdana" w:hAnsi="Verdana" w:cs="Arial"/>
          <w:bCs/>
          <w:lang w:val="es-MX"/>
        </w:rPr>
        <w:t xml:space="preserve"> </w:t>
      </w:r>
    </w:p>
    <w:p w14:paraId="0EAE4B05" w14:textId="77777777" w:rsidR="00EE10B4" w:rsidRDefault="00EE10B4" w:rsidP="00EE10B4">
      <w:pPr>
        <w:spacing w:after="0" w:line="276" w:lineRule="auto"/>
        <w:jc w:val="both"/>
        <w:rPr>
          <w:rFonts w:ascii="Verdana" w:hAnsi="Verdana" w:cs="Arial"/>
          <w:bCs/>
          <w:lang w:val="es-MX"/>
        </w:rPr>
      </w:pPr>
    </w:p>
    <w:p w14:paraId="4F80B3F1" w14:textId="77777777" w:rsidR="00EE10B4" w:rsidRPr="0096223E" w:rsidRDefault="00EE10B4" w:rsidP="00EE10B4">
      <w:pPr>
        <w:spacing w:after="120" w:line="276" w:lineRule="auto"/>
        <w:jc w:val="both"/>
        <w:rPr>
          <w:rFonts w:ascii="Verdana" w:hAnsi="Verdana" w:cs="Arial"/>
        </w:rPr>
      </w:pPr>
      <w:r>
        <w:rPr>
          <w:rFonts w:ascii="Verdana" w:hAnsi="Verdana" w:cs="Arial"/>
          <w:bCs/>
          <w:lang w:val="es-MX"/>
        </w:rPr>
        <w:t xml:space="preserve">iii. </w:t>
      </w:r>
      <w:r>
        <w:rPr>
          <w:rFonts w:ascii="Verdana" w:eastAsia="Calibri" w:hAnsi="Verdana" w:cs="Arial"/>
          <w:lang w:val="es-ES"/>
        </w:rPr>
        <w:t>E</w:t>
      </w:r>
      <w:r w:rsidRPr="0096223E">
        <w:rPr>
          <w:rFonts w:ascii="Verdana" w:eastAsia="Calibri" w:hAnsi="Verdana" w:cs="Arial"/>
          <w:lang w:val="es-ES"/>
        </w:rPr>
        <w:t xml:space="preserv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96223E">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1783F613" w14:textId="77777777" w:rsidR="00EE10B4" w:rsidRPr="0096223E" w:rsidRDefault="00EE10B4" w:rsidP="00EE10B4">
      <w:pPr>
        <w:spacing w:after="120" w:line="276" w:lineRule="auto"/>
        <w:ind w:firstLine="709"/>
        <w:jc w:val="both"/>
        <w:rPr>
          <w:rFonts w:ascii="Verdana" w:hAnsi="Verdana" w:cs="Arial"/>
        </w:rPr>
      </w:pPr>
      <w:r w:rsidRPr="0096223E">
        <w:rPr>
          <w:rFonts w:ascii="Verdana" w:hAnsi="Verdana" w:cs="Arial"/>
        </w:rPr>
        <w:lastRenderedPageBreak/>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3C84025B" w14:textId="77777777" w:rsidR="00EE10B4" w:rsidRPr="0096223E" w:rsidRDefault="00EE10B4" w:rsidP="00EE10B4">
      <w:pPr>
        <w:spacing w:after="0" w:line="276" w:lineRule="auto"/>
        <w:ind w:firstLine="708"/>
        <w:jc w:val="both"/>
        <w:rPr>
          <w:rFonts w:ascii="Verdana" w:hAnsi="Verdana" w:cs="Arial"/>
        </w:rPr>
      </w:pPr>
      <w:r w:rsidRPr="0096223E">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96223E">
        <w:rPr>
          <w:rStyle w:val="Refdenotaalpie"/>
          <w:rFonts w:ascii="Verdana" w:hAnsi="Verdana" w:cs="Arial"/>
        </w:rPr>
        <w:footnoteReference w:id="6"/>
      </w:r>
      <w:r w:rsidRPr="0096223E">
        <w:rPr>
          <w:rFonts w:ascii="Verdana" w:hAnsi="Verdana" w:cs="Arial"/>
        </w:rPr>
        <w:t>. Para la doctrina, la mixtura del régimen contractual:</w:t>
      </w:r>
    </w:p>
    <w:p w14:paraId="2F5B3387" w14:textId="77777777" w:rsidR="00EE10B4" w:rsidRPr="0096223E" w:rsidRDefault="00EE10B4" w:rsidP="00EE10B4">
      <w:pPr>
        <w:spacing w:after="0" w:line="276" w:lineRule="auto"/>
        <w:ind w:firstLine="709"/>
        <w:jc w:val="both"/>
        <w:rPr>
          <w:rFonts w:ascii="Verdana" w:hAnsi="Verdana" w:cs="Arial"/>
        </w:rPr>
      </w:pPr>
    </w:p>
    <w:p w14:paraId="46ACD7EF" w14:textId="77777777" w:rsidR="00EE10B4" w:rsidRPr="00246E25" w:rsidRDefault="00EE10B4" w:rsidP="00EE10B4">
      <w:pPr>
        <w:spacing w:after="0" w:line="240" w:lineRule="auto"/>
        <w:ind w:left="709" w:right="709"/>
        <w:jc w:val="both"/>
        <w:rPr>
          <w:rFonts w:ascii="Verdana" w:hAnsi="Verdana" w:cs="Arial"/>
          <w:sz w:val="20"/>
          <w:szCs w:val="20"/>
        </w:rPr>
      </w:pPr>
      <w:r w:rsidRPr="00246E25">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6D33D861" w14:textId="77777777" w:rsidR="00EE10B4" w:rsidRPr="00246E25" w:rsidRDefault="00EE10B4" w:rsidP="00EE10B4">
      <w:pPr>
        <w:spacing w:after="0" w:line="240" w:lineRule="auto"/>
        <w:ind w:right="709"/>
        <w:jc w:val="both"/>
        <w:rPr>
          <w:rFonts w:ascii="Verdana" w:hAnsi="Verdana" w:cs="Arial"/>
          <w:sz w:val="10"/>
          <w:szCs w:val="10"/>
        </w:rPr>
      </w:pPr>
      <w:r w:rsidRPr="00246E25">
        <w:rPr>
          <w:rFonts w:ascii="Verdana" w:hAnsi="Verdana" w:cs="Arial"/>
          <w:sz w:val="20"/>
          <w:szCs w:val="20"/>
        </w:rPr>
        <w:tab/>
      </w:r>
    </w:p>
    <w:p w14:paraId="7900E4F7" w14:textId="77777777" w:rsidR="00EE10B4" w:rsidRPr="00246E25" w:rsidRDefault="00EE10B4" w:rsidP="00EE10B4">
      <w:pPr>
        <w:spacing w:after="0" w:line="240" w:lineRule="auto"/>
        <w:ind w:left="709" w:right="709"/>
        <w:jc w:val="both"/>
        <w:rPr>
          <w:rFonts w:ascii="Verdana" w:hAnsi="Verdana" w:cs="Arial"/>
          <w:sz w:val="20"/>
          <w:szCs w:val="20"/>
        </w:rPr>
      </w:pPr>
      <w:r w:rsidRPr="00246E25">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246E25">
        <w:rPr>
          <w:rStyle w:val="Refdenotaalpie"/>
          <w:rFonts w:ascii="Verdana" w:hAnsi="Verdana" w:cs="Arial"/>
          <w:sz w:val="20"/>
          <w:szCs w:val="20"/>
        </w:rPr>
        <w:footnoteReference w:id="7"/>
      </w:r>
      <w:r w:rsidRPr="00246E25">
        <w:rPr>
          <w:rFonts w:ascii="Verdana" w:hAnsi="Verdana" w:cs="Arial"/>
          <w:sz w:val="20"/>
          <w:szCs w:val="20"/>
        </w:rPr>
        <w:t xml:space="preserve">. </w:t>
      </w:r>
    </w:p>
    <w:p w14:paraId="325CCEF1" w14:textId="77777777" w:rsidR="00EE10B4" w:rsidRPr="0096223E" w:rsidRDefault="00EE10B4" w:rsidP="00EE10B4">
      <w:pPr>
        <w:spacing w:after="0" w:line="276" w:lineRule="auto"/>
        <w:ind w:left="709" w:right="709"/>
        <w:jc w:val="both"/>
        <w:rPr>
          <w:rFonts w:ascii="Verdana" w:hAnsi="Verdana" w:cs="Arial"/>
        </w:rPr>
      </w:pPr>
      <w:r w:rsidRPr="0096223E">
        <w:rPr>
          <w:rFonts w:ascii="Verdana" w:hAnsi="Verdana" w:cs="Arial"/>
        </w:rPr>
        <w:t xml:space="preserve"> </w:t>
      </w:r>
    </w:p>
    <w:p w14:paraId="2D7BCD17" w14:textId="77777777" w:rsidR="00EE10B4" w:rsidRDefault="00EE10B4" w:rsidP="00EE10B4">
      <w:pPr>
        <w:spacing w:after="0" w:line="276" w:lineRule="auto"/>
        <w:jc w:val="both"/>
        <w:rPr>
          <w:rFonts w:ascii="Verdana" w:hAnsi="Verdana" w:cs="Arial"/>
        </w:rPr>
      </w:pPr>
      <w:r w:rsidRPr="0096223E">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w:t>
      </w:r>
      <w:r w:rsidRPr="0096223E">
        <w:rPr>
          <w:rFonts w:ascii="Verdana" w:hAnsi="Verdana" w:cs="Arial"/>
        </w:rPr>
        <w:lastRenderedPageBreak/>
        <w:t>en el Estatuto de Contratación, es posible la aplicación de las normas de derecho privado.</w:t>
      </w:r>
    </w:p>
    <w:p w14:paraId="0177C785" w14:textId="77777777" w:rsidR="00EE10B4" w:rsidRPr="0096223E" w:rsidRDefault="00EE10B4" w:rsidP="00EE10B4">
      <w:pPr>
        <w:spacing w:after="0" w:line="276" w:lineRule="auto"/>
        <w:jc w:val="both"/>
        <w:rPr>
          <w:rFonts w:ascii="Verdana" w:hAnsi="Verdana" w:cs="Arial"/>
        </w:rPr>
      </w:pPr>
    </w:p>
    <w:p w14:paraId="6B2DFCD3" w14:textId="77777777" w:rsidR="00EE10B4" w:rsidRPr="0096223E" w:rsidRDefault="00EE10B4" w:rsidP="00EE10B4">
      <w:pPr>
        <w:spacing w:after="120" w:line="276" w:lineRule="auto"/>
        <w:jc w:val="both"/>
        <w:rPr>
          <w:rFonts w:ascii="Verdana" w:hAnsi="Verdana" w:cs="Arial"/>
        </w:rPr>
      </w:pPr>
      <w:proofErr w:type="spellStart"/>
      <w:r>
        <w:rPr>
          <w:rFonts w:ascii="Verdana" w:hAnsi="Verdana" w:cs="Arial"/>
        </w:rPr>
        <w:t>iv</w:t>
      </w:r>
      <w:proofErr w:type="spellEnd"/>
      <w:r>
        <w:rPr>
          <w:rFonts w:ascii="Verdana" w:hAnsi="Verdana" w:cs="Arial"/>
        </w:rPr>
        <w:t xml:space="preserve">. </w:t>
      </w:r>
      <w:r w:rsidRPr="0096223E">
        <w:rPr>
          <w:rFonts w:ascii="Verdana" w:hAnsi="Verdana" w:cs="Arial"/>
        </w:rPr>
        <w:t xml:space="preserve">Esta precisión es importante, porque la donación se encuentra tipificada en el Código Civil y allí se encuentra gran parte de su régimen jurídico. El artículo 1443 </w:t>
      </w:r>
      <w:r w:rsidRPr="0096223E">
        <w:rPr>
          <w:rFonts w:ascii="Verdana" w:hAnsi="Verdana" w:cs="Arial"/>
          <w:i/>
          <w:iCs/>
        </w:rPr>
        <w:t>ibidem</w:t>
      </w:r>
      <w:r w:rsidRPr="0096223E">
        <w:rPr>
          <w:rFonts w:ascii="Verdana" w:hAnsi="Verdana" w:cs="Arial"/>
        </w:rPr>
        <w:t>, inspirándose en el artículo 894 del Código de Napoleón, dispone que “La donación entre vivos es un acto por el cual una persona transfiere, gratuita e irrevocablemente, una parte de sus bienes a otra persona que la acepta”.  Esta norma ha sido ampliamente criticada, pues –más que un simple “acto”– la donación tiene la naturaleza contractual, pues aunque en la mayoría de los casos imponga obligaciones a una sola de las partes, surge del acuerdo de voluntades</w:t>
      </w:r>
      <w:r w:rsidRPr="0096223E">
        <w:rPr>
          <w:rStyle w:val="Refdenotaalpie"/>
          <w:rFonts w:ascii="Verdana" w:hAnsi="Verdana" w:cs="Arial"/>
        </w:rPr>
        <w:footnoteReference w:id="8"/>
      </w:r>
      <w:r w:rsidRPr="0096223E">
        <w:rPr>
          <w:rFonts w:ascii="Verdana" w:hAnsi="Verdana" w:cs="Arial"/>
        </w:rPr>
        <w:t xml:space="preserve">. </w:t>
      </w:r>
    </w:p>
    <w:p w14:paraId="5E491DBE" w14:textId="77777777" w:rsidR="00EE10B4" w:rsidRPr="0096223E" w:rsidRDefault="00EE10B4" w:rsidP="00EE10B4">
      <w:pPr>
        <w:spacing w:after="120" w:line="276" w:lineRule="auto"/>
        <w:jc w:val="both"/>
        <w:rPr>
          <w:rFonts w:ascii="Verdana" w:hAnsi="Verdana" w:cs="Arial"/>
        </w:rPr>
      </w:pPr>
      <w:r w:rsidRPr="0096223E">
        <w:rPr>
          <w:rFonts w:ascii="Verdana" w:hAnsi="Verdana" w:cs="Arial"/>
        </w:rPr>
        <w:tab/>
        <w:t xml:space="preserve">Por su parte, GUZMÁN BRITO define la donación como “[…] la atribución convencional dispositiva entre vivos, no debida, gratuita y lucrativa de una cosa corporal o incorporal o de un valor, que disminuyendo el patrimonio del donante aumenta el del donatario”. Este carácter atributivo no es de naturaleza legal –como sucede en la adjudicación del tesoro encontrado en terreno ajeno conforme a las reglas del artículo 701 del Código Civil–, no tiene como propósito entregar la mera tenencia de la cosa –como sucede en los contratos de comodato o arrendamiento–, ni se origina en aplicación de las reglas de la sucesión por causa </w:t>
      </w:r>
      <w:r w:rsidRPr="0096223E">
        <w:rPr>
          <w:rFonts w:ascii="Verdana" w:hAnsi="Verdana" w:cs="Arial"/>
        </w:rPr>
        <w:lastRenderedPageBreak/>
        <w:t>de muerte. Asimismo, la donación es una liberalidad y depende completamente de la voluntad del donante, por lo que –a diferencia de la compraventa, por ejemplo– la transferencia de la cosa no surge de un acto debido. Esta liberalidad entraña, por un lado, la falta de contraprestación –gratuidad– y, por otro, la usencia del deber de restituir lo donado –</w:t>
      </w:r>
      <w:proofErr w:type="spellStart"/>
      <w:r w:rsidRPr="0096223E">
        <w:rPr>
          <w:rFonts w:ascii="Verdana" w:hAnsi="Verdana" w:cs="Arial"/>
        </w:rPr>
        <w:t>lucratividad</w:t>
      </w:r>
      <w:proofErr w:type="spellEnd"/>
      <w:r w:rsidRPr="0096223E">
        <w:rPr>
          <w:rFonts w:ascii="Verdana" w:hAnsi="Verdana" w:cs="Arial"/>
        </w:rPr>
        <w:t>–. Por tanto, es necesario una modificación en el patrimonio de las partes involucradas en el negocio jurídico</w:t>
      </w:r>
      <w:r w:rsidRPr="0096223E">
        <w:rPr>
          <w:rStyle w:val="Refdenotaalpie"/>
          <w:rFonts w:ascii="Verdana" w:hAnsi="Verdana" w:cs="Arial"/>
        </w:rPr>
        <w:footnoteReference w:id="9"/>
      </w:r>
      <w:r w:rsidRPr="0096223E">
        <w:rPr>
          <w:rFonts w:ascii="Verdana" w:hAnsi="Verdana" w:cs="Arial"/>
        </w:rPr>
        <w:t xml:space="preserve">.  </w:t>
      </w:r>
    </w:p>
    <w:p w14:paraId="3606E767" w14:textId="77777777" w:rsidR="00EE10B4" w:rsidRPr="0096223E" w:rsidRDefault="00EE10B4" w:rsidP="00EE10B4">
      <w:pPr>
        <w:spacing w:after="120" w:line="276" w:lineRule="auto"/>
        <w:jc w:val="both"/>
        <w:rPr>
          <w:rFonts w:ascii="Verdana" w:hAnsi="Verdana" w:cs="Arial"/>
        </w:rPr>
      </w:pPr>
      <w:r w:rsidRPr="0096223E">
        <w:rPr>
          <w:rFonts w:ascii="Verdana" w:hAnsi="Verdana" w:cs="Arial"/>
        </w:rPr>
        <w:tab/>
        <w:t>Además de nominado, la donación es un contrato principal y gratuito, pues subsiste por sí mismo sin necesidad de una convención adicional –art. 1499 del CC– y tiene por objeto la utilidad de una sola de las partes –art. 1497 del CC–. Aunque por regla general es un contrato unilateral, es decir, una las partes se obliga para con otra que no contrae obligación alguna –art. 1496 del CC–, existen ciertos tipos de donaciones –como aquellas con causa onerosa, con gravamen o sujetas a modalidades– que generan compromisos para ambas. En estos casos, la donación será un contrato bilateral pero gratuito</w:t>
      </w:r>
      <w:r w:rsidRPr="0096223E">
        <w:rPr>
          <w:rStyle w:val="Refdenotaalpie"/>
          <w:rFonts w:ascii="Verdana" w:hAnsi="Verdana" w:cs="Arial"/>
        </w:rPr>
        <w:footnoteReference w:id="10"/>
      </w:r>
      <w:r w:rsidRPr="0096223E">
        <w:rPr>
          <w:rFonts w:ascii="Verdana" w:hAnsi="Verdana" w:cs="Arial"/>
        </w:rPr>
        <w:t xml:space="preserve">.    </w:t>
      </w:r>
    </w:p>
    <w:p w14:paraId="41E82B0B" w14:textId="77777777" w:rsidR="00EE10B4" w:rsidRPr="0096223E" w:rsidRDefault="00EE10B4" w:rsidP="00EE10B4">
      <w:pPr>
        <w:spacing w:after="120" w:line="276" w:lineRule="auto"/>
        <w:jc w:val="both"/>
        <w:rPr>
          <w:rFonts w:ascii="Verdana" w:hAnsi="Verdana" w:cs="Arial"/>
        </w:rPr>
      </w:pPr>
      <w:r w:rsidRPr="0096223E">
        <w:rPr>
          <w:rFonts w:ascii="Verdana" w:hAnsi="Verdana" w:cs="Arial"/>
        </w:rPr>
        <w:tab/>
        <w:t xml:space="preserve">Respecto a las relaciones entre sujetos de derecho privado, sin perjuicio de la formalidad escrita que exige el inciso primero del artículo 41 del EGCAP, puede tener naturaleza consensual o solemne. De acuerdo con el artículo 1458 del Código Civil, “Corresponde al notario autorizar mediante escritura pública, las donaciones cuyo valor exceda la suma de cincuenta (50) salarios mínimos mensuales, siempre que donante y donatario sean plenamente capaces, lo soliciten de común acuerdo y no se contravenga ninguna disposición legal”; razón por la cual, “Las donaciones cuyo valor sea igual o inferior a cincuenta (50) salarios mínimos mensuales, no requieren insinuación. Por lo demás, independientemente de la cuantía, “No valdrá la donación entre vivos, de cualquiera especie de bienes raíces, si no es otorgada por escritura pública, inscrita en el competente registro de instrumentos públicos” –art. 1457, inc. 1°, del CC–.  También es un contrato de ejecución instantánea, salvo las donaciones de pensiones periódicas –art. 1459 del CC–.  </w:t>
      </w:r>
    </w:p>
    <w:p w14:paraId="02C8098F" w14:textId="77777777" w:rsidR="00EE10B4" w:rsidRPr="0096223E" w:rsidRDefault="00EE10B4" w:rsidP="00EE10B4">
      <w:pPr>
        <w:spacing w:after="120" w:line="276" w:lineRule="auto"/>
        <w:jc w:val="both"/>
        <w:rPr>
          <w:rFonts w:ascii="Verdana" w:hAnsi="Verdana" w:cs="Arial"/>
        </w:rPr>
      </w:pPr>
      <w:r w:rsidRPr="0096223E">
        <w:rPr>
          <w:rFonts w:ascii="Verdana" w:hAnsi="Verdana" w:cs="Arial"/>
        </w:rPr>
        <w:tab/>
        <w:t xml:space="preserve">La donación es un título traslaticio del derecho de domino en los términos del inciso primero del artículo 745 del Código Civil. Desde esta perspectiva, como </w:t>
      </w:r>
      <w:r w:rsidRPr="0096223E">
        <w:rPr>
          <w:rFonts w:ascii="Verdana" w:hAnsi="Verdana" w:cs="Arial"/>
        </w:rPr>
        <w:lastRenderedPageBreak/>
        <w:t xml:space="preserve">señala impropiamente el precitado artículo 1443 </w:t>
      </w:r>
      <w:r w:rsidRPr="0096223E">
        <w:rPr>
          <w:rFonts w:ascii="Verdana" w:hAnsi="Verdana" w:cs="Arial"/>
          <w:i/>
          <w:iCs/>
        </w:rPr>
        <w:t>ibidem</w:t>
      </w:r>
      <w:r w:rsidRPr="0096223E">
        <w:rPr>
          <w:rFonts w:ascii="Verdana" w:hAnsi="Verdana" w:cs="Arial"/>
        </w:rPr>
        <w:t xml:space="preserve">, el contrato no “transfiere” los bienes, sino que “obliga a transferirlos”; por lo que es un título que posibilita la posterior tradición de las cosas donadas. Este surge de forma derivativa –no originaria–, por acto entre vivos –lo que excluye las donaciones </w:t>
      </w:r>
      <w:r w:rsidRPr="0096223E">
        <w:rPr>
          <w:rFonts w:ascii="Verdana" w:hAnsi="Verdana" w:cs="Arial"/>
          <w:i/>
          <w:iCs/>
        </w:rPr>
        <w:t>mortis causa</w:t>
      </w:r>
      <w:r w:rsidRPr="0096223E">
        <w:rPr>
          <w:rFonts w:ascii="Verdana" w:hAnsi="Verdana" w:cs="Arial"/>
        </w:rPr>
        <w:t xml:space="preserve"> de los artículos 1194 y </w:t>
      </w:r>
      <w:proofErr w:type="spellStart"/>
      <w:r w:rsidRPr="0096223E">
        <w:rPr>
          <w:rFonts w:ascii="Verdana" w:hAnsi="Verdana" w:cs="Arial"/>
        </w:rPr>
        <w:t>ss</w:t>
      </w:r>
      <w:proofErr w:type="spellEnd"/>
      <w:r w:rsidRPr="0096223E">
        <w:rPr>
          <w:rFonts w:ascii="Verdana" w:hAnsi="Verdana" w:cs="Arial"/>
        </w:rPr>
        <w:t xml:space="preserve"> del Código Civil– y de forma singular –no universal–. </w:t>
      </w:r>
    </w:p>
    <w:p w14:paraId="4F236E24" w14:textId="77777777" w:rsidR="00EE10B4" w:rsidRDefault="00EE10B4" w:rsidP="00EE10B4">
      <w:pPr>
        <w:spacing w:after="0" w:line="276" w:lineRule="auto"/>
        <w:jc w:val="both"/>
        <w:rPr>
          <w:rFonts w:ascii="Verdana" w:hAnsi="Verdana" w:cs="Arial"/>
        </w:rPr>
      </w:pPr>
      <w:r w:rsidRPr="0096223E">
        <w:rPr>
          <w:rFonts w:ascii="Verdana" w:hAnsi="Verdana" w:cs="Arial"/>
        </w:rPr>
        <w:tab/>
        <w:t>Finalmente, se trata de un contrato excepcional y, por regla general irrevocable. El artículo 1450 del Código Civil dispone que “La donación entre vivos no se presume sino en los casos que expresamente hayan previsto las leyes”, de manera que “Del que da lo que no debe no se presume que lo dona, a menos de probarse que tuvo perfecto conocimiento de lo que hacía, tanto en el hecho como en el derecho” –art. 1317 del CC–. Además, las obligaciones derivadas de la donación son ley para las partes y, por tanto, el contrato solo se extingue por el mutuo consentimiento o por las causas que establezca la ley –art. 1602 del CC–. Tratándose de estas últimas, la revocabilidad se limita a la ingratitud del donatario –arts. 1485 del CC–, aunque las donaciones entre cónyuges sean revocables al margen de esta circunstancia –art. 1195, inc. final, del CC–.</w:t>
      </w:r>
    </w:p>
    <w:p w14:paraId="1D4547F4" w14:textId="77777777" w:rsidR="00EE10B4" w:rsidRDefault="00EE10B4" w:rsidP="00EE10B4">
      <w:pPr>
        <w:spacing w:after="0" w:line="276" w:lineRule="auto"/>
        <w:jc w:val="both"/>
        <w:rPr>
          <w:rFonts w:ascii="Verdana" w:hAnsi="Verdana" w:cs="Arial"/>
        </w:rPr>
      </w:pPr>
    </w:p>
    <w:p w14:paraId="05E62333" w14:textId="77777777" w:rsidR="00EE10B4" w:rsidRPr="00D31A8B" w:rsidRDefault="00EE10B4" w:rsidP="00EE10B4">
      <w:pPr>
        <w:spacing w:line="276" w:lineRule="auto"/>
        <w:jc w:val="both"/>
        <w:rPr>
          <w:rFonts w:ascii="Verdana" w:hAnsi="Verdana" w:cs="Arial"/>
        </w:rPr>
      </w:pPr>
      <w:r>
        <w:rPr>
          <w:rFonts w:ascii="Verdana" w:hAnsi="Verdana" w:cs="Arial"/>
        </w:rPr>
        <w:t>v. C</w:t>
      </w:r>
      <w:r w:rsidRPr="00D31A8B">
        <w:rPr>
          <w:rFonts w:ascii="Verdana" w:hAnsi="Verdana" w:cs="Arial"/>
        </w:rPr>
        <w:t xml:space="preserve">onforme al artículo 209 constitucional, el numeral 8 del artículo 3 de la Ley 1437 de 2011 dispone que “En virtud del principio de transparencia, la actividad administrativa es del dominio público, por consiguiente, toda persona puede conocer las actuaciones de la administración, salvo reserva legal”. Además, el numeral 9 </w:t>
      </w:r>
      <w:r w:rsidRPr="00D31A8B">
        <w:rPr>
          <w:rFonts w:ascii="Verdana" w:hAnsi="Verdana" w:cs="Arial"/>
          <w:i/>
          <w:iCs/>
        </w:rPr>
        <w:t>ibidem</w:t>
      </w:r>
      <w:r w:rsidRPr="00D31A8B">
        <w:rPr>
          <w:rFonts w:ascii="Verdana" w:hAnsi="Verdana" w:cs="Arial"/>
        </w:rPr>
        <w:t xml:space="preserve"> precisa lo siguiente: “En virtud del principio de publicidad, las autoridades darán a conocer al público y a los interesados, en forma sistemática y permanente, sin que medie petición alguna, sus actos, contratos y resoluciones, mediante las comunicaciones, notificaciones y publicaciones que ordene la ley, incluyendo el empleo de tecnologías que permitan difundir de manera masiva tal información de conformidad con lo dispuesto en este Código […]”.  </w:t>
      </w:r>
    </w:p>
    <w:p w14:paraId="68E120E9" w14:textId="77777777" w:rsidR="00EE10B4" w:rsidRPr="00380938" w:rsidRDefault="00EE10B4" w:rsidP="00EE10B4">
      <w:pPr>
        <w:widowControl w:val="0"/>
        <w:tabs>
          <w:tab w:val="left" w:pos="728"/>
        </w:tabs>
        <w:autoSpaceDE w:val="0"/>
        <w:autoSpaceDN w:val="0"/>
        <w:spacing w:after="120" w:line="276" w:lineRule="auto"/>
        <w:jc w:val="both"/>
        <w:rPr>
          <w:rFonts w:ascii="Verdana" w:eastAsia="Arial" w:hAnsi="Verdana" w:cs="Arial"/>
          <w:lang w:val="es-ES"/>
        </w:rPr>
      </w:pPr>
      <w:r w:rsidRPr="00D31A8B">
        <w:rPr>
          <w:rFonts w:ascii="Verdana" w:hAnsi="Verdana" w:cs="Arial"/>
        </w:rPr>
        <w:tab/>
      </w:r>
      <w:r w:rsidRPr="00D31A8B">
        <w:rPr>
          <w:rFonts w:ascii="Verdana" w:eastAsia="Arial" w:hAnsi="Verdana" w:cs="Arial"/>
          <w:lang w:val="es-ES"/>
        </w:rPr>
        <w:t>Para la Corte Constitucional el principio de publicidad es la garantía de las personas de conocer las actuaciones judiciales y administrativas y, con base en ese conocimiento, tener la posibilidad de exigir que se realicen conforme a la ley</w:t>
      </w:r>
      <w:r w:rsidRPr="00D31A8B">
        <w:rPr>
          <w:rFonts w:ascii="Verdana" w:eastAsia="Arial" w:hAnsi="Verdana" w:cs="Arial"/>
          <w:sz w:val="21"/>
          <w:szCs w:val="21"/>
          <w:vertAlign w:val="superscript"/>
          <w:lang w:val="es-ES"/>
        </w:rPr>
        <w:footnoteReference w:id="11"/>
      </w:r>
      <w:r w:rsidRPr="00D31A8B">
        <w:rPr>
          <w:rFonts w:ascii="Verdana" w:eastAsia="Arial" w:hAnsi="Verdana" w:cs="Arial"/>
          <w:sz w:val="21"/>
          <w:szCs w:val="21"/>
          <w:lang w:val="es-ES"/>
        </w:rPr>
        <w:t>.</w:t>
      </w:r>
      <w:r w:rsidRPr="00D31A8B">
        <w:rPr>
          <w:rFonts w:ascii="Verdana" w:eastAsia="Arial" w:hAnsi="Verdana" w:cs="Arial"/>
          <w:b/>
          <w:lang w:val="es-ES"/>
        </w:rPr>
        <w:t xml:space="preserve"> </w:t>
      </w:r>
      <w:r w:rsidRPr="00D31A8B">
        <w:rPr>
          <w:rFonts w:ascii="Verdana" w:eastAsia="Arial" w:hAnsi="Verdana" w:cs="Arial"/>
          <w:bCs/>
          <w:lang w:val="es-ES"/>
        </w:rPr>
        <w:t xml:space="preserve">Este </w:t>
      </w:r>
      <w:r w:rsidRPr="00D31A8B">
        <w:rPr>
          <w:rFonts w:ascii="Verdana" w:eastAsia="Arial" w:hAnsi="Verdana" w:cs="Arial"/>
          <w:lang w:val="es-ES"/>
        </w:rPr>
        <w:t xml:space="preserve">impone a las autoridades administrativas el deber de dar a conocer </w:t>
      </w:r>
      <w:r w:rsidRPr="00D31A8B">
        <w:rPr>
          <w:rFonts w:ascii="Verdana" w:eastAsia="Arial" w:hAnsi="Verdana" w:cs="Arial"/>
          <w:lang w:val="es-ES"/>
        </w:rPr>
        <w:lastRenderedPageBreak/>
        <w:t>sus actos, contratos y decisiones, para que se divulguen y eventualmente se controlen las actuaciones.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sidRPr="00D31A8B">
        <w:rPr>
          <w:rFonts w:ascii="Verdana" w:eastAsia="Arial" w:hAnsi="Verdana" w:cs="Arial"/>
          <w:vertAlign w:val="superscript"/>
          <w:lang w:val="es-ES"/>
        </w:rPr>
        <w:footnoteReference w:id="12"/>
      </w:r>
      <w:r w:rsidRPr="00D31A8B">
        <w:rPr>
          <w:rFonts w:ascii="Verdana" w:eastAsia="Arial" w:hAnsi="Verdana" w:cs="Arial"/>
          <w:lang w:val="es-ES"/>
        </w:rPr>
        <w:t>.</w:t>
      </w:r>
      <w:r>
        <w:rPr>
          <w:rFonts w:ascii="Verdana" w:eastAsia="Arial" w:hAnsi="Verdana" w:cs="Arial"/>
          <w:lang w:val="es-ES"/>
        </w:rPr>
        <w:t xml:space="preserve"> Por ello, “[…] </w:t>
      </w:r>
      <w:r w:rsidRPr="00380938">
        <w:rPr>
          <w:rFonts w:ascii="Verdana" w:eastAsia="Arial" w:hAnsi="Verdana" w:cs="Arial"/>
          <w:lang w:val="es-ES"/>
        </w:rPr>
        <w:t>El SECOP supera algunas de las limitaciones del Diario Único de</w:t>
      </w:r>
      <w:r>
        <w:rPr>
          <w:rFonts w:ascii="Verdana" w:eastAsia="Arial" w:hAnsi="Verdana" w:cs="Arial"/>
          <w:lang w:val="es-ES"/>
        </w:rPr>
        <w:t xml:space="preserve"> </w:t>
      </w:r>
      <w:r w:rsidRPr="00380938">
        <w:rPr>
          <w:rFonts w:ascii="Verdana" w:eastAsia="Arial" w:hAnsi="Verdana" w:cs="Arial"/>
          <w:lang w:val="es-ES"/>
        </w:rPr>
        <w:t>Contratación, como su limitada cobertura geográfica, su reducido número de</w:t>
      </w:r>
      <w:r>
        <w:rPr>
          <w:rFonts w:ascii="Verdana" w:eastAsia="Arial" w:hAnsi="Verdana" w:cs="Arial"/>
          <w:lang w:val="es-ES"/>
        </w:rPr>
        <w:t xml:space="preserve"> </w:t>
      </w:r>
      <w:r w:rsidRPr="00380938">
        <w:rPr>
          <w:rFonts w:ascii="Verdana" w:eastAsia="Arial" w:hAnsi="Verdana" w:cs="Arial"/>
          <w:lang w:val="es-ES"/>
        </w:rPr>
        <w:t>ejemplares y su difícil acceso para los ciudadano</w:t>
      </w:r>
      <w:r>
        <w:rPr>
          <w:rFonts w:ascii="Verdana" w:eastAsia="Arial" w:hAnsi="Verdana" w:cs="Arial"/>
          <w:lang w:val="es-ES"/>
        </w:rPr>
        <w:t>s”</w:t>
      </w:r>
      <w:r>
        <w:rPr>
          <w:rStyle w:val="Refdenotaalpie"/>
          <w:rFonts w:ascii="Verdana" w:eastAsia="Arial" w:hAnsi="Verdana" w:cs="Arial"/>
          <w:lang w:val="es-ES"/>
        </w:rPr>
        <w:footnoteReference w:id="13"/>
      </w:r>
      <w:r>
        <w:rPr>
          <w:rFonts w:ascii="Verdana" w:eastAsia="Arial" w:hAnsi="Verdana" w:cs="Arial"/>
          <w:lang w:val="es-ES"/>
        </w:rPr>
        <w:t>.</w:t>
      </w:r>
    </w:p>
    <w:p w14:paraId="1FB86C21" w14:textId="77777777" w:rsidR="00EE10B4" w:rsidRPr="00D31A8B" w:rsidRDefault="00EE10B4" w:rsidP="00EE10B4">
      <w:pPr>
        <w:widowControl w:val="0"/>
        <w:tabs>
          <w:tab w:val="left" w:pos="728"/>
        </w:tabs>
        <w:autoSpaceDE w:val="0"/>
        <w:autoSpaceDN w:val="0"/>
        <w:spacing w:after="120" w:line="276" w:lineRule="auto"/>
        <w:jc w:val="both"/>
        <w:rPr>
          <w:rFonts w:ascii="Verdana" w:eastAsia="Arial" w:hAnsi="Verdana" w:cs="Arial"/>
          <w:lang w:val="es-ES"/>
        </w:rPr>
      </w:pPr>
      <w:r w:rsidRPr="00D31A8B">
        <w:rPr>
          <w:rFonts w:ascii="Verdana" w:eastAsia="Arial" w:hAnsi="Verdana" w:cs="Arial"/>
          <w:lang w:val="es-ES"/>
        </w:rPr>
        <w:tab/>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0118ED88" w14:textId="77777777" w:rsidR="00EE10B4" w:rsidRPr="00D31A8B" w:rsidRDefault="00EE10B4" w:rsidP="00EE10B4">
      <w:pPr>
        <w:widowControl w:val="0"/>
        <w:tabs>
          <w:tab w:val="left" w:pos="728"/>
        </w:tabs>
        <w:autoSpaceDE w:val="0"/>
        <w:autoSpaceDN w:val="0"/>
        <w:spacing w:after="120" w:line="276" w:lineRule="auto"/>
        <w:jc w:val="both"/>
        <w:rPr>
          <w:rFonts w:ascii="Verdana" w:eastAsia="Arial" w:hAnsi="Verdana" w:cs="Arial"/>
          <w:lang w:val="es-ES"/>
        </w:rPr>
      </w:pPr>
      <w:r w:rsidRPr="00D31A8B">
        <w:rPr>
          <w:rFonts w:ascii="Verdana" w:eastAsia="Arial" w:hAnsi="Verdana" w:cs="Arial"/>
          <w:lang w:val="es-ES"/>
        </w:rPr>
        <w:tab/>
        <w:t>La ley citada establece, en el literal e) del artículo 9, que los sujetos obligados, que son todas las entidades públicas, deben publicar la información relativa a su contratación</w:t>
      </w:r>
      <w:r w:rsidRPr="00D31A8B">
        <w:rPr>
          <w:rFonts w:ascii="Verdana" w:eastAsia="Arial" w:hAnsi="Verdana" w:cs="Arial"/>
          <w:vertAlign w:val="superscript"/>
          <w:lang w:val="es-ES"/>
        </w:rPr>
        <w:footnoteReference w:id="14"/>
      </w:r>
      <w:r w:rsidRPr="00D31A8B">
        <w:rPr>
          <w:rFonts w:ascii="Verdana" w:eastAsia="Arial" w:hAnsi="Verdana" w:cs="Arial"/>
          <w:lang w:val="es-ES"/>
        </w:rPr>
        <w:t xml:space="preserve">. Esta obligación fue en principio desarrollada por el </w:t>
      </w:r>
      <w:r w:rsidRPr="00D31A8B">
        <w:rPr>
          <w:rFonts w:ascii="Verdana" w:eastAsia="Arial" w:hAnsi="Verdana" w:cs="Arial"/>
          <w:lang w:val="es-ES"/>
        </w:rPr>
        <w:lastRenderedPageBreak/>
        <w:t>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–SECOP–</w:t>
      </w:r>
      <w:r w:rsidRPr="00D31A8B">
        <w:rPr>
          <w:rFonts w:ascii="Verdana" w:eastAsia="Arial" w:hAnsi="Verdana" w:cs="Arial"/>
          <w:vertAlign w:val="superscript"/>
          <w:lang w:val="es-ES"/>
        </w:rPr>
        <w:footnoteReference w:id="15"/>
      </w:r>
      <w:r w:rsidRPr="00D31A8B">
        <w:rPr>
          <w:rFonts w:ascii="Verdana" w:eastAsia="Arial" w:hAnsi="Verdana" w:cs="Arial"/>
          <w:lang w:val="es-ES"/>
        </w:rPr>
        <w:t>.</w:t>
      </w:r>
    </w:p>
    <w:p w14:paraId="345D2F15" w14:textId="77777777" w:rsidR="00EE10B4" w:rsidRDefault="00EE10B4" w:rsidP="00EE10B4">
      <w:pPr>
        <w:widowControl w:val="0"/>
        <w:tabs>
          <w:tab w:val="left" w:pos="728"/>
        </w:tabs>
        <w:autoSpaceDE w:val="0"/>
        <w:autoSpaceDN w:val="0"/>
        <w:spacing w:after="0" w:line="276" w:lineRule="auto"/>
        <w:jc w:val="both"/>
        <w:rPr>
          <w:rFonts w:ascii="Verdana" w:eastAsia="Arial" w:hAnsi="Verdana" w:cs="Arial"/>
          <w:lang w:val="es-ES"/>
        </w:rPr>
      </w:pPr>
      <w:r w:rsidRPr="00D31A8B">
        <w:rPr>
          <w:rFonts w:ascii="Verdana" w:eastAsia="Arial" w:hAnsi="Verdana" w:cs="Arial"/>
          <w:lang w:val="es-ES"/>
        </w:rPr>
        <w:tab/>
        <w:t>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D31A8B">
        <w:rPr>
          <w:rFonts w:ascii="Verdana" w:eastAsia="Arial" w:hAnsi="Verdana" w:cs="Arial"/>
          <w:vertAlign w:val="superscript"/>
          <w:lang w:val="es-ES"/>
        </w:rPr>
        <w:footnoteReference w:id="16"/>
      </w:r>
      <w:r w:rsidRPr="00D31A8B">
        <w:rPr>
          <w:rFonts w:ascii="Verdana" w:eastAsia="Arial" w:hAnsi="Verdana" w:cs="Arial"/>
          <w:lang w:val="es-ES"/>
        </w:rPr>
        <w:t>.</w:t>
      </w:r>
      <w:r>
        <w:rPr>
          <w:rFonts w:ascii="Verdana" w:eastAsia="Arial" w:hAnsi="Verdana" w:cs="Arial"/>
          <w:lang w:val="es-ES"/>
        </w:rPr>
        <w:t xml:space="preserve"> Por ello, la ANCP – CCE ha señalado que:</w:t>
      </w:r>
    </w:p>
    <w:p w14:paraId="75E406B4" w14:textId="77777777" w:rsidR="00EE10B4" w:rsidRDefault="00EE10B4" w:rsidP="00EE10B4">
      <w:pPr>
        <w:widowControl w:val="0"/>
        <w:tabs>
          <w:tab w:val="left" w:pos="728"/>
        </w:tabs>
        <w:autoSpaceDE w:val="0"/>
        <w:autoSpaceDN w:val="0"/>
        <w:spacing w:after="0" w:line="276" w:lineRule="auto"/>
        <w:jc w:val="both"/>
        <w:rPr>
          <w:rFonts w:ascii="Verdana" w:eastAsia="Arial" w:hAnsi="Verdana" w:cs="Arial"/>
          <w:lang w:val="es-ES"/>
        </w:rPr>
      </w:pPr>
    </w:p>
    <w:p w14:paraId="47E21712" w14:textId="77777777" w:rsidR="00EE10B4" w:rsidRPr="00246E25" w:rsidRDefault="00EE10B4" w:rsidP="00EE10B4">
      <w:pPr>
        <w:widowControl w:val="0"/>
        <w:tabs>
          <w:tab w:val="left" w:pos="728"/>
        </w:tabs>
        <w:autoSpaceDE w:val="0"/>
        <w:autoSpaceDN w:val="0"/>
        <w:spacing w:after="0" w:line="240" w:lineRule="auto"/>
        <w:ind w:left="709" w:right="709"/>
        <w:jc w:val="both"/>
        <w:rPr>
          <w:rFonts w:ascii="Verdana" w:eastAsia="Arial" w:hAnsi="Verdana" w:cs="Arial"/>
          <w:sz w:val="20"/>
          <w:szCs w:val="20"/>
          <w:lang w:val="es-ES"/>
        </w:rPr>
      </w:pPr>
      <w:r w:rsidRPr="00246E25">
        <w:rPr>
          <w:rFonts w:ascii="Verdana" w:eastAsia="Arial" w:hAnsi="Verdana" w:cs="Arial"/>
          <w:sz w:val="20"/>
          <w:szCs w:val="20"/>
          <w:lang w:val="es-ES"/>
        </w:rPr>
        <w:t>“Ley de Transparencia establece la publicidad de la contratación y también señala que deberá estar a disposición del público la información a la que hace referencia la presente ley, a través de medios físicos, remotos o locales de comunicación electrónica. De esta manera, es preciso mencionar que en cuanto a la publicación de la actividad contractual de las Entidades Estatales en algún mecanismo de divulgación, dicha obligación existió desde la Ley 80 de 1993 (parágrafo 3° del artículo 41), pues allí se estableció como mecanismo de publicación el Diario Oficial o Gaceta Oficial, lo cual fue derogado por el Decreto 019 de 2012 (artículo 223) que eliminó por completo el Diario Único de Contratación Estatal, dejando como sistema único de publicación el SECOP”</w:t>
      </w:r>
      <w:r w:rsidRPr="00246E25">
        <w:rPr>
          <w:rStyle w:val="Refdenotaalpie"/>
          <w:rFonts w:ascii="Verdana" w:eastAsia="Arial" w:hAnsi="Verdana" w:cs="Arial"/>
          <w:sz w:val="20"/>
          <w:szCs w:val="20"/>
          <w:lang w:val="es-ES"/>
        </w:rPr>
        <w:footnoteReference w:id="17"/>
      </w:r>
      <w:r w:rsidRPr="00246E25">
        <w:rPr>
          <w:rFonts w:ascii="Verdana" w:eastAsia="Arial" w:hAnsi="Verdana" w:cs="Arial"/>
          <w:sz w:val="20"/>
          <w:szCs w:val="20"/>
          <w:lang w:val="es-ES"/>
        </w:rPr>
        <w:t>.</w:t>
      </w:r>
    </w:p>
    <w:p w14:paraId="479BF05F" w14:textId="77777777" w:rsidR="00EE10B4" w:rsidRPr="00D31A8B" w:rsidRDefault="00EE10B4" w:rsidP="00EE10B4">
      <w:pPr>
        <w:widowControl w:val="0"/>
        <w:tabs>
          <w:tab w:val="left" w:pos="728"/>
        </w:tabs>
        <w:autoSpaceDE w:val="0"/>
        <w:autoSpaceDN w:val="0"/>
        <w:spacing w:after="0" w:line="276" w:lineRule="auto"/>
        <w:jc w:val="both"/>
        <w:rPr>
          <w:rFonts w:ascii="Verdana" w:eastAsia="Arial" w:hAnsi="Verdana" w:cs="Arial"/>
          <w:lang w:val="es-ES"/>
        </w:rPr>
      </w:pPr>
    </w:p>
    <w:p w14:paraId="44613664" w14:textId="77777777" w:rsidR="00EE10B4" w:rsidRPr="00D920FA" w:rsidRDefault="00EE10B4" w:rsidP="00EE10B4">
      <w:pPr>
        <w:spacing w:after="120" w:line="276" w:lineRule="auto"/>
        <w:ind w:firstLine="709"/>
        <w:jc w:val="both"/>
        <w:rPr>
          <w:rFonts w:ascii="Verdana" w:eastAsia="Calibri" w:hAnsi="Verdana" w:cs="Arial"/>
          <w:color w:val="000000" w:themeColor="text1"/>
        </w:rPr>
      </w:pPr>
      <w:r w:rsidRPr="00D920FA">
        <w:rPr>
          <w:rFonts w:ascii="Verdana" w:eastAsia="Calibri" w:hAnsi="Verdana" w:cs="Arial"/>
          <w:color w:val="000000" w:themeColor="text1"/>
        </w:rPr>
        <w:t xml:space="preserve">El SECOP generó un cambio en la contratación pública, donde las actuaciones de las entidades se realizaban por escrito y en papel, y ahora se crea un mecanismo eficiente que reduce costos para que se cumpla el principio </w:t>
      </w:r>
      <w:r w:rsidRPr="00D920FA">
        <w:rPr>
          <w:rFonts w:ascii="Verdana" w:eastAsia="Calibri" w:hAnsi="Verdana" w:cs="Arial"/>
          <w:color w:val="000000" w:themeColor="text1"/>
        </w:rPr>
        <w:lastRenderedPageBreak/>
        <w:t>de publicidad, como un deber de las autoridades públicas en el ejercicio de las funciones administrativas que la ley les otorga. No obstante, es necesario aclarar que la norma no impone como requisito que únicamente se deba publicar en el SECOP cuando se ejecuten recursos públicos, ya que el deber de publicidad es amplio, teniendo en cuenta que está consagrado en una norma que aplica a las entidades, esto es, que son ellas quienes deben publicar las actuaciones relacionadas con su actividad contractual, sin que sea relevante en el cumplimiento de este deber la ejecución o no de recursos públicos, a pesar de que cuando se ejecutan cobra mayor importancia que se cumpla el principio de publicidad por involucrar un interés principal de la ciudadanía.</w:t>
      </w:r>
    </w:p>
    <w:p w14:paraId="607077E9" w14:textId="77777777" w:rsidR="00EE10B4" w:rsidRPr="00D920FA" w:rsidRDefault="00EE10B4" w:rsidP="00EE10B4">
      <w:pPr>
        <w:spacing w:before="120" w:after="120" w:line="276" w:lineRule="auto"/>
        <w:ind w:firstLine="709"/>
        <w:jc w:val="both"/>
        <w:rPr>
          <w:rFonts w:ascii="Verdana" w:eastAsia="Calibri" w:hAnsi="Verdana" w:cs="Arial"/>
          <w:color w:val="000000" w:themeColor="text1"/>
        </w:rPr>
      </w:pPr>
      <w:r w:rsidRPr="00D920FA">
        <w:rPr>
          <w:rFonts w:ascii="Verdana" w:eastAsia="Calibri" w:hAnsi="Verdana" w:cs="Arial"/>
          <w:color w:val="000000" w:themeColor="text1"/>
        </w:rPr>
        <w:t>Además, es preciso analizar en detalle el artículo 3 de la Ley 1150 de 2007, ya que prescribe la obligación de que la actividad contractual de las entidades se publique en el SECOP, sin que esta, necesaria y exclusivamente, involucre recursos públicos</w:t>
      </w:r>
      <w:r>
        <w:rPr>
          <w:rFonts w:ascii="Verdana" w:eastAsia="Calibri" w:hAnsi="Verdana" w:cs="Arial"/>
          <w:color w:val="000000" w:themeColor="text1"/>
        </w:rPr>
        <w:t>. P</w:t>
      </w:r>
      <w:r w:rsidRPr="00D920FA">
        <w:rPr>
          <w:rFonts w:ascii="Verdana" w:eastAsia="Calibri" w:hAnsi="Verdana" w:cs="Arial"/>
          <w:color w:val="000000" w:themeColor="text1"/>
        </w:rPr>
        <w:t>or el contrario, la norma es general al referirse a los actos derivados de las etapas de un procedimiento contractual, lo cual hace énfasis en que el objetivo de la ley es la contratación que realizan las entidades, y no únicamente los recursos públicos que se ejecuten para la satisfacción de las necesidades.</w:t>
      </w:r>
    </w:p>
    <w:p w14:paraId="55B520D3" w14:textId="77777777" w:rsidR="00EE10B4" w:rsidRPr="00D920FA" w:rsidRDefault="00EE10B4" w:rsidP="00EE10B4">
      <w:pPr>
        <w:spacing w:before="120" w:after="120" w:line="276" w:lineRule="auto"/>
        <w:ind w:firstLine="708"/>
        <w:jc w:val="both"/>
        <w:rPr>
          <w:rFonts w:ascii="Verdana" w:eastAsia="Calibri" w:hAnsi="Verdana" w:cs="Arial"/>
          <w:color w:val="000000" w:themeColor="text1"/>
        </w:rPr>
      </w:pPr>
      <w:r w:rsidRPr="00D920FA">
        <w:rPr>
          <w:rFonts w:ascii="Verdana" w:eastAsia="Calibri" w:hAnsi="Verdana" w:cs="Arial"/>
          <w:color w:val="000000" w:themeColor="text1"/>
        </w:rPr>
        <w:t>Lo anterior debe armonizar</w:t>
      </w:r>
      <w:r>
        <w:rPr>
          <w:rFonts w:ascii="Verdana" w:eastAsia="Calibri" w:hAnsi="Verdana" w:cs="Arial"/>
          <w:color w:val="000000" w:themeColor="text1"/>
        </w:rPr>
        <w:t>se</w:t>
      </w:r>
      <w:r w:rsidRPr="00D920FA">
        <w:rPr>
          <w:rFonts w:ascii="Verdana" w:eastAsia="Calibri" w:hAnsi="Verdana" w:cs="Arial"/>
          <w:color w:val="000000" w:themeColor="text1"/>
        </w:rPr>
        <w:t xml:space="preserve"> con el artículo 2.2.1.1.1.7.1 del Decreto 1082 de 2015, que relacionan los documentos que se deben publicar en el SECOP, sin que se haga referencia a aquellos actos que ejecuten recursos públicos, porque el interés principal de las normas es el principio de transparencia y publicidad, es decir, que la ciudadanía conozca la actividad contractual de las entidades, sin importar que lo único relevante sea la utilización de recursos públicos, más aún cuando cada documento da cuenta de las decisiones de la Administración pública en beneficio del interés general, lo cual puede o no requerir dineros del erario, sin que en ello radique el interés de la ciudadanía en conocer lo relacionado con los organismos que la dirigen.</w:t>
      </w:r>
    </w:p>
    <w:p w14:paraId="20B9302C" w14:textId="77777777" w:rsidR="00EE10B4" w:rsidRDefault="00EE10B4" w:rsidP="00EE10B4">
      <w:pPr>
        <w:spacing w:after="0" w:line="276" w:lineRule="auto"/>
        <w:ind w:firstLine="708"/>
        <w:jc w:val="both"/>
        <w:rPr>
          <w:rFonts w:ascii="Verdana" w:eastAsia="Calibri" w:hAnsi="Verdana" w:cs="Arial"/>
          <w:color w:val="000000" w:themeColor="text1"/>
        </w:rPr>
      </w:pPr>
      <w:r w:rsidRPr="00D920FA">
        <w:rPr>
          <w:rFonts w:ascii="Verdana" w:eastAsia="Calibri" w:hAnsi="Verdana" w:cs="Arial"/>
          <w:color w:val="000000" w:themeColor="text1"/>
        </w:rPr>
        <w:t xml:space="preserve">Así, analizando las normas sobre publicidad en el SECOP, se concluye que no existen disposiciones de las que se pueda inferir el interés de la ley en exigir la publicación exclusiva de los actos que comprometan la ejecución de recursos públicos, puesto que su objetivo es general y se refiere a la actividad precontractual, contractual y </w:t>
      </w:r>
      <w:proofErr w:type="spellStart"/>
      <w:r w:rsidRPr="00D920FA">
        <w:rPr>
          <w:rFonts w:ascii="Verdana" w:eastAsia="Calibri" w:hAnsi="Verdana" w:cs="Arial"/>
          <w:color w:val="000000" w:themeColor="text1"/>
        </w:rPr>
        <w:t>poscontractual</w:t>
      </w:r>
      <w:proofErr w:type="spellEnd"/>
      <w:r w:rsidRPr="00D920FA">
        <w:rPr>
          <w:rFonts w:ascii="Verdana" w:eastAsia="Calibri" w:hAnsi="Verdana" w:cs="Arial"/>
          <w:color w:val="000000" w:themeColor="text1"/>
        </w:rPr>
        <w:t xml:space="preserve"> de las entidades, sin que quepa interpretación diferente, debido a la finalidad de la ley respecto de la ciudadanía y su derecho a conocer las decisiones de la Administración pública.</w:t>
      </w:r>
      <w:r>
        <w:rPr>
          <w:rFonts w:ascii="Verdana" w:eastAsia="Calibri" w:hAnsi="Verdana" w:cs="Arial"/>
          <w:color w:val="000000" w:themeColor="text1"/>
        </w:rPr>
        <w:t xml:space="preserve"> Por ello, como indica el párrafo final del numeral 1.1 de la Circular Externa Única de la </w:t>
      </w:r>
      <w:r>
        <w:rPr>
          <w:rFonts w:ascii="Verdana" w:eastAsia="Calibri" w:hAnsi="Verdana" w:cs="Arial"/>
          <w:color w:val="000000" w:themeColor="text1"/>
        </w:rPr>
        <w:lastRenderedPageBreak/>
        <w:t>ANCP – CCE, “</w:t>
      </w:r>
      <w:r w:rsidRPr="00D920FA">
        <w:rPr>
          <w:rFonts w:ascii="Verdana" w:eastAsia="Calibri" w:hAnsi="Verdana" w:cs="Arial"/>
          <w:color w:val="000000" w:themeColor="text1"/>
        </w:rPr>
        <w:t>Las Entidades Estatales que contratan con cargo a recursos públicos están</w:t>
      </w:r>
      <w:r>
        <w:rPr>
          <w:rFonts w:ascii="Verdana" w:eastAsia="Calibri" w:hAnsi="Verdana" w:cs="Arial"/>
          <w:color w:val="000000" w:themeColor="text1"/>
        </w:rPr>
        <w:t xml:space="preserve"> </w:t>
      </w:r>
      <w:r w:rsidRPr="00D920FA">
        <w:rPr>
          <w:rFonts w:ascii="Verdana" w:eastAsia="Calibri" w:hAnsi="Verdana" w:cs="Arial"/>
          <w:color w:val="000000" w:themeColor="text1"/>
        </w:rPr>
        <w:t>obligadas a publicar oportunamente su actividad contractual en el SECOP, sin que</w:t>
      </w:r>
      <w:r>
        <w:rPr>
          <w:rFonts w:ascii="Verdana" w:eastAsia="Calibri" w:hAnsi="Verdana" w:cs="Arial"/>
          <w:color w:val="000000" w:themeColor="text1"/>
        </w:rPr>
        <w:t xml:space="preserve"> </w:t>
      </w:r>
      <w:r w:rsidRPr="00D920FA">
        <w:rPr>
          <w:rFonts w:ascii="Verdana" w:eastAsia="Calibri" w:hAnsi="Verdana" w:cs="Arial"/>
          <w:color w:val="000000" w:themeColor="text1"/>
        </w:rPr>
        <w:t>sea relevante, para la exigencia de esta obligación, su régimen jurídico, naturaleza</w:t>
      </w:r>
      <w:r>
        <w:rPr>
          <w:rFonts w:ascii="Verdana" w:eastAsia="Calibri" w:hAnsi="Verdana" w:cs="Arial"/>
          <w:color w:val="000000" w:themeColor="text1"/>
        </w:rPr>
        <w:t xml:space="preserve"> </w:t>
      </w:r>
      <w:r w:rsidRPr="00D920FA">
        <w:rPr>
          <w:rFonts w:ascii="Verdana" w:eastAsia="Calibri" w:hAnsi="Verdana" w:cs="Arial"/>
          <w:color w:val="000000" w:themeColor="text1"/>
        </w:rPr>
        <w:t xml:space="preserve">de público o privada o la pertenencia a una u otra rama del poder público. </w:t>
      </w:r>
      <w:r w:rsidRPr="00004751">
        <w:rPr>
          <w:rFonts w:ascii="Verdana" w:eastAsia="Calibri" w:hAnsi="Verdana" w:cs="Arial"/>
          <w:i/>
          <w:iCs/>
          <w:color w:val="000000" w:themeColor="text1"/>
        </w:rPr>
        <w:t>Esta obligación deberá cumplirse, inclusive, si la ejecución del contrato no implica erogación presupuestal</w:t>
      </w:r>
      <w:r>
        <w:rPr>
          <w:rFonts w:ascii="Verdana" w:eastAsia="Calibri" w:hAnsi="Verdana" w:cs="Arial"/>
          <w:color w:val="000000" w:themeColor="text1"/>
        </w:rPr>
        <w:t>” (Énfasis fuera de texto)</w:t>
      </w:r>
      <w:r w:rsidRPr="00D920FA">
        <w:rPr>
          <w:rFonts w:ascii="Verdana" w:eastAsia="Calibri" w:hAnsi="Verdana" w:cs="Arial"/>
          <w:color w:val="000000" w:themeColor="text1"/>
        </w:rPr>
        <w:t>.</w:t>
      </w:r>
    </w:p>
    <w:p w14:paraId="7B79C293" w14:textId="77777777" w:rsidR="00EE10B4" w:rsidRDefault="00EE10B4" w:rsidP="00EE10B4">
      <w:pPr>
        <w:spacing w:after="0" w:line="276" w:lineRule="auto"/>
        <w:ind w:firstLine="708"/>
        <w:jc w:val="both"/>
        <w:rPr>
          <w:rFonts w:ascii="Verdana" w:eastAsia="Calibri" w:hAnsi="Verdana" w:cs="Arial"/>
          <w:color w:val="000000" w:themeColor="text1"/>
        </w:rPr>
      </w:pPr>
    </w:p>
    <w:p w14:paraId="092A8342" w14:textId="77777777" w:rsidR="00EE10B4" w:rsidRPr="005E1F49" w:rsidRDefault="00EE10B4" w:rsidP="00EE10B4">
      <w:pPr>
        <w:pStyle w:val="Sinespaciado"/>
        <w:spacing w:line="276" w:lineRule="auto"/>
        <w:jc w:val="both"/>
        <w:rPr>
          <w:rFonts w:ascii="Verdana" w:hAnsi="Verdana" w:cs="Arial"/>
          <w:color w:val="000000" w:themeColor="text1"/>
          <w:sz w:val="22"/>
          <w:lang w:val="es-ES"/>
        </w:rPr>
      </w:pPr>
      <w:r>
        <w:rPr>
          <w:rFonts w:ascii="Verdana" w:eastAsia="Calibri" w:hAnsi="Verdana" w:cs="Arial"/>
          <w:color w:val="000000" w:themeColor="text1"/>
        </w:rPr>
        <w:t xml:space="preserve">vi. </w:t>
      </w:r>
      <w:r w:rsidRPr="005E1F49">
        <w:rPr>
          <w:rFonts w:ascii="Verdana" w:hAnsi="Verdana" w:cs="Arial"/>
          <w:color w:val="000000" w:themeColor="text1"/>
          <w:sz w:val="22"/>
        </w:rPr>
        <w:t xml:space="preserve">Finalmente, las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3EFA2636" w14:textId="77777777" w:rsidR="00EE10B4" w:rsidRPr="005E1F49" w:rsidRDefault="00EE10B4" w:rsidP="00EE10B4">
      <w:pPr>
        <w:pStyle w:val="Sinespaciado"/>
        <w:spacing w:line="276" w:lineRule="auto"/>
        <w:jc w:val="both"/>
        <w:rPr>
          <w:rFonts w:ascii="Verdana" w:hAnsi="Verdana" w:cs="Arial"/>
          <w:color w:val="000000" w:themeColor="text1"/>
          <w:sz w:val="22"/>
        </w:rPr>
      </w:pPr>
    </w:p>
    <w:p w14:paraId="6FE4B3E7" w14:textId="70F5221A" w:rsidR="00EE10B4" w:rsidRPr="00246E25" w:rsidRDefault="00EE10B4" w:rsidP="00EE10B4">
      <w:pPr>
        <w:pStyle w:val="NormalWeb"/>
        <w:shd w:val="clear" w:color="auto" w:fill="FFFFFF"/>
        <w:spacing w:before="0" w:beforeAutospacing="0" w:after="120" w:afterAutospacing="0"/>
        <w:ind w:left="709" w:right="709"/>
        <w:jc w:val="both"/>
        <w:rPr>
          <w:rFonts w:ascii="Verdana" w:eastAsiaTheme="minorHAnsi" w:hAnsi="Verdana" w:cs="Arial"/>
          <w:color w:val="000000" w:themeColor="text1"/>
          <w:sz w:val="20"/>
          <w:szCs w:val="20"/>
          <w:lang w:val="es-ES" w:eastAsia="en-US"/>
        </w:rPr>
      </w:pPr>
      <w:r w:rsidRPr="00246E25">
        <w:rPr>
          <w:rFonts w:ascii="Verdana" w:eastAsiaTheme="minorHAnsi" w:hAnsi="Verdana" w:cs="Arial"/>
          <w:color w:val="000000" w:themeColor="text1"/>
          <w:sz w:val="20"/>
          <w:szCs w:val="20"/>
          <w:lang w:val="es-ES" w:eastAsia="en-US"/>
        </w:rPr>
        <w:t xml:space="preserve">“De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w:t>
      </w:r>
      <w:proofErr w:type="spellStart"/>
      <w:r w:rsidRPr="00246E25">
        <w:rPr>
          <w:rFonts w:ascii="Verdana" w:eastAsiaTheme="minorHAnsi" w:hAnsi="Verdana" w:cs="Arial"/>
          <w:color w:val="000000" w:themeColor="text1"/>
          <w:sz w:val="20"/>
          <w:szCs w:val="20"/>
          <w:lang w:val="es-ES" w:eastAsia="en-US"/>
        </w:rPr>
        <w:t>o</w:t>
      </w:r>
      <w:r w:rsidR="00C84207">
        <w:rPr>
          <w:rFonts w:ascii="Verdana" w:eastAsiaTheme="minorHAnsi" w:hAnsi="Verdana" w:cs="Arial"/>
          <w:color w:val="000000" w:themeColor="text1"/>
          <w:sz w:val="20"/>
          <w:szCs w:val="20"/>
          <w:lang w:val="es-ES" w:eastAsia="en-US"/>
        </w:rPr>
        <w:t>a</w:t>
      </w:r>
      <w:r w:rsidR="00246E25">
        <w:rPr>
          <w:rFonts w:ascii="Verdana" w:eastAsiaTheme="minorHAnsi" w:hAnsi="Verdana" w:cs="Arial"/>
          <w:color w:val="000000" w:themeColor="text1"/>
          <w:sz w:val="20"/>
          <w:szCs w:val="20"/>
          <w:lang w:val="es-ES" w:eastAsia="en-US"/>
        </w:rPr>
        <w:t>aa</w:t>
      </w:r>
      <w:r w:rsidRPr="00246E25">
        <w:rPr>
          <w:rFonts w:ascii="Verdana" w:eastAsiaTheme="minorHAnsi" w:hAnsi="Verdana" w:cs="Arial"/>
          <w:color w:val="000000" w:themeColor="text1"/>
          <w:sz w:val="20"/>
          <w:szCs w:val="20"/>
          <w:lang w:val="es-ES" w:eastAsia="en-US"/>
        </w:rPr>
        <w:t>rdenador</w:t>
      </w:r>
      <w:proofErr w:type="spellEnd"/>
      <w:r w:rsidRPr="00246E25">
        <w:rPr>
          <w:rFonts w:ascii="Verdana" w:eastAsiaTheme="minorHAnsi" w:hAnsi="Verdana" w:cs="Arial"/>
          <w:color w:val="000000" w:themeColor="text1"/>
          <w:sz w:val="20"/>
          <w:szCs w:val="20"/>
          <w:lang w:val="es-ES" w:eastAsia="en-US"/>
        </w:rPr>
        <w:t xml:space="preserve"> y orientador del derecho– constituye la Finalidad, el Deber Ser, la Razón de Primer Orden en la cual se inspira, justifica y legitima la existencia de las normas que definen y regulan las inhabilidades e incompatibilidades.</w:t>
      </w:r>
    </w:p>
    <w:p w14:paraId="06D929FC" w14:textId="77777777" w:rsidR="00EE10B4" w:rsidRPr="00246E25" w:rsidRDefault="00EE10B4" w:rsidP="00EE10B4">
      <w:pPr>
        <w:pStyle w:val="NormalWeb"/>
        <w:shd w:val="clear" w:color="auto" w:fill="FFFFFF"/>
        <w:spacing w:before="0" w:beforeAutospacing="0" w:after="0" w:afterAutospacing="0"/>
        <w:ind w:left="709" w:right="709"/>
        <w:jc w:val="both"/>
        <w:rPr>
          <w:rFonts w:ascii="Verdana" w:eastAsiaTheme="minorHAnsi" w:hAnsi="Verdana" w:cs="Arial"/>
          <w:color w:val="000000" w:themeColor="text1"/>
          <w:sz w:val="20"/>
          <w:szCs w:val="20"/>
          <w:lang w:val="es-ES" w:eastAsia="en-US"/>
        </w:rPr>
      </w:pPr>
      <w:r w:rsidRPr="00246E25">
        <w:rPr>
          <w:rFonts w:ascii="Verdana" w:eastAsiaTheme="minorHAnsi" w:hAnsi="Verdana" w:cs="Arial"/>
          <w:color w:val="000000" w:themeColor="text1"/>
          <w:sz w:val="20"/>
          <w:szCs w:val="20"/>
          <w:lang w:val="es-ES" w:eastAsia="en-U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w:t>
      </w:r>
      <w:r w:rsidRPr="00246E25">
        <w:rPr>
          <w:rFonts w:ascii="Verdana" w:eastAsiaTheme="minorHAnsi" w:hAnsi="Verdana" w:cs="Arial"/>
          <w:color w:val="000000" w:themeColor="text1"/>
          <w:sz w:val="20"/>
          <w:szCs w:val="20"/>
          <w:lang w:val="es-ES" w:eastAsia="en-US"/>
        </w:rPr>
        <w:lastRenderedPageBreak/>
        <w:t>determinados potenciales contratistas, la cual se impone entonces por razón de ese fin de interés general como regla legal prevalente, esto es que puede ser impuesta sobre el derecho individual a contratar con el Estado”</w:t>
      </w:r>
      <w:r w:rsidRPr="00246E25">
        <w:rPr>
          <w:rStyle w:val="Refdenotaalpie"/>
          <w:rFonts w:ascii="Verdana" w:eastAsiaTheme="minorHAnsi" w:hAnsi="Verdana" w:cs="Arial"/>
          <w:color w:val="000000" w:themeColor="text1"/>
          <w:sz w:val="20"/>
          <w:szCs w:val="20"/>
          <w:lang w:val="es-ES" w:eastAsia="en-US"/>
        </w:rPr>
        <w:footnoteReference w:id="18"/>
      </w:r>
      <w:r w:rsidRPr="00246E25">
        <w:rPr>
          <w:rFonts w:ascii="Verdana" w:eastAsiaTheme="minorHAnsi" w:hAnsi="Verdana" w:cs="Arial"/>
          <w:color w:val="000000" w:themeColor="text1"/>
          <w:sz w:val="20"/>
          <w:szCs w:val="20"/>
          <w:lang w:val="es-ES" w:eastAsia="en-US"/>
        </w:rPr>
        <w:t xml:space="preserve">. </w:t>
      </w:r>
    </w:p>
    <w:p w14:paraId="542C4D90" w14:textId="77777777" w:rsidR="00EE10B4" w:rsidRPr="005E1F49" w:rsidRDefault="00EE10B4" w:rsidP="00EE10B4">
      <w:pPr>
        <w:pStyle w:val="Sinespaciado"/>
        <w:spacing w:line="276" w:lineRule="auto"/>
        <w:jc w:val="both"/>
        <w:rPr>
          <w:rFonts w:ascii="Verdana" w:hAnsi="Verdana" w:cs="Arial"/>
          <w:color w:val="000000" w:themeColor="text1"/>
          <w:sz w:val="22"/>
          <w:lang w:val="es-ES"/>
        </w:rPr>
      </w:pPr>
    </w:p>
    <w:p w14:paraId="42A85CD0" w14:textId="77777777" w:rsidR="00EE10B4" w:rsidRDefault="00EE10B4" w:rsidP="00EE10B4">
      <w:pPr>
        <w:spacing w:after="120" w:line="276" w:lineRule="auto"/>
        <w:ind w:firstLine="708"/>
        <w:jc w:val="both"/>
        <w:rPr>
          <w:rFonts w:ascii="Verdana" w:hAnsi="Verdana" w:cs="Arial"/>
          <w:color w:val="000000" w:themeColor="text1"/>
        </w:rPr>
      </w:pPr>
      <w:r w:rsidRPr="005E1F49">
        <w:rPr>
          <w:rFonts w:ascii="Verdana" w:hAnsi="Verdana" w:cs="Arial"/>
          <w:color w:val="000000" w:themeColor="text1"/>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5E1F49">
        <w:rPr>
          <w:rFonts w:ascii="Verdana" w:eastAsia="Calibri" w:hAnsi="Verdana" w:cs="Arial"/>
          <w:color w:val="000000" w:themeColor="text1"/>
          <w:lang w:val="es-ES_tradnl"/>
        </w:rPr>
        <w:t xml:space="preserve">,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5E1F49">
        <w:rPr>
          <w:rFonts w:ascii="Verdana" w:hAnsi="Verdana" w:cs="Arial"/>
          <w:color w:val="000000" w:themeColor="text1"/>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4FFD66B0" w14:textId="77777777" w:rsidR="00EE10B4" w:rsidRDefault="00EE10B4" w:rsidP="00EE10B4">
      <w:pPr>
        <w:spacing w:after="0" w:line="276" w:lineRule="auto"/>
        <w:ind w:firstLine="709"/>
        <w:jc w:val="both"/>
        <w:rPr>
          <w:rFonts w:ascii="Verdana" w:eastAsia="Calibri" w:hAnsi="Verdana" w:cs="Arial"/>
          <w:lang w:val="es-ES_tradnl"/>
        </w:rPr>
      </w:pPr>
      <w:r w:rsidRPr="00911055">
        <w:rPr>
          <w:rFonts w:ascii="Verdana" w:eastAsia="Calibri" w:hAnsi="Verdana" w:cs="Arial"/>
          <w:lang w:val="es-ES_tradnl"/>
        </w:rPr>
        <w:t xml:space="preserve">Ahora bien, el literal a) del artículo 8.1 de la Ley 80 de 1993 dispone que son inhábiles para participar procesos de selección y para celebrar contratos estatales “Las personas que se hallen inhabilitadas para contratar por la Constitución y las leyes”. De esta manera, el régimen de inhabilidades en el sistema de compras públicas no se agota en el artículo 8 precitado, sino que se integra con otras normas del ordenamiento jurídico. Asimismo, todas se extienden a las entidades exceptuadas del EGCAP, especialmente, cuando el inciso primero del artículo 13 de la Ley 1150 de 2007 prescribe que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Incluso, en virtud del artículo 6 del Decreto 092 de 2017, también hacen parte de los negocios jurídicos que se suscriban con las ESAL conforme a los artículos 355 constitucional o 96 de la </w:t>
      </w:r>
      <w:r w:rsidRPr="00911055">
        <w:rPr>
          <w:rFonts w:ascii="Verdana" w:eastAsia="Calibri" w:hAnsi="Verdana" w:cs="Arial"/>
          <w:lang w:val="es-ES_tradnl"/>
        </w:rPr>
        <w:lastRenderedPageBreak/>
        <w:t>Ley 489 de 1998</w:t>
      </w:r>
      <w:r w:rsidRPr="00911055">
        <w:rPr>
          <w:rStyle w:val="Refdenotaalpie"/>
          <w:rFonts w:ascii="Verdana" w:eastAsia="Calibri" w:hAnsi="Verdana" w:cs="Arial"/>
          <w:lang w:val="es-ES_tradnl"/>
        </w:rPr>
        <w:footnoteReference w:id="19"/>
      </w:r>
      <w:r w:rsidRPr="00911055">
        <w:rPr>
          <w:rFonts w:ascii="Verdana" w:eastAsia="Calibri" w:hAnsi="Verdana" w:cs="Arial"/>
          <w:lang w:val="es-ES_tradnl"/>
        </w:rPr>
        <w:t>.</w:t>
      </w:r>
      <w:r>
        <w:rPr>
          <w:rFonts w:ascii="Verdana" w:eastAsia="Calibri" w:hAnsi="Verdana" w:cs="Arial"/>
          <w:lang w:val="es-ES_tradnl"/>
        </w:rPr>
        <w:t xml:space="preserve"> En este contexto, el régimen de inhabilidades e incompatibilidades implica restricciones transversales al sistema de compras públicas; razón por la cual, aplica toda tipología contractual sin distinción.</w:t>
      </w:r>
    </w:p>
    <w:p w14:paraId="47594095" w14:textId="77777777" w:rsidR="00EE10B4" w:rsidRDefault="00EE10B4" w:rsidP="00EE10B4">
      <w:pPr>
        <w:spacing w:after="0" w:line="276" w:lineRule="auto"/>
        <w:ind w:firstLine="709"/>
        <w:jc w:val="both"/>
        <w:rPr>
          <w:rFonts w:ascii="Verdana" w:eastAsia="Calibri" w:hAnsi="Verdana" w:cs="Arial"/>
          <w:lang w:val="es-ES_tradnl"/>
        </w:rPr>
      </w:pPr>
    </w:p>
    <w:p w14:paraId="460F7B61" w14:textId="77777777" w:rsidR="00EE10B4" w:rsidRPr="0003131A" w:rsidRDefault="00EE10B4" w:rsidP="00EE10B4">
      <w:pPr>
        <w:spacing w:after="120" w:line="276" w:lineRule="auto"/>
        <w:jc w:val="both"/>
        <w:rPr>
          <w:rFonts w:ascii="Verdana" w:eastAsia="Calibri" w:hAnsi="Verdana" w:cs="Arial"/>
          <w:lang w:val="es-ES_tradnl"/>
        </w:rPr>
      </w:pP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w:t>
      </w:r>
      <w:r>
        <w:rPr>
          <w:rFonts w:ascii="Verdana" w:eastAsia="Calibri" w:hAnsi="Verdana" w:cs="Arial"/>
          <w:bCs/>
          <w:color w:val="000000" w:themeColor="text1"/>
        </w:rPr>
        <w:t>Así, dentro de los límites del ordenamiento, las partes pueden definir el contenido del negocio, pues –conforme al inciso 3 del artículo 40 del EGCAP– “</w:t>
      </w:r>
      <w:r w:rsidRPr="004468C9">
        <w:rPr>
          <w:rFonts w:ascii="Verdana" w:eastAsia="Calibri" w:hAnsi="Verdana" w:cs="Arial"/>
          <w:bCs/>
          <w:color w:val="000000" w:themeColor="text1"/>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Pr>
          <w:rFonts w:ascii="Verdana" w:eastAsia="Calibri" w:hAnsi="Verdana" w:cs="Arial"/>
          <w:bCs/>
          <w:color w:val="000000" w:themeColor="text1"/>
        </w:rPr>
        <w:t>”</w:t>
      </w:r>
      <w:r w:rsidRPr="004468C9">
        <w:rPr>
          <w:rFonts w:ascii="Verdana" w:eastAsia="Calibri" w:hAnsi="Verdana" w:cs="Arial"/>
          <w:bCs/>
          <w:color w:val="000000" w:themeColor="text1"/>
        </w:rPr>
        <w:t>.</w:t>
      </w:r>
      <w:r>
        <w:rPr>
          <w:rFonts w:ascii="Verdana" w:eastAsia="Calibri" w:hAnsi="Verdana" w:cs="Arial"/>
          <w:bCs/>
          <w:color w:val="000000" w:themeColor="text1"/>
        </w:rPr>
        <w:t xml:space="preserve"> </w:t>
      </w:r>
      <w:r w:rsidRPr="00E853DE">
        <w:rPr>
          <w:rFonts w:ascii="Verdana" w:eastAsia="Calibri" w:hAnsi="Verdana" w:cs="Arial"/>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AFD1D9D" w14:textId="77777777" w:rsidR="00EE10B4" w:rsidRPr="00185EE9" w:rsidRDefault="00EE10B4" w:rsidP="00EE10B4">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B660706" w14:textId="77777777" w:rsidR="00EE10B4" w:rsidRPr="00182C89" w:rsidRDefault="00EE10B4" w:rsidP="00EE10B4">
      <w:pPr>
        <w:tabs>
          <w:tab w:val="left" w:pos="709"/>
        </w:tabs>
        <w:spacing w:after="0" w:line="276" w:lineRule="auto"/>
        <w:jc w:val="both"/>
        <w:rPr>
          <w:rFonts w:ascii="Verdana" w:eastAsia="Calibri" w:hAnsi="Verdana" w:cs="Arial"/>
          <w:color w:val="000000" w:themeColor="text1"/>
        </w:rPr>
      </w:pPr>
    </w:p>
    <w:p w14:paraId="542835BD" w14:textId="77777777" w:rsidR="00EE10B4" w:rsidRPr="00593A5F" w:rsidRDefault="00EE10B4" w:rsidP="00EE10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5A27538" w14:textId="77777777" w:rsidR="00EE10B4" w:rsidRPr="00593A5F" w:rsidRDefault="00EE10B4" w:rsidP="00EE10B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E10B4" w:rsidRPr="002407CE" w14:paraId="7D688E49" w14:textId="77777777" w:rsidTr="00456BB0">
        <w:trPr>
          <w:trHeight w:val="870"/>
          <w:jc w:val="center"/>
        </w:trPr>
        <w:tc>
          <w:tcPr>
            <w:tcW w:w="8647" w:type="dxa"/>
          </w:tcPr>
          <w:p w14:paraId="6477ABD9" w14:textId="77777777" w:rsidR="00EE10B4"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Constitución Política de 1991, artículos 150, 209, 267, 318, 352 y 355.</w:t>
            </w:r>
          </w:p>
          <w:p w14:paraId="5E08A11C" w14:textId="77777777" w:rsidR="00EE10B4"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8, 13, 32 y 40.</w:t>
            </w:r>
          </w:p>
          <w:p w14:paraId="0C19A3FD" w14:textId="77777777" w:rsidR="00EE10B4"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136 de 1994, artículos 120, 131, 136 y 137.</w:t>
            </w:r>
          </w:p>
          <w:p w14:paraId="4EB4DB34" w14:textId="77777777" w:rsidR="00EE10B4"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artículos 8 y 96.</w:t>
            </w:r>
          </w:p>
          <w:p w14:paraId="0B4A3FDF" w14:textId="77777777" w:rsidR="00EE10B4"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3 y 13.</w:t>
            </w:r>
          </w:p>
          <w:p w14:paraId="3A8109A8" w14:textId="77777777" w:rsidR="00EE10B4"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3.</w:t>
            </w:r>
          </w:p>
          <w:p w14:paraId="035C3BFD" w14:textId="77777777" w:rsidR="00EE10B4"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1712 de 2014, artículos 9 y 11.</w:t>
            </w:r>
          </w:p>
          <w:p w14:paraId="0476171B" w14:textId="77777777" w:rsidR="00EE10B4"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111 de 1996, artículo 111.</w:t>
            </w:r>
          </w:p>
          <w:p w14:paraId="41611125" w14:textId="77777777" w:rsidR="00EE10B4" w:rsidRPr="00774274"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920FA">
              <w:rPr>
                <w:rFonts w:ascii="Verdana" w:eastAsia="Calibri" w:hAnsi="Verdana" w:cs="Arial"/>
                <w:color w:val="000000" w:themeColor="text1"/>
              </w:rPr>
              <w:t>Decreto 1082 de 2015</w:t>
            </w:r>
            <w:r>
              <w:rPr>
                <w:rFonts w:ascii="Verdana" w:eastAsia="Calibri" w:hAnsi="Verdana" w:cs="Arial"/>
                <w:color w:val="000000" w:themeColor="text1"/>
              </w:rPr>
              <w:t xml:space="preserve">, </w:t>
            </w:r>
            <w:r w:rsidRPr="00D920FA">
              <w:rPr>
                <w:rFonts w:ascii="Verdana" w:eastAsia="Calibri" w:hAnsi="Verdana" w:cs="Arial"/>
                <w:color w:val="000000" w:themeColor="text1"/>
              </w:rPr>
              <w:t>artículo 2.2.1.1.1.7.1</w:t>
            </w:r>
            <w:r>
              <w:rPr>
                <w:rFonts w:ascii="Verdana" w:eastAsia="Calibri" w:hAnsi="Verdana" w:cs="Arial"/>
                <w:color w:val="000000" w:themeColor="text1"/>
              </w:rPr>
              <w:t>.</w:t>
            </w:r>
          </w:p>
          <w:p w14:paraId="43DB83F8" w14:textId="77777777" w:rsidR="00EE10B4" w:rsidRPr="00185EE9" w:rsidRDefault="00EE10B4" w:rsidP="00456BB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color w:val="000000" w:themeColor="text1"/>
              </w:rPr>
              <w:t>Decreto 092 de 2017, artículo 6.</w:t>
            </w:r>
          </w:p>
          <w:p w14:paraId="57629E87" w14:textId="77777777" w:rsidR="00EE10B4" w:rsidRPr="004468C9" w:rsidRDefault="00EE10B4" w:rsidP="00456BB0">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Pr>
                <w:rFonts w:ascii="Verdana" w:hAnsi="Verdana" w:cs="Arial"/>
              </w:rPr>
              <w:t>701, 1194, 1195, 1317, 1443, 1450, 1457, 1458, 1459, 1485, 1499, 1496 y 1602</w:t>
            </w:r>
            <w:r w:rsidRPr="00185EE9">
              <w:rPr>
                <w:rFonts w:ascii="Verdana" w:hAnsi="Verdana" w:cs="Arial"/>
              </w:rPr>
              <w:t>.</w:t>
            </w:r>
          </w:p>
        </w:tc>
      </w:tr>
    </w:tbl>
    <w:p w14:paraId="2F278048" w14:textId="77777777" w:rsidR="00EE10B4" w:rsidRPr="002407CE" w:rsidRDefault="00EE10B4" w:rsidP="00EE10B4">
      <w:pPr>
        <w:widowControl w:val="0"/>
        <w:autoSpaceDE w:val="0"/>
        <w:autoSpaceDN w:val="0"/>
        <w:spacing w:after="0" w:line="276" w:lineRule="auto"/>
        <w:jc w:val="both"/>
        <w:rPr>
          <w:rFonts w:ascii="Verdana" w:hAnsi="Verdana" w:cs="Arial"/>
        </w:rPr>
      </w:pPr>
    </w:p>
    <w:p w14:paraId="19710414" w14:textId="77777777" w:rsidR="00EE10B4" w:rsidRPr="00593A5F" w:rsidRDefault="00EE10B4" w:rsidP="00EE10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FB63667" w14:textId="77777777" w:rsidR="00EE10B4" w:rsidRPr="00593A5F" w:rsidRDefault="00EE10B4" w:rsidP="00EE10B4">
      <w:pPr>
        <w:widowControl w:val="0"/>
        <w:autoSpaceDE w:val="0"/>
        <w:autoSpaceDN w:val="0"/>
        <w:spacing w:after="0" w:line="276" w:lineRule="auto"/>
        <w:jc w:val="both"/>
        <w:rPr>
          <w:rFonts w:ascii="Verdana" w:hAnsi="Verdana" w:cs="Arial"/>
        </w:rPr>
      </w:pPr>
    </w:p>
    <w:p w14:paraId="2C51DDAB" w14:textId="1572041B" w:rsidR="00EE10B4" w:rsidRPr="00ED0098" w:rsidRDefault="00EE10B4" w:rsidP="00EE10B4">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t>Est</w:t>
      </w:r>
      <w:r w:rsidR="001432FA">
        <w:rPr>
          <w:rFonts w:ascii="Verdana" w:hAnsi="Verdana" w:cs="Arial"/>
          <w:shd w:val="clear" w:color="auto" w:fill="FFFFFF"/>
        </w:rPr>
        <w:t>e</w:t>
      </w:r>
      <w:r w:rsidRPr="00DD0AFF">
        <w:rPr>
          <w:rFonts w:ascii="Verdana" w:hAnsi="Verdana" w:cs="Arial"/>
          <w:shd w:val="clear" w:color="auto" w:fill="FFFFFF"/>
        </w:rPr>
        <w:t xml:space="preserve"> y otros</w:t>
      </w:r>
      <w:r>
        <w:rPr>
          <w:rFonts w:ascii="Verdana" w:hAnsi="Verdana" w:cs="Arial"/>
          <w:shd w:val="clear" w:color="auto" w:fill="FFFFFF"/>
        </w:rPr>
        <w:t xml:space="preserve"> conceptos de la Subdirección de Gestión Contractual</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BB1B133" w14:textId="77777777" w:rsidR="00EE10B4" w:rsidRPr="00096788" w:rsidRDefault="00EE10B4" w:rsidP="00EE10B4">
      <w:pPr>
        <w:widowControl w:val="0"/>
        <w:autoSpaceDE w:val="0"/>
        <w:autoSpaceDN w:val="0"/>
        <w:spacing w:after="0" w:line="276" w:lineRule="auto"/>
        <w:jc w:val="both"/>
        <w:rPr>
          <w:rFonts w:ascii="Verdana" w:hAnsi="Verdana" w:cs="Arial"/>
          <w:color w:val="000000" w:themeColor="text1"/>
          <w:shd w:val="clear" w:color="auto" w:fill="FFFFFF"/>
        </w:rPr>
      </w:pPr>
    </w:p>
    <w:p w14:paraId="4AE7E7B0" w14:textId="77777777" w:rsidR="00EE10B4" w:rsidRPr="00E440FD" w:rsidRDefault="00EE10B4" w:rsidP="00EE10B4">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3DB035F0" w14:textId="77777777" w:rsidR="00EE10B4" w:rsidRPr="009C4035" w:rsidRDefault="00EE10B4" w:rsidP="00EE10B4">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C11FA5A" w14:textId="77777777" w:rsidR="00EE10B4" w:rsidRPr="00593A5F" w:rsidRDefault="00EE10B4" w:rsidP="00EE10B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8BE1115" w14:textId="77777777" w:rsidR="00EE10B4" w:rsidRPr="00593A5F" w:rsidRDefault="00EE10B4" w:rsidP="00EE10B4">
      <w:pPr>
        <w:widowControl w:val="0"/>
        <w:autoSpaceDE w:val="0"/>
        <w:autoSpaceDN w:val="0"/>
        <w:spacing w:after="0" w:line="276" w:lineRule="auto"/>
        <w:jc w:val="both"/>
        <w:rPr>
          <w:rFonts w:ascii="Verdana" w:hAnsi="Verdana" w:cs="Arial"/>
        </w:rPr>
      </w:pPr>
    </w:p>
    <w:p w14:paraId="3EA229EC" w14:textId="77777777" w:rsidR="00EE10B4" w:rsidRPr="00593A5F" w:rsidRDefault="00EE10B4" w:rsidP="00EE10B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E2F0DA9" w14:textId="61993CBF" w:rsidR="00EE10B4" w:rsidRPr="00593A5F" w:rsidRDefault="008253D4" w:rsidP="00EE10B4">
      <w:pPr>
        <w:spacing w:line="276" w:lineRule="auto"/>
        <w:jc w:val="center"/>
        <w:rPr>
          <w:rFonts w:ascii="Verdana" w:hAnsi="Verdana" w:cs="Arial"/>
          <w:color w:val="000000"/>
          <w:lang w:val="es-ES_tradnl" w:eastAsia="es-CO"/>
        </w:rPr>
      </w:pPr>
      <w:r>
        <w:rPr>
          <w:noProof/>
        </w:rPr>
        <w:drawing>
          <wp:inline distT="0" distB="0" distL="0" distR="0" wp14:anchorId="4EBC64FF" wp14:editId="2C7B5CE9">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E10B4" w:rsidRPr="00593A5F" w14:paraId="7468C72B" w14:textId="77777777" w:rsidTr="00456BB0">
        <w:trPr>
          <w:trHeight w:val="315"/>
        </w:trPr>
        <w:tc>
          <w:tcPr>
            <w:tcW w:w="893" w:type="dxa"/>
            <w:vAlign w:val="center"/>
            <w:hideMark/>
          </w:tcPr>
          <w:p w14:paraId="1E2BFED0" w14:textId="77777777" w:rsidR="00EE10B4" w:rsidRPr="003751C7" w:rsidRDefault="00EE10B4" w:rsidP="00456BB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8DB3321" w14:textId="77777777" w:rsidR="00EE10B4" w:rsidRPr="00254A7A" w:rsidRDefault="00EE10B4" w:rsidP="00456BB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C4529FE" w14:textId="77777777" w:rsidR="00EE10B4" w:rsidRPr="00254A7A" w:rsidRDefault="00EE10B4" w:rsidP="00456BB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EE10B4" w:rsidRPr="00593A5F" w14:paraId="40C3C322" w14:textId="77777777" w:rsidTr="00456BB0">
        <w:trPr>
          <w:trHeight w:val="330"/>
        </w:trPr>
        <w:tc>
          <w:tcPr>
            <w:tcW w:w="893" w:type="dxa"/>
            <w:vAlign w:val="center"/>
            <w:hideMark/>
          </w:tcPr>
          <w:p w14:paraId="72ADAAEA" w14:textId="77777777" w:rsidR="00EE10B4" w:rsidRPr="003751C7" w:rsidRDefault="00EE10B4" w:rsidP="00456BB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B82BB3D" w14:textId="77777777" w:rsidR="00EE10B4" w:rsidRPr="001B6B73" w:rsidRDefault="00EE10B4" w:rsidP="00456BB0">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3155B9C0" w14:textId="77777777" w:rsidR="00EE10B4" w:rsidRPr="00254A7A" w:rsidRDefault="00EE10B4" w:rsidP="00456BB0">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EE10B4" w:rsidRPr="00593A5F" w14:paraId="48B99A13" w14:textId="77777777" w:rsidTr="00456BB0">
        <w:trPr>
          <w:trHeight w:val="300"/>
        </w:trPr>
        <w:tc>
          <w:tcPr>
            <w:tcW w:w="893" w:type="dxa"/>
            <w:vAlign w:val="center"/>
          </w:tcPr>
          <w:p w14:paraId="3121B4A9" w14:textId="77777777" w:rsidR="00EE10B4" w:rsidRPr="003751C7" w:rsidRDefault="00EE10B4" w:rsidP="00456BB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51C91E8" w14:textId="77777777" w:rsidR="00EE10B4" w:rsidRPr="003751C7" w:rsidRDefault="00EE10B4" w:rsidP="00456BB0">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4165B4E" w14:textId="77777777" w:rsidR="00EE10B4" w:rsidRPr="003751C7" w:rsidRDefault="00EE10B4" w:rsidP="00456BB0">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1358A378" w14:textId="77777777" w:rsidR="00EE10B4" w:rsidRPr="00543BFE" w:rsidRDefault="00EE10B4" w:rsidP="00EE10B4"/>
    <w:p w14:paraId="0F293BF4" w14:textId="7D42170B" w:rsidR="00127233" w:rsidRPr="009068CE" w:rsidRDefault="00127233" w:rsidP="009068CE"/>
    <w:sectPr w:rsidR="00127233" w:rsidRPr="009068C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FDFE8" w14:textId="77777777" w:rsidR="00C8123D" w:rsidRDefault="00C8123D" w:rsidP="004A1847">
      <w:pPr>
        <w:spacing w:after="0" w:line="240" w:lineRule="auto"/>
      </w:pPr>
      <w:r>
        <w:separator/>
      </w:r>
    </w:p>
  </w:endnote>
  <w:endnote w:type="continuationSeparator" w:id="0">
    <w:p w14:paraId="7ADA60D9" w14:textId="77777777" w:rsidR="00C8123D" w:rsidRDefault="00C8123D" w:rsidP="004A1847">
      <w:pPr>
        <w:spacing w:after="0" w:line="240" w:lineRule="auto"/>
      </w:pPr>
      <w:r>
        <w:continuationSeparator/>
      </w:r>
    </w:p>
  </w:endnote>
  <w:endnote w:type="continuationNotice" w:id="1">
    <w:p w14:paraId="081E594D" w14:textId="77777777" w:rsidR="00C8123D" w:rsidRDefault="00C812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40A21" w14:textId="77777777" w:rsidR="00C8123D" w:rsidRDefault="00C8123D" w:rsidP="004A1847">
      <w:pPr>
        <w:spacing w:after="0" w:line="240" w:lineRule="auto"/>
      </w:pPr>
      <w:r>
        <w:separator/>
      </w:r>
    </w:p>
  </w:footnote>
  <w:footnote w:type="continuationSeparator" w:id="0">
    <w:p w14:paraId="34D16388" w14:textId="77777777" w:rsidR="00C8123D" w:rsidRDefault="00C8123D" w:rsidP="004A1847">
      <w:pPr>
        <w:spacing w:after="0" w:line="240" w:lineRule="auto"/>
      </w:pPr>
      <w:r>
        <w:continuationSeparator/>
      </w:r>
    </w:p>
  </w:footnote>
  <w:footnote w:type="continuationNotice" w:id="1">
    <w:p w14:paraId="4FC78ACE" w14:textId="77777777" w:rsidR="00C8123D" w:rsidRDefault="00C8123D">
      <w:pPr>
        <w:spacing w:after="0" w:line="240" w:lineRule="auto"/>
      </w:pPr>
    </w:p>
  </w:footnote>
  <w:footnote w:id="2">
    <w:p w14:paraId="70258FDD" w14:textId="77777777" w:rsidR="00EE10B4" w:rsidRPr="005E1F49" w:rsidRDefault="00EE10B4" w:rsidP="00EE10B4">
      <w:pPr>
        <w:pStyle w:val="Textonotapie"/>
        <w:ind w:firstLine="708"/>
        <w:jc w:val="both"/>
        <w:rPr>
          <w:rFonts w:ascii="Verdana" w:hAnsi="Verdana"/>
          <w:sz w:val="16"/>
          <w:szCs w:val="16"/>
        </w:rPr>
      </w:pPr>
      <w:r w:rsidRPr="005E1F49">
        <w:rPr>
          <w:rStyle w:val="Refdenotaalpie"/>
          <w:rFonts w:ascii="Verdana" w:hAnsi="Verdana"/>
          <w:sz w:val="16"/>
          <w:szCs w:val="16"/>
        </w:rPr>
        <w:footnoteRef/>
      </w:r>
      <w:r w:rsidRPr="005E1F49">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6C0CF28A" w14:textId="77777777" w:rsidR="00EE10B4" w:rsidRPr="005E1F49" w:rsidRDefault="00EE10B4" w:rsidP="00EE10B4">
      <w:pPr>
        <w:pStyle w:val="Textonotapie"/>
        <w:ind w:firstLine="708"/>
        <w:jc w:val="both"/>
        <w:rPr>
          <w:rFonts w:ascii="Verdana" w:hAnsi="Verdana"/>
          <w:sz w:val="16"/>
          <w:szCs w:val="16"/>
        </w:rPr>
      </w:pPr>
      <w:r w:rsidRPr="005E1F49">
        <w:rPr>
          <w:rFonts w:ascii="Verdana" w:hAnsi="Verdana"/>
          <w:sz w:val="16"/>
          <w:szCs w:val="16"/>
        </w:rPr>
        <w:t>[…]</w:t>
      </w:r>
    </w:p>
    <w:p w14:paraId="47C18F7E" w14:textId="77777777" w:rsidR="00EE10B4" w:rsidRPr="005E1F49" w:rsidRDefault="00EE10B4" w:rsidP="00EE10B4">
      <w:pPr>
        <w:pStyle w:val="Textonotapie"/>
        <w:ind w:firstLine="708"/>
        <w:jc w:val="both"/>
        <w:rPr>
          <w:rFonts w:ascii="Verdana" w:hAnsi="Verdana"/>
          <w:sz w:val="16"/>
          <w:szCs w:val="16"/>
        </w:rPr>
      </w:pPr>
      <w:r w:rsidRPr="005E1F49">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67AABC3F" w14:textId="77777777" w:rsidR="00EE10B4" w:rsidRPr="005E1F49" w:rsidRDefault="00EE10B4" w:rsidP="00EE10B4">
      <w:pPr>
        <w:pStyle w:val="Textonotapie"/>
        <w:ind w:firstLine="708"/>
        <w:jc w:val="both"/>
        <w:rPr>
          <w:rFonts w:ascii="Verdana" w:hAnsi="Verdana"/>
          <w:sz w:val="16"/>
          <w:szCs w:val="16"/>
        </w:rPr>
      </w:pPr>
      <w:r w:rsidRPr="005E1F49">
        <w:rPr>
          <w:rFonts w:ascii="Verdana" w:hAnsi="Verdana"/>
          <w:sz w:val="16"/>
          <w:szCs w:val="16"/>
        </w:rPr>
        <w:t>En todo caso, el Presidente de la República podrá celebrar contratos a nombre de la Nación”.</w:t>
      </w:r>
    </w:p>
  </w:footnote>
  <w:footnote w:id="3">
    <w:p w14:paraId="1C04B72C" w14:textId="77777777" w:rsidR="00EE10B4" w:rsidRPr="005E1F49" w:rsidRDefault="00EE10B4" w:rsidP="00EE10B4">
      <w:pPr>
        <w:pStyle w:val="Textonotapie"/>
        <w:ind w:firstLine="708"/>
        <w:jc w:val="both"/>
        <w:rPr>
          <w:rFonts w:ascii="Verdana" w:hAnsi="Verdana" w:cs="Arial"/>
          <w:sz w:val="16"/>
          <w:szCs w:val="16"/>
        </w:rPr>
      </w:pPr>
      <w:r w:rsidRPr="005E1F49">
        <w:rPr>
          <w:rStyle w:val="Refdenotaalpie"/>
          <w:rFonts w:ascii="Verdana" w:hAnsi="Verdana" w:cs="Arial"/>
          <w:sz w:val="16"/>
          <w:szCs w:val="16"/>
        </w:rPr>
        <w:footnoteRef/>
      </w:r>
      <w:r w:rsidRPr="005E1F49">
        <w:rPr>
          <w:rFonts w:ascii="Verdana" w:hAnsi="Verdana" w:cs="Arial"/>
          <w:sz w:val="16"/>
          <w:szCs w:val="16"/>
        </w:rPr>
        <w:t xml:space="preserve"> El inciso primero de norma disponía que, conforme al principio de transparencia, “</w:t>
      </w:r>
      <w:r w:rsidRPr="005E1F49">
        <w:rPr>
          <w:rFonts w:ascii="Verdana" w:hAnsi="Verdana" w:cs="Arial"/>
          <w:i/>
          <w:iCs/>
          <w:sz w:val="16"/>
          <w:szCs w:val="16"/>
        </w:rPr>
        <w:t>La escogencia del contratista se efectuará siempre a través de licitación o concurso públicos</w:t>
      </w:r>
      <w:r w:rsidRPr="005E1F49">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7BF3D73E" w14:textId="77777777" w:rsidR="00EE10B4" w:rsidRPr="005E1F49" w:rsidRDefault="00EE10B4" w:rsidP="00EE10B4">
      <w:pPr>
        <w:pStyle w:val="Textonotapie"/>
        <w:ind w:firstLine="708"/>
        <w:jc w:val="both"/>
        <w:rPr>
          <w:rFonts w:ascii="Verdana" w:hAnsi="Verdana" w:cs="Arial"/>
          <w:sz w:val="16"/>
          <w:szCs w:val="16"/>
        </w:rPr>
      </w:pPr>
      <w:r w:rsidRPr="005E1F49">
        <w:rPr>
          <w:rStyle w:val="Refdenotaalpie"/>
          <w:rFonts w:ascii="Verdana" w:hAnsi="Verdana" w:cs="Arial"/>
          <w:sz w:val="16"/>
          <w:szCs w:val="16"/>
        </w:rPr>
        <w:footnoteRef/>
      </w:r>
      <w:r w:rsidRPr="005E1F49">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5E1F49">
        <w:rPr>
          <w:rFonts w:ascii="Verdana" w:hAnsi="Verdana" w:cs="Arial"/>
          <w:i/>
          <w:iCs/>
          <w:sz w:val="16"/>
          <w:szCs w:val="16"/>
        </w:rPr>
        <w:t>Presentación de la oferta de manera dinámica</w:t>
      </w:r>
      <w:r w:rsidRPr="005E1F49">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54955192" w14:textId="77777777" w:rsidR="00EE10B4" w:rsidRPr="00505904" w:rsidRDefault="00EE10B4" w:rsidP="00EE10B4">
      <w:pPr>
        <w:spacing w:after="0"/>
        <w:ind w:firstLine="708"/>
        <w:jc w:val="both"/>
        <w:rPr>
          <w:rFonts w:ascii="Verdana" w:hAnsi="Verdana"/>
          <w:sz w:val="16"/>
          <w:szCs w:val="16"/>
          <w:lang w:val="es-MX"/>
        </w:rPr>
      </w:pPr>
      <w:r w:rsidRPr="00DE4CB0">
        <w:rPr>
          <w:rStyle w:val="Refdenotaalpie"/>
          <w:rFonts w:ascii="Verdana" w:hAnsi="Verdana"/>
          <w:sz w:val="16"/>
          <w:szCs w:val="16"/>
        </w:rPr>
        <w:footnoteRef/>
      </w:r>
      <w:r w:rsidRPr="00DE4CB0">
        <w:rPr>
          <w:rFonts w:ascii="Verdana" w:hAnsi="Verdana"/>
          <w:sz w:val="16"/>
          <w:szCs w:val="16"/>
        </w:rPr>
        <w:t xml:space="preserve"> </w:t>
      </w:r>
      <w:r>
        <w:rPr>
          <w:rFonts w:ascii="Verdana" w:hAnsi="Verdana"/>
          <w:sz w:val="16"/>
          <w:szCs w:val="16"/>
        </w:rPr>
        <w:t>Por ejemplo, respecto al régimen especial del Distrito Especial de Bogotá, el artículo 87 del Decreto 1421 de 1993 disponía que “</w:t>
      </w:r>
      <w:r w:rsidRPr="00505904">
        <w:rPr>
          <w:rFonts w:ascii="Verdana" w:hAnsi="Verdana"/>
          <w:sz w:val="16"/>
          <w:szCs w:val="16"/>
          <w:lang w:val="es-MX"/>
        </w:rPr>
        <w:t>En cada una de las localidades habrá un fondo de desarrollo con personería jurídica y patrimonio propio. Con cargo a los recursos del fondo se financiarán la prestación de los servicios y la construcción de las obras de competencia de las juntas administradoras. La denominación de los fondos se acompañará del nombre de la respectiva localidad</w:t>
      </w:r>
      <w:r>
        <w:rPr>
          <w:rFonts w:ascii="Verdana" w:hAnsi="Verdana"/>
          <w:sz w:val="16"/>
          <w:szCs w:val="16"/>
          <w:lang w:val="es-MX"/>
        </w:rPr>
        <w:t>”</w:t>
      </w:r>
      <w:r w:rsidRPr="00505904">
        <w:rPr>
          <w:rFonts w:ascii="Verdana" w:hAnsi="Verdana"/>
          <w:sz w:val="16"/>
          <w:szCs w:val="16"/>
          <w:lang w:val="es-MX"/>
        </w:rPr>
        <w:t>.</w:t>
      </w:r>
      <w:r>
        <w:rPr>
          <w:rFonts w:ascii="Verdana" w:hAnsi="Verdana"/>
          <w:sz w:val="16"/>
          <w:szCs w:val="16"/>
          <w:lang w:val="es-MX"/>
        </w:rPr>
        <w:t xml:space="preserve"> Sin embargo, fue anulada con el Consejo de Estado al considerar que “[…] </w:t>
      </w:r>
      <w:r w:rsidRPr="00C40D17">
        <w:rPr>
          <w:rFonts w:ascii="Verdana" w:hAnsi="Verdana"/>
          <w:sz w:val="16"/>
          <w:szCs w:val="16"/>
          <w:lang w:val="es-MX"/>
        </w:rPr>
        <w:t>si los fondos del orden nacional le corresponde regularlos al legislador, es dable inferir que los fondos del orden departamental, municipal o distrital le corresponderá crearlos y regularlos a la Asamblea Departamental, al Concejo Municipal  y al Concejo Distrital respectivamente, pues es a cada una de estas corporaciones de elección popular a las que les corresponde definir la estructura de la administración en el nivel nacional, departamental, municipal o distrital</w:t>
      </w:r>
      <w:r>
        <w:rPr>
          <w:rFonts w:ascii="Verdana" w:hAnsi="Verdana"/>
          <w:sz w:val="16"/>
          <w:szCs w:val="16"/>
          <w:lang w:val="es-MX"/>
        </w:rPr>
        <w:t>” (Cfr. CONSEJO DE ESTADO</w:t>
      </w:r>
      <w:r w:rsidRPr="00C40D17">
        <w:rPr>
          <w:rFonts w:ascii="Verdana" w:hAnsi="Verdana"/>
          <w:sz w:val="16"/>
          <w:szCs w:val="16"/>
          <w:lang w:val="es-MX"/>
        </w:rPr>
        <w:t>.</w:t>
      </w:r>
      <w:r>
        <w:rPr>
          <w:rFonts w:ascii="Verdana" w:hAnsi="Verdana"/>
          <w:sz w:val="16"/>
          <w:szCs w:val="16"/>
          <w:lang w:val="es-MX"/>
        </w:rPr>
        <w:t xml:space="preserve"> Sala Plena. Sentencia del 6 de junio de 2018. Rad. </w:t>
      </w:r>
      <w:r w:rsidRPr="009C737F">
        <w:rPr>
          <w:rFonts w:ascii="Verdana" w:hAnsi="Verdana"/>
          <w:sz w:val="16"/>
          <w:szCs w:val="16"/>
          <w:lang w:val="es-MX"/>
        </w:rPr>
        <w:t>11001-03-15-000-2008-01255-00(AI)</w:t>
      </w:r>
      <w:r>
        <w:rPr>
          <w:rFonts w:ascii="Verdana" w:hAnsi="Verdana"/>
          <w:sz w:val="16"/>
          <w:szCs w:val="16"/>
          <w:lang w:val="es-MX"/>
        </w:rPr>
        <w:t xml:space="preserve">. M.P. </w:t>
      </w:r>
      <w:r w:rsidRPr="009C737F">
        <w:rPr>
          <w:rFonts w:ascii="Verdana" w:hAnsi="Verdana"/>
          <w:sz w:val="16"/>
          <w:szCs w:val="16"/>
          <w:lang w:val="es-MX"/>
        </w:rPr>
        <w:t>Oswaldo Giraldo López</w:t>
      </w:r>
      <w:r>
        <w:rPr>
          <w:rFonts w:ascii="Verdana" w:hAnsi="Verdana"/>
          <w:sz w:val="16"/>
          <w:szCs w:val="16"/>
          <w:lang w:val="es-MX"/>
        </w:rPr>
        <w:t>).</w:t>
      </w:r>
    </w:p>
  </w:footnote>
  <w:footnote w:id="6">
    <w:p w14:paraId="7F672507" w14:textId="77777777" w:rsidR="00EE10B4" w:rsidRPr="005E1F49" w:rsidRDefault="00EE10B4" w:rsidP="00EE10B4">
      <w:pPr>
        <w:pStyle w:val="Textonotapie"/>
        <w:ind w:firstLine="708"/>
        <w:jc w:val="both"/>
        <w:rPr>
          <w:rFonts w:ascii="Verdana" w:hAnsi="Verdana" w:cs="Arial"/>
          <w:sz w:val="16"/>
          <w:szCs w:val="16"/>
          <w:lang w:val="es-ES"/>
        </w:rPr>
      </w:pPr>
      <w:r w:rsidRPr="005E1F49">
        <w:rPr>
          <w:rStyle w:val="Refdenotaalpie"/>
          <w:rFonts w:ascii="Verdana" w:hAnsi="Verdana" w:cs="Arial"/>
          <w:sz w:val="16"/>
          <w:szCs w:val="16"/>
        </w:rPr>
        <w:footnoteRef/>
      </w:r>
      <w:r w:rsidRPr="005E1F49">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7">
    <w:p w14:paraId="33047953" w14:textId="77777777" w:rsidR="00EE10B4" w:rsidRPr="005E1F49" w:rsidRDefault="00EE10B4" w:rsidP="00EE10B4">
      <w:pPr>
        <w:pStyle w:val="Textonotapie"/>
        <w:ind w:firstLine="708"/>
        <w:jc w:val="both"/>
        <w:rPr>
          <w:rFonts w:ascii="Verdana" w:hAnsi="Verdana" w:cs="Arial"/>
          <w:sz w:val="16"/>
          <w:szCs w:val="16"/>
          <w:lang w:val="es-ES"/>
        </w:rPr>
      </w:pPr>
      <w:r w:rsidRPr="005E1F49">
        <w:rPr>
          <w:rStyle w:val="Refdenotaalpie"/>
          <w:rFonts w:ascii="Verdana" w:hAnsi="Verdana" w:cs="Arial"/>
          <w:sz w:val="16"/>
          <w:szCs w:val="16"/>
        </w:rPr>
        <w:footnoteRef/>
      </w:r>
      <w:r w:rsidRPr="005E1F49">
        <w:rPr>
          <w:rFonts w:ascii="Verdana" w:hAnsi="Verdana" w:cs="Arial"/>
          <w:sz w:val="16"/>
          <w:szCs w:val="16"/>
        </w:rPr>
        <w:t xml:space="preserve"> BETANCUR JARAMILLO, Carlos. Derecho procesal administrativo. Octava edición. Medellín: Señal Editora, 2013. p. 627. </w:t>
      </w:r>
    </w:p>
  </w:footnote>
  <w:footnote w:id="8">
    <w:p w14:paraId="4DAF41B0" w14:textId="77777777" w:rsidR="00EE10B4" w:rsidRPr="005E1F49" w:rsidRDefault="00EE10B4" w:rsidP="00EE10B4">
      <w:pPr>
        <w:pStyle w:val="Textonotapie"/>
        <w:ind w:firstLine="708"/>
        <w:jc w:val="both"/>
        <w:rPr>
          <w:rFonts w:ascii="Verdana" w:hAnsi="Verdana"/>
          <w:sz w:val="16"/>
          <w:szCs w:val="16"/>
        </w:rPr>
      </w:pPr>
      <w:r w:rsidRPr="005E1F49">
        <w:rPr>
          <w:rStyle w:val="Refdenotaalpie"/>
          <w:rFonts w:ascii="Verdana" w:hAnsi="Verdana"/>
          <w:sz w:val="16"/>
          <w:szCs w:val="16"/>
        </w:rPr>
        <w:footnoteRef/>
      </w:r>
      <w:r w:rsidRPr="005E1F49">
        <w:rPr>
          <w:rFonts w:ascii="Verdana" w:hAnsi="Verdana"/>
          <w:sz w:val="16"/>
          <w:szCs w:val="16"/>
        </w:rPr>
        <w:t xml:space="preserve"> Sobre la misma expresión, la cual fue utilizada también en el artículo 894 del Código Civil Francés, LAURENT comenta que “[…] En el proyecto del código civil sometido al Consejo de Estado, la donación se califica de contrato. El primer cónsul criticó esta definición. ‘El contrato, dijo, impone mutuas obligaciones a los dos contingentes; por lo que esta definición no puede convenir a la donación’. Esta crítica no fue objeto de ninguna discusión; se habló sobre la cuestión de saber si convenia admitir definiciones en el código; en el curso de la conversación, Malevilla presentó una definición que reemplazaba la palabra contrato, con la de acto; lo que el Consejo aceptó. Se ha querido ver en la observación del primer cónsul uno de esos rasgos de luz por los cuales un hombre de genio adivina las dificultades que en realidad ignora. Esto no es más que una adulación. Verdad es que en el antiguo derecho los mejores jurisconsultos estaban divididos en la cuestión: Furgole sostiene que la donación no es un contrato, porque su objeto esencial es gratificar al donatario, y que sería desnaturalizarlo si se quiere encadenarlo con un vínculo de derecho. Esta sutileza no está en el espíritu del derecho francés. Ricard, Pothier, Domat se atrevieron a la realidad de las cosas. ¿Por qué se exige la aceptación del donatario si no es un contrato la donación? ¿por qué se exige que el donatario y el donador sean capaces en el momento en que se verifica el concurso de consentimiento? En verdad que el primer cónsul no se percataba de esta sutileza cuando criticaba la disposición del proyecto; lo que dice es simplemente un error; porque supone que no hay contrato sino cuando las dos partes contraen obligaciones reciprocas, lo que conducirla a la consecuencia de que un contrato unilateral no es un contrato; y ¿es necesario añadir que lo contrario se halla escrito en el artículo 1103? ‘El contrato es unilateral cuando una persona se obliga en provecho de otra, sin que por parte de ésta haya ningún compromiso’ [norma equivalente al artículo 1496 del Código Civil Colombiano]. Esta definición se aplica literalmente a la donación. Luego es cierto que la donación es un contrato. Esta no es una cuestión de palabras. Siendo la donación un contrato, resulta de esto que las reglas generales establecidas ero el título ‘De las Obligaciones Convencionales’ tienen su aplicación a las donaciones, a menos que el código las derogue […]” (LAURENT, François. Principios de derecho civil francés. Tomo XI. México DF: Tribunal Superior de Justicia del Distrito Federal, 2008. pp. 139-140. Corchetes fuera de texto).</w:t>
      </w:r>
    </w:p>
  </w:footnote>
  <w:footnote w:id="9">
    <w:p w14:paraId="5777E34A" w14:textId="77777777" w:rsidR="00EE10B4" w:rsidRPr="005E1F49" w:rsidRDefault="00EE10B4" w:rsidP="00EE10B4">
      <w:pPr>
        <w:pStyle w:val="Textonotapie"/>
        <w:ind w:firstLine="708"/>
        <w:jc w:val="both"/>
        <w:rPr>
          <w:rFonts w:ascii="Verdana" w:hAnsi="Verdana"/>
          <w:sz w:val="16"/>
          <w:szCs w:val="16"/>
        </w:rPr>
      </w:pPr>
      <w:r w:rsidRPr="005E1F49">
        <w:rPr>
          <w:rStyle w:val="Refdenotaalpie"/>
          <w:rFonts w:ascii="Verdana" w:hAnsi="Verdana"/>
          <w:sz w:val="16"/>
          <w:szCs w:val="16"/>
        </w:rPr>
        <w:footnoteRef/>
      </w:r>
      <w:r w:rsidRPr="005E1F49">
        <w:rPr>
          <w:rFonts w:ascii="Verdana" w:hAnsi="Verdana"/>
          <w:sz w:val="16"/>
          <w:szCs w:val="16"/>
        </w:rPr>
        <w:t xml:space="preserve"> GUZMÁN BRITO, Alejandro. De las Donaciones entre vivos. Conceptos y tipos, Santiago: LexisNexis, 2005. pp. 35 a 52.</w:t>
      </w:r>
    </w:p>
  </w:footnote>
  <w:footnote w:id="10">
    <w:p w14:paraId="2D576C5E" w14:textId="77777777" w:rsidR="00EE10B4" w:rsidRPr="005E1F49" w:rsidRDefault="00EE10B4" w:rsidP="00EE10B4">
      <w:pPr>
        <w:pStyle w:val="Textonotapie"/>
        <w:ind w:firstLine="708"/>
        <w:jc w:val="both"/>
        <w:rPr>
          <w:rFonts w:ascii="Verdana" w:hAnsi="Verdana"/>
          <w:sz w:val="16"/>
          <w:szCs w:val="16"/>
        </w:rPr>
      </w:pPr>
      <w:r w:rsidRPr="005E1F49">
        <w:rPr>
          <w:rStyle w:val="Refdenotaalpie"/>
          <w:rFonts w:ascii="Verdana" w:hAnsi="Verdana"/>
          <w:sz w:val="16"/>
          <w:szCs w:val="16"/>
        </w:rPr>
        <w:footnoteRef/>
      </w:r>
      <w:r w:rsidRPr="005E1F49">
        <w:rPr>
          <w:rFonts w:ascii="Verdana" w:hAnsi="Verdana"/>
          <w:sz w:val="16"/>
          <w:szCs w:val="16"/>
        </w:rPr>
        <w:t xml:space="preserve"> “La donación irrevocable o entre vivos, en la que se impone al donatario una carga o modo en beneficio de un tercero, es un contrato bilateral, pues genera obligaciones para el donante y para el donatario, y al mismo tiempo es un contrato gratuito, ya que no engendra utilidad económica al donante sino que exclusivamente a la parte donataria y al tercero beneficiario del modo” (Cfr. LÓPEZ SANTA MARÍA, Jorge. Los contratos: parte general. Tomo I. Tercera Edición. Santiago: Editorial Jurídica de Chile. 2001. p. 109).</w:t>
      </w:r>
    </w:p>
  </w:footnote>
  <w:footnote w:id="11">
    <w:p w14:paraId="0DE52DDD"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Style w:val="Refdenotaalpie"/>
          <w:rFonts w:ascii="Verdana" w:hAnsi="Verdana" w:cs="Arial"/>
          <w:color w:val="000000" w:themeColor="text1"/>
          <w:sz w:val="16"/>
          <w:szCs w:val="16"/>
        </w:rPr>
        <w:footnoteRef/>
      </w:r>
      <w:r w:rsidRPr="005E1F49">
        <w:rPr>
          <w:rFonts w:ascii="Verdana" w:hAnsi="Verdana" w:cs="Arial"/>
          <w:color w:val="000000" w:themeColor="text1"/>
          <w:sz w:val="16"/>
          <w:szCs w:val="16"/>
        </w:rPr>
        <w:t xml:space="preserve"> CORTE CONSTITUCIONAL. Sentencia C- 341 del 4 de junio de 2014. M. P. Mauricio González Cuervo.</w:t>
      </w:r>
    </w:p>
  </w:footnote>
  <w:footnote w:id="12">
    <w:p w14:paraId="2C1D375A"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Style w:val="Refdenotaalpie"/>
          <w:rFonts w:ascii="Verdana" w:hAnsi="Verdana" w:cs="Arial"/>
          <w:color w:val="000000" w:themeColor="text1"/>
          <w:sz w:val="16"/>
          <w:szCs w:val="16"/>
        </w:rPr>
        <w:footnoteRef/>
      </w:r>
      <w:r w:rsidRPr="005E1F49">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7E136C8"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Fonts w:ascii="Verdana" w:hAnsi="Verdana" w:cs="Arial"/>
          <w:color w:val="000000" w:themeColor="text1"/>
          <w:sz w:val="16"/>
          <w:szCs w:val="16"/>
        </w:rPr>
        <w:t>Lo anterior, sin perjuicio de las publicaciones previstas en el numeral 3 del artículo 30 de la Ley 80 de 1993.</w:t>
      </w:r>
    </w:p>
    <w:p w14:paraId="15FF949D"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08F50B8D"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Fonts w:ascii="Verdana" w:hAnsi="Verdana" w:cs="Arial"/>
          <w:color w:val="000000" w:themeColor="text1"/>
          <w:sz w:val="16"/>
          <w:szCs w:val="16"/>
        </w:rPr>
        <w:t>[…]</w:t>
      </w:r>
    </w:p>
    <w:p w14:paraId="3BC8E2C2"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13">
    <w:p w14:paraId="24B011B5" w14:textId="77777777" w:rsidR="00EE10B4" w:rsidRPr="005E1F49" w:rsidRDefault="00EE10B4" w:rsidP="00EE10B4">
      <w:pPr>
        <w:pStyle w:val="Textonotapie"/>
        <w:ind w:firstLine="708"/>
        <w:jc w:val="both"/>
        <w:rPr>
          <w:rFonts w:ascii="Verdana" w:hAnsi="Verdana"/>
          <w:sz w:val="16"/>
          <w:szCs w:val="16"/>
          <w:lang w:val="es-CO"/>
        </w:rPr>
      </w:pPr>
      <w:r w:rsidRPr="005E1F49">
        <w:rPr>
          <w:rStyle w:val="Refdenotaalpie"/>
          <w:rFonts w:ascii="Verdana" w:hAnsi="Verdana"/>
          <w:sz w:val="16"/>
          <w:szCs w:val="16"/>
        </w:rPr>
        <w:footnoteRef/>
      </w:r>
      <w:r w:rsidRPr="005E1F49">
        <w:rPr>
          <w:rFonts w:ascii="Verdana" w:hAnsi="Verdana"/>
          <w:sz w:val="16"/>
          <w:szCs w:val="16"/>
        </w:rPr>
        <w:t xml:space="preserve"> </w:t>
      </w:r>
      <w:r w:rsidRPr="005E1F49">
        <w:rPr>
          <w:rFonts w:ascii="Verdana" w:hAnsi="Verdana" w:cs="Arial"/>
          <w:color w:val="000000" w:themeColor="text1"/>
          <w:sz w:val="16"/>
          <w:szCs w:val="16"/>
        </w:rPr>
        <w:t>C</w:t>
      </w:r>
      <w:r w:rsidRPr="005E1F49">
        <w:rPr>
          <w:rFonts w:ascii="Verdana" w:hAnsi="Verdana" w:cs="Arial"/>
          <w:color w:val="000000" w:themeColor="text1"/>
          <w:sz w:val="16"/>
          <w:szCs w:val="16"/>
          <w:lang w:val="es-ES" w:eastAsia="es-ES"/>
        </w:rPr>
        <w:t>ORTE CONSTITUCIONAL. Sentencia C-711 del 12 de septiembre de 2012. M.P. Mauricio González Cuervo.</w:t>
      </w:r>
    </w:p>
  </w:footnote>
  <w:footnote w:id="14">
    <w:p w14:paraId="11A40F71"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Style w:val="Refdenotaalpie"/>
          <w:rFonts w:ascii="Verdana" w:hAnsi="Verdana" w:cs="Arial"/>
          <w:color w:val="000000" w:themeColor="text1"/>
          <w:sz w:val="16"/>
          <w:szCs w:val="16"/>
        </w:rPr>
        <w:footnoteRef/>
      </w:r>
      <w:r w:rsidRPr="005E1F49">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5DF12EDA"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15">
    <w:p w14:paraId="089F4202"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Fonts w:ascii="Verdana" w:hAnsi="Verdana" w:cs="Arial"/>
          <w:color w:val="000000" w:themeColor="text1"/>
          <w:sz w:val="16"/>
          <w:szCs w:val="16"/>
          <w:vertAlign w:val="superscript"/>
          <w:lang w:val="es-ES" w:eastAsia="es-ES"/>
        </w:rPr>
        <w:footnoteRef/>
      </w:r>
      <w:r w:rsidRPr="005E1F49">
        <w:rPr>
          <w:rFonts w:ascii="Verdana" w:hAnsi="Verdana" w:cs="Arial"/>
          <w:color w:val="000000" w:themeColor="text1"/>
          <w:sz w:val="16"/>
          <w:szCs w:val="16"/>
          <w:vertAlign w:val="superscript"/>
          <w:lang w:val="es-ES" w:eastAsia="es-ES"/>
        </w:rPr>
        <w:t xml:space="preserve"> </w:t>
      </w:r>
      <w:r w:rsidRPr="005E1F49">
        <w:rPr>
          <w:rFonts w:ascii="Verdana" w:hAnsi="Verdana" w:cs="Arial"/>
          <w:color w:val="000000" w:themeColor="text1"/>
          <w:sz w:val="16"/>
          <w:szCs w:val="16"/>
          <w:lang w:val="es-ES" w:eastAsia="es-ES"/>
        </w:rPr>
        <w:t>“</w:t>
      </w:r>
      <w:r w:rsidRPr="005E1F49">
        <w:rPr>
          <w:rFonts w:ascii="Verdana" w:hAnsi="Verdana" w:cs="Arial"/>
          <w:color w:val="000000" w:themeColor="text1"/>
          <w:sz w:val="16"/>
          <w:szCs w:val="16"/>
        </w:rPr>
        <w:t xml:space="preserve">Artículo </w:t>
      </w:r>
      <w:bookmarkStart w:id="2" w:name="_Hlk153373407"/>
      <w:r w:rsidRPr="005E1F49">
        <w:rPr>
          <w:rFonts w:ascii="Verdana" w:hAnsi="Verdana" w:cs="Arial"/>
          <w:color w:val="000000" w:themeColor="text1"/>
          <w:sz w:val="16"/>
          <w:szCs w:val="16"/>
        </w:rPr>
        <w:t>2.1.1.2.1.7</w:t>
      </w:r>
      <w:bookmarkEnd w:id="2"/>
      <w:r w:rsidRPr="005E1F49">
        <w:rPr>
          <w:rFonts w:ascii="Verdana" w:hAnsi="Verdana" w:cs="Arial"/>
          <w:color w:val="000000" w:themeColor="text1"/>
          <w:sz w:val="16"/>
          <w:szCs w:val="16"/>
        </w:rPr>
        <w:t xml:space="preserve">.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60B3EDEA" w14:textId="77777777" w:rsidR="00EE10B4" w:rsidRPr="005E1F49" w:rsidRDefault="00EE10B4" w:rsidP="00EE10B4">
      <w:pPr>
        <w:pStyle w:val="Textonotapie"/>
        <w:ind w:right="49" w:firstLine="709"/>
        <w:jc w:val="both"/>
        <w:rPr>
          <w:rFonts w:ascii="Verdana" w:hAnsi="Verdana" w:cs="Arial"/>
          <w:color w:val="000000" w:themeColor="text1"/>
          <w:sz w:val="16"/>
          <w:szCs w:val="16"/>
          <w:lang w:val="es-ES" w:eastAsia="es-ES"/>
        </w:rPr>
      </w:pPr>
      <w:r w:rsidRPr="005E1F49">
        <w:rPr>
          <w:rFonts w:ascii="Verdana" w:hAnsi="Verdana" w:cs="Arial"/>
          <w:color w:val="000000" w:themeColor="text1"/>
          <w:sz w:val="16"/>
          <w:szCs w:val="16"/>
        </w:rPr>
        <w:t>[…].</w:t>
      </w:r>
    </w:p>
    <w:p w14:paraId="71BB03C5" w14:textId="77777777" w:rsidR="00EE10B4" w:rsidRPr="005E1F49" w:rsidRDefault="00EE10B4" w:rsidP="00EE10B4">
      <w:pPr>
        <w:pStyle w:val="Textonotapie"/>
        <w:ind w:right="49" w:firstLine="709"/>
        <w:jc w:val="both"/>
        <w:rPr>
          <w:rFonts w:ascii="Verdana" w:hAnsi="Verdana" w:cs="Arial"/>
          <w:color w:val="000000" w:themeColor="text1"/>
          <w:sz w:val="16"/>
          <w:szCs w:val="16"/>
          <w:lang w:val="es-ES" w:eastAsia="es-ES"/>
        </w:rPr>
      </w:pPr>
      <w:r w:rsidRPr="005E1F49">
        <w:rPr>
          <w:rFonts w:ascii="Verdana"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16">
    <w:p w14:paraId="2E8C8DA2" w14:textId="77777777" w:rsidR="00EE10B4" w:rsidRPr="005E1F49" w:rsidRDefault="00EE10B4" w:rsidP="00EE10B4">
      <w:pPr>
        <w:pStyle w:val="Textonotapie"/>
        <w:ind w:right="49" w:firstLine="709"/>
        <w:jc w:val="both"/>
        <w:rPr>
          <w:rFonts w:ascii="Verdana" w:hAnsi="Verdana" w:cs="Arial"/>
          <w:color w:val="000000" w:themeColor="text1"/>
          <w:sz w:val="16"/>
          <w:szCs w:val="16"/>
        </w:rPr>
      </w:pPr>
      <w:r w:rsidRPr="005E1F49">
        <w:rPr>
          <w:rStyle w:val="Refdenotaalpie"/>
          <w:rFonts w:ascii="Verdana" w:hAnsi="Verdana" w:cs="Arial"/>
          <w:color w:val="000000" w:themeColor="text1"/>
          <w:sz w:val="16"/>
          <w:szCs w:val="16"/>
        </w:rPr>
        <w:footnoteRef/>
      </w:r>
      <w:r w:rsidRPr="005E1F49">
        <w:rPr>
          <w:rFonts w:ascii="Verdana" w:hAnsi="Verdana" w:cs="Arial"/>
          <w:color w:val="000000" w:themeColor="text1"/>
          <w:sz w:val="16"/>
          <w:szCs w:val="16"/>
        </w:rPr>
        <w:t xml:space="preserve"> C</w:t>
      </w:r>
      <w:r w:rsidRPr="005E1F49">
        <w:rPr>
          <w:rFonts w:ascii="Verdana" w:hAnsi="Verdana" w:cs="Arial"/>
          <w:color w:val="000000" w:themeColor="text1"/>
          <w:sz w:val="16"/>
          <w:szCs w:val="16"/>
          <w:lang w:val="es-ES" w:eastAsia="es-ES"/>
        </w:rPr>
        <w:t xml:space="preserve">ORTE CONSTITUCIONAL. Sentencia C-274 de 9 de mayo de 2013. M.P. María Victoria Calle Correa. </w:t>
      </w:r>
    </w:p>
  </w:footnote>
  <w:footnote w:id="17">
    <w:p w14:paraId="61225D6F" w14:textId="77777777" w:rsidR="00EE10B4" w:rsidRPr="005E1F49" w:rsidRDefault="00EE10B4" w:rsidP="00EE10B4">
      <w:pPr>
        <w:pStyle w:val="Textonotapie"/>
        <w:ind w:firstLine="708"/>
        <w:jc w:val="both"/>
        <w:rPr>
          <w:rFonts w:ascii="Verdana" w:hAnsi="Verdana"/>
          <w:sz w:val="16"/>
          <w:szCs w:val="16"/>
          <w:lang w:val="es-CO"/>
        </w:rPr>
      </w:pPr>
      <w:r w:rsidRPr="005E1F49">
        <w:rPr>
          <w:rStyle w:val="Refdenotaalpie"/>
          <w:rFonts w:ascii="Verdana" w:hAnsi="Verdana"/>
          <w:sz w:val="16"/>
          <w:szCs w:val="16"/>
        </w:rPr>
        <w:footnoteRef/>
      </w:r>
      <w:r w:rsidRPr="005E1F49">
        <w:rPr>
          <w:rFonts w:ascii="Verdana" w:hAnsi="Verdana"/>
          <w:sz w:val="16"/>
          <w:szCs w:val="16"/>
        </w:rPr>
        <w:t xml:space="preserve"> Documento consultado el 10 de octubre de 2024 en la página web </w:t>
      </w:r>
      <w:hyperlink r:id="rId1" w:history="1">
        <w:r w:rsidRPr="005E1F49">
          <w:rPr>
            <w:rStyle w:val="Hipervnculo"/>
            <w:rFonts w:ascii="Verdana" w:hAnsi="Verdana"/>
            <w:sz w:val="16"/>
            <w:szCs w:val="16"/>
          </w:rPr>
          <w:t>https://www.colombiacompra.gov.co/sites/cce_public/files/cce_documentos/anexo_1_-_maps.pdf</w:t>
        </w:r>
      </w:hyperlink>
      <w:r w:rsidRPr="005E1F49">
        <w:rPr>
          <w:rFonts w:ascii="Verdana" w:hAnsi="Verdana"/>
          <w:sz w:val="16"/>
          <w:szCs w:val="16"/>
        </w:rPr>
        <w:t xml:space="preserve">. </w:t>
      </w:r>
    </w:p>
  </w:footnote>
  <w:footnote w:id="18">
    <w:p w14:paraId="7E676681" w14:textId="77777777" w:rsidR="00EE10B4" w:rsidRPr="005E1F49" w:rsidRDefault="00EE10B4" w:rsidP="00EE10B4">
      <w:pPr>
        <w:pStyle w:val="Textonotapie"/>
        <w:ind w:firstLine="708"/>
        <w:jc w:val="both"/>
        <w:rPr>
          <w:rFonts w:ascii="Verdana" w:hAnsi="Verdana" w:cs="Arial"/>
          <w:color w:val="000000" w:themeColor="text1"/>
          <w:sz w:val="16"/>
          <w:szCs w:val="16"/>
        </w:rPr>
      </w:pPr>
      <w:r w:rsidRPr="005E1F49">
        <w:rPr>
          <w:rStyle w:val="Refdenotaalpie"/>
          <w:rFonts w:ascii="Verdana" w:hAnsi="Verdana" w:cs="Arial"/>
          <w:color w:val="000000" w:themeColor="text1"/>
          <w:sz w:val="16"/>
          <w:szCs w:val="16"/>
        </w:rPr>
        <w:footnoteRef/>
      </w:r>
      <w:r w:rsidRPr="005E1F49">
        <w:rPr>
          <w:rFonts w:ascii="Verdana" w:hAnsi="Verdana" w:cs="Arial"/>
          <w:color w:val="000000" w:themeColor="text1"/>
          <w:sz w:val="16"/>
          <w:szCs w:val="16"/>
        </w:rPr>
        <w:t xml:space="preserve"> CONSEJO DE ESTADO. Sección Tercera, Subsección A. Sentencia del 13 de noviembre de 2013. Rad. 25.646.C.P. Mauricio Fajardo Gómez. </w:t>
      </w:r>
    </w:p>
  </w:footnote>
  <w:footnote w:id="19">
    <w:p w14:paraId="5FD45461" w14:textId="77777777" w:rsidR="00EE10B4" w:rsidRPr="00932500" w:rsidRDefault="00EE10B4" w:rsidP="00EE10B4">
      <w:pPr>
        <w:pStyle w:val="Textonotapie"/>
        <w:ind w:firstLine="709"/>
        <w:jc w:val="both"/>
        <w:rPr>
          <w:rFonts w:ascii="Verdana" w:hAnsi="Verdana"/>
          <w:sz w:val="16"/>
          <w:szCs w:val="16"/>
          <w:lang w:val="es-CO"/>
        </w:rPr>
      </w:pPr>
      <w:r w:rsidRPr="00932500">
        <w:rPr>
          <w:rStyle w:val="Refdenotaalpie"/>
          <w:rFonts w:ascii="Verdana" w:hAnsi="Verdana"/>
          <w:sz w:val="16"/>
          <w:szCs w:val="16"/>
        </w:rPr>
        <w:footnoteRef/>
      </w:r>
      <w:r w:rsidRPr="00932500">
        <w:rPr>
          <w:rFonts w:ascii="Verdana" w:hAnsi="Verdana"/>
          <w:sz w:val="16"/>
          <w:szCs w:val="16"/>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019C"/>
    <w:rsid w:val="00061B2A"/>
    <w:rsid w:val="00063217"/>
    <w:rsid w:val="00082362"/>
    <w:rsid w:val="000832B9"/>
    <w:rsid w:val="000A683E"/>
    <w:rsid w:val="000B19B9"/>
    <w:rsid w:val="000D0334"/>
    <w:rsid w:val="000D5166"/>
    <w:rsid w:val="000F6486"/>
    <w:rsid w:val="00125105"/>
    <w:rsid w:val="00127233"/>
    <w:rsid w:val="001432FA"/>
    <w:rsid w:val="00146385"/>
    <w:rsid w:val="001474C0"/>
    <w:rsid w:val="001E4177"/>
    <w:rsid w:val="001F7DC6"/>
    <w:rsid w:val="0020483D"/>
    <w:rsid w:val="00231132"/>
    <w:rsid w:val="002421BB"/>
    <w:rsid w:val="00246E25"/>
    <w:rsid w:val="0025796E"/>
    <w:rsid w:val="002707A2"/>
    <w:rsid w:val="002856A3"/>
    <w:rsid w:val="002951A0"/>
    <w:rsid w:val="002962BC"/>
    <w:rsid w:val="002A093D"/>
    <w:rsid w:val="002A0DD0"/>
    <w:rsid w:val="002A49AC"/>
    <w:rsid w:val="002A64FD"/>
    <w:rsid w:val="002C7A84"/>
    <w:rsid w:val="002E4891"/>
    <w:rsid w:val="002E4FD9"/>
    <w:rsid w:val="002F5284"/>
    <w:rsid w:val="00305A61"/>
    <w:rsid w:val="00322A85"/>
    <w:rsid w:val="00324168"/>
    <w:rsid w:val="003448F4"/>
    <w:rsid w:val="00374F5E"/>
    <w:rsid w:val="00377E3E"/>
    <w:rsid w:val="003A779E"/>
    <w:rsid w:val="003C27EC"/>
    <w:rsid w:val="003D0F4D"/>
    <w:rsid w:val="003D3838"/>
    <w:rsid w:val="003D5B0D"/>
    <w:rsid w:val="003E0499"/>
    <w:rsid w:val="003F16BB"/>
    <w:rsid w:val="003F1F3E"/>
    <w:rsid w:val="003F3941"/>
    <w:rsid w:val="00406575"/>
    <w:rsid w:val="00414C74"/>
    <w:rsid w:val="0042722E"/>
    <w:rsid w:val="0044528D"/>
    <w:rsid w:val="004935D4"/>
    <w:rsid w:val="004A1847"/>
    <w:rsid w:val="004A305D"/>
    <w:rsid w:val="004F21C4"/>
    <w:rsid w:val="004F685F"/>
    <w:rsid w:val="005566E8"/>
    <w:rsid w:val="00574867"/>
    <w:rsid w:val="00591460"/>
    <w:rsid w:val="005C3777"/>
    <w:rsid w:val="005C5CDC"/>
    <w:rsid w:val="005D476C"/>
    <w:rsid w:val="006219F8"/>
    <w:rsid w:val="006302F7"/>
    <w:rsid w:val="00661222"/>
    <w:rsid w:val="00665D70"/>
    <w:rsid w:val="00672A59"/>
    <w:rsid w:val="006900D9"/>
    <w:rsid w:val="006A760C"/>
    <w:rsid w:val="006C6662"/>
    <w:rsid w:val="006E3AA2"/>
    <w:rsid w:val="00706C16"/>
    <w:rsid w:val="00756841"/>
    <w:rsid w:val="007649AB"/>
    <w:rsid w:val="00771D0C"/>
    <w:rsid w:val="007833AC"/>
    <w:rsid w:val="007B268C"/>
    <w:rsid w:val="007B7171"/>
    <w:rsid w:val="007C0C0F"/>
    <w:rsid w:val="007C2464"/>
    <w:rsid w:val="007C3DC2"/>
    <w:rsid w:val="007E5497"/>
    <w:rsid w:val="0080608A"/>
    <w:rsid w:val="00806F5F"/>
    <w:rsid w:val="00813669"/>
    <w:rsid w:val="00820278"/>
    <w:rsid w:val="008253D4"/>
    <w:rsid w:val="00846685"/>
    <w:rsid w:val="00867F95"/>
    <w:rsid w:val="008843B6"/>
    <w:rsid w:val="00891928"/>
    <w:rsid w:val="00897A3A"/>
    <w:rsid w:val="008A446D"/>
    <w:rsid w:val="008D180B"/>
    <w:rsid w:val="008F0EA7"/>
    <w:rsid w:val="009068CE"/>
    <w:rsid w:val="00923EEF"/>
    <w:rsid w:val="009419F9"/>
    <w:rsid w:val="0095685E"/>
    <w:rsid w:val="00961B09"/>
    <w:rsid w:val="00965334"/>
    <w:rsid w:val="0097093E"/>
    <w:rsid w:val="009A0DFA"/>
    <w:rsid w:val="009B25A8"/>
    <w:rsid w:val="009B2D26"/>
    <w:rsid w:val="009C71FA"/>
    <w:rsid w:val="009C72E7"/>
    <w:rsid w:val="009D3058"/>
    <w:rsid w:val="009D3E85"/>
    <w:rsid w:val="009F3A13"/>
    <w:rsid w:val="00A122D3"/>
    <w:rsid w:val="00A17F13"/>
    <w:rsid w:val="00A20739"/>
    <w:rsid w:val="00A22926"/>
    <w:rsid w:val="00A33C78"/>
    <w:rsid w:val="00AB0ADB"/>
    <w:rsid w:val="00B00C0E"/>
    <w:rsid w:val="00B01B1A"/>
    <w:rsid w:val="00B2728D"/>
    <w:rsid w:val="00B44A47"/>
    <w:rsid w:val="00B72CD3"/>
    <w:rsid w:val="00B72FFF"/>
    <w:rsid w:val="00BC3D36"/>
    <w:rsid w:val="00BD7F72"/>
    <w:rsid w:val="00C02D7B"/>
    <w:rsid w:val="00C04FB3"/>
    <w:rsid w:val="00C330EB"/>
    <w:rsid w:val="00C754BE"/>
    <w:rsid w:val="00C76B1C"/>
    <w:rsid w:val="00C8123D"/>
    <w:rsid w:val="00C84207"/>
    <w:rsid w:val="00CB6357"/>
    <w:rsid w:val="00CC1B26"/>
    <w:rsid w:val="00D423A2"/>
    <w:rsid w:val="00D520D8"/>
    <w:rsid w:val="00D63AC2"/>
    <w:rsid w:val="00D7383B"/>
    <w:rsid w:val="00DA231B"/>
    <w:rsid w:val="00DC39FC"/>
    <w:rsid w:val="00DC4237"/>
    <w:rsid w:val="00DF5254"/>
    <w:rsid w:val="00E16408"/>
    <w:rsid w:val="00E20894"/>
    <w:rsid w:val="00E245AB"/>
    <w:rsid w:val="00E2764C"/>
    <w:rsid w:val="00E27F2E"/>
    <w:rsid w:val="00E359C6"/>
    <w:rsid w:val="00E50AFE"/>
    <w:rsid w:val="00E75C92"/>
    <w:rsid w:val="00E771DC"/>
    <w:rsid w:val="00E856ED"/>
    <w:rsid w:val="00E8752B"/>
    <w:rsid w:val="00E8772A"/>
    <w:rsid w:val="00E90F6B"/>
    <w:rsid w:val="00E92C27"/>
    <w:rsid w:val="00EA0E3D"/>
    <w:rsid w:val="00EC38A7"/>
    <w:rsid w:val="00EE10B4"/>
    <w:rsid w:val="00EE1AA8"/>
    <w:rsid w:val="00F21D9C"/>
    <w:rsid w:val="00F31EDC"/>
    <w:rsid w:val="00F462B3"/>
    <w:rsid w:val="00F5664F"/>
    <w:rsid w:val="00F666C4"/>
    <w:rsid w:val="00F76AFC"/>
    <w:rsid w:val="00FA23B3"/>
    <w:rsid w:val="00FA47C0"/>
    <w:rsid w:val="00FB5DD1"/>
    <w:rsid w:val="00FC2B5D"/>
    <w:rsid w:val="00FE66A7"/>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E10B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E10B4"/>
    <w:rPr>
      <w:rFonts w:ascii="Geomanist Light" w:hAnsi="Geomanist Light"/>
      <w:lang w:val="es-ES"/>
    </w:rPr>
  </w:style>
  <w:style w:type="character" w:customStyle="1" w:styleId="s15">
    <w:name w:val="s15"/>
    <w:basedOn w:val="Fuentedeprrafopredeter"/>
    <w:rsid w:val="00EE10B4"/>
  </w:style>
  <w:style w:type="character" w:customStyle="1" w:styleId="apple-converted-space">
    <w:name w:val="apple-converted-space"/>
    <w:basedOn w:val="Fuentedeprrafopredeter"/>
    <w:rsid w:val="00EE10B4"/>
  </w:style>
  <w:style w:type="character" w:customStyle="1" w:styleId="NormalWebCar">
    <w:name w:val="Normal (Web) Car"/>
    <w:link w:val="NormalWeb"/>
    <w:uiPriority w:val="99"/>
    <w:rsid w:val="00EE10B4"/>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EE10B4"/>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yron.aguilera@barrancabermej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os/anexo_1_-_map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380F075-ED0A-47B8-9192-E4386645DDF9}"/>
</file>

<file path=docProps/app.xml><?xml version="1.0" encoding="utf-8"?>
<Properties xmlns="http://schemas.openxmlformats.org/officeDocument/2006/extended-properties" xmlns:vt="http://schemas.openxmlformats.org/officeDocument/2006/docPropsVTypes">
  <Template>Normal.dotm</Template>
  <TotalTime>2</TotalTime>
  <Pages>24</Pages>
  <Words>7979</Words>
  <Characters>43885</Characters>
  <Application>Microsoft Office Word</Application>
  <DocSecurity>0</DocSecurity>
  <Lines>365</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2025-09-28T16:15:00Z</dcterms:created>
  <dcterms:modified xsi:type="dcterms:W3CDTF">2025-09-29T15:03:00Z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