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B4C792" w14:textId="77777777" w:rsidR="0002268F" w:rsidRPr="0002268F" w:rsidRDefault="00482C95" w:rsidP="0002268F">
      <w:pPr>
        <w:spacing w:after="0"/>
        <w:rPr>
          <w:rFonts w:ascii="Verdana" w:eastAsia="Calibri" w:hAnsi="Verdana" w:cs="Arial"/>
          <w:b/>
          <w:color w:val="000000" w:themeColor="text1"/>
          <w:lang w:val="es-ES_tradnl"/>
        </w:rPr>
      </w:pPr>
      <w:bookmarkStart w:id="0" w:name="_Hlk143780582"/>
      <w:r w:rsidRPr="0002268F">
        <w:rPr>
          <w:rFonts w:ascii="Verdana" w:eastAsia="Calibri" w:hAnsi="Verdana" w:cs="Arial"/>
          <w:b/>
          <w:color w:val="000000" w:themeColor="text1"/>
          <w:lang w:val="es-ES_tradnl"/>
        </w:rPr>
        <w:t xml:space="preserve">FIRMAS – Concepto </w:t>
      </w:r>
    </w:p>
    <w:p w14:paraId="494CD392" w14:textId="77777777" w:rsidR="0002268F" w:rsidRDefault="0002268F" w:rsidP="0002268F">
      <w:pPr>
        <w:spacing w:after="0"/>
        <w:rPr>
          <w:rFonts w:ascii="Verdana" w:eastAsia="Calibri" w:hAnsi="Verdana" w:cs="Arial"/>
          <w:bCs/>
          <w:color w:val="000000" w:themeColor="text1"/>
          <w:lang w:val="es-ES_tradnl"/>
        </w:rPr>
      </w:pPr>
    </w:p>
    <w:p w14:paraId="2A57A080" w14:textId="394F69A3" w:rsidR="00482C95" w:rsidRDefault="00482C95" w:rsidP="0002268F">
      <w:pPr>
        <w:spacing w:after="0"/>
        <w:jc w:val="both"/>
        <w:rPr>
          <w:rFonts w:ascii="Verdana" w:eastAsia="Calibri" w:hAnsi="Verdana" w:cs="Arial"/>
          <w:bCs/>
          <w:lang w:val="es-ES_tradnl"/>
        </w:rPr>
      </w:pPr>
      <w:r w:rsidRPr="00670A6E">
        <w:rPr>
          <w:rFonts w:ascii="Verdana" w:eastAsia="Calibri" w:hAnsi="Verdana" w:cs="Arial"/>
          <w:lang w:val="es-ES_tradnl"/>
        </w:rPr>
        <w:t>El artículo 836 del Código de Comercio define la firma como “la expresión del nombre del suscriptor o de alguno de los elementos que la integren o de un signo o símbolo empleado como medio de identificación personal”, es decir, la forma por la cual se identifica a una persona ya sea con el nombre del suscriptor, un símbolo o signo.</w:t>
      </w:r>
      <w:r>
        <w:rPr>
          <w:rFonts w:ascii="Verdana" w:eastAsia="Calibri" w:hAnsi="Verdana" w:cs="Arial"/>
          <w:lang w:val="es-ES_tradnl"/>
        </w:rPr>
        <w:t xml:space="preserve"> </w:t>
      </w:r>
      <w:r w:rsidRPr="00F24142">
        <w:rPr>
          <w:rFonts w:ascii="Verdana" w:eastAsia="Calibri" w:hAnsi="Verdana" w:cs="Arial"/>
          <w:bCs/>
          <w:lang w:val="es-ES_tradnl"/>
        </w:rPr>
        <w:t>El ordenamiento jurídico reconoce la firma manuscrita, digital o electrónica.</w:t>
      </w:r>
    </w:p>
    <w:p w14:paraId="36947499" w14:textId="77777777" w:rsidR="0002268F" w:rsidRPr="0002268F" w:rsidRDefault="0002268F" w:rsidP="0002268F">
      <w:pPr>
        <w:spacing w:after="0"/>
        <w:jc w:val="both"/>
        <w:rPr>
          <w:rFonts w:ascii="Verdana" w:eastAsia="Calibri" w:hAnsi="Verdana" w:cs="Arial"/>
          <w:bCs/>
          <w:color w:val="000000" w:themeColor="text1"/>
          <w:lang w:val="es-ES_tradnl"/>
        </w:rPr>
      </w:pPr>
    </w:p>
    <w:p w14:paraId="417D60DB" w14:textId="764319B3" w:rsidR="00482C95" w:rsidRPr="0002268F" w:rsidRDefault="00482C95" w:rsidP="00E245AB">
      <w:pPr>
        <w:spacing w:after="0"/>
        <w:rPr>
          <w:rFonts w:ascii="Verdana" w:eastAsia="Calibri" w:hAnsi="Verdana" w:cs="Arial"/>
          <w:b/>
          <w:color w:val="000000" w:themeColor="text1"/>
          <w:lang w:val="es-ES_tradnl"/>
        </w:rPr>
      </w:pPr>
      <w:r w:rsidRPr="0002268F">
        <w:rPr>
          <w:rFonts w:ascii="Verdana" w:eastAsia="Calibri" w:hAnsi="Verdana" w:cs="Arial"/>
          <w:b/>
          <w:color w:val="000000" w:themeColor="text1"/>
          <w:lang w:val="es-ES_tradnl"/>
        </w:rPr>
        <w:t xml:space="preserve">FIRMAS – Firma manuscrita – Firma electrónica – Firma digital </w:t>
      </w:r>
    </w:p>
    <w:p w14:paraId="073DECBB" w14:textId="6DAF696B" w:rsidR="00482C95" w:rsidRDefault="00482C95" w:rsidP="00E245AB">
      <w:pPr>
        <w:spacing w:after="0"/>
        <w:rPr>
          <w:rFonts w:ascii="Verdana" w:eastAsia="Calibri" w:hAnsi="Verdana" w:cs="Arial"/>
          <w:bCs/>
          <w:color w:val="000000" w:themeColor="text1"/>
          <w:lang w:val="es-ES_tradnl"/>
        </w:rPr>
      </w:pPr>
    </w:p>
    <w:p w14:paraId="389B12F6" w14:textId="690AEB88" w:rsidR="00482C95" w:rsidRPr="00670A6E" w:rsidRDefault="00482C95" w:rsidP="00482C95">
      <w:pPr>
        <w:spacing w:after="120" w:line="276" w:lineRule="auto"/>
        <w:jc w:val="both"/>
        <w:rPr>
          <w:rFonts w:ascii="Verdana" w:eastAsia="Calibri" w:hAnsi="Verdana" w:cs="Arial"/>
          <w:lang w:val="es-ES_tradnl"/>
        </w:rPr>
      </w:pPr>
      <w:r w:rsidRPr="00670A6E">
        <w:rPr>
          <w:rFonts w:ascii="Verdana" w:eastAsia="Calibri" w:hAnsi="Verdana" w:cs="Arial"/>
          <w:lang w:val="es-ES_tradnl"/>
        </w:rPr>
        <w:t xml:space="preserve">Dentro del concepto general, la </w:t>
      </w:r>
      <w:r w:rsidRPr="00670A6E">
        <w:rPr>
          <w:rFonts w:ascii="Verdana" w:eastAsia="Calibri" w:hAnsi="Verdana" w:cs="Arial"/>
          <w:i/>
          <w:iCs/>
          <w:lang w:val="es-ES_tradnl"/>
        </w:rPr>
        <w:t>firma manuscrita</w:t>
      </w:r>
      <w:r w:rsidRPr="00670A6E">
        <w:rPr>
          <w:rFonts w:ascii="Verdana" w:eastAsia="Calibri" w:hAnsi="Verdana" w:cs="Arial"/>
          <w:lang w:val="es-ES_tradnl"/>
        </w:rPr>
        <w:t xml:space="preserve"> </w:t>
      </w:r>
      <w:r w:rsidRPr="00670A6E">
        <w:rPr>
          <w:rFonts w:ascii="Verdana" w:eastAsia="Calibri" w:hAnsi="Verdana" w:cs="Arial"/>
        </w:rPr>
        <w:t xml:space="preserve">es “[…] un rasgo o signo impuesto del puño y letra de una persona, con el cual, de forma general y reiterada, se compromete con el contenido de los documentos que la consignan, o da fe de que lo allí registrado obedece a la realidad”. </w:t>
      </w:r>
    </w:p>
    <w:p w14:paraId="30332E07" w14:textId="45E1D331" w:rsidR="00482C95" w:rsidRDefault="00482C95" w:rsidP="0002268F">
      <w:pPr>
        <w:spacing w:after="120" w:line="276" w:lineRule="auto"/>
        <w:jc w:val="both"/>
        <w:rPr>
          <w:rFonts w:ascii="Verdana" w:eastAsia="Calibri" w:hAnsi="Verdana" w:cs="Arial"/>
        </w:rPr>
      </w:pPr>
      <w:r>
        <w:rPr>
          <w:rFonts w:ascii="Verdana" w:eastAsia="Calibri" w:hAnsi="Verdana" w:cs="Arial"/>
          <w:lang w:val="es-ES_tradnl"/>
        </w:rPr>
        <w:t>E</w:t>
      </w:r>
      <w:r w:rsidRPr="00670A6E">
        <w:rPr>
          <w:rFonts w:ascii="Verdana" w:eastAsia="Calibri" w:hAnsi="Verdana" w:cs="Arial"/>
        </w:rPr>
        <w:t xml:space="preserve">l artículo 2 de la Ley 527 de 1999 define la </w:t>
      </w:r>
      <w:r w:rsidRPr="00670A6E">
        <w:rPr>
          <w:rFonts w:ascii="Verdana" w:eastAsia="Calibri" w:hAnsi="Verdana" w:cs="Arial"/>
          <w:i/>
          <w:iCs/>
        </w:rPr>
        <w:t>firma digital</w:t>
      </w:r>
      <w:r w:rsidRPr="00670A6E">
        <w:rPr>
          <w:rFonts w:ascii="Verdana" w:eastAsia="Calibri" w:hAnsi="Verdana" w:cs="Arial"/>
        </w:rPr>
        <w:t xml:space="preserve">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Además, esta normativa prevé que podrán emitir certificados en relación con las firmas digitales las entidades de certificación.</w:t>
      </w:r>
    </w:p>
    <w:p w14:paraId="36798109" w14:textId="77777777" w:rsidR="00482C95" w:rsidRPr="00670A6E" w:rsidRDefault="00482C95" w:rsidP="0002268F">
      <w:pPr>
        <w:spacing w:after="120" w:line="276" w:lineRule="auto"/>
        <w:jc w:val="both"/>
        <w:rPr>
          <w:rFonts w:ascii="Verdana" w:eastAsia="Calibri" w:hAnsi="Verdana" w:cs="Arial"/>
        </w:rPr>
      </w:pPr>
      <w:r w:rsidRPr="00670A6E">
        <w:rPr>
          <w:rFonts w:ascii="Verdana" w:eastAsia="Calibri" w:hAnsi="Verdana" w:cs="Arial"/>
        </w:rPr>
        <w:t xml:space="preserve">Por otra parte, frente a la </w:t>
      </w:r>
      <w:r w:rsidRPr="00670A6E">
        <w:rPr>
          <w:rFonts w:ascii="Verdana" w:eastAsia="Calibri" w:hAnsi="Verdana" w:cs="Arial"/>
          <w:i/>
          <w:iCs/>
        </w:rPr>
        <w:t>firma electrónica</w:t>
      </w:r>
      <w:r w:rsidRPr="00670A6E">
        <w:rPr>
          <w:rFonts w:ascii="Verdana" w:eastAsia="Calibri" w:hAnsi="Verdana" w:cs="Arial"/>
        </w:rPr>
        <w:t xml:space="preserve">, el artículo 1 del Decreto 2364 de 2012 la define como “aquella que se realiza a través de métodos tales como, códigos, contraseñas, datos biométricos, o claves criptográficas privadas, que permite identificar a una persona, en relación con un mensaje de datos, siempre y cuando el mismo sea confiable y apropiado respecto de los fines para los que se utiliza la firma, atendidas todas las circunstancias del caso, así como cualquier acuerdo pertinente”. En este sentido, los atributos jurídicos que debe tener la firma electrónica son: i) identificar el firmante, </w:t>
      </w:r>
      <w:proofErr w:type="spellStart"/>
      <w:r w:rsidRPr="00670A6E">
        <w:rPr>
          <w:rFonts w:ascii="Verdana" w:eastAsia="Calibri" w:hAnsi="Verdana" w:cs="Arial"/>
        </w:rPr>
        <w:t>ii</w:t>
      </w:r>
      <w:proofErr w:type="spellEnd"/>
      <w:r w:rsidRPr="00670A6E">
        <w:rPr>
          <w:rFonts w:ascii="Verdana" w:eastAsia="Calibri" w:hAnsi="Verdana" w:cs="Arial"/>
        </w:rPr>
        <w:t xml:space="preserve">) asegurar que el documento firmado es exactamente el mismo que el original y </w:t>
      </w:r>
      <w:proofErr w:type="spellStart"/>
      <w:r w:rsidRPr="00670A6E">
        <w:rPr>
          <w:rFonts w:ascii="Verdana" w:eastAsia="Calibri" w:hAnsi="Verdana" w:cs="Arial"/>
        </w:rPr>
        <w:t>iii</w:t>
      </w:r>
      <w:proofErr w:type="spellEnd"/>
      <w:r w:rsidRPr="00670A6E">
        <w:rPr>
          <w:rFonts w:ascii="Verdana" w:eastAsia="Calibri" w:hAnsi="Verdana" w:cs="Arial"/>
        </w:rPr>
        <w:t xml:space="preserve">) asegurar que los datos que utiliza el firmante para realizar la firma son únicos y exclusivos. </w:t>
      </w:r>
    </w:p>
    <w:p w14:paraId="2B55C4A0" w14:textId="05A57A23" w:rsidR="00482C95" w:rsidRPr="00482C95" w:rsidRDefault="00482C95" w:rsidP="00E245AB">
      <w:pPr>
        <w:spacing w:after="0"/>
        <w:rPr>
          <w:rFonts w:ascii="Verdana" w:eastAsia="Calibri" w:hAnsi="Verdana" w:cs="Arial"/>
          <w:b/>
          <w:color w:val="000000" w:themeColor="text1"/>
          <w:lang w:val="es-ES_tradnl"/>
        </w:rPr>
      </w:pPr>
      <w:r w:rsidRPr="00482C95">
        <w:rPr>
          <w:rFonts w:ascii="Verdana" w:eastAsia="Calibri" w:hAnsi="Verdana" w:cs="Arial"/>
          <w:b/>
          <w:color w:val="000000" w:themeColor="text1"/>
          <w:lang w:val="es-ES_tradnl"/>
        </w:rPr>
        <w:t xml:space="preserve">SECOP II – Usuario y contraseña </w:t>
      </w:r>
    </w:p>
    <w:p w14:paraId="384B4F7F" w14:textId="77777777" w:rsidR="00482C95" w:rsidRDefault="00482C95" w:rsidP="00E245AB">
      <w:pPr>
        <w:spacing w:after="0"/>
        <w:rPr>
          <w:rFonts w:ascii="Verdana" w:eastAsia="Calibri" w:hAnsi="Verdana" w:cs="Arial"/>
          <w:bCs/>
          <w:color w:val="000000" w:themeColor="text1"/>
          <w:lang w:val="es-ES_tradnl"/>
        </w:rPr>
      </w:pPr>
    </w:p>
    <w:p w14:paraId="36D2BE04" w14:textId="623034FA" w:rsidR="00482C95" w:rsidRPr="0002268F" w:rsidRDefault="00482C95" w:rsidP="0002268F">
      <w:pPr>
        <w:spacing w:after="0"/>
        <w:jc w:val="both"/>
        <w:rPr>
          <w:rFonts w:ascii="Verdana" w:hAnsi="Verdana"/>
        </w:rPr>
      </w:pPr>
      <w:r w:rsidRPr="0002268F">
        <w:rPr>
          <w:rFonts w:ascii="Verdana" w:hAnsi="Verdana"/>
        </w:rPr>
        <w:t xml:space="preserve">Las actuaciones de los Usuarios en el SECOP II comprometen a la Entidad Compradora o al Proveedor del cual son agentes. La autenticación del SECOP II, es decir, el nombre de Usuario y la contraseña constituyen una firma electrónica </w:t>
      </w:r>
      <w:r w:rsidRPr="0002268F">
        <w:rPr>
          <w:rFonts w:ascii="Verdana" w:hAnsi="Verdana"/>
        </w:rPr>
        <w:lastRenderedPageBreak/>
        <w:t>en los términos del artículo 7 de la Ley 527 de 1999 y las normas que la reglamentan</w:t>
      </w:r>
    </w:p>
    <w:p w14:paraId="6E6D50E8" w14:textId="77777777" w:rsidR="00482C95" w:rsidRDefault="00482C95" w:rsidP="00E245AB">
      <w:pPr>
        <w:spacing w:after="0"/>
        <w:rPr>
          <w:rFonts w:ascii="Verdana" w:eastAsia="Calibri" w:hAnsi="Verdana" w:cs="Arial"/>
          <w:bCs/>
          <w:color w:val="000000" w:themeColor="text1"/>
          <w:lang w:val="es-ES_tradnl"/>
        </w:rPr>
      </w:pPr>
    </w:p>
    <w:p w14:paraId="04A9EAE8" w14:textId="77777777" w:rsidR="00482C95" w:rsidRPr="00482C95" w:rsidRDefault="00482C95" w:rsidP="00E245AB">
      <w:pPr>
        <w:spacing w:after="0"/>
        <w:rPr>
          <w:rFonts w:ascii="Verdana" w:hAnsi="Verdana"/>
          <w:b/>
          <w:bCs/>
        </w:rPr>
      </w:pPr>
      <w:r w:rsidRPr="00482C95">
        <w:rPr>
          <w:rFonts w:ascii="Verdana" w:hAnsi="Verdana"/>
          <w:b/>
          <w:bCs/>
        </w:rPr>
        <w:t>OFERTA – Sin firma – Causales de rechazo</w:t>
      </w:r>
    </w:p>
    <w:p w14:paraId="456E0A9E" w14:textId="02C96EBD" w:rsidR="00482C95" w:rsidRDefault="00482C95" w:rsidP="00E245AB">
      <w:pPr>
        <w:spacing w:after="0"/>
        <w:rPr>
          <w:rFonts w:ascii="Verdana" w:hAnsi="Verdana"/>
        </w:rPr>
      </w:pPr>
      <w:r w:rsidRPr="00171105">
        <w:rPr>
          <w:rFonts w:ascii="Verdana" w:hAnsi="Verdana"/>
        </w:rPr>
        <w:t xml:space="preserve"> </w:t>
      </w:r>
    </w:p>
    <w:p w14:paraId="2A72BF8B" w14:textId="6E4C5E45" w:rsidR="00482C95" w:rsidRPr="00482C95" w:rsidRDefault="00482C95" w:rsidP="00482C95">
      <w:pPr>
        <w:spacing w:after="120" w:line="276" w:lineRule="auto"/>
        <w:jc w:val="both"/>
        <w:rPr>
          <w:rFonts w:ascii="Verdana" w:eastAsia="Calibri" w:hAnsi="Verdana" w:cs="Arial"/>
          <w:lang w:val="es-ES"/>
        </w:rPr>
      </w:pPr>
      <w:r w:rsidRPr="00230322">
        <w:rPr>
          <w:rFonts w:ascii="Verdana" w:eastAsia="Calibri" w:hAnsi="Verdana" w:cs="Arial"/>
          <w:lang w:val="es-ES"/>
        </w:rPr>
        <w:t>Por lo expuesto,</w:t>
      </w:r>
      <w:r>
        <w:rPr>
          <w:rFonts w:ascii="Verdana" w:eastAsia="Calibri" w:hAnsi="Verdana" w:cs="Arial"/>
          <w:lang w:val="es-ES"/>
        </w:rPr>
        <w:t xml:space="preserve"> para que se rechace una oferta porque por alguno de los documentos que la componen no se encuentra firmado, por ejemplo, la oferta económica, debe haberse contemplado tal supuesto dentro de</w:t>
      </w:r>
      <w:r w:rsidRPr="00230322">
        <w:rPr>
          <w:rFonts w:ascii="Verdana" w:eastAsia="Calibri" w:hAnsi="Verdana" w:cs="Arial"/>
          <w:lang w:val="es-ES"/>
        </w:rPr>
        <w:t xml:space="preserve"> las causales de rechazo </w:t>
      </w:r>
      <w:r>
        <w:rPr>
          <w:rFonts w:ascii="Verdana" w:eastAsia="Calibri" w:hAnsi="Verdana" w:cs="Arial"/>
          <w:lang w:val="es-ES"/>
        </w:rPr>
        <w:t xml:space="preserve">establecidas </w:t>
      </w:r>
      <w:r w:rsidRPr="00230322">
        <w:rPr>
          <w:rFonts w:ascii="Verdana" w:eastAsia="Calibri" w:hAnsi="Verdana" w:cs="Arial"/>
          <w:lang w:val="es-ES"/>
        </w:rPr>
        <w:t>en el pliego de condiciones</w:t>
      </w:r>
      <w:r>
        <w:rPr>
          <w:rFonts w:ascii="Verdana" w:eastAsia="Calibri" w:hAnsi="Verdana" w:cs="Arial"/>
          <w:lang w:val="es-ES"/>
        </w:rPr>
        <w:t xml:space="preserve"> o documentos equivalentes</w:t>
      </w:r>
      <w:r w:rsidRPr="00230322">
        <w:rPr>
          <w:rFonts w:ascii="Verdana" w:eastAsia="Calibri" w:hAnsi="Verdana" w:cs="Arial"/>
          <w:lang w:val="es-ES"/>
        </w:rPr>
        <w:t>. Por esta razón si el Estatuto General de Contratación de la Administración Pública o el pliego de condiciones no establecen de manera literal una causal de rechazo, en los términos expuestos, no podrán rechazarse las propuestas.</w:t>
      </w:r>
    </w:p>
    <w:p w14:paraId="06D81DBE" w14:textId="0E17E30C" w:rsidR="00482C95" w:rsidRPr="00482C95" w:rsidRDefault="00482C95" w:rsidP="00E245AB">
      <w:pPr>
        <w:spacing w:after="0"/>
        <w:rPr>
          <w:rFonts w:ascii="Verdana" w:hAnsi="Verdana"/>
          <w:b/>
          <w:bCs/>
        </w:rPr>
      </w:pPr>
      <w:r w:rsidRPr="00482C95">
        <w:rPr>
          <w:rFonts w:ascii="Verdana" w:hAnsi="Verdana"/>
          <w:b/>
          <w:bCs/>
        </w:rPr>
        <w:t>SUBSANABILIDAD – Aplicación – Regla general – Excepciones</w:t>
      </w:r>
      <w:r w:rsidRPr="00482C95">
        <w:rPr>
          <w:rFonts w:ascii="Verdana" w:eastAsia="Calibri" w:hAnsi="Verdana" w:cs="Arial"/>
          <w:b/>
          <w:bCs/>
          <w:lang w:val="es-ES" w:eastAsia="es-ES"/>
        </w:rPr>
        <w:t xml:space="preserve">                 </w:t>
      </w:r>
    </w:p>
    <w:p w14:paraId="23A6B8D7" w14:textId="77777777" w:rsidR="00482C95" w:rsidRDefault="00482C95" w:rsidP="00E245AB">
      <w:pPr>
        <w:spacing w:after="0"/>
        <w:rPr>
          <w:rFonts w:ascii="Verdana" w:hAnsi="Verdana"/>
        </w:rPr>
      </w:pPr>
    </w:p>
    <w:p w14:paraId="374F3C56" w14:textId="36BF91E2" w:rsidR="00482C95" w:rsidRDefault="00482C95" w:rsidP="00482C95">
      <w:pPr>
        <w:spacing w:after="120" w:line="276" w:lineRule="auto"/>
        <w:jc w:val="both"/>
        <w:rPr>
          <w:rFonts w:ascii="Verdana" w:eastAsia="Times New Roman" w:hAnsi="Verdana" w:cs="Arial"/>
          <w:lang w:val="es-ES" w:eastAsia="es-ES"/>
        </w:rPr>
      </w:pPr>
      <w:r>
        <w:rPr>
          <w:rFonts w:ascii="Verdana" w:eastAsia="Times New Roman" w:hAnsi="Verdana" w:cs="Arial"/>
          <w:lang w:val="es-ES" w:eastAsia="es-ES"/>
        </w:rPr>
        <w:t xml:space="preserve">[…] </w:t>
      </w:r>
      <w:r w:rsidRPr="50927A94">
        <w:rPr>
          <w:rFonts w:ascii="Verdana" w:eastAsia="Times New Roman" w:hAnsi="Verdana" w:cs="Arial"/>
          <w:lang w:val="es-ES" w:eastAsia="es-ES"/>
        </w:rPr>
        <w:t>una vez verificada la ausencia de requisitos y/o documentos de la oferta, para efectos de saber si se pueden subsanar, la Administración se debe preguntar</w:t>
      </w:r>
      <w:r>
        <w:rPr>
          <w:rFonts w:ascii="Verdana" w:eastAsia="Times New Roman" w:hAnsi="Verdana" w:cs="Arial"/>
          <w:lang w:val="es-ES" w:eastAsia="es-ES"/>
        </w:rPr>
        <w:t xml:space="preserve">: </w:t>
      </w:r>
      <w:r w:rsidRPr="50927A94">
        <w:rPr>
          <w:rFonts w:ascii="Verdana" w:eastAsia="Times New Roman" w:hAnsi="Verdana" w:cs="Arial"/>
          <w:lang w:val="es-ES" w:eastAsia="es-ES"/>
        </w:rPr>
        <w:t>en primer lugar, si lo que hace falta es un documento que afecte la asignación de puntaje o no y</w:t>
      </w:r>
      <w:r>
        <w:rPr>
          <w:rFonts w:ascii="Verdana" w:eastAsia="Times New Roman" w:hAnsi="Verdana" w:cs="Arial"/>
          <w:lang w:val="es-ES" w:eastAsia="es-ES"/>
        </w:rPr>
        <w:t>;</w:t>
      </w:r>
      <w:r w:rsidRPr="50927A94">
        <w:rPr>
          <w:rFonts w:ascii="Verdana" w:eastAsia="Times New Roman" w:hAnsi="Verdana" w:cs="Arial"/>
          <w:lang w:val="es-ES" w:eastAsia="es-ES"/>
        </w:rPr>
        <w:t xml:space="preserve">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afecte la asignación de puntaje y la respuesta al segundo interrogante debe dar cuenta de que lo omitido sea la prueba de una circunstancia o hecho que ocurrió con anterioridad al cierre del proceso.</w:t>
      </w:r>
    </w:p>
    <w:p w14:paraId="04CC71FF" w14:textId="036FE322" w:rsidR="00482C95" w:rsidRDefault="00482C95" w:rsidP="00E245AB">
      <w:pPr>
        <w:spacing w:after="0"/>
        <w:rPr>
          <w:rFonts w:ascii="Verdana" w:hAnsi="Verdana"/>
        </w:rPr>
      </w:pPr>
    </w:p>
    <w:p w14:paraId="76694B24" w14:textId="4074A255" w:rsidR="00F474E2" w:rsidRDefault="00F474E2" w:rsidP="00E245AB">
      <w:pPr>
        <w:spacing w:after="0"/>
        <w:rPr>
          <w:rFonts w:ascii="Verdana" w:hAnsi="Verdana"/>
        </w:rPr>
      </w:pPr>
    </w:p>
    <w:p w14:paraId="55847344" w14:textId="5546D01E" w:rsidR="00F474E2" w:rsidRDefault="00F474E2" w:rsidP="00E245AB">
      <w:pPr>
        <w:spacing w:after="0"/>
        <w:rPr>
          <w:rFonts w:ascii="Verdana" w:hAnsi="Verdana"/>
        </w:rPr>
      </w:pPr>
    </w:p>
    <w:p w14:paraId="18AAF5A1" w14:textId="719DD616" w:rsidR="00F474E2" w:rsidRDefault="00F474E2" w:rsidP="00E245AB">
      <w:pPr>
        <w:spacing w:after="0"/>
        <w:rPr>
          <w:rFonts w:ascii="Verdana" w:hAnsi="Verdana"/>
        </w:rPr>
      </w:pPr>
    </w:p>
    <w:p w14:paraId="4F2AF776" w14:textId="3E64523E" w:rsidR="00F474E2" w:rsidRDefault="00F474E2" w:rsidP="00E245AB">
      <w:pPr>
        <w:spacing w:after="0"/>
        <w:rPr>
          <w:rFonts w:ascii="Verdana" w:hAnsi="Verdana"/>
        </w:rPr>
      </w:pPr>
    </w:p>
    <w:p w14:paraId="29B3EF57" w14:textId="76F195C6" w:rsidR="00F474E2" w:rsidRDefault="00F474E2" w:rsidP="00E245AB">
      <w:pPr>
        <w:spacing w:after="0"/>
        <w:rPr>
          <w:rFonts w:ascii="Verdana" w:hAnsi="Verdana"/>
        </w:rPr>
      </w:pPr>
    </w:p>
    <w:p w14:paraId="2D0BBD79" w14:textId="36709E34" w:rsidR="00F474E2" w:rsidRDefault="00F474E2" w:rsidP="00E245AB">
      <w:pPr>
        <w:spacing w:after="0"/>
        <w:rPr>
          <w:rFonts w:ascii="Verdana" w:hAnsi="Verdana"/>
        </w:rPr>
      </w:pPr>
    </w:p>
    <w:p w14:paraId="1972032A" w14:textId="45F026AB" w:rsidR="00F474E2" w:rsidRDefault="00F474E2" w:rsidP="00E245AB">
      <w:pPr>
        <w:spacing w:after="0"/>
        <w:rPr>
          <w:rFonts w:ascii="Verdana" w:hAnsi="Verdana"/>
        </w:rPr>
      </w:pPr>
    </w:p>
    <w:p w14:paraId="290841BE" w14:textId="3CCEE4C6" w:rsidR="00F474E2" w:rsidRDefault="00F474E2" w:rsidP="00E245AB">
      <w:pPr>
        <w:spacing w:after="0"/>
        <w:rPr>
          <w:rFonts w:ascii="Verdana" w:hAnsi="Verdana"/>
        </w:rPr>
      </w:pPr>
    </w:p>
    <w:p w14:paraId="682B5618" w14:textId="6192D293" w:rsidR="00F474E2" w:rsidRDefault="00F474E2" w:rsidP="00E245AB">
      <w:pPr>
        <w:spacing w:after="0"/>
        <w:rPr>
          <w:rFonts w:ascii="Verdana" w:hAnsi="Verdana"/>
        </w:rPr>
      </w:pPr>
    </w:p>
    <w:p w14:paraId="58A534E8" w14:textId="77777777" w:rsidR="00F474E2" w:rsidRDefault="00F474E2" w:rsidP="00E245AB">
      <w:pPr>
        <w:spacing w:after="0"/>
        <w:rPr>
          <w:rFonts w:ascii="Verdana" w:hAnsi="Verdana"/>
        </w:rPr>
      </w:pPr>
    </w:p>
    <w:p w14:paraId="10B928A1" w14:textId="77777777" w:rsidR="00482C95" w:rsidRDefault="00482C95" w:rsidP="00E245AB">
      <w:pPr>
        <w:spacing w:after="0"/>
        <w:rPr>
          <w:rFonts w:ascii="Verdana" w:hAnsi="Verdana"/>
        </w:rPr>
      </w:pPr>
    </w:p>
    <w:p w14:paraId="1C39F3FB" w14:textId="77777777" w:rsidR="00482C95" w:rsidRDefault="00482C95" w:rsidP="00E245AB">
      <w:pPr>
        <w:spacing w:after="0"/>
        <w:rPr>
          <w:rFonts w:ascii="Verdana" w:hAnsi="Verdana"/>
        </w:rPr>
      </w:pPr>
    </w:p>
    <w:p w14:paraId="3530C92D" w14:textId="77777777" w:rsidR="00482C95" w:rsidRDefault="00482C95" w:rsidP="00E245AB">
      <w:pPr>
        <w:spacing w:after="0"/>
        <w:rPr>
          <w:rFonts w:ascii="Verdana" w:hAnsi="Verdana"/>
        </w:rPr>
      </w:pPr>
    </w:p>
    <w:p w14:paraId="3FE2184B" w14:textId="16FF00EB" w:rsidR="00E245AB" w:rsidRPr="0044528D" w:rsidRDefault="00202D19" w:rsidP="00E245AB">
      <w:pPr>
        <w:spacing w:after="0"/>
        <w:rPr>
          <w:rFonts w:ascii="Verdana" w:hAnsi="Verdana"/>
        </w:rPr>
      </w:pPr>
      <w:r>
        <w:rPr>
          <w:rFonts w:ascii="Verdana" w:eastAsia="Calibri" w:hAnsi="Verdana" w:cs="Arial"/>
          <w:b/>
          <w:noProof/>
          <w:lang w:val="es-ES" w:eastAsia="es-ES"/>
        </w:rPr>
        <w:lastRenderedPageBreak/>
        <w:drawing>
          <wp:anchor distT="0" distB="0" distL="114300" distR="114300" simplePos="0" relativeHeight="251658240" behindDoc="0" locked="0" layoutInCell="1" allowOverlap="1" wp14:anchorId="79AB5B7D" wp14:editId="19F0446D">
            <wp:simplePos x="0" y="0"/>
            <wp:positionH relativeFrom="column">
              <wp:posOffset>2958465</wp:posOffset>
            </wp:positionH>
            <wp:positionV relativeFrom="paragraph">
              <wp:posOffset>8890</wp:posOffset>
            </wp:positionV>
            <wp:extent cx="2305050" cy="7112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a:extLst>
                        <a:ext uri="{28A0092B-C50C-407E-A947-70E740481C1C}">
                          <a14:useLocalDpi xmlns:a14="http://schemas.microsoft.com/office/drawing/2010/main" val="0"/>
                        </a:ext>
                      </a:extLst>
                    </a:blip>
                    <a:stretch>
                      <a:fillRect/>
                    </a:stretch>
                  </pic:blipFill>
                  <pic:spPr>
                    <a:xfrm>
                      <a:off x="0" y="0"/>
                      <a:ext cx="2305050" cy="711200"/>
                    </a:xfrm>
                    <a:prstGeom prst="rect">
                      <a:avLst/>
                    </a:prstGeom>
                  </pic:spPr>
                </pic:pic>
              </a:graphicData>
            </a:graphic>
            <wp14:sizeRelH relativeFrom="page">
              <wp14:pctWidth>0</wp14:pctWidth>
            </wp14:sizeRelH>
            <wp14:sizeRelV relativeFrom="page">
              <wp14:pctHeight>0</wp14:pctHeight>
            </wp14:sizeRelV>
          </wp:anchor>
        </w:drawing>
      </w:r>
      <w:r w:rsidR="00897A3A" w:rsidRPr="0044528D">
        <w:rPr>
          <w:rFonts w:ascii="Verdana" w:hAnsi="Verdana"/>
        </w:rPr>
        <w:t xml:space="preserve">Bogotá D.C., </w:t>
      </w:r>
      <w:r>
        <w:rPr>
          <w:rFonts w:ascii="Verdana" w:hAnsi="Verdana"/>
        </w:rPr>
        <w:t xml:space="preserve">23 </w:t>
      </w:r>
      <w:proofErr w:type="gramStart"/>
      <w:r>
        <w:rPr>
          <w:rFonts w:ascii="Verdana" w:hAnsi="Verdana"/>
        </w:rPr>
        <w:t>Octubre</w:t>
      </w:r>
      <w:proofErr w:type="gramEnd"/>
      <w:r>
        <w:rPr>
          <w:rFonts w:ascii="Verdana" w:hAnsi="Verdana"/>
        </w:rPr>
        <w:t xml:space="preserve"> 2025</w:t>
      </w:r>
      <w:r w:rsidR="00891928" w:rsidRPr="0044528D">
        <w:rPr>
          <w:rFonts w:ascii="Verdana" w:hAnsi="Verdana"/>
        </w:rPr>
        <w:tab/>
      </w:r>
    </w:p>
    <w:p w14:paraId="5FCADBF9" w14:textId="292C2BA1" w:rsidR="00E245AB" w:rsidRPr="0044528D" w:rsidRDefault="00E245AB" w:rsidP="00E245AB">
      <w:pPr>
        <w:spacing w:after="0"/>
        <w:rPr>
          <w:rFonts w:ascii="Verdana" w:hAnsi="Verdana"/>
        </w:rPr>
      </w:pPr>
    </w:p>
    <w:p w14:paraId="0465BA6D" w14:textId="3D046171" w:rsidR="00E245AB" w:rsidRPr="0044528D" w:rsidRDefault="00E245AB" w:rsidP="00E245AB">
      <w:pPr>
        <w:spacing w:after="0"/>
        <w:rPr>
          <w:rFonts w:ascii="Verdana" w:hAnsi="Verdana"/>
        </w:rPr>
      </w:pPr>
    </w:p>
    <w:bookmarkEnd w:id="0"/>
    <w:p w14:paraId="2E25FB8B" w14:textId="4EE6B1FD" w:rsidR="00D012A1" w:rsidRPr="004C713C" w:rsidRDefault="00D012A1" w:rsidP="00D012A1">
      <w:pPr>
        <w:spacing w:after="0" w:line="240" w:lineRule="auto"/>
        <w:jc w:val="both"/>
        <w:rPr>
          <w:rFonts w:ascii="Verdana" w:eastAsia="Calibri" w:hAnsi="Verdana" w:cs="Arial"/>
          <w:lang w:val="es-ES" w:eastAsia="es-ES"/>
        </w:rPr>
      </w:pPr>
      <w:r w:rsidRPr="004C713C">
        <w:rPr>
          <w:rFonts w:ascii="Verdana" w:eastAsia="Calibri" w:hAnsi="Verdana" w:cs="Arial"/>
          <w:lang w:val="es-ES" w:eastAsia="es-ES"/>
        </w:rPr>
        <w:t>Señor</w:t>
      </w:r>
      <w:r>
        <w:rPr>
          <w:rFonts w:ascii="Verdana" w:eastAsia="Calibri" w:hAnsi="Verdana" w:cs="Arial"/>
          <w:lang w:val="es-ES" w:eastAsia="es-ES"/>
        </w:rPr>
        <w:t>a</w:t>
      </w:r>
    </w:p>
    <w:p w14:paraId="022FC151" w14:textId="4E58676D" w:rsidR="00D012A1" w:rsidRPr="004C713C" w:rsidRDefault="00D012A1" w:rsidP="00D012A1">
      <w:pPr>
        <w:spacing w:after="0" w:line="240" w:lineRule="auto"/>
        <w:rPr>
          <w:rFonts w:ascii="Verdana" w:eastAsia="Calibri" w:hAnsi="Verdana" w:cs="Arial"/>
          <w:b/>
          <w:lang w:val="es-ES" w:eastAsia="es-ES"/>
        </w:rPr>
      </w:pPr>
      <w:r>
        <w:rPr>
          <w:rFonts w:ascii="Verdana" w:eastAsia="Calibri" w:hAnsi="Verdana" w:cs="Arial"/>
          <w:b/>
          <w:lang w:val="es-ES" w:eastAsia="es-ES"/>
        </w:rPr>
        <w:t>Carolina Bermúdez García</w:t>
      </w:r>
    </w:p>
    <w:p w14:paraId="7D17EE47" w14:textId="77777777" w:rsidR="00D012A1" w:rsidRPr="004C713C" w:rsidRDefault="0016089F" w:rsidP="00D012A1">
      <w:pPr>
        <w:spacing w:after="0" w:line="240" w:lineRule="auto"/>
        <w:rPr>
          <w:rFonts w:ascii="Verdana" w:hAnsi="Verdana" w:cs="ArialMT"/>
        </w:rPr>
      </w:pPr>
      <w:hyperlink r:id="rId11" w:history="1">
        <w:r w:rsidR="00D012A1" w:rsidRPr="009B42B5">
          <w:rPr>
            <w:rStyle w:val="Hipervnculo"/>
            <w:rFonts w:ascii="Verdana" w:hAnsi="Verdana" w:cs="ArialMT"/>
          </w:rPr>
          <w:t>fernanda.montilla@sainc.co</w:t>
        </w:r>
      </w:hyperlink>
      <w:r w:rsidR="00D012A1" w:rsidRPr="004C713C">
        <w:rPr>
          <w:rFonts w:ascii="Verdana" w:hAnsi="Verdana" w:cs="ArialMT"/>
        </w:rPr>
        <w:t xml:space="preserve">  </w:t>
      </w:r>
    </w:p>
    <w:p w14:paraId="1A1D204B" w14:textId="77777777" w:rsidR="00D012A1" w:rsidRPr="004C713C" w:rsidRDefault="00D012A1" w:rsidP="00D012A1">
      <w:pPr>
        <w:spacing w:after="0" w:line="240" w:lineRule="auto"/>
        <w:rPr>
          <w:rFonts w:ascii="Verdana" w:hAnsi="Verdana" w:cs="ArialMT"/>
        </w:rPr>
      </w:pPr>
      <w:r w:rsidRPr="004C713C">
        <w:rPr>
          <w:rFonts w:ascii="Verdana" w:eastAsia="Calibri" w:hAnsi="Verdana" w:cs="Arial"/>
          <w:lang w:val="es-ES" w:eastAsia="es-ES"/>
        </w:rPr>
        <w:t>Bogotá D.C.</w:t>
      </w:r>
    </w:p>
    <w:p w14:paraId="6A6CA972" w14:textId="77777777" w:rsidR="00D012A1" w:rsidRPr="006A2651" w:rsidRDefault="00D012A1" w:rsidP="00D012A1">
      <w:pPr>
        <w:spacing w:after="0" w:line="240" w:lineRule="auto"/>
        <w:rPr>
          <w:rFonts w:ascii="Verdana" w:eastAsia="Calibri" w:hAnsi="Verdana" w:cs="Arial"/>
          <w:b/>
          <w:bCs/>
          <w:color w:val="000000"/>
          <w:highlight w:val="yellow"/>
          <w:lang w:val="es-ES_tradnl" w:eastAsia="es-ES_tradnl"/>
        </w:rPr>
      </w:pPr>
    </w:p>
    <w:p w14:paraId="65AD7033" w14:textId="77777777" w:rsidR="00D012A1" w:rsidRPr="006A2651" w:rsidRDefault="00D012A1" w:rsidP="00D012A1">
      <w:pPr>
        <w:spacing w:after="0" w:line="240" w:lineRule="auto"/>
        <w:rPr>
          <w:rFonts w:ascii="Verdana" w:eastAsia="Calibri" w:hAnsi="Verdana" w:cs="Arial"/>
          <w:b/>
          <w:bCs/>
          <w:color w:val="000000"/>
          <w:highlight w:val="yellow"/>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012A1" w:rsidRPr="006A2651" w14:paraId="0AE30D28" w14:textId="77777777" w:rsidTr="007365C5">
        <w:trPr>
          <w:trHeight w:val="218"/>
        </w:trPr>
        <w:tc>
          <w:tcPr>
            <w:tcW w:w="2689" w:type="dxa"/>
          </w:tcPr>
          <w:p w14:paraId="49B6430C" w14:textId="77777777" w:rsidR="00D012A1" w:rsidRPr="006A2651" w:rsidRDefault="00D012A1" w:rsidP="007365C5">
            <w:pPr>
              <w:jc w:val="both"/>
              <w:rPr>
                <w:rFonts w:ascii="Verdana" w:eastAsia="Calibri" w:hAnsi="Verdana" w:cs="Arial"/>
                <w:b/>
                <w:bCs/>
                <w:color w:val="7030A0"/>
                <w:highlight w:val="yellow"/>
                <w:lang w:val="es-ES_tradnl" w:eastAsia="es-ES_tradnl"/>
              </w:rPr>
            </w:pPr>
          </w:p>
        </w:tc>
        <w:tc>
          <w:tcPr>
            <w:tcW w:w="6100" w:type="dxa"/>
            <w:hideMark/>
          </w:tcPr>
          <w:p w14:paraId="7036FA20" w14:textId="77777777" w:rsidR="00D012A1" w:rsidRPr="004C713C" w:rsidRDefault="00D012A1" w:rsidP="007365C5">
            <w:pPr>
              <w:jc w:val="both"/>
              <w:rPr>
                <w:rFonts w:ascii="Verdana" w:eastAsia="Calibri" w:hAnsi="Verdana" w:cs="Arial"/>
                <w:b/>
                <w:bCs/>
                <w:lang w:val="es-ES" w:eastAsia="es-ES"/>
              </w:rPr>
            </w:pPr>
            <w:r w:rsidRPr="004C713C">
              <w:rPr>
                <w:rFonts w:ascii="Verdana" w:eastAsia="Calibri" w:hAnsi="Verdana" w:cs="Arial"/>
                <w:b/>
                <w:bCs/>
                <w:lang w:val="es-ES" w:eastAsia="es-ES"/>
              </w:rPr>
              <w:t>Concepto C-1</w:t>
            </w:r>
            <w:r>
              <w:rPr>
                <w:rFonts w:ascii="Verdana" w:eastAsia="Calibri" w:hAnsi="Verdana" w:cs="Arial"/>
                <w:b/>
                <w:bCs/>
                <w:lang w:val="es-ES" w:eastAsia="es-ES"/>
              </w:rPr>
              <w:t>317</w:t>
            </w:r>
            <w:r w:rsidRPr="004C713C">
              <w:rPr>
                <w:rFonts w:ascii="Verdana" w:eastAsia="Calibri" w:hAnsi="Verdana" w:cs="Arial"/>
                <w:b/>
                <w:bCs/>
                <w:lang w:val="es-ES" w:eastAsia="es-ES"/>
              </w:rPr>
              <w:t xml:space="preserve"> de 2025</w:t>
            </w:r>
          </w:p>
          <w:p w14:paraId="08268481" w14:textId="77777777" w:rsidR="00D012A1" w:rsidRPr="006A2651" w:rsidRDefault="00D012A1" w:rsidP="007365C5">
            <w:pPr>
              <w:jc w:val="both"/>
              <w:rPr>
                <w:rFonts w:ascii="Verdana" w:eastAsia="Calibri" w:hAnsi="Verdana" w:cs="Arial"/>
                <w:b/>
                <w:bCs/>
                <w:highlight w:val="yellow"/>
                <w:lang w:val="es-ES" w:eastAsia="es-ES"/>
              </w:rPr>
            </w:pPr>
          </w:p>
          <w:p w14:paraId="48B60B79" w14:textId="77777777" w:rsidR="00D012A1" w:rsidRPr="006A2651" w:rsidRDefault="00D012A1" w:rsidP="007365C5">
            <w:pPr>
              <w:jc w:val="both"/>
              <w:rPr>
                <w:rFonts w:ascii="Verdana" w:eastAsia="Calibri" w:hAnsi="Verdana" w:cs="Arial"/>
                <w:b/>
                <w:bCs/>
                <w:highlight w:val="yellow"/>
                <w:lang w:val="es-ES" w:eastAsia="es-ES"/>
              </w:rPr>
            </w:pPr>
          </w:p>
        </w:tc>
      </w:tr>
      <w:tr w:rsidR="00D012A1" w:rsidRPr="006A2651" w14:paraId="4EB84343" w14:textId="77777777" w:rsidTr="007365C5">
        <w:trPr>
          <w:trHeight w:val="884"/>
        </w:trPr>
        <w:tc>
          <w:tcPr>
            <w:tcW w:w="2689" w:type="dxa"/>
            <w:hideMark/>
          </w:tcPr>
          <w:p w14:paraId="437C7619" w14:textId="77777777" w:rsidR="00D012A1" w:rsidRPr="004C713C" w:rsidRDefault="00D012A1" w:rsidP="007365C5">
            <w:pPr>
              <w:jc w:val="both"/>
              <w:rPr>
                <w:rFonts w:ascii="Verdana" w:eastAsia="Calibri" w:hAnsi="Verdana" w:cs="Arial"/>
                <w:color w:val="000000"/>
                <w:lang w:val="es-ES_tradnl" w:eastAsia="es-ES_tradnl"/>
              </w:rPr>
            </w:pPr>
            <w:r w:rsidRPr="004C713C">
              <w:rPr>
                <w:rFonts w:ascii="Verdana" w:eastAsia="Calibri" w:hAnsi="Verdana" w:cs="Arial"/>
                <w:b/>
                <w:color w:val="000000"/>
                <w:lang w:val="es-ES_tradnl" w:eastAsia="es-ES_tradnl"/>
              </w:rPr>
              <w:t>Temas:</w:t>
            </w:r>
            <w:r w:rsidRPr="004C713C">
              <w:rPr>
                <w:rFonts w:ascii="Verdana" w:eastAsia="Calibri" w:hAnsi="Verdana" w:cs="Arial"/>
                <w:color w:val="000000"/>
                <w:lang w:val="es-ES_tradnl" w:eastAsia="es-ES_tradnl"/>
              </w:rPr>
              <w:t xml:space="preserve">                   </w:t>
            </w:r>
          </w:p>
        </w:tc>
        <w:tc>
          <w:tcPr>
            <w:tcW w:w="6100" w:type="dxa"/>
            <w:hideMark/>
          </w:tcPr>
          <w:p w14:paraId="18CB6A43" w14:textId="77777777" w:rsidR="00D012A1" w:rsidRPr="004C713C" w:rsidRDefault="00D012A1" w:rsidP="007365C5">
            <w:pPr>
              <w:jc w:val="both"/>
              <w:rPr>
                <w:rFonts w:ascii="Verdana" w:eastAsia="Calibri" w:hAnsi="Verdana" w:cs="Arial"/>
                <w:lang w:val="es-ES" w:eastAsia="es-ES"/>
              </w:rPr>
            </w:pPr>
            <w:r w:rsidRPr="00171105">
              <w:rPr>
                <w:rFonts w:ascii="Verdana" w:eastAsia="Calibri" w:hAnsi="Verdana" w:cs="Arial"/>
                <w:bCs/>
                <w:color w:val="000000" w:themeColor="text1"/>
                <w:lang w:val="es-ES_tradnl"/>
              </w:rPr>
              <w:t xml:space="preserve">FIRMAS – Concepto / FIRMAS – Firma manuscrita – Firma electrónica – Firma digital / </w:t>
            </w:r>
            <w:r>
              <w:rPr>
                <w:rFonts w:ascii="Verdana" w:eastAsia="Calibri" w:hAnsi="Verdana" w:cs="Arial"/>
                <w:bCs/>
                <w:color w:val="000000" w:themeColor="text1"/>
                <w:lang w:val="es-ES_tradnl"/>
              </w:rPr>
              <w:t>SECOP II – Usuario y contraseña /</w:t>
            </w:r>
            <w:r w:rsidRPr="00171105">
              <w:rPr>
                <w:rFonts w:ascii="Verdana" w:hAnsi="Verdana"/>
              </w:rPr>
              <w:t>OFERTA – Sin firma – Causales de rechazo / SUBSANABILIDAD – Aplicación – Regla general – Excepciones</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tc>
      </w:tr>
      <w:tr w:rsidR="00D012A1" w14:paraId="4E9B2C02" w14:textId="77777777" w:rsidTr="007365C5">
        <w:tc>
          <w:tcPr>
            <w:tcW w:w="2689" w:type="dxa"/>
            <w:hideMark/>
          </w:tcPr>
          <w:p w14:paraId="0DF940A7" w14:textId="77777777" w:rsidR="00D012A1" w:rsidRPr="004C713C" w:rsidRDefault="00D012A1" w:rsidP="007365C5">
            <w:pPr>
              <w:jc w:val="both"/>
              <w:rPr>
                <w:rFonts w:ascii="Verdana" w:eastAsia="Calibri" w:hAnsi="Verdana" w:cs="Arial"/>
                <w:b/>
                <w:color w:val="7030A0"/>
                <w:lang w:val="es-ES_tradnl" w:eastAsia="es-ES_tradnl"/>
              </w:rPr>
            </w:pPr>
            <w:r w:rsidRPr="004C713C">
              <w:rPr>
                <w:rFonts w:ascii="Verdana" w:eastAsia="Calibri" w:hAnsi="Verdana" w:cs="Arial"/>
                <w:b/>
                <w:lang w:val="es-ES_tradnl" w:eastAsia="es-ES_tradnl"/>
              </w:rPr>
              <w:t>Radicación:</w:t>
            </w:r>
            <w:r w:rsidRPr="004C713C">
              <w:rPr>
                <w:rFonts w:ascii="Verdana" w:eastAsia="Calibri" w:hAnsi="Verdana" w:cs="Arial"/>
                <w:lang w:val="es-ES_tradnl" w:eastAsia="es-ES_tradnl"/>
              </w:rPr>
              <w:t xml:space="preserve">               </w:t>
            </w:r>
          </w:p>
        </w:tc>
        <w:tc>
          <w:tcPr>
            <w:tcW w:w="6100" w:type="dxa"/>
          </w:tcPr>
          <w:p w14:paraId="2E31FBF2" w14:textId="77777777" w:rsidR="00D012A1" w:rsidRPr="004C713C" w:rsidRDefault="00D012A1" w:rsidP="007365C5">
            <w:pPr>
              <w:jc w:val="both"/>
              <w:rPr>
                <w:rFonts w:ascii="Verdana" w:eastAsia="Calibri" w:hAnsi="Verdana" w:cs="Arial"/>
                <w:lang w:val="es-ES_tradnl" w:eastAsia="es-ES_tradnl"/>
              </w:rPr>
            </w:pPr>
            <w:r w:rsidRPr="004C713C">
              <w:rPr>
                <w:rFonts w:ascii="Verdana" w:eastAsia="Calibri" w:hAnsi="Verdana" w:cs="Arial"/>
                <w:lang w:val="es-ES_tradnl" w:eastAsia="es-ES_tradnl"/>
              </w:rPr>
              <w:t xml:space="preserve">Respuesta a consulta con radicado No. </w:t>
            </w:r>
            <w:r w:rsidRPr="009B42B5">
              <w:rPr>
                <w:rFonts w:ascii="Verdana" w:eastAsia="Calibri" w:hAnsi="Verdana" w:cs="Arial"/>
                <w:lang w:val="es-ES_tradnl" w:eastAsia="es-ES_tradnl"/>
              </w:rPr>
              <w:t xml:space="preserve">1_2025_09_15_010089 </w:t>
            </w:r>
          </w:p>
        </w:tc>
      </w:tr>
    </w:tbl>
    <w:p w14:paraId="31F4324D" w14:textId="77777777" w:rsidR="00D012A1" w:rsidRDefault="00D012A1" w:rsidP="00D012A1">
      <w:pPr>
        <w:spacing w:after="0" w:line="240" w:lineRule="auto"/>
        <w:jc w:val="both"/>
        <w:rPr>
          <w:rFonts w:ascii="Verdana" w:eastAsia="Calibri" w:hAnsi="Verdana" w:cs="Arial"/>
          <w:color w:val="000000"/>
          <w:lang w:val="es-ES_tradnl" w:eastAsia="es-ES_tradnl"/>
        </w:rPr>
      </w:pPr>
    </w:p>
    <w:p w14:paraId="003A8B32" w14:textId="77777777" w:rsidR="00D012A1" w:rsidRDefault="00D012A1" w:rsidP="00D012A1">
      <w:pPr>
        <w:spacing w:after="0" w:line="240" w:lineRule="auto"/>
        <w:jc w:val="both"/>
        <w:rPr>
          <w:rFonts w:ascii="Verdana" w:eastAsia="Calibri" w:hAnsi="Verdana" w:cs="Arial"/>
          <w:color w:val="000000"/>
          <w:lang w:val="es-ES_tradnl" w:eastAsia="es-ES_tradnl"/>
        </w:rPr>
      </w:pPr>
    </w:p>
    <w:p w14:paraId="60FA9AC2" w14:textId="77777777" w:rsidR="00D012A1" w:rsidRDefault="00D012A1" w:rsidP="00D012A1">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Estimada señora Bermúdez,</w:t>
      </w:r>
    </w:p>
    <w:p w14:paraId="090FFB05" w14:textId="77777777" w:rsidR="00D012A1" w:rsidRDefault="00D012A1" w:rsidP="00D012A1">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51D97F4" w14:textId="77777777" w:rsidR="00D012A1" w:rsidRDefault="00D012A1" w:rsidP="00D012A1">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de fecha 15 de </w:t>
      </w:r>
      <w:r w:rsidRPr="7D664DA9">
        <w:rPr>
          <w:rFonts w:ascii="Verdana" w:eastAsia="Calibri" w:hAnsi="Verdana" w:cs="Arial"/>
          <w:lang w:val="es-ES" w:eastAsia="es-ES"/>
        </w:rPr>
        <w:t>septiembre</w:t>
      </w:r>
      <w:r>
        <w:rPr>
          <w:rFonts w:ascii="Verdana" w:eastAsia="Calibri" w:hAnsi="Verdana" w:cs="Arial"/>
          <w:lang w:val="es-ES" w:eastAsia="es-ES"/>
        </w:rPr>
        <w:t xml:space="preserve"> de 2025, en la cual manifiesta lo siguiente: </w:t>
      </w:r>
    </w:p>
    <w:p w14:paraId="1B5B3AC4" w14:textId="77777777" w:rsidR="00D012A1" w:rsidRDefault="00D012A1" w:rsidP="00D012A1">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5EA43DA" w14:textId="77777777" w:rsidR="00D012A1" w:rsidRPr="004720AB" w:rsidRDefault="00D012A1" w:rsidP="00D012A1">
      <w:pPr>
        <w:autoSpaceDE w:val="0"/>
        <w:autoSpaceDN w:val="0"/>
        <w:adjustRightInd w:val="0"/>
        <w:spacing w:after="0" w:line="240" w:lineRule="auto"/>
        <w:ind w:left="993" w:right="616"/>
        <w:jc w:val="both"/>
        <w:rPr>
          <w:rFonts w:ascii="Verdana" w:hAnsi="Verdana" w:cs="Calibri"/>
          <w:color w:val="000000"/>
          <w:sz w:val="20"/>
          <w:szCs w:val="20"/>
        </w:rPr>
      </w:pPr>
      <w:r>
        <w:rPr>
          <w:rFonts w:ascii="Verdana" w:hAnsi="Verdana" w:cs="Calibri"/>
          <w:color w:val="000000"/>
          <w:sz w:val="20"/>
          <w:szCs w:val="20"/>
        </w:rPr>
        <w:t>“</w:t>
      </w:r>
      <w:r w:rsidRPr="004720AB">
        <w:rPr>
          <w:rFonts w:ascii="Verdana" w:hAnsi="Verdana" w:cs="Calibri"/>
          <w:color w:val="000000"/>
          <w:sz w:val="20"/>
          <w:szCs w:val="20"/>
        </w:rPr>
        <w:t xml:space="preserve">Teniendo en cuenta lo anterior, y con el fin de aclarar los criterios aplicables para la aceptación de documentos firmados electrónicamente dentro de los procesos de contratación pública, </w:t>
      </w:r>
      <w:r w:rsidRPr="004720AB">
        <w:rPr>
          <w:rFonts w:ascii="Verdana" w:hAnsi="Verdana" w:cs="Calibri"/>
          <w:b/>
          <w:bCs/>
          <w:color w:val="000000"/>
          <w:sz w:val="20"/>
          <w:szCs w:val="20"/>
        </w:rPr>
        <w:t xml:space="preserve">SOLICITO </w:t>
      </w:r>
      <w:r w:rsidRPr="004720AB">
        <w:rPr>
          <w:rFonts w:ascii="Verdana" w:hAnsi="Verdana" w:cs="Calibri"/>
          <w:color w:val="000000"/>
          <w:sz w:val="20"/>
          <w:szCs w:val="20"/>
        </w:rPr>
        <w:t xml:space="preserve">a la </w:t>
      </w:r>
      <w:r w:rsidRPr="004720AB">
        <w:rPr>
          <w:rFonts w:ascii="Verdana" w:hAnsi="Verdana" w:cs="Calibri"/>
          <w:b/>
          <w:bCs/>
          <w:color w:val="000000"/>
          <w:sz w:val="20"/>
          <w:szCs w:val="20"/>
        </w:rPr>
        <w:t xml:space="preserve">COLOMBIA COMPRA EFICIENTE - AGENCIA NACIONAL DE CONTRATACIÓN PÚBLICA: </w:t>
      </w:r>
    </w:p>
    <w:p w14:paraId="5739C315" w14:textId="77777777" w:rsidR="00D012A1" w:rsidRPr="004720AB" w:rsidRDefault="00D012A1" w:rsidP="00D012A1">
      <w:pPr>
        <w:autoSpaceDE w:val="0"/>
        <w:autoSpaceDN w:val="0"/>
        <w:adjustRightInd w:val="0"/>
        <w:spacing w:after="0" w:line="240" w:lineRule="auto"/>
        <w:ind w:left="993" w:right="616"/>
        <w:jc w:val="both"/>
        <w:rPr>
          <w:rFonts w:ascii="Verdana" w:hAnsi="Verdana" w:cs="Calibri"/>
          <w:color w:val="000000"/>
          <w:sz w:val="20"/>
          <w:szCs w:val="20"/>
        </w:rPr>
      </w:pPr>
      <w:r w:rsidRPr="004720AB">
        <w:rPr>
          <w:rFonts w:ascii="Verdana" w:hAnsi="Verdana" w:cs="Calibri"/>
          <w:b/>
          <w:bCs/>
          <w:color w:val="000000"/>
          <w:sz w:val="20"/>
          <w:szCs w:val="20"/>
        </w:rPr>
        <w:t>PRIMERO</w:t>
      </w:r>
      <w:r w:rsidRPr="004720AB">
        <w:rPr>
          <w:rFonts w:ascii="Verdana" w:hAnsi="Verdana" w:cs="Calibri"/>
          <w:color w:val="000000"/>
          <w:sz w:val="20"/>
          <w:szCs w:val="20"/>
        </w:rPr>
        <w:t xml:space="preserve">: Explique detalladamente cuáles son las razones jurídicas y técnicas por las cuales se considera que los documentos aportados con firma superpuesta no cumplen con los requisitos para ser tenidos como válidos, pese a que fueron presentados mediante la plataforma SECOP II, utilizando el mecanismo de autenticación de usuario y contraseña asignado al oferente. </w:t>
      </w:r>
    </w:p>
    <w:p w14:paraId="5DFDE201" w14:textId="77777777" w:rsidR="00D012A1" w:rsidRPr="004720AB" w:rsidRDefault="00D012A1" w:rsidP="00D012A1">
      <w:pPr>
        <w:autoSpaceDE w:val="0"/>
        <w:autoSpaceDN w:val="0"/>
        <w:adjustRightInd w:val="0"/>
        <w:spacing w:after="0" w:line="240" w:lineRule="auto"/>
        <w:ind w:left="993" w:right="616"/>
        <w:jc w:val="both"/>
        <w:rPr>
          <w:rFonts w:ascii="Verdana" w:hAnsi="Verdana" w:cs="Calibri"/>
          <w:color w:val="000000"/>
          <w:sz w:val="20"/>
          <w:szCs w:val="20"/>
        </w:rPr>
      </w:pPr>
      <w:r w:rsidRPr="004720AB">
        <w:rPr>
          <w:rFonts w:ascii="Verdana" w:hAnsi="Verdana" w:cs="Calibri"/>
          <w:b/>
          <w:bCs/>
          <w:color w:val="000000"/>
          <w:sz w:val="20"/>
          <w:szCs w:val="20"/>
        </w:rPr>
        <w:t xml:space="preserve">SEGUNDO: </w:t>
      </w:r>
      <w:r w:rsidRPr="004720AB">
        <w:rPr>
          <w:rFonts w:ascii="Verdana" w:hAnsi="Verdana" w:cs="Calibri"/>
          <w:color w:val="000000"/>
          <w:sz w:val="20"/>
          <w:szCs w:val="20"/>
        </w:rPr>
        <w:t xml:space="preserve">Precise de manera expresa cuáles son los requisitos específicos que debe cumplir un documento para que sea considerado jurídicamente válido cuando se firma electrónicamente. </w:t>
      </w:r>
    </w:p>
    <w:p w14:paraId="6FD43759" w14:textId="77777777" w:rsidR="00D012A1" w:rsidRPr="004720AB" w:rsidRDefault="00D012A1" w:rsidP="00D012A1">
      <w:pPr>
        <w:autoSpaceDE w:val="0"/>
        <w:autoSpaceDN w:val="0"/>
        <w:adjustRightInd w:val="0"/>
        <w:spacing w:after="0" w:line="240" w:lineRule="auto"/>
        <w:ind w:left="993" w:right="616"/>
        <w:jc w:val="both"/>
        <w:rPr>
          <w:rFonts w:ascii="Verdana" w:hAnsi="Verdana" w:cs="Calibri"/>
          <w:color w:val="000000"/>
          <w:sz w:val="20"/>
          <w:szCs w:val="20"/>
        </w:rPr>
      </w:pPr>
      <w:r w:rsidRPr="004720AB">
        <w:rPr>
          <w:rFonts w:ascii="Verdana" w:hAnsi="Verdana" w:cs="Calibri"/>
          <w:b/>
          <w:bCs/>
          <w:color w:val="000000"/>
          <w:sz w:val="20"/>
          <w:szCs w:val="20"/>
        </w:rPr>
        <w:lastRenderedPageBreak/>
        <w:t xml:space="preserve">TERCERO: </w:t>
      </w:r>
      <w:r w:rsidRPr="004720AB">
        <w:rPr>
          <w:rFonts w:ascii="Verdana" w:hAnsi="Verdana" w:cs="Calibri"/>
          <w:color w:val="000000"/>
          <w:sz w:val="20"/>
          <w:szCs w:val="20"/>
        </w:rPr>
        <w:t xml:space="preserve">Indique si el uso de credenciales personales (usuario y contraseña) dentro de la plataforma SECOP II, asignadas de manera individual a cada proponente, constituye o no un mecanismo de firma electrónica válido para efectos de atribuir autenticidad e integridad a los documentos presentados en un proceso de selección. </w:t>
      </w:r>
    </w:p>
    <w:p w14:paraId="3B5C3C41" w14:textId="77777777" w:rsidR="00D012A1" w:rsidRPr="004720AB" w:rsidRDefault="00D012A1" w:rsidP="00D012A1">
      <w:pPr>
        <w:autoSpaceDE w:val="0"/>
        <w:autoSpaceDN w:val="0"/>
        <w:adjustRightInd w:val="0"/>
        <w:spacing w:after="0" w:line="240" w:lineRule="auto"/>
        <w:ind w:left="993" w:right="616"/>
        <w:jc w:val="both"/>
        <w:rPr>
          <w:rFonts w:ascii="Verdana" w:hAnsi="Verdana" w:cs="Calibri"/>
          <w:color w:val="000000"/>
          <w:sz w:val="20"/>
          <w:szCs w:val="20"/>
        </w:rPr>
      </w:pPr>
      <w:r w:rsidRPr="004720AB">
        <w:rPr>
          <w:rFonts w:ascii="Verdana" w:hAnsi="Verdana" w:cs="Calibri"/>
          <w:b/>
          <w:bCs/>
          <w:color w:val="000000"/>
          <w:sz w:val="20"/>
          <w:szCs w:val="20"/>
        </w:rPr>
        <w:t xml:space="preserve">CUARTO: </w:t>
      </w:r>
      <w:r w:rsidRPr="004720AB">
        <w:rPr>
          <w:rFonts w:ascii="Verdana" w:hAnsi="Verdana" w:cs="Calibri"/>
          <w:color w:val="000000"/>
          <w:sz w:val="20"/>
          <w:szCs w:val="20"/>
        </w:rPr>
        <w:t xml:space="preserve">Aclárese si sería jurídicamente procedente subsanar los documentos objetados mediante la presentación de una carta firmada por el mismo firmante, en la cual se ratifique expresamente la validez, autoría y contenido de los documentos inicialmente aportados. </w:t>
      </w:r>
    </w:p>
    <w:p w14:paraId="5C806B3E" w14:textId="77777777" w:rsidR="00D012A1" w:rsidRPr="004720AB" w:rsidRDefault="00D012A1" w:rsidP="00D012A1">
      <w:pPr>
        <w:autoSpaceDE w:val="0"/>
        <w:autoSpaceDN w:val="0"/>
        <w:adjustRightInd w:val="0"/>
        <w:spacing w:after="0" w:line="240" w:lineRule="auto"/>
        <w:ind w:left="993" w:right="616"/>
        <w:jc w:val="both"/>
        <w:rPr>
          <w:rFonts w:ascii="Verdana" w:hAnsi="Verdana" w:cs="Calibri"/>
          <w:color w:val="000000"/>
          <w:sz w:val="20"/>
          <w:szCs w:val="20"/>
        </w:rPr>
      </w:pPr>
      <w:r w:rsidRPr="004720AB">
        <w:rPr>
          <w:rFonts w:ascii="Verdana" w:hAnsi="Verdana" w:cs="Calibri"/>
          <w:b/>
          <w:bCs/>
          <w:color w:val="000000"/>
          <w:sz w:val="20"/>
          <w:szCs w:val="20"/>
        </w:rPr>
        <w:t xml:space="preserve">QUINTO: </w:t>
      </w:r>
      <w:r w:rsidRPr="004720AB">
        <w:rPr>
          <w:rFonts w:ascii="Verdana" w:hAnsi="Verdana" w:cs="Calibri"/>
          <w:color w:val="000000"/>
          <w:sz w:val="20"/>
          <w:szCs w:val="20"/>
        </w:rPr>
        <w:t xml:space="preserve">Informe si la remisión de un correo electrónico desde la cuenta personal del firmante, en el cual este ratifique expresamente que los documentos le pertenecen y que aprueba su contenido, podría ser considerado como un medio idóneo para subsanar y validar tales documentos como firmados electrónicamente. </w:t>
      </w:r>
    </w:p>
    <w:p w14:paraId="459F1D5D" w14:textId="77777777" w:rsidR="00D012A1" w:rsidRPr="004720AB" w:rsidRDefault="00D012A1" w:rsidP="00D012A1">
      <w:pPr>
        <w:autoSpaceDE w:val="0"/>
        <w:autoSpaceDN w:val="0"/>
        <w:adjustRightInd w:val="0"/>
        <w:spacing w:after="0" w:line="276" w:lineRule="auto"/>
        <w:ind w:left="993" w:right="616"/>
        <w:jc w:val="both"/>
        <w:rPr>
          <w:rFonts w:ascii="Verdana" w:hAnsi="Verdana" w:cs="Calibri"/>
          <w:color w:val="000000"/>
          <w:sz w:val="20"/>
          <w:szCs w:val="20"/>
        </w:rPr>
      </w:pPr>
      <w:r w:rsidRPr="004720AB">
        <w:rPr>
          <w:rFonts w:ascii="Verdana" w:hAnsi="Verdana" w:cs="Calibri"/>
          <w:b/>
          <w:bCs/>
          <w:color w:val="000000"/>
          <w:sz w:val="20"/>
          <w:szCs w:val="20"/>
        </w:rPr>
        <w:t xml:space="preserve">SEXTO: </w:t>
      </w:r>
      <w:r w:rsidRPr="004720AB">
        <w:rPr>
          <w:rFonts w:ascii="Verdana" w:hAnsi="Verdana" w:cs="Calibri"/>
          <w:color w:val="000000"/>
          <w:sz w:val="20"/>
          <w:szCs w:val="20"/>
        </w:rPr>
        <w:t>Informe si existen otros mecanismos o medios de prueba que, de conformidad con el Decreto 2364 de 2012, puedan ser utilizados por el firmante para acreditar la autenticidad, integridad y no repudio de los documentos remitidos de manera electrónica dentro de la plataforma SECOP II.</w:t>
      </w:r>
    </w:p>
    <w:p w14:paraId="04364B96" w14:textId="77777777" w:rsidR="00D012A1" w:rsidRDefault="00D012A1" w:rsidP="00D012A1">
      <w:pPr>
        <w:autoSpaceDE w:val="0"/>
        <w:autoSpaceDN w:val="0"/>
        <w:adjustRightInd w:val="0"/>
        <w:spacing w:after="0" w:line="276" w:lineRule="auto"/>
        <w:ind w:left="993" w:right="616"/>
        <w:jc w:val="both"/>
        <w:rPr>
          <w:rFonts w:ascii="Verdana" w:hAnsi="Verdana"/>
          <w:sz w:val="20"/>
          <w:szCs w:val="20"/>
        </w:rPr>
      </w:pPr>
      <w:r w:rsidRPr="004720AB">
        <w:rPr>
          <w:rFonts w:ascii="Verdana" w:hAnsi="Verdana"/>
          <w:b/>
          <w:bCs/>
          <w:sz w:val="20"/>
          <w:szCs w:val="20"/>
        </w:rPr>
        <w:t xml:space="preserve">SEPTIMO: </w:t>
      </w:r>
      <w:r w:rsidRPr="004720AB">
        <w:rPr>
          <w:rFonts w:ascii="Verdana" w:hAnsi="Verdana"/>
          <w:sz w:val="20"/>
          <w:szCs w:val="20"/>
        </w:rPr>
        <w:t>indique si la Agencia Nacional de Contratación Pública ha emitido directrices, guías, circulares o conceptos recientes sobre el tratamiento y validez de documentos firmados electrónicamente en el marco de procesos de selección en SECOP II, y en caso afirmativo, se sirva remitir copia o señalar el enlace oficial en el que puedan ser consultados</w:t>
      </w:r>
      <w:r>
        <w:rPr>
          <w:rFonts w:ascii="Verdana" w:hAnsi="Verdana"/>
          <w:sz w:val="20"/>
          <w:szCs w:val="20"/>
        </w:rPr>
        <w:t>”</w:t>
      </w:r>
    </w:p>
    <w:p w14:paraId="31FE61F4" w14:textId="77777777" w:rsidR="00D012A1" w:rsidRPr="004720AB" w:rsidRDefault="00D012A1" w:rsidP="00D012A1">
      <w:pPr>
        <w:autoSpaceDE w:val="0"/>
        <w:autoSpaceDN w:val="0"/>
        <w:adjustRightInd w:val="0"/>
        <w:spacing w:after="0" w:line="276" w:lineRule="auto"/>
        <w:ind w:left="993" w:right="616"/>
        <w:jc w:val="both"/>
        <w:rPr>
          <w:rFonts w:ascii="Verdana" w:eastAsia="Century Gothic" w:hAnsi="Verdana" w:cs="Century Gothic"/>
          <w:b/>
          <w:sz w:val="20"/>
          <w:szCs w:val="20"/>
        </w:rPr>
      </w:pPr>
    </w:p>
    <w:p w14:paraId="0700AAC8" w14:textId="77777777" w:rsidR="00D012A1" w:rsidRDefault="00D012A1" w:rsidP="00D012A1">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3FA465AA" w14:textId="77777777" w:rsidR="00D012A1" w:rsidRDefault="00D012A1" w:rsidP="00D012A1">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w:t>
      </w:r>
      <w:r>
        <w:rPr>
          <w:rFonts w:ascii="Verdana" w:eastAsia="Calibri" w:hAnsi="Verdana" w:cs="Arial"/>
          <w:color w:val="000000"/>
          <w:lang w:val="es-ES" w:eastAsia="es-ES"/>
        </w:rPr>
        <w:lastRenderedPageBreak/>
        <w:t>consultiva, esto es, haciendo unas consideraciones sobre las normas generales relacionadas con los</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problemas</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jurídicos</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20DD0EA4" w14:textId="77777777" w:rsidR="00D012A1" w:rsidRDefault="00D012A1" w:rsidP="00D012A1">
      <w:pPr>
        <w:spacing w:after="0" w:line="276" w:lineRule="auto"/>
        <w:ind w:firstLine="709"/>
        <w:jc w:val="both"/>
        <w:rPr>
          <w:rFonts w:ascii="Verdana" w:eastAsia="Calibri" w:hAnsi="Verdana" w:cs="Arial"/>
          <w:color w:val="000000"/>
          <w:lang w:val="es-ES" w:eastAsia="es-ES"/>
        </w:rPr>
      </w:pPr>
    </w:p>
    <w:p w14:paraId="5B8761EC" w14:textId="77777777" w:rsidR="00D012A1" w:rsidRDefault="00D012A1" w:rsidP="00D012A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73C48B59" w14:textId="77777777" w:rsidR="00D012A1" w:rsidRDefault="00D012A1" w:rsidP="00D012A1">
      <w:pPr>
        <w:tabs>
          <w:tab w:val="left" w:pos="426"/>
        </w:tabs>
        <w:spacing w:after="0" w:line="276" w:lineRule="auto"/>
        <w:jc w:val="both"/>
        <w:rPr>
          <w:rFonts w:ascii="Verdana" w:eastAsia="Century Gothic" w:hAnsi="Verdana" w:cs="Century Gothic"/>
          <w:lang w:val="es-ES"/>
        </w:rPr>
      </w:pPr>
    </w:p>
    <w:p w14:paraId="5622D5C2" w14:textId="77777777" w:rsidR="00D012A1" w:rsidRDefault="00D012A1" w:rsidP="00D012A1">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los siguientes problemas jurídicos: i </w:t>
      </w:r>
      <w:r w:rsidRPr="00647FC5">
        <w:rPr>
          <w:rFonts w:ascii="Verdana" w:eastAsia="Century Gothic" w:hAnsi="Verdana" w:cs="Arial"/>
        </w:rPr>
        <w:t>¿</w:t>
      </w:r>
      <w:r w:rsidRPr="00647FC5">
        <w:rPr>
          <w:rFonts w:ascii="Verdana" w:hAnsi="Verdana"/>
        </w:rPr>
        <w:t xml:space="preserve">Cuáles son los tipos de firma </w:t>
      </w:r>
      <w:r w:rsidRPr="00647FC5">
        <w:rPr>
          <w:rFonts w:ascii="Verdana" w:eastAsia="Century Gothic" w:hAnsi="Verdana" w:cs="Arial"/>
        </w:rPr>
        <w:t>que se reconocen en el ordenamiento jurídico colombiano?;</w:t>
      </w:r>
      <w:r>
        <w:rPr>
          <w:rFonts w:ascii="Verdana" w:eastAsia="Century Gothic" w:hAnsi="Verdana" w:cs="Arial"/>
        </w:rPr>
        <w:t xml:space="preserve"> </w:t>
      </w:r>
      <w:proofErr w:type="spellStart"/>
      <w:r>
        <w:rPr>
          <w:rFonts w:ascii="Verdana" w:eastAsia="Century Gothic" w:hAnsi="Verdana" w:cs="Arial"/>
        </w:rPr>
        <w:t>ii</w:t>
      </w:r>
      <w:proofErr w:type="spellEnd"/>
      <w:r>
        <w:rPr>
          <w:rFonts w:ascii="Verdana" w:eastAsia="Century Gothic" w:hAnsi="Verdana" w:cs="Arial"/>
        </w:rPr>
        <w:t xml:space="preserve"> </w:t>
      </w:r>
      <w:r>
        <w:rPr>
          <w:rFonts w:ascii="Verdana" w:eastAsia="Century Gothic" w:hAnsi="Verdana" w:cs="Century Gothic"/>
        </w:rPr>
        <w:t xml:space="preserve">¿Cuáles son los requisitos de la firma electrónica para ser considerada válida en un documento?; </w:t>
      </w:r>
      <w:proofErr w:type="spellStart"/>
      <w:r>
        <w:rPr>
          <w:rFonts w:ascii="Verdana" w:eastAsia="Century Gothic" w:hAnsi="Verdana" w:cs="Century Gothic"/>
        </w:rPr>
        <w:t>iii</w:t>
      </w:r>
      <w:proofErr w:type="spellEnd"/>
      <w:r>
        <w:rPr>
          <w:rFonts w:ascii="Verdana" w:eastAsia="Century Gothic" w:hAnsi="Verdana" w:cs="Century Gothic"/>
        </w:rPr>
        <w:t xml:space="preserve"> ¿son válidos los documentos presentados con la imagen de la firma (firma superpuesta) en un proceso de selección contractual</w:t>
      </w:r>
      <w:r w:rsidRPr="007F3378">
        <w:rPr>
          <w:rFonts w:ascii="Verdana" w:eastAsia="Century Gothic" w:hAnsi="Verdana" w:cs="Century Gothic"/>
        </w:rPr>
        <w:t>?</w:t>
      </w:r>
      <w:r>
        <w:rPr>
          <w:rFonts w:ascii="Verdana" w:eastAsia="Century Gothic" w:hAnsi="Verdana" w:cs="Century Gothic"/>
        </w:rPr>
        <w:t xml:space="preserve">; </w:t>
      </w:r>
      <w:proofErr w:type="spellStart"/>
      <w:r>
        <w:rPr>
          <w:rFonts w:ascii="Verdana" w:eastAsia="Century Gothic" w:hAnsi="Verdana" w:cs="Century Gothic"/>
        </w:rPr>
        <w:t>iv</w:t>
      </w:r>
      <w:proofErr w:type="spellEnd"/>
      <w:r>
        <w:rPr>
          <w:rFonts w:ascii="Verdana" w:eastAsia="Century Gothic" w:hAnsi="Verdana" w:cs="Century Gothic"/>
        </w:rPr>
        <w:t xml:space="preserve">  ¿en la plataforma SECOP II el usuario y la contraseña constituyen un mecanismo de firma electrónica?; v ¿es subsanable la presentación de documentos sin firma válida en un proceso de selección?</w:t>
      </w:r>
    </w:p>
    <w:p w14:paraId="116F5A35" w14:textId="77777777" w:rsidR="00D012A1" w:rsidRDefault="00D012A1" w:rsidP="00D012A1">
      <w:pPr>
        <w:spacing w:after="0" w:line="276" w:lineRule="auto"/>
        <w:jc w:val="both"/>
        <w:rPr>
          <w:rFonts w:ascii="Verdana" w:eastAsia="Calibri" w:hAnsi="Verdana" w:cs="Arial"/>
          <w:color w:val="7030A0"/>
          <w:lang w:val="es-ES"/>
        </w:rPr>
      </w:pPr>
    </w:p>
    <w:p w14:paraId="77E457DA" w14:textId="77777777" w:rsidR="00D012A1" w:rsidRDefault="00D012A1" w:rsidP="00D012A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0E0B33AB" w14:textId="77777777" w:rsidR="00D012A1" w:rsidRDefault="00D012A1" w:rsidP="00D012A1">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012A1" w14:paraId="335D6255" w14:textId="77777777" w:rsidTr="007365C5">
        <w:tc>
          <w:tcPr>
            <w:tcW w:w="8828" w:type="dxa"/>
            <w:tcBorders>
              <w:top w:val="dotted" w:sz="4" w:space="0" w:color="auto"/>
              <w:left w:val="dotted" w:sz="4" w:space="0" w:color="auto"/>
              <w:bottom w:val="dotted" w:sz="4" w:space="0" w:color="auto"/>
              <w:right w:val="dotted" w:sz="4" w:space="0" w:color="auto"/>
            </w:tcBorders>
          </w:tcPr>
          <w:p w14:paraId="5EC9E922" w14:textId="77777777" w:rsidR="00D012A1" w:rsidRDefault="00D012A1" w:rsidP="00D012A1">
            <w:pPr>
              <w:pStyle w:val="Prrafodelista"/>
              <w:numPr>
                <w:ilvl w:val="0"/>
                <w:numId w:val="18"/>
              </w:numPr>
              <w:spacing w:after="120" w:line="276" w:lineRule="auto"/>
              <w:ind w:left="29" w:firstLine="0"/>
              <w:jc w:val="both"/>
              <w:rPr>
                <w:rFonts w:ascii="Verdana" w:eastAsia="Calibri" w:hAnsi="Verdana" w:cs="Arial"/>
                <w:bCs/>
                <w:lang w:val="es-ES_tradnl"/>
              </w:rPr>
            </w:pPr>
            <w:r w:rsidRPr="00744C32">
              <w:rPr>
                <w:rFonts w:ascii="Verdana" w:eastAsia="Calibri" w:hAnsi="Verdana" w:cs="Arial"/>
                <w:lang w:val="es-ES_tradnl"/>
              </w:rPr>
              <w:t xml:space="preserve">El artículo 836 del Código de Comercio define la firma como “la expresión del nombre del suscriptor o de alguno de los elementos que la integren o de un signo o símbolo empleado como medio de identificación personal”, es decir, la forma por la cual se identifica a una persona ya sea con el nombre del suscriptor, un símbolo o signo. </w:t>
            </w:r>
            <w:r w:rsidRPr="00744C32">
              <w:rPr>
                <w:rFonts w:ascii="Verdana" w:eastAsia="Calibri" w:hAnsi="Verdana" w:cs="Arial"/>
                <w:bCs/>
                <w:lang w:val="es-ES_tradnl"/>
              </w:rPr>
              <w:t>El ordenamiento jurídico reconoce la firma manuscrita, digital o electrónica.</w:t>
            </w:r>
          </w:p>
          <w:p w14:paraId="0301982B" w14:textId="77777777" w:rsidR="00D012A1" w:rsidRPr="00744C32" w:rsidRDefault="00D012A1" w:rsidP="00D012A1">
            <w:pPr>
              <w:pStyle w:val="Prrafodelista"/>
              <w:numPr>
                <w:ilvl w:val="0"/>
                <w:numId w:val="18"/>
              </w:numPr>
              <w:spacing w:after="120" w:line="276" w:lineRule="auto"/>
              <w:ind w:left="29" w:firstLine="0"/>
              <w:jc w:val="both"/>
              <w:rPr>
                <w:rFonts w:ascii="Verdana" w:eastAsia="Calibri" w:hAnsi="Verdana" w:cs="Arial"/>
                <w:bCs/>
                <w:lang w:val="es-ES_tradnl"/>
              </w:rPr>
            </w:pPr>
            <w:r>
              <w:rPr>
                <w:rFonts w:ascii="Verdana" w:eastAsia="Calibri" w:hAnsi="Verdana" w:cs="Arial"/>
              </w:rPr>
              <w:t>F</w:t>
            </w:r>
            <w:r w:rsidRPr="00670A6E">
              <w:rPr>
                <w:rFonts w:ascii="Verdana" w:eastAsia="Calibri" w:hAnsi="Verdana" w:cs="Arial"/>
              </w:rPr>
              <w:t xml:space="preserve">rente a la </w:t>
            </w:r>
            <w:r w:rsidRPr="00670A6E">
              <w:rPr>
                <w:rFonts w:ascii="Verdana" w:eastAsia="Calibri" w:hAnsi="Verdana" w:cs="Arial"/>
                <w:i/>
                <w:iCs/>
              </w:rPr>
              <w:t>firma electrónica</w:t>
            </w:r>
            <w:r w:rsidRPr="00670A6E">
              <w:rPr>
                <w:rFonts w:ascii="Verdana" w:eastAsia="Calibri" w:hAnsi="Verdana" w:cs="Arial"/>
              </w:rPr>
              <w:t xml:space="preserve">, el artículo 1 del Decreto 2364 de 2012 la define como “aquella que se realiza a través de métodos tales como, códigos, contraseñas, datos biométricos, o claves criptográficas privadas, que permite identificar a una persona, en relación con un mensaje de datos, siempre y cuando el mismo sea confiable y apropiado respecto de los fines para los que se utiliza la firma, atendidas todas las circunstancias del caso, así como cualquier acuerdo pertinente”. En este sentido, los atributos jurídicos que debe tener la firma electrónica son: i) identificar el firmante, </w:t>
            </w:r>
            <w:proofErr w:type="spellStart"/>
            <w:r w:rsidRPr="00670A6E">
              <w:rPr>
                <w:rFonts w:ascii="Verdana" w:eastAsia="Calibri" w:hAnsi="Verdana" w:cs="Arial"/>
              </w:rPr>
              <w:t>ii</w:t>
            </w:r>
            <w:proofErr w:type="spellEnd"/>
            <w:r w:rsidRPr="00670A6E">
              <w:rPr>
                <w:rFonts w:ascii="Verdana" w:eastAsia="Calibri" w:hAnsi="Verdana" w:cs="Arial"/>
              </w:rPr>
              <w:t xml:space="preserve">) asegurar que el documento firmado es exactamente el mismo que el original y </w:t>
            </w:r>
            <w:proofErr w:type="spellStart"/>
            <w:r w:rsidRPr="00670A6E">
              <w:rPr>
                <w:rFonts w:ascii="Verdana" w:eastAsia="Calibri" w:hAnsi="Verdana" w:cs="Arial"/>
              </w:rPr>
              <w:t>iii</w:t>
            </w:r>
            <w:proofErr w:type="spellEnd"/>
            <w:r w:rsidRPr="00670A6E">
              <w:rPr>
                <w:rFonts w:ascii="Verdana" w:eastAsia="Calibri" w:hAnsi="Verdana" w:cs="Arial"/>
              </w:rPr>
              <w:t>) asegurar que los datos que utiliza el firmante para realizar la firma son únicos y exclusivos.</w:t>
            </w:r>
          </w:p>
          <w:p w14:paraId="6F3762CA" w14:textId="77777777" w:rsidR="00D012A1" w:rsidRPr="00744C32" w:rsidRDefault="00D012A1" w:rsidP="00D012A1">
            <w:pPr>
              <w:pStyle w:val="Prrafodelista"/>
              <w:numPr>
                <w:ilvl w:val="0"/>
                <w:numId w:val="18"/>
              </w:numPr>
              <w:spacing w:after="120" w:line="276" w:lineRule="auto"/>
              <w:ind w:left="29" w:hanging="59"/>
              <w:jc w:val="both"/>
              <w:rPr>
                <w:rFonts w:ascii="Verdana" w:eastAsia="Calibri" w:hAnsi="Verdana" w:cs="Arial"/>
              </w:rPr>
            </w:pPr>
            <w:r>
              <w:rPr>
                <w:rFonts w:ascii="Verdana" w:eastAsia="Calibri" w:hAnsi="Verdana" w:cs="Arial"/>
              </w:rPr>
              <w:t xml:space="preserve">Si </w:t>
            </w:r>
            <w:r w:rsidRPr="00744C32">
              <w:rPr>
                <w:rFonts w:ascii="Verdana" w:eastAsia="Calibri" w:hAnsi="Verdana" w:cs="Arial"/>
              </w:rPr>
              <w:t xml:space="preserve">el documento tiene una imagen con la firma y se adjunta como archivo para enviarlo al correo electrónico, la entidad verificará si el archivo cumple con los requisitos de la firma digital o electrónica. Como se mencionó, el artículo 2 de la Ley 527 de 1999 regula la firma digital como un valor </w:t>
            </w:r>
            <w:r w:rsidRPr="00744C32">
              <w:rPr>
                <w:rFonts w:ascii="Verdana" w:eastAsia="Calibri" w:hAnsi="Verdana" w:cs="Arial"/>
              </w:rPr>
              <w:lastRenderedPageBreak/>
              <w:t xml:space="preserve">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En este sentido, la entidad deberá determinar con las entidades de certificación acreditadas por el Organismo Nacional de Acreditación de Colombia si esa firma digital se encuentra o no registrada. Por otro lado, tratándose de una firma electrónica, la entidad deberá verificar i) la identidad del firmante, </w:t>
            </w:r>
            <w:proofErr w:type="spellStart"/>
            <w:r w:rsidRPr="00744C32">
              <w:rPr>
                <w:rFonts w:ascii="Verdana" w:eastAsia="Calibri" w:hAnsi="Verdana" w:cs="Arial"/>
              </w:rPr>
              <w:t>ii</w:t>
            </w:r>
            <w:proofErr w:type="spellEnd"/>
            <w:r w:rsidRPr="00744C32">
              <w:rPr>
                <w:rFonts w:ascii="Verdana" w:eastAsia="Calibri" w:hAnsi="Verdana" w:cs="Arial"/>
              </w:rPr>
              <w:t xml:space="preserve">) que el documento firmado es exactamente el mismo que el original y </w:t>
            </w:r>
            <w:proofErr w:type="spellStart"/>
            <w:r w:rsidRPr="00744C32">
              <w:rPr>
                <w:rFonts w:ascii="Verdana" w:eastAsia="Calibri" w:hAnsi="Verdana" w:cs="Arial"/>
              </w:rPr>
              <w:t>iii</w:t>
            </w:r>
            <w:proofErr w:type="spellEnd"/>
            <w:r w:rsidRPr="00744C32">
              <w:rPr>
                <w:rFonts w:ascii="Verdana" w:eastAsia="Calibri" w:hAnsi="Verdana" w:cs="Arial"/>
              </w:rPr>
              <w:t xml:space="preserve">) los datos que utiliza el firmante para realizar la firma son únicos y exclusivos. </w:t>
            </w:r>
          </w:p>
          <w:p w14:paraId="3AD5CFEE" w14:textId="77777777" w:rsidR="00D012A1" w:rsidRDefault="00D012A1" w:rsidP="007365C5">
            <w:pPr>
              <w:spacing w:after="120" w:line="276" w:lineRule="auto"/>
              <w:ind w:firstLine="708"/>
              <w:jc w:val="both"/>
              <w:rPr>
                <w:rFonts w:ascii="Verdana" w:eastAsia="Calibri" w:hAnsi="Verdana" w:cs="Arial"/>
              </w:rPr>
            </w:pPr>
            <w:r w:rsidRPr="00670A6E">
              <w:rPr>
                <w:rFonts w:ascii="Verdana" w:eastAsia="Calibri" w:hAnsi="Verdana" w:cs="Arial"/>
              </w:rPr>
              <w:t>En materia probatoria, tanto la firma electrónica como la firma digital pueden producir los mismos efectos jurídicos como mecanismos de autenticación, pero su diferencia tiene que ver con la carga probatoria, pues en la firma digital, por existir una entidad de certificación que avala la identidad del titular de la firma, de manera automática introduce la autenticidad, integridad y no repudio. En el caso de la firma electrónica es necesario probar dichos elementos, a más de la t</w:t>
            </w:r>
            <w:r>
              <w:rPr>
                <w:rFonts w:ascii="Verdana" w:eastAsia="Calibri" w:hAnsi="Verdana" w:cs="Arial"/>
              </w:rPr>
              <w:t>razabilidad, disponibilidad y</w:t>
            </w:r>
            <w:r w:rsidRPr="00670A6E">
              <w:rPr>
                <w:rFonts w:ascii="Verdana" w:eastAsia="Calibri" w:hAnsi="Verdana" w:cs="Arial"/>
              </w:rPr>
              <w:t xml:space="preserve"> demostrar que se trata el mecanismo confiable y apropiable.</w:t>
            </w:r>
            <w:r>
              <w:rPr>
                <w:rFonts w:ascii="Verdana" w:eastAsia="Calibri" w:hAnsi="Verdana" w:cs="Arial"/>
              </w:rPr>
              <w:t xml:space="preserve"> </w:t>
            </w:r>
          </w:p>
          <w:p w14:paraId="3796A146" w14:textId="77777777" w:rsidR="00D012A1" w:rsidRPr="00744C32" w:rsidRDefault="00D012A1" w:rsidP="007365C5">
            <w:pPr>
              <w:pStyle w:val="Prrafodelista"/>
              <w:spacing w:after="120" w:line="276" w:lineRule="auto"/>
              <w:ind w:left="29"/>
              <w:jc w:val="both"/>
              <w:rPr>
                <w:rFonts w:ascii="Verdana" w:eastAsia="Calibri" w:hAnsi="Verdana" w:cs="Arial"/>
              </w:rPr>
            </w:pPr>
            <w:r>
              <w:rPr>
                <w:rFonts w:ascii="Verdana" w:eastAsia="Calibri" w:hAnsi="Verdana" w:cs="Arial"/>
              </w:rPr>
              <w:t xml:space="preserve">        </w:t>
            </w:r>
            <w:r w:rsidRPr="00744C32">
              <w:rPr>
                <w:rFonts w:ascii="Verdana" w:eastAsia="Calibri" w:hAnsi="Verdana" w:cs="Arial"/>
              </w:rPr>
              <w:t>Por tanto, para que un documento con la imagen de una firma sea válido, deberá determinarse si cumple los requisitos de una firma digital o electrónica. Si no cumple los requisitos se entiende que el documento carece de firma.</w:t>
            </w:r>
          </w:p>
          <w:p w14:paraId="28B5BCAB" w14:textId="77777777" w:rsidR="00D012A1" w:rsidRPr="00744C32" w:rsidRDefault="00D012A1" w:rsidP="00D012A1">
            <w:pPr>
              <w:pStyle w:val="Prrafodelista"/>
              <w:numPr>
                <w:ilvl w:val="0"/>
                <w:numId w:val="18"/>
              </w:numPr>
              <w:spacing w:after="120" w:line="276" w:lineRule="auto"/>
              <w:ind w:left="29" w:firstLine="83"/>
              <w:jc w:val="both"/>
              <w:rPr>
                <w:rFonts w:ascii="Verdana" w:eastAsia="Calibri" w:hAnsi="Verdana" w:cs="Arial"/>
                <w:bCs/>
                <w:lang w:val="es-ES_tradnl"/>
              </w:rPr>
            </w:pPr>
            <w:r w:rsidRPr="00744C32">
              <w:rPr>
                <w:rFonts w:ascii="Verdana" w:eastAsia="Calibri" w:hAnsi="Verdana" w:cs="Arial"/>
                <w:bCs/>
                <w:lang w:val="es-ES_tradnl"/>
              </w:rPr>
              <w:t>Sí, como se establece en los términos y condiciones de la plataforma SECOP II: “</w:t>
            </w:r>
            <w:r w:rsidRPr="00744C32">
              <w:rPr>
                <w:rFonts w:ascii="Verdana" w:hAnsi="Verdana"/>
              </w:rPr>
              <w:t>Las actuaciones de los Usuarios en el SECOP II comprometen a la Entidad Compradora o al Proveedor del cual son agentes. La autenticación del SECOP II, es decir, el nombre de Usuario y la contraseña constituyen una firma electrónica en los términos del artículo 7 de la Ley 527 de 1999 y las normas que la reglamentan.”</w:t>
            </w:r>
            <w:r w:rsidRPr="00744C32">
              <w:rPr>
                <w:rStyle w:val="Refdenotaalpie"/>
                <w:rFonts w:ascii="Verdana" w:hAnsi="Verdana"/>
              </w:rPr>
              <w:footnoteReference w:id="1"/>
            </w:r>
          </w:p>
          <w:p w14:paraId="5F13B579" w14:textId="77777777" w:rsidR="00D012A1" w:rsidRPr="00744C32" w:rsidRDefault="00D012A1" w:rsidP="00D012A1">
            <w:pPr>
              <w:pStyle w:val="Prrafodelista"/>
              <w:numPr>
                <w:ilvl w:val="0"/>
                <w:numId w:val="18"/>
              </w:numPr>
              <w:spacing w:after="120" w:line="276" w:lineRule="auto"/>
              <w:ind w:left="28" w:hanging="60"/>
              <w:jc w:val="both"/>
              <w:rPr>
                <w:rFonts w:ascii="Verdana" w:eastAsia="Times New Roman" w:hAnsi="Verdana" w:cs="Arial"/>
                <w:lang w:eastAsia="es-ES"/>
              </w:rPr>
            </w:pPr>
            <w:r w:rsidRPr="00744C32">
              <w:rPr>
                <w:rFonts w:ascii="Verdana" w:eastAsia="Times New Roman" w:hAnsi="Verdana" w:cs="Arial"/>
                <w:lang w:eastAsia="es-ES"/>
              </w:rPr>
              <w:t xml:space="preserve">una vez verificada la ausencia de requisitos y/o documentos de la oferta, para efectos de saber si se pueden subsanar, la Administración se debe preguntar: en primer lugar, si lo que hace falta es un documento que afecte la asignación de puntaje o no y; en segundo lugar, si el cumplimiento del requisito constituye una circunstancia ocurrida con anterioridad o con </w:t>
            </w:r>
            <w:r w:rsidRPr="00744C32">
              <w:rPr>
                <w:rFonts w:ascii="Verdana" w:eastAsia="Times New Roman" w:hAnsi="Verdana" w:cs="Arial"/>
                <w:lang w:eastAsia="es-ES"/>
              </w:rPr>
              <w:lastRenderedPageBreak/>
              <w:t>posterioridad al cierre del proceso. Para arribar a la conclusión de que lo omitido puede subsanarse, la respuesta al primer interrogante debe ser negativa, es decir, que lo omitido no sea un factor que afecte la asignación de puntaje y la respuesta al segundo interrogante debe dar cuenta de que lo omitido sea la prueba de una circunstancia o hecho que ocurrió con anterioridad al cierre del proceso.</w:t>
            </w:r>
          </w:p>
          <w:p w14:paraId="1225DC7E" w14:textId="77777777" w:rsidR="00D012A1" w:rsidRDefault="00D012A1" w:rsidP="007365C5">
            <w:pPr>
              <w:spacing w:after="120" w:line="276" w:lineRule="auto"/>
              <w:ind w:firstLine="709"/>
              <w:jc w:val="both"/>
              <w:rPr>
                <w:rFonts w:ascii="Verdana" w:hAnsi="Verdana" w:cs="Arial"/>
                <w:noProof/>
                <w:lang w:val="es-ES_tradnl"/>
              </w:rPr>
            </w:pPr>
            <w:r w:rsidRPr="00744C32">
              <w:rPr>
                <w:rFonts w:ascii="Verdana" w:hAnsi="Verdana" w:cs="Arial"/>
                <w:noProof/>
                <w:lang w:val="es-ES_tradnl"/>
              </w:rPr>
              <w:t>En conclusion, los requisitos o documentos que no sean necesarios para la comparación de las ofertas pueden subsanarse y todo lo que no sea necesario para la</w:t>
            </w:r>
            <w:r w:rsidRPr="00D16A5E">
              <w:rPr>
                <w:rFonts w:ascii="Verdana" w:hAnsi="Verdana" w:cs="Arial"/>
                <w:noProof/>
                <w:lang w:val="es-ES_tradnl"/>
              </w:rPr>
              <w:t xml:space="preserve"> comparación de propuestas no es título suficiente para su rechazo</w:t>
            </w:r>
            <w:r>
              <w:rPr>
                <w:rFonts w:ascii="Verdana" w:hAnsi="Verdana" w:cs="Arial"/>
                <w:noProof/>
                <w:lang w:val="es-ES_tradnl"/>
              </w:rPr>
              <w:t xml:space="preserve">. </w:t>
            </w:r>
          </w:p>
          <w:p w14:paraId="51889913" w14:textId="77777777" w:rsidR="00D012A1" w:rsidRPr="003716E2" w:rsidRDefault="00D012A1" w:rsidP="007365C5">
            <w:pPr>
              <w:spacing w:after="120" w:line="276" w:lineRule="auto"/>
              <w:ind w:firstLine="709"/>
              <w:jc w:val="both"/>
              <w:rPr>
                <w:rFonts w:ascii="Verdana" w:hAnsi="Verdana" w:cs="Arial"/>
                <w:noProof/>
                <w:lang w:val="es-ES_tradnl"/>
              </w:rPr>
            </w:pPr>
            <w:r w:rsidRPr="003716E2">
              <w:rPr>
                <w:rFonts w:ascii="Verdana" w:hAnsi="Verdana" w:cs="Arial"/>
                <w:noProof/>
                <w:lang w:val="es-ES_tradnl"/>
              </w:rPr>
              <w:t>No obstante, a la luz del artículo 5 de la Ley 1882 de 2018, lo subsanable es la prueba de todas las circunstancias ocurridas antes del vencimiento del término para presentar las ofertas, pues una cosa es el requisito habilitante o el elemento de la propuesta y otra su prueba. De tal modo que lo que prohíbe la norma es que se subsanen requisitos que no estaban materialmente cumplidos al momento de presentación de la oferta, o en palabras de la ley, que se acrediten hechos que ocurrieron después del cierre del proceso, por lo que dicha limitación a la regla de subsanabilidad también deberá ser tenida en cuenta.</w:t>
            </w:r>
          </w:p>
          <w:p w14:paraId="00655CCD" w14:textId="77777777" w:rsidR="00D012A1" w:rsidRDefault="00D012A1" w:rsidP="007365C5">
            <w:pPr>
              <w:tabs>
                <w:tab w:val="left" w:pos="709"/>
                <w:tab w:val="left" w:pos="851"/>
              </w:tabs>
              <w:spacing w:line="276" w:lineRule="auto"/>
              <w:ind w:firstLine="709"/>
              <w:jc w:val="both"/>
              <w:rPr>
                <w:rFonts w:ascii="Verdana" w:eastAsia="Calibri" w:hAnsi="Verdana" w:cs="Arial"/>
              </w:rPr>
            </w:pPr>
            <w:r>
              <w:rPr>
                <w:rFonts w:ascii="Verdana" w:eastAsia="Calibri" w:hAnsi="Verdana" w:cs="Arial"/>
              </w:rPr>
              <w:t xml:space="preserve">Por último, </w:t>
            </w:r>
            <w:r w:rsidRPr="005E0EDE">
              <w:rPr>
                <w:rFonts w:ascii="Verdana" w:eastAsia="Calibri" w:hAnsi="Verdana" w:cs="Arial"/>
              </w:rPr>
              <w:t>al 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lo anterior, previo concepto de sus órganos asesores y equipos jurídicos la solución de casos particulares corresponde a la entidad que debe adoptar la decisión correspondiente para determinar la valid</w:t>
            </w:r>
            <w:r>
              <w:rPr>
                <w:rFonts w:ascii="Verdana" w:eastAsia="Calibri" w:hAnsi="Verdana" w:cs="Arial"/>
              </w:rPr>
              <w:t xml:space="preserve">ez </w:t>
            </w:r>
            <w:r w:rsidRPr="005E0EDE">
              <w:rPr>
                <w:rFonts w:ascii="Verdana" w:eastAsia="Calibri" w:hAnsi="Verdana" w:cs="Arial"/>
              </w:rPr>
              <w:t>o no de los documentos precontractuales aportados.</w:t>
            </w:r>
          </w:p>
          <w:p w14:paraId="4BA5D15B" w14:textId="77777777" w:rsidR="00D012A1" w:rsidRPr="00744C32" w:rsidRDefault="00D012A1" w:rsidP="007365C5">
            <w:pPr>
              <w:pStyle w:val="Prrafodelista"/>
              <w:spacing w:after="120" w:line="276" w:lineRule="auto"/>
              <w:ind w:left="112"/>
              <w:jc w:val="both"/>
              <w:rPr>
                <w:rFonts w:ascii="Verdana" w:eastAsia="Calibri" w:hAnsi="Verdana" w:cs="Arial"/>
                <w:bCs/>
                <w:lang w:val="es-ES_tradnl"/>
              </w:rPr>
            </w:pPr>
          </w:p>
        </w:tc>
      </w:tr>
    </w:tbl>
    <w:p w14:paraId="209229AD" w14:textId="77777777" w:rsidR="00D012A1" w:rsidRDefault="00D012A1" w:rsidP="00D012A1">
      <w:pPr>
        <w:tabs>
          <w:tab w:val="left" w:pos="142"/>
          <w:tab w:val="left" w:pos="284"/>
        </w:tabs>
        <w:spacing w:after="0" w:line="276" w:lineRule="auto"/>
        <w:jc w:val="both"/>
        <w:rPr>
          <w:rFonts w:ascii="Verdana" w:eastAsia="Century Gothic" w:hAnsi="Verdana" w:cs="Century Gothic"/>
          <w:b/>
          <w:bCs/>
          <w:lang w:val="es-ES"/>
        </w:rPr>
      </w:pPr>
    </w:p>
    <w:p w14:paraId="2255A0AD" w14:textId="77777777" w:rsidR="00D012A1" w:rsidRDefault="00D012A1" w:rsidP="00D012A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4A01C39F" w14:textId="77777777" w:rsidR="00D012A1" w:rsidRDefault="00D012A1" w:rsidP="00D012A1">
      <w:pPr>
        <w:spacing w:after="0" w:line="276" w:lineRule="auto"/>
        <w:jc w:val="both"/>
        <w:rPr>
          <w:rFonts w:ascii="Verdana" w:eastAsia="Calibri" w:hAnsi="Verdana" w:cs="Arial"/>
          <w:color w:val="7030A0"/>
          <w:lang w:val="es-ES"/>
        </w:rPr>
      </w:pPr>
    </w:p>
    <w:p w14:paraId="40BA7C22" w14:textId="77777777" w:rsidR="00D012A1" w:rsidRDefault="00D012A1" w:rsidP="00D012A1">
      <w:pPr>
        <w:spacing w:after="0" w:line="276" w:lineRule="auto"/>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4D39083B" w14:textId="77777777" w:rsidR="00D012A1" w:rsidRDefault="00D012A1" w:rsidP="00D012A1">
      <w:pPr>
        <w:spacing w:after="0" w:line="276" w:lineRule="auto"/>
        <w:jc w:val="both"/>
        <w:rPr>
          <w:rFonts w:ascii="Verdana" w:eastAsia="Calibri" w:hAnsi="Verdana" w:cs="Arial"/>
          <w:lang w:val="es-ES"/>
        </w:rPr>
      </w:pPr>
    </w:p>
    <w:p w14:paraId="1FFD9E25" w14:textId="77777777" w:rsidR="00D012A1" w:rsidRPr="00744C32" w:rsidRDefault="00D012A1" w:rsidP="00D012A1">
      <w:pPr>
        <w:spacing w:after="120" w:line="276" w:lineRule="auto"/>
        <w:ind w:firstLine="708"/>
        <w:jc w:val="both"/>
        <w:rPr>
          <w:rFonts w:ascii="Verdana" w:eastAsia="Calibri" w:hAnsi="Verdana" w:cs="Arial"/>
          <w:bCs/>
          <w:lang w:val="es-ES_tradnl"/>
        </w:rPr>
      </w:pPr>
      <w:r w:rsidRPr="00670A6E">
        <w:rPr>
          <w:rFonts w:ascii="Verdana" w:eastAsia="Calibri" w:hAnsi="Verdana" w:cs="Arial"/>
          <w:lang w:val="es-ES_tradnl"/>
        </w:rPr>
        <w:t xml:space="preserve">El artículo 836 del Código de Comercio define la firma como “la expresión del nombre del suscriptor o de alguno de los elementos que la integren o de un </w:t>
      </w:r>
      <w:r w:rsidRPr="00670A6E">
        <w:rPr>
          <w:rFonts w:ascii="Verdana" w:eastAsia="Calibri" w:hAnsi="Verdana" w:cs="Arial"/>
          <w:lang w:val="es-ES_tradnl"/>
        </w:rPr>
        <w:lastRenderedPageBreak/>
        <w:t>signo o símbolo empleado como medio de identificación personal”, es decir, la forma por la cual se identifica a una persona ya sea con el nombre del suscriptor, un símbolo o signo.</w:t>
      </w:r>
      <w:r>
        <w:rPr>
          <w:rFonts w:ascii="Verdana" w:eastAsia="Calibri" w:hAnsi="Verdana" w:cs="Arial"/>
          <w:lang w:val="es-ES_tradnl"/>
        </w:rPr>
        <w:t xml:space="preserve"> </w:t>
      </w:r>
      <w:r w:rsidRPr="00F24142">
        <w:rPr>
          <w:rFonts w:ascii="Verdana" w:eastAsia="Calibri" w:hAnsi="Verdana" w:cs="Arial"/>
          <w:bCs/>
          <w:lang w:val="es-ES_tradnl"/>
        </w:rPr>
        <w:t>El ordenamiento jurídico reconoce la firma manuscrita, digital o electrónica.</w:t>
      </w:r>
    </w:p>
    <w:p w14:paraId="5FA8BBB2" w14:textId="77777777" w:rsidR="00D012A1" w:rsidRPr="00670A6E" w:rsidRDefault="00D012A1" w:rsidP="00D012A1">
      <w:pPr>
        <w:spacing w:after="120" w:line="276" w:lineRule="auto"/>
        <w:jc w:val="both"/>
        <w:rPr>
          <w:rFonts w:ascii="Verdana" w:eastAsia="Calibri" w:hAnsi="Verdana" w:cs="Arial"/>
          <w:lang w:val="es-ES_tradnl"/>
        </w:rPr>
      </w:pPr>
      <w:r w:rsidRPr="00670A6E">
        <w:rPr>
          <w:rFonts w:ascii="Verdana" w:eastAsia="Calibri" w:hAnsi="Verdana" w:cs="Arial"/>
          <w:lang w:val="es-ES_tradnl"/>
        </w:rPr>
        <w:t xml:space="preserve"> </w:t>
      </w:r>
      <w:bookmarkStart w:id="1" w:name="_Hlk35441008"/>
      <w:r>
        <w:rPr>
          <w:rFonts w:ascii="Verdana" w:eastAsia="Calibri" w:hAnsi="Verdana" w:cs="Arial"/>
          <w:lang w:val="es-ES_tradnl"/>
        </w:rPr>
        <w:tab/>
      </w:r>
      <w:r w:rsidRPr="00670A6E">
        <w:rPr>
          <w:rFonts w:ascii="Verdana" w:eastAsia="Calibri" w:hAnsi="Verdana" w:cs="Arial"/>
          <w:lang w:val="es-ES_tradnl"/>
        </w:rPr>
        <w:t xml:space="preserve">Dentro del concepto general, la </w:t>
      </w:r>
      <w:r w:rsidRPr="00670A6E">
        <w:rPr>
          <w:rFonts w:ascii="Verdana" w:eastAsia="Calibri" w:hAnsi="Verdana" w:cs="Arial"/>
          <w:i/>
          <w:iCs/>
          <w:lang w:val="es-ES_tradnl"/>
        </w:rPr>
        <w:t>firma manuscrita</w:t>
      </w:r>
      <w:r w:rsidRPr="00670A6E">
        <w:rPr>
          <w:rFonts w:ascii="Verdana" w:eastAsia="Calibri" w:hAnsi="Verdana" w:cs="Arial"/>
          <w:lang w:val="es-ES_tradnl"/>
        </w:rPr>
        <w:t xml:space="preserve"> </w:t>
      </w:r>
      <w:r w:rsidRPr="00670A6E">
        <w:rPr>
          <w:rFonts w:ascii="Verdana" w:eastAsia="Calibri" w:hAnsi="Verdana" w:cs="Arial"/>
        </w:rPr>
        <w:t>es “[…] un rasgo o signo impuesto del puño y letra de una persona, con el cual, de forma general y reiterada, se compromete con el contenido de los documentos que la consignan, o da fe de que lo allí registrado obedece a la realidad”</w:t>
      </w:r>
      <w:r w:rsidRPr="00670A6E">
        <w:rPr>
          <w:rFonts w:ascii="Verdana" w:eastAsia="Calibri" w:hAnsi="Verdana" w:cs="Arial"/>
          <w:vertAlign w:val="superscript"/>
        </w:rPr>
        <w:footnoteReference w:id="2"/>
      </w:r>
      <w:r w:rsidRPr="00670A6E">
        <w:rPr>
          <w:rFonts w:ascii="Verdana" w:eastAsia="Calibri" w:hAnsi="Verdana" w:cs="Arial"/>
        </w:rPr>
        <w:t xml:space="preserve">. </w:t>
      </w:r>
    </w:p>
    <w:p w14:paraId="673575BA" w14:textId="77777777" w:rsidR="00D012A1" w:rsidRDefault="00D012A1" w:rsidP="00D012A1">
      <w:pPr>
        <w:spacing w:after="120" w:line="276" w:lineRule="auto"/>
        <w:ind w:firstLine="708"/>
        <w:jc w:val="both"/>
        <w:rPr>
          <w:rFonts w:ascii="Verdana" w:eastAsia="Calibri" w:hAnsi="Verdana" w:cs="Arial"/>
        </w:rPr>
      </w:pPr>
      <w:r>
        <w:rPr>
          <w:rFonts w:ascii="Verdana" w:eastAsia="Calibri" w:hAnsi="Verdana" w:cs="Arial"/>
          <w:lang w:val="es-ES_tradnl"/>
        </w:rPr>
        <w:t>E</w:t>
      </w:r>
      <w:r w:rsidRPr="00670A6E">
        <w:rPr>
          <w:rFonts w:ascii="Verdana" w:eastAsia="Calibri" w:hAnsi="Verdana" w:cs="Arial"/>
        </w:rPr>
        <w:t xml:space="preserve">l artículo 2 de la Ley 527 de 1999 define la </w:t>
      </w:r>
      <w:r w:rsidRPr="00670A6E">
        <w:rPr>
          <w:rFonts w:ascii="Verdana" w:eastAsia="Calibri" w:hAnsi="Verdana" w:cs="Arial"/>
          <w:i/>
          <w:iCs/>
        </w:rPr>
        <w:t>firma digital</w:t>
      </w:r>
      <w:r w:rsidRPr="00670A6E">
        <w:rPr>
          <w:rFonts w:ascii="Verdana" w:eastAsia="Calibri" w:hAnsi="Verdana" w:cs="Arial"/>
        </w:rPr>
        <w:t xml:space="preserve">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w:t>
      </w:r>
      <w:r w:rsidRPr="00670A6E">
        <w:rPr>
          <w:rFonts w:ascii="Verdana" w:eastAsia="Calibri" w:hAnsi="Verdana" w:cs="Arial"/>
          <w:vertAlign w:val="superscript"/>
        </w:rPr>
        <w:footnoteReference w:id="3"/>
      </w:r>
      <w:r w:rsidRPr="00670A6E">
        <w:rPr>
          <w:rFonts w:ascii="Verdana" w:eastAsia="Calibri" w:hAnsi="Verdana" w:cs="Arial"/>
        </w:rPr>
        <w:t>. Además, esta normativa prevé que podrán emitir certificados en relación con las firmas digitales las entidades de certificación</w:t>
      </w:r>
      <w:r w:rsidRPr="00670A6E">
        <w:rPr>
          <w:rFonts w:ascii="Verdana" w:eastAsia="Calibri" w:hAnsi="Verdana" w:cs="Arial"/>
          <w:vertAlign w:val="superscript"/>
        </w:rPr>
        <w:footnoteReference w:id="4"/>
      </w:r>
      <w:r w:rsidRPr="00670A6E">
        <w:rPr>
          <w:rFonts w:ascii="Verdana" w:eastAsia="Calibri" w:hAnsi="Verdana" w:cs="Arial"/>
        </w:rPr>
        <w:t>.</w:t>
      </w:r>
    </w:p>
    <w:p w14:paraId="08F24727" w14:textId="77777777" w:rsidR="00D012A1" w:rsidRPr="00670A6E" w:rsidRDefault="00D012A1" w:rsidP="00D012A1">
      <w:pPr>
        <w:spacing w:after="120" w:line="276" w:lineRule="auto"/>
        <w:ind w:firstLine="708"/>
        <w:jc w:val="both"/>
        <w:rPr>
          <w:rFonts w:ascii="Verdana" w:eastAsia="Calibri" w:hAnsi="Verdana" w:cs="Arial"/>
        </w:rPr>
      </w:pPr>
      <w:r w:rsidRPr="00670A6E">
        <w:rPr>
          <w:rFonts w:ascii="Verdana" w:eastAsia="Calibri" w:hAnsi="Verdana" w:cs="Arial"/>
        </w:rPr>
        <w:t xml:space="preserve">Por otra parte, frente a la </w:t>
      </w:r>
      <w:r w:rsidRPr="00670A6E">
        <w:rPr>
          <w:rFonts w:ascii="Verdana" w:eastAsia="Calibri" w:hAnsi="Verdana" w:cs="Arial"/>
          <w:i/>
          <w:iCs/>
        </w:rPr>
        <w:t>firma electrónica</w:t>
      </w:r>
      <w:r w:rsidRPr="00670A6E">
        <w:rPr>
          <w:rFonts w:ascii="Verdana" w:eastAsia="Calibri" w:hAnsi="Verdana" w:cs="Arial"/>
        </w:rPr>
        <w:t xml:space="preserve">, el artículo 1 del Decreto 2364 de 2012 la define como “aquella que se realiza a través de métodos tales como, códigos, contraseñas, datos biométricos, o claves criptográficas privadas, que permite identificar a una persona, en relación con un mensaje de datos, siempre y cuando el mismo sea confiable y apropiado respecto de los fines para los que se utiliza la firma, atendidas todas las circunstancias del caso, así como cualquier acuerdo pertinente”. En este sentido, los atributos jurídicos que debe tener la firma electrónica son: i) identificar el firmante, </w:t>
      </w:r>
      <w:proofErr w:type="spellStart"/>
      <w:r w:rsidRPr="00670A6E">
        <w:rPr>
          <w:rFonts w:ascii="Verdana" w:eastAsia="Calibri" w:hAnsi="Verdana" w:cs="Arial"/>
        </w:rPr>
        <w:t>ii</w:t>
      </w:r>
      <w:proofErr w:type="spellEnd"/>
      <w:r w:rsidRPr="00670A6E">
        <w:rPr>
          <w:rFonts w:ascii="Verdana" w:eastAsia="Calibri" w:hAnsi="Verdana" w:cs="Arial"/>
        </w:rPr>
        <w:t xml:space="preserve">) asegurar que el documento firmado es exactamente el mismo que el original y </w:t>
      </w:r>
      <w:proofErr w:type="spellStart"/>
      <w:r w:rsidRPr="00670A6E">
        <w:rPr>
          <w:rFonts w:ascii="Verdana" w:eastAsia="Calibri" w:hAnsi="Verdana" w:cs="Arial"/>
        </w:rPr>
        <w:t>iii</w:t>
      </w:r>
      <w:proofErr w:type="spellEnd"/>
      <w:r w:rsidRPr="00670A6E">
        <w:rPr>
          <w:rFonts w:ascii="Verdana" w:eastAsia="Calibri" w:hAnsi="Verdana" w:cs="Arial"/>
        </w:rPr>
        <w:t xml:space="preserve">) asegurar que los datos que utiliza el firmante para realizar la firma son únicos y exclusivos. </w:t>
      </w:r>
    </w:p>
    <w:bookmarkEnd w:id="1"/>
    <w:p w14:paraId="51A049D5" w14:textId="77777777" w:rsidR="00D012A1" w:rsidRDefault="00D012A1" w:rsidP="00D012A1">
      <w:pPr>
        <w:spacing w:after="120" w:line="276" w:lineRule="auto"/>
        <w:ind w:firstLine="708"/>
        <w:jc w:val="both"/>
        <w:rPr>
          <w:rFonts w:ascii="Verdana" w:eastAsia="Calibri" w:hAnsi="Verdana" w:cs="Arial"/>
        </w:rPr>
      </w:pPr>
      <w:r w:rsidRPr="00670A6E">
        <w:rPr>
          <w:rFonts w:ascii="Verdana" w:eastAsia="Calibri" w:hAnsi="Verdana" w:cs="Arial"/>
        </w:rPr>
        <w:lastRenderedPageBreak/>
        <w:t xml:space="preserve">El Documento CONPES 3620 de 2009 explica que “La firma digital y la firma electrónica son formas de identificación personal en el contexto digital, que pueden ser empleadas para cumplir funciones de identificación, de la integridad de un mensaje de datos y el no repudio del mismo. La firma electrónica es el concepto genérico a través del cual se identifica un firmante asociado a un mensaje de datos y se entiende su aprobación al contenido del mismo, mientras la firma digital es una especie de firma electrónica”. De hecho, bajo el principio de equivalencia funcional, estas firmas deben cumplir con las mismas funciones de la firma manuscrita, es decir, deben servir para identificar a una persona como el autor del documento, dar certeza de la participación exclusiva de dicha persona en la firma y asociar esta última al contenido del mensaje de datos. Por ello, en relación con las firmas que se realizan por un mensaje de datos, el artículo 7 de la Ley 527 de 1999 señala que se deben cumplir los siguientes requisitos: </w:t>
      </w:r>
    </w:p>
    <w:p w14:paraId="0D3D3FBB" w14:textId="77777777" w:rsidR="00D012A1" w:rsidRPr="00670A6E" w:rsidRDefault="00D012A1" w:rsidP="00D012A1">
      <w:pPr>
        <w:spacing w:after="0" w:line="276" w:lineRule="auto"/>
        <w:jc w:val="both"/>
        <w:rPr>
          <w:rFonts w:ascii="Verdana" w:eastAsia="Calibri" w:hAnsi="Verdana" w:cs="Arial"/>
          <w:b/>
          <w:lang w:val="es-ES"/>
        </w:rPr>
      </w:pPr>
    </w:p>
    <w:p w14:paraId="01C2AA20" w14:textId="77777777" w:rsidR="00D012A1" w:rsidRDefault="00D012A1" w:rsidP="00D012A1">
      <w:pPr>
        <w:spacing w:after="0"/>
        <w:ind w:left="709" w:right="709"/>
        <w:jc w:val="both"/>
        <w:rPr>
          <w:rFonts w:ascii="Verdana" w:eastAsia="Times New Roman" w:hAnsi="Verdana" w:cs="Arial"/>
          <w:sz w:val="21"/>
          <w:szCs w:val="21"/>
          <w:lang w:eastAsia="es-CO"/>
        </w:rPr>
      </w:pPr>
      <w:r w:rsidRPr="00670A6E">
        <w:rPr>
          <w:rFonts w:ascii="Verdana" w:eastAsia="Times New Roman" w:hAnsi="Verdana" w:cs="Arial"/>
          <w:sz w:val="21"/>
          <w:szCs w:val="21"/>
          <w:lang w:eastAsia="es-CO"/>
        </w:rPr>
        <w:t>Cuando cualquier norma exija la presencia de una firma o establezca ciertas consecuencias en ausencia de la misma, en relación con un mensaje de datos, se entenderá satisfecho dicho requerimiento si:</w:t>
      </w:r>
    </w:p>
    <w:p w14:paraId="24054227" w14:textId="77777777" w:rsidR="00D012A1" w:rsidRPr="00670A6E" w:rsidRDefault="00D012A1" w:rsidP="00D012A1">
      <w:pPr>
        <w:spacing w:after="0"/>
        <w:ind w:left="709" w:right="709"/>
        <w:jc w:val="both"/>
        <w:rPr>
          <w:rFonts w:ascii="Verdana" w:eastAsia="Times New Roman" w:hAnsi="Verdana" w:cs="Arial"/>
          <w:sz w:val="21"/>
          <w:szCs w:val="21"/>
          <w:lang w:eastAsia="es-CO"/>
        </w:rPr>
      </w:pPr>
      <w:r w:rsidRPr="00670A6E">
        <w:rPr>
          <w:rFonts w:ascii="Verdana" w:eastAsia="Times New Roman" w:hAnsi="Verdana" w:cs="Arial"/>
          <w:sz w:val="21"/>
          <w:szCs w:val="21"/>
          <w:lang w:eastAsia="es-CO"/>
        </w:rPr>
        <w:t xml:space="preserve"> </w:t>
      </w:r>
    </w:p>
    <w:p w14:paraId="78C7924E" w14:textId="77777777" w:rsidR="00D012A1" w:rsidRDefault="00D012A1" w:rsidP="00D012A1">
      <w:pPr>
        <w:spacing w:after="0"/>
        <w:ind w:left="709" w:right="709"/>
        <w:jc w:val="both"/>
        <w:rPr>
          <w:rFonts w:ascii="Verdana" w:eastAsia="Times New Roman" w:hAnsi="Verdana" w:cs="Arial"/>
          <w:sz w:val="21"/>
          <w:szCs w:val="21"/>
          <w:lang w:eastAsia="es-CO"/>
        </w:rPr>
      </w:pPr>
      <w:r w:rsidRPr="00670A6E">
        <w:rPr>
          <w:rFonts w:ascii="Verdana" w:eastAsia="Times New Roman" w:hAnsi="Verdana" w:cs="Arial"/>
          <w:sz w:val="21"/>
          <w:szCs w:val="21"/>
          <w:lang w:eastAsia="es-CO"/>
        </w:rPr>
        <w:t>a) Se ha utilizado un método que permita identificar al iniciador de un mensaje de datos y para indicar que el contenido cuenta con su aprobación</w:t>
      </w:r>
      <w:r w:rsidRPr="00670A6E">
        <w:rPr>
          <w:rFonts w:ascii="Verdana" w:eastAsia="MS Mincho" w:hAnsi="Verdana" w:cs="Arial"/>
          <w:sz w:val="21"/>
          <w:szCs w:val="21"/>
          <w:lang w:eastAsia="es-ES"/>
        </w:rPr>
        <w:t>”</w:t>
      </w:r>
      <w:r w:rsidRPr="00670A6E">
        <w:rPr>
          <w:rFonts w:ascii="Verdana" w:eastAsia="Times New Roman" w:hAnsi="Verdana" w:cs="Arial"/>
          <w:sz w:val="21"/>
          <w:szCs w:val="21"/>
          <w:lang w:eastAsia="es-CO"/>
        </w:rPr>
        <w:t xml:space="preserve">. </w:t>
      </w:r>
    </w:p>
    <w:p w14:paraId="1B44BDC3" w14:textId="77777777" w:rsidR="00D012A1" w:rsidRPr="00670A6E" w:rsidRDefault="00D012A1" w:rsidP="00D012A1">
      <w:pPr>
        <w:spacing w:after="0"/>
        <w:ind w:left="709" w:right="709"/>
        <w:jc w:val="both"/>
        <w:rPr>
          <w:rFonts w:ascii="Verdana" w:eastAsia="Times New Roman" w:hAnsi="Verdana" w:cs="Arial"/>
          <w:sz w:val="21"/>
          <w:szCs w:val="21"/>
          <w:lang w:eastAsia="es-CO"/>
        </w:rPr>
      </w:pPr>
    </w:p>
    <w:p w14:paraId="3730AC65" w14:textId="77777777" w:rsidR="00D012A1" w:rsidRPr="00670A6E" w:rsidRDefault="00D012A1" w:rsidP="00D012A1">
      <w:pPr>
        <w:spacing w:after="0" w:line="240" w:lineRule="auto"/>
        <w:ind w:left="709" w:right="709"/>
        <w:jc w:val="both"/>
        <w:rPr>
          <w:rFonts w:ascii="Verdana" w:eastAsia="Times New Roman" w:hAnsi="Verdana" w:cs="Arial"/>
          <w:sz w:val="21"/>
          <w:szCs w:val="21"/>
          <w:lang w:eastAsia="es-CO"/>
        </w:rPr>
      </w:pPr>
      <w:r w:rsidRPr="00670A6E">
        <w:rPr>
          <w:rFonts w:ascii="Verdana" w:eastAsia="Times New Roman" w:hAnsi="Verdana" w:cs="Arial"/>
          <w:sz w:val="21"/>
          <w:szCs w:val="21"/>
          <w:lang w:eastAsia="es-CO"/>
        </w:rPr>
        <w:t>b) Que el método sea tanto confiable como apropiado para el propósito por el cual el mensaje fue generado o comunicado.</w:t>
      </w:r>
    </w:p>
    <w:p w14:paraId="61526E43" w14:textId="77777777" w:rsidR="00D012A1" w:rsidRPr="00670A6E" w:rsidRDefault="00D012A1" w:rsidP="00D012A1">
      <w:pPr>
        <w:spacing w:after="0" w:line="240" w:lineRule="auto"/>
        <w:ind w:left="709" w:right="709"/>
        <w:jc w:val="both"/>
        <w:rPr>
          <w:rFonts w:ascii="Verdana" w:eastAsia="Times New Roman" w:hAnsi="Verdana" w:cs="Arial"/>
          <w:sz w:val="21"/>
          <w:szCs w:val="21"/>
          <w:lang w:val="es-ES" w:eastAsia="es-CO"/>
        </w:rPr>
      </w:pPr>
    </w:p>
    <w:p w14:paraId="325CFCCC" w14:textId="77777777" w:rsidR="00D012A1" w:rsidRPr="00670A6E" w:rsidRDefault="00D012A1" w:rsidP="00D012A1">
      <w:pPr>
        <w:spacing w:after="0" w:line="240" w:lineRule="auto"/>
        <w:ind w:left="709" w:right="709"/>
        <w:jc w:val="both"/>
        <w:rPr>
          <w:rFonts w:ascii="Verdana" w:eastAsia="Times New Roman" w:hAnsi="Verdana" w:cs="Arial"/>
          <w:sz w:val="21"/>
          <w:szCs w:val="21"/>
          <w:lang w:eastAsia="es-CO"/>
        </w:rPr>
      </w:pPr>
      <w:r w:rsidRPr="00670A6E">
        <w:rPr>
          <w:rFonts w:ascii="Verdana" w:eastAsia="Times New Roman" w:hAnsi="Verdana" w:cs="Arial"/>
          <w:sz w:val="21"/>
          <w:szCs w:val="21"/>
          <w:lang w:eastAsia="es-CO"/>
        </w:rPr>
        <w:t>Lo dispuesto en este artículo se aplicará tanto si el requisito establecido en cualquier norma constituye una obligación, como si las normas simplemente prevén consecuencias en el caso de que no exista una firma.</w:t>
      </w:r>
    </w:p>
    <w:p w14:paraId="345AECA3" w14:textId="77777777" w:rsidR="00D012A1" w:rsidRPr="00670A6E" w:rsidRDefault="00D012A1" w:rsidP="00D012A1">
      <w:pPr>
        <w:spacing w:after="120" w:line="276" w:lineRule="auto"/>
        <w:ind w:firstLine="708"/>
        <w:jc w:val="both"/>
        <w:rPr>
          <w:rFonts w:ascii="Verdana" w:eastAsia="Times New Roman" w:hAnsi="Verdana" w:cs="Arial"/>
          <w:lang w:eastAsia="es-CO"/>
        </w:rPr>
      </w:pPr>
    </w:p>
    <w:p w14:paraId="1F34EA7B" w14:textId="77777777" w:rsidR="00D012A1" w:rsidRPr="00670A6E" w:rsidRDefault="00D012A1" w:rsidP="00D012A1">
      <w:pPr>
        <w:spacing w:after="120" w:line="276" w:lineRule="auto"/>
        <w:ind w:firstLine="708"/>
        <w:jc w:val="both"/>
        <w:rPr>
          <w:rFonts w:ascii="Verdana" w:eastAsia="Calibri" w:hAnsi="Verdana" w:cs="Arial"/>
        </w:rPr>
      </w:pPr>
      <w:r w:rsidRPr="00670A6E">
        <w:rPr>
          <w:rFonts w:ascii="Verdana" w:eastAsia="Calibri" w:hAnsi="Verdana" w:cs="Arial"/>
        </w:rPr>
        <w:t xml:space="preserve">Dentro de este marco, es necesario distinguir dos (2) situaciones: i) el documento original tiene la firma manuscrita y luego se escaneó para enviarlo a la entidad estatal por correo electrónico y </w:t>
      </w:r>
      <w:proofErr w:type="spellStart"/>
      <w:r w:rsidRPr="00670A6E">
        <w:rPr>
          <w:rFonts w:ascii="Verdana" w:eastAsia="Calibri" w:hAnsi="Verdana" w:cs="Arial"/>
        </w:rPr>
        <w:t>ii</w:t>
      </w:r>
      <w:proofErr w:type="spellEnd"/>
      <w:r w:rsidRPr="00670A6E">
        <w:rPr>
          <w:rFonts w:ascii="Verdana" w:eastAsia="Calibri" w:hAnsi="Verdana" w:cs="Arial"/>
        </w:rPr>
        <w:t xml:space="preserve">) </w:t>
      </w:r>
      <w:bookmarkStart w:id="2" w:name="_Hlk35438181"/>
      <w:r w:rsidRPr="00670A6E">
        <w:rPr>
          <w:rFonts w:ascii="Verdana" w:eastAsia="Calibri" w:hAnsi="Verdana" w:cs="Arial"/>
        </w:rPr>
        <w:t>el documento tiene una imagen con la firma y se adjunta como archivo para enviarlo a la entidad</w:t>
      </w:r>
      <w:bookmarkEnd w:id="2"/>
      <w:r w:rsidRPr="00670A6E">
        <w:rPr>
          <w:rFonts w:ascii="Verdana" w:eastAsia="Calibri" w:hAnsi="Verdana" w:cs="Arial"/>
        </w:rPr>
        <w:t xml:space="preserve">. </w:t>
      </w:r>
    </w:p>
    <w:p w14:paraId="4C142C2D" w14:textId="77777777" w:rsidR="00D012A1" w:rsidRPr="00670A6E" w:rsidRDefault="00D012A1" w:rsidP="00D012A1">
      <w:pPr>
        <w:spacing w:after="120" w:line="276" w:lineRule="auto"/>
        <w:ind w:firstLine="708"/>
        <w:jc w:val="both"/>
        <w:rPr>
          <w:rFonts w:ascii="Verdana" w:eastAsia="Calibri" w:hAnsi="Verdana" w:cs="Arial"/>
        </w:rPr>
      </w:pPr>
      <w:r w:rsidRPr="00670A6E">
        <w:rPr>
          <w:rFonts w:ascii="Verdana" w:eastAsia="Calibri" w:hAnsi="Verdana" w:cs="Arial"/>
        </w:rPr>
        <w:t xml:space="preserve">En el </w:t>
      </w:r>
      <w:r w:rsidRPr="00670A6E">
        <w:rPr>
          <w:rFonts w:ascii="Verdana" w:eastAsia="Calibri" w:hAnsi="Verdana" w:cs="Arial"/>
          <w:i/>
          <w:iCs/>
        </w:rPr>
        <w:t>primer supuesto</w:t>
      </w:r>
      <w:r w:rsidRPr="00670A6E">
        <w:rPr>
          <w:rFonts w:ascii="Verdana" w:eastAsia="Calibri" w:hAnsi="Verdana" w:cs="Arial"/>
        </w:rPr>
        <w:t xml:space="preserve">, es válido el documento con firma manuscrita que se escanea posteriormente, pues aquel está firmado con el puño y letra de la persona que lo suscribe, razón por la cual el hecho de que se escanee para </w:t>
      </w:r>
      <w:r w:rsidRPr="00670A6E">
        <w:rPr>
          <w:rFonts w:ascii="Verdana" w:eastAsia="Calibri" w:hAnsi="Verdana" w:cs="Arial"/>
        </w:rPr>
        <w:lastRenderedPageBreak/>
        <w:t>enviarlo no es un motivo para rechazar su eficacia. En efecto, tratándose de los proponentes el pliego solo podrá exigir que los documentos de la oferta estén firmados, no que se presenten en original. De acuerdo con el numeral 15</w:t>
      </w:r>
      <w:r>
        <w:rPr>
          <w:rFonts w:ascii="Verdana" w:eastAsia="Calibri" w:hAnsi="Verdana" w:cs="Arial"/>
        </w:rPr>
        <w:t>, del artículo 25</w:t>
      </w:r>
      <w:r w:rsidRPr="00670A6E">
        <w:rPr>
          <w:rFonts w:ascii="Verdana" w:eastAsia="Calibri" w:hAnsi="Verdana" w:cs="Arial"/>
        </w:rPr>
        <w:t xml:space="preserve"> de la Ley 80 de 1993, “Las autoridades no exigirán sellos, autenticaciones, documentos originales o autenticados, reconocimientos de firmas, traducciones oficiales, ni cualquier otra clase de formalidades o exigencias rituales, salvo cuando en forma perentoria y expresa lo exijan leyes especiales”</w:t>
      </w:r>
      <w:r w:rsidRPr="00670A6E">
        <w:rPr>
          <w:rFonts w:ascii="Verdana" w:eastAsia="Calibri" w:hAnsi="Verdana" w:cs="Arial"/>
          <w:vertAlign w:val="superscript"/>
        </w:rPr>
        <w:footnoteReference w:id="5"/>
      </w:r>
      <w:r w:rsidRPr="00670A6E">
        <w:rPr>
          <w:rFonts w:ascii="Verdana" w:eastAsia="Calibri" w:hAnsi="Verdana" w:cs="Arial"/>
        </w:rPr>
        <w:t>. Conforme a lo anterior, si el oferente envía el documento con firma manuscrita y luego lo escanea para enviarlo, éste será válido, toda vez que la normativa no exige que se tenga que enviar el documento en original sino solo que tenga la firma de quien lo suscribe.</w:t>
      </w:r>
    </w:p>
    <w:p w14:paraId="3CEF9CBB" w14:textId="77777777" w:rsidR="00D012A1" w:rsidRPr="00670A6E" w:rsidRDefault="00D012A1" w:rsidP="00D012A1">
      <w:pPr>
        <w:spacing w:after="120" w:line="276" w:lineRule="auto"/>
        <w:ind w:firstLine="708"/>
        <w:jc w:val="both"/>
        <w:rPr>
          <w:rFonts w:ascii="Verdana" w:eastAsia="Calibri" w:hAnsi="Verdana" w:cs="Arial"/>
        </w:rPr>
      </w:pPr>
      <w:r w:rsidRPr="00670A6E">
        <w:rPr>
          <w:rFonts w:ascii="Verdana" w:eastAsia="Calibri" w:hAnsi="Verdana" w:cs="Arial"/>
        </w:rPr>
        <w:t xml:space="preserve">En el </w:t>
      </w:r>
      <w:r w:rsidRPr="00670A6E">
        <w:rPr>
          <w:rFonts w:ascii="Verdana" w:eastAsia="Calibri" w:hAnsi="Verdana" w:cs="Arial"/>
          <w:i/>
          <w:iCs/>
        </w:rPr>
        <w:t>segundo supuesto</w:t>
      </w:r>
      <w:r w:rsidRPr="00670A6E">
        <w:rPr>
          <w:rFonts w:ascii="Verdana" w:eastAsia="Calibri" w:hAnsi="Verdana" w:cs="Arial"/>
        </w:rPr>
        <w:t xml:space="preserve">, el documento tiene una imagen con la firma y se adjunta como archivo para enviarlo al correo electrónico, la entidad verificará si el archivo cumple con los requisitos de la firma digital o electrónica. Como se mencionó, el artículo 2 de la Ley 527 de 1999 regula la firma digital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En este sentido, la entidad deberá determinar con las entidades de certificación acreditadas por el Organismo Nacional de Acreditación de Colombia si esa firma digital se encuentra o no registrada. Por otro lado, tratándose de una firma electrónica, la entidad deberá verificar i) la identidad del firmante, </w:t>
      </w:r>
      <w:proofErr w:type="spellStart"/>
      <w:r w:rsidRPr="00670A6E">
        <w:rPr>
          <w:rFonts w:ascii="Verdana" w:eastAsia="Calibri" w:hAnsi="Verdana" w:cs="Arial"/>
        </w:rPr>
        <w:t>ii</w:t>
      </w:r>
      <w:proofErr w:type="spellEnd"/>
      <w:r w:rsidRPr="00670A6E">
        <w:rPr>
          <w:rFonts w:ascii="Verdana" w:eastAsia="Calibri" w:hAnsi="Verdana" w:cs="Arial"/>
        </w:rPr>
        <w:t xml:space="preserve">) que el documento firmado es exactamente el mismo que el original y </w:t>
      </w:r>
      <w:proofErr w:type="spellStart"/>
      <w:r w:rsidRPr="00670A6E">
        <w:rPr>
          <w:rFonts w:ascii="Verdana" w:eastAsia="Calibri" w:hAnsi="Verdana" w:cs="Arial"/>
        </w:rPr>
        <w:t>iii</w:t>
      </w:r>
      <w:proofErr w:type="spellEnd"/>
      <w:r w:rsidRPr="00670A6E">
        <w:rPr>
          <w:rFonts w:ascii="Verdana" w:eastAsia="Calibri" w:hAnsi="Verdana" w:cs="Arial"/>
        </w:rPr>
        <w:t xml:space="preserve">) los datos que utiliza el firmante para realizar la firma son únicos y exclusivos. </w:t>
      </w:r>
    </w:p>
    <w:p w14:paraId="4F5C785E" w14:textId="77777777" w:rsidR="00D012A1" w:rsidRDefault="00D012A1" w:rsidP="00D012A1">
      <w:pPr>
        <w:spacing w:after="120" w:line="276" w:lineRule="auto"/>
        <w:ind w:firstLine="708"/>
        <w:jc w:val="both"/>
        <w:rPr>
          <w:rFonts w:ascii="Verdana" w:eastAsia="Calibri" w:hAnsi="Verdana" w:cs="Arial"/>
        </w:rPr>
      </w:pPr>
      <w:r w:rsidRPr="00670A6E">
        <w:rPr>
          <w:rFonts w:ascii="Verdana" w:eastAsia="Calibri" w:hAnsi="Verdana" w:cs="Arial"/>
        </w:rPr>
        <w:t xml:space="preserve">En materia probatoria, tanto la firma electrónica como la firma digital pueden producir los mismos efectos jurídicos como mecanismos de autenticación, pero su diferencia tiene que ver con la carga probatoria, pues en la firma digital, por existir una entidad de certificación que avala la identidad del titular de la firma, de manera automática introduce la autenticidad, integridad y no repudio. En el caso de la firma electrónica es necesario probar dichos </w:t>
      </w:r>
      <w:r w:rsidRPr="00670A6E">
        <w:rPr>
          <w:rFonts w:ascii="Verdana" w:eastAsia="Calibri" w:hAnsi="Verdana" w:cs="Arial"/>
        </w:rPr>
        <w:lastRenderedPageBreak/>
        <w:t>elementos, a más de la t</w:t>
      </w:r>
      <w:r>
        <w:rPr>
          <w:rFonts w:ascii="Verdana" w:eastAsia="Calibri" w:hAnsi="Verdana" w:cs="Arial"/>
        </w:rPr>
        <w:t>razabilidad, disponibilidad y</w:t>
      </w:r>
      <w:r w:rsidRPr="00670A6E">
        <w:rPr>
          <w:rFonts w:ascii="Verdana" w:eastAsia="Calibri" w:hAnsi="Verdana" w:cs="Arial"/>
        </w:rPr>
        <w:t xml:space="preserve"> demostrar que se trata el mecanismo confiable y apropiable.</w:t>
      </w:r>
      <w:r>
        <w:rPr>
          <w:rFonts w:ascii="Verdana" w:eastAsia="Calibri" w:hAnsi="Verdana" w:cs="Arial"/>
        </w:rPr>
        <w:t xml:space="preserve"> </w:t>
      </w:r>
    </w:p>
    <w:p w14:paraId="29827E19" w14:textId="77777777" w:rsidR="00D012A1" w:rsidRPr="00670A6E" w:rsidRDefault="00D012A1" w:rsidP="00D012A1">
      <w:pPr>
        <w:spacing w:after="120" w:line="276" w:lineRule="auto"/>
        <w:ind w:firstLine="708"/>
        <w:jc w:val="both"/>
        <w:rPr>
          <w:rFonts w:ascii="Verdana" w:eastAsia="Calibri" w:hAnsi="Verdana" w:cs="Arial"/>
        </w:rPr>
      </w:pPr>
      <w:r>
        <w:rPr>
          <w:rFonts w:ascii="Verdana" w:eastAsia="Calibri" w:hAnsi="Verdana" w:cs="Arial"/>
        </w:rPr>
        <w:t>Por tanto</w:t>
      </w:r>
      <w:r w:rsidRPr="00670A6E">
        <w:rPr>
          <w:rFonts w:ascii="Verdana" w:eastAsia="Calibri" w:hAnsi="Verdana" w:cs="Arial"/>
        </w:rPr>
        <w:t>, para que un documento con la ima</w:t>
      </w:r>
      <w:r>
        <w:rPr>
          <w:rFonts w:ascii="Verdana" w:eastAsia="Calibri" w:hAnsi="Verdana" w:cs="Arial"/>
        </w:rPr>
        <w:t xml:space="preserve">gen de una firma sea válido, </w:t>
      </w:r>
      <w:r w:rsidRPr="00670A6E">
        <w:rPr>
          <w:rFonts w:ascii="Verdana" w:eastAsia="Calibri" w:hAnsi="Verdana" w:cs="Arial"/>
        </w:rPr>
        <w:t>deberá determinar</w:t>
      </w:r>
      <w:r>
        <w:rPr>
          <w:rFonts w:ascii="Verdana" w:eastAsia="Calibri" w:hAnsi="Verdana" w:cs="Arial"/>
        </w:rPr>
        <w:t>se</w:t>
      </w:r>
      <w:r w:rsidRPr="00670A6E">
        <w:rPr>
          <w:rFonts w:ascii="Verdana" w:eastAsia="Calibri" w:hAnsi="Verdana" w:cs="Arial"/>
        </w:rPr>
        <w:t xml:space="preserve"> si cumple los requisitos de una firma digital o electrónica. Si no cumple los requisitos se entiende que el documento carece de firma. Si el documento tiene firma manuscrita y se escanea para enviarlo a la entidad estatal, deberá considerarse como válido, porque estos documentos son una copia simple del original y tienen validez, salvo que una norma expresa imponga la entrega del original. </w:t>
      </w:r>
    </w:p>
    <w:p w14:paraId="0E2C57A8" w14:textId="77777777" w:rsidR="00D012A1" w:rsidRDefault="00D012A1" w:rsidP="00D012A1">
      <w:pPr>
        <w:spacing w:after="120" w:line="276" w:lineRule="auto"/>
        <w:ind w:firstLine="708"/>
        <w:jc w:val="both"/>
        <w:rPr>
          <w:rFonts w:ascii="Verdana" w:eastAsia="Calibri" w:hAnsi="Verdana" w:cs="Arial"/>
          <w:lang w:val="es-ES_tradnl" w:eastAsia="es-ES_tradnl"/>
        </w:rPr>
      </w:pPr>
      <w:r w:rsidRPr="00C37FDF">
        <w:rPr>
          <w:rFonts w:ascii="Verdana" w:eastAsia="Calibri" w:hAnsi="Verdana" w:cs="Arial"/>
          <w:lang w:val="es-ES_tradnl" w:eastAsia="es-ES_tradnl"/>
        </w:rPr>
        <w:t>La Agencia Nacional de Contratación Pública − Colombia Compra Eficiente ha construido una línea consolidada, que se confirma en este escrito, en relación con la validez de la firma electrónica y digital en la actividad contractual del Estado. En efecto, en los conceptos C-296 de 2020, C-287 de 2020, C-044 de 2020, C-016 de 2020 y CU-003 de 2020</w:t>
      </w:r>
      <w:r w:rsidRPr="00C37FDF">
        <w:rPr>
          <w:rStyle w:val="Refdenotaalpie"/>
          <w:rFonts w:ascii="Verdana" w:eastAsia="Calibri" w:hAnsi="Verdana" w:cs="Arial"/>
          <w:lang w:val="es-ES_tradnl" w:eastAsia="es-ES_tradnl"/>
        </w:rPr>
        <w:footnoteReference w:id="6"/>
      </w:r>
      <w:r w:rsidRPr="00C37FDF">
        <w:rPr>
          <w:rFonts w:ascii="Verdana" w:eastAsia="Calibri" w:hAnsi="Verdana" w:cs="Arial"/>
          <w:lang w:val="es-ES_tradnl" w:eastAsia="es-ES_tradnl"/>
        </w:rPr>
        <w:t xml:space="preserve"> se ha considerado que en los contratos estatales es plenamente válida la utilización de los medios electrónicos y, dentro de ellos, de la firma electrónica y digital, como análogos de la tradicional firma manuscrita.</w:t>
      </w:r>
    </w:p>
    <w:p w14:paraId="562B81F3" w14:textId="77777777" w:rsidR="00D012A1" w:rsidRPr="00744C32" w:rsidRDefault="00D012A1" w:rsidP="00D012A1">
      <w:pPr>
        <w:pStyle w:val="Sinespaciado"/>
        <w:spacing w:line="276" w:lineRule="auto"/>
        <w:jc w:val="both"/>
        <w:rPr>
          <w:rFonts w:ascii="Verdana" w:hAnsi="Verdana"/>
        </w:rPr>
      </w:pPr>
      <w:r>
        <w:rPr>
          <w:rFonts w:ascii="Verdana" w:hAnsi="Verdana"/>
        </w:rPr>
        <w:tab/>
        <w:t xml:space="preserve">Ahora bien, en relación con EL SECOP II, se reitera que es </w:t>
      </w:r>
      <w:r w:rsidRPr="002716C8">
        <w:rPr>
          <w:rFonts w:ascii="Verdana" w:hAnsi="Verdana"/>
        </w:rPr>
        <w:t xml:space="preserve">una plataforma transaccional, que permite gestionar en línea todos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selección, y gestionan la fase de ejecución del contrato. Los </w:t>
      </w:r>
      <w:r w:rsidRPr="00744C32">
        <w:rPr>
          <w:rFonts w:ascii="Verdana" w:hAnsi="Verdana"/>
        </w:rPr>
        <w:t>proveedores pueden hacer comentarios a los documentos del procedimiento, presentar ofertas y seguir el procedimiento de selección en línea.</w:t>
      </w:r>
    </w:p>
    <w:p w14:paraId="5E2530C6" w14:textId="77777777" w:rsidR="00D012A1" w:rsidRPr="00744C32" w:rsidRDefault="00D012A1" w:rsidP="00D012A1">
      <w:pPr>
        <w:spacing w:line="276" w:lineRule="auto"/>
        <w:ind w:firstLine="708"/>
        <w:jc w:val="both"/>
        <w:rPr>
          <w:rFonts w:ascii="Verdana" w:eastAsia="Calibri" w:hAnsi="Verdana" w:cs="Arial"/>
          <w:lang w:val="es-ES"/>
        </w:rPr>
      </w:pPr>
      <w:r w:rsidRPr="00744C32">
        <w:rPr>
          <w:rFonts w:ascii="Verdana" w:eastAsia="Calibri" w:hAnsi="Verdana" w:cs="Arial"/>
          <w:lang w:val="es-ES"/>
        </w:rPr>
        <w:t xml:space="preserve">Así, dado que el SECOP II es una plataforma transaccional, el trámite se realiza en línea y la publicidad de las actuaciones es concomitante, según transcurran cada una de las etapas del procedimiento. Además, de acuerdo con lo prescrito en el artículo 14 de la Ley 527 de 1999, en la formación del contrato, salvo acuerdo expreso entre las partes, la oferta y su aceptación podrán expresarse por medio de un mensaje de datos, lo que implica que “[n]o se negará validez o fuerza obligatoria a un contrato por la sola razón de haberse </w:t>
      </w:r>
      <w:r w:rsidRPr="00744C32">
        <w:rPr>
          <w:rFonts w:ascii="Verdana" w:eastAsia="Calibri" w:hAnsi="Verdana" w:cs="Arial"/>
          <w:lang w:val="es-ES"/>
        </w:rPr>
        <w:lastRenderedPageBreak/>
        <w:t xml:space="preserve">utilizado en su formación uno o más mensajes de datos”. Igualmente, el artículo 22 </w:t>
      </w:r>
      <w:r w:rsidRPr="00744C32">
        <w:rPr>
          <w:rFonts w:ascii="Verdana" w:eastAsia="Calibri" w:hAnsi="Verdana" w:cs="Arial"/>
          <w:i/>
          <w:iCs/>
          <w:lang w:val="es-ES"/>
        </w:rPr>
        <w:t>ibidem</w:t>
      </w:r>
      <w:r w:rsidRPr="00744C32">
        <w:rPr>
          <w:rFonts w:ascii="Verdana" w:eastAsia="Calibri" w:hAnsi="Verdana" w:cs="Arial"/>
          <w:lang w:val="es-ES"/>
        </w:rPr>
        <w:t xml:space="preserve"> dispone que los contratos electrónicos compuestos por mensajes de datos tienen los efectos jurídicos según las normas aplicables al negocio jurídico contenido en dichos mensajes, esto es, las normas que regulan el sistema de contratación pública.</w:t>
      </w:r>
    </w:p>
    <w:p w14:paraId="53CD128A" w14:textId="77777777" w:rsidR="00D012A1" w:rsidRPr="00744C32" w:rsidRDefault="00D012A1" w:rsidP="00D012A1">
      <w:pPr>
        <w:spacing w:before="120" w:line="276" w:lineRule="auto"/>
        <w:ind w:firstLine="709"/>
        <w:jc w:val="both"/>
        <w:rPr>
          <w:rFonts w:ascii="Verdana" w:eastAsia="Calibri" w:hAnsi="Verdana" w:cs="Arial"/>
          <w:lang w:val="es-ES"/>
        </w:rPr>
      </w:pPr>
      <w:r w:rsidRPr="00744C32">
        <w:rPr>
          <w:rFonts w:ascii="Verdana" w:eastAsia="Calibri" w:hAnsi="Verdana" w:cs="Arial"/>
          <w:lang w:val="es-ES"/>
        </w:rPr>
        <w:t xml:space="preserve">No obstante, eventualmente puede ocurrir que al SECOP II se deban cargar documentos suscritos por las partes, previamente digitalizados. Esto ocurre, por ejemplo, con los estudios previos, el informe de evaluación, la resolución de adjudicación o con el clausulado del contrato, formatos o anexos entre otras actuaciones en las que los usuarios quedan habilitados para cargar documentos en la plataforma. Se trata de algo excepcional, pues, se insiste, el SECOP II es una plataforma esencialmente transaccional, distinta del SECOP I que es una herramienta eminentemente de publicidad. Dicho carácter excepcional, además, se justifica en la necesidad de evitar los problemas que pueden surgir ante la duplicidad de información, como, por ejemplo, la discrepancia entre el texto tramitado en el SECOP II y el que la entidad carga a la plataforma. </w:t>
      </w:r>
    </w:p>
    <w:p w14:paraId="7D4D2693" w14:textId="77777777" w:rsidR="00D012A1" w:rsidRPr="00744C32" w:rsidRDefault="00D012A1" w:rsidP="00D012A1">
      <w:pPr>
        <w:spacing w:before="120" w:line="276" w:lineRule="auto"/>
        <w:ind w:firstLine="708"/>
        <w:jc w:val="both"/>
        <w:rPr>
          <w:rFonts w:ascii="Verdana" w:eastAsia="Calibri" w:hAnsi="Verdana" w:cs="Arial"/>
          <w:lang w:val="es-MX"/>
        </w:rPr>
      </w:pPr>
      <w:r w:rsidRPr="00744C32">
        <w:rPr>
          <w:rFonts w:ascii="Verdana" w:eastAsia="Calibri" w:hAnsi="Verdana" w:cs="Arial"/>
          <w:lang w:val="es-MX"/>
        </w:rPr>
        <w:t xml:space="preserve">En suma, los procedimientos contractuales son esencialmente reglados y, por ende, las entidades públicas están obligadas a adelantarlos según los términos y etapas establecidas en la ley. Estos podrán tramitarse de forma escrita y tradicional o de forma electrónica a través del SECOP II, dentro de los límites y criterios de obligatoriedad indicados </w:t>
      </w:r>
      <w:r w:rsidRPr="00744C32">
        <w:rPr>
          <w:rFonts w:ascii="Verdana" w:eastAsia="Calibri" w:hAnsi="Verdana" w:cs="Arial"/>
          <w:i/>
          <w:iCs/>
          <w:lang w:val="es-MX"/>
        </w:rPr>
        <w:t>ut supra</w:t>
      </w:r>
      <w:r w:rsidRPr="00744C32">
        <w:rPr>
          <w:rFonts w:ascii="Verdana" w:eastAsia="Calibri" w:hAnsi="Verdana" w:cs="Arial"/>
          <w:lang w:val="es-MX"/>
        </w:rPr>
        <w:t>. Igualmente, no es posible realizar el trámite de forma mixta, esto es, física y electrónica, lo cual no excluye que, excepcionalmente, puedan y deban cargarse algunos documentos digitalizados al SECOP II. Esta situación implica problemas asociados con la duplicidad de información.</w:t>
      </w:r>
    </w:p>
    <w:p w14:paraId="13CDCB91" w14:textId="77777777" w:rsidR="00D012A1" w:rsidRPr="00744C32" w:rsidRDefault="00D012A1" w:rsidP="00D012A1">
      <w:pPr>
        <w:spacing w:before="120" w:line="276" w:lineRule="auto"/>
        <w:ind w:firstLine="567"/>
        <w:jc w:val="both"/>
        <w:rPr>
          <w:rFonts w:ascii="Verdana" w:eastAsia="Calibri" w:hAnsi="Verdana" w:cs="Arial"/>
          <w:color w:val="000000" w:themeColor="text1"/>
          <w:lang w:val="es-ES"/>
        </w:rPr>
      </w:pPr>
      <w:r w:rsidRPr="00744C32">
        <w:rPr>
          <w:rFonts w:ascii="Verdana" w:eastAsia="Calibri" w:hAnsi="Verdana" w:cs="Arial"/>
          <w:color w:val="000000" w:themeColor="text1"/>
          <w:lang w:val="es-ES"/>
        </w:rPr>
        <w:t xml:space="preserve">De conformidad con la </w:t>
      </w:r>
      <w:r w:rsidRPr="00744C32">
        <w:rPr>
          <w:rFonts w:ascii="Verdana" w:eastAsia="Calibri" w:hAnsi="Verdana" w:cs="Arial"/>
          <w:lang w:val="es-ES"/>
        </w:rPr>
        <w:t>“</w:t>
      </w:r>
      <w:r w:rsidRPr="00744C32">
        <w:rPr>
          <w:rFonts w:ascii="Verdana" w:eastAsia="Calibri" w:hAnsi="Verdana" w:cs="Arial"/>
          <w:color w:val="000000" w:themeColor="text1"/>
          <w:lang w:val="es-ES"/>
        </w:rPr>
        <w:t>Guía rápida para hacer un Proceso de Contratación de Licitación Pública (Obra Pública) en el SECOP II</w:t>
      </w:r>
      <w:bookmarkStart w:id="3" w:name="_Hlk96244517"/>
      <w:r w:rsidRPr="00744C32">
        <w:rPr>
          <w:rFonts w:ascii="Verdana" w:eastAsia="Calibri" w:hAnsi="Verdana" w:cs="Arial"/>
          <w:lang w:val="es-ES"/>
        </w:rPr>
        <w:t>”</w:t>
      </w:r>
      <w:r w:rsidRPr="00744C32">
        <w:rPr>
          <w:rStyle w:val="Refdenotaalpie"/>
          <w:rFonts w:ascii="Verdana" w:eastAsia="Calibri" w:hAnsi="Verdana" w:cs="Arial"/>
        </w:rPr>
        <w:footnoteReference w:id="7"/>
      </w:r>
      <w:r w:rsidRPr="00744C32">
        <w:rPr>
          <w:rFonts w:ascii="Verdana" w:eastAsia="Calibri" w:hAnsi="Verdana" w:cs="Arial"/>
          <w:color w:val="000000" w:themeColor="text1"/>
          <w:lang w:val="es-ES"/>
        </w:rPr>
        <w:t xml:space="preserve"> </w:t>
      </w:r>
      <w:bookmarkEnd w:id="3"/>
      <w:r w:rsidRPr="00744C32">
        <w:rPr>
          <w:rFonts w:ascii="Verdana" w:eastAsia="Calibri" w:hAnsi="Verdana" w:cs="Arial"/>
          <w:color w:val="000000" w:themeColor="text1"/>
          <w:lang w:val="es-ES"/>
        </w:rPr>
        <w:t xml:space="preserve">el pliego de condiciones que se genera en esta plataforma es electrónico y es un formulario compuesto por seis secciones: i) </w:t>
      </w:r>
      <w:r w:rsidRPr="00744C32">
        <w:rPr>
          <w:rFonts w:ascii="Verdana" w:eastAsia="Calibri" w:hAnsi="Verdana" w:cs="Arial"/>
          <w:color w:val="000000" w:themeColor="text1"/>
        </w:rPr>
        <w:t xml:space="preserve">Información general, </w:t>
      </w:r>
      <w:proofErr w:type="spellStart"/>
      <w:r w:rsidRPr="00744C32">
        <w:rPr>
          <w:rFonts w:ascii="Verdana" w:eastAsia="Calibri" w:hAnsi="Verdana" w:cs="Arial"/>
          <w:color w:val="000000" w:themeColor="text1"/>
        </w:rPr>
        <w:t>ii</w:t>
      </w:r>
      <w:proofErr w:type="spellEnd"/>
      <w:r w:rsidRPr="00744C32">
        <w:rPr>
          <w:rFonts w:ascii="Verdana" w:eastAsia="Calibri" w:hAnsi="Verdana" w:cs="Arial"/>
          <w:color w:val="000000" w:themeColor="text1"/>
        </w:rPr>
        <w:t xml:space="preserve">) Configuración, </w:t>
      </w:r>
      <w:proofErr w:type="spellStart"/>
      <w:r w:rsidRPr="00744C32">
        <w:rPr>
          <w:rFonts w:ascii="Verdana" w:eastAsia="Calibri" w:hAnsi="Verdana" w:cs="Arial"/>
          <w:color w:val="000000" w:themeColor="text1"/>
        </w:rPr>
        <w:t>iii</w:t>
      </w:r>
      <w:proofErr w:type="spellEnd"/>
      <w:r w:rsidRPr="00744C32">
        <w:rPr>
          <w:rFonts w:ascii="Verdana" w:eastAsia="Calibri" w:hAnsi="Verdana" w:cs="Arial"/>
          <w:color w:val="000000" w:themeColor="text1"/>
        </w:rPr>
        <w:t xml:space="preserve">) Cuestionario, </w:t>
      </w:r>
      <w:proofErr w:type="spellStart"/>
      <w:r w:rsidRPr="00744C32">
        <w:rPr>
          <w:rFonts w:ascii="Verdana" w:eastAsia="Calibri" w:hAnsi="Verdana" w:cs="Arial"/>
          <w:color w:val="000000" w:themeColor="text1"/>
        </w:rPr>
        <w:t>iv</w:t>
      </w:r>
      <w:proofErr w:type="spellEnd"/>
      <w:r w:rsidRPr="00744C32">
        <w:rPr>
          <w:rFonts w:ascii="Verdana" w:eastAsia="Calibri" w:hAnsi="Verdana" w:cs="Arial"/>
          <w:color w:val="000000" w:themeColor="text1"/>
        </w:rPr>
        <w:t>) Evaluación, v) Documentos del Proceso y vi) Documentos de la oferta.</w:t>
      </w:r>
      <w:r w:rsidRPr="00744C32">
        <w:rPr>
          <w:rFonts w:ascii="Verdana" w:eastAsia="Calibri" w:hAnsi="Verdana" w:cs="Arial"/>
          <w:color w:val="000000" w:themeColor="text1"/>
          <w:lang w:val="es-ES"/>
        </w:rPr>
        <w:t xml:space="preserve"> Estas secciones abarcan la mayoría de los contenidos mínimos que debe contener un pliego de condiciones, con excepción del análisis de riesgos, las causales de rechazo, la minuta del contrato y la supervisión o interventoría, entre otros, los </w:t>
      </w:r>
      <w:r w:rsidRPr="00744C32">
        <w:rPr>
          <w:rFonts w:ascii="Verdana" w:eastAsia="Calibri" w:hAnsi="Verdana" w:cs="Arial"/>
          <w:color w:val="000000" w:themeColor="text1"/>
          <w:lang w:val="es-ES"/>
        </w:rPr>
        <w:lastRenderedPageBreak/>
        <w:t>cuales, al igual que los demás componentes que la entidad considere conveniente incluir, en su autonomía contractual, pueden agregarse en la sección para adjuntar documentos.</w:t>
      </w:r>
    </w:p>
    <w:p w14:paraId="59073E62" w14:textId="77777777" w:rsidR="00D012A1" w:rsidRPr="00744C32" w:rsidRDefault="00D012A1" w:rsidP="00D012A1">
      <w:pPr>
        <w:spacing w:line="276" w:lineRule="auto"/>
        <w:ind w:firstLine="567"/>
        <w:jc w:val="both"/>
        <w:rPr>
          <w:rFonts w:ascii="Verdana" w:hAnsi="Verdana" w:cs="Arial"/>
        </w:rPr>
      </w:pPr>
      <w:r w:rsidRPr="00744C32">
        <w:rPr>
          <w:rFonts w:ascii="Verdana" w:hAnsi="Verdana" w:cs="Arial"/>
        </w:rPr>
        <w:t>Por su parte, los términos y condiciones de uso del SECOP II, que son aceptados por quienes utilizan la plataforma, disponen que:</w:t>
      </w:r>
    </w:p>
    <w:p w14:paraId="05F12519" w14:textId="77777777" w:rsidR="00D012A1" w:rsidRPr="004720AB" w:rsidRDefault="00D012A1" w:rsidP="00D012A1">
      <w:pPr>
        <w:ind w:left="708" w:right="709"/>
        <w:jc w:val="both"/>
        <w:rPr>
          <w:rFonts w:ascii="Verdana" w:hAnsi="Verdana"/>
          <w:sz w:val="20"/>
          <w:szCs w:val="20"/>
        </w:rPr>
      </w:pPr>
      <w:r w:rsidRPr="004720AB">
        <w:rPr>
          <w:rFonts w:ascii="Verdana" w:hAnsi="Verdana"/>
          <w:sz w:val="20"/>
          <w:szCs w:val="20"/>
        </w:rPr>
        <w:t>a) Los Usuarios del SECOP II son responsables de cualquier actuación efectuada con su Usuario. En consecuencia, la responsabilidad del manejo y confidencialidad de los usuarios y contraseñas recae única y exclusivamente en el titular de la misma y no en la ANCP-CCE.</w:t>
      </w:r>
    </w:p>
    <w:p w14:paraId="0F28EE5A" w14:textId="77777777" w:rsidR="00D012A1" w:rsidRPr="004720AB" w:rsidRDefault="00D012A1" w:rsidP="00D012A1">
      <w:pPr>
        <w:ind w:left="708" w:right="709"/>
        <w:jc w:val="both"/>
        <w:rPr>
          <w:rFonts w:ascii="Verdana" w:hAnsi="Verdana"/>
          <w:sz w:val="20"/>
          <w:szCs w:val="20"/>
        </w:rPr>
      </w:pPr>
      <w:r w:rsidRPr="004720AB">
        <w:rPr>
          <w:rFonts w:ascii="Verdana" w:hAnsi="Verdana"/>
          <w:sz w:val="20"/>
          <w:szCs w:val="20"/>
        </w:rPr>
        <w:t xml:space="preserve"> b) La responsabilidad por el acceso a las cuentas de Entidad o Proveedor recae en la persona designada como Usuario Administrador, además es quien está encargada</w:t>
      </w:r>
      <w:r w:rsidRPr="004720AB">
        <w:rPr>
          <w:rFonts w:ascii="Verdana" w:hAnsi="Verdana" w:cs="Arial"/>
          <w:sz w:val="20"/>
          <w:szCs w:val="20"/>
        </w:rPr>
        <w:t xml:space="preserve"> </w:t>
      </w:r>
      <w:r w:rsidRPr="004720AB">
        <w:rPr>
          <w:rFonts w:ascii="Verdana" w:hAnsi="Verdana"/>
          <w:sz w:val="20"/>
          <w:szCs w:val="20"/>
        </w:rPr>
        <w:t xml:space="preserve">de la habilitación de funciones de cada usuario dentro de los Procesos de Contratación. </w:t>
      </w:r>
    </w:p>
    <w:p w14:paraId="304CA400" w14:textId="77777777" w:rsidR="00D012A1" w:rsidRPr="004720AB" w:rsidRDefault="00D012A1" w:rsidP="00D012A1">
      <w:pPr>
        <w:ind w:left="708" w:right="709"/>
        <w:jc w:val="both"/>
        <w:rPr>
          <w:rFonts w:ascii="Verdana" w:hAnsi="Verdana"/>
          <w:sz w:val="20"/>
          <w:szCs w:val="20"/>
        </w:rPr>
      </w:pPr>
      <w:r w:rsidRPr="004720AB">
        <w:rPr>
          <w:rFonts w:ascii="Verdana" w:hAnsi="Verdana"/>
          <w:sz w:val="20"/>
          <w:szCs w:val="20"/>
        </w:rPr>
        <w:t xml:space="preserve">c) La ANCP-CCE cuenta con mecanismos de seguridad suficientes para el ingreso de los Usuarios a su cuenta. </w:t>
      </w:r>
    </w:p>
    <w:p w14:paraId="073C5B69" w14:textId="77777777" w:rsidR="00D012A1" w:rsidRPr="004720AB" w:rsidRDefault="00D012A1" w:rsidP="00D012A1">
      <w:pPr>
        <w:ind w:left="708" w:right="709"/>
        <w:jc w:val="both"/>
        <w:rPr>
          <w:rFonts w:ascii="Verdana" w:hAnsi="Verdana"/>
          <w:sz w:val="20"/>
          <w:szCs w:val="20"/>
        </w:rPr>
      </w:pPr>
      <w:r w:rsidRPr="004720AB">
        <w:rPr>
          <w:rFonts w:ascii="Verdana" w:hAnsi="Verdana"/>
          <w:sz w:val="20"/>
          <w:szCs w:val="20"/>
        </w:rPr>
        <w:t>d) Las actuaciones de los Usuarios en el SECOP II comprometen a la Entidad Compradora o al Proveedor del cual son agentes. La autenticación del SECOP II, es decir, el nombre de Usuario y la contraseña constituyen una firma electrónica en los términos del artículo 7 de la Ley 527 de 1999 y las normas que la reglamentan.</w:t>
      </w:r>
      <w:r w:rsidRPr="004720AB">
        <w:rPr>
          <w:rStyle w:val="Refdenotaalpie"/>
          <w:rFonts w:ascii="Verdana" w:hAnsi="Verdana"/>
          <w:sz w:val="20"/>
          <w:szCs w:val="20"/>
        </w:rPr>
        <w:footnoteReference w:id="8"/>
      </w:r>
    </w:p>
    <w:p w14:paraId="318B8298" w14:textId="77777777" w:rsidR="00D012A1" w:rsidRPr="00744C32" w:rsidRDefault="00D012A1" w:rsidP="00D012A1">
      <w:pPr>
        <w:spacing w:line="276" w:lineRule="auto"/>
        <w:ind w:firstLine="567"/>
        <w:jc w:val="both"/>
        <w:rPr>
          <w:rFonts w:ascii="Verdana" w:eastAsia="Calibri" w:hAnsi="Verdana" w:cs="Arial"/>
          <w:lang w:val="es-ES"/>
        </w:rPr>
      </w:pPr>
      <w:bookmarkStart w:id="4" w:name="_Hlk38763732"/>
      <w:r w:rsidRPr="00744C32">
        <w:rPr>
          <w:rFonts w:ascii="Verdana" w:eastAsia="Calibri" w:hAnsi="Verdana" w:cs="Arial"/>
          <w:lang w:val="es-ES"/>
        </w:rPr>
        <w:t xml:space="preserve">Con esto se concluye que </w:t>
      </w:r>
      <w:bookmarkEnd w:id="4"/>
      <w:r w:rsidRPr="00744C32">
        <w:rPr>
          <w:rFonts w:ascii="Verdana" w:eastAsia="Calibri" w:hAnsi="Verdana" w:cs="Arial"/>
          <w:lang w:val="es-ES"/>
        </w:rPr>
        <w:t xml:space="preserve">el nombre de usuario y la contraseña dentro de la plataforma SECOP II sí constituyen una firma electrónica válida.  </w:t>
      </w:r>
    </w:p>
    <w:p w14:paraId="501DC494" w14:textId="77777777" w:rsidR="00D012A1" w:rsidRPr="00230322" w:rsidRDefault="00D012A1" w:rsidP="00D012A1">
      <w:pPr>
        <w:spacing w:after="0" w:line="276" w:lineRule="auto"/>
        <w:ind w:firstLine="709"/>
        <w:jc w:val="both"/>
        <w:rPr>
          <w:rFonts w:ascii="Verdana" w:eastAsia="Calibri" w:hAnsi="Verdana" w:cs="Arial"/>
          <w:lang w:val="es-ES_tradnl"/>
        </w:rPr>
      </w:pPr>
      <w:r w:rsidRPr="00744C32">
        <w:rPr>
          <w:rFonts w:ascii="Verdana" w:hAnsi="Verdana"/>
        </w:rPr>
        <w:t>En relación con la posibilidad de que una Entidad Estatal rechace una oferta de uno de los proponentes porque alguno de los documentos que la componen no se encuentren firmados, es importante señalar que</w:t>
      </w:r>
      <w:r w:rsidRPr="00744C32">
        <w:rPr>
          <w:rFonts w:ascii="Verdana" w:eastAsia="Calibri" w:hAnsi="Verdana" w:cs="Arial"/>
        </w:rPr>
        <w:t xml:space="preserve"> l</w:t>
      </w:r>
      <w:proofErr w:type="spellStart"/>
      <w:r w:rsidRPr="00744C32">
        <w:rPr>
          <w:rFonts w:ascii="Verdana" w:eastAsia="Calibri" w:hAnsi="Verdana" w:cs="Arial"/>
          <w:lang w:val="es-ES_tradnl"/>
        </w:rPr>
        <w:t>as</w:t>
      </w:r>
      <w:proofErr w:type="spellEnd"/>
      <w:r w:rsidRPr="00744C32">
        <w:rPr>
          <w:rFonts w:ascii="Verdana" w:eastAsia="Calibri" w:hAnsi="Verdana" w:cs="Arial"/>
          <w:lang w:val="es-ES_tradnl"/>
        </w:rPr>
        <w:t xml:space="preserve"> causales de rechazo son las establecidas en la Ley y las fijadas por la Entidad Estatal en los pliegos de condiciones. Sin embargo, en ejercicio de dicha facultad, a las entidades no les es dable fijar causales</w:t>
      </w:r>
      <w:r w:rsidRPr="00230322">
        <w:rPr>
          <w:rFonts w:ascii="Verdana" w:eastAsia="Calibri" w:hAnsi="Verdana" w:cs="Arial"/>
          <w:lang w:val="es-ES_tradnl"/>
        </w:rPr>
        <w:t xml:space="preserve"> de rechazo que soslayen o afecten la selección objetiva en la contratación. Sobre el particular, el Consejo de Estado</w:t>
      </w:r>
      <w:r w:rsidRPr="00D95553">
        <w:rPr>
          <w:rFonts w:ascii="Verdana" w:eastAsia="Calibri" w:hAnsi="Verdana" w:cs="Arial"/>
          <w:vertAlign w:val="superscript"/>
          <w:lang w:val="es-ES_tradnl"/>
        </w:rPr>
        <w:footnoteReference w:id="9"/>
      </w:r>
      <w:r w:rsidRPr="00D95553">
        <w:rPr>
          <w:rFonts w:ascii="Verdana" w:eastAsia="Calibri" w:hAnsi="Verdana" w:cs="Arial"/>
          <w:lang w:val="es-ES_tradnl"/>
        </w:rPr>
        <w:t xml:space="preserve"> </w:t>
      </w:r>
      <w:r w:rsidRPr="00230322">
        <w:rPr>
          <w:rFonts w:ascii="Verdana" w:eastAsia="Calibri" w:hAnsi="Verdana" w:cs="Arial"/>
          <w:lang w:val="es-ES_tradnl"/>
        </w:rPr>
        <w:t>señala:</w:t>
      </w:r>
    </w:p>
    <w:p w14:paraId="210B46EC" w14:textId="77777777" w:rsidR="00D012A1" w:rsidRPr="00230322" w:rsidRDefault="00D012A1" w:rsidP="00D012A1">
      <w:pPr>
        <w:tabs>
          <w:tab w:val="left" w:pos="709"/>
        </w:tabs>
        <w:spacing w:after="0" w:line="276" w:lineRule="auto"/>
        <w:jc w:val="both"/>
        <w:rPr>
          <w:rFonts w:ascii="Verdana" w:eastAsia="Calibri" w:hAnsi="Verdana" w:cs="Arial"/>
          <w:lang w:val="es-ES_tradnl"/>
        </w:rPr>
      </w:pPr>
    </w:p>
    <w:p w14:paraId="48AC8774" w14:textId="77777777" w:rsidR="00D012A1" w:rsidRDefault="00D012A1" w:rsidP="00D012A1">
      <w:pPr>
        <w:tabs>
          <w:tab w:val="left" w:pos="709"/>
        </w:tabs>
        <w:spacing w:after="0" w:line="240" w:lineRule="auto"/>
        <w:ind w:left="709" w:right="709"/>
        <w:jc w:val="both"/>
        <w:rPr>
          <w:rFonts w:ascii="Verdana" w:eastAsia="Calibri" w:hAnsi="Verdana" w:cs="Arial"/>
          <w:sz w:val="20"/>
          <w:szCs w:val="20"/>
          <w:lang w:val="es-ES"/>
        </w:rPr>
      </w:pPr>
      <w:r w:rsidRPr="00230322">
        <w:rPr>
          <w:rFonts w:ascii="Verdana" w:eastAsia="Calibri" w:hAnsi="Verdana" w:cs="Arial"/>
          <w:sz w:val="20"/>
          <w:szCs w:val="20"/>
          <w:lang w:val="es-ES"/>
        </w:rPr>
        <w:t xml:space="preserve">“Quiere con esto destacar la Sala que las causales de rechazo de las propuestas pueden ser legales y por lo mismo generan el efecto del descarte o exclusión de la oferta </w:t>
      </w:r>
      <w:proofErr w:type="spellStart"/>
      <w:r w:rsidRPr="00230322">
        <w:rPr>
          <w:rFonts w:ascii="Verdana" w:eastAsia="Calibri" w:hAnsi="Verdana" w:cs="Arial"/>
          <w:sz w:val="20"/>
          <w:szCs w:val="20"/>
          <w:lang w:val="es-ES"/>
        </w:rPr>
        <w:t>ope</w:t>
      </w:r>
      <w:proofErr w:type="spellEnd"/>
      <w:r w:rsidRPr="00230322">
        <w:rPr>
          <w:rFonts w:ascii="Verdana" w:eastAsia="Calibri" w:hAnsi="Verdana" w:cs="Arial"/>
          <w:sz w:val="20"/>
          <w:szCs w:val="20"/>
          <w:lang w:val="es-ES"/>
        </w:rPr>
        <w:t xml:space="preserve"> </w:t>
      </w:r>
      <w:proofErr w:type="spellStart"/>
      <w:r w:rsidRPr="00230322">
        <w:rPr>
          <w:rFonts w:ascii="Verdana" w:eastAsia="Calibri" w:hAnsi="Verdana" w:cs="Arial"/>
          <w:sz w:val="20"/>
          <w:szCs w:val="20"/>
          <w:lang w:val="es-ES"/>
        </w:rPr>
        <w:t>legis</w:t>
      </w:r>
      <w:proofErr w:type="spellEnd"/>
      <w:r w:rsidRPr="00230322">
        <w:rPr>
          <w:rFonts w:ascii="Verdana" w:eastAsia="Calibri" w:hAnsi="Verdana" w:cs="Arial"/>
          <w:sz w:val="20"/>
          <w:szCs w:val="20"/>
          <w:lang w:val="es-ES"/>
        </w:rPr>
        <w:t>,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w:t>
      </w:r>
    </w:p>
    <w:p w14:paraId="1DD53E11" w14:textId="77777777" w:rsidR="00D012A1" w:rsidRPr="00321987" w:rsidRDefault="00D012A1" w:rsidP="00D012A1">
      <w:pPr>
        <w:tabs>
          <w:tab w:val="left" w:pos="709"/>
        </w:tabs>
        <w:spacing w:after="0" w:line="240" w:lineRule="auto"/>
        <w:ind w:left="709" w:right="709"/>
        <w:jc w:val="both"/>
        <w:rPr>
          <w:rFonts w:ascii="Verdana" w:eastAsia="Calibri" w:hAnsi="Verdana" w:cs="Arial"/>
          <w:sz w:val="20"/>
          <w:szCs w:val="20"/>
          <w:lang w:val="es-ES"/>
        </w:rPr>
      </w:pPr>
    </w:p>
    <w:p w14:paraId="18BACC3F" w14:textId="77777777" w:rsidR="00D012A1" w:rsidRPr="00230322" w:rsidRDefault="00D012A1" w:rsidP="00D012A1">
      <w:pPr>
        <w:spacing w:after="0" w:line="276" w:lineRule="auto"/>
        <w:ind w:firstLine="709"/>
        <w:jc w:val="both"/>
        <w:rPr>
          <w:rFonts w:ascii="Verdana" w:eastAsia="Times New Roman" w:hAnsi="Verdana" w:cs="Arial"/>
          <w:bCs/>
          <w:lang w:val="es-ES_tradnl" w:eastAsia="es-MX"/>
        </w:rPr>
      </w:pPr>
      <w:r w:rsidRPr="00230322">
        <w:rPr>
          <w:rFonts w:ascii="Verdana" w:eastAsia="Calibri" w:hAnsi="Verdana" w:cs="Arial"/>
          <w:lang w:val="es-ES_tradnl"/>
        </w:rPr>
        <w:t>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w:t>
      </w:r>
      <w:r>
        <w:rPr>
          <w:rFonts w:ascii="Verdana" w:eastAsia="Calibri" w:hAnsi="Verdana" w:cs="Arial"/>
          <w:lang w:val="es-ES_tradnl"/>
        </w:rPr>
        <w:t xml:space="preserve"> </w:t>
      </w:r>
      <w:r w:rsidRPr="00230322">
        <w:rPr>
          <w:rFonts w:ascii="Verdana" w:eastAsia="Calibri" w:hAnsi="Verdana" w:cs="Arial"/>
          <w:lang w:val="es-ES_tradnl"/>
        </w:rPr>
        <w:t>Al respecto, el Consejo de Estado</w:t>
      </w:r>
      <w:r w:rsidRPr="00D95553">
        <w:rPr>
          <w:rFonts w:ascii="Verdana" w:eastAsia="Calibri" w:hAnsi="Verdana" w:cs="Arial"/>
          <w:iCs/>
          <w:vertAlign w:val="superscript"/>
          <w:lang w:val="es-ES_tradnl"/>
        </w:rPr>
        <w:footnoteReference w:id="10"/>
      </w:r>
      <w:r w:rsidRPr="00D95553">
        <w:rPr>
          <w:rFonts w:ascii="Verdana" w:eastAsia="Calibri" w:hAnsi="Verdana" w:cs="Arial"/>
          <w:iCs/>
          <w:lang w:val="es-ES_tradnl"/>
        </w:rPr>
        <w:t xml:space="preserve"> </w:t>
      </w:r>
      <w:r w:rsidRPr="00230322">
        <w:rPr>
          <w:rFonts w:ascii="Verdana" w:eastAsia="Calibri" w:hAnsi="Verdana" w:cs="Arial"/>
          <w:lang w:val="es-ES_tradnl"/>
        </w:rPr>
        <w:t xml:space="preserve">sostuvo: </w:t>
      </w:r>
    </w:p>
    <w:p w14:paraId="513A5DF5" w14:textId="77777777" w:rsidR="00D012A1" w:rsidRPr="00230322" w:rsidRDefault="00D012A1" w:rsidP="00D012A1">
      <w:pPr>
        <w:spacing w:after="0" w:line="276" w:lineRule="auto"/>
        <w:jc w:val="both"/>
        <w:rPr>
          <w:rFonts w:ascii="Verdana" w:eastAsia="Times New Roman" w:hAnsi="Verdana" w:cs="Arial"/>
          <w:bCs/>
          <w:iCs/>
          <w:lang w:val="es-ES_tradnl" w:eastAsia="es-MX"/>
        </w:rPr>
      </w:pPr>
    </w:p>
    <w:p w14:paraId="47336E60" w14:textId="77777777" w:rsidR="00D012A1" w:rsidRPr="00230322" w:rsidRDefault="00D012A1" w:rsidP="00D012A1">
      <w:pPr>
        <w:spacing w:after="0" w:line="240" w:lineRule="auto"/>
        <w:ind w:left="709" w:right="709"/>
        <w:jc w:val="both"/>
        <w:rPr>
          <w:rFonts w:ascii="Verdana" w:eastAsia="Times New Roman" w:hAnsi="Verdana" w:cs="Arial"/>
          <w:bCs/>
          <w:iCs/>
          <w:sz w:val="20"/>
          <w:szCs w:val="20"/>
          <w:lang w:val="es-ES_tradnl" w:eastAsia="es-MX"/>
        </w:rPr>
      </w:pPr>
      <w:r w:rsidRPr="00230322">
        <w:rPr>
          <w:rFonts w:ascii="Verdana" w:eastAsia="Times New Roman" w:hAnsi="Verdana" w:cs="Arial"/>
          <w:bCs/>
          <w:iCs/>
          <w:sz w:val="20"/>
          <w:szCs w:val="20"/>
          <w:lang w:val="es-ES_tradnl" w:eastAsia="es-MX"/>
        </w:rPr>
        <w:t>“En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1B1E21B5" w14:textId="77777777" w:rsidR="00D012A1" w:rsidRPr="00230322" w:rsidRDefault="00D012A1" w:rsidP="00D012A1">
      <w:pPr>
        <w:spacing w:after="0" w:line="276" w:lineRule="auto"/>
        <w:ind w:left="709" w:right="709"/>
        <w:jc w:val="both"/>
        <w:rPr>
          <w:rFonts w:ascii="Verdana" w:eastAsia="Times New Roman" w:hAnsi="Verdana" w:cs="Arial"/>
          <w:bCs/>
          <w:iCs/>
          <w:lang w:val="es-ES_tradnl" w:eastAsia="es-MX"/>
        </w:rPr>
      </w:pPr>
    </w:p>
    <w:p w14:paraId="6DFFE582" w14:textId="77777777" w:rsidR="00D012A1" w:rsidRPr="00230322" w:rsidRDefault="00D012A1" w:rsidP="00D012A1">
      <w:pPr>
        <w:spacing w:after="120" w:line="276" w:lineRule="auto"/>
        <w:ind w:firstLine="708"/>
        <w:jc w:val="both"/>
        <w:rPr>
          <w:rFonts w:ascii="Verdana" w:eastAsia="Calibri" w:hAnsi="Verdana" w:cs="Arial"/>
          <w:lang w:val="es-ES"/>
        </w:rPr>
      </w:pPr>
      <w:r w:rsidRPr="00230322">
        <w:rPr>
          <w:rFonts w:ascii="Verdana" w:eastAsia="Calibri" w:hAnsi="Verdana" w:cs="Arial"/>
          <w:lang w:val="es-ES"/>
        </w:rPr>
        <w:t>Por lo expuesto,</w:t>
      </w:r>
      <w:r>
        <w:rPr>
          <w:rFonts w:ascii="Verdana" w:eastAsia="Calibri" w:hAnsi="Verdana" w:cs="Arial"/>
          <w:lang w:val="es-ES"/>
        </w:rPr>
        <w:t xml:space="preserve"> para que se rechace una oferta porque por alguno de los documentos que la componen no se encuentra firmado, por ejemplo, la oferta </w:t>
      </w:r>
      <w:r>
        <w:rPr>
          <w:rFonts w:ascii="Verdana" w:eastAsia="Calibri" w:hAnsi="Verdana" w:cs="Arial"/>
          <w:lang w:val="es-ES"/>
        </w:rPr>
        <w:lastRenderedPageBreak/>
        <w:t>económica, debe haberse contemplado tal supuesto dentro de</w:t>
      </w:r>
      <w:r w:rsidRPr="00230322">
        <w:rPr>
          <w:rFonts w:ascii="Verdana" w:eastAsia="Calibri" w:hAnsi="Verdana" w:cs="Arial"/>
          <w:lang w:val="es-ES"/>
        </w:rPr>
        <w:t xml:space="preserve"> las causales de rechazo </w:t>
      </w:r>
      <w:r>
        <w:rPr>
          <w:rFonts w:ascii="Verdana" w:eastAsia="Calibri" w:hAnsi="Verdana" w:cs="Arial"/>
          <w:lang w:val="es-ES"/>
        </w:rPr>
        <w:t xml:space="preserve">establecidas </w:t>
      </w:r>
      <w:r w:rsidRPr="00230322">
        <w:rPr>
          <w:rFonts w:ascii="Verdana" w:eastAsia="Calibri" w:hAnsi="Verdana" w:cs="Arial"/>
          <w:lang w:val="es-ES"/>
        </w:rPr>
        <w:t>en el pliego de condiciones</w:t>
      </w:r>
      <w:r>
        <w:rPr>
          <w:rFonts w:ascii="Verdana" w:eastAsia="Calibri" w:hAnsi="Verdana" w:cs="Arial"/>
          <w:lang w:val="es-ES"/>
        </w:rPr>
        <w:t xml:space="preserve"> o documentos equivalentes</w:t>
      </w:r>
      <w:r w:rsidRPr="00230322">
        <w:rPr>
          <w:rFonts w:ascii="Verdana" w:eastAsia="Calibri" w:hAnsi="Verdana" w:cs="Arial"/>
          <w:lang w:val="es-ES"/>
        </w:rPr>
        <w:t>. Por esta razón si el Estatuto General de Contratación de la Administración Pública o el pliego de condiciones no establecen de manera literal una causal de rechazo, en los términos expuestos, no podrán rechazarse las propuestas.</w:t>
      </w:r>
    </w:p>
    <w:p w14:paraId="0D149461" w14:textId="77777777" w:rsidR="00D012A1" w:rsidRPr="00447C67" w:rsidRDefault="00D012A1" w:rsidP="00D012A1">
      <w:pPr>
        <w:spacing w:after="120" w:line="276" w:lineRule="auto"/>
        <w:ind w:firstLine="708"/>
        <w:jc w:val="both"/>
        <w:rPr>
          <w:rFonts w:ascii="Verdana" w:eastAsia="Times New Roman" w:hAnsi="Verdana" w:cs="Arial"/>
          <w:lang w:val="es-ES_tradnl" w:eastAsia="es-ES_tradnl"/>
        </w:rPr>
      </w:pPr>
      <w:r>
        <w:rPr>
          <w:rFonts w:ascii="Verdana" w:eastAsia="Times New Roman" w:hAnsi="Verdana" w:cs="Arial"/>
          <w:lang w:val="es-ES_tradnl" w:eastAsia="es-ES_tradnl"/>
        </w:rPr>
        <w:t>Ahora bien, bajo los anteriores términos, resulta necesario ahora analizar la</w:t>
      </w:r>
      <w:r w:rsidRPr="00D16A5E">
        <w:rPr>
          <w:rFonts w:ascii="Verdana" w:eastAsia="Times New Roman" w:hAnsi="Verdana" w:cs="Arial"/>
          <w:lang w:val="es-ES_tradnl" w:eastAsia="es-ES_tradnl"/>
        </w:rPr>
        <w:t xml:space="preserve"> posibilidad de enmendar, corregir o subsanar los errores en los que se incurre en los documentos contentivos de la oferta</w:t>
      </w:r>
      <w:r>
        <w:rPr>
          <w:rFonts w:ascii="Verdana" w:eastAsia="Times New Roman" w:hAnsi="Verdana" w:cs="Arial"/>
          <w:lang w:val="es-ES_tradnl" w:eastAsia="es-ES_tradnl"/>
        </w:rPr>
        <w:t xml:space="preserve">. Este tema </w:t>
      </w:r>
      <w:r w:rsidRPr="00D16A5E">
        <w:rPr>
          <w:rFonts w:ascii="Verdana" w:eastAsia="Times New Roman" w:hAnsi="Verdana" w:cs="Arial"/>
          <w:lang w:val="es-ES_tradnl" w:eastAsia="es-ES_tradnl"/>
        </w:rPr>
        <w:t>ha tenido diferentes momentos o etapas en el ordenamiento jurídico colombiano</w:t>
      </w:r>
      <w:r>
        <w:rPr>
          <w:rFonts w:ascii="Verdana" w:eastAsia="Times New Roman" w:hAnsi="Verdana" w:cs="Arial"/>
          <w:lang w:val="es-ES_tradnl" w:eastAsia="es-ES_tradnl"/>
        </w:rPr>
        <w:t>, por lo tanto,</w:t>
      </w:r>
      <w:r w:rsidRPr="00D16A5E">
        <w:rPr>
          <w:rFonts w:ascii="Verdana" w:eastAsia="Times New Roman" w:hAnsi="Verdana" w:cs="Arial"/>
          <w:lang w:val="es-ES" w:eastAsia="es-ES"/>
        </w:rPr>
        <w:t xml:space="preserve"> a continuación, se hará referencia en forma general a los antecedentes de las diferentes posturas en torno a la </w:t>
      </w:r>
      <w:proofErr w:type="spellStart"/>
      <w:r w:rsidRPr="00D16A5E">
        <w:rPr>
          <w:rFonts w:ascii="Verdana" w:eastAsia="Times New Roman" w:hAnsi="Verdana" w:cs="Arial"/>
          <w:lang w:val="es-ES" w:eastAsia="es-ES"/>
        </w:rPr>
        <w:t>subsanabilidad</w:t>
      </w:r>
      <w:proofErr w:type="spellEnd"/>
      <w:r w:rsidRPr="00D16A5E">
        <w:rPr>
          <w:rFonts w:ascii="Verdana" w:eastAsia="Times New Roman" w:hAnsi="Verdana" w:cs="Arial"/>
          <w:lang w:val="es-ES" w:eastAsia="es-ES"/>
        </w:rPr>
        <w:t xml:space="preserve">. </w:t>
      </w:r>
    </w:p>
    <w:p w14:paraId="698D134B" w14:textId="77777777" w:rsidR="00D012A1" w:rsidRPr="00D16A5E" w:rsidRDefault="00D012A1" w:rsidP="00D012A1">
      <w:pPr>
        <w:spacing w:after="0" w:line="276" w:lineRule="auto"/>
        <w:ind w:firstLine="709"/>
        <w:jc w:val="both"/>
        <w:rPr>
          <w:rFonts w:ascii="Verdana" w:eastAsia="Times New Roman" w:hAnsi="Verdana" w:cs="Arial"/>
          <w:lang w:val="es-ES" w:eastAsia="es-ES"/>
        </w:rPr>
      </w:pPr>
      <w:r w:rsidRPr="503FD619">
        <w:rPr>
          <w:rFonts w:ascii="Verdana" w:eastAsia="Times New Roman" w:hAnsi="Verdana" w:cs="Arial"/>
          <w:lang w:val="es-ES" w:eastAsia="es-ES"/>
        </w:rPr>
        <w:t xml:space="preserve">En un </w:t>
      </w:r>
      <w:r w:rsidRPr="503FD619">
        <w:rPr>
          <w:rFonts w:ascii="Verdana" w:eastAsia="Times New Roman" w:hAnsi="Verdana" w:cs="Arial"/>
          <w:i/>
          <w:lang w:val="es-ES" w:eastAsia="es-ES"/>
        </w:rPr>
        <w:t>primer momento</w:t>
      </w:r>
      <w:r w:rsidRPr="503FD619">
        <w:rPr>
          <w:rFonts w:ascii="Verdana" w:eastAsia="Times New Roman" w:hAnsi="Verdana" w:cs="Arial"/>
          <w:lang w:val="es-ES" w:eastAsia="es-ES"/>
        </w:rPr>
        <w:t xml:space="preserve"> se expidió la Ley 80 de 1993, bajo el nuevo paradigma que supuso la Constitución de 1991, particularmente en la forma como se relaciona lo formal y lo sustancial en las actuaciones judiciales y administrativas. Este cambio quedó consignado en el artículo 228, que introdujo un principio de supremacía o prevalencia del derecho sustancial sobre lo procedimental. En este nuevo escenario constitucional, el numeral 15 del artículo 25 de la Ley 80 de 1993 dispuso lo siguiente: </w:t>
      </w:r>
    </w:p>
    <w:p w14:paraId="642A1E14" w14:textId="77777777" w:rsidR="00D012A1" w:rsidRPr="00D16A5E" w:rsidRDefault="00D012A1" w:rsidP="00D012A1">
      <w:pPr>
        <w:spacing w:after="0" w:line="276" w:lineRule="auto"/>
        <w:ind w:firstLine="709"/>
        <w:jc w:val="both"/>
        <w:rPr>
          <w:rFonts w:ascii="Verdana" w:eastAsia="Times New Roman" w:hAnsi="Verdana" w:cs="Arial"/>
          <w:lang w:val="es-ES_tradnl" w:eastAsia="es-ES_tradnl"/>
        </w:rPr>
      </w:pPr>
    </w:p>
    <w:p w14:paraId="3ED0CC71" w14:textId="77777777" w:rsidR="00D012A1" w:rsidRPr="00DA349C" w:rsidRDefault="00D012A1" w:rsidP="00D012A1">
      <w:pPr>
        <w:spacing w:after="0" w:line="240" w:lineRule="auto"/>
        <w:ind w:left="709" w:right="709"/>
        <w:jc w:val="both"/>
        <w:rPr>
          <w:rFonts w:ascii="Verdana" w:eastAsia="Times New Roman" w:hAnsi="Verdana" w:cs="Arial"/>
          <w:sz w:val="20"/>
          <w:szCs w:val="20"/>
          <w:lang w:val="es-ES_tradnl" w:eastAsia="es-ES_tradnl"/>
        </w:rPr>
      </w:pPr>
      <w:r>
        <w:rPr>
          <w:rFonts w:ascii="Verdana" w:eastAsia="Times New Roman" w:hAnsi="Verdana" w:cs="Arial"/>
          <w:sz w:val="20"/>
          <w:szCs w:val="20"/>
          <w:lang w:val="es-ES_tradnl" w:eastAsia="es-ES_tradnl"/>
        </w:rPr>
        <w:t>“</w:t>
      </w:r>
      <w:r w:rsidRPr="00DA349C">
        <w:rPr>
          <w:rFonts w:ascii="Verdana" w:eastAsia="Times New Roman" w:hAnsi="Verdana" w:cs="Arial"/>
          <w:sz w:val="20"/>
          <w:szCs w:val="20"/>
          <w:lang w:val="es-ES_tradnl" w:eastAsia="es-ES_tradnl"/>
        </w:rPr>
        <w:t xml:space="preserve">15. Las autoridades no exigirán sellos, autenticaciones, documentos originales o autenticados, reconocimientos de firmas, traducciones oficiales, ni cualquier otra clase de formalidades o exigencias rituales, salvo cuando en forma perentoria y expresa lo exijan leyes especiales. </w:t>
      </w:r>
    </w:p>
    <w:p w14:paraId="6B3FE975" w14:textId="77777777" w:rsidR="00D012A1" w:rsidRPr="00DA349C" w:rsidRDefault="00D012A1" w:rsidP="00D012A1">
      <w:pPr>
        <w:spacing w:after="0" w:line="240" w:lineRule="auto"/>
        <w:ind w:left="709" w:right="709"/>
        <w:jc w:val="both"/>
        <w:rPr>
          <w:rFonts w:ascii="Verdana" w:eastAsia="Times New Roman" w:hAnsi="Verdana" w:cs="Arial"/>
          <w:sz w:val="20"/>
          <w:szCs w:val="20"/>
          <w:lang w:val="es-ES_tradnl" w:eastAsia="es-ES_tradnl"/>
        </w:rPr>
      </w:pPr>
    </w:p>
    <w:p w14:paraId="0DEC289D" w14:textId="77777777" w:rsidR="00D012A1" w:rsidRPr="00DA349C" w:rsidRDefault="00D012A1" w:rsidP="00D012A1">
      <w:pPr>
        <w:spacing w:after="0" w:line="240" w:lineRule="auto"/>
        <w:ind w:left="709" w:right="709"/>
        <w:jc w:val="both"/>
        <w:rPr>
          <w:rFonts w:ascii="Verdana" w:eastAsia="Times New Roman" w:hAnsi="Verdana" w:cs="Arial"/>
          <w:sz w:val="20"/>
          <w:szCs w:val="20"/>
          <w:lang w:val="es-ES_tradnl" w:eastAsia="es-ES_tradnl"/>
        </w:rPr>
      </w:pPr>
      <w:r w:rsidRPr="00DA349C">
        <w:rPr>
          <w:rFonts w:ascii="Verdana" w:eastAsia="Times New Roman" w:hAnsi="Verdana" w:cs="Arial"/>
          <w:sz w:val="20"/>
          <w:szCs w:val="20"/>
          <w:lang w:val="es-ES_tradnl" w:eastAsia="es-ES_tradnl"/>
        </w:rPr>
        <w:t>La ausencia de requisitos o la falta de documentos referentes a la futura contratación o al proponente, no necesarios para la comparación de propuestas, no servirá de título suficiente para el rechazo de los ofrecimientos hechos</w:t>
      </w:r>
      <w:r>
        <w:rPr>
          <w:rFonts w:ascii="Verdana" w:eastAsia="Times New Roman" w:hAnsi="Verdana" w:cs="Arial"/>
          <w:sz w:val="20"/>
          <w:szCs w:val="20"/>
          <w:lang w:val="es-ES_tradnl" w:eastAsia="es-ES_tradnl"/>
        </w:rPr>
        <w:t>”</w:t>
      </w:r>
      <w:r w:rsidRPr="00DA349C">
        <w:rPr>
          <w:rFonts w:ascii="Verdana" w:eastAsia="Times New Roman" w:hAnsi="Verdana" w:cs="Arial"/>
          <w:sz w:val="20"/>
          <w:szCs w:val="20"/>
          <w:lang w:val="es-ES_tradnl" w:eastAsia="es-ES_tradnl"/>
        </w:rPr>
        <w:t xml:space="preserve">. </w:t>
      </w:r>
    </w:p>
    <w:p w14:paraId="37DED34C" w14:textId="77777777" w:rsidR="00D012A1" w:rsidRPr="00D16A5E" w:rsidRDefault="00D012A1" w:rsidP="00D012A1">
      <w:pPr>
        <w:spacing w:after="0" w:line="276" w:lineRule="auto"/>
        <w:ind w:left="709" w:right="709"/>
        <w:jc w:val="both"/>
        <w:rPr>
          <w:rFonts w:ascii="Verdana" w:eastAsia="Times New Roman" w:hAnsi="Verdana" w:cs="Arial"/>
          <w:lang w:val="es-ES_tradnl" w:eastAsia="es-ES_tradnl"/>
        </w:rPr>
      </w:pPr>
    </w:p>
    <w:p w14:paraId="7A5CD04A" w14:textId="77777777" w:rsidR="00D012A1" w:rsidRPr="00D16A5E" w:rsidRDefault="00D012A1" w:rsidP="00D012A1">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Bajo el amparo de esta norma, el régimen jurídico de </w:t>
      </w:r>
      <w:proofErr w:type="spellStart"/>
      <w:r w:rsidRPr="00D16A5E">
        <w:rPr>
          <w:rFonts w:ascii="Verdana" w:eastAsia="Times New Roman" w:hAnsi="Verdana" w:cs="Arial"/>
          <w:lang w:val="es-ES" w:eastAsia="es-ES"/>
        </w:rPr>
        <w:t>subsanabilidad</w:t>
      </w:r>
      <w:proofErr w:type="spellEnd"/>
      <w:r w:rsidRPr="00D16A5E">
        <w:rPr>
          <w:rFonts w:ascii="Verdana" w:eastAsia="Times New Roman" w:hAnsi="Verdana" w:cs="Arial"/>
          <w:lang w:val="es-ES" w:eastAsia="es-ES"/>
        </w:rPr>
        <w:t xml:space="preserve"> de las ofertas sufre un cambio fundamental, pues ya no era posible rechazar las ofertas por falta de requisitos o documentos que no fueran “</w:t>
      </w:r>
      <w:r w:rsidRPr="00D16A5E">
        <w:rPr>
          <w:rFonts w:ascii="Verdana" w:eastAsia="Times New Roman" w:hAnsi="Verdana" w:cs="Arial"/>
          <w:i/>
          <w:lang w:val="es-ES" w:eastAsia="es-ES"/>
        </w:rPr>
        <w:t>necesarios para la comparación de propuestas”.</w:t>
      </w:r>
      <w:r w:rsidRPr="00D16A5E">
        <w:rPr>
          <w:rFonts w:ascii="Verdana" w:eastAsia="Times New Roman" w:hAnsi="Verdana" w:cs="Arial"/>
          <w:lang w:val="es-ES" w:eastAsia="es-ES"/>
        </w:rPr>
        <w:t xml:space="preserve"> De esta manera, la ley introdujo un primer criterio jurídico, aunque indeterminado, que servía como punto de partida en la posibilidad de subsanar las ofertas, pues, verificada la ausencia de un requisito o documento, previo al rechazo de la oferta, la Administración debía constatar si este era o no necesario para la comparación de las propuestas y de ese análisis surgiría la decisión sobre su rechazo o la oportunidad de subsanar. </w:t>
      </w:r>
    </w:p>
    <w:p w14:paraId="55AFA43D" w14:textId="77777777" w:rsidR="00D012A1" w:rsidRPr="00D16A5E" w:rsidRDefault="00D012A1" w:rsidP="00D012A1">
      <w:pPr>
        <w:spacing w:after="12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lastRenderedPageBreak/>
        <w:t>Esta norma debía leerse en conjunto con otras de la Ley 80 de 1993, particularmente con el artículo 30.7</w:t>
      </w:r>
      <w:r w:rsidRPr="00D16A5E">
        <w:rPr>
          <w:rFonts w:ascii="Verdana" w:eastAsia="Times New Roman" w:hAnsi="Verdana" w:cs="Arial"/>
          <w:vertAlign w:val="superscript"/>
          <w:lang w:val="es-ES_tradnl" w:eastAsia="es-ES_tradnl"/>
        </w:rPr>
        <w:footnoteReference w:id="11"/>
      </w:r>
      <w:r w:rsidRPr="00D16A5E">
        <w:rPr>
          <w:rFonts w:ascii="Verdana" w:eastAsia="Times New Roman" w:hAnsi="Verdana" w:cs="Arial"/>
          <w:lang w:val="es-ES_tradnl" w:eastAsia="es-ES_tradnl"/>
        </w:rPr>
        <w:t>, que ordena a la entidad señalar un plazo razonable para evaluar las propuestas y para pedir a los proponentes, de ser necesario, que aclaren o expliquen aspectos que ofrezcan dudas y resulten indispensables para llevar a cabo la evaluación</w:t>
      </w:r>
      <w:r>
        <w:rPr>
          <w:rFonts w:ascii="Verdana" w:eastAsia="Times New Roman" w:hAnsi="Verdana" w:cs="Arial"/>
          <w:lang w:val="es-ES_tradnl" w:eastAsia="es-ES_tradnl"/>
        </w:rPr>
        <w:t xml:space="preserve">. Así mimos, </w:t>
      </w:r>
      <w:r w:rsidRPr="00D16A5E">
        <w:rPr>
          <w:rFonts w:ascii="Verdana" w:eastAsia="Times New Roman" w:hAnsi="Verdana" w:cs="Arial"/>
          <w:lang w:val="es-ES_tradnl" w:eastAsia="es-ES_tradnl"/>
        </w:rPr>
        <w:t>con el artículo 30.8</w:t>
      </w:r>
      <w:r w:rsidRPr="00D16A5E">
        <w:rPr>
          <w:rFonts w:ascii="Verdana" w:eastAsia="Times New Roman" w:hAnsi="Verdana" w:cs="Arial"/>
          <w:vertAlign w:val="superscript"/>
          <w:lang w:val="es-ES_tradnl" w:eastAsia="es-ES_tradnl"/>
        </w:rPr>
        <w:footnoteReference w:id="12"/>
      </w:r>
      <w:r w:rsidRPr="00D16A5E">
        <w:rPr>
          <w:rFonts w:ascii="Verdana" w:eastAsia="Times New Roman" w:hAnsi="Verdana" w:cs="Arial"/>
          <w:lang w:val="es-ES_tradnl" w:eastAsia="es-ES_tradnl"/>
        </w:rPr>
        <w:t xml:space="preserve">, que consagró el término de </w:t>
      </w:r>
      <w:r>
        <w:rPr>
          <w:rFonts w:ascii="Verdana" w:eastAsia="Times New Roman" w:hAnsi="Verdana" w:cs="Arial"/>
          <w:lang w:val="es-ES_tradnl" w:eastAsia="es-ES_tradnl"/>
        </w:rPr>
        <w:t>cinco (</w:t>
      </w:r>
      <w:r w:rsidRPr="00D16A5E">
        <w:rPr>
          <w:rFonts w:ascii="Verdana" w:eastAsia="Times New Roman" w:hAnsi="Verdana" w:cs="Arial"/>
          <w:lang w:val="es-ES_tradnl" w:eastAsia="es-ES_tradnl"/>
        </w:rPr>
        <w:t>5</w:t>
      </w:r>
      <w:r>
        <w:rPr>
          <w:rFonts w:ascii="Verdana" w:eastAsia="Times New Roman" w:hAnsi="Verdana" w:cs="Arial"/>
          <w:lang w:val="es-ES_tradnl" w:eastAsia="es-ES_tradnl"/>
        </w:rPr>
        <w:t>)</w:t>
      </w:r>
      <w:r w:rsidRPr="00D16A5E">
        <w:rPr>
          <w:rFonts w:ascii="Verdana" w:eastAsia="Times New Roman" w:hAnsi="Verdana" w:cs="Arial"/>
          <w:lang w:val="es-ES_tradnl" w:eastAsia="es-ES_tradnl"/>
        </w:rPr>
        <w:t xml:space="preserve"> días hábiles para que los oferentes presenten observaciones al informe de evaluación de las propuestas, sin que sea posible completar, adicionar, modificar o mejorar su oferta.  </w:t>
      </w:r>
    </w:p>
    <w:p w14:paraId="4E3C8DA7" w14:textId="77777777" w:rsidR="00D012A1" w:rsidRPr="00D16A5E" w:rsidRDefault="00D012A1" w:rsidP="00D012A1">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A partir de la lectura integrada de estas tres normas debía concluirse que con la Ley 80 de 1993 era posible subsanar las propuestas, y la omisión o el error en algún aspecto de esta no podía llevar a su rechazo, sin antes verificar que lo omitido fuera un aspecto necesario para la comparación. </w:t>
      </w:r>
    </w:p>
    <w:p w14:paraId="0413232D" w14:textId="77777777" w:rsidR="00D012A1" w:rsidRPr="00D16A5E" w:rsidRDefault="00D012A1" w:rsidP="00D012A1">
      <w:pPr>
        <w:spacing w:after="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 xml:space="preserve">En un </w:t>
      </w:r>
      <w:r>
        <w:rPr>
          <w:rFonts w:ascii="Verdana" w:eastAsia="Times New Roman" w:hAnsi="Verdana" w:cs="Arial"/>
          <w:i/>
          <w:lang w:val="es-ES_tradnl" w:eastAsia="es-ES_tradnl"/>
        </w:rPr>
        <w:t>segundo</w:t>
      </w:r>
      <w:r w:rsidRPr="00D16A5E">
        <w:rPr>
          <w:rFonts w:ascii="Verdana" w:eastAsia="Times New Roman" w:hAnsi="Verdana" w:cs="Arial"/>
          <w:i/>
          <w:lang w:val="es-ES_tradnl" w:eastAsia="es-ES_tradnl"/>
        </w:rPr>
        <w:t xml:space="preserve"> momento</w:t>
      </w:r>
      <w:r w:rsidRPr="00D16A5E">
        <w:rPr>
          <w:rFonts w:ascii="Verdana" w:eastAsia="Times New Roman" w:hAnsi="Verdana" w:cs="Arial"/>
          <w:lang w:val="es-ES_tradnl" w:eastAsia="es-ES_tradnl"/>
        </w:rPr>
        <w:t xml:space="preserve">, siguiendo la línea trazada por la Ley 80 de 1993, el legislador expidió la Ley 1150 de 2007, que, en el parágrafo 1º del artículo 5, determinó lo siguiente: </w:t>
      </w:r>
    </w:p>
    <w:p w14:paraId="6D393137" w14:textId="77777777" w:rsidR="00D012A1" w:rsidRPr="00462445" w:rsidRDefault="00D012A1" w:rsidP="00D012A1">
      <w:pPr>
        <w:spacing w:after="0" w:line="276" w:lineRule="auto"/>
        <w:ind w:left="709" w:right="709"/>
        <w:jc w:val="both"/>
        <w:rPr>
          <w:rFonts w:ascii="Verdana" w:eastAsia="Times New Roman" w:hAnsi="Verdana" w:cs="Arial"/>
          <w:lang w:val="es-ES" w:eastAsia="es-ES"/>
        </w:rPr>
      </w:pPr>
    </w:p>
    <w:p w14:paraId="4621E9D7" w14:textId="77777777" w:rsidR="00D012A1" w:rsidRDefault="00D012A1" w:rsidP="00D012A1">
      <w:pPr>
        <w:spacing w:after="0" w:line="240" w:lineRule="auto"/>
        <w:ind w:left="709" w:right="709"/>
        <w:jc w:val="both"/>
        <w:rPr>
          <w:rFonts w:ascii="Verdana" w:eastAsia="Times New Roman" w:hAnsi="Verdana" w:cs="Arial"/>
          <w:sz w:val="20"/>
          <w:szCs w:val="20"/>
          <w:lang w:val="es-ES" w:eastAsia="es-ES"/>
        </w:rPr>
      </w:pPr>
      <w:r>
        <w:rPr>
          <w:rFonts w:ascii="Verdana" w:eastAsia="Times New Roman" w:hAnsi="Verdana" w:cs="Arial"/>
          <w:sz w:val="20"/>
          <w:szCs w:val="20"/>
          <w:lang w:val="es-ES" w:eastAsia="es-ES"/>
        </w:rPr>
        <w:t>“</w:t>
      </w:r>
      <w:r w:rsidRPr="00462445">
        <w:rPr>
          <w:rFonts w:ascii="Verdana" w:eastAsia="Times New Roman" w:hAnsi="Verdana" w:cs="Arial"/>
          <w:sz w:val="20"/>
          <w:szCs w:val="20"/>
          <w:lang w:val="es-ES" w:eastAsia="es-ES"/>
        </w:rPr>
        <w:t xml:space="preserve">Parágrafo 1°.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podrán ser solicitados por las entidades en cualquier momento, hasta la adjudicación. No </w:t>
      </w:r>
      <w:proofErr w:type="gramStart"/>
      <w:r w:rsidRPr="00462445">
        <w:rPr>
          <w:rFonts w:ascii="Verdana" w:eastAsia="Times New Roman" w:hAnsi="Verdana" w:cs="Arial"/>
          <w:sz w:val="20"/>
          <w:szCs w:val="20"/>
          <w:lang w:val="es-ES" w:eastAsia="es-ES"/>
        </w:rPr>
        <w:t>obstante</w:t>
      </w:r>
      <w:proofErr w:type="gramEnd"/>
      <w:r w:rsidRPr="00462445">
        <w:rPr>
          <w:rFonts w:ascii="Verdana" w:eastAsia="Times New Roman" w:hAnsi="Verdana" w:cs="Arial"/>
          <w:sz w:val="20"/>
          <w:szCs w:val="20"/>
          <w:lang w:val="es-ES" w:eastAsia="es-ES"/>
        </w:rPr>
        <w:t xml:space="preserve"> lo anterior, en aquellos procesos de selección en los que se utilice el mecanismo de subasta, deberán ser solicitados hasta el momento previo a su realización</w:t>
      </w:r>
      <w:r>
        <w:rPr>
          <w:rFonts w:ascii="Verdana" w:eastAsia="Times New Roman" w:hAnsi="Verdana" w:cs="Arial"/>
          <w:sz w:val="20"/>
          <w:szCs w:val="20"/>
          <w:lang w:val="es-ES" w:eastAsia="es-ES"/>
        </w:rPr>
        <w:t>”</w:t>
      </w:r>
      <w:r w:rsidRPr="00462445">
        <w:rPr>
          <w:rFonts w:ascii="Verdana" w:eastAsia="Times New Roman" w:hAnsi="Verdana" w:cs="Arial"/>
          <w:sz w:val="20"/>
          <w:szCs w:val="20"/>
          <w:lang w:val="es-ES" w:eastAsia="es-ES"/>
        </w:rPr>
        <w:t xml:space="preserve">. </w:t>
      </w:r>
    </w:p>
    <w:p w14:paraId="1E14B573" w14:textId="77777777" w:rsidR="00D012A1" w:rsidRPr="00462445" w:rsidRDefault="00D012A1" w:rsidP="00D012A1">
      <w:pPr>
        <w:spacing w:after="0" w:line="276" w:lineRule="auto"/>
        <w:ind w:left="709" w:right="709"/>
        <w:jc w:val="both"/>
        <w:rPr>
          <w:rFonts w:ascii="Verdana" w:eastAsia="Times New Roman" w:hAnsi="Verdana" w:cs="Arial"/>
          <w:lang w:val="es-ES" w:eastAsia="es-ES"/>
        </w:rPr>
      </w:pPr>
    </w:p>
    <w:p w14:paraId="1B81B62D" w14:textId="77777777" w:rsidR="00D012A1" w:rsidRPr="00D16A5E" w:rsidRDefault="00D012A1" w:rsidP="00D012A1">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Nótese que esta norma reitera lo que dispuso la Ley 80 de 1993, en el sentido de que los requisitos o documentos que no sean necesarios para la comparación de las ofertas pueden subsanarse, pero además la Ley 1150 de 2007 introdujo otro criterio que le dio mayor claridad al tema: la asignación de puntaje. </w:t>
      </w:r>
    </w:p>
    <w:p w14:paraId="5A369511" w14:textId="77777777" w:rsidR="00D012A1" w:rsidRPr="00D16A5E" w:rsidRDefault="00D012A1" w:rsidP="00D012A1">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lastRenderedPageBreak/>
        <w:t>A partir de la Ley 1150 de 2007</w:t>
      </w:r>
      <w:r>
        <w:rPr>
          <w:rFonts w:ascii="Verdana" w:eastAsia="Times New Roman" w:hAnsi="Verdana" w:cs="Arial"/>
          <w:lang w:val="es-ES" w:eastAsia="es-ES"/>
        </w:rPr>
        <w:t>,</w:t>
      </w:r>
      <w:r w:rsidRPr="00D16A5E">
        <w:rPr>
          <w:rFonts w:ascii="Verdana" w:eastAsia="Times New Roman" w:hAnsi="Verdana" w:cs="Arial"/>
          <w:lang w:val="es-ES" w:eastAsia="es-ES"/>
        </w:rPr>
        <w:t xml:space="preserve"> la Administración contó con un criterio más claro y determinado para saber si la ausencia de documentos o requisitos de la oferta conlleva a su rechazo o al requerimiento del proponente para que lo subsane, pues bastará con un simple ejercicio de verificación que consiste en corroborar si lo omitido hace parte de los aspectos que otorgan puntaje o no. Si la Administración encuentra que lo omitido por el proponente es un aspecto que otorga puntaje, no es posible subsanarlo; pero, si lo omitido no otorga puntaje, la Administración debe requerir al proponente para que lo subsane.  </w:t>
      </w:r>
    </w:p>
    <w:p w14:paraId="7B019A45" w14:textId="77777777" w:rsidR="00D012A1" w:rsidRPr="00D16A5E" w:rsidRDefault="00D012A1" w:rsidP="00D012A1">
      <w:pPr>
        <w:spacing w:after="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 xml:space="preserve">El artículo 5 de la Ley 1150 de 2007, además de consagrar un criterio más claro, y, de paso, reducir la discrecionalidad de la Administración, fijó un ámbito temporal para que las entidades requirieran la subsanación de las ofertas: “en cualquier momento, hasta la adjudicación”. El Consejo de Estado, con particular sindéresis, concluyó que a partir del parágrafo 1º del artículo 5 de la Ley 1150, la definición de lo que es subsanable y lo que no lo es surge a partir del planteamiento de la pregunta sobre si el defecto asigna puntaje o no, en estos términos: </w:t>
      </w:r>
    </w:p>
    <w:p w14:paraId="078834E4" w14:textId="77777777" w:rsidR="00D012A1" w:rsidRPr="00D16A5E" w:rsidRDefault="00D012A1" w:rsidP="00D012A1">
      <w:pPr>
        <w:spacing w:after="0" w:line="276" w:lineRule="auto"/>
        <w:ind w:firstLine="709"/>
        <w:jc w:val="both"/>
        <w:rPr>
          <w:rFonts w:ascii="Verdana" w:eastAsia="Times New Roman" w:hAnsi="Verdana" w:cs="Arial"/>
          <w:lang w:val="es-ES_tradnl" w:eastAsia="es-ES_tradnl"/>
        </w:rPr>
      </w:pPr>
    </w:p>
    <w:p w14:paraId="0F61D0FE" w14:textId="77777777" w:rsidR="00D012A1" w:rsidRPr="00932B24" w:rsidRDefault="00D012A1" w:rsidP="00D012A1">
      <w:pPr>
        <w:spacing w:after="0" w:line="240" w:lineRule="auto"/>
        <w:ind w:left="709" w:right="709"/>
        <w:jc w:val="both"/>
        <w:rPr>
          <w:rFonts w:ascii="Verdana" w:eastAsia="Times New Roman" w:hAnsi="Verdana" w:cs="Arial"/>
          <w:sz w:val="20"/>
          <w:szCs w:val="20"/>
          <w:lang w:val="es-ES" w:eastAsia="es-ES"/>
        </w:rPr>
      </w:pPr>
      <w:r>
        <w:rPr>
          <w:rFonts w:ascii="Verdana" w:eastAsia="Times New Roman" w:hAnsi="Verdana" w:cs="Arial"/>
          <w:sz w:val="20"/>
          <w:szCs w:val="20"/>
          <w:lang w:val="es-ES" w:eastAsia="es-ES"/>
        </w:rPr>
        <w:t>“</w:t>
      </w:r>
      <w:r w:rsidRPr="00932B24">
        <w:rPr>
          <w:rFonts w:ascii="Verdana" w:eastAsia="Times New Roman" w:hAnsi="Verdana" w:cs="Arial"/>
          <w:sz w:val="20"/>
          <w:szCs w:val="20"/>
          <w:lang w:val="es-ES" w:eastAsia="es-ES"/>
        </w:rPr>
        <w:t>Esto significa que en adelante las entidades y los oferentes aplican directamente la regla que contempla el art. 5, parágrafo, de la Ley 1150, de manera que lo subsanable o insubsanable se define a partir de una pregunta, que se le formula a cada requisito omitido o cumplido imperfectamente: ¿el defecto asigna puntaje al oferente? Si lo hace no es subsanable, si no lo hace es subsanable; en el último evento la entidad le solicitará al oferente que satisfaga la deficiencia, para poner su oferta en condiciones de ser evaluada, y no importa si se refiere o no a problemas de capacidad o a requisitos cumplidos antes o después de presentadas las ofertas, con la condición de que cuando le pidan la acreditación la satisfaga suficientemente</w:t>
      </w:r>
      <w:r>
        <w:rPr>
          <w:rFonts w:ascii="Verdana" w:eastAsia="Times New Roman" w:hAnsi="Verdana" w:cs="Arial"/>
          <w:sz w:val="20"/>
          <w:szCs w:val="20"/>
          <w:lang w:val="es-ES" w:eastAsia="es-ES"/>
        </w:rPr>
        <w:t>”</w:t>
      </w:r>
      <w:r w:rsidRPr="00932B24">
        <w:rPr>
          <w:rFonts w:ascii="Verdana" w:eastAsia="Times New Roman" w:hAnsi="Verdana" w:cs="Arial"/>
          <w:sz w:val="20"/>
          <w:szCs w:val="20"/>
          <w:vertAlign w:val="superscript"/>
          <w:lang w:val="es-ES" w:eastAsia="es-ES"/>
        </w:rPr>
        <w:footnoteReference w:id="13"/>
      </w:r>
      <w:r w:rsidRPr="00932B24">
        <w:rPr>
          <w:rFonts w:ascii="Verdana" w:eastAsia="Times New Roman" w:hAnsi="Verdana" w:cs="Arial"/>
          <w:sz w:val="20"/>
          <w:szCs w:val="20"/>
          <w:lang w:val="es-ES" w:eastAsia="es-ES"/>
        </w:rPr>
        <w:t>.</w:t>
      </w:r>
    </w:p>
    <w:p w14:paraId="369B62A9" w14:textId="77777777" w:rsidR="00D012A1" w:rsidRPr="00932B24" w:rsidRDefault="00D012A1" w:rsidP="00D012A1">
      <w:pPr>
        <w:spacing w:after="0" w:line="276" w:lineRule="auto"/>
        <w:ind w:left="709" w:right="709"/>
        <w:jc w:val="both"/>
        <w:rPr>
          <w:rFonts w:ascii="Verdana" w:eastAsia="Times New Roman" w:hAnsi="Verdana" w:cs="Arial"/>
          <w:lang w:val="es-ES" w:eastAsia="es-ES_tradnl"/>
        </w:rPr>
      </w:pPr>
    </w:p>
    <w:p w14:paraId="0224C4B1" w14:textId="77777777" w:rsidR="00D012A1" w:rsidRPr="00D16A5E" w:rsidRDefault="00D012A1" w:rsidP="00D012A1">
      <w:pPr>
        <w:tabs>
          <w:tab w:val="left" w:pos="284"/>
        </w:tabs>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Esa interpretación fue compartida por la </w:t>
      </w:r>
      <w:r w:rsidRPr="00D16A5E">
        <w:rPr>
          <w:rFonts w:ascii="Verdana" w:eastAsia="Times New Roman" w:hAnsi="Verdana" w:cs="Arial"/>
          <w:lang w:val="es-ES" w:eastAsia="es-CO"/>
        </w:rPr>
        <w:t>Agencia Nacional de Contratación Pública – Colombia Compra Eficiente</w:t>
      </w:r>
      <w:r w:rsidRPr="00D16A5E">
        <w:rPr>
          <w:rFonts w:ascii="Verdana" w:eastAsia="Times New Roman" w:hAnsi="Verdana" w:cs="Arial"/>
          <w:lang w:val="es-ES" w:eastAsia="es-ES"/>
        </w:rPr>
        <w:t>, pues en la Circular Externa Única se precisó que</w:t>
      </w:r>
      <w:r>
        <w:rPr>
          <w:rFonts w:ascii="Verdana" w:eastAsia="Times New Roman" w:hAnsi="Verdana" w:cs="Arial"/>
          <w:lang w:val="es-ES" w:eastAsia="es-ES"/>
        </w:rPr>
        <w:t>,</w:t>
      </w:r>
      <w:r w:rsidRPr="00D16A5E">
        <w:rPr>
          <w:rFonts w:ascii="Verdana" w:eastAsia="Times New Roman" w:hAnsi="Verdana" w:cs="Arial"/>
          <w:lang w:val="es-ES" w:eastAsia="es-ES"/>
        </w:rPr>
        <w:t xml:space="preserve"> si durante un Proceso de Contratación hay proponentes que no acreditaron en sus ofertas requisitos que no afectan la asignación de puntaje o la comparación de las mismas, la Entidad Estatal deberá indicarlo en el informe de evaluación y advertir que la correspondiente oferta puede ser subsanada.</w:t>
      </w:r>
    </w:p>
    <w:p w14:paraId="579A5EDD" w14:textId="77777777" w:rsidR="00D012A1" w:rsidRPr="00D16A5E" w:rsidRDefault="00D012A1" w:rsidP="00D012A1">
      <w:pPr>
        <w:tabs>
          <w:tab w:val="left" w:pos="284"/>
        </w:tabs>
        <w:spacing w:after="0" w:line="276" w:lineRule="auto"/>
        <w:ind w:firstLine="709"/>
        <w:jc w:val="both"/>
        <w:rPr>
          <w:rFonts w:ascii="Verdana" w:eastAsia="Times New Roman" w:hAnsi="Verdana" w:cs="Arial"/>
          <w:lang w:val="es-ES_tradnl" w:eastAsia="es-CO"/>
        </w:rPr>
      </w:pPr>
      <w:r w:rsidRPr="00D16A5E">
        <w:rPr>
          <w:rFonts w:ascii="Verdana" w:eastAsia="Times New Roman" w:hAnsi="Verdana" w:cs="Arial"/>
          <w:lang w:val="es-ES_tradnl" w:eastAsia="es-CO"/>
        </w:rPr>
        <w:lastRenderedPageBreak/>
        <w:t xml:space="preserve">Finalmente, en un </w:t>
      </w:r>
      <w:r>
        <w:rPr>
          <w:rFonts w:ascii="Verdana" w:eastAsia="Times New Roman" w:hAnsi="Verdana" w:cs="Arial"/>
          <w:i/>
          <w:lang w:val="es-ES_tradnl" w:eastAsia="es-CO"/>
        </w:rPr>
        <w:t>tercer</w:t>
      </w:r>
      <w:r w:rsidRPr="00D16A5E">
        <w:rPr>
          <w:rFonts w:ascii="Verdana" w:eastAsia="Times New Roman" w:hAnsi="Verdana" w:cs="Arial"/>
          <w:i/>
          <w:lang w:val="es-ES_tradnl" w:eastAsia="es-CO"/>
        </w:rPr>
        <w:t xml:space="preserve"> momento</w:t>
      </w:r>
      <w:r w:rsidRPr="00D16A5E">
        <w:rPr>
          <w:rFonts w:ascii="Verdana" w:eastAsia="Times New Roman" w:hAnsi="Verdana" w:cs="Arial"/>
          <w:lang w:val="es-ES_tradnl" w:eastAsia="es-CO"/>
        </w:rPr>
        <w:t xml:space="preserve">, el legislador expidió la Ley 1882 de 2018, con la finalidad de introducir cambios y ajustes para fortalecer la contratación pública. El artículo 5 modificó el parágrafo 1º y adicionó algunos otros, entre ellos el </w:t>
      </w:r>
      <w:r>
        <w:rPr>
          <w:rFonts w:ascii="Verdana" w:eastAsia="Times New Roman" w:hAnsi="Verdana" w:cs="Arial"/>
          <w:lang w:val="es-ES_tradnl" w:eastAsia="es-CO"/>
        </w:rPr>
        <w:t>3</w:t>
      </w:r>
      <w:r w:rsidRPr="00D16A5E">
        <w:rPr>
          <w:rFonts w:ascii="Verdana" w:eastAsia="Times New Roman" w:hAnsi="Verdana" w:cs="Arial"/>
          <w:lang w:val="es-ES_tradnl" w:eastAsia="es-CO"/>
        </w:rPr>
        <w:t>°</w:t>
      </w:r>
      <w:r>
        <w:rPr>
          <w:rFonts w:ascii="Verdana" w:eastAsia="Times New Roman" w:hAnsi="Verdana" w:cs="Arial"/>
          <w:lang w:val="es-ES_tradnl" w:eastAsia="es-CO"/>
        </w:rPr>
        <w:t xml:space="preserve"> y </w:t>
      </w:r>
      <w:r w:rsidRPr="00D16A5E">
        <w:rPr>
          <w:rFonts w:ascii="Verdana" w:eastAsia="Times New Roman" w:hAnsi="Verdana" w:cs="Arial"/>
          <w:lang w:val="es-ES_tradnl" w:eastAsia="es-CO"/>
        </w:rPr>
        <w:t xml:space="preserve">4° del artículo 5 de la Ley 1150 de 2007: </w:t>
      </w:r>
    </w:p>
    <w:p w14:paraId="583636B4" w14:textId="77777777" w:rsidR="00D012A1" w:rsidRPr="000D2E9F" w:rsidRDefault="00D012A1" w:rsidP="00D012A1">
      <w:pPr>
        <w:spacing w:after="0" w:line="276" w:lineRule="auto"/>
        <w:ind w:left="709" w:right="709"/>
        <w:jc w:val="both"/>
        <w:rPr>
          <w:rFonts w:ascii="Verdana" w:eastAsia="Times New Roman" w:hAnsi="Verdana" w:cs="Arial"/>
          <w:lang w:val="es-ES_tradnl" w:eastAsia="es-CO"/>
        </w:rPr>
      </w:pPr>
    </w:p>
    <w:p w14:paraId="32DD6FE2" w14:textId="77777777" w:rsidR="00D012A1" w:rsidRPr="00556BC7" w:rsidRDefault="00D012A1" w:rsidP="00D012A1">
      <w:pPr>
        <w:spacing w:after="0" w:line="240" w:lineRule="auto"/>
        <w:ind w:left="709" w:right="709"/>
        <w:jc w:val="both"/>
        <w:rPr>
          <w:rFonts w:ascii="Verdana" w:eastAsia="Times New Roman" w:hAnsi="Verdana" w:cs="Arial"/>
          <w:sz w:val="20"/>
          <w:szCs w:val="20"/>
          <w:lang w:val="es-ES_tradnl" w:eastAsia="es-CO"/>
        </w:rPr>
      </w:pPr>
      <w:r>
        <w:rPr>
          <w:rFonts w:ascii="Verdana" w:eastAsia="Times New Roman" w:hAnsi="Verdana" w:cs="Arial"/>
          <w:sz w:val="20"/>
          <w:szCs w:val="20"/>
          <w:lang w:val="es-ES_tradnl" w:eastAsia="es-CO"/>
        </w:rPr>
        <w:t>“</w:t>
      </w:r>
      <w:r w:rsidRPr="00556BC7">
        <w:rPr>
          <w:rFonts w:ascii="Verdana" w:eastAsia="Times New Roman" w:hAnsi="Verdana" w:cs="Arial"/>
          <w:sz w:val="20"/>
          <w:szCs w:val="20"/>
          <w:lang w:val="es-ES_tradnl" w:eastAsia="es-CO"/>
        </w:rPr>
        <w:t xml:space="preserve">Artículo 5°. De la selección objetiva. </w:t>
      </w:r>
    </w:p>
    <w:p w14:paraId="7419F86E" w14:textId="77777777" w:rsidR="00D012A1" w:rsidRDefault="00D012A1" w:rsidP="00D012A1">
      <w:pPr>
        <w:pStyle w:val="paragraph"/>
        <w:spacing w:before="0" w:beforeAutospacing="0" w:after="0" w:afterAutospacing="0"/>
        <w:ind w:left="709" w:right="709"/>
        <w:jc w:val="both"/>
        <w:textAlignment w:val="baseline"/>
        <w:rPr>
          <w:rStyle w:val="normaltextrun"/>
          <w:rFonts w:ascii="Verdana" w:hAnsi="Verdana" w:cs="Arial"/>
          <w:color w:val="000000"/>
          <w:sz w:val="20"/>
          <w:szCs w:val="20"/>
          <w:lang w:val="es-ES"/>
        </w:rPr>
      </w:pPr>
    </w:p>
    <w:p w14:paraId="235C912B" w14:textId="77777777" w:rsidR="00D012A1" w:rsidRPr="00556BC7" w:rsidRDefault="00D012A1" w:rsidP="00D012A1">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r w:rsidRPr="00556BC7">
        <w:rPr>
          <w:rStyle w:val="eop"/>
          <w:rFonts w:ascii="Verdana" w:hAnsi="Verdana" w:cs="Arial"/>
          <w:color w:val="000000"/>
          <w:sz w:val="20"/>
          <w:szCs w:val="20"/>
        </w:rPr>
        <w:t> </w:t>
      </w:r>
    </w:p>
    <w:p w14:paraId="3139E62E" w14:textId="77777777" w:rsidR="00D012A1" w:rsidRPr="00556BC7" w:rsidRDefault="00D012A1" w:rsidP="00D012A1">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15403819" w14:textId="77777777" w:rsidR="00D012A1" w:rsidRPr="00556BC7" w:rsidRDefault="00D012A1" w:rsidP="00D012A1">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r w:rsidRPr="00556BC7">
        <w:rPr>
          <w:rStyle w:val="eop"/>
          <w:rFonts w:ascii="Verdana" w:hAnsi="Verdana" w:cs="Arial"/>
          <w:color w:val="000000"/>
          <w:sz w:val="20"/>
          <w:szCs w:val="20"/>
        </w:rPr>
        <w:t> </w:t>
      </w:r>
    </w:p>
    <w:p w14:paraId="5BB4D233" w14:textId="77777777" w:rsidR="00D012A1" w:rsidRPr="00556BC7" w:rsidRDefault="00D012A1" w:rsidP="00D012A1">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42F0D46E" w14:textId="77777777" w:rsidR="00D012A1" w:rsidRPr="00556BC7" w:rsidRDefault="00D012A1" w:rsidP="00D012A1">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2. &lt;Numeral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r w:rsidRPr="00556BC7">
        <w:rPr>
          <w:rStyle w:val="eop"/>
          <w:rFonts w:ascii="Verdana" w:hAnsi="Verdana" w:cs="Arial"/>
          <w:color w:val="000000"/>
          <w:sz w:val="20"/>
          <w:szCs w:val="20"/>
        </w:rPr>
        <w:t> </w:t>
      </w:r>
    </w:p>
    <w:p w14:paraId="2C125B00" w14:textId="77777777" w:rsidR="00D012A1" w:rsidRPr="00556BC7" w:rsidRDefault="00D012A1" w:rsidP="00D012A1">
      <w:pPr>
        <w:pStyle w:val="paragraph"/>
        <w:spacing w:before="0" w:beforeAutospacing="0" w:after="0" w:afterAutospacing="0"/>
        <w:ind w:left="709" w:right="709"/>
        <w:jc w:val="both"/>
        <w:textAlignment w:val="baseline"/>
        <w:rPr>
          <w:rFonts w:ascii="Verdana" w:hAnsi="Verdana" w:cs="Segoe UI"/>
          <w:sz w:val="20"/>
          <w:szCs w:val="20"/>
        </w:rPr>
      </w:pPr>
    </w:p>
    <w:p w14:paraId="5739DD13" w14:textId="77777777" w:rsidR="00D012A1" w:rsidRPr="00556BC7" w:rsidRDefault="00D012A1" w:rsidP="00D012A1">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En los procesos de selección en los que se tenga en cuenta los factores técnicos y económicos, la oferta más ventajosa será la que resulte de aplicar alguna de las siguientes alternativas:</w:t>
      </w:r>
      <w:r w:rsidRPr="00556BC7">
        <w:rPr>
          <w:rStyle w:val="eop"/>
          <w:rFonts w:ascii="Verdana" w:hAnsi="Verdana" w:cs="Arial"/>
          <w:color w:val="000000"/>
          <w:sz w:val="20"/>
          <w:szCs w:val="20"/>
        </w:rPr>
        <w:t> </w:t>
      </w:r>
    </w:p>
    <w:p w14:paraId="61E30614" w14:textId="77777777" w:rsidR="00D012A1" w:rsidRPr="00556BC7" w:rsidRDefault="00D012A1" w:rsidP="00D012A1">
      <w:pPr>
        <w:pStyle w:val="paragraph"/>
        <w:spacing w:before="0" w:beforeAutospacing="0" w:after="0" w:afterAutospacing="0"/>
        <w:ind w:left="709" w:right="709"/>
        <w:jc w:val="both"/>
        <w:textAlignment w:val="baseline"/>
        <w:rPr>
          <w:rFonts w:ascii="Verdana" w:hAnsi="Verdana" w:cs="Segoe UI"/>
          <w:sz w:val="20"/>
          <w:szCs w:val="20"/>
        </w:rPr>
      </w:pPr>
    </w:p>
    <w:p w14:paraId="5D6D27D9" w14:textId="77777777" w:rsidR="00D012A1" w:rsidRPr="00556BC7" w:rsidRDefault="00D012A1" w:rsidP="00D012A1">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a) La ponderación de los elementos de calidad y precio soportados en puntajes o fórmulas señaladas en el pliego de condiciones; o</w:t>
      </w:r>
    </w:p>
    <w:p w14:paraId="3F9E8FF7" w14:textId="77777777" w:rsidR="00D012A1" w:rsidRPr="00556BC7" w:rsidRDefault="00D012A1" w:rsidP="00D012A1">
      <w:pPr>
        <w:pStyle w:val="paragraph"/>
        <w:spacing w:before="0" w:beforeAutospacing="0" w:after="0" w:afterAutospacing="0"/>
        <w:ind w:left="709" w:right="709"/>
        <w:jc w:val="both"/>
        <w:textAlignment w:val="baseline"/>
        <w:rPr>
          <w:rFonts w:ascii="Verdana" w:hAnsi="Verdana" w:cs="Segoe UI"/>
          <w:sz w:val="20"/>
          <w:szCs w:val="20"/>
        </w:rPr>
      </w:pPr>
    </w:p>
    <w:p w14:paraId="4105D24B" w14:textId="77777777" w:rsidR="00D012A1" w:rsidRPr="00556BC7" w:rsidRDefault="00D012A1" w:rsidP="00D012A1">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lastRenderedPageBreak/>
        <w:t>b) La ponderación de los elementos de calidad y precio que representen la mejor relación de costo-beneficio para la entidad.</w:t>
      </w:r>
      <w:r w:rsidRPr="00556BC7">
        <w:rPr>
          <w:rStyle w:val="eop"/>
          <w:rFonts w:ascii="Verdana" w:hAnsi="Verdana" w:cs="Arial"/>
          <w:color w:val="000000"/>
          <w:sz w:val="20"/>
          <w:szCs w:val="20"/>
        </w:rPr>
        <w:t> </w:t>
      </w:r>
    </w:p>
    <w:p w14:paraId="17615FBD" w14:textId="77777777" w:rsidR="00D012A1" w:rsidRPr="00556BC7" w:rsidRDefault="00D012A1" w:rsidP="00D012A1">
      <w:pPr>
        <w:pStyle w:val="paragraph"/>
        <w:spacing w:before="0" w:beforeAutospacing="0" w:after="0" w:afterAutospacing="0"/>
        <w:ind w:left="709" w:right="709"/>
        <w:jc w:val="both"/>
        <w:textAlignment w:val="baseline"/>
        <w:rPr>
          <w:rFonts w:ascii="Verdana" w:hAnsi="Verdana" w:cs="Segoe UI"/>
          <w:sz w:val="20"/>
          <w:szCs w:val="20"/>
        </w:rPr>
      </w:pPr>
    </w:p>
    <w:p w14:paraId="0DA29CFF" w14:textId="77777777" w:rsidR="00D012A1" w:rsidRPr="00556BC7" w:rsidRDefault="00D012A1" w:rsidP="00D012A1">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3. Sin perjuicio de lo previsto en el numeral 1 del presente artículo, 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r w:rsidRPr="00556BC7">
        <w:rPr>
          <w:rStyle w:val="eop"/>
          <w:rFonts w:ascii="Verdana" w:hAnsi="Verdana" w:cs="Arial"/>
          <w:color w:val="000000"/>
          <w:sz w:val="20"/>
          <w:szCs w:val="20"/>
        </w:rPr>
        <w:t> </w:t>
      </w:r>
    </w:p>
    <w:p w14:paraId="326D931E" w14:textId="77777777" w:rsidR="00D012A1" w:rsidRPr="00556BC7" w:rsidRDefault="00D012A1" w:rsidP="00D012A1">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30B1AD62" w14:textId="77777777" w:rsidR="00D012A1" w:rsidRPr="00556BC7" w:rsidRDefault="00D012A1" w:rsidP="00D012A1">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4.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r w:rsidRPr="00556BC7">
        <w:rPr>
          <w:rStyle w:val="eop"/>
          <w:rFonts w:ascii="Verdana" w:hAnsi="Verdana" w:cs="Arial"/>
          <w:color w:val="000000"/>
          <w:sz w:val="20"/>
          <w:szCs w:val="20"/>
        </w:rPr>
        <w:t> </w:t>
      </w:r>
    </w:p>
    <w:p w14:paraId="2B554705" w14:textId="77777777" w:rsidR="00D012A1" w:rsidRPr="00556BC7" w:rsidRDefault="00D012A1" w:rsidP="00D012A1">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01924A0F" w14:textId="77777777" w:rsidR="00D012A1" w:rsidRPr="00556BC7" w:rsidRDefault="00D012A1" w:rsidP="00D012A1">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En ningún caso se podrá incluir el precio, como factor de escogencia para la selección de consultores.</w:t>
      </w:r>
      <w:r w:rsidRPr="00556BC7">
        <w:rPr>
          <w:rStyle w:val="eop"/>
          <w:rFonts w:ascii="Verdana" w:hAnsi="Verdana" w:cs="Arial"/>
          <w:color w:val="000000"/>
          <w:sz w:val="20"/>
          <w:szCs w:val="20"/>
        </w:rPr>
        <w:t> </w:t>
      </w:r>
    </w:p>
    <w:p w14:paraId="642FE09D" w14:textId="77777777" w:rsidR="00D012A1" w:rsidRPr="00556BC7" w:rsidRDefault="00D012A1" w:rsidP="00D012A1">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1BC8C599" w14:textId="77777777" w:rsidR="00D012A1" w:rsidRPr="00556BC7" w:rsidRDefault="00D012A1" w:rsidP="00D012A1">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PARÁGRAFO 1o. &lt;Parágrafo modificado por el artículo 5 de la Ley 1882 de 2018. El nuevo texto es el siguiente:&gt;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w:t>
      </w:r>
      <w:r w:rsidRPr="00556BC7">
        <w:rPr>
          <w:rStyle w:val="eop"/>
          <w:rFonts w:ascii="Verdana" w:hAnsi="Verdana" w:cs="Arial"/>
          <w:color w:val="000000"/>
          <w:sz w:val="20"/>
          <w:szCs w:val="20"/>
        </w:rPr>
        <w:t> </w:t>
      </w:r>
    </w:p>
    <w:p w14:paraId="0051465E" w14:textId="77777777" w:rsidR="00D012A1" w:rsidRPr="00556BC7" w:rsidRDefault="00D012A1" w:rsidP="00D012A1">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49053813" w14:textId="77777777" w:rsidR="00D012A1" w:rsidRPr="00556BC7" w:rsidRDefault="00D012A1" w:rsidP="00D012A1">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Durante el término otorgado para subsanar las ofertas, los proponentes no podrán acreditar circunstancias ocurridas con posterioridad al cierre del proceso.</w:t>
      </w:r>
      <w:r w:rsidRPr="00556BC7">
        <w:rPr>
          <w:rStyle w:val="eop"/>
          <w:rFonts w:ascii="Verdana" w:hAnsi="Verdana" w:cs="Arial"/>
          <w:color w:val="000000"/>
          <w:sz w:val="20"/>
          <w:szCs w:val="20"/>
        </w:rPr>
        <w:t> </w:t>
      </w:r>
    </w:p>
    <w:p w14:paraId="68450605" w14:textId="77777777" w:rsidR="00D012A1" w:rsidRPr="00556BC7" w:rsidRDefault="00D012A1" w:rsidP="00D012A1">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3B04E33B" w14:textId="77777777" w:rsidR="00D012A1" w:rsidRPr="00556BC7" w:rsidRDefault="00D012A1" w:rsidP="00D012A1">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PARÁGRAFO 2o. Las certificaciones de sistemas de gestión de calidad no serán objeto de calificación, ni podrán establecerse como documento habilitante para participar en licitaciones o concursos.</w:t>
      </w:r>
      <w:r w:rsidRPr="00556BC7">
        <w:rPr>
          <w:rStyle w:val="eop"/>
          <w:rFonts w:ascii="Verdana" w:hAnsi="Verdana" w:cs="Arial"/>
          <w:color w:val="000000"/>
          <w:sz w:val="20"/>
          <w:szCs w:val="20"/>
        </w:rPr>
        <w:t> </w:t>
      </w:r>
    </w:p>
    <w:p w14:paraId="458E1A1C" w14:textId="77777777" w:rsidR="00D012A1" w:rsidRPr="00556BC7" w:rsidRDefault="00D012A1" w:rsidP="00D012A1">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778C8F8B" w14:textId="77777777" w:rsidR="00D012A1" w:rsidRPr="00556BC7" w:rsidRDefault="00D012A1" w:rsidP="00D012A1">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PARÁGRAFO 3o. &lt;Parágrafo adicionado por el artículo 5 de la Ley 1882 de 2018. El nuevo texto es el siguiente:&gt; La no entrega de la garantía de seriedad junto con la propuesta no será subsanable y será causal de rechazo de la misma.</w:t>
      </w:r>
      <w:r w:rsidRPr="00556BC7">
        <w:rPr>
          <w:rStyle w:val="eop"/>
          <w:rFonts w:ascii="Verdana" w:hAnsi="Verdana" w:cs="Arial"/>
          <w:color w:val="000000"/>
          <w:sz w:val="20"/>
          <w:szCs w:val="20"/>
        </w:rPr>
        <w:t> </w:t>
      </w:r>
    </w:p>
    <w:p w14:paraId="666BAC7F" w14:textId="77777777" w:rsidR="00D012A1" w:rsidRPr="00556BC7" w:rsidRDefault="00D012A1" w:rsidP="00D012A1">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4BC57EA5" w14:textId="77777777" w:rsidR="00D012A1" w:rsidRPr="00556BC7" w:rsidRDefault="00D012A1" w:rsidP="00D012A1">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 xml:space="preserve">PARÁGRAFO 4o. &lt;Parágrafo adicionado por el artículo 5 de la Ley 1882 de 2018. El nuevo texto es el siguiente:&gt; En aquellos procesos de selección </w:t>
      </w:r>
      <w:r w:rsidRPr="00556BC7">
        <w:rPr>
          <w:rStyle w:val="normaltextrun"/>
          <w:rFonts w:ascii="Verdana" w:hAnsi="Verdana" w:cs="Arial"/>
          <w:color w:val="000000"/>
          <w:sz w:val="20"/>
          <w:szCs w:val="20"/>
          <w:lang w:val="es-ES"/>
        </w:rPr>
        <w:lastRenderedPageBreak/>
        <w:t>en los que se utilice el mecanismo de subasta, los documentos referentes a la futura contratación o al proponente, no necesarios para la comparación de las propuestas, deberán ser solicitados hasta el momento previo a su realización.</w:t>
      </w:r>
      <w:r w:rsidRPr="00556BC7">
        <w:rPr>
          <w:rStyle w:val="eop"/>
          <w:rFonts w:ascii="Verdana" w:hAnsi="Verdana" w:cs="Arial"/>
          <w:color w:val="000000"/>
          <w:sz w:val="20"/>
          <w:szCs w:val="20"/>
        </w:rPr>
        <w:t> </w:t>
      </w:r>
    </w:p>
    <w:p w14:paraId="7298591A" w14:textId="77777777" w:rsidR="00D012A1" w:rsidRPr="00556BC7" w:rsidRDefault="00D012A1" w:rsidP="00D012A1">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599F407E" w14:textId="77777777" w:rsidR="00D012A1" w:rsidRPr="00556BC7" w:rsidRDefault="00D012A1" w:rsidP="00D012A1">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PARÁGRAFO 5o. &lt;Parágrafo adicionado por el artículo 5 de la Ley 1882 de 2018. El nuevo texto es el siguiente:&gt; En los procesos de contratación, las entidades estatales deberán aceptar la experiencia adquirida por los proponentes a través de la ejecución de contratos con particulares</w:t>
      </w:r>
      <w:r>
        <w:rPr>
          <w:rStyle w:val="normaltextrun"/>
          <w:rFonts w:ascii="Verdana" w:hAnsi="Verdana" w:cs="Arial"/>
          <w:color w:val="000000"/>
          <w:sz w:val="20"/>
          <w:szCs w:val="20"/>
          <w:lang w:val="es-ES"/>
        </w:rPr>
        <w:t>”</w:t>
      </w:r>
      <w:r w:rsidRPr="00556BC7">
        <w:rPr>
          <w:rStyle w:val="normaltextrun"/>
          <w:rFonts w:ascii="Verdana" w:hAnsi="Verdana" w:cs="Arial"/>
          <w:color w:val="000000"/>
          <w:sz w:val="20"/>
          <w:szCs w:val="20"/>
          <w:lang w:val="es-ES"/>
        </w:rPr>
        <w:t>. </w:t>
      </w:r>
      <w:r w:rsidRPr="00556BC7">
        <w:rPr>
          <w:rStyle w:val="eop"/>
          <w:rFonts w:ascii="Verdana" w:hAnsi="Verdana" w:cs="Arial"/>
          <w:color w:val="000000"/>
          <w:sz w:val="20"/>
          <w:szCs w:val="20"/>
        </w:rPr>
        <w:t> </w:t>
      </w:r>
    </w:p>
    <w:p w14:paraId="4D79F9F7" w14:textId="77777777" w:rsidR="00D012A1" w:rsidRPr="00556BC7" w:rsidRDefault="00D012A1" w:rsidP="00D012A1">
      <w:pPr>
        <w:spacing w:after="0" w:line="276" w:lineRule="auto"/>
        <w:ind w:left="709" w:right="709"/>
        <w:jc w:val="both"/>
        <w:rPr>
          <w:rFonts w:ascii="Verdana" w:eastAsia="Times New Roman" w:hAnsi="Verdana" w:cs="Arial"/>
          <w:lang w:eastAsia="es-CO"/>
        </w:rPr>
      </w:pPr>
    </w:p>
    <w:p w14:paraId="5B774A8D" w14:textId="77777777" w:rsidR="00D012A1" w:rsidRPr="00D16A5E" w:rsidRDefault="00D012A1" w:rsidP="00D012A1">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Como puede observarse, la Ley 1882 de 2018: i) mantiene el criterio de la Ley 80 de 1993, relativo a que todo lo que no sea necesario para la comparación de propuestas no es título suficiente para su rechazo; </w:t>
      </w:r>
      <w:proofErr w:type="spellStart"/>
      <w:r w:rsidRPr="00D16A5E">
        <w:rPr>
          <w:rFonts w:ascii="Verdana" w:eastAsia="Times New Roman" w:hAnsi="Verdana" w:cs="Arial"/>
          <w:lang w:val="es-ES" w:eastAsia="es-ES"/>
        </w:rPr>
        <w:t>ii</w:t>
      </w:r>
      <w:proofErr w:type="spellEnd"/>
      <w:r w:rsidRPr="00D16A5E">
        <w:rPr>
          <w:rFonts w:ascii="Verdana" w:eastAsia="Times New Roman" w:hAnsi="Verdana" w:cs="Arial"/>
          <w:lang w:val="es-ES" w:eastAsia="es-ES"/>
        </w:rPr>
        <w:t xml:space="preserve">) mantiene el criterio aclaratorio de la Ley 1150 de 2007, según el cual todo lo que no afecte la asignación de puntaje puede subsanarse; y, </w:t>
      </w:r>
      <w:proofErr w:type="spellStart"/>
      <w:r w:rsidRPr="00D16A5E">
        <w:rPr>
          <w:rFonts w:ascii="Verdana" w:eastAsia="Times New Roman" w:hAnsi="Verdana" w:cs="Arial"/>
          <w:lang w:val="es-ES" w:eastAsia="es-ES"/>
        </w:rPr>
        <w:t>iii</w:t>
      </w:r>
      <w:proofErr w:type="spellEnd"/>
      <w:r w:rsidRPr="00D16A5E">
        <w:rPr>
          <w:rFonts w:ascii="Verdana" w:eastAsia="Times New Roman" w:hAnsi="Verdana" w:cs="Arial"/>
          <w:lang w:val="es-ES" w:eastAsia="es-ES"/>
        </w:rPr>
        <w:t xml:space="preserve">) introduce modificaciones en relación con algunos aspectos que se analizarán a continuación. </w:t>
      </w:r>
    </w:p>
    <w:p w14:paraId="0A73EA8D" w14:textId="77777777" w:rsidR="00D012A1" w:rsidRPr="00D16A5E" w:rsidRDefault="00D012A1" w:rsidP="00D012A1">
      <w:pPr>
        <w:spacing w:after="120" w:line="276" w:lineRule="auto"/>
        <w:ind w:firstLine="709"/>
        <w:jc w:val="both"/>
        <w:rPr>
          <w:rFonts w:ascii="Verdana" w:eastAsia="Times New Roman" w:hAnsi="Verdana" w:cs="Arial"/>
          <w:lang w:val="es-ES_tradnl" w:eastAsia="es-ES_tradnl"/>
        </w:rPr>
      </w:pPr>
      <w:r>
        <w:rPr>
          <w:rFonts w:ascii="Verdana" w:eastAsia="Times New Roman" w:hAnsi="Verdana" w:cs="Arial"/>
          <w:i/>
          <w:iCs/>
          <w:lang w:val="es-ES_tradnl" w:eastAsia="es-ES_tradnl"/>
        </w:rPr>
        <w:t>La</w:t>
      </w:r>
      <w:r w:rsidRPr="00D16A5E">
        <w:rPr>
          <w:rFonts w:ascii="Verdana" w:eastAsia="Times New Roman" w:hAnsi="Verdana" w:cs="Arial"/>
          <w:i/>
          <w:iCs/>
          <w:lang w:val="es-ES_tradnl" w:eastAsia="es-ES_tradnl"/>
        </w:rPr>
        <w:t xml:space="preserve"> primer</w:t>
      </w:r>
      <w:r>
        <w:rPr>
          <w:rFonts w:ascii="Verdana" w:eastAsia="Times New Roman" w:hAnsi="Verdana" w:cs="Arial"/>
          <w:i/>
          <w:iCs/>
          <w:lang w:val="es-ES_tradnl" w:eastAsia="es-ES_tradnl"/>
        </w:rPr>
        <w:t xml:space="preserve">a modificación </w:t>
      </w:r>
      <w:r>
        <w:rPr>
          <w:rFonts w:ascii="Verdana" w:eastAsia="Times New Roman" w:hAnsi="Verdana" w:cs="Arial"/>
          <w:lang w:val="es-ES_tradnl" w:eastAsia="es-ES_tradnl"/>
        </w:rPr>
        <w:t xml:space="preserve">está relacionada con </w:t>
      </w:r>
      <w:r w:rsidRPr="00D16A5E">
        <w:rPr>
          <w:rFonts w:ascii="Verdana" w:eastAsia="Times New Roman" w:hAnsi="Verdana" w:cs="Arial"/>
          <w:lang w:val="es-ES_tradnl" w:eastAsia="es-ES_tradnl"/>
        </w:rPr>
        <w:t>el ámbito temporal para ejercer la facultad de subsanar la oferta, pues la Ley 1882 de 2018 fijó una regla general y una excepción. La regla general es que</w:t>
      </w:r>
      <w:r>
        <w:rPr>
          <w:rFonts w:ascii="Verdana" w:eastAsia="Times New Roman" w:hAnsi="Verdana" w:cs="Arial"/>
          <w:lang w:val="es-ES_tradnl" w:eastAsia="es-ES_tradnl"/>
        </w:rPr>
        <w:t>,</w:t>
      </w:r>
      <w:r w:rsidRPr="00D16A5E">
        <w:rPr>
          <w:rFonts w:ascii="Verdana" w:eastAsia="Times New Roman" w:hAnsi="Verdana" w:cs="Arial"/>
          <w:lang w:val="es-ES_tradnl" w:eastAsia="es-ES_tradnl"/>
        </w:rPr>
        <w:t xml:space="preserve"> el límite para que la entidad solicite y para que el proponente corrija lo que haga falta es hasta el término de traslado del informe de evaluación que corresponda a cada modalidad de selección. La excepción es que el límite anterior no aplica para los procesos de mínima cuantía y para el proceso de selección a través del sistema de subasta</w:t>
      </w:r>
      <w:r w:rsidRPr="00D16A5E">
        <w:rPr>
          <w:rFonts w:ascii="Verdana" w:eastAsia="Times New Roman" w:hAnsi="Verdana" w:cs="Arial"/>
          <w:vertAlign w:val="superscript"/>
          <w:lang w:val="es-ES_tradnl" w:eastAsia="es-ES_tradnl"/>
        </w:rPr>
        <w:footnoteReference w:id="14"/>
      </w:r>
      <w:r>
        <w:rPr>
          <w:rFonts w:ascii="Verdana" w:eastAsia="Times New Roman" w:hAnsi="Verdana" w:cs="Arial"/>
          <w:lang w:val="es-ES_tradnl" w:eastAsia="es-ES_tradnl"/>
        </w:rPr>
        <w:t>.</w:t>
      </w:r>
    </w:p>
    <w:p w14:paraId="1BF9E935" w14:textId="77777777" w:rsidR="00D012A1" w:rsidRPr="00D16A5E" w:rsidRDefault="00D012A1" w:rsidP="00D012A1">
      <w:pPr>
        <w:spacing w:after="120" w:line="276" w:lineRule="auto"/>
        <w:ind w:firstLine="709"/>
        <w:jc w:val="both"/>
        <w:rPr>
          <w:rFonts w:ascii="Verdana" w:eastAsia="Times New Roman" w:hAnsi="Verdana" w:cs="Arial"/>
          <w:lang w:val="es-ES" w:eastAsia="es-ES"/>
        </w:rPr>
      </w:pPr>
      <w:r w:rsidRPr="13371C64">
        <w:rPr>
          <w:rFonts w:ascii="Verdana" w:eastAsia="Times New Roman" w:hAnsi="Verdana" w:cs="Arial"/>
          <w:lang w:val="es-ES" w:eastAsia="es-ES"/>
        </w:rPr>
        <w:t xml:space="preserve">Frente a la regla general aplicable a los demás procesos de selección, la norma fijó un límite final para que la Administración y los oferentes subsanen los requisitos o documentos que puedan y deban ser subsanados. No </w:t>
      </w:r>
      <w:proofErr w:type="gramStart"/>
      <w:r w:rsidRPr="13371C64">
        <w:rPr>
          <w:rFonts w:ascii="Verdana" w:eastAsia="Times New Roman" w:hAnsi="Verdana" w:cs="Arial"/>
          <w:lang w:val="es-ES" w:eastAsia="es-ES"/>
        </w:rPr>
        <w:t>obstante</w:t>
      </w:r>
      <w:proofErr w:type="gramEnd"/>
      <w:r w:rsidRPr="13371C64">
        <w:rPr>
          <w:rFonts w:ascii="Verdana" w:eastAsia="Times New Roman" w:hAnsi="Verdana" w:cs="Arial"/>
          <w:lang w:val="es-ES" w:eastAsia="es-ES"/>
        </w:rPr>
        <w:t xml:space="preserve"> lo anterior, nada impide, y la norma no lo hace, que la Administración requiera al proponente antes de publicar el informe de evaluación. En efecto, la redacción de la norma permite que la Administración solicite a los oferentes subsanar y que estos lo hagan hasta antes del término del traslado del informe de evaluación: “</w:t>
      </w:r>
      <w:r w:rsidRPr="13371C64">
        <w:rPr>
          <w:rFonts w:ascii="Verdana" w:eastAsia="Times New Roman" w:hAnsi="Verdana" w:cs="Arial"/>
          <w:i/>
          <w:iCs/>
          <w:lang w:val="es-ES" w:eastAsia="es-ES"/>
        </w:rPr>
        <w:t>deberán ser solicitados por las entidades estatales y deberán ser entregados por los proponentes hasta el término de traslado del informe de evaluación que corresponda a cada modalidad de selección”.</w:t>
      </w:r>
      <w:r w:rsidRPr="13371C64">
        <w:rPr>
          <w:rFonts w:ascii="Verdana" w:eastAsia="Times New Roman" w:hAnsi="Verdana" w:cs="Arial"/>
          <w:lang w:val="es-ES" w:eastAsia="es-ES"/>
        </w:rPr>
        <w:t xml:space="preserve"> </w:t>
      </w:r>
    </w:p>
    <w:p w14:paraId="5D7462C1" w14:textId="77777777" w:rsidR="00D012A1" w:rsidRPr="00D16A5E" w:rsidRDefault="00D012A1" w:rsidP="00D012A1">
      <w:pPr>
        <w:spacing w:after="120" w:line="276" w:lineRule="auto"/>
        <w:ind w:firstLine="709"/>
        <w:jc w:val="both"/>
        <w:rPr>
          <w:rFonts w:ascii="Verdana" w:eastAsia="Times New Roman" w:hAnsi="Verdana" w:cs="Arial"/>
          <w:lang w:val="es-ES" w:eastAsia="es-ES"/>
        </w:rPr>
      </w:pPr>
      <w:r>
        <w:rPr>
          <w:rFonts w:ascii="Verdana" w:eastAsia="Times New Roman" w:hAnsi="Verdana" w:cs="Arial"/>
          <w:lang w:val="es-ES" w:eastAsia="es-ES"/>
        </w:rPr>
        <w:lastRenderedPageBreak/>
        <w:t>Sin perjuicio de lo expuesto</w:t>
      </w:r>
      <w:r w:rsidRPr="00D16A5E">
        <w:rPr>
          <w:rFonts w:ascii="Verdana" w:eastAsia="Times New Roman" w:hAnsi="Verdana" w:cs="Arial"/>
          <w:lang w:val="es-ES" w:eastAsia="es-ES"/>
        </w:rPr>
        <w:t xml:space="preserve">, de la lectura de este aparte podrían, en la práctica, darse dos interpretaciones que dan lugar a dos formas de proceder en los procesos de selección, en lo que a la </w:t>
      </w:r>
      <w:proofErr w:type="spellStart"/>
      <w:r w:rsidRPr="00D16A5E">
        <w:rPr>
          <w:rFonts w:ascii="Verdana" w:eastAsia="Times New Roman" w:hAnsi="Verdana" w:cs="Arial"/>
          <w:lang w:val="es-ES" w:eastAsia="es-ES"/>
        </w:rPr>
        <w:t>subsanabilidad</w:t>
      </w:r>
      <w:proofErr w:type="spellEnd"/>
      <w:r w:rsidRPr="00D16A5E">
        <w:rPr>
          <w:rFonts w:ascii="Verdana" w:eastAsia="Times New Roman" w:hAnsi="Verdana" w:cs="Arial"/>
          <w:lang w:val="es-ES" w:eastAsia="es-ES"/>
        </w:rPr>
        <w:t xml:space="preserve"> de las ofertas se refiere. Primera, que la posibilidad para subsanar de los oferentes es el término del traslado del informe de evaluación, ya que es en este documento donde la Administración consigna los requisitos o documentos omitidos que los oferentes deben subsanar, so pena de rechazo</w:t>
      </w:r>
      <w:r>
        <w:rPr>
          <w:rFonts w:ascii="Verdana" w:eastAsia="Times New Roman" w:hAnsi="Verdana" w:cs="Arial"/>
          <w:lang w:val="es-ES" w:eastAsia="es-ES"/>
        </w:rPr>
        <w:t>. S</w:t>
      </w:r>
      <w:r w:rsidRPr="00D16A5E">
        <w:rPr>
          <w:rFonts w:ascii="Verdana" w:eastAsia="Times New Roman" w:hAnsi="Verdana" w:cs="Arial"/>
          <w:lang w:val="es-ES" w:eastAsia="es-ES"/>
        </w:rPr>
        <w:t xml:space="preserve">egunda, que el término del traslado del informe de evaluación es el </w:t>
      </w:r>
      <w:r w:rsidRPr="00D16A5E">
        <w:rPr>
          <w:rFonts w:ascii="Verdana" w:eastAsia="Times New Roman" w:hAnsi="Verdana" w:cs="Arial"/>
          <w:i/>
          <w:lang w:val="es-ES" w:eastAsia="es-ES"/>
        </w:rPr>
        <w:t>límite</w:t>
      </w:r>
      <w:r w:rsidRPr="00D16A5E">
        <w:rPr>
          <w:rFonts w:ascii="Verdana" w:eastAsia="Times New Roman" w:hAnsi="Verdana" w:cs="Arial"/>
          <w:lang w:val="es-ES" w:eastAsia="es-ES"/>
        </w:rPr>
        <w:t xml:space="preserve"> para la subsanación de ofertas, pero no el único momento para hacerlo. </w:t>
      </w:r>
    </w:p>
    <w:p w14:paraId="54FD7169" w14:textId="77777777" w:rsidR="00D012A1" w:rsidRPr="00D16A5E" w:rsidRDefault="00D012A1" w:rsidP="00D012A1">
      <w:pPr>
        <w:spacing w:after="12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De acuerdo con la primera interpretación, el informe de evaluación se convierte en la oportunidad que adopta la Administración para decirles a los oferentes qué documentos o requisitos omitieron y deben subsanar</w:t>
      </w:r>
      <w:r>
        <w:rPr>
          <w:rFonts w:ascii="Verdana" w:eastAsia="Times New Roman" w:hAnsi="Verdana" w:cs="Arial"/>
          <w:lang w:val="es-ES_tradnl" w:eastAsia="es-ES_tradnl"/>
        </w:rPr>
        <w:t>. C</w:t>
      </w:r>
      <w:r w:rsidRPr="00D16A5E">
        <w:rPr>
          <w:rFonts w:ascii="Verdana" w:eastAsia="Times New Roman" w:hAnsi="Verdana" w:cs="Arial"/>
          <w:lang w:val="es-ES_tradnl" w:eastAsia="es-ES_tradnl"/>
        </w:rPr>
        <w:t xml:space="preserve">onsecuentemente, el término del traslado es la oportunidad del proponente para cumplir con lo solicitado.  </w:t>
      </w:r>
    </w:p>
    <w:p w14:paraId="19F4A72F" w14:textId="77777777" w:rsidR="00D012A1" w:rsidRPr="00D16A5E" w:rsidRDefault="00D012A1" w:rsidP="00D012A1">
      <w:pPr>
        <w:spacing w:after="12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La segunda interpretación permitiría que la Administración requiera al oferente durante el proceso de evaluación de las propuestas, tan pronto advierta que hace falta un documento o requisito que se puede subsanar. En este caso, el proceso de subsanación se podría realizar con anterioridad a la publicación del informe de evaluación, de manera que, una vez se publique el informe ya se encuentren subsanadas las propuestas, sin perjuicio del término límite que concedió la ley.</w:t>
      </w:r>
    </w:p>
    <w:p w14:paraId="59BE67FA" w14:textId="77777777" w:rsidR="00D012A1" w:rsidRPr="00D16A5E" w:rsidRDefault="00D012A1" w:rsidP="00D012A1">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La modificación introducida por el artículo 5 de la Ley 1882 de 2018, si bien pudo significar, en la práctica de los procesos de selección, que el informe de evaluación fuera la oportunidad de la Administración para requerir al proponente para que subsane la oferta, y el término del traslado la oportunidad para hacerlo, lo cierto es que no impide que esto se realice con anterioridad a la publicación del informe</w:t>
      </w:r>
      <w:r>
        <w:rPr>
          <w:rFonts w:ascii="Verdana" w:eastAsia="Times New Roman" w:hAnsi="Verdana" w:cs="Arial"/>
          <w:lang w:val="es-ES" w:eastAsia="es-ES"/>
        </w:rPr>
        <w:t>. I</w:t>
      </w:r>
      <w:r w:rsidRPr="00D16A5E">
        <w:rPr>
          <w:rFonts w:ascii="Verdana" w:eastAsia="Times New Roman" w:hAnsi="Verdana" w:cs="Arial"/>
          <w:lang w:val="es-ES" w:eastAsia="es-ES"/>
        </w:rPr>
        <w:t>nclusive, es más adecuado y conveniente que la subsanación de las ofertas se intente con anterioridad, de forma que, una vez la Administración advierta el defecto le solicite directamente al oferente que subsane. Esta interpretación es más consistente con los principios de economía, transparencia y selección objetiva. Lo anterior, se aclara, sin desconocer el límite que establece la norma para que los oferentes, sin perjuicio de que lo hagan antes, cuenten hasta el término de traslado del informe de evaluación con la posibilidad de presentar la información solicitada.</w:t>
      </w:r>
    </w:p>
    <w:p w14:paraId="78A7BA9B" w14:textId="77777777" w:rsidR="00D012A1" w:rsidRPr="00D16A5E" w:rsidRDefault="00D012A1" w:rsidP="00D012A1">
      <w:pPr>
        <w:spacing w:after="12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 xml:space="preserve">El </w:t>
      </w:r>
      <w:r w:rsidRPr="003049F6">
        <w:rPr>
          <w:rFonts w:ascii="Verdana" w:eastAsia="Times New Roman" w:hAnsi="Verdana" w:cs="Arial"/>
          <w:i/>
          <w:iCs/>
          <w:lang w:val="es-ES_tradnl" w:eastAsia="es-ES_tradnl"/>
        </w:rPr>
        <w:t>segundo cambio</w:t>
      </w:r>
      <w:r w:rsidRPr="00D16A5E">
        <w:rPr>
          <w:rFonts w:ascii="Verdana" w:eastAsia="Times New Roman" w:hAnsi="Verdana" w:cs="Arial"/>
          <w:lang w:val="es-ES_tradnl" w:eastAsia="es-ES_tradnl"/>
        </w:rPr>
        <w:t xml:space="preserve"> importante de la Ley 1882 de 2018 fue la introducción de un criterio material, directamente relacionado con los aspectos subsanables: </w:t>
      </w:r>
      <w:r w:rsidRPr="00D16A5E">
        <w:rPr>
          <w:rFonts w:ascii="Verdana" w:eastAsia="Times New Roman" w:hAnsi="Verdana" w:cs="Arial"/>
          <w:i/>
          <w:iCs/>
          <w:lang w:val="es-ES_tradnl" w:eastAsia="es-ES_tradnl"/>
        </w:rPr>
        <w:lastRenderedPageBreak/>
        <w:t>“los proponentes no podrán acreditar circunstancias ocurridas con posterioridad al cierre del proceso”.</w:t>
      </w:r>
      <w:r w:rsidRPr="00D16A5E">
        <w:rPr>
          <w:rFonts w:ascii="Verdana" w:eastAsia="Times New Roman" w:hAnsi="Verdana" w:cs="Arial"/>
          <w:lang w:val="es-ES_tradnl" w:eastAsia="es-ES_tradnl"/>
        </w:rPr>
        <w:t xml:space="preserve"> Lo anterior ofrece dos aspectos que merecen clarificación</w:t>
      </w:r>
      <w:r>
        <w:rPr>
          <w:rFonts w:ascii="Verdana" w:eastAsia="Times New Roman" w:hAnsi="Verdana" w:cs="Arial"/>
          <w:lang w:val="es-ES_tradnl" w:eastAsia="es-ES_tradnl"/>
        </w:rPr>
        <w:t>;</w:t>
      </w:r>
      <w:r w:rsidRPr="00D16A5E">
        <w:rPr>
          <w:rFonts w:ascii="Verdana" w:eastAsia="Times New Roman" w:hAnsi="Verdana" w:cs="Arial"/>
          <w:lang w:val="es-ES_tradnl" w:eastAsia="es-ES_tradnl"/>
        </w:rPr>
        <w:t xml:space="preserve"> primero, qué debe entenderse por circunstancias ocurridas con posterioridad; y segundo, qué es el cierre del proceso. </w:t>
      </w:r>
    </w:p>
    <w:p w14:paraId="55AED5E0" w14:textId="77777777" w:rsidR="00D012A1" w:rsidRPr="00D16A5E" w:rsidRDefault="00D012A1" w:rsidP="00D012A1">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La Sala de Consulta y Servicio Civil del Consejo de Estado ya había tenido la oportunidad de precisar estas expresiones, a propósito de un concepto en el que se refirió al artículo 10 del derogado Decreto 2474 de 2008, que había determinado que en ningún caso la entidad podía permitir que se acreditaran circunstancias ocurridas con posterioridad al cierre del proceso. E</w:t>
      </w:r>
      <w:r>
        <w:rPr>
          <w:rFonts w:ascii="Verdana" w:eastAsia="Times New Roman" w:hAnsi="Verdana" w:cs="Arial"/>
          <w:lang w:val="es-ES" w:eastAsia="es-ES"/>
        </w:rPr>
        <w:t>n esa ocasión, e</w:t>
      </w:r>
      <w:r w:rsidRPr="00D16A5E">
        <w:rPr>
          <w:rFonts w:ascii="Verdana" w:eastAsia="Times New Roman" w:hAnsi="Verdana" w:cs="Arial"/>
          <w:lang w:val="es-ES" w:eastAsia="es-ES"/>
        </w:rPr>
        <w:t>l Consejo de Estado precisó que</w:t>
      </w:r>
      <w:r>
        <w:rPr>
          <w:rFonts w:ascii="Verdana" w:eastAsia="Times New Roman" w:hAnsi="Verdana" w:cs="Arial"/>
          <w:lang w:val="es-ES" w:eastAsia="es-ES"/>
        </w:rPr>
        <w:t>,</w:t>
      </w:r>
      <w:r w:rsidRPr="00D16A5E">
        <w:rPr>
          <w:rFonts w:ascii="Verdana" w:eastAsia="Times New Roman" w:hAnsi="Verdana" w:cs="Arial"/>
          <w:lang w:val="es-ES" w:eastAsia="es-ES"/>
        </w:rPr>
        <w:t xml:space="preserve"> por cierre del proceso debe entenderse el vencimiento del plazo para la presentación de las ofertas y que lo subsanable son las circunstancias que ocurrieron con anterioridad a esa fecha</w:t>
      </w:r>
      <w:r w:rsidRPr="00D16A5E">
        <w:rPr>
          <w:rFonts w:ascii="Verdana" w:eastAsia="Times New Roman" w:hAnsi="Verdana" w:cs="Arial"/>
          <w:vertAlign w:val="superscript"/>
          <w:lang w:val="es-ES" w:eastAsia="es-ES"/>
        </w:rPr>
        <w:footnoteReference w:id="15"/>
      </w:r>
      <w:r w:rsidRPr="00D16A5E">
        <w:rPr>
          <w:rFonts w:ascii="Verdana" w:eastAsia="Times New Roman" w:hAnsi="Verdana" w:cs="Arial"/>
          <w:lang w:val="es-ES" w:eastAsia="es-ES"/>
        </w:rPr>
        <w:t>.</w:t>
      </w:r>
    </w:p>
    <w:p w14:paraId="2F4FDF19" w14:textId="77777777" w:rsidR="00D012A1" w:rsidRPr="00D16A5E" w:rsidRDefault="00D012A1" w:rsidP="00D012A1">
      <w:pPr>
        <w:spacing w:after="12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262E8B10" w14:textId="77777777" w:rsidR="00D012A1" w:rsidRPr="00D16A5E" w:rsidRDefault="00D012A1" w:rsidP="00D012A1">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Un mejor entendimiento del significado de la expresión </w:t>
      </w:r>
      <w:r w:rsidRPr="00D16A5E">
        <w:rPr>
          <w:rFonts w:ascii="Verdana" w:eastAsia="Times New Roman" w:hAnsi="Verdana" w:cs="Arial"/>
          <w:i/>
          <w:lang w:val="es-ES" w:eastAsia="es-ES"/>
        </w:rPr>
        <w:t>“circunstancias ocurridas con posterioridad al cierre del proceso”</w:t>
      </w:r>
      <w:r w:rsidRPr="00D16A5E">
        <w:rPr>
          <w:rFonts w:ascii="Verdana" w:eastAsia="Times New Roman" w:hAnsi="Verdana" w:cs="Arial"/>
          <w:lang w:val="es-ES" w:eastAsia="es-ES"/>
        </w:rPr>
        <w:t xml:space="preserve"> implica distinguir entre la prueba de un hecho y el hecho mismo. En el caso de la </w:t>
      </w:r>
      <w:proofErr w:type="spellStart"/>
      <w:r w:rsidRPr="00D16A5E">
        <w:rPr>
          <w:rFonts w:ascii="Verdana" w:eastAsia="Times New Roman" w:hAnsi="Verdana" w:cs="Arial"/>
          <w:lang w:val="es-ES" w:eastAsia="es-ES"/>
        </w:rPr>
        <w:t>subsanabilidad</w:t>
      </w:r>
      <w:proofErr w:type="spellEnd"/>
      <w:r w:rsidRPr="00D16A5E">
        <w:rPr>
          <w:rFonts w:ascii="Verdana" w:eastAsia="Times New Roman" w:hAnsi="Verdana" w:cs="Arial"/>
          <w:lang w:val="es-ES" w:eastAsia="es-ES"/>
        </w:rPr>
        <w:t xml:space="preserve"> de las </w:t>
      </w:r>
      <w:r w:rsidRPr="00D16A5E">
        <w:rPr>
          <w:rFonts w:ascii="Verdana" w:eastAsia="Times New Roman" w:hAnsi="Verdana" w:cs="Arial"/>
          <w:lang w:val="es-ES" w:eastAsia="es-ES"/>
        </w:rPr>
        <w:lastRenderedPageBreak/>
        <w:t>ofertas, una cosa es el requisito habilitante o el elemento de la propuesta y otra su prueba. Lo que prohíbe la norma es que se subsanen requisitos que no estaban materialmente cumplidos al momento de presentación de la oferta, o en palabras de la ley, que se acrediten hechos que ocurrieron después del cierre del proceso</w:t>
      </w:r>
      <w:r w:rsidRPr="00D16A5E">
        <w:rPr>
          <w:rFonts w:ascii="Verdana" w:eastAsia="Times New Roman" w:hAnsi="Verdana" w:cs="Arial"/>
          <w:vertAlign w:val="superscript"/>
          <w:lang w:val="es-ES" w:eastAsia="es-ES"/>
        </w:rPr>
        <w:footnoteReference w:id="16"/>
      </w:r>
      <w:r w:rsidRPr="00D16A5E">
        <w:rPr>
          <w:rFonts w:ascii="Verdana" w:eastAsia="Times New Roman" w:hAnsi="Verdana" w:cs="Arial"/>
          <w:lang w:val="es-ES" w:eastAsia="es-ES"/>
        </w:rPr>
        <w:t xml:space="preserve">. </w:t>
      </w:r>
    </w:p>
    <w:p w14:paraId="6299BB81" w14:textId="77777777" w:rsidR="00D012A1" w:rsidRPr="00AE50A9" w:rsidRDefault="00D012A1" w:rsidP="00D012A1">
      <w:pPr>
        <w:spacing w:after="120" w:line="276" w:lineRule="auto"/>
        <w:ind w:firstLine="709"/>
        <w:jc w:val="both"/>
        <w:rPr>
          <w:rFonts w:ascii="Verdana" w:eastAsia="Times New Roman" w:hAnsi="Verdana" w:cs="Arial"/>
          <w:u w:val="single"/>
          <w:lang w:val="es-ES" w:eastAsia="es-ES"/>
        </w:rPr>
      </w:pPr>
      <w:r w:rsidRPr="00D16A5E">
        <w:rPr>
          <w:rFonts w:ascii="Verdana" w:eastAsia="Times New Roman" w:hAnsi="Verdana" w:cs="Arial"/>
          <w:lang w:val="es-ES" w:eastAsia="es-ES"/>
        </w:rPr>
        <w:t xml:space="preserve">Por ejemplo: i) si un oferente olvidó adjuntar con su propuesta el certificado que da cuenta de su inscripción en el RUP, el requisito será subsanable siempre que la prueba allegada demuestre que el hecho, esto es, la inscripción en el registro, ocurrió con anterioridad al cierre del proceso, estando está en firme para dicho momento; </w:t>
      </w:r>
      <w:proofErr w:type="spellStart"/>
      <w:r w:rsidRPr="00D16A5E">
        <w:rPr>
          <w:rFonts w:ascii="Verdana" w:eastAsia="Times New Roman" w:hAnsi="Verdana" w:cs="Arial"/>
          <w:lang w:val="es-ES" w:eastAsia="es-ES"/>
        </w:rPr>
        <w:t>ii</w:t>
      </w:r>
      <w:proofErr w:type="spellEnd"/>
      <w:r w:rsidRPr="00D16A5E">
        <w:rPr>
          <w:rFonts w:ascii="Verdana" w:eastAsia="Times New Roman" w:hAnsi="Verdana" w:cs="Arial"/>
          <w:lang w:val="es-ES" w:eastAsia="es-ES"/>
        </w:rPr>
        <w:t>) si un oferente presentó la propuesta sin allegar la autorización al representante legal, por parte de la junta directiva de la sociedad, el certificado, aunque sea posterior, debe dar cuenta de que el hecho que pretende acreditar –la autorización de la junta– ocurrió antes del vencimiento del término para ofertar</w:t>
      </w:r>
      <w:r w:rsidRPr="00D16A5E">
        <w:rPr>
          <w:rFonts w:ascii="Verdana" w:eastAsia="Times New Roman" w:hAnsi="Verdana" w:cs="Arial"/>
          <w:vertAlign w:val="superscript"/>
          <w:lang w:val="es-ES" w:eastAsia="es-ES"/>
        </w:rPr>
        <w:footnoteReference w:id="17"/>
      </w:r>
      <w:r w:rsidRPr="00D16A5E">
        <w:rPr>
          <w:rFonts w:ascii="Verdana" w:eastAsia="Times New Roman" w:hAnsi="Verdana" w:cs="Arial"/>
          <w:lang w:val="es-ES" w:eastAsia="es-ES"/>
        </w:rPr>
        <w:t xml:space="preserve">; </w:t>
      </w:r>
      <w:proofErr w:type="spellStart"/>
      <w:r w:rsidRPr="00D16A5E">
        <w:rPr>
          <w:rFonts w:ascii="Verdana" w:eastAsia="Times New Roman" w:hAnsi="Verdana" w:cs="Arial"/>
          <w:lang w:val="es-ES" w:eastAsia="es-ES"/>
        </w:rPr>
        <w:t>iii</w:t>
      </w:r>
      <w:proofErr w:type="spellEnd"/>
      <w:r w:rsidRPr="00D16A5E">
        <w:rPr>
          <w:rFonts w:ascii="Verdana" w:eastAsia="Times New Roman" w:hAnsi="Verdana" w:cs="Arial"/>
          <w:lang w:val="es-ES" w:eastAsia="es-ES"/>
        </w:rPr>
        <w:t>) si un oferente no anexó el Certificado de existencia y representación legal, el documento aportado con posterioridad debe dar cuenta de que la sociedad existía antes del cierre del proceso</w:t>
      </w:r>
      <w:r w:rsidRPr="00D16A5E">
        <w:rPr>
          <w:rFonts w:ascii="Verdana" w:eastAsia="Times New Roman" w:hAnsi="Verdana" w:cs="Arial"/>
          <w:vertAlign w:val="superscript"/>
          <w:lang w:val="es-ES" w:eastAsia="es-ES"/>
        </w:rPr>
        <w:footnoteReference w:id="18"/>
      </w:r>
      <w:r w:rsidRPr="00D16A5E">
        <w:rPr>
          <w:rFonts w:ascii="Verdana" w:eastAsia="Times New Roman" w:hAnsi="Verdana" w:cs="Arial"/>
          <w:lang w:val="es-ES" w:eastAsia="es-ES"/>
        </w:rPr>
        <w:t xml:space="preserve">; </w:t>
      </w:r>
      <w:proofErr w:type="spellStart"/>
      <w:r w:rsidRPr="00D16A5E">
        <w:rPr>
          <w:rFonts w:ascii="Verdana" w:eastAsia="Times New Roman" w:hAnsi="Verdana" w:cs="Arial"/>
          <w:lang w:val="es-ES" w:eastAsia="es-ES"/>
        </w:rPr>
        <w:t>iv</w:t>
      </w:r>
      <w:proofErr w:type="spellEnd"/>
      <w:r w:rsidRPr="00D16A5E">
        <w:rPr>
          <w:rFonts w:ascii="Verdana" w:eastAsia="Times New Roman" w:hAnsi="Verdana" w:cs="Arial"/>
          <w:lang w:val="es-ES" w:eastAsia="es-ES"/>
        </w:rPr>
        <w:t xml:space="preserve">) si un oferente olvidó adjuntar un certificado que demuestra un título universitario, el documento, aunque tenga fecha posterior al cierre del proceso, debe acreditar que el título académico se obtuvo con anterioridad al cierre del proceso; v) si un oferente no allegó un certificado de experiencia, el documento que subsana –sin </w:t>
      </w:r>
      <w:r w:rsidRPr="00D16A5E">
        <w:rPr>
          <w:rFonts w:ascii="Verdana" w:eastAsia="Times New Roman" w:hAnsi="Verdana" w:cs="Arial"/>
          <w:lang w:val="es-ES" w:eastAsia="es-ES"/>
        </w:rPr>
        <w:lastRenderedPageBreak/>
        <w:t xml:space="preserve">importar que tenga fecha posterior– debe demostrar que la experiencia que se pretende hacer valer se obtuvo antes de vencerse el término para presentar ofertas y vi) </w:t>
      </w:r>
      <w:r w:rsidRPr="00AE50A9">
        <w:rPr>
          <w:rFonts w:ascii="Verdana" w:eastAsia="Times New Roman" w:hAnsi="Verdana" w:cs="Arial"/>
          <w:u w:val="single"/>
          <w:lang w:val="es-ES" w:eastAsia="es-ES"/>
        </w:rPr>
        <w:t>si el oferente olvidó firmar la propuesta o presentar una copia de ella, puede subsanar sin que con ello se entienda que acreditó una circunstancia ocurrida con posterioridad al cierre del proceso.</w:t>
      </w:r>
      <w:r w:rsidRPr="00AE50A9">
        <w:rPr>
          <w:rFonts w:ascii="Verdana" w:eastAsia="Times New Roman" w:hAnsi="Verdana" w:cs="Arial"/>
          <w:lang w:val="es-ES" w:eastAsia="es-ES"/>
        </w:rPr>
        <w:t xml:space="preserve"> (Subrayado fuera de texto)</w:t>
      </w:r>
    </w:p>
    <w:p w14:paraId="3EBB23C6" w14:textId="77777777" w:rsidR="00D012A1" w:rsidRDefault="00D012A1" w:rsidP="00D012A1">
      <w:pPr>
        <w:spacing w:after="120" w:line="276" w:lineRule="auto"/>
        <w:ind w:firstLine="709"/>
        <w:jc w:val="both"/>
        <w:rPr>
          <w:rFonts w:ascii="Verdana" w:eastAsia="Times New Roman" w:hAnsi="Verdana" w:cs="Arial"/>
          <w:i/>
          <w:lang w:val="es-ES" w:eastAsia="es-ES"/>
        </w:rPr>
      </w:pPr>
      <w:r w:rsidRPr="00D16A5E">
        <w:rPr>
          <w:rFonts w:ascii="Verdana" w:eastAsia="Times New Roman" w:hAnsi="Verdana" w:cs="Arial"/>
          <w:lang w:val="es-ES" w:eastAsia="es-ES"/>
        </w:rPr>
        <w:t>Lo anterior quiere decir que no es la prueba –usualmente un documento– lo que debe ser anterior al cierre del proceso, sino el hecho que ella acredita</w:t>
      </w:r>
      <w:r>
        <w:rPr>
          <w:rFonts w:ascii="Verdana" w:eastAsia="Times New Roman" w:hAnsi="Verdana" w:cs="Arial"/>
          <w:lang w:val="es-ES" w:eastAsia="es-ES"/>
        </w:rPr>
        <w:t>. E</w:t>
      </w:r>
      <w:r w:rsidRPr="00D16A5E">
        <w:rPr>
          <w:rFonts w:ascii="Verdana" w:eastAsia="Times New Roman" w:hAnsi="Verdana" w:cs="Arial"/>
          <w:lang w:val="es-ES" w:eastAsia="es-ES"/>
        </w:rPr>
        <w:t>s decir, ante la solicitud de la Administración de subsanar determinado requisito, el documento podría estar fechado con posterioridad al vencimiento del término para recibir propuestas, siempre y cuando el hecho que acredite haya ocurrido antes, esto es, que no sea una circunstancia ocurrida con posterioridad al cierre del proceso. Es por esto que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r w:rsidRPr="00D16A5E">
        <w:rPr>
          <w:rFonts w:ascii="Verdana" w:eastAsia="Times New Roman" w:hAnsi="Verdana" w:cs="Arial"/>
          <w:vertAlign w:val="superscript"/>
          <w:lang w:val="es-ES" w:eastAsia="es-ES"/>
        </w:rPr>
        <w:footnoteReference w:id="19"/>
      </w:r>
      <w:r w:rsidRPr="00D16A5E">
        <w:rPr>
          <w:rFonts w:ascii="Verdana" w:eastAsia="Times New Roman" w:hAnsi="Verdana" w:cs="Arial"/>
          <w:lang w:val="es-ES" w:eastAsia="es-ES"/>
        </w:rPr>
        <w:t>.</w:t>
      </w:r>
    </w:p>
    <w:p w14:paraId="2C582997" w14:textId="77777777" w:rsidR="00D012A1" w:rsidRPr="009F4606" w:rsidRDefault="00D012A1" w:rsidP="00D012A1">
      <w:pPr>
        <w:spacing w:after="120" w:line="276" w:lineRule="auto"/>
        <w:ind w:firstLine="709"/>
        <w:jc w:val="both"/>
        <w:rPr>
          <w:rStyle w:val="eop"/>
          <w:rFonts w:ascii="Verdana" w:hAnsi="Verdana" w:cs="Arial"/>
          <w:color w:val="000000"/>
        </w:rPr>
      </w:pPr>
      <w:r w:rsidRPr="00246D72">
        <w:rPr>
          <w:rFonts w:ascii="Verdana" w:eastAsia="Times New Roman" w:hAnsi="Verdana" w:cs="Arial"/>
          <w:iCs/>
          <w:lang w:val="es-ES" w:eastAsia="es-ES"/>
        </w:rPr>
        <w:t>Ahora bien,</w:t>
      </w:r>
      <w:r>
        <w:rPr>
          <w:rFonts w:ascii="Verdana" w:eastAsia="Times New Roman" w:hAnsi="Verdana" w:cs="Arial"/>
          <w:i/>
          <w:lang w:val="es-ES" w:eastAsia="es-ES"/>
        </w:rPr>
        <w:t xml:space="preserve"> e</w:t>
      </w:r>
      <w:r w:rsidRPr="009F4606">
        <w:rPr>
          <w:rStyle w:val="normaltextrun"/>
          <w:rFonts w:ascii="Verdana" w:hAnsi="Verdana" w:cs="Arial"/>
          <w:color w:val="000000"/>
          <w:lang w:val="es-ES"/>
        </w:rPr>
        <w:t xml:space="preserve">l parágrafo 3 del artículo 5 de la Ley 1882 de 2018 determinó, de manera expresa, que </w:t>
      </w:r>
      <w:r>
        <w:rPr>
          <w:rStyle w:val="normaltextrun"/>
          <w:rFonts w:ascii="Verdana" w:hAnsi="Verdana" w:cs="Arial"/>
          <w:color w:val="000000"/>
          <w:lang w:val="es-ES"/>
        </w:rPr>
        <w:t>“</w:t>
      </w:r>
      <w:r w:rsidRPr="009F4606">
        <w:rPr>
          <w:rStyle w:val="normaltextrun"/>
          <w:rFonts w:ascii="Verdana" w:hAnsi="Verdana" w:cs="Arial"/>
          <w:color w:val="000000"/>
          <w:lang w:val="es-ES"/>
        </w:rPr>
        <w:t>la no entrega de la garantía de seriedad junto con la propuesta no será subsanable y será causal de rechazo de la misma</w:t>
      </w:r>
      <w:r>
        <w:rPr>
          <w:rStyle w:val="normaltextrun"/>
          <w:rFonts w:ascii="Verdana" w:hAnsi="Verdana" w:cs="Arial"/>
          <w:color w:val="000000"/>
          <w:lang w:val="es-ES"/>
        </w:rPr>
        <w:t>”</w:t>
      </w:r>
      <w:r w:rsidRPr="009F4606">
        <w:rPr>
          <w:rStyle w:val="normaltextrun"/>
          <w:rFonts w:ascii="Verdana" w:hAnsi="Verdana" w:cs="Arial"/>
          <w:color w:val="000000"/>
          <w:lang w:val="es-ES"/>
        </w:rPr>
        <w:t>, dejando claro que se trata de un documento de obligatoria presentación junto con la propuesta y que materializa los principios de seriedad e irrevocabilidad de la oferta.</w:t>
      </w:r>
      <w:r w:rsidRPr="009F4606">
        <w:rPr>
          <w:rStyle w:val="eop"/>
          <w:rFonts w:ascii="Verdana" w:hAnsi="Verdana" w:cs="Arial"/>
          <w:color w:val="000000"/>
        </w:rPr>
        <w:t> </w:t>
      </w:r>
    </w:p>
    <w:p w14:paraId="4D404458" w14:textId="77777777" w:rsidR="00D012A1" w:rsidRDefault="00D012A1" w:rsidP="00D012A1">
      <w:pPr>
        <w:spacing w:after="120" w:line="276" w:lineRule="auto"/>
        <w:ind w:firstLine="709"/>
        <w:jc w:val="both"/>
        <w:rPr>
          <w:rFonts w:ascii="Verdana" w:eastAsia="Times New Roman" w:hAnsi="Verdana" w:cs="Arial"/>
          <w:lang w:val="es-ES" w:eastAsia="es-ES"/>
        </w:rPr>
      </w:pPr>
      <w:r w:rsidRPr="50927A94">
        <w:rPr>
          <w:rFonts w:ascii="Verdana" w:eastAsia="Times New Roman" w:hAnsi="Verdana" w:cs="Arial"/>
          <w:lang w:val="es-ES" w:eastAsia="es-ES"/>
        </w:rPr>
        <w:t>Visto lo anterior,</w:t>
      </w:r>
      <w:r>
        <w:rPr>
          <w:rFonts w:ascii="Verdana" w:eastAsia="Times New Roman" w:hAnsi="Verdana" w:cs="Arial"/>
          <w:lang w:val="es-ES" w:eastAsia="es-ES"/>
        </w:rPr>
        <w:t xml:space="preserve"> </w:t>
      </w:r>
      <w:r w:rsidRPr="50927A94">
        <w:rPr>
          <w:rFonts w:ascii="Verdana" w:eastAsia="Times New Roman" w:hAnsi="Verdana" w:cs="Arial"/>
          <w:lang w:val="es-ES" w:eastAsia="es-ES"/>
        </w:rPr>
        <w:t>una vez verificada la ausencia de requisitos y/o documentos de la oferta, para efectos de saber si se pueden subsanar, la Administración se debe preguntar</w:t>
      </w:r>
      <w:r>
        <w:rPr>
          <w:rFonts w:ascii="Verdana" w:eastAsia="Times New Roman" w:hAnsi="Verdana" w:cs="Arial"/>
          <w:lang w:val="es-ES" w:eastAsia="es-ES"/>
        </w:rPr>
        <w:t xml:space="preserve">: </w:t>
      </w:r>
      <w:r w:rsidRPr="50927A94">
        <w:rPr>
          <w:rFonts w:ascii="Verdana" w:eastAsia="Times New Roman" w:hAnsi="Verdana" w:cs="Arial"/>
          <w:lang w:val="es-ES" w:eastAsia="es-ES"/>
        </w:rPr>
        <w:t>en primer lugar, si lo que hace falta es un documento que afecte la asignación de puntaje o no y</w:t>
      </w:r>
      <w:r>
        <w:rPr>
          <w:rFonts w:ascii="Verdana" w:eastAsia="Times New Roman" w:hAnsi="Verdana" w:cs="Arial"/>
          <w:lang w:val="es-ES" w:eastAsia="es-ES"/>
        </w:rPr>
        <w:t>;</w:t>
      </w:r>
      <w:r w:rsidRPr="50927A94">
        <w:rPr>
          <w:rFonts w:ascii="Verdana" w:eastAsia="Times New Roman" w:hAnsi="Verdana" w:cs="Arial"/>
          <w:lang w:val="es-ES" w:eastAsia="es-ES"/>
        </w:rPr>
        <w:t xml:space="preserve">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afecte la asignación de puntaje y la respuesta al segundo interrogante debe dar cuenta de que lo omitido sea la prueba de una circunstancia o hecho que ocurrió con anterioridad al cierre del proceso.</w:t>
      </w:r>
    </w:p>
    <w:p w14:paraId="358AD08A" w14:textId="77777777" w:rsidR="00D012A1" w:rsidRDefault="00D012A1" w:rsidP="00D012A1">
      <w:pPr>
        <w:spacing w:after="120" w:line="276" w:lineRule="auto"/>
        <w:ind w:firstLine="709"/>
        <w:jc w:val="both"/>
        <w:rPr>
          <w:rFonts w:ascii="Verdana" w:hAnsi="Verdana" w:cs="Arial"/>
          <w:noProof/>
          <w:lang w:val="es-ES_tradnl"/>
        </w:rPr>
      </w:pPr>
      <w:r w:rsidRPr="00D16A5E">
        <w:rPr>
          <w:rFonts w:ascii="Verdana" w:hAnsi="Verdana" w:cs="Arial"/>
          <w:noProof/>
          <w:lang w:val="es-ES_tradnl"/>
        </w:rPr>
        <w:lastRenderedPageBreak/>
        <w:t>En conclusion</w:t>
      </w:r>
      <w:r>
        <w:rPr>
          <w:rFonts w:ascii="Verdana" w:hAnsi="Verdana" w:cs="Arial"/>
          <w:noProof/>
          <w:lang w:val="es-ES_tradnl"/>
        </w:rPr>
        <w:t xml:space="preserve">, </w:t>
      </w:r>
      <w:r w:rsidRPr="00D16A5E">
        <w:rPr>
          <w:rFonts w:ascii="Verdana" w:hAnsi="Verdana" w:cs="Arial"/>
          <w:noProof/>
          <w:lang w:val="es-ES_tradnl"/>
        </w:rPr>
        <w:t>los requisitos o documentos que no sean necesarios para la comparación de las ofertas pueden subsanarse y todo lo que no sea necesario para la comparación de propuestas no es título suficiente para su rechazo</w:t>
      </w:r>
      <w:r>
        <w:rPr>
          <w:rFonts w:ascii="Verdana" w:hAnsi="Verdana" w:cs="Arial"/>
          <w:noProof/>
          <w:lang w:val="es-ES_tradnl"/>
        </w:rPr>
        <w:t xml:space="preserve">. </w:t>
      </w:r>
    </w:p>
    <w:p w14:paraId="296F1F8B" w14:textId="77777777" w:rsidR="00D012A1" w:rsidRPr="003716E2" w:rsidRDefault="00D012A1" w:rsidP="00D012A1">
      <w:pPr>
        <w:spacing w:after="120" w:line="276" w:lineRule="auto"/>
        <w:ind w:firstLine="709"/>
        <w:jc w:val="both"/>
        <w:rPr>
          <w:rFonts w:ascii="Verdana" w:hAnsi="Verdana" w:cs="Arial"/>
          <w:noProof/>
          <w:lang w:val="es-ES_tradnl"/>
        </w:rPr>
      </w:pPr>
      <w:r w:rsidRPr="003716E2">
        <w:rPr>
          <w:rFonts w:ascii="Verdana" w:hAnsi="Verdana" w:cs="Arial"/>
          <w:noProof/>
          <w:lang w:val="es-ES_tradnl"/>
        </w:rPr>
        <w:t>No obstante, a la luz del artículo 5 de la Ley 1882 de 2018, lo subsanable es la prueba de todas las circunstancias ocurridas antes del vencimiento del término para presentar las ofertas, pues una cosa es el requisito habilitante o el elemento de la propuesta y otra su prueba. De tal modo que lo que prohíbe la norma es que se subsanen requisitos que no estaban materialmente cumplidos al momento de presentación de la oferta, o en palabras de la ley, que se acrediten hechos que ocurrieron después del cierre del proceso, por lo que dicha limitación a la regla de subsanabilidad también deberá ser tenida en cuenta.</w:t>
      </w:r>
    </w:p>
    <w:p w14:paraId="2719D012" w14:textId="77777777" w:rsidR="00D012A1" w:rsidRDefault="00D012A1" w:rsidP="00D012A1">
      <w:pPr>
        <w:tabs>
          <w:tab w:val="left" w:pos="709"/>
          <w:tab w:val="left" w:pos="851"/>
        </w:tabs>
        <w:spacing w:after="0" w:line="276" w:lineRule="auto"/>
        <w:ind w:firstLine="709"/>
        <w:jc w:val="both"/>
        <w:rPr>
          <w:rFonts w:ascii="Verdana" w:eastAsia="Calibri" w:hAnsi="Verdana" w:cs="Arial"/>
        </w:rPr>
      </w:pPr>
      <w:r>
        <w:rPr>
          <w:rFonts w:ascii="Verdana" w:eastAsia="Calibri" w:hAnsi="Verdana" w:cs="Arial"/>
        </w:rPr>
        <w:t xml:space="preserve">Por último, </w:t>
      </w:r>
      <w:r w:rsidRPr="005E0EDE">
        <w:rPr>
          <w:rFonts w:ascii="Verdana" w:eastAsia="Calibri" w:hAnsi="Verdana" w:cs="Arial"/>
        </w:rPr>
        <w:t>al 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lo anterior, previo concepto de sus órganos asesores y equipos jurídicos la solución de casos particulares corresponde a la entidad que debe adoptar la decisión correspondiente para determinar la valid</w:t>
      </w:r>
      <w:r>
        <w:rPr>
          <w:rFonts w:ascii="Verdana" w:eastAsia="Calibri" w:hAnsi="Verdana" w:cs="Arial"/>
        </w:rPr>
        <w:t xml:space="preserve">ez </w:t>
      </w:r>
      <w:r w:rsidRPr="005E0EDE">
        <w:rPr>
          <w:rFonts w:ascii="Verdana" w:eastAsia="Calibri" w:hAnsi="Verdana" w:cs="Arial"/>
        </w:rPr>
        <w:t>o no de los documentos precontractuales aportados.</w:t>
      </w:r>
    </w:p>
    <w:p w14:paraId="244FFB56" w14:textId="77777777" w:rsidR="00D012A1" w:rsidRDefault="00D012A1" w:rsidP="00D012A1">
      <w:pPr>
        <w:widowControl w:val="0"/>
        <w:autoSpaceDE w:val="0"/>
        <w:autoSpaceDN w:val="0"/>
        <w:spacing w:after="0" w:line="276" w:lineRule="auto"/>
        <w:jc w:val="both"/>
        <w:rPr>
          <w:rFonts w:ascii="Verdana" w:hAnsi="Verdana" w:cs="Arial"/>
        </w:rPr>
      </w:pPr>
    </w:p>
    <w:p w14:paraId="2B69DFF2" w14:textId="77777777" w:rsidR="00D012A1" w:rsidRDefault="00D012A1" w:rsidP="00D012A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17C10841" w14:textId="77777777" w:rsidR="00D012A1" w:rsidRDefault="00D012A1" w:rsidP="00D012A1">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D012A1" w14:paraId="34068A38" w14:textId="77777777" w:rsidTr="007365C5">
        <w:trPr>
          <w:trHeight w:val="870"/>
        </w:trPr>
        <w:tc>
          <w:tcPr>
            <w:tcW w:w="8647" w:type="dxa"/>
            <w:tcBorders>
              <w:top w:val="dotted" w:sz="4" w:space="0" w:color="auto"/>
              <w:left w:val="dotted" w:sz="4" w:space="0" w:color="auto"/>
              <w:bottom w:val="dotted" w:sz="4" w:space="0" w:color="auto"/>
              <w:right w:val="dotted" w:sz="4" w:space="0" w:color="auto"/>
            </w:tcBorders>
            <w:hideMark/>
          </w:tcPr>
          <w:p w14:paraId="63666813" w14:textId="77777777" w:rsidR="00D012A1" w:rsidRPr="00321987" w:rsidRDefault="00D012A1" w:rsidP="00D012A1">
            <w:pPr>
              <w:pStyle w:val="Prrafodelista"/>
              <w:numPr>
                <w:ilvl w:val="0"/>
                <w:numId w:val="17"/>
              </w:numPr>
              <w:rPr>
                <w:rFonts w:ascii="Verdana" w:hAnsi="Verdana"/>
                <w:color w:val="000000" w:themeColor="text1"/>
              </w:rPr>
            </w:pPr>
            <w:r w:rsidRPr="00321987">
              <w:rPr>
                <w:rFonts w:ascii="Verdana" w:hAnsi="Verdana"/>
                <w:color w:val="000000" w:themeColor="text1"/>
              </w:rPr>
              <w:t>Código de comercio, artículo 836</w:t>
            </w:r>
          </w:p>
          <w:p w14:paraId="6AB37F29" w14:textId="77777777" w:rsidR="00D012A1" w:rsidRPr="00321987" w:rsidRDefault="00D012A1" w:rsidP="00D012A1">
            <w:pPr>
              <w:pStyle w:val="Prrafodelista"/>
              <w:numPr>
                <w:ilvl w:val="0"/>
                <w:numId w:val="17"/>
              </w:numPr>
              <w:rPr>
                <w:rFonts w:ascii="Verdana" w:hAnsi="Verdana"/>
                <w:color w:val="000000" w:themeColor="text1"/>
              </w:rPr>
            </w:pPr>
            <w:r w:rsidRPr="00321987">
              <w:rPr>
                <w:rFonts w:ascii="Verdana" w:hAnsi="Verdana"/>
                <w:color w:val="000000" w:themeColor="text1"/>
              </w:rPr>
              <w:t xml:space="preserve">Ley 80 de 1993, artículo 25, numeral 15, </w:t>
            </w:r>
          </w:p>
          <w:p w14:paraId="03223512" w14:textId="77777777" w:rsidR="00D012A1" w:rsidRPr="00321987" w:rsidRDefault="00D012A1" w:rsidP="00D012A1">
            <w:pPr>
              <w:pStyle w:val="Prrafodelista"/>
              <w:numPr>
                <w:ilvl w:val="0"/>
                <w:numId w:val="17"/>
              </w:numPr>
              <w:rPr>
                <w:rFonts w:ascii="Verdana" w:hAnsi="Verdana"/>
                <w:color w:val="000000" w:themeColor="text1"/>
              </w:rPr>
            </w:pPr>
            <w:r w:rsidRPr="00321987">
              <w:rPr>
                <w:rFonts w:ascii="Verdana" w:hAnsi="Verdana"/>
                <w:color w:val="000000" w:themeColor="text1"/>
              </w:rPr>
              <w:t>Ley 527 de 1999, artículos 2, 7, 14, 22</w:t>
            </w:r>
          </w:p>
          <w:p w14:paraId="525A999A" w14:textId="77777777" w:rsidR="00D012A1" w:rsidRPr="00321987" w:rsidRDefault="00D012A1" w:rsidP="00D012A1">
            <w:pPr>
              <w:pStyle w:val="Prrafodelista"/>
              <w:numPr>
                <w:ilvl w:val="0"/>
                <w:numId w:val="17"/>
              </w:numPr>
              <w:rPr>
                <w:rFonts w:ascii="Verdana" w:hAnsi="Verdana"/>
                <w:color w:val="000000" w:themeColor="text1"/>
              </w:rPr>
            </w:pPr>
            <w:r w:rsidRPr="00321987">
              <w:rPr>
                <w:rFonts w:ascii="Verdana" w:hAnsi="Verdana"/>
                <w:color w:val="000000" w:themeColor="text1"/>
              </w:rPr>
              <w:t>Ley 1150 de 2007, artículo 5</w:t>
            </w:r>
          </w:p>
          <w:p w14:paraId="78C38D46" w14:textId="77777777" w:rsidR="00D012A1" w:rsidRPr="00321987" w:rsidRDefault="00D012A1" w:rsidP="00D012A1">
            <w:pPr>
              <w:pStyle w:val="Prrafodelista"/>
              <w:numPr>
                <w:ilvl w:val="0"/>
                <w:numId w:val="17"/>
              </w:numPr>
              <w:rPr>
                <w:rFonts w:ascii="Verdana" w:hAnsi="Verdana"/>
                <w:color w:val="000000" w:themeColor="text1"/>
              </w:rPr>
            </w:pPr>
            <w:r w:rsidRPr="00321987">
              <w:rPr>
                <w:rFonts w:ascii="Verdana" w:hAnsi="Verdana"/>
                <w:color w:val="000000" w:themeColor="text1"/>
              </w:rPr>
              <w:t>Decreto 2364 de 2012, artículo 1</w:t>
            </w:r>
          </w:p>
          <w:p w14:paraId="010FAF98" w14:textId="77777777" w:rsidR="00D012A1" w:rsidRPr="00321987" w:rsidRDefault="00D012A1" w:rsidP="00D012A1">
            <w:pPr>
              <w:pStyle w:val="Prrafodelista"/>
              <w:numPr>
                <w:ilvl w:val="0"/>
                <w:numId w:val="17"/>
              </w:numPr>
              <w:rPr>
                <w:rFonts w:ascii="Verdana" w:hAnsi="Verdana"/>
                <w:color w:val="000000" w:themeColor="text1"/>
              </w:rPr>
            </w:pPr>
            <w:r w:rsidRPr="00321987">
              <w:rPr>
                <w:rFonts w:ascii="Verdana" w:hAnsi="Verdana"/>
                <w:color w:val="000000" w:themeColor="text1"/>
              </w:rPr>
              <w:t>Ley 1882 de 2018, artículo 5</w:t>
            </w:r>
          </w:p>
          <w:p w14:paraId="51D002C1" w14:textId="77777777" w:rsidR="00D012A1" w:rsidRPr="00924340" w:rsidRDefault="00D012A1" w:rsidP="007365C5">
            <w:pPr>
              <w:pStyle w:val="Prrafodelista"/>
              <w:spacing w:line="276" w:lineRule="auto"/>
              <w:ind w:left="360"/>
              <w:contextualSpacing w:val="0"/>
              <w:jc w:val="both"/>
              <w:rPr>
                <w:rFonts w:ascii="Verdana" w:hAnsi="Verdana" w:cs="Arial"/>
              </w:rPr>
            </w:pPr>
          </w:p>
        </w:tc>
      </w:tr>
    </w:tbl>
    <w:p w14:paraId="79F15F0E" w14:textId="77777777" w:rsidR="00D012A1" w:rsidRDefault="00D012A1" w:rsidP="00D012A1">
      <w:pPr>
        <w:widowControl w:val="0"/>
        <w:autoSpaceDE w:val="0"/>
        <w:autoSpaceDN w:val="0"/>
        <w:spacing w:after="0" w:line="276" w:lineRule="auto"/>
        <w:jc w:val="both"/>
        <w:rPr>
          <w:rFonts w:ascii="Verdana" w:hAnsi="Verdana" w:cs="Arial"/>
        </w:rPr>
      </w:pPr>
    </w:p>
    <w:p w14:paraId="3BD89EB0" w14:textId="77777777" w:rsidR="00D012A1" w:rsidRDefault="00D012A1" w:rsidP="00D012A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004C907F" w14:textId="77777777" w:rsidR="00D012A1" w:rsidRDefault="00D012A1" w:rsidP="00D012A1">
      <w:pPr>
        <w:widowControl w:val="0"/>
        <w:autoSpaceDE w:val="0"/>
        <w:autoSpaceDN w:val="0"/>
        <w:spacing w:after="0" w:line="276" w:lineRule="auto"/>
        <w:jc w:val="both"/>
        <w:rPr>
          <w:rFonts w:ascii="Verdana" w:hAnsi="Verdana" w:cs="Arial"/>
        </w:rPr>
      </w:pPr>
    </w:p>
    <w:p w14:paraId="1450015A" w14:textId="6946CAE5" w:rsidR="00D012A1" w:rsidRDefault="00D012A1" w:rsidP="00D012A1">
      <w:pPr>
        <w:widowControl w:val="0"/>
        <w:autoSpaceDE w:val="0"/>
        <w:autoSpaceDN w:val="0"/>
        <w:spacing w:after="0" w:line="276" w:lineRule="auto"/>
        <w:jc w:val="both"/>
        <w:rPr>
          <w:rStyle w:val="normaltextrun"/>
          <w:rFonts w:ascii="Verdana" w:hAnsi="Verdana" w:cs="Arial"/>
          <w:color w:val="FF0000"/>
          <w:shd w:val="clear" w:color="auto" w:fill="FFFFFF"/>
          <w:lang w:val="es-ES"/>
        </w:rPr>
      </w:pPr>
      <w:r>
        <w:rPr>
          <w:rStyle w:val="normaltextrun"/>
          <w:rFonts w:ascii="Verdana" w:hAnsi="Verdana" w:cs="Arial"/>
          <w:shd w:val="clear" w:color="auto" w:fill="FFFFFF"/>
          <w:lang w:val="es-ES"/>
        </w:rPr>
        <w:t xml:space="preserve">Sobre </w:t>
      </w:r>
      <w:r w:rsidR="000B589E">
        <w:rPr>
          <w:rFonts w:ascii="Verdana" w:eastAsia="Aptos" w:hAnsi="Verdana" w:cs="Arial"/>
          <w:shd w:val="clear" w:color="auto" w:fill="FFFFFF"/>
          <w:lang w:val="es-ES"/>
        </w:rPr>
        <w:t>la firma electrónica, digital y manuscrita</w:t>
      </w:r>
      <w:r w:rsidRPr="00286FF3">
        <w:rPr>
          <w:rFonts w:ascii="Verdana" w:eastAsia="Aptos" w:hAnsi="Verdana" w:cs="Arial"/>
          <w:shd w:val="clear" w:color="auto" w:fill="FFFFFF"/>
          <w:lang w:val="es-ES"/>
        </w:rPr>
        <w:t xml:space="preserve"> esta Subdirección se ha pronunciado en los conceptos</w:t>
      </w:r>
      <w:r>
        <w:rPr>
          <w:rFonts w:ascii="Verdana" w:eastAsia="Aptos" w:hAnsi="Verdana" w:cs="Arial"/>
          <w:shd w:val="clear" w:color="auto" w:fill="FFFFFF"/>
          <w:lang w:val="es-ES"/>
        </w:rPr>
        <w:t xml:space="preserve"> C-151 del 12 de mayo de 2023, C-131 del 12 de marzo de 2025, C-220 del 26 de marzo de 2025, C-360 del 30 de abril de 2025,</w:t>
      </w:r>
      <w:r>
        <w:rPr>
          <w:rFonts w:ascii="Verdana" w:hAnsi="Verdana"/>
        </w:rPr>
        <w:t xml:space="preserve"> C-521 del 9 de junio de </w:t>
      </w:r>
      <w:proofErr w:type="gramStart"/>
      <w:r>
        <w:rPr>
          <w:rFonts w:ascii="Verdana" w:hAnsi="Verdana"/>
        </w:rPr>
        <w:t>2025</w:t>
      </w:r>
      <w:r>
        <w:rPr>
          <w:rFonts w:ascii="Verdana" w:eastAsia="Aptos" w:hAnsi="Verdana" w:cs="Arial"/>
          <w:shd w:val="clear" w:color="auto" w:fill="FFFFFF"/>
          <w:lang w:val="es-ES"/>
        </w:rPr>
        <w:t xml:space="preserve">, </w:t>
      </w:r>
      <w:r w:rsidRPr="001A1DD4">
        <w:rPr>
          <w:rStyle w:val="normaltextrun"/>
          <w:rFonts w:ascii="Verdana" w:hAnsi="Verdana" w:cs="Arial"/>
          <w:shd w:val="clear" w:color="auto" w:fill="FFFFFF"/>
          <w:lang w:val="es-ES"/>
        </w:rPr>
        <w:t xml:space="preserve"> entre</w:t>
      </w:r>
      <w:proofErr w:type="gramEnd"/>
      <w:r w:rsidRPr="001A1DD4">
        <w:rPr>
          <w:rStyle w:val="normaltextrun"/>
          <w:rFonts w:ascii="Verdana" w:hAnsi="Verdana" w:cs="Arial"/>
          <w:shd w:val="clear" w:color="auto" w:fill="FFFFFF"/>
          <w:lang w:val="es-ES"/>
        </w:rPr>
        <w:t xml:space="preserve"> otros. Es</w:t>
      </w:r>
      <w:r w:rsidRPr="001A1DD4">
        <w:rPr>
          <w:rFonts w:ascii="Verdana" w:hAnsi="Verdana"/>
        </w:rPr>
        <w:t>tos y otros conceptos</w:t>
      </w:r>
      <w:r>
        <w:rPr>
          <w:rFonts w:ascii="Verdana" w:hAnsi="Verdana"/>
        </w:rPr>
        <w:t xml:space="preserve"> se encuentran disponibles para consulta en el Sistema de relatoría de la Agencia, al cual se </w:t>
      </w:r>
      <w:r>
        <w:rPr>
          <w:rFonts w:ascii="Verdana" w:hAnsi="Verdana"/>
        </w:rPr>
        <w:lastRenderedPageBreak/>
        <w:t>puede acceder a través del siguiente enlace:</w:t>
      </w:r>
      <w:r>
        <w:rPr>
          <w:rStyle w:val="normaltextrun"/>
          <w:rFonts w:ascii="Verdana" w:hAnsi="Verdana" w:cs="Arial"/>
          <w:shd w:val="clear" w:color="auto" w:fill="FFFFFF"/>
          <w:lang w:val="es-ES"/>
        </w:rPr>
        <w:t xml:space="preserve"> </w:t>
      </w:r>
      <w:hyperlink r:id="rId12" w:history="1">
        <w:r w:rsidRPr="00785440">
          <w:rPr>
            <w:rStyle w:val="Hipervnculo"/>
            <w:rFonts w:ascii="Verdana" w:hAnsi="Verdana" w:cs="Arial"/>
            <w:shd w:val="clear" w:color="auto" w:fill="FFFFFF"/>
            <w:lang w:val="es-ES"/>
          </w:rPr>
          <w:t>https://relatoria.colombiacompra.gov.co/busqueda/conceptos</w:t>
        </w:r>
      </w:hyperlink>
      <w:r w:rsidRPr="00785440">
        <w:rPr>
          <w:rStyle w:val="normaltextrun"/>
          <w:rFonts w:ascii="Verdana" w:hAnsi="Verdana" w:cs="Arial"/>
          <w:color w:val="FF0000"/>
          <w:shd w:val="clear" w:color="auto" w:fill="FFFFFF"/>
          <w:lang w:val="es-ES"/>
        </w:rPr>
        <w:t xml:space="preserve">. </w:t>
      </w:r>
    </w:p>
    <w:p w14:paraId="5C50896D" w14:textId="77777777" w:rsidR="00D012A1" w:rsidRDefault="00D012A1" w:rsidP="00D012A1">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18B4F77E" w14:textId="77777777" w:rsidR="00D012A1" w:rsidRPr="001205D1" w:rsidRDefault="00D012A1" w:rsidP="00D012A1">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7187611B" w14:textId="77777777" w:rsidR="00D012A1" w:rsidRDefault="00D012A1" w:rsidP="00D012A1">
      <w:pPr>
        <w:spacing w:after="0" w:line="276" w:lineRule="auto"/>
        <w:jc w:val="both"/>
        <w:rPr>
          <w:rFonts w:ascii="Verdana" w:hAnsi="Verdana"/>
        </w:rPr>
      </w:pPr>
    </w:p>
    <w:p w14:paraId="71A53BD2" w14:textId="77777777" w:rsidR="00D012A1" w:rsidRDefault="00D012A1" w:rsidP="00D012A1">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6AF4E098" w14:textId="77777777" w:rsidR="00D012A1" w:rsidRDefault="00D012A1" w:rsidP="00D012A1">
      <w:pPr>
        <w:spacing w:after="0" w:line="276" w:lineRule="auto"/>
        <w:jc w:val="both"/>
        <w:rPr>
          <w:rFonts w:ascii="Verdana" w:hAnsi="Verdana"/>
        </w:rPr>
      </w:pPr>
    </w:p>
    <w:p w14:paraId="4F592A6B" w14:textId="77777777" w:rsidR="00D012A1" w:rsidRDefault="00D012A1" w:rsidP="00D012A1">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2ABD26CF" w14:textId="77777777" w:rsidR="00D012A1" w:rsidRDefault="00D012A1" w:rsidP="00D012A1">
      <w:pPr>
        <w:spacing w:after="0" w:line="276" w:lineRule="auto"/>
        <w:jc w:val="both"/>
        <w:rPr>
          <w:rFonts w:ascii="Verdana" w:hAnsi="Verdana"/>
        </w:rPr>
      </w:pPr>
      <w:r>
        <w:rPr>
          <w:rFonts w:ascii="Verdana" w:hAnsi="Verdana"/>
        </w:rPr>
        <w:t xml:space="preserve">Facebook: </w:t>
      </w:r>
      <w:proofErr w:type="spellStart"/>
      <w:r>
        <w:rPr>
          <w:rStyle w:val="Hipervnculo"/>
          <w:rFonts w:ascii="Verdana" w:hAnsi="Verdana"/>
          <w:color w:val="4472C4" w:themeColor="accent1"/>
        </w:rPr>
        <w:t>ColombiaCompraEficiente</w:t>
      </w:r>
      <w:proofErr w:type="spellEnd"/>
    </w:p>
    <w:p w14:paraId="3586A82B" w14:textId="77777777" w:rsidR="00D012A1" w:rsidRDefault="00D012A1" w:rsidP="00D012A1">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09EE52B7" w14:textId="77777777" w:rsidR="00D012A1" w:rsidRDefault="00D012A1" w:rsidP="00D012A1">
      <w:pPr>
        <w:widowControl w:val="0"/>
        <w:autoSpaceDE w:val="0"/>
        <w:autoSpaceDN w:val="0"/>
        <w:spacing w:after="0" w:line="276" w:lineRule="auto"/>
        <w:jc w:val="both"/>
        <w:rPr>
          <w:rFonts w:ascii="Verdana" w:hAnsi="Verdana" w:cs="Arial"/>
        </w:rPr>
      </w:pPr>
    </w:p>
    <w:p w14:paraId="16E7E8D6" w14:textId="77777777" w:rsidR="00D012A1" w:rsidRDefault="00D012A1" w:rsidP="00D012A1">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59DC0F9D" w14:textId="77777777" w:rsidR="00D012A1" w:rsidRDefault="00D012A1" w:rsidP="00D012A1">
      <w:pPr>
        <w:widowControl w:val="0"/>
        <w:autoSpaceDE w:val="0"/>
        <w:autoSpaceDN w:val="0"/>
        <w:spacing w:after="0" w:line="276" w:lineRule="auto"/>
        <w:jc w:val="both"/>
        <w:rPr>
          <w:rFonts w:ascii="Verdana" w:hAnsi="Verdana" w:cs="Arial"/>
        </w:rPr>
      </w:pPr>
    </w:p>
    <w:p w14:paraId="6A4FEAE0" w14:textId="77777777" w:rsidR="00D012A1" w:rsidRDefault="00D012A1" w:rsidP="00D012A1">
      <w:pPr>
        <w:spacing w:after="0" w:line="276" w:lineRule="auto"/>
        <w:rPr>
          <w:rFonts w:ascii="Verdana" w:hAnsi="Verdana" w:cs="Arial"/>
          <w:lang w:eastAsia="es-CO"/>
        </w:rPr>
      </w:pPr>
      <w:r>
        <w:rPr>
          <w:rFonts w:ascii="Verdana" w:eastAsia="Times New Roman" w:hAnsi="Verdana" w:cs="Arial"/>
          <w:lang w:eastAsia="es-CO"/>
        </w:rPr>
        <w:t>Atentamente,</w:t>
      </w:r>
      <w:r>
        <w:rPr>
          <w:rFonts w:ascii="Verdana" w:hAnsi="Verdana" w:cs="Arial"/>
          <w:lang w:eastAsia="es-CO"/>
        </w:rPr>
        <w:t xml:space="preserve"> </w:t>
      </w:r>
    </w:p>
    <w:p w14:paraId="16F28259" w14:textId="1FCF98DD" w:rsidR="00D012A1" w:rsidRDefault="00F725FA" w:rsidP="00D012A1">
      <w:pPr>
        <w:spacing w:line="276" w:lineRule="auto"/>
        <w:jc w:val="center"/>
        <w:rPr>
          <w:rFonts w:ascii="Verdana" w:hAnsi="Verdana" w:cs="Arial"/>
          <w:color w:val="000000"/>
          <w:lang w:val="es-ES_tradnl" w:eastAsia="es-CO"/>
        </w:rPr>
      </w:pPr>
      <w:r>
        <w:rPr>
          <w:noProof/>
        </w:rPr>
        <w:drawing>
          <wp:inline distT="0" distB="0" distL="0" distR="0" wp14:anchorId="7A282C73" wp14:editId="723E33A2">
            <wp:extent cx="3768725" cy="1399540"/>
            <wp:effectExtent l="0" t="0" r="3175" b="0"/>
            <wp:docPr id="5" name="Imagen 5"/>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012A1" w14:paraId="1DC0B788" w14:textId="77777777" w:rsidTr="007365C5">
        <w:trPr>
          <w:trHeight w:val="315"/>
        </w:trPr>
        <w:tc>
          <w:tcPr>
            <w:tcW w:w="893" w:type="dxa"/>
            <w:vAlign w:val="center"/>
            <w:hideMark/>
          </w:tcPr>
          <w:p w14:paraId="707F442E" w14:textId="77777777" w:rsidR="00D012A1" w:rsidRDefault="00D012A1" w:rsidP="007365C5">
            <w:pPr>
              <w:spacing w:after="255"/>
              <w:contextualSpacing/>
              <w:rPr>
                <w:rFonts w:ascii="Verdana" w:hAnsi="Verdana" w:cs="Arial"/>
                <w:sz w:val="16"/>
                <w:szCs w:val="16"/>
                <w:lang w:val="es-ES" w:eastAsia="es-ES"/>
              </w:rPr>
            </w:pPr>
            <w:r>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5D678D39" w14:textId="77777777" w:rsidR="00D012A1" w:rsidRDefault="00D012A1" w:rsidP="007365C5">
            <w:pPr>
              <w:spacing w:after="255"/>
              <w:contextualSpacing/>
              <w:rPr>
                <w:rFonts w:ascii="Verdana" w:eastAsia="Arial" w:hAnsi="Verdana" w:cs="Arial"/>
                <w:sz w:val="16"/>
                <w:szCs w:val="16"/>
              </w:rPr>
            </w:pPr>
            <w:r>
              <w:rPr>
                <w:rStyle w:val="normaltextrun"/>
                <w:rFonts w:ascii="Verdana" w:hAnsi="Verdana"/>
                <w:sz w:val="16"/>
                <w:szCs w:val="16"/>
              </w:rPr>
              <w:t xml:space="preserve">Catalina Cubides </w:t>
            </w:r>
            <w:proofErr w:type="spellStart"/>
            <w:r>
              <w:rPr>
                <w:rStyle w:val="normaltextrun"/>
                <w:rFonts w:ascii="Verdana" w:hAnsi="Verdana"/>
                <w:sz w:val="16"/>
                <w:szCs w:val="16"/>
              </w:rPr>
              <w:t>Estupiñan</w:t>
            </w:r>
            <w:proofErr w:type="spellEnd"/>
          </w:p>
          <w:p w14:paraId="68A1AEED" w14:textId="77777777" w:rsidR="00D012A1" w:rsidRDefault="00D012A1" w:rsidP="007365C5">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D012A1" w14:paraId="288241E9" w14:textId="77777777" w:rsidTr="007365C5">
        <w:trPr>
          <w:trHeight w:val="330"/>
        </w:trPr>
        <w:tc>
          <w:tcPr>
            <w:tcW w:w="893" w:type="dxa"/>
            <w:vAlign w:val="center"/>
            <w:hideMark/>
          </w:tcPr>
          <w:p w14:paraId="054D926F" w14:textId="77777777" w:rsidR="00D012A1" w:rsidRDefault="00D012A1" w:rsidP="007365C5">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BF75E61" w14:textId="77777777" w:rsidR="00D012A1" w:rsidRDefault="00D012A1" w:rsidP="007365C5">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Diana Lucía Saavedra Castañeda</w:t>
            </w:r>
          </w:p>
          <w:p w14:paraId="2BEC6F9A" w14:textId="77777777" w:rsidR="00D012A1" w:rsidRDefault="00D012A1" w:rsidP="007365C5">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D012A1" w14:paraId="53C8B054" w14:textId="77777777" w:rsidTr="007365C5">
        <w:trPr>
          <w:trHeight w:val="300"/>
        </w:trPr>
        <w:tc>
          <w:tcPr>
            <w:tcW w:w="893" w:type="dxa"/>
            <w:vAlign w:val="center"/>
            <w:hideMark/>
          </w:tcPr>
          <w:p w14:paraId="28274EC1" w14:textId="77777777" w:rsidR="00D012A1" w:rsidRDefault="00D012A1" w:rsidP="007365C5">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705040E" w14:textId="77777777" w:rsidR="00D012A1" w:rsidRDefault="00D012A1" w:rsidP="007365C5">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66793A91" w14:textId="77777777" w:rsidR="00D012A1" w:rsidRDefault="00D012A1" w:rsidP="007365C5">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w:t>
            </w:r>
            <w:proofErr w:type="spellStart"/>
            <w:r>
              <w:rPr>
                <w:rFonts w:ascii="Verdana" w:eastAsia="Calibri" w:hAnsi="Verdana" w:cs="Arial"/>
                <w:sz w:val="16"/>
                <w:szCs w:val="16"/>
                <w:lang w:val="pt-BR" w:eastAsia="es-ES"/>
              </w:rPr>
              <w:t>Gestión</w:t>
            </w:r>
            <w:proofErr w:type="spellEnd"/>
            <w:r>
              <w:rPr>
                <w:rFonts w:ascii="Verdana" w:eastAsia="Calibri" w:hAnsi="Verdana" w:cs="Arial"/>
                <w:sz w:val="16"/>
                <w:szCs w:val="16"/>
                <w:lang w:val="pt-BR" w:eastAsia="es-ES"/>
              </w:rPr>
              <w:t xml:space="preserve">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w:t>
            </w:r>
          </w:p>
        </w:tc>
      </w:tr>
    </w:tbl>
    <w:p w14:paraId="552176AF" w14:textId="77777777" w:rsidR="00D012A1" w:rsidRPr="0044528D" w:rsidRDefault="00D012A1" w:rsidP="00D012A1">
      <w:pPr>
        <w:spacing w:after="0"/>
        <w:rPr>
          <w:rFonts w:ascii="Verdana" w:hAnsi="Verdana"/>
        </w:rPr>
      </w:pPr>
    </w:p>
    <w:p w14:paraId="7FD2EE30" w14:textId="77777777" w:rsidR="00D012A1" w:rsidRPr="00046945" w:rsidRDefault="00D012A1" w:rsidP="00D012A1">
      <w:pPr>
        <w:spacing w:after="0"/>
        <w:rPr>
          <w:rFonts w:ascii="Verdana" w:eastAsia="Times New Roman" w:hAnsi="Verdana" w:cs="Segoe UI"/>
          <w:sz w:val="18"/>
          <w:szCs w:val="18"/>
          <w:lang w:eastAsia="es-CO"/>
        </w:rPr>
      </w:pPr>
    </w:p>
    <w:p w14:paraId="0F293BF4" w14:textId="05536138" w:rsidR="00127233" w:rsidRPr="00046945" w:rsidRDefault="00127233" w:rsidP="00D012A1">
      <w:pPr>
        <w:spacing w:after="0"/>
        <w:rPr>
          <w:rFonts w:ascii="Verdana" w:eastAsia="Times New Roman" w:hAnsi="Verdana" w:cs="Segoe UI"/>
          <w:sz w:val="18"/>
          <w:szCs w:val="18"/>
          <w:lang w:eastAsia="es-CO"/>
        </w:rPr>
      </w:pPr>
    </w:p>
    <w:sectPr w:rsidR="00127233" w:rsidRPr="00046945"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E08A5A" w14:textId="77777777" w:rsidR="00066265" w:rsidRDefault="00066265" w:rsidP="004A1847">
      <w:pPr>
        <w:spacing w:after="0" w:line="240" w:lineRule="auto"/>
      </w:pPr>
      <w:r>
        <w:separator/>
      </w:r>
    </w:p>
  </w:endnote>
  <w:endnote w:type="continuationSeparator" w:id="0">
    <w:p w14:paraId="4F15636B" w14:textId="77777777" w:rsidR="00066265" w:rsidRDefault="0006626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ptos">
    <w:altName w:val="Arial"/>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C38E41" w14:textId="77777777" w:rsidR="00066265" w:rsidRDefault="00066265" w:rsidP="004A1847">
      <w:pPr>
        <w:spacing w:after="0" w:line="240" w:lineRule="auto"/>
      </w:pPr>
      <w:r>
        <w:separator/>
      </w:r>
    </w:p>
  </w:footnote>
  <w:footnote w:type="continuationSeparator" w:id="0">
    <w:p w14:paraId="08F41E0F" w14:textId="77777777" w:rsidR="00066265" w:rsidRDefault="00066265" w:rsidP="004A1847">
      <w:pPr>
        <w:spacing w:after="0" w:line="240" w:lineRule="auto"/>
      </w:pPr>
      <w:r>
        <w:continuationSeparator/>
      </w:r>
    </w:p>
  </w:footnote>
  <w:footnote w:id="1">
    <w:p w14:paraId="067629D3" w14:textId="77777777" w:rsidR="00D012A1" w:rsidRPr="008A020D" w:rsidRDefault="00D012A1" w:rsidP="00D012A1">
      <w:pPr>
        <w:pStyle w:val="Textonotapie"/>
        <w:rPr>
          <w:lang w:val="es-ES"/>
        </w:rPr>
      </w:pPr>
      <w:r>
        <w:rPr>
          <w:rStyle w:val="Refdenotaalpie"/>
        </w:rPr>
        <w:footnoteRef/>
      </w:r>
      <w:r>
        <w:t xml:space="preserve"> </w:t>
      </w:r>
      <w:hyperlink r:id="rId1" w:history="1">
        <w:r w:rsidRPr="003E1EC9">
          <w:rPr>
            <w:rStyle w:val="Hipervnculo"/>
          </w:rPr>
          <w:t>https://www.colombiacompra.gov.co/wp-content/uploads/2024/10/cce-gti-idi-05_terminos_y_condiciones_de_uso_del_sistema_electronico_de_contratacion_publica_-_secop_ii_19-11-2021.pdf</w:t>
        </w:r>
      </w:hyperlink>
      <w:r>
        <w:t xml:space="preserve"> </w:t>
      </w:r>
    </w:p>
  </w:footnote>
  <w:footnote w:id="2">
    <w:p w14:paraId="7E2F4942" w14:textId="77777777" w:rsidR="00D012A1" w:rsidRPr="00FE7D2F" w:rsidRDefault="00D012A1" w:rsidP="00D012A1">
      <w:pPr>
        <w:pStyle w:val="Textonotapie"/>
        <w:ind w:firstLine="708"/>
        <w:rPr>
          <w:rFonts w:ascii="Verdana" w:hAnsi="Verdana" w:cs="Arial"/>
          <w:sz w:val="16"/>
          <w:szCs w:val="16"/>
          <w:lang w:val="es-ES"/>
        </w:rPr>
      </w:pPr>
      <w:r w:rsidRPr="00FE7D2F">
        <w:rPr>
          <w:rStyle w:val="Refdenotaalpie"/>
          <w:rFonts w:ascii="Verdana" w:hAnsi="Verdana" w:cs="Arial"/>
          <w:sz w:val="16"/>
          <w:szCs w:val="16"/>
        </w:rPr>
        <w:footnoteRef/>
      </w:r>
      <w:r w:rsidRPr="00FE7D2F">
        <w:rPr>
          <w:rFonts w:ascii="Verdana" w:hAnsi="Verdana"/>
          <w:sz w:val="16"/>
          <w:szCs w:val="16"/>
        </w:rPr>
        <w:t xml:space="preserve"> </w:t>
      </w:r>
      <w:r w:rsidRPr="00FE7D2F">
        <w:rPr>
          <w:rFonts w:ascii="Verdana" w:hAnsi="Verdana" w:cs="Arial"/>
          <w:sz w:val="16"/>
          <w:szCs w:val="16"/>
          <w:lang w:val="es-ES"/>
        </w:rPr>
        <w:t>REMOLINA, Nelson y PEÑA, Lisandro De los títulos valores y de los valores en el contexto digital. Bogotá: Temis, 2011. p. 120.</w:t>
      </w:r>
    </w:p>
    <w:p w14:paraId="771A5F5C" w14:textId="77777777" w:rsidR="00D012A1" w:rsidRPr="00FE7D2F" w:rsidRDefault="00D012A1" w:rsidP="00D012A1">
      <w:pPr>
        <w:pStyle w:val="Textonotapie"/>
        <w:ind w:firstLine="708"/>
        <w:rPr>
          <w:rFonts w:ascii="Verdana" w:hAnsi="Verdana" w:cs="Arial"/>
          <w:sz w:val="16"/>
          <w:szCs w:val="16"/>
          <w:lang w:val="es-ES"/>
        </w:rPr>
      </w:pPr>
    </w:p>
  </w:footnote>
  <w:footnote w:id="3">
    <w:p w14:paraId="49C94C53" w14:textId="77777777" w:rsidR="00D012A1" w:rsidRPr="00FE7D2F" w:rsidRDefault="00D012A1" w:rsidP="00D012A1">
      <w:pPr>
        <w:pStyle w:val="Textonotapie"/>
        <w:ind w:firstLine="708"/>
        <w:jc w:val="both"/>
        <w:rPr>
          <w:rFonts w:ascii="Verdana" w:hAnsi="Verdana" w:cs="Arial"/>
          <w:sz w:val="16"/>
          <w:szCs w:val="16"/>
        </w:rPr>
      </w:pPr>
      <w:r w:rsidRPr="00FE7D2F">
        <w:rPr>
          <w:rStyle w:val="Refdenotaalpie"/>
          <w:rFonts w:ascii="Verdana" w:hAnsi="Verdana" w:cs="Arial"/>
          <w:sz w:val="16"/>
          <w:szCs w:val="16"/>
        </w:rPr>
        <w:footnoteRef/>
      </w:r>
      <w:r w:rsidRPr="00FE7D2F">
        <w:rPr>
          <w:rFonts w:ascii="Verdana" w:hAnsi="Verdana"/>
          <w:sz w:val="16"/>
          <w:szCs w:val="16"/>
        </w:rPr>
        <w:t xml:space="preserve"> </w:t>
      </w:r>
      <w:r w:rsidRPr="00FE7D2F">
        <w:rPr>
          <w:rFonts w:ascii="Verdana" w:hAnsi="Verdana" w:cs="Arial"/>
          <w:sz w:val="16"/>
          <w:szCs w:val="16"/>
        </w:rPr>
        <w:t>Ley 527 de 1999: “Artículo 2. Definiciones […] c) Firma digital. Se entenderá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w:t>
      </w:r>
    </w:p>
    <w:p w14:paraId="4A81E864" w14:textId="77777777" w:rsidR="00D012A1" w:rsidRPr="00FE7D2F" w:rsidRDefault="00D012A1" w:rsidP="00D012A1">
      <w:pPr>
        <w:pStyle w:val="Textonotapie"/>
        <w:ind w:firstLine="708"/>
        <w:jc w:val="both"/>
        <w:rPr>
          <w:rFonts w:ascii="Verdana" w:hAnsi="Verdana" w:cs="Arial"/>
          <w:sz w:val="16"/>
          <w:szCs w:val="16"/>
        </w:rPr>
      </w:pPr>
    </w:p>
  </w:footnote>
  <w:footnote w:id="4">
    <w:p w14:paraId="74BD0ECE" w14:textId="77777777" w:rsidR="00D012A1" w:rsidRPr="00FE7D2F" w:rsidRDefault="00D012A1" w:rsidP="00D012A1">
      <w:pPr>
        <w:pStyle w:val="Textonotapie"/>
        <w:ind w:firstLine="708"/>
        <w:jc w:val="both"/>
        <w:rPr>
          <w:rFonts w:ascii="Verdana" w:hAnsi="Verdana" w:cs="Arial"/>
          <w:sz w:val="16"/>
          <w:szCs w:val="16"/>
        </w:rPr>
      </w:pPr>
      <w:r w:rsidRPr="00FE7D2F">
        <w:rPr>
          <w:rStyle w:val="Refdenotaalpie"/>
          <w:rFonts w:ascii="Verdana" w:hAnsi="Verdana" w:cs="Arial"/>
          <w:sz w:val="16"/>
          <w:szCs w:val="16"/>
        </w:rPr>
        <w:footnoteRef/>
      </w:r>
      <w:r w:rsidRPr="00FE7D2F">
        <w:rPr>
          <w:rFonts w:ascii="Verdana" w:hAnsi="Verdana"/>
          <w:sz w:val="16"/>
          <w:szCs w:val="16"/>
        </w:rPr>
        <w:t xml:space="preserve"> </w:t>
      </w:r>
      <w:r w:rsidRPr="00FE7D2F">
        <w:rPr>
          <w:rFonts w:ascii="Verdana" w:hAnsi="Verdana" w:cs="Arial"/>
          <w:sz w:val="16"/>
          <w:szCs w:val="16"/>
        </w:rPr>
        <w:t>Ley 527 de 1999: “</w:t>
      </w:r>
      <w:hyperlink r:id="rId2" w:anchor="vid/438970057/node/30" w:history="1">
        <w:r w:rsidRPr="00FE7D2F">
          <w:rPr>
            <w:rFonts w:ascii="Verdana" w:hAnsi="Verdana" w:cs="Arial"/>
            <w:sz w:val="16"/>
            <w:szCs w:val="16"/>
          </w:rPr>
          <w:t>Artículo 30. Actividades de las entidades de certificación.</w:t>
        </w:r>
      </w:hyperlink>
      <w:r w:rsidRPr="00FE7D2F">
        <w:rPr>
          <w:rFonts w:ascii="Verdana" w:hAnsi="Verdana" w:cs="Arial"/>
          <w:sz w:val="16"/>
          <w:szCs w:val="16"/>
        </w:rPr>
        <w:t xml:space="preserve"> Las entidades de certificación acreditadas por el Organismo Nacional de Acreditación de Colombia para prestar sus servicios en el país, podrán realizar, entre otras, las siguientes actividades: […] 1. Emitir certificados en relación con las firmas electrónicas o digitales de personas naturales o jurídicas […]”.</w:t>
      </w:r>
    </w:p>
  </w:footnote>
  <w:footnote w:id="5">
    <w:p w14:paraId="13EDE3CF" w14:textId="77777777" w:rsidR="00D012A1" w:rsidRPr="00FE7D2F" w:rsidRDefault="00D012A1" w:rsidP="00D012A1">
      <w:pPr>
        <w:pStyle w:val="Textonotapie"/>
        <w:ind w:firstLine="708"/>
        <w:jc w:val="both"/>
        <w:rPr>
          <w:rFonts w:ascii="Verdana" w:hAnsi="Verdana" w:cs="Arial"/>
          <w:sz w:val="16"/>
          <w:szCs w:val="16"/>
        </w:rPr>
      </w:pPr>
      <w:r w:rsidRPr="00FE7D2F">
        <w:rPr>
          <w:rStyle w:val="Refdenotaalpie"/>
          <w:rFonts w:ascii="Verdana" w:hAnsi="Verdana" w:cs="Arial"/>
          <w:sz w:val="16"/>
          <w:szCs w:val="16"/>
        </w:rPr>
        <w:footnoteRef/>
      </w:r>
      <w:r w:rsidRPr="00FE7D2F">
        <w:rPr>
          <w:rFonts w:ascii="Verdana" w:hAnsi="Verdana"/>
          <w:sz w:val="16"/>
          <w:szCs w:val="16"/>
        </w:rPr>
        <w:t xml:space="preserve"> </w:t>
      </w:r>
      <w:r w:rsidRPr="00FE7D2F">
        <w:rPr>
          <w:rFonts w:ascii="Verdana" w:hAnsi="Verdana" w:cs="Arial"/>
          <w:sz w:val="16"/>
          <w:szCs w:val="16"/>
        </w:rPr>
        <w:t xml:space="preserve">En concordancia, el artículo 246 de la Ley 1564 de 2012 dispone que “Las copias tendrán el mismo valor probatorio del original, salvo cuando por disposición legal sea necesaria la presentación del original o de una determinada copia. </w:t>
      </w:r>
    </w:p>
    <w:p w14:paraId="28493020" w14:textId="77777777" w:rsidR="00D012A1" w:rsidRPr="00FE7D2F" w:rsidRDefault="00D012A1" w:rsidP="00D012A1">
      <w:pPr>
        <w:pStyle w:val="Textonotapie"/>
        <w:ind w:firstLine="708"/>
        <w:jc w:val="both"/>
        <w:rPr>
          <w:rFonts w:ascii="Verdana" w:hAnsi="Verdana" w:cs="Arial"/>
          <w:sz w:val="16"/>
          <w:szCs w:val="16"/>
        </w:rPr>
      </w:pPr>
      <w:r w:rsidRPr="00FE7D2F">
        <w:rPr>
          <w:rFonts w:ascii="Verdana" w:hAnsi="Verdana" w:cs="Arial"/>
          <w:sz w:val="16"/>
          <w:szCs w:val="16"/>
        </w:rPr>
        <w:t>“Sin perjuicio de la presunción de autenticidad, la parte contra quien se aduzca copia de un documento podrá solicitar su cotejo con el original, o a falta de este con una copia expedida con anterioridad a aquella. El cotejo se efectuará mediante exhibición dentro de la audiencia correspondiente”.</w:t>
      </w:r>
    </w:p>
  </w:footnote>
  <w:footnote w:id="6">
    <w:p w14:paraId="1AC810BF" w14:textId="77777777" w:rsidR="00D012A1" w:rsidRPr="00795837" w:rsidRDefault="00D012A1" w:rsidP="00D012A1">
      <w:pPr>
        <w:pStyle w:val="Textonotapie"/>
        <w:ind w:firstLine="708"/>
        <w:contextualSpacing/>
        <w:jc w:val="both"/>
        <w:rPr>
          <w:rFonts w:ascii="Verdana" w:hAnsi="Verdana"/>
          <w:sz w:val="16"/>
          <w:szCs w:val="16"/>
        </w:rPr>
      </w:pPr>
    </w:p>
    <w:p w14:paraId="0837300E" w14:textId="77777777" w:rsidR="00D012A1" w:rsidRPr="00795837" w:rsidRDefault="00D012A1" w:rsidP="00D012A1">
      <w:pPr>
        <w:pStyle w:val="Textonotapie"/>
        <w:ind w:firstLine="708"/>
        <w:contextualSpacing/>
        <w:jc w:val="both"/>
        <w:rPr>
          <w:rStyle w:val="Hipervnculo"/>
          <w:rFonts w:ascii="Verdana" w:hAnsi="Verdana" w:cs="Arial"/>
          <w:sz w:val="16"/>
          <w:szCs w:val="16"/>
        </w:rPr>
      </w:pPr>
      <w:r w:rsidRPr="00795837">
        <w:rPr>
          <w:rStyle w:val="Refdenotaalpie"/>
          <w:rFonts w:ascii="Verdana" w:hAnsi="Verdana"/>
          <w:sz w:val="16"/>
          <w:szCs w:val="16"/>
        </w:rPr>
        <w:footnoteRef/>
      </w:r>
      <w:r w:rsidRPr="00795837">
        <w:rPr>
          <w:rFonts w:ascii="Verdana" w:hAnsi="Verdana"/>
          <w:sz w:val="16"/>
          <w:szCs w:val="16"/>
        </w:rPr>
        <w:t xml:space="preserve"> </w:t>
      </w:r>
      <w:r w:rsidRPr="00795837">
        <w:rPr>
          <w:rFonts w:ascii="Verdana" w:hAnsi="Verdana" w:cs="Arial"/>
          <w:sz w:val="16"/>
          <w:szCs w:val="16"/>
        </w:rPr>
        <w:t xml:space="preserve">Los conceptos expedidos por la Subdirección de Gestión Contractual de la Agencia Nacional de Contratación Pública pueden ser consultados en plataforma de relatoría a la cual se puede acceder a través del siguiente enlace:  </w:t>
      </w:r>
      <w:hyperlink r:id="rId3" w:history="1">
        <w:r w:rsidRPr="00795837">
          <w:rPr>
            <w:rStyle w:val="Hipervnculo"/>
            <w:rFonts w:ascii="Verdana" w:hAnsi="Verdana" w:cs="Arial"/>
            <w:sz w:val="16"/>
            <w:szCs w:val="16"/>
          </w:rPr>
          <w:t>https://relatoria.colombiacompra.gov.co/busqueda/conceptos</w:t>
        </w:r>
      </w:hyperlink>
    </w:p>
    <w:p w14:paraId="483B3332" w14:textId="77777777" w:rsidR="00D012A1" w:rsidRPr="00795837" w:rsidRDefault="00D012A1" w:rsidP="00D012A1">
      <w:pPr>
        <w:pStyle w:val="Textonotapie"/>
        <w:ind w:firstLine="708"/>
        <w:contextualSpacing/>
        <w:jc w:val="both"/>
        <w:rPr>
          <w:rFonts w:ascii="Verdana" w:hAnsi="Verdana"/>
          <w:sz w:val="16"/>
          <w:szCs w:val="16"/>
        </w:rPr>
      </w:pPr>
    </w:p>
  </w:footnote>
  <w:footnote w:id="7">
    <w:p w14:paraId="2227E227" w14:textId="77777777" w:rsidR="00D012A1" w:rsidRPr="00E84CAC" w:rsidRDefault="00D012A1" w:rsidP="00D012A1">
      <w:pPr>
        <w:pStyle w:val="Textonotapie"/>
        <w:snapToGrid w:val="0"/>
        <w:ind w:firstLine="709"/>
        <w:jc w:val="both"/>
        <w:rPr>
          <w:sz w:val="18"/>
          <w:szCs w:val="18"/>
          <w:lang w:val="es-CO"/>
        </w:rPr>
      </w:pPr>
      <w:r w:rsidRPr="00E84CAC">
        <w:rPr>
          <w:rStyle w:val="Refdenotaalpie"/>
          <w:sz w:val="18"/>
          <w:szCs w:val="18"/>
        </w:rPr>
        <w:footnoteRef/>
      </w:r>
      <w:r w:rsidRPr="00E84CAC">
        <w:rPr>
          <w:sz w:val="18"/>
          <w:szCs w:val="18"/>
        </w:rPr>
        <w:t xml:space="preserve"> Disponible en: https://www.colombiacompra.gov.co/node/29796/</w:t>
      </w:r>
    </w:p>
  </w:footnote>
  <w:footnote w:id="8">
    <w:p w14:paraId="6F1BB59A" w14:textId="77777777" w:rsidR="00D012A1" w:rsidRPr="008A020D" w:rsidRDefault="00D012A1" w:rsidP="00D012A1">
      <w:pPr>
        <w:pStyle w:val="Textonotapie"/>
        <w:rPr>
          <w:lang w:val="es-ES"/>
        </w:rPr>
      </w:pPr>
      <w:r>
        <w:rPr>
          <w:rStyle w:val="Refdenotaalpie"/>
        </w:rPr>
        <w:footnoteRef/>
      </w:r>
      <w:r>
        <w:t xml:space="preserve"> </w:t>
      </w:r>
      <w:hyperlink r:id="rId4" w:history="1">
        <w:r w:rsidRPr="003E1EC9">
          <w:rPr>
            <w:rStyle w:val="Hipervnculo"/>
          </w:rPr>
          <w:t>https://www.colombiacompra.gov.co/wp-content/uploads/2024/10/cce-gti-idi-05_terminos_y_condiciones_de_uso_del_sistema_electronico_de_contratacion_publica_-_secop_ii_19-11-2021.pdf</w:t>
        </w:r>
      </w:hyperlink>
      <w:r>
        <w:t xml:space="preserve"> </w:t>
      </w:r>
    </w:p>
  </w:footnote>
  <w:footnote w:id="9">
    <w:p w14:paraId="1512C112" w14:textId="77777777" w:rsidR="00D012A1" w:rsidRPr="00230322" w:rsidRDefault="00D012A1" w:rsidP="00D012A1">
      <w:pPr>
        <w:pStyle w:val="Textonotapie"/>
        <w:ind w:firstLine="709"/>
        <w:contextualSpacing/>
        <w:jc w:val="both"/>
        <w:rPr>
          <w:rFonts w:ascii="Verdana" w:eastAsia="Times New Roman" w:hAnsi="Verdana" w:cs="Arial"/>
          <w:sz w:val="16"/>
          <w:szCs w:val="16"/>
          <w:lang w:val="es-CO" w:eastAsia="es-CO"/>
        </w:rPr>
      </w:pPr>
      <w:r w:rsidRPr="00230322">
        <w:rPr>
          <w:rStyle w:val="Refdenotaalpie"/>
          <w:rFonts w:ascii="Verdana" w:hAnsi="Verdana" w:cs="Arial"/>
          <w:sz w:val="16"/>
          <w:szCs w:val="16"/>
        </w:rPr>
        <w:footnoteRef/>
      </w:r>
      <w:r w:rsidRPr="00230322">
        <w:rPr>
          <w:rFonts w:ascii="Verdana" w:hAnsi="Verdana" w:cs="Arial"/>
          <w:sz w:val="16"/>
          <w:szCs w:val="16"/>
        </w:rPr>
        <w:t xml:space="preserve"> </w:t>
      </w:r>
      <w:r w:rsidRPr="00230322">
        <w:rPr>
          <w:rFonts w:ascii="Verdana" w:eastAsia="Times New Roman" w:hAnsi="Verdana" w:cs="Arial"/>
          <w:sz w:val="16"/>
          <w:szCs w:val="16"/>
          <w:lang w:val="es-CO" w:eastAsia="es-CO"/>
        </w:rPr>
        <w:t>Consejo de Estado.</w:t>
      </w:r>
      <w:r>
        <w:rPr>
          <w:rFonts w:ascii="Verdana" w:eastAsia="Times New Roman" w:hAnsi="Verdana" w:cs="Arial"/>
          <w:sz w:val="16"/>
          <w:szCs w:val="16"/>
          <w:lang w:val="es-CO" w:eastAsia="es-CO"/>
        </w:rPr>
        <w:t xml:space="preserve"> Sala de lo Contencioso Administrativo.</w:t>
      </w:r>
      <w:r w:rsidRPr="00230322">
        <w:rPr>
          <w:rFonts w:ascii="Verdana" w:eastAsia="Times New Roman" w:hAnsi="Verdana" w:cs="Arial"/>
          <w:sz w:val="16"/>
          <w:szCs w:val="16"/>
          <w:lang w:val="es-CO" w:eastAsia="es-CO"/>
        </w:rPr>
        <w:t xml:space="preserve"> Sección Tercera. Sentencia del 27 de abril de 2011. </w:t>
      </w:r>
      <w:proofErr w:type="spellStart"/>
      <w:r w:rsidRPr="00230322">
        <w:rPr>
          <w:rFonts w:ascii="Verdana" w:eastAsia="Times New Roman" w:hAnsi="Verdana" w:cs="Arial"/>
          <w:sz w:val="16"/>
          <w:szCs w:val="16"/>
          <w:lang w:val="es-CO" w:eastAsia="es-CO"/>
        </w:rPr>
        <w:t>Exp</w:t>
      </w:r>
      <w:proofErr w:type="spellEnd"/>
      <w:r w:rsidRPr="00230322">
        <w:rPr>
          <w:rFonts w:ascii="Verdana" w:eastAsia="Times New Roman" w:hAnsi="Verdana" w:cs="Arial"/>
          <w:sz w:val="16"/>
          <w:szCs w:val="16"/>
          <w:lang w:val="es-CO" w:eastAsia="es-CO"/>
        </w:rPr>
        <w:t>. 18.293. C.P. Ruth Stella Correa Palacio.</w:t>
      </w:r>
    </w:p>
    <w:p w14:paraId="0B858737" w14:textId="77777777" w:rsidR="00D012A1" w:rsidRPr="00230322" w:rsidRDefault="00D012A1" w:rsidP="00D012A1">
      <w:pPr>
        <w:pStyle w:val="Textonotapie"/>
        <w:ind w:firstLine="709"/>
        <w:contextualSpacing/>
        <w:jc w:val="both"/>
        <w:rPr>
          <w:rFonts w:ascii="Verdana" w:eastAsia="Calibri" w:hAnsi="Verdana" w:cs="Arial"/>
          <w:sz w:val="16"/>
          <w:szCs w:val="16"/>
          <w:lang w:val="es-CO"/>
        </w:rPr>
      </w:pPr>
    </w:p>
  </w:footnote>
  <w:footnote w:id="10">
    <w:p w14:paraId="1CA0FAE3" w14:textId="77777777" w:rsidR="00D012A1" w:rsidRPr="00230322" w:rsidRDefault="00D012A1" w:rsidP="00D012A1">
      <w:pPr>
        <w:pStyle w:val="Textonotapie"/>
        <w:ind w:firstLine="709"/>
        <w:contextualSpacing/>
        <w:jc w:val="both"/>
        <w:rPr>
          <w:rFonts w:ascii="Verdana" w:eastAsia="Times New Roman" w:hAnsi="Verdana" w:cs="Arial"/>
          <w:sz w:val="16"/>
          <w:szCs w:val="16"/>
          <w:lang w:val="es-CO" w:eastAsia="es-CO"/>
        </w:rPr>
      </w:pPr>
      <w:r w:rsidRPr="00230322">
        <w:rPr>
          <w:rStyle w:val="Refdenotaalpie"/>
          <w:rFonts w:ascii="Verdana" w:hAnsi="Verdana" w:cs="Arial"/>
          <w:sz w:val="16"/>
          <w:szCs w:val="16"/>
        </w:rPr>
        <w:footnoteRef/>
      </w:r>
      <w:r w:rsidRPr="00230322">
        <w:rPr>
          <w:rFonts w:ascii="Verdana" w:hAnsi="Verdana" w:cs="Arial"/>
          <w:sz w:val="16"/>
          <w:szCs w:val="16"/>
        </w:rPr>
        <w:t xml:space="preserve"> </w:t>
      </w:r>
      <w:r w:rsidRPr="00230322">
        <w:rPr>
          <w:rFonts w:ascii="Verdana" w:eastAsia="Times New Roman" w:hAnsi="Verdana" w:cs="Arial"/>
          <w:sz w:val="16"/>
          <w:szCs w:val="16"/>
          <w:lang w:val="es-CO" w:eastAsia="es-CO"/>
        </w:rPr>
        <w:t xml:space="preserve">Consejo de Estado. </w:t>
      </w:r>
      <w:r>
        <w:rPr>
          <w:rFonts w:ascii="Verdana" w:eastAsia="Times New Roman" w:hAnsi="Verdana" w:cs="Arial"/>
          <w:sz w:val="16"/>
          <w:szCs w:val="16"/>
          <w:lang w:val="es-CO" w:eastAsia="es-CO"/>
        </w:rPr>
        <w:t xml:space="preserve">Sala de lo Contencioso Administrativo. </w:t>
      </w:r>
      <w:r w:rsidRPr="00230322">
        <w:rPr>
          <w:rFonts w:ascii="Verdana" w:eastAsia="Times New Roman" w:hAnsi="Verdana" w:cs="Arial"/>
          <w:sz w:val="16"/>
          <w:szCs w:val="16"/>
          <w:lang w:val="es-CO" w:eastAsia="es-CO"/>
        </w:rPr>
        <w:t>Sección Tercera</w:t>
      </w:r>
      <w:r>
        <w:rPr>
          <w:rFonts w:ascii="Verdana" w:eastAsia="Times New Roman" w:hAnsi="Verdana" w:cs="Arial"/>
          <w:sz w:val="16"/>
          <w:szCs w:val="16"/>
          <w:lang w:val="es-CO" w:eastAsia="es-CO"/>
        </w:rPr>
        <w:t>, Subsección A</w:t>
      </w:r>
      <w:r w:rsidRPr="00230322">
        <w:rPr>
          <w:rFonts w:ascii="Verdana" w:eastAsia="Times New Roman" w:hAnsi="Verdana" w:cs="Arial"/>
          <w:sz w:val="16"/>
          <w:szCs w:val="16"/>
          <w:lang w:val="es-CO" w:eastAsia="es-CO"/>
        </w:rPr>
        <w:t>. Sentencia del 21 de noviembre de 2013</w:t>
      </w:r>
      <w:r>
        <w:rPr>
          <w:rFonts w:ascii="Verdana" w:eastAsia="Times New Roman" w:hAnsi="Verdana" w:cs="Arial"/>
          <w:sz w:val="16"/>
          <w:szCs w:val="16"/>
          <w:lang w:val="es-CO" w:eastAsia="es-CO"/>
        </w:rPr>
        <w:t>.</w:t>
      </w:r>
      <w:r w:rsidRPr="00230322">
        <w:rPr>
          <w:rFonts w:ascii="Verdana" w:eastAsia="Times New Roman" w:hAnsi="Verdana" w:cs="Arial"/>
          <w:sz w:val="16"/>
          <w:szCs w:val="16"/>
          <w:lang w:val="es-CO" w:eastAsia="es-CO"/>
        </w:rPr>
        <w:t xml:space="preserve"> </w:t>
      </w:r>
      <w:proofErr w:type="spellStart"/>
      <w:r w:rsidRPr="00230322">
        <w:rPr>
          <w:rFonts w:ascii="Verdana" w:eastAsia="Times New Roman" w:hAnsi="Verdana" w:cs="Arial"/>
          <w:sz w:val="16"/>
          <w:szCs w:val="16"/>
          <w:lang w:val="es-CO" w:eastAsia="es-CO"/>
        </w:rPr>
        <w:t>Exp</w:t>
      </w:r>
      <w:proofErr w:type="spellEnd"/>
      <w:r w:rsidRPr="00230322">
        <w:rPr>
          <w:rFonts w:ascii="Verdana" w:eastAsia="Times New Roman" w:hAnsi="Verdana" w:cs="Arial"/>
          <w:sz w:val="16"/>
          <w:szCs w:val="16"/>
          <w:lang w:val="es-CO" w:eastAsia="es-CO"/>
        </w:rPr>
        <w:t>. 25397. C.P. Carlos Alberto Zambrano Barrera.</w:t>
      </w:r>
    </w:p>
    <w:p w14:paraId="66C588E4" w14:textId="77777777" w:rsidR="00D012A1" w:rsidRPr="00230322" w:rsidRDefault="00D012A1" w:rsidP="00D012A1">
      <w:pPr>
        <w:pStyle w:val="Textonotapie"/>
        <w:ind w:firstLine="709"/>
        <w:contextualSpacing/>
        <w:jc w:val="both"/>
        <w:rPr>
          <w:rFonts w:ascii="Verdana" w:eastAsia="Calibri" w:hAnsi="Verdana" w:cs="Arial"/>
          <w:sz w:val="16"/>
          <w:szCs w:val="16"/>
          <w:lang w:val="es-CO"/>
        </w:rPr>
      </w:pPr>
    </w:p>
  </w:footnote>
  <w:footnote w:id="11">
    <w:p w14:paraId="43217609" w14:textId="77777777" w:rsidR="00D012A1" w:rsidRPr="00B74530" w:rsidRDefault="00D012A1" w:rsidP="00D012A1">
      <w:pPr>
        <w:pStyle w:val="Textonotapie"/>
        <w:ind w:firstLine="709"/>
        <w:jc w:val="both"/>
        <w:rPr>
          <w:rFonts w:ascii="Verdana" w:hAnsi="Verdana" w:cs="Arial"/>
          <w:color w:val="000000"/>
          <w:sz w:val="16"/>
          <w:szCs w:val="16"/>
        </w:rPr>
      </w:pPr>
      <w:r w:rsidRPr="00B74530">
        <w:rPr>
          <w:rStyle w:val="Refdenotaalpie"/>
          <w:rFonts w:ascii="Verdana" w:hAnsi="Verdana" w:cs="Arial"/>
          <w:color w:val="000000"/>
          <w:sz w:val="16"/>
          <w:szCs w:val="16"/>
        </w:rPr>
        <w:footnoteRef/>
      </w:r>
      <w:r w:rsidRPr="00B74530">
        <w:rPr>
          <w:rFonts w:ascii="Verdana" w:hAnsi="Verdana" w:cs="Arial"/>
          <w:color w:val="000000"/>
          <w:sz w:val="16"/>
          <w:szCs w:val="16"/>
        </w:rPr>
        <w:t xml:space="preserve"> Ley 80 de 1993. Art. 30.7: </w:t>
      </w:r>
      <w:r>
        <w:rPr>
          <w:rFonts w:ascii="Verdana" w:hAnsi="Verdana" w:cs="Arial"/>
          <w:color w:val="000000"/>
          <w:sz w:val="16"/>
          <w:szCs w:val="16"/>
        </w:rPr>
        <w:t>“</w:t>
      </w:r>
      <w:r w:rsidRPr="00B74530">
        <w:rPr>
          <w:rFonts w:ascii="Verdana" w:hAnsi="Verdana" w:cs="Arial"/>
          <w:color w:val="000000"/>
          <w:sz w:val="16"/>
          <w:szCs w:val="16"/>
        </w:rPr>
        <w:t>De acuerdo con la naturaleza, objeto y cuantía del contrato, en los pliegos de condiciones o términos de referencia, se señalará el plazo razonable dentro del cual la entidad deberá elaborar los estudios técnicos, económicos y jurídicos necesarios para la evaluación de las propuestas y para solicitar a los proponentes las aclaraciones y explicaciones que se estimen indispensables</w:t>
      </w:r>
      <w:r>
        <w:rPr>
          <w:rFonts w:ascii="Verdana" w:hAnsi="Verdana" w:cs="Arial"/>
          <w:color w:val="000000"/>
          <w:sz w:val="16"/>
          <w:szCs w:val="16"/>
        </w:rPr>
        <w:t>”</w:t>
      </w:r>
      <w:r w:rsidRPr="00B74530">
        <w:rPr>
          <w:rFonts w:ascii="Verdana" w:hAnsi="Verdana" w:cs="Arial"/>
          <w:color w:val="000000"/>
          <w:sz w:val="16"/>
          <w:szCs w:val="16"/>
        </w:rPr>
        <w:t xml:space="preserve">. </w:t>
      </w:r>
    </w:p>
    <w:p w14:paraId="75B9FDA0" w14:textId="77777777" w:rsidR="00D012A1" w:rsidRPr="00B74530" w:rsidRDefault="00D012A1" w:rsidP="00D012A1">
      <w:pPr>
        <w:pStyle w:val="Textonotapie"/>
        <w:ind w:firstLine="709"/>
        <w:jc w:val="both"/>
        <w:rPr>
          <w:rFonts w:ascii="Verdana" w:hAnsi="Verdana" w:cs="Arial"/>
          <w:color w:val="000000"/>
          <w:sz w:val="16"/>
          <w:szCs w:val="16"/>
        </w:rPr>
      </w:pPr>
    </w:p>
  </w:footnote>
  <w:footnote w:id="12">
    <w:p w14:paraId="7B43D277" w14:textId="77777777" w:rsidR="00D012A1" w:rsidRDefault="00D012A1" w:rsidP="00D012A1">
      <w:pPr>
        <w:pStyle w:val="Textonotapie"/>
        <w:ind w:firstLine="709"/>
        <w:jc w:val="both"/>
        <w:rPr>
          <w:rFonts w:ascii="Verdana" w:hAnsi="Verdana" w:cs="Arial"/>
          <w:color w:val="000000"/>
          <w:sz w:val="16"/>
          <w:szCs w:val="16"/>
        </w:rPr>
      </w:pPr>
      <w:r w:rsidRPr="00B74530">
        <w:rPr>
          <w:rStyle w:val="Refdenotaalpie"/>
          <w:rFonts w:ascii="Verdana" w:hAnsi="Verdana" w:cs="Arial"/>
          <w:color w:val="000000"/>
          <w:sz w:val="16"/>
          <w:szCs w:val="16"/>
        </w:rPr>
        <w:footnoteRef/>
      </w:r>
      <w:r w:rsidRPr="00B74530">
        <w:rPr>
          <w:rFonts w:ascii="Verdana" w:hAnsi="Verdana" w:cs="Arial"/>
          <w:color w:val="000000"/>
          <w:sz w:val="16"/>
          <w:szCs w:val="16"/>
        </w:rPr>
        <w:t xml:space="preserve"> Ley 80 de 1993. Art. 30.8: </w:t>
      </w:r>
      <w:r>
        <w:rPr>
          <w:rFonts w:ascii="Verdana" w:hAnsi="Verdana" w:cs="Arial"/>
          <w:color w:val="000000"/>
          <w:sz w:val="16"/>
          <w:szCs w:val="16"/>
        </w:rPr>
        <w:t>“</w:t>
      </w:r>
      <w:r w:rsidRPr="00B74530">
        <w:rPr>
          <w:rFonts w:ascii="Verdana" w:hAnsi="Verdana" w:cs="Arial"/>
          <w:color w:val="000000"/>
          <w:sz w:val="16"/>
          <w:szCs w:val="16"/>
        </w:rPr>
        <w:t>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r>
        <w:rPr>
          <w:rFonts w:ascii="Verdana" w:hAnsi="Verdana" w:cs="Arial"/>
          <w:color w:val="000000"/>
          <w:sz w:val="16"/>
          <w:szCs w:val="16"/>
        </w:rPr>
        <w:t>”</w:t>
      </w:r>
      <w:r w:rsidRPr="00B74530">
        <w:rPr>
          <w:rFonts w:ascii="Verdana" w:hAnsi="Verdana" w:cs="Arial"/>
          <w:color w:val="000000"/>
          <w:sz w:val="16"/>
          <w:szCs w:val="16"/>
        </w:rPr>
        <w:t>.</w:t>
      </w:r>
    </w:p>
    <w:p w14:paraId="73EE1C6F" w14:textId="77777777" w:rsidR="00D012A1" w:rsidRPr="00B74530" w:rsidRDefault="00D012A1" w:rsidP="00D012A1">
      <w:pPr>
        <w:pStyle w:val="Textonotapie"/>
        <w:ind w:firstLine="709"/>
        <w:jc w:val="both"/>
        <w:rPr>
          <w:rFonts w:ascii="Verdana" w:hAnsi="Verdana" w:cs="Arial"/>
          <w:color w:val="000000"/>
          <w:sz w:val="16"/>
          <w:szCs w:val="16"/>
        </w:rPr>
      </w:pPr>
    </w:p>
  </w:footnote>
  <w:footnote w:id="13">
    <w:p w14:paraId="10C5BC3F" w14:textId="77777777" w:rsidR="00D012A1" w:rsidRPr="00B74530" w:rsidRDefault="00D012A1" w:rsidP="00D012A1">
      <w:pPr>
        <w:pStyle w:val="Textonotapie"/>
        <w:ind w:firstLine="709"/>
        <w:jc w:val="both"/>
        <w:rPr>
          <w:rFonts w:ascii="Verdana" w:hAnsi="Verdana" w:cs="Arial"/>
          <w:color w:val="000000"/>
          <w:sz w:val="16"/>
          <w:szCs w:val="16"/>
        </w:rPr>
      </w:pPr>
      <w:r w:rsidRPr="00B74530">
        <w:rPr>
          <w:rStyle w:val="Refdenotaalpie"/>
          <w:rFonts w:ascii="Verdana" w:hAnsi="Verdana" w:cs="Arial"/>
          <w:color w:val="000000"/>
          <w:sz w:val="16"/>
          <w:szCs w:val="16"/>
        </w:rPr>
        <w:footnoteRef/>
      </w:r>
      <w:r w:rsidRPr="00B74530">
        <w:rPr>
          <w:rFonts w:ascii="Verdana" w:hAnsi="Verdana" w:cs="Arial"/>
          <w:color w:val="000000"/>
          <w:sz w:val="16"/>
          <w:szCs w:val="16"/>
        </w:rPr>
        <w:t xml:space="preserve"> C</w:t>
      </w:r>
      <w:r>
        <w:rPr>
          <w:rFonts w:ascii="Verdana" w:hAnsi="Verdana" w:cs="Arial"/>
          <w:color w:val="000000"/>
          <w:sz w:val="16"/>
          <w:szCs w:val="16"/>
        </w:rPr>
        <w:t xml:space="preserve">onsejo de Estado. Sala de lo Contencioso Administrativo. </w:t>
      </w:r>
      <w:r w:rsidRPr="00B74530">
        <w:rPr>
          <w:rFonts w:ascii="Verdana" w:hAnsi="Verdana" w:cs="Arial"/>
          <w:color w:val="000000"/>
          <w:sz w:val="16"/>
          <w:szCs w:val="16"/>
        </w:rPr>
        <w:t>Sección Tercera. Subsección C. Sentencia del 26 de febrero de 2014. Expediente: 25.804. Consejero Ponente: Enrique Gil Botero.</w:t>
      </w:r>
      <w:r w:rsidRPr="00B74530">
        <w:rPr>
          <w:rFonts w:ascii="Verdana" w:hAnsi="Verdana"/>
          <w:sz w:val="16"/>
          <w:szCs w:val="16"/>
        </w:rPr>
        <w:t xml:space="preserve"> </w:t>
      </w:r>
    </w:p>
  </w:footnote>
  <w:footnote w:id="14">
    <w:p w14:paraId="0CD38259" w14:textId="77777777" w:rsidR="00D012A1" w:rsidRPr="00B74530" w:rsidRDefault="00D012A1" w:rsidP="00D012A1">
      <w:pPr>
        <w:pStyle w:val="Textonotapie"/>
        <w:ind w:firstLine="709"/>
        <w:jc w:val="both"/>
        <w:rPr>
          <w:rFonts w:ascii="Verdana" w:hAnsi="Verdana" w:cs="Arial"/>
          <w:color w:val="000000"/>
          <w:sz w:val="16"/>
          <w:szCs w:val="16"/>
        </w:rPr>
      </w:pPr>
      <w:r w:rsidRPr="00B74530">
        <w:rPr>
          <w:rStyle w:val="Refdenotaalpie"/>
          <w:rFonts w:ascii="Verdana" w:hAnsi="Verdana" w:cs="Arial"/>
          <w:color w:val="000000"/>
          <w:sz w:val="16"/>
          <w:szCs w:val="16"/>
        </w:rPr>
        <w:footnoteRef/>
      </w:r>
      <w:r w:rsidRPr="00B74530">
        <w:rPr>
          <w:rStyle w:val="Refdenotaalpie"/>
          <w:rFonts w:ascii="Verdana" w:hAnsi="Verdana" w:cs="Arial"/>
          <w:color w:val="000000"/>
          <w:sz w:val="16"/>
          <w:szCs w:val="16"/>
        </w:rPr>
        <w:t xml:space="preserve"> </w:t>
      </w:r>
      <w:r w:rsidRPr="00B74530">
        <w:rPr>
          <w:rFonts w:ascii="Verdana" w:hAnsi="Verdana" w:cs="Arial"/>
          <w:color w:val="000000"/>
          <w:sz w:val="16"/>
          <w:szCs w:val="16"/>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p w14:paraId="293C526C" w14:textId="77777777" w:rsidR="00D012A1" w:rsidRPr="00B74530" w:rsidRDefault="00D012A1" w:rsidP="00D012A1">
      <w:pPr>
        <w:pStyle w:val="Textonotapie"/>
        <w:ind w:firstLine="709"/>
        <w:jc w:val="both"/>
        <w:rPr>
          <w:rFonts w:ascii="Verdana" w:hAnsi="Verdana" w:cs="Arial"/>
          <w:color w:val="000000"/>
          <w:sz w:val="16"/>
          <w:szCs w:val="16"/>
        </w:rPr>
      </w:pPr>
    </w:p>
  </w:footnote>
  <w:footnote w:id="15">
    <w:p w14:paraId="0A32B4A8" w14:textId="77777777" w:rsidR="00D012A1" w:rsidRPr="00B74530" w:rsidRDefault="00D012A1" w:rsidP="00D012A1">
      <w:pPr>
        <w:pStyle w:val="Textonotapie"/>
        <w:ind w:firstLine="709"/>
        <w:jc w:val="both"/>
        <w:rPr>
          <w:rFonts w:ascii="Verdana" w:hAnsi="Verdana" w:cs="Arial"/>
          <w:color w:val="000000"/>
          <w:sz w:val="16"/>
          <w:szCs w:val="16"/>
        </w:rPr>
      </w:pPr>
      <w:r w:rsidRPr="00B74530">
        <w:rPr>
          <w:rStyle w:val="Refdenotaalpie"/>
          <w:rFonts w:ascii="Verdana" w:hAnsi="Verdana" w:cs="Arial"/>
          <w:color w:val="000000"/>
          <w:sz w:val="16"/>
          <w:szCs w:val="16"/>
        </w:rPr>
        <w:footnoteRef/>
      </w:r>
      <w:r w:rsidRPr="00B74530">
        <w:rPr>
          <w:rFonts w:ascii="Verdana" w:hAnsi="Verdana" w:cs="Arial"/>
          <w:color w:val="000000"/>
          <w:sz w:val="16"/>
          <w:szCs w:val="16"/>
        </w:rPr>
        <w:t xml:space="preserve"> Sin embargo, debe tenerse en cuenta que la última norma en cita -Decreto 2474 de 2008, aparte subrayado-, establece un límite a la </w:t>
      </w:r>
      <w:proofErr w:type="spellStart"/>
      <w:r w:rsidRPr="00B74530">
        <w:rPr>
          <w:rFonts w:ascii="Verdana" w:hAnsi="Verdana" w:cs="Arial"/>
          <w:color w:val="000000"/>
          <w:sz w:val="16"/>
          <w:szCs w:val="16"/>
        </w:rPr>
        <w:t>subsanabilidad</w:t>
      </w:r>
      <w:proofErr w:type="spellEnd"/>
      <w:r w:rsidRPr="00B74530">
        <w:rPr>
          <w:rFonts w:ascii="Verdana" w:hAnsi="Verdana" w:cs="Arial"/>
          <w:color w:val="000000"/>
          <w:sz w:val="16"/>
          <w:szCs w:val="16"/>
        </w:rPr>
        <w:t>, puesto que en cualquier caso debe referirse o recaer sobre circunstancias ocurridas antes del cierre del respectivo proceso, esto es, del vencimiento del plazo para presentar ofertas.</w:t>
      </w:r>
    </w:p>
    <w:p w14:paraId="56494614" w14:textId="77777777" w:rsidR="00D012A1" w:rsidRDefault="00D012A1" w:rsidP="00D012A1">
      <w:pPr>
        <w:pStyle w:val="Textonotapie"/>
        <w:ind w:firstLine="709"/>
        <w:jc w:val="both"/>
        <w:rPr>
          <w:rFonts w:ascii="Verdana" w:hAnsi="Verdana" w:cs="Arial"/>
          <w:color w:val="000000"/>
          <w:sz w:val="16"/>
          <w:szCs w:val="16"/>
        </w:rPr>
      </w:pPr>
    </w:p>
    <w:p w14:paraId="54125E2F" w14:textId="77777777" w:rsidR="00D012A1" w:rsidRDefault="00D012A1" w:rsidP="00D012A1">
      <w:pPr>
        <w:pStyle w:val="Textonotapie"/>
        <w:ind w:firstLine="709"/>
        <w:jc w:val="both"/>
        <w:rPr>
          <w:rFonts w:ascii="Verdana" w:hAnsi="Verdana" w:cs="Arial"/>
          <w:color w:val="000000"/>
          <w:sz w:val="16"/>
          <w:szCs w:val="16"/>
        </w:rPr>
      </w:pPr>
      <w:r w:rsidRPr="00B74530">
        <w:rPr>
          <w:rFonts w:ascii="Verdana" w:hAnsi="Verdana" w:cs="Arial"/>
          <w:color w:val="000000"/>
          <w:sz w:val="16"/>
          <w:szCs w:val="16"/>
        </w:rPr>
        <w:t>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la misma,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del mismo o lo actualice, pero no para que se constituya la sociedad con posterioridad al cierre del proceso, pues si ello no se había hecho, significa simplemente que el oferente no tenía la condición para participar</w:t>
      </w:r>
      <w:r>
        <w:rPr>
          <w:rFonts w:ascii="Verdana" w:hAnsi="Verdana" w:cs="Arial"/>
          <w:color w:val="000000"/>
          <w:sz w:val="16"/>
          <w:szCs w:val="16"/>
        </w:rPr>
        <w:t>.</w:t>
      </w:r>
      <w:r w:rsidRPr="00B74530">
        <w:rPr>
          <w:rFonts w:ascii="Verdana" w:hAnsi="Verdana" w:cs="Arial"/>
          <w:color w:val="000000"/>
          <w:sz w:val="16"/>
          <w:szCs w:val="16"/>
        </w:rPr>
        <w:t xml:space="preserve"> (Consejo de Estado. Sala de Consulta y Servicio Civil. Concepto del 6 de noviembre de 2008. Expediente: 1927. Consejero Ponente: William Zambrano Cetina).</w:t>
      </w:r>
    </w:p>
    <w:p w14:paraId="5FB400A5" w14:textId="77777777" w:rsidR="00D012A1" w:rsidRPr="00B74530" w:rsidRDefault="00D012A1" w:rsidP="00D012A1">
      <w:pPr>
        <w:pStyle w:val="Textonotapie"/>
        <w:ind w:firstLine="709"/>
        <w:jc w:val="both"/>
        <w:rPr>
          <w:rFonts w:ascii="Verdana" w:hAnsi="Verdana" w:cs="Arial"/>
          <w:color w:val="000000"/>
          <w:sz w:val="16"/>
          <w:szCs w:val="16"/>
        </w:rPr>
      </w:pPr>
    </w:p>
  </w:footnote>
  <w:footnote w:id="16">
    <w:p w14:paraId="1789B666" w14:textId="77777777" w:rsidR="00D012A1" w:rsidRPr="00B74530" w:rsidRDefault="00D012A1" w:rsidP="00D012A1">
      <w:pPr>
        <w:pStyle w:val="Textonotapie"/>
        <w:ind w:firstLine="709"/>
        <w:jc w:val="both"/>
        <w:rPr>
          <w:rFonts w:ascii="Verdana" w:hAnsi="Verdana" w:cs="Arial"/>
          <w:color w:val="000000"/>
          <w:sz w:val="16"/>
          <w:szCs w:val="16"/>
        </w:rPr>
      </w:pPr>
      <w:r w:rsidRPr="00B74530">
        <w:rPr>
          <w:rStyle w:val="Refdenotaalpie"/>
          <w:rFonts w:ascii="Verdana" w:hAnsi="Verdana" w:cs="Arial"/>
          <w:sz w:val="16"/>
          <w:szCs w:val="16"/>
        </w:rPr>
        <w:footnoteRef/>
      </w:r>
      <w:r w:rsidRPr="00B74530">
        <w:rPr>
          <w:rFonts w:ascii="Verdana" w:hAnsi="Verdana" w:cs="Arial"/>
          <w:sz w:val="16"/>
          <w:szCs w:val="16"/>
        </w:rPr>
        <w:t xml:space="preserve"> </w:t>
      </w:r>
      <w:r w:rsidRPr="00B74530">
        <w:rPr>
          <w:rFonts w:ascii="Verdana" w:hAnsi="Verdana" w:cs="Arial"/>
          <w:color w:val="000000"/>
          <w:sz w:val="16"/>
          <w:szCs w:val="16"/>
        </w:rPr>
        <w:t xml:space="preserve">En armonía con lo anterior, actualmente la Circular Externa Única de Colombia Compra Eficiente señala lo siguiente: “De otro lado, cabe destacar que, de conformidad con el artículo 5 de la Ley 1882 de 2018, durante el término otorgado para subsanar, los proponentes no podrán acreditar circunstancias ocurridas luego del cierre del proceso. De esta manera, es subsanable la prueba de todas las circunstancias ocurridas antes del vencimiento del término para presentar las ofertas, por lo que no se podrán acreditar circunstancias ocurridas con posterioridad a dicho momento. </w:t>
      </w:r>
    </w:p>
    <w:p w14:paraId="19273595" w14:textId="77777777" w:rsidR="00D012A1" w:rsidRPr="00B74530" w:rsidRDefault="00D012A1" w:rsidP="00D012A1">
      <w:pPr>
        <w:pStyle w:val="Textonotapie"/>
        <w:ind w:firstLine="709"/>
        <w:jc w:val="both"/>
        <w:rPr>
          <w:rFonts w:ascii="Verdana" w:hAnsi="Verdana" w:cs="Arial"/>
          <w:color w:val="000000"/>
          <w:sz w:val="16"/>
          <w:szCs w:val="16"/>
        </w:rPr>
      </w:pPr>
    </w:p>
    <w:p w14:paraId="103F5665" w14:textId="77777777" w:rsidR="00D012A1" w:rsidRPr="00B74530" w:rsidRDefault="00D012A1" w:rsidP="00D012A1">
      <w:pPr>
        <w:pStyle w:val="Textonotapie"/>
        <w:ind w:firstLine="709"/>
        <w:jc w:val="both"/>
        <w:rPr>
          <w:rFonts w:ascii="Verdana" w:hAnsi="Verdana" w:cs="Arial"/>
          <w:color w:val="000000"/>
          <w:sz w:val="16"/>
          <w:szCs w:val="16"/>
        </w:rPr>
      </w:pPr>
      <w:r w:rsidRPr="00B74530">
        <w:rPr>
          <w:rFonts w:ascii="Verdana" w:hAnsi="Verdana" w:cs="Arial"/>
          <w:color w:val="000000"/>
          <w:sz w:val="16"/>
          <w:szCs w:val="16"/>
        </w:rPr>
        <w:t xml:space="preserve">Lo anterior quiere decir que no es la prueba lo que debe ser anterior al cierre del proceso, sino el hecho que esta acredita. En ese sentido, ante la solicitud de la Administración de subsanar un requisito, el documento podría estar fechado con posterioridad al vencimiento del término para recibir propuestas, con la condición de que el hecho que acredite haya ocurrido antes, esto es, que no sea una circunstancia ocurrida con posterioridad al cierre del proceso. Un mejor entendimiento del significado de la expresión «circunstancias ocurridas con posterioridad al cierre del proceso» implica distinguir entre la prueba de un hecho y el hecho mismo. En el caso de la </w:t>
      </w:r>
      <w:proofErr w:type="spellStart"/>
      <w:r w:rsidRPr="00B74530">
        <w:rPr>
          <w:rFonts w:ascii="Verdana" w:hAnsi="Verdana" w:cs="Arial"/>
          <w:color w:val="000000"/>
          <w:sz w:val="16"/>
          <w:szCs w:val="16"/>
        </w:rPr>
        <w:t>subsanabilidad</w:t>
      </w:r>
      <w:proofErr w:type="spellEnd"/>
      <w:r w:rsidRPr="00B74530">
        <w:rPr>
          <w:rFonts w:ascii="Verdana" w:hAnsi="Verdana" w:cs="Arial"/>
          <w:color w:val="000000"/>
          <w:sz w:val="16"/>
          <w:szCs w:val="16"/>
        </w:rPr>
        <w:t xml:space="preserve"> de las ofertas, una cosa es el requisito habilitante o el elemento de la propuesta que permite cumplir determinada exigencia del pliego de condiciones –o documento equivalente– y otra su prueba. Lo que prohíbe la norma es que se subsanen requisitos que no estaban materialmente cumplidos al momento del cierre del proceso”. Disponible en: </w:t>
      </w:r>
      <w:hyperlink r:id="rId5" w:history="1">
        <w:r w:rsidRPr="00B74530">
          <w:rPr>
            <w:rStyle w:val="Hipervnculo"/>
            <w:rFonts w:ascii="Verdana" w:hAnsi="Verdana" w:cs="Arial"/>
            <w:sz w:val="16"/>
            <w:szCs w:val="16"/>
          </w:rPr>
          <w:t>https://www.colombiacompra.gov.co/circulares?page=2</w:t>
        </w:r>
      </w:hyperlink>
      <w:r w:rsidRPr="00B74530">
        <w:rPr>
          <w:rStyle w:val="Hipervnculo"/>
          <w:rFonts w:ascii="Verdana" w:hAnsi="Verdana" w:cs="Arial"/>
          <w:color w:val="000000"/>
          <w:sz w:val="16"/>
          <w:szCs w:val="16"/>
        </w:rPr>
        <w:t xml:space="preserve"> </w:t>
      </w:r>
    </w:p>
    <w:p w14:paraId="68E21C2F" w14:textId="77777777" w:rsidR="00D012A1" w:rsidRPr="00B74530" w:rsidRDefault="00D012A1" w:rsidP="00D012A1">
      <w:pPr>
        <w:pStyle w:val="Textonotapie"/>
        <w:ind w:firstLine="709"/>
        <w:jc w:val="both"/>
        <w:rPr>
          <w:rFonts w:ascii="Verdana" w:hAnsi="Verdana" w:cs="Arial"/>
          <w:color w:val="000000"/>
          <w:sz w:val="16"/>
          <w:szCs w:val="16"/>
        </w:rPr>
      </w:pPr>
    </w:p>
  </w:footnote>
  <w:footnote w:id="17">
    <w:p w14:paraId="45601974" w14:textId="77777777" w:rsidR="00D012A1" w:rsidRPr="00B74530" w:rsidRDefault="00D012A1" w:rsidP="00D012A1">
      <w:pPr>
        <w:pStyle w:val="Textonotapie"/>
        <w:ind w:firstLine="709"/>
        <w:jc w:val="both"/>
        <w:rPr>
          <w:rFonts w:ascii="Verdana" w:hAnsi="Verdana" w:cs="Arial"/>
          <w:color w:val="000000"/>
          <w:sz w:val="16"/>
          <w:szCs w:val="16"/>
        </w:rPr>
      </w:pPr>
      <w:r w:rsidRPr="00B74530">
        <w:rPr>
          <w:rStyle w:val="Refdenotaalpie"/>
          <w:rFonts w:ascii="Verdana" w:hAnsi="Verdana" w:cs="Arial"/>
          <w:color w:val="000000"/>
          <w:sz w:val="16"/>
          <w:szCs w:val="16"/>
        </w:rPr>
        <w:footnoteRef/>
      </w:r>
      <w:r w:rsidRPr="00B74530">
        <w:rPr>
          <w:rFonts w:ascii="Verdana" w:hAnsi="Verdana" w:cs="Arial"/>
          <w:color w:val="000000"/>
          <w:sz w:val="16"/>
          <w:szCs w:val="16"/>
        </w:rPr>
        <w:t xml:space="preserve"> Ver </w:t>
      </w:r>
      <w:r w:rsidRPr="00877587">
        <w:rPr>
          <w:rFonts w:ascii="Verdana" w:hAnsi="Verdana" w:cs="Arial"/>
          <w:color w:val="000000"/>
          <w:sz w:val="16"/>
          <w:szCs w:val="16"/>
        </w:rPr>
        <w:t>Consejo de Estado. Sala de lo Contencioso Administrativo. Sección Tercera. Subsección C.</w:t>
      </w:r>
      <w:r>
        <w:rPr>
          <w:rFonts w:ascii="Verdana" w:hAnsi="Verdana" w:cs="Arial"/>
          <w:color w:val="000000"/>
          <w:sz w:val="16"/>
          <w:szCs w:val="16"/>
        </w:rPr>
        <w:t xml:space="preserve"> </w:t>
      </w:r>
      <w:r w:rsidRPr="00B74530">
        <w:rPr>
          <w:rFonts w:ascii="Verdana" w:hAnsi="Verdana" w:cs="Arial"/>
          <w:color w:val="000000"/>
          <w:sz w:val="16"/>
          <w:szCs w:val="16"/>
        </w:rPr>
        <w:t xml:space="preserve">Sentencia del 26 de febrero de 2011. C.P. Jaime Orlando Santofimio. Rad. 36.408. </w:t>
      </w:r>
    </w:p>
  </w:footnote>
  <w:footnote w:id="18">
    <w:p w14:paraId="12BD63F1" w14:textId="77777777" w:rsidR="00D012A1" w:rsidRPr="00B74530" w:rsidRDefault="00D012A1" w:rsidP="00D012A1">
      <w:pPr>
        <w:pStyle w:val="Textonotapie"/>
        <w:ind w:firstLine="709"/>
        <w:jc w:val="both"/>
        <w:rPr>
          <w:rFonts w:ascii="Verdana" w:hAnsi="Verdana" w:cs="Arial"/>
          <w:color w:val="000000"/>
          <w:sz w:val="16"/>
          <w:szCs w:val="16"/>
        </w:rPr>
      </w:pPr>
    </w:p>
    <w:p w14:paraId="06AFBE24" w14:textId="77777777" w:rsidR="00D012A1" w:rsidRPr="00B74530" w:rsidRDefault="00D012A1" w:rsidP="00D012A1">
      <w:pPr>
        <w:pStyle w:val="Textonotapie"/>
        <w:ind w:firstLine="709"/>
        <w:jc w:val="both"/>
        <w:rPr>
          <w:rFonts w:ascii="Verdana" w:hAnsi="Verdana" w:cs="Arial"/>
          <w:color w:val="000000"/>
          <w:sz w:val="16"/>
          <w:szCs w:val="16"/>
        </w:rPr>
      </w:pPr>
      <w:r w:rsidRPr="00B74530">
        <w:rPr>
          <w:rStyle w:val="Refdenotaalpie"/>
          <w:rFonts w:ascii="Verdana" w:hAnsi="Verdana" w:cs="Arial"/>
          <w:color w:val="000000"/>
          <w:sz w:val="16"/>
          <w:szCs w:val="16"/>
        </w:rPr>
        <w:footnoteRef/>
      </w:r>
      <w:r w:rsidRPr="00B74530">
        <w:rPr>
          <w:rFonts w:ascii="Verdana" w:hAnsi="Verdana" w:cs="Arial"/>
          <w:color w:val="000000"/>
          <w:sz w:val="16"/>
          <w:szCs w:val="16"/>
        </w:rPr>
        <w:t xml:space="preserve"> Ver </w:t>
      </w:r>
      <w:r w:rsidRPr="00877587">
        <w:rPr>
          <w:rFonts w:ascii="Verdana" w:hAnsi="Verdana" w:cs="Arial"/>
          <w:color w:val="000000"/>
          <w:sz w:val="16"/>
          <w:szCs w:val="16"/>
        </w:rPr>
        <w:t xml:space="preserve">Consejo de Estado. Sala de lo Contencioso Administrativo. Sección Tercera. Subsección C. </w:t>
      </w:r>
      <w:r w:rsidRPr="00B74530">
        <w:rPr>
          <w:rFonts w:ascii="Verdana" w:hAnsi="Verdana" w:cs="Arial"/>
          <w:color w:val="000000"/>
          <w:sz w:val="16"/>
          <w:szCs w:val="16"/>
        </w:rPr>
        <w:t xml:space="preserve"> Sentencia del 26 de febrero de 2014. C.P. Enrique Gil Botero. Rad. 25.804. </w:t>
      </w:r>
    </w:p>
    <w:p w14:paraId="1F1E174A" w14:textId="77777777" w:rsidR="00D012A1" w:rsidRPr="00B74530" w:rsidRDefault="00D012A1" w:rsidP="00D012A1">
      <w:pPr>
        <w:pStyle w:val="Textonotapie"/>
        <w:ind w:firstLine="709"/>
        <w:jc w:val="both"/>
        <w:rPr>
          <w:rFonts w:ascii="Verdana" w:hAnsi="Verdana" w:cs="Arial"/>
          <w:color w:val="000000"/>
          <w:sz w:val="16"/>
          <w:szCs w:val="16"/>
        </w:rPr>
      </w:pPr>
    </w:p>
  </w:footnote>
  <w:footnote w:id="19">
    <w:p w14:paraId="60702BCD" w14:textId="77777777" w:rsidR="00D012A1" w:rsidRPr="00B74530" w:rsidRDefault="00D012A1" w:rsidP="00D012A1">
      <w:pPr>
        <w:pStyle w:val="Textonotapie"/>
        <w:ind w:firstLine="708"/>
        <w:jc w:val="both"/>
        <w:rPr>
          <w:rFonts w:ascii="Verdana" w:hAnsi="Verdana" w:cs="Arial"/>
          <w:color w:val="000000"/>
          <w:sz w:val="16"/>
          <w:szCs w:val="16"/>
        </w:rPr>
      </w:pPr>
      <w:r w:rsidRPr="00B74530">
        <w:rPr>
          <w:rStyle w:val="Refdenotaalpie"/>
          <w:rFonts w:ascii="Verdana" w:hAnsi="Verdana" w:cs="Arial"/>
          <w:color w:val="000000"/>
          <w:sz w:val="16"/>
          <w:szCs w:val="16"/>
        </w:rPr>
        <w:footnoteRef/>
      </w:r>
      <w:r w:rsidRPr="00B74530">
        <w:rPr>
          <w:rFonts w:ascii="Verdana" w:hAnsi="Verdana" w:cs="Arial"/>
          <w:color w:val="000000"/>
          <w:sz w:val="16"/>
          <w:szCs w:val="16"/>
        </w:rPr>
        <w:t xml:space="preserve"> </w:t>
      </w:r>
      <w:r>
        <w:rPr>
          <w:rFonts w:ascii="Verdana" w:hAnsi="Verdana" w:cs="Arial"/>
          <w:color w:val="000000"/>
          <w:sz w:val="16"/>
          <w:szCs w:val="16"/>
        </w:rPr>
        <w:t>Consejo de Estado</w:t>
      </w:r>
      <w:r w:rsidRPr="00B74530">
        <w:rPr>
          <w:rFonts w:ascii="Verdana" w:hAnsi="Verdana" w:cs="Arial"/>
          <w:color w:val="000000"/>
          <w:sz w:val="16"/>
          <w:szCs w:val="16"/>
        </w:rPr>
        <w:t>. Sala de Consulta y Servicio Civil. Concepto del 20 de mayo de 2010. Expediente: 1992. Consejero Ponente: Enrique José Arboleda Perdomo.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8" type="#_x0000_t75" style="width:11.65pt;height:11.6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CC34B7A"/>
    <w:multiLevelType w:val="hybridMultilevel"/>
    <w:tmpl w:val="5B70425A"/>
    <w:lvl w:ilvl="0" w:tplc="53F07A2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01C4D5F"/>
    <w:multiLevelType w:val="hybridMultilevel"/>
    <w:tmpl w:val="EE5CFAA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2"/>
  </w:num>
  <w:num w:numId="3">
    <w:abstractNumId w:val="6"/>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4"/>
  </w:num>
  <w:num w:numId="7">
    <w:abstractNumId w:val="7"/>
  </w:num>
  <w:num w:numId="8">
    <w:abstractNumId w:val="13"/>
  </w:num>
  <w:num w:numId="9">
    <w:abstractNumId w:val="9"/>
  </w:num>
  <w:num w:numId="10">
    <w:abstractNumId w:val="12"/>
  </w:num>
  <w:num w:numId="11">
    <w:abstractNumId w:val="10"/>
  </w:num>
  <w:num w:numId="12">
    <w:abstractNumId w:val="1"/>
  </w:num>
  <w:num w:numId="13">
    <w:abstractNumId w:val="4"/>
  </w:num>
  <w:num w:numId="14">
    <w:abstractNumId w:val="15"/>
  </w:num>
  <w:num w:numId="15">
    <w:abstractNumId w:val="11"/>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268F"/>
    <w:rsid w:val="00030495"/>
    <w:rsid w:val="00046945"/>
    <w:rsid w:val="00061B2A"/>
    <w:rsid w:val="00066265"/>
    <w:rsid w:val="00082362"/>
    <w:rsid w:val="000A683E"/>
    <w:rsid w:val="000B19B9"/>
    <w:rsid w:val="000B589E"/>
    <w:rsid w:val="000D0334"/>
    <w:rsid w:val="000F6486"/>
    <w:rsid w:val="00125105"/>
    <w:rsid w:val="00127233"/>
    <w:rsid w:val="0016089F"/>
    <w:rsid w:val="001E4177"/>
    <w:rsid w:val="001F7DC6"/>
    <w:rsid w:val="00202D19"/>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82C95"/>
    <w:rsid w:val="004A1847"/>
    <w:rsid w:val="004A305D"/>
    <w:rsid w:val="004F21C4"/>
    <w:rsid w:val="004F685F"/>
    <w:rsid w:val="005566E8"/>
    <w:rsid w:val="00574867"/>
    <w:rsid w:val="00591460"/>
    <w:rsid w:val="005C3777"/>
    <w:rsid w:val="005C5CDC"/>
    <w:rsid w:val="005D476C"/>
    <w:rsid w:val="006219F8"/>
    <w:rsid w:val="006302F7"/>
    <w:rsid w:val="00665D70"/>
    <w:rsid w:val="006900D9"/>
    <w:rsid w:val="00690C20"/>
    <w:rsid w:val="006A760C"/>
    <w:rsid w:val="00706C16"/>
    <w:rsid w:val="007365C5"/>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97A3A"/>
    <w:rsid w:val="008A446D"/>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B0ADB"/>
    <w:rsid w:val="00AF5547"/>
    <w:rsid w:val="00B00C0E"/>
    <w:rsid w:val="00B01B1A"/>
    <w:rsid w:val="00B44A47"/>
    <w:rsid w:val="00B72CD3"/>
    <w:rsid w:val="00B72FFF"/>
    <w:rsid w:val="00BC3D36"/>
    <w:rsid w:val="00BD7F72"/>
    <w:rsid w:val="00C04FB3"/>
    <w:rsid w:val="00C330EB"/>
    <w:rsid w:val="00C754BE"/>
    <w:rsid w:val="00C76B1C"/>
    <w:rsid w:val="00CB6357"/>
    <w:rsid w:val="00CC1B26"/>
    <w:rsid w:val="00D012A1"/>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462B3"/>
    <w:rsid w:val="00F474E2"/>
    <w:rsid w:val="00F5664F"/>
    <w:rsid w:val="00F666C4"/>
    <w:rsid w:val="00F725FA"/>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DC22D343-B191-4CEA-A281-4EDBC4BF1E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D012A1"/>
    <w:rPr>
      <w:rFonts w:ascii="Geomanist Light" w:hAnsi="Geomanist Light"/>
      <w:lang w:val="es-ES"/>
    </w:rPr>
  </w:style>
  <w:style w:type="paragraph" w:customStyle="1" w:styleId="Appelnotedebasde">
    <w:name w:val="Appel note de bas de..."/>
    <w:basedOn w:val="Normal"/>
    <w:link w:val="Refdenotaalpie"/>
    <w:uiPriority w:val="99"/>
    <w:rsid w:val="00D012A1"/>
    <w:pPr>
      <w:spacing w:line="240" w:lineRule="exact"/>
    </w:pPr>
    <w:rPr>
      <w:vertAlign w:val="superscript"/>
    </w:rPr>
  </w:style>
  <w:style w:type="paragraph" w:styleId="Sinespaciado">
    <w:name w:val="No Spacing"/>
    <w:uiPriority w:val="1"/>
    <w:qFormat/>
    <w:rsid w:val="00D012A1"/>
    <w:pPr>
      <w:spacing w:after="0" w:line="240" w:lineRule="auto"/>
    </w:pPr>
    <w:rPr>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fernanda.montilla@sainc.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tmp"/><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3" Type="http://schemas.openxmlformats.org/officeDocument/2006/relationships/hyperlink" Target="https://relatoria.colombiacompra.gov.co/busqueda/conceptos" TargetMode="External"/><Relationship Id="rId2" Type="http://schemas.openxmlformats.org/officeDocument/2006/relationships/hyperlink" Target="https://2019-vlex-com.ez.urosario.edu.co/" TargetMode="External"/><Relationship Id="rId1" Type="http://schemas.openxmlformats.org/officeDocument/2006/relationships/hyperlink" Target="https://www.colombiacompra.gov.co/wp-content/uploads/2024/10/cce-gti-idi-05_terminos_y_condiciones_de_uso_del_sistema_electronico_de_contratacion_publica_-_secop_ii_19-11-2021.pdf" TargetMode="External"/><Relationship Id="rId5" Type="http://schemas.openxmlformats.org/officeDocument/2006/relationships/hyperlink" Target="https://www.colombiacompra.gov.co/circulares?page=2" TargetMode="External"/><Relationship Id="rId4" Type="http://schemas.openxmlformats.org/officeDocument/2006/relationships/hyperlink" Target="https://www.colombiacompra.gov.co/wp-content/uploads/2024/10/cce-gti-idi-05_terminos_y_condiciones_de_uso_del_sistema_electronico_de_contratacion_publica_-_secop_ii_19-11-202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purl.org/dc/elements/1.1/"/>
    <ds:schemaRef ds:uri="http://purl.org/dc/dcmitype/"/>
    <ds:schemaRef ds:uri="http://schemas.microsoft.com/office/2006/documentManagement/types"/>
    <ds:schemaRef ds:uri="http://purl.org/dc/terms/"/>
    <ds:schemaRef ds:uri="http://www.w3.org/XML/1998/namespace"/>
    <ds:schemaRef ds:uri="9d85dbaf-23eb-4e57-a637-93dcacc8b1a1"/>
    <ds:schemaRef ds:uri="a6cb9e4b-f1d1-4245-83ec-6cad768d538a"/>
    <ds:schemaRef ds:uri="http://schemas.microsoft.com/office/infopath/2007/PartnerControls"/>
    <ds:schemaRef ds:uri="http://schemas.openxmlformats.org/package/2006/metadata/core-properties"/>
    <ds:schemaRef ds:uri="http://schemas.microsoft.com/office/2006/metadata/properties"/>
  </ds:schemaRefs>
</ds:datastoreItem>
</file>

<file path=customXml/itemProps2.xml><?xml version="1.0" encoding="utf-8"?>
<ds:datastoreItem xmlns:ds="http://schemas.openxmlformats.org/officeDocument/2006/customXml" ds:itemID="{4FDD5140-B9E8-4966-ADBB-A326889104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27</Pages>
  <Words>8976</Words>
  <Characters>49368</Characters>
  <Application>Microsoft Office Word</Application>
  <DocSecurity>0</DocSecurity>
  <Lines>411</Lines>
  <Paragraphs>116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2025-10-29T03:43:00Z</dcterms:created>
  <dcterms:modified xsi:type="dcterms:W3CDTF">2025-10-29T03:43:00Z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