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21E91" w14:textId="77777777" w:rsidR="00F51CD2" w:rsidRDefault="00F51CD2" w:rsidP="007C0279">
      <w:pPr>
        <w:spacing w:after="0" w:line="240" w:lineRule="auto"/>
        <w:contextualSpacing/>
        <w:jc w:val="both"/>
        <w:rPr>
          <w:rFonts w:ascii="Verdana" w:eastAsia="Calibri" w:hAnsi="Verdana" w:cs="Arial"/>
          <w:b/>
          <w:bCs/>
          <w:color w:val="000000"/>
          <w:kern w:val="2"/>
          <w14:ligatures w14:val="standardContextual"/>
        </w:rPr>
      </w:pPr>
      <w:bookmarkStart w:id="0" w:name="_Hlk186494164"/>
      <w:r w:rsidRPr="00B962C8">
        <w:rPr>
          <w:rFonts w:ascii="Verdana" w:eastAsia="Calibri" w:hAnsi="Verdana" w:cs="Arial"/>
          <w:b/>
          <w:bCs/>
          <w:color w:val="000000"/>
          <w:kern w:val="2"/>
          <w14:ligatures w14:val="standardContextual"/>
        </w:rPr>
        <w:t xml:space="preserve">INHABILIDADES E INCOMPATIBILIDADES – Concepto </w:t>
      </w:r>
    </w:p>
    <w:p w14:paraId="058B5D4C" w14:textId="77777777" w:rsidR="00F51CD2" w:rsidRPr="00B962C8" w:rsidRDefault="00F51CD2" w:rsidP="007C0279">
      <w:pPr>
        <w:spacing w:after="0" w:line="240" w:lineRule="auto"/>
        <w:contextualSpacing/>
        <w:jc w:val="both"/>
        <w:rPr>
          <w:rFonts w:ascii="Verdana" w:eastAsia="Calibri" w:hAnsi="Verdana" w:cs="Arial"/>
          <w:b/>
          <w:bCs/>
          <w:color w:val="000000"/>
          <w:kern w:val="2"/>
          <w14:ligatures w14:val="standardContextual"/>
        </w:rPr>
      </w:pPr>
    </w:p>
    <w:p w14:paraId="4E86DE10" w14:textId="77777777" w:rsidR="00F51CD2" w:rsidRDefault="00F51CD2" w:rsidP="007C0279">
      <w:pPr>
        <w:spacing w:after="0" w:line="240" w:lineRule="auto"/>
        <w:contextualSpacing/>
        <w:jc w:val="both"/>
        <w:rPr>
          <w:rFonts w:ascii="Verdana" w:eastAsia="Calibri" w:hAnsi="Verdana" w:cs="Arial"/>
          <w:color w:val="000000"/>
          <w:kern w:val="2"/>
          <w:sz w:val="20"/>
          <w:szCs w:val="20"/>
          <w:lang w:val="es-ES_tradnl"/>
          <w14:ligatures w14:val="standardContextual"/>
        </w:rPr>
      </w:pPr>
      <w:r>
        <w:rPr>
          <w:rFonts w:ascii="Verdana" w:eastAsia="Calibri" w:hAnsi="Verdana" w:cs="Arial"/>
          <w:color w:val="000000"/>
          <w:kern w:val="2"/>
          <w:sz w:val="20"/>
          <w:szCs w:val="20"/>
          <w:lang w:val="es-ES_tradnl"/>
          <w14:ligatures w14:val="standardContextual"/>
        </w:rPr>
        <w:t xml:space="preserve">[…] </w:t>
      </w:r>
      <w:r w:rsidRPr="00693453">
        <w:rPr>
          <w:rFonts w:ascii="Verdana" w:eastAsia="Calibri" w:hAnsi="Verdana" w:cs="Arial"/>
          <w:color w:val="000000"/>
          <w:kern w:val="2"/>
          <w:sz w:val="20"/>
          <w:szCs w:val="20"/>
          <w:lang w:val="es-ES_tradnl"/>
          <w14:ligatures w14:val="standardContextual"/>
        </w:rPr>
        <w:t>se destaca el régimen de inhabilidades e incompatibilidades como un conjunto de enunciados normativos que imponen restricciones para los sujetos que, eventualmente, pretendan participar en los procedimientos de selección o celebrar contratos con las entidades estatales.</w:t>
      </w:r>
    </w:p>
    <w:p w14:paraId="2701E128" w14:textId="77777777" w:rsidR="00F51CD2" w:rsidRPr="00B962C8" w:rsidRDefault="00F51CD2" w:rsidP="007C0279">
      <w:pPr>
        <w:spacing w:after="0" w:line="240" w:lineRule="auto"/>
        <w:contextualSpacing/>
        <w:jc w:val="both"/>
        <w:rPr>
          <w:rFonts w:ascii="Verdana" w:eastAsia="Calibri" w:hAnsi="Verdana" w:cs="Arial"/>
          <w:b/>
          <w:bCs/>
          <w:color w:val="000000"/>
          <w:kern w:val="2"/>
          <w14:ligatures w14:val="standardContextual"/>
        </w:rPr>
      </w:pPr>
    </w:p>
    <w:p w14:paraId="0E27911A" w14:textId="77777777" w:rsidR="00F51CD2" w:rsidRDefault="00F51CD2" w:rsidP="007C0279">
      <w:pPr>
        <w:spacing w:after="0" w:line="240" w:lineRule="auto"/>
        <w:contextualSpacing/>
        <w:jc w:val="both"/>
        <w:rPr>
          <w:rFonts w:ascii="Verdana" w:eastAsia="Calibri" w:hAnsi="Verdana" w:cs="Arial"/>
          <w:b/>
          <w:bCs/>
          <w:color w:val="000000"/>
          <w:kern w:val="2"/>
          <w14:ligatures w14:val="standardContextual"/>
        </w:rPr>
      </w:pPr>
      <w:r w:rsidRPr="00B962C8">
        <w:rPr>
          <w:rFonts w:ascii="Verdana" w:eastAsia="Calibri" w:hAnsi="Verdana" w:cs="Arial"/>
          <w:b/>
          <w:bCs/>
          <w:color w:val="000000"/>
          <w:kern w:val="2"/>
          <w14:ligatures w14:val="standardContextual"/>
        </w:rPr>
        <w:t xml:space="preserve">INHABILIDADES E INCOMPATIBILIDADES – Régimen – Interpretación restrictiva </w:t>
      </w:r>
    </w:p>
    <w:p w14:paraId="1EF6568F" w14:textId="77777777" w:rsidR="00F51CD2" w:rsidRPr="00B962C8" w:rsidRDefault="00F51CD2" w:rsidP="007C0279">
      <w:pPr>
        <w:spacing w:after="0" w:line="240" w:lineRule="auto"/>
        <w:contextualSpacing/>
        <w:jc w:val="both"/>
        <w:rPr>
          <w:rFonts w:ascii="Verdana" w:eastAsia="Calibri" w:hAnsi="Verdana" w:cs="Arial"/>
          <w:b/>
          <w:bCs/>
          <w:color w:val="000000"/>
          <w:kern w:val="2"/>
          <w14:ligatures w14:val="standardContextual"/>
        </w:rPr>
      </w:pPr>
    </w:p>
    <w:p w14:paraId="6B6363B2" w14:textId="77777777" w:rsidR="00F51CD2" w:rsidRPr="00074B3E" w:rsidRDefault="00F51CD2" w:rsidP="007C0279">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E65780">
        <w:rPr>
          <w:rFonts w:ascii="Verdana" w:eastAsia="Calibri" w:hAnsi="Verdana" w:cs="Arial"/>
          <w:color w:val="000000"/>
          <w:kern w:val="2"/>
          <w:sz w:val="20"/>
          <w:szCs w:val="20"/>
          <w:lang w:val="es-ES_tradnl"/>
          <w14:ligatures w14:val="standardContextual"/>
        </w:rPr>
        <w:t>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5EF482E5" w14:textId="77777777" w:rsidR="00F51CD2" w:rsidRPr="00B962C8" w:rsidRDefault="00F51CD2" w:rsidP="007C0279">
      <w:pPr>
        <w:spacing w:after="0" w:line="240" w:lineRule="auto"/>
        <w:contextualSpacing/>
        <w:jc w:val="both"/>
        <w:rPr>
          <w:rFonts w:ascii="Verdana" w:eastAsia="Calibri" w:hAnsi="Verdana" w:cs="Arial"/>
          <w:b/>
          <w:bCs/>
          <w:color w:val="000000"/>
          <w:kern w:val="2"/>
          <w14:ligatures w14:val="standardContextual"/>
        </w:rPr>
      </w:pPr>
    </w:p>
    <w:p w14:paraId="654E864C" w14:textId="2A400537" w:rsidR="00F51CD2" w:rsidRDefault="00F51CD2" w:rsidP="007C0279">
      <w:pPr>
        <w:spacing w:after="0" w:line="240" w:lineRule="auto"/>
        <w:contextualSpacing/>
        <w:jc w:val="both"/>
        <w:rPr>
          <w:rFonts w:ascii="Verdana" w:eastAsia="Calibri" w:hAnsi="Verdana" w:cs="Arial"/>
          <w:b/>
          <w:bCs/>
          <w:color w:val="000000"/>
          <w:kern w:val="2"/>
          <w14:ligatures w14:val="standardContextual"/>
        </w:rPr>
      </w:pPr>
      <w:r w:rsidRPr="00B962C8">
        <w:rPr>
          <w:rFonts w:ascii="Verdana" w:eastAsia="Calibri" w:hAnsi="Verdana" w:cs="Arial"/>
          <w:b/>
          <w:bCs/>
          <w:color w:val="000000"/>
          <w:kern w:val="2"/>
          <w14:ligatures w14:val="standardContextual"/>
        </w:rPr>
        <w:t>CONTRATO DE PRESTACION DE SERVICIOS –</w:t>
      </w:r>
      <w:r>
        <w:rPr>
          <w:rFonts w:ascii="Verdana" w:eastAsia="Calibri" w:hAnsi="Verdana" w:cs="Arial"/>
          <w:b/>
          <w:bCs/>
          <w:color w:val="000000"/>
          <w:kern w:val="2"/>
          <w14:ligatures w14:val="standardContextual"/>
        </w:rPr>
        <w:t xml:space="preserve"> </w:t>
      </w:r>
      <w:r w:rsidRPr="00B962C8">
        <w:rPr>
          <w:rFonts w:ascii="Verdana" w:eastAsia="Calibri" w:hAnsi="Verdana" w:cs="Arial"/>
          <w:b/>
          <w:bCs/>
          <w:color w:val="000000"/>
          <w:kern w:val="2"/>
          <w14:ligatures w14:val="standardContextual"/>
        </w:rPr>
        <w:t>Inhabilidad</w:t>
      </w:r>
      <w:r w:rsidR="007C0279">
        <w:rPr>
          <w:rFonts w:ascii="Verdana" w:eastAsia="Calibri" w:hAnsi="Verdana" w:cs="Arial"/>
          <w:b/>
          <w:bCs/>
          <w:color w:val="000000"/>
          <w:kern w:val="2"/>
          <w14:ligatures w14:val="standardContextual"/>
        </w:rPr>
        <w:t>es</w:t>
      </w:r>
      <w:r w:rsidRPr="00B962C8">
        <w:rPr>
          <w:rFonts w:ascii="Verdana" w:eastAsia="Calibri" w:hAnsi="Verdana" w:cs="Arial"/>
          <w:b/>
          <w:bCs/>
          <w:color w:val="000000"/>
          <w:kern w:val="2"/>
          <w14:ligatures w14:val="standardContextual"/>
        </w:rPr>
        <w:t xml:space="preserve"> e incompatibilidad</w:t>
      </w:r>
      <w:r w:rsidR="007C0279">
        <w:rPr>
          <w:rFonts w:ascii="Verdana" w:eastAsia="Calibri" w:hAnsi="Verdana" w:cs="Arial"/>
          <w:b/>
          <w:bCs/>
          <w:color w:val="000000"/>
          <w:kern w:val="2"/>
          <w14:ligatures w14:val="standardContextual"/>
        </w:rPr>
        <w:t>es</w:t>
      </w:r>
      <w:r w:rsidRPr="00B962C8">
        <w:rPr>
          <w:rFonts w:ascii="Verdana" w:eastAsia="Calibri" w:hAnsi="Verdana" w:cs="Arial"/>
          <w:b/>
          <w:bCs/>
          <w:color w:val="000000"/>
          <w:kern w:val="2"/>
          <w14:ligatures w14:val="standardContextual"/>
        </w:rPr>
        <w:t xml:space="preserve"> </w:t>
      </w:r>
    </w:p>
    <w:p w14:paraId="19BA50C3" w14:textId="77777777" w:rsidR="007C0279" w:rsidRDefault="007C0279" w:rsidP="007C0279">
      <w:pPr>
        <w:spacing w:after="0" w:line="240" w:lineRule="auto"/>
        <w:contextualSpacing/>
        <w:jc w:val="both"/>
        <w:rPr>
          <w:rFonts w:ascii="Verdana" w:eastAsia="Calibri" w:hAnsi="Verdana" w:cs="Arial"/>
          <w:b/>
          <w:bCs/>
          <w:color w:val="000000"/>
          <w:kern w:val="2"/>
          <w14:ligatures w14:val="standardContextual"/>
        </w:rPr>
      </w:pPr>
    </w:p>
    <w:p w14:paraId="011FBB46" w14:textId="1DAA51FA" w:rsidR="007C0279" w:rsidRDefault="007C0279" w:rsidP="007C0279">
      <w:pPr>
        <w:spacing w:after="0" w:line="240" w:lineRule="auto"/>
        <w:jc w:val="both"/>
        <w:rPr>
          <w:rFonts w:ascii="Verdana" w:hAnsi="Verdana" w:cs="Arial"/>
          <w:color w:val="000000" w:themeColor="text1"/>
          <w:sz w:val="20"/>
          <w:szCs w:val="20"/>
          <w:lang w:val="es-ES_tradnl"/>
        </w:rPr>
      </w:pPr>
      <w:r w:rsidRPr="007C0279">
        <w:rPr>
          <w:rFonts w:ascii="Verdana" w:hAnsi="Verdana" w:cs="Arial"/>
          <w:bCs/>
          <w:color w:val="000000" w:themeColor="text1"/>
          <w:sz w:val="20"/>
          <w:szCs w:val="20"/>
          <w:lang w:val="es-ES_tradnl"/>
        </w:rPr>
        <w:t xml:space="preserve">En atención al objeto de la consulta que origina el presente concepto, </w:t>
      </w:r>
      <w:r w:rsidRPr="007C0279">
        <w:rPr>
          <w:rFonts w:ascii="Verdana" w:hAnsi="Verdana" w:cs="Arial"/>
          <w:color w:val="000000" w:themeColor="text1"/>
          <w:sz w:val="20"/>
          <w:szCs w:val="20"/>
          <w:lang w:val="es-ES"/>
        </w:rPr>
        <w:t xml:space="preserve">analizado el régimen de inhabilidades e incompatibilidades previsto para la contratación estatal, </w:t>
      </w:r>
      <w:r w:rsidRPr="007C0279">
        <w:rPr>
          <w:rFonts w:ascii="Verdana" w:hAnsi="Verdana" w:cs="Arial"/>
          <w:color w:val="000000" w:themeColor="text1"/>
          <w:sz w:val="20"/>
          <w:szCs w:val="20"/>
          <w:lang w:val="es-ES_tradnl"/>
        </w:rPr>
        <w:t xml:space="preserve">se concluye que no existe una inhabilidad o incompatibilidad cuando </w:t>
      </w:r>
      <w:r w:rsidRPr="007C0279">
        <w:rPr>
          <w:rFonts w:ascii="Verdana" w:eastAsia="Calibri" w:hAnsi="Verdana" w:cs="Arial"/>
          <w:color w:val="000000" w:themeColor="text1"/>
          <w:sz w:val="20"/>
          <w:szCs w:val="20"/>
          <w:lang w:eastAsia="es-ES_tradnl"/>
        </w:rPr>
        <w:t xml:space="preserve">un </w:t>
      </w:r>
      <w:r w:rsidRPr="007C0279">
        <w:rPr>
          <w:rFonts w:ascii="Verdana" w:hAnsi="Verdana"/>
          <w:sz w:val="20"/>
          <w:szCs w:val="20"/>
        </w:rPr>
        <w:t>contratista de prestación de servicios que realiza determinados productos para la entidad estatal como insumo para una obra pública, posteriormente es contratado por el contratista adjudicatario de dicha obra</w:t>
      </w:r>
      <w:r w:rsidRPr="007C0279">
        <w:rPr>
          <w:rFonts w:ascii="Verdana" w:eastAsia="Arial MT" w:hAnsi="Verdana" w:cs="Arial"/>
          <w:sz w:val="20"/>
          <w:szCs w:val="20"/>
          <w:lang w:eastAsia="es-ES" w:bidi="es-ES"/>
        </w:rPr>
        <w:t>. Esta situación no se subsume en ninguno de los supuestos de hecho, ni se advierte que la hipótesis materia de consulta configure alguna de las causales previstas establecidos en el artículo 8 de la Ley 80 de 1993</w:t>
      </w:r>
      <w:r w:rsidRPr="007C0279">
        <w:rPr>
          <w:rFonts w:ascii="Verdana" w:hAnsi="Verdana" w:cs="Arial"/>
          <w:color w:val="000000" w:themeColor="text1"/>
          <w:sz w:val="20"/>
          <w:szCs w:val="20"/>
          <w:lang w:val="es-ES_tradnl"/>
        </w:rPr>
        <w:t>.</w:t>
      </w:r>
    </w:p>
    <w:p w14:paraId="0CC51A6B" w14:textId="77777777" w:rsidR="007C0279" w:rsidRPr="007C0279" w:rsidRDefault="007C0279" w:rsidP="007C0279">
      <w:pPr>
        <w:spacing w:after="0" w:line="240" w:lineRule="auto"/>
        <w:jc w:val="both"/>
        <w:rPr>
          <w:rFonts w:ascii="Verdana" w:hAnsi="Verdana"/>
          <w:sz w:val="20"/>
          <w:szCs w:val="20"/>
        </w:rPr>
      </w:pPr>
    </w:p>
    <w:p w14:paraId="22B760F8" w14:textId="39602AC5" w:rsidR="007C0279" w:rsidRPr="007C0279" w:rsidRDefault="007C0279" w:rsidP="007C0279">
      <w:pPr>
        <w:spacing w:after="0" w:line="240" w:lineRule="auto"/>
        <w:contextualSpacing/>
        <w:jc w:val="both"/>
        <w:rPr>
          <w:rFonts w:ascii="Verdana" w:eastAsia="Calibri" w:hAnsi="Verdana" w:cs="Arial"/>
          <w:b/>
          <w:bCs/>
          <w:color w:val="000000"/>
          <w:kern w:val="2"/>
          <w:sz w:val="20"/>
          <w:szCs w:val="20"/>
          <w14:ligatures w14:val="standardContextual"/>
        </w:rPr>
      </w:pPr>
      <w:r w:rsidRPr="007C0279">
        <w:rPr>
          <w:rFonts w:ascii="Verdana" w:hAnsi="Verdana" w:cs="Arial"/>
          <w:color w:val="000000" w:themeColor="text1"/>
          <w:sz w:val="20"/>
          <w:szCs w:val="20"/>
          <w:lang w:val="es-ES"/>
        </w:rPr>
        <w:t>En ese sentido, 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w:t>
      </w:r>
    </w:p>
    <w:p w14:paraId="1082FC29" w14:textId="77777777" w:rsidR="00F51CD2" w:rsidRPr="00B962C8" w:rsidRDefault="00F51CD2" w:rsidP="007C0279">
      <w:pPr>
        <w:spacing w:after="0" w:line="240" w:lineRule="auto"/>
        <w:contextualSpacing/>
        <w:jc w:val="both"/>
        <w:rPr>
          <w:rFonts w:ascii="Verdana" w:eastAsia="Calibri" w:hAnsi="Verdana" w:cs="Arial"/>
          <w:b/>
          <w:bCs/>
          <w:color w:val="000000"/>
          <w:kern w:val="2"/>
          <w14:ligatures w14:val="standardContextual"/>
        </w:rPr>
      </w:pPr>
    </w:p>
    <w:p w14:paraId="5CCCA934" w14:textId="06726B69" w:rsidR="00A06451" w:rsidRDefault="00A06451" w:rsidP="007C0279">
      <w:pPr>
        <w:spacing w:after="0" w:line="240" w:lineRule="auto"/>
        <w:jc w:val="both"/>
        <w:rPr>
          <w:rFonts w:ascii="Verdana" w:eastAsia="Calibri" w:hAnsi="Verdana" w:cs="Arial"/>
          <w:b/>
          <w:bCs/>
          <w:lang w:val="es-ES"/>
        </w:rPr>
      </w:pPr>
      <w:r>
        <w:rPr>
          <w:rFonts w:ascii="Verdana" w:eastAsia="Calibri" w:hAnsi="Verdana" w:cs="Arial"/>
          <w:b/>
          <w:bCs/>
          <w:lang w:val="es-ES"/>
        </w:rPr>
        <w:t>EJERCICIO DE LA INGENIERÍA</w:t>
      </w:r>
      <w:r>
        <w:rPr>
          <w:b/>
          <w:bCs/>
          <w:lang w:val="es-ES"/>
        </w:rPr>
        <w:t xml:space="preserve"> </w:t>
      </w:r>
      <w:r>
        <w:rPr>
          <w:rFonts w:ascii="Verdana" w:eastAsia="Calibri" w:hAnsi="Verdana" w:cs="Arial"/>
          <w:b/>
          <w:bCs/>
          <w:lang w:val="es-ES"/>
        </w:rPr>
        <w:t xml:space="preserve">– </w:t>
      </w:r>
      <w:r w:rsidR="00AC5AD0" w:rsidRPr="00AC5AD0">
        <w:rPr>
          <w:rFonts w:ascii="Verdana" w:eastAsia="Calibri" w:hAnsi="Verdana" w:cs="Arial"/>
          <w:b/>
          <w:bCs/>
          <w:lang w:val="es-ES"/>
        </w:rPr>
        <w:t>Artículo 44 – Restricciones</w:t>
      </w:r>
    </w:p>
    <w:p w14:paraId="4852E4AA" w14:textId="77777777" w:rsidR="007C0279" w:rsidRDefault="007C0279" w:rsidP="007C0279">
      <w:pPr>
        <w:spacing w:after="0" w:line="240" w:lineRule="auto"/>
        <w:jc w:val="both"/>
        <w:rPr>
          <w:rFonts w:ascii="Verdana" w:eastAsia="Calibri" w:hAnsi="Verdana" w:cs="Arial"/>
          <w:b/>
          <w:bCs/>
          <w:highlight w:val="yellow"/>
          <w:lang w:val="es-ES" w:eastAsia="es-ES"/>
        </w:rPr>
      </w:pPr>
    </w:p>
    <w:p w14:paraId="6AA38D9D" w14:textId="77777777" w:rsidR="007C0279" w:rsidRPr="007C0279" w:rsidRDefault="007C0279" w:rsidP="007C0279">
      <w:pPr>
        <w:spacing w:after="0" w:line="240" w:lineRule="auto"/>
        <w:jc w:val="both"/>
        <w:rPr>
          <w:rFonts w:ascii="Verdana" w:eastAsia="Calibri" w:hAnsi="Verdana" w:cs="Arial"/>
          <w:color w:val="000000" w:themeColor="text1"/>
          <w:sz w:val="20"/>
          <w:szCs w:val="20"/>
          <w:lang w:eastAsia="es-ES_tradnl"/>
        </w:rPr>
      </w:pPr>
      <w:r w:rsidRPr="007C0279">
        <w:rPr>
          <w:rFonts w:ascii="Verdana" w:eastAsia="Calibri" w:hAnsi="Verdana" w:cs="Arial"/>
          <w:color w:val="000000" w:themeColor="text1"/>
          <w:sz w:val="20"/>
          <w:szCs w:val="20"/>
          <w:lang w:eastAsia="es-ES_tradnl"/>
        </w:rPr>
        <w:t>Así,</w:t>
      </w:r>
      <w:r w:rsidRPr="007C0279">
        <w:rPr>
          <w:rFonts w:ascii="Verdana" w:hAnsi="Verdana" w:cs="Arial"/>
          <w:color w:val="000000" w:themeColor="text1"/>
          <w:sz w:val="20"/>
          <w:szCs w:val="20"/>
          <w:lang w:val="es-ES"/>
        </w:rPr>
        <w:t xml:space="preserve"> la Ley 842 de 2003 – “Por la cual se modifica la reglamentación del ejercicio de la ingeniería, de sus profesiones afines y de sus profesiones auxiliares, se adopta el Código de Ética Profesional y se dictan otras disposiciones”– establece un conjunto de </w:t>
      </w:r>
      <w:r w:rsidRPr="007C0279">
        <w:rPr>
          <w:rFonts w:ascii="Verdana" w:hAnsi="Verdana" w:cs="Arial"/>
          <w:color w:val="000000" w:themeColor="text1"/>
          <w:sz w:val="20"/>
          <w:szCs w:val="20"/>
          <w:lang w:val="es-ES"/>
        </w:rPr>
        <w:lastRenderedPageBreak/>
        <w:t xml:space="preserve">prohibiciones para los profesionales de la ingeniería, algunas de las cuales se aplican en los procedimientos de selección de los contratistas del Estado, se trata de prohibiciones dirigidas a los </w:t>
      </w:r>
      <w:r w:rsidRPr="007C0279">
        <w:rPr>
          <w:rFonts w:ascii="Verdana" w:hAnsi="Verdana" w:cs="Arial"/>
          <w:i/>
          <w:color w:val="000000" w:themeColor="text1"/>
          <w:sz w:val="20"/>
          <w:szCs w:val="20"/>
          <w:lang w:val="es-ES"/>
        </w:rPr>
        <w:t>profesionales</w:t>
      </w:r>
      <w:r w:rsidRPr="007C0279">
        <w:rPr>
          <w:rFonts w:ascii="Verdana" w:hAnsi="Verdana" w:cs="Arial"/>
          <w:color w:val="000000" w:themeColor="text1"/>
          <w:sz w:val="20"/>
          <w:szCs w:val="20"/>
          <w:lang w:val="es-ES"/>
        </w:rPr>
        <w:t xml:space="preserve">, no necesariamente a los </w:t>
      </w:r>
      <w:r w:rsidRPr="007C0279">
        <w:rPr>
          <w:rFonts w:ascii="Verdana" w:hAnsi="Verdana" w:cs="Arial"/>
          <w:i/>
          <w:color w:val="000000" w:themeColor="text1"/>
          <w:sz w:val="20"/>
          <w:szCs w:val="20"/>
          <w:lang w:val="es-ES"/>
        </w:rPr>
        <w:t>proponentes ni a los contratistas</w:t>
      </w:r>
      <w:r w:rsidRPr="007C0279">
        <w:rPr>
          <w:rFonts w:ascii="Verdana" w:hAnsi="Verdana" w:cs="Arial"/>
          <w:color w:val="000000" w:themeColor="text1"/>
          <w:sz w:val="20"/>
          <w:szCs w:val="20"/>
          <w:lang w:val="es-ES"/>
        </w:rPr>
        <w:t xml:space="preserve">. Así se infiere del artículo 30 de la mencionada Ley, que prevé lo siguiente: “Los ingenieros, sus profesionales afines y sus profesionales auxiliares, para todos los efectos del Código de Ética Profesional y su Régimen Disciplinario contemplados en esta ley, se denominarán "Los profesionales”. </w:t>
      </w:r>
    </w:p>
    <w:p w14:paraId="3BB1FBA8" w14:textId="77777777" w:rsidR="007C0279" w:rsidRDefault="007C0279" w:rsidP="007C0279">
      <w:pPr>
        <w:spacing w:after="0" w:line="240" w:lineRule="auto"/>
        <w:jc w:val="both"/>
        <w:rPr>
          <w:rFonts w:ascii="Verdana" w:hAnsi="Verdana" w:cs="Arial"/>
          <w:color w:val="000000" w:themeColor="text1"/>
          <w:sz w:val="20"/>
          <w:szCs w:val="20"/>
          <w:lang w:val="es-ES"/>
        </w:rPr>
      </w:pPr>
    </w:p>
    <w:p w14:paraId="1F7CADF5" w14:textId="3B5B6156" w:rsidR="007C0279" w:rsidRPr="007C0279" w:rsidRDefault="007C0279" w:rsidP="007C0279">
      <w:pPr>
        <w:spacing w:after="0" w:line="240" w:lineRule="auto"/>
        <w:jc w:val="both"/>
        <w:rPr>
          <w:rFonts w:ascii="Verdana" w:hAnsi="Verdana" w:cs="Arial"/>
          <w:color w:val="000000" w:themeColor="text1"/>
          <w:sz w:val="20"/>
          <w:szCs w:val="20"/>
          <w:lang w:val="es-ES"/>
        </w:rPr>
      </w:pPr>
      <w:r w:rsidRPr="007C0279">
        <w:rPr>
          <w:rFonts w:ascii="Verdana" w:hAnsi="Verdana" w:cs="Arial"/>
          <w:color w:val="000000" w:themeColor="text1"/>
          <w:sz w:val="20"/>
          <w:szCs w:val="20"/>
          <w:lang w:val="es-ES"/>
        </w:rPr>
        <w:t xml:space="preserve">En tal sentido, conviene referirse, de manera especial, a la prohibición prevista en el literal a) del artículo 44 de dicha Ley, según la cual: “Los </w:t>
      </w:r>
      <w:r w:rsidRPr="007C0279">
        <w:rPr>
          <w:rFonts w:ascii="Verdana" w:hAnsi="Verdana" w:cs="Arial"/>
          <w:i/>
          <w:color w:val="000000" w:themeColor="text1"/>
          <w:sz w:val="20"/>
          <w:szCs w:val="20"/>
          <w:lang w:val="es-ES"/>
        </w:rPr>
        <w:t>profesionales</w:t>
      </w:r>
      <w:r w:rsidRPr="007C0279">
        <w:rPr>
          <w:rFonts w:ascii="Verdana" w:hAnsi="Verdana" w:cs="Arial"/>
          <w:color w:val="000000" w:themeColor="text1"/>
          <w:sz w:val="20"/>
          <w:szCs w:val="20"/>
          <w:lang w:val="es-ES"/>
        </w:rPr>
        <w:t xml:space="preserve"> que hayan actuado como asesores de la parte contratante en un concurso o licitación deberán abstenerse de intervenir directa o indirectamente en las tareas profesionales requeridas para el desarrollo del trabajo que dio lugar al mismo, salvo que su intervención estuviese establecida en las bases del concurso o licitación” (cursiva fuera de texto). Como se observa, esta norma prohíbe que el profesional que ha actuado como </w:t>
      </w:r>
      <w:r w:rsidRPr="007C0279">
        <w:rPr>
          <w:rFonts w:ascii="Verdana" w:hAnsi="Verdana" w:cs="Arial"/>
          <w:i/>
          <w:color w:val="000000" w:themeColor="text1"/>
          <w:sz w:val="20"/>
          <w:szCs w:val="20"/>
          <w:lang w:val="es-ES"/>
        </w:rPr>
        <w:t>asesor</w:t>
      </w:r>
      <w:r w:rsidRPr="007C0279">
        <w:rPr>
          <w:rFonts w:ascii="Verdana" w:hAnsi="Verdana" w:cs="Arial"/>
          <w:color w:val="000000" w:themeColor="text1"/>
          <w:sz w:val="20"/>
          <w:szCs w:val="20"/>
          <w:lang w:val="es-ES"/>
        </w:rPr>
        <w:t xml:space="preserve"> de una Entidad, en el marco de un proceso de contratación, quien está interesado en contratar un servicio participe en las actividades que serán contratadas, salvo que así lo permitan las condiciones de la convocatoria. </w:t>
      </w:r>
    </w:p>
    <w:p w14:paraId="402581F2" w14:textId="77777777" w:rsidR="00A06451" w:rsidRDefault="00A06451" w:rsidP="007C0279">
      <w:pPr>
        <w:spacing w:after="0" w:line="240" w:lineRule="auto"/>
        <w:rPr>
          <w:rFonts w:ascii="Verdana" w:hAnsi="Verdana"/>
          <w:sz w:val="20"/>
          <w:szCs w:val="20"/>
          <w:lang w:val="es-ES"/>
        </w:rPr>
      </w:pPr>
    </w:p>
    <w:p w14:paraId="79F6F68E" w14:textId="77777777" w:rsidR="00A06451" w:rsidRDefault="00A06451" w:rsidP="007C0279">
      <w:pPr>
        <w:spacing w:after="0" w:line="240" w:lineRule="auto"/>
        <w:rPr>
          <w:rFonts w:ascii="Verdana" w:hAnsi="Verdana"/>
          <w:sz w:val="20"/>
          <w:szCs w:val="20"/>
          <w:lang w:val="es-ES"/>
        </w:rPr>
      </w:pPr>
    </w:p>
    <w:p w14:paraId="125D9708" w14:textId="77777777" w:rsidR="00A06451" w:rsidRDefault="00A06451" w:rsidP="007C0279">
      <w:pPr>
        <w:spacing w:after="0" w:line="240" w:lineRule="auto"/>
        <w:rPr>
          <w:rFonts w:ascii="Verdana" w:hAnsi="Verdana"/>
          <w:sz w:val="20"/>
          <w:szCs w:val="20"/>
          <w:lang w:val="es-ES"/>
        </w:rPr>
      </w:pPr>
    </w:p>
    <w:p w14:paraId="2B77C1AF" w14:textId="77777777" w:rsidR="00A06451" w:rsidRDefault="00A06451" w:rsidP="007C0279">
      <w:pPr>
        <w:spacing w:after="0" w:line="240" w:lineRule="auto"/>
        <w:rPr>
          <w:rFonts w:ascii="Verdana" w:hAnsi="Verdana"/>
          <w:sz w:val="20"/>
          <w:szCs w:val="20"/>
          <w:lang w:val="es-ES"/>
        </w:rPr>
      </w:pPr>
    </w:p>
    <w:p w14:paraId="2C4E1DC2" w14:textId="77777777" w:rsidR="00A06451" w:rsidRDefault="00A06451" w:rsidP="00A06451">
      <w:pPr>
        <w:spacing w:after="0"/>
        <w:rPr>
          <w:rFonts w:ascii="Verdana" w:hAnsi="Verdana"/>
          <w:sz w:val="20"/>
          <w:szCs w:val="20"/>
          <w:lang w:val="es-ES"/>
        </w:rPr>
      </w:pPr>
    </w:p>
    <w:p w14:paraId="4BD86462" w14:textId="77777777" w:rsidR="00A06451" w:rsidRDefault="00A06451" w:rsidP="00A06451">
      <w:pPr>
        <w:spacing w:after="0"/>
        <w:rPr>
          <w:rFonts w:ascii="Verdana" w:hAnsi="Verdana"/>
          <w:sz w:val="20"/>
          <w:szCs w:val="20"/>
          <w:lang w:val="es-ES"/>
        </w:rPr>
      </w:pPr>
    </w:p>
    <w:p w14:paraId="478FD353" w14:textId="77777777" w:rsidR="00A06451" w:rsidRDefault="00A06451" w:rsidP="00A06451">
      <w:pPr>
        <w:spacing w:after="0"/>
        <w:rPr>
          <w:rFonts w:ascii="Verdana" w:hAnsi="Verdana"/>
          <w:sz w:val="20"/>
          <w:szCs w:val="20"/>
          <w:lang w:val="es-ES"/>
        </w:rPr>
      </w:pPr>
    </w:p>
    <w:p w14:paraId="73AAFB2E" w14:textId="77777777" w:rsidR="00A06451" w:rsidRDefault="00A06451" w:rsidP="00A06451">
      <w:pPr>
        <w:spacing w:after="0"/>
        <w:rPr>
          <w:rFonts w:ascii="Verdana" w:hAnsi="Verdana"/>
          <w:sz w:val="20"/>
          <w:szCs w:val="20"/>
          <w:lang w:val="es-ES"/>
        </w:rPr>
      </w:pPr>
    </w:p>
    <w:p w14:paraId="0173005C" w14:textId="77777777" w:rsidR="00A06451" w:rsidRDefault="00A06451" w:rsidP="00A06451">
      <w:pPr>
        <w:spacing w:after="0"/>
        <w:rPr>
          <w:rFonts w:ascii="Verdana" w:hAnsi="Verdana"/>
          <w:sz w:val="20"/>
          <w:szCs w:val="20"/>
          <w:lang w:val="es-ES"/>
        </w:rPr>
      </w:pPr>
    </w:p>
    <w:p w14:paraId="33E18B96" w14:textId="77777777" w:rsidR="00A06451" w:rsidRDefault="00A06451" w:rsidP="00A06451">
      <w:pPr>
        <w:spacing w:after="0"/>
        <w:rPr>
          <w:rFonts w:ascii="Verdana" w:hAnsi="Verdana"/>
          <w:sz w:val="20"/>
          <w:szCs w:val="20"/>
          <w:lang w:val="es-ES"/>
        </w:rPr>
      </w:pPr>
    </w:p>
    <w:p w14:paraId="6EB4BBE1" w14:textId="77777777" w:rsidR="00A06451" w:rsidRDefault="00A06451" w:rsidP="00A06451">
      <w:pPr>
        <w:spacing w:after="0"/>
        <w:rPr>
          <w:rFonts w:ascii="Verdana" w:hAnsi="Verdana"/>
          <w:sz w:val="20"/>
          <w:szCs w:val="20"/>
          <w:lang w:val="es-ES"/>
        </w:rPr>
      </w:pPr>
    </w:p>
    <w:p w14:paraId="26988988" w14:textId="77777777" w:rsidR="00A06451" w:rsidRDefault="00A06451" w:rsidP="00A06451">
      <w:pPr>
        <w:spacing w:after="0"/>
        <w:rPr>
          <w:rFonts w:ascii="Verdana" w:hAnsi="Verdana"/>
          <w:sz w:val="20"/>
          <w:szCs w:val="20"/>
          <w:lang w:val="es-ES"/>
        </w:rPr>
      </w:pPr>
    </w:p>
    <w:p w14:paraId="44E10018" w14:textId="77777777" w:rsidR="00A06451" w:rsidRDefault="00A06451" w:rsidP="00A06451">
      <w:pPr>
        <w:spacing w:after="0"/>
        <w:rPr>
          <w:rFonts w:ascii="Verdana" w:hAnsi="Verdana"/>
          <w:sz w:val="20"/>
          <w:szCs w:val="20"/>
          <w:lang w:val="es-ES"/>
        </w:rPr>
      </w:pPr>
    </w:p>
    <w:p w14:paraId="1985BFAE" w14:textId="77777777" w:rsidR="00E40DAA" w:rsidRDefault="00E40DAA" w:rsidP="00337DF3">
      <w:pPr>
        <w:spacing w:after="0" w:line="240" w:lineRule="auto"/>
        <w:rPr>
          <w:rFonts w:ascii="Verdana" w:eastAsia="Geomanist Light" w:hAnsi="Verdana" w:cs="Arial"/>
          <w:color w:val="000000" w:themeColor="text1"/>
          <w:lang w:val="es-MX"/>
        </w:rPr>
      </w:pPr>
    </w:p>
    <w:p w14:paraId="03E90821" w14:textId="77777777" w:rsidR="00E40DAA" w:rsidRDefault="00E40DAA" w:rsidP="00337DF3">
      <w:pPr>
        <w:spacing w:after="0" w:line="240" w:lineRule="auto"/>
        <w:rPr>
          <w:rFonts w:ascii="Verdana" w:eastAsia="Geomanist Light" w:hAnsi="Verdana" w:cs="Arial"/>
          <w:color w:val="000000" w:themeColor="text1"/>
          <w:lang w:val="es-MX"/>
        </w:rPr>
      </w:pPr>
    </w:p>
    <w:p w14:paraId="23A5A2C0" w14:textId="77777777" w:rsidR="00E40DAA" w:rsidRDefault="00E40DAA" w:rsidP="00337DF3">
      <w:pPr>
        <w:spacing w:after="0" w:line="240" w:lineRule="auto"/>
        <w:rPr>
          <w:rFonts w:ascii="Verdana" w:eastAsia="Geomanist Light" w:hAnsi="Verdana" w:cs="Arial"/>
          <w:color w:val="000000" w:themeColor="text1"/>
          <w:lang w:val="es-MX"/>
        </w:rPr>
      </w:pPr>
    </w:p>
    <w:p w14:paraId="46C81277" w14:textId="77777777" w:rsidR="00E40DAA" w:rsidRDefault="00E40DAA" w:rsidP="00337DF3">
      <w:pPr>
        <w:spacing w:after="0" w:line="240" w:lineRule="auto"/>
        <w:rPr>
          <w:rFonts w:ascii="Verdana" w:eastAsia="Geomanist Light" w:hAnsi="Verdana" w:cs="Arial"/>
          <w:color w:val="000000" w:themeColor="text1"/>
          <w:lang w:val="es-MX"/>
        </w:rPr>
      </w:pPr>
    </w:p>
    <w:p w14:paraId="378F903B" w14:textId="77777777" w:rsidR="00E40DAA" w:rsidRDefault="00E40DAA" w:rsidP="00337DF3">
      <w:pPr>
        <w:spacing w:after="0" w:line="240" w:lineRule="auto"/>
        <w:rPr>
          <w:rFonts w:ascii="Verdana" w:eastAsia="Geomanist Light" w:hAnsi="Verdana" w:cs="Arial"/>
          <w:color w:val="000000" w:themeColor="text1"/>
          <w:lang w:val="es-MX"/>
        </w:rPr>
      </w:pPr>
    </w:p>
    <w:p w14:paraId="37E7A4DC" w14:textId="77777777" w:rsidR="00E40DAA" w:rsidRDefault="00E40DAA" w:rsidP="00337DF3">
      <w:pPr>
        <w:spacing w:after="0" w:line="240" w:lineRule="auto"/>
        <w:rPr>
          <w:rFonts w:ascii="Verdana" w:eastAsia="Geomanist Light" w:hAnsi="Verdana" w:cs="Arial"/>
          <w:color w:val="000000" w:themeColor="text1"/>
          <w:lang w:val="es-MX"/>
        </w:rPr>
      </w:pPr>
    </w:p>
    <w:p w14:paraId="0CA07D53" w14:textId="77777777" w:rsidR="00E40DAA" w:rsidRDefault="00E40DAA" w:rsidP="00337DF3">
      <w:pPr>
        <w:spacing w:after="0" w:line="240" w:lineRule="auto"/>
        <w:rPr>
          <w:rFonts w:ascii="Verdana" w:eastAsia="Geomanist Light" w:hAnsi="Verdana" w:cs="Arial"/>
          <w:color w:val="000000" w:themeColor="text1"/>
          <w:lang w:val="es-MX"/>
        </w:rPr>
      </w:pPr>
    </w:p>
    <w:p w14:paraId="5A982D92" w14:textId="77777777" w:rsidR="00E40DAA" w:rsidRDefault="00E40DAA" w:rsidP="00337DF3">
      <w:pPr>
        <w:spacing w:after="0" w:line="240" w:lineRule="auto"/>
        <w:rPr>
          <w:rFonts w:ascii="Verdana" w:eastAsia="Geomanist Light" w:hAnsi="Verdana" w:cs="Arial"/>
          <w:color w:val="000000" w:themeColor="text1"/>
          <w:lang w:val="es-MX"/>
        </w:rPr>
      </w:pPr>
    </w:p>
    <w:p w14:paraId="2BA3B5D8" w14:textId="77777777" w:rsidR="00E40DAA" w:rsidRDefault="00E40DAA" w:rsidP="00337DF3">
      <w:pPr>
        <w:spacing w:after="0" w:line="240" w:lineRule="auto"/>
        <w:rPr>
          <w:rFonts w:ascii="Verdana" w:eastAsia="Geomanist Light" w:hAnsi="Verdana" w:cs="Arial"/>
          <w:color w:val="000000" w:themeColor="text1"/>
          <w:lang w:val="es-MX"/>
        </w:rPr>
      </w:pPr>
    </w:p>
    <w:p w14:paraId="59203E7A" w14:textId="77777777" w:rsidR="00E40DAA" w:rsidRDefault="00E40DAA" w:rsidP="00337DF3">
      <w:pPr>
        <w:spacing w:after="0" w:line="240" w:lineRule="auto"/>
        <w:rPr>
          <w:rFonts w:ascii="Verdana" w:eastAsia="Geomanist Light" w:hAnsi="Verdana" w:cs="Arial"/>
          <w:color w:val="000000" w:themeColor="text1"/>
          <w:lang w:val="es-MX"/>
        </w:rPr>
      </w:pPr>
    </w:p>
    <w:p w14:paraId="3C488606" w14:textId="77777777" w:rsidR="00FC2742" w:rsidRDefault="00FC2742" w:rsidP="006F059E">
      <w:pPr>
        <w:spacing w:after="0" w:line="240" w:lineRule="auto"/>
        <w:rPr>
          <w:rFonts w:ascii="Verdana" w:eastAsia="Geomanist Light" w:hAnsi="Verdana" w:cs="Arial"/>
          <w:color w:val="000000" w:themeColor="text1"/>
          <w:lang w:val="es-MX"/>
        </w:rPr>
      </w:pPr>
    </w:p>
    <w:p w14:paraId="692623F3" w14:textId="77777777" w:rsidR="007C0279" w:rsidRDefault="007C0279" w:rsidP="006F059E">
      <w:pPr>
        <w:spacing w:after="0" w:line="240" w:lineRule="auto"/>
        <w:rPr>
          <w:rFonts w:ascii="Verdana" w:eastAsia="Geomanist Light" w:hAnsi="Verdana" w:cs="Arial"/>
          <w:color w:val="000000" w:themeColor="text1"/>
          <w:lang w:val="es-MX"/>
        </w:rPr>
      </w:pPr>
    </w:p>
    <w:p w14:paraId="5223D63B" w14:textId="77777777" w:rsidR="00FC2742" w:rsidRDefault="00FC2742" w:rsidP="006F059E">
      <w:pPr>
        <w:spacing w:after="0" w:line="240" w:lineRule="auto"/>
        <w:rPr>
          <w:rFonts w:ascii="Verdana" w:eastAsia="Geomanist Light" w:hAnsi="Verdana" w:cs="Arial"/>
          <w:color w:val="000000" w:themeColor="text1"/>
          <w:lang w:val="es-MX"/>
        </w:rPr>
      </w:pPr>
    </w:p>
    <w:p w14:paraId="4123B933" w14:textId="355E7981" w:rsidR="006F059E" w:rsidRPr="00A27102" w:rsidRDefault="006F059E" w:rsidP="006F059E">
      <w:pPr>
        <w:spacing w:after="0" w:line="240" w:lineRule="auto"/>
        <w:rPr>
          <w:rFonts w:ascii="Verdana" w:eastAsia="Geomanist Light" w:hAnsi="Verdana" w:cs="Arial"/>
          <w:color w:val="201F1E"/>
          <w:lang w:val="es-MX"/>
        </w:rPr>
      </w:pPr>
      <w:r w:rsidRPr="00A27102">
        <w:rPr>
          <w:rFonts w:ascii="Verdana" w:eastAsia="Geomanist Light" w:hAnsi="Verdana" w:cs="Arial"/>
          <w:color w:val="000000" w:themeColor="text1"/>
          <w:lang w:val="es-MX"/>
        </w:rPr>
        <w:lastRenderedPageBreak/>
        <w:t>Bogotá D.C., </w:t>
      </w:r>
      <w:r w:rsidR="00584890">
        <w:rPr>
          <w:rFonts w:ascii="Verdana" w:eastAsia="Geomanist Light" w:hAnsi="Verdana" w:cs="Arial"/>
          <w:color w:val="201F1E"/>
          <w:lang w:val="es-MX"/>
        </w:rPr>
        <w:t>22 de octubre de 2025</w:t>
      </w:r>
    </w:p>
    <w:p w14:paraId="1284B77E" w14:textId="5ED64C2D" w:rsidR="006F059E" w:rsidRPr="00A27102" w:rsidRDefault="003D649E" w:rsidP="006F059E">
      <w:pPr>
        <w:spacing w:after="0" w:line="240" w:lineRule="auto"/>
        <w:jc w:val="both"/>
        <w:rPr>
          <w:rFonts w:ascii="Verdana" w:eastAsia="Calibri" w:hAnsi="Verdana" w:cs="Arial"/>
          <w:color w:val="000000"/>
          <w:lang w:val="es-ES"/>
        </w:rPr>
      </w:pPr>
      <w:r w:rsidRPr="00584890">
        <w:rPr>
          <w:rFonts w:ascii="Verdana" w:eastAsia="Calibri" w:hAnsi="Verdana" w:cs="Arial"/>
          <w:noProof/>
          <w:color w:val="000000"/>
          <w:lang w:val="es-ES"/>
        </w:rPr>
        <w:drawing>
          <wp:anchor distT="0" distB="0" distL="114300" distR="114300" simplePos="0" relativeHeight="251657216" behindDoc="0" locked="0" layoutInCell="1" allowOverlap="1" wp14:anchorId="62055CA6" wp14:editId="5E353F6D">
            <wp:simplePos x="0" y="0"/>
            <wp:positionH relativeFrom="margin">
              <wp:align>right</wp:align>
            </wp:positionH>
            <wp:positionV relativeFrom="paragraph">
              <wp:posOffset>166370</wp:posOffset>
            </wp:positionV>
            <wp:extent cx="2724785" cy="975360"/>
            <wp:effectExtent l="0" t="0" r="0" b="0"/>
            <wp:wrapSquare wrapText="bothSides"/>
            <wp:docPr id="20772326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4785" cy="975360"/>
                    </a:xfrm>
                    <a:prstGeom prst="rect">
                      <a:avLst/>
                    </a:prstGeom>
                    <a:noFill/>
                    <a:ln>
                      <a:noFill/>
                    </a:ln>
                  </pic:spPr>
                </pic:pic>
              </a:graphicData>
            </a:graphic>
            <wp14:sizeRelH relativeFrom="margin">
              <wp14:pctWidth>0</wp14:pctWidth>
            </wp14:sizeRelH>
          </wp:anchor>
        </w:drawing>
      </w:r>
    </w:p>
    <w:p w14:paraId="088007B6" w14:textId="3A836C16" w:rsidR="006F059E" w:rsidRPr="00A27102" w:rsidRDefault="006F059E" w:rsidP="00584890">
      <w:pPr>
        <w:spacing w:after="0" w:line="240" w:lineRule="auto"/>
        <w:jc w:val="right"/>
        <w:rPr>
          <w:rFonts w:ascii="Verdana" w:eastAsia="Calibri" w:hAnsi="Verdana" w:cs="Arial"/>
          <w:color w:val="000000"/>
          <w:lang w:val="es-ES"/>
        </w:rPr>
      </w:pPr>
    </w:p>
    <w:p w14:paraId="6D33E4AE" w14:textId="77777777" w:rsidR="00584890" w:rsidRDefault="00584890" w:rsidP="006F059E">
      <w:pPr>
        <w:spacing w:after="0" w:line="240" w:lineRule="auto"/>
        <w:jc w:val="both"/>
        <w:rPr>
          <w:rFonts w:ascii="Verdana" w:eastAsia="Calibri" w:hAnsi="Verdana" w:cs="Arial"/>
          <w:lang w:eastAsia="es-ES"/>
        </w:rPr>
      </w:pPr>
    </w:p>
    <w:p w14:paraId="32B487AB" w14:textId="2CE1CAF5" w:rsidR="006F059E" w:rsidRPr="003C1B3A" w:rsidRDefault="006F059E" w:rsidP="006F059E">
      <w:pPr>
        <w:spacing w:after="0" w:line="240" w:lineRule="auto"/>
        <w:jc w:val="both"/>
        <w:rPr>
          <w:rFonts w:ascii="Verdana" w:eastAsia="Calibri" w:hAnsi="Verdana" w:cs="Arial"/>
          <w:lang w:eastAsia="es-ES"/>
        </w:rPr>
      </w:pPr>
      <w:r w:rsidRPr="003C1B3A">
        <w:rPr>
          <w:rFonts w:ascii="Verdana" w:eastAsia="Calibri" w:hAnsi="Verdana" w:cs="Arial"/>
          <w:lang w:eastAsia="es-ES"/>
        </w:rPr>
        <w:t>Señor</w:t>
      </w:r>
    </w:p>
    <w:p w14:paraId="52C56796" w14:textId="77777777" w:rsidR="006F059E" w:rsidRPr="003C1B3A" w:rsidRDefault="006F059E" w:rsidP="006F059E">
      <w:pPr>
        <w:spacing w:after="0" w:line="240" w:lineRule="auto"/>
        <w:jc w:val="both"/>
        <w:rPr>
          <w:rFonts w:ascii="Verdana" w:eastAsia="Calibri" w:hAnsi="Verdana" w:cs="Arial"/>
          <w:b/>
          <w:lang w:eastAsia="es-ES"/>
        </w:rPr>
      </w:pPr>
      <w:r w:rsidRPr="003C1B3A">
        <w:rPr>
          <w:rFonts w:ascii="Verdana" w:eastAsia="Calibri" w:hAnsi="Verdana" w:cs="Arial"/>
          <w:b/>
          <w:lang w:eastAsia="es-ES"/>
        </w:rPr>
        <w:t xml:space="preserve">Diego Armando Angulo </w:t>
      </w:r>
      <w:proofErr w:type="spellStart"/>
      <w:r w:rsidRPr="003C1B3A">
        <w:rPr>
          <w:rFonts w:ascii="Verdana" w:eastAsia="Calibri" w:hAnsi="Verdana" w:cs="Arial"/>
          <w:b/>
          <w:lang w:eastAsia="es-ES"/>
        </w:rPr>
        <w:t>Pitalúa</w:t>
      </w:r>
      <w:proofErr w:type="spellEnd"/>
      <w:r w:rsidRPr="003C1B3A">
        <w:rPr>
          <w:rFonts w:ascii="Verdana" w:eastAsia="Calibri" w:hAnsi="Verdana" w:cs="Arial"/>
          <w:b/>
          <w:lang w:eastAsia="es-ES"/>
        </w:rPr>
        <w:t xml:space="preserve"> </w:t>
      </w:r>
    </w:p>
    <w:p w14:paraId="7A23D5BB" w14:textId="77777777" w:rsidR="006F059E" w:rsidRPr="00A27102" w:rsidRDefault="006F059E" w:rsidP="006F059E">
      <w:pPr>
        <w:spacing w:after="0" w:line="240" w:lineRule="auto"/>
        <w:rPr>
          <w:rFonts w:ascii="Verdana" w:hAnsi="Verdana"/>
        </w:rPr>
      </w:pPr>
      <w:hyperlink r:id="rId12" w:history="1">
        <w:r w:rsidRPr="00A27102">
          <w:rPr>
            <w:rFonts w:ascii="Verdana" w:hAnsi="Verdana"/>
            <w:color w:val="0563C1" w:themeColor="hyperlink"/>
            <w:u w:val="single"/>
          </w:rPr>
          <w:t>inc.pitalua@gmail.com</w:t>
        </w:r>
      </w:hyperlink>
      <w:r w:rsidRPr="00A27102">
        <w:rPr>
          <w:rFonts w:ascii="Verdana" w:hAnsi="Verdana"/>
        </w:rPr>
        <w:t xml:space="preserve"> </w:t>
      </w:r>
    </w:p>
    <w:p w14:paraId="4BCB6AE2" w14:textId="77777777" w:rsidR="006F059E" w:rsidRPr="00A27102" w:rsidRDefault="006F059E" w:rsidP="006F059E">
      <w:pPr>
        <w:spacing w:after="0" w:line="240" w:lineRule="auto"/>
        <w:rPr>
          <w:rFonts w:ascii="Verdana" w:eastAsia="Calibri" w:hAnsi="Verdana" w:cs="Arial"/>
          <w:lang w:val="es-ES" w:eastAsia="es-ES"/>
        </w:rPr>
      </w:pPr>
      <w:r w:rsidRPr="00A27102">
        <w:rPr>
          <w:rFonts w:ascii="Verdana" w:eastAsia="Calibri" w:hAnsi="Verdana" w:cs="Arial"/>
          <w:lang w:val="es-ES" w:eastAsia="es-ES"/>
        </w:rPr>
        <w:t>Ciudad</w:t>
      </w:r>
    </w:p>
    <w:p w14:paraId="55D034FF" w14:textId="77777777" w:rsidR="006F059E" w:rsidRPr="00A27102" w:rsidRDefault="006F059E" w:rsidP="006F059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F059E" w:rsidRPr="00A27102" w14:paraId="6478F7EC" w14:textId="77777777" w:rsidTr="003E1E0D">
        <w:trPr>
          <w:trHeight w:val="630"/>
        </w:trPr>
        <w:tc>
          <w:tcPr>
            <w:tcW w:w="2689" w:type="dxa"/>
          </w:tcPr>
          <w:p w14:paraId="2F8DECC2" w14:textId="77777777" w:rsidR="006F059E" w:rsidRPr="00A27102" w:rsidRDefault="006F059E" w:rsidP="003E1E0D">
            <w:pPr>
              <w:jc w:val="both"/>
              <w:rPr>
                <w:rFonts w:ascii="Verdana" w:eastAsia="Calibri" w:hAnsi="Verdana" w:cs="Arial"/>
                <w:b/>
                <w:bCs/>
                <w:color w:val="7030A0"/>
                <w:lang w:val="es-ES_tradnl" w:eastAsia="es-ES_tradnl"/>
              </w:rPr>
            </w:pPr>
          </w:p>
        </w:tc>
        <w:tc>
          <w:tcPr>
            <w:tcW w:w="6100" w:type="dxa"/>
          </w:tcPr>
          <w:p w14:paraId="72C0AB4F" w14:textId="77777777" w:rsidR="006F059E" w:rsidRPr="00A27102" w:rsidRDefault="006F059E" w:rsidP="003E1E0D">
            <w:pPr>
              <w:jc w:val="both"/>
              <w:rPr>
                <w:rFonts w:ascii="Verdana" w:eastAsia="Calibri" w:hAnsi="Verdana" w:cs="Arial"/>
                <w:b/>
                <w:bCs/>
                <w:lang w:val="es-ES" w:eastAsia="es-ES"/>
              </w:rPr>
            </w:pPr>
            <w:r w:rsidRPr="00A27102">
              <w:rPr>
                <w:rFonts w:ascii="Verdana" w:eastAsia="Calibri" w:hAnsi="Verdana" w:cs="Arial"/>
                <w:b/>
                <w:bCs/>
                <w:lang w:val="es-ES" w:eastAsia="es-ES"/>
              </w:rPr>
              <w:t>Concepto C – 1319 de 2025</w:t>
            </w:r>
          </w:p>
        </w:tc>
      </w:tr>
      <w:tr w:rsidR="006F059E" w:rsidRPr="00A27102" w14:paraId="63F458A7" w14:textId="77777777" w:rsidTr="003E1E0D">
        <w:trPr>
          <w:trHeight w:val="884"/>
        </w:trPr>
        <w:tc>
          <w:tcPr>
            <w:tcW w:w="2689" w:type="dxa"/>
          </w:tcPr>
          <w:p w14:paraId="0FCC0D40" w14:textId="77777777" w:rsidR="006F059E" w:rsidRPr="00A27102" w:rsidRDefault="006F059E" w:rsidP="003E1E0D">
            <w:pPr>
              <w:jc w:val="both"/>
              <w:rPr>
                <w:rFonts w:ascii="Verdana" w:eastAsia="Calibri" w:hAnsi="Verdana" w:cs="Arial"/>
                <w:color w:val="000000"/>
                <w:lang w:val="es-ES_tradnl" w:eastAsia="es-ES_tradnl"/>
              </w:rPr>
            </w:pPr>
            <w:r w:rsidRPr="00A27102">
              <w:rPr>
                <w:rFonts w:ascii="Verdana" w:eastAsia="Calibri" w:hAnsi="Verdana" w:cs="Arial"/>
                <w:b/>
                <w:color w:val="000000"/>
                <w:lang w:val="es-ES_tradnl" w:eastAsia="es-ES_tradnl"/>
              </w:rPr>
              <w:t>Temas:</w:t>
            </w:r>
            <w:r w:rsidRPr="00A27102">
              <w:rPr>
                <w:rFonts w:ascii="Verdana" w:eastAsia="Calibri" w:hAnsi="Verdana" w:cs="Arial"/>
                <w:color w:val="000000"/>
                <w:lang w:val="es-ES_tradnl" w:eastAsia="es-ES_tradnl"/>
              </w:rPr>
              <w:t xml:space="preserve">                   </w:t>
            </w:r>
          </w:p>
        </w:tc>
        <w:tc>
          <w:tcPr>
            <w:tcW w:w="6100" w:type="dxa"/>
          </w:tcPr>
          <w:p w14:paraId="22251509" w14:textId="77777777" w:rsidR="006F059E" w:rsidRPr="00A27102" w:rsidRDefault="006F059E" w:rsidP="003E1E0D">
            <w:pPr>
              <w:spacing w:line="276" w:lineRule="auto"/>
              <w:jc w:val="both"/>
              <w:rPr>
                <w:rFonts w:ascii="Verdana" w:eastAsia="Calibri" w:hAnsi="Verdana" w:cs="Arial"/>
                <w:bCs/>
                <w:lang w:val="es-ES_tradnl"/>
              </w:rPr>
            </w:pPr>
            <w:bookmarkStart w:id="1" w:name="_Hlk192055781"/>
            <w:r w:rsidRPr="00A27102">
              <w:rPr>
                <w:rFonts w:ascii="Verdana" w:eastAsia="Calibri" w:hAnsi="Verdana" w:cs="Arial"/>
                <w:color w:val="000000"/>
                <w:kern w:val="2"/>
                <w14:ligatures w14:val="standardContextual"/>
              </w:rPr>
              <w:t xml:space="preserve">INHABILIDADES E INCOMPATIBILIDADES – Concepto / INHABILIDADES E INCOMPATIBILIDADES – Régimen – Interpretación restrictiva / CONTRATO DE PRESTACION DE SERVICIOS – Inhabilidades e incompatibilidades / </w:t>
            </w:r>
            <w:r w:rsidRPr="00A27102">
              <w:rPr>
                <w:rFonts w:ascii="Verdana" w:eastAsia="Calibri" w:hAnsi="Verdana" w:cs="Arial"/>
                <w:lang w:val="es-ES"/>
              </w:rPr>
              <w:t>EJERCICIO DE LA INGENIERÍA</w:t>
            </w:r>
            <w:r w:rsidRPr="00A27102">
              <w:t xml:space="preserve"> </w:t>
            </w:r>
            <w:r w:rsidRPr="00A27102">
              <w:rPr>
                <w:rFonts w:ascii="Verdana" w:eastAsia="Calibri" w:hAnsi="Verdana" w:cs="Arial"/>
                <w:lang w:val="es-ES"/>
              </w:rPr>
              <w:t>– Ley 842 de 2003 – Artículo 44 – Restricciones</w:t>
            </w:r>
          </w:p>
          <w:bookmarkEnd w:id="1"/>
          <w:p w14:paraId="03A4CA5F" w14:textId="77777777" w:rsidR="006F059E" w:rsidRPr="00A27102" w:rsidRDefault="006F059E" w:rsidP="003E1E0D">
            <w:pPr>
              <w:jc w:val="both"/>
              <w:rPr>
                <w:rFonts w:ascii="Verdana" w:eastAsia="Calibri" w:hAnsi="Verdana" w:cs="Arial"/>
                <w:lang w:val="es-ES" w:eastAsia="es-ES"/>
              </w:rPr>
            </w:pPr>
          </w:p>
        </w:tc>
      </w:tr>
      <w:tr w:rsidR="006F059E" w:rsidRPr="00A27102" w14:paraId="3F0F5F97" w14:textId="77777777" w:rsidTr="003E1E0D">
        <w:tc>
          <w:tcPr>
            <w:tcW w:w="2689" w:type="dxa"/>
          </w:tcPr>
          <w:p w14:paraId="2FF9FD13" w14:textId="77777777" w:rsidR="006F059E" w:rsidRPr="00A27102" w:rsidRDefault="006F059E" w:rsidP="003E1E0D">
            <w:pPr>
              <w:jc w:val="both"/>
              <w:rPr>
                <w:rFonts w:ascii="Verdana" w:eastAsia="Calibri" w:hAnsi="Verdana" w:cs="Arial"/>
                <w:b/>
                <w:lang w:val="es-ES_tradnl" w:eastAsia="es-ES_tradnl"/>
              </w:rPr>
            </w:pPr>
            <w:r w:rsidRPr="00A27102">
              <w:rPr>
                <w:rFonts w:ascii="Verdana" w:eastAsia="Calibri" w:hAnsi="Verdana" w:cs="Arial"/>
                <w:b/>
                <w:lang w:val="es-ES_tradnl" w:eastAsia="es-ES_tradnl"/>
              </w:rPr>
              <w:t>Radicación:</w:t>
            </w:r>
            <w:r w:rsidRPr="00A27102">
              <w:rPr>
                <w:rFonts w:ascii="Verdana" w:eastAsia="Calibri" w:hAnsi="Verdana" w:cs="Arial"/>
                <w:lang w:val="es-ES_tradnl" w:eastAsia="es-ES_tradnl"/>
              </w:rPr>
              <w:t xml:space="preserve">               </w:t>
            </w:r>
          </w:p>
        </w:tc>
        <w:tc>
          <w:tcPr>
            <w:tcW w:w="6100" w:type="dxa"/>
          </w:tcPr>
          <w:p w14:paraId="246E85CA" w14:textId="77777777" w:rsidR="006F059E" w:rsidRPr="00A27102" w:rsidRDefault="006F059E" w:rsidP="003E1E0D">
            <w:pPr>
              <w:jc w:val="both"/>
              <w:rPr>
                <w:rFonts w:ascii="Verdana" w:eastAsia="Calibri" w:hAnsi="Verdana" w:cs="Arial"/>
                <w:lang w:val="es-ES_tradnl" w:eastAsia="es-ES_tradnl"/>
              </w:rPr>
            </w:pPr>
            <w:r w:rsidRPr="00A27102">
              <w:rPr>
                <w:rFonts w:ascii="Verdana" w:eastAsia="Calibri" w:hAnsi="Verdana" w:cs="Arial"/>
                <w:lang w:val="es-ES_tradnl" w:eastAsia="es-ES_tradnl"/>
              </w:rPr>
              <w:t>Respuesta a la consulta con radicado No. 1_2025_09_15_010095</w:t>
            </w:r>
          </w:p>
        </w:tc>
      </w:tr>
    </w:tbl>
    <w:p w14:paraId="4BD2E917" w14:textId="77777777" w:rsidR="006F059E" w:rsidRPr="00A27102" w:rsidRDefault="006F059E" w:rsidP="006F059E">
      <w:pPr>
        <w:spacing w:after="0" w:line="240" w:lineRule="auto"/>
        <w:jc w:val="both"/>
        <w:rPr>
          <w:rFonts w:ascii="Verdana" w:eastAsia="Calibri" w:hAnsi="Verdana" w:cs="Arial"/>
          <w:color w:val="000000"/>
          <w:lang w:val="es-ES_tradnl" w:eastAsia="es-ES_tradnl"/>
        </w:rPr>
      </w:pPr>
    </w:p>
    <w:p w14:paraId="7544EAE6" w14:textId="77777777" w:rsidR="006F059E" w:rsidRPr="00A27102" w:rsidRDefault="006F059E" w:rsidP="006F059E">
      <w:pPr>
        <w:spacing w:after="0" w:line="240" w:lineRule="auto"/>
        <w:jc w:val="both"/>
        <w:rPr>
          <w:rFonts w:ascii="Verdana" w:eastAsia="Calibri" w:hAnsi="Verdana" w:cs="Arial"/>
          <w:color w:val="000000"/>
          <w:lang w:val="es-ES_tradnl" w:eastAsia="es-ES_tradnl"/>
        </w:rPr>
      </w:pPr>
    </w:p>
    <w:p w14:paraId="6FF467B2" w14:textId="77777777" w:rsidR="006F059E" w:rsidRPr="00A27102" w:rsidRDefault="006F059E" w:rsidP="006F059E">
      <w:pPr>
        <w:spacing w:after="0" w:line="276" w:lineRule="auto"/>
        <w:jc w:val="both"/>
        <w:rPr>
          <w:rFonts w:ascii="Verdana" w:eastAsia="Calibri" w:hAnsi="Verdana" w:cs="Arial"/>
          <w:lang w:val="es-ES" w:eastAsia="es-ES"/>
        </w:rPr>
      </w:pPr>
      <w:r w:rsidRPr="00A27102">
        <w:rPr>
          <w:rFonts w:ascii="Verdana" w:eastAsia="Calibri" w:hAnsi="Verdana" w:cs="Arial"/>
          <w:lang w:val="es-ES" w:eastAsia="es-ES"/>
        </w:rPr>
        <w:t xml:space="preserve">Estimado señor </w:t>
      </w:r>
      <w:r w:rsidRPr="003C1B3A">
        <w:rPr>
          <w:rFonts w:ascii="Verdana" w:eastAsia="Calibri" w:hAnsi="Verdana" w:cs="Arial"/>
          <w:lang w:eastAsia="es-ES"/>
        </w:rPr>
        <w:t>Angulo</w:t>
      </w:r>
      <w:r w:rsidRPr="00A27102">
        <w:rPr>
          <w:rFonts w:ascii="Verdana" w:eastAsia="Calibri" w:hAnsi="Verdana" w:cs="Arial"/>
          <w:lang w:val="es-ES" w:eastAsia="es-ES"/>
        </w:rPr>
        <w:t xml:space="preserve">: </w:t>
      </w:r>
    </w:p>
    <w:p w14:paraId="0E3B1878" w14:textId="77777777" w:rsidR="006F059E" w:rsidRPr="00A27102" w:rsidRDefault="006F059E" w:rsidP="006F059E">
      <w:pPr>
        <w:tabs>
          <w:tab w:val="left" w:pos="3768"/>
        </w:tabs>
        <w:spacing w:after="0" w:line="276" w:lineRule="auto"/>
        <w:jc w:val="both"/>
        <w:rPr>
          <w:rFonts w:ascii="Verdana" w:eastAsia="Calibri" w:hAnsi="Verdana" w:cs="Arial"/>
          <w:color w:val="000000" w:themeColor="text1"/>
          <w:lang w:val="es-ES" w:eastAsia="es-ES"/>
        </w:rPr>
      </w:pPr>
      <w:r w:rsidRPr="00A27102">
        <w:rPr>
          <w:rFonts w:ascii="Verdana" w:eastAsia="Calibri" w:hAnsi="Verdana" w:cs="Arial"/>
          <w:color w:val="000000" w:themeColor="text1"/>
          <w:lang w:val="es-ES" w:eastAsia="es-ES"/>
        </w:rPr>
        <w:tab/>
      </w:r>
    </w:p>
    <w:p w14:paraId="0C26705D" w14:textId="77777777" w:rsidR="006F059E" w:rsidRPr="00A27102" w:rsidRDefault="006F059E" w:rsidP="006F059E">
      <w:pPr>
        <w:spacing w:after="0" w:line="276" w:lineRule="auto"/>
        <w:jc w:val="both"/>
        <w:rPr>
          <w:rFonts w:ascii="Verdana" w:eastAsia="Calibri" w:hAnsi="Verdana" w:cs="Arial"/>
          <w:lang w:val="es-ES" w:eastAsia="es-ES"/>
        </w:rPr>
      </w:pPr>
      <w:r w:rsidRPr="00A27102">
        <w:rPr>
          <w:rFonts w:ascii="Verdana" w:eastAsia="Calibri" w:hAnsi="Verdana" w:cs="Arial"/>
          <w:color w:val="000000" w:themeColor="text1"/>
          <w:lang w:val="es-ES" w:eastAsia="es-ES"/>
        </w:rPr>
        <w:t>En ejercicio de la competencia otorgada por los artículos 3, numeral 5º, y 11, numeral 8º, del Decreto Ley 4170 de 2011,</w:t>
      </w:r>
      <w:r w:rsidRPr="00A27102">
        <w:rPr>
          <w:rFonts w:ascii="Verdana" w:eastAsia="Arial MT" w:hAnsi="Verdana" w:cs="Arial MT"/>
          <w:lang w:val="es-ES" w:eastAsia="es-ES"/>
        </w:rPr>
        <w:t xml:space="preserve"> </w:t>
      </w:r>
      <w:r w:rsidRPr="00A27102">
        <w:rPr>
          <w:rFonts w:ascii="Verdana" w:hAnsi="Verdana" w:cs="Arial"/>
        </w:rPr>
        <w:t xml:space="preserve">así como lo establecido en la Resolución 469 de 2025 expedida por esta Entidad, </w:t>
      </w:r>
      <w:r w:rsidRPr="00A27102">
        <w:rPr>
          <w:rFonts w:ascii="Verdana" w:eastAsia="Calibri" w:hAnsi="Verdana" w:cs="Arial"/>
          <w:color w:val="000000" w:themeColor="text1"/>
          <w:lang w:val="es-ES" w:eastAsia="es-ES"/>
        </w:rPr>
        <w:t>la Agencia Nacional de Contratación Pública – Colombia Compra Eficiente responde su solicitud del 15</w:t>
      </w:r>
      <w:r w:rsidRPr="00A27102">
        <w:rPr>
          <w:rFonts w:ascii="Verdana" w:eastAsia="Calibri" w:hAnsi="Verdana" w:cs="Arial"/>
          <w:lang w:val="es-ES" w:eastAsia="es-ES"/>
        </w:rPr>
        <w:t xml:space="preserve"> de octubre de 2025, en la cual consulta sobre lo siguiente: </w:t>
      </w:r>
      <w:bookmarkStart w:id="2" w:name="_Hlk95313578"/>
    </w:p>
    <w:p w14:paraId="39B15F2D" w14:textId="77777777" w:rsidR="006F059E" w:rsidRPr="00A27102" w:rsidRDefault="006F059E" w:rsidP="006F059E">
      <w:pPr>
        <w:spacing w:after="0" w:line="276" w:lineRule="auto"/>
        <w:jc w:val="both"/>
        <w:rPr>
          <w:rFonts w:ascii="Verdana" w:eastAsia="Calibri" w:hAnsi="Verdana" w:cs="Arial"/>
          <w:lang w:val="es-ES" w:eastAsia="es-ES"/>
        </w:rPr>
      </w:pPr>
    </w:p>
    <w:p w14:paraId="649D0E72" w14:textId="77777777" w:rsidR="006F059E" w:rsidRPr="00A27102" w:rsidRDefault="006F059E" w:rsidP="006F059E">
      <w:pPr>
        <w:spacing w:line="240" w:lineRule="auto"/>
        <w:ind w:left="709" w:right="618"/>
        <w:jc w:val="both"/>
        <w:rPr>
          <w:rFonts w:ascii="Verdana" w:eastAsia="Calibri" w:hAnsi="Verdana" w:cs="Arial"/>
          <w:i/>
          <w:iCs/>
          <w:sz w:val="20"/>
          <w:szCs w:val="20"/>
          <w:lang w:eastAsia="es-ES"/>
        </w:rPr>
      </w:pPr>
      <w:r w:rsidRPr="00A27102">
        <w:rPr>
          <w:rFonts w:ascii="Verdana" w:eastAsia="Calibri" w:hAnsi="Verdana" w:cs="Arial"/>
          <w:i/>
          <w:iCs/>
          <w:sz w:val="20"/>
          <w:szCs w:val="20"/>
          <w:lang w:val="es-ES" w:eastAsia="es-ES"/>
        </w:rPr>
        <w:t>“</w:t>
      </w:r>
      <w:r w:rsidRPr="00A27102">
        <w:rPr>
          <w:rFonts w:ascii="Verdana" w:eastAsia="Calibri" w:hAnsi="Verdana" w:cs="Arial"/>
          <w:i/>
          <w:iCs/>
          <w:sz w:val="20"/>
          <w:szCs w:val="20"/>
          <w:lang w:eastAsia="es-ES"/>
        </w:rPr>
        <w:t>Un profesional celebró un contrato de prestación de servicios con una entidad estatal, cuyo objeto incluyó la </w:t>
      </w:r>
      <w:r w:rsidRPr="00A27102">
        <w:rPr>
          <w:rFonts w:ascii="Verdana" w:eastAsia="Calibri" w:hAnsi="Verdana" w:cs="Arial"/>
          <w:b/>
          <w:bCs/>
          <w:i/>
          <w:iCs/>
          <w:sz w:val="20"/>
          <w:szCs w:val="20"/>
          <w:lang w:eastAsia="es-ES"/>
        </w:rPr>
        <w:t>elaboración del cálculo de cantidades de la implementación del Plan de Manejo de Tránsito (PMT)</w:t>
      </w:r>
      <w:r w:rsidRPr="00A27102">
        <w:rPr>
          <w:rFonts w:ascii="Verdana" w:eastAsia="Calibri" w:hAnsi="Verdana" w:cs="Arial"/>
          <w:i/>
          <w:iCs/>
          <w:sz w:val="20"/>
          <w:szCs w:val="20"/>
          <w:lang w:eastAsia="es-ES"/>
        </w:rPr>
        <w:t>, como insumo dentro de la estructuración de un proceso que posteriormente fue licitado como </w:t>
      </w:r>
      <w:r w:rsidRPr="00A27102">
        <w:rPr>
          <w:rFonts w:ascii="Verdana" w:eastAsia="Calibri" w:hAnsi="Verdana" w:cs="Arial"/>
          <w:b/>
          <w:bCs/>
          <w:i/>
          <w:iCs/>
          <w:sz w:val="20"/>
          <w:szCs w:val="20"/>
          <w:lang w:eastAsia="es-ES"/>
        </w:rPr>
        <w:t>obra pública</w:t>
      </w:r>
      <w:r w:rsidRPr="00A27102">
        <w:rPr>
          <w:rFonts w:ascii="Verdana" w:eastAsia="Calibri" w:hAnsi="Verdana" w:cs="Arial"/>
          <w:i/>
          <w:iCs/>
          <w:sz w:val="20"/>
          <w:szCs w:val="20"/>
          <w:lang w:eastAsia="es-ES"/>
        </w:rPr>
        <w:t>.</w:t>
      </w:r>
    </w:p>
    <w:p w14:paraId="78402817" w14:textId="77777777" w:rsidR="006F059E" w:rsidRPr="00A27102" w:rsidRDefault="006F059E" w:rsidP="006F059E">
      <w:pPr>
        <w:spacing w:after="0" w:line="240" w:lineRule="auto"/>
        <w:ind w:left="709" w:right="618"/>
        <w:jc w:val="both"/>
        <w:rPr>
          <w:rFonts w:ascii="Verdana" w:eastAsia="Calibri" w:hAnsi="Verdana" w:cs="Arial"/>
          <w:i/>
          <w:iCs/>
          <w:sz w:val="20"/>
          <w:szCs w:val="20"/>
          <w:lang w:eastAsia="es-ES"/>
        </w:rPr>
      </w:pPr>
      <w:r w:rsidRPr="00A27102">
        <w:rPr>
          <w:rFonts w:ascii="Verdana" w:eastAsia="Calibri" w:hAnsi="Verdana" w:cs="Arial"/>
          <w:i/>
          <w:iCs/>
          <w:sz w:val="20"/>
          <w:szCs w:val="20"/>
          <w:lang w:eastAsia="es-ES"/>
        </w:rPr>
        <w:t>Una vez terminado dicho contrato de prestación de servicios y adjudicado el contrato de obra a un contratista, surge la inquietud de si el profesional que participó en el cálculo de las cantidades del PMT </w:t>
      </w:r>
      <w:r w:rsidRPr="00A27102">
        <w:rPr>
          <w:rFonts w:ascii="Verdana" w:eastAsia="Calibri" w:hAnsi="Verdana" w:cs="Arial"/>
          <w:b/>
          <w:bCs/>
          <w:i/>
          <w:iCs/>
          <w:sz w:val="20"/>
          <w:szCs w:val="20"/>
          <w:lang w:eastAsia="es-ES"/>
        </w:rPr>
        <w:t xml:space="preserve">puede posteriormente vincularse como trabajador o colaborador del </w:t>
      </w:r>
      <w:r w:rsidRPr="00A27102">
        <w:rPr>
          <w:rFonts w:ascii="Verdana" w:eastAsia="Calibri" w:hAnsi="Verdana" w:cs="Arial"/>
          <w:b/>
          <w:bCs/>
          <w:i/>
          <w:iCs/>
          <w:sz w:val="20"/>
          <w:szCs w:val="20"/>
          <w:lang w:eastAsia="es-ES"/>
        </w:rPr>
        <w:lastRenderedPageBreak/>
        <w:t>contratista adjudicatario de la obra</w:t>
      </w:r>
      <w:r w:rsidRPr="00A27102">
        <w:rPr>
          <w:rFonts w:ascii="Verdana" w:eastAsia="Calibri" w:hAnsi="Verdana" w:cs="Arial"/>
          <w:i/>
          <w:iCs/>
          <w:sz w:val="20"/>
          <w:szCs w:val="20"/>
          <w:lang w:eastAsia="es-ES"/>
        </w:rPr>
        <w:t>, específicamente en la etapa de ejecución del PMT, sin que se configure una inhabilidad o incompatibilidad.</w:t>
      </w:r>
    </w:p>
    <w:p w14:paraId="504F0426" w14:textId="77777777" w:rsidR="006F059E" w:rsidRPr="00A27102" w:rsidRDefault="006F059E" w:rsidP="006F059E">
      <w:pPr>
        <w:spacing w:after="0" w:line="240" w:lineRule="auto"/>
        <w:ind w:left="709" w:right="618"/>
        <w:jc w:val="both"/>
        <w:rPr>
          <w:rFonts w:ascii="Verdana" w:eastAsia="Calibri" w:hAnsi="Verdana" w:cs="Arial"/>
          <w:i/>
          <w:iCs/>
          <w:sz w:val="20"/>
          <w:szCs w:val="20"/>
          <w:lang w:eastAsia="es-ES"/>
        </w:rPr>
      </w:pPr>
      <w:r w:rsidRPr="00A27102">
        <w:rPr>
          <w:rFonts w:ascii="Verdana" w:eastAsia="Calibri" w:hAnsi="Verdana" w:cs="Arial"/>
          <w:i/>
          <w:iCs/>
          <w:sz w:val="20"/>
          <w:szCs w:val="20"/>
          <w:lang w:eastAsia="es-ES"/>
        </w:rPr>
        <w:t>La consulta busca esclarecer:</w:t>
      </w:r>
    </w:p>
    <w:p w14:paraId="025F0125" w14:textId="77777777" w:rsidR="006F059E" w:rsidRPr="00A27102" w:rsidRDefault="006F059E" w:rsidP="006F059E">
      <w:pPr>
        <w:numPr>
          <w:ilvl w:val="0"/>
          <w:numId w:val="11"/>
        </w:numPr>
        <w:tabs>
          <w:tab w:val="clear" w:pos="720"/>
          <w:tab w:val="num" w:pos="1134"/>
        </w:tabs>
        <w:spacing w:after="0" w:line="240" w:lineRule="auto"/>
        <w:ind w:right="618" w:hanging="11"/>
        <w:jc w:val="both"/>
        <w:rPr>
          <w:rFonts w:ascii="Verdana" w:eastAsia="Calibri" w:hAnsi="Verdana" w:cs="Arial"/>
          <w:i/>
          <w:iCs/>
          <w:sz w:val="20"/>
          <w:szCs w:val="20"/>
          <w:lang w:eastAsia="es-ES"/>
        </w:rPr>
      </w:pPr>
      <w:r w:rsidRPr="00A27102">
        <w:rPr>
          <w:rFonts w:ascii="Verdana" w:eastAsia="Calibri" w:hAnsi="Verdana" w:cs="Arial"/>
          <w:i/>
          <w:iCs/>
          <w:sz w:val="20"/>
          <w:szCs w:val="20"/>
          <w:lang w:eastAsia="es-ES"/>
        </w:rPr>
        <w:t>Si la participación del profesional en la </w:t>
      </w:r>
      <w:r w:rsidRPr="00A27102">
        <w:rPr>
          <w:rFonts w:ascii="Verdana" w:eastAsia="Calibri" w:hAnsi="Verdana" w:cs="Arial"/>
          <w:b/>
          <w:bCs/>
          <w:i/>
          <w:iCs/>
          <w:sz w:val="20"/>
          <w:szCs w:val="20"/>
          <w:lang w:eastAsia="es-ES"/>
        </w:rPr>
        <w:t>etapa de estructuración</w:t>
      </w:r>
      <w:r w:rsidRPr="00A27102">
        <w:rPr>
          <w:rFonts w:ascii="Verdana" w:eastAsia="Calibri" w:hAnsi="Verdana" w:cs="Arial"/>
          <w:i/>
          <w:iCs/>
          <w:sz w:val="20"/>
          <w:szCs w:val="20"/>
          <w:lang w:eastAsia="es-ES"/>
        </w:rPr>
        <w:t> del proceso (cálculo de cantidades del PMT) genera inhabilidad para intervenir en la etapa de ejecución como trabajador del contratista adjudicatario.</w:t>
      </w:r>
    </w:p>
    <w:p w14:paraId="11BBAC08" w14:textId="77777777" w:rsidR="006F059E" w:rsidRPr="00A27102" w:rsidRDefault="006F059E" w:rsidP="006F059E">
      <w:pPr>
        <w:numPr>
          <w:ilvl w:val="0"/>
          <w:numId w:val="11"/>
        </w:numPr>
        <w:tabs>
          <w:tab w:val="clear" w:pos="720"/>
          <w:tab w:val="num" w:pos="1134"/>
        </w:tabs>
        <w:spacing w:after="0" w:line="240" w:lineRule="auto"/>
        <w:ind w:right="618" w:hanging="11"/>
        <w:jc w:val="both"/>
        <w:rPr>
          <w:rFonts w:ascii="Verdana" w:eastAsia="Calibri" w:hAnsi="Verdana" w:cs="Arial"/>
          <w:i/>
          <w:iCs/>
          <w:sz w:val="20"/>
          <w:szCs w:val="20"/>
          <w:lang w:eastAsia="es-ES"/>
        </w:rPr>
      </w:pPr>
      <w:r w:rsidRPr="00A27102">
        <w:rPr>
          <w:rFonts w:ascii="Verdana" w:eastAsia="Calibri" w:hAnsi="Verdana" w:cs="Arial"/>
          <w:i/>
          <w:iCs/>
          <w:sz w:val="20"/>
          <w:szCs w:val="20"/>
          <w:lang w:eastAsia="es-ES"/>
        </w:rPr>
        <w:t>Si la restricción contemplada en el artículo 8 de la Ley 80 de 1993 sobre la participación en la elaboración de pliegos de condiciones y estudios previos se extiende a este tipo de situaciones.</w:t>
      </w:r>
    </w:p>
    <w:p w14:paraId="67C35C3D" w14:textId="77777777" w:rsidR="006F059E" w:rsidRPr="00A27102" w:rsidRDefault="006F059E" w:rsidP="006F059E">
      <w:pPr>
        <w:numPr>
          <w:ilvl w:val="0"/>
          <w:numId w:val="11"/>
        </w:numPr>
        <w:tabs>
          <w:tab w:val="clear" w:pos="720"/>
          <w:tab w:val="num" w:pos="1134"/>
        </w:tabs>
        <w:spacing w:after="0" w:line="240" w:lineRule="auto"/>
        <w:ind w:right="618" w:hanging="11"/>
        <w:jc w:val="both"/>
        <w:rPr>
          <w:rFonts w:ascii="Verdana" w:eastAsia="Calibri" w:hAnsi="Verdana" w:cs="Arial"/>
          <w:i/>
          <w:iCs/>
          <w:sz w:val="20"/>
          <w:szCs w:val="20"/>
          <w:lang w:eastAsia="es-ES"/>
        </w:rPr>
      </w:pPr>
      <w:r w:rsidRPr="00A27102">
        <w:rPr>
          <w:rFonts w:ascii="Verdana" w:eastAsia="Calibri" w:hAnsi="Verdana" w:cs="Arial"/>
          <w:i/>
          <w:iCs/>
          <w:sz w:val="20"/>
          <w:szCs w:val="20"/>
          <w:lang w:eastAsia="es-ES"/>
        </w:rPr>
        <w:t>Cuál sería la interpretación oficial de Colombia Compra Eficiente frente a la diferencia entre la </w:t>
      </w:r>
      <w:r w:rsidRPr="00A27102">
        <w:rPr>
          <w:rFonts w:ascii="Verdana" w:eastAsia="Calibri" w:hAnsi="Verdana" w:cs="Arial"/>
          <w:b/>
          <w:bCs/>
          <w:i/>
          <w:iCs/>
          <w:sz w:val="20"/>
          <w:szCs w:val="20"/>
          <w:lang w:eastAsia="es-ES"/>
        </w:rPr>
        <w:t>elaboración de insumos técnicos</w:t>
      </w:r>
      <w:r w:rsidRPr="00A27102">
        <w:rPr>
          <w:rFonts w:ascii="Verdana" w:eastAsia="Calibri" w:hAnsi="Verdana" w:cs="Arial"/>
          <w:i/>
          <w:iCs/>
          <w:sz w:val="20"/>
          <w:szCs w:val="20"/>
          <w:lang w:eastAsia="es-ES"/>
        </w:rPr>
        <w:t> y la </w:t>
      </w:r>
      <w:r w:rsidRPr="00A27102">
        <w:rPr>
          <w:rFonts w:ascii="Verdana" w:eastAsia="Calibri" w:hAnsi="Verdana" w:cs="Arial"/>
          <w:b/>
          <w:bCs/>
          <w:i/>
          <w:iCs/>
          <w:sz w:val="20"/>
          <w:szCs w:val="20"/>
          <w:lang w:eastAsia="es-ES"/>
        </w:rPr>
        <w:t>incidencia directa en los pliegos de condiciones o en la definición de requisitos habilitantes</w:t>
      </w:r>
      <w:r w:rsidRPr="00A27102">
        <w:rPr>
          <w:rFonts w:ascii="Verdana" w:eastAsia="Calibri" w:hAnsi="Verdana" w:cs="Arial"/>
          <w:i/>
          <w:iCs/>
          <w:sz w:val="20"/>
          <w:szCs w:val="20"/>
          <w:lang w:eastAsia="es-ES"/>
        </w:rPr>
        <w:t>.</w:t>
      </w:r>
    </w:p>
    <w:p w14:paraId="4CB67CE1" w14:textId="77777777" w:rsidR="006F059E" w:rsidRPr="00A27102" w:rsidRDefault="006F059E" w:rsidP="006F059E">
      <w:pPr>
        <w:tabs>
          <w:tab w:val="num" w:pos="1134"/>
        </w:tabs>
        <w:spacing w:after="0" w:line="240" w:lineRule="auto"/>
        <w:ind w:left="709" w:right="618" w:hanging="11"/>
        <w:jc w:val="both"/>
        <w:rPr>
          <w:rFonts w:ascii="Verdana" w:eastAsia="Calibri" w:hAnsi="Verdana" w:cs="Arial"/>
          <w:i/>
          <w:iCs/>
          <w:sz w:val="20"/>
          <w:szCs w:val="20"/>
          <w:lang w:eastAsia="es-ES"/>
        </w:rPr>
      </w:pPr>
      <w:r w:rsidRPr="00A27102">
        <w:rPr>
          <w:rFonts w:ascii="Verdana" w:eastAsia="Calibri" w:hAnsi="Verdana" w:cs="Arial"/>
          <w:i/>
          <w:iCs/>
          <w:sz w:val="20"/>
          <w:szCs w:val="20"/>
          <w:lang w:eastAsia="es-ES"/>
        </w:rPr>
        <w:t>Agradezco la orientación institucional sobre este caso, con el fin de garantizar la correcta aplicación de las normas de inhabilidades e incompatibilidades y la transparencia en la contratación pública”.</w:t>
      </w:r>
    </w:p>
    <w:bookmarkEnd w:id="2"/>
    <w:p w14:paraId="0FE1B316" w14:textId="77777777" w:rsidR="006F059E" w:rsidRPr="00A27102" w:rsidRDefault="006F059E" w:rsidP="006F059E">
      <w:pPr>
        <w:spacing w:after="0" w:line="276" w:lineRule="auto"/>
        <w:ind w:right="618"/>
        <w:jc w:val="both"/>
        <w:rPr>
          <w:rFonts w:ascii="Verdana" w:eastAsia="Calibri" w:hAnsi="Verdana" w:cs="Arial"/>
          <w:sz w:val="20"/>
          <w:szCs w:val="20"/>
          <w:lang w:val="es-ES" w:eastAsia="es-ES"/>
        </w:rPr>
      </w:pPr>
    </w:p>
    <w:p w14:paraId="60A00352" w14:textId="77777777" w:rsidR="006F059E" w:rsidRPr="00A27102" w:rsidRDefault="006F059E" w:rsidP="006F059E">
      <w:pPr>
        <w:spacing w:after="120" w:line="276" w:lineRule="auto"/>
        <w:ind w:firstLine="709"/>
        <w:jc w:val="both"/>
        <w:rPr>
          <w:rFonts w:ascii="Verdana" w:eastAsia="Calibri" w:hAnsi="Verdana" w:cs="Arial"/>
          <w:color w:val="000000"/>
          <w:lang w:val="es-ES" w:eastAsia="es-ES"/>
        </w:rPr>
      </w:pPr>
      <w:r w:rsidRPr="00A27102">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27102">
        <w:rPr>
          <w:rFonts w:ascii="Verdana" w:eastAsia="Calibri" w:hAnsi="Verdana" w:cs="Arial"/>
          <w:color w:val="000000"/>
          <w:szCs w:val="24"/>
          <w:lang w:val="es-ES_tradnl" w:eastAsia="es-ES_tradnl"/>
        </w:rPr>
        <w:tab/>
      </w:r>
    </w:p>
    <w:p w14:paraId="75AC40B2" w14:textId="77777777" w:rsidR="006F059E" w:rsidRPr="00A27102" w:rsidRDefault="006F059E" w:rsidP="006F059E">
      <w:pPr>
        <w:spacing w:after="0" w:line="276" w:lineRule="auto"/>
        <w:ind w:firstLine="709"/>
        <w:jc w:val="both"/>
        <w:rPr>
          <w:rFonts w:ascii="Verdana" w:eastAsia="Calibri" w:hAnsi="Verdana" w:cs="Arial"/>
          <w:color w:val="000000"/>
          <w:lang w:val="es-ES" w:eastAsia="es-ES"/>
        </w:rPr>
      </w:pPr>
      <w:r w:rsidRPr="00A27102">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A27102">
        <w:rPr>
          <w:rFonts w:ascii="Verdana" w:eastAsia="Calibri" w:hAnsi="Verdana" w:cs="Arial"/>
          <w:color w:val="7030A0"/>
          <w:lang w:val="es-ES" w:eastAsia="es-ES"/>
        </w:rPr>
        <w:t xml:space="preserve"> </w:t>
      </w:r>
      <w:r w:rsidRPr="00A27102">
        <w:rPr>
          <w:rFonts w:ascii="Verdana" w:eastAsia="Calibri" w:hAnsi="Verdana" w:cs="Arial"/>
          <w:color w:val="000000"/>
          <w:lang w:val="es-ES" w:eastAsia="es-ES"/>
        </w:rPr>
        <w:t>problema</w:t>
      </w:r>
      <w:r w:rsidRPr="00A27102">
        <w:rPr>
          <w:rFonts w:ascii="Verdana" w:eastAsia="Calibri" w:hAnsi="Verdana" w:cs="Arial"/>
          <w:color w:val="7030A0"/>
          <w:lang w:val="es-ES" w:eastAsia="es-ES"/>
        </w:rPr>
        <w:t xml:space="preserve"> </w:t>
      </w:r>
      <w:r w:rsidRPr="00A27102">
        <w:rPr>
          <w:rFonts w:ascii="Verdana" w:eastAsia="Calibri" w:hAnsi="Verdana" w:cs="Arial"/>
          <w:color w:val="000000"/>
          <w:lang w:val="es-ES" w:eastAsia="es-ES"/>
        </w:rPr>
        <w:t>jurídico</w:t>
      </w:r>
      <w:r w:rsidRPr="00A27102">
        <w:rPr>
          <w:rFonts w:ascii="Verdana" w:eastAsia="Calibri" w:hAnsi="Verdana" w:cs="Arial"/>
          <w:color w:val="7030A0"/>
          <w:lang w:val="es-ES" w:eastAsia="es-ES"/>
        </w:rPr>
        <w:t xml:space="preserve"> </w:t>
      </w:r>
      <w:r w:rsidRPr="00A27102">
        <w:rPr>
          <w:rFonts w:ascii="Verdana" w:eastAsia="Calibri" w:hAnsi="Verdana" w:cs="Arial"/>
          <w:color w:val="000000"/>
          <w:lang w:val="es-ES" w:eastAsia="es-ES"/>
        </w:rPr>
        <w:t xml:space="preserve">de su consulta. </w:t>
      </w:r>
    </w:p>
    <w:p w14:paraId="6C3AD9AF" w14:textId="77777777" w:rsidR="006F059E" w:rsidRPr="00A27102" w:rsidRDefault="006F059E" w:rsidP="006F059E">
      <w:pPr>
        <w:spacing w:after="0" w:line="276" w:lineRule="auto"/>
        <w:ind w:firstLine="709"/>
        <w:jc w:val="both"/>
        <w:rPr>
          <w:rFonts w:ascii="Verdana" w:eastAsia="Calibri" w:hAnsi="Verdana" w:cs="Arial"/>
          <w:color w:val="000000"/>
          <w:lang w:val="es-ES" w:eastAsia="es-ES"/>
        </w:rPr>
      </w:pPr>
    </w:p>
    <w:p w14:paraId="28BDF381" w14:textId="77777777" w:rsidR="006F059E" w:rsidRPr="00A27102" w:rsidRDefault="006F059E" w:rsidP="006F059E">
      <w:pPr>
        <w:numPr>
          <w:ilvl w:val="0"/>
          <w:numId w:val="1"/>
        </w:numPr>
        <w:tabs>
          <w:tab w:val="left" w:pos="142"/>
          <w:tab w:val="left" w:pos="284"/>
        </w:tabs>
        <w:spacing w:after="0" w:line="276" w:lineRule="auto"/>
        <w:contextualSpacing/>
        <w:jc w:val="both"/>
        <w:rPr>
          <w:rFonts w:ascii="Verdana" w:eastAsia="Century Gothic" w:hAnsi="Verdana" w:cs="Century Gothic"/>
          <w:b/>
          <w:bCs/>
          <w:lang w:val="es-ES"/>
        </w:rPr>
      </w:pPr>
      <w:r w:rsidRPr="00A27102">
        <w:rPr>
          <w:rFonts w:ascii="Verdana" w:eastAsia="Century Gothic" w:hAnsi="Verdana" w:cs="Century Gothic"/>
          <w:b/>
          <w:bCs/>
          <w:lang w:val="es-ES"/>
        </w:rPr>
        <w:t>Problemas planteados:</w:t>
      </w:r>
    </w:p>
    <w:p w14:paraId="1A33691E" w14:textId="77777777" w:rsidR="006F059E" w:rsidRPr="00A27102" w:rsidRDefault="006F059E" w:rsidP="006F059E">
      <w:pPr>
        <w:tabs>
          <w:tab w:val="left" w:pos="426"/>
        </w:tabs>
        <w:spacing w:after="0" w:line="276" w:lineRule="auto"/>
        <w:jc w:val="both"/>
        <w:rPr>
          <w:rFonts w:ascii="Verdana" w:eastAsia="Century Gothic" w:hAnsi="Verdana" w:cs="Century Gothic"/>
          <w:lang w:val="es-ES"/>
        </w:rPr>
      </w:pPr>
    </w:p>
    <w:p w14:paraId="415461CA" w14:textId="77777777" w:rsidR="006F059E" w:rsidRPr="00A27102" w:rsidRDefault="006F059E" w:rsidP="006F059E">
      <w:pPr>
        <w:spacing w:after="0" w:line="276" w:lineRule="auto"/>
        <w:jc w:val="both"/>
        <w:rPr>
          <w:rFonts w:ascii="Verdana" w:hAnsi="Verdana"/>
        </w:rPr>
      </w:pPr>
      <w:r w:rsidRPr="00A27102">
        <w:rPr>
          <w:rFonts w:ascii="Verdana" w:eastAsia="Century Gothic" w:hAnsi="Verdana" w:cs="Century Gothic"/>
        </w:rPr>
        <w:lastRenderedPageBreak/>
        <w:t xml:space="preserve">De acuerdo con el contenido de su solicitud, esta Agencia resolverá el siguiente problema jurídico: </w:t>
      </w:r>
      <w:r w:rsidRPr="00A27102">
        <w:rPr>
          <w:rFonts w:ascii="Verdana" w:hAnsi="Verdana"/>
        </w:rPr>
        <w:t xml:space="preserve">¿Existe alguna inhabilidad, incompatibilidad o restricción </w:t>
      </w:r>
      <w:r w:rsidRPr="00A27102">
        <w:rPr>
          <w:rFonts w:ascii="Verdana" w:hAnsi="Verdana" w:cs="Arial"/>
          <w:color w:val="000000" w:themeColor="text1"/>
          <w:lang w:val="es-ES_tradnl"/>
        </w:rPr>
        <w:t xml:space="preserve">cuando </w:t>
      </w:r>
      <w:r w:rsidRPr="00A27102">
        <w:rPr>
          <w:rFonts w:ascii="Verdana" w:eastAsia="Calibri" w:hAnsi="Verdana" w:cs="Arial"/>
          <w:color w:val="000000" w:themeColor="text1"/>
          <w:szCs w:val="24"/>
          <w:lang w:eastAsia="es-ES_tradnl"/>
        </w:rPr>
        <w:t xml:space="preserve">un </w:t>
      </w:r>
      <w:r w:rsidRPr="00A27102">
        <w:rPr>
          <w:rFonts w:ascii="Verdana" w:hAnsi="Verdana"/>
        </w:rPr>
        <w:t xml:space="preserve">contratista de prestación de servicios que realiza determinados productos para la entidad estatal como insumo para una obra pública, posteriormente es contratado por el contratista adjudicatario de dicha obra? </w:t>
      </w:r>
    </w:p>
    <w:p w14:paraId="5D385D92" w14:textId="77777777" w:rsidR="006F059E" w:rsidRPr="00A27102" w:rsidRDefault="006F059E" w:rsidP="006F059E">
      <w:pPr>
        <w:spacing w:after="0" w:line="276" w:lineRule="auto"/>
        <w:jc w:val="both"/>
        <w:rPr>
          <w:rFonts w:ascii="Verdana" w:eastAsia="Calibri" w:hAnsi="Verdana" w:cs="Arial"/>
          <w:color w:val="7030A0"/>
        </w:rPr>
      </w:pPr>
    </w:p>
    <w:p w14:paraId="566A860D" w14:textId="77777777" w:rsidR="006F059E" w:rsidRPr="00A27102" w:rsidRDefault="006F059E" w:rsidP="006F059E">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A27102">
        <w:rPr>
          <w:rFonts w:ascii="Verdana" w:eastAsia="Century Gothic" w:hAnsi="Verdana" w:cs="Century Gothic"/>
          <w:b/>
          <w:bCs/>
          <w:lang w:val="es-ES"/>
        </w:rPr>
        <w:t>Respuestas:</w:t>
      </w:r>
    </w:p>
    <w:p w14:paraId="4FA57CA9" w14:textId="77777777" w:rsidR="006F059E" w:rsidRPr="00A27102" w:rsidRDefault="006F059E" w:rsidP="006F059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F059E" w:rsidRPr="00A27102" w14:paraId="49A604A2" w14:textId="77777777" w:rsidTr="003E1E0D">
        <w:trPr>
          <w:jc w:val="center"/>
        </w:trPr>
        <w:tc>
          <w:tcPr>
            <w:tcW w:w="8828" w:type="dxa"/>
          </w:tcPr>
          <w:p w14:paraId="1AAC345E" w14:textId="77777777" w:rsidR="006F059E" w:rsidRPr="00A27102" w:rsidRDefault="006F059E" w:rsidP="003E1E0D">
            <w:pPr>
              <w:spacing w:after="120" w:line="276" w:lineRule="auto"/>
              <w:jc w:val="both"/>
              <w:rPr>
                <w:rFonts w:ascii="Verdana" w:eastAsia="Calibri" w:hAnsi="Verdana" w:cs="Arial"/>
              </w:rPr>
            </w:pPr>
            <w:bookmarkStart w:id="3" w:name="_Hlk171694685"/>
            <w:r w:rsidRPr="00A27102">
              <w:rPr>
                <w:rFonts w:ascii="Verdana" w:eastAsia="Calibri" w:hAnsi="Verdana" w:cs="Arial"/>
                <w:color w:val="000000" w:themeColor="text1"/>
                <w:szCs w:val="24"/>
                <w:lang w:eastAsia="es-ES_tradnl"/>
              </w:rPr>
              <w:t xml:space="preserve">En principio, la situación en la que un </w:t>
            </w:r>
            <w:r w:rsidRPr="00A27102">
              <w:rPr>
                <w:rFonts w:ascii="Verdana" w:hAnsi="Verdana"/>
              </w:rPr>
              <w:t>contratista de prestación de servicios que realiza determinados productos para la entidad estatal como insumo para una obra pública, posteriormente es contratado por el contratista adjudicatario de dicha obra</w:t>
            </w:r>
            <w:r w:rsidRPr="00A27102">
              <w:rPr>
                <w:rFonts w:ascii="Verdana" w:eastAsia="Arial MT" w:hAnsi="Verdana" w:cs="Arial"/>
                <w:lang w:eastAsia="es-ES" w:bidi="es-ES"/>
              </w:rPr>
              <w:t xml:space="preserve">, </w:t>
            </w:r>
            <w:r w:rsidRPr="00A27102">
              <w:rPr>
                <w:rFonts w:ascii="Verdana" w:eastAsia="Calibri" w:hAnsi="Verdana" w:cs="Arial"/>
                <w:color w:val="000000" w:themeColor="text1"/>
                <w:szCs w:val="24"/>
                <w:lang w:eastAsia="es-ES_tradnl"/>
              </w:rPr>
              <w:t xml:space="preserve">no implica la configuración de una inhabilidad o incompatibilidad conforme al Estatuto General de Contratación de la Administración Pública. </w:t>
            </w:r>
            <w:r w:rsidRPr="00A27102">
              <w:rPr>
                <w:rFonts w:ascii="Verdana" w:eastAsia="Calibri" w:hAnsi="Verdana" w:cs="Arial"/>
              </w:rPr>
              <w:t xml:space="preserve">En atención al carácter taxativo y al criterio de interpretación restrictiva que aplica respecto de las disposiciones que integran el régimen de inhabilidades e incompatibilidades, no posible afirmar de manera general que se configure una inhabilidad para contratar en el supuesto descrito.  </w:t>
            </w:r>
          </w:p>
          <w:p w14:paraId="5B61ACE0" w14:textId="77777777" w:rsidR="006F059E" w:rsidRPr="00A27102" w:rsidRDefault="006F059E" w:rsidP="003E1E0D">
            <w:pPr>
              <w:spacing w:after="120" w:line="276" w:lineRule="auto"/>
              <w:ind w:firstLine="709"/>
              <w:jc w:val="both"/>
              <w:rPr>
                <w:rFonts w:ascii="Verdana" w:eastAsia="Calibri" w:hAnsi="Verdana" w:cs="Arial"/>
                <w:bCs/>
                <w:lang w:val="es-ES_tradnl"/>
              </w:rPr>
            </w:pPr>
            <w:r w:rsidRPr="00A27102">
              <w:rPr>
                <w:rFonts w:ascii="Verdana" w:eastAsia="Calibri" w:hAnsi="Verdana" w:cs="Arial"/>
                <w:bCs/>
                <w:lang w:val="es-ES_tradnl"/>
              </w:rPr>
              <w:t>Esta circunstancia solo está prohibida en los contratos interadministrativos, ya que el artículo 2, numeral 4º, literal c), en el cuarto inciso, establece: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 Pero esta prohibición no puede extenderse a los otros casos de celebración de contratos de obra, porque, como se anotó, las causales de inhabilidad e incompatibilidad no admiten una interpretación amplia o teleológica.</w:t>
            </w:r>
          </w:p>
          <w:p w14:paraId="4D31E617" w14:textId="77777777" w:rsidR="006F059E" w:rsidRPr="00A27102" w:rsidRDefault="006F059E" w:rsidP="003E1E0D">
            <w:pPr>
              <w:spacing w:after="120" w:line="276" w:lineRule="auto"/>
              <w:ind w:firstLine="709"/>
              <w:jc w:val="both"/>
              <w:rPr>
                <w:rFonts w:ascii="Verdana" w:eastAsia="Calibri" w:hAnsi="Verdana" w:cs="Arial"/>
              </w:rPr>
            </w:pPr>
            <w:r w:rsidRPr="00A27102">
              <w:rPr>
                <w:rFonts w:ascii="Verdana" w:eastAsia="Calibri" w:hAnsi="Verdana" w:cs="Arial"/>
                <w:color w:val="000000" w:themeColor="text1"/>
                <w:szCs w:val="24"/>
                <w:lang w:eastAsia="es-ES_tradnl"/>
              </w:rPr>
              <w:t xml:space="preserve">Sin embargo, es pertinente tener en cuenta que el ordenamiento jurídico contempla restricciones sobre aspectos particulares que es importante considerar al momento de analizar una situación como la señalada. Así, </w:t>
            </w:r>
            <w:r w:rsidRPr="00A27102">
              <w:rPr>
                <w:rFonts w:ascii="Verdana" w:eastAsia="Calibri" w:hAnsi="Verdana" w:cs="Arial"/>
              </w:rPr>
              <w:t xml:space="preserve">el artículo 44 de la Ley 842 de 2003 establece una prohibición dirigida al ejercicio profesional de la ingeniería, que impide que quienes actuaron como asesores de la entidad contratante en un concurso o licitación intervengan posteriormente en las tareas profesionales derivadas del mismo proceso, salvo que tal participación estuviera autorizada en las bases del concurso. </w:t>
            </w:r>
          </w:p>
          <w:p w14:paraId="0E54DC98" w14:textId="77777777" w:rsidR="006F059E" w:rsidRPr="00A27102" w:rsidRDefault="006F059E" w:rsidP="003E1E0D">
            <w:pPr>
              <w:spacing w:after="120" w:line="276" w:lineRule="auto"/>
              <w:ind w:firstLine="709"/>
              <w:jc w:val="both"/>
              <w:rPr>
                <w:rFonts w:ascii="Verdana" w:hAnsi="Verdana" w:cs="Arial"/>
                <w:color w:val="000000" w:themeColor="text1"/>
                <w:lang w:val="es-ES"/>
              </w:rPr>
            </w:pPr>
            <w:r w:rsidRPr="00A27102">
              <w:rPr>
                <w:rFonts w:ascii="Verdana" w:eastAsia="Calibri" w:hAnsi="Verdana" w:cs="Arial"/>
              </w:rPr>
              <w:lastRenderedPageBreak/>
              <w:t xml:space="preserve">En este contexto, y conforme a la consulta planteada, si un profesional, vinculado mediante un contrato de prestación de servicios, </w:t>
            </w:r>
            <w:r w:rsidRPr="00A27102">
              <w:rPr>
                <w:rFonts w:ascii="Verdana" w:eastAsia="Calibri" w:hAnsi="Verdana" w:cs="Arial"/>
                <w:i/>
                <w:iCs/>
              </w:rPr>
              <w:t>asesora</w:t>
            </w:r>
            <w:r w:rsidRPr="00A27102">
              <w:rPr>
                <w:rFonts w:ascii="Verdana" w:eastAsia="Calibri" w:hAnsi="Verdana" w:cs="Arial"/>
              </w:rPr>
              <w:t xml:space="preserve"> a la entidad contratante en el procedimiento de selección para contratar una obra y, posteriormente, interviene directa o indirectamente </w:t>
            </w:r>
            <w:r w:rsidRPr="00A27102">
              <w:rPr>
                <w:rFonts w:ascii="Verdana" w:hAnsi="Verdana" w:cs="Arial"/>
                <w:color w:val="000000" w:themeColor="text1"/>
                <w:lang w:val="es-ES"/>
              </w:rPr>
              <w:t>en las tareas profesionales requeridas para el desarrollo del trabajo que dio lugar al mismo</w:t>
            </w:r>
            <w:r w:rsidRPr="00A27102">
              <w:rPr>
                <w:rFonts w:ascii="Verdana" w:eastAsia="Calibri" w:hAnsi="Verdana" w:cs="Arial"/>
              </w:rPr>
              <w:t xml:space="preserve">, es decir, en la ejecución de dicho contrato de obra, podría configurarse la restricción establecida en el artículo 44 de la Ley 842 de 2003, </w:t>
            </w:r>
            <w:r w:rsidRPr="00A27102">
              <w:rPr>
                <w:rFonts w:ascii="Verdana" w:hAnsi="Verdana" w:cs="Arial"/>
                <w:color w:val="000000" w:themeColor="text1"/>
                <w:lang w:val="es-ES"/>
              </w:rPr>
              <w:t>salvo que su intervención estuviese establecida en las bases del concurso o licitación. Para tales efectos,</w:t>
            </w:r>
            <w:r w:rsidRPr="00A27102">
              <w:rPr>
                <w:rFonts w:ascii="Verdana" w:eastAsia="Calibri" w:hAnsi="Verdana" w:cs="Arial"/>
              </w:rPr>
              <w:t xml:space="preserve"> es fundamental analizar detalladamente el objeto, las actividades y el alcance del contrato de prestación de servicios suscrito con el profesional con el fin de determinar si las funciones de asesoría asignadas guardan relación con las tareas </w:t>
            </w:r>
            <w:r w:rsidRPr="00A27102">
              <w:rPr>
                <w:rFonts w:ascii="Verdana" w:hAnsi="Verdana" w:cs="Arial"/>
                <w:color w:val="000000" w:themeColor="text1"/>
                <w:lang w:val="es-ES"/>
              </w:rPr>
              <w:t xml:space="preserve">que posteriormente desarrollará el contratista de obra.  </w:t>
            </w:r>
          </w:p>
          <w:p w14:paraId="689F7DB2" w14:textId="77777777" w:rsidR="006F059E" w:rsidRPr="00A27102" w:rsidRDefault="006F059E" w:rsidP="003E1E0D">
            <w:pPr>
              <w:spacing w:before="120" w:after="120" w:line="276" w:lineRule="auto"/>
              <w:ind w:firstLine="708"/>
              <w:jc w:val="both"/>
              <w:rPr>
                <w:rFonts w:ascii="Verdana" w:eastAsia="Calibri" w:hAnsi="Verdana" w:cs="Arial"/>
              </w:rPr>
            </w:pPr>
            <w:r w:rsidRPr="00A27102">
              <w:rPr>
                <w:rFonts w:ascii="Verdana" w:eastAsia="Calibri" w:hAnsi="Verdana" w:cs="Arial"/>
              </w:rPr>
              <w:t xml:space="preserve">En todo caso, </w:t>
            </w:r>
            <w:r w:rsidRPr="00A27102">
              <w:rPr>
                <w:rFonts w:ascii="Verdana" w:eastAsia="Times New Roman" w:hAnsi="Verdana" w:cs="Arial"/>
                <w:color w:val="000000"/>
                <w:lang w:val="es-ES" w:eastAsia="es-ES"/>
              </w:rPr>
              <w:t xml:space="preserve">debe advertirse que el análisis requerido para resolver problemas específicos en torno a </w:t>
            </w:r>
            <w:r w:rsidRPr="00A27102">
              <w:rPr>
                <w:rFonts w:ascii="Verdana" w:eastAsia="Calibri" w:hAnsi="Verdana" w:cs="Arial"/>
                <w:lang w:val="es-ES"/>
              </w:rPr>
              <w:t>la configuración de inhabilidades, incompatibilidades y conflictos de interés</w:t>
            </w:r>
            <w:r w:rsidRPr="00A27102">
              <w:rPr>
                <w:rFonts w:ascii="Verdana" w:eastAsia="Times New Roman" w:hAnsi="Verdana" w:cs="Arial"/>
                <w:color w:val="000000"/>
                <w:lang w:val="es-ES" w:eastAsia="es-ES"/>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tbl>
    <w:p w14:paraId="010C9512" w14:textId="77777777" w:rsidR="006F059E" w:rsidRPr="00A27102" w:rsidRDefault="006F059E" w:rsidP="006F059E">
      <w:pPr>
        <w:tabs>
          <w:tab w:val="left" w:pos="142"/>
          <w:tab w:val="left" w:pos="284"/>
        </w:tabs>
        <w:spacing w:after="0" w:line="276" w:lineRule="auto"/>
        <w:jc w:val="both"/>
        <w:rPr>
          <w:rFonts w:ascii="Verdana" w:eastAsia="Century Gothic" w:hAnsi="Verdana" w:cs="Century Gothic"/>
          <w:b/>
          <w:bCs/>
          <w:lang w:val="es-ES"/>
        </w:rPr>
      </w:pPr>
    </w:p>
    <w:bookmarkEnd w:id="3"/>
    <w:p w14:paraId="5ABF7B53" w14:textId="77777777" w:rsidR="006F059E" w:rsidRPr="00A27102" w:rsidRDefault="006F059E" w:rsidP="006F059E">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A27102">
        <w:rPr>
          <w:rFonts w:ascii="Verdana" w:eastAsia="Century Gothic" w:hAnsi="Verdana" w:cs="Century Gothic"/>
          <w:b/>
          <w:bCs/>
          <w:lang w:val="es-ES"/>
        </w:rPr>
        <w:t>Razones de las respuestas:</w:t>
      </w:r>
    </w:p>
    <w:p w14:paraId="7EEB0A4C" w14:textId="77777777" w:rsidR="006F059E" w:rsidRPr="00A27102" w:rsidRDefault="006F059E" w:rsidP="006F059E">
      <w:pPr>
        <w:spacing w:after="0" w:line="276" w:lineRule="auto"/>
        <w:jc w:val="both"/>
        <w:rPr>
          <w:rFonts w:ascii="Verdana" w:eastAsia="Calibri" w:hAnsi="Verdana" w:cs="Arial"/>
          <w:color w:val="7030A0"/>
          <w:lang w:val="es-ES"/>
        </w:rPr>
      </w:pPr>
    </w:p>
    <w:p w14:paraId="19F7078A" w14:textId="77777777" w:rsidR="006F059E" w:rsidRPr="00A27102" w:rsidRDefault="006F059E" w:rsidP="006F059E">
      <w:pPr>
        <w:spacing w:after="0" w:line="276" w:lineRule="auto"/>
        <w:jc w:val="both"/>
        <w:rPr>
          <w:rFonts w:ascii="Verdana" w:eastAsia="Calibri" w:hAnsi="Verdana" w:cs="Arial"/>
          <w:lang w:val="es-ES"/>
        </w:rPr>
      </w:pPr>
      <w:r w:rsidRPr="00A27102">
        <w:rPr>
          <w:rFonts w:ascii="Verdana" w:eastAsia="Calibri" w:hAnsi="Verdana" w:cs="Arial"/>
          <w:lang w:val="es-ES"/>
        </w:rPr>
        <w:t>Lo anterior se sustenta en las siguientes consideraciones:</w:t>
      </w:r>
    </w:p>
    <w:p w14:paraId="34E8EB69" w14:textId="77777777" w:rsidR="006F059E" w:rsidRPr="00A27102" w:rsidRDefault="006F059E" w:rsidP="006F059E">
      <w:pPr>
        <w:spacing w:after="0" w:line="276" w:lineRule="auto"/>
        <w:jc w:val="both"/>
        <w:rPr>
          <w:rFonts w:ascii="Verdana" w:eastAsia="Calibri" w:hAnsi="Verdana" w:cs="Arial"/>
          <w:lang w:val="es-ES"/>
        </w:rPr>
      </w:pPr>
    </w:p>
    <w:p w14:paraId="669BF069" w14:textId="77777777" w:rsidR="006F059E" w:rsidRPr="00A27102" w:rsidRDefault="006F059E" w:rsidP="006F059E">
      <w:pPr>
        <w:spacing w:after="120" w:line="276" w:lineRule="auto"/>
        <w:jc w:val="both"/>
        <w:rPr>
          <w:rFonts w:ascii="Verdana" w:eastAsia="Calibri" w:hAnsi="Verdana" w:cs="Arial"/>
          <w:color w:val="000000" w:themeColor="text1"/>
        </w:rPr>
      </w:pPr>
      <w:r w:rsidRPr="00A27102">
        <w:rPr>
          <w:rFonts w:ascii="Verdana" w:eastAsia="Calibri" w:hAnsi="Verdana" w:cs="Arial"/>
          <w:color w:val="000000" w:themeColor="text1"/>
          <w:lang w:val="es-ES_tradnl"/>
        </w:rPr>
        <w:t xml:space="preserve">i. En la contratación estatal, la </w:t>
      </w:r>
      <w:r w:rsidRPr="00A27102">
        <w:rPr>
          <w:rFonts w:ascii="Verdana" w:eastAsia="Calibri" w:hAnsi="Verdana" w:cs="Arial"/>
          <w:i/>
          <w:iCs/>
          <w:color w:val="000000" w:themeColor="text1"/>
          <w:lang w:val="es-ES_tradnl"/>
        </w:rPr>
        <w:t>capacidad</w:t>
      </w:r>
      <w:r w:rsidRPr="00A27102">
        <w:rPr>
          <w:rFonts w:ascii="Verdana" w:eastAsia="Calibri" w:hAnsi="Verdana" w:cs="Arial"/>
          <w:color w:val="000000" w:themeColor="text1"/>
          <w:lang w:val="es-ES_tradnl"/>
        </w:rPr>
        <w:t xml:space="preserve"> también es un requisito de validez de los contratos, tanto en el régimen de las entidades sujetas al Estatuto General de Contratación de la Administración Pública</w:t>
      </w:r>
      <w:r w:rsidRPr="00A27102">
        <w:rPr>
          <w:vertAlign w:val="superscript"/>
        </w:rPr>
        <w:footnoteReference w:id="2"/>
      </w:r>
      <w:r w:rsidRPr="00A27102">
        <w:rPr>
          <w:rFonts w:ascii="Verdana" w:eastAsia="Calibri" w:hAnsi="Verdana" w:cs="Arial"/>
          <w:color w:val="000000" w:themeColor="text1"/>
          <w:lang w:val="es-ES_tradnl"/>
        </w:rPr>
        <w:t xml:space="preserve"> como en el de las entidades </w:t>
      </w:r>
      <w:r w:rsidRPr="00A27102">
        <w:rPr>
          <w:rFonts w:ascii="Verdana" w:eastAsia="Calibri" w:hAnsi="Verdana" w:cs="Arial"/>
          <w:color w:val="000000" w:themeColor="text1"/>
          <w:lang w:val="es-ES_tradnl"/>
        </w:rPr>
        <w:lastRenderedPageBreak/>
        <w:t>exceptuadas de aquel</w:t>
      </w:r>
      <w:r w:rsidRPr="00A27102">
        <w:rPr>
          <w:vertAlign w:val="superscript"/>
        </w:rPr>
        <w:footnoteReference w:id="3"/>
      </w:r>
      <w:r w:rsidRPr="00A27102">
        <w:rPr>
          <w:rFonts w:ascii="Verdana" w:eastAsia="Calibri" w:hAnsi="Verdana" w:cs="Arial"/>
          <w:color w:val="000000" w:themeColor="text1"/>
          <w:lang w:val="es-ES_tradnl"/>
        </w:rPr>
        <w:t xml:space="preserve">. </w:t>
      </w:r>
      <w:r w:rsidRPr="00A27102">
        <w:rPr>
          <w:rFonts w:ascii="Verdana" w:eastAsia="Calibri" w:hAnsi="Verdana" w:cs="Arial"/>
          <w:color w:val="000000" w:themeColor="text1"/>
        </w:rPr>
        <w:t>Si bien la regulación de la capacidad en el contrato de prestación de servicios se integra por varias disposiciones y exigencias especiales, se destaca el régimen de inhabilidades e incompatibilidades como un conjunto de normas que imponen restricciones para los sujetos que, eventualmente, pretendan participar en los procedimientos de selección o celebrar contratos con las entidades estatales</w:t>
      </w:r>
      <w:r w:rsidRPr="00A27102">
        <w:rPr>
          <w:vertAlign w:val="superscript"/>
        </w:rPr>
        <w:footnoteReference w:id="4"/>
      </w:r>
      <w:r w:rsidRPr="00A27102">
        <w:rPr>
          <w:rFonts w:ascii="Verdana" w:eastAsia="Calibri" w:hAnsi="Verdana" w:cs="Arial"/>
          <w:color w:val="000000" w:themeColor="text1"/>
          <w:lang w:val="es-ES_tradnl"/>
        </w:rPr>
        <w:t>.</w:t>
      </w:r>
    </w:p>
    <w:p w14:paraId="0762E11D" w14:textId="77777777" w:rsidR="006F059E" w:rsidRPr="00A27102" w:rsidRDefault="006F059E" w:rsidP="006F059E">
      <w:pPr>
        <w:spacing w:after="120" w:line="276" w:lineRule="auto"/>
        <w:ind w:firstLine="709"/>
        <w:jc w:val="both"/>
        <w:rPr>
          <w:rFonts w:ascii="Verdana" w:eastAsia="Calibri" w:hAnsi="Verdana" w:cs="Arial"/>
          <w:color w:val="000000" w:themeColor="text1"/>
          <w:lang w:val="es-ES"/>
        </w:rPr>
      </w:pPr>
      <w:r w:rsidRPr="00A27102">
        <w:rPr>
          <w:rFonts w:ascii="Verdana" w:eastAsia="Calibri" w:hAnsi="Verdana" w:cs="Arial"/>
          <w:color w:val="000000" w:themeColor="text1"/>
          <w:lang w:val="es-ES"/>
        </w:rPr>
        <w:t>Las inhabilidades son prohibiciones para concurrir a los procedimientos de selección y para contratar con el Estado, que se derivan i) de la existencia de comportamientos reprochables o de sanciones anteriormente impuestas</w:t>
      </w:r>
      <w:r w:rsidRPr="00A27102">
        <w:rPr>
          <w:rFonts w:ascii="Verdana" w:eastAsia="Calibri" w:hAnsi="Verdana" w:cs="Arial"/>
          <w:color w:val="000000" w:themeColor="text1"/>
          <w:vertAlign w:val="superscript"/>
          <w:lang w:val="es-ES"/>
        </w:rPr>
        <w:footnoteReference w:id="5"/>
      </w:r>
      <w:r w:rsidRPr="00A27102">
        <w:rPr>
          <w:rFonts w:ascii="Verdana" w:eastAsia="Calibri" w:hAnsi="Verdana" w:cs="Arial"/>
          <w:color w:val="000000" w:themeColor="text1"/>
          <w:lang w:val="es-ES"/>
        </w:rPr>
        <w:t xml:space="preserve">, </w:t>
      </w:r>
      <w:proofErr w:type="spellStart"/>
      <w:r w:rsidRPr="00A27102">
        <w:rPr>
          <w:rFonts w:ascii="Verdana" w:eastAsia="Calibri" w:hAnsi="Verdana" w:cs="Arial"/>
          <w:color w:val="000000" w:themeColor="text1"/>
          <w:lang w:val="es-ES"/>
        </w:rPr>
        <w:t>ii</w:t>
      </w:r>
      <w:proofErr w:type="spellEnd"/>
      <w:r w:rsidRPr="00A27102">
        <w:rPr>
          <w:rFonts w:ascii="Verdana" w:eastAsia="Calibri" w:hAnsi="Verdana" w:cs="Arial"/>
          <w:color w:val="000000" w:themeColor="text1"/>
          <w:lang w:val="es-ES"/>
        </w:rPr>
        <w:t>) de vínculos personales relativos al parentesco o al estado civil</w:t>
      </w:r>
      <w:r w:rsidRPr="00A27102">
        <w:rPr>
          <w:rFonts w:ascii="Verdana" w:eastAsia="Calibri" w:hAnsi="Verdana" w:cs="Arial"/>
          <w:color w:val="000000" w:themeColor="text1"/>
          <w:vertAlign w:val="superscript"/>
          <w:lang w:val="es-ES"/>
        </w:rPr>
        <w:footnoteReference w:id="6"/>
      </w:r>
      <w:r w:rsidRPr="00A27102">
        <w:rPr>
          <w:rFonts w:ascii="Verdana" w:eastAsia="Calibri" w:hAnsi="Verdana" w:cs="Arial"/>
          <w:color w:val="000000" w:themeColor="text1"/>
          <w:lang w:val="es-ES"/>
        </w:rPr>
        <w:t xml:space="preserve"> o </w:t>
      </w:r>
      <w:proofErr w:type="spellStart"/>
      <w:r w:rsidRPr="00A27102">
        <w:rPr>
          <w:rFonts w:ascii="Verdana" w:eastAsia="Calibri" w:hAnsi="Verdana" w:cs="Arial"/>
          <w:color w:val="000000" w:themeColor="text1"/>
          <w:lang w:val="es-ES"/>
        </w:rPr>
        <w:t>iii</w:t>
      </w:r>
      <w:proofErr w:type="spellEnd"/>
      <w:r w:rsidRPr="00A27102">
        <w:rPr>
          <w:rFonts w:ascii="Verdana" w:eastAsia="Calibri" w:hAnsi="Verdana" w:cs="Arial"/>
          <w:color w:val="000000" w:themeColor="text1"/>
          <w:lang w:val="es-ES"/>
        </w:rPr>
        <w:t xml:space="preserve">) de una </w:t>
      </w:r>
      <w:r w:rsidRPr="00A27102">
        <w:rPr>
          <w:rFonts w:ascii="Verdana" w:eastAsia="Calibri" w:hAnsi="Verdana" w:cs="Arial"/>
          <w:color w:val="000000" w:themeColor="text1"/>
          <w:lang w:val="es-ES"/>
        </w:rPr>
        <w:lastRenderedPageBreak/>
        <w:t>actividad u oficio que se desempeñó en el pasado</w:t>
      </w:r>
      <w:r w:rsidRPr="00A27102">
        <w:rPr>
          <w:rFonts w:ascii="Verdana" w:eastAsia="Calibri" w:hAnsi="Verdana" w:cs="Arial"/>
          <w:color w:val="000000" w:themeColor="text1"/>
          <w:vertAlign w:val="superscript"/>
          <w:lang w:val="es-ES"/>
        </w:rPr>
        <w:footnoteReference w:id="7"/>
      </w:r>
      <w:r w:rsidRPr="00A27102">
        <w:rPr>
          <w:rFonts w:ascii="Verdana" w:eastAsia="Calibri" w:hAnsi="Verdana" w:cs="Arial"/>
          <w:color w:val="000000" w:themeColor="text1"/>
          <w:lang w:val="es-ES"/>
        </w:rPr>
        <w:t>.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A27102">
        <w:rPr>
          <w:rFonts w:ascii="Verdana" w:eastAsia="Calibri" w:hAnsi="Verdana" w:cs="Arial"/>
          <w:color w:val="000000" w:themeColor="text1"/>
          <w:vertAlign w:val="superscript"/>
          <w:lang w:val="es-ES"/>
        </w:rPr>
        <w:footnoteReference w:id="8"/>
      </w:r>
      <w:r w:rsidRPr="00A27102">
        <w:rPr>
          <w:rFonts w:ascii="Verdana" w:eastAsia="Calibri" w:hAnsi="Verdana" w:cs="Arial"/>
          <w:color w:val="000000" w:themeColor="text1"/>
          <w:lang w:val="es-ES"/>
        </w:rPr>
        <w:t xml:space="preserve">. </w:t>
      </w:r>
    </w:p>
    <w:p w14:paraId="7762B766" w14:textId="77777777" w:rsidR="006F059E" w:rsidRPr="00A27102" w:rsidRDefault="006F059E" w:rsidP="006F059E">
      <w:pPr>
        <w:spacing w:after="120" w:line="276" w:lineRule="auto"/>
        <w:ind w:firstLine="709"/>
        <w:jc w:val="both"/>
        <w:rPr>
          <w:rFonts w:ascii="Verdana" w:eastAsia="Calibri" w:hAnsi="Verdana" w:cs="Arial"/>
          <w:color w:val="000000" w:themeColor="text1"/>
          <w:lang w:val="es-ES"/>
        </w:rPr>
      </w:pPr>
      <w:r w:rsidRPr="00A27102">
        <w:rPr>
          <w:rFonts w:ascii="Verdana" w:eastAsia="Calibri" w:hAnsi="Verdana" w:cs="Arial"/>
          <w:color w:val="000000" w:themeColor="text1"/>
          <w:lang w:val="es-ES"/>
        </w:rPr>
        <w:lastRenderedPageBreak/>
        <w:t xml:space="preserve">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w:t>
      </w:r>
      <w:proofErr w:type="gramStart"/>
      <w:r w:rsidRPr="00A27102">
        <w:rPr>
          <w:rFonts w:ascii="Verdana" w:eastAsia="Calibri" w:hAnsi="Verdana" w:cs="Arial"/>
          <w:color w:val="000000" w:themeColor="text1"/>
          <w:lang w:val="es-ES"/>
        </w:rPr>
        <w:t>que</w:t>
      </w:r>
      <w:proofErr w:type="gramEnd"/>
      <w:r w:rsidRPr="00A27102">
        <w:rPr>
          <w:rFonts w:ascii="Verdana" w:eastAsia="Calibri" w:hAnsi="Verdana" w:cs="Arial"/>
          <w:color w:val="000000" w:themeColor="text1"/>
          <w:lang w:val="es-ES"/>
        </w:rPr>
        <w:t>, como lo ha destacado la doctrina, las inhabilidades e incompatibilidades son herramientas en la lucha contra la corrupción, adoptando paulatinamente un carácter sancionatorio o “</w:t>
      </w:r>
      <w:proofErr w:type="spellStart"/>
      <w:r w:rsidRPr="00A27102">
        <w:rPr>
          <w:rFonts w:ascii="Verdana" w:eastAsia="Calibri" w:hAnsi="Verdana" w:cs="Arial"/>
          <w:color w:val="000000" w:themeColor="text1"/>
          <w:lang w:val="es-ES"/>
        </w:rPr>
        <w:t>neopunitivo</w:t>
      </w:r>
      <w:proofErr w:type="spellEnd"/>
      <w:r w:rsidRPr="00A27102">
        <w:rPr>
          <w:rFonts w:ascii="Verdana" w:eastAsia="Calibri" w:hAnsi="Verdana" w:cs="Arial"/>
          <w:color w:val="000000" w:themeColor="text1"/>
          <w:lang w:val="es-ES"/>
        </w:rPr>
        <w:t>”</w:t>
      </w:r>
      <w:r w:rsidRPr="00A27102">
        <w:rPr>
          <w:rFonts w:ascii="Verdana" w:eastAsia="Calibri" w:hAnsi="Verdana" w:cs="Arial"/>
          <w:color w:val="000000" w:themeColor="text1"/>
          <w:vertAlign w:val="superscript"/>
          <w:lang w:val="es-ES"/>
        </w:rPr>
        <w:footnoteReference w:id="9"/>
      </w:r>
      <w:r w:rsidRPr="00A27102">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2122C828" w14:textId="77777777" w:rsidR="006F059E" w:rsidRPr="00A27102" w:rsidRDefault="006F059E" w:rsidP="006F059E">
      <w:pPr>
        <w:spacing w:after="120" w:line="276" w:lineRule="auto"/>
        <w:ind w:firstLine="709"/>
        <w:jc w:val="both"/>
        <w:rPr>
          <w:rFonts w:ascii="Verdana" w:eastAsia="Calibri" w:hAnsi="Verdana" w:cs="Arial"/>
          <w:color w:val="000000" w:themeColor="text1"/>
          <w:lang w:val="es-ES_tradnl"/>
        </w:rPr>
      </w:pPr>
      <w:r w:rsidRPr="00A27102">
        <w:rPr>
          <w:rFonts w:ascii="Verdana" w:eastAsia="Calibri" w:hAnsi="Verdana" w:cs="Arial"/>
          <w:color w:val="000000" w:themeColor="text1"/>
          <w:lang w:val="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A27102">
        <w:rPr>
          <w:rFonts w:ascii="Verdana" w:eastAsia="Calibri" w:hAnsi="Verdana" w:cs="Arial"/>
          <w:i/>
          <w:iCs/>
          <w:color w:val="000000" w:themeColor="text1"/>
          <w:lang w:val="es-ES_tradnl"/>
        </w:rPr>
        <w:t>restrictiva</w:t>
      </w:r>
      <w:r w:rsidRPr="00A27102">
        <w:rPr>
          <w:rFonts w:ascii="Verdana" w:eastAsia="Calibri" w:hAnsi="Verdana" w:cs="Arial"/>
          <w:color w:val="000000" w:themeColor="text1"/>
          <w:vertAlign w:val="superscript"/>
          <w:lang w:val="es-ES_tradnl"/>
        </w:rPr>
        <w:footnoteReference w:id="10"/>
      </w:r>
      <w:r w:rsidRPr="00A27102">
        <w:rPr>
          <w:rFonts w:ascii="Verdana" w:eastAsia="Calibri" w:hAnsi="Verdana" w:cs="Arial"/>
          <w:color w:val="000000" w:themeColor="text1"/>
          <w:lang w:val="es-ES_tradnl"/>
        </w:rPr>
        <w:t xml:space="preserve">.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4E6562FF" w14:textId="77777777" w:rsidR="006F059E" w:rsidRPr="00A27102" w:rsidRDefault="006F059E" w:rsidP="006F059E">
      <w:pPr>
        <w:spacing w:after="120" w:line="276" w:lineRule="auto"/>
        <w:ind w:firstLine="709"/>
        <w:jc w:val="both"/>
        <w:rPr>
          <w:rFonts w:ascii="Verdana" w:eastAsia="Calibri" w:hAnsi="Verdana" w:cs="Arial"/>
          <w:color w:val="000000" w:themeColor="text1"/>
          <w:lang w:val="es-ES_tradnl"/>
        </w:rPr>
      </w:pPr>
      <w:r w:rsidRPr="00A27102">
        <w:rPr>
          <w:rFonts w:ascii="Verdana" w:eastAsia="Calibri" w:hAnsi="Verdana" w:cs="Arial"/>
          <w:color w:val="000000" w:themeColor="text1"/>
          <w:lang w:val="es-ES_tradnl"/>
        </w:rPr>
        <w:t xml:space="preserve">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w:t>
      </w:r>
      <w:r w:rsidRPr="00A27102">
        <w:rPr>
          <w:rFonts w:ascii="Verdana" w:eastAsia="Calibri" w:hAnsi="Verdana" w:cs="Arial"/>
          <w:i/>
          <w:iCs/>
          <w:color w:val="000000" w:themeColor="text1"/>
          <w:lang w:val="es-ES_tradnl"/>
        </w:rPr>
        <w:t>prima facie</w:t>
      </w:r>
      <w:r w:rsidRPr="00A27102">
        <w:rPr>
          <w:rFonts w:ascii="Verdana" w:eastAsia="Calibri" w:hAnsi="Verdana" w:cs="Arial"/>
          <w:color w:val="000000" w:themeColor="text1"/>
          <w:lang w:val="es-ES_tradnl"/>
        </w:rPr>
        <w:t xml:space="preserve"> a criterios interpretativos tales como la analogía, la interpretación </w:t>
      </w:r>
      <w:r w:rsidRPr="00A27102">
        <w:rPr>
          <w:rFonts w:ascii="Verdana" w:eastAsia="Calibri" w:hAnsi="Verdana" w:cs="Arial"/>
          <w:color w:val="000000" w:themeColor="text1"/>
          <w:lang w:val="es-ES_tradnl"/>
        </w:rPr>
        <w:lastRenderedPageBreak/>
        <w:t>extensiva para ampliar el alcance de las causales legalmente fijadas”</w:t>
      </w:r>
      <w:r w:rsidRPr="00A27102">
        <w:rPr>
          <w:rFonts w:ascii="Verdana" w:eastAsia="Calibri" w:hAnsi="Verdana" w:cs="Arial"/>
          <w:color w:val="000000" w:themeColor="text1"/>
          <w:vertAlign w:val="superscript"/>
          <w:lang w:val="es-ES_tradnl"/>
        </w:rPr>
        <w:footnoteReference w:id="11"/>
      </w:r>
      <w:r w:rsidRPr="00A27102">
        <w:rPr>
          <w:rFonts w:ascii="Verdana" w:eastAsia="Calibri" w:hAnsi="Verdana" w:cs="Arial"/>
          <w:color w:val="000000" w:themeColor="text1"/>
          <w:lang w:val="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A27102">
        <w:rPr>
          <w:rFonts w:ascii="Verdana" w:eastAsia="Calibri" w:hAnsi="Verdana" w:cs="Arial"/>
          <w:color w:val="000000" w:themeColor="text1"/>
          <w:vertAlign w:val="superscript"/>
          <w:lang w:val="es-ES_tradnl"/>
        </w:rPr>
        <w:footnoteReference w:id="12"/>
      </w:r>
      <w:r w:rsidRPr="00A27102">
        <w:rPr>
          <w:rFonts w:ascii="Verdana" w:eastAsia="Calibri" w:hAnsi="Verdana" w:cs="Arial"/>
          <w:color w:val="000000" w:themeColor="text1"/>
          <w:lang w:val="es-ES_tradnl"/>
        </w:rPr>
        <w:t>. En tal sentido, la Sección Tercera ha señalado que:</w:t>
      </w:r>
    </w:p>
    <w:p w14:paraId="2293C0E2" w14:textId="77777777" w:rsidR="006F059E" w:rsidRPr="00A27102" w:rsidRDefault="006F059E" w:rsidP="006F059E">
      <w:pPr>
        <w:spacing w:after="0" w:line="276" w:lineRule="auto"/>
        <w:ind w:firstLine="709"/>
        <w:rPr>
          <w:rFonts w:ascii="Verdana" w:eastAsia="Calibri" w:hAnsi="Verdana" w:cs="Arial"/>
          <w:color w:val="000000" w:themeColor="text1"/>
          <w:lang w:val="es-ES_tradnl"/>
        </w:rPr>
      </w:pPr>
    </w:p>
    <w:p w14:paraId="195B5554" w14:textId="77777777" w:rsidR="006F059E" w:rsidRPr="00A27102" w:rsidRDefault="006F059E" w:rsidP="006F059E">
      <w:pPr>
        <w:spacing w:after="0"/>
        <w:ind w:left="709" w:right="709"/>
        <w:jc w:val="both"/>
        <w:rPr>
          <w:rFonts w:ascii="Verdana" w:hAnsi="Verdana" w:cs="Arial"/>
          <w:color w:val="000000" w:themeColor="text1"/>
          <w:sz w:val="20"/>
          <w:szCs w:val="20"/>
          <w:lang w:val="es-ES_tradnl"/>
        </w:rPr>
      </w:pPr>
      <w:r w:rsidRPr="00A27102">
        <w:rPr>
          <w:rFonts w:ascii="Verdana" w:hAnsi="Verdana" w:cs="Arial"/>
          <w:color w:val="000000" w:themeColor="text1"/>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A27102">
        <w:rPr>
          <w:rFonts w:ascii="Verdana" w:hAnsi="Verdana" w:cs="Arial"/>
          <w:color w:val="000000" w:themeColor="text1"/>
          <w:sz w:val="20"/>
          <w:szCs w:val="20"/>
          <w:vertAlign w:val="superscript"/>
          <w:lang w:val="es-ES_tradnl"/>
        </w:rPr>
        <w:footnoteReference w:id="13"/>
      </w:r>
      <w:r w:rsidRPr="00A27102">
        <w:rPr>
          <w:rFonts w:ascii="Verdana" w:hAnsi="Verdana" w:cs="Arial"/>
          <w:color w:val="000000" w:themeColor="text1"/>
          <w:sz w:val="20"/>
          <w:szCs w:val="20"/>
          <w:lang w:val="es-ES_tradnl"/>
        </w:rPr>
        <w:t>.</w:t>
      </w:r>
    </w:p>
    <w:p w14:paraId="5FE525F8" w14:textId="77777777" w:rsidR="006F059E" w:rsidRPr="00A27102" w:rsidRDefault="006F059E" w:rsidP="006F059E">
      <w:pPr>
        <w:spacing w:after="0"/>
        <w:ind w:left="709" w:right="709"/>
        <w:jc w:val="both"/>
        <w:rPr>
          <w:rFonts w:ascii="Verdana" w:hAnsi="Verdana" w:cs="Arial"/>
          <w:bCs/>
          <w:color w:val="000000" w:themeColor="text1"/>
          <w:sz w:val="20"/>
          <w:szCs w:val="20"/>
          <w:lang w:val="es-ES_tradnl"/>
        </w:rPr>
      </w:pPr>
    </w:p>
    <w:p w14:paraId="74EE8C9B" w14:textId="77777777" w:rsidR="006F059E" w:rsidRPr="00A27102" w:rsidRDefault="006F059E" w:rsidP="006F059E">
      <w:pPr>
        <w:spacing w:after="0" w:line="276" w:lineRule="auto"/>
        <w:ind w:firstLine="709"/>
        <w:jc w:val="both"/>
        <w:rPr>
          <w:rFonts w:ascii="Verdana" w:eastAsia="Calibri" w:hAnsi="Verdana" w:cs="Arial"/>
          <w:color w:val="000000" w:themeColor="text1"/>
          <w:sz w:val="20"/>
          <w:szCs w:val="20"/>
          <w:lang w:val="es-ES_tradnl"/>
        </w:rPr>
      </w:pPr>
      <w:r w:rsidRPr="00A27102">
        <w:rPr>
          <w:rFonts w:ascii="Verdana" w:eastAsia="Calibri" w:hAnsi="Verdana" w:cs="Arial"/>
          <w:color w:val="000000" w:themeColor="text1"/>
          <w:sz w:val="20"/>
          <w:szCs w:val="20"/>
          <w:lang w:val="es-ES_tradnl"/>
        </w:rPr>
        <w:t>También ha dicho que:</w:t>
      </w:r>
    </w:p>
    <w:p w14:paraId="7E951DA0" w14:textId="77777777" w:rsidR="006F059E" w:rsidRPr="00A27102" w:rsidRDefault="006F059E" w:rsidP="006F059E">
      <w:pPr>
        <w:spacing w:after="0"/>
        <w:ind w:firstLine="709"/>
        <w:jc w:val="both"/>
        <w:rPr>
          <w:rFonts w:ascii="Verdana" w:eastAsia="Calibri" w:hAnsi="Verdana" w:cs="Arial"/>
          <w:color w:val="000000" w:themeColor="text1"/>
          <w:sz w:val="20"/>
          <w:szCs w:val="20"/>
          <w:lang w:val="es-ES_tradnl"/>
        </w:rPr>
      </w:pPr>
    </w:p>
    <w:p w14:paraId="399E8520" w14:textId="77777777" w:rsidR="006F059E" w:rsidRPr="00A27102" w:rsidRDefault="006F059E" w:rsidP="006F059E">
      <w:pPr>
        <w:spacing w:after="0"/>
        <w:ind w:left="709" w:right="709"/>
        <w:jc w:val="both"/>
        <w:rPr>
          <w:rFonts w:ascii="Verdana" w:hAnsi="Verdana" w:cs="Arial"/>
          <w:color w:val="000000" w:themeColor="text1"/>
          <w:sz w:val="20"/>
          <w:szCs w:val="20"/>
          <w:lang w:val="es-ES"/>
        </w:rPr>
      </w:pPr>
      <w:r w:rsidRPr="00A27102">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0A27102">
        <w:rPr>
          <w:rFonts w:ascii="Verdana" w:hAnsi="Verdana" w:cs="Arial"/>
          <w:i/>
          <w:iCs/>
          <w:color w:val="000000" w:themeColor="text1"/>
          <w:sz w:val="20"/>
          <w:szCs w:val="20"/>
          <w:lang w:val="es-ES"/>
        </w:rPr>
        <w:t xml:space="preserve">pro </w:t>
      </w:r>
      <w:proofErr w:type="spellStart"/>
      <w:r w:rsidRPr="00A27102">
        <w:rPr>
          <w:rFonts w:ascii="Verdana" w:hAnsi="Verdana" w:cs="Arial"/>
          <w:i/>
          <w:iCs/>
          <w:color w:val="000000" w:themeColor="text1"/>
          <w:sz w:val="20"/>
          <w:szCs w:val="20"/>
          <w:lang w:val="es-ES"/>
        </w:rPr>
        <w:t>libertate</w:t>
      </w:r>
      <w:proofErr w:type="spellEnd"/>
      <w:r w:rsidRPr="00A27102">
        <w:rPr>
          <w:rFonts w:ascii="Verdana" w:hAnsi="Verdana" w:cs="Arial"/>
          <w:color w:val="000000" w:themeColor="text1"/>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A27102">
        <w:rPr>
          <w:rFonts w:ascii="Verdana" w:hAnsi="Verdana" w:cs="Arial"/>
          <w:color w:val="000000" w:themeColor="text1"/>
          <w:sz w:val="20"/>
          <w:szCs w:val="20"/>
          <w:vertAlign w:val="superscript"/>
          <w:lang w:val="es-ES"/>
        </w:rPr>
        <w:footnoteReference w:id="14"/>
      </w:r>
      <w:r w:rsidRPr="00A27102">
        <w:rPr>
          <w:rFonts w:ascii="Verdana" w:hAnsi="Verdana" w:cs="Arial"/>
          <w:color w:val="000000" w:themeColor="text1"/>
          <w:sz w:val="20"/>
          <w:szCs w:val="20"/>
          <w:lang w:val="es-ES"/>
        </w:rPr>
        <w:t>.</w:t>
      </w:r>
    </w:p>
    <w:p w14:paraId="1165FC29" w14:textId="77777777" w:rsidR="006F059E" w:rsidRPr="00A27102" w:rsidRDefault="006F059E" w:rsidP="006F059E">
      <w:pPr>
        <w:spacing w:after="0" w:line="276" w:lineRule="auto"/>
        <w:ind w:left="709" w:right="709"/>
        <w:jc w:val="both"/>
        <w:rPr>
          <w:rFonts w:ascii="Verdana" w:hAnsi="Verdana" w:cs="Arial"/>
          <w:color w:val="000000" w:themeColor="text1"/>
          <w:sz w:val="21"/>
          <w:szCs w:val="21"/>
          <w:lang w:val="es-ES_tradnl"/>
        </w:rPr>
      </w:pPr>
    </w:p>
    <w:p w14:paraId="10877B14" w14:textId="77777777" w:rsidR="006F059E" w:rsidRPr="00A27102" w:rsidRDefault="006F059E" w:rsidP="006F059E">
      <w:pPr>
        <w:spacing w:after="120" w:line="276" w:lineRule="auto"/>
        <w:ind w:firstLine="709"/>
        <w:jc w:val="both"/>
        <w:rPr>
          <w:rFonts w:ascii="Verdana" w:eastAsia="Calibri" w:hAnsi="Verdana" w:cs="Arial"/>
          <w:color w:val="000000" w:themeColor="text1"/>
          <w:lang w:val="es-ES"/>
        </w:rPr>
      </w:pPr>
      <w:r w:rsidRPr="00A27102">
        <w:rPr>
          <w:rFonts w:ascii="Verdana" w:eastAsia="Calibri" w:hAnsi="Verdana" w:cs="Arial"/>
          <w:color w:val="000000" w:themeColor="text1"/>
          <w:lang w:val="es-ES"/>
        </w:rPr>
        <w:lastRenderedPageBreak/>
        <w:t xml:space="preserve">Como se aprecia, el principio </w:t>
      </w:r>
      <w:r w:rsidRPr="00A27102">
        <w:rPr>
          <w:rFonts w:ascii="Verdana" w:eastAsia="Calibri" w:hAnsi="Verdana" w:cs="Arial"/>
          <w:i/>
          <w:color w:val="000000" w:themeColor="text1"/>
          <w:lang w:val="es-ES"/>
        </w:rPr>
        <w:t xml:space="preserve">pro </w:t>
      </w:r>
      <w:proofErr w:type="spellStart"/>
      <w:r w:rsidRPr="00A27102">
        <w:rPr>
          <w:rFonts w:ascii="Verdana" w:eastAsia="Calibri" w:hAnsi="Verdana" w:cs="Arial"/>
          <w:i/>
          <w:color w:val="000000" w:themeColor="text1"/>
          <w:lang w:val="es-ES"/>
        </w:rPr>
        <w:t>libertate</w:t>
      </w:r>
      <w:proofErr w:type="spellEnd"/>
      <w:r w:rsidRPr="00A27102">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38895B00" w14:textId="77777777" w:rsidR="006F059E" w:rsidRPr="00A27102" w:rsidRDefault="006F059E" w:rsidP="006F059E">
      <w:pPr>
        <w:spacing w:line="276" w:lineRule="auto"/>
        <w:ind w:firstLine="709"/>
        <w:jc w:val="both"/>
        <w:rPr>
          <w:rFonts w:ascii="Verdana" w:eastAsia="Calibri" w:hAnsi="Verdana" w:cs="Arial"/>
          <w:color w:val="000000" w:themeColor="text1"/>
          <w:lang w:val="es-ES_tradnl"/>
        </w:rPr>
      </w:pPr>
      <w:r w:rsidRPr="00A27102">
        <w:rPr>
          <w:rFonts w:ascii="Verdana" w:eastAsia="Calibri" w:hAnsi="Verdana" w:cs="Arial"/>
          <w:color w:val="000000" w:themeColor="text1"/>
          <w:lang w:val="es-ES_tradnl"/>
        </w:rPr>
        <w:t xml:space="preserve">Explicada la generalidad sobre el régimen de inhabilidades e incompatibilidades, resulta pertinente exponer lo concerniente a las generalidades del contrato de prestación de servicios, para luego abordar el problema jurídico desde dichas perspectivas. </w:t>
      </w:r>
    </w:p>
    <w:p w14:paraId="0874D357" w14:textId="77777777" w:rsidR="006F059E" w:rsidRPr="00A27102" w:rsidRDefault="006F059E" w:rsidP="006F059E">
      <w:pPr>
        <w:spacing w:after="0" w:line="276" w:lineRule="auto"/>
        <w:jc w:val="both"/>
        <w:rPr>
          <w:rFonts w:ascii="Verdana" w:eastAsia="Calibri" w:hAnsi="Verdana" w:cs="Arial"/>
          <w:color w:val="000000"/>
        </w:rPr>
      </w:pPr>
      <w:proofErr w:type="spellStart"/>
      <w:r w:rsidRPr="00A27102">
        <w:rPr>
          <w:rFonts w:ascii="Verdana" w:hAnsi="Verdana" w:cs="Arial"/>
          <w:color w:val="000000" w:themeColor="text1"/>
          <w:lang w:val="es-ES"/>
        </w:rPr>
        <w:t>ii</w:t>
      </w:r>
      <w:proofErr w:type="spellEnd"/>
      <w:r w:rsidRPr="00A27102">
        <w:rPr>
          <w:rFonts w:ascii="Verdana" w:hAnsi="Verdana" w:cs="Arial"/>
          <w:color w:val="000000" w:themeColor="text1"/>
          <w:lang w:val="es-ES"/>
        </w:rPr>
        <w:t xml:space="preserve">. </w:t>
      </w:r>
      <w:r w:rsidRPr="00A27102">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04DC56E6" w14:textId="77777777" w:rsidR="006F059E" w:rsidRPr="00A27102" w:rsidRDefault="006F059E" w:rsidP="006F059E">
      <w:pPr>
        <w:spacing w:after="0" w:line="276" w:lineRule="auto"/>
        <w:jc w:val="both"/>
        <w:rPr>
          <w:rFonts w:ascii="Verdana" w:eastAsia="Calibri" w:hAnsi="Verdana" w:cs="Arial"/>
          <w:color w:val="000000"/>
        </w:rPr>
      </w:pPr>
    </w:p>
    <w:p w14:paraId="13FE6211" w14:textId="77777777" w:rsidR="006F059E" w:rsidRPr="00A27102" w:rsidRDefault="006F059E" w:rsidP="006F059E">
      <w:pPr>
        <w:spacing w:after="0" w:line="240" w:lineRule="auto"/>
        <w:ind w:left="709" w:right="709"/>
        <w:jc w:val="both"/>
        <w:rPr>
          <w:rFonts w:ascii="Verdana" w:eastAsia="Calibri" w:hAnsi="Verdana" w:cs="Arial"/>
          <w:color w:val="000000"/>
          <w:sz w:val="20"/>
          <w:szCs w:val="20"/>
        </w:rPr>
      </w:pPr>
      <w:r w:rsidRPr="00A27102">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2104D59C" w14:textId="77777777" w:rsidR="006F059E" w:rsidRPr="00A27102" w:rsidRDefault="006F059E" w:rsidP="006F059E">
      <w:pPr>
        <w:spacing w:after="0" w:line="240" w:lineRule="auto"/>
        <w:ind w:left="709" w:right="709"/>
        <w:jc w:val="both"/>
        <w:rPr>
          <w:rFonts w:ascii="Verdana" w:eastAsia="Calibri" w:hAnsi="Verdana" w:cs="Arial"/>
          <w:color w:val="000000"/>
          <w:sz w:val="20"/>
          <w:szCs w:val="20"/>
        </w:rPr>
      </w:pPr>
    </w:p>
    <w:p w14:paraId="51837453" w14:textId="77777777" w:rsidR="006F059E" w:rsidRPr="00A27102" w:rsidRDefault="006F059E" w:rsidP="006F059E">
      <w:pPr>
        <w:spacing w:after="0" w:line="240" w:lineRule="auto"/>
        <w:ind w:left="709" w:right="709"/>
        <w:jc w:val="both"/>
        <w:rPr>
          <w:rFonts w:ascii="Verdana" w:eastAsia="Calibri" w:hAnsi="Verdana" w:cs="Arial"/>
          <w:color w:val="000000"/>
          <w:sz w:val="20"/>
          <w:szCs w:val="20"/>
        </w:rPr>
      </w:pPr>
      <w:r w:rsidRPr="00A27102">
        <w:rPr>
          <w:rFonts w:ascii="Verdana" w:eastAsia="Calibri" w:hAnsi="Verdana" w:cs="Arial"/>
          <w:color w:val="000000"/>
          <w:sz w:val="20"/>
          <w:szCs w:val="20"/>
        </w:rPr>
        <w:t>En ningún caso estos contratos generan relación laboral ni prestaciones sociales y se celebrarán por el término estrictamente indispensable.</w:t>
      </w:r>
    </w:p>
    <w:p w14:paraId="3B1265E6" w14:textId="77777777" w:rsidR="006F059E" w:rsidRPr="00A27102" w:rsidRDefault="006F059E" w:rsidP="006F059E">
      <w:pPr>
        <w:tabs>
          <w:tab w:val="left" w:pos="284"/>
        </w:tabs>
        <w:spacing w:after="0" w:line="276" w:lineRule="auto"/>
        <w:contextualSpacing/>
        <w:jc w:val="both"/>
        <w:rPr>
          <w:rFonts w:ascii="Verdana" w:eastAsia="Calibri" w:hAnsi="Verdana" w:cs="Arial"/>
          <w:b/>
          <w:color w:val="000000"/>
        </w:rPr>
      </w:pPr>
    </w:p>
    <w:p w14:paraId="4BDC08E9" w14:textId="77777777" w:rsidR="006F059E" w:rsidRPr="00A27102" w:rsidRDefault="006F059E" w:rsidP="006F059E">
      <w:pPr>
        <w:spacing w:after="0" w:line="276" w:lineRule="auto"/>
        <w:ind w:firstLine="709"/>
        <w:jc w:val="both"/>
        <w:rPr>
          <w:rFonts w:ascii="Verdana" w:eastAsia="Calibri" w:hAnsi="Verdana" w:cs="Arial"/>
          <w:color w:val="000000"/>
        </w:rPr>
      </w:pPr>
      <w:r w:rsidRPr="00A27102">
        <w:rPr>
          <w:rFonts w:ascii="Verdana" w:eastAsia="Calibri" w:hAnsi="Verdana" w:cs="Arial"/>
          <w:color w:val="000000"/>
        </w:rPr>
        <w:t>De otro lado, la celebración de dicho contrato debe efectuarse mediante la modalidad de la contratación directa. Así lo prevé el artículo 2, numeral 4º, literal h) de la Ley 1150 de 2007, que dispone:</w:t>
      </w:r>
    </w:p>
    <w:p w14:paraId="534EC31C" w14:textId="77777777" w:rsidR="006F059E" w:rsidRPr="00A27102" w:rsidRDefault="006F059E" w:rsidP="006F059E">
      <w:pPr>
        <w:spacing w:after="0" w:line="276" w:lineRule="auto"/>
        <w:ind w:firstLine="709"/>
        <w:jc w:val="both"/>
        <w:rPr>
          <w:rFonts w:ascii="Verdana" w:eastAsia="Calibri" w:hAnsi="Verdana" w:cs="Arial"/>
          <w:color w:val="000000"/>
        </w:rPr>
      </w:pPr>
    </w:p>
    <w:p w14:paraId="0F9FFBAA" w14:textId="77777777" w:rsidR="006F059E" w:rsidRPr="00A27102" w:rsidRDefault="006F059E" w:rsidP="006F059E">
      <w:pPr>
        <w:spacing w:after="0" w:line="240" w:lineRule="auto"/>
        <w:ind w:left="709" w:right="709"/>
        <w:jc w:val="both"/>
        <w:rPr>
          <w:rFonts w:ascii="Verdana" w:eastAsia="Calibri" w:hAnsi="Verdana" w:cs="Arial"/>
          <w:color w:val="000000"/>
          <w:sz w:val="20"/>
          <w:szCs w:val="20"/>
        </w:rPr>
      </w:pPr>
      <w:r w:rsidRPr="00A27102">
        <w:rPr>
          <w:rFonts w:ascii="Verdana" w:eastAsia="Calibri" w:hAnsi="Verdana" w:cs="Arial"/>
          <w:color w:val="000000"/>
          <w:sz w:val="20"/>
          <w:szCs w:val="20"/>
        </w:rPr>
        <w:t>[…]</w:t>
      </w:r>
    </w:p>
    <w:p w14:paraId="07867138" w14:textId="77777777" w:rsidR="006F059E" w:rsidRPr="00A27102" w:rsidRDefault="006F059E" w:rsidP="006F059E">
      <w:pPr>
        <w:spacing w:after="0" w:line="240" w:lineRule="auto"/>
        <w:ind w:left="709" w:right="709"/>
        <w:jc w:val="both"/>
        <w:rPr>
          <w:rFonts w:ascii="Verdana" w:eastAsia="Calibri" w:hAnsi="Verdana" w:cs="Arial"/>
          <w:color w:val="000000"/>
          <w:sz w:val="20"/>
          <w:szCs w:val="20"/>
        </w:rPr>
      </w:pPr>
      <w:r w:rsidRPr="00A27102">
        <w:rPr>
          <w:rFonts w:ascii="Verdana" w:eastAsia="Calibri" w:hAnsi="Verdana" w:cs="Arial"/>
          <w:color w:val="000000"/>
          <w:sz w:val="20"/>
          <w:szCs w:val="20"/>
        </w:rPr>
        <w:t xml:space="preserve">Contratación directa. La modalidad de selección de contratación </w:t>
      </w:r>
      <w:proofErr w:type="gramStart"/>
      <w:r w:rsidRPr="00A27102">
        <w:rPr>
          <w:rFonts w:ascii="Verdana" w:eastAsia="Calibri" w:hAnsi="Verdana" w:cs="Arial"/>
          <w:color w:val="000000"/>
          <w:sz w:val="20"/>
          <w:szCs w:val="20"/>
        </w:rPr>
        <w:t>directa,</w:t>
      </w:r>
      <w:proofErr w:type="gramEnd"/>
      <w:r w:rsidRPr="00A27102">
        <w:rPr>
          <w:rFonts w:ascii="Verdana" w:eastAsia="Calibri" w:hAnsi="Verdana" w:cs="Arial"/>
          <w:color w:val="000000"/>
          <w:sz w:val="20"/>
          <w:szCs w:val="20"/>
        </w:rPr>
        <w:t xml:space="preserve"> solamente procederá en los siguientes casos:</w:t>
      </w:r>
    </w:p>
    <w:p w14:paraId="4BB21742" w14:textId="77777777" w:rsidR="006F059E" w:rsidRPr="00A27102" w:rsidRDefault="006F059E" w:rsidP="006F059E">
      <w:pPr>
        <w:spacing w:after="0" w:line="240" w:lineRule="auto"/>
        <w:ind w:left="709" w:right="709"/>
        <w:jc w:val="both"/>
        <w:rPr>
          <w:rFonts w:ascii="Verdana" w:eastAsia="Calibri" w:hAnsi="Verdana" w:cs="Arial"/>
          <w:color w:val="000000"/>
          <w:sz w:val="20"/>
          <w:szCs w:val="20"/>
        </w:rPr>
      </w:pPr>
    </w:p>
    <w:p w14:paraId="0A33155F" w14:textId="77777777" w:rsidR="006F059E" w:rsidRPr="00A27102" w:rsidRDefault="006F059E" w:rsidP="006F059E">
      <w:pPr>
        <w:spacing w:after="0" w:line="240" w:lineRule="auto"/>
        <w:ind w:left="709" w:right="709"/>
        <w:jc w:val="both"/>
        <w:rPr>
          <w:rFonts w:ascii="Verdana" w:eastAsia="Calibri" w:hAnsi="Verdana" w:cs="Arial"/>
          <w:color w:val="000000"/>
          <w:sz w:val="20"/>
          <w:szCs w:val="20"/>
        </w:rPr>
      </w:pPr>
      <w:r w:rsidRPr="00A27102">
        <w:rPr>
          <w:rFonts w:ascii="Verdana" w:eastAsia="Calibri" w:hAnsi="Verdana" w:cs="Arial"/>
          <w:color w:val="000000"/>
          <w:sz w:val="20"/>
          <w:szCs w:val="20"/>
        </w:rPr>
        <w:t>[…]</w:t>
      </w:r>
    </w:p>
    <w:p w14:paraId="64C7A18B" w14:textId="77777777" w:rsidR="006F059E" w:rsidRPr="00A27102" w:rsidRDefault="006F059E" w:rsidP="006F059E">
      <w:pPr>
        <w:spacing w:after="0" w:line="240" w:lineRule="auto"/>
        <w:ind w:left="709" w:right="709"/>
        <w:jc w:val="both"/>
        <w:rPr>
          <w:rFonts w:ascii="Verdana" w:eastAsia="Calibri" w:hAnsi="Verdana" w:cs="Arial"/>
          <w:color w:val="000000"/>
          <w:sz w:val="20"/>
          <w:szCs w:val="20"/>
        </w:rPr>
      </w:pPr>
      <w:r w:rsidRPr="00A27102">
        <w:rPr>
          <w:rFonts w:ascii="Verdana" w:eastAsia="Calibri" w:hAnsi="Verdana" w:cs="Arial"/>
          <w:color w:val="000000"/>
          <w:sz w:val="20"/>
          <w:szCs w:val="20"/>
        </w:rPr>
        <w:t>h) Para la prestación de servicios profesionales y de apoyo a la gestión, o para la ejecución de trabajos artísticos que sólo puedan encomendarse a determinadas personas naturales;</w:t>
      </w:r>
    </w:p>
    <w:p w14:paraId="598D4F00" w14:textId="77777777" w:rsidR="006F059E" w:rsidRPr="00A27102" w:rsidRDefault="006F059E" w:rsidP="006F059E">
      <w:pPr>
        <w:spacing w:after="0" w:line="240" w:lineRule="auto"/>
        <w:ind w:right="709"/>
        <w:jc w:val="both"/>
        <w:rPr>
          <w:rFonts w:ascii="Verdana" w:eastAsia="Calibri" w:hAnsi="Verdana" w:cs="Arial"/>
          <w:color w:val="000000"/>
          <w:sz w:val="20"/>
          <w:szCs w:val="20"/>
        </w:rPr>
      </w:pPr>
    </w:p>
    <w:p w14:paraId="1D1C965B" w14:textId="77777777" w:rsidR="006F059E" w:rsidRPr="00A27102" w:rsidRDefault="006F059E" w:rsidP="006F059E">
      <w:pPr>
        <w:spacing w:after="0" w:line="276" w:lineRule="auto"/>
        <w:ind w:firstLine="709"/>
        <w:jc w:val="both"/>
        <w:rPr>
          <w:rFonts w:ascii="Verdana" w:eastAsia="Calibri" w:hAnsi="Verdana" w:cs="Arial"/>
          <w:color w:val="000000"/>
        </w:rPr>
      </w:pPr>
      <w:r w:rsidRPr="00A27102">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6CC0F55A" w14:textId="77777777" w:rsidR="006F059E" w:rsidRPr="00A27102" w:rsidRDefault="006F059E" w:rsidP="006F059E">
      <w:pPr>
        <w:spacing w:before="120" w:after="120" w:line="276" w:lineRule="auto"/>
        <w:ind w:firstLine="709"/>
        <w:jc w:val="both"/>
        <w:rPr>
          <w:rFonts w:ascii="Verdana" w:eastAsia="Calibri" w:hAnsi="Verdana" w:cs="Arial"/>
          <w:color w:val="000000"/>
        </w:rPr>
      </w:pPr>
      <w:r w:rsidRPr="00A27102">
        <w:rPr>
          <w:rFonts w:ascii="Verdana" w:eastAsia="Calibri" w:hAnsi="Verdana" w:cs="Arial"/>
          <w:color w:val="000000"/>
        </w:rPr>
        <w:t>a) Solo puede celebrarse para realizar “actividades relacionadas con la administración o funcionamiento de la entidad”, es decir, que hagan parte de su giro ordinario o quehacer cotidiano.</w:t>
      </w:r>
    </w:p>
    <w:p w14:paraId="419164CC" w14:textId="77777777" w:rsidR="006F059E" w:rsidRPr="00A27102" w:rsidRDefault="006F059E" w:rsidP="006F059E">
      <w:pPr>
        <w:spacing w:before="120" w:after="120" w:line="276" w:lineRule="auto"/>
        <w:ind w:firstLine="709"/>
        <w:jc w:val="both"/>
        <w:rPr>
          <w:rFonts w:ascii="Verdana" w:eastAsia="Calibri" w:hAnsi="Verdana" w:cs="Arial"/>
          <w:color w:val="000000"/>
        </w:rPr>
      </w:pPr>
      <w:r w:rsidRPr="00A27102">
        <w:rPr>
          <w:rFonts w:ascii="Verdana" w:eastAsia="Calibri" w:hAnsi="Verdana" w:cs="Arial"/>
          <w:color w:val="00000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01D4BD8E" w14:textId="77777777" w:rsidR="006F059E" w:rsidRPr="00A27102" w:rsidRDefault="006F059E" w:rsidP="006F059E">
      <w:pPr>
        <w:spacing w:before="120" w:after="120" w:line="276" w:lineRule="auto"/>
        <w:ind w:firstLine="709"/>
        <w:jc w:val="both"/>
        <w:rPr>
          <w:rFonts w:ascii="Verdana" w:eastAsia="Calibri" w:hAnsi="Verdana" w:cs="Arial"/>
          <w:color w:val="000000"/>
        </w:rPr>
      </w:pPr>
      <w:r w:rsidRPr="00A27102">
        <w:rPr>
          <w:rFonts w:ascii="Verdana" w:eastAsia="Calibri" w:hAnsi="Verdana" w:cs="Arial"/>
          <w:color w:val="000000"/>
        </w:rPr>
        <w:t>c) Si bien se celebran para obtener la prestación personal de un servicio, se diferencian del contrato de trabajo</w:t>
      </w:r>
      <w:r w:rsidRPr="00A27102">
        <w:rPr>
          <w:rFonts w:ascii="Verdana" w:eastAsia="Calibri" w:hAnsi="Verdana" w:cs="Arial"/>
          <w:color w:val="000000"/>
          <w:vertAlign w:val="superscript"/>
        </w:rPr>
        <w:footnoteReference w:id="15"/>
      </w:r>
      <w:r w:rsidRPr="00A27102">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A27102">
        <w:rPr>
          <w:rFonts w:ascii="Verdana" w:eastAsia="Calibri" w:hAnsi="Verdana" w:cs="Arial"/>
          <w:i/>
          <w:color w:val="000000"/>
        </w:rPr>
        <w:t>subordinación y dependencia</w:t>
      </w:r>
      <w:r w:rsidRPr="00A27102">
        <w:rPr>
          <w:rFonts w:ascii="Verdana" w:eastAsia="Calibri" w:hAnsi="Verdana" w:cs="Arial"/>
          <w:iCs/>
          <w:color w:val="000000"/>
        </w:rPr>
        <w:t>,</w:t>
      </w:r>
      <w:r w:rsidRPr="00A27102">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A27102">
        <w:rPr>
          <w:rFonts w:ascii="Verdana" w:eastAsia="Calibri" w:hAnsi="Verdana" w:cs="Arial"/>
          <w:i/>
          <w:color w:val="000000"/>
        </w:rPr>
        <w:t>no pueden</w:t>
      </w:r>
      <w:r w:rsidRPr="00A27102">
        <w:rPr>
          <w:rFonts w:ascii="Verdana" w:eastAsia="Calibri" w:hAnsi="Verdana" w:cs="Arial"/>
          <w:color w:val="000000"/>
        </w:rPr>
        <w:t xml:space="preserve"> generar relación laboral, ni dar lugar a que las entidades estatales paguen por su cuenta los aportes al Sistema de Seguridad </w:t>
      </w:r>
      <w:r w:rsidRPr="00A27102">
        <w:rPr>
          <w:rFonts w:ascii="Verdana" w:eastAsia="Calibri" w:hAnsi="Verdana" w:cs="Arial"/>
          <w:color w:val="000000"/>
        </w:rPr>
        <w:lastRenderedPageBreak/>
        <w:t>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A27102">
        <w:rPr>
          <w:rFonts w:ascii="Verdana" w:eastAsia="Calibri" w:hAnsi="Verdana" w:cs="Arial"/>
          <w:color w:val="000000"/>
          <w:vertAlign w:val="superscript"/>
        </w:rPr>
        <w:footnoteReference w:id="16"/>
      </w:r>
      <w:r w:rsidRPr="00A27102">
        <w:rPr>
          <w:rFonts w:ascii="Verdana" w:eastAsia="Calibri" w:hAnsi="Verdana" w:cs="Arial"/>
          <w:color w:val="000000"/>
        </w:rPr>
        <w:t xml:space="preserve">. Pero es posible que, a pesar de este mandato deontológico, en la práctica surja la relación laboral, pues, como se sabe, el contrato de trabajo es un </w:t>
      </w:r>
      <w:r w:rsidRPr="00A27102">
        <w:rPr>
          <w:rFonts w:ascii="Verdana" w:eastAsia="Calibri" w:hAnsi="Verdana" w:cs="Arial"/>
          <w:i/>
          <w:color w:val="000000"/>
        </w:rPr>
        <w:t>contrato realidad</w:t>
      </w:r>
      <w:r w:rsidRPr="00A27102">
        <w:rPr>
          <w:rFonts w:ascii="Verdana" w:eastAsia="Calibri" w:hAnsi="Verdana" w:cs="Arial"/>
          <w:color w:val="000000"/>
        </w:rPr>
        <w:t xml:space="preserve">, ya que para su perfeccionamiento rige el principio de la prevalencia de la realidad sobre las formalidades. </w:t>
      </w:r>
    </w:p>
    <w:p w14:paraId="5978A316" w14:textId="77777777" w:rsidR="006F059E" w:rsidRPr="00A27102" w:rsidRDefault="006F059E" w:rsidP="006F059E">
      <w:pPr>
        <w:spacing w:before="120" w:after="120" w:line="276" w:lineRule="auto"/>
        <w:ind w:firstLine="709"/>
        <w:jc w:val="both"/>
        <w:rPr>
          <w:rFonts w:ascii="Verdana" w:eastAsia="Calibri" w:hAnsi="Verdana" w:cs="Arial"/>
          <w:color w:val="000000"/>
        </w:rPr>
      </w:pPr>
      <w:r w:rsidRPr="00A27102">
        <w:rPr>
          <w:rFonts w:ascii="Verdana" w:eastAsia="Calibri" w:hAnsi="Verdana" w:cs="Arial"/>
          <w:color w:val="000000"/>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A27102">
        <w:rPr>
          <w:rFonts w:ascii="Verdana" w:eastAsia="Calibri" w:hAnsi="Verdana" w:cs="Arial"/>
          <w:color w:val="000000"/>
          <w:vertAlign w:val="superscript"/>
        </w:rPr>
        <w:footnoteReference w:id="17"/>
      </w:r>
      <w:r w:rsidRPr="00A27102">
        <w:rPr>
          <w:rFonts w:ascii="Verdana" w:eastAsia="Calibri" w:hAnsi="Verdana" w:cs="Arial"/>
          <w:color w:val="000000"/>
        </w:rPr>
        <w:t xml:space="preserve">.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w:t>
      </w:r>
      <w:r w:rsidRPr="00A27102">
        <w:rPr>
          <w:rFonts w:ascii="Verdana" w:eastAsia="Calibri" w:hAnsi="Verdana" w:cs="Arial"/>
          <w:color w:val="000000"/>
        </w:rPr>
        <w:lastRenderedPageBreak/>
        <w:t>entidad pública y el tipo de cargo</w:t>
      </w:r>
      <w:r w:rsidRPr="00A27102">
        <w:rPr>
          <w:rFonts w:ascii="Verdana" w:eastAsia="Calibri" w:hAnsi="Verdana" w:cs="Arial"/>
          <w:color w:val="000000"/>
          <w:vertAlign w:val="superscript"/>
        </w:rPr>
        <w:footnoteReference w:id="18"/>
      </w:r>
      <w:r w:rsidRPr="00A27102">
        <w:rPr>
          <w:rFonts w:ascii="Verdana" w:eastAsia="Calibri" w:hAnsi="Verdana" w:cs="Arial"/>
          <w:color w:val="000000"/>
        </w:rPr>
        <w:t xml:space="preserve">. De modo que, bajo la perspectiva indicada, se podría invocar la presunción de la existencia de una relación laboral; siendo contrario a uno de los aspectos más relevantes del contrato de prestación de servicio, la autonomía e independencia en la ejecución </w:t>
      </w:r>
      <w:proofErr w:type="gramStart"/>
      <w:r w:rsidRPr="00A27102">
        <w:rPr>
          <w:rFonts w:ascii="Verdana" w:eastAsia="Calibri" w:hAnsi="Verdana" w:cs="Arial"/>
          <w:color w:val="000000"/>
        </w:rPr>
        <w:t>del mismo</w:t>
      </w:r>
      <w:proofErr w:type="gramEnd"/>
      <w:r w:rsidRPr="00A27102">
        <w:rPr>
          <w:rFonts w:ascii="Verdana" w:eastAsia="Calibri" w:hAnsi="Verdana" w:cs="Arial"/>
          <w:color w:val="000000"/>
        </w:rPr>
        <w:t>.</w:t>
      </w:r>
    </w:p>
    <w:p w14:paraId="04156D2C" w14:textId="77777777" w:rsidR="006F059E" w:rsidRPr="00A27102" w:rsidRDefault="006F059E" w:rsidP="006F059E">
      <w:pPr>
        <w:spacing w:after="0" w:line="276" w:lineRule="auto"/>
        <w:ind w:firstLine="709"/>
        <w:jc w:val="both"/>
        <w:rPr>
          <w:rFonts w:ascii="Verdana" w:eastAsia="Calibri" w:hAnsi="Verdana" w:cs="Arial"/>
          <w:color w:val="000000"/>
        </w:rPr>
      </w:pPr>
      <w:r w:rsidRPr="00A27102">
        <w:rPr>
          <w:rFonts w:ascii="Verdana" w:eastAsia="Calibri" w:hAnsi="Verdana" w:cs="Arial"/>
          <w:color w:val="000000"/>
        </w:rPr>
        <w:t>d) Deben ser temporales. Así lo señaló la Corte Constitucional en la misma providencia a la que se aludió previamente, expresando que:</w:t>
      </w:r>
    </w:p>
    <w:p w14:paraId="4509E3DC" w14:textId="77777777" w:rsidR="006F059E" w:rsidRPr="00A27102" w:rsidRDefault="006F059E" w:rsidP="006F059E">
      <w:pPr>
        <w:spacing w:after="0" w:line="276" w:lineRule="auto"/>
        <w:ind w:firstLine="709"/>
        <w:jc w:val="both"/>
        <w:rPr>
          <w:rFonts w:ascii="Verdana" w:eastAsia="Calibri" w:hAnsi="Verdana" w:cs="Arial"/>
          <w:color w:val="000000"/>
        </w:rPr>
      </w:pPr>
    </w:p>
    <w:p w14:paraId="27775593" w14:textId="77777777" w:rsidR="006F059E" w:rsidRPr="00A27102" w:rsidRDefault="006F059E" w:rsidP="006F059E">
      <w:pPr>
        <w:spacing w:after="0" w:line="240" w:lineRule="auto"/>
        <w:ind w:left="709" w:right="709"/>
        <w:jc w:val="both"/>
        <w:rPr>
          <w:rFonts w:ascii="Verdana" w:eastAsia="Calibri" w:hAnsi="Verdana" w:cs="Arial"/>
          <w:color w:val="000000"/>
          <w:sz w:val="21"/>
          <w:szCs w:val="21"/>
        </w:rPr>
      </w:pPr>
      <w:r w:rsidRPr="00A27102">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A27102">
        <w:rPr>
          <w:rFonts w:ascii="Verdana" w:eastAsia="Calibri" w:hAnsi="Verdana" w:cs="Arial"/>
          <w:color w:val="000000"/>
          <w:sz w:val="21"/>
          <w:szCs w:val="21"/>
          <w:vertAlign w:val="superscript"/>
        </w:rPr>
        <w:footnoteReference w:id="19"/>
      </w:r>
      <w:r w:rsidRPr="00A27102">
        <w:rPr>
          <w:rFonts w:ascii="Verdana" w:eastAsia="Calibri" w:hAnsi="Verdana" w:cs="Arial"/>
          <w:color w:val="000000"/>
          <w:sz w:val="21"/>
          <w:szCs w:val="21"/>
        </w:rPr>
        <w:t>.</w:t>
      </w:r>
    </w:p>
    <w:p w14:paraId="281ABC66" w14:textId="77777777" w:rsidR="006F059E" w:rsidRPr="00A27102" w:rsidRDefault="006F059E" w:rsidP="006F059E">
      <w:pPr>
        <w:spacing w:after="0" w:line="276" w:lineRule="auto"/>
        <w:ind w:firstLine="709"/>
        <w:jc w:val="both"/>
        <w:rPr>
          <w:rFonts w:ascii="Verdana" w:eastAsia="Calibri" w:hAnsi="Verdana" w:cs="Arial"/>
          <w:color w:val="000000"/>
        </w:rPr>
      </w:pPr>
    </w:p>
    <w:p w14:paraId="24BA6049" w14:textId="77777777" w:rsidR="006F059E" w:rsidRPr="00A27102" w:rsidRDefault="006F059E" w:rsidP="006F059E">
      <w:pPr>
        <w:spacing w:after="120" w:line="276" w:lineRule="auto"/>
        <w:ind w:firstLine="709"/>
        <w:jc w:val="both"/>
        <w:rPr>
          <w:rFonts w:ascii="Verdana" w:eastAsia="Calibri" w:hAnsi="Verdana" w:cs="Arial"/>
          <w:color w:val="000000"/>
          <w:sz w:val="21"/>
          <w:szCs w:val="21"/>
        </w:rPr>
      </w:pPr>
      <w:r w:rsidRPr="00A27102">
        <w:rPr>
          <w:rFonts w:ascii="Verdana" w:eastAsia="Calibri" w:hAnsi="Verdana" w:cs="Arial"/>
          <w:color w:val="000000"/>
        </w:rPr>
        <w:t xml:space="preserve">e) Los contratos de prestación de servicios profesionales hacen parte del género denominado </w:t>
      </w:r>
      <w:r w:rsidRPr="00A27102">
        <w:rPr>
          <w:rFonts w:ascii="Verdana" w:eastAsia="Calibri" w:hAnsi="Verdana" w:cs="Arial"/>
          <w:i/>
          <w:color w:val="000000"/>
        </w:rPr>
        <w:t>contratos de prestación de servicios</w:t>
      </w:r>
      <w:r w:rsidRPr="00A27102">
        <w:rPr>
          <w:rFonts w:ascii="Verdana" w:eastAsia="Calibri" w:hAnsi="Verdana" w:cs="Arial"/>
          <w:color w:val="000000"/>
        </w:rPr>
        <w:t>,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A27102">
        <w:rPr>
          <w:rFonts w:ascii="Verdana" w:eastAsia="Calibri" w:hAnsi="Verdana" w:cs="Arial"/>
          <w:color w:val="000000"/>
          <w:vertAlign w:val="superscript"/>
        </w:rPr>
        <w:footnoteReference w:id="20"/>
      </w:r>
      <w:r w:rsidRPr="00A27102">
        <w:rPr>
          <w:rFonts w:ascii="Verdana" w:eastAsia="Calibri" w:hAnsi="Verdana" w:cs="Arial"/>
          <w:color w:val="000000"/>
        </w:rPr>
        <w:t xml:space="preserve">. </w:t>
      </w:r>
    </w:p>
    <w:p w14:paraId="1D0C9216" w14:textId="77777777" w:rsidR="006F059E" w:rsidRPr="00A27102" w:rsidRDefault="006F059E" w:rsidP="006F059E">
      <w:pPr>
        <w:spacing w:after="120" w:line="276" w:lineRule="auto"/>
        <w:ind w:firstLine="709"/>
        <w:jc w:val="both"/>
        <w:rPr>
          <w:rFonts w:ascii="Verdana" w:eastAsia="Calibri" w:hAnsi="Verdana" w:cs="Arial"/>
          <w:color w:val="000000"/>
        </w:rPr>
      </w:pPr>
      <w:r w:rsidRPr="00A27102">
        <w:rPr>
          <w:rFonts w:ascii="Verdana" w:eastAsia="Calibri" w:hAnsi="Verdana" w:cs="Arial"/>
          <w:color w:val="000000"/>
        </w:rPr>
        <w:t xml:space="preserve">f) Su celebración debe realizarse a través de la modalidad de contratación directa, independientemente de la cuantía y del tipo de servicio profesional, siempre que este no ingrese dentro del objeto del contrato de consultoría, pues, como lo indicó el Consejo de Estado en la sentencia de unificación jurisprudencial </w:t>
      </w:r>
      <w:r w:rsidRPr="00A27102">
        <w:rPr>
          <w:rFonts w:ascii="Verdana" w:eastAsia="Calibri" w:hAnsi="Verdana" w:cs="Arial"/>
          <w:color w:val="000000"/>
        </w:rPr>
        <w:lastRenderedPageBreak/>
        <w:t>a la que se hizo referencia, si bien en ambos existe un componente intelectual, profesional e intangible, el objeto del contrato de consultoría es especial y debe celebrarse, por regla general, precedido de un concurso de méritos</w:t>
      </w:r>
      <w:r w:rsidRPr="00A27102">
        <w:rPr>
          <w:rFonts w:ascii="Verdana" w:eastAsia="Calibri" w:hAnsi="Verdana" w:cs="Arial"/>
          <w:color w:val="000000"/>
          <w:vertAlign w:val="superscript"/>
        </w:rPr>
        <w:footnoteReference w:id="21"/>
      </w:r>
      <w:r w:rsidRPr="00A27102">
        <w:rPr>
          <w:rFonts w:ascii="Verdana" w:eastAsia="Calibri" w:hAnsi="Verdana" w:cs="Arial"/>
          <w:color w:val="000000"/>
        </w:rPr>
        <w:t xml:space="preserve">. Pero, tampoco puede suscribirse un contrato de prestación de servicios profesionales para que el contratista ejecute labores que </w:t>
      </w:r>
      <w:proofErr w:type="gramStart"/>
      <w:r w:rsidRPr="00A27102">
        <w:rPr>
          <w:rFonts w:ascii="Verdana" w:eastAsia="Calibri" w:hAnsi="Verdana" w:cs="Arial"/>
          <w:color w:val="000000"/>
        </w:rPr>
        <w:t>se enmarcan dentro de</w:t>
      </w:r>
      <w:proofErr w:type="gramEnd"/>
      <w:r w:rsidRPr="00A27102">
        <w:rPr>
          <w:rFonts w:ascii="Verdana" w:eastAsia="Calibri" w:hAnsi="Verdana" w:cs="Arial"/>
          <w:color w:val="000000"/>
        </w:rPr>
        <w:t xml:space="preserve"> los otros contratos tipificados en el artículo 32 de la Ley 80 de 1993, como, por ejemplo, para que el contratista de prestación de servicios construya una obra.</w:t>
      </w:r>
    </w:p>
    <w:p w14:paraId="064D0700" w14:textId="77777777" w:rsidR="006F059E" w:rsidRPr="00A27102" w:rsidRDefault="006F059E" w:rsidP="006F059E">
      <w:pPr>
        <w:spacing w:after="120" w:line="276" w:lineRule="auto"/>
        <w:ind w:firstLine="709"/>
        <w:jc w:val="both"/>
        <w:rPr>
          <w:rFonts w:ascii="Verdana" w:eastAsia="Calibri" w:hAnsi="Verdana" w:cs="Arial"/>
          <w:color w:val="000000"/>
        </w:rPr>
      </w:pPr>
      <w:r w:rsidRPr="00A27102">
        <w:rPr>
          <w:rFonts w:ascii="Verdana" w:eastAsia="Calibri" w:hAnsi="Verdana" w:cs="Arial"/>
          <w:color w:val="000000"/>
        </w:rPr>
        <w:t>g) Para su celebración no se requiere la expedición del acto administrativo de justificación de la contratación directa</w:t>
      </w:r>
      <w:r w:rsidRPr="00A27102">
        <w:rPr>
          <w:rFonts w:ascii="Verdana" w:eastAsia="Calibri" w:hAnsi="Verdana" w:cs="Arial"/>
          <w:color w:val="000000"/>
          <w:vertAlign w:val="superscript"/>
        </w:rPr>
        <w:footnoteReference w:id="22"/>
      </w:r>
      <w:r w:rsidRPr="00A27102">
        <w:rPr>
          <w:rFonts w:ascii="Verdana" w:eastAsia="Calibri" w:hAnsi="Verdana" w:cs="Arial"/>
          <w:color w:val="000000"/>
        </w:rPr>
        <w:t xml:space="preserve">. </w:t>
      </w:r>
    </w:p>
    <w:p w14:paraId="54123688" w14:textId="77777777" w:rsidR="006F059E" w:rsidRPr="00A27102" w:rsidRDefault="006F059E" w:rsidP="006F059E">
      <w:pPr>
        <w:spacing w:after="120" w:line="276" w:lineRule="auto"/>
        <w:ind w:firstLine="709"/>
        <w:jc w:val="both"/>
        <w:rPr>
          <w:rFonts w:ascii="Verdana" w:eastAsia="Calibri" w:hAnsi="Verdana" w:cs="Arial"/>
          <w:color w:val="000000"/>
        </w:rPr>
      </w:pPr>
      <w:r w:rsidRPr="00A27102">
        <w:rPr>
          <w:rFonts w:ascii="Verdana" w:eastAsia="Calibri" w:hAnsi="Verdana" w:cs="Arial"/>
          <w:color w:val="000000"/>
        </w:rPr>
        <w:t>h) Admiten el pacto de cláusulas excepcionales. Es decir, en los contratos de prestación de servicios profesionales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A27102">
        <w:rPr>
          <w:rFonts w:ascii="Verdana" w:eastAsia="Calibri" w:hAnsi="Verdana" w:cs="Arial"/>
          <w:color w:val="000000"/>
          <w:vertAlign w:val="superscript"/>
        </w:rPr>
        <w:footnoteReference w:id="23"/>
      </w:r>
      <w:r w:rsidRPr="00A27102">
        <w:rPr>
          <w:rFonts w:ascii="Verdana" w:eastAsia="Calibri" w:hAnsi="Verdana" w:cs="Arial"/>
          <w:color w:val="000000"/>
        </w:rPr>
        <w:t>.</w:t>
      </w:r>
    </w:p>
    <w:p w14:paraId="59C2EDB3" w14:textId="77777777" w:rsidR="006F059E" w:rsidRPr="00A27102" w:rsidRDefault="006F059E" w:rsidP="006F059E">
      <w:pPr>
        <w:spacing w:before="120" w:after="120" w:line="276" w:lineRule="auto"/>
        <w:ind w:firstLine="709"/>
        <w:jc w:val="both"/>
        <w:rPr>
          <w:rFonts w:ascii="Verdana" w:eastAsia="Calibri" w:hAnsi="Verdana" w:cs="Arial"/>
          <w:color w:val="000000"/>
        </w:rPr>
      </w:pPr>
      <w:r w:rsidRPr="00A27102">
        <w:rPr>
          <w:rFonts w:ascii="Verdana" w:eastAsia="Calibri" w:hAnsi="Verdana" w:cs="Arial"/>
          <w:color w:val="000000"/>
        </w:rPr>
        <w:lastRenderedPageBreak/>
        <w:t>i) En ellos no es obligatoria la liquidación, pues así lo estableció el artículo 217 del Decreto 019 de 2012, que modificó el artículo 60 de la Ley 80 de 1993</w:t>
      </w:r>
      <w:r w:rsidRPr="00A27102">
        <w:rPr>
          <w:rFonts w:ascii="Verdana" w:eastAsia="Calibri" w:hAnsi="Verdana" w:cs="Arial"/>
          <w:color w:val="000000"/>
          <w:vertAlign w:val="superscript"/>
        </w:rPr>
        <w:footnoteReference w:id="24"/>
      </w:r>
      <w:r w:rsidRPr="00A27102">
        <w:rPr>
          <w:rFonts w:ascii="Verdana" w:eastAsia="Calibri" w:hAnsi="Verdana" w:cs="Arial"/>
          <w:color w:val="000000"/>
        </w:rPr>
        <w:t xml:space="preserve">, </w:t>
      </w:r>
      <w:r w:rsidRPr="00A27102">
        <w:rPr>
          <w:rFonts w:ascii="Verdana" w:eastAsia="Calibri" w:hAnsi="Verdana" w:cs="Arial"/>
          <w:color w:val="000000"/>
          <w:lang w:val="es-ES" w:eastAsia="es-ES"/>
        </w:rPr>
        <w:t>refiriéndose expresamente a los contratos de prestación de servicios profesionales y de apoyo a la gestión.</w:t>
      </w:r>
    </w:p>
    <w:p w14:paraId="2625D441" w14:textId="77777777" w:rsidR="006F059E" w:rsidRPr="00A27102" w:rsidRDefault="006F059E" w:rsidP="006F059E">
      <w:pPr>
        <w:spacing w:after="120" w:line="276" w:lineRule="auto"/>
        <w:ind w:firstLine="709"/>
        <w:jc w:val="both"/>
        <w:rPr>
          <w:rFonts w:ascii="Verdana" w:eastAsia="Calibri" w:hAnsi="Verdana" w:cs="Arial"/>
          <w:color w:val="000000"/>
        </w:rPr>
      </w:pPr>
      <w:r w:rsidRPr="00A27102">
        <w:rPr>
          <w:rFonts w:ascii="Verdana" w:eastAsia="Calibri" w:hAnsi="Verdana" w:cs="Arial"/>
          <w:color w:val="000000"/>
        </w:rPr>
        <w:t>j) Para su celebración no se requiere inscripción en el Registro Único de Proponentes (RUP), según lo prevé el artículo 6 de la Ley 1150 de 2007</w:t>
      </w:r>
      <w:r w:rsidRPr="00A27102">
        <w:rPr>
          <w:rFonts w:ascii="Verdana" w:eastAsia="Calibri" w:hAnsi="Verdana" w:cs="Arial"/>
          <w:color w:val="000000"/>
          <w:vertAlign w:val="superscript"/>
        </w:rPr>
        <w:footnoteReference w:id="25"/>
      </w:r>
      <w:r w:rsidRPr="00A27102">
        <w:rPr>
          <w:rFonts w:ascii="Verdana" w:eastAsia="Calibri" w:hAnsi="Verdana" w:cs="Arial"/>
          <w:color w:val="000000"/>
        </w:rPr>
        <w:t>.</w:t>
      </w:r>
    </w:p>
    <w:p w14:paraId="144C8E7E" w14:textId="77777777" w:rsidR="006F059E" w:rsidRPr="00A27102" w:rsidRDefault="006F059E" w:rsidP="006F059E">
      <w:pPr>
        <w:spacing w:after="120" w:line="276" w:lineRule="auto"/>
        <w:ind w:firstLine="709"/>
        <w:jc w:val="both"/>
        <w:rPr>
          <w:rFonts w:ascii="Verdana" w:eastAsia="Calibri" w:hAnsi="Verdana" w:cs="Arial"/>
          <w:color w:val="000000"/>
        </w:rPr>
      </w:pPr>
      <w:r w:rsidRPr="00A27102">
        <w:rPr>
          <w:rFonts w:ascii="Verdana" w:eastAsia="Calibri" w:hAnsi="Verdana" w:cs="Arial"/>
          <w:color w:val="000000"/>
        </w:rPr>
        <w:t>k) En ellos no son necesarias las garantías</w:t>
      </w:r>
      <w:r w:rsidRPr="00A27102">
        <w:rPr>
          <w:rFonts w:ascii="Verdana" w:eastAsia="Calibri" w:hAnsi="Verdana" w:cs="Arial"/>
          <w:color w:val="000000"/>
          <w:vertAlign w:val="superscript"/>
        </w:rPr>
        <w:footnoteReference w:id="26"/>
      </w:r>
      <w:r w:rsidRPr="00A27102">
        <w:rPr>
          <w:rFonts w:ascii="Verdana" w:eastAsia="Calibri" w:hAnsi="Verdana" w:cs="Arial"/>
          <w:color w:val="000000"/>
        </w:rPr>
        <w:t>.</w:t>
      </w:r>
    </w:p>
    <w:p w14:paraId="5803392F" w14:textId="77777777" w:rsidR="006F059E" w:rsidRPr="00A27102" w:rsidRDefault="006F059E" w:rsidP="006F059E">
      <w:pPr>
        <w:spacing w:after="120" w:line="276" w:lineRule="auto"/>
        <w:ind w:firstLine="709"/>
        <w:jc w:val="both"/>
        <w:rPr>
          <w:rFonts w:ascii="Verdana" w:hAnsi="Verdana" w:cs="Arial"/>
          <w:color w:val="000000" w:themeColor="text1"/>
          <w:lang w:val="es-ES"/>
        </w:rPr>
      </w:pPr>
      <w:r w:rsidRPr="00A27102">
        <w:rPr>
          <w:rFonts w:ascii="Verdana" w:hAnsi="Verdana" w:cs="Arial"/>
          <w:color w:val="000000" w:themeColor="text1"/>
          <w:lang w:val="es-ES"/>
        </w:rPr>
        <w:t xml:space="preserve">Teniendo en cuenta las anteriores características del contrato de prestación de servicios profesionales, es claro que quienes celebren contratos de esta naturaleza no son servidores públicos. </w:t>
      </w:r>
    </w:p>
    <w:p w14:paraId="0EB5AFDF" w14:textId="77777777" w:rsidR="006F059E" w:rsidRPr="00A27102" w:rsidRDefault="006F059E" w:rsidP="006F059E">
      <w:pPr>
        <w:spacing w:after="120" w:line="276" w:lineRule="auto"/>
        <w:ind w:firstLine="709"/>
        <w:jc w:val="both"/>
        <w:rPr>
          <w:rFonts w:ascii="Verdana" w:hAnsi="Verdana"/>
        </w:rPr>
      </w:pPr>
      <w:r w:rsidRPr="00A27102">
        <w:rPr>
          <w:rFonts w:ascii="Verdana" w:hAnsi="Verdana" w:cs="Arial"/>
          <w:color w:val="000000" w:themeColor="text1"/>
          <w:lang w:val="es-ES"/>
        </w:rPr>
        <w:t xml:space="preserve">Así, </w:t>
      </w:r>
      <w:r w:rsidRPr="00A27102">
        <w:rPr>
          <w:rFonts w:ascii="Verdana" w:hAnsi="Verdana" w:cs="Arial"/>
          <w:bCs/>
          <w:color w:val="000000" w:themeColor="text1"/>
          <w:lang w:val="es-ES_tradnl"/>
        </w:rPr>
        <w:t xml:space="preserve">en atención al objeto de la consulta que origina el presente concepto, </w:t>
      </w:r>
      <w:r w:rsidRPr="00A27102">
        <w:rPr>
          <w:rFonts w:ascii="Verdana" w:hAnsi="Verdana" w:cs="Arial"/>
          <w:color w:val="000000" w:themeColor="text1"/>
          <w:lang w:val="es-ES"/>
        </w:rPr>
        <w:t xml:space="preserve">analizado el régimen de inhabilidades e incompatibilidades previsto para la contratación estatal, </w:t>
      </w:r>
      <w:r w:rsidRPr="00A27102">
        <w:rPr>
          <w:rFonts w:ascii="Verdana" w:hAnsi="Verdana" w:cs="Arial"/>
          <w:color w:val="000000" w:themeColor="text1"/>
          <w:lang w:val="es-ES_tradnl"/>
        </w:rPr>
        <w:t xml:space="preserve">se concluye que no existe una inhabilidad o incompatibilidad cuando </w:t>
      </w:r>
      <w:r w:rsidRPr="00A27102">
        <w:rPr>
          <w:rFonts w:ascii="Verdana" w:eastAsia="Calibri" w:hAnsi="Verdana" w:cs="Arial"/>
          <w:color w:val="000000" w:themeColor="text1"/>
          <w:szCs w:val="24"/>
          <w:lang w:eastAsia="es-ES_tradnl"/>
        </w:rPr>
        <w:t xml:space="preserve">un </w:t>
      </w:r>
      <w:r w:rsidRPr="00A27102">
        <w:rPr>
          <w:rFonts w:ascii="Verdana" w:hAnsi="Verdana"/>
        </w:rPr>
        <w:t xml:space="preserve">contratista de prestación de servicios que realiza determinados productos para la entidad estatal como insumo para una obra pública, posteriormente es contratado por el contratista adjudicatario de dicha </w:t>
      </w:r>
      <w:r w:rsidRPr="00A27102">
        <w:rPr>
          <w:rFonts w:ascii="Verdana" w:hAnsi="Verdana"/>
        </w:rPr>
        <w:lastRenderedPageBreak/>
        <w:t>obra</w:t>
      </w:r>
      <w:r w:rsidRPr="00A27102">
        <w:rPr>
          <w:rFonts w:ascii="Verdana" w:eastAsia="Arial MT" w:hAnsi="Verdana" w:cs="Arial"/>
          <w:lang w:eastAsia="es-ES" w:bidi="es-ES"/>
        </w:rPr>
        <w:t>. Esta situación no se subsume en ninguno de los supuestos de hecho, ni se advierte que la hipótesis materia de consulta configure alguna de las causales previstas establecidos en el artículo 8 de la Ley 80 de 1993</w:t>
      </w:r>
      <w:r w:rsidRPr="00A27102">
        <w:rPr>
          <w:rFonts w:ascii="Verdana" w:hAnsi="Verdana" w:cs="Arial"/>
          <w:color w:val="000000" w:themeColor="text1"/>
          <w:lang w:val="es-ES_tradnl"/>
        </w:rPr>
        <w:t>.</w:t>
      </w:r>
    </w:p>
    <w:p w14:paraId="6B28B1C9" w14:textId="77777777" w:rsidR="006F059E" w:rsidRPr="00A27102" w:rsidRDefault="006F059E" w:rsidP="006F059E">
      <w:pPr>
        <w:spacing w:after="120" w:line="276" w:lineRule="auto"/>
        <w:ind w:firstLine="709"/>
        <w:jc w:val="both"/>
        <w:rPr>
          <w:rFonts w:ascii="Verdana" w:hAnsi="Verdana" w:cs="Arial"/>
          <w:color w:val="000000" w:themeColor="text1"/>
          <w:lang w:val="es-ES"/>
        </w:rPr>
      </w:pPr>
      <w:r w:rsidRPr="00A27102">
        <w:rPr>
          <w:rFonts w:ascii="Verdana" w:hAnsi="Verdana" w:cs="Arial"/>
          <w:color w:val="000000" w:themeColor="text1"/>
          <w:lang w:val="es-ES"/>
        </w:rPr>
        <w:t xml:space="preserve">En ese sentido, </w:t>
      </w:r>
      <w:bookmarkStart w:id="4" w:name="_Hlk192056119"/>
      <w:r w:rsidRPr="00A27102">
        <w:rPr>
          <w:rFonts w:ascii="Verdana" w:hAnsi="Verdana" w:cs="Arial"/>
          <w:color w:val="000000" w:themeColor="text1"/>
          <w:lang w:val="es-ES"/>
        </w:rPr>
        <w:t xml:space="preserve">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w:t>
      </w:r>
      <w:r w:rsidRPr="00A27102">
        <w:rPr>
          <w:rFonts w:ascii="Verdana" w:eastAsia="Calibri" w:hAnsi="Verdana" w:cs="Arial"/>
        </w:rPr>
        <w:t>Tampoco se considera plausible en este supuesto la configuración de la inhabilidad del artículo 5 de la Ley 1474 de 2011, en la medida en que las tipologías contractuales aludidas en el supuesto de hecho de dicha inhabilidad –que limita la contratación de interventores–, no son compatibles con la de prestación de servicios.  Debido a esto y dado que estas causales son de carácter taxativo y restrictivo, en principio, no podría afirmarse que la sola circunstancia de haber elaborado insumos en el marco de un contrato de prestación de servicios configure, por sí misma, una inhabilidad o incompatibilidad para ser contratado posteriormente por el contratista que ejecuta el proyecto.</w:t>
      </w:r>
    </w:p>
    <w:p w14:paraId="13395991" w14:textId="77777777" w:rsidR="006F059E" w:rsidRPr="00A27102" w:rsidRDefault="006F059E" w:rsidP="006F059E">
      <w:pPr>
        <w:spacing w:after="120" w:line="276" w:lineRule="auto"/>
        <w:ind w:firstLine="709"/>
        <w:jc w:val="both"/>
        <w:rPr>
          <w:rFonts w:ascii="Verdana" w:eastAsia="Calibri" w:hAnsi="Verdana" w:cs="Arial"/>
          <w:bCs/>
          <w:lang w:val="es-ES_tradnl"/>
        </w:rPr>
      </w:pPr>
      <w:r w:rsidRPr="00A27102">
        <w:rPr>
          <w:rFonts w:ascii="Verdana" w:eastAsia="Calibri" w:hAnsi="Verdana" w:cs="Arial"/>
          <w:bCs/>
          <w:lang w:val="es-ES_tradnl"/>
        </w:rPr>
        <w:t>Esta circunstancia solo está prohibida en los contratos interadministrativos, ya que el artículo 2, numeral 4º, literal c), en el cuarto inciso, establece: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 Pero esta prohibición no puede extenderse a los otros casos de celebración de contratos de obra, porque, como se anotó, las causales de inhabilidad e incompatibilidad no admiten una interpretación amplia o teleológica.</w:t>
      </w:r>
    </w:p>
    <w:p w14:paraId="1A2DD8BC" w14:textId="77777777" w:rsidR="006F059E" w:rsidRPr="00A27102" w:rsidRDefault="006F059E" w:rsidP="006F059E">
      <w:pPr>
        <w:spacing w:line="276" w:lineRule="auto"/>
        <w:ind w:firstLine="708"/>
        <w:jc w:val="both"/>
        <w:rPr>
          <w:rFonts w:ascii="Verdana" w:eastAsia="Calibri" w:hAnsi="Verdana" w:cs="Arial"/>
          <w:color w:val="000000" w:themeColor="text1"/>
          <w:szCs w:val="24"/>
          <w:lang w:eastAsia="es-ES_tradnl"/>
        </w:rPr>
      </w:pPr>
      <w:r w:rsidRPr="00A27102">
        <w:rPr>
          <w:rFonts w:ascii="Verdana" w:hAnsi="Verdana" w:cs="Arial"/>
          <w:color w:val="000000" w:themeColor="text1"/>
          <w:lang w:val="es-ES"/>
        </w:rPr>
        <w:t xml:space="preserve">Sin embargo, </w:t>
      </w:r>
      <w:r w:rsidRPr="00A27102">
        <w:rPr>
          <w:rFonts w:ascii="Verdana" w:eastAsia="Calibri" w:hAnsi="Verdana" w:cs="Arial"/>
          <w:color w:val="000000" w:themeColor="text1"/>
          <w:szCs w:val="24"/>
          <w:lang w:eastAsia="es-ES_tradnl"/>
        </w:rPr>
        <w:t>es pertinente tener en cuenta que el ordenamiento jurídico contempla restricciones sobre aspectos particulares que es importante considerar al momento de analizar una situación como la señalada. Así</w:t>
      </w:r>
      <w:bookmarkEnd w:id="4"/>
      <w:r w:rsidRPr="00A27102">
        <w:rPr>
          <w:rFonts w:ascii="Verdana" w:eastAsia="Calibri" w:hAnsi="Verdana" w:cs="Arial"/>
          <w:color w:val="000000" w:themeColor="text1"/>
          <w:szCs w:val="24"/>
          <w:lang w:eastAsia="es-ES_tradnl"/>
        </w:rPr>
        <w:t>,</w:t>
      </w:r>
      <w:r w:rsidRPr="00A27102">
        <w:rPr>
          <w:rFonts w:ascii="Verdana" w:hAnsi="Verdana" w:cs="Arial"/>
          <w:color w:val="000000" w:themeColor="text1"/>
          <w:lang w:val="es-ES"/>
        </w:rPr>
        <w:t xml:space="preserve"> la Ley 842 de 2003 – “Por la cual se modifica la reglamentación del ejercicio de la ingeniería, de sus profesiones afines y de sus profesiones auxiliares, se adopta el Código de Ética Profesional y se dictan otras disposiciones”– establece un conjunto de prohibiciones para los profesionales de la ingeniería, algunas de las cuales se aplican en los procedimientos de selección de los contratistas del </w:t>
      </w:r>
      <w:r w:rsidRPr="00A27102">
        <w:rPr>
          <w:rFonts w:ascii="Verdana" w:hAnsi="Verdana" w:cs="Arial"/>
          <w:color w:val="000000" w:themeColor="text1"/>
          <w:lang w:val="es-ES"/>
        </w:rPr>
        <w:lastRenderedPageBreak/>
        <w:t xml:space="preserve">Estado, se trata de prohibiciones dirigidas a los </w:t>
      </w:r>
      <w:r w:rsidRPr="00A27102">
        <w:rPr>
          <w:rFonts w:ascii="Verdana" w:hAnsi="Verdana" w:cs="Arial"/>
          <w:i/>
          <w:color w:val="000000" w:themeColor="text1"/>
          <w:lang w:val="es-ES"/>
        </w:rPr>
        <w:t>profesionales</w:t>
      </w:r>
      <w:r w:rsidRPr="00A27102">
        <w:rPr>
          <w:rFonts w:ascii="Verdana" w:hAnsi="Verdana" w:cs="Arial"/>
          <w:color w:val="000000" w:themeColor="text1"/>
          <w:lang w:val="es-ES"/>
        </w:rPr>
        <w:t xml:space="preserve">, no necesariamente a los </w:t>
      </w:r>
      <w:r w:rsidRPr="00A27102">
        <w:rPr>
          <w:rFonts w:ascii="Verdana" w:hAnsi="Verdana" w:cs="Arial"/>
          <w:i/>
          <w:color w:val="000000" w:themeColor="text1"/>
          <w:lang w:val="es-ES"/>
        </w:rPr>
        <w:t>proponentes ni a los contratistas</w:t>
      </w:r>
      <w:r w:rsidRPr="00A27102">
        <w:rPr>
          <w:rFonts w:ascii="Verdana" w:hAnsi="Verdana" w:cs="Arial"/>
          <w:color w:val="000000" w:themeColor="text1"/>
          <w:lang w:val="es-ES"/>
        </w:rPr>
        <w:t xml:space="preserve">. Así se infiere del artículo 30 de la mencionada Ley, que prevé lo siguiente: “Los ingenieros, sus profesionales afines y sus profesionales auxiliares, para todos los efectos del Código de Ética Profesional y su Régimen Disciplinario contemplados en esta ley, se denominarán "Los profesionales”. </w:t>
      </w:r>
    </w:p>
    <w:p w14:paraId="6BE05B97" w14:textId="77777777" w:rsidR="006F059E" w:rsidRPr="00A27102" w:rsidRDefault="006F059E" w:rsidP="006F059E">
      <w:pPr>
        <w:spacing w:after="120" w:line="276" w:lineRule="auto"/>
        <w:ind w:firstLine="709"/>
        <w:jc w:val="both"/>
        <w:rPr>
          <w:rFonts w:ascii="Verdana" w:hAnsi="Verdana" w:cs="Arial"/>
          <w:color w:val="000000" w:themeColor="text1"/>
          <w:lang w:val="es-ES"/>
        </w:rPr>
      </w:pPr>
      <w:r w:rsidRPr="00A27102">
        <w:rPr>
          <w:rFonts w:ascii="Verdana" w:hAnsi="Verdana" w:cs="Arial"/>
          <w:color w:val="000000" w:themeColor="text1"/>
          <w:lang w:val="es-ES"/>
        </w:rPr>
        <w:t xml:space="preserve">En tal sentido, conviene referirse, de manera especial, a la prohibición prevista en el literal a) del artículo 44 de dicha Ley, según la cual: “Los </w:t>
      </w:r>
      <w:r w:rsidRPr="00A27102">
        <w:rPr>
          <w:rFonts w:ascii="Verdana" w:hAnsi="Verdana" w:cs="Arial"/>
          <w:i/>
          <w:color w:val="000000" w:themeColor="text1"/>
          <w:lang w:val="es-ES"/>
        </w:rPr>
        <w:t>profesionales</w:t>
      </w:r>
      <w:r w:rsidRPr="00A27102">
        <w:rPr>
          <w:rFonts w:ascii="Verdana" w:hAnsi="Verdana" w:cs="Arial"/>
          <w:color w:val="000000" w:themeColor="text1"/>
          <w:lang w:val="es-ES"/>
        </w:rPr>
        <w:t xml:space="preserve"> que hayan actuado como asesores de la parte contratante en un concurso o licitación deberán abstenerse de intervenir directa o indirectamente en las tareas profesionales requeridas para el desarrollo del trabajo que dio lugar al mismo, salvo que su intervención estuviese establecida en las bases del concurso o licitación” (cursiva fuera de texto). Como se observa, esta norma prohíbe que el profesional que ha actuado como </w:t>
      </w:r>
      <w:r w:rsidRPr="00A27102">
        <w:rPr>
          <w:rFonts w:ascii="Verdana" w:hAnsi="Verdana" w:cs="Arial"/>
          <w:i/>
          <w:color w:val="000000" w:themeColor="text1"/>
          <w:lang w:val="es-ES"/>
        </w:rPr>
        <w:t>asesor</w:t>
      </w:r>
      <w:r w:rsidRPr="00A27102">
        <w:rPr>
          <w:rFonts w:ascii="Verdana" w:hAnsi="Verdana" w:cs="Arial"/>
          <w:color w:val="000000" w:themeColor="text1"/>
          <w:lang w:val="es-ES"/>
        </w:rPr>
        <w:t xml:space="preserve"> de una Entidad, en el marco de un proceso de contratación, quien está interesado en contratar un servicio participe en las actividades que serán contratadas, salvo que así lo permitan las condiciones de la convocatoria. </w:t>
      </w:r>
    </w:p>
    <w:p w14:paraId="1926B202" w14:textId="77777777" w:rsidR="006F059E" w:rsidRPr="00A27102" w:rsidRDefault="006F059E" w:rsidP="006F059E">
      <w:pPr>
        <w:spacing w:after="120" w:line="276" w:lineRule="auto"/>
        <w:ind w:firstLine="709"/>
        <w:jc w:val="both"/>
        <w:rPr>
          <w:rFonts w:ascii="Verdana" w:hAnsi="Verdana" w:cs="Arial"/>
          <w:bCs/>
          <w:color w:val="000000" w:themeColor="text1"/>
          <w:lang w:val="es-ES_tradnl"/>
        </w:rPr>
      </w:pPr>
      <w:r w:rsidRPr="00A27102">
        <w:rPr>
          <w:rFonts w:ascii="Verdana" w:hAnsi="Verdana" w:cs="Arial"/>
          <w:bCs/>
          <w:color w:val="000000" w:themeColor="text1"/>
          <w:lang w:val="es-ES_tradnl"/>
        </w:rPr>
        <w:t xml:space="preserve">La palabra </w:t>
      </w:r>
      <w:r w:rsidRPr="00A27102">
        <w:rPr>
          <w:rFonts w:ascii="Verdana" w:hAnsi="Verdana" w:cs="Arial"/>
          <w:bCs/>
          <w:i/>
          <w:iCs/>
          <w:color w:val="000000" w:themeColor="text1"/>
          <w:lang w:val="es-ES_tradnl"/>
        </w:rPr>
        <w:t>asesor</w:t>
      </w:r>
      <w:r w:rsidRPr="00A27102">
        <w:rPr>
          <w:rFonts w:ascii="Verdana" w:hAnsi="Verdana" w:cs="Arial"/>
          <w:bCs/>
          <w:color w:val="000000" w:themeColor="text1"/>
          <w:lang w:val="es-ES_tradnl"/>
        </w:rPr>
        <w:t xml:space="preserve"> en el artículo 44 de la Ley 842 de 2003 debe interpretarse restrictivamente y en armonía con el artículo 32, numeral 2º de la Ley 80 de 1993, que define el objeto de los contratos de consultoría</w:t>
      </w:r>
      <w:r w:rsidRPr="00A27102">
        <w:rPr>
          <w:rFonts w:ascii="Verdana" w:hAnsi="Verdana" w:cs="Arial"/>
          <w:bCs/>
          <w:color w:val="000000" w:themeColor="text1"/>
          <w:vertAlign w:val="superscript"/>
          <w:lang w:val="es-ES_tradnl"/>
        </w:rPr>
        <w:footnoteReference w:id="27"/>
      </w:r>
      <w:r w:rsidRPr="00A27102">
        <w:rPr>
          <w:rFonts w:ascii="Verdana" w:hAnsi="Verdana" w:cs="Arial"/>
          <w:bCs/>
          <w:color w:val="000000" w:themeColor="text1"/>
          <w:lang w:val="es-ES_tradnl"/>
        </w:rPr>
        <w:t xml:space="preserve">, disponiendo que la </w:t>
      </w:r>
      <w:r w:rsidRPr="00A27102">
        <w:rPr>
          <w:rFonts w:ascii="Verdana" w:hAnsi="Verdana" w:cs="Arial"/>
          <w:bCs/>
          <w:i/>
          <w:iCs/>
          <w:color w:val="000000" w:themeColor="text1"/>
          <w:lang w:val="es-ES_tradnl"/>
        </w:rPr>
        <w:t>asesoría</w:t>
      </w:r>
      <w:r w:rsidRPr="00A27102">
        <w:rPr>
          <w:rFonts w:ascii="Verdana" w:hAnsi="Verdana" w:cs="Arial"/>
          <w:bCs/>
          <w:color w:val="000000" w:themeColor="text1"/>
          <w:lang w:val="es-ES_tradnl"/>
        </w:rPr>
        <w:t xml:space="preserve"> es una actividad diferente a la </w:t>
      </w:r>
      <w:r w:rsidRPr="00A27102">
        <w:rPr>
          <w:rFonts w:ascii="Verdana" w:hAnsi="Verdana" w:cs="Arial"/>
          <w:bCs/>
          <w:i/>
          <w:iCs/>
          <w:color w:val="000000" w:themeColor="text1"/>
          <w:lang w:val="es-ES_tradnl"/>
        </w:rPr>
        <w:t>elaboración de los estudios y diseños</w:t>
      </w:r>
      <w:r w:rsidRPr="00A27102">
        <w:rPr>
          <w:rFonts w:ascii="Verdana" w:hAnsi="Verdana" w:cs="Arial"/>
          <w:bCs/>
          <w:color w:val="000000" w:themeColor="text1"/>
          <w:lang w:val="es-ES_tradnl"/>
        </w:rPr>
        <w:t xml:space="preserve">. En consecuencia, no todo el que celebra un contrato de consultoría con una entidad estatal lo hace para asesorarla, ya que, normativamente, el objeto de esta tipología contractual incluye actividades diversas, como los estudios y diseños, los estudios para la ejecución de proyectos de inversión, los estudios de diagnóstico, la interventoría, la gerencia de obra o de proyectos y </w:t>
      </w:r>
      <w:r w:rsidRPr="00A27102">
        <w:rPr>
          <w:rFonts w:ascii="Verdana" w:hAnsi="Verdana" w:cs="Arial"/>
          <w:bCs/>
          <w:i/>
          <w:iCs/>
          <w:color w:val="000000" w:themeColor="text1"/>
          <w:lang w:val="es-ES_tradnl"/>
        </w:rPr>
        <w:t>la asesoría</w:t>
      </w:r>
      <w:r w:rsidRPr="00A27102">
        <w:rPr>
          <w:rFonts w:ascii="Verdana" w:hAnsi="Verdana" w:cs="Arial"/>
          <w:bCs/>
          <w:color w:val="000000" w:themeColor="text1"/>
          <w:lang w:val="es-ES_tradnl"/>
        </w:rPr>
        <w:t>, entre otras.</w:t>
      </w:r>
    </w:p>
    <w:p w14:paraId="7C87BDD5" w14:textId="77777777" w:rsidR="006F059E" w:rsidRPr="00A27102" w:rsidRDefault="006F059E" w:rsidP="006F059E">
      <w:pPr>
        <w:spacing w:after="120" w:line="276" w:lineRule="auto"/>
        <w:ind w:firstLine="709"/>
        <w:jc w:val="both"/>
        <w:rPr>
          <w:rFonts w:ascii="Verdana" w:eastAsia="Calibri" w:hAnsi="Verdana" w:cs="Arial"/>
          <w:lang w:val="es-ES"/>
        </w:rPr>
      </w:pPr>
      <w:r w:rsidRPr="00A27102">
        <w:rPr>
          <w:rFonts w:ascii="Verdana" w:hAnsi="Verdana" w:cs="Arial"/>
          <w:color w:val="000000" w:themeColor="text1"/>
          <w:lang w:val="es-ES"/>
        </w:rPr>
        <w:lastRenderedPageBreak/>
        <w:t>Partiendo de esta precisión conceptual y guiados por el criterio de interpretación restrictiva que gobierna tanto las inhabilidades e incompatibilidades como, en general, las prohibiciones, la restricción que deriva del artículo 44 de la Ley 842 de 2003, lo que prohíbe es que los profesionales que asesoraron a la entidad contratante en el correspondiente procedimiento de selección participen luego en la ejecución de las labores que motivaron la realización de la convocatoria. Por ejemplo, que quien actuó como asesor en un concurso de méritos de arquitectura, trabaje posteriormente en la elaboración del diseño arquitectónico</w:t>
      </w:r>
      <w:r w:rsidRPr="00A27102">
        <w:rPr>
          <w:rFonts w:ascii="Verdana" w:hAnsi="Verdana" w:cs="Arial"/>
          <w:bCs/>
          <w:color w:val="000000" w:themeColor="text1"/>
          <w:vertAlign w:val="superscript"/>
          <w:lang w:val="es-ES_tradnl"/>
        </w:rPr>
        <w:footnoteReference w:id="28"/>
      </w:r>
      <w:r w:rsidRPr="00A27102">
        <w:rPr>
          <w:rFonts w:ascii="Verdana" w:hAnsi="Verdana" w:cs="Arial"/>
          <w:color w:val="000000" w:themeColor="text1"/>
          <w:lang w:val="es-ES"/>
        </w:rPr>
        <w:t>.</w:t>
      </w:r>
      <w:r w:rsidRPr="00A27102">
        <w:rPr>
          <w:rFonts w:ascii="Verdana" w:hAnsi="Verdana" w:cs="Arial"/>
          <w:color w:val="000000" w:themeColor="text1"/>
        </w:rPr>
        <w:t xml:space="preserve"> </w:t>
      </w:r>
      <w:r w:rsidRPr="00A27102">
        <w:rPr>
          <w:rFonts w:ascii="Verdana" w:eastAsia="Calibri" w:hAnsi="Verdana" w:cs="Arial"/>
          <w:lang w:val="es-ES"/>
        </w:rPr>
        <w:t xml:space="preserve">Sin embargo, la norma no proscribe que quien hizo los estudios y diseños se presente al proceso de selección cuyo objeto es contratar la obra o construcción, pues en este caso, por el solo hecho de haber elaborado los estudios y diseños, no puede predicarse que el profesional actuó como </w:t>
      </w:r>
      <w:r w:rsidRPr="00A27102">
        <w:rPr>
          <w:rFonts w:ascii="Verdana" w:eastAsia="Calibri" w:hAnsi="Verdana" w:cs="Arial"/>
          <w:i/>
          <w:lang w:val="es-ES"/>
        </w:rPr>
        <w:t xml:space="preserve">asesor </w:t>
      </w:r>
      <w:r w:rsidRPr="00A27102">
        <w:rPr>
          <w:rFonts w:ascii="Verdana" w:eastAsia="Calibri" w:hAnsi="Verdana" w:cs="Arial"/>
          <w:lang w:val="es-ES"/>
        </w:rPr>
        <w:t xml:space="preserve">de la Entidad Estatal en el desarrollo del proceso de contratación del contrato en el marco del cual se desarrollara la construcción del proyecto. Esto sin perjuicio de circunstancias en las que, quien haya elaborado los estudios y diseños, además haya actuado como asesor de la Entidad Estatal en el proceso de contratación del proyecto de obra, caso en el cual podría configurarse la restricción antes aludida, siempre que se cumplan los presupuestos del artículo 44 de la Ley 842 de 2003.  </w:t>
      </w:r>
    </w:p>
    <w:p w14:paraId="7E8A7CAD" w14:textId="77777777" w:rsidR="006F059E" w:rsidRPr="00A27102" w:rsidRDefault="006F059E" w:rsidP="006F059E">
      <w:pPr>
        <w:spacing w:after="120" w:line="276" w:lineRule="auto"/>
        <w:ind w:firstLine="709"/>
        <w:jc w:val="both"/>
        <w:rPr>
          <w:rFonts w:ascii="Verdana" w:hAnsi="Verdana" w:cs="Arial"/>
          <w:color w:val="000000" w:themeColor="text1"/>
          <w:lang w:val="es-ES"/>
        </w:rPr>
      </w:pPr>
      <w:r w:rsidRPr="00A27102">
        <w:rPr>
          <w:rFonts w:ascii="Verdana" w:eastAsia="Calibri" w:hAnsi="Verdana" w:cs="Arial"/>
        </w:rPr>
        <w:t xml:space="preserve">En este contexto, y conforme a la consulta planteada, si un profesional, vinculado mediante un contrato de prestación de servicios, </w:t>
      </w:r>
      <w:r w:rsidRPr="00A27102">
        <w:rPr>
          <w:rFonts w:ascii="Verdana" w:eastAsia="Calibri" w:hAnsi="Verdana" w:cs="Arial"/>
          <w:i/>
          <w:iCs/>
        </w:rPr>
        <w:t>asesora</w:t>
      </w:r>
      <w:r w:rsidRPr="00A27102">
        <w:rPr>
          <w:rFonts w:ascii="Verdana" w:eastAsia="Calibri" w:hAnsi="Verdana" w:cs="Arial"/>
        </w:rPr>
        <w:t xml:space="preserve"> a la entidad contratante en el procedimiento de selección para contratar una obra y, posteriormente, interviene directa o indirectamente </w:t>
      </w:r>
      <w:r w:rsidRPr="00A27102">
        <w:rPr>
          <w:rFonts w:ascii="Verdana" w:hAnsi="Verdana" w:cs="Arial"/>
          <w:color w:val="000000" w:themeColor="text1"/>
          <w:lang w:val="es-ES"/>
        </w:rPr>
        <w:t>en las tareas profesionales requeridas para el desarrollo del trabajo que dio lugar al mismo</w:t>
      </w:r>
      <w:r w:rsidRPr="00A27102">
        <w:rPr>
          <w:rFonts w:ascii="Verdana" w:eastAsia="Calibri" w:hAnsi="Verdana" w:cs="Arial"/>
        </w:rPr>
        <w:t xml:space="preserve">, es decir, en la ejecución de dicho contrato de obra, podría configurarse la restricción establecida en el artículo 44 de la Ley 842 de 2003, </w:t>
      </w:r>
      <w:r w:rsidRPr="00A27102">
        <w:rPr>
          <w:rFonts w:ascii="Verdana" w:hAnsi="Verdana" w:cs="Arial"/>
          <w:color w:val="000000" w:themeColor="text1"/>
          <w:lang w:val="es-ES"/>
        </w:rPr>
        <w:t>salvo que su intervención estuviese establecida en las bases del concurso o licitación. Para tales efectos,</w:t>
      </w:r>
      <w:r w:rsidRPr="00A27102">
        <w:rPr>
          <w:rFonts w:ascii="Verdana" w:eastAsia="Calibri" w:hAnsi="Verdana" w:cs="Arial"/>
        </w:rPr>
        <w:t xml:space="preserve"> es fundamental analizar detalladamente el objeto, las actividades y el alcance del contrato de prestación de servicios suscrito con el profesional con el fin de determinar si las funciones de asesoría asignadas guardan relación con las tareas </w:t>
      </w:r>
      <w:r w:rsidRPr="00A27102">
        <w:rPr>
          <w:rFonts w:ascii="Verdana" w:hAnsi="Verdana" w:cs="Arial"/>
          <w:color w:val="000000" w:themeColor="text1"/>
          <w:lang w:val="es-ES"/>
        </w:rPr>
        <w:t xml:space="preserve">que posteriormente desarrollará el contratista de obra.  </w:t>
      </w:r>
    </w:p>
    <w:p w14:paraId="21DDF30F" w14:textId="77777777" w:rsidR="006F059E" w:rsidRPr="00A27102" w:rsidRDefault="006F059E" w:rsidP="006F059E">
      <w:pPr>
        <w:spacing w:after="120" w:line="276" w:lineRule="auto"/>
        <w:ind w:firstLine="709"/>
        <w:jc w:val="both"/>
        <w:rPr>
          <w:rFonts w:ascii="Verdana" w:hAnsi="Verdana" w:cs="Arial"/>
          <w:color w:val="000000" w:themeColor="text1"/>
          <w:lang w:val="es-ES"/>
        </w:rPr>
      </w:pPr>
      <w:r w:rsidRPr="00A27102">
        <w:rPr>
          <w:rFonts w:ascii="Verdana" w:hAnsi="Verdana" w:cs="Arial"/>
          <w:color w:val="000000" w:themeColor="text1"/>
          <w:lang w:val="es-ES"/>
        </w:rPr>
        <w:lastRenderedPageBreak/>
        <w:t xml:space="preserve">Sobre el particular, es importante aclarar que dicha restricción recae en el profesional que se vincula al contratista adjudicatario, </w:t>
      </w:r>
      <w:r w:rsidRPr="00A27102">
        <w:rPr>
          <w:rFonts w:ascii="Verdana" w:hAnsi="Verdana" w:cs="Arial"/>
          <w:color w:val="000000" w:themeColor="text1"/>
        </w:rPr>
        <w:t xml:space="preserve">lo cual no configura, por sí solo, una causal de inhabilidad para el contratista, </w:t>
      </w:r>
      <w:r w:rsidRPr="00A27102">
        <w:rPr>
          <w:rFonts w:ascii="Verdana" w:hAnsi="Verdana" w:cs="Arial"/>
          <w:color w:val="000000" w:themeColor="text1"/>
          <w:lang w:val="es-ES"/>
        </w:rPr>
        <w:t xml:space="preserve">pues, como se indicó, las </w:t>
      </w:r>
      <w:r w:rsidRPr="00A27102">
        <w:rPr>
          <w:rFonts w:ascii="Verdana" w:eastAsia="Calibri" w:hAnsi="Verdana" w:cs="Arial"/>
          <w:bCs/>
          <w:lang w:val="es-ES_tradnl"/>
        </w:rPr>
        <w:t xml:space="preserve">causales de inhabilidad e incompatibilidad son taxativas </w:t>
      </w:r>
      <w:r w:rsidRPr="00A27102">
        <w:rPr>
          <w:rFonts w:ascii="Verdana" w:eastAsia="Calibri" w:hAnsi="Verdana" w:cs="Arial"/>
          <w:bCs/>
        </w:rPr>
        <w:t>y deben interpretarse de manera restrictiva</w:t>
      </w:r>
      <w:r w:rsidRPr="00A27102">
        <w:rPr>
          <w:rFonts w:ascii="Verdana" w:eastAsia="Calibri" w:hAnsi="Verdana" w:cs="Arial"/>
          <w:bCs/>
          <w:lang w:val="es-ES_tradnl"/>
        </w:rPr>
        <w:t>. No obstante, en el marco de la supervisión del contrato la entidad estatal debe exigir al contratista el cumplimiento de la normativa aplicable a la materia, de tal manera que se podrá requerir que el personal designado para la ejecución del contrato de obra no se encuentre incurso en prohibiciones en el ejercicio de la profesión que puedan afectar el desarrollo transparente del contrato.</w:t>
      </w:r>
    </w:p>
    <w:p w14:paraId="5AC243D0" w14:textId="77777777" w:rsidR="006F059E" w:rsidRPr="00A27102" w:rsidRDefault="006F059E" w:rsidP="006F059E">
      <w:pPr>
        <w:spacing w:after="120" w:line="276" w:lineRule="auto"/>
        <w:ind w:firstLine="709"/>
        <w:jc w:val="both"/>
        <w:rPr>
          <w:rFonts w:ascii="Verdana" w:eastAsia="Arial MT" w:hAnsi="Verdana" w:cs="Arial"/>
          <w:lang w:eastAsia="es-ES" w:bidi="es-ES"/>
        </w:rPr>
      </w:pPr>
      <w:r w:rsidRPr="00A27102">
        <w:rPr>
          <w:rFonts w:ascii="Verdana" w:eastAsia="Arial MT" w:hAnsi="Verdana" w:cs="Arial"/>
          <w:lang w:eastAsia="es-ES" w:bidi="es-ES"/>
        </w:rPr>
        <w:t xml:space="preserve">Adicionalmente, </w:t>
      </w:r>
      <w:r w:rsidRPr="00A27102">
        <w:rPr>
          <w:rFonts w:ascii="Verdana" w:eastAsia="Calibri" w:hAnsi="Verdana" w:cs="Arial"/>
        </w:rPr>
        <w:t>es</w:t>
      </w:r>
      <w:r w:rsidRPr="00A27102">
        <w:rPr>
          <w:rFonts w:ascii="Verdana" w:eastAsia="Arial MT" w:hAnsi="Verdana" w:cs="Arial"/>
          <w:lang w:eastAsia="es-ES" w:bidi="es-ES"/>
        </w:rPr>
        <w:t xml:space="preserve"> importante señalar que, debe valorarse cada caso en concreto para descartar posibles conflictos de intereses. Es decir, situaciones en las cuales los intereses personales de alguien se opongan a sus deberes. En el caso en mención, resulta indispensable que la entidad valores si esta situación puede llegar a configurar un conflicto de interés que afecte el cumplimiento de deberes en el marco del contrato estatal. </w:t>
      </w:r>
    </w:p>
    <w:p w14:paraId="69B079B2" w14:textId="77777777" w:rsidR="006F059E" w:rsidRPr="00A27102" w:rsidRDefault="006F059E" w:rsidP="006F059E">
      <w:pPr>
        <w:spacing w:after="120" w:line="276" w:lineRule="auto"/>
        <w:ind w:firstLine="709"/>
        <w:jc w:val="both"/>
        <w:rPr>
          <w:rFonts w:ascii="Verdana" w:hAnsi="Verdana" w:cs="Arial"/>
          <w:color w:val="000000" w:themeColor="text1"/>
        </w:rPr>
      </w:pPr>
      <w:r w:rsidRPr="00A27102">
        <w:rPr>
          <w:rFonts w:ascii="Verdana" w:hAnsi="Verdana" w:cs="Arial"/>
          <w:color w:val="000000" w:themeColor="text1"/>
        </w:rPr>
        <w:t>Por último, frente a la consulta planteada, también es importante señalar que la estructuración de los pliegos de condiciones y la definición de los requisitos habilitantes en un proceso de contratación pública debe ser realizada exclusivamente por la entidad contratante. Esta es la responsable de determinar los funcionarios y contratistas que, bajo su dirección, podrán adelantar las actividades necesarias para dicho fin.</w:t>
      </w:r>
    </w:p>
    <w:p w14:paraId="32399A86" w14:textId="77777777" w:rsidR="006F059E" w:rsidRPr="00A27102" w:rsidRDefault="006F059E" w:rsidP="006F059E">
      <w:pPr>
        <w:spacing w:after="120" w:line="276" w:lineRule="auto"/>
        <w:ind w:firstLine="709"/>
        <w:jc w:val="both"/>
        <w:rPr>
          <w:rFonts w:ascii="Verdana" w:hAnsi="Verdana" w:cs="Arial"/>
          <w:color w:val="000000" w:themeColor="text1"/>
        </w:rPr>
      </w:pPr>
      <w:r w:rsidRPr="00A27102">
        <w:rPr>
          <w:rFonts w:ascii="Verdana" w:hAnsi="Verdana" w:cs="Arial"/>
          <w:color w:val="000000" w:themeColor="text1"/>
        </w:rPr>
        <w:t xml:space="preserve">De esta forma, diversos actores pueden participar en la elaboración de insumos técnicos, jurídicos, financieros y demás documentos de soporte requeridos para justificar el proceso de contratación. No obstante, la definición de los pliegos de condiciones y los requisitos habilitantes corresponde a la entidad contratante en cabeza de los funcionarios designados para el efecto, los cuales deben garantizar que estos aspectos se estructuren conforme a los principios de transparencia, responsabilidad y objetividad que rigen la contratación pública. </w:t>
      </w:r>
    </w:p>
    <w:p w14:paraId="66E9DFFE" w14:textId="77777777" w:rsidR="006F059E" w:rsidRPr="00A27102" w:rsidRDefault="006F059E" w:rsidP="006F059E">
      <w:pPr>
        <w:spacing w:after="120" w:line="276" w:lineRule="auto"/>
        <w:ind w:firstLine="709"/>
        <w:jc w:val="both"/>
        <w:rPr>
          <w:rFonts w:ascii="Verdana" w:eastAsia="Calibri" w:hAnsi="Verdana" w:cs="Arial"/>
          <w:lang w:val="es-ES_tradnl"/>
        </w:rPr>
      </w:pPr>
      <w:r w:rsidRPr="00A27102">
        <w:rPr>
          <w:rFonts w:ascii="Verdana" w:eastAsia="Times New Roman" w:hAnsi="Verdana" w:cs="Arial"/>
          <w:color w:val="000000"/>
          <w:lang w:val="es-ES" w:eastAsia="es-ES"/>
        </w:rPr>
        <w:t xml:space="preserve">Finalmente, debe advertirse que el análisis requerido para resolver problemas específicos en torno a </w:t>
      </w:r>
      <w:r w:rsidRPr="00A27102">
        <w:rPr>
          <w:rFonts w:ascii="Verdana" w:eastAsia="Calibri" w:hAnsi="Verdana" w:cs="Arial"/>
          <w:lang w:val="es-ES"/>
        </w:rPr>
        <w:t>la configuración de inhabilidades, incompatibilidades y conflictos de interés</w:t>
      </w:r>
      <w:r w:rsidRPr="00A27102">
        <w:rPr>
          <w:rFonts w:ascii="Verdana" w:eastAsia="Times New Roman" w:hAnsi="Verdana" w:cs="Arial"/>
          <w:color w:val="000000"/>
          <w:lang w:val="es-ES" w:eastAsia="es-ES"/>
        </w:rPr>
        <w:t xml:space="preserve"> debe ser realizado por quienes tengan interés en ello. De esta manera, las afirmaciones aquí realizadas no pueden ser interpretadas como juicios de valor sobre circunstancias concretas relacionadas </w:t>
      </w:r>
      <w:r w:rsidRPr="00A27102">
        <w:rPr>
          <w:rFonts w:ascii="Verdana" w:eastAsia="Times New Roman" w:hAnsi="Verdana" w:cs="Arial"/>
          <w:color w:val="000000"/>
          <w:lang w:val="es-ES" w:eastAsia="es-ES"/>
        </w:rPr>
        <w:lastRenderedPageBreak/>
        <w:t xml:space="preserve">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354300E5" w14:textId="77777777" w:rsidR="006F059E" w:rsidRPr="00A27102" w:rsidRDefault="006F059E" w:rsidP="006F059E">
      <w:pPr>
        <w:spacing w:after="120" w:line="276" w:lineRule="auto"/>
        <w:ind w:firstLine="709"/>
        <w:jc w:val="both"/>
        <w:rPr>
          <w:rFonts w:ascii="Verdana" w:eastAsia="Calibri" w:hAnsi="Verdana" w:cs="Arial"/>
          <w:lang w:val="es-ES"/>
        </w:rPr>
      </w:pPr>
      <w:r w:rsidRPr="00A27102">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66862110" w14:textId="77777777" w:rsidR="006F059E" w:rsidRPr="00A27102" w:rsidRDefault="006F059E" w:rsidP="006F059E">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A27102">
        <w:rPr>
          <w:rFonts w:ascii="Verdana" w:eastAsia="Century Gothic" w:hAnsi="Verdana" w:cs="Century Gothic"/>
          <w:b/>
          <w:bCs/>
          <w:lang w:val="es-ES"/>
        </w:rPr>
        <w:t>Referencias normativas y jurisprudenciales:</w:t>
      </w:r>
    </w:p>
    <w:p w14:paraId="42AF54C7" w14:textId="77777777" w:rsidR="006F059E" w:rsidRPr="00A27102" w:rsidRDefault="006F059E" w:rsidP="006F059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F059E" w:rsidRPr="00A27102" w14:paraId="5A48FB67" w14:textId="77777777" w:rsidTr="003E1E0D">
        <w:trPr>
          <w:trHeight w:val="694"/>
          <w:jc w:val="center"/>
        </w:trPr>
        <w:tc>
          <w:tcPr>
            <w:tcW w:w="8647" w:type="dxa"/>
          </w:tcPr>
          <w:p w14:paraId="5B543AB2" w14:textId="77777777" w:rsidR="006F059E" w:rsidRPr="00A27102" w:rsidRDefault="006F059E" w:rsidP="006F059E">
            <w:pPr>
              <w:numPr>
                <w:ilvl w:val="0"/>
                <w:numId w:val="3"/>
              </w:numPr>
              <w:spacing w:line="256" w:lineRule="auto"/>
              <w:ind w:left="318" w:hanging="284"/>
              <w:contextualSpacing/>
              <w:jc w:val="both"/>
              <w:rPr>
                <w:rFonts w:ascii="Verdana" w:hAnsi="Verdana" w:cs="Arial"/>
                <w:lang w:val="es-ES_tradnl"/>
              </w:rPr>
            </w:pPr>
            <w:r w:rsidRPr="00A27102">
              <w:rPr>
                <w:rFonts w:ascii="Verdana" w:hAnsi="Verdana" w:cs="Arial"/>
                <w:lang w:val="es-ES_tradnl"/>
              </w:rPr>
              <w:t>Ley 80 de 1993, artículos 6, 8 y 32</w:t>
            </w:r>
          </w:p>
          <w:p w14:paraId="495CA7CA" w14:textId="77777777" w:rsidR="006F059E" w:rsidRPr="00A27102" w:rsidRDefault="006F059E" w:rsidP="006F059E">
            <w:pPr>
              <w:numPr>
                <w:ilvl w:val="0"/>
                <w:numId w:val="3"/>
              </w:numPr>
              <w:spacing w:line="256" w:lineRule="auto"/>
              <w:ind w:left="318" w:hanging="284"/>
              <w:contextualSpacing/>
              <w:jc w:val="both"/>
              <w:rPr>
                <w:rFonts w:ascii="Verdana" w:hAnsi="Verdana" w:cs="Arial"/>
                <w:lang w:val="es-ES_tradnl"/>
              </w:rPr>
            </w:pPr>
            <w:r w:rsidRPr="00A27102">
              <w:rPr>
                <w:rFonts w:ascii="Verdana" w:hAnsi="Verdana" w:cs="Arial"/>
                <w:lang w:val="es-ES_tradnl"/>
              </w:rPr>
              <w:t xml:space="preserve">Ley 1150 de 2007, </w:t>
            </w:r>
            <w:r w:rsidRPr="00A27102">
              <w:rPr>
                <w:rFonts w:ascii="Verdana" w:eastAsia="Calibri" w:hAnsi="Verdana" w:cs="Arial"/>
                <w:color w:val="000000"/>
              </w:rPr>
              <w:t>artículo 2, numeral 4º, literal h)</w:t>
            </w:r>
          </w:p>
          <w:p w14:paraId="029DC428" w14:textId="77777777" w:rsidR="006F059E" w:rsidRPr="00A27102" w:rsidRDefault="006F059E" w:rsidP="006F059E">
            <w:pPr>
              <w:numPr>
                <w:ilvl w:val="0"/>
                <w:numId w:val="3"/>
              </w:numPr>
              <w:spacing w:line="256" w:lineRule="auto"/>
              <w:ind w:left="318" w:hanging="284"/>
              <w:contextualSpacing/>
              <w:jc w:val="both"/>
              <w:rPr>
                <w:rFonts w:ascii="Verdana" w:hAnsi="Verdana" w:cs="Arial"/>
                <w:lang w:val="es-ES_tradnl"/>
              </w:rPr>
            </w:pPr>
            <w:r w:rsidRPr="00A27102">
              <w:rPr>
                <w:rFonts w:ascii="Verdana" w:eastAsia="Calibri" w:hAnsi="Verdana" w:cs="Arial"/>
                <w:color w:val="000000"/>
              </w:rPr>
              <w:t>Ley 842 de 2003, artículo 44</w:t>
            </w:r>
          </w:p>
          <w:p w14:paraId="797AE8DA" w14:textId="77777777" w:rsidR="006F059E" w:rsidRPr="00A27102" w:rsidRDefault="006F059E" w:rsidP="006F059E">
            <w:pPr>
              <w:numPr>
                <w:ilvl w:val="0"/>
                <w:numId w:val="3"/>
              </w:numPr>
              <w:spacing w:line="256" w:lineRule="auto"/>
              <w:ind w:left="318" w:hanging="284"/>
              <w:contextualSpacing/>
              <w:jc w:val="both"/>
              <w:rPr>
                <w:rFonts w:ascii="Verdana" w:hAnsi="Verdana" w:cs="Arial"/>
                <w:lang w:val="es-ES_tradnl"/>
              </w:rPr>
            </w:pPr>
            <w:r w:rsidRPr="00A27102">
              <w:rPr>
                <w:rFonts w:ascii="Verdana" w:hAnsi="Verdana" w:cs="Arial"/>
                <w:lang w:val="es-ES_tradnl"/>
              </w:rPr>
              <w:t>Código Civil, artículo 1502</w:t>
            </w:r>
          </w:p>
          <w:p w14:paraId="7B43E77C" w14:textId="77777777" w:rsidR="006F059E" w:rsidRPr="00A27102" w:rsidRDefault="006F059E" w:rsidP="006F059E">
            <w:pPr>
              <w:numPr>
                <w:ilvl w:val="0"/>
                <w:numId w:val="3"/>
              </w:numPr>
              <w:spacing w:line="256" w:lineRule="auto"/>
              <w:ind w:left="318" w:hanging="284"/>
              <w:contextualSpacing/>
              <w:jc w:val="both"/>
              <w:rPr>
                <w:rFonts w:ascii="Verdana" w:hAnsi="Verdana" w:cs="Arial"/>
                <w:lang w:val="es-ES_tradnl"/>
              </w:rPr>
            </w:pPr>
            <w:r w:rsidRPr="00A27102">
              <w:rPr>
                <w:rFonts w:ascii="Verdana" w:hAnsi="Verdana" w:cs="Arial"/>
                <w:lang w:val="es-ES_tradnl"/>
              </w:rPr>
              <w:t>Corte Constitucional. Sentencia T-1039 de 2006 Magistrado Ponente: Humberto Sierra Porto</w:t>
            </w:r>
          </w:p>
          <w:p w14:paraId="77146D5D" w14:textId="77777777" w:rsidR="006F059E" w:rsidRPr="00A27102" w:rsidRDefault="006F059E" w:rsidP="006F059E">
            <w:pPr>
              <w:numPr>
                <w:ilvl w:val="0"/>
                <w:numId w:val="3"/>
              </w:numPr>
              <w:spacing w:line="256" w:lineRule="auto"/>
              <w:ind w:left="318" w:hanging="284"/>
              <w:contextualSpacing/>
              <w:jc w:val="both"/>
              <w:rPr>
                <w:rFonts w:ascii="Verdana" w:hAnsi="Verdana" w:cs="Arial"/>
                <w:lang w:val="es-ES"/>
              </w:rPr>
            </w:pPr>
            <w:r w:rsidRPr="00A27102">
              <w:rPr>
                <w:rFonts w:ascii="Verdana" w:hAnsi="Verdana" w:cs="Arial"/>
                <w:lang w:val="es-ES"/>
              </w:rPr>
              <w:t xml:space="preserve">Consejo de Estado. Sala de Consulta y Servicio Civil. Concepto del 30 de abril de 2015. Expediente: 2251. Consejero Ponente: Álvaro </w:t>
            </w:r>
            <w:proofErr w:type="spellStart"/>
            <w:r w:rsidRPr="00A27102">
              <w:rPr>
                <w:rFonts w:ascii="Verdana" w:hAnsi="Verdana" w:cs="Arial"/>
                <w:lang w:val="es-ES"/>
              </w:rPr>
              <w:t>Namén</w:t>
            </w:r>
            <w:proofErr w:type="spellEnd"/>
            <w:r w:rsidRPr="00A27102">
              <w:rPr>
                <w:rFonts w:ascii="Verdana" w:hAnsi="Verdana" w:cs="Arial"/>
                <w:lang w:val="es-ES"/>
              </w:rPr>
              <w:t xml:space="preserve"> Vargas</w:t>
            </w:r>
          </w:p>
          <w:p w14:paraId="65B48996" w14:textId="77777777" w:rsidR="006F059E" w:rsidRPr="00A27102" w:rsidRDefault="006F059E" w:rsidP="006F059E">
            <w:pPr>
              <w:numPr>
                <w:ilvl w:val="0"/>
                <w:numId w:val="3"/>
              </w:numPr>
              <w:spacing w:line="256" w:lineRule="auto"/>
              <w:ind w:left="318" w:hanging="284"/>
              <w:contextualSpacing/>
              <w:jc w:val="both"/>
              <w:rPr>
                <w:rFonts w:ascii="Verdana" w:hAnsi="Verdana" w:cs="Arial"/>
                <w:lang w:val="es-ES"/>
              </w:rPr>
            </w:pPr>
            <w:r w:rsidRPr="00A27102">
              <w:rPr>
                <w:rFonts w:ascii="Verdana" w:hAnsi="Verdana" w:cs="Arial"/>
                <w:lang w:val="es-ES"/>
              </w:rPr>
              <w:t xml:space="preserve">Consejo de Estado. Sección Tercera. Subsección A. Sentencia del 24 de junio de 2015. </w:t>
            </w:r>
            <w:proofErr w:type="spellStart"/>
            <w:r w:rsidRPr="00A27102">
              <w:rPr>
                <w:rFonts w:ascii="Verdana" w:hAnsi="Verdana" w:cs="Arial"/>
                <w:lang w:val="es-ES"/>
              </w:rPr>
              <w:t>Exp</w:t>
            </w:r>
            <w:proofErr w:type="spellEnd"/>
            <w:r w:rsidRPr="00A27102">
              <w:rPr>
                <w:rFonts w:ascii="Verdana" w:hAnsi="Verdana" w:cs="Arial"/>
                <w:lang w:val="es-ES"/>
              </w:rPr>
              <w:t>. 40.635. Consejero Ponente: Hernán Andrade Rincón (E).</w:t>
            </w:r>
          </w:p>
          <w:p w14:paraId="5A0F229F" w14:textId="77777777" w:rsidR="006F059E" w:rsidRPr="00A27102" w:rsidRDefault="006F059E" w:rsidP="006F059E">
            <w:pPr>
              <w:numPr>
                <w:ilvl w:val="0"/>
                <w:numId w:val="3"/>
              </w:numPr>
              <w:spacing w:line="256" w:lineRule="auto"/>
              <w:ind w:left="318" w:hanging="284"/>
              <w:contextualSpacing/>
              <w:jc w:val="both"/>
              <w:rPr>
                <w:rFonts w:ascii="Verdana" w:hAnsi="Verdana" w:cs="Arial"/>
                <w:lang w:val="es-ES"/>
              </w:rPr>
            </w:pPr>
            <w:r w:rsidRPr="00A27102">
              <w:rPr>
                <w:rFonts w:ascii="Verdana" w:hAnsi="Verdana" w:cs="Arial"/>
                <w:lang w:val="es-ES"/>
              </w:rPr>
              <w:t xml:space="preserve">Consejo de Estado. Sección Tercera. Subsección C. Sentencia del 22 de mayo de 2013. </w:t>
            </w:r>
            <w:proofErr w:type="spellStart"/>
            <w:r w:rsidRPr="00A27102">
              <w:rPr>
                <w:rFonts w:ascii="Verdana" w:hAnsi="Verdana" w:cs="Arial"/>
                <w:lang w:val="es-ES"/>
              </w:rPr>
              <w:t>Exp</w:t>
            </w:r>
            <w:proofErr w:type="spellEnd"/>
            <w:r w:rsidRPr="00A27102">
              <w:rPr>
                <w:rFonts w:ascii="Verdana" w:hAnsi="Verdana" w:cs="Arial"/>
                <w:lang w:val="es-ES"/>
              </w:rPr>
              <w:t xml:space="preserve">. 24.057. Consejera Ponente: Olga </w:t>
            </w:r>
            <w:proofErr w:type="spellStart"/>
            <w:r w:rsidRPr="00A27102">
              <w:rPr>
                <w:rFonts w:ascii="Verdana" w:hAnsi="Verdana" w:cs="Arial"/>
                <w:lang w:val="es-ES"/>
              </w:rPr>
              <w:t>Melida</w:t>
            </w:r>
            <w:proofErr w:type="spellEnd"/>
            <w:r w:rsidRPr="00A27102">
              <w:rPr>
                <w:rFonts w:ascii="Verdana" w:hAnsi="Verdana" w:cs="Arial"/>
                <w:lang w:val="es-ES"/>
              </w:rPr>
              <w:t xml:space="preserve"> Valle De </w:t>
            </w:r>
            <w:proofErr w:type="spellStart"/>
            <w:r w:rsidRPr="00A27102">
              <w:rPr>
                <w:rFonts w:ascii="Verdana" w:hAnsi="Verdana" w:cs="Arial"/>
                <w:lang w:val="es-ES"/>
              </w:rPr>
              <w:t>De</w:t>
            </w:r>
            <w:proofErr w:type="spellEnd"/>
            <w:r w:rsidRPr="00A27102">
              <w:rPr>
                <w:rFonts w:ascii="Verdana" w:hAnsi="Verdana" w:cs="Arial"/>
                <w:lang w:val="es-ES"/>
              </w:rPr>
              <w:t xml:space="preserve"> La Hoz.</w:t>
            </w:r>
          </w:p>
          <w:p w14:paraId="11B01384" w14:textId="77777777" w:rsidR="006F059E" w:rsidRPr="00A27102" w:rsidRDefault="006F059E" w:rsidP="006F059E">
            <w:pPr>
              <w:numPr>
                <w:ilvl w:val="0"/>
                <w:numId w:val="3"/>
              </w:numPr>
              <w:ind w:left="318" w:hanging="284"/>
              <w:contextualSpacing/>
              <w:jc w:val="both"/>
              <w:rPr>
                <w:rFonts w:ascii="Verdana" w:hAnsi="Verdana" w:cs="Arial"/>
                <w:lang w:val="es-MX"/>
              </w:rPr>
            </w:pPr>
            <w:r w:rsidRPr="00A27102">
              <w:rPr>
                <w:rFonts w:ascii="Verdana" w:eastAsia="Arial Nova" w:hAnsi="Verdana" w:cs="Arial"/>
                <w:lang w:val="es"/>
              </w:rPr>
              <w:t xml:space="preserve">Corte Constitucional. Sentencia C-614 de 2009. M.P. Jorge Ignacio Pretelt Chaljub. </w:t>
            </w:r>
          </w:p>
          <w:p w14:paraId="2AE97C0E" w14:textId="77777777" w:rsidR="006F059E" w:rsidRPr="00A27102" w:rsidRDefault="006F059E" w:rsidP="006F059E">
            <w:pPr>
              <w:numPr>
                <w:ilvl w:val="0"/>
                <w:numId w:val="3"/>
              </w:numPr>
              <w:spacing w:line="256" w:lineRule="auto"/>
              <w:ind w:left="318" w:hanging="284"/>
              <w:contextualSpacing/>
              <w:jc w:val="both"/>
              <w:rPr>
                <w:rFonts w:ascii="Verdana" w:hAnsi="Verdana" w:cs="Arial"/>
                <w:lang w:val="es-ES"/>
              </w:rPr>
            </w:pPr>
            <w:r w:rsidRPr="00A27102">
              <w:rPr>
                <w:rFonts w:ascii="Verdana" w:hAnsi="Verdana" w:cs="Arial"/>
                <w:color w:val="000000"/>
                <w:lang w:val="es-ES"/>
              </w:rPr>
              <w:t>Corte Constitucional. Sentencia C-154 de 1997. Magistrado Ponente: Hernando Herrera Vergara</w:t>
            </w:r>
          </w:p>
        </w:tc>
      </w:tr>
    </w:tbl>
    <w:p w14:paraId="3CE181D9" w14:textId="77777777" w:rsidR="006F059E" w:rsidRPr="00A27102" w:rsidRDefault="006F059E" w:rsidP="006F059E">
      <w:pPr>
        <w:widowControl w:val="0"/>
        <w:autoSpaceDE w:val="0"/>
        <w:autoSpaceDN w:val="0"/>
        <w:spacing w:after="0" w:line="276" w:lineRule="auto"/>
        <w:jc w:val="both"/>
        <w:rPr>
          <w:rFonts w:ascii="Verdana" w:hAnsi="Verdana" w:cs="Arial"/>
        </w:rPr>
      </w:pPr>
    </w:p>
    <w:p w14:paraId="323F3D19" w14:textId="77777777" w:rsidR="006F059E" w:rsidRPr="00A27102" w:rsidRDefault="006F059E" w:rsidP="006F059E">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A27102">
        <w:rPr>
          <w:rFonts w:ascii="Verdana" w:eastAsia="Century Gothic" w:hAnsi="Verdana" w:cs="Century Gothic"/>
          <w:b/>
          <w:bCs/>
          <w:lang w:val="es-ES"/>
        </w:rPr>
        <w:t>Doctrina de la Agencia Nacional de Contratación Pública:</w:t>
      </w:r>
    </w:p>
    <w:p w14:paraId="3F17A4B3" w14:textId="77777777" w:rsidR="006F059E" w:rsidRPr="00A27102" w:rsidRDefault="006F059E" w:rsidP="006F059E">
      <w:pPr>
        <w:widowControl w:val="0"/>
        <w:autoSpaceDE w:val="0"/>
        <w:autoSpaceDN w:val="0"/>
        <w:spacing w:after="0" w:line="276" w:lineRule="auto"/>
        <w:jc w:val="both"/>
        <w:rPr>
          <w:rFonts w:ascii="Verdana" w:hAnsi="Verdana" w:cs="Arial"/>
        </w:rPr>
      </w:pPr>
    </w:p>
    <w:p w14:paraId="09163ED9" w14:textId="77777777" w:rsidR="006F059E" w:rsidRPr="00A27102" w:rsidRDefault="006F059E" w:rsidP="006F059E">
      <w:pPr>
        <w:widowControl w:val="0"/>
        <w:autoSpaceDE w:val="0"/>
        <w:autoSpaceDN w:val="0"/>
        <w:spacing w:after="120" w:line="276" w:lineRule="auto"/>
        <w:jc w:val="both"/>
        <w:rPr>
          <w:rFonts w:ascii="Verdana" w:hAnsi="Verdana" w:cs="Arial"/>
          <w:shd w:val="clear" w:color="auto" w:fill="FFFFFF"/>
          <w:lang w:val="es-ES"/>
        </w:rPr>
      </w:pPr>
      <w:r w:rsidRPr="00A27102">
        <w:rPr>
          <w:rFonts w:ascii="Verdana" w:hAnsi="Verdana" w:cs="Arial"/>
          <w:shd w:val="clear" w:color="auto" w:fill="FFFFFF"/>
          <w:lang w:val="es-ES"/>
        </w:rPr>
        <w:lastRenderedPageBreak/>
        <w:t>Esta Subdirección se ha pronunciado sobre las inhabilidades e incompatibilidades en algunos conceptos, tales como:</w:t>
      </w:r>
      <w:r w:rsidRPr="00A27102">
        <w:rPr>
          <w:rFonts w:ascii="Arial" w:eastAsia="Calibri" w:hAnsi="Arial" w:cs="Arial"/>
          <w:lang w:val="es-MX"/>
        </w:rPr>
        <w:t xml:space="preserve"> </w:t>
      </w:r>
      <w:r w:rsidRPr="00A27102">
        <w:rPr>
          <w:rFonts w:ascii="Verdana" w:hAnsi="Verdana" w:cs="Arial"/>
          <w:shd w:val="clear" w:color="auto" w:fill="FFFFFF"/>
          <w:lang w:val="es-MX"/>
        </w:rPr>
        <w:t xml:space="preserve">radicados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C-293 del 28 de agosto de 2021, </w:t>
      </w:r>
      <w:r w:rsidRPr="00A27102">
        <w:rPr>
          <w:rFonts w:ascii="Verdana" w:hAnsi="Verdana" w:cs="Arial"/>
          <w:shd w:val="clear" w:color="auto" w:fill="FFFFFF"/>
          <w:lang w:val="es-ES"/>
        </w:rPr>
        <w:t>C-449 del 31 de agosto de 2021, C-028 del 28 de febrero de 2022, C-318 del 18 de mayo de 2022, C-252 del 30 de mayo de 2022, C-619 del 27 de septiembre de 2022, C-731 de 10 de noviembre de 2022, C-059 de 13 de junio de 2023, C-352 del 22 de diciembre de 2023, C-010 del 31 de enero de 2024, C-023 del 26 de febrero de 2024, C-035 del 24 de abril de 2024, C-039 del 23 de abril de 2024, C-041 del 29 de mayo de 2024, C-067 del 16 de mayo de 2024, C-078 del 4 de junio de 2024, C-289 del 15 de agosto de 2023, C-172 de 25 de julio de 2024, C-271 del 22 de julio de 2024, C-904 del 9 de diciembre de 2024, C-170 del 19 de marzo de 2025, C-392 del 8 de mayo de 2025, C-632 del 2 de julio de 2025, entre otros. Es</w:t>
      </w:r>
      <w:r w:rsidRPr="00A27102">
        <w:rPr>
          <w:rFonts w:ascii="Verdana" w:hAnsi="Verdana"/>
        </w:rPr>
        <w:t>tos se encuentran disponibles para consulta en el Sistema de relatoría de la Agencia, al cual se puede acceder a través del siguiente enlace:</w:t>
      </w:r>
      <w:r w:rsidRPr="00A27102">
        <w:rPr>
          <w:rFonts w:ascii="Verdana" w:hAnsi="Verdana" w:cs="Arial"/>
          <w:shd w:val="clear" w:color="auto" w:fill="FFFFFF"/>
          <w:lang w:val="es-ES"/>
        </w:rPr>
        <w:t xml:space="preserve"> </w:t>
      </w:r>
      <w:hyperlink r:id="rId13" w:history="1">
        <w:r w:rsidRPr="00A27102">
          <w:rPr>
            <w:rFonts w:ascii="Verdana" w:hAnsi="Verdana" w:cs="Arial"/>
            <w:color w:val="0563C1" w:themeColor="hyperlink"/>
            <w:u w:val="single"/>
            <w:shd w:val="clear" w:color="auto" w:fill="FFFFFF"/>
            <w:lang w:val="es-ES"/>
          </w:rPr>
          <w:t>https://relatoria.colombiacompra.gov.co/busqueda/conceptos</w:t>
        </w:r>
      </w:hyperlink>
      <w:r w:rsidRPr="00A27102">
        <w:rPr>
          <w:rFonts w:ascii="Verdana" w:hAnsi="Verdana" w:cs="Arial"/>
          <w:shd w:val="clear" w:color="auto" w:fill="FFFFFF"/>
          <w:lang w:val="es-ES"/>
        </w:rPr>
        <w:t>.</w:t>
      </w:r>
      <w:r w:rsidRPr="00A27102">
        <w:rPr>
          <w:rFonts w:ascii="Verdana" w:hAnsi="Verdana" w:cs="Arial"/>
          <w:color w:val="FF0000"/>
          <w:shd w:val="clear" w:color="auto" w:fill="FFFFFF"/>
          <w:lang w:val="es-ES"/>
        </w:rPr>
        <w:t xml:space="preserve"> </w:t>
      </w:r>
      <w:r w:rsidRPr="00A27102">
        <w:rPr>
          <w:rFonts w:ascii="Verdana" w:hAnsi="Verdana" w:cs="Arial"/>
          <w:color w:val="000000" w:themeColor="text1"/>
          <w:shd w:val="clear" w:color="auto" w:fill="FFFFFF"/>
        </w:rPr>
        <w:t>  </w:t>
      </w:r>
    </w:p>
    <w:p w14:paraId="3575B9D0" w14:textId="77777777" w:rsidR="006F059E" w:rsidRPr="00A27102" w:rsidRDefault="006F059E" w:rsidP="006F059E">
      <w:pPr>
        <w:widowControl w:val="0"/>
        <w:autoSpaceDE w:val="0"/>
        <w:autoSpaceDN w:val="0"/>
        <w:spacing w:after="0" w:line="276" w:lineRule="auto"/>
        <w:jc w:val="both"/>
        <w:rPr>
          <w:rFonts w:ascii="Verdana" w:hAnsi="Verdana" w:cs="Arial"/>
          <w:lang w:val="es-ES_tradnl"/>
        </w:rPr>
      </w:pPr>
      <w:r w:rsidRPr="00A27102">
        <w:rPr>
          <w:rFonts w:ascii="Verdana" w:hAnsi="Verdana" w:cs="Arial"/>
        </w:rPr>
        <w:t xml:space="preserve">Este concepto tiene el alcance previsto en el artículo 28 del Código de Procedimiento Administrativo y de lo Contencioso Administrativo </w:t>
      </w:r>
      <w:r w:rsidRPr="00A27102">
        <w:rPr>
          <w:rFonts w:ascii="Verdana" w:hAnsi="Verdana" w:cs="Arial"/>
          <w:lang w:val="es-ES_tradnl"/>
        </w:rPr>
        <w:t>y las expresiones aquí utilizadas con mayúscula inicial deben ser entendidas con el significado que les otorga el artículo 2.2.1.1.1.3.1. del Decreto 1082 de 2015.</w:t>
      </w:r>
    </w:p>
    <w:p w14:paraId="00663623" w14:textId="77777777" w:rsidR="006F059E" w:rsidRPr="00A27102" w:rsidRDefault="006F059E" w:rsidP="006F059E">
      <w:pPr>
        <w:widowControl w:val="0"/>
        <w:autoSpaceDE w:val="0"/>
        <w:autoSpaceDN w:val="0"/>
        <w:spacing w:after="0" w:line="276" w:lineRule="auto"/>
        <w:jc w:val="both"/>
        <w:rPr>
          <w:rFonts w:ascii="Verdana" w:hAnsi="Verdana" w:cs="Arial"/>
        </w:rPr>
      </w:pPr>
    </w:p>
    <w:p w14:paraId="6C377A76" w14:textId="77777777" w:rsidR="006F059E" w:rsidRPr="00A27102" w:rsidRDefault="006F059E" w:rsidP="006F059E">
      <w:pPr>
        <w:spacing w:after="0" w:line="240" w:lineRule="auto"/>
        <w:rPr>
          <w:rFonts w:ascii="Verdana" w:hAnsi="Verdana" w:cs="Arial"/>
          <w:lang w:eastAsia="es-CO"/>
        </w:rPr>
      </w:pPr>
      <w:r w:rsidRPr="00A27102">
        <w:rPr>
          <w:rFonts w:ascii="Verdana" w:eastAsia="Times New Roman" w:hAnsi="Verdana" w:cs="Arial"/>
          <w:lang w:eastAsia="es-CO"/>
        </w:rPr>
        <w:t>Atentamente,</w:t>
      </w:r>
      <w:r w:rsidRPr="00A27102">
        <w:rPr>
          <w:rFonts w:ascii="Verdana" w:hAnsi="Verdana" w:cs="Arial"/>
          <w:lang w:eastAsia="es-CO"/>
        </w:rPr>
        <w:t xml:space="preserve"> </w:t>
      </w:r>
    </w:p>
    <w:p w14:paraId="2761DEFB" w14:textId="14D36ED2" w:rsidR="006F059E" w:rsidRPr="00A27102" w:rsidRDefault="00AC5AD0" w:rsidP="006F059E">
      <w:pPr>
        <w:spacing w:line="276" w:lineRule="auto"/>
        <w:jc w:val="center"/>
        <w:rPr>
          <w:rFonts w:ascii="Verdana" w:hAnsi="Verdana" w:cs="Arial"/>
          <w:color w:val="000000"/>
          <w:lang w:val="es-ES_tradnl" w:eastAsia="es-CO"/>
        </w:rPr>
      </w:pPr>
      <w:r w:rsidRPr="002C3AD6">
        <w:rPr>
          <w:rFonts w:ascii="Century Gothic" w:hAnsi="Century Gothic"/>
          <w:noProof/>
        </w:rPr>
        <w:lastRenderedPageBreak/>
        <w:drawing>
          <wp:inline distT="0" distB="0" distL="0" distR="0" wp14:anchorId="0E4F3A45" wp14:editId="0132A7ED">
            <wp:extent cx="358902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589523" cy="140037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F059E" w:rsidRPr="00A27102" w14:paraId="42688A2C" w14:textId="77777777" w:rsidTr="003E1E0D">
        <w:trPr>
          <w:trHeight w:val="315"/>
        </w:trPr>
        <w:tc>
          <w:tcPr>
            <w:tcW w:w="893" w:type="dxa"/>
            <w:vAlign w:val="center"/>
            <w:hideMark/>
          </w:tcPr>
          <w:p w14:paraId="70B40A70" w14:textId="77777777" w:rsidR="006F059E" w:rsidRPr="00A27102" w:rsidRDefault="006F059E" w:rsidP="003E1E0D">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60160ED" w14:textId="77777777" w:rsidR="006F059E" w:rsidRPr="00A27102" w:rsidRDefault="006F059E" w:rsidP="003E1E0D">
            <w:pPr>
              <w:contextualSpacing/>
              <w:rPr>
                <w:rFonts w:ascii="Verdana" w:hAnsi="Verdana"/>
                <w:sz w:val="16"/>
                <w:szCs w:val="16"/>
              </w:rPr>
            </w:pPr>
            <w:r w:rsidRPr="00A27102">
              <w:rPr>
                <w:rFonts w:ascii="Verdana" w:hAnsi="Verdana"/>
                <w:sz w:val="16"/>
                <w:szCs w:val="16"/>
              </w:rPr>
              <w:t>Tatiana Baquero Iguarán</w:t>
            </w:r>
          </w:p>
          <w:p w14:paraId="3DF02FDA" w14:textId="77777777" w:rsidR="006F059E" w:rsidRPr="00A27102" w:rsidRDefault="006F059E" w:rsidP="003E1E0D">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6F059E" w:rsidRPr="00A27102" w14:paraId="004869C9" w14:textId="77777777" w:rsidTr="003E1E0D">
        <w:trPr>
          <w:trHeight w:val="330"/>
        </w:trPr>
        <w:tc>
          <w:tcPr>
            <w:tcW w:w="893" w:type="dxa"/>
            <w:vAlign w:val="center"/>
            <w:hideMark/>
          </w:tcPr>
          <w:p w14:paraId="3F899ADE" w14:textId="77777777" w:rsidR="006F059E" w:rsidRPr="00A27102" w:rsidRDefault="006F059E" w:rsidP="003E1E0D">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D070B2C" w14:textId="77777777" w:rsidR="006F059E" w:rsidRPr="00A27102" w:rsidRDefault="006F059E" w:rsidP="003E1E0D">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32444644" w14:textId="77777777" w:rsidR="006F059E" w:rsidRPr="00A27102" w:rsidRDefault="006F059E" w:rsidP="003E1E0D">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6F059E" w:rsidRPr="00A27102" w14:paraId="4B40D0A8" w14:textId="77777777" w:rsidTr="003E1E0D">
        <w:trPr>
          <w:trHeight w:val="300"/>
        </w:trPr>
        <w:tc>
          <w:tcPr>
            <w:tcW w:w="893" w:type="dxa"/>
            <w:vAlign w:val="center"/>
          </w:tcPr>
          <w:p w14:paraId="750EF7A4" w14:textId="77777777" w:rsidR="006F059E" w:rsidRPr="00A27102" w:rsidRDefault="006F059E" w:rsidP="003E1E0D">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A3F548D" w14:textId="77777777" w:rsidR="006F059E" w:rsidRPr="00A27102" w:rsidRDefault="006F059E" w:rsidP="003E1E0D">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4A9B84C2" w14:textId="77777777" w:rsidR="006F059E" w:rsidRPr="00A27102" w:rsidRDefault="006F059E" w:rsidP="003E1E0D">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10919021" w14:textId="77777777" w:rsidR="006F059E" w:rsidRPr="00A27102" w:rsidRDefault="006F059E" w:rsidP="006F059E"/>
    <w:p w14:paraId="3B530653" w14:textId="77777777" w:rsidR="006F059E" w:rsidRPr="00A27102" w:rsidRDefault="006F059E" w:rsidP="006F059E"/>
    <w:p w14:paraId="7B266ACD" w14:textId="77777777" w:rsidR="006F059E" w:rsidRPr="00A27102" w:rsidRDefault="006F059E" w:rsidP="006F059E"/>
    <w:p w14:paraId="0BDC33B6" w14:textId="77777777" w:rsidR="006F059E" w:rsidRPr="00A27102" w:rsidRDefault="006F059E" w:rsidP="006F059E">
      <w:pPr>
        <w:spacing w:after="0" w:line="240" w:lineRule="auto"/>
        <w:rPr>
          <w:rFonts w:ascii="Verdana" w:eastAsia="Geomanist Light" w:hAnsi="Verdana" w:cs="Arial"/>
          <w:color w:val="000000" w:themeColor="text1"/>
          <w:lang w:val="es-MX"/>
        </w:rPr>
      </w:pPr>
    </w:p>
    <w:p w14:paraId="19B87CB3" w14:textId="77777777" w:rsidR="006F059E" w:rsidRPr="00A27102" w:rsidRDefault="006F059E" w:rsidP="006F059E">
      <w:pPr>
        <w:spacing w:after="0" w:line="240" w:lineRule="auto"/>
        <w:rPr>
          <w:rFonts w:ascii="Verdana" w:eastAsia="Geomanist Light" w:hAnsi="Verdana" w:cs="Arial"/>
          <w:color w:val="000000" w:themeColor="text1"/>
          <w:lang w:val="es-MX"/>
        </w:rPr>
      </w:pPr>
    </w:p>
    <w:p w14:paraId="55949F9D" w14:textId="77777777" w:rsidR="006F059E" w:rsidRPr="00A27102" w:rsidRDefault="006F059E" w:rsidP="006F059E">
      <w:pPr>
        <w:spacing w:after="0" w:line="240" w:lineRule="auto"/>
        <w:rPr>
          <w:rFonts w:ascii="Verdana" w:eastAsia="Geomanist Light" w:hAnsi="Verdana" w:cs="Arial"/>
          <w:color w:val="000000" w:themeColor="text1"/>
          <w:lang w:val="es-MX"/>
        </w:rPr>
      </w:pPr>
    </w:p>
    <w:p w14:paraId="41BC39E7" w14:textId="77777777" w:rsidR="006F059E" w:rsidRPr="00A27102" w:rsidRDefault="006F059E" w:rsidP="006F059E">
      <w:pPr>
        <w:spacing w:after="0" w:line="240" w:lineRule="auto"/>
        <w:rPr>
          <w:rFonts w:ascii="Verdana" w:eastAsia="Geomanist Light" w:hAnsi="Verdana" w:cs="Arial"/>
          <w:color w:val="000000" w:themeColor="text1"/>
          <w:lang w:val="es-MX"/>
        </w:rPr>
      </w:pPr>
    </w:p>
    <w:p w14:paraId="6D063406" w14:textId="77777777" w:rsidR="006F059E" w:rsidRPr="00A27102" w:rsidRDefault="006F059E" w:rsidP="006F059E">
      <w:pPr>
        <w:spacing w:after="0" w:line="240" w:lineRule="auto"/>
        <w:rPr>
          <w:rFonts w:ascii="Verdana" w:eastAsia="Geomanist Light" w:hAnsi="Verdana" w:cs="Arial"/>
          <w:color w:val="000000" w:themeColor="text1"/>
          <w:lang w:val="es-MX"/>
        </w:rPr>
      </w:pPr>
    </w:p>
    <w:p w14:paraId="2206B39B" w14:textId="77777777" w:rsidR="006F059E" w:rsidRPr="00A27102" w:rsidRDefault="006F059E" w:rsidP="006F059E">
      <w:pPr>
        <w:spacing w:after="0" w:line="240" w:lineRule="auto"/>
        <w:rPr>
          <w:rFonts w:ascii="Verdana" w:eastAsia="Geomanist Light" w:hAnsi="Verdana" w:cs="Arial"/>
          <w:color w:val="000000" w:themeColor="text1"/>
          <w:lang w:val="es-MX"/>
        </w:rPr>
      </w:pPr>
    </w:p>
    <w:p w14:paraId="76250AA9" w14:textId="77777777" w:rsidR="006F059E" w:rsidRPr="00A27102" w:rsidRDefault="006F059E" w:rsidP="006F059E"/>
    <w:p w14:paraId="3C68BF4F" w14:textId="77777777" w:rsidR="00F51CD2" w:rsidRDefault="00F51CD2" w:rsidP="000D5B19">
      <w:pPr>
        <w:spacing w:after="0" w:line="240" w:lineRule="auto"/>
        <w:rPr>
          <w:rFonts w:ascii="Verdana" w:eastAsia="Geomanist Light" w:hAnsi="Verdana" w:cs="Arial"/>
          <w:color w:val="000000" w:themeColor="text1"/>
          <w:lang w:val="es-MX"/>
        </w:rPr>
      </w:pPr>
    </w:p>
    <w:p w14:paraId="4038D7FE" w14:textId="77777777" w:rsidR="005B501A" w:rsidRDefault="005B501A" w:rsidP="000D5B19">
      <w:pPr>
        <w:spacing w:after="0" w:line="240" w:lineRule="auto"/>
        <w:rPr>
          <w:rFonts w:ascii="Verdana" w:eastAsia="Geomanist Light" w:hAnsi="Verdana" w:cs="Arial"/>
          <w:color w:val="000000" w:themeColor="text1"/>
          <w:lang w:val="es-MX"/>
        </w:rPr>
      </w:pPr>
    </w:p>
    <w:bookmarkEnd w:id="0"/>
    <w:sectPr w:rsidR="005B501A" w:rsidSect="00C44B4C">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F628F1" w14:textId="77777777" w:rsidR="000C0579" w:rsidRDefault="000C0579" w:rsidP="00B30448">
      <w:pPr>
        <w:spacing w:after="0" w:line="240" w:lineRule="auto"/>
      </w:pPr>
      <w:r>
        <w:separator/>
      </w:r>
    </w:p>
  </w:endnote>
  <w:endnote w:type="continuationSeparator" w:id="0">
    <w:p w14:paraId="317EECEB" w14:textId="77777777" w:rsidR="000C0579" w:rsidRDefault="000C0579" w:rsidP="00B30448">
      <w:pPr>
        <w:spacing w:after="0" w:line="240" w:lineRule="auto"/>
      </w:pPr>
      <w:r>
        <w:continuationSeparator/>
      </w:r>
    </w:p>
  </w:endnote>
  <w:endnote w:type="continuationNotice" w:id="1">
    <w:p w14:paraId="431120FF" w14:textId="77777777" w:rsidR="000C0579" w:rsidRDefault="000C05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Geomanist Ligh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Nova">
    <w:altName w:val="Arial"/>
    <w:charset w:val="00"/>
    <w:family w:val="swiss"/>
    <w:pitch w:val="variable"/>
    <w:sig w:usb0="0000028F" w:usb1="00000002"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174B77" w:rsidRDefault="00A81E50" w:rsidP="00A81E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C9CAA9" w14:textId="77777777" w:rsidR="00A81E50" w:rsidRDefault="00A81E50" w:rsidP="00A81E50">
    <w:pPr>
      <w:spacing w:after="0"/>
      <w:jc w:val="both"/>
      <w:rPr>
        <w:rFonts w:ascii="Verdana" w:hAnsi="Verdana"/>
        <w:sz w:val="18"/>
        <w:szCs w:val="18"/>
      </w:rPr>
    </w:pPr>
    <w:r w:rsidRPr="00E41027">
      <w:rPr>
        <w:rFonts w:ascii="Verdana" w:hAnsi="Verdana"/>
        <w:sz w:val="18"/>
        <w:szCs w:val="18"/>
      </w:rPr>
      <w:t>Dirección: Carrera 7 # 26 – 20 - Bogotá, Colombia</w:t>
    </w:r>
  </w:p>
  <w:p w14:paraId="0B709B73" w14:textId="77777777" w:rsidR="00A81E50" w:rsidRPr="00E41027" w:rsidRDefault="00A81E50" w:rsidP="00A81E50">
    <w:pPr>
      <w:spacing w:after="0"/>
      <w:jc w:val="both"/>
      <w:rPr>
        <w:rFonts w:ascii="Verdana" w:hAnsi="Verdana"/>
        <w:sz w:val="18"/>
        <w:szCs w:val="18"/>
      </w:rPr>
    </w:pPr>
    <w:r w:rsidRPr="00E41027">
      <w:rPr>
        <w:rFonts w:ascii="Verdana" w:hAnsi="Verdana"/>
        <w:sz w:val="18"/>
        <w:szCs w:val="18"/>
      </w:rPr>
      <w:t>Mesa de servicio: (+57) 601 7456788</w:t>
    </w:r>
  </w:p>
  <w:p w14:paraId="224AB27F" w14:textId="77777777" w:rsidR="00DD7A2C"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14:paraId="2B8DBB2A" w14:textId="26AE77D2" w:rsidR="00A81E50" w:rsidRDefault="00A81E50" w:rsidP="00DD7A2C">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BF5052" w14:textId="77777777" w:rsidR="000C0579" w:rsidRDefault="000C0579" w:rsidP="00B30448">
      <w:pPr>
        <w:spacing w:after="0" w:line="240" w:lineRule="auto"/>
      </w:pPr>
      <w:r>
        <w:separator/>
      </w:r>
    </w:p>
  </w:footnote>
  <w:footnote w:type="continuationSeparator" w:id="0">
    <w:p w14:paraId="2BAD6573" w14:textId="77777777" w:rsidR="000C0579" w:rsidRDefault="000C0579" w:rsidP="00B30448">
      <w:pPr>
        <w:spacing w:after="0" w:line="240" w:lineRule="auto"/>
      </w:pPr>
      <w:r>
        <w:continuationSeparator/>
      </w:r>
    </w:p>
  </w:footnote>
  <w:footnote w:type="continuationNotice" w:id="1">
    <w:p w14:paraId="1142427C" w14:textId="77777777" w:rsidR="000C0579" w:rsidRDefault="000C0579">
      <w:pPr>
        <w:spacing w:after="0" w:line="240" w:lineRule="auto"/>
      </w:pPr>
    </w:p>
  </w:footnote>
  <w:footnote w:id="2">
    <w:p w14:paraId="74DF4679" w14:textId="77777777" w:rsidR="006F059E" w:rsidRPr="001A625A" w:rsidRDefault="006F059E" w:rsidP="006F059E">
      <w:pPr>
        <w:pStyle w:val="Textonotapie"/>
        <w:ind w:firstLine="709"/>
        <w:jc w:val="both"/>
        <w:rPr>
          <w:rFonts w:ascii="Verdana" w:hAnsi="Verdana" w:cs="Arial"/>
          <w:color w:val="000000" w:themeColor="text1"/>
          <w:sz w:val="16"/>
          <w:szCs w:val="16"/>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349F8153" w14:textId="77777777" w:rsidR="006F059E" w:rsidRPr="001A625A" w:rsidRDefault="006F059E" w:rsidP="006F059E">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6631203F" w14:textId="77777777" w:rsidR="006F059E" w:rsidRPr="001A625A" w:rsidRDefault="006F059E" w:rsidP="006F059E">
      <w:pPr>
        <w:pStyle w:val="Textonotapie"/>
        <w:ind w:firstLine="709"/>
        <w:jc w:val="both"/>
        <w:rPr>
          <w:rFonts w:ascii="Verdana" w:hAnsi="Verdana" w:cs="Arial"/>
          <w:color w:val="000000" w:themeColor="text1"/>
          <w:sz w:val="16"/>
          <w:szCs w:val="16"/>
        </w:rPr>
      </w:pPr>
    </w:p>
  </w:footnote>
  <w:footnote w:id="3">
    <w:p w14:paraId="05AEFB97" w14:textId="77777777" w:rsidR="006F059E" w:rsidRPr="001A625A" w:rsidRDefault="006F059E" w:rsidP="006F059E">
      <w:pPr>
        <w:pStyle w:val="Textonotapie"/>
        <w:ind w:firstLine="709"/>
        <w:jc w:val="both"/>
        <w:rPr>
          <w:rFonts w:ascii="Verdana" w:hAnsi="Verdana" w:cs="Arial"/>
          <w:color w:val="000000" w:themeColor="text1"/>
          <w:sz w:val="16"/>
          <w:szCs w:val="16"/>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24F67625" w14:textId="77777777" w:rsidR="006F059E" w:rsidRPr="001A625A" w:rsidRDefault="006F059E" w:rsidP="006F059E">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1o.) que sea legalmente capaz.</w:t>
      </w:r>
    </w:p>
    <w:p w14:paraId="1E1F3C51" w14:textId="77777777" w:rsidR="006F059E" w:rsidRPr="001A625A" w:rsidRDefault="006F059E" w:rsidP="006F059E">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w:t>
      </w:r>
    </w:p>
    <w:p w14:paraId="2F599EDB" w14:textId="77777777" w:rsidR="006F059E" w:rsidRPr="001A625A" w:rsidRDefault="006F059E" w:rsidP="006F059E">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La capacidad legal de una persona consiste en poderse obligar por sí misma, sin el ministerio o la autorización de otra”.</w:t>
      </w:r>
    </w:p>
    <w:p w14:paraId="1C301093" w14:textId="77777777" w:rsidR="006F059E" w:rsidRPr="001A625A" w:rsidRDefault="006F059E" w:rsidP="006F059E">
      <w:pPr>
        <w:pStyle w:val="Textonotapie"/>
        <w:ind w:firstLine="709"/>
        <w:jc w:val="both"/>
        <w:rPr>
          <w:rFonts w:ascii="Verdana" w:hAnsi="Verdana" w:cs="Arial"/>
          <w:color w:val="000000" w:themeColor="text1"/>
          <w:sz w:val="16"/>
          <w:szCs w:val="16"/>
          <w:lang w:val="es-CO"/>
        </w:rPr>
      </w:pPr>
    </w:p>
  </w:footnote>
  <w:footnote w:id="4">
    <w:p w14:paraId="7AF8A925" w14:textId="77777777" w:rsidR="006F059E" w:rsidRPr="001A625A" w:rsidRDefault="006F059E" w:rsidP="006F059E">
      <w:pPr>
        <w:pStyle w:val="Textonotapie"/>
        <w:jc w:val="both"/>
        <w:rPr>
          <w:rFonts w:ascii="Verdana" w:hAnsi="Verdana" w:cs="Arial"/>
          <w:color w:val="000000" w:themeColor="text1"/>
          <w:sz w:val="16"/>
          <w:szCs w:val="16"/>
          <w:lang w:val="es-ES"/>
        </w:rPr>
      </w:pPr>
    </w:p>
  </w:footnote>
  <w:footnote w:id="5">
    <w:p w14:paraId="307DF72A" w14:textId="77777777" w:rsidR="006F059E" w:rsidRPr="001A625A" w:rsidRDefault="006F059E" w:rsidP="006F059E">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Son inhabilidades que responden a esta circunstancia, entre otras, las siguientes: “Quienes participaron en las licitaciones o celebraron los contratos de que trata el literal anterior estando inhabilitados” (art. 8, </w:t>
      </w:r>
      <w:r w:rsidRPr="001A625A">
        <w:rPr>
          <w:rFonts w:ascii="Verdana" w:hAnsi="Verdana" w:cs="Arial"/>
          <w:color w:val="000000" w:themeColor="text1"/>
          <w:sz w:val="16"/>
          <w:szCs w:val="16"/>
          <w:lang w:val="es-ES"/>
        </w:rPr>
        <w:t>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6B7FD082" w14:textId="77777777" w:rsidR="006F059E" w:rsidRPr="001A625A" w:rsidRDefault="006F059E" w:rsidP="006F059E">
      <w:pPr>
        <w:spacing w:after="0" w:line="240" w:lineRule="auto"/>
        <w:ind w:firstLine="709"/>
        <w:jc w:val="both"/>
        <w:rPr>
          <w:rFonts w:ascii="Verdana" w:hAnsi="Verdana" w:cs="Arial"/>
          <w:color w:val="000000" w:themeColor="text1"/>
          <w:sz w:val="16"/>
          <w:szCs w:val="16"/>
          <w:lang w:val="es-ES"/>
        </w:rPr>
      </w:pPr>
    </w:p>
  </w:footnote>
  <w:footnote w:id="6">
    <w:p w14:paraId="216F0BA8"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w:t>
      </w:r>
      <w:r w:rsidRPr="001A625A">
        <w:rPr>
          <w:rFonts w:ascii="Verdana" w:hAnsi="Verdana" w:cs="Arial"/>
          <w:color w:val="000000" w:themeColor="text1"/>
          <w:sz w:val="16"/>
          <w:szCs w:val="16"/>
          <w:lang w:val="es-ES"/>
        </w:rPr>
        <w:t>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3C1EEC65" w14:textId="77777777" w:rsidR="006F059E" w:rsidRPr="001A625A" w:rsidRDefault="006F059E" w:rsidP="006F059E">
      <w:pPr>
        <w:pStyle w:val="Textonotapie"/>
        <w:ind w:firstLine="709"/>
        <w:jc w:val="both"/>
        <w:rPr>
          <w:rFonts w:ascii="Verdana" w:hAnsi="Verdana" w:cs="Arial"/>
          <w:color w:val="000000" w:themeColor="text1"/>
          <w:sz w:val="16"/>
          <w:szCs w:val="16"/>
          <w:lang w:val="es-CO"/>
        </w:rPr>
      </w:pPr>
    </w:p>
  </w:footnote>
  <w:footnote w:id="7">
    <w:p w14:paraId="095FB9A8"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w:t>
      </w:r>
      <w:r w:rsidRPr="001A625A">
        <w:rPr>
          <w:rFonts w:ascii="Verdana" w:hAnsi="Verdana" w:cs="Arial"/>
          <w:color w:val="000000" w:themeColor="text1"/>
          <w:sz w:val="16"/>
          <w:szCs w:val="16"/>
          <w:lang w:val="es-ES"/>
        </w:rPr>
        <w:t xml:space="preserve">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38622924" w14:textId="77777777" w:rsidR="006F059E" w:rsidRPr="001A625A" w:rsidRDefault="006F059E" w:rsidP="006F059E">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8">
    <w:p w14:paraId="28D10C04" w14:textId="77777777" w:rsidR="006F059E" w:rsidRPr="001A625A" w:rsidRDefault="006F059E" w:rsidP="006F059E">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Como las señaladas a continuación: “Los servidores públicos” (art. 8, </w:t>
      </w:r>
      <w:r w:rsidRPr="001A625A">
        <w:rPr>
          <w:rFonts w:ascii="Verdana" w:hAnsi="Verdana" w:cs="Arial"/>
          <w:color w:val="000000" w:themeColor="text1"/>
          <w:sz w:val="16"/>
          <w:szCs w:val="16"/>
          <w:lang w:val="es-ES"/>
        </w:rPr>
        <w:t xml:space="preserve">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76C6C94B" w14:textId="77777777" w:rsidR="006F059E" w:rsidRPr="001A625A" w:rsidRDefault="006F059E" w:rsidP="006F059E">
      <w:pPr>
        <w:spacing w:after="0" w:line="240" w:lineRule="auto"/>
        <w:ind w:firstLine="709"/>
        <w:jc w:val="both"/>
        <w:rPr>
          <w:rFonts w:ascii="Verdana" w:hAnsi="Verdana" w:cs="Arial"/>
          <w:color w:val="000000" w:themeColor="text1"/>
          <w:sz w:val="16"/>
          <w:szCs w:val="16"/>
          <w:lang w:val="es-ES"/>
        </w:rPr>
      </w:pPr>
    </w:p>
  </w:footnote>
  <w:footnote w:id="9">
    <w:p w14:paraId="43254C44"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BARRETO ROZO, Antonio Alejandro. Inhabilidades de la contratación estatal, efectos y </w:t>
      </w:r>
      <w:r w:rsidRPr="001A625A">
        <w:rPr>
          <w:rFonts w:ascii="Verdana" w:hAnsi="Verdana" w:cs="Arial"/>
          <w:color w:val="000000" w:themeColor="text1"/>
          <w:sz w:val="16"/>
          <w:szCs w:val="16"/>
          <w:lang w:val="es-ES"/>
        </w:rPr>
        <w:t>neopunitivismo en el Estatuto Anticorrupción. En: ALVIAR GARCÍA, Helena (Coordinadora). Nuevas tendencias del Derecho administrativo. Bogotá: Universidad de los Andes; Temis, 2016. pp. 63-99.</w:t>
      </w:r>
    </w:p>
    <w:p w14:paraId="08EB96A9"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p>
  </w:footnote>
  <w:footnote w:id="10">
    <w:p w14:paraId="50FF8F96"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Ibíd., p. 69.</w:t>
      </w:r>
    </w:p>
    <w:p w14:paraId="77343E30"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p>
  </w:footnote>
  <w:footnote w:id="11">
    <w:p w14:paraId="2A42A955"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5A66D8F3"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p>
  </w:footnote>
  <w:footnote w:id="12">
    <w:p w14:paraId="369DCF86"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Consejo de Estado. Sala de Consulta y Servicio Civil. Concepto del 30 de abril de 2015. Expediente: 2251. Consejero Ponente: Álvaro </w:t>
      </w:r>
      <w:r w:rsidRPr="001A625A">
        <w:rPr>
          <w:rFonts w:ascii="Verdana" w:hAnsi="Verdana" w:cs="Arial"/>
          <w:color w:val="000000" w:themeColor="text1"/>
          <w:sz w:val="16"/>
          <w:szCs w:val="16"/>
          <w:lang w:val="es-ES"/>
        </w:rPr>
        <w:t>Namén Vargas.</w:t>
      </w:r>
    </w:p>
    <w:p w14:paraId="5F2F1B13"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p>
  </w:footnote>
  <w:footnote w:id="13">
    <w:p w14:paraId="2D2E881D" w14:textId="77777777" w:rsidR="006F059E" w:rsidRPr="001A625A" w:rsidRDefault="006F059E" w:rsidP="006F059E">
      <w:pPr>
        <w:pStyle w:val="Textonotapie"/>
        <w:ind w:firstLine="709"/>
        <w:jc w:val="both"/>
        <w:rPr>
          <w:rFonts w:ascii="Verdana" w:hAnsi="Verdana" w:cs="Arial"/>
          <w:color w:val="000000" w:themeColor="text1"/>
          <w:sz w:val="16"/>
          <w:szCs w:val="16"/>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Consejo de Estado. Sección Tercera. Subsección A. Sentencia del 24 de junio de 2015. </w:t>
      </w:r>
      <w:r w:rsidRPr="001A625A">
        <w:rPr>
          <w:rFonts w:ascii="Verdana" w:hAnsi="Verdana" w:cs="Arial"/>
          <w:color w:val="000000" w:themeColor="text1"/>
          <w:sz w:val="16"/>
          <w:szCs w:val="16"/>
        </w:rPr>
        <w:t>Exp. 40.635. Consejero Ponente: Hernán Andrade Rincón (E).</w:t>
      </w:r>
    </w:p>
    <w:p w14:paraId="6D287CB3"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p>
  </w:footnote>
  <w:footnote w:id="14">
    <w:p w14:paraId="4544D9C3" w14:textId="77777777" w:rsidR="006F059E" w:rsidRPr="001A625A" w:rsidRDefault="006F059E" w:rsidP="006F059E">
      <w:pPr>
        <w:pStyle w:val="Textonotapie"/>
        <w:ind w:firstLine="709"/>
        <w:jc w:val="both"/>
        <w:rPr>
          <w:rFonts w:ascii="Verdana" w:hAnsi="Verdana" w:cs="Arial"/>
          <w:color w:val="000000" w:themeColor="text1"/>
          <w:sz w:val="16"/>
          <w:szCs w:val="16"/>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Consejo de Estado. Sección Tercera. Subsección C. Sentencia del 22 de mayo de 2013. </w:t>
      </w:r>
      <w:r w:rsidRPr="001A625A">
        <w:rPr>
          <w:rFonts w:ascii="Verdana" w:hAnsi="Verdana" w:cs="Arial"/>
          <w:color w:val="000000" w:themeColor="text1"/>
          <w:sz w:val="16"/>
          <w:szCs w:val="16"/>
        </w:rPr>
        <w:t>Exp. 24.057. Consejera Ponente: Olga Melida Valle De De La Hoz.</w:t>
      </w:r>
    </w:p>
    <w:p w14:paraId="7D62D5B1" w14:textId="77777777" w:rsidR="006F059E" w:rsidRPr="001A625A" w:rsidRDefault="006F059E" w:rsidP="006F059E">
      <w:pPr>
        <w:pStyle w:val="Textonotapie"/>
        <w:ind w:firstLine="709"/>
        <w:jc w:val="both"/>
        <w:rPr>
          <w:rFonts w:ascii="Verdana" w:hAnsi="Verdana" w:cs="Arial"/>
          <w:color w:val="000000" w:themeColor="text1"/>
          <w:sz w:val="16"/>
          <w:szCs w:val="16"/>
          <w:lang w:val="es-ES"/>
        </w:rPr>
      </w:pPr>
    </w:p>
  </w:footnote>
  <w:footnote w:id="15">
    <w:p w14:paraId="53ACEEEC"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2C56A4E2"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16">
    <w:p w14:paraId="13004114"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0BCD60FA"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610E1FF3"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El Gobierno nacional reglamentará el mecanismo para realizar la mensualización de que trata el presente artículo.</w:t>
      </w:r>
    </w:p>
    <w:p w14:paraId="75EC91E7"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0FA648F3" w14:textId="77777777" w:rsidR="006F059E" w:rsidRPr="00FE6A9E" w:rsidRDefault="006F059E" w:rsidP="006F059E">
      <w:pPr>
        <w:pStyle w:val="Textonotapie"/>
        <w:ind w:firstLine="709"/>
        <w:jc w:val="both"/>
        <w:rPr>
          <w:rFonts w:ascii="Verdana" w:hAnsi="Verdana" w:cs="Arial"/>
          <w:color w:val="000000"/>
          <w:sz w:val="16"/>
          <w:szCs w:val="16"/>
          <w:lang w:val="es-ES"/>
        </w:rPr>
      </w:pPr>
    </w:p>
  </w:footnote>
  <w:footnote w:id="17">
    <w:p w14:paraId="794959D5" w14:textId="77777777" w:rsidR="006F059E" w:rsidRPr="00FE6A9E" w:rsidRDefault="006F059E" w:rsidP="006F059E">
      <w:pPr>
        <w:pStyle w:val="Textonotapie"/>
        <w:ind w:firstLine="708"/>
        <w:rPr>
          <w:rFonts w:ascii="Verdana" w:hAnsi="Verdana"/>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Corte Constitucional. Sentencia C-154 de 1997. Magistrado Ponente: Hernando Herrera Vergara.</w:t>
      </w:r>
    </w:p>
  </w:footnote>
  <w:footnote w:id="18">
    <w:p w14:paraId="0E082C21" w14:textId="77777777" w:rsidR="006F059E" w:rsidRPr="00FE6A9E" w:rsidRDefault="006F059E" w:rsidP="006F059E">
      <w:pPr>
        <w:spacing w:after="0"/>
        <w:ind w:firstLine="708"/>
        <w:jc w:val="both"/>
        <w:rPr>
          <w:rFonts w:ascii="Verdana" w:eastAsia="Arial Nova" w:hAnsi="Verdana" w:cs="Arial"/>
          <w:sz w:val="16"/>
          <w:szCs w:val="16"/>
          <w:lang w:val="es"/>
        </w:rPr>
      </w:pPr>
      <w:r w:rsidRPr="00FE6A9E">
        <w:rPr>
          <w:rStyle w:val="Refdenotaalpie"/>
          <w:rFonts w:ascii="Verdana" w:hAnsi="Verdana" w:cs="Arial"/>
          <w:sz w:val="16"/>
          <w:szCs w:val="16"/>
        </w:rPr>
        <w:footnoteRef/>
      </w:r>
      <w:r w:rsidRPr="00FE6A9E">
        <w:rPr>
          <w:rFonts w:ascii="Verdana" w:hAnsi="Verdana" w:cs="Arial"/>
          <w:sz w:val="16"/>
          <w:szCs w:val="16"/>
        </w:rPr>
        <w:t xml:space="preserve"> </w:t>
      </w:r>
      <w:r w:rsidRPr="00FE6A9E">
        <w:rPr>
          <w:rFonts w:ascii="Verdana" w:eastAsia="Arial Nova" w:hAnsi="Verdana" w:cs="Arial"/>
          <w:sz w:val="16"/>
          <w:szCs w:val="16"/>
          <w:lang w:val="es"/>
        </w:rPr>
        <w:t xml:space="preserve">Corte Constitucional. Sentencia C-614 de 2009. M.P. Jorge Ignacio Pretelt Chaljub. </w:t>
      </w:r>
    </w:p>
    <w:p w14:paraId="6A91A941" w14:textId="77777777" w:rsidR="006F059E" w:rsidRPr="00FE6A9E" w:rsidRDefault="006F059E" w:rsidP="006F059E">
      <w:pPr>
        <w:pStyle w:val="Textonotapie"/>
        <w:rPr>
          <w:rFonts w:ascii="Verdana" w:hAnsi="Verdana"/>
          <w:sz w:val="16"/>
          <w:szCs w:val="16"/>
        </w:rPr>
      </w:pPr>
    </w:p>
  </w:footnote>
  <w:footnote w:id="19">
    <w:p w14:paraId="71171673" w14:textId="77777777" w:rsidR="006F059E" w:rsidRPr="00FE6A9E" w:rsidRDefault="006F059E" w:rsidP="006F059E">
      <w:pPr>
        <w:pStyle w:val="Textonotapie"/>
        <w:ind w:firstLine="708"/>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Corte Constitucional. Sentencia C-154 de 1997. Magistrado Ponente: Hernando Herrera Vergara.</w:t>
      </w:r>
    </w:p>
    <w:p w14:paraId="1DC532F0" w14:textId="77777777" w:rsidR="006F059E" w:rsidRPr="00FE6A9E" w:rsidRDefault="006F059E" w:rsidP="006F059E">
      <w:pPr>
        <w:pStyle w:val="Textonotapie"/>
        <w:ind w:firstLine="708"/>
        <w:rPr>
          <w:rFonts w:ascii="Verdana" w:hAnsi="Verdana"/>
          <w:sz w:val="16"/>
          <w:szCs w:val="16"/>
        </w:rPr>
      </w:pPr>
    </w:p>
  </w:footnote>
  <w:footnote w:id="20">
    <w:p w14:paraId="313FF017"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7CEA6018" w14:textId="77777777" w:rsidR="006F059E" w:rsidRPr="00FE6A9E" w:rsidRDefault="006F059E" w:rsidP="006F059E">
      <w:pPr>
        <w:pStyle w:val="Textonotapie"/>
        <w:ind w:firstLine="708"/>
        <w:rPr>
          <w:rFonts w:ascii="Verdana" w:hAnsi="Verdana"/>
          <w:sz w:val="16"/>
          <w:szCs w:val="16"/>
          <w:lang w:val="es-ES"/>
        </w:rPr>
      </w:pPr>
    </w:p>
  </w:footnote>
  <w:footnote w:id="21">
    <w:p w14:paraId="46756C55"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21C9DD36"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58381C69"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w:t>
      </w:r>
      <w:r w:rsidRPr="00FE6A9E">
        <w:rPr>
          <w:rFonts w:ascii="Verdana" w:hAnsi="Verdana" w:cs="Arial"/>
          <w:color w:val="000000"/>
          <w:sz w:val="16"/>
          <w:szCs w:val="16"/>
          <w:lang w:val="es-ES"/>
        </w:rPr>
        <w:t xml:space="preserve">enmarcarse dentro de los términos del respectivo contrato”. </w:t>
      </w:r>
    </w:p>
    <w:p w14:paraId="7BA6C008" w14:textId="77777777" w:rsidR="006F059E" w:rsidRPr="00FE6A9E" w:rsidRDefault="006F059E" w:rsidP="006F059E">
      <w:pPr>
        <w:pStyle w:val="Textonotapie"/>
        <w:ind w:firstLine="708"/>
        <w:rPr>
          <w:rFonts w:ascii="Verdana" w:hAnsi="Verdana"/>
          <w:sz w:val="16"/>
          <w:szCs w:val="16"/>
          <w:lang w:val="es-ES"/>
        </w:rPr>
      </w:pPr>
    </w:p>
  </w:footnote>
  <w:footnote w:id="22">
    <w:p w14:paraId="4721F595"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7CD72693"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1. La causal que invoca para contratar directamente.</w:t>
      </w:r>
    </w:p>
    <w:p w14:paraId="64EFC040"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 El objeto del contrato.</w:t>
      </w:r>
    </w:p>
    <w:p w14:paraId="5CAF31FD"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3. El presupuesto para la contratación y las condiciones que exigirá al contratista.</w:t>
      </w:r>
    </w:p>
    <w:p w14:paraId="481D8F7A"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4. El lugar en el cual los interesados pueden consultar los estudios y documentos previos.</w:t>
      </w:r>
    </w:p>
    <w:p w14:paraId="3116099F"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357BEB7C" w14:textId="77777777" w:rsidR="006F059E" w:rsidRPr="00FE6A9E" w:rsidRDefault="006F059E" w:rsidP="006F059E">
      <w:pPr>
        <w:pStyle w:val="Textonotapie"/>
        <w:ind w:firstLine="708"/>
        <w:rPr>
          <w:rFonts w:ascii="Verdana" w:hAnsi="Verdana"/>
          <w:sz w:val="16"/>
          <w:szCs w:val="16"/>
          <w:lang w:val="es-ES"/>
        </w:rPr>
      </w:pPr>
    </w:p>
  </w:footnote>
  <w:footnote w:id="23">
    <w:p w14:paraId="6E05BBE7"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Esta norma expresa: “</w:t>
      </w:r>
      <w:r w:rsidRPr="00FE6A9E">
        <w:rPr>
          <w:rFonts w:ascii="Verdana" w:hAnsi="Verdana" w:cs="Arial"/>
          <w:color w:val="000000"/>
          <w:sz w:val="16"/>
          <w:szCs w:val="16"/>
        </w:rPr>
        <w:t>P</w:t>
      </w:r>
      <w:r w:rsidRPr="00FE6A9E">
        <w:rPr>
          <w:rFonts w:ascii="Verdana" w:hAnsi="Verdana" w:cs="Arial"/>
          <w:color w:val="000000"/>
          <w:sz w:val="16"/>
          <w:szCs w:val="16"/>
          <w:lang w:val="es-ES"/>
        </w:rPr>
        <w:t>ara el cumplimiento de los fines de la contratación, las entidades estatales al celebrar un contrato:</w:t>
      </w:r>
    </w:p>
    <w:p w14:paraId="6D066E2C"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2ABD857F"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43B72830"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Las entidades estatales podrán pactar estas cláusulas en los contratos de suministro y de prestación de servicios.</w:t>
      </w:r>
    </w:p>
    <w:p w14:paraId="648D851D"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243894E9" w14:textId="77777777" w:rsidR="006F059E" w:rsidRPr="00FE6A9E" w:rsidRDefault="006F059E" w:rsidP="006F059E">
      <w:pPr>
        <w:pStyle w:val="Textonotapie"/>
        <w:ind w:firstLine="708"/>
        <w:rPr>
          <w:rFonts w:ascii="Verdana" w:hAnsi="Verdana"/>
          <w:sz w:val="16"/>
          <w:szCs w:val="16"/>
        </w:rPr>
      </w:pPr>
    </w:p>
  </w:footnote>
  <w:footnote w:id="24">
    <w:p w14:paraId="29B56D49" w14:textId="77777777" w:rsidR="006F059E" w:rsidRPr="00FE6A9E" w:rsidRDefault="006F059E" w:rsidP="006F059E">
      <w:pPr>
        <w:pStyle w:val="Textonotapie"/>
        <w:ind w:firstLine="708"/>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302E5DAA" w14:textId="77777777" w:rsidR="006F059E" w:rsidRPr="00FE6A9E" w:rsidRDefault="006F059E" w:rsidP="006F059E">
      <w:pPr>
        <w:pStyle w:val="Textonotapie"/>
        <w:ind w:firstLine="708"/>
        <w:rPr>
          <w:rFonts w:ascii="Verdana" w:hAnsi="Verdana"/>
          <w:sz w:val="16"/>
          <w:szCs w:val="16"/>
        </w:rPr>
      </w:pPr>
    </w:p>
  </w:footnote>
  <w:footnote w:id="25">
    <w:p w14:paraId="7DCC1BEB" w14:textId="77777777" w:rsidR="006F059E" w:rsidRPr="00FE6A9E" w:rsidRDefault="006F059E" w:rsidP="006F059E">
      <w:pPr>
        <w:pStyle w:val="Textonotapie"/>
        <w:ind w:firstLine="709"/>
        <w:jc w:val="both"/>
        <w:rPr>
          <w:rFonts w:ascii="Verdana" w:hAnsi="Verdana" w:cs="Arial"/>
          <w:color w:val="000000"/>
          <w:sz w:val="16"/>
          <w:szCs w:val="16"/>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A580C6C" w14:textId="77777777" w:rsidR="006F059E" w:rsidRPr="00FE6A9E" w:rsidRDefault="006F059E" w:rsidP="006F059E">
      <w:pPr>
        <w:pStyle w:val="Textonotapie"/>
        <w:ind w:firstLine="709"/>
        <w:jc w:val="both"/>
        <w:rPr>
          <w:rFonts w:ascii="Verdana" w:hAnsi="Verdana" w:cs="Arial"/>
          <w:color w:val="000000"/>
          <w:sz w:val="16"/>
          <w:szCs w:val="16"/>
        </w:rPr>
      </w:pPr>
      <w:r w:rsidRPr="00FE6A9E">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EE13D10" w14:textId="77777777" w:rsidR="006F059E" w:rsidRPr="00FE6A9E" w:rsidRDefault="006F059E" w:rsidP="006F059E">
      <w:pPr>
        <w:pStyle w:val="Textonotapie"/>
        <w:ind w:firstLine="709"/>
        <w:jc w:val="both"/>
        <w:rPr>
          <w:rFonts w:ascii="Verdana" w:hAnsi="Verdana" w:cs="Arial"/>
          <w:color w:val="000000"/>
          <w:sz w:val="16"/>
          <w:szCs w:val="16"/>
        </w:rPr>
      </w:pPr>
      <w:r w:rsidRPr="00FE6A9E">
        <w:rPr>
          <w:rFonts w:ascii="Verdana" w:hAnsi="Verdana" w:cs="Arial"/>
          <w:color w:val="000000"/>
          <w:sz w:val="16"/>
          <w:szCs w:val="16"/>
        </w:rPr>
        <w:t>[…]”.</w:t>
      </w:r>
    </w:p>
    <w:p w14:paraId="61F060A2" w14:textId="77777777" w:rsidR="006F059E" w:rsidRPr="00FE6A9E" w:rsidRDefault="006F059E" w:rsidP="006F059E">
      <w:pPr>
        <w:pStyle w:val="Textonotapie"/>
        <w:ind w:firstLine="708"/>
        <w:rPr>
          <w:rFonts w:ascii="Verdana" w:hAnsi="Verdana"/>
          <w:sz w:val="16"/>
          <w:szCs w:val="16"/>
        </w:rPr>
      </w:pPr>
    </w:p>
  </w:footnote>
  <w:footnote w:id="26">
    <w:p w14:paraId="5DB80E2D" w14:textId="77777777" w:rsidR="006F059E" w:rsidRPr="00FE6A9E" w:rsidRDefault="006F059E" w:rsidP="006F059E">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7904C0B1" w14:textId="77777777" w:rsidR="006F059E" w:rsidRPr="00FE6A9E" w:rsidRDefault="006F059E" w:rsidP="006F059E">
      <w:pPr>
        <w:pStyle w:val="Textonotapie"/>
        <w:ind w:firstLine="708"/>
        <w:rPr>
          <w:rFonts w:ascii="Verdana" w:hAnsi="Verdana"/>
          <w:sz w:val="16"/>
          <w:szCs w:val="16"/>
          <w:lang w:val="es-ES"/>
        </w:rPr>
      </w:pPr>
    </w:p>
  </w:footnote>
  <w:footnote w:id="27">
    <w:p w14:paraId="4661392A" w14:textId="77777777" w:rsidR="006F059E" w:rsidRDefault="006F059E" w:rsidP="006F059E">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Dicho numeral establece: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ADAEBA2" w14:textId="77777777" w:rsidR="006F059E" w:rsidRDefault="006F059E" w:rsidP="006F059E">
      <w:pPr>
        <w:pStyle w:val="Textonotapie"/>
        <w:ind w:firstLine="709"/>
        <w:jc w:val="both"/>
        <w:rPr>
          <w:rFonts w:ascii="Verdana" w:hAnsi="Verdana" w:cs="Arial"/>
          <w:sz w:val="16"/>
          <w:szCs w:val="16"/>
          <w:lang w:val="es-ES"/>
        </w:rPr>
      </w:pPr>
      <w:r>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5B8E647E" w14:textId="77777777" w:rsidR="006F059E" w:rsidRDefault="006F059E" w:rsidP="006F059E">
      <w:pPr>
        <w:pStyle w:val="Textonotapie"/>
        <w:ind w:firstLine="709"/>
        <w:jc w:val="both"/>
        <w:rPr>
          <w:rFonts w:ascii="Verdana" w:hAnsi="Verdana" w:cs="Arial"/>
          <w:sz w:val="16"/>
          <w:szCs w:val="16"/>
          <w:lang w:val="es-ES"/>
        </w:rPr>
      </w:pPr>
      <w:r>
        <w:rPr>
          <w:rFonts w:ascii="Verdana" w:hAnsi="Verdana" w:cs="Arial"/>
          <w:sz w:val="16"/>
          <w:szCs w:val="16"/>
          <w:lang w:val="es-ES"/>
        </w:rPr>
        <w:t xml:space="preserve">Ninguna orden del interventor de una obra podrá darse verbalmente. Es obligatorio para el interventor entregar por escrito sus órdenes o sugerencias y ellas deben </w:t>
      </w:r>
      <w:r>
        <w:rPr>
          <w:rFonts w:ascii="Verdana" w:hAnsi="Verdana" w:cs="Arial"/>
          <w:sz w:val="16"/>
          <w:szCs w:val="16"/>
          <w:lang w:val="es-ES"/>
        </w:rPr>
        <w:t>enmarcarse dentro de los términos del respectivo contrato”.</w:t>
      </w:r>
    </w:p>
    <w:p w14:paraId="00B209EC" w14:textId="77777777" w:rsidR="006F059E" w:rsidRDefault="006F059E" w:rsidP="006F059E">
      <w:pPr>
        <w:pStyle w:val="Textonotapie"/>
        <w:ind w:firstLine="709"/>
        <w:jc w:val="both"/>
        <w:rPr>
          <w:rFonts w:ascii="Verdana" w:hAnsi="Verdana" w:cs="Arial"/>
          <w:sz w:val="16"/>
          <w:szCs w:val="16"/>
          <w:lang w:val="es-CO"/>
        </w:rPr>
      </w:pPr>
    </w:p>
  </w:footnote>
  <w:footnote w:id="28">
    <w:p w14:paraId="49335589" w14:textId="77777777" w:rsidR="006F059E" w:rsidRDefault="006F059E" w:rsidP="006F059E">
      <w:pPr>
        <w:spacing w:after="0" w:line="240" w:lineRule="auto"/>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El artículo 2.2.1.2.1.3.9., numeral 2º, del Decreto 1082 de 2015 establece que el organismo asesor en el concurso de arquitectura «Es el ente idóneo en la materia de arquitectura que organiza y diseña los aspectos técnicos del concurso de arquitectura y, actúa como coordinador entre la Entidad Estatal promotora y el jurado calificador, y entre éstos con los proponentes”.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Default="00006F59" w:rsidP="00006F59">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Default="00006F59" w:rsidP="00006F59">
    <w:pPr>
      <w:pStyle w:val="Encabezado"/>
      <w:jc w:val="center"/>
    </w:pPr>
  </w:p>
  <w:p w14:paraId="1665FD71" w14:textId="77777777" w:rsidR="00006F59" w:rsidRDefault="00006F59" w:rsidP="00006F59">
    <w:pPr>
      <w:pStyle w:val="Encabezado"/>
    </w:pPr>
  </w:p>
  <w:p w14:paraId="61B882FC" w14:textId="77777777" w:rsidR="00006F59" w:rsidRDefault="00006F59" w:rsidP="00006F59">
    <w:pPr>
      <w:spacing w:after="0"/>
      <w:rPr>
        <w:rFonts w:ascii="Verdana" w:hAnsi="Verdana"/>
        <w:b/>
        <w:bCs/>
        <w:sz w:val="24"/>
        <w:szCs w:val="24"/>
      </w:rPr>
    </w:pPr>
  </w:p>
  <w:p w14:paraId="701A9D55" w14:textId="29EB49FC" w:rsidR="00006F59" w:rsidRPr="00A211EE" w:rsidRDefault="00006F59" w:rsidP="001918F1">
    <w:pPr>
      <w:tabs>
        <w:tab w:val="left" w:pos="6217"/>
      </w:tabs>
      <w:spacing w:after="0"/>
      <w:rPr>
        <w:rFonts w:ascii="Verdana" w:hAnsi="Verdana"/>
        <w:b/>
        <w:bCs/>
        <w:sz w:val="24"/>
        <w:szCs w:val="24"/>
      </w:rPr>
    </w:pPr>
    <w:r w:rsidRPr="00A211EE">
      <w:rPr>
        <w:rFonts w:ascii="Verdana" w:hAnsi="Verdana"/>
        <w:b/>
        <w:bCs/>
        <w:sz w:val="24"/>
        <w:szCs w:val="24"/>
      </w:rPr>
      <w:t>FORMATO PQRSD</w:t>
    </w:r>
  </w:p>
  <w:p w14:paraId="68E0C024" w14:textId="62811F13" w:rsidR="00B30448" w:rsidRPr="00006F59"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70E5CF2"/>
    <w:multiLevelType w:val="multilevel"/>
    <w:tmpl w:val="D062E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CE275A0"/>
    <w:multiLevelType w:val="hybridMultilevel"/>
    <w:tmpl w:val="0FFEFC1C"/>
    <w:lvl w:ilvl="0" w:tplc="BB2E5CE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2"/>
  </w:num>
  <w:num w:numId="3" w16cid:durableId="679089576">
    <w:abstractNumId w:val="5"/>
  </w:num>
  <w:num w:numId="4" w16cid:durableId="893472101">
    <w:abstractNumId w:val="1"/>
  </w:num>
  <w:num w:numId="5" w16cid:durableId="1982299905">
    <w:abstractNumId w:val="10"/>
  </w:num>
  <w:num w:numId="6" w16cid:durableId="130758360">
    <w:abstractNumId w:val="8"/>
  </w:num>
  <w:num w:numId="7" w16cid:durableId="262541512">
    <w:abstractNumId w:val="9"/>
  </w:num>
  <w:num w:numId="8" w16cid:durableId="1947226218">
    <w:abstractNumId w:val="4"/>
  </w:num>
  <w:num w:numId="9" w16cid:durableId="1180706126">
    <w:abstractNumId w:val="7"/>
  </w:num>
  <w:num w:numId="10" w16cid:durableId="896472814">
    <w:abstractNumId w:val="6"/>
  </w:num>
  <w:num w:numId="11" w16cid:durableId="1063874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49DF"/>
    <w:rsid w:val="00005225"/>
    <w:rsid w:val="000054DB"/>
    <w:rsid w:val="000059AE"/>
    <w:rsid w:val="00005BB0"/>
    <w:rsid w:val="00006F59"/>
    <w:rsid w:val="0001025F"/>
    <w:rsid w:val="000106AF"/>
    <w:rsid w:val="0001155E"/>
    <w:rsid w:val="00011613"/>
    <w:rsid w:val="00011D3C"/>
    <w:rsid w:val="0001222D"/>
    <w:rsid w:val="00012EDA"/>
    <w:rsid w:val="00013B3F"/>
    <w:rsid w:val="0001466D"/>
    <w:rsid w:val="00014981"/>
    <w:rsid w:val="00014B0D"/>
    <w:rsid w:val="00016280"/>
    <w:rsid w:val="0001672C"/>
    <w:rsid w:val="00016F04"/>
    <w:rsid w:val="00017870"/>
    <w:rsid w:val="000219D1"/>
    <w:rsid w:val="00021C3A"/>
    <w:rsid w:val="0002202D"/>
    <w:rsid w:val="00022C23"/>
    <w:rsid w:val="00023DF7"/>
    <w:rsid w:val="000267DD"/>
    <w:rsid w:val="000273EA"/>
    <w:rsid w:val="00027B63"/>
    <w:rsid w:val="00030B3D"/>
    <w:rsid w:val="00030BC5"/>
    <w:rsid w:val="00030BFB"/>
    <w:rsid w:val="00031DA1"/>
    <w:rsid w:val="00031EAF"/>
    <w:rsid w:val="00033390"/>
    <w:rsid w:val="000361EA"/>
    <w:rsid w:val="000369C0"/>
    <w:rsid w:val="00037A8B"/>
    <w:rsid w:val="00040372"/>
    <w:rsid w:val="000408AD"/>
    <w:rsid w:val="00041469"/>
    <w:rsid w:val="00042DD7"/>
    <w:rsid w:val="000442CC"/>
    <w:rsid w:val="00044B24"/>
    <w:rsid w:val="00046219"/>
    <w:rsid w:val="0004709D"/>
    <w:rsid w:val="000504AA"/>
    <w:rsid w:val="0005086B"/>
    <w:rsid w:val="00050953"/>
    <w:rsid w:val="00050C95"/>
    <w:rsid w:val="00050CAD"/>
    <w:rsid w:val="0005142D"/>
    <w:rsid w:val="00051A3C"/>
    <w:rsid w:val="00051BE4"/>
    <w:rsid w:val="000526A8"/>
    <w:rsid w:val="0005420B"/>
    <w:rsid w:val="000551CB"/>
    <w:rsid w:val="0005620B"/>
    <w:rsid w:val="00057392"/>
    <w:rsid w:val="000577A2"/>
    <w:rsid w:val="000577D3"/>
    <w:rsid w:val="00057963"/>
    <w:rsid w:val="000579AB"/>
    <w:rsid w:val="00057F60"/>
    <w:rsid w:val="000603BD"/>
    <w:rsid w:val="00060AE4"/>
    <w:rsid w:val="000610BF"/>
    <w:rsid w:val="000622B9"/>
    <w:rsid w:val="00062436"/>
    <w:rsid w:val="00062B6F"/>
    <w:rsid w:val="00064721"/>
    <w:rsid w:val="00065973"/>
    <w:rsid w:val="00065C6D"/>
    <w:rsid w:val="00066646"/>
    <w:rsid w:val="00066C7A"/>
    <w:rsid w:val="000716AB"/>
    <w:rsid w:val="00071AB8"/>
    <w:rsid w:val="0007243A"/>
    <w:rsid w:val="00072CE9"/>
    <w:rsid w:val="00073B25"/>
    <w:rsid w:val="00073CD1"/>
    <w:rsid w:val="00074B3E"/>
    <w:rsid w:val="00074DD3"/>
    <w:rsid w:val="000762C0"/>
    <w:rsid w:val="00076C2B"/>
    <w:rsid w:val="00076F81"/>
    <w:rsid w:val="000779DE"/>
    <w:rsid w:val="000800B6"/>
    <w:rsid w:val="000847A0"/>
    <w:rsid w:val="00084BFD"/>
    <w:rsid w:val="00087073"/>
    <w:rsid w:val="000878E7"/>
    <w:rsid w:val="00087C01"/>
    <w:rsid w:val="000903E4"/>
    <w:rsid w:val="00090979"/>
    <w:rsid w:val="00091D73"/>
    <w:rsid w:val="000933B5"/>
    <w:rsid w:val="000933BC"/>
    <w:rsid w:val="00093544"/>
    <w:rsid w:val="00094663"/>
    <w:rsid w:val="00095410"/>
    <w:rsid w:val="00095E48"/>
    <w:rsid w:val="00096637"/>
    <w:rsid w:val="00097285"/>
    <w:rsid w:val="000A021A"/>
    <w:rsid w:val="000A1828"/>
    <w:rsid w:val="000A1F38"/>
    <w:rsid w:val="000A2030"/>
    <w:rsid w:val="000A413A"/>
    <w:rsid w:val="000A5881"/>
    <w:rsid w:val="000A59B7"/>
    <w:rsid w:val="000A5B7E"/>
    <w:rsid w:val="000A66A1"/>
    <w:rsid w:val="000A69FB"/>
    <w:rsid w:val="000B1087"/>
    <w:rsid w:val="000B12E4"/>
    <w:rsid w:val="000B199A"/>
    <w:rsid w:val="000B1FF7"/>
    <w:rsid w:val="000B2529"/>
    <w:rsid w:val="000B2B7C"/>
    <w:rsid w:val="000B381D"/>
    <w:rsid w:val="000B4024"/>
    <w:rsid w:val="000B44BA"/>
    <w:rsid w:val="000B5313"/>
    <w:rsid w:val="000C02AD"/>
    <w:rsid w:val="000C0579"/>
    <w:rsid w:val="000C060A"/>
    <w:rsid w:val="000C08E8"/>
    <w:rsid w:val="000C09DF"/>
    <w:rsid w:val="000C0AA8"/>
    <w:rsid w:val="000C18BD"/>
    <w:rsid w:val="000C1C73"/>
    <w:rsid w:val="000C1FC8"/>
    <w:rsid w:val="000C36E1"/>
    <w:rsid w:val="000C42A9"/>
    <w:rsid w:val="000C42C6"/>
    <w:rsid w:val="000C557B"/>
    <w:rsid w:val="000C5A85"/>
    <w:rsid w:val="000C5F29"/>
    <w:rsid w:val="000C5F48"/>
    <w:rsid w:val="000C66BF"/>
    <w:rsid w:val="000D0372"/>
    <w:rsid w:val="000D2914"/>
    <w:rsid w:val="000D2E60"/>
    <w:rsid w:val="000D3275"/>
    <w:rsid w:val="000D3A1B"/>
    <w:rsid w:val="000D5008"/>
    <w:rsid w:val="000D570C"/>
    <w:rsid w:val="000D5A0F"/>
    <w:rsid w:val="000D5B19"/>
    <w:rsid w:val="000D5B1E"/>
    <w:rsid w:val="000D5D9B"/>
    <w:rsid w:val="000D5E3F"/>
    <w:rsid w:val="000D6532"/>
    <w:rsid w:val="000D6E33"/>
    <w:rsid w:val="000D76DF"/>
    <w:rsid w:val="000D780B"/>
    <w:rsid w:val="000D7BF8"/>
    <w:rsid w:val="000E0622"/>
    <w:rsid w:val="000E07AA"/>
    <w:rsid w:val="000E1D6F"/>
    <w:rsid w:val="000E3381"/>
    <w:rsid w:val="000E3744"/>
    <w:rsid w:val="000E3CD9"/>
    <w:rsid w:val="000E4DBF"/>
    <w:rsid w:val="000E4DF2"/>
    <w:rsid w:val="000F0144"/>
    <w:rsid w:val="000F0807"/>
    <w:rsid w:val="000F0B3C"/>
    <w:rsid w:val="000F13D5"/>
    <w:rsid w:val="000F1AD8"/>
    <w:rsid w:val="000F2F4C"/>
    <w:rsid w:val="000F38D9"/>
    <w:rsid w:val="000F3CED"/>
    <w:rsid w:val="000F414C"/>
    <w:rsid w:val="000F5664"/>
    <w:rsid w:val="000F64FC"/>
    <w:rsid w:val="000F696E"/>
    <w:rsid w:val="000F718E"/>
    <w:rsid w:val="00100207"/>
    <w:rsid w:val="001003C6"/>
    <w:rsid w:val="00100682"/>
    <w:rsid w:val="001010D3"/>
    <w:rsid w:val="00101C11"/>
    <w:rsid w:val="00102AE4"/>
    <w:rsid w:val="00102F4F"/>
    <w:rsid w:val="001034DD"/>
    <w:rsid w:val="00104425"/>
    <w:rsid w:val="00104B4C"/>
    <w:rsid w:val="001055A2"/>
    <w:rsid w:val="00106C4C"/>
    <w:rsid w:val="0011037E"/>
    <w:rsid w:val="00110404"/>
    <w:rsid w:val="00110F73"/>
    <w:rsid w:val="00111E35"/>
    <w:rsid w:val="001128B4"/>
    <w:rsid w:val="00112EBD"/>
    <w:rsid w:val="00113297"/>
    <w:rsid w:val="001132C2"/>
    <w:rsid w:val="00113AF2"/>
    <w:rsid w:val="00113C17"/>
    <w:rsid w:val="00114051"/>
    <w:rsid w:val="001159F0"/>
    <w:rsid w:val="0011650B"/>
    <w:rsid w:val="00116616"/>
    <w:rsid w:val="00116FC5"/>
    <w:rsid w:val="001176F6"/>
    <w:rsid w:val="00117BBD"/>
    <w:rsid w:val="001213E7"/>
    <w:rsid w:val="0012207C"/>
    <w:rsid w:val="001224BA"/>
    <w:rsid w:val="001238BC"/>
    <w:rsid w:val="001248AB"/>
    <w:rsid w:val="00124981"/>
    <w:rsid w:val="00124B2E"/>
    <w:rsid w:val="00125D81"/>
    <w:rsid w:val="00126301"/>
    <w:rsid w:val="0012661F"/>
    <w:rsid w:val="001269B0"/>
    <w:rsid w:val="00126B24"/>
    <w:rsid w:val="00127234"/>
    <w:rsid w:val="001276C4"/>
    <w:rsid w:val="00127799"/>
    <w:rsid w:val="00127C68"/>
    <w:rsid w:val="00127D5B"/>
    <w:rsid w:val="00131373"/>
    <w:rsid w:val="001314A0"/>
    <w:rsid w:val="00131A1F"/>
    <w:rsid w:val="00131A66"/>
    <w:rsid w:val="00131F9C"/>
    <w:rsid w:val="00132336"/>
    <w:rsid w:val="0013280A"/>
    <w:rsid w:val="0013343F"/>
    <w:rsid w:val="001344F9"/>
    <w:rsid w:val="00135F76"/>
    <w:rsid w:val="001360E9"/>
    <w:rsid w:val="001360F4"/>
    <w:rsid w:val="001363C7"/>
    <w:rsid w:val="00136E87"/>
    <w:rsid w:val="00140793"/>
    <w:rsid w:val="001422BD"/>
    <w:rsid w:val="0014286D"/>
    <w:rsid w:val="00143B8E"/>
    <w:rsid w:val="00143F21"/>
    <w:rsid w:val="0014420C"/>
    <w:rsid w:val="001446C3"/>
    <w:rsid w:val="001457FF"/>
    <w:rsid w:val="001461A7"/>
    <w:rsid w:val="00146946"/>
    <w:rsid w:val="001477E5"/>
    <w:rsid w:val="001513CE"/>
    <w:rsid w:val="00151465"/>
    <w:rsid w:val="00151AD8"/>
    <w:rsid w:val="00151E77"/>
    <w:rsid w:val="00153287"/>
    <w:rsid w:val="001538BE"/>
    <w:rsid w:val="00153C33"/>
    <w:rsid w:val="00155198"/>
    <w:rsid w:val="00155EF1"/>
    <w:rsid w:val="00156192"/>
    <w:rsid w:val="00156E57"/>
    <w:rsid w:val="0015710D"/>
    <w:rsid w:val="00157338"/>
    <w:rsid w:val="00157DEB"/>
    <w:rsid w:val="001610BC"/>
    <w:rsid w:val="00161847"/>
    <w:rsid w:val="00161E13"/>
    <w:rsid w:val="001629D8"/>
    <w:rsid w:val="00162B2A"/>
    <w:rsid w:val="00162B8D"/>
    <w:rsid w:val="00162F9F"/>
    <w:rsid w:val="00164803"/>
    <w:rsid w:val="00164AE0"/>
    <w:rsid w:val="00165BF5"/>
    <w:rsid w:val="0016646A"/>
    <w:rsid w:val="00167C43"/>
    <w:rsid w:val="0017120C"/>
    <w:rsid w:val="001727D7"/>
    <w:rsid w:val="00172C96"/>
    <w:rsid w:val="00172DDC"/>
    <w:rsid w:val="00172F3A"/>
    <w:rsid w:val="00173477"/>
    <w:rsid w:val="0017414F"/>
    <w:rsid w:val="0017432C"/>
    <w:rsid w:val="00174636"/>
    <w:rsid w:val="00174735"/>
    <w:rsid w:val="0017481D"/>
    <w:rsid w:val="00174B1B"/>
    <w:rsid w:val="00174BD8"/>
    <w:rsid w:val="001750BC"/>
    <w:rsid w:val="001765BB"/>
    <w:rsid w:val="0017667E"/>
    <w:rsid w:val="00176AE8"/>
    <w:rsid w:val="00176E76"/>
    <w:rsid w:val="00177570"/>
    <w:rsid w:val="00177E95"/>
    <w:rsid w:val="0018007F"/>
    <w:rsid w:val="001811FC"/>
    <w:rsid w:val="00182338"/>
    <w:rsid w:val="00182348"/>
    <w:rsid w:val="00183F50"/>
    <w:rsid w:val="00184690"/>
    <w:rsid w:val="00184BD9"/>
    <w:rsid w:val="00184ED6"/>
    <w:rsid w:val="00184F13"/>
    <w:rsid w:val="00184FD9"/>
    <w:rsid w:val="00186037"/>
    <w:rsid w:val="00186D14"/>
    <w:rsid w:val="001876D8"/>
    <w:rsid w:val="00187F2B"/>
    <w:rsid w:val="00190325"/>
    <w:rsid w:val="00190391"/>
    <w:rsid w:val="00191593"/>
    <w:rsid w:val="001918F1"/>
    <w:rsid w:val="0019196E"/>
    <w:rsid w:val="00191FF5"/>
    <w:rsid w:val="001926D7"/>
    <w:rsid w:val="00192CCE"/>
    <w:rsid w:val="0019385B"/>
    <w:rsid w:val="00193F1C"/>
    <w:rsid w:val="001948F5"/>
    <w:rsid w:val="00194958"/>
    <w:rsid w:val="00197205"/>
    <w:rsid w:val="00197A9D"/>
    <w:rsid w:val="001A1FDD"/>
    <w:rsid w:val="001A2D8F"/>
    <w:rsid w:val="001A3D89"/>
    <w:rsid w:val="001A545B"/>
    <w:rsid w:val="001A54DA"/>
    <w:rsid w:val="001A625A"/>
    <w:rsid w:val="001A6861"/>
    <w:rsid w:val="001A6FEC"/>
    <w:rsid w:val="001B143B"/>
    <w:rsid w:val="001B1777"/>
    <w:rsid w:val="001B19C5"/>
    <w:rsid w:val="001B1B6D"/>
    <w:rsid w:val="001B1C93"/>
    <w:rsid w:val="001B21CA"/>
    <w:rsid w:val="001B28D5"/>
    <w:rsid w:val="001B35D4"/>
    <w:rsid w:val="001B4446"/>
    <w:rsid w:val="001B5A00"/>
    <w:rsid w:val="001B5BAE"/>
    <w:rsid w:val="001B5F59"/>
    <w:rsid w:val="001B63A7"/>
    <w:rsid w:val="001B6E89"/>
    <w:rsid w:val="001C0125"/>
    <w:rsid w:val="001C1074"/>
    <w:rsid w:val="001C165B"/>
    <w:rsid w:val="001C25F5"/>
    <w:rsid w:val="001C34D0"/>
    <w:rsid w:val="001C4249"/>
    <w:rsid w:val="001C4F27"/>
    <w:rsid w:val="001C6573"/>
    <w:rsid w:val="001C6D22"/>
    <w:rsid w:val="001C7D03"/>
    <w:rsid w:val="001D00BE"/>
    <w:rsid w:val="001D079B"/>
    <w:rsid w:val="001D0D32"/>
    <w:rsid w:val="001D17C9"/>
    <w:rsid w:val="001D1AB9"/>
    <w:rsid w:val="001D1F20"/>
    <w:rsid w:val="001D3795"/>
    <w:rsid w:val="001D4006"/>
    <w:rsid w:val="001D54BD"/>
    <w:rsid w:val="001D5C72"/>
    <w:rsid w:val="001D626E"/>
    <w:rsid w:val="001D733B"/>
    <w:rsid w:val="001D7D0A"/>
    <w:rsid w:val="001E028E"/>
    <w:rsid w:val="001E0902"/>
    <w:rsid w:val="001E1801"/>
    <w:rsid w:val="001E1C73"/>
    <w:rsid w:val="001E1E05"/>
    <w:rsid w:val="001E22D2"/>
    <w:rsid w:val="001E2343"/>
    <w:rsid w:val="001E3A17"/>
    <w:rsid w:val="001E3FCB"/>
    <w:rsid w:val="001E52DF"/>
    <w:rsid w:val="001E6768"/>
    <w:rsid w:val="001E6BCB"/>
    <w:rsid w:val="001E783B"/>
    <w:rsid w:val="001E7A14"/>
    <w:rsid w:val="001E7FBC"/>
    <w:rsid w:val="001F02B3"/>
    <w:rsid w:val="001F0822"/>
    <w:rsid w:val="001F08CB"/>
    <w:rsid w:val="001F15F6"/>
    <w:rsid w:val="001F179C"/>
    <w:rsid w:val="001F24B7"/>
    <w:rsid w:val="001F2649"/>
    <w:rsid w:val="001F3496"/>
    <w:rsid w:val="001F3B61"/>
    <w:rsid w:val="001F41CA"/>
    <w:rsid w:val="001F4355"/>
    <w:rsid w:val="001F61DE"/>
    <w:rsid w:val="001F7054"/>
    <w:rsid w:val="002000AA"/>
    <w:rsid w:val="0020302A"/>
    <w:rsid w:val="002032A0"/>
    <w:rsid w:val="00203532"/>
    <w:rsid w:val="00203AE0"/>
    <w:rsid w:val="00204106"/>
    <w:rsid w:val="00204109"/>
    <w:rsid w:val="0020524C"/>
    <w:rsid w:val="002059E3"/>
    <w:rsid w:val="002118D1"/>
    <w:rsid w:val="00211DCE"/>
    <w:rsid w:val="00212390"/>
    <w:rsid w:val="00212897"/>
    <w:rsid w:val="0021386A"/>
    <w:rsid w:val="00213C44"/>
    <w:rsid w:val="002147EE"/>
    <w:rsid w:val="00215516"/>
    <w:rsid w:val="002159D5"/>
    <w:rsid w:val="00215C05"/>
    <w:rsid w:val="002161E3"/>
    <w:rsid w:val="00216DF5"/>
    <w:rsid w:val="00216EFA"/>
    <w:rsid w:val="00216FF8"/>
    <w:rsid w:val="0021798E"/>
    <w:rsid w:val="00217CA1"/>
    <w:rsid w:val="00217DEE"/>
    <w:rsid w:val="002203BF"/>
    <w:rsid w:val="00220C4C"/>
    <w:rsid w:val="002217FE"/>
    <w:rsid w:val="0022180C"/>
    <w:rsid w:val="00221C72"/>
    <w:rsid w:val="002225AB"/>
    <w:rsid w:val="002250D1"/>
    <w:rsid w:val="002267D2"/>
    <w:rsid w:val="002271A0"/>
    <w:rsid w:val="00230839"/>
    <w:rsid w:val="00231ADB"/>
    <w:rsid w:val="00232178"/>
    <w:rsid w:val="00232248"/>
    <w:rsid w:val="00232D12"/>
    <w:rsid w:val="00233975"/>
    <w:rsid w:val="002353E3"/>
    <w:rsid w:val="00235404"/>
    <w:rsid w:val="00235F30"/>
    <w:rsid w:val="00236287"/>
    <w:rsid w:val="002363FF"/>
    <w:rsid w:val="00236D10"/>
    <w:rsid w:val="002407CE"/>
    <w:rsid w:val="00242325"/>
    <w:rsid w:val="00243A38"/>
    <w:rsid w:val="0024474F"/>
    <w:rsid w:val="00244761"/>
    <w:rsid w:val="002450F2"/>
    <w:rsid w:val="00245B7F"/>
    <w:rsid w:val="002469C2"/>
    <w:rsid w:val="00247BDE"/>
    <w:rsid w:val="00247DE2"/>
    <w:rsid w:val="002505DE"/>
    <w:rsid w:val="002514FA"/>
    <w:rsid w:val="00252503"/>
    <w:rsid w:val="00252ED7"/>
    <w:rsid w:val="0025437C"/>
    <w:rsid w:val="002549E7"/>
    <w:rsid w:val="00254A7A"/>
    <w:rsid w:val="00254EA4"/>
    <w:rsid w:val="0025509C"/>
    <w:rsid w:val="0025575F"/>
    <w:rsid w:val="002561CC"/>
    <w:rsid w:val="002571E3"/>
    <w:rsid w:val="00257766"/>
    <w:rsid w:val="00260496"/>
    <w:rsid w:val="00260542"/>
    <w:rsid w:val="00260BAD"/>
    <w:rsid w:val="00260E3F"/>
    <w:rsid w:val="0026224C"/>
    <w:rsid w:val="00263937"/>
    <w:rsid w:val="00264C7C"/>
    <w:rsid w:val="0026650F"/>
    <w:rsid w:val="00266DC3"/>
    <w:rsid w:val="00270443"/>
    <w:rsid w:val="00270EE2"/>
    <w:rsid w:val="0027138C"/>
    <w:rsid w:val="0027185D"/>
    <w:rsid w:val="00272787"/>
    <w:rsid w:val="00272826"/>
    <w:rsid w:val="00272A7B"/>
    <w:rsid w:val="00272C44"/>
    <w:rsid w:val="002733A2"/>
    <w:rsid w:val="00273527"/>
    <w:rsid w:val="00273F6B"/>
    <w:rsid w:val="002747EF"/>
    <w:rsid w:val="00274B06"/>
    <w:rsid w:val="002754D3"/>
    <w:rsid w:val="00276944"/>
    <w:rsid w:val="002769AE"/>
    <w:rsid w:val="002817A6"/>
    <w:rsid w:val="00284203"/>
    <w:rsid w:val="00285237"/>
    <w:rsid w:val="00285E3F"/>
    <w:rsid w:val="0028610D"/>
    <w:rsid w:val="002862CC"/>
    <w:rsid w:val="00286BFE"/>
    <w:rsid w:val="00286C81"/>
    <w:rsid w:val="0028709F"/>
    <w:rsid w:val="00287524"/>
    <w:rsid w:val="00290119"/>
    <w:rsid w:val="0029040D"/>
    <w:rsid w:val="002908F8"/>
    <w:rsid w:val="00292E91"/>
    <w:rsid w:val="002930AD"/>
    <w:rsid w:val="00293254"/>
    <w:rsid w:val="00295002"/>
    <w:rsid w:val="0029555A"/>
    <w:rsid w:val="002971C7"/>
    <w:rsid w:val="002971F2"/>
    <w:rsid w:val="00297785"/>
    <w:rsid w:val="002A0444"/>
    <w:rsid w:val="002A0DD5"/>
    <w:rsid w:val="002A0F8D"/>
    <w:rsid w:val="002A1311"/>
    <w:rsid w:val="002A1377"/>
    <w:rsid w:val="002A211A"/>
    <w:rsid w:val="002A264B"/>
    <w:rsid w:val="002A4A82"/>
    <w:rsid w:val="002A4B33"/>
    <w:rsid w:val="002A5311"/>
    <w:rsid w:val="002A6E9B"/>
    <w:rsid w:val="002A6FBB"/>
    <w:rsid w:val="002B05D1"/>
    <w:rsid w:val="002B1933"/>
    <w:rsid w:val="002B20BD"/>
    <w:rsid w:val="002B2611"/>
    <w:rsid w:val="002B3A46"/>
    <w:rsid w:val="002B3F1C"/>
    <w:rsid w:val="002B4ED9"/>
    <w:rsid w:val="002B4EF4"/>
    <w:rsid w:val="002B58C5"/>
    <w:rsid w:val="002B6CA2"/>
    <w:rsid w:val="002B6E44"/>
    <w:rsid w:val="002B6E8A"/>
    <w:rsid w:val="002B726F"/>
    <w:rsid w:val="002B744E"/>
    <w:rsid w:val="002C000B"/>
    <w:rsid w:val="002C016F"/>
    <w:rsid w:val="002C09A1"/>
    <w:rsid w:val="002C09A8"/>
    <w:rsid w:val="002C103C"/>
    <w:rsid w:val="002C12C7"/>
    <w:rsid w:val="002C30F0"/>
    <w:rsid w:val="002C401A"/>
    <w:rsid w:val="002C532B"/>
    <w:rsid w:val="002C6D15"/>
    <w:rsid w:val="002C72F4"/>
    <w:rsid w:val="002C7C19"/>
    <w:rsid w:val="002C7E5B"/>
    <w:rsid w:val="002D0907"/>
    <w:rsid w:val="002D0E9E"/>
    <w:rsid w:val="002D1381"/>
    <w:rsid w:val="002D2D68"/>
    <w:rsid w:val="002D3067"/>
    <w:rsid w:val="002D38D9"/>
    <w:rsid w:val="002D4298"/>
    <w:rsid w:val="002D47E8"/>
    <w:rsid w:val="002D4FCC"/>
    <w:rsid w:val="002D68F4"/>
    <w:rsid w:val="002D7417"/>
    <w:rsid w:val="002D782B"/>
    <w:rsid w:val="002E0D9C"/>
    <w:rsid w:val="002E1247"/>
    <w:rsid w:val="002E26E8"/>
    <w:rsid w:val="002E3DD8"/>
    <w:rsid w:val="002E3ED8"/>
    <w:rsid w:val="002E5A01"/>
    <w:rsid w:val="002E5EA3"/>
    <w:rsid w:val="002E717C"/>
    <w:rsid w:val="002E7533"/>
    <w:rsid w:val="002E7A61"/>
    <w:rsid w:val="002F00B8"/>
    <w:rsid w:val="002F0106"/>
    <w:rsid w:val="002F03C8"/>
    <w:rsid w:val="002F188D"/>
    <w:rsid w:val="002F18A5"/>
    <w:rsid w:val="002F317F"/>
    <w:rsid w:val="002F51A2"/>
    <w:rsid w:val="002F5E95"/>
    <w:rsid w:val="002F63CA"/>
    <w:rsid w:val="002F67B4"/>
    <w:rsid w:val="002F6F73"/>
    <w:rsid w:val="002F7AA9"/>
    <w:rsid w:val="003004E3"/>
    <w:rsid w:val="00301C0D"/>
    <w:rsid w:val="00301D7B"/>
    <w:rsid w:val="00301E19"/>
    <w:rsid w:val="00304676"/>
    <w:rsid w:val="00306BE7"/>
    <w:rsid w:val="00311B66"/>
    <w:rsid w:val="00311F29"/>
    <w:rsid w:val="00314036"/>
    <w:rsid w:val="00314347"/>
    <w:rsid w:val="00314C4F"/>
    <w:rsid w:val="00314E5F"/>
    <w:rsid w:val="00314FAF"/>
    <w:rsid w:val="003162A5"/>
    <w:rsid w:val="00316591"/>
    <w:rsid w:val="00316994"/>
    <w:rsid w:val="00320C6D"/>
    <w:rsid w:val="003213A8"/>
    <w:rsid w:val="00321FA8"/>
    <w:rsid w:val="00321FD5"/>
    <w:rsid w:val="00321FFD"/>
    <w:rsid w:val="00322E18"/>
    <w:rsid w:val="00323C3D"/>
    <w:rsid w:val="00323D1D"/>
    <w:rsid w:val="00323F8A"/>
    <w:rsid w:val="00324D73"/>
    <w:rsid w:val="00326011"/>
    <w:rsid w:val="0032643D"/>
    <w:rsid w:val="00326D02"/>
    <w:rsid w:val="00327069"/>
    <w:rsid w:val="00327593"/>
    <w:rsid w:val="00327812"/>
    <w:rsid w:val="00327AFB"/>
    <w:rsid w:val="00327BAF"/>
    <w:rsid w:val="00327D10"/>
    <w:rsid w:val="00332CB8"/>
    <w:rsid w:val="00333428"/>
    <w:rsid w:val="003350B6"/>
    <w:rsid w:val="0033595E"/>
    <w:rsid w:val="0033601B"/>
    <w:rsid w:val="003364B6"/>
    <w:rsid w:val="0033764C"/>
    <w:rsid w:val="00337DF3"/>
    <w:rsid w:val="00340039"/>
    <w:rsid w:val="003400D3"/>
    <w:rsid w:val="0034024F"/>
    <w:rsid w:val="00340A77"/>
    <w:rsid w:val="00340DFB"/>
    <w:rsid w:val="003414CC"/>
    <w:rsid w:val="00341941"/>
    <w:rsid w:val="0034207A"/>
    <w:rsid w:val="0034278F"/>
    <w:rsid w:val="00343B47"/>
    <w:rsid w:val="0034404F"/>
    <w:rsid w:val="00344ACC"/>
    <w:rsid w:val="00345F01"/>
    <w:rsid w:val="0034654F"/>
    <w:rsid w:val="00346B28"/>
    <w:rsid w:val="00347685"/>
    <w:rsid w:val="003509A5"/>
    <w:rsid w:val="00351E21"/>
    <w:rsid w:val="00352327"/>
    <w:rsid w:val="00354405"/>
    <w:rsid w:val="00355A76"/>
    <w:rsid w:val="0035635F"/>
    <w:rsid w:val="003607EE"/>
    <w:rsid w:val="00360BC8"/>
    <w:rsid w:val="00360E35"/>
    <w:rsid w:val="003617AE"/>
    <w:rsid w:val="0036215C"/>
    <w:rsid w:val="003630F7"/>
    <w:rsid w:val="00363589"/>
    <w:rsid w:val="00363636"/>
    <w:rsid w:val="003651AC"/>
    <w:rsid w:val="003653AA"/>
    <w:rsid w:val="00366120"/>
    <w:rsid w:val="003661FF"/>
    <w:rsid w:val="00366A0C"/>
    <w:rsid w:val="00367462"/>
    <w:rsid w:val="00370507"/>
    <w:rsid w:val="00370682"/>
    <w:rsid w:val="003718D8"/>
    <w:rsid w:val="00372A01"/>
    <w:rsid w:val="003733DF"/>
    <w:rsid w:val="00373865"/>
    <w:rsid w:val="00373CE8"/>
    <w:rsid w:val="0037403C"/>
    <w:rsid w:val="00374DB0"/>
    <w:rsid w:val="003751C7"/>
    <w:rsid w:val="00375C84"/>
    <w:rsid w:val="00376524"/>
    <w:rsid w:val="00376E3B"/>
    <w:rsid w:val="003776FE"/>
    <w:rsid w:val="00380424"/>
    <w:rsid w:val="00380B9B"/>
    <w:rsid w:val="003818B3"/>
    <w:rsid w:val="003819F5"/>
    <w:rsid w:val="00381B57"/>
    <w:rsid w:val="00381D47"/>
    <w:rsid w:val="003821CC"/>
    <w:rsid w:val="003835F0"/>
    <w:rsid w:val="003845FB"/>
    <w:rsid w:val="003853B1"/>
    <w:rsid w:val="003853ED"/>
    <w:rsid w:val="00386421"/>
    <w:rsid w:val="00387AA1"/>
    <w:rsid w:val="0039082A"/>
    <w:rsid w:val="0039101F"/>
    <w:rsid w:val="00392EDB"/>
    <w:rsid w:val="003931AA"/>
    <w:rsid w:val="00393EEE"/>
    <w:rsid w:val="00394D45"/>
    <w:rsid w:val="00395132"/>
    <w:rsid w:val="00395D99"/>
    <w:rsid w:val="003968DF"/>
    <w:rsid w:val="003976C3"/>
    <w:rsid w:val="00397A64"/>
    <w:rsid w:val="003A099A"/>
    <w:rsid w:val="003A102C"/>
    <w:rsid w:val="003A1372"/>
    <w:rsid w:val="003A2B82"/>
    <w:rsid w:val="003A3927"/>
    <w:rsid w:val="003A3FF7"/>
    <w:rsid w:val="003A43D1"/>
    <w:rsid w:val="003A500A"/>
    <w:rsid w:val="003A6E29"/>
    <w:rsid w:val="003B0BDB"/>
    <w:rsid w:val="003B0E88"/>
    <w:rsid w:val="003B153F"/>
    <w:rsid w:val="003B17B0"/>
    <w:rsid w:val="003B1844"/>
    <w:rsid w:val="003B211E"/>
    <w:rsid w:val="003B24EA"/>
    <w:rsid w:val="003B2DA7"/>
    <w:rsid w:val="003B3AB7"/>
    <w:rsid w:val="003B3ABC"/>
    <w:rsid w:val="003B3D8E"/>
    <w:rsid w:val="003B3EB0"/>
    <w:rsid w:val="003B3FED"/>
    <w:rsid w:val="003B3FF1"/>
    <w:rsid w:val="003B417F"/>
    <w:rsid w:val="003B4217"/>
    <w:rsid w:val="003B59A1"/>
    <w:rsid w:val="003B7541"/>
    <w:rsid w:val="003B7F07"/>
    <w:rsid w:val="003C0F87"/>
    <w:rsid w:val="003C141E"/>
    <w:rsid w:val="003C1B83"/>
    <w:rsid w:val="003C210E"/>
    <w:rsid w:val="003C21B3"/>
    <w:rsid w:val="003C3503"/>
    <w:rsid w:val="003C40DE"/>
    <w:rsid w:val="003C4851"/>
    <w:rsid w:val="003C4C96"/>
    <w:rsid w:val="003C55E0"/>
    <w:rsid w:val="003C5E39"/>
    <w:rsid w:val="003C683A"/>
    <w:rsid w:val="003C6F06"/>
    <w:rsid w:val="003C7E2A"/>
    <w:rsid w:val="003D0079"/>
    <w:rsid w:val="003D10EC"/>
    <w:rsid w:val="003D29B9"/>
    <w:rsid w:val="003D3500"/>
    <w:rsid w:val="003D37B6"/>
    <w:rsid w:val="003D503A"/>
    <w:rsid w:val="003D649E"/>
    <w:rsid w:val="003D71A6"/>
    <w:rsid w:val="003D7709"/>
    <w:rsid w:val="003E0BAF"/>
    <w:rsid w:val="003E0E25"/>
    <w:rsid w:val="003E1409"/>
    <w:rsid w:val="003E16F2"/>
    <w:rsid w:val="003E78A9"/>
    <w:rsid w:val="003E7912"/>
    <w:rsid w:val="003F04E6"/>
    <w:rsid w:val="003F0D5F"/>
    <w:rsid w:val="003F1EEF"/>
    <w:rsid w:val="003F2CDD"/>
    <w:rsid w:val="003F30F1"/>
    <w:rsid w:val="003F32E3"/>
    <w:rsid w:val="003F5660"/>
    <w:rsid w:val="003F5717"/>
    <w:rsid w:val="003F5A39"/>
    <w:rsid w:val="003F5B56"/>
    <w:rsid w:val="003F5B9F"/>
    <w:rsid w:val="003F5C1A"/>
    <w:rsid w:val="003F6A6A"/>
    <w:rsid w:val="003F738D"/>
    <w:rsid w:val="003F7554"/>
    <w:rsid w:val="003F7FA1"/>
    <w:rsid w:val="00400B4E"/>
    <w:rsid w:val="00402E56"/>
    <w:rsid w:val="00403634"/>
    <w:rsid w:val="00404031"/>
    <w:rsid w:val="00404592"/>
    <w:rsid w:val="004047D1"/>
    <w:rsid w:val="00404B58"/>
    <w:rsid w:val="0040544F"/>
    <w:rsid w:val="0040625C"/>
    <w:rsid w:val="004069D2"/>
    <w:rsid w:val="004076FF"/>
    <w:rsid w:val="00411B17"/>
    <w:rsid w:val="0041222D"/>
    <w:rsid w:val="004124F2"/>
    <w:rsid w:val="00412E6F"/>
    <w:rsid w:val="00413C5C"/>
    <w:rsid w:val="0041567A"/>
    <w:rsid w:val="00415BCF"/>
    <w:rsid w:val="00415BF5"/>
    <w:rsid w:val="00416297"/>
    <w:rsid w:val="004162BC"/>
    <w:rsid w:val="00417083"/>
    <w:rsid w:val="0042057C"/>
    <w:rsid w:val="00420BDF"/>
    <w:rsid w:val="00421608"/>
    <w:rsid w:val="00421C23"/>
    <w:rsid w:val="0042261E"/>
    <w:rsid w:val="00422749"/>
    <w:rsid w:val="004233DC"/>
    <w:rsid w:val="00423B2E"/>
    <w:rsid w:val="004249EF"/>
    <w:rsid w:val="004255D9"/>
    <w:rsid w:val="00425763"/>
    <w:rsid w:val="00425C3C"/>
    <w:rsid w:val="004306AB"/>
    <w:rsid w:val="0043159D"/>
    <w:rsid w:val="0043171D"/>
    <w:rsid w:val="0043277F"/>
    <w:rsid w:val="004328D5"/>
    <w:rsid w:val="00432F78"/>
    <w:rsid w:val="004334A2"/>
    <w:rsid w:val="004335BC"/>
    <w:rsid w:val="00434723"/>
    <w:rsid w:val="00434729"/>
    <w:rsid w:val="0043617B"/>
    <w:rsid w:val="00437D17"/>
    <w:rsid w:val="00437D2F"/>
    <w:rsid w:val="0044046D"/>
    <w:rsid w:val="004410D3"/>
    <w:rsid w:val="00441DAF"/>
    <w:rsid w:val="00443310"/>
    <w:rsid w:val="00443A34"/>
    <w:rsid w:val="00443D38"/>
    <w:rsid w:val="00444140"/>
    <w:rsid w:val="00444BF5"/>
    <w:rsid w:val="00444F43"/>
    <w:rsid w:val="00450744"/>
    <w:rsid w:val="00450BE7"/>
    <w:rsid w:val="00450FE8"/>
    <w:rsid w:val="0045213A"/>
    <w:rsid w:val="0045230E"/>
    <w:rsid w:val="004528FA"/>
    <w:rsid w:val="00452D67"/>
    <w:rsid w:val="00452E53"/>
    <w:rsid w:val="00455B00"/>
    <w:rsid w:val="00455B97"/>
    <w:rsid w:val="00456BFD"/>
    <w:rsid w:val="004572CB"/>
    <w:rsid w:val="004575D5"/>
    <w:rsid w:val="004607D0"/>
    <w:rsid w:val="00460CE3"/>
    <w:rsid w:val="004612A4"/>
    <w:rsid w:val="004624D2"/>
    <w:rsid w:val="004625C8"/>
    <w:rsid w:val="0046442A"/>
    <w:rsid w:val="00464BF1"/>
    <w:rsid w:val="004676E4"/>
    <w:rsid w:val="00470183"/>
    <w:rsid w:val="004708C9"/>
    <w:rsid w:val="00470C48"/>
    <w:rsid w:val="00471429"/>
    <w:rsid w:val="00471D00"/>
    <w:rsid w:val="00473792"/>
    <w:rsid w:val="00473A47"/>
    <w:rsid w:val="00473A4F"/>
    <w:rsid w:val="00473C0A"/>
    <w:rsid w:val="00473EEF"/>
    <w:rsid w:val="00474415"/>
    <w:rsid w:val="004746C6"/>
    <w:rsid w:val="00474BC1"/>
    <w:rsid w:val="00477459"/>
    <w:rsid w:val="00477CC9"/>
    <w:rsid w:val="0048026E"/>
    <w:rsid w:val="00480303"/>
    <w:rsid w:val="004807A9"/>
    <w:rsid w:val="00480A8A"/>
    <w:rsid w:val="00481318"/>
    <w:rsid w:val="004813EE"/>
    <w:rsid w:val="004829B5"/>
    <w:rsid w:val="00482CDC"/>
    <w:rsid w:val="00483B03"/>
    <w:rsid w:val="0048444C"/>
    <w:rsid w:val="00485702"/>
    <w:rsid w:val="004867EC"/>
    <w:rsid w:val="00487662"/>
    <w:rsid w:val="004876C6"/>
    <w:rsid w:val="00487D7B"/>
    <w:rsid w:val="00490F7A"/>
    <w:rsid w:val="00490FD5"/>
    <w:rsid w:val="00491241"/>
    <w:rsid w:val="00491813"/>
    <w:rsid w:val="00493278"/>
    <w:rsid w:val="00493855"/>
    <w:rsid w:val="004951D8"/>
    <w:rsid w:val="004952C1"/>
    <w:rsid w:val="00497575"/>
    <w:rsid w:val="004A078B"/>
    <w:rsid w:val="004A094A"/>
    <w:rsid w:val="004A099C"/>
    <w:rsid w:val="004A12C0"/>
    <w:rsid w:val="004A169A"/>
    <w:rsid w:val="004A18C9"/>
    <w:rsid w:val="004A191A"/>
    <w:rsid w:val="004A1A70"/>
    <w:rsid w:val="004A419E"/>
    <w:rsid w:val="004A6463"/>
    <w:rsid w:val="004A6B58"/>
    <w:rsid w:val="004B06C3"/>
    <w:rsid w:val="004B0917"/>
    <w:rsid w:val="004B0B09"/>
    <w:rsid w:val="004B140F"/>
    <w:rsid w:val="004B21CF"/>
    <w:rsid w:val="004B3222"/>
    <w:rsid w:val="004B53F1"/>
    <w:rsid w:val="004B5D6E"/>
    <w:rsid w:val="004B60BA"/>
    <w:rsid w:val="004B6946"/>
    <w:rsid w:val="004B6E81"/>
    <w:rsid w:val="004C0844"/>
    <w:rsid w:val="004C136D"/>
    <w:rsid w:val="004C1619"/>
    <w:rsid w:val="004C177F"/>
    <w:rsid w:val="004C1B59"/>
    <w:rsid w:val="004C3C25"/>
    <w:rsid w:val="004C3EEA"/>
    <w:rsid w:val="004C4EA2"/>
    <w:rsid w:val="004C596B"/>
    <w:rsid w:val="004C60E7"/>
    <w:rsid w:val="004C7BDE"/>
    <w:rsid w:val="004D0090"/>
    <w:rsid w:val="004D020F"/>
    <w:rsid w:val="004D03D1"/>
    <w:rsid w:val="004D11AF"/>
    <w:rsid w:val="004D41A2"/>
    <w:rsid w:val="004D502C"/>
    <w:rsid w:val="004D5C00"/>
    <w:rsid w:val="004D60A3"/>
    <w:rsid w:val="004D71CA"/>
    <w:rsid w:val="004E016A"/>
    <w:rsid w:val="004E0461"/>
    <w:rsid w:val="004E29B1"/>
    <w:rsid w:val="004E3F87"/>
    <w:rsid w:val="004E461B"/>
    <w:rsid w:val="004E477D"/>
    <w:rsid w:val="004E5890"/>
    <w:rsid w:val="004E648A"/>
    <w:rsid w:val="004E7B33"/>
    <w:rsid w:val="004F0368"/>
    <w:rsid w:val="004F0D19"/>
    <w:rsid w:val="004F121B"/>
    <w:rsid w:val="004F2811"/>
    <w:rsid w:val="004F590E"/>
    <w:rsid w:val="004F5966"/>
    <w:rsid w:val="004F60F4"/>
    <w:rsid w:val="004F62E8"/>
    <w:rsid w:val="004F6C17"/>
    <w:rsid w:val="004F7390"/>
    <w:rsid w:val="004F78F8"/>
    <w:rsid w:val="005001A5"/>
    <w:rsid w:val="005009C2"/>
    <w:rsid w:val="00500CCD"/>
    <w:rsid w:val="005019AA"/>
    <w:rsid w:val="00503C3B"/>
    <w:rsid w:val="00503CE7"/>
    <w:rsid w:val="005042DB"/>
    <w:rsid w:val="0050458E"/>
    <w:rsid w:val="00505928"/>
    <w:rsid w:val="00505CD6"/>
    <w:rsid w:val="005069B2"/>
    <w:rsid w:val="00507A0D"/>
    <w:rsid w:val="00510452"/>
    <w:rsid w:val="005108EC"/>
    <w:rsid w:val="00510988"/>
    <w:rsid w:val="00510DEE"/>
    <w:rsid w:val="00511F8F"/>
    <w:rsid w:val="00513291"/>
    <w:rsid w:val="005147DA"/>
    <w:rsid w:val="005153AC"/>
    <w:rsid w:val="005153C3"/>
    <w:rsid w:val="00515745"/>
    <w:rsid w:val="00515862"/>
    <w:rsid w:val="005165FE"/>
    <w:rsid w:val="00516942"/>
    <w:rsid w:val="00516DC0"/>
    <w:rsid w:val="00516DC5"/>
    <w:rsid w:val="00520BBA"/>
    <w:rsid w:val="005225AC"/>
    <w:rsid w:val="005233F3"/>
    <w:rsid w:val="0052365C"/>
    <w:rsid w:val="005245D2"/>
    <w:rsid w:val="0052488B"/>
    <w:rsid w:val="00524C98"/>
    <w:rsid w:val="00524C9C"/>
    <w:rsid w:val="00524EDD"/>
    <w:rsid w:val="00525B59"/>
    <w:rsid w:val="005269C4"/>
    <w:rsid w:val="00526A20"/>
    <w:rsid w:val="005312C7"/>
    <w:rsid w:val="0053387B"/>
    <w:rsid w:val="00533DBF"/>
    <w:rsid w:val="00534940"/>
    <w:rsid w:val="00535673"/>
    <w:rsid w:val="00535D6B"/>
    <w:rsid w:val="00536442"/>
    <w:rsid w:val="0054053D"/>
    <w:rsid w:val="0054126C"/>
    <w:rsid w:val="005415DD"/>
    <w:rsid w:val="005423F3"/>
    <w:rsid w:val="005426DB"/>
    <w:rsid w:val="005442F1"/>
    <w:rsid w:val="00544A24"/>
    <w:rsid w:val="0054583C"/>
    <w:rsid w:val="00546227"/>
    <w:rsid w:val="005468E2"/>
    <w:rsid w:val="00546D83"/>
    <w:rsid w:val="00547F11"/>
    <w:rsid w:val="00550113"/>
    <w:rsid w:val="005504BE"/>
    <w:rsid w:val="0055082B"/>
    <w:rsid w:val="0055093A"/>
    <w:rsid w:val="00550F00"/>
    <w:rsid w:val="00551ED7"/>
    <w:rsid w:val="0055211C"/>
    <w:rsid w:val="0055263A"/>
    <w:rsid w:val="005526EE"/>
    <w:rsid w:val="00552B57"/>
    <w:rsid w:val="00552E53"/>
    <w:rsid w:val="005531D5"/>
    <w:rsid w:val="00553E34"/>
    <w:rsid w:val="005547B7"/>
    <w:rsid w:val="005551E9"/>
    <w:rsid w:val="0055680D"/>
    <w:rsid w:val="00560094"/>
    <w:rsid w:val="00560C62"/>
    <w:rsid w:val="00562A61"/>
    <w:rsid w:val="005652D5"/>
    <w:rsid w:val="00567227"/>
    <w:rsid w:val="00570557"/>
    <w:rsid w:val="00570C7B"/>
    <w:rsid w:val="00571C77"/>
    <w:rsid w:val="00574614"/>
    <w:rsid w:val="00574A70"/>
    <w:rsid w:val="00574D35"/>
    <w:rsid w:val="00575C75"/>
    <w:rsid w:val="00577922"/>
    <w:rsid w:val="00577AC3"/>
    <w:rsid w:val="005815A8"/>
    <w:rsid w:val="00581915"/>
    <w:rsid w:val="00583431"/>
    <w:rsid w:val="005846C0"/>
    <w:rsid w:val="00584890"/>
    <w:rsid w:val="00584D04"/>
    <w:rsid w:val="0058567E"/>
    <w:rsid w:val="0058659E"/>
    <w:rsid w:val="005872DD"/>
    <w:rsid w:val="00587CF2"/>
    <w:rsid w:val="00587D3A"/>
    <w:rsid w:val="00590346"/>
    <w:rsid w:val="00590BA2"/>
    <w:rsid w:val="00590CA7"/>
    <w:rsid w:val="00590E93"/>
    <w:rsid w:val="005915E1"/>
    <w:rsid w:val="00591C75"/>
    <w:rsid w:val="0059253C"/>
    <w:rsid w:val="00592D10"/>
    <w:rsid w:val="00593A5F"/>
    <w:rsid w:val="0059404E"/>
    <w:rsid w:val="00594269"/>
    <w:rsid w:val="00595539"/>
    <w:rsid w:val="00597108"/>
    <w:rsid w:val="00597142"/>
    <w:rsid w:val="005A3E82"/>
    <w:rsid w:val="005A4DB0"/>
    <w:rsid w:val="005A5597"/>
    <w:rsid w:val="005A57BF"/>
    <w:rsid w:val="005A6AC2"/>
    <w:rsid w:val="005A7A65"/>
    <w:rsid w:val="005A7B26"/>
    <w:rsid w:val="005A7B8E"/>
    <w:rsid w:val="005B012B"/>
    <w:rsid w:val="005B0C87"/>
    <w:rsid w:val="005B0FE9"/>
    <w:rsid w:val="005B13D1"/>
    <w:rsid w:val="005B2195"/>
    <w:rsid w:val="005B26C7"/>
    <w:rsid w:val="005B2D65"/>
    <w:rsid w:val="005B3877"/>
    <w:rsid w:val="005B3AC8"/>
    <w:rsid w:val="005B3CC1"/>
    <w:rsid w:val="005B45AB"/>
    <w:rsid w:val="005B4D8F"/>
    <w:rsid w:val="005B501A"/>
    <w:rsid w:val="005B6551"/>
    <w:rsid w:val="005B71A8"/>
    <w:rsid w:val="005B744B"/>
    <w:rsid w:val="005C062E"/>
    <w:rsid w:val="005C0A6F"/>
    <w:rsid w:val="005C0FA7"/>
    <w:rsid w:val="005C1C0E"/>
    <w:rsid w:val="005C36E2"/>
    <w:rsid w:val="005C3AC3"/>
    <w:rsid w:val="005C3E9E"/>
    <w:rsid w:val="005C400C"/>
    <w:rsid w:val="005C410C"/>
    <w:rsid w:val="005C4BF1"/>
    <w:rsid w:val="005C4BF2"/>
    <w:rsid w:val="005C5BED"/>
    <w:rsid w:val="005C5D86"/>
    <w:rsid w:val="005C6167"/>
    <w:rsid w:val="005C6ADB"/>
    <w:rsid w:val="005C6D3E"/>
    <w:rsid w:val="005C6EE2"/>
    <w:rsid w:val="005C7A07"/>
    <w:rsid w:val="005C7DDC"/>
    <w:rsid w:val="005C7F7C"/>
    <w:rsid w:val="005D107D"/>
    <w:rsid w:val="005D123A"/>
    <w:rsid w:val="005D2506"/>
    <w:rsid w:val="005D3677"/>
    <w:rsid w:val="005D4E4C"/>
    <w:rsid w:val="005D5B5E"/>
    <w:rsid w:val="005D5C85"/>
    <w:rsid w:val="005D5CA0"/>
    <w:rsid w:val="005D72FC"/>
    <w:rsid w:val="005D7DFC"/>
    <w:rsid w:val="005E035A"/>
    <w:rsid w:val="005E053E"/>
    <w:rsid w:val="005E1218"/>
    <w:rsid w:val="005E19BE"/>
    <w:rsid w:val="005E1B6B"/>
    <w:rsid w:val="005E2281"/>
    <w:rsid w:val="005E236C"/>
    <w:rsid w:val="005E351B"/>
    <w:rsid w:val="005E38A8"/>
    <w:rsid w:val="005E39F9"/>
    <w:rsid w:val="005E4828"/>
    <w:rsid w:val="005E5231"/>
    <w:rsid w:val="005E55BB"/>
    <w:rsid w:val="005E5D11"/>
    <w:rsid w:val="005E667C"/>
    <w:rsid w:val="005E6A1D"/>
    <w:rsid w:val="005E6F12"/>
    <w:rsid w:val="005E760A"/>
    <w:rsid w:val="005F0694"/>
    <w:rsid w:val="005F06E1"/>
    <w:rsid w:val="005F077C"/>
    <w:rsid w:val="005F0B88"/>
    <w:rsid w:val="005F1735"/>
    <w:rsid w:val="005F187E"/>
    <w:rsid w:val="005F252A"/>
    <w:rsid w:val="005F3CE8"/>
    <w:rsid w:val="005F4F41"/>
    <w:rsid w:val="005F5192"/>
    <w:rsid w:val="005F566D"/>
    <w:rsid w:val="005F648F"/>
    <w:rsid w:val="005F68C3"/>
    <w:rsid w:val="005F7D87"/>
    <w:rsid w:val="00600E09"/>
    <w:rsid w:val="00601794"/>
    <w:rsid w:val="00601E94"/>
    <w:rsid w:val="006021B1"/>
    <w:rsid w:val="006037C5"/>
    <w:rsid w:val="006040CE"/>
    <w:rsid w:val="0060467D"/>
    <w:rsid w:val="00605A16"/>
    <w:rsid w:val="00605B9D"/>
    <w:rsid w:val="00606213"/>
    <w:rsid w:val="0060687B"/>
    <w:rsid w:val="00606B57"/>
    <w:rsid w:val="00606B85"/>
    <w:rsid w:val="00607390"/>
    <w:rsid w:val="006076D8"/>
    <w:rsid w:val="00607E6D"/>
    <w:rsid w:val="0061061D"/>
    <w:rsid w:val="00611A3B"/>
    <w:rsid w:val="00612389"/>
    <w:rsid w:val="00612570"/>
    <w:rsid w:val="00612871"/>
    <w:rsid w:val="00612A44"/>
    <w:rsid w:val="00612A8E"/>
    <w:rsid w:val="00613098"/>
    <w:rsid w:val="006134D9"/>
    <w:rsid w:val="006135DA"/>
    <w:rsid w:val="00613BDC"/>
    <w:rsid w:val="00615564"/>
    <w:rsid w:val="006155E2"/>
    <w:rsid w:val="00615F26"/>
    <w:rsid w:val="00617A81"/>
    <w:rsid w:val="00620579"/>
    <w:rsid w:val="006208AA"/>
    <w:rsid w:val="0062258F"/>
    <w:rsid w:val="00622E6D"/>
    <w:rsid w:val="006235A3"/>
    <w:rsid w:val="00623BC7"/>
    <w:rsid w:val="00623E70"/>
    <w:rsid w:val="006241D0"/>
    <w:rsid w:val="00624665"/>
    <w:rsid w:val="00625434"/>
    <w:rsid w:val="0062576B"/>
    <w:rsid w:val="00625C5F"/>
    <w:rsid w:val="00626032"/>
    <w:rsid w:val="00627643"/>
    <w:rsid w:val="00627788"/>
    <w:rsid w:val="006300CD"/>
    <w:rsid w:val="0063017E"/>
    <w:rsid w:val="006312D0"/>
    <w:rsid w:val="006318A4"/>
    <w:rsid w:val="00631D4F"/>
    <w:rsid w:val="00633496"/>
    <w:rsid w:val="006338D2"/>
    <w:rsid w:val="00633F92"/>
    <w:rsid w:val="0063408F"/>
    <w:rsid w:val="00634103"/>
    <w:rsid w:val="0063435E"/>
    <w:rsid w:val="006357E2"/>
    <w:rsid w:val="00635FD8"/>
    <w:rsid w:val="00636651"/>
    <w:rsid w:val="00636F7B"/>
    <w:rsid w:val="0064019C"/>
    <w:rsid w:val="00640288"/>
    <w:rsid w:val="006405AC"/>
    <w:rsid w:val="0064099D"/>
    <w:rsid w:val="0064103B"/>
    <w:rsid w:val="006412CD"/>
    <w:rsid w:val="006413D8"/>
    <w:rsid w:val="00641B7B"/>
    <w:rsid w:val="00641C55"/>
    <w:rsid w:val="00642405"/>
    <w:rsid w:val="00642645"/>
    <w:rsid w:val="006437E8"/>
    <w:rsid w:val="006438E0"/>
    <w:rsid w:val="00644BED"/>
    <w:rsid w:val="00644E7D"/>
    <w:rsid w:val="006455CB"/>
    <w:rsid w:val="00646C8E"/>
    <w:rsid w:val="00646FD5"/>
    <w:rsid w:val="00647743"/>
    <w:rsid w:val="00652092"/>
    <w:rsid w:val="00652472"/>
    <w:rsid w:val="0065394E"/>
    <w:rsid w:val="00653B38"/>
    <w:rsid w:val="00654BD8"/>
    <w:rsid w:val="00656385"/>
    <w:rsid w:val="00656F19"/>
    <w:rsid w:val="006601EE"/>
    <w:rsid w:val="00660552"/>
    <w:rsid w:val="00660DBE"/>
    <w:rsid w:val="00661113"/>
    <w:rsid w:val="00661147"/>
    <w:rsid w:val="0066127D"/>
    <w:rsid w:val="00661AB0"/>
    <w:rsid w:val="006623A4"/>
    <w:rsid w:val="0066351C"/>
    <w:rsid w:val="00664693"/>
    <w:rsid w:val="00664DC0"/>
    <w:rsid w:val="006651CC"/>
    <w:rsid w:val="0066582B"/>
    <w:rsid w:val="00665CA1"/>
    <w:rsid w:val="00667421"/>
    <w:rsid w:val="0066780E"/>
    <w:rsid w:val="00667A31"/>
    <w:rsid w:val="00670251"/>
    <w:rsid w:val="00670702"/>
    <w:rsid w:val="006708EB"/>
    <w:rsid w:val="0067147C"/>
    <w:rsid w:val="00672A8A"/>
    <w:rsid w:val="00673F50"/>
    <w:rsid w:val="00674EEA"/>
    <w:rsid w:val="0067549D"/>
    <w:rsid w:val="006759B0"/>
    <w:rsid w:val="00676D27"/>
    <w:rsid w:val="00677012"/>
    <w:rsid w:val="00680D0E"/>
    <w:rsid w:val="00680F00"/>
    <w:rsid w:val="006825B4"/>
    <w:rsid w:val="006829BA"/>
    <w:rsid w:val="00682AF2"/>
    <w:rsid w:val="00682E8A"/>
    <w:rsid w:val="006837DE"/>
    <w:rsid w:val="0068537F"/>
    <w:rsid w:val="00686104"/>
    <w:rsid w:val="00686334"/>
    <w:rsid w:val="00686C3A"/>
    <w:rsid w:val="00687628"/>
    <w:rsid w:val="00687CFE"/>
    <w:rsid w:val="00690EB8"/>
    <w:rsid w:val="006915E5"/>
    <w:rsid w:val="00692401"/>
    <w:rsid w:val="006941CC"/>
    <w:rsid w:val="006945D4"/>
    <w:rsid w:val="00694EC0"/>
    <w:rsid w:val="00695F56"/>
    <w:rsid w:val="0069758B"/>
    <w:rsid w:val="006A0B6C"/>
    <w:rsid w:val="006A1692"/>
    <w:rsid w:val="006A16E1"/>
    <w:rsid w:val="006A3293"/>
    <w:rsid w:val="006A3C8A"/>
    <w:rsid w:val="006A3E61"/>
    <w:rsid w:val="006A5213"/>
    <w:rsid w:val="006A6003"/>
    <w:rsid w:val="006A6737"/>
    <w:rsid w:val="006B1E08"/>
    <w:rsid w:val="006B26B1"/>
    <w:rsid w:val="006B2E45"/>
    <w:rsid w:val="006B3875"/>
    <w:rsid w:val="006B43C1"/>
    <w:rsid w:val="006B545C"/>
    <w:rsid w:val="006B5AC8"/>
    <w:rsid w:val="006B5D32"/>
    <w:rsid w:val="006B758B"/>
    <w:rsid w:val="006B7BF8"/>
    <w:rsid w:val="006C0F11"/>
    <w:rsid w:val="006C23E1"/>
    <w:rsid w:val="006C25D5"/>
    <w:rsid w:val="006C262B"/>
    <w:rsid w:val="006C31C6"/>
    <w:rsid w:val="006C3A2D"/>
    <w:rsid w:val="006C4666"/>
    <w:rsid w:val="006C4672"/>
    <w:rsid w:val="006C49BF"/>
    <w:rsid w:val="006C63D7"/>
    <w:rsid w:val="006C6894"/>
    <w:rsid w:val="006C69D9"/>
    <w:rsid w:val="006C7535"/>
    <w:rsid w:val="006C796D"/>
    <w:rsid w:val="006D0525"/>
    <w:rsid w:val="006D0753"/>
    <w:rsid w:val="006D08DC"/>
    <w:rsid w:val="006D2F09"/>
    <w:rsid w:val="006D2FD2"/>
    <w:rsid w:val="006D33E6"/>
    <w:rsid w:val="006D3DC0"/>
    <w:rsid w:val="006D4162"/>
    <w:rsid w:val="006D514E"/>
    <w:rsid w:val="006D5303"/>
    <w:rsid w:val="006D5E84"/>
    <w:rsid w:val="006D7C99"/>
    <w:rsid w:val="006E0443"/>
    <w:rsid w:val="006E0C50"/>
    <w:rsid w:val="006E0DCF"/>
    <w:rsid w:val="006E14D6"/>
    <w:rsid w:val="006E1647"/>
    <w:rsid w:val="006E2298"/>
    <w:rsid w:val="006E2F3A"/>
    <w:rsid w:val="006E310A"/>
    <w:rsid w:val="006E3C3E"/>
    <w:rsid w:val="006E429F"/>
    <w:rsid w:val="006E47E0"/>
    <w:rsid w:val="006E6F30"/>
    <w:rsid w:val="006E7082"/>
    <w:rsid w:val="006E709F"/>
    <w:rsid w:val="006E7F73"/>
    <w:rsid w:val="006F030F"/>
    <w:rsid w:val="006F059E"/>
    <w:rsid w:val="006F193C"/>
    <w:rsid w:val="006F1B58"/>
    <w:rsid w:val="006F2B89"/>
    <w:rsid w:val="006F36F1"/>
    <w:rsid w:val="006F3B81"/>
    <w:rsid w:val="006F4D59"/>
    <w:rsid w:val="006F4F79"/>
    <w:rsid w:val="006F4F80"/>
    <w:rsid w:val="006F5532"/>
    <w:rsid w:val="006F62CC"/>
    <w:rsid w:val="006F644B"/>
    <w:rsid w:val="006F66C1"/>
    <w:rsid w:val="006F681D"/>
    <w:rsid w:val="006F78E9"/>
    <w:rsid w:val="0070235F"/>
    <w:rsid w:val="00702BC3"/>
    <w:rsid w:val="00702C5E"/>
    <w:rsid w:val="00702CC4"/>
    <w:rsid w:val="007032AC"/>
    <w:rsid w:val="00703496"/>
    <w:rsid w:val="007036FE"/>
    <w:rsid w:val="007042DB"/>
    <w:rsid w:val="00704614"/>
    <w:rsid w:val="00705B37"/>
    <w:rsid w:val="0070658A"/>
    <w:rsid w:val="00706B65"/>
    <w:rsid w:val="00707C1A"/>
    <w:rsid w:val="00710023"/>
    <w:rsid w:val="00710207"/>
    <w:rsid w:val="0071023D"/>
    <w:rsid w:val="00710530"/>
    <w:rsid w:val="007107BD"/>
    <w:rsid w:val="00711E77"/>
    <w:rsid w:val="00712912"/>
    <w:rsid w:val="007141DC"/>
    <w:rsid w:val="00714B04"/>
    <w:rsid w:val="00714F75"/>
    <w:rsid w:val="007168A0"/>
    <w:rsid w:val="00716C95"/>
    <w:rsid w:val="00717762"/>
    <w:rsid w:val="00721A63"/>
    <w:rsid w:val="00721DED"/>
    <w:rsid w:val="00721FF9"/>
    <w:rsid w:val="0072229E"/>
    <w:rsid w:val="0072337E"/>
    <w:rsid w:val="00723696"/>
    <w:rsid w:val="0072541E"/>
    <w:rsid w:val="00725735"/>
    <w:rsid w:val="0072630D"/>
    <w:rsid w:val="00726A2A"/>
    <w:rsid w:val="007273BC"/>
    <w:rsid w:val="007276E5"/>
    <w:rsid w:val="00730943"/>
    <w:rsid w:val="007318DF"/>
    <w:rsid w:val="00733E5A"/>
    <w:rsid w:val="00733F25"/>
    <w:rsid w:val="00736395"/>
    <w:rsid w:val="00736459"/>
    <w:rsid w:val="0073685F"/>
    <w:rsid w:val="00737821"/>
    <w:rsid w:val="0074058F"/>
    <w:rsid w:val="00741175"/>
    <w:rsid w:val="007418FC"/>
    <w:rsid w:val="007419FB"/>
    <w:rsid w:val="00742606"/>
    <w:rsid w:val="007441FF"/>
    <w:rsid w:val="00744EE8"/>
    <w:rsid w:val="007450B8"/>
    <w:rsid w:val="007459F5"/>
    <w:rsid w:val="007467E4"/>
    <w:rsid w:val="00747569"/>
    <w:rsid w:val="00750238"/>
    <w:rsid w:val="0075023C"/>
    <w:rsid w:val="007518B4"/>
    <w:rsid w:val="007518E3"/>
    <w:rsid w:val="007518E9"/>
    <w:rsid w:val="00752247"/>
    <w:rsid w:val="007523E7"/>
    <w:rsid w:val="007531CA"/>
    <w:rsid w:val="00754252"/>
    <w:rsid w:val="00755953"/>
    <w:rsid w:val="007577B1"/>
    <w:rsid w:val="00757CB3"/>
    <w:rsid w:val="00757D87"/>
    <w:rsid w:val="00760EED"/>
    <w:rsid w:val="0076109F"/>
    <w:rsid w:val="00761399"/>
    <w:rsid w:val="00761564"/>
    <w:rsid w:val="00761615"/>
    <w:rsid w:val="007616DA"/>
    <w:rsid w:val="007619CE"/>
    <w:rsid w:val="00761F4F"/>
    <w:rsid w:val="007620DC"/>
    <w:rsid w:val="00762102"/>
    <w:rsid w:val="0076255D"/>
    <w:rsid w:val="007625F6"/>
    <w:rsid w:val="00762B8B"/>
    <w:rsid w:val="00764AF9"/>
    <w:rsid w:val="007650AD"/>
    <w:rsid w:val="00765351"/>
    <w:rsid w:val="00765D18"/>
    <w:rsid w:val="0076640B"/>
    <w:rsid w:val="00770C54"/>
    <w:rsid w:val="00771344"/>
    <w:rsid w:val="00771F66"/>
    <w:rsid w:val="00772613"/>
    <w:rsid w:val="00772B41"/>
    <w:rsid w:val="00772CED"/>
    <w:rsid w:val="00773EA1"/>
    <w:rsid w:val="00774118"/>
    <w:rsid w:val="00775215"/>
    <w:rsid w:val="00776472"/>
    <w:rsid w:val="00776ACC"/>
    <w:rsid w:val="00777C71"/>
    <w:rsid w:val="00777D6B"/>
    <w:rsid w:val="00777F20"/>
    <w:rsid w:val="007804A2"/>
    <w:rsid w:val="00781148"/>
    <w:rsid w:val="0078265B"/>
    <w:rsid w:val="00782E10"/>
    <w:rsid w:val="00784DB8"/>
    <w:rsid w:val="00784FDD"/>
    <w:rsid w:val="0078508F"/>
    <w:rsid w:val="00786448"/>
    <w:rsid w:val="007875D7"/>
    <w:rsid w:val="007906B2"/>
    <w:rsid w:val="0079134E"/>
    <w:rsid w:val="007925F0"/>
    <w:rsid w:val="0079278E"/>
    <w:rsid w:val="00792DCA"/>
    <w:rsid w:val="00792E3C"/>
    <w:rsid w:val="007930C1"/>
    <w:rsid w:val="0079315D"/>
    <w:rsid w:val="00793B45"/>
    <w:rsid w:val="007960E3"/>
    <w:rsid w:val="007963D8"/>
    <w:rsid w:val="00796F7C"/>
    <w:rsid w:val="00797131"/>
    <w:rsid w:val="00797254"/>
    <w:rsid w:val="007A0F8D"/>
    <w:rsid w:val="007A1078"/>
    <w:rsid w:val="007A2313"/>
    <w:rsid w:val="007A257D"/>
    <w:rsid w:val="007A343D"/>
    <w:rsid w:val="007A3F1C"/>
    <w:rsid w:val="007A44F4"/>
    <w:rsid w:val="007A5ACE"/>
    <w:rsid w:val="007A5C5C"/>
    <w:rsid w:val="007A6528"/>
    <w:rsid w:val="007A76EE"/>
    <w:rsid w:val="007A7B48"/>
    <w:rsid w:val="007B05A4"/>
    <w:rsid w:val="007B18C6"/>
    <w:rsid w:val="007B20C2"/>
    <w:rsid w:val="007B25D5"/>
    <w:rsid w:val="007B27E4"/>
    <w:rsid w:val="007B2910"/>
    <w:rsid w:val="007B301D"/>
    <w:rsid w:val="007B35F6"/>
    <w:rsid w:val="007B3F87"/>
    <w:rsid w:val="007B404F"/>
    <w:rsid w:val="007B44A6"/>
    <w:rsid w:val="007B494E"/>
    <w:rsid w:val="007B4C5E"/>
    <w:rsid w:val="007B7462"/>
    <w:rsid w:val="007B7B52"/>
    <w:rsid w:val="007C0279"/>
    <w:rsid w:val="007C02A3"/>
    <w:rsid w:val="007C0C55"/>
    <w:rsid w:val="007C1507"/>
    <w:rsid w:val="007C2F60"/>
    <w:rsid w:val="007C4D8D"/>
    <w:rsid w:val="007C5144"/>
    <w:rsid w:val="007C5613"/>
    <w:rsid w:val="007C6138"/>
    <w:rsid w:val="007C6153"/>
    <w:rsid w:val="007C6BC6"/>
    <w:rsid w:val="007C6C12"/>
    <w:rsid w:val="007C73B2"/>
    <w:rsid w:val="007D0435"/>
    <w:rsid w:val="007D1B24"/>
    <w:rsid w:val="007D400A"/>
    <w:rsid w:val="007D4B0E"/>
    <w:rsid w:val="007D4DD2"/>
    <w:rsid w:val="007D5D0F"/>
    <w:rsid w:val="007D6EA8"/>
    <w:rsid w:val="007E1247"/>
    <w:rsid w:val="007E1A44"/>
    <w:rsid w:val="007E2419"/>
    <w:rsid w:val="007E3FF5"/>
    <w:rsid w:val="007E4219"/>
    <w:rsid w:val="007E577E"/>
    <w:rsid w:val="007E635E"/>
    <w:rsid w:val="007E6A9C"/>
    <w:rsid w:val="007E6C0C"/>
    <w:rsid w:val="007E7300"/>
    <w:rsid w:val="007E767B"/>
    <w:rsid w:val="007F038C"/>
    <w:rsid w:val="007F0428"/>
    <w:rsid w:val="007F0F24"/>
    <w:rsid w:val="007F11E7"/>
    <w:rsid w:val="007F1755"/>
    <w:rsid w:val="007F222B"/>
    <w:rsid w:val="007F3092"/>
    <w:rsid w:val="007F39B8"/>
    <w:rsid w:val="007F3C03"/>
    <w:rsid w:val="007F3E3F"/>
    <w:rsid w:val="007F45DF"/>
    <w:rsid w:val="007F4A6F"/>
    <w:rsid w:val="007F4FBC"/>
    <w:rsid w:val="007F5975"/>
    <w:rsid w:val="007F5AB9"/>
    <w:rsid w:val="007F6497"/>
    <w:rsid w:val="007F6836"/>
    <w:rsid w:val="007F7DF2"/>
    <w:rsid w:val="008006C0"/>
    <w:rsid w:val="00800A35"/>
    <w:rsid w:val="00800D91"/>
    <w:rsid w:val="00801A0E"/>
    <w:rsid w:val="00804E4C"/>
    <w:rsid w:val="0080662C"/>
    <w:rsid w:val="008070B2"/>
    <w:rsid w:val="00807D79"/>
    <w:rsid w:val="00810102"/>
    <w:rsid w:val="008102BC"/>
    <w:rsid w:val="008116F3"/>
    <w:rsid w:val="008117C4"/>
    <w:rsid w:val="00812461"/>
    <w:rsid w:val="008127E0"/>
    <w:rsid w:val="00812810"/>
    <w:rsid w:val="0081398E"/>
    <w:rsid w:val="008149D8"/>
    <w:rsid w:val="00815714"/>
    <w:rsid w:val="00815A2A"/>
    <w:rsid w:val="00815E52"/>
    <w:rsid w:val="0081681A"/>
    <w:rsid w:val="0081788A"/>
    <w:rsid w:val="00817927"/>
    <w:rsid w:val="00817CFC"/>
    <w:rsid w:val="00817E82"/>
    <w:rsid w:val="00821D81"/>
    <w:rsid w:val="00822A52"/>
    <w:rsid w:val="00823654"/>
    <w:rsid w:val="00823A90"/>
    <w:rsid w:val="00825C68"/>
    <w:rsid w:val="0082757E"/>
    <w:rsid w:val="00827B6C"/>
    <w:rsid w:val="00827D77"/>
    <w:rsid w:val="00830561"/>
    <w:rsid w:val="00831115"/>
    <w:rsid w:val="0083249C"/>
    <w:rsid w:val="00832D42"/>
    <w:rsid w:val="008333A9"/>
    <w:rsid w:val="00833419"/>
    <w:rsid w:val="00833D16"/>
    <w:rsid w:val="008342A5"/>
    <w:rsid w:val="00834BE2"/>
    <w:rsid w:val="00834EA4"/>
    <w:rsid w:val="008354B9"/>
    <w:rsid w:val="00835DCB"/>
    <w:rsid w:val="00836921"/>
    <w:rsid w:val="00837237"/>
    <w:rsid w:val="008376C0"/>
    <w:rsid w:val="0084035D"/>
    <w:rsid w:val="008405F9"/>
    <w:rsid w:val="0084060B"/>
    <w:rsid w:val="008408E9"/>
    <w:rsid w:val="0084139B"/>
    <w:rsid w:val="0084143B"/>
    <w:rsid w:val="00841A95"/>
    <w:rsid w:val="00842547"/>
    <w:rsid w:val="008427D3"/>
    <w:rsid w:val="008429CF"/>
    <w:rsid w:val="0084324C"/>
    <w:rsid w:val="008451F8"/>
    <w:rsid w:val="008457D2"/>
    <w:rsid w:val="00846212"/>
    <w:rsid w:val="008468E0"/>
    <w:rsid w:val="0084790F"/>
    <w:rsid w:val="00847BE7"/>
    <w:rsid w:val="00850EAB"/>
    <w:rsid w:val="00851D70"/>
    <w:rsid w:val="008529B3"/>
    <w:rsid w:val="00852ADD"/>
    <w:rsid w:val="00853883"/>
    <w:rsid w:val="00854CF7"/>
    <w:rsid w:val="00854D61"/>
    <w:rsid w:val="00854DA7"/>
    <w:rsid w:val="008557A0"/>
    <w:rsid w:val="00856607"/>
    <w:rsid w:val="008616A2"/>
    <w:rsid w:val="00861C6C"/>
    <w:rsid w:val="00863862"/>
    <w:rsid w:val="00863AAD"/>
    <w:rsid w:val="00864644"/>
    <w:rsid w:val="008661D2"/>
    <w:rsid w:val="00866296"/>
    <w:rsid w:val="008665C7"/>
    <w:rsid w:val="008707A3"/>
    <w:rsid w:val="00870A36"/>
    <w:rsid w:val="008723E9"/>
    <w:rsid w:val="00872F21"/>
    <w:rsid w:val="00873736"/>
    <w:rsid w:val="0087378E"/>
    <w:rsid w:val="008737DF"/>
    <w:rsid w:val="008755E7"/>
    <w:rsid w:val="00875E16"/>
    <w:rsid w:val="00877D03"/>
    <w:rsid w:val="00877E96"/>
    <w:rsid w:val="00877FF3"/>
    <w:rsid w:val="0088023D"/>
    <w:rsid w:val="008803CE"/>
    <w:rsid w:val="008817AC"/>
    <w:rsid w:val="00882077"/>
    <w:rsid w:val="00882842"/>
    <w:rsid w:val="00883613"/>
    <w:rsid w:val="0088557F"/>
    <w:rsid w:val="00886393"/>
    <w:rsid w:val="00886579"/>
    <w:rsid w:val="00886F19"/>
    <w:rsid w:val="00887865"/>
    <w:rsid w:val="00887B37"/>
    <w:rsid w:val="00890598"/>
    <w:rsid w:val="0089065A"/>
    <w:rsid w:val="00890DEB"/>
    <w:rsid w:val="0089177A"/>
    <w:rsid w:val="00891D7A"/>
    <w:rsid w:val="00891DFC"/>
    <w:rsid w:val="00892B98"/>
    <w:rsid w:val="008945D2"/>
    <w:rsid w:val="008959FC"/>
    <w:rsid w:val="00896668"/>
    <w:rsid w:val="008A1D0E"/>
    <w:rsid w:val="008A25EA"/>
    <w:rsid w:val="008A31C7"/>
    <w:rsid w:val="008A3215"/>
    <w:rsid w:val="008A322B"/>
    <w:rsid w:val="008A3E8B"/>
    <w:rsid w:val="008A410C"/>
    <w:rsid w:val="008A47BE"/>
    <w:rsid w:val="008A4AEC"/>
    <w:rsid w:val="008A5609"/>
    <w:rsid w:val="008A6DD5"/>
    <w:rsid w:val="008A6DF0"/>
    <w:rsid w:val="008A6FA0"/>
    <w:rsid w:val="008A79DF"/>
    <w:rsid w:val="008B15CE"/>
    <w:rsid w:val="008B1C8F"/>
    <w:rsid w:val="008B2570"/>
    <w:rsid w:val="008B2B19"/>
    <w:rsid w:val="008B2F40"/>
    <w:rsid w:val="008B2FCD"/>
    <w:rsid w:val="008B3627"/>
    <w:rsid w:val="008B56A0"/>
    <w:rsid w:val="008B5AA1"/>
    <w:rsid w:val="008B5E61"/>
    <w:rsid w:val="008B64CE"/>
    <w:rsid w:val="008B7914"/>
    <w:rsid w:val="008C127A"/>
    <w:rsid w:val="008C1932"/>
    <w:rsid w:val="008C2C7F"/>
    <w:rsid w:val="008C2F0D"/>
    <w:rsid w:val="008C500C"/>
    <w:rsid w:val="008C5D2A"/>
    <w:rsid w:val="008C6754"/>
    <w:rsid w:val="008C6C16"/>
    <w:rsid w:val="008C74FB"/>
    <w:rsid w:val="008C7AF4"/>
    <w:rsid w:val="008C7DA4"/>
    <w:rsid w:val="008D0210"/>
    <w:rsid w:val="008D0851"/>
    <w:rsid w:val="008D0DEF"/>
    <w:rsid w:val="008D0FCD"/>
    <w:rsid w:val="008D1074"/>
    <w:rsid w:val="008D1079"/>
    <w:rsid w:val="008D280F"/>
    <w:rsid w:val="008D318B"/>
    <w:rsid w:val="008D3994"/>
    <w:rsid w:val="008D3C3D"/>
    <w:rsid w:val="008D478E"/>
    <w:rsid w:val="008D534E"/>
    <w:rsid w:val="008D6E81"/>
    <w:rsid w:val="008D7739"/>
    <w:rsid w:val="008D7A64"/>
    <w:rsid w:val="008E0302"/>
    <w:rsid w:val="008E1267"/>
    <w:rsid w:val="008E19FD"/>
    <w:rsid w:val="008E2287"/>
    <w:rsid w:val="008E22F8"/>
    <w:rsid w:val="008E2356"/>
    <w:rsid w:val="008E39D8"/>
    <w:rsid w:val="008E5D73"/>
    <w:rsid w:val="008E606F"/>
    <w:rsid w:val="008E6AD9"/>
    <w:rsid w:val="008F022A"/>
    <w:rsid w:val="008F06FD"/>
    <w:rsid w:val="008F1172"/>
    <w:rsid w:val="008F27E3"/>
    <w:rsid w:val="008F3485"/>
    <w:rsid w:val="008F36DF"/>
    <w:rsid w:val="008F3AC3"/>
    <w:rsid w:val="008F51FF"/>
    <w:rsid w:val="008F5DEF"/>
    <w:rsid w:val="008F7C0A"/>
    <w:rsid w:val="00901DBB"/>
    <w:rsid w:val="009026CB"/>
    <w:rsid w:val="00902876"/>
    <w:rsid w:val="00902979"/>
    <w:rsid w:val="00903FB2"/>
    <w:rsid w:val="00904038"/>
    <w:rsid w:val="009041AF"/>
    <w:rsid w:val="009042AA"/>
    <w:rsid w:val="009049AB"/>
    <w:rsid w:val="009050B7"/>
    <w:rsid w:val="00905130"/>
    <w:rsid w:val="009053BD"/>
    <w:rsid w:val="00905728"/>
    <w:rsid w:val="009061B8"/>
    <w:rsid w:val="009064BF"/>
    <w:rsid w:val="009069B8"/>
    <w:rsid w:val="009130CC"/>
    <w:rsid w:val="00913AC6"/>
    <w:rsid w:val="00913B37"/>
    <w:rsid w:val="00914683"/>
    <w:rsid w:val="00914861"/>
    <w:rsid w:val="009148D8"/>
    <w:rsid w:val="00914B5F"/>
    <w:rsid w:val="00914E71"/>
    <w:rsid w:val="0091504C"/>
    <w:rsid w:val="0091554D"/>
    <w:rsid w:val="00915897"/>
    <w:rsid w:val="009159F3"/>
    <w:rsid w:val="00915B44"/>
    <w:rsid w:val="00915CD5"/>
    <w:rsid w:val="00916093"/>
    <w:rsid w:val="009160E3"/>
    <w:rsid w:val="0091639C"/>
    <w:rsid w:val="00916E99"/>
    <w:rsid w:val="0092002E"/>
    <w:rsid w:val="0092050A"/>
    <w:rsid w:val="00920EC6"/>
    <w:rsid w:val="0092101E"/>
    <w:rsid w:val="0092383B"/>
    <w:rsid w:val="00924119"/>
    <w:rsid w:val="00925120"/>
    <w:rsid w:val="009255FA"/>
    <w:rsid w:val="009262E4"/>
    <w:rsid w:val="009266D2"/>
    <w:rsid w:val="00927D4E"/>
    <w:rsid w:val="00930AC2"/>
    <w:rsid w:val="00930D2A"/>
    <w:rsid w:val="009312BF"/>
    <w:rsid w:val="00931B84"/>
    <w:rsid w:val="009322B2"/>
    <w:rsid w:val="00932E7E"/>
    <w:rsid w:val="0093442D"/>
    <w:rsid w:val="00934CD2"/>
    <w:rsid w:val="00936AB7"/>
    <w:rsid w:val="009375E5"/>
    <w:rsid w:val="00937D30"/>
    <w:rsid w:val="00941848"/>
    <w:rsid w:val="009437F2"/>
    <w:rsid w:val="009442E8"/>
    <w:rsid w:val="00944BA7"/>
    <w:rsid w:val="0094636D"/>
    <w:rsid w:val="0094759C"/>
    <w:rsid w:val="009503FE"/>
    <w:rsid w:val="00950448"/>
    <w:rsid w:val="009509F0"/>
    <w:rsid w:val="00950ACD"/>
    <w:rsid w:val="00950E37"/>
    <w:rsid w:val="00951666"/>
    <w:rsid w:val="0095182F"/>
    <w:rsid w:val="00952524"/>
    <w:rsid w:val="0095278F"/>
    <w:rsid w:val="0095330C"/>
    <w:rsid w:val="00953EAF"/>
    <w:rsid w:val="0095426C"/>
    <w:rsid w:val="00955EE9"/>
    <w:rsid w:val="00956BF5"/>
    <w:rsid w:val="009571C2"/>
    <w:rsid w:val="009575C3"/>
    <w:rsid w:val="0095770C"/>
    <w:rsid w:val="009579AF"/>
    <w:rsid w:val="00957CC8"/>
    <w:rsid w:val="00957EE7"/>
    <w:rsid w:val="0096086A"/>
    <w:rsid w:val="00961453"/>
    <w:rsid w:val="009616D4"/>
    <w:rsid w:val="00962150"/>
    <w:rsid w:val="00964166"/>
    <w:rsid w:val="009645AD"/>
    <w:rsid w:val="0096475C"/>
    <w:rsid w:val="0096546E"/>
    <w:rsid w:val="0096562A"/>
    <w:rsid w:val="00965865"/>
    <w:rsid w:val="00966096"/>
    <w:rsid w:val="00966A13"/>
    <w:rsid w:val="00967473"/>
    <w:rsid w:val="00967730"/>
    <w:rsid w:val="00970AC1"/>
    <w:rsid w:val="00970D56"/>
    <w:rsid w:val="00970E50"/>
    <w:rsid w:val="00971074"/>
    <w:rsid w:val="009725B2"/>
    <w:rsid w:val="009747AA"/>
    <w:rsid w:val="00974B99"/>
    <w:rsid w:val="00974BCB"/>
    <w:rsid w:val="0097529C"/>
    <w:rsid w:val="009758CD"/>
    <w:rsid w:val="00975BF2"/>
    <w:rsid w:val="009763E4"/>
    <w:rsid w:val="0097649D"/>
    <w:rsid w:val="0097654D"/>
    <w:rsid w:val="009766B7"/>
    <w:rsid w:val="00980A22"/>
    <w:rsid w:val="00980D85"/>
    <w:rsid w:val="00982075"/>
    <w:rsid w:val="00983094"/>
    <w:rsid w:val="00983599"/>
    <w:rsid w:val="009843DE"/>
    <w:rsid w:val="0098544F"/>
    <w:rsid w:val="00985B04"/>
    <w:rsid w:val="009861F9"/>
    <w:rsid w:val="00986A6D"/>
    <w:rsid w:val="00986B9E"/>
    <w:rsid w:val="00986BEF"/>
    <w:rsid w:val="00986D17"/>
    <w:rsid w:val="00987298"/>
    <w:rsid w:val="00991DF8"/>
    <w:rsid w:val="00992499"/>
    <w:rsid w:val="00992986"/>
    <w:rsid w:val="00992ECD"/>
    <w:rsid w:val="009936E2"/>
    <w:rsid w:val="00994B55"/>
    <w:rsid w:val="00995D86"/>
    <w:rsid w:val="00995FB2"/>
    <w:rsid w:val="0099781E"/>
    <w:rsid w:val="00997A68"/>
    <w:rsid w:val="009A00EA"/>
    <w:rsid w:val="009A1F6B"/>
    <w:rsid w:val="009A2C4C"/>
    <w:rsid w:val="009A2DD8"/>
    <w:rsid w:val="009A30DE"/>
    <w:rsid w:val="009A3D29"/>
    <w:rsid w:val="009A509F"/>
    <w:rsid w:val="009A5453"/>
    <w:rsid w:val="009A7532"/>
    <w:rsid w:val="009A7883"/>
    <w:rsid w:val="009A79C3"/>
    <w:rsid w:val="009B1D50"/>
    <w:rsid w:val="009B237F"/>
    <w:rsid w:val="009B2760"/>
    <w:rsid w:val="009B308D"/>
    <w:rsid w:val="009B38D5"/>
    <w:rsid w:val="009B3B62"/>
    <w:rsid w:val="009B3C8D"/>
    <w:rsid w:val="009B41C8"/>
    <w:rsid w:val="009B4FFB"/>
    <w:rsid w:val="009B53C7"/>
    <w:rsid w:val="009B7489"/>
    <w:rsid w:val="009B7B0A"/>
    <w:rsid w:val="009C07C9"/>
    <w:rsid w:val="009C08D7"/>
    <w:rsid w:val="009C094F"/>
    <w:rsid w:val="009C1866"/>
    <w:rsid w:val="009C1FDE"/>
    <w:rsid w:val="009C2B3A"/>
    <w:rsid w:val="009C375C"/>
    <w:rsid w:val="009C4DCA"/>
    <w:rsid w:val="009C4E0D"/>
    <w:rsid w:val="009C4F09"/>
    <w:rsid w:val="009C4F1B"/>
    <w:rsid w:val="009C503B"/>
    <w:rsid w:val="009C5816"/>
    <w:rsid w:val="009C5C22"/>
    <w:rsid w:val="009C63EC"/>
    <w:rsid w:val="009C6DB7"/>
    <w:rsid w:val="009C7DAC"/>
    <w:rsid w:val="009D08A6"/>
    <w:rsid w:val="009D1EB3"/>
    <w:rsid w:val="009D3AD2"/>
    <w:rsid w:val="009D3CE9"/>
    <w:rsid w:val="009D3E06"/>
    <w:rsid w:val="009D5843"/>
    <w:rsid w:val="009D638D"/>
    <w:rsid w:val="009D6393"/>
    <w:rsid w:val="009E0885"/>
    <w:rsid w:val="009E1CC8"/>
    <w:rsid w:val="009E30D2"/>
    <w:rsid w:val="009E4885"/>
    <w:rsid w:val="009E4BFA"/>
    <w:rsid w:val="009E508B"/>
    <w:rsid w:val="009E6829"/>
    <w:rsid w:val="009F00CB"/>
    <w:rsid w:val="009F03AB"/>
    <w:rsid w:val="009F0619"/>
    <w:rsid w:val="009F068A"/>
    <w:rsid w:val="009F0A85"/>
    <w:rsid w:val="009F1260"/>
    <w:rsid w:val="009F1B71"/>
    <w:rsid w:val="009F220A"/>
    <w:rsid w:val="009F36D6"/>
    <w:rsid w:val="009F6575"/>
    <w:rsid w:val="009F7ADC"/>
    <w:rsid w:val="00A0002A"/>
    <w:rsid w:val="00A0236D"/>
    <w:rsid w:val="00A02985"/>
    <w:rsid w:val="00A02B2B"/>
    <w:rsid w:val="00A02FA8"/>
    <w:rsid w:val="00A03F74"/>
    <w:rsid w:val="00A046BF"/>
    <w:rsid w:val="00A05B25"/>
    <w:rsid w:val="00A05C04"/>
    <w:rsid w:val="00A06254"/>
    <w:rsid w:val="00A06451"/>
    <w:rsid w:val="00A06842"/>
    <w:rsid w:val="00A07459"/>
    <w:rsid w:val="00A07DB6"/>
    <w:rsid w:val="00A10972"/>
    <w:rsid w:val="00A11406"/>
    <w:rsid w:val="00A13205"/>
    <w:rsid w:val="00A132A1"/>
    <w:rsid w:val="00A15132"/>
    <w:rsid w:val="00A1554D"/>
    <w:rsid w:val="00A15792"/>
    <w:rsid w:val="00A158E3"/>
    <w:rsid w:val="00A1591A"/>
    <w:rsid w:val="00A172E0"/>
    <w:rsid w:val="00A221A3"/>
    <w:rsid w:val="00A223D5"/>
    <w:rsid w:val="00A23F41"/>
    <w:rsid w:val="00A24504"/>
    <w:rsid w:val="00A25547"/>
    <w:rsid w:val="00A25E6D"/>
    <w:rsid w:val="00A27240"/>
    <w:rsid w:val="00A3003E"/>
    <w:rsid w:val="00A30B4D"/>
    <w:rsid w:val="00A3149F"/>
    <w:rsid w:val="00A31E14"/>
    <w:rsid w:val="00A34276"/>
    <w:rsid w:val="00A34524"/>
    <w:rsid w:val="00A357A4"/>
    <w:rsid w:val="00A36453"/>
    <w:rsid w:val="00A370F1"/>
    <w:rsid w:val="00A37970"/>
    <w:rsid w:val="00A37A68"/>
    <w:rsid w:val="00A37B0C"/>
    <w:rsid w:val="00A37CE6"/>
    <w:rsid w:val="00A37D1C"/>
    <w:rsid w:val="00A37FFE"/>
    <w:rsid w:val="00A40ECF"/>
    <w:rsid w:val="00A41FEF"/>
    <w:rsid w:val="00A42476"/>
    <w:rsid w:val="00A433CA"/>
    <w:rsid w:val="00A43A1A"/>
    <w:rsid w:val="00A43D48"/>
    <w:rsid w:val="00A43F3C"/>
    <w:rsid w:val="00A447A5"/>
    <w:rsid w:val="00A4646E"/>
    <w:rsid w:val="00A468FD"/>
    <w:rsid w:val="00A46921"/>
    <w:rsid w:val="00A47249"/>
    <w:rsid w:val="00A47E3B"/>
    <w:rsid w:val="00A501C7"/>
    <w:rsid w:val="00A5058A"/>
    <w:rsid w:val="00A50905"/>
    <w:rsid w:val="00A513FD"/>
    <w:rsid w:val="00A5254B"/>
    <w:rsid w:val="00A52BC1"/>
    <w:rsid w:val="00A534A0"/>
    <w:rsid w:val="00A537EA"/>
    <w:rsid w:val="00A539AD"/>
    <w:rsid w:val="00A540B2"/>
    <w:rsid w:val="00A5414D"/>
    <w:rsid w:val="00A56819"/>
    <w:rsid w:val="00A5685B"/>
    <w:rsid w:val="00A568AC"/>
    <w:rsid w:val="00A57673"/>
    <w:rsid w:val="00A60E9C"/>
    <w:rsid w:val="00A6131E"/>
    <w:rsid w:val="00A616AF"/>
    <w:rsid w:val="00A61879"/>
    <w:rsid w:val="00A628B4"/>
    <w:rsid w:val="00A63E4E"/>
    <w:rsid w:val="00A6444F"/>
    <w:rsid w:val="00A652FF"/>
    <w:rsid w:val="00A65A0D"/>
    <w:rsid w:val="00A65C27"/>
    <w:rsid w:val="00A65F3C"/>
    <w:rsid w:val="00A66FB3"/>
    <w:rsid w:val="00A70EA6"/>
    <w:rsid w:val="00A71247"/>
    <w:rsid w:val="00A714A3"/>
    <w:rsid w:val="00A71B8B"/>
    <w:rsid w:val="00A75089"/>
    <w:rsid w:val="00A75EDC"/>
    <w:rsid w:val="00A80404"/>
    <w:rsid w:val="00A80745"/>
    <w:rsid w:val="00A8085F"/>
    <w:rsid w:val="00A80A3D"/>
    <w:rsid w:val="00A817A8"/>
    <w:rsid w:val="00A81E50"/>
    <w:rsid w:val="00A81F1C"/>
    <w:rsid w:val="00A82602"/>
    <w:rsid w:val="00A82DA0"/>
    <w:rsid w:val="00A83E49"/>
    <w:rsid w:val="00A8401C"/>
    <w:rsid w:val="00A8415A"/>
    <w:rsid w:val="00A841A6"/>
    <w:rsid w:val="00A84221"/>
    <w:rsid w:val="00A84B7A"/>
    <w:rsid w:val="00A86FBC"/>
    <w:rsid w:val="00A879C5"/>
    <w:rsid w:val="00A902AD"/>
    <w:rsid w:val="00A9099E"/>
    <w:rsid w:val="00A91FB7"/>
    <w:rsid w:val="00A9298F"/>
    <w:rsid w:val="00A92DD9"/>
    <w:rsid w:val="00A9301E"/>
    <w:rsid w:val="00A93E3A"/>
    <w:rsid w:val="00A9444E"/>
    <w:rsid w:val="00A95186"/>
    <w:rsid w:val="00A951AD"/>
    <w:rsid w:val="00A961BD"/>
    <w:rsid w:val="00A97F0F"/>
    <w:rsid w:val="00AA027E"/>
    <w:rsid w:val="00AA1224"/>
    <w:rsid w:val="00AA14F2"/>
    <w:rsid w:val="00AA180B"/>
    <w:rsid w:val="00AA1D43"/>
    <w:rsid w:val="00AA2469"/>
    <w:rsid w:val="00AA2CD7"/>
    <w:rsid w:val="00AA2FA4"/>
    <w:rsid w:val="00AA3301"/>
    <w:rsid w:val="00AA3360"/>
    <w:rsid w:val="00AA6384"/>
    <w:rsid w:val="00AA6B93"/>
    <w:rsid w:val="00AA7A06"/>
    <w:rsid w:val="00AA7A7F"/>
    <w:rsid w:val="00AB1984"/>
    <w:rsid w:val="00AB1CBB"/>
    <w:rsid w:val="00AB215B"/>
    <w:rsid w:val="00AB2280"/>
    <w:rsid w:val="00AB333E"/>
    <w:rsid w:val="00AB37DB"/>
    <w:rsid w:val="00AB3ECC"/>
    <w:rsid w:val="00AB5F48"/>
    <w:rsid w:val="00AB716D"/>
    <w:rsid w:val="00AB72BB"/>
    <w:rsid w:val="00AB7BF3"/>
    <w:rsid w:val="00AC09D5"/>
    <w:rsid w:val="00AC0D8E"/>
    <w:rsid w:val="00AC175B"/>
    <w:rsid w:val="00AC1AA3"/>
    <w:rsid w:val="00AC1F8E"/>
    <w:rsid w:val="00AC22C1"/>
    <w:rsid w:val="00AC3ED5"/>
    <w:rsid w:val="00AC4347"/>
    <w:rsid w:val="00AC4CB3"/>
    <w:rsid w:val="00AC4D7C"/>
    <w:rsid w:val="00AC53B0"/>
    <w:rsid w:val="00AC5AD0"/>
    <w:rsid w:val="00AC6EF2"/>
    <w:rsid w:val="00AC71A6"/>
    <w:rsid w:val="00AC72C4"/>
    <w:rsid w:val="00AC742F"/>
    <w:rsid w:val="00AC774F"/>
    <w:rsid w:val="00AC780D"/>
    <w:rsid w:val="00AC787B"/>
    <w:rsid w:val="00AC78A0"/>
    <w:rsid w:val="00AC7956"/>
    <w:rsid w:val="00AC7E18"/>
    <w:rsid w:val="00AD1B79"/>
    <w:rsid w:val="00AD1CA1"/>
    <w:rsid w:val="00AD3208"/>
    <w:rsid w:val="00AD3C00"/>
    <w:rsid w:val="00AD3C89"/>
    <w:rsid w:val="00AD50F8"/>
    <w:rsid w:val="00AD719F"/>
    <w:rsid w:val="00AD7447"/>
    <w:rsid w:val="00AD7D36"/>
    <w:rsid w:val="00AE0DED"/>
    <w:rsid w:val="00AE284A"/>
    <w:rsid w:val="00AE307E"/>
    <w:rsid w:val="00AE3E11"/>
    <w:rsid w:val="00AE40B3"/>
    <w:rsid w:val="00AE4BDC"/>
    <w:rsid w:val="00AE4CFD"/>
    <w:rsid w:val="00AE4EA6"/>
    <w:rsid w:val="00AE55AD"/>
    <w:rsid w:val="00AE5D8F"/>
    <w:rsid w:val="00AE67D5"/>
    <w:rsid w:val="00AE78ED"/>
    <w:rsid w:val="00AE7AC2"/>
    <w:rsid w:val="00AE7EC9"/>
    <w:rsid w:val="00AF1117"/>
    <w:rsid w:val="00AF1555"/>
    <w:rsid w:val="00AF174E"/>
    <w:rsid w:val="00AF18BA"/>
    <w:rsid w:val="00AF228C"/>
    <w:rsid w:val="00AF2DB9"/>
    <w:rsid w:val="00AF3B55"/>
    <w:rsid w:val="00AF3D62"/>
    <w:rsid w:val="00AF4146"/>
    <w:rsid w:val="00AF628C"/>
    <w:rsid w:val="00AF6AC5"/>
    <w:rsid w:val="00AF7809"/>
    <w:rsid w:val="00AF7C14"/>
    <w:rsid w:val="00AF7F7B"/>
    <w:rsid w:val="00B0104B"/>
    <w:rsid w:val="00B021E0"/>
    <w:rsid w:val="00B02434"/>
    <w:rsid w:val="00B03A35"/>
    <w:rsid w:val="00B04F99"/>
    <w:rsid w:val="00B057B6"/>
    <w:rsid w:val="00B05A7C"/>
    <w:rsid w:val="00B05C3D"/>
    <w:rsid w:val="00B06361"/>
    <w:rsid w:val="00B0651D"/>
    <w:rsid w:val="00B06955"/>
    <w:rsid w:val="00B07BEA"/>
    <w:rsid w:val="00B07F41"/>
    <w:rsid w:val="00B102F9"/>
    <w:rsid w:val="00B11C80"/>
    <w:rsid w:val="00B12152"/>
    <w:rsid w:val="00B12DCA"/>
    <w:rsid w:val="00B13ECB"/>
    <w:rsid w:val="00B1524F"/>
    <w:rsid w:val="00B155B2"/>
    <w:rsid w:val="00B15ECF"/>
    <w:rsid w:val="00B17122"/>
    <w:rsid w:val="00B17F60"/>
    <w:rsid w:val="00B20288"/>
    <w:rsid w:val="00B2039A"/>
    <w:rsid w:val="00B20AC8"/>
    <w:rsid w:val="00B215D5"/>
    <w:rsid w:val="00B221E5"/>
    <w:rsid w:val="00B225CB"/>
    <w:rsid w:val="00B22870"/>
    <w:rsid w:val="00B22A22"/>
    <w:rsid w:val="00B22AA6"/>
    <w:rsid w:val="00B23F4C"/>
    <w:rsid w:val="00B246DD"/>
    <w:rsid w:val="00B248D8"/>
    <w:rsid w:val="00B24BA7"/>
    <w:rsid w:val="00B268D0"/>
    <w:rsid w:val="00B269D3"/>
    <w:rsid w:val="00B27F44"/>
    <w:rsid w:val="00B301ED"/>
    <w:rsid w:val="00B30448"/>
    <w:rsid w:val="00B30C49"/>
    <w:rsid w:val="00B30D75"/>
    <w:rsid w:val="00B30DAD"/>
    <w:rsid w:val="00B31315"/>
    <w:rsid w:val="00B3260E"/>
    <w:rsid w:val="00B32C4B"/>
    <w:rsid w:val="00B3407E"/>
    <w:rsid w:val="00B34C84"/>
    <w:rsid w:val="00B34D6A"/>
    <w:rsid w:val="00B35021"/>
    <w:rsid w:val="00B35749"/>
    <w:rsid w:val="00B35991"/>
    <w:rsid w:val="00B35EF5"/>
    <w:rsid w:val="00B3677F"/>
    <w:rsid w:val="00B3704D"/>
    <w:rsid w:val="00B37F90"/>
    <w:rsid w:val="00B40162"/>
    <w:rsid w:val="00B4054D"/>
    <w:rsid w:val="00B40FDB"/>
    <w:rsid w:val="00B420B2"/>
    <w:rsid w:val="00B42800"/>
    <w:rsid w:val="00B42863"/>
    <w:rsid w:val="00B430F6"/>
    <w:rsid w:val="00B4329D"/>
    <w:rsid w:val="00B43511"/>
    <w:rsid w:val="00B43CE6"/>
    <w:rsid w:val="00B45528"/>
    <w:rsid w:val="00B46012"/>
    <w:rsid w:val="00B478FA"/>
    <w:rsid w:val="00B50156"/>
    <w:rsid w:val="00B501E8"/>
    <w:rsid w:val="00B502A3"/>
    <w:rsid w:val="00B50953"/>
    <w:rsid w:val="00B509AE"/>
    <w:rsid w:val="00B50E13"/>
    <w:rsid w:val="00B51581"/>
    <w:rsid w:val="00B518AD"/>
    <w:rsid w:val="00B51A02"/>
    <w:rsid w:val="00B51BB6"/>
    <w:rsid w:val="00B52D81"/>
    <w:rsid w:val="00B5402E"/>
    <w:rsid w:val="00B540E8"/>
    <w:rsid w:val="00B560A9"/>
    <w:rsid w:val="00B56866"/>
    <w:rsid w:val="00B56CC4"/>
    <w:rsid w:val="00B604BB"/>
    <w:rsid w:val="00B6062A"/>
    <w:rsid w:val="00B60A96"/>
    <w:rsid w:val="00B60DD7"/>
    <w:rsid w:val="00B60EB6"/>
    <w:rsid w:val="00B60EE5"/>
    <w:rsid w:val="00B637FB"/>
    <w:rsid w:val="00B6386F"/>
    <w:rsid w:val="00B65C8E"/>
    <w:rsid w:val="00B66E51"/>
    <w:rsid w:val="00B67346"/>
    <w:rsid w:val="00B6793A"/>
    <w:rsid w:val="00B71486"/>
    <w:rsid w:val="00B71607"/>
    <w:rsid w:val="00B71EF7"/>
    <w:rsid w:val="00B72361"/>
    <w:rsid w:val="00B74AB0"/>
    <w:rsid w:val="00B75345"/>
    <w:rsid w:val="00B75691"/>
    <w:rsid w:val="00B76327"/>
    <w:rsid w:val="00B76400"/>
    <w:rsid w:val="00B76C94"/>
    <w:rsid w:val="00B76D4E"/>
    <w:rsid w:val="00B76D6E"/>
    <w:rsid w:val="00B771AA"/>
    <w:rsid w:val="00B772D0"/>
    <w:rsid w:val="00B80A99"/>
    <w:rsid w:val="00B80F4E"/>
    <w:rsid w:val="00B814CF"/>
    <w:rsid w:val="00B81BA8"/>
    <w:rsid w:val="00B82B2D"/>
    <w:rsid w:val="00B83117"/>
    <w:rsid w:val="00B8319C"/>
    <w:rsid w:val="00B85BAF"/>
    <w:rsid w:val="00B8774E"/>
    <w:rsid w:val="00B90351"/>
    <w:rsid w:val="00B906F2"/>
    <w:rsid w:val="00B9097E"/>
    <w:rsid w:val="00B90D9B"/>
    <w:rsid w:val="00B91259"/>
    <w:rsid w:val="00B91B81"/>
    <w:rsid w:val="00B91FF0"/>
    <w:rsid w:val="00B92FFF"/>
    <w:rsid w:val="00B93A48"/>
    <w:rsid w:val="00B9492E"/>
    <w:rsid w:val="00B962C8"/>
    <w:rsid w:val="00B96799"/>
    <w:rsid w:val="00B96DE5"/>
    <w:rsid w:val="00B97A76"/>
    <w:rsid w:val="00BA0166"/>
    <w:rsid w:val="00BA0584"/>
    <w:rsid w:val="00BA249D"/>
    <w:rsid w:val="00BA4D00"/>
    <w:rsid w:val="00BA5665"/>
    <w:rsid w:val="00BA73A7"/>
    <w:rsid w:val="00BB0AB5"/>
    <w:rsid w:val="00BB195B"/>
    <w:rsid w:val="00BB204A"/>
    <w:rsid w:val="00BB33E9"/>
    <w:rsid w:val="00BB34B7"/>
    <w:rsid w:val="00BB3BE4"/>
    <w:rsid w:val="00BB44DB"/>
    <w:rsid w:val="00BB5575"/>
    <w:rsid w:val="00BB57D3"/>
    <w:rsid w:val="00BB58EE"/>
    <w:rsid w:val="00BB64EC"/>
    <w:rsid w:val="00BB6BB3"/>
    <w:rsid w:val="00BB72E5"/>
    <w:rsid w:val="00BB7589"/>
    <w:rsid w:val="00BC077E"/>
    <w:rsid w:val="00BC0E57"/>
    <w:rsid w:val="00BC1F5F"/>
    <w:rsid w:val="00BC21BE"/>
    <w:rsid w:val="00BC2465"/>
    <w:rsid w:val="00BC3E36"/>
    <w:rsid w:val="00BC4CE8"/>
    <w:rsid w:val="00BC4D54"/>
    <w:rsid w:val="00BC7632"/>
    <w:rsid w:val="00BC7C9E"/>
    <w:rsid w:val="00BD1E79"/>
    <w:rsid w:val="00BD23A5"/>
    <w:rsid w:val="00BD2937"/>
    <w:rsid w:val="00BD2AFC"/>
    <w:rsid w:val="00BD2CD4"/>
    <w:rsid w:val="00BD330C"/>
    <w:rsid w:val="00BD3663"/>
    <w:rsid w:val="00BD367F"/>
    <w:rsid w:val="00BD4871"/>
    <w:rsid w:val="00BD48A9"/>
    <w:rsid w:val="00BD5712"/>
    <w:rsid w:val="00BD581A"/>
    <w:rsid w:val="00BD5C02"/>
    <w:rsid w:val="00BD658C"/>
    <w:rsid w:val="00BD6819"/>
    <w:rsid w:val="00BD7CC0"/>
    <w:rsid w:val="00BD7EC6"/>
    <w:rsid w:val="00BE0FF2"/>
    <w:rsid w:val="00BE1345"/>
    <w:rsid w:val="00BE18BC"/>
    <w:rsid w:val="00BE1A01"/>
    <w:rsid w:val="00BE2147"/>
    <w:rsid w:val="00BE239E"/>
    <w:rsid w:val="00BE2E4A"/>
    <w:rsid w:val="00BE3B83"/>
    <w:rsid w:val="00BE3C67"/>
    <w:rsid w:val="00BE3CF7"/>
    <w:rsid w:val="00BE42FC"/>
    <w:rsid w:val="00BE66FC"/>
    <w:rsid w:val="00BE73FA"/>
    <w:rsid w:val="00BF00D1"/>
    <w:rsid w:val="00BF0353"/>
    <w:rsid w:val="00BF090A"/>
    <w:rsid w:val="00BF2001"/>
    <w:rsid w:val="00BF2575"/>
    <w:rsid w:val="00BF31A0"/>
    <w:rsid w:val="00BF36C0"/>
    <w:rsid w:val="00BF3F0A"/>
    <w:rsid w:val="00BF4E35"/>
    <w:rsid w:val="00BF7B9B"/>
    <w:rsid w:val="00C0083F"/>
    <w:rsid w:val="00C00976"/>
    <w:rsid w:val="00C020CD"/>
    <w:rsid w:val="00C02DDE"/>
    <w:rsid w:val="00C0367B"/>
    <w:rsid w:val="00C04E51"/>
    <w:rsid w:val="00C05AF9"/>
    <w:rsid w:val="00C060A3"/>
    <w:rsid w:val="00C060B0"/>
    <w:rsid w:val="00C072F0"/>
    <w:rsid w:val="00C07344"/>
    <w:rsid w:val="00C079A3"/>
    <w:rsid w:val="00C07C1F"/>
    <w:rsid w:val="00C07DC4"/>
    <w:rsid w:val="00C11A79"/>
    <w:rsid w:val="00C13607"/>
    <w:rsid w:val="00C137B1"/>
    <w:rsid w:val="00C13B43"/>
    <w:rsid w:val="00C15E81"/>
    <w:rsid w:val="00C174C9"/>
    <w:rsid w:val="00C17B6E"/>
    <w:rsid w:val="00C204E4"/>
    <w:rsid w:val="00C20748"/>
    <w:rsid w:val="00C20754"/>
    <w:rsid w:val="00C21378"/>
    <w:rsid w:val="00C220A5"/>
    <w:rsid w:val="00C22307"/>
    <w:rsid w:val="00C22BB2"/>
    <w:rsid w:val="00C22EAF"/>
    <w:rsid w:val="00C23150"/>
    <w:rsid w:val="00C24580"/>
    <w:rsid w:val="00C24908"/>
    <w:rsid w:val="00C250E8"/>
    <w:rsid w:val="00C2515F"/>
    <w:rsid w:val="00C25A74"/>
    <w:rsid w:val="00C26AEA"/>
    <w:rsid w:val="00C276EC"/>
    <w:rsid w:val="00C27C0A"/>
    <w:rsid w:val="00C30740"/>
    <w:rsid w:val="00C31AD4"/>
    <w:rsid w:val="00C31C63"/>
    <w:rsid w:val="00C32481"/>
    <w:rsid w:val="00C32EF2"/>
    <w:rsid w:val="00C3394C"/>
    <w:rsid w:val="00C34581"/>
    <w:rsid w:val="00C34AD7"/>
    <w:rsid w:val="00C3516D"/>
    <w:rsid w:val="00C361A6"/>
    <w:rsid w:val="00C3670F"/>
    <w:rsid w:val="00C36E1A"/>
    <w:rsid w:val="00C371DF"/>
    <w:rsid w:val="00C37818"/>
    <w:rsid w:val="00C37EFC"/>
    <w:rsid w:val="00C37FF9"/>
    <w:rsid w:val="00C40126"/>
    <w:rsid w:val="00C41099"/>
    <w:rsid w:val="00C41425"/>
    <w:rsid w:val="00C41B4A"/>
    <w:rsid w:val="00C4213A"/>
    <w:rsid w:val="00C42C11"/>
    <w:rsid w:val="00C43ADB"/>
    <w:rsid w:val="00C447C2"/>
    <w:rsid w:val="00C44949"/>
    <w:rsid w:val="00C44B4C"/>
    <w:rsid w:val="00C450E3"/>
    <w:rsid w:val="00C45C56"/>
    <w:rsid w:val="00C45CCD"/>
    <w:rsid w:val="00C46734"/>
    <w:rsid w:val="00C47132"/>
    <w:rsid w:val="00C5105D"/>
    <w:rsid w:val="00C511F0"/>
    <w:rsid w:val="00C513C7"/>
    <w:rsid w:val="00C51639"/>
    <w:rsid w:val="00C53220"/>
    <w:rsid w:val="00C533A0"/>
    <w:rsid w:val="00C534BD"/>
    <w:rsid w:val="00C537E7"/>
    <w:rsid w:val="00C53E9D"/>
    <w:rsid w:val="00C5426B"/>
    <w:rsid w:val="00C54C18"/>
    <w:rsid w:val="00C573DA"/>
    <w:rsid w:val="00C5772E"/>
    <w:rsid w:val="00C5781B"/>
    <w:rsid w:val="00C61657"/>
    <w:rsid w:val="00C616B4"/>
    <w:rsid w:val="00C621A7"/>
    <w:rsid w:val="00C62BF2"/>
    <w:rsid w:val="00C62D1B"/>
    <w:rsid w:val="00C638A6"/>
    <w:rsid w:val="00C63FB9"/>
    <w:rsid w:val="00C64266"/>
    <w:rsid w:val="00C647DF"/>
    <w:rsid w:val="00C64E45"/>
    <w:rsid w:val="00C66CE8"/>
    <w:rsid w:val="00C70DF4"/>
    <w:rsid w:val="00C71243"/>
    <w:rsid w:val="00C71252"/>
    <w:rsid w:val="00C7277F"/>
    <w:rsid w:val="00C74930"/>
    <w:rsid w:val="00C74B47"/>
    <w:rsid w:val="00C74D80"/>
    <w:rsid w:val="00C754BD"/>
    <w:rsid w:val="00C75D3A"/>
    <w:rsid w:val="00C769A9"/>
    <w:rsid w:val="00C774C9"/>
    <w:rsid w:val="00C77F1B"/>
    <w:rsid w:val="00C80987"/>
    <w:rsid w:val="00C809E5"/>
    <w:rsid w:val="00C80A3F"/>
    <w:rsid w:val="00C8180E"/>
    <w:rsid w:val="00C818A9"/>
    <w:rsid w:val="00C82436"/>
    <w:rsid w:val="00C82933"/>
    <w:rsid w:val="00C82BE2"/>
    <w:rsid w:val="00C83D93"/>
    <w:rsid w:val="00C84BE9"/>
    <w:rsid w:val="00C85DEF"/>
    <w:rsid w:val="00C910F8"/>
    <w:rsid w:val="00C91106"/>
    <w:rsid w:val="00C9117B"/>
    <w:rsid w:val="00C91D19"/>
    <w:rsid w:val="00C93542"/>
    <w:rsid w:val="00C93B58"/>
    <w:rsid w:val="00C93C2F"/>
    <w:rsid w:val="00C9437C"/>
    <w:rsid w:val="00C946FF"/>
    <w:rsid w:val="00C94A14"/>
    <w:rsid w:val="00C94CDA"/>
    <w:rsid w:val="00C95BED"/>
    <w:rsid w:val="00C96725"/>
    <w:rsid w:val="00C96E7B"/>
    <w:rsid w:val="00C97A66"/>
    <w:rsid w:val="00CA007B"/>
    <w:rsid w:val="00CA0AA4"/>
    <w:rsid w:val="00CA15B0"/>
    <w:rsid w:val="00CA1D4C"/>
    <w:rsid w:val="00CA1D50"/>
    <w:rsid w:val="00CA1DAB"/>
    <w:rsid w:val="00CA20E0"/>
    <w:rsid w:val="00CA3347"/>
    <w:rsid w:val="00CA6FDA"/>
    <w:rsid w:val="00CA77CF"/>
    <w:rsid w:val="00CA7B58"/>
    <w:rsid w:val="00CB1413"/>
    <w:rsid w:val="00CB2518"/>
    <w:rsid w:val="00CB3920"/>
    <w:rsid w:val="00CB6413"/>
    <w:rsid w:val="00CB696F"/>
    <w:rsid w:val="00CC0F1C"/>
    <w:rsid w:val="00CC1D30"/>
    <w:rsid w:val="00CC299A"/>
    <w:rsid w:val="00CC32B7"/>
    <w:rsid w:val="00CC36DE"/>
    <w:rsid w:val="00CC4F99"/>
    <w:rsid w:val="00CC5FC3"/>
    <w:rsid w:val="00CC6369"/>
    <w:rsid w:val="00CC65D6"/>
    <w:rsid w:val="00CC73F3"/>
    <w:rsid w:val="00CC797B"/>
    <w:rsid w:val="00CD02F8"/>
    <w:rsid w:val="00CD081C"/>
    <w:rsid w:val="00CD1B5A"/>
    <w:rsid w:val="00CD1E9C"/>
    <w:rsid w:val="00CD27DB"/>
    <w:rsid w:val="00CD2E70"/>
    <w:rsid w:val="00CD386B"/>
    <w:rsid w:val="00CD3D06"/>
    <w:rsid w:val="00CD4A09"/>
    <w:rsid w:val="00CD4C67"/>
    <w:rsid w:val="00CD4C7B"/>
    <w:rsid w:val="00CD5397"/>
    <w:rsid w:val="00CD5E93"/>
    <w:rsid w:val="00CE15AE"/>
    <w:rsid w:val="00CE1CFC"/>
    <w:rsid w:val="00CE235A"/>
    <w:rsid w:val="00CE37A3"/>
    <w:rsid w:val="00CE3814"/>
    <w:rsid w:val="00CE5217"/>
    <w:rsid w:val="00CE56B7"/>
    <w:rsid w:val="00CE6660"/>
    <w:rsid w:val="00CE6855"/>
    <w:rsid w:val="00CE6B6F"/>
    <w:rsid w:val="00CE7033"/>
    <w:rsid w:val="00CE770A"/>
    <w:rsid w:val="00CF02A6"/>
    <w:rsid w:val="00CF06CF"/>
    <w:rsid w:val="00CF101C"/>
    <w:rsid w:val="00CF26C7"/>
    <w:rsid w:val="00CF2DC1"/>
    <w:rsid w:val="00CF2EE2"/>
    <w:rsid w:val="00CF3948"/>
    <w:rsid w:val="00CF3ACF"/>
    <w:rsid w:val="00CF441D"/>
    <w:rsid w:val="00CF4FCF"/>
    <w:rsid w:val="00CF4FDC"/>
    <w:rsid w:val="00CF56AF"/>
    <w:rsid w:val="00CF5BE0"/>
    <w:rsid w:val="00CF61CB"/>
    <w:rsid w:val="00CF666F"/>
    <w:rsid w:val="00CF6E7D"/>
    <w:rsid w:val="00D00223"/>
    <w:rsid w:val="00D00DBF"/>
    <w:rsid w:val="00D0149B"/>
    <w:rsid w:val="00D017F0"/>
    <w:rsid w:val="00D01F5D"/>
    <w:rsid w:val="00D01FA9"/>
    <w:rsid w:val="00D03DBE"/>
    <w:rsid w:val="00D03EED"/>
    <w:rsid w:val="00D0597D"/>
    <w:rsid w:val="00D06274"/>
    <w:rsid w:val="00D07760"/>
    <w:rsid w:val="00D11949"/>
    <w:rsid w:val="00D11A69"/>
    <w:rsid w:val="00D12C98"/>
    <w:rsid w:val="00D12FFC"/>
    <w:rsid w:val="00D1484F"/>
    <w:rsid w:val="00D14BA0"/>
    <w:rsid w:val="00D14D7B"/>
    <w:rsid w:val="00D1516D"/>
    <w:rsid w:val="00D158B0"/>
    <w:rsid w:val="00D1707A"/>
    <w:rsid w:val="00D2026D"/>
    <w:rsid w:val="00D20A0D"/>
    <w:rsid w:val="00D21435"/>
    <w:rsid w:val="00D2242C"/>
    <w:rsid w:val="00D224FA"/>
    <w:rsid w:val="00D23033"/>
    <w:rsid w:val="00D2402F"/>
    <w:rsid w:val="00D245C2"/>
    <w:rsid w:val="00D25660"/>
    <w:rsid w:val="00D258EB"/>
    <w:rsid w:val="00D271CD"/>
    <w:rsid w:val="00D3060E"/>
    <w:rsid w:val="00D315CC"/>
    <w:rsid w:val="00D316DD"/>
    <w:rsid w:val="00D327A3"/>
    <w:rsid w:val="00D34C82"/>
    <w:rsid w:val="00D36550"/>
    <w:rsid w:val="00D379EC"/>
    <w:rsid w:val="00D40DF2"/>
    <w:rsid w:val="00D41512"/>
    <w:rsid w:val="00D41E42"/>
    <w:rsid w:val="00D41F6B"/>
    <w:rsid w:val="00D42380"/>
    <w:rsid w:val="00D43446"/>
    <w:rsid w:val="00D4348D"/>
    <w:rsid w:val="00D436D7"/>
    <w:rsid w:val="00D44E42"/>
    <w:rsid w:val="00D44FC3"/>
    <w:rsid w:val="00D462D6"/>
    <w:rsid w:val="00D474AB"/>
    <w:rsid w:val="00D50961"/>
    <w:rsid w:val="00D50A02"/>
    <w:rsid w:val="00D512A1"/>
    <w:rsid w:val="00D52AB4"/>
    <w:rsid w:val="00D52F26"/>
    <w:rsid w:val="00D531F5"/>
    <w:rsid w:val="00D538D5"/>
    <w:rsid w:val="00D53FD6"/>
    <w:rsid w:val="00D54640"/>
    <w:rsid w:val="00D55455"/>
    <w:rsid w:val="00D559B5"/>
    <w:rsid w:val="00D56420"/>
    <w:rsid w:val="00D56A94"/>
    <w:rsid w:val="00D56C0C"/>
    <w:rsid w:val="00D5798B"/>
    <w:rsid w:val="00D6058E"/>
    <w:rsid w:val="00D60736"/>
    <w:rsid w:val="00D616F0"/>
    <w:rsid w:val="00D6170E"/>
    <w:rsid w:val="00D61B58"/>
    <w:rsid w:val="00D6307D"/>
    <w:rsid w:val="00D63632"/>
    <w:rsid w:val="00D63732"/>
    <w:rsid w:val="00D6568E"/>
    <w:rsid w:val="00D65893"/>
    <w:rsid w:val="00D658EC"/>
    <w:rsid w:val="00D6742A"/>
    <w:rsid w:val="00D67B9B"/>
    <w:rsid w:val="00D71733"/>
    <w:rsid w:val="00D718AC"/>
    <w:rsid w:val="00D719A3"/>
    <w:rsid w:val="00D71E7A"/>
    <w:rsid w:val="00D72DE7"/>
    <w:rsid w:val="00D7302F"/>
    <w:rsid w:val="00D73BB2"/>
    <w:rsid w:val="00D74D14"/>
    <w:rsid w:val="00D752E7"/>
    <w:rsid w:val="00D7574B"/>
    <w:rsid w:val="00D75E82"/>
    <w:rsid w:val="00D769C5"/>
    <w:rsid w:val="00D76E76"/>
    <w:rsid w:val="00D77E83"/>
    <w:rsid w:val="00D80631"/>
    <w:rsid w:val="00D818EC"/>
    <w:rsid w:val="00D81A20"/>
    <w:rsid w:val="00D81F55"/>
    <w:rsid w:val="00D82FF2"/>
    <w:rsid w:val="00D8321A"/>
    <w:rsid w:val="00D85152"/>
    <w:rsid w:val="00D85F2C"/>
    <w:rsid w:val="00D861BD"/>
    <w:rsid w:val="00D86D55"/>
    <w:rsid w:val="00D8743F"/>
    <w:rsid w:val="00D8789C"/>
    <w:rsid w:val="00D87B3F"/>
    <w:rsid w:val="00D9003D"/>
    <w:rsid w:val="00D90558"/>
    <w:rsid w:val="00D9082F"/>
    <w:rsid w:val="00D914EB"/>
    <w:rsid w:val="00D94085"/>
    <w:rsid w:val="00D944F7"/>
    <w:rsid w:val="00D96D4F"/>
    <w:rsid w:val="00DA1806"/>
    <w:rsid w:val="00DA1BD1"/>
    <w:rsid w:val="00DA212B"/>
    <w:rsid w:val="00DA3A76"/>
    <w:rsid w:val="00DA4311"/>
    <w:rsid w:val="00DA60A6"/>
    <w:rsid w:val="00DA6D6D"/>
    <w:rsid w:val="00DA73C1"/>
    <w:rsid w:val="00DA770D"/>
    <w:rsid w:val="00DA7851"/>
    <w:rsid w:val="00DA7DC1"/>
    <w:rsid w:val="00DB00EE"/>
    <w:rsid w:val="00DB0132"/>
    <w:rsid w:val="00DB2754"/>
    <w:rsid w:val="00DB2D88"/>
    <w:rsid w:val="00DB3687"/>
    <w:rsid w:val="00DB38D1"/>
    <w:rsid w:val="00DB5534"/>
    <w:rsid w:val="00DB681B"/>
    <w:rsid w:val="00DB7E24"/>
    <w:rsid w:val="00DC0445"/>
    <w:rsid w:val="00DC2082"/>
    <w:rsid w:val="00DC225F"/>
    <w:rsid w:val="00DC2883"/>
    <w:rsid w:val="00DC2C48"/>
    <w:rsid w:val="00DC3AB5"/>
    <w:rsid w:val="00DC46B5"/>
    <w:rsid w:val="00DC4B28"/>
    <w:rsid w:val="00DC525E"/>
    <w:rsid w:val="00DC535C"/>
    <w:rsid w:val="00DC5DCB"/>
    <w:rsid w:val="00DC6B74"/>
    <w:rsid w:val="00DC6C0D"/>
    <w:rsid w:val="00DC7C22"/>
    <w:rsid w:val="00DD074A"/>
    <w:rsid w:val="00DD0D70"/>
    <w:rsid w:val="00DD103A"/>
    <w:rsid w:val="00DD1941"/>
    <w:rsid w:val="00DD2309"/>
    <w:rsid w:val="00DD26A5"/>
    <w:rsid w:val="00DD2812"/>
    <w:rsid w:val="00DD34F2"/>
    <w:rsid w:val="00DD3C6B"/>
    <w:rsid w:val="00DD5393"/>
    <w:rsid w:val="00DD54ED"/>
    <w:rsid w:val="00DD697F"/>
    <w:rsid w:val="00DD699C"/>
    <w:rsid w:val="00DD739F"/>
    <w:rsid w:val="00DD7631"/>
    <w:rsid w:val="00DD7762"/>
    <w:rsid w:val="00DD781E"/>
    <w:rsid w:val="00DD7A2C"/>
    <w:rsid w:val="00DD7F63"/>
    <w:rsid w:val="00DE1238"/>
    <w:rsid w:val="00DE1FFE"/>
    <w:rsid w:val="00DE32E7"/>
    <w:rsid w:val="00DE3BB8"/>
    <w:rsid w:val="00DE40EB"/>
    <w:rsid w:val="00DE5117"/>
    <w:rsid w:val="00DE5648"/>
    <w:rsid w:val="00DE568A"/>
    <w:rsid w:val="00DE595E"/>
    <w:rsid w:val="00DE5CD9"/>
    <w:rsid w:val="00DE6A70"/>
    <w:rsid w:val="00DE70B5"/>
    <w:rsid w:val="00DE7113"/>
    <w:rsid w:val="00DF00F9"/>
    <w:rsid w:val="00DF0576"/>
    <w:rsid w:val="00DF1981"/>
    <w:rsid w:val="00DF1C1D"/>
    <w:rsid w:val="00DF1D07"/>
    <w:rsid w:val="00DF1E89"/>
    <w:rsid w:val="00DF2144"/>
    <w:rsid w:val="00DF2E80"/>
    <w:rsid w:val="00DF2EA5"/>
    <w:rsid w:val="00DF310B"/>
    <w:rsid w:val="00DF3E47"/>
    <w:rsid w:val="00DF56E8"/>
    <w:rsid w:val="00DF582A"/>
    <w:rsid w:val="00DF6EB6"/>
    <w:rsid w:val="00DF7133"/>
    <w:rsid w:val="00DF764C"/>
    <w:rsid w:val="00DF7FBF"/>
    <w:rsid w:val="00E00BB4"/>
    <w:rsid w:val="00E00CAA"/>
    <w:rsid w:val="00E01682"/>
    <w:rsid w:val="00E01D4A"/>
    <w:rsid w:val="00E02F4B"/>
    <w:rsid w:val="00E03D04"/>
    <w:rsid w:val="00E04332"/>
    <w:rsid w:val="00E043BB"/>
    <w:rsid w:val="00E04ECF"/>
    <w:rsid w:val="00E0502A"/>
    <w:rsid w:val="00E05902"/>
    <w:rsid w:val="00E067C4"/>
    <w:rsid w:val="00E06A36"/>
    <w:rsid w:val="00E11A1B"/>
    <w:rsid w:val="00E126B2"/>
    <w:rsid w:val="00E127E3"/>
    <w:rsid w:val="00E14818"/>
    <w:rsid w:val="00E148E8"/>
    <w:rsid w:val="00E14F51"/>
    <w:rsid w:val="00E15358"/>
    <w:rsid w:val="00E1610C"/>
    <w:rsid w:val="00E162BD"/>
    <w:rsid w:val="00E16660"/>
    <w:rsid w:val="00E16C78"/>
    <w:rsid w:val="00E16D73"/>
    <w:rsid w:val="00E17296"/>
    <w:rsid w:val="00E17833"/>
    <w:rsid w:val="00E17981"/>
    <w:rsid w:val="00E17CD2"/>
    <w:rsid w:val="00E17E36"/>
    <w:rsid w:val="00E201F2"/>
    <w:rsid w:val="00E206D8"/>
    <w:rsid w:val="00E20A87"/>
    <w:rsid w:val="00E21C65"/>
    <w:rsid w:val="00E22CAC"/>
    <w:rsid w:val="00E2352B"/>
    <w:rsid w:val="00E23E84"/>
    <w:rsid w:val="00E23F9B"/>
    <w:rsid w:val="00E24D23"/>
    <w:rsid w:val="00E26649"/>
    <w:rsid w:val="00E2703D"/>
    <w:rsid w:val="00E27F0A"/>
    <w:rsid w:val="00E309B0"/>
    <w:rsid w:val="00E309BC"/>
    <w:rsid w:val="00E326E9"/>
    <w:rsid w:val="00E352C3"/>
    <w:rsid w:val="00E35476"/>
    <w:rsid w:val="00E359A5"/>
    <w:rsid w:val="00E372F7"/>
    <w:rsid w:val="00E37DC0"/>
    <w:rsid w:val="00E37EC6"/>
    <w:rsid w:val="00E40432"/>
    <w:rsid w:val="00E40850"/>
    <w:rsid w:val="00E40D52"/>
    <w:rsid w:val="00E40DAA"/>
    <w:rsid w:val="00E41187"/>
    <w:rsid w:val="00E411B3"/>
    <w:rsid w:val="00E41585"/>
    <w:rsid w:val="00E4220D"/>
    <w:rsid w:val="00E4231E"/>
    <w:rsid w:val="00E4279A"/>
    <w:rsid w:val="00E44AC7"/>
    <w:rsid w:val="00E45B2D"/>
    <w:rsid w:val="00E468F2"/>
    <w:rsid w:val="00E47A20"/>
    <w:rsid w:val="00E5084C"/>
    <w:rsid w:val="00E50871"/>
    <w:rsid w:val="00E50B4C"/>
    <w:rsid w:val="00E50D39"/>
    <w:rsid w:val="00E53533"/>
    <w:rsid w:val="00E537ED"/>
    <w:rsid w:val="00E5384D"/>
    <w:rsid w:val="00E53F2E"/>
    <w:rsid w:val="00E54004"/>
    <w:rsid w:val="00E546C9"/>
    <w:rsid w:val="00E54BB9"/>
    <w:rsid w:val="00E54BD4"/>
    <w:rsid w:val="00E54D3F"/>
    <w:rsid w:val="00E55F1F"/>
    <w:rsid w:val="00E56866"/>
    <w:rsid w:val="00E56904"/>
    <w:rsid w:val="00E57DFD"/>
    <w:rsid w:val="00E60423"/>
    <w:rsid w:val="00E607E5"/>
    <w:rsid w:val="00E60A16"/>
    <w:rsid w:val="00E610CB"/>
    <w:rsid w:val="00E6125B"/>
    <w:rsid w:val="00E6170A"/>
    <w:rsid w:val="00E62ADF"/>
    <w:rsid w:val="00E62FA7"/>
    <w:rsid w:val="00E637A3"/>
    <w:rsid w:val="00E659FD"/>
    <w:rsid w:val="00E65B0C"/>
    <w:rsid w:val="00E66B16"/>
    <w:rsid w:val="00E66BA2"/>
    <w:rsid w:val="00E677DB"/>
    <w:rsid w:val="00E700F8"/>
    <w:rsid w:val="00E71C2D"/>
    <w:rsid w:val="00E7266C"/>
    <w:rsid w:val="00E72BB6"/>
    <w:rsid w:val="00E730AC"/>
    <w:rsid w:val="00E734CE"/>
    <w:rsid w:val="00E778DC"/>
    <w:rsid w:val="00E80D00"/>
    <w:rsid w:val="00E815CE"/>
    <w:rsid w:val="00E81611"/>
    <w:rsid w:val="00E81800"/>
    <w:rsid w:val="00E81863"/>
    <w:rsid w:val="00E81C42"/>
    <w:rsid w:val="00E81C5C"/>
    <w:rsid w:val="00E81FDB"/>
    <w:rsid w:val="00E82064"/>
    <w:rsid w:val="00E82B6E"/>
    <w:rsid w:val="00E82DC6"/>
    <w:rsid w:val="00E8347E"/>
    <w:rsid w:val="00E835C5"/>
    <w:rsid w:val="00E836D7"/>
    <w:rsid w:val="00E83ACD"/>
    <w:rsid w:val="00E848F0"/>
    <w:rsid w:val="00E84D1C"/>
    <w:rsid w:val="00E84D9C"/>
    <w:rsid w:val="00E8628F"/>
    <w:rsid w:val="00E86888"/>
    <w:rsid w:val="00E86A09"/>
    <w:rsid w:val="00E92C96"/>
    <w:rsid w:val="00E942B8"/>
    <w:rsid w:val="00E9436F"/>
    <w:rsid w:val="00E944ED"/>
    <w:rsid w:val="00E945AF"/>
    <w:rsid w:val="00E94A0B"/>
    <w:rsid w:val="00E94A2C"/>
    <w:rsid w:val="00E94EEF"/>
    <w:rsid w:val="00E95799"/>
    <w:rsid w:val="00E95D93"/>
    <w:rsid w:val="00E9683D"/>
    <w:rsid w:val="00E970B7"/>
    <w:rsid w:val="00E97D95"/>
    <w:rsid w:val="00EA010D"/>
    <w:rsid w:val="00EA04C5"/>
    <w:rsid w:val="00EA0507"/>
    <w:rsid w:val="00EA0BB5"/>
    <w:rsid w:val="00EA1A53"/>
    <w:rsid w:val="00EA1A8A"/>
    <w:rsid w:val="00EA21FA"/>
    <w:rsid w:val="00EA25EB"/>
    <w:rsid w:val="00EA26D5"/>
    <w:rsid w:val="00EA2775"/>
    <w:rsid w:val="00EA3106"/>
    <w:rsid w:val="00EA3874"/>
    <w:rsid w:val="00EA3A3A"/>
    <w:rsid w:val="00EA612E"/>
    <w:rsid w:val="00EA761C"/>
    <w:rsid w:val="00EA7D7F"/>
    <w:rsid w:val="00EB0810"/>
    <w:rsid w:val="00EB0B5F"/>
    <w:rsid w:val="00EB1CF7"/>
    <w:rsid w:val="00EB25C2"/>
    <w:rsid w:val="00EB2B6F"/>
    <w:rsid w:val="00EB2CAD"/>
    <w:rsid w:val="00EB2FA2"/>
    <w:rsid w:val="00EB3272"/>
    <w:rsid w:val="00EB37B2"/>
    <w:rsid w:val="00EB7352"/>
    <w:rsid w:val="00EB769A"/>
    <w:rsid w:val="00EC11E4"/>
    <w:rsid w:val="00EC14E1"/>
    <w:rsid w:val="00EC2A3F"/>
    <w:rsid w:val="00EC2E64"/>
    <w:rsid w:val="00EC3A35"/>
    <w:rsid w:val="00EC3C52"/>
    <w:rsid w:val="00EC3E69"/>
    <w:rsid w:val="00EC5554"/>
    <w:rsid w:val="00EC572B"/>
    <w:rsid w:val="00EC5B8E"/>
    <w:rsid w:val="00EC7356"/>
    <w:rsid w:val="00EC75F6"/>
    <w:rsid w:val="00ED0065"/>
    <w:rsid w:val="00ED17B5"/>
    <w:rsid w:val="00ED353D"/>
    <w:rsid w:val="00ED46A8"/>
    <w:rsid w:val="00ED588C"/>
    <w:rsid w:val="00ED6EA1"/>
    <w:rsid w:val="00ED7A7F"/>
    <w:rsid w:val="00EE00F0"/>
    <w:rsid w:val="00EE07AC"/>
    <w:rsid w:val="00EE0891"/>
    <w:rsid w:val="00EE1062"/>
    <w:rsid w:val="00EE17F2"/>
    <w:rsid w:val="00EE188A"/>
    <w:rsid w:val="00EE1B01"/>
    <w:rsid w:val="00EE1DB8"/>
    <w:rsid w:val="00EE2746"/>
    <w:rsid w:val="00EE44F7"/>
    <w:rsid w:val="00EE4C20"/>
    <w:rsid w:val="00EE4F2D"/>
    <w:rsid w:val="00EE6755"/>
    <w:rsid w:val="00EF03DC"/>
    <w:rsid w:val="00EF0437"/>
    <w:rsid w:val="00EF0BD1"/>
    <w:rsid w:val="00EF0BFE"/>
    <w:rsid w:val="00EF27A4"/>
    <w:rsid w:val="00EF2AC7"/>
    <w:rsid w:val="00EF3397"/>
    <w:rsid w:val="00EF40BF"/>
    <w:rsid w:val="00EF4557"/>
    <w:rsid w:val="00EF493F"/>
    <w:rsid w:val="00EF63C1"/>
    <w:rsid w:val="00EF6C2B"/>
    <w:rsid w:val="00EF7BD3"/>
    <w:rsid w:val="00F008BD"/>
    <w:rsid w:val="00F01967"/>
    <w:rsid w:val="00F01BC4"/>
    <w:rsid w:val="00F021A9"/>
    <w:rsid w:val="00F02C54"/>
    <w:rsid w:val="00F02D03"/>
    <w:rsid w:val="00F03533"/>
    <w:rsid w:val="00F0448C"/>
    <w:rsid w:val="00F0553C"/>
    <w:rsid w:val="00F061C0"/>
    <w:rsid w:val="00F06BA7"/>
    <w:rsid w:val="00F071BA"/>
    <w:rsid w:val="00F10BAE"/>
    <w:rsid w:val="00F1284F"/>
    <w:rsid w:val="00F136A4"/>
    <w:rsid w:val="00F1377B"/>
    <w:rsid w:val="00F13C5E"/>
    <w:rsid w:val="00F148D5"/>
    <w:rsid w:val="00F1601A"/>
    <w:rsid w:val="00F1675C"/>
    <w:rsid w:val="00F16A3C"/>
    <w:rsid w:val="00F17428"/>
    <w:rsid w:val="00F20046"/>
    <w:rsid w:val="00F20D22"/>
    <w:rsid w:val="00F21A58"/>
    <w:rsid w:val="00F21CBC"/>
    <w:rsid w:val="00F23048"/>
    <w:rsid w:val="00F23663"/>
    <w:rsid w:val="00F23DCC"/>
    <w:rsid w:val="00F2477C"/>
    <w:rsid w:val="00F24EBB"/>
    <w:rsid w:val="00F27F06"/>
    <w:rsid w:val="00F314E8"/>
    <w:rsid w:val="00F316A2"/>
    <w:rsid w:val="00F323A2"/>
    <w:rsid w:val="00F32AA2"/>
    <w:rsid w:val="00F332D4"/>
    <w:rsid w:val="00F33B57"/>
    <w:rsid w:val="00F33CA8"/>
    <w:rsid w:val="00F33D5C"/>
    <w:rsid w:val="00F355E9"/>
    <w:rsid w:val="00F356D6"/>
    <w:rsid w:val="00F37518"/>
    <w:rsid w:val="00F37D37"/>
    <w:rsid w:val="00F400E3"/>
    <w:rsid w:val="00F40876"/>
    <w:rsid w:val="00F4208E"/>
    <w:rsid w:val="00F44642"/>
    <w:rsid w:val="00F454A2"/>
    <w:rsid w:val="00F45E89"/>
    <w:rsid w:val="00F47845"/>
    <w:rsid w:val="00F47B6C"/>
    <w:rsid w:val="00F50675"/>
    <w:rsid w:val="00F5071D"/>
    <w:rsid w:val="00F50BD6"/>
    <w:rsid w:val="00F50E16"/>
    <w:rsid w:val="00F513B2"/>
    <w:rsid w:val="00F51520"/>
    <w:rsid w:val="00F51CD2"/>
    <w:rsid w:val="00F52140"/>
    <w:rsid w:val="00F521E4"/>
    <w:rsid w:val="00F52CCE"/>
    <w:rsid w:val="00F53151"/>
    <w:rsid w:val="00F535A9"/>
    <w:rsid w:val="00F53F92"/>
    <w:rsid w:val="00F5480F"/>
    <w:rsid w:val="00F552F7"/>
    <w:rsid w:val="00F554EB"/>
    <w:rsid w:val="00F5562D"/>
    <w:rsid w:val="00F566EA"/>
    <w:rsid w:val="00F567A4"/>
    <w:rsid w:val="00F578EB"/>
    <w:rsid w:val="00F605BE"/>
    <w:rsid w:val="00F60DDC"/>
    <w:rsid w:val="00F610A9"/>
    <w:rsid w:val="00F617BE"/>
    <w:rsid w:val="00F61C7A"/>
    <w:rsid w:val="00F625F7"/>
    <w:rsid w:val="00F64D5A"/>
    <w:rsid w:val="00F65C22"/>
    <w:rsid w:val="00F65EC9"/>
    <w:rsid w:val="00F66CB1"/>
    <w:rsid w:val="00F672BD"/>
    <w:rsid w:val="00F67E15"/>
    <w:rsid w:val="00F67FCA"/>
    <w:rsid w:val="00F706D9"/>
    <w:rsid w:val="00F70815"/>
    <w:rsid w:val="00F709F4"/>
    <w:rsid w:val="00F71019"/>
    <w:rsid w:val="00F710A9"/>
    <w:rsid w:val="00F7284D"/>
    <w:rsid w:val="00F72CFE"/>
    <w:rsid w:val="00F72FB0"/>
    <w:rsid w:val="00F73423"/>
    <w:rsid w:val="00F7365E"/>
    <w:rsid w:val="00F737A4"/>
    <w:rsid w:val="00F751E0"/>
    <w:rsid w:val="00F75481"/>
    <w:rsid w:val="00F75DE4"/>
    <w:rsid w:val="00F76A4C"/>
    <w:rsid w:val="00F76AB3"/>
    <w:rsid w:val="00F816A4"/>
    <w:rsid w:val="00F81AE9"/>
    <w:rsid w:val="00F820BC"/>
    <w:rsid w:val="00F8211D"/>
    <w:rsid w:val="00F82E2E"/>
    <w:rsid w:val="00F83186"/>
    <w:rsid w:val="00F83601"/>
    <w:rsid w:val="00F837E6"/>
    <w:rsid w:val="00F8389A"/>
    <w:rsid w:val="00F83AE9"/>
    <w:rsid w:val="00F843D4"/>
    <w:rsid w:val="00F84A40"/>
    <w:rsid w:val="00F84DBD"/>
    <w:rsid w:val="00F8516E"/>
    <w:rsid w:val="00F852E5"/>
    <w:rsid w:val="00F85C0D"/>
    <w:rsid w:val="00F86741"/>
    <w:rsid w:val="00F86796"/>
    <w:rsid w:val="00F87C5B"/>
    <w:rsid w:val="00F87FEA"/>
    <w:rsid w:val="00F90613"/>
    <w:rsid w:val="00F906F4"/>
    <w:rsid w:val="00F915F3"/>
    <w:rsid w:val="00F91800"/>
    <w:rsid w:val="00F91853"/>
    <w:rsid w:val="00F91987"/>
    <w:rsid w:val="00F9208E"/>
    <w:rsid w:val="00F92571"/>
    <w:rsid w:val="00F93CAE"/>
    <w:rsid w:val="00F95CCE"/>
    <w:rsid w:val="00F9692D"/>
    <w:rsid w:val="00F978BE"/>
    <w:rsid w:val="00F97D7B"/>
    <w:rsid w:val="00FA0013"/>
    <w:rsid w:val="00FA0288"/>
    <w:rsid w:val="00FA0F71"/>
    <w:rsid w:val="00FA19D4"/>
    <w:rsid w:val="00FA281D"/>
    <w:rsid w:val="00FA3A97"/>
    <w:rsid w:val="00FA3AEA"/>
    <w:rsid w:val="00FA4219"/>
    <w:rsid w:val="00FA48C7"/>
    <w:rsid w:val="00FA54FF"/>
    <w:rsid w:val="00FA5570"/>
    <w:rsid w:val="00FA579F"/>
    <w:rsid w:val="00FA5C0B"/>
    <w:rsid w:val="00FA70F5"/>
    <w:rsid w:val="00FA7902"/>
    <w:rsid w:val="00FB005D"/>
    <w:rsid w:val="00FB183E"/>
    <w:rsid w:val="00FB1D54"/>
    <w:rsid w:val="00FB3363"/>
    <w:rsid w:val="00FB4048"/>
    <w:rsid w:val="00FB4629"/>
    <w:rsid w:val="00FB577F"/>
    <w:rsid w:val="00FB5D9E"/>
    <w:rsid w:val="00FB5E5D"/>
    <w:rsid w:val="00FB5FC4"/>
    <w:rsid w:val="00FB6A07"/>
    <w:rsid w:val="00FB6FB1"/>
    <w:rsid w:val="00FB7460"/>
    <w:rsid w:val="00FB7A10"/>
    <w:rsid w:val="00FC0F81"/>
    <w:rsid w:val="00FC2742"/>
    <w:rsid w:val="00FC3798"/>
    <w:rsid w:val="00FC59AF"/>
    <w:rsid w:val="00FC5DAC"/>
    <w:rsid w:val="00FC5F72"/>
    <w:rsid w:val="00FC62B5"/>
    <w:rsid w:val="00FC6D4E"/>
    <w:rsid w:val="00FC7073"/>
    <w:rsid w:val="00FC736F"/>
    <w:rsid w:val="00FD0CDB"/>
    <w:rsid w:val="00FD1FA7"/>
    <w:rsid w:val="00FD2805"/>
    <w:rsid w:val="00FD2D42"/>
    <w:rsid w:val="00FD30B5"/>
    <w:rsid w:val="00FD3453"/>
    <w:rsid w:val="00FD39CF"/>
    <w:rsid w:val="00FD4D84"/>
    <w:rsid w:val="00FD58F5"/>
    <w:rsid w:val="00FD741E"/>
    <w:rsid w:val="00FD754C"/>
    <w:rsid w:val="00FE0DAE"/>
    <w:rsid w:val="00FE1370"/>
    <w:rsid w:val="00FE1510"/>
    <w:rsid w:val="00FE2121"/>
    <w:rsid w:val="00FE254A"/>
    <w:rsid w:val="00FE321B"/>
    <w:rsid w:val="00FE3D07"/>
    <w:rsid w:val="00FE4B6F"/>
    <w:rsid w:val="00FE6818"/>
    <w:rsid w:val="00FF0CF5"/>
    <w:rsid w:val="00FF0D6F"/>
    <w:rsid w:val="00FF1103"/>
    <w:rsid w:val="00FF1712"/>
    <w:rsid w:val="00FF37DC"/>
    <w:rsid w:val="00FF37F2"/>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c.pitalua@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8AE37-E1F3-4B08-98E9-52F0B3FA79CF}">
  <ds:schemaRefs>
    <ds:schemaRef ds:uri="http://schemas.microsoft.com/office/2006/documentManagement/types"/>
    <ds:schemaRef ds:uri="http://purl.org/dc/elements/1.1/"/>
    <ds:schemaRef ds:uri="9d85dbaf-23eb-4e57-a637-93dcacc8b1a1"/>
    <ds:schemaRef ds:uri="http://schemas.openxmlformats.org/package/2006/metadata/core-properties"/>
    <ds:schemaRef ds:uri="http://schemas.microsoft.com/office/infopath/2007/PartnerControls"/>
    <ds:schemaRef ds:uri="http://purl.org/dc/terms/"/>
    <ds:schemaRef ds:uri="a6cb9e4b-f1d1-4245-83ec-6cad768d538a"/>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23</Pages>
  <Words>6427</Words>
  <Characters>35222</Characters>
  <Application>Microsoft Office Word</Application>
  <DocSecurity>0</DocSecurity>
  <Lines>690</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41516</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2</cp:revision>
  <dcterms:created xsi:type="dcterms:W3CDTF">2025-10-23T15:23:00Z</dcterms:created>
  <dcterms:modified xsi:type="dcterms:W3CDTF">2025-10-23T15:23:00Z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