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8D95B" w14:textId="4D8FCAD6" w:rsidR="00D91A29" w:rsidRPr="00D91A29" w:rsidRDefault="00D91A29" w:rsidP="00D91A29">
      <w:pPr>
        <w:spacing w:after="0"/>
        <w:jc w:val="both"/>
        <w:rPr>
          <w:rFonts w:ascii="Verdana" w:hAnsi="Verdana"/>
        </w:rPr>
      </w:pPr>
      <w:bookmarkStart w:id="0" w:name="_Hlk143780582"/>
      <w:r w:rsidRPr="00D91A29">
        <w:rPr>
          <w:rFonts w:ascii="Verdana" w:eastAsia="Calibri" w:hAnsi="Verdana" w:cs="Arial"/>
          <w:b/>
          <w:bCs/>
          <w:lang w:val="es-ES_tradnl" w:eastAsia="es-ES"/>
        </w:rPr>
        <w:t>DOCUMENTOS TIPO – Fundamento normativo</w:t>
      </w:r>
    </w:p>
    <w:p w14:paraId="13C7727F" w14:textId="77777777" w:rsidR="00D91A29" w:rsidRPr="00D91A29" w:rsidRDefault="00D91A29" w:rsidP="00D91A29">
      <w:pPr>
        <w:snapToGrid w:val="0"/>
        <w:spacing w:after="0" w:line="240" w:lineRule="auto"/>
        <w:jc w:val="both"/>
        <w:rPr>
          <w:rFonts w:ascii="Verdana" w:eastAsia="Calibri" w:hAnsi="Verdana" w:cs="Arial"/>
          <w:b/>
          <w:bCs/>
          <w:lang w:val="es-ES_tradnl" w:eastAsia="es-ES"/>
        </w:rPr>
      </w:pPr>
    </w:p>
    <w:p w14:paraId="65801DF8" w14:textId="16CF79AE" w:rsidR="00D91A29" w:rsidRPr="00D91A29" w:rsidRDefault="000773EA" w:rsidP="00D91A29">
      <w:pPr>
        <w:snapToGrid w:val="0"/>
        <w:spacing w:after="0" w:line="240" w:lineRule="auto"/>
        <w:jc w:val="both"/>
        <w:rPr>
          <w:rFonts w:ascii="Verdana" w:eastAsia="Calibri" w:hAnsi="Verdana" w:cs="Times New Roman"/>
          <w:kern w:val="2"/>
          <w:sz w:val="20"/>
          <w:szCs w:val="20"/>
          <w:lang w:val="es-ES_tradnl"/>
          <w14:ligatures w14:val="standardContextual"/>
        </w:rPr>
      </w:pPr>
      <w:r w:rsidRPr="000773EA">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7F0A96E5" w14:textId="77777777" w:rsidR="00D91A29" w:rsidRPr="00D91A29" w:rsidRDefault="00D91A29" w:rsidP="00D91A29">
      <w:pPr>
        <w:spacing w:after="0" w:line="276" w:lineRule="auto"/>
        <w:rPr>
          <w:rFonts w:ascii="Verdana" w:eastAsia="Geomanist Light" w:hAnsi="Verdana" w:cs="Arial"/>
          <w:lang w:val="es-ES_tradnl"/>
        </w:rPr>
      </w:pPr>
    </w:p>
    <w:p w14:paraId="544BCD4B" w14:textId="77777777" w:rsidR="00D91A29" w:rsidRPr="00D91A29" w:rsidRDefault="00D91A29" w:rsidP="00D91A29">
      <w:pPr>
        <w:spacing w:after="0" w:line="276" w:lineRule="auto"/>
        <w:jc w:val="both"/>
        <w:rPr>
          <w:rFonts w:ascii="Verdana" w:eastAsia="Geomanist Light" w:hAnsi="Verdana" w:cs="Arial"/>
          <w:b/>
          <w:bCs/>
          <w:lang w:val="es-ES_tradnl"/>
        </w:rPr>
      </w:pPr>
      <w:r w:rsidRPr="00D91A29">
        <w:rPr>
          <w:rFonts w:ascii="Verdana" w:eastAsia="Geomanist Light" w:hAnsi="Verdana" w:cs="Arial"/>
          <w:b/>
          <w:bCs/>
          <w:lang w:val="es-ES_tradnl"/>
        </w:rPr>
        <w:t>DOCUMENTOS TIPO – Aplicación – Entidades no obligadas – Buenas prácticas contractuales – Matriz 4 – Nota 6</w:t>
      </w:r>
    </w:p>
    <w:p w14:paraId="7B0FAB0E" w14:textId="77777777" w:rsidR="00D91A29" w:rsidRPr="00D91A29" w:rsidRDefault="00D91A29" w:rsidP="00D91A29">
      <w:pPr>
        <w:spacing w:after="0" w:line="276" w:lineRule="auto"/>
        <w:jc w:val="both"/>
        <w:rPr>
          <w:rFonts w:ascii="Verdana" w:eastAsia="Geomanist Light" w:hAnsi="Verdana" w:cs="Arial"/>
          <w:b/>
          <w:bCs/>
          <w:lang w:val="es-ES_tradnl"/>
        </w:rPr>
      </w:pPr>
    </w:p>
    <w:p w14:paraId="23223F1C" w14:textId="3105431A" w:rsidR="00D91A29" w:rsidRPr="00D91A29" w:rsidRDefault="00D91A29" w:rsidP="00D91A29">
      <w:pPr>
        <w:snapToGrid w:val="0"/>
        <w:spacing w:after="0" w:line="240" w:lineRule="auto"/>
        <w:jc w:val="both"/>
        <w:rPr>
          <w:rFonts w:ascii="Verdana" w:eastAsia="Aptos" w:hAnsi="Verdana" w:cs="Aptos"/>
          <w:kern w:val="2"/>
          <w:sz w:val="20"/>
          <w:szCs w:val="20"/>
          <w:lang w:val="es-ES"/>
          <w14:ligatures w14:val="standardContextual"/>
        </w:rPr>
      </w:pPr>
      <w:r w:rsidRPr="00D91A29">
        <w:rPr>
          <w:rFonts w:ascii="Verdana" w:eastAsia="Aptos" w:hAnsi="Verdana" w:cs="Aptos"/>
          <w:kern w:val="2"/>
          <w:sz w:val="20"/>
          <w:szCs w:val="20"/>
          <w:lang w:val="es-ES"/>
          <w14:ligatures w14:val="standardContextual"/>
        </w:rPr>
        <w:t xml:space="preserve">[…] </w:t>
      </w:r>
      <w:r w:rsidR="000773EA" w:rsidRPr="000773EA">
        <w:rPr>
          <w:rFonts w:ascii="Verdana" w:eastAsia="Aptos" w:hAnsi="Verdana" w:cs="Aptos"/>
          <w:kern w:val="2"/>
          <w:sz w:val="20"/>
          <w:szCs w:val="20"/>
          <w:lang w:val="es-ES"/>
          <w14:ligatures w14:val="standardContextual"/>
        </w:rPr>
        <w:t>los perfiles del personal clave evaluable están contenidos en la Matriz 4, relacionada con los lineamientos para que se acredite la experiencia de este personal. En este sentido, la entidad que adelanta el proceso de selección debe definir dichos perfiles, limitándolos a los aspectos relacionados con: a) el título profesional, b) el título de posgrado, c) el porcentaje de dedicación, f) los años mínimos de la experiencia general y g) los años mínimos de la experiencia específica, tal como se menciona en el párrafo introductorio del numeral 3.8.2. previamente citado:</w:t>
      </w:r>
    </w:p>
    <w:p w14:paraId="73DBD4EF" w14:textId="77777777" w:rsidR="00D91A29" w:rsidRPr="00D91A29" w:rsidRDefault="00D91A29" w:rsidP="00D91A29">
      <w:pPr>
        <w:snapToGrid w:val="0"/>
        <w:spacing w:after="0" w:line="240" w:lineRule="auto"/>
        <w:jc w:val="both"/>
        <w:rPr>
          <w:rFonts w:ascii="Verdana" w:eastAsia="Aptos" w:hAnsi="Verdana" w:cs="Aptos"/>
          <w:kern w:val="2"/>
          <w:sz w:val="20"/>
          <w:szCs w:val="20"/>
          <w:lang w:val="es-ES"/>
          <w14:ligatures w14:val="standardContextual"/>
        </w:rPr>
      </w:pPr>
      <w:r w:rsidRPr="00D91A29">
        <w:rPr>
          <w:rFonts w:ascii="Verdana" w:eastAsia="Aptos" w:hAnsi="Verdana" w:cs="Aptos"/>
          <w:kern w:val="2"/>
          <w:sz w:val="20"/>
          <w:szCs w:val="20"/>
          <w:lang w:val="es-ES"/>
          <w14:ligatures w14:val="standardContextual"/>
        </w:rPr>
        <w:t>[…]</w:t>
      </w:r>
    </w:p>
    <w:p w14:paraId="5384C4C4" w14:textId="55640155" w:rsidR="00D91A29" w:rsidRPr="00D91A29" w:rsidRDefault="000773EA" w:rsidP="00D91A29">
      <w:pPr>
        <w:snapToGrid w:val="0"/>
        <w:spacing w:after="0" w:line="240" w:lineRule="auto"/>
        <w:jc w:val="both"/>
        <w:rPr>
          <w:rFonts w:ascii="Verdana" w:eastAsia="Aptos" w:hAnsi="Verdana" w:cs="Aptos"/>
          <w:kern w:val="2"/>
          <w:sz w:val="20"/>
          <w:szCs w:val="20"/>
          <w:lang w:val="es-ES_tradnl"/>
          <w14:ligatures w14:val="standardContextual"/>
        </w:rPr>
      </w:pPr>
      <w:r w:rsidRPr="000773EA">
        <w:rPr>
          <w:rFonts w:ascii="Verdana" w:eastAsia="Aptos" w:hAnsi="Verdana" w:cs="Aptos"/>
          <w:kern w:val="2"/>
          <w:sz w:val="20"/>
          <w:szCs w:val="20"/>
          <w:lang w:val="es-ES_tradnl"/>
          <w14:ligatures w14:val="standardContextual"/>
        </w:rPr>
        <w:t>Sin perjuicio de lo anterior, teniendo en cuenta que el objeto de su consulta versa sobre una entidad no obligada a utilizar los documentos tipo expedidos por Colombia Compra Eficiente, cuando la entidad contratante emplee los pliegos tipo a modo de buena práctica contractual, conservará su autonomía para que, en ejercicio de su deber de planeación, configure el proceso de contratación y los documentos que hacen parte de este de forma autónoma, sin que deba observar o incorporar, necesariamente, todo lo establecido en los documentos tipo.</w:t>
      </w:r>
    </w:p>
    <w:p w14:paraId="277D7B6E" w14:textId="77777777" w:rsidR="00D91A29" w:rsidRPr="00D91A29" w:rsidRDefault="00D91A29" w:rsidP="00D91A29">
      <w:pPr>
        <w:spacing w:after="0" w:line="240" w:lineRule="auto"/>
        <w:ind w:left="708"/>
        <w:jc w:val="both"/>
        <w:rPr>
          <w:rFonts w:ascii="Verdana" w:eastAsia="Calibri" w:hAnsi="Verdana" w:cs="Times New Roman"/>
          <w:kern w:val="2"/>
          <w:sz w:val="20"/>
          <w:szCs w:val="20"/>
          <w:lang w:val="es-ES_tradnl"/>
          <w14:ligatures w14:val="standardContextual"/>
        </w:rPr>
      </w:pPr>
    </w:p>
    <w:p w14:paraId="13F4F7D7" w14:textId="77777777" w:rsidR="00D91A29" w:rsidRPr="00D91A29" w:rsidRDefault="00D91A29" w:rsidP="00D91A29">
      <w:pPr>
        <w:spacing w:after="0" w:line="276" w:lineRule="auto"/>
        <w:ind w:firstLine="709"/>
        <w:jc w:val="both"/>
        <w:rPr>
          <w:rFonts w:ascii="Verdana" w:eastAsia="Aptos" w:hAnsi="Verdana" w:cs="Times New Roman"/>
          <w:kern w:val="2"/>
          <w:lang w:val="es-ES_tradnl"/>
          <w14:ligatures w14:val="standardContextual"/>
        </w:rPr>
      </w:pPr>
    </w:p>
    <w:p w14:paraId="37D4B485" w14:textId="77777777" w:rsidR="00D91A29" w:rsidRPr="00D91A29" w:rsidRDefault="00D91A29" w:rsidP="00D91A29">
      <w:pPr>
        <w:spacing w:after="0" w:line="276" w:lineRule="auto"/>
        <w:ind w:firstLine="709"/>
        <w:jc w:val="both"/>
        <w:rPr>
          <w:rFonts w:ascii="Verdana" w:eastAsia="Aptos" w:hAnsi="Verdana" w:cs="Times New Roman"/>
          <w:kern w:val="2"/>
          <w:lang w:val="es-ES_tradnl"/>
          <w14:ligatures w14:val="standardContextual"/>
        </w:rPr>
      </w:pPr>
    </w:p>
    <w:p w14:paraId="761E1BBE" w14:textId="77777777" w:rsidR="00D91A29" w:rsidRPr="00D91A29" w:rsidRDefault="00D91A29" w:rsidP="00D91A29">
      <w:pPr>
        <w:spacing w:after="0" w:line="276" w:lineRule="auto"/>
        <w:ind w:firstLine="709"/>
        <w:jc w:val="both"/>
        <w:rPr>
          <w:rFonts w:ascii="Verdana" w:eastAsia="Aptos" w:hAnsi="Verdana" w:cs="Times New Roman"/>
          <w:kern w:val="2"/>
          <w:lang w:val="es-ES_tradnl"/>
          <w14:ligatures w14:val="standardContextual"/>
        </w:rPr>
      </w:pPr>
    </w:p>
    <w:p w14:paraId="7C1B4886" w14:textId="77777777" w:rsidR="00D91A29" w:rsidRPr="00D91A29" w:rsidRDefault="00D91A29" w:rsidP="00D91A29">
      <w:pPr>
        <w:snapToGrid w:val="0"/>
        <w:spacing w:after="0" w:line="240" w:lineRule="auto"/>
        <w:jc w:val="both"/>
        <w:rPr>
          <w:rFonts w:ascii="Verdana" w:eastAsia="Calibri" w:hAnsi="Verdana" w:cs="Arial"/>
          <w:sz w:val="20"/>
          <w:szCs w:val="20"/>
          <w:lang w:val="es-ES_tradnl"/>
        </w:rPr>
      </w:pPr>
    </w:p>
    <w:p w14:paraId="3DBA2A4D" w14:textId="77777777" w:rsidR="00D91A29" w:rsidRPr="00D91A29" w:rsidRDefault="00D91A29" w:rsidP="00D91A29">
      <w:pPr>
        <w:spacing w:after="0" w:line="240" w:lineRule="auto"/>
        <w:jc w:val="both"/>
        <w:rPr>
          <w:rFonts w:ascii="Verdana" w:eastAsia="Calibri" w:hAnsi="Verdana" w:cs="Times New Roman"/>
          <w:lang w:val="es-ES_tradnl"/>
        </w:rPr>
      </w:pPr>
    </w:p>
    <w:p w14:paraId="29F59BEC" w14:textId="77777777" w:rsidR="00D91A29" w:rsidRPr="00D91A29" w:rsidRDefault="00D91A29" w:rsidP="00D91A29">
      <w:pPr>
        <w:spacing w:after="0" w:line="240" w:lineRule="auto"/>
        <w:jc w:val="both"/>
        <w:rPr>
          <w:rFonts w:ascii="Verdana" w:eastAsia="Calibri" w:hAnsi="Verdana" w:cs="Times New Roman"/>
          <w:lang w:val="es-ES_tradnl"/>
        </w:rPr>
      </w:pPr>
    </w:p>
    <w:p w14:paraId="4E6B7F4E" w14:textId="77777777" w:rsidR="00D91A29" w:rsidRPr="00D91A29" w:rsidRDefault="00D91A29" w:rsidP="00D91A29">
      <w:pPr>
        <w:spacing w:after="0" w:line="240" w:lineRule="auto"/>
        <w:jc w:val="both"/>
        <w:rPr>
          <w:rFonts w:ascii="Verdana" w:eastAsia="Calibri" w:hAnsi="Verdana" w:cs="Arial"/>
          <w:color w:val="000000"/>
          <w:sz w:val="20"/>
          <w:szCs w:val="20"/>
          <w:lang w:val="es-ES_tradnl"/>
        </w:rPr>
      </w:pPr>
    </w:p>
    <w:p w14:paraId="0CFFB39F" w14:textId="77777777" w:rsidR="00D91A29" w:rsidRPr="00D91A29" w:rsidRDefault="00D91A29" w:rsidP="00D91A29">
      <w:pPr>
        <w:spacing w:after="0" w:line="240" w:lineRule="auto"/>
        <w:jc w:val="both"/>
        <w:rPr>
          <w:rFonts w:ascii="Verdana" w:eastAsia="Calibri" w:hAnsi="Verdana" w:cs="Arial"/>
          <w:color w:val="000000"/>
          <w:sz w:val="20"/>
          <w:szCs w:val="20"/>
          <w:lang w:val="es-ES_tradnl"/>
        </w:rPr>
      </w:pPr>
    </w:p>
    <w:p w14:paraId="489A9DE6" w14:textId="77777777" w:rsidR="00D91A29" w:rsidRPr="00D91A29" w:rsidRDefault="00D91A29" w:rsidP="00D91A29">
      <w:pPr>
        <w:spacing w:after="0" w:line="240" w:lineRule="auto"/>
        <w:jc w:val="both"/>
        <w:rPr>
          <w:rFonts w:ascii="Verdana" w:eastAsia="Calibri" w:hAnsi="Verdana" w:cs="Arial"/>
          <w:color w:val="000000"/>
          <w:sz w:val="20"/>
          <w:szCs w:val="20"/>
          <w:lang w:val="es-ES_tradnl"/>
        </w:rPr>
      </w:pPr>
    </w:p>
    <w:p w14:paraId="6EA850CD" w14:textId="77777777" w:rsidR="00D91A29" w:rsidRPr="00D91A29" w:rsidRDefault="00D91A29" w:rsidP="00D91A29">
      <w:pPr>
        <w:spacing w:after="0" w:line="240" w:lineRule="auto"/>
        <w:jc w:val="both"/>
        <w:rPr>
          <w:rFonts w:ascii="Verdana" w:eastAsia="Calibri" w:hAnsi="Verdana" w:cs="Arial"/>
          <w:color w:val="000000"/>
          <w:sz w:val="20"/>
          <w:szCs w:val="20"/>
          <w:lang w:val="es-ES_tradnl"/>
        </w:rPr>
      </w:pPr>
    </w:p>
    <w:p w14:paraId="4A30B6EB" w14:textId="77777777" w:rsidR="00D91A29" w:rsidRPr="00D91A29" w:rsidRDefault="00D91A29" w:rsidP="00D91A29">
      <w:pPr>
        <w:spacing w:after="0" w:line="240" w:lineRule="auto"/>
        <w:jc w:val="both"/>
        <w:rPr>
          <w:rFonts w:ascii="Verdana" w:eastAsia="Calibri" w:hAnsi="Verdana" w:cs="Arial"/>
          <w:color w:val="000000"/>
          <w:sz w:val="20"/>
          <w:szCs w:val="20"/>
          <w:lang w:val="es-ES_tradnl"/>
        </w:rPr>
      </w:pPr>
    </w:p>
    <w:p w14:paraId="49E62552" w14:textId="77777777" w:rsidR="00D91A29" w:rsidRPr="00D91A29" w:rsidRDefault="00D91A29" w:rsidP="00D91A29">
      <w:pPr>
        <w:spacing w:after="0" w:line="240" w:lineRule="auto"/>
        <w:jc w:val="both"/>
        <w:rPr>
          <w:rFonts w:ascii="Verdana" w:eastAsia="Calibri" w:hAnsi="Verdana" w:cs="Arial"/>
          <w:color w:val="000000"/>
          <w:sz w:val="20"/>
          <w:szCs w:val="20"/>
          <w:lang w:val="es-ES_tradnl"/>
        </w:rPr>
      </w:pPr>
    </w:p>
    <w:p w14:paraId="1D328D5D" w14:textId="77777777" w:rsidR="00D91A29" w:rsidRPr="00D91A29" w:rsidRDefault="00D91A29" w:rsidP="00D91A29">
      <w:pPr>
        <w:spacing w:after="0" w:line="240" w:lineRule="auto"/>
        <w:jc w:val="both"/>
        <w:rPr>
          <w:rFonts w:ascii="Verdana" w:eastAsia="Calibri" w:hAnsi="Verdana" w:cs="Arial"/>
          <w:color w:val="000000"/>
          <w:sz w:val="20"/>
          <w:szCs w:val="20"/>
          <w:lang w:val="es-ES_tradnl"/>
        </w:rPr>
      </w:pPr>
    </w:p>
    <w:p w14:paraId="3765E2B5" w14:textId="77777777" w:rsidR="00D91A29" w:rsidRPr="00D91A29" w:rsidRDefault="00D91A29" w:rsidP="00D91A29">
      <w:pPr>
        <w:spacing w:after="0" w:line="240" w:lineRule="auto"/>
        <w:jc w:val="both"/>
        <w:rPr>
          <w:rFonts w:ascii="Verdana" w:eastAsia="Calibri" w:hAnsi="Verdana" w:cs="Arial"/>
          <w:color w:val="000000"/>
          <w:sz w:val="20"/>
          <w:szCs w:val="20"/>
          <w:lang w:val="es-ES_tradnl"/>
        </w:rPr>
      </w:pPr>
    </w:p>
    <w:p w14:paraId="5AB6FCE3" w14:textId="77777777" w:rsidR="00D91A29" w:rsidRPr="00D91A29" w:rsidRDefault="00D91A29" w:rsidP="00D91A29">
      <w:pPr>
        <w:spacing w:after="0" w:line="240" w:lineRule="auto"/>
        <w:jc w:val="both"/>
        <w:rPr>
          <w:rFonts w:ascii="Verdana" w:eastAsia="Calibri" w:hAnsi="Verdana" w:cs="Arial"/>
          <w:color w:val="000000"/>
          <w:sz w:val="20"/>
          <w:szCs w:val="20"/>
          <w:lang w:val="es-ES_tradnl"/>
        </w:rPr>
      </w:pPr>
    </w:p>
    <w:p w14:paraId="02047023" w14:textId="77777777" w:rsidR="00D91A29" w:rsidRDefault="00D91A29" w:rsidP="00D91A29">
      <w:pPr>
        <w:spacing w:after="0" w:line="240" w:lineRule="auto"/>
        <w:jc w:val="both"/>
        <w:rPr>
          <w:rFonts w:ascii="Verdana" w:eastAsia="Calibri" w:hAnsi="Verdana" w:cs="Times New Roman"/>
        </w:rPr>
      </w:pPr>
    </w:p>
    <w:p w14:paraId="46B98359" w14:textId="77825B3C" w:rsidR="00D91A29" w:rsidRPr="00204A66" w:rsidRDefault="00D91A29" w:rsidP="00D91A29">
      <w:pPr>
        <w:spacing w:after="0" w:line="240" w:lineRule="auto"/>
        <w:jc w:val="both"/>
        <w:rPr>
          <w:rFonts w:ascii="Verdana" w:hAnsi="Verdana"/>
        </w:rPr>
      </w:pPr>
      <w:r w:rsidRPr="0044528D">
        <w:rPr>
          <w:rFonts w:ascii="Verdana" w:hAnsi="Verdana"/>
        </w:rPr>
        <w:lastRenderedPageBreak/>
        <w:t xml:space="preserve">Bogotá D.C., </w:t>
      </w:r>
      <w:r w:rsidR="009519E7">
        <w:rPr>
          <w:rFonts w:ascii="Verdana" w:hAnsi="Verdana"/>
        </w:rPr>
        <w:t>23 Octubre 2025</w:t>
      </w:r>
    </w:p>
    <w:p w14:paraId="7F4E8CFB" w14:textId="4B09105F" w:rsidR="00D91A29" w:rsidRPr="00D91A29" w:rsidRDefault="0032725F" w:rsidP="0032725F">
      <w:pPr>
        <w:spacing w:after="0" w:line="240" w:lineRule="auto"/>
        <w:jc w:val="right"/>
        <w:rPr>
          <w:rFonts w:ascii="Verdana" w:eastAsia="Calibri" w:hAnsi="Verdana" w:cs="Arial"/>
          <w:lang w:val="es-ES_tradnl" w:eastAsia="es-ES"/>
        </w:rPr>
      </w:pPr>
      <w:r w:rsidRPr="0032725F">
        <w:rPr>
          <w:rFonts w:ascii="Verdana" w:eastAsia="Calibri" w:hAnsi="Verdana" w:cs="Arial"/>
          <w:lang w:val="es-ES_tradnl" w:eastAsia="es-ES"/>
        </w:rPr>
        <w:drawing>
          <wp:inline distT="0" distB="0" distL="0" distR="0" wp14:anchorId="35C5DBDD" wp14:editId="79EAF2D8">
            <wp:extent cx="2476846" cy="685896"/>
            <wp:effectExtent l="0" t="0" r="0" b="0"/>
            <wp:docPr id="122127321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273210" name="Imagen 1" descr="Texto&#10;&#10;El contenido generado por IA puede ser incorrecto."/>
                    <pic:cNvPicPr/>
                  </pic:nvPicPr>
                  <pic:blipFill>
                    <a:blip r:embed="rId10"/>
                    <a:stretch>
                      <a:fillRect/>
                    </a:stretch>
                  </pic:blipFill>
                  <pic:spPr>
                    <a:xfrm>
                      <a:off x="0" y="0"/>
                      <a:ext cx="2476846" cy="685896"/>
                    </a:xfrm>
                    <a:prstGeom prst="rect">
                      <a:avLst/>
                    </a:prstGeom>
                  </pic:spPr>
                </pic:pic>
              </a:graphicData>
            </a:graphic>
          </wp:inline>
        </w:drawing>
      </w:r>
    </w:p>
    <w:p w14:paraId="03838814" w14:textId="77777777" w:rsidR="00D91A29" w:rsidRPr="00D91A29" w:rsidRDefault="00D91A29" w:rsidP="00D91A29">
      <w:pPr>
        <w:spacing w:after="0" w:line="240" w:lineRule="auto"/>
        <w:jc w:val="both"/>
        <w:rPr>
          <w:rFonts w:ascii="Verdana" w:eastAsia="Calibri" w:hAnsi="Verdana" w:cs="Arial"/>
          <w:lang w:val="es-ES_tradnl" w:eastAsia="es-ES"/>
        </w:rPr>
      </w:pPr>
      <w:r w:rsidRPr="00D91A29">
        <w:rPr>
          <w:rFonts w:ascii="Verdana" w:eastAsia="Calibri" w:hAnsi="Verdana" w:cs="Arial"/>
          <w:lang w:val="es-ES_tradnl" w:eastAsia="es-ES"/>
        </w:rPr>
        <w:t>Señora</w:t>
      </w:r>
    </w:p>
    <w:p w14:paraId="68081A4A" w14:textId="77777777" w:rsidR="00D91A29" w:rsidRPr="00D91A29" w:rsidRDefault="00D91A29" w:rsidP="00D91A29">
      <w:pPr>
        <w:spacing w:after="0" w:line="240" w:lineRule="auto"/>
        <w:rPr>
          <w:rFonts w:ascii="Verdana" w:eastAsia="Calibri" w:hAnsi="Verdana" w:cs="Arial"/>
          <w:b/>
          <w:lang w:val="es-ES" w:eastAsia="es-ES"/>
        </w:rPr>
      </w:pPr>
      <w:r w:rsidRPr="00D91A29">
        <w:rPr>
          <w:rFonts w:ascii="Verdana" w:eastAsia="Calibri" w:hAnsi="Verdana" w:cs="Arial"/>
          <w:b/>
          <w:lang w:val="es-ES" w:eastAsia="es-ES"/>
        </w:rPr>
        <w:t xml:space="preserve">Isabella </w:t>
      </w:r>
      <w:proofErr w:type="spellStart"/>
      <w:r w:rsidRPr="00D91A29">
        <w:rPr>
          <w:rFonts w:ascii="Verdana" w:eastAsia="Calibri" w:hAnsi="Verdana" w:cs="Arial"/>
          <w:b/>
          <w:lang w:val="es-ES" w:eastAsia="es-ES"/>
        </w:rPr>
        <w:t>Lomonaco</w:t>
      </w:r>
      <w:proofErr w:type="spellEnd"/>
      <w:r w:rsidRPr="00D91A29">
        <w:rPr>
          <w:rFonts w:ascii="Verdana" w:eastAsia="Calibri" w:hAnsi="Verdana" w:cs="Arial"/>
          <w:b/>
          <w:lang w:val="es-ES" w:eastAsia="es-ES"/>
        </w:rPr>
        <w:t xml:space="preserve"> Arias</w:t>
      </w:r>
    </w:p>
    <w:p w14:paraId="19E57D79" w14:textId="77777777" w:rsidR="00D91A29" w:rsidRPr="00D91A29" w:rsidRDefault="00D91A29" w:rsidP="00D91A29">
      <w:pPr>
        <w:tabs>
          <w:tab w:val="left" w:pos="1200"/>
        </w:tabs>
        <w:spacing w:after="0" w:line="240" w:lineRule="auto"/>
        <w:rPr>
          <w:rFonts w:ascii="Verdana" w:eastAsia="Calibri" w:hAnsi="Verdana" w:cs="Arial"/>
          <w:b/>
          <w:bCs/>
          <w:lang w:val="es-ES_tradnl" w:eastAsia="es-ES"/>
        </w:rPr>
      </w:pPr>
      <w:r w:rsidRPr="00D91A29">
        <w:rPr>
          <w:rFonts w:ascii="Verdana" w:eastAsia="Calibri" w:hAnsi="Verdana" w:cs="Arial"/>
          <w:lang w:val="es-ES_tradnl" w:eastAsia="es-ES"/>
        </w:rPr>
        <w:t>Bogotá, D.C.</w:t>
      </w:r>
    </w:p>
    <w:p w14:paraId="140B56B6" w14:textId="77777777" w:rsidR="00D91A29" w:rsidRPr="00D91A29" w:rsidRDefault="00D91A29" w:rsidP="00D91A29">
      <w:pPr>
        <w:spacing w:after="0" w:line="240" w:lineRule="auto"/>
        <w:rPr>
          <w:rFonts w:ascii="Verdana" w:eastAsia="Calibri" w:hAnsi="Verdana" w:cs="Arial"/>
          <w:b/>
          <w:bCs/>
          <w:lang w:val="es-ES_tradnl" w:eastAsia="es-ES_tradnl"/>
        </w:rPr>
      </w:pPr>
    </w:p>
    <w:p w14:paraId="120A5019" w14:textId="77777777" w:rsidR="00D91A29" w:rsidRPr="00D91A29" w:rsidRDefault="00D91A29" w:rsidP="00D91A2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91A29" w:rsidRPr="00D91A29" w14:paraId="549183DF" w14:textId="77777777" w:rsidTr="00817672">
        <w:trPr>
          <w:trHeight w:val="884"/>
        </w:trPr>
        <w:tc>
          <w:tcPr>
            <w:tcW w:w="2689" w:type="dxa"/>
          </w:tcPr>
          <w:p w14:paraId="30AF899A" w14:textId="77777777" w:rsidR="00D91A29" w:rsidRPr="00D91A29" w:rsidRDefault="00D91A29" w:rsidP="00D91A29">
            <w:pPr>
              <w:jc w:val="both"/>
              <w:rPr>
                <w:rFonts w:ascii="Verdana" w:eastAsia="Calibri" w:hAnsi="Verdana" w:cs="Arial"/>
                <w:b/>
                <w:bCs/>
                <w:lang w:val="es-ES_tradnl" w:eastAsia="es-ES_tradnl"/>
              </w:rPr>
            </w:pPr>
          </w:p>
        </w:tc>
        <w:tc>
          <w:tcPr>
            <w:tcW w:w="6100" w:type="dxa"/>
          </w:tcPr>
          <w:p w14:paraId="593EAD77" w14:textId="77777777" w:rsidR="00D91A29" w:rsidRPr="00D91A29" w:rsidRDefault="00D91A29" w:rsidP="00D91A29">
            <w:pPr>
              <w:jc w:val="both"/>
              <w:rPr>
                <w:rFonts w:ascii="Verdana" w:eastAsia="Calibri" w:hAnsi="Verdana" w:cs="Arial"/>
                <w:b/>
                <w:bCs/>
                <w:lang w:val="es-ES_tradnl" w:eastAsia="es-ES"/>
              </w:rPr>
            </w:pPr>
            <w:r w:rsidRPr="00D91A29">
              <w:rPr>
                <w:rFonts w:ascii="Verdana" w:eastAsia="Calibri" w:hAnsi="Verdana" w:cs="Arial"/>
                <w:b/>
                <w:bCs/>
                <w:lang w:val="es-ES_tradnl" w:eastAsia="es-ES"/>
              </w:rPr>
              <w:t>Concepto C – 1321 de 2025</w:t>
            </w:r>
          </w:p>
        </w:tc>
      </w:tr>
      <w:tr w:rsidR="00D91A29" w:rsidRPr="00D91A29" w14:paraId="00F766AE" w14:textId="77777777" w:rsidTr="00817672">
        <w:trPr>
          <w:trHeight w:val="884"/>
        </w:trPr>
        <w:tc>
          <w:tcPr>
            <w:tcW w:w="2689" w:type="dxa"/>
          </w:tcPr>
          <w:p w14:paraId="6D7CF373" w14:textId="77777777" w:rsidR="00D91A29" w:rsidRPr="00D91A29" w:rsidRDefault="00D91A29" w:rsidP="00D91A29">
            <w:pPr>
              <w:jc w:val="both"/>
              <w:rPr>
                <w:rFonts w:ascii="Verdana" w:eastAsia="Calibri" w:hAnsi="Verdana" w:cs="Arial"/>
                <w:lang w:val="es-ES_tradnl" w:eastAsia="es-ES_tradnl"/>
              </w:rPr>
            </w:pPr>
            <w:r w:rsidRPr="00D91A29">
              <w:rPr>
                <w:rFonts w:ascii="Verdana" w:eastAsia="Calibri" w:hAnsi="Verdana" w:cs="Arial"/>
                <w:b/>
                <w:lang w:val="es-ES_tradnl" w:eastAsia="es-ES_tradnl"/>
              </w:rPr>
              <w:t>Temas:</w:t>
            </w:r>
            <w:r w:rsidRPr="00D91A29">
              <w:rPr>
                <w:rFonts w:ascii="Verdana" w:eastAsia="Calibri" w:hAnsi="Verdana" w:cs="Arial"/>
                <w:lang w:val="es-ES_tradnl" w:eastAsia="es-ES_tradnl"/>
              </w:rPr>
              <w:t xml:space="preserve">                   </w:t>
            </w:r>
          </w:p>
        </w:tc>
        <w:tc>
          <w:tcPr>
            <w:tcW w:w="6100" w:type="dxa"/>
          </w:tcPr>
          <w:p w14:paraId="6D948321" w14:textId="77777777" w:rsidR="00D91A29" w:rsidRPr="00D91A29" w:rsidRDefault="00D91A29" w:rsidP="00D91A29">
            <w:pPr>
              <w:spacing w:line="276" w:lineRule="auto"/>
              <w:jc w:val="both"/>
              <w:rPr>
                <w:rFonts w:ascii="Verdana" w:eastAsia="Geomanist Light" w:hAnsi="Verdana" w:cs="Arial"/>
                <w:lang w:val="es-ES_tradnl"/>
              </w:rPr>
            </w:pPr>
            <w:r w:rsidRPr="00D91A29">
              <w:rPr>
                <w:rFonts w:ascii="Verdana" w:eastAsia="Calibri" w:hAnsi="Verdana" w:cs="Arial"/>
                <w:lang w:val="es-ES_tradnl" w:eastAsia="es-ES"/>
              </w:rPr>
              <w:t xml:space="preserve">DOCUMENTOS TIPO – Fundamento normativo / </w:t>
            </w:r>
            <w:r w:rsidRPr="00D91A29">
              <w:rPr>
                <w:rFonts w:ascii="Verdana" w:eastAsia="Geomanist Light" w:hAnsi="Verdana" w:cs="Arial"/>
                <w:lang w:val="es-ES_tradnl"/>
              </w:rPr>
              <w:t>DOCUMENTOS TIPO – Aplicación – Entidades no obligadas – Buenas prácticas contractuales – Matriz 4 – Nota 6</w:t>
            </w:r>
          </w:p>
          <w:p w14:paraId="757768AB" w14:textId="77777777" w:rsidR="00D91A29" w:rsidRPr="00D91A29" w:rsidRDefault="00D91A29" w:rsidP="00D91A29">
            <w:pPr>
              <w:spacing w:line="276" w:lineRule="auto"/>
              <w:jc w:val="both"/>
              <w:rPr>
                <w:rFonts w:ascii="Verdana" w:eastAsia="Calibri" w:hAnsi="Verdana" w:cs="Arial"/>
                <w:lang w:val="es-ES_tradnl" w:eastAsia="es-ES"/>
              </w:rPr>
            </w:pPr>
          </w:p>
        </w:tc>
      </w:tr>
      <w:tr w:rsidR="00D91A29" w:rsidRPr="00D91A29" w14:paraId="2AA3AE27" w14:textId="77777777" w:rsidTr="00817672">
        <w:tc>
          <w:tcPr>
            <w:tcW w:w="2689" w:type="dxa"/>
          </w:tcPr>
          <w:p w14:paraId="2E2ACCBF" w14:textId="77777777" w:rsidR="00D91A29" w:rsidRPr="00D91A29" w:rsidRDefault="00D91A29" w:rsidP="00D91A29">
            <w:pPr>
              <w:jc w:val="both"/>
              <w:rPr>
                <w:rFonts w:ascii="Verdana" w:eastAsia="Calibri" w:hAnsi="Verdana" w:cs="Arial"/>
                <w:b/>
                <w:lang w:val="es-ES_tradnl" w:eastAsia="es-ES_tradnl"/>
              </w:rPr>
            </w:pPr>
            <w:r w:rsidRPr="00D91A29">
              <w:rPr>
                <w:rFonts w:ascii="Verdana" w:eastAsia="Calibri" w:hAnsi="Verdana" w:cs="Arial"/>
                <w:b/>
                <w:lang w:val="es-ES_tradnl" w:eastAsia="es-ES_tradnl"/>
              </w:rPr>
              <w:t>Radicación:</w:t>
            </w:r>
            <w:r w:rsidRPr="00D91A29">
              <w:rPr>
                <w:rFonts w:ascii="Verdana" w:eastAsia="Calibri" w:hAnsi="Verdana" w:cs="Arial"/>
                <w:lang w:val="es-ES_tradnl" w:eastAsia="es-ES_tradnl"/>
              </w:rPr>
              <w:t xml:space="preserve">               </w:t>
            </w:r>
          </w:p>
        </w:tc>
        <w:tc>
          <w:tcPr>
            <w:tcW w:w="6100" w:type="dxa"/>
          </w:tcPr>
          <w:p w14:paraId="3AFD8352" w14:textId="77777777" w:rsidR="00D91A29" w:rsidRPr="00D91A29" w:rsidRDefault="00D91A29" w:rsidP="00D91A29">
            <w:pPr>
              <w:jc w:val="both"/>
              <w:rPr>
                <w:rFonts w:ascii="Verdana" w:eastAsia="Calibri" w:hAnsi="Verdana" w:cs="Arial"/>
                <w:lang w:val="es-ES_tradnl" w:eastAsia="es-ES_tradnl"/>
              </w:rPr>
            </w:pPr>
            <w:r w:rsidRPr="00D91A29">
              <w:rPr>
                <w:rFonts w:ascii="Verdana" w:eastAsia="Calibri" w:hAnsi="Verdana" w:cs="Arial"/>
                <w:lang w:val="es-ES_tradnl" w:eastAsia="es-ES_tradnl"/>
              </w:rPr>
              <w:t>Respuesta a consulta con radicado No. 1_2025_09_15_010107</w:t>
            </w:r>
          </w:p>
        </w:tc>
      </w:tr>
    </w:tbl>
    <w:p w14:paraId="645CE9BA" w14:textId="77777777" w:rsidR="00D91A29" w:rsidRPr="00D91A29" w:rsidRDefault="00D91A29" w:rsidP="00D91A29">
      <w:pPr>
        <w:spacing w:after="0" w:line="240" w:lineRule="auto"/>
        <w:jc w:val="both"/>
        <w:rPr>
          <w:rFonts w:ascii="Verdana" w:eastAsia="Calibri" w:hAnsi="Verdana" w:cs="Arial"/>
          <w:lang w:val="es-ES_tradnl" w:eastAsia="es-ES_tradnl"/>
        </w:rPr>
      </w:pPr>
    </w:p>
    <w:p w14:paraId="5B7F836C" w14:textId="77777777" w:rsidR="00D91A29" w:rsidRPr="00D91A29" w:rsidRDefault="00D91A29" w:rsidP="00D91A29">
      <w:pPr>
        <w:spacing w:after="0" w:line="240" w:lineRule="auto"/>
        <w:jc w:val="both"/>
        <w:rPr>
          <w:rFonts w:ascii="Verdana" w:eastAsia="Calibri" w:hAnsi="Verdana" w:cs="Arial"/>
          <w:lang w:val="es-ES_tradnl" w:eastAsia="es-ES_tradnl"/>
        </w:rPr>
      </w:pPr>
    </w:p>
    <w:p w14:paraId="45E1B3EE" w14:textId="77777777" w:rsidR="00D91A29" w:rsidRPr="00D91A29" w:rsidRDefault="00D91A29" w:rsidP="2CEE8658">
      <w:pPr>
        <w:spacing w:after="0" w:line="276" w:lineRule="auto"/>
        <w:jc w:val="both"/>
        <w:rPr>
          <w:rFonts w:ascii="Verdana" w:eastAsia="Calibri" w:hAnsi="Verdana" w:cs="Arial"/>
          <w:lang w:val="es-ES" w:eastAsia="es-ES"/>
        </w:rPr>
      </w:pPr>
      <w:r w:rsidRPr="2CEE8658">
        <w:rPr>
          <w:rFonts w:ascii="Verdana" w:eastAsia="Calibri" w:hAnsi="Verdana" w:cs="Arial"/>
          <w:lang w:val="es-ES" w:eastAsia="es-ES"/>
        </w:rPr>
        <w:t xml:space="preserve">Estimada señora Lomonaco Arias: </w:t>
      </w:r>
    </w:p>
    <w:p w14:paraId="7EC0884D" w14:textId="77777777" w:rsidR="00D91A29" w:rsidRPr="00D91A29" w:rsidRDefault="00D91A29" w:rsidP="00D91A29">
      <w:pPr>
        <w:tabs>
          <w:tab w:val="left" w:pos="3768"/>
        </w:tabs>
        <w:spacing w:after="0" w:line="276" w:lineRule="auto"/>
        <w:jc w:val="both"/>
        <w:rPr>
          <w:rFonts w:ascii="Verdana" w:eastAsia="Calibri" w:hAnsi="Verdana" w:cs="Arial"/>
          <w:lang w:val="es-ES_tradnl" w:eastAsia="es-ES"/>
        </w:rPr>
      </w:pPr>
      <w:r w:rsidRPr="00D91A29">
        <w:rPr>
          <w:rFonts w:ascii="Verdana" w:eastAsia="Calibri" w:hAnsi="Verdana" w:cs="Arial"/>
          <w:lang w:val="es-ES_tradnl" w:eastAsia="es-ES"/>
        </w:rPr>
        <w:tab/>
      </w:r>
    </w:p>
    <w:p w14:paraId="3B39DFD1" w14:textId="77777777" w:rsidR="00D91A29" w:rsidRPr="00D91A29" w:rsidRDefault="00D91A29" w:rsidP="00D91A29">
      <w:pPr>
        <w:spacing w:after="0" w:line="276" w:lineRule="auto"/>
        <w:jc w:val="both"/>
        <w:rPr>
          <w:rFonts w:ascii="Verdana" w:eastAsia="Calibri" w:hAnsi="Verdana" w:cs="Arial"/>
          <w:lang w:val="es-ES_tradnl" w:eastAsia="es-ES"/>
        </w:rPr>
      </w:pPr>
      <w:r w:rsidRPr="00D91A29">
        <w:rPr>
          <w:rFonts w:ascii="Verdana" w:eastAsia="Calibri" w:hAnsi="Verdana" w:cs="Arial"/>
          <w:lang w:val="es-ES_tradnl" w:eastAsia="es-ES"/>
        </w:rPr>
        <w:t>En ejercicio de la competencia otorgada por los artículos 3, numeral 5º, y 11, numeral 8º, del Decreto Ley 4170 de 2011,</w:t>
      </w:r>
      <w:r w:rsidRPr="00D91A29">
        <w:rPr>
          <w:rFonts w:ascii="Verdana" w:eastAsia="Arial MT" w:hAnsi="Verdana" w:cs="Arial MT"/>
          <w:lang w:val="es-ES_tradnl" w:eastAsia="es-ES"/>
        </w:rPr>
        <w:t xml:space="preserve"> </w:t>
      </w:r>
      <w:r w:rsidRPr="00D91A29">
        <w:rPr>
          <w:rFonts w:ascii="Verdana" w:eastAsia="Calibri" w:hAnsi="Verdana" w:cs="Arial"/>
          <w:lang w:val="es-ES_tradnl"/>
        </w:rPr>
        <w:t xml:space="preserve">así como lo establecido en el artículo 4 de la Resolución 1707 de 2018 expedida por esta Entidad, </w:t>
      </w:r>
      <w:r w:rsidRPr="00D91A29">
        <w:rPr>
          <w:rFonts w:ascii="Verdana" w:eastAsia="Calibri" w:hAnsi="Verdana" w:cs="Arial"/>
          <w:lang w:val="es-ES_tradnl" w:eastAsia="es-ES"/>
        </w:rPr>
        <w:t>la Agencia Nacional de Contratación Pública – Colombia Compra Eficiente responde su solicitud de consulta de fecha 15 de septiembre de 2025, en la que manifiesta lo siguiente:</w:t>
      </w:r>
    </w:p>
    <w:p w14:paraId="364C39DB" w14:textId="77777777" w:rsidR="00D91A29" w:rsidRPr="00D91A29" w:rsidRDefault="00D91A29" w:rsidP="00D91A29">
      <w:pPr>
        <w:tabs>
          <w:tab w:val="left" w:pos="2100"/>
        </w:tabs>
        <w:spacing w:after="0" w:line="276" w:lineRule="auto"/>
        <w:jc w:val="both"/>
        <w:rPr>
          <w:rFonts w:ascii="Verdana" w:eastAsia="Calibri" w:hAnsi="Verdana" w:cs="Arial"/>
          <w:lang w:val="es-ES_tradnl" w:eastAsia="es-ES"/>
        </w:rPr>
      </w:pPr>
      <w:r w:rsidRPr="00D91A29">
        <w:rPr>
          <w:rFonts w:ascii="Verdana" w:eastAsia="Calibri" w:hAnsi="Verdana" w:cs="Arial"/>
          <w:lang w:val="es-ES_tradnl" w:eastAsia="es-ES"/>
        </w:rPr>
        <w:tab/>
      </w:r>
    </w:p>
    <w:p w14:paraId="255453BD" w14:textId="77777777" w:rsidR="00D91A29" w:rsidRPr="00D91A29" w:rsidRDefault="00D91A29" w:rsidP="00D91A29">
      <w:pPr>
        <w:autoSpaceDE w:val="0"/>
        <w:autoSpaceDN w:val="0"/>
        <w:adjustRightInd w:val="0"/>
        <w:spacing w:after="0" w:line="240" w:lineRule="auto"/>
        <w:ind w:left="709" w:right="709"/>
        <w:jc w:val="both"/>
        <w:rPr>
          <w:rFonts w:ascii="Verdana" w:eastAsia="Aptos" w:hAnsi="Verdana" w:cs="Times New Roman"/>
          <w:kern w:val="2"/>
          <w:sz w:val="21"/>
          <w:szCs w:val="21"/>
          <w14:ligatures w14:val="standardContextual"/>
        </w:rPr>
      </w:pPr>
      <w:r w:rsidRPr="00D91A29">
        <w:rPr>
          <w:rFonts w:ascii="Verdana" w:eastAsia="Calibri" w:hAnsi="Verdana" w:cs="Arial"/>
          <w:sz w:val="21"/>
          <w:szCs w:val="21"/>
          <w:lang w:val="es-ES" w:eastAsia="es-ES"/>
        </w:rPr>
        <w:t>"</w:t>
      </w:r>
      <w:r w:rsidRPr="00D91A29">
        <w:rPr>
          <w:rFonts w:ascii="Verdana" w:eastAsia="Aptos" w:hAnsi="Verdana" w:cs="Times New Roman"/>
          <w:kern w:val="2"/>
          <w:sz w:val="21"/>
          <w:szCs w:val="21"/>
          <w14:ligatures w14:val="standardContextual"/>
        </w:rPr>
        <w:t xml:space="preserve">En virtud de la autonomía que tienen las entidades públicas para estructurar los términos y condiciones en procesos </w:t>
      </w:r>
      <w:r w:rsidRPr="00D91A29">
        <w:rPr>
          <w:rFonts w:ascii="Verdana" w:eastAsia="Aptos" w:hAnsi="Verdana" w:cs="Times New Roman"/>
          <w:b/>
          <w:bCs/>
          <w:kern w:val="2"/>
          <w:sz w:val="21"/>
          <w:szCs w:val="21"/>
          <w14:ligatures w14:val="standardContextual"/>
        </w:rPr>
        <w:t>no sometidos a la implementación obligatoria de los Documentos Tipo,</w:t>
      </w:r>
      <w:r w:rsidRPr="00D91A29">
        <w:rPr>
          <w:rFonts w:ascii="Verdana" w:eastAsia="Aptos" w:hAnsi="Verdana" w:cs="Times New Roman"/>
          <w:kern w:val="2"/>
          <w:sz w:val="21"/>
          <w:szCs w:val="21"/>
          <w14:ligatures w14:val="standardContextual"/>
        </w:rPr>
        <w:t xml:space="preserve"> y teniendo como referencia la orientación general contenida en la Nota 6, me permito formular las siguientes consultas de carácter general:</w:t>
      </w:r>
    </w:p>
    <w:p w14:paraId="2F1D3095" w14:textId="77777777" w:rsidR="00D91A29" w:rsidRPr="00D91A29" w:rsidRDefault="00D91A29" w:rsidP="00D91A29">
      <w:pPr>
        <w:autoSpaceDE w:val="0"/>
        <w:autoSpaceDN w:val="0"/>
        <w:adjustRightInd w:val="0"/>
        <w:spacing w:after="0" w:line="240" w:lineRule="auto"/>
        <w:ind w:left="709" w:right="709"/>
        <w:jc w:val="both"/>
        <w:rPr>
          <w:rFonts w:ascii="Verdana" w:eastAsia="Aptos" w:hAnsi="Verdana" w:cs="Times New Roman"/>
          <w:kern w:val="2"/>
          <w:sz w:val="21"/>
          <w:szCs w:val="21"/>
          <w14:ligatures w14:val="standardContextual"/>
        </w:rPr>
      </w:pPr>
    </w:p>
    <w:p w14:paraId="0DDDA371" w14:textId="77777777" w:rsidR="00D91A29" w:rsidRPr="00D91A29" w:rsidRDefault="00D91A29" w:rsidP="00D91A29">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00D91A29">
        <w:rPr>
          <w:rFonts w:ascii="Verdana" w:eastAsia="Calibri" w:hAnsi="Verdana" w:cs="Arial"/>
          <w:sz w:val="21"/>
          <w:szCs w:val="21"/>
          <w:lang w:val="es-ES" w:eastAsia="es-ES"/>
        </w:rPr>
        <w:t>1.</w:t>
      </w:r>
      <w:r w:rsidRPr="00D91A29">
        <w:rPr>
          <w:rFonts w:ascii="Verdana" w:eastAsia="Calibri" w:hAnsi="Verdana" w:cs="Arial"/>
          <w:b/>
          <w:bCs/>
          <w:sz w:val="21"/>
          <w:szCs w:val="21"/>
          <w:lang w:val="es-ES" w:eastAsia="es-ES"/>
        </w:rPr>
        <w:t xml:space="preserve"> ¿Es jurídicamente viable que una entidad, en ejercicio de su autonomía contractual, incorpore parcialmente el contenido de la Nota 6</w:t>
      </w:r>
      <w:r w:rsidRPr="00D91A29">
        <w:rPr>
          <w:rFonts w:ascii="Verdana" w:eastAsia="Calibri" w:hAnsi="Verdana" w:cs="Arial"/>
          <w:sz w:val="21"/>
          <w:szCs w:val="21"/>
          <w:lang w:val="es-ES" w:eastAsia="es-ES"/>
        </w:rPr>
        <w:t xml:space="preserve">, omitiendo el siguiente aparte: </w:t>
      </w:r>
      <w:r w:rsidRPr="00D91A29">
        <w:rPr>
          <w:rFonts w:ascii="Verdana" w:eastAsia="Calibri" w:hAnsi="Verdana" w:cs="Arial"/>
          <w:i/>
          <w:iCs/>
          <w:sz w:val="21"/>
          <w:szCs w:val="21"/>
          <w:lang w:val="es-ES" w:eastAsia="es-ES"/>
        </w:rPr>
        <w:t>“(…) en ese orden de ideas, la específica está contenida dentro del plazo de ejercicio profesional, por lo cual nunca será mayor la experiencia específica a la general”,</w:t>
      </w:r>
      <w:r w:rsidRPr="00D91A29">
        <w:rPr>
          <w:rFonts w:ascii="Verdana" w:eastAsia="Calibri" w:hAnsi="Verdana" w:cs="Arial"/>
          <w:sz w:val="21"/>
          <w:szCs w:val="21"/>
          <w:lang w:val="es-ES" w:eastAsia="es-ES"/>
        </w:rPr>
        <w:t xml:space="preserve"> </w:t>
      </w:r>
      <w:r w:rsidRPr="00D91A29">
        <w:rPr>
          <w:rFonts w:ascii="Verdana" w:eastAsia="Calibri" w:hAnsi="Verdana" w:cs="Arial"/>
          <w:b/>
          <w:bCs/>
          <w:sz w:val="21"/>
          <w:szCs w:val="21"/>
          <w:lang w:val="es-ES" w:eastAsia="es-ES"/>
        </w:rPr>
        <w:lastRenderedPageBreak/>
        <w:t>sin adicionar una aclaración o precisión sobre dicha relación entre experiencia general y específica?</w:t>
      </w:r>
    </w:p>
    <w:p w14:paraId="0AD3DB54" w14:textId="77777777" w:rsidR="00D91A29" w:rsidRPr="00D91A29" w:rsidRDefault="00D91A29" w:rsidP="00D91A29">
      <w:pPr>
        <w:autoSpaceDE w:val="0"/>
        <w:autoSpaceDN w:val="0"/>
        <w:adjustRightInd w:val="0"/>
        <w:spacing w:after="0" w:line="240" w:lineRule="auto"/>
        <w:ind w:left="709" w:right="709"/>
        <w:jc w:val="both"/>
        <w:rPr>
          <w:rFonts w:ascii="Verdana" w:eastAsia="Calibri" w:hAnsi="Verdana" w:cs="Arial"/>
          <w:sz w:val="21"/>
          <w:szCs w:val="21"/>
          <w:lang w:val="es-ES" w:eastAsia="es-ES"/>
        </w:rPr>
      </w:pPr>
    </w:p>
    <w:p w14:paraId="7C91DE9C" w14:textId="77777777" w:rsidR="00D91A29" w:rsidRPr="00D91A29" w:rsidRDefault="00D91A29" w:rsidP="00D91A29">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00D91A29">
        <w:rPr>
          <w:rFonts w:ascii="Verdana" w:eastAsia="Calibri" w:hAnsi="Verdana" w:cs="Arial"/>
          <w:sz w:val="21"/>
          <w:szCs w:val="21"/>
          <w:lang w:val="es-ES" w:eastAsia="es-ES"/>
        </w:rPr>
        <w:t xml:space="preserve">2. </w:t>
      </w:r>
      <w:r w:rsidRPr="00D91A29">
        <w:rPr>
          <w:rFonts w:ascii="Verdana" w:eastAsia="Calibri" w:hAnsi="Verdana" w:cs="Arial"/>
          <w:b/>
          <w:bCs/>
          <w:sz w:val="21"/>
          <w:szCs w:val="21"/>
          <w:lang w:val="es-ES" w:eastAsia="es-ES"/>
        </w:rPr>
        <w:t>En caso de que se omita ese fragmento específico de la nota,</w:t>
      </w:r>
      <w:r w:rsidRPr="00D91A29">
        <w:rPr>
          <w:rFonts w:ascii="Verdana" w:eastAsia="Calibri" w:hAnsi="Verdana" w:cs="Arial"/>
          <w:sz w:val="21"/>
          <w:szCs w:val="21"/>
          <w:lang w:val="es-ES" w:eastAsia="es-ES"/>
        </w:rPr>
        <w:t xml:space="preserve"> ¿puede entenderse que se mantiene el mismo alcance interpretativo y normativo? Es decir, ¿la experiencia específica se debe seguir considerando como parte de la experiencia general, en coherencia con el principio de unidad y sentido técnico del Documento Tipo?</w:t>
      </w:r>
    </w:p>
    <w:p w14:paraId="0315F040" w14:textId="77777777" w:rsidR="00D91A29" w:rsidRPr="00D91A29" w:rsidRDefault="00D91A29" w:rsidP="00D91A29">
      <w:pPr>
        <w:autoSpaceDE w:val="0"/>
        <w:autoSpaceDN w:val="0"/>
        <w:adjustRightInd w:val="0"/>
        <w:spacing w:after="0" w:line="240" w:lineRule="auto"/>
        <w:ind w:left="709" w:right="709"/>
        <w:jc w:val="both"/>
        <w:rPr>
          <w:rFonts w:ascii="Verdana" w:eastAsia="Calibri" w:hAnsi="Verdana" w:cs="Arial"/>
          <w:sz w:val="21"/>
          <w:szCs w:val="21"/>
          <w:lang w:val="es-ES" w:eastAsia="es-ES"/>
        </w:rPr>
      </w:pPr>
    </w:p>
    <w:p w14:paraId="7BAE782D" w14:textId="77777777" w:rsidR="00D91A29" w:rsidRPr="00D91A29" w:rsidRDefault="00D91A29" w:rsidP="00D91A29">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00D91A29">
        <w:rPr>
          <w:rFonts w:ascii="Verdana" w:eastAsia="Calibri" w:hAnsi="Verdana" w:cs="Arial"/>
          <w:sz w:val="21"/>
          <w:szCs w:val="21"/>
          <w:lang w:val="es-ES" w:eastAsia="es-ES"/>
        </w:rPr>
        <w:t xml:space="preserve">3. En términos generales, y desde el marco normativo aplicable a la contratación estatal, </w:t>
      </w:r>
      <w:r w:rsidRPr="00D91A29">
        <w:rPr>
          <w:rFonts w:ascii="Verdana" w:eastAsia="Calibri" w:hAnsi="Verdana" w:cs="Arial"/>
          <w:b/>
          <w:bCs/>
          <w:sz w:val="21"/>
          <w:szCs w:val="21"/>
          <w:lang w:val="es-ES" w:eastAsia="es-ES"/>
        </w:rPr>
        <w:t>¿qué efectos tiene la respuesta de una entidad estatal a una observación formulada en el marco de la etapa de aclaraciones u observaciones al pliego definitivo,</w:t>
      </w:r>
      <w:r w:rsidRPr="00D91A29">
        <w:rPr>
          <w:rFonts w:ascii="Verdana" w:eastAsia="Calibri" w:hAnsi="Verdana" w:cs="Arial"/>
          <w:sz w:val="21"/>
          <w:szCs w:val="21"/>
          <w:lang w:val="es-ES" w:eastAsia="es-ES"/>
        </w:rPr>
        <w:t xml:space="preserve"> cuando dicha respuesta contiene un criterio que </w:t>
      </w:r>
      <w:r w:rsidRPr="00D91A29">
        <w:rPr>
          <w:rFonts w:ascii="Verdana" w:eastAsia="Calibri" w:hAnsi="Verdana" w:cs="Arial"/>
          <w:b/>
          <w:bCs/>
          <w:sz w:val="21"/>
          <w:szCs w:val="21"/>
          <w:lang w:val="es-ES" w:eastAsia="es-ES"/>
        </w:rPr>
        <w:t>se aparta del sentido técnico de la Nota 6?</w:t>
      </w:r>
      <w:r w:rsidRPr="00D91A29">
        <w:rPr>
          <w:rFonts w:ascii="Verdana" w:eastAsia="Calibri" w:hAnsi="Verdana" w:cs="Arial"/>
          <w:sz w:val="21"/>
          <w:szCs w:val="21"/>
          <w:lang w:val="es-ES" w:eastAsia="es-ES"/>
        </w:rPr>
        <w:t xml:space="preserve"> En otras palabras, si una entidad considera que la experiencia específica </w:t>
      </w:r>
      <w:r w:rsidRPr="00D91A29">
        <w:rPr>
          <w:rFonts w:ascii="Verdana" w:eastAsia="Calibri" w:hAnsi="Verdana" w:cs="Arial"/>
          <w:b/>
          <w:bCs/>
          <w:sz w:val="21"/>
          <w:szCs w:val="21"/>
          <w:lang w:val="es-ES" w:eastAsia="es-ES"/>
        </w:rPr>
        <w:t>no</w:t>
      </w:r>
      <w:r w:rsidRPr="00D91A29">
        <w:rPr>
          <w:rFonts w:ascii="Verdana" w:eastAsia="Calibri" w:hAnsi="Verdana" w:cs="Arial"/>
          <w:sz w:val="21"/>
          <w:szCs w:val="21"/>
          <w:lang w:val="es-ES" w:eastAsia="es-ES"/>
        </w:rPr>
        <w:t xml:space="preserve"> se encuentra contenida dentro de la experiencia general, ¿esa interpretación podría desconocer la lógica y alcance general de la citana nota?”</w:t>
      </w:r>
    </w:p>
    <w:p w14:paraId="6F4547A4" w14:textId="77777777" w:rsidR="00D91A29" w:rsidRPr="00D91A29" w:rsidRDefault="00D91A29" w:rsidP="00D91A29">
      <w:pPr>
        <w:spacing w:after="0" w:line="276" w:lineRule="auto"/>
        <w:ind w:left="709" w:right="709"/>
        <w:jc w:val="both"/>
        <w:rPr>
          <w:rFonts w:ascii="Verdana" w:eastAsia="Calibri" w:hAnsi="Verdana" w:cs="Arial"/>
          <w:lang w:val="es-ES_tradnl" w:eastAsia="es-ES"/>
        </w:rPr>
      </w:pPr>
    </w:p>
    <w:p w14:paraId="4FDA41B5" w14:textId="77777777" w:rsidR="00D91A29" w:rsidRPr="00D91A29" w:rsidRDefault="00D91A29" w:rsidP="00D91A29">
      <w:pPr>
        <w:spacing w:after="120" w:line="276" w:lineRule="auto"/>
        <w:ind w:firstLine="709"/>
        <w:jc w:val="both"/>
        <w:rPr>
          <w:rFonts w:ascii="Verdana" w:eastAsia="Calibri" w:hAnsi="Verdana" w:cs="Arial"/>
          <w:lang w:val="es-ES" w:eastAsia="es-ES"/>
        </w:rPr>
      </w:pPr>
      <w:r w:rsidRPr="00D91A2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91A29">
        <w:rPr>
          <w:rFonts w:ascii="Calibri" w:eastAsia="Calibri" w:hAnsi="Calibri" w:cs="Times New Roman"/>
        </w:rPr>
        <w:tab/>
      </w:r>
    </w:p>
    <w:p w14:paraId="0317A296" w14:textId="77777777" w:rsidR="00D91A29" w:rsidRPr="00D91A29" w:rsidRDefault="00D91A29" w:rsidP="00D91A29">
      <w:pPr>
        <w:snapToGrid w:val="0"/>
        <w:spacing w:after="0" w:line="276" w:lineRule="auto"/>
        <w:ind w:firstLine="709"/>
        <w:jc w:val="both"/>
        <w:rPr>
          <w:rFonts w:ascii="Verdana" w:eastAsia="Calibri" w:hAnsi="Verdana" w:cs="Arial"/>
          <w:lang w:val="es-ES_tradnl" w:eastAsia="es-ES"/>
        </w:rPr>
      </w:pPr>
      <w:r w:rsidRPr="00D91A29">
        <w:rPr>
          <w:rFonts w:ascii="Verdana" w:eastAsia="Calibri" w:hAnsi="Verdana" w:cs="Arial"/>
          <w:lang w:val="es-ES_tradnl"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D91A29">
        <w:rPr>
          <w:rFonts w:ascii="Verdana" w:eastAsia="Calibri" w:hAnsi="Verdana" w:cs="Arial"/>
          <w:lang w:val="es-ES_tradnl" w:eastAsia="es-ES"/>
        </w:rPr>
        <w:tab/>
      </w:r>
    </w:p>
    <w:p w14:paraId="3CC50233" w14:textId="77777777" w:rsidR="00D91A29" w:rsidRPr="00D91A29" w:rsidRDefault="00D91A29" w:rsidP="00D91A2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91A29">
        <w:rPr>
          <w:rFonts w:ascii="Verdana" w:eastAsia="Century Gothic" w:hAnsi="Verdana" w:cs="Century Gothic"/>
          <w:b/>
          <w:bCs/>
          <w:lang w:val="es-ES_tradnl"/>
        </w:rPr>
        <w:t>Problema planteado:</w:t>
      </w:r>
    </w:p>
    <w:p w14:paraId="6CF230B9" w14:textId="77777777" w:rsidR="00D91A29" w:rsidRPr="00D91A29" w:rsidRDefault="00D91A29" w:rsidP="00D91A29">
      <w:pPr>
        <w:tabs>
          <w:tab w:val="left" w:pos="426"/>
        </w:tabs>
        <w:snapToGrid w:val="0"/>
        <w:spacing w:after="0" w:line="276" w:lineRule="auto"/>
        <w:jc w:val="both"/>
        <w:rPr>
          <w:rFonts w:ascii="Verdana" w:eastAsia="Century Gothic" w:hAnsi="Verdana" w:cs="Century Gothic"/>
          <w:lang w:val="es-ES_tradnl"/>
        </w:rPr>
      </w:pPr>
    </w:p>
    <w:p w14:paraId="22442404" w14:textId="77777777" w:rsidR="00D91A29" w:rsidRPr="00D91A29" w:rsidRDefault="00D91A29" w:rsidP="00D91A29">
      <w:pPr>
        <w:snapToGrid w:val="0"/>
        <w:spacing w:after="0" w:line="276" w:lineRule="auto"/>
        <w:jc w:val="both"/>
        <w:rPr>
          <w:rFonts w:ascii="Verdana" w:eastAsia="Century Gothic" w:hAnsi="Verdana" w:cs="Century Gothic"/>
          <w:lang w:val="es-ES_tradnl"/>
        </w:rPr>
      </w:pPr>
      <w:r w:rsidRPr="00D91A29">
        <w:rPr>
          <w:rFonts w:ascii="Verdana" w:eastAsia="Century Gothic" w:hAnsi="Verdana" w:cs="Century Gothic"/>
          <w:lang w:val="es-ES_tradnl"/>
        </w:rPr>
        <w:lastRenderedPageBreak/>
        <w:t>De acuerdo con el contenido de su solicitud, esta Agencia resolverá el siguiente problema jurídico: ¿cuál es el alcance de la implementación de documentos tipo en un proceso de contratación por parte de una entidad no obligada a utilizar los pliegos tipo, particularmente, tratándose de la Nota 6 de la Matriz 4 – Lineamientos de requisitos del personal de los documentos tipo de interventoría del sector transporte?</w:t>
      </w:r>
    </w:p>
    <w:p w14:paraId="2B267C34" w14:textId="77777777" w:rsidR="00D91A29" w:rsidRPr="00D91A29" w:rsidRDefault="00D91A29" w:rsidP="00D91A29">
      <w:pPr>
        <w:snapToGrid w:val="0"/>
        <w:spacing w:after="0" w:line="276" w:lineRule="auto"/>
        <w:jc w:val="both"/>
        <w:rPr>
          <w:rFonts w:ascii="Verdana" w:eastAsia="Calibri" w:hAnsi="Verdana" w:cs="Arial"/>
          <w:lang w:val="es-ES_tradnl"/>
        </w:rPr>
      </w:pPr>
    </w:p>
    <w:p w14:paraId="7E77AD0E" w14:textId="77777777" w:rsidR="00D91A29" w:rsidRPr="00D91A29" w:rsidRDefault="00D91A29" w:rsidP="00D91A2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91A29">
        <w:rPr>
          <w:rFonts w:ascii="Verdana" w:eastAsia="Century Gothic" w:hAnsi="Verdana" w:cs="Century Gothic"/>
          <w:b/>
          <w:bCs/>
          <w:lang w:val="es-ES_tradnl"/>
        </w:rPr>
        <w:t>Respuesta:</w:t>
      </w:r>
    </w:p>
    <w:p w14:paraId="5036EDF1" w14:textId="77777777" w:rsidR="00D91A29" w:rsidRPr="00D91A29" w:rsidRDefault="00D91A29" w:rsidP="00D91A29">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91A29" w:rsidRPr="00D91A29" w14:paraId="19C767EA" w14:textId="77777777" w:rsidTr="00817672">
        <w:tc>
          <w:tcPr>
            <w:tcW w:w="8828" w:type="dxa"/>
          </w:tcPr>
          <w:p w14:paraId="66531A21" w14:textId="77777777" w:rsidR="00D91A29" w:rsidRPr="00D91A29" w:rsidRDefault="00D91A29" w:rsidP="00D91A29">
            <w:pPr>
              <w:spacing w:after="120" w:line="276" w:lineRule="auto"/>
              <w:jc w:val="both"/>
              <w:rPr>
                <w:rFonts w:ascii="Verdana" w:eastAsia="Calibri" w:hAnsi="Verdana" w:cs="Calibri"/>
              </w:rPr>
            </w:pPr>
            <w:r w:rsidRPr="00D91A29">
              <w:rPr>
                <w:rFonts w:ascii="Verdana" w:eastAsia="Calibri" w:hAnsi="Verdana" w:cs="Calibri"/>
              </w:rPr>
              <w:t xml:space="preserve">Las entidades estatales sometidas al Estatuto General de Contratación de la Administración Pública –EGCAP– deben aplicar de manera forzosa los documentos tipo para desarrollar los Procesos de Contratación en los objetos y modalidades cobijadas por dichos documentos tipo. Bajo esta consideración, en el evento en que al objeto del proceso de selección de la petición enviada por la ciudadana le sea obligatoria la adopción de los documentos tipo, esta Agencia realizará las precisiones pertinentes al respecto. Por su parte, cuando en un proceso de contratación no sea obligatorio utilizar documentos tipo, las entidades podrán hacer uso de estos a modo de </w:t>
            </w:r>
            <w:r w:rsidRPr="00D91A29">
              <w:rPr>
                <w:rFonts w:ascii="Verdana" w:eastAsia="Calibri" w:hAnsi="Verdana" w:cs="Calibri"/>
                <w:i/>
                <w:iCs/>
              </w:rPr>
              <w:t>buenas prácticas contractuales</w:t>
            </w:r>
            <w:r w:rsidRPr="00D91A29">
              <w:rPr>
                <w:rFonts w:ascii="Verdana" w:eastAsia="Calibri" w:hAnsi="Verdana" w:cs="Calibri"/>
              </w:rPr>
              <w:t xml:space="preserve"> que puedan garantizar la selección idónea y objetiva de los oferentes.</w:t>
            </w:r>
          </w:p>
          <w:p w14:paraId="1D1E4D31" w14:textId="77777777" w:rsidR="00D91A29" w:rsidRPr="00D91A29" w:rsidRDefault="00D91A29" w:rsidP="00D91A29">
            <w:pPr>
              <w:spacing w:after="120" w:line="276" w:lineRule="auto"/>
              <w:ind w:firstLine="709"/>
              <w:jc w:val="both"/>
              <w:rPr>
                <w:rFonts w:ascii="Verdana" w:eastAsia="Calibri" w:hAnsi="Verdana" w:cs="Calibri"/>
              </w:rPr>
            </w:pPr>
            <w:r w:rsidRPr="00D91A29">
              <w:rPr>
                <w:rFonts w:ascii="Verdana" w:eastAsia="Calibri" w:hAnsi="Verdana" w:cs="Calibri"/>
              </w:rPr>
              <w:t>Particularmente, la Matriz 4 incorpora unos perfiles relacionados como personal clave evaluable, que son de uso generalizado en los procesos de interventoría. Sin embargo, tal como se indica en la Matriz 4, la entidad establecerá si la totalidad de los perfiles presentados son requeridos en su proceso de contratación.</w:t>
            </w:r>
          </w:p>
          <w:p w14:paraId="2E84052D" w14:textId="77777777" w:rsidR="00D91A29" w:rsidRPr="00D91A29" w:rsidRDefault="00D91A29" w:rsidP="00D91A29">
            <w:pPr>
              <w:spacing w:line="276" w:lineRule="auto"/>
              <w:ind w:firstLine="709"/>
              <w:jc w:val="both"/>
              <w:rPr>
                <w:rFonts w:ascii="Verdana" w:eastAsia="Calibri" w:hAnsi="Verdana" w:cs="Times New Roman"/>
                <w:lang w:val="es-ES_tradnl"/>
              </w:rPr>
            </w:pPr>
            <w:r w:rsidRPr="00D91A29">
              <w:rPr>
                <w:rFonts w:ascii="Verdana" w:eastAsia="Calibri" w:hAnsi="Verdana" w:cs="Times New Roman"/>
                <w:lang w:val="es-ES_tradnl"/>
              </w:rPr>
              <w:t xml:space="preserve">Sin perjuicio de lo anterior, teniendo en cuenta que el objeto de su consulta versa sobre una entidad no obligada a utilizar los documentos tipo expedidos por Colombia Compra Eficiente, cuando la entidad contratante emplee los pliegos tipo a modo de </w:t>
            </w:r>
            <w:r w:rsidRPr="00D91A29">
              <w:rPr>
                <w:rFonts w:ascii="Verdana" w:eastAsia="Calibri" w:hAnsi="Verdana" w:cs="Times New Roman"/>
                <w:i/>
                <w:iCs/>
                <w:lang w:val="es-ES_tradnl"/>
              </w:rPr>
              <w:t>buena práctica contractual,</w:t>
            </w:r>
            <w:r w:rsidRPr="00D91A29">
              <w:rPr>
                <w:rFonts w:ascii="Verdana" w:eastAsia="Calibri" w:hAnsi="Verdana" w:cs="Times New Roman"/>
                <w:lang w:val="es-ES_tradnl"/>
              </w:rPr>
              <w:t xml:space="preserve"> conservará su autonomía para que, en ejercicio de su deber de planeación, configure el proceso de contratación y los documentos que hacen parte de este de forma autónoma, sin que deba observar o incorporar, necesariamente, todo lo establecido en los documentos tipo. </w:t>
            </w:r>
          </w:p>
        </w:tc>
      </w:tr>
    </w:tbl>
    <w:p w14:paraId="11EA4A50" w14:textId="77777777" w:rsidR="00D91A29" w:rsidRPr="00D91A29" w:rsidRDefault="00D91A29" w:rsidP="00D91A29">
      <w:pPr>
        <w:tabs>
          <w:tab w:val="left" w:pos="142"/>
          <w:tab w:val="left" w:pos="284"/>
        </w:tabs>
        <w:snapToGrid w:val="0"/>
        <w:spacing w:after="0" w:line="276" w:lineRule="auto"/>
        <w:jc w:val="both"/>
        <w:rPr>
          <w:rFonts w:ascii="Verdana" w:eastAsia="Century Gothic" w:hAnsi="Verdana" w:cs="Century Gothic"/>
          <w:b/>
          <w:bCs/>
          <w:lang w:val="es-ES_tradnl"/>
        </w:rPr>
      </w:pPr>
    </w:p>
    <w:p w14:paraId="64318B6B" w14:textId="77777777" w:rsidR="00D91A29" w:rsidRPr="00D91A29" w:rsidRDefault="00D91A29" w:rsidP="00D91A2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91A29">
        <w:rPr>
          <w:rFonts w:ascii="Verdana" w:eastAsia="Century Gothic" w:hAnsi="Verdana" w:cs="Century Gothic"/>
          <w:b/>
          <w:bCs/>
          <w:lang w:val="es-ES_tradnl"/>
        </w:rPr>
        <w:t>Razones de la respuesta:</w:t>
      </w:r>
    </w:p>
    <w:p w14:paraId="5BBE7617" w14:textId="77777777" w:rsidR="00D91A29" w:rsidRPr="00D91A29" w:rsidRDefault="00D91A29" w:rsidP="00D91A29">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34C5319D" w14:textId="77777777" w:rsidR="00D91A29" w:rsidRPr="00D91A29" w:rsidRDefault="00D91A29" w:rsidP="00D91A29">
      <w:pPr>
        <w:snapToGrid w:val="0"/>
        <w:spacing w:after="0" w:line="276" w:lineRule="auto"/>
        <w:jc w:val="both"/>
        <w:rPr>
          <w:rFonts w:ascii="Verdana" w:eastAsia="Calibri" w:hAnsi="Verdana" w:cs="Arial"/>
          <w:lang w:val="es-ES_tradnl"/>
        </w:rPr>
      </w:pPr>
      <w:r w:rsidRPr="00D91A29">
        <w:rPr>
          <w:rFonts w:ascii="Verdana" w:eastAsia="Calibri" w:hAnsi="Verdana" w:cs="Arial"/>
          <w:lang w:val="es-ES_tradnl"/>
        </w:rPr>
        <w:t xml:space="preserve">Lo anterior se sustenta en las siguientes consideraciones: </w:t>
      </w:r>
    </w:p>
    <w:p w14:paraId="0C0D2509" w14:textId="77777777" w:rsidR="00D91A29" w:rsidRPr="00D91A29" w:rsidRDefault="00D91A29" w:rsidP="00D91A29">
      <w:pPr>
        <w:spacing w:after="0" w:line="276" w:lineRule="auto"/>
        <w:jc w:val="both"/>
        <w:rPr>
          <w:rFonts w:ascii="Verdana" w:eastAsia="Calibri" w:hAnsi="Verdana" w:cs="Arial"/>
          <w:lang w:val="es-ES_tradnl"/>
        </w:rPr>
      </w:pPr>
    </w:p>
    <w:p w14:paraId="6F528B4E" w14:textId="77777777" w:rsidR="00D91A29" w:rsidRPr="00D91A29" w:rsidRDefault="00D91A29" w:rsidP="00D91A29">
      <w:pPr>
        <w:snapToGrid w:val="0"/>
        <w:spacing w:after="0" w:line="276" w:lineRule="auto"/>
        <w:jc w:val="both"/>
        <w:rPr>
          <w:rFonts w:ascii="Verdana" w:eastAsia="Calibri" w:hAnsi="Verdana" w:cs="Arial"/>
          <w:lang w:val="es-ES_tradnl"/>
        </w:rPr>
      </w:pPr>
      <w:r w:rsidRPr="00D91A29">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4CB722A6" w14:textId="77777777" w:rsidR="00D91A29" w:rsidRPr="00D91A29" w:rsidRDefault="00D91A29" w:rsidP="00D91A29">
      <w:pPr>
        <w:snapToGrid w:val="0"/>
        <w:spacing w:before="120" w:after="0" w:line="276" w:lineRule="auto"/>
        <w:ind w:firstLine="709"/>
        <w:jc w:val="both"/>
        <w:rPr>
          <w:rFonts w:ascii="Verdana" w:eastAsia="Calibri" w:hAnsi="Verdana" w:cs="Times New Roman"/>
          <w:lang w:val="es-ES"/>
        </w:rPr>
      </w:pPr>
      <w:r w:rsidRPr="00D91A29">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28B92920" w14:textId="77777777" w:rsidR="00D91A29" w:rsidRPr="00D91A29" w:rsidRDefault="00D91A29" w:rsidP="00D91A29">
      <w:pPr>
        <w:snapToGrid w:val="0"/>
        <w:spacing w:before="120" w:after="0" w:line="276" w:lineRule="auto"/>
        <w:ind w:firstLine="709"/>
        <w:jc w:val="both"/>
        <w:rPr>
          <w:rFonts w:ascii="Verdana" w:eastAsia="Calibri" w:hAnsi="Verdana" w:cs="Arial"/>
          <w:lang w:val="es-ES_tradnl"/>
        </w:rPr>
      </w:pPr>
      <w:r w:rsidRPr="00D91A29">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D91A29">
        <w:rPr>
          <w:rFonts w:ascii="Verdana" w:eastAsia="Calibri" w:hAnsi="Verdana" w:cs="Times New Roman"/>
          <w:vertAlign w:val="superscript"/>
          <w:lang w:val="es-ES_tradnl"/>
        </w:rPr>
        <w:footnoteReference w:id="1"/>
      </w:r>
      <w:r w:rsidRPr="00D91A29">
        <w:rPr>
          <w:rFonts w:ascii="Verdana" w:eastAsia="Calibri" w:hAnsi="Verdana" w:cs="Times New Roman"/>
          <w:lang w:val="es-ES_tradnl"/>
        </w:rPr>
        <w:t xml:space="preserve"> </w:t>
      </w:r>
    </w:p>
    <w:p w14:paraId="626B7CE6" w14:textId="77777777" w:rsidR="00D91A29" w:rsidRPr="00D91A29" w:rsidRDefault="00D91A29" w:rsidP="00D91A29">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D91A29">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D91A29">
        <w:rPr>
          <w:rFonts w:ascii="Verdana" w:eastAsia="Times New Roman" w:hAnsi="Verdana" w:cs="Arial"/>
          <w:kern w:val="2"/>
          <w:highlight w:val="lightGray"/>
          <w:shd w:val="clear" w:color="auto" w:fill="FFFFFF"/>
          <w:lang w:val="es-ES" w:eastAsia="es-ES"/>
          <w14:ligatures w14:val="standardContextual"/>
        </w:rPr>
        <w:t>[texto]</w:t>
      </w:r>
      <w:r w:rsidRPr="00D91A29">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50A3804F" w14:textId="77777777" w:rsidR="00D91A29" w:rsidRPr="00D91A29" w:rsidRDefault="00D91A29" w:rsidP="00D91A29">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D91A29">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2B7E4119" w14:textId="77777777" w:rsidR="00D91A29" w:rsidRPr="00D91A29" w:rsidRDefault="00D91A29" w:rsidP="00D91A29">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D91A29">
        <w:rPr>
          <w:rFonts w:ascii="Verdana" w:eastAsia="Times New Roman" w:hAnsi="Verdana" w:cs="Arial"/>
          <w:kern w:val="2"/>
          <w:shd w:val="clear" w:color="auto" w:fill="FFFFFF"/>
          <w:lang w:val="es-ES_tradnl" w:eastAsia="es-ES"/>
          <w14:ligatures w14:val="standardContextual"/>
        </w:rPr>
        <w:lastRenderedPageBreak/>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2594333A" w14:textId="77777777" w:rsidR="00D91A29" w:rsidRPr="00D91A29" w:rsidRDefault="00D91A29" w:rsidP="00D91A29">
      <w:pPr>
        <w:snapToGrid w:val="0"/>
        <w:spacing w:after="120" w:line="276" w:lineRule="auto"/>
        <w:ind w:firstLine="709"/>
        <w:jc w:val="both"/>
        <w:rPr>
          <w:rFonts w:ascii="Verdana" w:eastAsia="Calibri" w:hAnsi="Verdana" w:cs="Times New Roman"/>
          <w:lang w:val="es-ES"/>
        </w:rPr>
      </w:pPr>
      <w:r w:rsidRPr="00D91A29">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D91A29">
        <w:rPr>
          <w:rFonts w:ascii="Verdana" w:eastAsia="Calibri" w:hAnsi="Verdana" w:cs="Times New Roman"/>
          <w:lang w:val="es-ES"/>
        </w:rPr>
        <w:t>ii</w:t>
      </w:r>
      <w:proofErr w:type="spellEnd"/>
      <w:r w:rsidRPr="00D91A29">
        <w:rPr>
          <w:rFonts w:ascii="Verdana" w:eastAsia="Calibri" w:hAnsi="Verdana" w:cs="Times New Roman"/>
          <w:lang w:val="es-ES"/>
        </w:rPr>
        <w:t xml:space="preserve">) la actividad a contratar y </w:t>
      </w:r>
      <w:proofErr w:type="spellStart"/>
      <w:r w:rsidRPr="00D91A29">
        <w:rPr>
          <w:rFonts w:ascii="Verdana" w:eastAsia="Calibri" w:hAnsi="Verdana" w:cs="Times New Roman"/>
          <w:lang w:val="es-ES"/>
        </w:rPr>
        <w:t>iii</w:t>
      </w:r>
      <w:proofErr w:type="spellEnd"/>
      <w:r w:rsidRPr="00D91A29">
        <w:rPr>
          <w:rFonts w:ascii="Verdana" w:eastAsia="Calibri" w:hAnsi="Verdana" w:cs="Times New Roman"/>
          <w:lang w:val="es-ES"/>
        </w:rPr>
        <w:t>) la cuantía del proceso de contratación.</w:t>
      </w:r>
    </w:p>
    <w:p w14:paraId="417DF510" w14:textId="77777777" w:rsidR="00D91A29" w:rsidRPr="00D91A29" w:rsidRDefault="00D91A29" w:rsidP="00D91A29">
      <w:pPr>
        <w:snapToGrid w:val="0"/>
        <w:spacing w:after="0" w:line="276" w:lineRule="auto"/>
        <w:ind w:firstLine="709"/>
        <w:jc w:val="both"/>
        <w:rPr>
          <w:rFonts w:ascii="Verdana" w:eastAsia="Aptos" w:hAnsi="Verdana" w:cs="Aptos"/>
          <w:kern w:val="2"/>
          <w:lang w:val="es-ES_tradnl"/>
          <w14:ligatures w14:val="standardContextual"/>
        </w:rPr>
      </w:pPr>
      <w:r w:rsidRPr="00D91A29">
        <w:rPr>
          <w:rFonts w:ascii="Verdana" w:eastAsia="Aptos" w:hAnsi="Verdana" w:cs="Aptos"/>
          <w:kern w:val="2"/>
          <w:lang w:val="es-ES_tradnl"/>
          <w14:ligatures w14:val="standardContextual"/>
        </w:rPr>
        <w:t>Es importante indicar que la parte introductoria del documento base de los documentos tipo de concurso de méritos para contratar la interventoría de obra pública de infraestructura de transporte, estable lo siguiente con respecto a la obligación de adoptar los documentos tipo por parte de las entidades sometidas al Estatuto General de Contratación de la Administración Pública:</w:t>
      </w:r>
    </w:p>
    <w:p w14:paraId="182F3B1C" w14:textId="77777777" w:rsidR="00D91A29" w:rsidRPr="00D91A29" w:rsidRDefault="00D91A29" w:rsidP="00D91A29">
      <w:pPr>
        <w:snapToGrid w:val="0"/>
        <w:spacing w:after="0" w:line="276" w:lineRule="auto"/>
        <w:ind w:firstLine="709"/>
        <w:jc w:val="both"/>
        <w:rPr>
          <w:rFonts w:ascii="Verdana" w:eastAsia="Aptos" w:hAnsi="Verdana" w:cs="Aptos"/>
          <w:kern w:val="2"/>
          <w:lang w:val="es-ES_tradnl"/>
          <w14:ligatures w14:val="standardContextual"/>
        </w:rPr>
      </w:pPr>
    </w:p>
    <w:p w14:paraId="66FB61E8" w14:textId="77777777" w:rsidR="00D91A29" w:rsidRPr="00D91A29" w:rsidRDefault="00D91A29" w:rsidP="00D91A29">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D91A29">
        <w:rPr>
          <w:rFonts w:ascii="Verdana" w:eastAsia="Aptos" w:hAnsi="Verdana" w:cs="Aptos"/>
          <w:i/>
          <w:iCs/>
          <w:kern w:val="2"/>
          <w:sz w:val="21"/>
          <w:szCs w:val="21"/>
          <w:lang w:val="es-ES_tradnl"/>
          <w14:ligatures w14:val="standardContextual"/>
        </w:rPr>
        <w:t xml:space="preserve">“Estos Documentos Tipo aplican a los procesos de interventoría de obra pública de infraestructura de transporte celebrados en la modalidad de concurso de méritos, que correspondan con las “actividades” definidas en la “Matriz 1 – Experiencia”. En consecuencia, las actividades de infraestructura de transporte no contempladas en la “Matriz 1 – Experiencia” no tienen que emplearlos; sin perjuicio de lo previsto en el artículo 4 de la resolución 725 de 2024 que adopta los Documentos Tipo de interventoría de obra pública de infraestructura de transporte – versión 3. </w:t>
      </w:r>
    </w:p>
    <w:p w14:paraId="54E7FF16" w14:textId="77777777" w:rsidR="00D91A29" w:rsidRPr="00D91A29" w:rsidRDefault="00D91A29" w:rsidP="00D91A29">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p>
    <w:p w14:paraId="6331C7DB" w14:textId="77777777" w:rsidR="00D91A29" w:rsidRPr="00D91A29" w:rsidRDefault="00D91A29" w:rsidP="00D91A29">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D91A29">
        <w:rPr>
          <w:rFonts w:ascii="Verdana" w:eastAsia="Aptos" w:hAnsi="Verdana" w:cs="Aptos"/>
          <w:i/>
          <w:iCs/>
          <w:kern w:val="2"/>
          <w:sz w:val="21"/>
          <w:szCs w:val="21"/>
          <w:lang w:val="es-ES_tradnl"/>
          <w14:ligatures w14:val="standardContextual"/>
        </w:rPr>
        <w:t>Se aclara que este Documento Tipo no aplica a las interventorías de los contratos de que trata la Ley 1508 de 2012, esto es, para las Asociaciones Público Privadas, debido a la naturaleza y especialidad de dichos contratos.”</w:t>
      </w:r>
    </w:p>
    <w:p w14:paraId="07CD06BC" w14:textId="77777777" w:rsidR="00D91A29" w:rsidRPr="00D91A29" w:rsidRDefault="00D91A29" w:rsidP="00D91A29">
      <w:pPr>
        <w:snapToGrid w:val="0"/>
        <w:spacing w:after="0" w:line="276" w:lineRule="auto"/>
        <w:ind w:left="709" w:right="709" w:firstLine="709"/>
        <w:jc w:val="both"/>
        <w:rPr>
          <w:rFonts w:ascii="Verdana" w:eastAsia="Aptos" w:hAnsi="Verdana" w:cs="Aptos"/>
          <w:i/>
          <w:iCs/>
          <w:kern w:val="2"/>
          <w:lang w:val="es-ES_tradnl"/>
          <w14:ligatures w14:val="standardContextual"/>
        </w:rPr>
      </w:pPr>
    </w:p>
    <w:p w14:paraId="5F881C88" w14:textId="77777777" w:rsidR="00D91A29" w:rsidRPr="00D91A29" w:rsidRDefault="00D91A29" w:rsidP="00D91A29">
      <w:pPr>
        <w:spacing w:after="120" w:line="276" w:lineRule="auto"/>
        <w:ind w:firstLine="709"/>
        <w:jc w:val="both"/>
        <w:rPr>
          <w:rFonts w:ascii="Verdana" w:eastAsia="Calibri" w:hAnsi="Verdana" w:cs="Calibri"/>
          <w:kern w:val="2"/>
          <w14:ligatures w14:val="standardContextual"/>
        </w:rPr>
      </w:pPr>
      <w:r w:rsidRPr="00D91A29">
        <w:rPr>
          <w:rFonts w:ascii="Verdana" w:eastAsia="Calibri" w:hAnsi="Verdana" w:cs="Calibri"/>
          <w:kern w:val="2"/>
          <w14:ligatures w14:val="standardContextual"/>
        </w:rPr>
        <w:t xml:space="preserve">Debido a esto, tales entidades deben aplicar de manera forzosa los documentos tipo para desarrollar los Procesos de Contratación en los objetos y modalidades cobijadas por dichos documentos tipo. Bajo esta consideración, en el evento en que al objeto del proceso de selección de la petición enviada por la ciudadana le sea obligatoria la adopción de los documentos tipo, esta Agencia </w:t>
      </w:r>
      <w:r w:rsidRPr="00D91A29">
        <w:rPr>
          <w:rFonts w:ascii="Verdana" w:eastAsia="Calibri" w:hAnsi="Verdana" w:cs="Calibri"/>
          <w:kern w:val="2"/>
          <w14:ligatures w14:val="standardContextual"/>
        </w:rPr>
        <w:lastRenderedPageBreak/>
        <w:t xml:space="preserve">realizará las precisiones pertinentes al respecto. Por su parte, cuando en un proceso de contratación no sea obligatorio utilizar documentos tipo, las entidades podrán hacer uso de estos a modo de </w:t>
      </w:r>
      <w:r w:rsidRPr="00D91A29">
        <w:rPr>
          <w:rFonts w:ascii="Verdana" w:eastAsia="Calibri" w:hAnsi="Verdana" w:cs="Calibri"/>
          <w:i/>
          <w:iCs/>
          <w:kern w:val="2"/>
          <w14:ligatures w14:val="standardContextual"/>
        </w:rPr>
        <w:t>buenas prácticas contractuales</w:t>
      </w:r>
      <w:r w:rsidRPr="00D91A29">
        <w:rPr>
          <w:rFonts w:ascii="Verdana" w:eastAsia="Calibri" w:hAnsi="Verdana" w:cs="Calibri"/>
          <w:kern w:val="2"/>
          <w14:ligatures w14:val="standardContextual"/>
        </w:rPr>
        <w:t xml:space="preserve"> que puedan garantizar la selección idónea y objetiva de los oferentes.</w:t>
      </w:r>
    </w:p>
    <w:p w14:paraId="03BB7D21" w14:textId="77777777" w:rsidR="00D91A29" w:rsidRPr="00D91A29" w:rsidRDefault="00D91A29" w:rsidP="00D91A29">
      <w:pPr>
        <w:spacing w:after="0" w:line="276" w:lineRule="auto"/>
        <w:ind w:firstLine="709"/>
        <w:jc w:val="both"/>
        <w:rPr>
          <w:rFonts w:ascii="Verdana" w:eastAsia="Calibri" w:hAnsi="Verdana" w:cs="Calibri"/>
          <w:kern w:val="2"/>
          <w14:ligatures w14:val="standardContextual"/>
        </w:rPr>
      </w:pPr>
      <w:r w:rsidRPr="00D91A29">
        <w:rPr>
          <w:rFonts w:ascii="Verdana" w:eastAsia="Calibri" w:hAnsi="Verdana" w:cs="Calibri"/>
          <w:kern w:val="2"/>
          <w14:ligatures w14:val="standardContextual"/>
        </w:rPr>
        <w:t>En concordancia con lo anterior, hay que mencionar que el documento base de interventoría del sector transporte establece en el numeral 3.8.2. las exigencias mínimas y formación del equipo de trabajo (personal clave evaluable), en donde se estandarizan los requisitos de experiencia y formación académica del equipo de trabajo del proponente, en particular, del “personal calve evaluable”. En esta sección se define este personal como:</w:t>
      </w:r>
    </w:p>
    <w:p w14:paraId="4ABC07CC" w14:textId="77777777" w:rsidR="00D91A29" w:rsidRPr="00D91A29" w:rsidRDefault="00D91A29" w:rsidP="00D91A29">
      <w:pPr>
        <w:spacing w:after="0" w:line="276" w:lineRule="auto"/>
        <w:ind w:firstLine="709"/>
        <w:jc w:val="both"/>
        <w:rPr>
          <w:rFonts w:ascii="Verdana" w:eastAsia="Calibri" w:hAnsi="Verdana" w:cs="Calibri"/>
          <w:kern w:val="2"/>
          <w14:ligatures w14:val="standardContextual"/>
        </w:rPr>
      </w:pPr>
    </w:p>
    <w:p w14:paraId="2A83E86A" w14:textId="77777777" w:rsidR="00D91A29" w:rsidRPr="00D91A29" w:rsidRDefault="00D91A29" w:rsidP="00D91A29">
      <w:pPr>
        <w:spacing w:after="0" w:line="240" w:lineRule="auto"/>
        <w:ind w:left="709" w:right="709"/>
        <w:jc w:val="both"/>
        <w:rPr>
          <w:rFonts w:ascii="Verdana" w:eastAsia="Calibri" w:hAnsi="Verdana" w:cs="Calibri"/>
          <w:i/>
          <w:iCs/>
          <w:kern w:val="2"/>
          <w:sz w:val="21"/>
          <w:szCs w:val="21"/>
          <w14:ligatures w14:val="standardContextual"/>
        </w:rPr>
      </w:pPr>
      <w:r w:rsidRPr="00D91A29">
        <w:rPr>
          <w:rFonts w:ascii="Verdana" w:eastAsia="Calibri" w:hAnsi="Verdana" w:cs="Calibri"/>
          <w:i/>
          <w:iCs/>
          <w:kern w:val="2"/>
          <w:sz w:val="21"/>
          <w:szCs w:val="21"/>
          <w14:ligatures w14:val="standardContextual"/>
        </w:rPr>
        <w:t xml:space="preserve">“Para los fines de este numeral se entiende por Personal Clave Evaluable los siguientes perfiles: </w:t>
      </w:r>
      <w:r w:rsidRPr="00D91A29">
        <w:rPr>
          <w:rFonts w:ascii="Verdana" w:eastAsia="Calibri" w:hAnsi="Verdana" w:cs="Calibri"/>
          <w:i/>
          <w:iCs/>
          <w:kern w:val="2"/>
          <w:sz w:val="21"/>
          <w:szCs w:val="21"/>
          <w:highlight w:val="lightGray"/>
          <w14:ligatures w14:val="standardContextual"/>
        </w:rPr>
        <w:t>[La Entidad deberá indicar cuáles de los siguientes perfiles hacen parte del Personal Clave Evaluable: Director de Interventoría y/o Residente de interventoría y/o Especialista principal del proyecto. Señalando exclusivamente el perfil como fue relacionado sin precisar información adicional que se encuentre en la “Matriz 4 – Lineamientos de requisitos del personal” y “Anexo 1 – Anexo Técnico”. El Personal Clave Evaluable en los cuatro (4) perfiles mencionados puede estar conformado por uno o varios profesionales, de manera que la Entidad señalará el número de personas requeridas en cada cargo</w:t>
      </w:r>
      <w:r w:rsidRPr="00D91A29">
        <w:rPr>
          <w:rFonts w:ascii="Verdana" w:eastAsia="Calibri" w:hAnsi="Verdana" w:cs="Calibri"/>
          <w:i/>
          <w:iCs/>
          <w:kern w:val="2"/>
          <w:sz w:val="21"/>
          <w:szCs w:val="21"/>
          <w14:ligatures w14:val="standardContextual"/>
        </w:rPr>
        <w:t>].”</w:t>
      </w:r>
    </w:p>
    <w:p w14:paraId="2177F30A" w14:textId="77777777" w:rsidR="00D91A29" w:rsidRPr="00D91A29" w:rsidRDefault="00D91A29" w:rsidP="00D91A29">
      <w:pPr>
        <w:spacing w:after="0" w:line="276" w:lineRule="auto"/>
        <w:ind w:firstLine="709"/>
        <w:jc w:val="both"/>
        <w:rPr>
          <w:rFonts w:ascii="Verdana" w:eastAsia="Calibri" w:hAnsi="Verdana" w:cs="Calibri"/>
          <w:kern w:val="2"/>
          <w14:ligatures w14:val="standardContextual"/>
        </w:rPr>
      </w:pPr>
    </w:p>
    <w:p w14:paraId="11B399E2" w14:textId="77777777" w:rsidR="00D91A29" w:rsidRPr="00D91A29" w:rsidRDefault="00D91A29" w:rsidP="00D91A29">
      <w:pPr>
        <w:spacing w:after="0" w:line="276" w:lineRule="auto"/>
        <w:ind w:firstLine="709"/>
        <w:jc w:val="both"/>
        <w:rPr>
          <w:rFonts w:ascii="Verdana" w:eastAsia="Calibri" w:hAnsi="Verdana" w:cs="Calibri"/>
          <w:kern w:val="2"/>
          <w14:ligatures w14:val="standardContextual"/>
        </w:rPr>
      </w:pPr>
      <w:r w:rsidRPr="00D91A29">
        <w:rPr>
          <w:rFonts w:ascii="Verdana" w:eastAsia="Calibri" w:hAnsi="Verdana" w:cs="Calibri"/>
          <w:kern w:val="2"/>
          <w14:ligatures w14:val="standardContextual"/>
        </w:rPr>
        <w:t>Como puede apreciarse, los perfiles del personal clave evaluable están contenidos en la Matriz 4, relacionada con los lineamientos para que se acredite la experiencia de este personal. En este sentido, la entidad que adelanta el proceso de selección debe definir dichos perfiles, limitándolos a los aspectos relacionados con: a) el título profesional, b) el título de posgrado, c) el porcentaje de dedicación, f) los años mínimos de la experiencia general y g) los años mínimos de la experiencia específica, tal como se menciona en el párrafo introductorio del numeral 3.8.2. previamente citado:</w:t>
      </w:r>
    </w:p>
    <w:p w14:paraId="32231F03" w14:textId="77777777" w:rsidR="00D91A29" w:rsidRPr="00D91A29" w:rsidRDefault="00D91A29" w:rsidP="00D91A29">
      <w:pPr>
        <w:spacing w:after="0" w:line="276" w:lineRule="auto"/>
        <w:ind w:firstLine="709"/>
        <w:jc w:val="both"/>
        <w:rPr>
          <w:rFonts w:ascii="Verdana" w:eastAsia="Calibri" w:hAnsi="Verdana" w:cs="Calibri"/>
          <w:kern w:val="2"/>
          <w14:ligatures w14:val="standardContextual"/>
        </w:rPr>
      </w:pPr>
    </w:p>
    <w:p w14:paraId="08697A81" w14:textId="77777777" w:rsidR="00D91A29" w:rsidRPr="00D91A29" w:rsidRDefault="00D91A29" w:rsidP="00D91A29">
      <w:pPr>
        <w:spacing w:after="0" w:line="240" w:lineRule="auto"/>
        <w:ind w:left="709" w:right="709"/>
        <w:jc w:val="both"/>
        <w:rPr>
          <w:rFonts w:ascii="Verdana" w:eastAsia="Calibri" w:hAnsi="Verdana" w:cs="Calibri"/>
          <w:i/>
          <w:iCs/>
          <w:kern w:val="2"/>
          <w:sz w:val="21"/>
          <w:szCs w:val="21"/>
          <w14:ligatures w14:val="standardContextual"/>
        </w:rPr>
      </w:pPr>
      <w:r w:rsidRPr="00D91A29">
        <w:rPr>
          <w:rFonts w:ascii="Verdana" w:eastAsia="Calibri" w:hAnsi="Verdana" w:cs="Calibri"/>
          <w:i/>
          <w:iCs/>
          <w:kern w:val="2"/>
          <w:sz w:val="21"/>
          <w:szCs w:val="21"/>
          <w:highlight w:val="lightGray"/>
          <w14:ligatures w14:val="standardContextual"/>
        </w:rPr>
        <w:t xml:space="preserve">“[La Entidad deberá definir los perfiles profesionales del equipo de trabajo del Interventor de acuerdo con la “Matriz 4 – Lineamientos de requisitos del personal”, para establecer las condiciones de experiencia y formación académica del equipo de trabajo. Así mismo, no podrá, bajo ningún supuesto, incluir títulos de posgrado particulares (especializaciones, maestrías, doctorados o posdoctorados, </w:t>
      </w:r>
      <w:proofErr w:type="spellStart"/>
      <w:r w:rsidRPr="00D91A29">
        <w:rPr>
          <w:rFonts w:ascii="Verdana" w:eastAsia="Calibri" w:hAnsi="Verdana" w:cs="Calibri"/>
          <w:i/>
          <w:iCs/>
          <w:kern w:val="2"/>
          <w:sz w:val="21"/>
          <w:szCs w:val="21"/>
          <w:highlight w:val="lightGray"/>
          <w14:ligatures w14:val="standardContextual"/>
        </w:rPr>
        <w:t>ej</w:t>
      </w:r>
      <w:proofErr w:type="spellEnd"/>
      <w:r w:rsidRPr="00D91A29">
        <w:rPr>
          <w:rFonts w:ascii="Verdana" w:eastAsia="Calibri" w:hAnsi="Verdana" w:cs="Calibri"/>
          <w:i/>
          <w:iCs/>
          <w:kern w:val="2"/>
          <w:sz w:val="21"/>
          <w:szCs w:val="21"/>
          <w:highlight w:val="lightGray"/>
          <w14:ligatures w14:val="standardContextual"/>
        </w:rPr>
        <w:t xml:space="preserve">: “maestría en </w:t>
      </w:r>
      <w:proofErr w:type="spellStart"/>
      <w:r w:rsidRPr="00D91A29">
        <w:rPr>
          <w:rFonts w:ascii="Verdana" w:eastAsia="Calibri" w:hAnsi="Verdana" w:cs="Calibri"/>
          <w:i/>
          <w:iCs/>
          <w:kern w:val="2"/>
          <w:sz w:val="21"/>
          <w:szCs w:val="21"/>
          <w:highlight w:val="lightGray"/>
          <w14:ligatures w14:val="standardContextual"/>
        </w:rPr>
        <w:t>project</w:t>
      </w:r>
      <w:proofErr w:type="spellEnd"/>
      <w:r w:rsidRPr="00D91A29">
        <w:rPr>
          <w:rFonts w:ascii="Verdana" w:eastAsia="Calibri" w:hAnsi="Verdana" w:cs="Calibri"/>
          <w:i/>
          <w:iCs/>
          <w:kern w:val="2"/>
          <w:sz w:val="21"/>
          <w:szCs w:val="21"/>
          <w:highlight w:val="lightGray"/>
          <w14:ligatures w14:val="standardContextual"/>
        </w:rPr>
        <w:t xml:space="preserve"> </w:t>
      </w:r>
      <w:proofErr w:type="spellStart"/>
      <w:r w:rsidRPr="00D91A29">
        <w:rPr>
          <w:rFonts w:ascii="Verdana" w:eastAsia="Calibri" w:hAnsi="Verdana" w:cs="Calibri"/>
          <w:i/>
          <w:iCs/>
          <w:kern w:val="2"/>
          <w:sz w:val="21"/>
          <w:szCs w:val="21"/>
          <w:highlight w:val="lightGray"/>
          <w14:ligatures w14:val="standardContextual"/>
        </w:rPr>
        <w:t>management</w:t>
      </w:r>
      <w:proofErr w:type="spellEnd"/>
      <w:r w:rsidRPr="00D91A29">
        <w:rPr>
          <w:rFonts w:ascii="Verdana" w:eastAsia="Calibri" w:hAnsi="Verdana" w:cs="Calibri"/>
          <w:i/>
          <w:iCs/>
          <w:kern w:val="2"/>
          <w:sz w:val="21"/>
          <w:szCs w:val="21"/>
          <w:highlight w:val="lightGray"/>
          <w14:ligatures w14:val="standardContextual"/>
        </w:rPr>
        <w:t xml:space="preserve">”, sino definirlo como “posgrado en: gerencia de proyectos, gerencia de obras, entre otros”), ya que la </w:t>
      </w:r>
      <w:r w:rsidRPr="00D91A29">
        <w:rPr>
          <w:rFonts w:ascii="Verdana" w:eastAsia="Calibri" w:hAnsi="Verdana" w:cs="Calibri"/>
          <w:i/>
          <w:iCs/>
          <w:kern w:val="2"/>
          <w:sz w:val="21"/>
          <w:szCs w:val="21"/>
          <w:highlight w:val="lightGray"/>
          <w14:ligatures w14:val="standardContextual"/>
        </w:rPr>
        <w:lastRenderedPageBreak/>
        <w:t>formación académica obedece a un título de posgrado independiente de su nivel académico, en un área de conocimiento acorde al cargo a desempeñar]</w:t>
      </w:r>
      <w:r w:rsidRPr="00D91A29">
        <w:rPr>
          <w:rFonts w:ascii="Verdana" w:eastAsia="Calibri" w:hAnsi="Verdana" w:cs="Calibri"/>
          <w:i/>
          <w:iCs/>
          <w:kern w:val="2"/>
          <w:sz w:val="21"/>
          <w:szCs w:val="21"/>
          <w14:ligatures w14:val="standardContextual"/>
        </w:rPr>
        <w:t>.”</w:t>
      </w:r>
    </w:p>
    <w:p w14:paraId="518D541F" w14:textId="77777777" w:rsidR="00D91A29" w:rsidRPr="00D91A29" w:rsidRDefault="00D91A29" w:rsidP="00D91A29">
      <w:pPr>
        <w:spacing w:after="0" w:line="276" w:lineRule="auto"/>
        <w:ind w:firstLine="709"/>
        <w:jc w:val="both"/>
        <w:rPr>
          <w:rFonts w:ascii="Verdana" w:eastAsia="Calibri" w:hAnsi="Verdana" w:cs="Calibri"/>
          <w:kern w:val="2"/>
          <w14:ligatures w14:val="standardContextual"/>
        </w:rPr>
      </w:pPr>
    </w:p>
    <w:p w14:paraId="35E0F803" w14:textId="77777777" w:rsidR="00D91A29" w:rsidRPr="00D91A29" w:rsidRDefault="00D91A29" w:rsidP="00D91A29">
      <w:pPr>
        <w:spacing w:after="120" w:line="276" w:lineRule="auto"/>
        <w:ind w:firstLine="709"/>
        <w:jc w:val="both"/>
        <w:rPr>
          <w:rFonts w:ascii="Verdana" w:eastAsia="Calibri" w:hAnsi="Verdana" w:cs="Calibri"/>
          <w:kern w:val="2"/>
          <w14:ligatures w14:val="standardContextual"/>
        </w:rPr>
      </w:pPr>
      <w:r w:rsidRPr="00D91A29">
        <w:rPr>
          <w:rFonts w:ascii="Verdana" w:eastAsia="Calibri" w:hAnsi="Verdana" w:cs="Calibri"/>
          <w:kern w:val="2"/>
          <w14:ligatures w14:val="standardContextual"/>
        </w:rPr>
        <w:t xml:space="preserve">En concordancia con la inalterabilidad de los documentos tipo, las entidades estatales no pueden modificar, adicionar o complementar los documentos que hacen parte de los documentos tipo, salvo en los espacios en que se indican en dichos documentos de manera expresa, como es el caso de la Matriz 4 en algunos apartes. </w:t>
      </w:r>
    </w:p>
    <w:p w14:paraId="12976143" w14:textId="77777777" w:rsidR="00D91A29" w:rsidRPr="00D91A29" w:rsidRDefault="00D91A29" w:rsidP="00D91A29">
      <w:pPr>
        <w:spacing w:after="120" w:line="276" w:lineRule="auto"/>
        <w:ind w:firstLine="709"/>
        <w:jc w:val="both"/>
        <w:rPr>
          <w:rFonts w:ascii="Verdana" w:eastAsia="Calibri" w:hAnsi="Verdana" w:cs="Calibri"/>
          <w:kern w:val="2"/>
          <w14:ligatures w14:val="standardContextual"/>
        </w:rPr>
      </w:pPr>
      <w:r w:rsidRPr="00D91A29">
        <w:rPr>
          <w:rFonts w:ascii="Verdana" w:eastAsia="Calibri" w:hAnsi="Verdana" w:cs="Calibri"/>
          <w:kern w:val="2"/>
          <w14:ligatures w14:val="standardContextual"/>
        </w:rPr>
        <w:t>Particularmente, la Matriz 4 incorpora unos perfiles relacionados como personal clave evaluable, que son de uso generalizado en los procesos de interventoría. Sin embargo, tal como se indica en la Matriz 4, la entidad establecerá si la totalidad de los perfiles presentados son requeridos en su proceso de contratación.</w:t>
      </w:r>
    </w:p>
    <w:p w14:paraId="547AF678" w14:textId="77777777" w:rsidR="00D91A29" w:rsidRPr="00D91A29" w:rsidRDefault="00D91A29" w:rsidP="00D91A29">
      <w:pPr>
        <w:spacing w:after="0" w:line="276" w:lineRule="auto"/>
        <w:ind w:firstLine="709"/>
        <w:jc w:val="both"/>
        <w:rPr>
          <w:rFonts w:ascii="Verdana" w:eastAsia="Calibri" w:hAnsi="Verdana" w:cs="Calibri"/>
          <w:kern w:val="2"/>
          <w14:ligatures w14:val="standardContextual"/>
        </w:rPr>
      </w:pPr>
      <w:r w:rsidRPr="00D91A29">
        <w:rPr>
          <w:rFonts w:ascii="Verdana" w:eastAsia="Calibri" w:hAnsi="Verdana" w:cs="Calibri"/>
          <w:kern w:val="2"/>
          <w14:ligatures w14:val="standardContextual"/>
        </w:rPr>
        <w:t xml:space="preserve">En todo caso, las notas indicadas en la “Matriz 4 - Lineamientos de requisitos del personal - Interventoría de obra pública de infraestructura de transporte - Versión 3” no pueden ser alteradas o modificadas por las entidades estatales, es decir, estas deben ser observadas y cumplidas de forma plena, tal como se indica de manera particular en la </w:t>
      </w:r>
      <w:r w:rsidRPr="00D91A29">
        <w:rPr>
          <w:rFonts w:ascii="Verdana" w:eastAsia="Calibri" w:hAnsi="Verdana" w:cs="Calibri"/>
          <w:i/>
          <w:iCs/>
          <w:kern w:val="2"/>
          <w14:ligatures w14:val="standardContextual"/>
        </w:rPr>
        <w:t>Nota 6</w:t>
      </w:r>
      <w:r w:rsidRPr="00D91A29">
        <w:rPr>
          <w:rFonts w:ascii="Verdana" w:eastAsia="Calibri" w:hAnsi="Verdana" w:cs="Calibri"/>
          <w:kern w:val="2"/>
          <w14:ligatures w14:val="standardContextual"/>
        </w:rPr>
        <w:t xml:space="preserve"> relacionada en el aparte de “I. FORMA DE DETERMINAR LA EXPERIENCIA DEL PROFESIONAL”, que indica:</w:t>
      </w:r>
    </w:p>
    <w:p w14:paraId="0C4E3D1A" w14:textId="77777777" w:rsidR="00D91A29" w:rsidRPr="00D91A29" w:rsidRDefault="00D91A29" w:rsidP="00D91A29">
      <w:pPr>
        <w:spacing w:after="0" w:line="276" w:lineRule="auto"/>
        <w:ind w:firstLine="709"/>
        <w:jc w:val="both"/>
        <w:rPr>
          <w:rFonts w:ascii="Verdana" w:eastAsia="Calibri" w:hAnsi="Verdana" w:cs="Calibri"/>
          <w:kern w:val="2"/>
          <w14:ligatures w14:val="standardContextual"/>
        </w:rPr>
      </w:pPr>
    </w:p>
    <w:p w14:paraId="308ACA50" w14:textId="77777777" w:rsidR="00D91A29" w:rsidRPr="00D91A29" w:rsidRDefault="00D91A29" w:rsidP="00D91A29">
      <w:pPr>
        <w:spacing w:after="0" w:line="240" w:lineRule="auto"/>
        <w:ind w:left="709" w:right="709"/>
        <w:jc w:val="both"/>
        <w:rPr>
          <w:rFonts w:ascii="Verdana" w:eastAsia="Calibri" w:hAnsi="Verdana" w:cs="Calibri"/>
          <w:kern w:val="2"/>
          <w:sz w:val="21"/>
          <w:szCs w:val="21"/>
          <w14:ligatures w14:val="standardContextual"/>
        </w:rPr>
      </w:pPr>
      <w:r w:rsidRPr="00D91A29">
        <w:rPr>
          <w:rFonts w:ascii="Verdana" w:eastAsia="Calibri" w:hAnsi="Verdana" w:cs="Calibri"/>
          <w:i/>
          <w:iCs/>
          <w:kern w:val="2"/>
          <w:sz w:val="21"/>
          <w:szCs w:val="21"/>
          <w14:ligatures w14:val="standardContextual"/>
        </w:rPr>
        <w:t>“Tenga en cuenta que la experiencia general no se suma con la experiencia específica, es decir, la experiencia general hace relación al desempeño de su actividad profesional, y la experiencia específica corresponde a la asociada directamente con el cargo a desempeñar; en ese orden de ideas, la específica está contenida dentro del plazo de ejercicio profesional, por lo cual nunca será mayor la experiencia específica a la general</w:t>
      </w:r>
      <w:r w:rsidRPr="00D91A29">
        <w:rPr>
          <w:rFonts w:ascii="Verdana" w:eastAsia="Calibri" w:hAnsi="Verdana" w:cs="Calibri"/>
          <w:kern w:val="2"/>
          <w:sz w:val="21"/>
          <w:szCs w:val="21"/>
          <w14:ligatures w14:val="standardContextual"/>
        </w:rPr>
        <w:t>.”</w:t>
      </w:r>
      <w:r w:rsidRPr="00D91A29">
        <w:rPr>
          <w:rFonts w:ascii="Verdana" w:eastAsia="Calibri" w:hAnsi="Verdana" w:cs="Calibri"/>
          <w:kern w:val="2"/>
          <w:sz w:val="21"/>
          <w:szCs w:val="21"/>
          <w14:ligatures w14:val="standardContextual"/>
        </w:rPr>
        <w:tab/>
      </w:r>
      <w:r w:rsidRPr="00D91A29">
        <w:rPr>
          <w:rFonts w:ascii="Verdana" w:eastAsia="Calibri" w:hAnsi="Verdana" w:cs="Calibri"/>
          <w:kern w:val="2"/>
          <w:sz w:val="21"/>
          <w:szCs w:val="21"/>
          <w14:ligatures w14:val="standardContextual"/>
        </w:rPr>
        <w:tab/>
      </w:r>
      <w:r w:rsidRPr="00D91A29">
        <w:rPr>
          <w:rFonts w:ascii="Verdana" w:eastAsia="Calibri" w:hAnsi="Verdana" w:cs="Calibri"/>
          <w:kern w:val="2"/>
          <w:sz w:val="21"/>
          <w:szCs w:val="21"/>
          <w14:ligatures w14:val="standardContextual"/>
        </w:rPr>
        <w:tab/>
      </w:r>
      <w:r w:rsidRPr="00D91A29">
        <w:rPr>
          <w:rFonts w:ascii="Verdana" w:eastAsia="Calibri" w:hAnsi="Verdana" w:cs="Calibri"/>
          <w:kern w:val="2"/>
          <w:sz w:val="21"/>
          <w:szCs w:val="21"/>
          <w14:ligatures w14:val="standardContextual"/>
        </w:rPr>
        <w:tab/>
      </w:r>
    </w:p>
    <w:p w14:paraId="57803DEC" w14:textId="77777777" w:rsidR="00D91A29" w:rsidRPr="00D91A29" w:rsidRDefault="00D91A29" w:rsidP="00D91A29">
      <w:pPr>
        <w:spacing w:after="0" w:line="276" w:lineRule="auto"/>
        <w:ind w:firstLine="709"/>
        <w:jc w:val="both"/>
        <w:rPr>
          <w:rFonts w:ascii="Verdana" w:eastAsia="Calibri" w:hAnsi="Verdana" w:cs="Times New Roman"/>
          <w:lang w:val="es-ES_tradnl"/>
        </w:rPr>
      </w:pPr>
    </w:p>
    <w:p w14:paraId="6DD45EEC" w14:textId="77777777" w:rsidR="00D91A29" w:rsidRPr="00D91A29" w:rsidRDefault="00D91A29" w:rsidP="00D91A29">
      <w:pPr>
        <w:spacing w:after="0" w:line="276" w:lineRule="auto"/>
        <w:ind w:firstLine="709"/>
        <w:jc w:val="both"/>
        <w:rPr>
          <w:rFonts w:ascii="Verdana" w:eastAsia="Calibri" w:hAnsi="Verdana" w:cs="Times New Roman"/>
          <w:lang w:val="es-ES_tradnl"/>
        </w:rPr>
      </w:pPr>
      <w:r w:rsidRPr="00D91A29">
        <w:rPr>
          <w:rFonts w:ascii="Verdana" w:eastAsia="Calibri" w:hAnsi="Verdana" w:cs="Times New Roman"/>
          <w:lang w:val="es-ES_tradnl"/>
        </w:rPr>
        <w:t xml:space="preserve">Sin perjuicio de lo anterior, teniendo en cuenta que el objeto de su consulta versa sobre una entidad no obligada a utilizar los documentos tipo expedidos por Colombia Compra Eficiente, cuando la entidad contratante emplee los pliegos tipo a modo de </w:t>
      </w:r>
      <w:r w:rsidRPr="00D91A29">
        <w:rPr>
          <w:rFonts w:ascii="Verdana" w:eastAsia="Calibri" w:hAnsi="Verdana" w:cs="Times New Roman"/>
          <w:i/>
          <w:iCs/>
          <w:lang w:val="es-ES_tradnl"/>
        </w:rPr>
        <w:t>buena práctica contractual,</w:t>
      </w:r>
      <w:r w:rsidRPr="00D91A29">
        <w:rPr>
          <w:rFonts w:ascii="Verdana" w:eastAsia="Calibri" w:hAnsi="Verdana" w:cs="Times New Roman"/>
          <w:lang w:val="es-ES_tradnl"/>
        </w:rPr>
        <w:t xml:space="preserve"> conservará su autonomía para que, en ejercicio de su deber de planeación, configure el proceso de contratación y los documentos que hacen parte de este de forma autónoma, sin que deba observar o incorporar, necesariamente, todo lo establecido en los documentos tipo. </w:t>
      </w:r>
    </w:p>
    <w:p w14:paraId="074A7BEC" w14:textId="77777777" w:rsidR="00D91A29" w:rsidRPr="00D91A29" w:rsidRDefault="00D91A29" w:rsidP="00D91A29">
      <w:pPr>
        <w:spacing w:after="0" w:line="276" w:lineRule="auto"/>
        <w:jc w:val="both"/>
        <w:rPr>
          <w:rFonts w:ascii="Verdana" w:eastAsia="Calibri" w:hAnsi="Verdana" w:cs="Times New Roman"/>
          <w:lang w:val="es-ES_tradnl"/>
        </w:rPr>
      </w:pPr>
    </w:p>
    <w:p w14:paraId="4F80CDB2" w14:textId="77777777" w:rsidR="00D91A29" w:rsidRPr="00D91A29" w:rsidRDefault="00D91A29" w:rsidP="00D91A2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91A29">
        <w:rPr>
          <w:rFonts w:ascii="Verdana" w:eastAsia="Century Gothic" w:hAnsi="Verdana" w:cs="Century Gothic"/>
          <w:b/>
          <w:bCs/>
          <w:lang w:val="es-ES_tradnl"/>
        </w:rPr>
        <w:lastRenderedPageBreak/>
        <w:t>Referencias normativas, jurisprudenciales y otras fuentes:</w:t>
      </w:r>
    </w:p>
    <w:p w14:paraId="1B601203" w14:textId="77777777" w:rsidR="00D91A29" w:rsidRPr="00D91A29" w:rsidRDefault="00D91A29" w:rsidP="00D91A29">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D91A29" w:rsidRPr="00D91A29" w14:paraId="309E6334" w14:textId="77777777" w:rsidTr="00817672">
        <w:trPr>
          <w:trHeight w:val="870"/>
        </w:trPr>
        <w:tc>
          <w:tcPr>
            <w:tcW w:w="8647" w:type="dxa"/>
          </w:tcPr>
          <w:p w14:paraId="4F9FC997" w14:textId="77777777" w:rsidR="00D91A29" w:rsidRPr="00D91A29" w:rsidRDefault="00D91A29" w:rsidP="00D91A29">
            <w:pPr>
              <w:widowControl w:val="0"/>
              <w:numPr>
                <w:ilvl w:val="0"/>
                <w:numId w:val="17"/>
              </w:numPr>
              <w:autoSpaceDE w:val="0"/>
              <w:autoSpaceDN w:val="0"/>
              <w:spacing w:after="120" w:line="276" w:lineRule="auto"/>
              <w:jc w:val="both"/>
              <w:rPr>
                <w:rFonts w:ascii="Verdana" w:eastAsia="Calibri" w:hAnsi="Verdana" w:cs="Arial"/>
                <w:lang w:val="es-ES_tradnl"/>
              </w:rPr>
            </w:pPr>
            <w:r w:rsidRPr="00D91A29">
              <w:rPr>
                <w:rFonts w:ascii="Verdana" w:eastAsia="Calibri" w:hAnsi="Verdana" w:cs="Arial"/>
                <w:lang w:val="es-ES_tradnl"/>
              </w:rPr>
              <w:t>Ley 2022 de 2020, artículo 1.</w:t>
            </w:r>
          </w:p>
          <w:p w14:paraId="40059127" w14:textId="77777777" w:rsidR="00D91A29" w:rsidRPr="00D91A29" w:rsidRDefault="00D91A29" w:rsidP="00D91A29">
            <w:pPr>
              <w:widowControl w:val="0"/>
              <w:numPr>
                <w:ilvl w:val="0"/>
                <w:numId w:val="17"/>
              </w:numPr>
              <w:autoSpaceDE w:val="0"/>
              <w:autoSpaceDN w:val="0"/>
              <w:spacing w:after="120" w:line="276" w:lineRule="auto"/>
              <w:jc w:val="both"/>
              <w:rPr>
                <w:rFonts w:ascii="Verdana" w:eastAsia="Calibri" w:hAnsi="Verdana" w:cs="Arial"/>
                <w:lang w:val="es-ES_tradnl"/>
              </w:rPr>
            </w:pPr>
            <w:r w:rsidRPr="00D91A29">
              <w:rPr>
                <w:rFonts w:ascii="Verdana" w:eastAsia="Calibri" w:hAnsi="Verdana" w:cs="Arial"/>
                <w:lang w:val="es-ES_tradnl"/>
              </w:rPr>
              <w:t xml:space="preserve">Documentos Tipo. Disponibles en: </w:t>
            </w:r>
            <w:hyperlink r:id="rId11" w:history="1">
              <w:r w:rsidRPr="00D91A29">
                <w:rPr>
                  <w:rFonts w:ascii="Verdana" w:eastAsia="Calibri" w:hAnsi="Verdana" w:cs="Arial"/>
                  <w:color w:val="467886"/>
                  <w:u w:val="single"/>
                  <w:lang w:val="es-ES_tradnl"/>
                </w:rPr>
                <w:t>https://www.colombiacompra.gov.co/normativa-y-relatoria/documentos-tipo</w:t>
              </w:r>
            </w:hyperlink>
            <w:r w:rsidRPr="00D91A29">
              <w:rPr>
                <w:rFonts w:ascii="Verdana" w:eastAsia="Calibri" w:hAnsi="Verdana" w:cs="Arial"/>
                <w:lang w:val="es-ES_tradnl"/>
              </w:rPr>
              <w:t xml:space="preserve">. </w:t>
            </w:r>
          </w:p>
        </w:tc>
      </w:tr>
    </w:tbl>
    <w:p w14:paraId="47509A28" w14:textId="77777777" w:rsidR="00D91A29" w:rsidRPr="00D91A29" w:rsidRDefault="00D91A29" w:rsidP="00D91A29">
      <w:pPr>
        <w:tabs>
          <w:tab w:val="left" w:pos="142"/>
          <w:tab w:val="left" w:pos="284"/>
        </w:tabs>
        <w:spacing w:after="0" w:line="276" w:lineRule="auto"/>
        <w:jc w:val="both"/>
        <w:rPr>
          <w:rFonts w:ascii="Verdana" w:eastAsia="Calibri" w:hAnsi="Verdana" w:cs="Arial"/>
          <w:lang w:val="es-ES_tradnl"/>
        </w:rPr>
      </w:pPr>
    </w:p>
    <w:p w14:paraId="7A36C951" w14:textId="77777777" w:rsidR="00D91A29" w:rsidRPr="00D91A29" w:rsidRDefault="00D91A29" w:rsidP="00D91A2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D91A29">
        <w:rPr>
          <w:rFonts w:ascii="Verdana" w:eastAsia="Century Gothic" w:hAnsi="Verdana" w:cs="Century Gothic"/>
          <w:b/>
          <w:bCs/>
          <w:lang w:val="es-ES_tradnl"/>
        </w:rPr>
        <w:t>Doctrina de la Agencia Nacional de Contratación Pública:</w:t>
      </w:r>
    </w:p>
    <w:p w14:paraId="22D631FF" w14:textId="77777777" w:rsidR="00D91A29" w:rsidRPr="00D91A29" w:rsidRDefault="00D91A29" w:rsidP="00D91A29">
      <w:pPr>
        <w:widowControl w:val="0"/>
        <w:autoSpaceDE w:val="0"/>
        <w:autoSpaceDN w:val="0"/>
        <w:spacing w:after="0" w:line="276" w:lineRule="auto"/>
        <w:jc w:val="both"/>
        <w:rPr>
          <w:rFonts w:ascii="Verdana" w:eastAsia="Calibri" w:hAnsi="Verdana" w:cs="Arial"/>
          <w:lang w:val="es-ES_tradnl"/>
        </w:rPr>
      </w:pPr>
    </w:p>
    <w:p w14:paraId="0E48C9FF" w14:textId="77777777" w:rsidR="00D91A29" w:rsidRPr="00D91A29" w:rsidRDefault="00D91A29" w:rsidP="00D91A2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D91A29">
        <w:rPr>
          <w:rFonts w:ascii="Verdana" w:eastAsia="Calibri" w:hAnsi="Verdana" w:cs="Arial"/>
          <w:shd w:val="clear" w:color="auto" w:fill="FFFFFF"/>
          <w:lang w:val="es-ES_tradnl"/>
        </w:rPr>
        <w:t xml:space="preserve">La Agencia Nacional de Contratación Pública – Colombia Compra Eficiente se </w:t>
      </w:r>
      <w:r w:rsidRPr="00D91A29">
        <w:rPr>
          <w:rFonts w:ascii="Verdana" w:eastAsia="Aptos" w:hAnsi="Verdana" w:cs="Times New Roman"/>
          <w:kern w:val="2"/>
          <w:lang w:val="es-ES_tradnl"/>
          <w14:ligatures w14:val="standardContextual"/>
        </w:rPr>
        <w:t xml:space="preserve">pronunció </w:t>
      </w:r>
      <w:r w:rsidRPr="00D91A29">
        <w:rPr>
          <w:rFonts w:ascii="Verdana" w:eastAsia="Calibri" w:hAnsi="Verdana" w:cs="Arial"/>
          <w:color w:val="000000"/>
          <w:kern w:val="2"/>
          <w:shd w:val="clear" w:color="auto" w:fill="FFFFFF"/>
          <w:lang w:val="es-ES_tradnl"/>
          <w14:ligatures w14:val="standardContextual"/>
        </w:rPr>
        <w:t>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y C-684 del 7 de julio de 2025</w:t>
      </w:r>
      <w:r w:rsidRPr="00D91A29">
        <w:rPr>
          <w:rFonts w:ascii="Verdana" w:eastAsia="Aptos" w:hAnsi="Verdana" w:cs="Times New Roman"/>
          <w:kern w:val="2"/>
          <w:lang w:val="es-ES_tradnl"/>
          <w14:ligatures w14:val="standardContextual"/>
        </w:rPr>
        <w:t xml:space="preserve">. </w:t>
      </w:r>
      <w:r w:rsidRPr="00D91A29">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D91A29">
          <w:rPr>
            <w:rFonts w:ascii="Verdana" w:eastAsia="Times New Roman" w:hAnsi="Verdana" w:cs="Arial"/>
            <w:kern w:val="2"/>
            <w:shd w:val="clear" w:color="auto" w:fill="FFFFFF"/>
            <w:lang w:val="es-ES"/>
            <w14:ligatures w14:val="standardContextual"/>
          </w:rPr>
          <w:t>https://relatoria.colombiacompra.gov.co/</w:t>
        </w:r>
      </w:hyperlink>
      <w:r w:rsidRPr="00D91A29">
        <w:rPr>
          <w:rFonts w:ascii="Verdana" w:eastAsia="Times New Roman" w:hAnsi="Verdana" w:cs="Arial"/>
          <w:kern w:val="2"/>
          <w:shd w:val="clear" w:color="auto" w:fill="FFFFFF"/>
          <w:lang w:val="es-ES"/>
          <w14:ligatures w14:val="standardContextual"/>
        </w:rPr>
        <w:t>.</w:t>
      </w:r>
    </w:p>
    <w:p w14:paraId="197A049F" w14:textId="77777777" w:rsidR="00D91A29" w:rsidRPr="00D91A29" w:rsidRDefault="00D91A29" w:rsidP="00D91A29">
      <w:pPr>
        <w:spacing w:after="0" w:line="240" w:lineRule="auto"/>
        <w:jc w:val="both"/>
        <w:rPr>
          <w:rFonts w:ascii="Verdana" w:eastAsia="Calibri" w:hAnsi="Verdana" w:cs="Arial"/>
          <w:color w:val="000000"/>
          <w:kern w:val="2"/>
          <w:shd w:val="clear" w:color="auto" w:fill="FFFFFF"/>
          <w:lang w:val="es-ES_tradnl"/>
          <w14:ligatures w14:val="standardContextual"/>
        </w:rPr>
      </w:pPr>
    </w:p>
    <w:p w14:paraId="790FF816" w14:textId="77777777" w:rsidR="00D91A29" w:rsidRPr="00D91A29" w:rsidRDefault="00D91A29" w:rsidP="00D91A2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D91A29">
        <w:rPr>
          <w:rFonts w:ascii="Verdana" w:eastAsia="Calibri" w:hAnsi="Verdana" w:cs="Arial"/>
          <w:kern w:val="2"/>
          <w:shd w:val="clear" w:color="auto" w:fill="FFFFFF"/>
          <w:lang w:val="es-ES_tradnl"/>
          <w14:ligatures w14:val="standardContextual"/>
        </w:rPr>
        <w:t>La</w:t>
      </w:r>
      <w:r w:rsidRPr="00D91A29">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D91A29">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D91A29">
        <w:rPr>
          <w:rFonts w:ascii="Verdana" w:eastAsia="Calibri" w:hAnsi="Verdana" w:cs="Arial"/>
          <w:b/>
          <w:bCs/>
          <w:kern w:val="2"/>
          <w:shd w:val="clear" w:color="auto" w:fill="FFFFFF"/>
          <w:lang w:val="es-ES_tradnl"/>
          <w14:ligatures w14:val="standardContextual"/>
        </w:rPr>
        <w:t>Documentos Tipo</w:t>
      </w:r>
      <w:r w:rsidRPr="00D91A29">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D91A29">
        <w:rPr>
          <w:rFonts w:ascii="Verdana" w:eastAsia="Calibri" w:hAnsi="Verdana" w:cs="Arial"/>
          <w:b/>
          <w:bCs/>
          <w:kern w:val="2"/>
          <w:shd w:val="clear" w:color="auto" w:fill="FFFFFF"/>
          <w:lang w:val="es-ES_tradnl"/>
          <w14:ligatures w14:val="standardContextual"/>
        </w:rPr>
        <w:t>transparencia</w:t>
      </w:r>
      <w:r w:rsidRPr="00D91A29">
        <w:rPr>
          <w:rFonts w:ascii="Verdana" w:eastAsia="Calibri" w:hAnsi="Verdana" w:cs="Arial"/>
          <w:kern w:val="2"/>
          <w:shd w:val="clear" w:color="auto" w:fill="FFFFFF"/>
          <w:lang w:val="es-ES_tradnl"/>
          <w14:ligatures w14:val="standardContextual"/>
        </w:rPr>
        <w:t> y promover un proceso de </w:t>
      </w:r>
      <w:r w:rsidRPr="00D91A29">
        <w:rPr>
          <w:rFonts w:ascii="Verdana" w:eastAsia="Calibri" w:hAnsi="Verdana" w:cs="Arial"/>
          <w:b/>
          <w:bCs/>
          <w:kern w:val="2"/>
          <w:shd w:val="clear" w:color="auto" w:fill="FFFFFF"/>
          <w:lang w:val="es-ES_tradnl"/>
          <w14:ligatures w14:val="standardContextual"/>
        </w:rPr>
        <w:t>selección objetiva</w:t>
      </w:r>
      <w:r w:rsidRPr="00D91A29">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4AD6A43" w14:textId="77777777" w:rsidR="00D91A29" w:rsidRPr="00D91A29" w:rsidRDefault="00D91A29" w:rsidP="00D91A2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BD2795C" w14:textId="77777777" w:rsidR="00D91A29" w:rsidRPr="00D91A29" w:rsidRDefault="00D91A29" w:rsidP="00D91A29">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D91A29">
        <w:rPr>
          <w:rFonts w:ascii="Verdana" w:eastAsia="Calibri" w:hAnsi="Verdana" w:cs="Arial"/>
          <w:kern w:val="2"/>
          <w:shd w:val="clear" w:color="auto" w:fill="FFFFFF"/>
          <w:lang w:val="es-ES"/>
          <w14:ligatures w14:val="standardContextual"/>
        </w:rPr>
        <w:t>También, le contamos que ya se encuentra disponible la </w:t>
      </w:r>
      <w:r w:rsidRPr="00D91A29">
        <w:rPr>
          <w:rFonts w:ascii="Verdana" w:eastAsia="Calibri" w:hAnsi="Verdana" w:cs="Arial"/>
          <w:b/>
          <w:kern w:val="2"/>
          <w:shd w:val="clear" w:color="auto" w:fill="FFFFFF"/>
          <w:lang w:val="es-ES"/>
          <w14:ligatures w14:val="standardContextual"/>
        </w:rPr>
        <w:t xml:space="preserve">Guía de lineamientos </w:t>
      </w:r>
      <w:r w:rsidRPr="00D91A29">
        <w:rPr>
          <w:rFonts w:ascii="Verdana" w:eastAsia="Calibri" w:hAnsi="Verdana" w:cs="Arial"/>
          <w:b/>
          <w:kern w:val="2"/>
          <w:shd w:val="clear" w:color="auto" w:fill="FFFFFF"/>
          <w:lang w:val="es-ES"/>
          <w14:ligatures w14:val="standardContextual"/>
        </w:rPr>
        <w:lastRenderedPageBreak/>
        <w:t>de transparencia y selección objetiva para el departamento de La Guajira – Objetivo sexto constitucional de la Sentencia T-302 del 2017. </w:t>
      </w:r>
      <w:r w:rsidRPr="00D91A29">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91A29">
        <w:rPr>
          <w:rFonts w:ascii="Verdana" w:eastAsia="Calibri" w:hAnsi="Verdana" w:cs="Arial"/>
          <w:kern w:val="2"/>
          <w:shd w:val="clear" w:color="auto" w:fill="FFFFFF"/>
          <w:lang w:val="es-ES"/>
          <w14:ligatures w14:val="standardContextual"/>
        </w:rPr>
        <w:t>Wayúu</w:t>
      </w:r>
      <w:proofErr w:type="spellEnd"/>
      <w:r w:rsidRPr="00D91A29">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D91A29">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D91A29">
        <w:rPr>
          <w:rFonts w:ascii="Verdana" w:eastAsia="Calibri" w:hAnsi="Verdana" w:cs="Arial"/>
          <w:kern w:val="2"/>
          <w:u w:val="single"/>
          <w:shd w:val="clear" w:color="auto" w:fill="FFFFFF"/>
          <w:lang w:val="es-ES"/>
          <w14:ligatures w14:val="standardContextual"/>
        </w:rPr>
        <w:t>.</w:t>
      </w:r>
    </w:p>
    <w:p w14:paraId="1486A35A" w14:textId="77777777" w:rsidR="00D91A29" w:rsidRPr="00D91A29" w:rsidRDefault="00D91A29" w:rsidP="00D91A2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C3580E0" w14:textId="77777777" w:rsidR="00D91A29" w:rsidRPr="00D91A29" w:rsidRDefault="00D91A29" w:rsidP="00D91A29">
      <w:pPr>
        <w:spacing w:after="0" w:line="276" w:lineRule="auto"/>
        <w:jc w:val="both"/>
        <w:rPr>
          <w:rFonts w:ascii="Verdana" w:eastAsia="Calibri" w:hAnsi="Verdana" w:cs="Times New Roman"/>
          <w:kern w:val="2"/>
          <w:lang w:val="es-ES_tradnl"/>
          <w14:ligatures w14:val="standardContextual"/>
        </w:rPr>
      </w:pPr>
      <w:r w:rsidRPr="00D91A29">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7B9DC84B" w14:textId="77777777" w:rsidR="00D91A29" w:rsidRPr="00D91A29" w:rsidRDefault="00D91A29" w:rsidP="00D91A29">
      <w:pPr>
        <w:spacing w:after="0" w:line="240" w:lineRule="auto"/>
        <w:jc w:val="both"/>
        <w:rPr>
          <w:rFonts w:ascii="Verdana" w:eastAsia="Calibri" w:hAnsi="Verdana" w:cs="Times New Roman"/>
          <w:kern w:val="2"/>
          <w:lang w:val="es-ES_tradnl"/>
          <w14:ligatures w14:val="standardContextual"/>
        </w:rPr>
      </w:pPr>
    </w:p>
    <w:p w14:paraId="6F19EAEA" w14:textId="77777777" w:rsidR="00D91A29" w:rsidRPr="00D91A29" w:rsidRDefault="00D91A29" w:rsidP="00D91A29">
      <w:pPr>
        <w:spacing w:after="0" w:line="240" w:lineRule="auto"/>
        <w:jc w:val="both"/>
        <w:rPr>
          <w:rFonts w:ascii="Verdana" w:eastAsia="Calibri" w:hAnsi="Verdana" w:cs="Times New Roman"/>
          <w:kern w:val="2"/>
          <w:lang w:val="es-ES_tradnl"/>
          <w14:ligatures w14:val="standardContextual"/>
        </w:rPr>
      </w:pPr>
      <w:r w:rsidRPr="00D91A29">
        <w:rPr>
          <w:rFonts w:ascii="Verdana" w:eastAsia="Calibri" w:hAnsi="Verdana" w:cs="Times New Roman"/>
          <w:kern w:val="2"/>
          <w:lang w:val="es-ES_tradnl"/>
          <w14:ligatures w14:val="standardContextual"/>
        </w:rPr>
        <w:t xml:space="preserve">X: </w:t>
      </w:r>
      <w:r w:rsidRPr="00D91A29">
        <w:rPr>
          <w:rFonts w:ascii="Verdana" w:eastAsia="Calibri" w:hAnsi="Verdana" w:cs="Times New Roman"/>
          <w:kern w:val="2"/>
          <w:u w:val="single"/>
          <w:lang w:val="es-ES_tradnl"/>
          <w14:ligatures w14:val="standardContextual"/>
        </w:rPr>
        <w:t>@colombiacompra</w:t>
      </w:r>
      <w:r w:rsidRPr="00D91A29">
        <w:rPr>
          <w:rFonts w:ascii="Verdana" w:eastAsia="Calibri" w:hAnsi="Verdana" w:cs="Times New Roman"/>
          <w:kern w:val="2"/>
          <w:lang w:val="es-ES_tradnl"/>
          <w14:ligatures w14:val="standardContextual"/>
        </w:rPr>
        <w:t xml:space="preserve"> </w:t>
      </w:r>
    </w:p>
    <w:p w14:paraId="50561502" w14:textId="77777777" w:rsidR="00D91A29" w:rsidRPr="00D91A29" w:rsidRDefault="00D91A29" w:rsidP="00D91A29">
      <w:pPr>
        <w:spacing w:after="0" w:line="240" w:lineRule="auto"/>
        <w:jc w:val="both"/>
        <w:rPr>
          <w:rFonts w:ascii="Verdana" w:eastAsia="Calibri" w:hAnsi="Verdana" w:cs="Times New Roman"/>
          <w:kern w:val="2"/>
          <w:lang w:val="es-ES"/>
          <w14:ligatures w14:val="standardContextual"/>
        </w:rPr>
      </w:pPr>
      <w:r w:rsidRPr="00D91A29">
        <w:rPr>
          <w:rFonts w:ascii="Verdana" w:eastAsia="Calibri" w:hAnsi="Verdana" w:cs="Times New Roman"/>
          <w:kern w:val="2"/>
          <w:lang w:val="es-ES"/>
          <w14:ligatures w14:val="standardContextual"/>
        </w:rPr>
        <w:t xml:space="preserve">Facebook: </w:t>
      </w:r>
      <w:proofErr w:type="spellStart"/>
      <w:r w:rsidRPr="00D91A29">
        <w:rPr>
          <w:rFonts w:ascii="Verdana" w:eastAsia="Calibri" w:hAnsi="Verdana" w:cs="Times New Roman"/>
          <w:kern w:val="2"/>
          <w:u w:val="single"/>
          <w:lang w:val="es-ES"/>
          <w14:ligatures w14:val="standardContextual"/>
        </w:rPr>
        <w:t>ColombiaCompraEficiente</w:t>
      </w:r>
      <w:proofErr w:type="spellEnd"/>
    </w:p>
    <w:p w14:paraId="1170CD43" w14:textId="77777777" w:rsidR="00D91A29" w:rsidRPr="00D91A29" w:rsidRDefault="00D91A29" w:rsidP="00D91A29">
      <w:pPr>
        <w:spacing w:after="0" w:line="240" w:lineRule="auto"/>
        <w:jc w:val="both"/>
        <w:rPr>
          <w:rFonts w:ascii="Verdana" w:eastAsia="Calibri" w:hAnsi="Verdana" w:cs="Times New Roman"/>
          <w:kern w:val="2"/>
          <w:lang w:val="es-ES_tradnl"/>
          <w14:ligatures w14:val="standardContextual"/>
        </w:rPr>
      </w:pPr>
      <w:r w:rsidRPr="00D91A29">
        <w:rPr>
          <w:rFonts w:ascii="Verdana" w:eastAsia="Calibri" w:hAnsi="Verdana" w:cs="Times New Roman"/>
          <w:kern w:val="2"/>
          <w:lang w:val="es-ES_tradnl"/>
          <w14:ligatures w14:val="standardContextual"/>
        </w:rPr>
        <w:t xml:space="preserve">LinkedIn: </w:t>
      </w:r>
      <w:r w:rsidRPr="00D91A29">
        <w:rPr>
          <w:rFonts w:ascii="Verdana" w:eastAsia="Calibri" w:hAnsi="Verdana" w:cs="Times New Roman"/>
          <w:kern w:val="2"/>
          <w:u w:val="single"/>
          <w:lang w:val="es-ES_tradnl"/>
          <w14:ligatures w14:val="standardContextual"/>
        </w:rPr>
        <w:t>Agencia Nacional de Contratación Pública - Colombia Compra Eficiente</w:t>
      </w:r>
      <w:r w:rsidRPr="00D91A29">
        <w:rPr>
          <w:rFonts w:ascii="Verdana" w:eastAsia="Calibri" w:hAnsi="Verdana" w:cs="Times New Roman"/>
          <w:kern w:val="2"/>
          <w:lang w:val="es-ES_tradnl"/>
          <w14:ligatures w14:val="standardContextual"/>
        </w:rPr>
        <w:t xml:space="preserve"> Instagram: </w:t>
      </w:r>
      <w:r w:rsidRPr="00D91A29">
        <w:rPr>
          <w:rFonts w:ascii="Verdana" w:eastAsia="Calibri" w:hAnsi="Verdana" w:cs="Times New Roman"/>
          <w:kern w:val="2"/>
          <w:u w:val="single"/>
          <w:lang w:val="es-ES_tradnl"/>
          <w14:ligatures w14:val="standardContextual"/>
        </w:rPr>
        <w:t>@colombiacompraeficiente_cce</w:t>
      </w:r>
    </w:p>
    <w:p w14:paraId="2F7F4D85" w14:textId="77777777" w:rsidR="00D91A29" w:rsidRPr="00D91A29" w:rsidRDefault="00D91A29" w:rsidP="00D91A29">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41CDBA69" w14:textId="77777777" w:rsidR="00D91A29" w:rsidRPr="00D91A29" w:rsidRDefault="00D91A29" w:rsidP="00D91A29">
      <w:pPr>
        <w:widowControl w:val="0"/>
        <w:autoSpaceDE w:val="0"/>
        <w:autoSpaceDN w:val="0"/>
        <w:spacing w:after="0" w:line="276" w:lineRule="auto"/>
        <w:jc w:val="both"/>
        <w:rPr>
          <w:rFonts w:ascii="Verdana" w:eastAsia="Calibri" w:hAnsi="Verdana" w:cs="Arial"/>
          <w:kern w:val="2"/>
          <w:lang w:val="es-ES_tradnl"/>
          <w14:ligatures w14:val="standardContextual"/>
        </w:rPr>
      </w:pPr>
      <w:r w:rsidRPr="00D91A29">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C7538D9" w14:textId="77777777" w:rsidR="00D91A29" w:rsidRPr="00D91A29" w:rsidRDefault="00D91A29" w:rsidP="00D91A29">
      <w:pPr>
        <w:widowControl w:val="0"/>
        <w:autoSpaceDE w:val="0"/>
        <w:autoSpaceDN w:val="0"/>
        <w:spacing w:after="0" w:line="276" w:lineRule="auto"/>
        <w:jc w:val="both"/>
        <w:rPr>
          <w:rFonts w:ascii="Verdana" w:eastAsia="Calibri" w:hAnsi="Verdana" w:cs="Arial"/>
          <w:lang w:val="es-ES_tradnl"/>
        </w:rPr>
      </w:pPr>
    </w:p>
    <w:p w14:paraId="08128320" w14:textId="77777777" w:rsidR="00D91A29" w:rsidRPr="00D91A29" w:rsidRDefault="00D91A29" w:rsidP="00D91A29">
      <w:pPr>
        <w:spacing w:after="0" w:line="240" w:lineRule="auto"/>
        <w:rPr>
          <w:rFonts w:ascii="Verdana" w:eastAsia="Calibri" w:hAnsi="Verdana" w:cs="Arial"/>
          <w:lang w:val="es-ES_tradnl" w:eastAsia="es-CO"/>
        </w:rPr>
      </w:pPr>
      <w:r w:rsidRPr="00D91A29">
        <w:rPr>
          <w:rFonts w:ascii="Verdana" w:eastAsia="Times New Roman" w:hAnsi="Verdana" w:cs="Arial"/>
          <w:lang w:val="es-ES_tradnl" w:eastAsia="es-CO"/>
        </w:rPr>
        <w:t>Atentamente,</w:t>
      </w:r>
      <w:r w:rsidRPr="00D91A29">
        <w:rPr>
          <w:rFonts w:ascii="Verdana" w:eastAsia="Calibri" w:hAnsi="Verdana" w:cs="Arial"/>
          <w:lang w:val="es-ES_tradnl" w:eastAsia="es-CO"/>
        </w:rPr>
        <w:t xml:space="preserve"> </w:t>
      </w:r>
    </w:p>
    <w:p w14:paraId="493D0F22" w14:textId="7B127B86" w:rsidR="00D91A29" w:rsidRPr="00D91A29" w:rsidRDefault="00204A66" w:rsidP="00D91A29">
      <w:pPr>
        <w:spacing w:line="276" w:lineRule="auto"/>
        <w:jc w:val="center"/>
        <w:rPr>
          <w:rFonts w:ascii="Verdana" w:eastAsia="Calibri" w:hAnsi="Verdana" w:cs="Arial"/>
          <w:lang w:val="es-ES_tradnl" w:eastAsia="es-CO"/>
        </w:rPr>
      </w:pPr>
      <w:r>
        <w:rPr>
          <w:noProof/>
        </w:rPr>
        <w:drawing>
          <wp:inline distT="0" distB="0" distL="0" distR="0" wp14:anchorId="0F19C276" wp14:editId="780F4730">
            <wp:extent cx="3321385" cy="1232939"/>
            <wp:effectExtent l="0" t="0" r="0" b="5715"/>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33635" cy="123748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91A29" w:rsidRPr="00D91A29" w14:paraId="71B7826B" w14:textId="77777777" w:rsidTr="00817672">
        <w:trPr>
          <w:trHeight w:val="315"/>
        </w:trPr>
        <w:tc>
          <w:tcPr>
            <w:tcW w:w="893" w:type="dxa"/>
            <w:vAlign w:val="center"/>
            <w:hideMark/>
          </w:tcPr>
          <w:p w14:paraId="467A6125" w14:textId="77777777" w:rsidR="00D91A29" w:rsidRPr="00D91A29" w:rsidRDefault="00D91A29" w:rsidP="00D91A29">
            <w:pPr>
              <w:rPr>
                <w:rFonts w:ascii="Verdana" w:eastAsia="Calibri" w:hAnsi="Verdana" w:cs="Arial"/>
                <w:sz w:val="16"/>
                <w:szCs w:val="16"/>
                <w:lang w:val="es-ES_tradnl" w:eastAsia="es-ES"/>
              </w:rPr>
            </w:pPr>
            <w:r w:rsidRPr="00D91A29">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5FEDA174" w14:textId="77777777" w:rsidR="00D91A29" w:rsidRPr="00D91A29" w:rsidRDefault="00D91A29" w:rsidP="00D91A29">
            <w:pPr>
              <w:rPr>
                <w:rFonts w:ascii="Verdana" w:eastAsia="Arial" w:hAnsi="Verdana" w:cs="Arial"/>
                <w:sz w:val="16"/>
                <w:szCs w:val="16"/>
                <w:lang w:val="es-ES_tradnl"/>
              </w:rPr>
            </w:pPr>
            <w:r w:rsidRPr="00D91A29">
              <w:rPr>
                <w:rFonts w:ascii="Verdana" w:eastAsia="Arial" w:hAnsi="Verdana" w:cs="Arial"/>
                <w:sz w:val="16"/>
                <w:szCs w:val="16"/>
                <w:lang w:val="es-ES_tradnl"/>
              </w:rPr>
              <w:t>Kevin Arlid Herrera Santa</w:t>
            </w:r>
          </w:p>
          <w:p w14:paraId="3A57D740" w14:textId="77777777" w:rsidR="00D91A29" w:rsidRPr="00D91A29" w:rsidRDefault="00D91A29" w:rsidP="00D91A29">
            <w:pPr>
              <w:rPr>
                <w:rFonts w:ascii="Verdana" w:eastAsia="Arial" w:hAnsi="Verdana" w:cs="Arial"/>
                <w:sz w:val="16"/>
                <w:szCs w:val="16"/>
                <w:lang w:val="es-ES_tradnl"/>
              </w:rPr>
            </w:pPr>
            <w:r w:rsidRPr="00D91A29">
              <w:rPr>
                <w:rFonts w:ascii="Verdana" w:eastAsia="Arial" w:hAnsi="Verdana" w:cs="Arial"/>
                <w:sz w:val="16"/>
                <w:szCs w:val="16"/>
                <w:lang w:val="es-ES_tradnl"/>
              </w:rPr>
              <w:t xml:space="preserve">Contratista de la Subdirección de Gestión Contractual </w:t>
            </w:r>
          </w:p>
          <w:p w14:paraId="56E9929B" w14:textId="77777777" w:rsidR="00D91A29" w:rsidRPr="00D91A29" w:rsidRDefault="00D91A29" w:rsidP="00D91A29">
            <w:pPr>
              <w:rPr>
                <w:rFonts w:ascii="Verdana" w:eastAsia="Arial" w:hAnsi="Verdana" w:cs="Arial"/>
                <w:sz w:val="16"/>
                <w:szCs w:val="16"/>
                <w:lang w:val="es-ES"/>
              </w:rPr>
            </w:pPr>
            <w:r w:rsidRPr="00D91A29">
              <w:rPr>
                <w:rFonts w:ascii="Verdana" w:eastAsia="Arial" w:hAnsi="Verdana" w:cs="Arial"/>
                <w:sz w:val="16"/>
                <w:szCs w:val="16"/>
                <w:lang w:val="es-ES"/>
              </w:rPr>
              <w:t xml:space="preserve">Lida Milena </w:t>
            </w:r>
            <w:proofErr w:type="spellStart"/>
            <w:r w:rsidRPr="00D91A29">
              <w:rPr>
                <w:rFonts w:ascii="Verdana" w:eastAsia="Arial" w:hAnsi="Verdana" w:cs="Arial"/>
                <w:sz w:val="16"/>
                <w:szCs w:val="16"/>
                <w:lang w:val="es-ES"/>
              </w:rPr>
              <w:t>Guanumen</w:t>
            </w:r>
            <w:proofErr w:type="spellEnd"/>
            <w:r w:rsidRPr="00D91A29">
              <w:rPr>
                <w:rFonts w:ascii="Verdana" w:eastAsia="Arial" w:hAnsi="Verdana" w:cs="Arial"/>
                <w:sz w:val="16"/>
                <w:szCs w:val="16"/>
                <w:lang w:val="es-ES"/>
              </w:rPr>
              <w:t xml:space="preserve"> Pacheco</w:t>
            </w:r>
          </w:p>
          <w:p w14:paraId="59AA34C6" w14:textId="77777777" w:rsidR="00D91A29" w:rsidRPr="00D91A29" w:rsidRDefault="00D91A29" w:rsidP="00D91A29">
            <w:pPr>
              <w:rPr>
                <w:rFonts w:ascii="Verdana" w:eastAsia="Arial" w:hAnsi="Verdana" w:cs="Arial"/>
                <w:sz w:val="16"/>
                <w:szCs w:val="16"/>
                <w:lang w:val="es-ES_tradnl"/>
              </w:rPr>
            </w:pPr>
            <w:r w:rsidRPr="00D91A29">
              <w:rPr>
                <w:rFonts w:ascii="Verdana" w:eastAsia="Arial" w:hAnsi="Verdana" w:cs="Arial"/>
                <w:sz w:val="16"/>
                <w:szCs w:val="16"/>
                <w:lang w:val="es-ES_tradnl"/>
              </w:rPr>
              <w:t xml:space="preserve">Contratista de la Subdirección de Gestión Contractual </w:t>
            </w:r>
          </w:p>
        </w:tc>
      </w:tr>
      <w:tr w:rsidR="00D91A29" w:rsidRPr="00D91A29" w14:paraId="48BB1DD2" w14:textId="77777777" w:rsidTr="00817672">
        <w:trPr>
          <w:trHeight w:val="330"/>
        </w:trPr>
        <w:tc>
          <w:tcPr>
            <w:tcW w:w="893" w:type="dxa"/>
            <w:vAlign w:val="center"/>
            <w:hideMark/>
          </w:tcPr>
          <w:p w14:paraId="281331B1" w14:textId="77777777" w:rsidR="00D91A29" w:rsidRPr="00D91A29" w:rsidRDefault="00D91A29" w:rsidP="00D91A29">
            <w:pPr>
              <w:rPr>
                <w:rFonts w:ascii="Verdana" w:eastAsia="Calibri" w:hAnsi="Verdana" w:cs="Arial"/>
                <w:sz w:val="16"/>
                <w:szCs w:val="16"/>
                <w:lang w:val="es-ES_tradnl" w:eastAsia="es-ES"/>
              </w:rPr>
            </w:pPr>
            <w:r w:rsidRPr="00D91A29">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03661FA8" w14:textId="77777777" w:rsidR="00D91A29" w:rsidRPr="00D91A29" w:rsidRDefault="00D91A29" w:rsidP="00D91A29">
            <w:pPr>
              <w:textAlignment w:val="baseline"/>
              <w:rPr>
                <w:rFonts w:ascii="Verdana" w:eastAsia="Times New Roman" w:hAnsi="Verdana" w:cs="Segoe UI"/>
                <w:sz w:val="16"/>
                <w:szCs w:val="16"/>
                <w:lang w:val="es-ES_tradnl" w:eastAsia="es-ES"/>
              </w:rPr>
            </w:pPr>
            <w:r w:rsidRPr="00D91A29">
              <w:rPr>
                <w:rFonts w:ascii="Verdana" w:eastAsia="Times New Roman" w:hAnsi="Verdana" w:cs="Segoe UI"/>
                <w:sz w:val="16"/>
                <w:szCs w:val="16"/>
                <w:lang w:val="es-ES_tradnl" w:eastAsia="es-ES"/>
              </w:rPr>
              <w:t>Juan David Cárdenas Cabeza</w:t>
            </w:r>
          </w:p>
          <w:p w14:paraId="7FD92706" w14:textId="77777777" w:rsidR="00D91A29" w:rsidRPr="00D91A29" w:rsidRDefault="00D91A29" w:rsidP="00D91A29">
            <w:pPr>
              <w:textAlignment w:val="baseline"/>
              <w:rPr>
                <w:rFonts w:ascii="Verdana" w:eastAsia="Times New Roman" w:hAnsi="Verdana" w:cs="Segoe UI"/>
                <w:sz w:val="16"/>
                <w:szCs w:val="16"/>
                <w:lang w:val="es-ES_tradnl" w:eastAsia="es-ES_tradnl"/>
              </w:rPr>
            </w:pPr>
            <w:r w:rsidRPr="00D91A29">
              <w:rPr>
                <w:rFonts w:ascii="Verdana" w:eastAsia="Times New Roman" w:hAnsi="Verdana" w:cs="Arial"/>
                <w:sz w:val="16"/>
                <w:szCs w:val="16"/>
                <w:lang w:val="es-ES_tradnl" w:eastAsia="es-ES_tradnl"/>
              </w:rPr>
              <w:t>Contratista de la Subdirección de Gestión Contractual </w:t>
            </w:r>
          </w:p>
        </w:tc>
      </w:tr>
      <w:tr w:rsidR="00D91A29" w:rsidRPr="00D91A29" w14:paraId="21E3E53D" w14:textId="77777777" w:rsidTr="00817672">
        <w:trPr>
          <w:trHeight w:val="300"/>
        </w:trPr>
        <w:tc>
          <w:tcPr>
            <w:tcW w:w="893" w:type="dxa"/>
            <w:vAlign w:val="center"/>
          </w:tcPr>
          <w:p w14:paraId="4D73D8E1" w14:textId="77777777" w:rsidR="00D91A29" w:rsidRPr="00D91A29" w:rsidRDefault="00D91A29" w:rsidP="00D91A29">
            <w:pPr>
              <w:rPr>
                <w:rFonts w:ascii="Verdana" w:eastAsia="Calibri" w:hAnsi="Verdana" w:cs="Arial"/>
                <w:sz w:val="16"/>
                <w:szCs w:val="16"/>
                <w:lang w:val="es-ES_tradnl" w:eastAsia="es-ES"/>
              </w:rPr>
            </w:pPr>
            <w:r w:rsidRPr="00D91A29">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7054168A" w14:textId="77777777" w:rsidR="00D91A29" w:rsidRPr="00D91A29" w:rsidRDefault="00D91A29" w:rsidP="00D91A29">
            <w:pPr>
              <w:rPr>
                <w:rFonts w:ascii="Verdana" w:eastAsia="Calibri" w:hAnsi="Verdana" w:cs="Arial"/>
                <w:sz w:val="16"/>
                <w:szCs w:val="16"/>
                <w:lang w:val="es-ES" w:eastAsia="es-ES"/>
              </w:rPr>
            </w:pPr>
            <w:r w:rsidRPr="00D91A29">
              <w:rPr>
                <w:rFonts w:ascii="Verdana" w:eastAsia="Calibri" w:hAnsi="Verdana" w:cs="Arial"/>
                <w:sz w:val="16"/>
                <w:szCs w:val="16"/>
                <w:lang w:val="es-ES" w:eastAsia="es-ES"/>
              </w:rPr>
              <w:t xml:space="preserve">Carolina Quintero </w:t>
            </w:r>
            <w:proofErr w:type="spellStart"/>
            <w:r w:rsidRPr="00D91A29">
              <w:rPr>
                <w:rFonts w:ascii="Verdana" w:eastAsia="Calibri" w:hAnsi="Verdana" w:cs="Arial"/>
                <w:sz w:val="16"/>
                <w:szCs w:val="16"/>
                <w:lang w:val="es-ES" w:eastAsia="es-ES"/>
              </w:rPr>
              <w:t>Gacharná</w:t>
            </w:r>
            <w:proofErr w:type="spellEnd"/>
          </w:p>
          <w:p w14:paraId="64F18E10" w14:textId="77777777" w:rsidR="00D91A29" w:rsidRPr="00D91A29" w:rsidRDefault="00D91A29" w:rsidP="00D91A29">
            <w:pPr>
              <w:rPr>
                <w:rFonts w:ascii="Verdana" w:eastAsia="Calibri" w:hAnsi="Verdana" w:cs="Arial"/>
                <w:sz w:val="16"/>
                <w:szCs w:val="16"/>
                <w:lang w:val="es-ES_tradnl" w:eastAsia="es-ES"/>
              </w:rPr>
            </w:pPr>
            <w:r w:rsidRPr="00D91A29">
              <w:rPr>
                <w:rFonts w:ascii="Verdana" w:eastAsia="Calibri" w:hAnsi="Verdana" w:cs="Arial"/>
                <w:sz w:val="16"/>
                <w:szCs w:val="16"/>
                <w:lang w:val="es-ES_tradnl" w:eastAsia="es-ES"/>
              </w:rPr>
              <w:t>Subdirectora de Gestión Contractual ANCP – CCE</w:t>
            </w: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C4CF1" w14:textId="77777777" w:rsidR="00CB30E1" w:rsidRDefault="00CB30E1" w:rsidP="004A1847">
      <w:pPr>
        <w:spacing w:after="0" w:line="240" w:lineRule="auto"/>
      </w:pPr>
      <w:r>
        <w:separator/>
      </w:r>
    </w:p>
  </w:endnote>
  <w:endnote w:type="continuationSeparator" w:id="0">
    <w:p w14:paraId="34575E80" w14:textId="77777777" w:rsidR="00CB30E1" w:rsidRDefault="00CB30E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899A3" w14:textId="77777777" w:rsidR="00CB30E1" w:rsidRDefault="00CB30E1" w:rsidP="004A1847">
      <w:pPr>
        <w:spacing w:after="0" w:line="240" w:lineRule="auto"/>
      </w:pPr>
      <w:r>
        <w:separator/>
      </w:r>
    </w:p>
  </w:footnote>
  <w:footnote w:type="continuationSeparator" w:id="0">
    <w:p w14:paraId="04C0B387" w14:textId="77777777" w:rsidR="00CB30E1" w:rsidRDefault="00CB30E1" w:rsidP="004A1847">
      <w:pPr>
        <w:spacing w:after="0" w:line="240" w:lineRule="auto"/>
      </w:pPr>
      <w:r>
        <w:continuationSeparator/>
      </w:r>
    </w:p>
  </w:footnote>
  <w:footnote w:id="1">
    <w:p w14:paraId="23AE92DA" w14:textId="77777777" w:rsidR="00D91A29" w:rsidRPr="00590BB7" w:rsidRDefault="00D91A29" w:rsidP="00D91A29">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73EA"/>
    <w:rsid w:val="00082362"/>
    <w:rsid w:val="000A683E"/>
    <w:rsid w:val="000B19B9"/>
    <w:rsid w:val="000D0334"/>
    <w:rsid w:val="000F6486"/>
    <w:rsid w:val="00125105"/>
    <w:rsid w:val="00127233"/>
    <w:rsid w:val="001E4177"/>
    <w:rsid w:val="001F7DC6"/>
    <w:rsid w:val="00204A66"/>
    <w:rsid w:val="002421BB"/>
    <w:rsid w:val="0025796E"/>
    <w:rsid w:val="002707A2"/>
    <w:rsid w:val="002951A0"/>
    <w:rsid w:val="002962BC"/>
    <w:rsid w:val="002A093D"/>
    <w:rsid w:val="002A0DD0"/>
    <w:rsid w:val="002A49AC"/>
    <w:rsid w:val="002A64FD"/>
    <w:rsid w:val="002C7A84"/>
    <w:rsid w:val="002E4FD9"/>
    <w:rsid w:val="00322A85"/>
    <w:rsid w:val="00324168"/>
    <w:rsid w:val="0032725F"/>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B46A3"/>
    <w:rsid w:val="004F21C4"/>
    <w:rsid w:val="004F685F"/>
    <w:rsid w:val="005566E8"/>
    <w:rsid w:val="00574867"/>
    <w:rsid w:val="00591460"/>
    <w:rsid w:val="005C3777"/>
    <w:rsid w:val="005C5CDC"/>
    <w:rsid w:val="005D476C"/>
    <w:rsid w:val="006219F8"/>
    <w:rsid w:val="006302F7"/>
    <w:rsid w:val="00665D70"/>
    <w:rsid w:val="006900D9"/>
    <w:rsid w:val="006A760C"/>
    <w:rsid w:val="00706C16"/>
    <w:rsid w:val="007229A4"/>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19E7"/>
    <w:rsid w:val="0095685E"/>
    <w:rsid w:val="00961B09"/>
    <w:rsid w:val="00965334"/>
    <w:rsid w:val="0097093E"/>
    <w:rsid w:val="009A0DFA"/>
    <w:rsid w:val="009B25A8"/>
    <w:rsid w:val="009B2D26"/>
    <w:rsid w:val="009C71FA"/>
    <w:rsid w:val="009C72E7"/>
    <w:rsid w:val="009D3058"/>
    <w:rsid w:val="009F257E"/>
    <w:rsid w:val="009F3A13"/>
    <w:rsid w:val="00A10AEA"/>
    <w:rsid w:val="00A122D3"/>
    <w:rsid w:val="00A17F13"/>
    <w:rsid w:val="00A20739"/>
    <w:rsid w:val="00A33C78"/>
    <w:rsid w:val="00A658C2"/>
    <w:rsid w:val="00AB0ADB"/>
    <w:rsid w:val="00B00C0E"/>
    <w:rsid w:val="00B01B1A"/>
    <w:rsid w:val="00B44A47"/>
    <w:rsid w:val="00B72CD3"/>
    <w:rsid w:val="00B72FFF"/>
    <w:rsid w:val="00BC3D36"/>
    <w:rsid w:val="00BD7F72"/>
    <w:rsid w:val="00C04FB3"/>
    <w:rsid w:val="00C330EB"/>
    <w:rsid w:val="00C46AD5"/>
    <w:rsid w:val="00C754BE"/>
    <w:rsid w:val="00C76B1C"/>
    <w:rsid w:val="00CB30E1"/>
    <w:rsid w:val="00CB6357"/>
    <w:rsid w:val="00CC1B26"/>
    <w:rsid w:val="00CF0B41"/>
    <w:rsid w:val="00D102C3"/>
    <w:rsid w:val="00D423A2"/>
    <w:rsid w:val="00D520D8"/>
    <w:rsid w:val="00D63AC2"/>
    <w:rsid w:val="00D7383B"/>
    <w:rsid w:val="00D91A29"/>
    <w:rsid w:val="00DA231B"/>
    <w:rsid w:val="00DC39FC"/>
    <w:rsid w:val="00DE2220"/>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2CEE865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91A2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2.xml><?xml version="1.0" encoding="utf-8"?>
<ds:datastoreItem xmlns:ds="http://schemas.openxmlformats.org/officeDocument/2006/customXml" ds:itemID="{4D0B28B7-6DDE-425F-B1EA-4D81469809F2}"/>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10</Pages>
  <Words>3418</Words>
  <Characters>18938</Characters>
  <Application>Microsoft Office Word</Application>
  <DocSecurity>0</DocSecurity>
  <Lines>411</Lines>
  <Paragraphs>94</Paragraphs>
  <ScaleCrop>false</ScaleCrop>
  <Company/>
  <LinksUpToDate>false</LinksUpToDate>
  <CharactersWithSpaces>22262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2025-10-23T16:33:00Z</dcterms:created>
  <dcterms:modified xsi:type="dcterms:W3CDTF">2025-10-23T16:36:00Z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