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CAAAE" w14:textId="77777777" w:rsidR="00F619AB" w:rsidRPr="007567F7" w:rsidRDefault="00F619AB" w:rsidP="007567F7">
      <w:pPr>
        <w:snapToGrid w:val="0"/>
        <w:spacing w:after="0" w:line="240" w:lineRule="auto"/>
        <w:contextualSpacing/>
        <w:jc w:val="both"/>
        <w:rPr>
          <w:rFonts w:ascii="Verdana" w:eastAsia="Calibri" w:hAnsi="Verdana" w:cs="Arial"/>
          <w:b/>
          <w:bCs/>
          <w:lang w:val="es-ES" w:eastAsia="es-ES"/>
        </w:rPr>
      </w:pPr>
      <w:r w:rsidRPr="007567F7">
        <w:rPr>
          <w:rFonts w:ascii="Verdana" w:eastAsia="Calibri" w:hAnsi="Verdana" w:cs="Arial"/>
          <w:b/>
          <w:bCs/>
          <w:lang w:val="es-ES" w:eastAsia="es-ES"/>
        </w:rPr>
        <w:t xml:space="preserve">ACTIVIDADES DE CIENCIA, TECNOLOGÍA E INNOVACIÓN – Marco jurídico – Tipo de contratos o convenios </w:t>
      </w:r>
    </w:p>
    <w:p w14:paraId="545B63DD" w14:textId="77777777" w:rsidR="007567F7" w:rsidRDefault="007567F7" w:rsidP="007567F7">
      <w:pPr>
        <w:snapToGrid w:val="0"/>
        <w:spacing w:after="0" w:line="240" w:lineRule="auto"/>
        <w:contextualSpacing/>
        <w:jc w:val="both"/>
        <w:rPr>
          <w:rFonts w:ascii="Verdana" w:hAnsi="Verdana" w:cs="Arial"/>
          <w:sz w:val="20"/>
          <w:szCs w:val="20"/>
          <w:lang w:eastAsia="es-ES_tradnl"/>
        </w:rPr>
      </w:pPr>
    </w:p>
    <w:p w14:paraId="4FAF11FF" w14:textId="7A1D6292" w:rsidR="007567F7" w:rsidRPr="007567F7" w:rsidRDefault="007567F7" w:rsidP="007567F7">
      <w:pPr>
        <w:snapToGrid w:val="0"/>
        <w:spacing w:after="0" w:line="240" w:lineRule="auto"/>
        <w:contextualSpacing/>
        <w:jc w:val="both"/>
        <w:rPr>
          <w:rFonts w:ascii="Verdana" w:hAnsi="Verdana" w:cs="Arial"/>
          <w:sz w:val="20"/>
          <w:szCs w:val="20"/>
          <w:lang w:eastAsia="es-ES_tradnl"/>
        </w:rPr>
      </w:pPr>
      <w:r w:rsidRPr="007567F7">
        <w:rPr>
          <w:rFonts w:ascii="Verdana" w:hAnsi="Verdana" w:cs="Arial"/>
          <w:sz w:val="20"/>
          <w:szCs w:val="20"/>
          <w:lang w:eastAsia="es-ES_tradnl"/>
        </w:rPr>
        <w:t xml:space="preserve">Aunque los Decretos Ley 393 y 591 de 1991 señalan algunas tipologías contractuales mediante las cuales es posible materializar la contratación directa de dichas actividades, señalan expresamente que es una </w:t>
      </w:r>
      <w:r w:rsidRPr="007567F7">
        <w:rPr>
          <w:rFonts w:ascii="Verdana" w:hAnsi="Verdana" w:cs="Arial"/>
          <w:i/>
          <w:iCs/>
          <w:sz w:val="20"/>
          <w:szCs w:val="20"/>
          <w:u w:val="single"/>
          <w:lang w:eastAsia="es-ES_tradnl"/>
        </w:rPr>
        <w:t>facultad</w:t>
      </w:r>
      <w:r w:rsidRPr="007567F7">
        <w:rPr>
          <w:rFonts w:ascii="Verdana" w:hAnsi="Verdana" w:cs="Arial"/>
          <w:sz w:val="20"/>
          <w:szCs w:val="20"/>
          <w:lang w:eastAsia="es-ES_tradnl"/>
        </w:rPr>
        <w:t xml:space="preserve">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6A414F03" w14:textId="77777777" w:rsidR="007567F7" w:rsidRDefault="007567F7" w:rsidP="007567F7">
      <w:pPr>
        <w:shd w:val="clear" w:color="auto" w:fill="FFFFFF"/>
        <w:snapToGrid w:val="0"/>
        <w:spacing w:after="0" w:line="240" w:lineRule="auto"/>
        <w:contextualSpacing/>
        <w:jc w:val="both"/>
        <w:rPr>
          <w:rFonts w:ascii="Verdana" w:hAnsi="Verdana" w:cs="Arial"/>
          <w:sz w:val="20"/>
          <w:szCs w:val="20"/>
          <w:lang w:eastAsia="es-ES_tradnl"/>
        </w:rPr>
      </w:pPr>
    </w:p>
    <w:p w14:paraId="0F274D57" w14:textId="7AD045AC" w:rsidR="007567F7" w:rsidRPr="007567F7" w:rsidRDefault="007567F7" w:rsidP="007567F7">
      <w:pPr>
        <w:shd w:val="clear" w:color="auto" w:fill="FFFFFF"/>
        <w:snapToGrid w:val="0"/>
        <w:spacing w:after="0" w:line="240" w:lineRule="auto"/>
        <w:contextualSpacing/>
        <w:jc w:val="both"/>
        <w:rPr>
          <w:rFonts w:ascii="Verdana" w:hAnsi="Verdana" w:cs="Arial"/>
          <w:sz w:val="20"/>
          <w:szCs w:val="20"/>
          <w:lang w:eastAsia="es-ES_tradnl"/>
        </w:rPr>
      </w:pPr>
      <w:r>
        <w:rPr>
          <w:rFonts w:ascii="Verdana" w:hAnsi="Verdana" w:cs="Arial"/>
          <w:sz w:val="20"/>
          <w:szCs w:val="20"/>
          <w:lang w:eastAsia="es-ES_tradnl"/>
        </w:rPr>
        <w:t xml:space="preserve">[…] </w:t>
      </w:r>
      <w:r w:rsidRPr="007567F7">
        <w:rPr>
          <w:rFonts w:ascii="Verdana" w:hAnsi="Verdana" w:cs="Arial"/>
          <w:sz w:val="20"/>
          <w:szCs w:val="20"/>
          <w:lang w:eastAsia="es-ES_tradnl"/>
        </w:rPr>
        <w:t xml:space="preserve">Sobre lo anterior, la Sala de Consulta y Servicio Civil del Consejo de Estado se refirió a las tipologías contractuales que pueden implementar las entidades para la contratación de actividades científicas y tecnológicas. Al respecto aclaró que el legislador tuvo la clara voluntad de mantener vigentes las modalidades de asociación previstas en el Decreto 393 de 1991. Con base en lo anterior, concluyó que los negocios individualizados y regulados por el ordenamiento jurídico colombiano, para el fomento de las actividades de ciencia, tecnología e innovación, son: 1) las asociaciones dirigidas a crear sociedades civiles y comerciales, y personas jurídicas sin ánimo de lucro como fundaciones y corporaciones; 2) los convenios especiales de cooperación; 3) los contratos de financiamiento y 4) los contratos de administración de proyectos. Si embargo señaló expresamente que “Este cuadro normativo no excluye la posibilidad de que las entidades de fomento de las actividades científicas y tecnológicas </w:t>
      </w:r>
      <w:r w:rsidRPr="007567F7">
        <w:rPr>
          <w:rFonts w:ascii="Verdana" w:hAnsi="Verdana" w:cs="Arial"/>
          <w:i/>
          <w:iCs/>
          <w:sz w:val="20"/>
          <w:szCs w:val="20"/>
          <w:u w:val="single"/>
          <w:lang w:eastAsia="es-ES_tradnl"/>
        </w:rPr>
        <w:t>puedan convenir libremente negocios distintos</w:t>
      </w:r>
      <w:r w:rsidRPr="007567F7">
        <w:rPr>
          <w:rFonts w:ascii="Verdana" w:hAnsi="Verdana" w:cs="Arial"/>
          <w:sz w:val="20"/>
          <w:szCs w:val="20"/>
          <w:lang w:eastAsia="es-ES_tradnl"/>
        </w:rPr>
        <w:t xml:space="preserve"> a los expresamente previstos en la ley o el reglamento, en desarrollo del principio de la autonomía de la voluntad […]”</w:t>
      </w:r>
      <w:r>
        <w:rPr>
          <w:rFonts w:ascii="Verdana" w:hAnsi="Verdana" w:cs="Arial"/>
          <w:sz w:val="20"/>
          <w:szCs w:val="20"/>
          <w:lang w:eastAsia="es-ES_tradnl"/>
        </w:rPr>
        <w:t>.</w:t>
      </w:r>
    </w:p>
    <w:p w14:paraId="21DE6034" w14:textId="77777777" w:rsidR="00AD1CEB" w:rsidRPr="007567F7" w:rsidRDefault="00AD1CEB" w:rsidP="007567F7">
      <w:pPr>
        <w:snapToGrid w:val="0"/>
        <w:spacing w:after="0" w:line="240" w:lineRule="auto"/>
        <w:contextualSpacing/>
        <w:jc w:val="both"/>
        <w:rPr>
          <w:rFonts w:ascii="Verdana" w:eastAsia="Calibri" w:hAnsi="Verdana" w:cs="Arial"/>
          <w:sz w:val="20"/>
          <w:szCs w:val="20"/>
          <w:lang w:val="es-ES" w:eastAsia="es-ES"/>
        </w:rPr>
      </w:pPr>
    </w:p>
    <w:p w14:paraId="6338311C" w14:textId="017350DF" w:rsidR="00AD1CEB" w:rsidRPr="007567F7" w:rsidRDefault="00AD1CEB" w:rsidP="007567F7">
      <w:pPr>
        <w:snapToGrid w:val="0"/>
        <w:spacing w:after="0" w:line="240" w:lineRule="auto"/>
        <w:contextualSpacing/>
        <w:jc w:val="both"/>
        <w:rPr>
          <w:rFonts w:ascii="Verdana" w:eastAsia="Calibri" w:hAnsi="Verdana" w:cs="Arial"/>
          <w:b/>
          <w:bCs/>
          <w:lang w:val="es-ES" w:eastAsia="es-ES"/>
        </w:rPr>
      </w:pPr>
      <w:r w:rsidRPr="007567F7">
        <w:rPr>
          <w:rFonts w:ascii="Verdana" w:eastAsia="Calibri" w:hAnsi="Verdana" w:cs="Arial"/>
          <w:b/>
          <w:bCs/>
          <w:lang w:val="es-ES" w:eastAsia="es-ES"/>
        </w:rPr>
        <w:t>ACTIVIDADES DE CIENCIA, TECNOLOGÍA E INNOVACIÓN –</w:t>
      </w:r>
      <w:r w:rsidRPr="007567F7">
        <w:rPr>
          <w:rFonts w:ascii="Verdana" w:hAnsi="Verdana" w:cs="Arial"/>
          <w:b/>
          <w:bCs/>
          <w:lang w:eastAsia="es-ES"/>
        </w:rPr>
        <w:t xml:space="preserve"> Instituto Nacional de Salud </w:t>
      </w:r>
      <w:r w:rsidRPr="007567F7">
        <w:rPr>
          <w:rFonts w:ascii="Verdana" w:eastAsia="Calibri" w:hAnsi="Verdana" w:cs="Arial"/>
          <w:b/>
          <w:bCs/>
          <w:lang w:val="es-ES" w:eastAsia="es-ES"/>
        </w:rPr>
        <w:t>– Tipologías contractuales</w:t>
      </w:r>
    </w:p>
    <w:p w14:paraId="0264EB68" w14:textId="77777777" w:rsidR="007567F7" w:rsidRDefault="007567F7" w:rsidP="007567F7">
      <w:pPr>
        <w:shd w:val="clear" w:color="auto" w:fill="FFFFFF"/>
        <w:snapToGrid w:val="0"/>
        <w:spacing w:after="0" w:line="240" w:lineRule="auto"/>
        <w:contextualSpacing/>
        <w:jc w:val="both"/>
        <w:rPr>
          <w:rFonts w:ascii="Verdana" w:eastAsia="Times New Roman" w:hAnsi="Verdana" w:cs="Arial"/>
          <w:sz w:val="20"/>
          <w:szCs w:val="20"/>
          <w:lang w:eastAsia="es-ES_tradnl"/>
        </w:rPr>
      </w:pPr>
    </w:p>
    <w:p w14:paraId="62A4097A" w14:textId="324A7EDB" w:rsidR="00454ABF" w:rsidRPr="007567F7" w:rsidRDefault="00454ABF" w:rsidP="007567F7">
      <w:pPr>
        <w:shd w:val="clear" w:color="auto" w:fill="FFFFFF"/>
        <w:snapToGrid w:val="0"/>
        <w:spacing w:after="0" w:line="240" w:lineRule="auto"/>
        <w:contextualSpacing/>
        <w:jc w:val="both"/>
        <w:rPr>
          <w:rFonts w:ascii="Verdana" w:hAnsi="Verdana" w:cs="Arial"/>
          <w:sz w:val="20"/>
          <w:szCs w:val="20"/>
          <w:lang w:eastAsia="es-ES_tradnl"/>
        </w:rPr>
      </w:pPr>
      <w:r w:rsidRPr="007567F7">
        <w:rPr>
          <w:rFonts w:ascii="Verdana" w:eastAsia="Times New Roman" w:hAnsi="Verdana" w:cs="Arial"/>
          <w:sz w:val="20"/>
          <w:szCs w:val="20"/>
          <w:lang w:eastAsia="es-ES_tradnl"/>
        </w:rPr>
        <w:t xml:space="preserve">[…] cuando el INS contrate </w:t>
      </w:r>
      <w:r w:rsidRPr="007567F7">
        <w:rPr>
          <w:rFonts w:ascii="Verdana" w:hAnsi="Verdana" w:cs="Arial"/>
          <w:sz w:val="20"/>
          <w:szCs w:val="20"/>
          <w:lang w:eastAsia="es-ES_tradnl"/>
        </w:rPr>
        <w:t xml:space="preserve">el fomento de las actividades de ciencia, tecnología e innovación, en los términos descritos en dicho marco jurídico, </w:t>
      </w:r>
      <w:r w:rsidRPr="007567F7">
        <w:rPr>
          <w:rFonts w:ascii="Verdana" w:hAnsi="Verdana" w:cs="Arial"/>
          <w:i/>
          <w:iCs/>
          <w:sz w:val="20"/>
          <w:szCs w:val="20"/>
          <w:u w:val="single"/>
          <w:lang w:eastAsia="es-ES_tradnl"/>
        </w:rPr>
        <w:t xml:space="preserve">podrá </w:t>
      </w:r>
      <w:r w:rsidRPr="007567F7">
        <w:rPr>
          <w:rFonts w:ascii="Verdana" w:hAnsi="Verdana" w:cs="Arial"/>
          <w:sz w:val="20"/>
          <w:szCs w:val="20"/>
          <w:lang w:eastAsia="es-ES_tradnl"/>
        </w:rPr>
        <w:t>emplear las siguientes tipologías contractuales:</w:t>
      </w:r>
      <w:r w:rsidR="007567F7">
        <w:rPr>
          <w:rFonts w:ascii="Verdana" w:hAnsi="Verdana" w:cs="Arial"/>
          <w:sz w:val="20"/>
          <w:szCs w:val="20"/>
          <w:lang w:eastAsia="es-ES_tradnl"/>
        </w:rPr>
        <w:t xml:space="preserve"> </w:t>
      </w:r>
      <w:r w:rsidRPr="007567F7">
        <w:rPr>
          <w:rFonts w:ascii="Verdana" w:hAnsi="Verdana" w:cs="Arial"/>
          <w:sz w:val="20"/>
          <w:szCs w:val="20"/>
          <w:lang w:eastAsia="es-ES_tradnl"/>
        </w:rPr>
        <w:t xml:space="preserve">(1) Las asociaciones dirigidas a crear sociedades civiles y comerciales, y personas jurídicas sin ánimo de lucro como fundaciones y corporaciones; (2) Los convenios especiales de cooperación; (3) Los contratos de financiamiento y (4) Los contratos de administración de proyectos. </w:t>
      </w:r>
    </w:p>
    <w:p w14:paraId="66DFA3D2" w14:textId="77777777" w:rsidR="007567F7" w:rsidRDefault="007567F7" w:rsidP="007567F7">
      <w:pPr>
        <w:shd w:val="clear" w:color="auto" w:fill="FFFFFF"/>
        <w:snapToGrid w:val="0"/>
        <w:spacing w:after="0" w:line="240" w:lineRule="auto"/>
        <w:contextualSpacing/>
        <w:jc w:val="both"/>
        <w:rPr>
          <w:rFonts w:ascii="Verdana" w:hAnsi="Verdana" w:cs="Arial"/>
          <w:sz w:val="20"/>
          <w:szCs w:val="20"/>
          <w:lang w:eastAsia="es-ES_tradnl"/>
        </w:rPr>
      </w:pPr>
    </w:p>
    <w:p w14:paraId="4A0C7D56" w14:textId="110E264A" w:rsidR="00454ABF" w:rsidRPr="007567F7" w:rsidRDefault="00454ABF" w:rsidP="007567F7">
      <w:pPr>
        <w:shd w:val="clear" w:color="auto" w:fill="FFFFFF"/>
        <w:snapToGrid w:val="0"/>
        <w:spacing w:after="0" w:line="240" w:lineRule="auto"/>
        <w:contextualSpacing/>
        <w:jc w:val="both"/>
        <w:rPr>
          <w:rFonts w:ascii="Verdana" w:eastAsia="Times New Roman" w:hAnsi="Verdana" w:cs="Arial"/>
          <w:sz w:val="20"/>
          <w:szCs w:val="20"/>
          <w:lang w:eastAsia="es-ES_tradnl"/>
        </w:rPr>
      </w:pPr>
      <w:r w:rsidRPr="007567F7">
        <w:rPr>
          <w:rFonts w:ascii="Verdana" w:hAnsi="Verdana" w:cs="Arial"/>
          <w:sz w:val="20"/>
          <w:szCs w:val="20"/>
          <w:lang w:eastAsia="es-ES_tradnl"/>
        </w:rPr>
        <w:t xml:space="preserve">Adicionalmente, es necesario resaltar que el mismo marco jurídico referido en los </w:t>
      </w:r>
      <w:r w:rsidRPr="007567F7">
        <w:rPr>
          <w:rFonts w:ascii="Verdana" w:eastAsia="Times New Roman" w:hAnsi="Verdana" w:cs="Arial"/>
          <w:sz w:val="20"/>
          <w:szCs w:val="20"/>
          <w:lang w:eastAsia="es-ES_tradnl"/>
        </w:rPr>
        <w:t xml:space="preserve">Decretos Ley 393 y 591 de 1991 señala que la implementación de estas tipologías jurídicas es </w:t>
      </w:r>
      <w:r w:rsidRPr="007567F7">
        <w:rPr>
          <w:rFonts w:ascii="Verdana" w:eastAsia="Times New Roman" w:hAnsi="Verdana" w:cs="Arial"/>
          <w:i/>
          <w:iCs/>
          <w:sz w:val="20"/>
          <w:szCs w:val="20"/>
          <w:u w:val="single"/>
          <w:lang w:eastAsia="es-ES_tradnl"/>
        </w:rPr>
        <w:t>facultativa</w:t>
      </w:r>
      <w:r w:rsidRPr="007567F7">
        <w:rPr>
          <w:rFonts w:ascii="Verdana" w:eastAsia="Times New Roman" w:hAnsi="Verdana" w:cs="Arial"/>
          <w:sz w:val="20"/>
          <w:szCs w:val="20"/>
          <w:lang w:eastAsia="es-ES_tradnl"/>
        </w:rPr>
        <w:t xml:space="preserve"> por parte de las entidades. De este modo, el INS podrá convenir </w:t>
      </w:r>
      <w:r w:rsidRPr="007567F7">
        <w:rPr>
          <w:rFonts w:ascii="Verdana" w:eastAsia="Times New Roman" w:hAnsi="Verdana" w:cs="Arial"/>
          <w:sz w:val="20"/>
          <w:szCs w:val="20"/>
          <w:lang w:eastAsia="es-ES_tradnl"/>
        </w:rPr>
        <w:lastRenderedPageBreak/>
        <w:t xml:space="preserve">libremente otro tipo de tipologías contractuales a </w:t>
      </w:r>
      <w:proofErr w:type="gramStart"/>
      <w:r w:rsidRPr="007567F7">
        <w:rPr>
          <w:rFonts w:ascii="Verdana" w:eastAsia="Times New Roman" w:hAnsi="Verdana" w:cs="Arial"/>
          <w:sz w:val="20"/>
          <w:szCs w:val="20"/>
          <w:lang w:eastAsia="es-ES_tradnl"/>
        </w:rPr>
        <w:t>las  reguladas</w:t>
      </w:r>
      <w:proofErr w:type="gramEnd"/>
      <w:r w:rsidRPr="007567F7">
        <w:rPr>
          <w:rFonts w:ascii="Verdana" w:eastAsia="Times New Roman" w:hAnsi="Verdana" w:cs="Arial"/>
          <w:sz w:val="20"/>
          <w:szCs w:val="20"/>
          <w:lang w:eastAsia="es-ES_tradnl"/>
        </w:rPr>
        <w:t xml:space="preserve"> en dicha normativa, en ejercicio de la autonomía de la voluntad, pues de esta manera lo previo expresamente el régimen jurídico para la contratación de actividades para el fomento científico y tecnológico al cual remite el artículo 10 del </w:t>
      </w:r>
      <w:r w:rsidRPr="007567F7">
        <w:rPr>
          <w:rFonts w:ascii="Verdana" w:hAnsi="Verdana" w:cs="Arial"/>
          <w:sz w:val="20"/>
          <w:szCs w:val="20"/>
          <w:lang w:eastAsia="es-ES_tradnl"/>
        </w:rPr>
        <w:t>Decreto-Ley 4109 de 2011</w:t>
      </w:r>
      <w:r w:rsidRPr="007567F7">
        <w:rPr>
          <w:rFonts w:ascii="Verdana" w:eastAsia="Times New Roman" w:hAnsi="Verdana" w:cs="Arial"/>
          <w:sz w:val="20"/>
          <w:szCs w:val="20"/>
          <w:lang w:eastAsia="es-ES_tradnl"/>
        </w:rPr>
        <w:t xml:space="preserve">. </w:t>
      </w:r>
    </w:p>
    <w:p w14:paraId="2FC4FC8B" w14:textId="5C313B49" w:rsidR="00AD1CEB" w:rsidRPr="007567F7" w:rsidRDefault="00454ABF" w:rsidP="007567F7">
      <w:pPr>
        <w:snapToGrid w:val="0"/>
        <w:spacing w:after="0" w:line="240" w:lineRule="auto"/>
        <w:contextualSpacing/>
        <w:jc w:val="both"/>
        <w:rPr>
          <w:rFonts w:ascii="Verdana" w:eastAsia="Calibri" w:hAnsi="Verdana" w:cs="Arial"/>
          <w:sz w:val="20"/>
          <w:szCs w:val="20"/>
          <w:lang w:val="es-ES" w:eastAsia="es-ES"/>
        </w:rPr>
      </w:pPr>
      <w:r w:rsidRPr="007567F7">
        <w:rPr>
          <w:rFonts w:ascii="Verdana" w:hAnsi="Verdana" w:cs="Arial"/>
          <w:sz w:val="20"/>
          <w:szCs w:val="20"/>
          <w:lang w:eastAsia="es-ES_tradnl"/>
        </w:rPr>
        <w:t>Lo anterior no implica que las Entidades Estatales que contraten el desarrollo de actividades científicas y tecnológicas mediante tipologías distintas a las señaladas en el Decreto Ley 591 y el Decreto Ley 393 de 1991 puedan contratar directamente objetos que no constituyan realmente el desarrollo de dichas actividades.</w:t>
      </w:r>
    </w:p>
    <w:p w14:paraId="15B8B830" w14:textId="77777777" w:rsidR="00F619AB" w:rsidRDefault="00F619AB" w:rsidP="007567F7">
      <w:pPr>
        <w:snapToGrid w:val="0"/>
        <w:spacing w:after="0" w:line="240" w:lineRule="auto"/>
        <w:contextualSpacing/>
        <w:rPr>
          <w:rFonts w:ascii="Verdana" w:eastAsia="Geomanist Light" w:hAnsi="Verdana" w:cs="Arial"/>
          <w:color w:val="000000" w:themeColor="text1"/>
          <w:lang w:val="es-MX"/>
        </w:rPr>
      </w:pPr>
    </w:p>
    <w:p w14:paraId="0F94835D" w14:textId="77777777" w:rsidR="007567F7" w:rsidRDefault="007567F7" w:rsidP="00D75510">
      <w:pPr>
        <w:spacing w:line="276" w:lineRule="auto"/>
        <w:rPr>
          <w:rFonts w:ascii="Verdana" w:eastAsia="Geomanist Light" w:hAnsi="Verdana" w:cs="Arial"/>
          <w:color w:val="000000" w:themeColor="text1"/>
          <w:lang w:val="es-MX"/>
        </w:rPr>
      </w:pPr>
    </w:p>
    <w:p w14:paraId="6B45D919" w14:textId="77777777" w:rsidR="007567F7" w:rsidRDefault="007567F7" w:rsidP="00D75510">
      <w:pPr>
        <w:spacing w:line="276" w:lineRule="auto"/>
        <w:rPr>
          <w:rFonts w:ascii="Verdana" w:eastAsia="Geomanist Light" w:hAnsi="Verdana" w:cs="Arial"/>
          <w:color w:val="000000" w:themeColor="text1"/>
          <w:lang w:val="es-MX"/>
        </w:rPr>
      </w:pPr>
    </w:p>
    <w:p w14:paraId="1A54F727" w14:textId="77777777" w:rsidR="007567F7" w:rsidRDefault="007567F7" w:rsidP="00D75510">
      <w:pPr>
        <w:spacing w:line="276" w:lineRule="auto"/>
        <w:rPr>
          <w:rFonts w:ascii="Verdana" w:eastAsia="Geomanist Light" w:hAnsi="Verdana" w:cs="Arial"/>
          <w:color w:val="000000" w:themeColor="text1"/>
          <w:lang w:val="es-MX"/>
        </w:rPr>
      </w:pPr>
    </w:p>
    <w:p w14:paraId="660D0624" w14:textId="77777777" w:rsidR="007567F7" w:rsidRDefault="007567F7" w:rsidP="00D75510">
      <w:pPr>
        <w:spacing w:line="276" w:lineRule="auto"/>
        <w:rPr>
          <w:rFonts w:ascii="Verdana" w:eastAsia="Geomanist Light" w:hAnsi="Verdana" w:cs="Arial"/>
          <w:color w:val="000000" w:themeColor="text1"/>
          <w:lang w:val="es-MX"/>
        </w:rPr>
      </w:pPr>
    </w:p>
    <w:p w14:paraId="5F053586" w14:textId="77777777" w:rsidR="007567F7" w:rsidRDefault="007567F7" w:rsidP="00D75510">
      <w:pPr>
        <w:spacing w:line="276" w:lineRule="auto"/>
        <w:rPr>
          <w:rFonts w:ascii="Verdana" w:eastAsia="Geomanist Light" w:hAnsi="Verdana" w:cs="Arial"/>
          <w:color w:val="000000" w:themeColor="text1"/>
          <w:lang w:val="es-MX"/>
        </w:rPr>
      </w:pPr>
    </w:p>
    <w:p w14:paraId="58328C85" w14:textId="77777777" w:rsidR="007567F7" w:rsidRDefault="007567F7" w:rsidP="00D75510">
      <w:pPr>
        <w:spacing w:line="276" w:lineRule="auto"/>
        <w:rPr>
          <w:rFonts w:ascii="Verdana" w:eastAsia="Geomanist Light" w:hAnsi="Verdana" w:cs="Arial"/>
          <w:color w:val="000000" w:themeColor="text1"/>
          <w:lang w:val="es-MX"/>
        </w:rPr>
      </w:pPr>
    </w:p>
    <w:p w14:paraId="5C43BB56" w14:textId="77777777" w:rsidR="007567F7" w:rsidRDefault="007567F7" w:rsidP="00D75510">
      <w:pPr>
        <w:spacing w:line="276" w:lineRule="auto"/>
        <w:rPr>
          <w:rFonts w:ascii="Verdana" w:eastAsia="Geomanist Light" w:hAnsi="Verdana" w:cs="Arial"/>
          <w:color w:val="000000" w:themeColor="text1"/>
          <w:lang w:val="es-MX"/>
        </w:rPr>
      </w:pPr>
    </w:p>
    <w:p w14:paraId="3CF3B075" w14:textId="77777777" w:rsidR="007567F7" w:rsidRDefault="007567F7" w:rsidP="00D75510">
      <w:pPr>
        <w:spacing w:line="276" w:lineRule="auto"/>
        <w:rPr>
          <w:rFonts w:ascii="Verdana" w:eastAsia="Geomanist Light" w:hAnsi="Verdana" w:cs="Arial"/>
          <w:color w:val="000000" w:themeColor="text1"/>
          <w:lang w:val="es-MX"/>
        </w:rPr>
      </w:pPr>
    </w:p>
    <w:p w14:paraId="09CCE47A" w14:textId="77777777" w:rsidR="007567F7" w:rsidRDefault="007567F7" w:rsidP="00D75510">
      <w:pPr>
        <w:spacing w:line="276" w:lineRule="auto"/>
        <w:rPr>
          <w:rFonts w:ascii="Verdana" w:eastAsia="Geomanist Light" w:hAnsi="Verdana" w:cs="Arial"/>
          <w:color w:val="000000" w:themeColor="text1"/>
          <w:lang w:val="es-MX"/>
        </w:rPr>
      </w:pPr>
    </w:p>
    <w:p w14:paraId="1EAE3022" w14:textId="77777777" w:rsidR="007567F7" w:rsidRDefault="007567F7" w:rsidP="00D75510">
      <w:pPr>
        <w:spacing w:line="276" w:lineRule="auto"/>
        <w:rPr>
          <w:rFonts w:ascii="Verdana" w:eastAsia="Geomanist Light" w:hAnsi="Verdana" w:cs="Arial"/>
          <w:color w:val="000000" w:themeColor="text1"/>
          <w:lang w:val="es-MX"/>
        </w:rPr>
      </w:pPr>
    </w:p>
    <w:p w14:paraId="153842D8" w14:textId="77777777" w:rsidR="007567F7" w:rsidRDefault="007567F7" w:rsidP="00D75510">
      <w:pPr>
        <w:spacing w:line="276" w:lineRule="auto"/>
        <w:rPr>
          <w:rFonts w:ascii="Verdana" w:eastAsia="Geomanist Light" w:hAnsi="Verdana" w:cs="Arial"/>
          <w:color w:val="000000" w:themeColor="text1"/>
          <w:lang w:val="es-MX"/>
        </w:rPr>
      </w:pPr>
    </w:p>
    <w:p w14:paraId="1E93EB34" w14:textId="77777777" w:rsidR="007567F7" w:rsidRDefault="007567F7" w:rsidP="00D75510">
      <w:pPr>
        <w:spacing w:line="276" w:lineRule="auto"/>
        <w:rPr>
          <w:rFonts w:ascii="Verdana" w:eastAsia="Geomanist Light" w:hAnsi="Verdana" w:cs="Arial"/>
          <w:color w:val="000000" w:themeColor="text1"/>
          <w:lang w:val="es-MX"/>
        </w:rPr>
      </w:pPr>
    </w:p>
    <w:p w14:paraId="0B69C837" w14:textId="77777777" w:rsidR="007567F7" w:rsidRDefault="007567F7" w:rsidP="00D75510">
      <w:pPr>
        <w:spacing w:line="276" w:lineRule="auto"/>
        <w:rPr>
          <w:rFonts w:ascii="Verdana" w:eastAsia="Geomanist Light" w:hAnsi="Verdana" w:cs="Arial"/>
          <w:color w:val="000000" w:themeColor="text1"/>
          <w:lang w:val="es-MX"/>
        </w:rPr>
      </w:pPr>
    </w:p>
    <w:p w14:paraId="55B15E1B" w14:textId="77777777" w:rsidR="007567F7" w:rsidRDefault="007567F7" w:rsidP="00D75510">
      <w:pPr>
        <w:spacing w:line="276" w:lineRule="auto"/>
        <w:rPr>
          <w:rFonts w:ascii="Verdana" w:eastAsia="Geomanist Light" w:hAnsi="Verdana" w:cs="Arial"/>
          <w:color w:val="000000" w:themeColor="text1"/>
          <w:lang w:val="es-MX"/>
        </w:rPr>
      </w:pPr>
    </w:p>
    <w:p w14:paraId="4DDBBD64" w14:textId="77777777" w:rsidR="007567F7" w:rsidRDefault="007567F7" w:rsidP="00D75510">
      <w:pPr>
        <w:spacing w:line="276" w:lineRule="auto"/>
        <w:rPr>
          <w:rFonts w:ascii="Verdana" w:eastAsia="Geomanist Light" w:hAnsi="Verdana" w:cs="Arial"/>
          <w:color w:val="000000" w:themeColor="text1"/>
          <w:lang w:val="es-MX"/>
        </w:rPr>
      </w:pPr>
    </w:p>
    <w:p w14:paraId="76BF1260" w14:textId="77777777" w:rsidR="007567F7" w:rsidRDefault="007567F7" w:rsidP="00D75510">
      <w:pPr>
        <w:spacing w:line="276" w:lineRule="auto"/>
        <w:rPr>
          <w:rFonts w:ascii="Verdana" w:eastAsia="Geomanist Light" w:hAnsi="Verdana" w:cs="Arial"/>
          <w:color w:val="000000" w:themeColor="text1"/>
          <w:lang w:val="es-MX"/>
        </w:rPr>
      </w:pPr>
    </w:p>
    <w:p w14:paraId="3BD3A5AB" w14:textId="77777777" w:rsidR="007567F7" w:rsidRDefault="007567F7" w:rsidP="00D75510">
      <w:pPr>
        <w:spacing w:line="276" w:lineRule="auto"/>
        <w:rPr>
          <w:rFonts w:ascii="Verdana" w:eastAsia="Geomanist Light" w:hAnsi="Verdana" w:cs="Arial"/>
          <w:color w:val="000000" w:themeColor="text1"/>
          <w:lang w:val="es-MX"/>
        </w:rPr>
      </w:pPr>
    </w:p>
    <w:p w14:paraId="049D7FD8" w14:textId="77777777" w:rsidR="007567F7" w:rsidRDefault="007567F7" w:rsidP="00D75510">
      <w:pPr>
        <w:spacing w:line="276" w:lineRule="auto"/>
        <w:rPr>
          <w:rFonts w:ascii="Verdana" w:eastAsia="Geomanist Light" w:hAnsi="Verdana" w:cs="Arial"/>
          <w:color w:val="000000" w:themeColor="text1"/>
          <w:lang w:val="es-MX"/>
        </w:rPr>
      </w:pPr>
    </w:p>
    <w:p w14:paraId="7745D132" w14:textId="77777777" w:rsidR="008F153B" w:rsidRDefault="008F153B" w:rsidP="00D75510">
      <w:pPr>
        <w:spacing w:line="276" w:lineRule="auto"/>
        <w:rPr>
          <w:rFonts w:ascii="Verdana" w:eastAsia="Geomanist Light" w:hAnsi="Verdana" w:cs="Arial"/>
          <w:color w:val="000000" w:themeColor="text1"/>
          <w:lang w:val="es-MX"/>
        </w:rPr>
      </w:pPr>
    </w:p>
    <w:p w14:paraId="18BB70CD" w14:textId="77777777" w:rsidR="008F153B" w:rsidRDefault="008F153B" w:rsidP="00D75510">
      <w:pPr>
        <w:spacing w:line="276" w:lineRule="auto"/>
        <w:rPr>
          <w:rFonts w:ascii="Verdana" w:eastAsia="Geomanist Light" w:hAnsi="Verdana" w:cs="Arial"/>
          <w:color w:val="000000" w:themeColor="text1"/>
          <w:lang w:val="es-MX"/>
        </w:rPr>
      </w:pPr>
    </w:p>
    <w:p w14:paraId="1A2A0929" w14:textId="7AC35AA4" w:rsidR="00D75510" w:rsidRPr="00B72566" w:rsidRDefault="00D75510" w:rsidP="00D75510">
      <w:pPr>
        <w:spacing w:line="276" w:lineRule="auto"/>
        <w:rPr>
          <w:rFonts w:ascii="Verdana" w:eastAsia="Geomanist Light" w:hAnsi="Verdana" w:cs="Arial"/>
          <w:color w:val="201F1E"/>
          <w:lang w:val="es-MX"/>
        </w:rPr>
      </w:pPr>
      <w:r w:rsidRPr="00B72566">
        <w:rPr>
          <w:rFonts w:ascii="Verdana" w:eastAsia="Geomanist Light" w:hAnsi="Verdana" w:cs="Arial"/>
          <w:color w:val="000000" w:themeColor="text1"/>
          <w:lang w:val="es-MX"/>
        </w:rPr>
        <w:lastRenderedPageBreak/>
        <w:t>Bogotá D.C., </w:t>
      </w:r>
      <w:r w:rsidR="00F619AB">
        <w:rPr>
          <w:rFonts w:ascii="Verdana" w:eastAsia="Geomanist Light" w:hAnsi="Verdana" w:cs="Arial"/>
          <w:color w:val="201F1E"/>
          <w:lang w:val="es-MX"/>
        </w:rPr>
        <w:t>20 de octubre de 2025</w:t>
      </w:r>
    </w:p>
    <w:p w14:paraId="12A70B8A" w14:textId="3379317A" w:rsidR="00D75510" w:rsidRDefault="001977D9" w:rsidP="00D75510">
      <w:pPr>
        <w:spacing w:after="0" w:line="276" w:lineRule="auto"/>
        <w:contextualSpacing/>
        <w:rPr>
          <w:rFonts w:ascii="Verdana" w:eastAsia="Calibri" w:hAnsi="Verdana" w:cs="Arial"/>
          <w:lang w:eastAsia="es-ES_tradnl"/>
        </w:rPr>
      </w:pPr>
      <w:r>
        <w:rPr>
          <w:rFonts w:ascii="Verdana" w:eastAsia="Calibri" w:hAnsi="Verdana" w:cs="Arial"/>
          <w:noProof/>
          <w:lang w:eastAsia="es-ES_tradnl"/>
        </w:rPr>
        <w:drawing>
          <wp:anchor distT="0" distB="0" distL="114300" distR="114300" simplePos="0" relativeHeight="251659264" behindDoc="0" locked="0" layoutInCell="1" allowOverlap="1" wp14:anchorId="542E571A" wp14:editId="6C017509">
            <wp:simplePos x="0" y="0"/>
            <wp:positionH relativeFrom="column">
              <wp:posOffset>3169920</wp:posOffset>
            </wp:positionH>
            <wp:positionV relativeFrom="paragraph">
              <wp:posOffset>48895</wp:posOffset>
            </wp:positionV>
            <wp:extent cx="2388235" cy="641985"/>
            <wp:effectExtent l="0" t="0" r="0" b="5715"/>
            <wp:wrapSquare wrapText="bothSides"/>
            <wp:docPr id="12417303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30380" name="Picture 124173038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88235" cy="641985"/>
                    </a:xfrm>
                    <a:prstGeom prst="rect">
                      <a:avLst/>
                    </a:prstGeom>
                  </pic:spPr>
                </pic:pic>
              </a:graphicData>
            </a:graphic>
            <wp14:sizeRelH relativeFrom="page">
              <wp14:pctWidth>0</wp14:pctWidth>
            </wp14:sizeRelH>
            <wp14:sizeRelV relativeFrom="page">
              <wp14:pctHeight>0</wp14:pctHeight>
            </wp14:sizeRelV>
          </wp:anchor>
        </w:drawing>
      </w:r>
    </w:p>
    <w:p w14:paraId="59AE223D" w14:textId="12AD79BF" w:rsidR="00D75510" w:rsidRPr="00B1641E" w:rsidRDefault="00906564" w:rsidP="00D75510">
      <w:pPr>
        <w:spacing w:after="0" w:line="276" w:lineRule="auto"/>
        <w:contextualSpacing/>
        <w:rPr>
          <w:rFonts w:ascii="Verdana" w:eastAsia="Calibri" w:hAnsi="Verdana" w:cs="Arial"/>
          <w:lang w:eastAsia="es-ES_tradnl"/>
        </w:rPr>
      </w:pPr>
      <w:r>
        <w:rPr>
          <w:rFonts w:ascii="Verdana" w:eastAsia="Calibri" w:hAnsi="Verdana" w:cs="Arial"/>
          <w:lang w:eastAsia="es-ES_tradnl"/>
        </w:rPr>
        <w:t>Doctora</w:t>
      </w:r>
    </w:p>
    <w:p w14:paraId="08646EC8" w14:textId="5B75E984" w:rsidR="00D75510" w:rsidRPr="009533A7" w:rsidRDefault="00D75510" w:rsidP="00D75510">
      <w:pPr>
        <w:spacing w:after="0" w:line="276" w:lineRule="auto"/>
        <w:contextualSpacing/>
        <w:rPr>
          <w:rFonts w:ascii="Verdana" w:eastAsia="Calibri" w:hAnsi="Verdana" w:cs="Arial"/>
          <w:b/>
          <w:bCs/>
          <w:lang w:eastAsia="es-ES_tradnl"/>
        </w:rPr>
      </w:pPr>
      <w:r w:rsidRPr="009533A7">
        <w:rPr>
          <w:rFonts w:ascii="Verdana" w:eastAsia="Calibri" w:hAnsi="Verdana" w:cs="Arial"/>
          <w:b/>
          <w:bCs/>
          <w:lang w:eastAsia="es-ES_tradnl"/>
        </w:rPr>
        <w:t xml:space="preserve">Ingrit Lineth Vásquez Cely </w:t>
      </w:r>
    </w:p>
    <w:p w14:paraId="0FFAA25C" w14:textId="558C4D76" w:rsidR="00D75510" w:rsidRPr="00B1641E" w:rsidRDefault="001977D9" w:rsidP="00D75510">
      <w:pPr>
        <w:spacing w:after="0" w:line="276" w:lineRule="auto"/>
        <w:contextualSpacing/>
        <w:rPr>
          <w:rFonts w:ascii="Verdana" w:eastAsia="Calibri" w:hAnsi="Verdana" w:cs="Arial"/>
          <w:lang w:eastAsia="es-ES_tradnl"/>
        </w:rPr>
      </w:pPr>
      <w:r>
        <w:rPr>
          <w:rFonts w:ascii="Verdana" w:eastAsia="Calibri" w:hAnsi="Verdana" w:cs="Arial"/>
          <w:b/>
          <w:bCs/>
          <w:noProof/>
          <w:lang w:val="es-ES" w:eastAsia="es-ES"/>
        </w:rPr>
        <w:drawing>
          <wp:anchor distT="0" distB="0" distL="114300" distR="114300" simplePos="0" relativeHeight="251662336" behindDoc="0" locked="0" layoutInCell="1" allowOverlap="1" wp14:anchorId="281F59EC" wp14:editId="4A0BA434">
            <wp:simplePos x="0" y="0"/>
            <wp:positionH relativeFrom="column">
              <wp:posOffset>3171190</wp:posOffset>
            </wp:positionH>
            <wp:positionV relativeFrom="page">
              <wp:posOffset>2295525</wp:posOffset>
            </wp:positionV>
            <wp:extent cx="2388235" cy="633730"/>
            <wp:effectExtent l="0" t="0" r="0" b="1270"/>
            <wp:wrapSquare wrapText="bothSides"/>
            <wp:docPr id="2084373249" name="Picture 1" descr="A close-up of a whit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373249" name="Picture 1" descr="A close-up of a white card&#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88235" cy="633730"/>
                    </a:xfrm>
                    <a:prstGeom prst="rect">
                      <a:avLst/>
                    </a:prstGeom>
                  </pic:spPr>
                </pic:pic>
              </a:graphicData>
            </a:graphic>
            <wp14:sizeRelH relativeFrom="page">
              <wp14:pctWidth>0</wp14:pctWidth>
            </wp14:sizeRelH>
            <wp14:sizeRelV relativeFrom="page">
              <wp14:pctHeight>0</wp14:pctHeight>
            </wp14:sizeRelV>
          </wp:anchor>
        </w:drawing>
      </w:r>
      <w:r w:rsidR="00D75510" w:rsidRPr="00B1641E">
        <w:rPr>
          <w:rFonts w:ascii="Verdana" w:eastAsia="Calibri" w:hAnsi="Verdana" w:cs="Arial"/>
          <w:lang w:eastAsia="es-ES_tradnl"/>
        </w:rPr>
        <w:t xml:space="preserve">Secretaria General </w:t>
      </w:r>
    </w:p>
    <w:p w14:paraId="1D3363A3" w14:textId="77777777" w:rsidR="00D75510" w:rsidRPr="00B1641E" w:rsidRDefault="00D75510" w:rsidP="00D75510">
      <w:pPr>
        <w:spacing w:after="0" w:line="276" w:lineRule="auto"/>
        <w:contextualSpacing/>
        <w:rPr>
          <w:rFonts w:ascii="Verdana" w:eastAsia="Calibri" w:hAnsi="Verdana" w:cs="Arial"/>
          <w:lang w:eastAsia="es-ES_tradnl"/>
        </w:rPr>
      </w:pPr>
      <w:r w:rsidRPr="00B1641E">
        <w:rPr>
          <w:rFonts w:ascii="Verdana" w:eastAsia="Calibri" w:hAnsi="Verdana" w:cs="Arial"/>
          <w:lang w:eastAsia="es-ES_tradnl"/>
        </w:rPr>
        <w:t xml:space="preserve">Instituto Nacional de Salud </w:t>
      </w:r>
    </w:p>
    <w:p w14:paraId="5782313D" w14:textId="77777777" w:rsidR="00D75510" w:rsidRDefault="00D75510" w:rsidP="00D75510">
      <w:pPr>
        <w:spacing w:after="0" w:line="276" w:lineRule="auto"/>
        <w:contextualSpacing/>
        <w:rPr>
          <w:rFonts w:ascii="Verdana" w:eastAsia="Calibri" w:hAnsi="Verdana" w:cs="Arial"/>
          <w:lang w:eastAsia="es-ES_tradnl"/>
        </w:rPr>
      </w:pPr>
      <w:hyperlink r:id="rId12" w:history="1">
        <w:r w:rsidRPr="00CC2364">
          <w:rPr>
            <w:rStyle w:val="Hipervnculo"/>
            <w:rFonts w:ascii="Verdana" w:eastAsia="Calibri" w:hAnsi="Verdana" w:cs="Arial"/>
            <w:lang w:eastAsia="es-ES_tradnl"/>
          </w:rPr>
          <w:t>ivasquez@ins.gov.co</w:t>
        </w:r>
      </w:hyperlink>
    </w:p>
    <w:p w14:paraId="38A7E6E0" w14:textId="2D726B66" w:rsidR="00D75510" w:rsidRPr="00B26706" w:rsidRDefault="00D75510" w:rsidP="00D75510">
      <w:pPr>
        <w:spacing w:after="0" w:line="276" w:lineRule="auto"/>
        <w:contextualSpacing/>
        <w:rPr>
          <w:rFonts w:ascii="Verdana" w:eastAsia="Calibri" w:hAnsi="Verdana" w:cs="Arial"/>
          <w:lang w:eastAsia="es-ES_tradnl"/>
        </w:rPr>
      </w:pPr>
      <w:r w:rsidRPr="00B1641E">
        <w:rPr>
          <w:rFonts w:ascii="Verdana" w:eastAsia="Calibri" w:hAnsi="Verdana" w:cs="Arial"/>
          <w:lang w:eastAsia="es-ES_tradnl"/>
        </w:rPr>
        <w:t>Bogotá D.C.</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75510" w:rsidRPr="00B26706" w14:paraId="38601D34" w14:textId="77777777" w:rsidTr="00C733E6">
        <w:trPr>
          <w:trHeight w:val="480"/>
        </w:trPr>
        <w:tc>
          <w:tcPr>
            <w:tcW w:w="2689" w:type="dxa"/>
          </w:tcPr>
          <w:p w14:paraId="1C50E091" w14:textId="77777777" w:rsidR="00D75510" w:rsidRPr="00B26706" w:rsidRDefault="00D75510" w:rsidP="00C733E6">
            <w:pPr>
              <w:spacing w:line="276" w:lineRule="auto"/>
              <w:jc w:val="both"/>
              <w:rPr>
                <w:rFonts w:ascii="Verdana" w:eastAsia="Calibri" w:hAnsi="Verdana" w:cs="Arial"/>
                <w:b/>
                <w:bCs/>
                <w:color w:val="7030A0"/>
                <w:lang w:val="es-ES_tradnl" w:eastAsia="es-ES_tradnl"/>
              </w:rPr>
            </w:pPr>
          </w:p>
        </w:tc>
        <w:tc>
          <w:tcPr>
            <w:tcW w:w="6100" w:type="dxa"/>
          </w:tcPr>
          <w:p w14:paraId="65C3CF33" w14:textId="410DC0DE" w:rsidR="00D75510" w:rsidRPr="00B26706" w:rsidRDefault="00D75510" w:rsidP="00C733E6">
            <w:pPr>
              <w:spacing w:line="276" w:lineRule="auto"/>
              <w:jc w:val="both"/>
              <w:rPr>
                <w:rFonts w:ascii="Verdana" w:eastAsia="Calibri" w:hAnsi="Verdana" w:cs="Arial"/>
                <w:b/>
                <w:bCs/>
                <w:lang w:val="es-ES" w:eastAsia="es-ES"/>
              </w:rPr>
            </w:pPr>
          </w:p>
          <w:p w14:paraId="23F0BE08" w14:textId="77777777" w:rsidR="00D75510" w:rsidRPr="00B26706" w:rsidRDefault="00D75510" w:rsidP="00C733E6">
            <w:pPr>
              <w:spacing w:line="276" w:lineRule="auto"/>
              <w:jc w:val="both"/>
              <w:rPr>
                <w:rFonts w:ascii="Verdana" w:eastAsia="Calibri" w:hAnsi="Verdana" w:cs="Arial"/>
                <w:b/>
                <w:bCs/>
                <w:lang w:val="es-ES" w:eastAsia="es-ES"/>
              </w:rPr>
            </w:pPr>
            <w:r w:rsidRPr="00B26706">
              <w:rPr>
                <w:rFonts w:ascii="Verdana" w:eastAsia="Calibri" w:hAnsi="Verdana" w:cs="Arial"/>
                <w:b/>
                <w:bCs/>
                <w:lang w:val="es-ES" w:eastAsia="es-ES"/>
              </w:rPr>
              <w:t>Concepto C-</w:t>
            </w:r>
            <w:r>
              <w:rPr>
                <w:rFonts w:ascii="Verdana" w:eastAsia="Calibri" w:hAnsi="Verdana" w:cs="Arial"/>
                <w:b/>
                <w:bCs/>
                <w:lang w:val="es-ES" w:eastAsia="es-ES"/>
              </w:rPr>
              <w:t>1322</w:t>
            </w:r>
            <w:r w:rsidRPr="00B26706">
              <w:rPr>
                <w:rFonts w:ascii="Verdana" w:eastAsia="Calibri" w:hAnsi="Verdana" w:cs="Arial"/>
                <w:b/>
                <w:bCs/>
                <w:color w:val="7030A0"/>
                <w:lang w:val="es-ES" w:eastAsia="es-ES"/>
              </w:rPr>
              <w:t xml:space="preserve"> </w:t>
            </w:r>
            <w:r w:rsidRPr="00B26706">
              <w:rPr>
                <w:rFonts w:ascii="Verdana" w:eastAsia="Calibri" w:hAnsi="Verdana" w:cs="Arial"/>
                <w:b/>
                <w:bCs/>
                <w:lang w:val="es-ES" w:eastAsia="es-ES"/>
              </w:rPr>
              <w:t>de 2025</w:t>
            </w:r>
          </w:p>
          <w:p w14:paraId="65B6FEF6" w14:textId="77777777" w:rsidR="00D75510" w:rsidRPr="00B26706" w:rsidRDefault="00D75510" w:rsidP="00C733E6">
            <w:pPr>
              <w:spacing w:line="276" w:lineRule="auto"/>
              <w:jc w:val="both"/>
              <w:rPr>
                <w:rFonts w:ascii="Verdana" w:eastAsia="Calibri" w:hAnsi="Verdana" w:cs="Arial"/>
                <w:b/>
                <w:bCs/>
                <w:color w:val="7030A0"/>
                <w:lang w:val="es-ES" w:eastAsia="es-ES"/>
              </w:rPr>
            </w:pPr>
          </w:p>
        </w:tc>
      </w:tr>
      <w:tr w:rsidR="00D75510" w:rsidRPr="00B26706" w14:paraId="0CF99488" w14:textId="77777777" w:rsidTr="00C733E6">
        <w:trPr>
          <w:trHeight w:val="884"/>
        </w:trPr>
        <w:tc>
          <w:tcPr>
            <w:tcW w:w="2689" w:type="dxa"/>
          </w:tcPr>
          <w:p w14:paraId="5A4D14B4" w14:textId="77777777" w:rsidR="00D75510" w:rsidRPr="00B26706" w:rsidRDefault="00D75510" w:rsidP="00C733E6">
            <w:pPr>
              <w:spacing w:line="276" w:lineRule="auto"/>
              <w:jc w:val="both"/>
              <w:rPr>
                <w:rFonts w:ascii="Verdana" w:eastAsia="Calibri" w:hAnsi="Verdana" w:cs="Arial"/>
                <w:color w:val="000000"/>
                <w:lang w:val="es-ES_tradnl" w:eastAsia="es-ES_tradnl"/>
              </w:rPr>
            </w:pPr>
            <w:r w:rsidRPr="00B26706">
              <w:rPr>
                <w:rFonts w:ascii="Verdana" w:eastAsia="Calibri" w:hAnsi="Verdana" w:cs="Arial"/>
                <w:b/>
                <w:color w:val="000000"/>
                <w:lang w:val="es-ES_tradnl" w:eastAsia="es-ES_tradnl"/>
              </w:rPr>
              <w:t>Temas:</w:t>
            </w:r>
            <w:r w:rsidRPr="00B26706">
              <w:rPr>
                <w:rFonts w:ascii="Verdana" w:eastAsia="Calibri" w:hAnsi="Verdana" w:cs="Arial"/>
                <w:color w:val="000000"/>
                <w:lang w:val="es-ES_tradnl" w:eastAsia="es-ES_tradnl"/>
              </w:rPr>
              <w:t xml:space="preserve">                   </w:t>
            </w:r>
          </w:p>
        </w:tc>
        <w:tc>
          <w:tcPr>
            <w:tcW w:w="6100" w:type="dxa"/>
          </w:tcPr>
          <w:p w14:paraId="1CD75C38" w14:textId="24320748" w:rsidR="00D75510" w:rsidRPr="00B26706" w:rsidRDefault="00D75510" w:rsidP="00AD1CEB">
            <w:pPr>
              <w:spacing w:after="160" w:line="276" w:lineRule="auto"/>
              <w:jc w:val="both"/>
              <w:rPr>
                <w:rFonts w:ascii="Verdana" w:eastAsia="Calibri" w:hAnsi="Verdana" w:cs="Arial"/>
                <w:lang w:val="es-ES" w:eastAsia="es-ES"/>
              </w:rPr>
            </w:pPr>
            <w:r w:rsidRPr="00B26706">
              <w:rPr>
                <w:rFonts w:ascii="Verdana" w:eastAsia="Calibri" w:hAnsi="Verdana" w:cs="Arial"/>
                <w:lang w:val="es-ES" w:eastAsia="es-ES"/>
              </w:rPr>
              <w:t xml:space="preserve">ACTIVIDADES DE CIENCIA, TECNOLOGÍA E INNOVACIÓN – Marco jurídico – Tipo de contratos o convenios </w:t>
            </w:r>
            <w:r w:rsidR="00AD1CEB">
              <w:rPr>
                <w:rFonts w:ascii="Verdana" w:eastAsia="Calibri" w:hAnsi="Verdana" w:cs="Arial"/>
                <w:lang w:val="es-ES" w:eastAsia="es-ES"/>
              </w:rPr>
              <w:t xml:space="preserve">/ </w:t>
            </w:r>
            <w:r w:rsidR="00AD1CEB" w:rsidRPr="00B26706">
              <w:rPr>
                <w:rFonts w:ascii="Verdana" w:eastAsia="Calibri" w:hAnsi="Verdana" w:cs="Arial"/>
                <w:lang w:val="es-ES" w:eastAsia="es-ES"/>
              </w:rPr>
              <w:t>ACTIVIDADES DE CIENCIA, TECNOLOGÍA E INNOVACIÓN</w:t>
            </w:r>
            <w:r w:rsidR="00AD1CEB">
              <w:rPr>
                <w:rFonts w:ascii="Verdana" w:eastAsia="Calibri" w:hAnsi="Verdana" w:cs="Arial"/>
                <w:lang w:val="es-ES" w:eastAsia="es-ES"/>
              </w:rPr>
              <w:t xml:space="preserve"> </w:t>
            </w:r>
            <w:r w:rsidR="00AD1CEB" w:rsidRPr="00B26706">
              <w:rPr>
                <w:rFonts w:ascii="Verdana" w:eastAsia="Calibri" w:hAnsi="Verdana" w:cs="Arial"/>
                <w:lang w:val="es-ES" w:eastAsia="es-ES"/>
              </w:rPr>
              <w:t>–</w:t>
            </w:r>
            <w:r w:rsidR="00AD1CEB" w:rsidRPr="00AD1CEB">
              <w:rPr>
                <w:rFonts w:ascii="Verdana" w:hAnsi="Verdana" w:cs="Arial"/>
                <w:lang w:eastAsia="es-ES"/>
              </w:rPr>
              <w:t xml:space="preserve"> </w:t>
            </w:r>
            <w:r w:rsidR="00AD1CEB" w:rsidRPr="25257AD2">
              <w:rPr>
                <w:rFonts w:ascii="Verdana" w:hAnsi="Verdana" w:cs="Arial"/>
                <w:lang w:eastAsia="es-ES"/>
              </w:rPr>
              <w:t>Instituto Nacional de Salud</w:t>
            </w:r>
            <w:r w:rsidR="00AD1CEB">
              <w:rPr>
                <w:rFonts w:ascii="Verdana" w:hAnsi="Verdana" w:cs="Arial"/>
                <w:lang w:eastAsia="es-ES"/>
              </w:rPr>
              <w:t xml:space="preserve"> </w:t>
            </w:r>
            <w:r w:rsidR="00AD1CEB" w:rsidRPr="00B26706">
              <w:rPr>
                <w:rFonts w:ascii="Verdana" w:eastAsia="Calibri" w:hAnsi="Verdana" w:cs="Arial"/>
                <w:lang w:val="es-ES" w:eastAsia="es-ES"/>
              </w:rPr>
              <w:t>–</w:t>
            </w:r>
            <w:r w:rsidR="00AD1CEB">
              <w:rPr>
                <w:rFonts w:ascii="Verdana" w:eastAsia="Calibri" w:hAnsi="Verdana" w:cs="Arial"/>
                <w:lang w:val="es-ES" w:eastAsia="es-ES"/>
              </w:rPr>
              <w:t xml:space="preserve"> Tipologías contractuales</w:t>
            </w:r>
          </w:p>
        </w:tc>
      </w:tr>
      <w:tr w:rsidR="00D75510" w:rsidRPr="00B26706" w14:paraId="6398BBEB" w14:textId="77777777" w:rsidTr="00C733E6">
        <w:tc>
          <w:tcPr>
            <w:tcW w:w="2689" w:type="dxa"/>
          </w:tcPr>
          <w:p w14:paraId="5DC3E41F" w14:textId="77777777" w:rsidR="00D75510" w:rsidRPr="00B26706" w:rsidRDefault="00D75510" w:rsidP="00C733E6">
            <w:pPr>
              <w:spacing w:line="276" w:lineRule="auto"/>
              <w:jc w:val="both"/>
              <w:rPr>
                <w:rFonts w:ascii="Verdana" w:eastAsia="Calibri" w:hAnsi="Verdana" w:cs="Arial"/>
                <w:b/>
                <w:color w:val="000000" w:themeColor="text1"/>
                <w:lang w:val="es-ES_tradnl" w:eastAsia="es-ES_tradnl"/>
              </w:rPr>
            </w:pPr>
            <w:r w:rsidRPr="00B26706">
              <w:rPr>
                <w:rFonts w:ascii="Verdana" w:eastAsia="Calibri" w:hAnsi="Verdana" w:cs="Arial"/>
                <w:b/>
                <w:color w:val="000000" w:themeColor="text1"/>
                <w:lang w:val="es-ES_tradnl" w:eastAsia="es-ES_tradnl"/>
              </w:rPr>
              <w:t>Radicación:</w:t>
            </w:r>
            <w:r w:rsidRPr="00B26706">
              <w:rPr>
                <w:rFonts w:ascii="Verdana" w:eastAsia="Calibri" w:hAnsi="Verdana" w:cs="Arial"/>
                <w:color w:val="000000" w:themeColor="text1"/>
                <w:lang w:val="es-ES_tradnl" w:eastAsia="es-ES_tradnl"/>
              </w:rPr>
              <w:t xml:space="preserve">               </w:t>
            </w:r>
          </w:p>
        </w:tc>
        <w:tc>
          <w:tcPr>
            <w:tcW w:w="6100" w:type="dxa"/>
          </w:tcPr>
          <w:p w14:paraId="3F135460" w14:textId="77777777" w:rsidR="00D75510" w:rsidRPr="00B26706" w:rsidRDefault="00D75510" w:rsidP="00C733E6">
            <w:pPr>
              <w:spacing w:line="276" w:lineRule="auto"/>
              <w:jc w:val="both"/>
              <w:rPr>
                <w:rFonts w:ascii="Verdana" w:eastAsia="Calibri" w:hAnsi="Verdana" w:cs="Arial"/>
                <w:color w:val="000000" w:themeColor="text1"/>
                <w:lang w:val="es-ES_tradnl" w:eastAsia="es-ES_tradnl"/>
              </w:rPr>
            </w:pPr>
            <w:r w:rsidRPr="00B72566">
              <w:rPr>
                <w:rFonts w:ascii="Verdana" w:eastAsia="Calibri" w:hAnsi="Verdana" w:cs="Arial"/>
                <w:color w:val="000000" w:themeColor="text1"/>
                <w:lang w:val="es-ES_tradnl" w:eastAsia="es-ES_tradnl"/>
              </w:rPr>
              <w:t>Respuesta a consulta</w:t>
            </w:r>
            <w:r>
              <w:rPr>
                <w:rFonts w:ascii="Verdana" w:eastAsia="Calibri" w:hAnsi="Verdana" w:cs="Arial"/>
                <w:color w:val="000000" w:themeColor="text1"/>
                <w:lang w:val="es-ES_tradnl" w:eastAsia="es-ES_tradnl"/>
              </w:rPr>
              <w:t>s</w:t>
            </w:r>
            <w:r w:rsidRPr="00B72566">
              <w:rPr>
                <w:rFonts w:ascii="Verdana" w:eastAsia="Calibri" w:hAnsi="Verdana" w:cs="Arial"/>
                <w:color w:val="000000" w:themeColor="text1"/>
                <w:lang w:val="es-ES_tradnl" w:eastAsia="es-ES_tradnl"/>
              </w:rPr>
              <w:t xml:space="preserve"> con radicado</w:t>
            </w:r>
            <w:r>
              <w:rPr>
                <w:rFonts w:ascii="Verdana" w:eastAsia="Calibri" w:hAnsi="Verdana" w:cs="Arial"/>
                <w:color w:val="000000" w:themeColor="text1"/>
                <w:lang w:val="es-ES_tradnl" w:eastAsia="es-ES_tradnl"/>
              </w:rPr>
              <w:t>s</w:t>
            </w:r>
            <w:r w:rsidRPr="00B72566">
              <w:rPr>
                <w:rFonts w:ascii="Verdana" w:eastAsia="Calibri" w:hAnsi="Verdana" w:cs="Arial"/>
                <w:color w:val="000000" w:themeColor="text1"/>
                <w:lang w:val="es-ES_tradnl" w:eastAsia="es-ES_tradnl"/>
              </w:rPr>
              <w:t xml:space="preserve"> No. </w:t>
            </w:r>
            <w:r w:rsidRPr="00D83AA6">
              <w:rPr>
                <w:rFonts w:ascii="Verdana" w:eastAsia="Calibri" w:hAnsi="Verdana" w:cs="Arial"/>
                <w:color w:val="000000" w:themeColor="text1"/>
                <w:lang w:val="es-ES_tradnl" w:eastAsia="es-ES_tradnl"/>
              </w:rPr>
              <w:t>1_2025_09_16_010111</w:t>
            </w:r>
            <w:r>
              <w:rPr>
                <w:rFonts w:ascii="Verdana" w:eastAsia="Calibri" w:hAnsi="Verdana" w:cs="Arial"/>
                <w:color w:val="000000" w:themeColor="text1"/>
                <w:lang w:val="es-ES_tradnl" w:eastAsia="es-ES_tradnl"/>
              </w:rPr>
              <w:t xml:space="preserve"> y </w:t>
            </w:r>
            <w:r w:rsidRPr="00D83AA6">
              <w:rPr>
                <w:rFonts w:ascii="Verdana" w:eastAsia="Calibri" w:hAnsi="Verdana" w:cs="Arial"/>
                <w:color w:val="000000" w:themeColor="text1"/>
                <w:lang w:val="es-ES_tradnl" w:eastAsia="es-ES_tradnl"/>
              </w:rPr>
              <w:t>1_2025_09_16_010141</w:t>
            </w:r>
          </w:p>
        </w:tc>
      </w:tr>
    </w:tbl>
    <w:p w14:paraId="756E066D" w14:textId="77777777" w:rsidR="00D75510" w:rsidRPr="00B26706" w:rsidRDefault="00D75510" w:rsidP="00D75510">
      <w:pPr>
        <w:spacing w:line="276" w:lineRule="auto"/>
        <w:jc w:val="both"/>
        <w:rPr>
          <w:rFonts w:ascii="Verdana" w:eastAsia="Calibri" w:hAnsi="Verdana" w:cs="Arial"/>
          <w:color w:val="000000"/>
          <w:lang w:val="es-ES_tradnl" w:eastAsia="es-ES_tradnl"/>
        </w:rPr>
      </w:pPr>
    </w:p>
    <w:p w14:paraId="3678EA46" w14:textId="4A7D940B" w:rsidR="00D75510" w:rsidRPr="00B72566" w:rsidRDefault="00D75510" w:rsidP="008C6EBE">
      <w:pPr>
        <w:spacing w:line="276" w:lineRule="auto"/>
        <w:jc w:val="both"/>
        <w:rPr>
          <w:rFonts w:ascii="Verdana" w:eastAsia="Calibri" w:hAnsi="Verdana" w:cs="Arial"/>
          <w:color w:val="000000" w:themeColor="text1"/>
          <w:lang w:val="es-ES" w:eastAsia="es-ES"/>
        </w:rPr>
      </w:pPr>
      <w:r w:rsidRPr="00B72566">
        <w:rPr>
          <w:rFonts w:ascii="Verdana" w:eastAsia="Calibri" w:hAnsi="Verdana" w:cs="Arial"/>
          <w:color w:val="000000" w:themeColor="text1"/>
          <w:lang w:val="es-ES" w:eastAsia="es-ES"/>
        </w:rPr>
        <w:t xml:space="preserve">Estimada </w:t>
      </w:r>
      <w:r w:rsidR="00906564">
        <w:rPr>
          <w:rFonts w:ascii="Verdana" w:eastAsia="Calibri" w:hAnsi="Verdana" w:cs="Arial"/>
          <w:color w:val="000000"/>
          <w:lang w:val="es-ES_tradnl" w:eastAsia="es-ES_tradnl"/>
        </w:rPr>
        <w:t>Doctora</w:t>
      </w:r>
      <w:r w:rsidRPr="00B72566">
        <w:rPr>
          <w:rFonts w:ascii="Verdana" w:eastAsia="Calibri" w:hAnsi="Verdana" w:cs="Arial"/>
          <w:color w:val="000000"/>
          <w:lang w:val="es-ES_tradnl" w:eastAsia="es-ES_tradnl"/>
        </w:rPr>
        <w:t xml:space="preserve"> </w:t>
      </w:r>
      <w:r w:rsidR="008C6EBE">
        <w:rPr>
          <w:rFonts w:ascii="Verdana" w:eastAsia="Calibri" w:hAnsi="Verdana" w:cs="Arial"/>
          <w:color w:val="000000"/>
          <w:lang w:val="es-ES_tradnl" w:eastAsia="es-ES_tradnl"/>
        </w:rPr>
        <w:t>Vásquez</w:t>
      </w:r>
      <w:r w:rsidRPr="00B72566">
        <w:rPr>
          <w:rFonts w:ascii="Verdana" w:eastAsia="Calibri" w:hAnsi="Verdana" w:cs="Arial"/>
          <w:color w:val="000000"/>
          <w:lang w:val="es-ES_tradnl" w:eastAsia="es-ES_tradnl"/>
        </w:rPr>
        <w:t>:</w:t>
      </w:r>
      <w:r w:rsidRPr="00B72566">
        <w:rPr>
          <w:rFonts w:ascii="Verdana" w:eastAsia="Calibri" w:hAnsi="Verdana" w:cs="Arial"/>
          <w:color w:val="000000" w:themeColor="text1"/>
          <w:lang w:val="es-ES" w:eastAsia="es-ES"/>
        </w:rPr>
        <w:t xml:space="preserve"> </w:t>
      </w:r>
    </w:p>
    <w:p w14:paraId="57C04D5B" w14:textId="77777777" w:rsidR="00D75510" w:rsidRPr="008F1FB6" w:rsidRDefault="00D75510" w:rsidP="00D75510">
      <w:pPr>
        <w:spacing w:line="276" w:lineRule="auto"/>
        <w:jc w:val="both"/>
        <w:rPr>
          <w:rFonts w:ascii="Verdana" w:eastAsia="Calibri" w:hAnsi="Verdana" w:cs="Arial"/>
          <w:color w:val="000000" w:themeColor="text1"/>
          <w:lang w:val="es-ES" w:eastAsia="es-ES"/>
        </w:rPr>
      </w:pPr>
      <w:r w:rsidRPr="00B72566">
        <w:rPr>
          <w:rFonts w:ascii="Verdana" w:eastAsia="Calibri" w:hAnsi="Verdana" w:cs="Arial"/>
          <w:color w:val="000000" w:themeColor="text1"/>
          <w:lang w:val="es-ES" w:eastAsia="es-ES"/>
        </w:rPr>
        <w:t>En ejercicio de la competencia otorgada por los artículos 3, numeral 5º, y 11, numeral 8º, del Decreto Ley 4170 de 2011,</w:t>
      </w:r>
      <w:r w:rsidRPr="00B72566">
        <w:rPr>
          <w:rFonts w:ascii="Verdana" w:eastAsia="Arial MT" w:hAnsi="Verdana" w:cs="Arial MT"/>
          <w:lang w:val="es-ES" w:eastAsia="es-ES"/>
        </w:rPr>
        <w:t xml:space="preserve"> </w:t>
      </w:r>
      <w:r w:rsidRPr="00B72566">
        <w:rPr>
          <w:rFonts w:ascii="Verdana" w:hAnsi="Verdana" w:cs="Arial"/>
        </w:rPr>
        <w:t xml:space="preserve">así como lo establecido en el artículo 4 de la Resolución 1707 de 2018 expedida por esta Entidad, </w:t>
      </w:r>
      <w:r w:rsidRPr="00B72566">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d</w:t>
      </w:r>
      <w:r w:rsidRPr="00B72566">
        <w:rPr>
          <w:rFonts w:ascii="Verdana" w:eastAsia="Calibri" w:hAnsi="Verdana" w:cs="Arial"/>
          <w:color w:val="000000" w:themeColor="text1"/>
          <w:lang w:val="es-ES" w:eastAsia="es-ES"/>
        </w:rPr>
        <w:t xml:space="preserve">el </w:t>
      </w:r>
      <w:r>
        <w:rPr>
          <w:rFonts w:ascii="Verdana" w:eastAsia="Calibri" w:hAnsi="Verdana" w:cs="Arial"/>
          <w:color w:val="000000" w:themeColor="text1"/>
          <w:lang w:val="es-ES" w:eastAsia="es-ES"/>
        </w:rPr>
        <w:t>16</w:t>
      </w:r>
      <w:r w:rsidRPr="00B72566">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septiembre</w:t>
      </w:r>
      <w:r w:rsidRPr="00B72566">
        <w:rPr>
          <w:rFonts w:ascii="Verdana" w:eastAsia="Calibri" w:hAnsi="Verdana" w:cs="Arial"/>
          <w:color w:val="000000" w:themeColor="text1"/>
          <w:lang w:val="es-ES" w:eastAsia="es-ES"/>
        </w:rPr>
        <w:t xml:space="preserve"> de 2025, en la cual manifiesta lo siguiente: </w:t>
      </w:r>
    </w:p>
    <w:p w14:paraId="0764724E" w14:textId="77777777" w:rsidR="00D75510" w:rsidRPr="0095188E" w:rsidRDefault="00D75510" w:rsidP="00D75510">
      <w:pPr>
        <w:ind w:left="709" w:right="709"/>
        <w:jc w:val="both"/>
        <w:rPr>
          <w:rFonts w:ascii="Verdana" w:eastAsia="Century Gothic" w:hAnsi="Verdana" w:cs="Century Gothic"/>
          <w:color w:val="000000" w:themeColor="text1"/>
          <w:sz w:val="20"/>
          <w:szCs w:val="20"/>
        </w:rPr>
      </w:pPr>
      <w:bookmarkStart w:id="0" w:name="_Hlk95313578"/>
      <w:r w:rsidRPr="0095188E">
        <w:rPr>
          <w:rFonts w:ascii="Verdana" w:eastAsia="Century Gothic" w:hAnsi="Verdana" w:cs="Century Gothic"/>
          <w:i/>
          <w:iCs/>
          <w:color w:val="000000" w:themeColor="text1"/>
          <w:sz w:val="20"/>
          <w:szCs w:val="20"/>
          <w:lang w:val="es-ES"/>
        </w:rPr>
        <w:t>“</w:t>
      </w:r>
      <w:bookmarkEnd w:id="0"/>
      <w:r w:rsidRPr="0095188E">
        <w:rPr>
          <w:rFonts w:ascii="Verdana" w:eastAsia="Century Gothic" w:hAnsi="Verdana" w:cs="Century Gothic"/>
          <w:i/>
          <w:iCs/>
          <w:color w:val="000000" w:themeColor="text1"/>
          <w:sz w:val="20"/>
          <w:szCs w:val="20"/>
          <w:lang w:val="es-ES"/>
        </w:rPr>
        <w:t xml:space="preserve">[…] </w:t>
      </w:r>
      <w:r w:rsidRPr="0095188E">
        <w:rPr>
          <w:rFonts w:ascii="Verdana" w:eastAsia="Century Gothic" w:hAnsi="Verdana" w:cs="Century Gothic"/>
          <w:i/>
          <w:iCs/>
          <w:color w:val="000000" w:themeColor="text1"/>
          <w:sz w:val="20"/>
          <w:szCs w:val="20"/>
        </w:rPr>
        <w:t>teniendo en cuenta la naturaleza jurídica, objeto y funciones del Instituto Nacional de Salud, este puede acudir a la causal de contratación directa por actividades científicas y tecnológicas para el desarrollo de sus proyectos y actividades de investigación e innovación, permitiendo celebrar cualquier tipología contractual prevista en nuestro ordenamiento jurídico y el Estatuto General de Contratación (Ley 80/1993 y Ley 1150/2007) tales como suministro, compraventa, arrendamiento o prestaciones de servicios, o si, por el contrario, debe limitarse a las formas contractuales especiales previstas en los Decretos-ley 393 y 591 de 1991 (convenios especiales de cooperación, contratos de financiamiento o contratos de administración de proyectos)[…]</w:t>
      </w:r>
      <w:r w:rsidRPr="0095188E">
        <w:rPr>
          <w:rFonts w:ascii="Verdana" w:eastAsia="Century Gothic" w:hAnsi="Verdana" w:cs="Century Gothic"/>
          <w:color w:val="000000" w:themeColor="text1"/>
          <w:sz w:val="20"/>
          <w:szCs w:val="20"/>
        </w:rPr>
        <w:t>”.</w:t>
      </w:r>
    </w:p>
    <w:p w14:paraId="3381D06F" w14:textId="77777777" w:rsidR="00D75510" w:rsidRPr="00B26706" w:rsidRDefault="00D75510" w:rsidP="00D75510">
      <w:pPr>
        <w:spacing w:before="120" w:after="120" w:line="276" w:lineRule="auto"/>
        <w:ind w:firstLine="709"/>
        <w:jc w:val="both"/>
        <w:rPr>
          <w:rFonts w:ascii="Verdana" w:eastAsia="Calibri" w:hAnsi="Verdana" w:cs="Arial"/>
          <w:color w:val="000000"/>
          <w:lang w:val="es-ES_tradnl" w:eastAsia="es-ES_tradnl"/>
        </w:rPr>
      </w:pPr>
      <w:r w:rsidRPr="00B26706">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26706">
        <w:rPr>
          <w:rFonts w:ascii="Verdana" w:eastAsia="Calibri" w:hAnsi="Verdana" w:cs="Arial"/>
          <w:color w:val="000000"/>
          <w:lang w:val="es-ES_tradnl" w:eastAsia="es-ES_tradnl"/>
        </w:rPr>
        <w:tab/>
      </w:r>
    </w:p>
    <w:p w14:paraId="162611B6" w14:textId="77777777" w:rsidR="00D75510" w:rsidRPr="00B26706" w:rsidRDefault="00D75510" w:rsidP="00D75510">
      <w:pPr>
        <w:spacing w:line="276" w:lineRule="auto"/>
        <w:ind w:firstLine="709"/>
        <w:jc w:val="both"/>
        <w:rPr>
          <w:rFonts w:ascii="Verdana" w:eastAsia="Calibri" w:hAnsi="Verdana" w:cs="Arial"/>
          <w:color w:val="000000"/>
          <w:lang w:val="es-ES" w:eastAsia="es-ES"/>
        </w:rPr>
      </w:pPr>
      <w:r w:rsidRPr="00B26706">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B26706">
        <w:rPr>
          <w:rFonts w:ascii="Verdana" w:eastAsia="Calibri" w:hAnsi="Verdana" w:cs="Arial"/>
          <w:color w:val="7030A0"/>
          <w:lang w:val="es-ES" w:eastAsia="es-ES"/>
        </w:rPr>
        <w:t xml:space="preserve"> </w:t>
      </w:r>
      <w:r w:rsidRPr="00B26706">
        <w:rPr>
          <w:rFonts w:ascii="Verdana" w:eastAsia="Calibri" w:hAnsi="Verdana" w:cs="Arial"/>
          <w:color w:val="000000"/>
          <w:lang w:val="es-ES" w:eastAsia="es-ES"/>
        </w:rPr>
        <w:t>jurídico</w:t>
      </w:r>
      <w:r w:rsidRPr="00B26706">
        <w:rPr>
          <w:rFonts w:ascii="Verdana" w:eastAsia="Calibri" w:hAnsi="Verdana" w:cs="Arial"/>
          <w:color w:val="7030A0"/>
          <w:lang w:val="es-ES" w:eastAsia="es-ES"/>
        </w:rPr>
        <w:t xml:space="preserve"> </w:t>
      </w:r>
      <w:r w:rsidRPr="00B26706">
        <w:rPr>
          <w:rFonts w:ascii="Verdana" w:eastAsia="Calibri" w:hAnsi="Verdana" w:cs="Arial"/>
          <w:color w:val="000000"/>
          <w:lang w:val="es-ES" w:eastAsia="es-ES"/>
        </w:rPr>
        <w:t xml:space="preserve">de su consulta. </w:t>
      </w:r>
    </w:p>
    <w:p w14:paraId="4D822F5C" w14:textId="77777777" w:rsidR="00D75510" w:rsidRPr="00B26706" w:rsidRDefault="00D75510" w:rsidP="00D7551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B26706">
        <w:rPr>
          <w:rFonts w:ascii="Verdana" w:eastAsia="Century Gothic" w:hAnsi="Verdana" w:cs="Century Gothic"/>
          <w:b/>
          <w:bCs/>
        </w:rPr>
        <w:t>Problema planteado:</w:t>
      </w:r>
    </w:p>
    <w:p w14:paraId="165FB7C3" w14:textId="77777777" w:rsidR="00D75510" w:rsidRPr="00B26706" w:rsidRDefault="00D75510" w:rsidP="00D75510">
      <w:pPr>
        <w:spacing w:after="0" w:line="276" w:lineRule="auto"/>
        <w:jc w:val="both"/>
        <w:rPr>
          <w:rFonts w:ascii="Verdana" w:eastAsia="Century Gothic" w:hAnsi="Verdana" w:cs="Century Gothic"/>
          <w:lang w:val="es-ES"/>
        </w:rPr>
      </w:pPr>
    </w:p>
    <w:p w14:paraId="7119776C" w14:textId="35F95249" w:rsidR="00D75510" w:rsidRPr="00B26706" w:rsidRDefault="00D75510" w:rsidP="00D75510">
      <w:pPr>
        <w:spacing w:line="276" w:lineRule="auto"/>
        <w:jc w:val="both"/>
        <w:rPr>
          <w:rFonts w:ascii="Verdana" w:eastAsia="Century Gothic" w:hAnsi="Verdana" w:cs="Century Gothic"/>
          <w:color w:val="7030A0"/>
        </w:rPr>
      </w:pPr>
      <w:r w:rsidRPr="00B26706">
        <w:rPr>
          <w:rFonts w:ascii="Verdana" w:eastAsia="Century Gothic" w:hAnsi="Verdana" w:cs="Century Gothic"/>
        </w:rPr>
        <w:t xml:space="preserve">De acuerdo con el contenido de su solicitud, esta Agencia resolverá el siguiente problema jurídico: </w:t>
      </w:r>
      <w:r>
        <w:rPr>
          <w:rFonts w:ascii="Verdana" w:eastAsia="Century Gothic" w:hAnsi="Verdana" w:cs="Century Gothic"/>
        </w:rPr>
        <w:t xml:space="preserve">En el marco de lo establecido en el artículo décimo del </w:t>
      </w:r>
      <w:r w:rsidRPr="00D200F9">
        <w:rPr>
          <w:rFonts w:ascii="Verdana" w:hAnsi="Verdana" w:cs="Arial"/>
          <w:lang w:eastAsia="es-ES_tradnl"/>
        </w:rPr>
        <w:t>Decreto-Ley</w:t>
      </w:r>
      <w:r>
        <w:rPr>
          <w:rFonts w:ascii="Verdana" w:hAnsi="Verdana" w:cs="Arial"/>
          <w:lang w:eastAsia="es-ES_tradnl"/>
        </w:rPr>
        <w:t xml:space="preserve"> </w:t>
      </w:r>
      <w:r w:rsidRPr="00B54E85">
        <w:rPr>
          <w:rFonts w:ascii="Verdana" w:hAnsi="Verdana" w:cs="Arial"/>
          <w:lang w:eastAsia="es-ES_tradnl"/>
        </w:rPr>
        <w:t xml:space="preserve">4109 de 2011 </w:t>
      </w:r>
      <w:r w:rsidRPr="00B26706">
        <w:rPr>
          <w:rFonts w:ascii="Verdana" w:eastAsia="Century Gothic" w:hAnsi="Verdana" w:cs="Century Gothic"/>
        </w:rPr>
        <w:t>¿</w:t>
      </w:r>
      <w:r w:rsidR="0043258B">
        <w:rPr>
          <w:rFonts w:ascii="Verdana" w:eastAsia="Century Gothic" w:hAnsi="Verdana" w:cs="Century Gothic"/>
        </w:rPr>
        <w:t>p</w:t>
      </w:r>
      <w:r>
        <w:rPr>
          <w:rFonts w:ascii="Verdana" w:eastAsia="Century Gothic" w:hAnsi="Verdana" w:cs="Century Gothic"/>
        </w:rPr>
        <w:t>uede el INS adoptar tipologías distintas a las establecidas en la normativa que rige la contratación de actividades científicas y tecnológicas</w:t>
      </w:r>
      <w:r w:rsidRPr="00B26706">
        <w:rPr>
          <w:rFonts w:ascii="Verdana" w:eastAsia="Century Gothic" w:hAnsi="Verdana" w:cs="Century Gothic"/>
        </w:rPr>
        <w:t>?</w:t>
      </w:r>
    </w:p>
    <w:p w14:paraId="7907644A" w14:textId="77777777" w:rsidR="00D75510" w:rsidRPr="00B26706" w:rsidRDefault="00D75510" w:rsidP="00D755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Respuesta:</w:t>
      </w:r>
    </w:p>
    <w:p w14:paraId="2B9F670A" w14:textId="77777777" w:rsidR="00D75510" w:rsidRPr="00B26706" w:rsidRDefault="00D75510" w:rsidP="00D7551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75510" w:rsidRPr="00B26706" w14:paraId="6C920C81" w14:textId="77777777" w:rsidTr="00C733E6">
        <w:tc>
          <w:tcPr>
            <w:tcW w:w="8828" w:type="dxa"/>
          </w:tcPr>
          <w:p w14:paraId="1D40C3BA" w14:textId="11CEF7B0" w:rsidR="00D75510" w:rsidRDefault="00D75510" w:rsidP="00AD1CEB">
            <w:pPr>
              <w:shd w:val="clear" w:color="auto" w:fill="FFFFFF" w:themeFill="background1"/>
              <w:spacing w:before="120" w:after="120" w:line="276" w:lineRule="auto"/>
              <w:jc w:val="both"/>
              <w:rPr>
                <w:rFonts w:ascii="Verdana" w:eastAsia="Times New Roman" w:hAnsi="Verdana" w:cs="Arial"/>
                <w:lang w:eastAsia="es-ES"/>
              </w:rPr>
            </w:pPr>
            <w:r w:rsidRPr="25257AD2">
              <w:rPr>
                <w:rFonts w:ascii="Verdana" w:hAnsi="Verdana" w:cs="Arial"/>
                <w:lang w:eastAsia="es-ES"/>
              </w:rPr>
              <w:t xml:space="preserve">El artículo décimo del Decreto-Ley 4109 de 2011 estableció que “los actos que expida, los contratos que celebre el Instituto Nacional de Salud, así como su régimen laboral, estarán sujetos al régimen aplicable al Sistema de Ciencia, Tecnología e Innovación”. Según lo expuesto en este concepto, la contratación que adelante el INS </w:t>
            </w:r>
            <w:r w:rsidRPr="00D200F9">
              <w:rPr>
                <w:rFonts w:ascii="Verdana" w:eastAsia="Century Gothic" w:hAnsi="Verdana" w:cs="Century Gothic"/>
                <w:color w:val="000000" w:themeColor="text1"/>
              </w:rPr>
              <w:t>para el desarrollo de sus proyectos y actividades de investigación científica y tecnológica</w:t>
            </w:r>
            <w:r w:rsidRPr="00D200F9">
              <w:rPr>
                <w:rFonts w:ascii="Verdana" w:eastAsia="Century Gothic" w:hAnsi="Verdana" w:cs="Century Gothic"/>
                <w:i/>
                <w:iCs/>
                <w:color w:val="000000" w:themeColor="text1"/>
              </w:rPr>
              <w:t xml:space="preserve"> </w:t>
            </w:r>
            <w:r w:rsidRPr="25257AD2">
              <w:rPr>
                <w:rFonts w:ascii="Verdana" w:hAnsi="Verdana" w:cs="Arial"/>
                <w:lang w:eastAsia="es-ES"/>
              </w:rPr>
              <w:t xml:space="preserve">se rige por lo dispuesto en </w:t>
            </w:r>
            <w:r w:rsidRPr="25257AD2">
              <w:rPr>
                <w:rFonts w:ascii="Verdana" w:eastAsia="Times New Roman" w:hAnsi="Verdana" w:cs="Arial"/>
                <w:lang w:eastAsia="es-ES"/>
              </w:rPr>
              <w:t xml:space="preserve">el Decreto Ley 393 de 1991, el Decreto Ley 591 de 1991, la Ley 1286 de 2009 y el Documento CONPES 3582 de 2009. </w:t>
            </w:r>
          </w:p>
          <w:p w14:paraId="58A168EC" w14:textId="77777777" w:rsidR="00D75510" w:rsidRDefault="00D75510" w:rsidP="00C733E6">
            <w:pPr>
              <w:shd w:val="clear" w:color="auto" w:fill="FFFFFF"/>
              <w:spacing w:after="120" w:line="276" w:lineRule="auto"/>
              <w:ind w:firstLine="708"/>
              <w:jc w:val="both"/>
              <w:rPr>
                <w:rFonts w:ascii="Verdana" w:hAnsi="Verdana" w:cs="Arial"/>
                <w:lang w:eastAsia="es-ES_tradnl"/>
              </w:rPr>
            </w:pPr>
            <w:r>
              <w:rPr>
                <w:rFonts w:ascii="Verdana" w:eastAsia="Times New Roman" w:hAnsi="Verdana" w:cs="Arial"/>
                <w:lang w:eastAsia="es-ES_tradnl"/>
              </w:rPr>
              <w:lastRenderedPageBreak/>
              <w:t xml:space="preserve">Sin embargo, para lo anterior, el INS deberá considerar el ámbito material de aplicación de dicha normativa. Por un lado, </w:t>
            </w:r>
            <w:r w:rsidRPr="00883642">
              <w:rPr>
                <w:rFonts w:ascii="Verdana" w:eastAsia="Times New Roman" w:hAnsi="Verdana" w:cs="Arial"/>
                <w:lang w:eastAsia="es-ES_tradnl"/>
              </w:rPr>
              <w:t xml:space="preserve">el Decreto Ley 393 de 1991 señala expresamente que las entidades </w:t>
            </w:r>
            <w:r w:rsidRPr="00FF528A">
              <w:rPr>
                <w:rFonts w:ascii="Verdana" w:eastAsia="Times New Roman" w:hAnsi="Verdana" w:cs="Arial"/>
                <w:lang w:eastAsia="es-ES_tradnl"/>
              </w:rPr>
              <w:t>podrán</w:t>
            </w:r>
            <w:r w:rsidRPr="00883642">
              <w:rPr>
                <w:rFonts w:ascii="Verdana" w:eastAsia="Times New Roman" w:hAnsi="Verdana" w:cs="Arial"/>
                <w:lang w:eastAsia="es-ES_tradnl"/>
              </w:rPr>
              <w:t xml:space="preserve"> asociarse con particulares mediante las tipologías allí señaladas para “adelantar actividades científicas y tecnológicas proyectos de investigación y creación de tecnologías”; por su parte, el Decreto Ley 591 de 1991 señala tipologías específicas de contratos para el fomento de actividades científicas y tecnológicas, las cuales enlista en el artículo segundo. </w:t>
            </w:r>
            <w:r>
              <w:rPr>
                <w:rFonts w:ascii="Verdana" w:eastAsia="Times New Roman" w:hAnsi="Verdana" w:cs="Arial"/>
                <w:lang w:eastAsia="es-ES_tradnl"/>
              </w:rPr>
              <w:t xml:space="preserve">De esta manera, cuando el INS contrate </w:t>
            </w:r>
            <w:r w:rsidRPr="00B26706">
              <w:rPr>
                <w:rFonts w:ascii="Verdana" w:hAnsi="Verdana" w:cs="Arial"/>
                <w:lang w:eastAsia="es-ES_tradnl"/>
              </w:rPr>
              <w:t>el fomento de las actividades de ciencia, tecnología e innovación</w:t>
            </w:r>
            <w:r>
              <w:rPr>
                <w:rFonts w:ascii="Verdana" w:hAnsi="Verdana" w:cs="Arial"/>
                <w:lang w:eastAsia="es-ES_tradnl"/>
              </w:rPr>
              <w:t xml:space="preserve">, en los términos descritos en dicho marco jurídico, </w:t>
            </w:r>
            <w:r w:rsidRPr="008D41CD">
              <w:rPr>
                <w:rFonts w:ascii="Verdana" w:hAnsi="Verdana" w:cs="Arial"/>
                <w:i/>
                <w:iCs/>
                <w:u w:val="single"/>
                <w:lang w:eastAsia="es-ES_tradnl"/>
              </w:rPr>
              <w:t xml:space="preserve">podrá </w:t>
            </w:r>
            <w:r>
              <w:rPr>
                <w:rFonts w:ascii="Verdana" w:hAnsi="Verdana" w:cs="Arial"/>
                <w:lang w:eastAsia="es-ES_tradnl"/>
              </w:rPr>
              <w:t>emplear las siguientes tipologías contractuales:</w:t>
            </w:r>
          </w:p>
          <w:p w14:paraId="434301F9" w14:textId="69FC4829" w:rsidR="00D75510" w:rsidRDefault="00D75510" w:rsidP="00C733E6">
            <w:pPr>
              <w:shd w:val="clear" w:color="auto" w:fill="FFFFFF"/>
              <w:spacing w:line="276" w:lineRule="auto"/>
              <w:ind w:firstLine="708"/>
              <w:jc w:val="both"/>
              <w:rPr>
                <w:rFonts w:ascii="Verdana" w:hAnsi="Verdana" w:cs="Arial"/>
                <w:lang w:eastAsia="es-ES_tradnl"/>
              </w:rPr>
            </w:pPr>
            <w:r w:rsidRPr="00B26706">
              <w:rPr>
                <w:rFonts w:ascii="Verdana" w:hAnsi="Verdana" w:cs="Arial"/>
                <w:lang w:eastAsia="es-ES_tradnl"/>
              </w:rPr>
              <w:t>(</w:t>
            </w:r>
            <w:r>
              <w:rPr>
                <w:rFonts w:ascii="Verdana" w:hAnsi="Verdana" w:cs="Arial"/>
                <w:lang w:eastAsia="es-ES_tradnl"/>
              </w:rPr>
              <w:t>1</w:t>
            </w:r>
            <w:r w:rsidRPr="00B26706">
              <w:rPr>
                <w:rFonts w:ascii="Verdana" w:hAnsi="Verdana" w:cs="Arial"/>
                <w:lang w:eastAsia="es-ES_tradnl"/>
              </w:rPr>
              <w:t xml:space="preserve">) </w:t>
            </w:r>
            <w:r w:rsidR="00A37D1E">
              <w:rPr>
                <w:rFonts w:ascii="Verdana" w:hAnsi="Verdana" w:cs="Arial"/>
                <w:lang w:eastAsia="es-ES_tradnl"/>
              </w:rPr>
              <w:t>L</w:t>
            </w:r>
            <w:r w:rsidRPr="00B26706">
              <w:rPr>
                <w:rFonts w:ascii="Verdana" w:hAnsi="Verdana" w:cs="Arial"/>
                <w:lang w:eastAsia="es-ES_tradnl"/>
              </w:rPr>
              <w:t xml:space="preserve">as asociaciones dirigidas a crear sociedades civiles y comerciales, y personas jurídicas sin ánimo de lucro como fundaciones y corporaciones; </w:t>
            </w:r>
          </w:p>
          <w:p w14:paraId="7CAF77EF" w14:textId="76780401" w:rsidR="00D75510" w:rsidRDefault="00D75510" w:rsidP="00C733E6">
            <w:pPr>
              <w:shd w:val="clear" w:color="auto" w:fill="FFFFFF"/>
              <w:spacing w:line="276" w:lineRule="auto"/>
              <w:ind w:firstLine="708"/>
              <w:jc w:val="both"/>
              <w:rPr>
                <w:rFonts w:ascii="Verdana" w:hAnsi="Verdana" w:cs="Arial"/>
                <w:lang w:eastAsia="es-ES_tradnl"/>
              </w:rPr>
            </w:pPr>
            <w:r w:rsidRPr="00B26706">
              <w:rPr>
                <w:rFonts w:ascii="Verdana" w:hAnsi="Verdana" w:cs="Arial"/>
                <w:lang w:eastAsia="es-ES_tradnl"/>
              </w:rPr>
              <w:t>(</w:t>
            </w:r>
            <w:r>
              <w:rPr>
                <w:rFonts w:ascii="Verdana" w:hAnsi="Verdana" w:cs="Arial"/>
                <w:lang w:eastAsia="es-ES_tradnl"/>
              </w:rPr>
              <w:t>2</w:t>
            </w:r>
            <w:r w:rsidRPr="00B26706">
              <w:rPr>
                <w:rFonts w:ascii="Verdana" w:hAnsi="Verdana" w:cs="Arial"/>
                <w:lang w:eastAsia="es-ES_tradnl"/>
              </w:rPr>
              <w:t xml:space="preserve">) </w:t>
            </w:r>
            <w:r w:rsidR="00A37D1E">
              <w:rPr>
                <w:rFonts w:ascii="Verdana" w:hAnsi="Verdana" w:cs="Arial"/>
                <w:lang w:eastAsia="es-ES_tradnl"/>
              </w:rPr>
              <w:t>L</w:t>
            </w:r>
            <w:r w:rsidRPr="00B26706">
              <w:rPr>
                <w:rFonts w:ascii="Verdana" w:hAnsi="Verdana" w:cs="Arial"/>
                <w:lang w:eastAsia="es-ES_tradnl"/>
              </w:rPr>
              <w:t xml:space="preserve">os convenios especiales de cooperación; </w:t>
            </w:r>
          </w:p>
          <w:p w14:paraId="7298FACA" w14:textId="7C8EAC13" w:rsidR="00D75510" w:rsidRDefault="00D75510" w:rsidP="00C733E6">
            <w:pPr>
              <w:shd w:val="clear" w:color="auto" w:fill="FFFFFF"/>
              <w:spacing w:line="276" w:lineRule="auto"/>
              <w:ind w:firstLine="708"/>
              <w:jc w:val="both"/>
              <w:rPr>
                <w:rFonts w:ascii="Verdana" w:hAnsi="Verdana" w:cs="Arial"/>
                <w:lang w:eastAsia="es-ES_tradnl"/>
              </w:rPr>
            </w:pPr>
            <w:r w:rsidRPr="00B26706">
              <w:rPr>
                <w:rFonts w:ascii="Verdana" w:hAnsi="Verdana" w:cs="Arial"/>
                <w:lang w:eastAsia="es-ES_tradnl"/>
              </w:rPr>
              <w:t>(</w:t>
            </w:r>
            <w:r>
              <w:rPr>
                <w:rFonts w:ascii="Verdana" w:hAnsi="Verdana" w:cs="Arial"/>
                <w:lang w:eastAsia="es-ES_tradnl"/>
              </w:rPr>
              <w:t>3</w:t>
            </w:r>
            <w:r w:rsidRPr="00B26706">
              <w:rPr>
                <w:rFonts w:ascii="Verdana" w:hAnsi="Verdana" w:cs="Arial"/>
                <w:lang w:eastAsia="es-ES_tradnl"/>
              </w:rPr>
              <w:t xml:space="preserve">) </w:t>
            </w:r>
            <w:r w:rsidR="00A37D1E">
              <w:rPr>
                <w:rFonts w:ascii="Verdana" w:hAnsi="Verdana" w:cs="Arial"/>
                <w:lang w:eastAsia="es-ES_tradnl"/>
              </w:rPr>
              <w:t>L</w:t>
            </w:r>
            <w:r w:rsidRPr="00B26706">
              <w:rPr>
                <w:rFonts w:ascii="Verdana" w:hAnsi="Verdana" w:cs="Arial"/>
                <w:lang w:eastAsia="es-ES_tradnl"/>
              </w:rPr>
              <w:t xml:space="preserve">os contratos de financiamiento y </w:t>
            </w:r>
          </w:p>
          <w:p w14:paraId="71DA1808" w14:textId="3CED56DE" w:rsidR="00D75510" w:rsidRDefault="00D75510" w:rsidP="00C733E6">
            <w:pPr>
              <w:shd w:val="clear" w:color="auto" w:fill="FFFFFF"/>
              <w:spacing w:line="276" w:lineRule="auto"/>
              <w:ind w:firstLine="708"/>
              <w:jc w:val="both"/>
              <w:rPr>
                <w:rFonts w:ascii="Verdana" w:hAnsi="Verdana" w:cs="Arial"/>
                <w:lang w:eastAsia="es-ES_tradnl"/>
              </w:rPr>
            </w:pPr>
            <w:r w:rsidRPr="00B26706">
              <w:rPr>
                <w:rFonts w:ascii="Verdana" w:hAnsi="Verdana" w:cs="Arial"/>
                <w:lang w:eastAsia="es-ES_tradnl"/>
              </w:rPr>
              <w:t>(</w:t>
            </w:r>
            <w:r>
              <w:rPr>
                <w:rFonts w:ascii="Verdana" w:hAnsi="Verdana" w:cs="Arial"/>
                <w:lang w:eastAsia="es-ES_tradnl"/>
              </w:rPr>
              <w:t>4</w:t>
            </w:r>
            <w:r w:rsidRPr="00B26706">
              <w:rPr>
                <w:rFonts w:ascii="Verdana" w:hAnsi="Verdana" w:cs="Arial"/>
                <w:lang w:eastAsia="es-ES_tradnl"/>
              </w:rPr>
              <w:t xml:space="preserve">) </w:t>
            </w:r>
            <w:r w:rsidR="00A37D1E">
              <w:rPr>
                <w:rFonts w:ascii="Verdana" w:hAnsi="Verdana" w:cs="Arial"/>
                <w:lang w:eastAsia="es-ES_tradnl"/>
              </w:rPr>
              <w:t>L</w:t>
            </w:r>
            <w:r w:rsidRPr="00B26706">
              <w:rPr>
                <w:rFonts w:ascii="Verdana" w:hAnsi="Verdana" w:cs="Arial"/>
                <w:lang w:eastAsia="es-ES_tradnl"/>
              </w:rPr>
              <w:t xml:space="preserve">os contratos de administración de proyectos. </w:t>
            </w:r>
          </w:p>
          <w:p w14:paraId="56D8E676" w14:textId="77777777" w:rsidR="00D75510" w:rsidRDefault="00D75510" w:rsidP="00C733E6">
            <w:pPr>
              <w:shd w:val="clear" w:color="auto" w:fill="FFFFFF"/>
              <w:spacing w:before="120" w:line="276" w:lineRule="auto"/>
              <w:ind w:firstLine="708"/>
              <w:jc w:val="both"/>
              <w:rPr>
                <w:rFonts w:ascii="Verdana" w:eastAsia="Times New Roman" w:hAnsi="Verdana" w:cs="Arial"/>
                <w:lang w:eastAsia="es-ES_tradnl"/>
              </w:rPr>
            </w:pPr>
            <w:r>
              <w:rPr>
                <w:rFonts w:ascii="Verdana" w:hAnsi="Verdana" w:cs="Arial"/>
                <w:lang w:eastAsia="es-ES_tradnl"/>
              </w:rPr>
              <w:t xml:space="preserve">Adicionalmente, es necesario resaltar que el mismo marco jurídico referido en los </w:t>
            </w:r>
            <w:r w:rsidRPr="007048DE">
              <w:rPr>
                <w:rFonts w:ascii="Verdana" w:eastAsia="Times New Roman" w:hAnsi="Verdana" w:cs="Arial"/>
                <w:lang w:eastAsia="es-ES_tradnl"/>
              </w:rPr>
              <w:t>Decretos Ley 393 y 591 de 1991</w:t>
            </w:r>
            <w:r>
              <w:rPr>
                <w:rFonts w:ascii="Verdana" w:eastAsia="Times New Roman" w:hAnsi="Verdana" w:cs="Arial"/>
                <w:lang w:eastAsia="es-ES_tradnl"/>
              </w:rPr>
              <w:t xml:space="preserve"> señala que la implementación de estas tipologías jurídicas es </w:t>
            </w:r>
            <w:r w:rsidRPr="008D41CD">
              <w:rPr>
                <w:rFonts w:ascii="Verdana" w:eastAsia="Times New Roman" w:hAnsi="Verdana" w:cs="Arial"/>
                <w:i/>
                <w:iCs/>
                <w:u w:val="single"/>
                <w:lang w:eastAsia="es-ES_tradnl"/>
              </w:rPr>
              <w:t>facultativa</w:t>
            </w:r>
            <w:r>
              <w:rPr>
                <w:rFonts w:ascii="Verdana" w:eastAsia="Times New Roman" w:hAnsi="Verdana" w:cs="Arial"/>
                <w:lang w:eastAsia="es-ES_tradnl"/>
              </w:rPr>
              <w:t xml:space="preserve"> por parte de las entidades. De este modo, el INS podrá convenir libremente otro tipo de tipologías contractuales a </w:t>
            </w:r>
            <w:proofErr w:type="gramStart"/>
            <w:r>
              <w:rPr>
                <w:rFonts w:ascii="Verdana" w:eastAsia="Times New Roman" w:hAnsi="Verdana" w:cs="Arial"/>
                <w:lang w:eastAsia="es-ES_tradnl"/>
              </w:rPr>
              <w:t>las  reguladas</w:t>
            </w:r>
            <w:proofErr w:type="gramEnd"/>
            <w:r>
              <w:rPr>
                <w:rFonts w:ascii="Verdana" w:eastAsia="Times New Roman" w:hAnsi="Verdana" w:cs="Arial"/>
                <w:lang w:eastAsia="es-ES_tradnl"/>
              </w:rPr>
              <w:t xml:space="preserve"> en dicha normativa, en ejercicio de la autonomía de la voluntad, pues de esta manera lo previo expresamente el régimen jurídico para la contratación de actividades para el fomento científico y tecnológico al cual remite el artículo 10 del </w:t>
            </w:r>
            <w:r w:rsidRPr="00B54E85">
              <w:rPr>
                <w:rFonts w:ascii="Verdana" w:hAnsi="Verdana" w:cs="Arial"/>
                <w:lang w:eastAsia="es-ES_tradnl"/>
              </w:rPr>
              <w:t>Decreto-Ley 4109 de 2011</w:t>
            </w:r>
            <w:r>
              <w:rPr>
                <w:rFonts w:ascii="Verdana" w:eastAsia="Times New Roman" w:hAnsi="Verdana" w:cs="Arial"/>
                <w:lang w:eastAsia="es-ES_tradnl"/>
              </w:rPr>
              <w:t xml:space="preserve">. </w:t>
            </w:r>
          </w:p>
          <w:p w14:paraId="5A0E2AF0" w14:textId="77777777" w:rsidR="00D75510" w:rsidRPr="00B26706" w:rsidRDefault="00D75510" w:rsidP="00C733E6">
            <w:pPr>
              <w:shd w:val="clear" w:color="auto" w:fill="FFFFFF"/>
              <w:spacing w:before="120" w:line="276" w:lineRule="auto"/>
              <w:ind w:firstLine="708"/>
              <w:jc w:val="both"/>
              <w:rPr>
                <w:rFonts w:ascii="Verdana" w:hAnsi="Verdana" w:cs="Arial"/>
                <w:lang w:eastAsia="es-ES_tradnl"/>
              </w:rPr>
            </w:pPr>
            <w:r>
              <w:rPr>
                <w:rFonts w:ascii="Verdana" w:hAnsi="Verdana" w:cs="Arial"/>
                <w:lang w:eastAsia="es-ES_tradnl"/>
              </w:rPr>
              <w:t>L</w:t>
            </w:r>
            <w:r w:rsidRPr="00B26706">
              <w:rPr>
                <w:rFonts w:ascii="Verdana" w:hAnsi="Verdana" w:cs="Arial"/>
                <w:lang w:eastAsia="es-ES_tradnl"/>
              </w:rPr>
              <w:t>o anterior no implica que las Entidades Estatales que contraten el desarrollo de actividades científicas y tecnológicas mediante tipologías distintas a las señaladas en el Decreto Ley 591 y el Decreto Ley 393 de 1991 puedan contratar</w:t>
            </w:r>
            <w:r>
              <w:rPr>
                <w:rFonts w:ascii="Verdana" w:hAnsi="Verdana" w:cs="Arial"/>
                <w:lang w:eastAsia="es-ES_tradnl"/>
              </w:rPr>
              <w:t xml:space="preserve"> directamente</w:t>
            </w:r>
            <w:r w:rsidRPr="00B26706">
              <w:rPr>
                <w:rFonts w:ascii="Verdana" w:hAnsi="Verdana" w:cs="Arial"/>
                <w:lang w:eastAsia="es-ES_tradnl"/>
              </w:rPr>
              <w:t xml:space="preserve"> objetos que no constituyan realmente el desarrollo de dichas actividades. </w:t>
            </w:r>
          </w:p>
        </w:tc>
      </w:tr>
    </w:tbl>
    <w:p w14:paraId="39F6B078" w14:textId="77777777" w:rsidR="00D75510" w:rsidRPr="00B26706" w:rsidRDefault="00D75510" w:rsidP="00D75510">
      <w:pPr>
        <w:tabs>
          <w:tab w:val="left" w:pos="142"/>
          <w:tab w:val="left" w:pos="284"/>
        </w:tabs>
        <w:spacing w:line="276" w:lineRule="auto"/>
        <w:jc w:val="both"/>
        <w:rPr>
          <w:rFonts w:ascii="Verdana" w:eastAsia="Century Gothic" w:hAnsi="Verdana" w:cs="Century Gothic"/>
          <w:b/>
          <w:bCs/>
          <w:lang w:val="es-ES"/>
        </w:rPr>
      </w:pPr>
    </w:p>
    <w:p w14:paraId="47DCABF5" w14:textId="77777777" w:rsidR="00D75510" w:rsidRPr="00B26706" w:rsidRDefault="00D75510" w:rsidP="00D755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Razones de la respuesta:</w:t>
      </w:r>
    </w:p>
    <w:p w14:paraId="77BDB0F7" w14:textId="77777777" w:rsidR="00D75510" w:rsidRPr="00B26706" w:rsidRDefault="00D75510" w:rsidP="00D7551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33AE133" w14:textId="77777777" w:rsidR="00D75510" w:rsidRPr="00B26706" w:rsidRDefault="00D75510" w:rsidP="00D75510">
      <w:pPr>
        <w:spacing w:line="276" w:lineRule="auto"/>
        <w:jc w:val="both"/>
        <w:rPr>
          <w:rFonts w:ascii="Verdana" w:eastAsia="Calibri" w:hAnsi="Verdana" w:cs="Arial"/>
          <w:lang w:val="es-ES"/>
        </w:rPr>
      </w:pPr>
      <w:r w:rsidRPr="00B26706">
        <w:rPr>
          <w:rFonts w:ascii="Verdana" w:eastAsia="Calibri" w:hAnsi="Verdana" w:cs="Arial"/>
          <w:lang w:val="es-ES"/>
        </w:rPr>
        <w:t xml:space="preserve">Lo anterior se sustenta en las siguientes consideraciones: </w:t>
      </w:r>
    </w:p>
    <w:p w14:paraId="44DE49E7" w14:textId="77777777" w:rsidR="00D75510" w:rsidRPr="00B26706" w:rsidRDefault="00D75510" w:rsidP="00D75510">
      <w:pPr>
        <w:spacing w:line="276" w:lineRule="auto"/>
        <w:contextualSpacing/>
        <w:jc w:val="both"/>
        <w:rPr>
          <w:rFonts w:ascii="Verdana" w:eastAsia="Calibri" w:hAnsi="Verdana" w:cs="Arial"/>
          <w:shd w:val="clear" w:color="auto" w:fill="FFFFFF"/>
        </w:rPr>
      </w:pPr>
      <w:r w:rsidRPr="00B26706">
        <w:rPr>
          <w:rFonts w:ascii="Verdana" w:eastAsia="Calibri" w:hAnsi="Verdana" w:cs="Arial"/>
          <w:shd w:val="clear" w:color="auto" w:fill="FFFFFF"/>
        </w:rPr>
        <w:t xml:space="preserve">i) De manera inicial es conveniente realizar algunas precisiones conceptuales sobre las actividades de ciencia, tecnología e innovación. Lo primero es destacar </w:t>
      </w:r>
      <w:r w:rsidRPr="00B26706">
        <w:rPr>
          <w:rFonts w:ascii="Verdana" w:eastAsia="Calibri" w:hAnsi="Verdana" w:cs="Arial"/>
          <w:shd w:val="clear" w:color="auto" w:fill="FFFFFF"/>
        </w:rPr>
        <w:lastRenderedPageBreak/>
        <w:t>que antes de la Constitución Política de 1991 ya existía un marco legislativo que regulaba la especial naturaleza de las materias relacionadas con la ciencia y tecnología. En particular, la Ley 29 de 1990 “por la cual se dictan disposiciones para el fomento de la investigación científica y el desarrollo tecnológico y se otorgan facultades extraordinarias”, estableció en el artículo 1° que:</w:t>
      </w:r>
    </w:p>
    <w:p w14:paraId="1EC5FDBC" w14:textId="77777777" w:rsidR="00D75510" w:rsidRPr="00B26706" w:rsidRDefault="00D75510" w:rsidP="00D75510">
      <w:pPr>
        <w:ind w:left="709" w:right="709"/>
        <w:contextualSpacing/>
        <w:jc w:val="both"/>
        <w:rPr>
          <w:rFonts w:ascii="Verdana" w:eastAsia="Calibri" w:hAnsi="Verdana" w:cs="Arial"/>
          <w:sz w:val="21"/>
          <w:szCs w:val="21"/>
          <w:shd w:val="clear" w:color="auto" w:fill="FFFFFF"/>
        </w:rPr>
      </w:pPr>
    </w:p>
    <w:p w14:paraId="2CA3CE78" w14:textId="77777777" w:rsidR="00D75510" w:rsidRPr="00B26706" w:rsidRDefault="00D75510" w:rsidP="00D75510">
      <w:pPr>
        <w:ind w:left="709" w:right="709"/>
        <w:contextualSpacing/>
        <w:jc w:val="both"/>
        <w:rPr>
          <w:rFonts w:ascii="Verdana" w:eastAsia="Calibri" w:hAnsi="Verdana" w:cs="Arial"/>
          <w:sz w:val="21"/>
          <w:szCs w:val="21"/>
          <w:shd w:val="clear" w:color="auto" w:fill="FFFFFF"/>
        </w:rPr>
      </w:pPr>
      <w:r w:rsidRPr="00B26706">
        <w:rPr>
          <w:rFonts w:ascii="Verdana" w:eastAsia="Calibri" w:hAnsi="Verdana" w:cs="Arial"/>
          <w:sz w:val="21"/>
          <w:szCs w:val="21"/>
          <w:shd w:val="clear" w:color="auto" w:fill="FFFFFF"/>
        </w:rPr>
        <w:t>“corresponde al Estado promover y orientar el adelanto científico y tecnológico y, por lo mismo, está obligado a incorporar la ciencia y tecnología a los planes y programas de desarrollo económico y social del país y a formular planes de ciencia y tecnología tanto para el mediano como para el largo plazo. Así mismo, deberá establecer los mecanismos de relación entre sus actividades de desarrollo científico y tecnológico y las que, en los mismos campos, adelanten la universidad, la comunidad científica y el sector privado colombianos”.</w:t>
      </w:r>
    </w:p>
    <w:p w14:paraId="23349BC6" w14:textId="77777777" w:rsidR="00D75510" w:rsidRPr="00B26706" w:rsidRDefault="00D75510" w:rsidP="00D75510">
      <w:pPr>
        <w:ind w:left="709" w:right="709"/>
        <w:contextualSpacing/>
        <w:jc w:val="both"/>
        <w:rPr>
          <w:rFonts w:ascii="Verdana" w:eastAsia="Calibri" w:hAnsi="Verdana" w:cs="Arial"/>
          <w:sz w:val="21"/>
          <w:szCs w:val="21"/>
          <w:shd w:val="clear" w:color="auto" w:fill="FFFFFF"/>
        </w:rPr>
      </w:pPr>
    </w:p>
    <w:p w14:paraId="3448CE07" w14:textId="77777777" w:rsidR="00D75510" w:rsidRPr="00B26706" w:rsidRDefault="00D75510" w:rsidP="00D75510">
      <w:pPr>
        <w:spacing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De tal manera, la ley otorgó facultades extraordinarias que le permitirían al Gobierno Nacional dictar una serie de normas que debían ser acatadas por las entidades de orden nacional y aquellas entidades descentralizadas, con el fin de que pudieran asociarse con particulares para desarrollar actividades científicas y tecnológicas, avanzar en proyectos de investigación y creación de nuevas tecnologías. En un segundo plano, las normas a expedir debían regular las modalidades específicas de los contratos mediante los cuales fuera posible el fomento de actividades científicas y tecnológicas.</w:t>
      </w:r>
    </w:p>
    <w:p w14:paraId="6814A6E0" w14:textId="77777777" w:rsidR="00D75510" w:rsidRPr="00B26706" w:rsidRDefault="00D75510" w:rsidP="00D75510">
      <w:pPr>
        <w:spacing w:before="120" w:after="120" w:line="276" w:lineRule="auto"/>
        <w:ind w:firstLine="709"/>
        <w:jc w:val="both"/>
        <w:rPr>
          <w:rFonts w:ascii="Verdana" w:eastAsia="Aptos" w:hAnsi="Verdana" w:cs="Arial"/>
          <w:lang w:val="es-ES" w:eastAsia="es-MX"/>
        </w:rPr>
      </w:pPr>
      <w:r w:rsidRPr="00B26706">
        <w:rPr>
          <w:rFonts w:ascii="Verdana" w:eastAsia="Aptos" w:hAnsi="Verdana" w:cs="Arial"/>
          <w:lang w:val="es-ES" w:eastAsia="es-MX"/>
        </w:rPr>
        <w:t xml:space="preserve">En ese sentido, en ejercicio de las facultades extraordinarias otorgadas en la Ley 29 de 1990, el Gobierno Nacional expidió el Decreto 393 de 1991 “Por el cual se dictan normas sobre asociación para actividades científicas y tecnológicas, proyectos de investigación y creación de tecnologías”, y el Decreto 591 del mismo año “por el cual se regulan las modalidades específicas de contratos de fomento de actividades científicas y tecnológicas”. Ambas normas se encuentran parcialmente vigentes a la fecha y regulan de manera </w:t>
      </w:r>
      <w:proofErr w:type="gramStart"/>
      <w:r w:rsidRPr="00B26706">
        <w:rPr>
          <w:rFonts w:ascii="Verdana" w:eastAsia="Aptos" w:hAnsi="Verdana" w:cs="Arial"/>
          <w:lang w:val="es-ES" w:eastAsia="es-MX"/>
        </w:rPr>
        <w:t xml:space="preserve">sustancial  </w:t>
      </w:r>
      <w:r w:rsidRPr="00B26706">
        <w:rPr>
          <w:rFonts w:ascii="Verdana" w:eastAsia="Aptos" w:hAnsi="Verdana" w:cs="Arial"/>
          <w:i/>
          <w:iCs/>
          <w:lang w:val="es-ES" w:eastAsia="es-MX"/>
        </w:rPr>
        <w:t>tipologías</w:t>
      </w:r>
      <w:proofErr w:type="gramEnd"/>
      <w:r w:rsidRPr="00B26706">
        <w:rPr>
          <w:rFonts w:ascii="Verdana" w:eastAsia="Aptos" w:hAnsi="Verdana" w:cs="Arial"/>
          <w:i/>
          <w:iCs/>
          <w:lang w:val="es-ES" w:eastAsia="es-MX"/>
        </w:rPr>
        <w:t xml:space="preserve"> contractuales</w:t>
      </w:r>
      <w:r w:rsidRPr="00B26706">
        <w:rPr>
          <w:rFonts w:ascii="Verdana" w:eastAsia="Aptos" w:hAnsi="Verdana" w:cs="Arial"/>
          <w:lang w:val="es-ES" w:eastAsia="es-MX"/>
        </w:rPr>
        <w:t xml:space="preserve"> que pueden implementar las entidades para desarrollar dichas actividades.</w:t>
      </w:r>
    </w:p>
    <w:p w14:paraId="7B52D263" w14:textId="77777777" w:rsidR="00D75510" w:rsidRPr="00B26706" w:rsidRDefault="00D75510" w:rsidP="00D7551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En concreto, las actividades de ciencia, tecnología e innovación están previstas en cuatro (4) cuerpos normativos: </w:t>
      </w:r>
    </w:p>
    <w:p w14:paraId="335E1933" w14:textId="77777777" w:rsidR="00D75510" w:rsidRPr="00B26706" w:rsidRDefault="00D75510" w:rsidP="00D75510">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393 de 1991</w:t>
      </w:r>
      <w:r w:rsidRPr="00B26706">
        <w:rPr>
          <w:rFonts w:ascii="Verdana" w:eastAsia="Times New Roman" w:hAnsi="Verdana" w:cs="Arial"/>
          <w:lang w:eastAsia="es-ES_tradnl"/>
        </w:rPr>
        <w:t xml:space="preserve">, que se refiere a dos (2) formas de asociación para que las entidades ejecuten actividades científicas y tecnológicas, proyectos de investigación y creación de tecnologías: 1) </w:t>
      </w:r>
      <w:r w:rsidRPr="00B26706">
        <w:rPr>
          <w:rFonts w:ascii="Verdana" w:eastAsia="Times New Roman" w:hAnsi="Verdana" w:cs="Arial"/>
          <w:lang w:eastAsia="es-ES_tradnl"/>
        </w:rPr>
        <w:lastRenderedPageBreak/>
        <w:t xml:space="preserve">la creación de personas jurídicas civiles, comerciales y sin ánimo de lucro y 2) la celebración de convenios especiales de cooperación; </w:t>
      </w:r>
    </w:p>
    <w:p w14:paraId="3BF98F78" w14:textId="77777777" w:rsidR="00D75510" w:rsidRPr="00B26706" w:rsidRDefault="00D75510" w:rsidP="00D75510">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Decreto Ley 591 de 1991</w:t>
      </w:r>
      <w:r w:rsidRPr="00B26706">
        <w:rPr>
          <w:rFonts w:ascii="Verdana" w:eastAsia="Times New Roman" w:hAnsi="Verdana" w:cs="Arial"/>
          <w:lang w:eastAsia="es-ES_tradnl"/>
        </w:rPr>
        <w:t xml:space="preserve"> que enlista actividades científicas y tecnológicas y, a pesar de que su propósito principal era regular las modalidades específicas de contratos de fomento de esas actividades, con la derogatoria del artículo 7 que señalaba diez (10) tipos de contratos, actualmente se encuentran vigentes tres (3): 1) contratos de financiamiento, 2) contratos de administración de proyectos y 3) convenios especiales de cooperación; </w:t>
      </w:r>
    </w:p>
    <w:p w14:paraId="7001D58B" w14:textId="77777777" w:rsidR="00D75510" w:rsidRPr="00B26706" w:rsidRDefault="00D75510" w:rsidP="00D75510">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La </w:t>
      </w:r>
      <w:r w:rsidRPr="00B26706">
        <w:rPr>
          <w:rFonts w:ascii="Verdana" w:eastAsia="Times New Roman" w:hAnsi="Verdana" w:cs="Arial"/>
          <w:i/>
          <w:iCs/>
          <w:lang w:eastAsia="es-ES_tradnl"/>
        </w:rPr>
        <w:t>Ley 1286 de 2009</w:t>
      </w:r>
      <w:r w:rsidRPr="00B26706">
        <w:rPr>
          <w:rFonts w:ascii="Verdana" w:hAnsi="Verdana"/>
          <w:vertAlign w:val="superscript"/>
          <w:lang w:eastAsia="es-ES_tradnl"/>
        </w:rPr>
        <w:footnoteReference w:id="2"/>
      </w:r>
    </w:p>
    <w:p w14:paraId="116A255E" w14:textId="77777777" w:rsidR="00D75510" w:rsidRPr="00B26706" w:rsidRDefault="00D75510" w:rsidP="00D75510">
      <w:pPr>
        <w:pStyle w:val="Prrafodelista"/>
        <w:numPr>
          <w:ilvl w:val="0"/>
          <w:numId w:val="18"/>
        </w:numPr>
        <w:spacing w:after="120" w:line="276" w:lineRule="auto"/>
        <w:jc w:val="both"/>
        <w:rPr>
          <w:rFonts w:ascii="Verdana" w:eastAsia="Times New Roman" w:hAnsi="Verdana" w:cs="Arial"/>
          <w:lang w:eastAsia="es-ES_tradnl"/>
        </w:rPr>
      </w:pPr>
      <w:r w:rsidRPr="00B26706">
        <w:rPr>
          <w:rFonts w:ascii="Verdana" w:eastAsia="Times New Roman" w:hAnsi="Verdana" w:cs="Arial"/>
          <w:lang w:eastAsia="es-ES_tradnl"/>
        </w:rPr>
        <w:t xml:space="preserve">El </w:t>
      </w:r>
      <w:r w:rsidRPr="00B26706">
        <w:rPr>
          <w:rFonts w:ascii="Verdana" w:eastAsia="Times New Roman" w:hAnsi="Verdana" w:cs="Arial"/>
          <w:i/>
          <w:iCs/>
          <w:lang w:eastAsia="es-ES_tradnl"/>
        </w:rPr>
        <w:t>Documento CONPES 3582 de 2009</w:t>
      </w:r>
      <w:r w:rsidRPr="00B26706">
        <w:rPr>
          <w:rFonts w:ascii="Verdana" w:eastAsia="Times New Roman" w:hAnsi="Verdana" w:cs="Arial"/>
          <w:lang w:eastAsia="es-ES_tradnl"/>
        </w:rPr>
        <w:t xml:space="preserve"> que identifica cuáles son estas actividades con respecto a los actores del Sistema Nacional de Ciencia, Tecnología e Innovación.</w:t>
      </w:r>
    </w:p>
    <w:p w14:paraId="302841F8" w14:textId="77777777" w:rsidR="00D75510" w:rsidRPr="00B26706" w:rsidRDefault="00D75510" w:rsidP="00D75510">
      <w:pPr>
        <w:shd w:val="clear" w:color="auto" w:fill="FFFFFF"/>
        <w:spacing w:line="276" w:lineRule="auto"/>
        <w:ind w:firstLine="709"/>
        <w:jc w:val="both"/>
        <w:rPr>
          <w:rFonts w:ascii="Verdana" w:hAnsi="Verdana" w:cs="Arial"/>
          <w:lang w:eastAsia="es-ES_tradnl"/>
        </w:rPr>
      </w:pPr>
      <w:r w:rsidRPr="00B26706">
        <w:rPr>
          <w:rFonts w:ascii="Verdana" w:hAnsi="Verdana" w:cs="Arial"/>
          <w:lang w:eastAsia="es-ES_tradnl"/>
        </w:rPr>
        <w:t xml:space="preserve">Así las cosas, las normas referidas establecen </w:t>
      </w:r>
      <w:r w:rsidRPr="00B26706">
        <w:rPr>
          <w:rFonts w:ascii="Verdana" w:hAnsi="Verdana" w:cs="Arial"/>
          <w:i/>
          <w:iCs/>
          <w:lang w:eastAsia="es-ES_tradnl"/>
        </w:rPr>
        <w:t>tipologías contractuales</w:t>
      </w:r>
      <w:r w:rsidRPr="00B26706">
        <w:rPr>
          <w:rFonts w:ascii="Verdana" w:hAnsi="Verdana" w:cs="Arial"/>
          <w:lang w:eastAsia="es-ES_tradnl"/>
        </w:rPr>
        <w:t xml:space="preserve"> por las que pueden optar las entidades allí señaladas para contratar directamente el desarrollo de actividades de ciencia y tecnología. De cualquier modo, su aplicación se encuentra limitada a los sujetos y materias allí reguladas. </w:t>
      </w:r>
    </w:p>
    <w:p w14:paraId="13779120" w14:textId="77777777" w:rsidR="00D75510" w:rsidRPr="00B26706" w:rsidRDefault="00D75510" w:rsidP="00D75510">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Al respecto, el artículo primero del Decreto Ley 393 de 1991 señala expresamente que la Nación y sus entidades descentralizadas “podrán</w:t>
      </w:r>
      <w:r w:rsidRPr="00B26706">
        <w:rPr>
          <w:rFonts w:ascii="Verdana" w:hAnsi="Verdana" w:cs="Arial"/>
          <w:i/>
          <w:iCs/>
          <w:lang w:eastAsia="es-ES_tradnl"/>
        </w:rPr>
        <w:t xml:space="preserve"> </w:t>
      </w:r>
      <w:r w:rsidRPr="00B26706">
        <w:rPr>
          <w:rFonts w:ascii="Verdana" w:hAnsi="Verdana" w:cs="Arial"/>
          <w:lang w:eastAsia="es-ES_tradnl"/>
        </w:rPr>
        <w:t>asociarse con los particulares” bajo creación de personas jurídicas o la celebración de convenios especiales de cooperación para adelantar actividades científicas y tecnológicas, sobre éstos últimos el artículo sexto reitera que dichas entidades “</w:t>
      </w:r>
      <w:r w:rsidRPr="00B26706">
        <w:rPr>
          <w:rFonts w:ascii="Verdana" w:hAnsi="Verdana" w:cs="Arial"/>
          <w:i/>
          <w:iCs/>
          <w:lang w:eastAsia="es-ES_tradnl"/>
        </w:rPr>
        <w:t xml:space="preserve">podrán </w:t>
      </w:r>
      <w:r w:rsidRPr="00B26706">
        <w:rPr>
          <w:rFonts w:ascii="Verdana" w:hAnsi="Verdana" w:cs="Arial"/>
          <w:lang w:eastAsia="es-ES_tradnl"/>
        </w:rPr>
        <w:t>celebrar con los particulares convenios especiales de cooperación, que no darán lugar al nacimiento de una nueva persona jurídica”</w:t>
      </w:r>
      <w:r w:rsidRPr="00B26706">
        <w:rPr>
          <w:rStyle w:val="Refdenotaalpie"/>
          <w:rFonts w:ascii="Verdana" w:hAnsi="Verdana" w:cs="Arial"/>
          <w:lang w:eastAsia="es-ES_tradnl"/>
        </w:rPr>
        <w:footnoteReference w:id="3"/>
      </w:r>
      <w:r w:rsidRPr="00B26706">
        <w:rPr>
          <w:rFonts w:ascii="Verdana" w:hAnsi="Verdana" w:cs="Arial"/>
          <w:lang w:eastAsia="es-ES_tradnl"/>
        </w:rPr>
        <w:t>. De manera similar, los artículo 8, 9 y 17 del Decreto Ley 591 de 1991 señalan que la Nación y sus entidades descentralizadas “</w:t>
      </w:r>
      <w:r w:rsidRPr="00B26706">
        <w:rPr>
          <w:rFonts w:ascii="Verdana" w:hAnsi="Verdana" w:cs="Arial"/>
          <w:i/>
          <w:iCs/>
          <w:lang w:eastAsia="es-ES_tradnl"/>
        </w:rPr>
        <w:t>podrán</w:t>
      </w:r>
      <w:r w:rsidRPr="00B26706">
        <w:rPr>
          <w:rFonts w:ascii="Verdana" w:hAnsi="Verdana" w:cs="Arial"/>
          <w:lang w:eastAsia="es-ES_tradnl"/>
        </w:rPr>
        <w:t xml:space="preserve">”: </w:t>
      </w:r>
      <w:r>
        <w:rPr>
          <w:rFonts w:ascii="Verdana" w:hAnsi="Verdana" w:cs="Arial"/>
          <w:lang w:eastAsia="es-ES_tradnl"/>
        </w:rPr>
        <w:t>1</w:t>
      </w:r>
      <w:r w:rsidRPr="00B26706">
        <w:rPr>
          <w:rFonts w:ascii="Verdana" w:hAnsi="Verdana" w:cs="Arial"/>
          <w:lang w:eastAsia="es-ES_tradnl"/>
        </w:rPr>
        <w:t xml:space="preserve">) celebrar contratos de </w:t>
      </w:r>
      <w:r w:rsidRPr="00B26706">
        <w:rPr>
          <w:rFonts w:ascii="Verdana" w:hAnsi="Verdana" w:cs="Arial"/>
          <w:lang w:eastAsia="es-ES_tradnl"/>
        </w:rPr>
        <w:lastRenderedPageBreak/>
        <w:t xml:space="preserve">financiamiento destinados a actividades científicas y tecnológicas, que tengan por objeto proveer de recursos al particular contratista o a otra entidad pública; </w:t>
      </w:r>
      <w:r>
        <w:rPr>
          <w:rFonts w:ascii="Verdana" w:hAnsi="Verdana" w:cs="Arial"/>
          <w:lang w:eastAsia="es-ES_tradnl"/>
        </w:rPr>
        <w:t>2</w:t>
      </w:r>
      <w:r w:rsidRPr="00B26706">
        <w:rPr>
          <w:rFonts w:ascii="Verdana" w:hAnsi="Verdana" w:cs="Arial"/>
          <w:lang w:eastAsia="es-ES_tradnl"/>
        </w:rPr>
        <w:t xml:space="preserve">) celebrar con personas públicas o privadas contratos de administración de proyectos; y </w:t>
      </w:r>
      <w:r>
        <w:rPr>
          <w:rFonts w:ascii="Verdana" w:hAnsi="Verdana" w:cs="Arial"/>
          <w:lang w:eastAsia="es-ES_tradnl"/>
        </w:rPr>
        <w:t>3</w:t>
      </w:r>
      <w:r w:rsidRPr="00B26706">
        <w:rPr>
          <w:rFonts w:ascii="Verdana" w:hAnsi="Verdana" w:cs="Arial"/>
          <w:lang w:eastAsia="es-ES_tradnl"/>
        </w:rPr>
        <w:t>)</w:t>
      </w:r>
      <w:r w:rsidRPr="00B26706">
        <w:rPr>
          <w:rFonts w:ascii="Arial" w:hAnsi="Arial" w:cs="Arial"/>
          <w:color w:val="000000"/>
          <w:sz w:val="21"/>
          <w:szCs w:val="21"/>
        </w:rPr>
        <w:t xml:space="preserve"> </w:t>
      </w:r>
      <w:r w:rsidRPr="00B26706">
        <w:rPr>
          <w:rFonts w:ascii="Verdana" w:hAnsi="Verdana" w:cs="Arial"/>
          <w:lang w:eastAsia="es-ES_tradnl"/>
        </w:rPr>
        <w:t xml:space="preserve">celebrar con los particulares y con otras entidades públicas de cualquier orden convenios especiales de cooperación. En efecto, </w:t>
      </w:r>
      <w:proofErr w:type="gramStart"/>
      <w:r w:rsidRPr="00B26706">
        <w:rPr>
          <w:rFonts w:ascii="Verdana" w:hAnsi="Verdana" w:cs="Arial"/>
          <w:lang w:eastAsia="es-ES_tradnl"/>
        </w:rPr>
        <w:t>la normas referidas</w:t>
      </w:r>
      <w:proofErr w:type="gramEnd"/>
      <w:r w:rsidRPr="00B26706">
        <w:rPr>
          <w:rFonts w:ascii="Verdana" w:hAnsi="Verdana" w:cs="Arial"/>
          <w:lang w:eastAsia="es-ES_tradnl"/>
        </w:rPr>
        <w:t xml:space="preserve"> otorgan la potestad para que la Nación y sus entidades descentralizadas adopten las tipologías contractuales allí descritas cuando pretendan contratar el desarrollo de actividades científicas y tecnológicas.</w:t>
      </w:r>
    </w:p>
    <w:p w14:paraId="6D073DC8" w14:textId="77777777" w:rsidR="00D75510" w:rsidRPr="00EF65A5" w:rsidRDefault="00D75510" w:rsidP="00D75510">
      <w:pPr>
        <w:spacing w:after="120" w:line="276" w:lineRule="auto"/>
        <w:ind w:firstLine="708"/>
        <w:jc w:val="both"/>
        <w:rPr>
          <w:rFonts w:ascii="Verdana" w:eastAsia="Times New Roman" w:hAnsi="Verdana" w:cs="Arial"/>
          <w:lang w:eastAsia="es-ES_tradnl"/>
        </w:rPr>
      </w:pPr>
      <w:r w:rsidRPr="0069136E">
        <w:rPr>
          <w:rFonts w:ascii="Verdana" w:hAnsi="Verdana" w:cs="Arial"/>
          <w:lang w:eastAsia="es-ES_tradnl"/>
        </w:rPr>
        <w:t>Posteriormente, la Ley 80 de 1993 derogó diversas disposiciones del Decreto Ley 591 de 1991 que establecían otras modalidades específicas de contratos para el fomento de actividades científicas y tecnológicas, manteniendo únicamente las tres tipologías contractuales referidas, es decir</w:t>
      </w:r>
      <w:r>
        <w:rPr>
          <w:rFonts w:ascii="Verdana" w:hAnsi="Verdana" w:cs="Arial"/>
          <w:lang w:eastAsia="es-ES_tradnl"/>
        </w:rPr>
        <w:t xml:space="preserve"> los</w:t>
      </w:r>
      <w:r w:rsidRPr="0069136E">
        <w:rPr>
          <w:rFonts w:ascii="Verdana" w:hAnsi="Verdana" w:cs="Arial"/>
          <w:lang w:eastAsia="es-ES_tradnl"/>
        </w:rPr>
        <w:t xml:space="preserve">: </w:t>
      </w:r>
      <w:r w:rsidRPr="0069136E">
        <w:rPr>
          <w:rFonts w:ascii="Verdana" w:eastAsia="Times New Roman" w:hAnsi="Verdana" w:cs="Arial"/>
          <w:lang w:eastAsia="es-ES_tradnl"/>
        </w:rPr>
        <w:t>1) contratos de financiamiento, 2) contratos de administración de proyectos y 3) convenios especiales de cooperación</w:t>
      </w:r>
      <w:r>
        <w:rPr>
          <w:rFonts w:ascii="Verdana" w:eastAsia="Times New Roman" w:hAnsi="Verdana" w:cs="Arial"/>
          <w:lang w:eastAsia="es-ES_tradnl"/>
        </w:rPr>
        <w:t>.</w:t>
      </w:r>
    </w:p>
    <w:p w14:paraId="49DA1499" w14:textId="77777777" w:rsidR="00D75510" w:rsidRPr="00B47B4C" w:rsidRDefault="00D75510" w:rsidP="00D75510">
      <w:pPr>
        <w:spacing w:after="120" w:line="276" w:lineRule="auto"/>
        <w:ind w:firstLine="708"/>
        <w:jc w:val="both"/>
        <w:rPr>
          <w:rFonts w:ascii="Verdana" w:eastAsia="Calibri" w:hAnsi="Verdana" w:cs="Arial"/>
          <w:lang w:eastAsia="es-ES_tradnl"/>
        </w:rPr>
      </w:pPr>
      <w:r w:rsidRPr="00B26706">
        <w:rPr>
          <w:rFonts w:ascii="Verdana" w:hAnsi="Verdana" w:cs="Arial"/>
          <w:lang w:eastAsia="es-ES_tradnl"/>
        </w:rPr>
        <w:t xml:space="preserve"> Finalmente, la Ley 1150 de 2007 incluyó una causal de contratación directa en el literal e) del numeral 4 del artículo 2 que es procedente cuando se trate de “contratos para el desarrollo de actividades científicas y tecnológicas”. Ésta causal es aplicable a las Entidades Estatales cuya actividad contractual se encuentra sometida al Estatuto General de Contratación de la Administración Pública (EGCAP), es decir, aquellas establecidas en el artículo segundo de la Ley 80 de 1993.</w:t>
      </w:r>
      <w:r w:rsidRPr="00B26706">
        <w:rPr>
          <w:rFonts w:ascii="Verdana" w:eastAsia="Calibri" w:hAnsi="Verdana" w:cs="Arial"/>
          <w:lang w:eastAsia="es-ES_tradnl"/>
        </w:rPr>
        <w:t xml:space="preserve"> En consecuencia, la causal de contratación directa a la cual se refiere la </w:t>
      </w:r>
      <w:r w:rsidRPr="00B26706">
        <w:rPr>
          <w:rFonts w:ascii="Verdana" w:hAnsi="Verdana" w:cs="Arial"/>
          <w:lang w:eastAsia="es-ES_tradnl"/>
        </w:rPr>
        <w:t xml:space="preserve">Ley 1150 de 2007 autoriza a todas las Entidades Estatales regidas por el EGCAP para contratar directamente </w:t>
      </w:r>
      <w:r w:rsidRPr="00B47B4C">
        <w:rPr>
          <w:rFonts w:ascii="Verdana" w:hAnsi="Verdana" w:cs="Arial"/>
          <w:i/>
          <w:iCs/>
          <w:lang w:eastAsia="es-ES_tradnl"/>
        </w:rPr>
        <w:t>el desarrollo de actividades científicas y tecnológicas</w:t>
      </w:r>
      <w:r w:rsidRPr="00B26706">
        <w:rPr>
          <w:rFonts w:ascii="Verdana" w:hAnsi="Verdana" w:cs="Arial"/>
          <w:lang w:eastAsia="es-ES_tradnl"/>
        </w:rPr>
        <w:t xml:space="preserve">. Para lo anterior, el estatuto señaló la modalidad de selección de contratación directa, pero no especificó la tipología contractual que deben emplear las entidades cuando adelanten estos procesos de contratación en virtud de la causal del literal e) del artículo 2.4. </w:t>
      </w:r>
    </w:p>
    <w:p w14:paraId="4E54FDA2" w14:textId="77777777" w:rsidR="00D75510" w:rsidRPr="00B26706" w:rsidRDefault="00D75510" w:rsidP="00D7551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Se deriva de lo expuesto que: i) la </w:t>
      </w:r>
      <w:r>
        <w:rPr>
          <w:rFonts w:ascii="Verdana" w:hAnsi="Verdana" w:cs="Arial"/>
          <w:lang w:eastAsia="es-ES_tradnl"/>
        </w:rPr>
        <w:t>L</w:t>
      </w:r>
      <w:r w:rsidRPr="00B26706">
        <w:rPr>
          <w:rFonts w:ascii="Verdana" w:hAnsi="Verdana" w:cs="Arial"/>
          <w:lang w:eastAsia="es-ES_tradnl"/>
        </w:rPr>
        <w:t xml:space="preserve">ey 1150 de 2007 autorizó a las Entidades Estatales sometidas al EGCAP para contratar directamente el desarrollo de actividades científicas y tecnológicas, sin determinar una tipología específica; y </w:t>
      </w:r>
      <w:proofErr w:type="spellStart"/>
      <w:r w:rsidRPr="00B26706">
        <w:rPr>
          <w:rFonts w:ascii="Verdana" w:hAnsi="Verdana" w:cs="Arial"/>
          <w:lang w:eastAsia="es-ES_tradnl"/>
        </w:rPr>
        <w:t>ii</w:t>
      </w:r>
      <w:proofErr w:type="spellEnd"/>
      <w:r w:rsidRPr="00B26706">
        <w:rPr>
          <w:rFonts w:ascii="Verdana" w:hAnsi="Verdana" w:cs="Arial"/>
          <w:lang w:eastAsia="es-ES_tradnl"/>
        </w:rPr>
        <w:t xml:space="preserve">) los Decretos Ley 393 y 591 de 1991 señalaron que la Nación y sus entidades descentralizadas tienen la facultad de optar por las tipologías contractuales allí señaladas cuando requieran contratar </w:t>
      </w:r>
      <w:r>
        <w:rPr>
          <w:rFonts w:ascii="Verdana" w:hAnsi="Verdana" w:cs="Arial"/>
          <w:lang w:eastAsia="es-ES_tradnl"/>
        </w:rPr>
        <w:t xml:space="preserve">dichas </w:t>
      </w:r>
      <w:r w:rsidRPr="00B26706">
        <w:rPr>
          <w:rFonts w:ascii="Verdana" w:hAnsi="Verdana" w:cs="Arial"/>
          <w:lang w:eastAsia="es-ES_tradnl"/>
        </w:rPr>
        <w:t xml:space="preserve">actividades. En este sentido, el marco jurídico es claro en que la nación y sus entidades descentralizadas se encuentran autorizadas para contratar directamente el desarrollo de actividades científicas y tecnológicas en virtud de la causal </w:t>
      </w:r>
      <w:r w:rsidRPr="00B26706">
        <w:rPr>
          <w:rFonts w:ascii="Verdana" w:hAnsi="Verdana" w:cs="Arial"/>
          <w:lang w:eastAsia="es-ES_tradnl"/>
        </w:rPr>
        <w:lastRenderedPageBreak/>
        <w:t>establecida en la Ley 1150 de 2007, y que tienen la posibilidad de adoptar las tipologías contractuales señaladas en los Decretos Ley 393 y 591 de 1991 con este fin.</w:t>
      </w:r>
    </w:p>
    <w:p w14:paraId="2D9317B4" w14:textId="77777777" w:rsidR="00D75510" w:rsidRPr="00B26706" w:rsidRDefault="00D75510" w:rsidP="00D75510">
      <w:pPr>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Aunque los Decretos Ley 393 y 591 de 1991 señalan algunas tipologías contractuales mediante las cuales es posible materializar la contratación directa de dichas actividades, señalan expresamente que es una </w:t>
      </w:r>
      <w:r w:rsidRPr="00B47B4C">
        <w:rPr>
          <w:rFonts w:ascii="Verdana" w:hAnsi="Verdana" w:cs="Arial"/>
          <w:i/>
          <w:iCs/>
          <w:u w:val="single"/>
          <w:lang w:eastAsia="es-ES_tradnl"/>
        </w:rPr>
        <w:t>facultad</w:t>
      </w:r>
      <w:r w:rsidRPr="00B26706">
        <w:rPr>
          <w:rFonts w:ascii="Verdana" w:hAnsi="Verdana" w:cs="Arial"/>
          <w:lang w:eastAsia="es-ES_tradnl"/>
        </w:rPr>
        <w:t xml:space="preserve"> al utilizar la expresión “podrán”. Adicionalmente, estas normas reservan expresamente la autorización de desarrollarlas mediante los tipos contractuales allí establecidos a la Nación y sus entidades descentralizadas. Así las cosas, todas las Entidades Estatales regidas por el Estatuto se encuentran facultadas para contratar directamente las actividades de ciencia y tecnología en virtud de la causal establecida en la Ley 1150 de 2007, pero solo las entidades del orden nacional y sus descentralizadas podrán realizar esta contratación mediante la creación de personas jurídicas, la celebración de convenios especiales de cooperación, contratos de financiamiento y contratos de administración de proyectos, pues así lo dispuso expresamente el Decreto Ley 393 y el 591 de 1991. De esta manera, las Entidades Estatales que no sean del orden nacional o sus descentralizadas tienen la facultad de adoptar otras tipologías contractuales permitidas por el EGCAP cuando contraten directamente el desarrollo de actividades de ciencia y tecnología. </w:t>
      </w:r>
    </w:p>
    <w:p w14:paraId="7F0124C9" w14:textId="77777777" w:rsidR="00D75510" w:rsidRPr="00B26706" w:rsidRDefault="00D75510" w:rsidP="00D75510">
      <w:pPr>
        <w:shd w:val="clear" w:color="auto" w:fill="FFFFFF"/>
        <w:spacing w:before="120" w:after="120" w:line="276" w:lineRule="auto"/>
        <w:ind w:firstLine="709"/>
        <w:jc w:val="both"/>
        <w:rPr>
          <w:rFonts w:ascii="Verdana" w:hAnsi="Verdana" w:cs="Arial"/>
          <w:lang w:eastAsia="es-ES_tradnl"/>
        </w:rPr>
      </w:pPr>
      <w:r w:rsidRPr="00B26706">
        <w:rPr>
          <w:rFonts w:ascii="Verdana" w:hAnsi="Verdana" w:cs="Arial"/>
          <w:lang w:eastAsia="es-ES_tradnl"/>
        </w:rPr>
        <w:t xml:space="preserve">Lo anterior es concordante con el artículo 33 de la Ley 1286 de 2009, el cual dispuso que las actividades, contratos y convenios que tengan por objeto la realización de actividades definidas como de ciencia, tecnología e innovación que celebren las entidades estatales, continuarán rigiéndose por las normas especiales que les sean aplicables. En efecto, esta norma reafirmó que los contratos o convenios que la nación y sus entidades descentralizadas celebren en virtud de la potestad establecida en los Decretos Ley 591 y 393 de 1991 se regirán por esta normativa, mientras que las demás entidades estatales regidas por el EGCAP podrán contratar directamente el desarrollo de tales actividades en virtud de lo dispuesto en la Ley 1150 de 2007 implementando otras tipologías contractuales que resulten adecuadas para la satisfacción de la necesidad identificada. </w:t>
      </w:r>
    </w:p>
    <w:p w14:paraId="69ED2F66" w14:textId="77777777" w:rsidR="00D75510" w:rsidRDefault="00D75510" w:rsidP="00D75510">
      <w:pPr>
        <w:shd w:val="clear" w:color="auto" w:fill="FFFFFF"/>
        <w:spacing w:after="120" w:line="276" w:lineRule="auto"/>
        <w:ind w:firstLine="708"/>
        <w:jc w:val="both"/>
        <w:rPr>
          <w:rFonts w:ascii="Verdana" w:hAnsi="Verdana" w:cs="Arial"/>
          <w:lang w:eastAsia="es-ES_tradnl"/>
        </w:rPr>
      </w:pPr>
      <w:r w:rsidRPr="00B26706">
        <w:rPr>
          <w:rFonts w:ascii="Verdana" w:hAnsi="Verdana" w:cs="Arial"/>
          <w:lang w:eastAsia="es-ES_tradnl"/>
        </w:rPr>
        <w:t xml:space="preserve">Sobre lo anterior, la Sala de Consulta y Servicio Civil del Consejo de Estado se refirió a las tipologías contractuales que pueden implementar las entidades para la contratación de actividades científicas y tecnológicas. Al respecto aclaró que el legislador tuvo la clara voluntad de mantener vigentes las </w:t>
      </w:r>
      <w:r w:rsidRPr="00B26706">
        <w:rPr>
          <w:rFonts w:ascii="Verdana" w:hAnsi="Verdana" w:cs="Arial"/>
          <w:lang w:eastAsia="es-ES_tradnl"/>
        </w:rPr>
        <w:lastRenderedPageBreak/>
        <w:t xml:space="preserve">modalidades de asociación previstas en el Decreto 393 de 1991. Con base en lo anterior, concluyó que los negocios individualizados y regulados por el ordenamiento jurídico colombiano, para el fomento de las actividades de ciencia, tecnología e innovación, son: </w:t>
      </w:r>
      <w:r>
        <w:rPr>
          <w:rFonts w:ascii="Verdana" w:hAnsi="Verdana" w:cs="Arial"/>
          <w:lang w:eastAsia="es-ES_tradnl"/>
        </w:rPr>
        <w:t xml:space="preserve">1) </w:t>
      </w:r>
      <w:r w:rsidRPr="00B26706">
        <w:rPr>
          <w:rFonts w:ascii="Verdana" w:hAnsi="Verdana" w:cs="Arial"/>
          <w:lang w:eastAsia="es-ES_tradnl"/>
        </w:rPr>
        <w:t xml:space="preserve">las asociaciones dirigidas a crear sociedades civiles y comerciales, y personas jurídicas sin ánimo de lucro como fundaciones y corporaciones; </w:t>
      </w:r>
      <w:r>
        <w:rPr>
          <w:rFonts w:ascii="Verdana" w:hAnsi="Verdana" w:cs="Arial"/>
          <w:lang w:eastAsia="es-ES_tradnl"/>
        </w:rPr>
        <w:t xml:space="preserve">2) </w:t>
      </w:r>
      <w:r w:rsidRPr="00B26706">
        <w:rPr>
          <w:rFonts w:ascii="Verdana" w:hAnsi="Verdana" w:cs="Arial"/>
          <w:lang w:eastAsia="es-ES_tradnl"/>
        </w:rPr>
        <w:t>los convenios especiales de cooperación;</w:t>
      </w:r>
      <w:r>
        <w:rPr>
          <w:rFonts w:ascii="Verdana" w:hAnsi="Verdana" w:cs="Arial"/>
          <w:lang w:eastAsia="es-ES_tradnl"/>
        </w:rPr>
        <w:t xml:space="preserve"> 3</w:t>
      </w:r>
      <w:r w:rsidRPr="00B26706">
        <w:rPr>
          <w:rFonts w:ascii="Verdana" w:hAnsi="Verdana" w:cs="Arial"/>
          <w:lang w:eastAsia="es-ES_tradnl"/>
        </w:rPr>
        <w:t xml:space="preserve">) los contratos de financiamiento y </w:t>
      </w:r>
      <w:r>
        <w:rPr>
          <w:rFonts w:ascii="Verdana" w:hAnsi="Verdana" w:cs="Arial"/>
          <w:lang w:eastAsia="es-ES_tradnl"/>
        </w:rPr>
        <w:t>4</w:t>
      </w:r>
      <w:r w:rsidRPr="00B26706">
        <w:rPr>
          <w:rFonts w:ascii="Verdana" w:hAnsi="Verdana" w:cs="Arial"/>
          <w:lang w:eastAsia="es-ES_tradnl"/>
        </w:rPr>
        <w:t xml:space="preserve">) los contratos de administración de proyectos. Si embargo señaló expresamente que “Este cuadro normativo no excluye la posibilidad de que las entidades de fomento de las actividades científicas y tecnológicas </w:t>
      </w:r>
      <w:r w:rsidRPr="00B47B4C">
        <w:rPr>
          <w:rFonts w:ascii="Verdana" w:hAnsi="Verdana" w:cs="Arial"/>
          <w:i/>
          <w:iCs/>
          <w:u w:val="single"/>
          <w:lang w:eastAsia="es-ES_tradnl"/>
        </w:rPr>
        <w:t>puedan convenir libremente negocios distintos</w:t>
      </w:r>
      <w:r w:rsidRPr="00B26706">
        <w:rPr>
          <w:rFonts w:ascii="Verdana" w:hAnsi="Verdana" w:cs="Arial"/>
          <w:lang w:eastAsia="es-ES_tradnl"/>
        </w:rPr>
        <w:t xml:space="preserve"> a los expresamente previstos en la ley o el reglamento, en desarrollo del principio de la autonomía de la voluntad […]”</w:t>
      </w:r>
      <w:r w:rsidRPr="00B26706">
        <w:rPr>
          <w:rStyle w:val="Refdenotaalpie"/>
          <w:rFonts w:ascii="Verdana" w:hAnsi="Verdana" w:cs="Arial"/>
          <w:lang w:eastAsia="es-ES_tradnl"/>
        </w:rPr>
        <w:footnoteReference w:id="4"/>
      </w:r>
      <w:r>
        <w:rPr>
          <w:rFonts w:ascii="Verdana" w:hAnsi="Verdana" w:cs="Arial"/>
          <w:lang w:eastAsia="es-ES_tradnl"/>
        </w:rPr>
        <w:t xml:space="preserve"> (Énfasis propio)</w:t>
      </w:r>
      <w:r w:rsidRPr="00B26706">
        <w:rPr>
          <w:rFonts w:ascii="Verdana" w:hAnsi="Verdana" w:cs="Arial"/>
          <w:lang w:eastAsia="es-ES_tradnl"/>
        </w:rPr>
        <w:t>.</w:t>
      </w:r>
    </w:p>
    <w:p w14:paraId="4B4049F9" w14:textId="77777777" w:rsidR="00D75510" w:rsidRDefault="00D75510" w:rsidP="00D75510">
      <w:pPr>
        <w:shd w:val="clear" w:color="auto" w:fill="FFFFFF"/>
        <w:spacing w:after="0" w:line="276" w:lineRule="auto"/>
        <w:ind w:firstLine="708"/>
        <w:jc w:val="both"/>
        <w:rPr>
          <w:rFonts w:ascii="Verdana" w:hAnsi="Verdana" w:cs="Arial"/>
          <w:lang w:eastAsia="es-ES_tradnl"/>
        </w:rPr>
      </w:pPr>
    </w:p>
    <w:p w14:paraId="7C62C133" w14:textId="77777777" w:rsidR="00D75510" w:rsidRDefault="00D75510" w:rsidP="00D75510">
      <w:pPr>
        <w:shd w:val="clear" w:color="auto" w:fill="FFFFFF"/>
        <w:spacing w:after="0" w:line="276" w:lineRule="auto"/>
        <w:jc w:val="both"/>
        <w:rPr>
          <w:rFonts w:ascii="Verdana" w:hAnsi="Verdana" w:cs="Arial"/>
          <w:lang w:eastAsia="es-ES_tradnl"/>
        </w:rPr>
      </w:pPr>
      <w:proofErr w:type="spellStart"/>
      <w:r>
        <w:rPr>
          <w:rFonts w:ascii="Verdana" w:hAnsi="Verdana" w:cs="Arial"/>
          <w:lang w:eastAsia="es-ES_tradnl"/>
        </w:rPr>
        <w:t>ii</w:t>
      </w:r>
      <w:proofErr w:type="spellEnd"/>
      <w:r>
        <w:rPr>
          <w:rFonts w:ascii="Verdana" w:hAnsi="Verdana" w:cs="Arial"/>
          <w:lang w:eastAsia="es-ES_tradnl"/>
        </w:rPr>
        <w:t xml:space="preserve">) Con respecto a su consulta, el Instituto Nacional de Salud fue concebido inicialmente como </w:t>
      </w:r>
      <w:r w:rsidRPr="00E06E5F">
        <w:rPr>
          <w:rFonts w:ascii="Verdana" w:hAnsi="Verdana" w:cs="Arial"/>
          <w:lang w:eastAsia="es-ES_tradnl"/>
        </w:rPr>
        <w:t xml:space="preserve">un establecimiento público de la Rama Ejecutiva del orden </w:t>
      </w:r>
      <w:r>
        <w:rPr>
          <w:rFonts w:ascii="Verdana" w:hAnsi="Verdana" w:cs="Arial"/>
          <w:lang w:eastAsia="es-ES_tradnl"/>
        </w:rPr>
        <w:t xml:space="preserve">nacional con el </w:t>
      </w:r>
      <w:r w:rsidRPr="00E06E5F">
        <w:rPr>
          <w:rFonts w:ascii="Verdana" w:hAnsi="Verdana" w:cs="Arial"/>
          <w:lang w:eastAsia="es-ES_tradnl"/>
        </w:rPr>
        <w:t>objetivo</w:t>
      </w:r>
      <w:r>
        <w:rPr>
          <w:rFonts w:ascii="Verdana" w:hAnsi="Verdana" w:cs="Arial"/>
          <w:lang w:eastAsia="es-ES_tradnl"/>
        </w:rPr>
        <w:t xml:space="preserve"> de</w:t>
      </w:r>
      <w:r w:rsidRPr="00E06E5F">
        <w:rPr>
          <w:rFonts w:ascii="Verdana" w:hAnsi="Verdana" w:cs="Arial"/>
          <w:lang w:eastAsia="es-ES_tradnl"/>
        </w:rPr>
        <w:t xml:space="preserve"> promover, orientar, ejecutar y coordinar la investigación científica en salud y en biomedicina; desarrollar, aplicar y transferir ciencia y tecnología en las áreas de su competencia; actuar como laboratorio de referencia nacional; coordinar técnicamente la red nacional de laboratorios de salud pública en las áreas de su competencia, y desarrollar, producir y distribuir productos biológicos, químicos, biotecnológicos y reactivos de diagnóstico biomédico, en el marco del Sistema de Seguridad Social en Salud y del Sistema de Ciencia, Tecnología e Innovación.</w:t>
      </w:r>
    </w:p>
    <w:p w14:paraId="739AC95F" w14:textId="77777777" w:rsidR="00D75510" w:rsidRDefault="00D75510" w:rsidP="00D75510">
      <w:pPr>
        <w:shd w:val="clear" w:color="auto" w:fill="FFFFFF"/>
        <w:spacing w:before="120" w:after="0" w:line="276" w:lineRule="auto"/>
        <w:ind w:firstLine="708"/>
        <w:jc w:val="both"/>
        <w:rPr>
          <w:rFonts w:ascii="Verdana" w:hAnsi="Verdana" w:cs="Arial"/>
          <w:lang w:eastAsia="es-ES_tradnl"/>
        </w:rPr>
      </w:pPr>
      <w:r>
        <w:rPr>
          <w:rFonts w:ascii="Verdana" w:hAnsi="Verdana" w:cs="Arial"/>
          <w:lang w:eastAsia="es-ES_tradnl"/>
        </w:rPr>
        <w:t xml:space="preserve">Posteriormente, mediante el </w:t>
      </w:r>
      <w:r w:rsidRPr="00B54E85">
        <w:rPr>
          <w:rFonts w:ascii="Verdana" w:hAnsi="Verdana" w:cs="Arial"/>
          <w:lang w:eastAsia="es-ES_tradnl"/>
        </w:rPr>
        <w:t>Decreto-Ley 4109 de 2011 la naturaleza jurídica del INS fue modificada</w:t>
      </w:r>
      <w:r w:rsidRPr="00E06E5F">
        <w:rPr>
          <w:rFonts w:ascii="Verdana" w:hAnsi="Verdana" w:cs="Arial"/>
          <w:lang w:eastAsia="es-ES_tradnl"/>
        </w:rPr>
        <w:t xml:space="preserve"> para organizarlo como un instituto de ciencia y tecnología que </w:t>
      </w:r>
      <w:r>
        <w:rPr>
          <w:rFonts w:ascii="Verdana" w:hAnsi="Verdana" w:cs="Arial"/>
          <w:lang w:eastAsia="es-ES_tradnl"/>
        </w:rPr>
        <w:t xml:space="preserve">adelante </w:t>
      </w:r>
      <w:r w:rsidRPr="00E06E5F">
        <w:rPr>
          <w:rFonts w:ascii="Verdana" w:hAnsi="Verdana" w:cs="Arial"/>
          <w:lang w:eastAsia="es-ES_tradnl"/>
        </w:rPr>
        <w:t>una adecuada gestión del conocimiento científico en salud y biomedicina, con el fin de mejorar las condiciones de salud de las personas.</w:t>
      </w:r>
      <w:r>
        <w:rPr>
          <w:rFonts w:ascii="Verdana" w:hAnsi="Verdana" w:cs="Arial"/>
          <w:lang w:eastAsia="es-ES_tradnl"/>
        </w:rPr>
        <w:t xml:space="preserve"> Lo anterior tuvo como objetivo lograr una articulación entre el Instituto y </w:t>
      </w:r>
      <w:r w:rsidRPr="00E06E5F">
        <w:rPr>
          <w:rFonts w:ascii="Verdana" w:hAnsi="Verdana" w:cs="Arial"/>
          <w:lang w:eastAsia="es-ES_tradnl"/>
        </w:rPr>
        <w:t>los Sistemas de Seguridad Social en Salud y el de Ciencia, Tecnología e Innovación</w:t>
      </w:r>
      <w:r>
        <w:rPr>
          <w:rFonts w:ascii="Verdana" w:hAnsi="Verdana" w:cs="Arial"/>
          <w:lang w:eastAsia="es-ES_tradnl"/>
        </w:rPr>
        <w:t xml:space="preserve"> para una </w:t>
      </w:r>
      <w:r w:rsidRPr="00E06E5F">
        <w:rPr>
          <w:rFonts w:ascii="Verdana" w:hAnsi="Verdana" w:cs="Arial"/>
          <w:lang w:eastAsia="es-ES_tradnl"/>
        </w:rPr>
        <w:t>mayor eficiencia y eficacia en el cumplimiento de su objeto y funciones</w:t>
      </w:r>
      <w:r>
        <w:rPr>
          <w:rFonts w:ascii="Verdana" w:hAnsi="Verdana" w:cs="Arial"/>
          <w:lang w:eastAsia="es-ES_tradnl"/>
        </w:rPr>
        <w:t>.</w:t>
      </w:r>
      <w:r w:rsidRPr="00E06E5F">
        <w:rPr>
          <w:rFonts w:ascii="Verdana" w:hAnsi="Verdana" w:cs="Arial"/>
          <w:lang w:eastAsia="es-ES_tradnl"/>
        </w:rPr>
        <w:t xml:space="preserve"> </w:t>
      </w:r>
    </w:p>
    <w:p w14:paraId="142C277E" w14:textId="77777777" w:rsidR="00D75510" w:rsidRDefault="00D75510" w:rsidP="00D75510">
      <w:pPr>
        <w:shd w:val="clear" w:color="auto" w:fill="FFFFFF"/>
        <w:spacing w:before="120" w:after="0" w:line="276" w:lineRule="auto"/>
        <w:ind w:firstLine="708"/>
        <w:jc w:val="both"/>
        <w:rPr>
          <w:rFonts w:ascii="Verdana" w:hAnsi="Verdana" w:cs="Arial"/>
          <w:lang w:eastAsia="es-ES_tradnl"/>
        </w:rPr>
      </w:pPr>
      <w:r>
        <w:rPr>
          <w:rFonts w:ascii="Verdana" w:hAnsi="Verdana" w:cs="Arial"/>
          <w:lang w:eastAsia="es-ES_tradnl"/>
        </w:rPr>
        <w:t>De acuerdo con dicho objetivo, el artículo tercero del referido Decreto-Ley señala que:</w:t>
      </w:r>
    </w:p>
    <w:p w14:paraId="7CF3C87D" w14:textId="77777777" w:rsidR="00D75510" w:rsidRDefault="00D75510" w:rsidP="00D75510">
      <w:pPr>
        <w:shd w:val="clear" w:color="auto" w:fill="FFFFFF"/>
        <w:spacing w:before="120" w:after="0" w:line="240" w:lineRule="auto"/>
        <w:ind w:left="709" w:right="709"/>
        <w:jc w:val="both"/>
        <w:rPr>
          <w:rFonts w:ascii="Verdana" w:hAnsi="Verdana" w:cs="Arial"/>
          <w:sz w:val="21"/>
          <w:szCs w:val="21"/>
          <w:lang w:eastAsia="es-ES_tradnl"/>
        </w:rPr>
      </w:pPr>
      <w:r>
        <w:rPr>
          <w:rFonts w:ascii="Verdana" w:hAnsi="Verdana" w:cs="Arial"/>
          <w:sz w:val="21"/>
          <w:szCs w:val="21"/>
          <w:lang w:eastAsia="es-ES_tradnl"/>
        </w:rPr>
        <w:lastRenderedPageBreak/>
        <w:t>“</w:t>
      </w:r>
      <w:r w:rsidRPr="00305550">
        <w:rPr>
          <w:rFonts w:ascii="Verdana" w:hAnsi="Verdana" w:cs="Arial"/>
          <w:sz w:val="21"/>
          <w:szCs w:val="21"/>
          <w:lang w:eastAsia="es-ES_tradnl"/>
        </w:rPr>
        <w:t>[…] en su carácter de autoridad científico técnica tendrá como objeto: (i) el desarrollo y la gestión del conocimiento científico en salud y biomedicina para contribuir a mejorar las condiciones de salud de las personas; (</w:t>
      </w:r>
      <w:proofErr w:type="spellStart"/>
      <w:r w:rsidRPr="00305550">
        <w:rPr>
          <w:rFonts w:ascii="Verdana" w:hAnsi="Verdana" w:cs="Arial"/>
          <w:sz w:val="21"/>
          <w:szCs w:val="21"/>
          <w:lang w:eastAsia="es-ES_tradnl"/>
        </w:rPr>
        <w:t>ii</w:t>
      </w:r>
      <w:proofErr w:type="spellEnd"/>
      <w:r w:rsidRPr="00305550">
        <w:rPr>
          <w:rFonts w:ascii="Verdana" w:hAnsi="Verdana" w:cs="Arial"/>
          <w:sz w:val="21"/>
          <w:szCs w:val="21"/>
          <w:lang w:eastAsia="es-ES_tradnl"/>
        </w:rPr>
        <w:t>) realizar investigación científica básica y aplicada en salud y biomedicina; (</w:t>
      </w:r>
      <w:proofErr w:type="spellStart"/>
      <w:r w:rsidRPr="00305550">
        <w:rPr>
          <w:rFonts w:ascii="Verdana" w:hAnsi="Verdana" w:cs="Arial"/>
          <w:sz w:val="21"/>
          <w:szCs w:val="21"/>
          <w:lang w:eastAsia="es-ES_tradnl"/>
        </w:rPr>
        <w:t>iii</w:t>
      </w:r>
      <w:proofErr w:type="spellEnd"/>
      <w:r w:rsidRPr="00305550">
        <w:rPr>
          <w:rFonts w:ascii="Verdana" w:hAnsi="Verdana" w:cs="Arial"/>
          <w:sz w:val="21"/>
          <w:szCs w:val="21"/>
          <w:lang w:eastAsia="es-ES_tradnl"/>
        </w:rPr>
        <w:t>) la promoción de la investigación científica, la innovación y la formulación de estudios de acuerdo con las prioridades de salud pública de conocimiento del Instituto; (</w:t>
      </w:r>
      <w:proofErr w:type="spellStart"/>
      <w:r w:rsidRPr="00305550">
        <w:rPr>
          <w:rFonts w:ascii="Verdana" w:hAnsi="Verdana" w:cs="Arial"/>
          <w:sz w:val="21"/>
          <w:szCs w:val="21"/>
          <w:lang w:eastAsia="es-ES_tradnl"/>
        </w:rPr>
        <w:t>iv</w:t>
      </w:r>
      <w:proofErr w:type="spellEnd"/>
      <w:r w:rsidRPr="00305550">
        <w:rPr>
          <w:rFonts w:ascii="Verdana" w:hAnsi="Verdana" w:cs="Arial"/>
          <w:sz w:val="21"/>
          <w:szCs w:val="21"/>
          <w:lang w:eastAsia="es-ES_tradnl"/>
        </w:rPr>
        <w:t>) la vigilancia y seguridad sanitaria en los temas de su competencia; la producción de insumos biológicos; y (v) actuar como laboratorio nacional de referencia y coordinador de las redes especiales, en el marco del Sistema General de Seguridad Social en Salud y del Sistema de Ciencia, Tecnología e Innovación</w:t>
      </w:r>
      <w:r>
        <w:rPr>
          <w:rFonts w:ascii="Verdana" w:hAnsi="Verdana" w:cs="Arial"/>
          <w:sz w:val="21"/>
          <w:szCs w:val="21"/>
          <w:lang w:eastAsia="es-ES_tradnl"/>
        </w:rPr>
        <w:t>”</w:t>
      </w:r>
      <w:r w:rsidRPr="00305550">
        <w:rPr>
          <w:rFonts w:ascii="Verdana" w:hAnsi="Verdana" w:cs="Arial"/>
          <w:sz w:val="21"/>
          <w:szCs w:val="21"/>
          <w:lang w:eastAsia="es-ES_tradnl"/>
        </w:rPr>
        <w:t>.</w:t>
      </w:r>
    </w:p>
    <w:p w14:paraId="2F5F5AB3" w14:textId="77777777" w:rsidR="00D75510" w:rsidRDefault="00D75510" w:rsidP="00D75510">
      <w:pPr>
        <w:shd w:val="clear" w:color="auto" w:fill="FFFFFF"/>
        <w:spacing w:after="0" w:line="240" w:lineRule="auto"/>
        <w:ind w:left="709" w:right="709"/>
        <w:jc w:val="both"/>
        <w:rPr>
          <w:rFonts w:ascii="Verdana" w:hAnsi="Verdana" w:cs="Arial"/>
          <w:sz w:val="21"/>
          <w:szCs w:val="21"/>
          <w:lang w:eastAsia="es-ES_tradnl"/>
        </w:rPr>
      </w:pPr>
    </w:p>
    <w:p w14:paraId="78273F18" w14:textId="77777777" w:rsidR="00D75510" w:rsidRPr="00D200F9" w:rsidRDefault="00D75510" w:rsidP="00D75510">
      <w:pPr>
        <w:shd w:val="clear" w:color="auto" w:fill="FFFFFF"/>
        <w:spacing w:after="120" w:line="276" w:lineRule="auto"/>
        <w:ind w:firstLine="708"/>
        <w:jc w:val="both"/>
        <w:rPr>
          <w:rFonts w:ascii="Verdana" w:eastAsia="Times New Roman" w:hAnsi="Verdana" w:cs="Arial"/>
          <w:lang w:eastAsia="es-ES_tradnl"/>
        </w:rPr>
      </w:pPr>
      <w:r w:rsidRPr="00305550">
        <w:rPr>
          <w:rFonts w:ascii="Verdana" w:hAnsi="Verdana" w:cs="Arial"/>
          <w:lang w:eastAsia="es-ES_tradnl"/>
        </w:rPr>
        <w:t xml:space="preserve">Adicionalmente, </w:t>
      </w:r>
      <w:r w:rsidRPr="00D200F9">
        <w:rPr>
          <w:rFonts w:ascii="Verdana" w:hAnsi="Verdana" w:cs="Arial"/>
          <w:lang w:eastAsia="es-ES_tradnl"/>
        </w:rPr>
        <w:t xml:space="preserve">el artículo décimo del Decreto-Ley estableció que “los actos que expida, los contratos que celebre el Instituto Nacional de Salud, así como su régimen laboral, estarán sujetos al régimen aplicable al Sistema de Ciencia, Tecnología e Innovación”. Según lo expuesto previamente en este concepto, la contratación que adelante el INS </w:t>
      </w:r>
      <w:r w:rsidRPr="00D200F9">
        <w:rPr>
          <w:rFonts w:ascii="Verdana" w:eastAsia="Century Gothic" w:hAnsi="Verdana" w:cs="Century Gothic"/>
          <w:color w:val="000000" w:themeColor="text1"/>
        </w:rPr>
        <w:t>para el desarrollo de sus proyectos y actividades de investigación científica y tecnológica</w:t>
      </w:r>
      <w:r w:rsidRPr="00D200F9">
        <w:rPr>
          <w:rFonts w:ascii="Verdana" w:eastAsia="Century Gothic" w:hAnsi="Verdana" w:cs="Century Gothic"/>
          <w:i/>
          <w:iCs/>
          <w:color w:val="000000" w:themeColor="text1"/>
        </w:rPr>
        <w:t xml:space="preserve"> </w:t>
      </w:r>
      <w:r w:rsidRPr="00D200F9">
        <w:rPr>
          <w:rFonts w:ascii="Verdana" w:hAnsi="Verdana" w:cs="Arial"/>
          <w:lang w:eastAsia="es-ES_tradnl"/>
        </w:rPr>
        <w:t xml:space="preserve">se rige por lo dispuesto en </w:t>
      </w:r>
      <w:r w:rsidRPr="00D200F9">
        <w:rPr>
          <w:rFonts w:ascii="Verdana" w:eastAsia="Times New Roman" w:hAnsi="Verdana" w:cs="Arial"/>
          <w:lang w:eastAsia="es-ES_tradnl"/>
        </w:rPr>
        <w:t xml:space="preserve">el </w:t>
      </w:r>
      <w:r w:rsidRPr="003249A7">
        <w:rPr>
          <w:rFonts w:ascii="Verdana" w:eastAsia="Times New Roman" w:hAnsi="Verdana" w:cs="Arial"/>
          <w:lang w:eastAsia="es-ES_tradnl"/>
        </w:rPr>
        <w:t>Decreto Ley 393 de 1991, el Decreto Ley 591 de 1991, la Ley 1286 de 2009 y el Documento CONPES 3582 de 2009.</w:t>
      </w:r>
      <w:r w:rsidRPr="00D200F9">
        <w:rPr>
          <w:rFonts w:ascii="Verdana" w:eastAsia="Times New Roman" w:hAnsi="Verdana" w:cs="Arial"/>
          <w:lang w:eastAsia="es-ES_tradnl"/>
        </w:rPr>
        <w:t xml:space="preserve"> </w:t>
      </w:r>
    </w:p>
    <w:p w14:paraId="14AC7328" w14:textId="77777777" w:rsidR="00D75510" w:rsidRDefault="00D75510" w:rsidP="00D75510">
      <w:pPr>
        <w:shd w:val="clear" w:color="auto" w:fill="FFFFFF"/>
        <w:spacing w:after="120" w:line="276" w:lineRule="auto"/>
        <w:ind w:firstLine="708"/>
        <w:jc w:val="both"/>
        <w:rPr>
          <w:rFonts w:ascii="Verdana" w:hAnsi="Verdana" w:cs="Arial"/>
          <w:lang w:eastAsia="es-ES_tradnl"/>
        </w:rPr>
      </w:pPr>
      <w:r>
        <w:rPr>
          <w:rFonts w:ascii="Verdana" w:eastAsia="Times New Roman" w:hAnsi="Verdana" w:cs="Arial"/>
          <w:lang w:eastAsia="es-ES_tradnl"/>
        </w:rPr>
        <w:t xml:space="preserve">Sin embargo, para lo anterior, el INS deberá considerar el ámbito material de aplicación de dicha normativa. Por un lado, </w:t>
      </w:r>
      <w:r w:rsidRPr="00883642">
        <w:rPr>
          <w:rFonts w:ascii="Verdana" w:eastAsia="Times New Roman" w:hAnsi="Verdana" w:cs="Arial"/>
          <w:lang w:eastAsia="es-ES_tradnl"/>
        </w:rPr>
        <w:t xml:space="preserve">el Decreto Ley 393 de 1991 señala expresamente que las entidades </w:t>
      </w:r>
      <w:r w:rsidRPr="00FF528A">
        <w:rPr>
          <w:rFonts w:ascii="Verdana" w:eastAsia="Times New Roman" w:hAnsi="Verdana" w:cs="Arial"/>
          <w:lang w:eastAsia="es-ES_tradnl"/>
        </w:rPr>
        <w:t>podrán</w:t>
      </w:r>
      <w:r w:rsidRPr="00883642">
        <w:rPr>
          <w:rFonts w:ascii="Verdana" w:eastAsia="Times New Roman" w:hAnsi="Verdana" w:cs="Arial"/>
          <w:lang w:eastAsia="es-ES_tradnl"/>
        </w:rPr>
        <w:t xml:space="preserve"> asociarse con particulares mediante las tipologías allí señaladas para “adelantar actividades científicas y tecnológicas proyectos de investigación y creación de tecnologías”; por su parte, el Decreto Ley 591 de 1991 señala tipologías específicas de contratos para el fomento de actividades científicas y tecnológicas, las cuales enlista en el artículo segundo. </w:t>
      </w:r>
      <w:r>
        <w:rPr>
          <w:rFonts w:ascii="Verdana" w:eastAsia="Times New Roman" w:hAnsi="Verdana" w:cs="Arial"/>
          <w:lang w:eastAsia="es-ES_tradnl"/>
        </w:rPr>
        <w:t xml:space="preserve">De esta manera, cuando el INS contrate </w:t>
      </w:r>
      <w:r w:rsidRPr="00B26706">
        <w:rPr>
          <w:rFonts w:ascii="Verdana" w:hAnsi="Verdana" w:cs="Arial"/>
          <w:lang w:eastAsia="es-ES_tradnl"/>
        </w:rPr>
        <w:t>el fomento de las actividades de ciencia, tecnología e innovación</w:t>
      </w:r>
      <w:r>
        <w:rPr>
          <w:rFonts w:ascii="Verdana" w:hAnsi="Verdana" w:cs="Arial"/>
          <w:lang w:eastAsia="es-ES_tradnl"/>
        </w:rPr>
        <w:t xml:space="preserve">, en los términos descritos en dicho marco jurídico, </w:t>
      </w:r>
      <w:r w:rsidRPr="008D41CD">
        <w:rPr>
          <w:rFonts w:ascii="Verdana" w:hAnsi="Verdana" w:cs="Arial"/>
          <w:i/>
          <w:iCs/>
          <w:u w:val="single"/>
          <w:lang w:eastAsia="es-ES_tradnl"/>
        </w:rPr>
        <w:t xml:space="preserve">podrá </w:t>
      </w:r>
      <w:r>
        <w:rPr>
          <w:rFonts w:ascii="Verdana" w:hAnsi="Verdana" w:cs="Arial"/>
          <w:lang w:eastAsia="es-ES_tradnl"/>
        </w:rPr>
        <w:t>emplear las siguientes tipologías contractuales:</w:t>
      </w:r>
    </w:p>
    <w:p w14:paraId="36CA8DB0" w14:textId="77777777" w:rsidR="00D75510" w:rsidRDefault="00D75510" w:rsidP="00D75510">
      <w:pPr>
        <w:shd w:val="clear" w:color="auto" w:fill="FFFFFF"/>
        <w:spacing w:after="0" w:line="276" w:lineRule="auto"/>
        <w:ind w:firstLine="708"/>
        <w:jc w:val="both"/>
        <w:rPr>
          <w:rFonts w:ascii="Verdana" w:hAnsi="Verdana" w:cs="Arial"/>
          <w:lang w:eastAsia="es-ES_tradnl"/>
        </w:rPr>
      </w:pPr>
      <w:r w:rsidRPr="00B26706">
        <w:rPr>
          <w:rFonts w:ascii="Verdana" w:hAnsi="Verdana" w:cs="Arial"/>
          <w:lang w:eastAsia="es-ES_tradnl"/>
        </w:rPr>
        <w:t>(</w:t>
      </w:r>
      <w:r>
        <w:rPr>
          <w:rFonts w:ascii="Verdana" w:hAnsi="Verdana" w:cs="Arial"/>
          <w:lang w:eastAsia="es-ES_tradnl"/>
        </w:rPr>
        <w:t>1</w:t>
      </w:r>
      <w:r w:rsidRPr="00B26706">
        <w:rPr>
          <w:rFonts w:ascii="Verdana" w:hAnsi="Verdana" w:cs="Arial"/>
          <w:lang w:eastAsia="es-ES_tradnl"/>
        </w:rPr>
        <w:t xml:space="preserve">) las asociaciones dirigidas a crear sociedades civiles y comerciales, y personas jurídicas sin ánimo de lucro como fundaciones y corporaciones; </w:t>
      </w:r>
    </w:p>
    <w:p w14:paraId="13AA6FB5" w14:textId="77777777" w:rsidR="00D75510" w:rsidRDefault="00D75510" w:rsidP="00D75510">
      <w:pPr>
        <w:shd w:val="clear" w:color="auto" w:fill="FFFFFF"/>
        <w:spacing w:after="0" w:line="276" w:lineRule="auto"/>
        <w:ind w:firstLine="708"/>
        <w:jc w:val="both"/>
        <w:rPr>
          <w:rFonts w:ascii="Verdana" w:hAnsi="Verdana" w:cs="Arial"/>
          <w:lang w:eastAsia="es-ES_tradnl"/>
        </w:rPr>
      </w:pPr>
      <w:r w:rsidRPr="00B26706">
        <w:rPr>
          <w:rFonts w:ascii="Verdana" w:hAnsi="Verdana" w:cs="Arial"/>
          <w:lang w:eastAsia="es-ES_tradnl"/>
        </w:rPr>
        <w:t>(</w:t>
      </w:r>
      <w:r>
        <w:rPr>
          <w:rFonts w:ascii="Verdana" w:hAnsi="Verdana" w:cs="Arial"/>
          <w:lang w:eastAsia="es-ES_tradnl"/>
        </w:rPr>
        <w:t>2</w:t>
      </w:r>
      <w:r w:rsidRPr="00B26706">
        <w:rPr>
          <w:rFonts w:ascii="Verdana" w:hAnsi="Verdana" w:cs="Arial"/>
          <w:lang w:eastAsia="es-ES_tradnl"/>
        </w:rPr>
        <w:t xml:space="preserve">) los convenios especiales de cooperación; </w:t>
      </w:r>
    </w:p>
    <w:p w14:paraId="0C8C3345" w14:textId="77777777" w:rsidR="00D75510" w:rsidRDefault="00D75510" w:rsidP="00D75510">
      <w:pPr>
        <w:shd w:val="clear" w:color="auto" w:fill="FFFFFF"/>
        <w:spacing w:after="0" w:line="276" w:lineRule="auto"/>
        <w:ind w:firstLine="708"/>
        <w:jc w:val="both"/>
        <w:rPr>
          <w:rFonts w:ascii="Verdana" w:hAnsi="Verdana" w:cs="Arial"/>
          <w:lang w:eastAsia="es-ES_tradnl"/>
        </w:rPr>
      </w:pPr>
      <w:r w:rsidRPr="00B26706">
        <w:rPr>
          <w:rFonts w:ascii="Verdana" w:hAnsi="Verdana" w:cs="Arial"/>
          <w:lang w:eastAsia="es-ES_tradnl"/>
        </w:rPr>
        <w:t>(</w:t>
      </w:r>
      <w:r>
        <w:rPr>
          <w:rFonts w:ascii="Verdana" w:hAnsi="Verdana" w:cs="Arial"/>
          <w:lang w:eastAsia="es-ES_tradnl"/>
        </w:rPr>
        <w:t>3</w:t>
      </w:r>
      <w:r w:rsidRPr="00B26706">
        <w:rPr>
          <w:rFonts w:ascii="Verdana" w:hAnsi="Verdana" w:cs="Arial"/>
          <w:lang w:eastAsia="es-ES_tradnl"/>
        </w:rPr>
        <w:t xml:space="preserve">) los contratos de financiamiento y </w:t>
      </w:r>
    </w:p>
    <w:p w14:paraId="7997A099" w14:textId="77777777" w:rsidR="00D75510" w:rsidRDefault="00D75510" w:rsidP="00D75510">
      <w:pPr>
        <w:shd w:val="clear" w:color="auto" w:fill="FFFFFF"/>
        <w:spacing w:after="0" w:line="276" w:lineRule="auto"/>
        <w:ind w:firstLine="708"/>
        <w:jc w:val="both"/>
        <w:rPr>
          <w:rFonts w:ascii="Verdana" w:hAnsi="Verdana" w:cs="Arial"/>
          <w:lang w:eastAsia="es-ES_tradnl"/>
        </w:rPr>
      </w:pPr>
      <w:r w:rsidRPr="00B26706">
        <w:rPr>
          <w:rFonts w:ascii="Verdana" w:hAnsi="Verdana" w:cs="Arial"/>
          <w:lang w:eastAsia="es-ES_tradnl"/>
        </w:rPr>
        <w:t>(</w:t>
      </w:r>
      <w:r>
        <w:rPr>
          <w:rFonts w:ascii="Verdana" w:hAnsi="Verdana" w:cs="Arial"/>
          <w:lang w:eastAsia="es-ES_tradnl"/>
        </w:rPr>
        <w:t>4</w:t>
      </w:r>
      <w:r w:rsidRPr="00B26706">
        <w:rPr>
          <w:rFonts w:ascii="Verdana" w:hAnsi="Verdana" w:cs="Arial"/>
          <w:lang w:eastAsia="es-ES_tradnl"/>
        </w:rPr>
        <w:t xml:space="preserve">) los contratos de administración de proyectos. </w:t>
      </w:r>
    </w:p>
    <w:p w14:paraId="48F9192C" w14:textId="77777777" w:rsidR="00D75510" w:rsidRDefault="00D75510" w:rsidP="00D75510">
      <w:pPr>
        <w:shd w:val="clear" w:color="auto" w:fill="FFFFFF"/>
        <w:spacing w:before="120" w:after="0" w:line="276" w:lineRule="auto"/>
        <w:ind w:firstLine="708"/>
        <w:jc w:val="both"/>
        <w:rPr>
          <w:rFonts w:ascii="Verdana" w:eastAsia="Times New Roman" w:hAnsi="Verdana" w:cs="Arial"/>
          <w:lang w:eastAsia="es-ES_tradnl"/>
        </w:rPr>
      </w:pPr>
      <w:r>
        <w:rPr>
          <w:rFonts w:ascii="Verdana" w:hAnsi="Verdana" w:cs="Arial"/>
          <w:lang w:eastAsia="es-ES_tradnl"/>
        </w:rPr>
        <w:t xml:space="preserve">Adicionalmente, es necesario resaltar que el mismo marco jurídico referido en los </w:t>
      </w:r>
      <w:r w:rsidRPr="007048DE">
        <w:rPr>
          <w:rFonts w:ascii="Verdana" w:eastAsia="Times New Roman" w:hAnsi="Verdana" w:cs="Arial"/>
          <w:lang w:eastAsia="es-ES_tradnl"/>
        </w:rPr>
        <w:t>Decretos Ley 393 y 591 de 1991</w:t>
      </w:r>
      <w:r>
        <w:rPr>
          <w:rFonts w:ascii="Verdana" w:eastAsia="Times New Roman" w:hAnsi="Verdana" w:cs="Arial"/>
          <w:lang w:eastAsia="es-ES_tradnl"/>
        </w:rPr>
        <w:t xml:space="preserve"> señala que la implementación de estas </w:t>
      </w:r>
      <w:r>
        <w:rPr>
          <w:rFonts w:ascii="Verdana" w:eastAsia="Times New Roman" w:hAnsi="Verdana" w:cs="Arial"/>
          <w:lang w:eastAsia="es-ES_tradnl"/>
        </w:rPr>
        <w:lastRenderedPageBreak/>
        <w:t xml:space="preserve">tipologías jurídicas es </w:t>
      </w:r>
      <w:r w:rsidRPr="008D41CD">
        <w:rPr>
          <w:rFonts w:ascii="Verdana" w:eastAsia="Times New Roman" w:hAnsi="Verdana" w:cs="Arial"/>
          <w:i/>
          <w:iCs/>
          <w:u w:val="single"/>
          <w:lang w:eastAsia="es-ES_tradnl"/>
        </w:rPr>
        <w:t>facultativa</w:t>
      </w:r>
      <w:r>
        <w:rPr>
          <w:rFonts w:ascii="Verdana" w:eastAsia="Times New Roman" w:hAnsi="Verdana" w:cs="Arial"/>
          <w:lang w:eastAsia="es-ES_tradnl"/>
        </w:rPr>
        <w:t xml:space="preserve"> por parte de las entidades. De este modo, el INS podrá convenir libremente otro tipo de tipologías contractuales a </w:t>
      </w:r>
      <w:proofErr w:type="gramStart"/>
      <w:r>
        <w:rPr>
          <w:rFonts w:ascii="Verdana" w:eastAsia="Times New Roman" w:hAnsi="Verdana" w:cs="Arial"/>
          <w:lang w:eastAsia="es-ES_tradnl"/>
        </w:rPr>
        <w:t>las  reguladas</w:t>
      </w:r>
      <w:proofErr w:type="gramEnd"/>
      <w:r>
        <w:rPr>
          <w:rFonts w:ascii="Verdana" w:eastAsia="Times New Roman" w:hAnsi="Verdana" w:cs="Arial"/>
          <w:lang w:eastAsia="es-ES_tradnl"/>
        </w:rPr>
        <w:t xml:space="preserve"> en dicha normativa, en ejercicio de la autonomía de la voluntad, pues de esta manera lo previo expresamente el régimen jurídico para la contratación de actividades para el fomento científico y tecnológico al cual remite el artículo 10 del </w:t>
      </w:r>
      <w:r w:rsidRPr="00B54E85">
        <w:rPr>
          <w:rFonts w:ascii="Verdana" w:hAnsi="Verdana" w:cs="Arial"/>
          <w:lang w:eastAsia="es-ES_tradnl"/>
        </w:rPr>
        <w:t>Decreto-Ley 4109 de 2011</w:t>
      </w:r>
      <w:r>
        <w:rPr>
          <w:rFonts w:ascii="Verdana" w:eastAsia="Times New Roman" w:hAnsi="Verdana" w:cs="Arial"/>
          <w:lang w:eastAsia="es-ES_tradnl"/>
        </w:rPr>
        <w:t xml:space="preserve">. </w:t>
      </w:r>
    </w:p>
    <w:p w14:paraId="1747961D" w14:textId="77777777" w:rsidR="00D75510" w:rsidRPr="00B26706" w:rsidRDefault="00D75510" w:rsidP="00D75510">
      <w:pPr>
        <w:shd w:val="clear" w:color="auto" w:fill="FFFFFF"/>
        <w:spacing w:before="120" w:after="0" w:line="276" w:lineRule="auto"/>
        <w:ind w:firstLine="708"/>
        <w:jc w:val="both"/>
        <w:rPr>
          <w:rFonts w:ascii="Verdana" w:hAnsi="Verdana" w:cs="Arial"/>
          <w:lang w:eastAsia="es-ES_tradnl"/>
        </w:rPr>
      </w:pPr>
      <w:r>
        <w:rPr>
          <w:rFonts w:ascii="Verdana" w:hAnsi="Verdana" w:cs="Arial"/>
          <w:lang w:eastAsia="es-ES_tradnl"/>
        </w:rPr>
        <w:t>L</w:t>
      </w:r>
      <w:r w:rsidRPr="00B26706">
        <w:rPr>
          <w:rFonts w:ascii="Verdana" w:hAnsi="Verdana" w:cs="Arial"/>
          <w:lang w:eastAsia="es-ES_tradnl"/>
        </w:rPr>
        <w:t>o anterior no implica que las Entidades Estatales que contraten el desarrollo de actividades científicas y tecnológicas mediante tipologías distintas a las señaladas en el Decreto Ley 591 y el Decreto Ley 393 de 1991 puedan contratar</w:t>
      </w:r>
      <w:r>
        <w:rPr>
          <w:rFonts w:ascii="Verdana" w:hAnsi="Verdana" w:cs="Arial"/>
          <w:lang w:eastAsia="es-ES_tradnl"/>
        </w:rPr>
        <w:t xml:space="preserve"> directamente</w:t>
      </w:r>
      <w:r w:rsidRPr="00B26706">
        <w:rPr>
          <w:rFonts w:ascii="Verdana" w:hAnsi="Verdana" w:cs="Arial"/>
          <w:lang w:eastAsia="es-ES_tradnl"/>
        </w:rPr>
        <w:t xml:space="preserve"> objetos que no constituyan realmente el desarrollo de dichas actividades. </w:t>
      </w:r>
      <w:r>
        <w:rPr>
          <w:rFonts w:ascii="Verdana" w:hAnsi="Verdana" w:cs="Arial"/>
          <w:lang w:eastAsia="es-ES_tradnl"/>
        </w:rPr>
        <w:t xml:space="preserve">En línea con lo anterior, las entidades no pueden contratar directamente mediante las tipologías establecidas en el régimen de fomento de ciencia y tecnología, o acudir a la facultad de adoptar otro tipo de tipologías para la contratación de este tipo de actividades, con el fin de </w:t>
      </w:r>
      <w:r w:rsidRPr="00B26706">
        <w:rPr>
          <w:rFonts w:ascii="Verdana" w:hAnsi="Verdana" w:cs="Arial"/>
          <w:lang w:eastAsia="es-ES_tradnl"/>
        </w:rPr>
        <w:t xml:space="preserve">evadir adelantar un proceso competitivo. Sobre este punto se resalta que la contratación directa es de carácter </w:t>
      </w:r>
      <w:r w:rsidRPr="00B26706">
        <w:rPr>
          <w:rFonts w:ascii="Verdana" w:hAnsi="Verdana" w:cs="Arial"/>
          <w:i/>
          <w:iCs/>
          <w:u w:val="single"/>
          <w:lang w:eastAsia="es-ES_tradnl"/>
        </w:rPr>
        <w:t>excepcional</w:t>
      </w:r>
      <w:r w:rsidRPr="00B26706">
        <w:rPr>
          <w:rFonts w:ascii="Verdana" w:hAnsi="Verdana" w:cs="Arial"/>
          <w:i/>
          <w:iCs/>
          <w:lang w:eastAsia="es-ES_tradnl"/>
        </w:rPr>
        <w:t xml:space="preserve"> </w:t>
      </w:r>
      <w:r w:rsidRPr="00B26706">
        <w:rPr>
          <w:rFonts w:ascii="Verdana" w:hAnsi="Verdana" w:cs="Arial"/>
          <w:lang w:eastAsia="es-ES_tradnl"/>
        </w:rPr>
        <w:t>y procede exclusivamente</w:t>
      </w:r>
      <w:r>
        <w:rPr>
          <w:rFonts w:ascii="Verdana" w:hAnsi="Verdana" w:cs="Arial"/>
          <w:lang w:eastAsia="es-ES_tradnl"/>
        </w:rPr>
        <w:t xml:space="preserve"> cuando se trate de las actividades comprendidas en el alcance del régimen de contratación en comento</w:t>
      </w:r>
      <w:r w:rsidRPr="00B26706">
        <w:rPr>
          <w:rFonts w:ascii="Verdana" w:hAnsi="Verdana" w:cs="Arial"/>
          <w:lang w:eastAsia="es-ES_tradnl"/>
        </w:rPr>
        <w:t>.</w:t>
      </w:r>
      <w:r>
        <w:rPr>
          <w:rFonts w:ascii="Verdana" w:hAnsi="Verdana" w:cs="Arial"/>
          <w:lang w:eastAsia="es-ES_tradnl"/>
        </w:rPr>
        <w:t xml:space="preserve"> </w:t>
      </w:r>
      <w:r w:rsidRPr="00B26706">
        <w:rPr>
          <w:rFonts w:ascii="Verdana" w:hAnsi="Verdana" w:cs="Arial"/>
          <w:lang w:eastAsia="es-ES_tradnl"/>
        </w:rPr>
        <w:t>En esta medida, es necesario que las entidades justifiquen que se requiere para el “desarrollo de actividades científicas y tecnológicas”, independientemente de la tipología contractual que la entidad adopte para ello.</w:t>
      </w:r>
    </w:p>
    <w:p w14:paraId="305683F1" w14:textId="77777777" w:rsidR="00D75510" w:rsidRDefault="00D75510" w:rsidP="00D75510">
      <w:pPr>
        <w:shd w:val="clear" w:color="auto" w:fill="FFFFFF"/>
        <w:spacing w:before="120" w:after="0" w:line="276" w:lineRule="auto"/>
        <w:jc w:val="both"/>
        <w:rPr>
          <w:rFonts w:ascii="Verdana" w:eastAsia="Aptos" w:hAnsi="Verdana"/>
          <w:color w:val="000000"/>
          <w:shd w:val="clear" w:color="auto" w:fill="FFFFFF"/>
        </w:rPr>
      </w:pPr>
      <w:r w:rsidRPr="00B26706">
        <w:rPr>
          <w:rFonts w:ascii="Verdana" w:hAnsi="Verdana" w:cs="Arial"/>
          <w:lang w:eastAsia="es-ES_tradnl"/>
        </w:rPr>
        <w:t> </w:t>
      </w:r>
      <w:r w:rsidRPr="00B26706">
        <w:rPr>
          <w:rFonts w:ascii="Verdana" w:hAnsi="Verdana" w:cs="Arial"/>
          <w:lang w:eastAsia="es-ES_tradnl"/>
        </w:rPr>
        <w:tab/>
        <w:t>De conformidad con lo anterior, las entidades, como responsables de estructurar sus procedimientos de selección, deben definir si el objeto a contratar se encuadra en aquellas actividades consideradas científicas y tecnológicas y, en ejercicio de una debida diligencia, consultar al Ministerio sobre su calificación. Se resalta que el régimen de las actividades de ciencia, tecnología e innovación se define a partir de las normas citadas, pero corresponde al Ministerio, como autoridad competente, catalogar las actividades cuando las entidades presenten dudas respecto de un objeto contractual que pretendan satisfacer. Adicionalmente, corresponde a las entidades adelantar una debida planeación para determinar y justificar la modalidad de contratación y la tipología contractual que adopten para la satisfacción de su necesidad.</w:t>
      </w:r>
      <w:r>
        <w:rPr>
          <w:rFonts w:ascii="Verdana" w:hAnsi="Verdana" w:cs="Arial"/>
          <w:lang w:eastAsia="es-ES_tradnl"/>
        </w:rPr>
        <w:t xml:space="preserve"> </w:t>
      </w:r>
      <w:r>
        <w:rPr>
          <w:rFonts w:ascii="Verdana" w:eastAsia="Aptos" w:hAnsi="Verdana"/>
          <w:color w:val="000000"/>
          <w:shd w:val="clear" w:color="auto" w:fill="FFFFFF"/>
        </w:rPr>
        <w:t>D</w:t>
      </w:r>
      <w:r w:rsidRPr="00B26706">
        <w:rPr>
          <w:rFonts w:ascii="Verdana" w:eastAsia="Aptos" w:hAnsi="Verdana"/>
          <w:color w:val="000000"/>
          <w:shd w:val="clear" w:color="auto" w:fill="FFFFFF"/>
        </w:rPr>
        <w:t>ebe destacarse que la Agencia Nacional de Contratación Pública –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p>
    <w:p w14:paraId="0210913E" w14:textId="77777777" w:rsidR="00D75510" w:rsidRPr="00146258" w:rsidRDefault="00D75510" w:rsidP="00D75510">
      <w:pPr>
        <w:shd w:val="clear" w:color="auto" w:fill="FFFFFF"/>
        <w:spacing w:after="0" w:line="276" w:lineRule="auto"/>
        <w:jc w:val="both"/>
        <w:rPr>
          <w:rFonts w:ascii="Verdana" w:hAnsi="Verdana" w:cs="Arial"/>
          <w:lang w:eastAsia="es-ES_tradnl"/>
        </w:rPr>
      </w:pPr>
      <w:r w:rsidRPr="00B26706">
        <w:rPr>
          <w:rFonts w:ascii="Verdana" w:eastAsia="Aptos" w:hAnsi="Verdana"/>
          <w:color w:val="000000"/>
          <w:shd w:val="clear" w:color="auto" w:fill="FFFFFF"/>
        </w:rPr>
        <w:lastRenderedPageBreak/>
        <w:t> </w:t>
      </w:r>
    </w:p>
    <w:p w14:paraId="50A09F16" w14:textId="77777777" w:rsidR="00D75510" w:rsidRPr="00B26706" w:rsidRDefault="00D75510" w:rsidP="00D755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Referencias normativas, jurisprudenciales y otras fuentes:</w:t>
      </w:r>
    </w:p>
    <w:p w14:paraId="3D03E53D" w14:textId="77777777" w:rsidR="00D75510" w:rsidRPr="00B26706" w:rsidRDefault="00D75510" w:rsidP="00D75510">
      <w:pPr>
        <w:widowControl w:val="0"/>
        <w:autoSpaceDE w:val="0"/>
        <w:autoSpaceDN w:val="0"/>
        <w:spacing w:after="12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75510" w:rsidRPr="00B26706" w14:paraId="37E876CB" w14:textId="77777777" w:rsidTr="00C733E6">
        <w:trPr>
          <w:trHeight w:val="870"/>
        </w:trPr>
        <w:tc>
          <w:tcPr>
            <w:tcW w:w="8647" w:type="dxa"/>
          </w:tcPr>
          <w:p w14:paraId="597E2243" w14:textId="77777777" w:rsidR="00D75510" w:rsidRPr="00B26706" w:rsidRDefault="00D75510" w:rsidP="00C733E6">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t>Constitución Política de 1991. Artículo 355.</w:t>
            </w:r>
          </w:p>
          <w:p w14:paraId="56F53AA8" w14:textId="77777777" w:rsidR="00D75510" w:rsidRPr="00B26706" w:rsidRDefault="00D75510" w:rsidP="00C733E6">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Ley 80 de 1993. Artículo 2.</w:t>
            </w:r>
          </w:p>
          <w:p w14:paraId="18D82277" w14:textId="77777777" w:rsidR="00D75510" w:rsidRPr="00B26706" w:rsidRDefault="00D75510" w:rsidP="00C733E6">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 xml:space="preserve">Decreto-Ley 393 de 1991. </w:t>
            </w:r>
          </w:p>
          <w:p w14:paraId="36AEE421" w14:textId="77777777" w:rsidR="00D75510" w:rsidRPr="00B26706" w:rsidRDefault="00D75510" w:rsidP="00C733E6">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lang w:val="es-ES"/>
              </w:rPr>
              <w:t>Decreto-Ley 591 de 1991.</w:t>
            </w:r>
          </w:p>
          <w:p w14:paraId="6E72A8F7" w14:textId="77777777" w:rsidR="00D75510" w:rsidRPr="00B26706" w:rsidRDefault="00D75510" w:rsidP="00C733E6">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Calibri" w:hAnsi="Verdana" w:cs="Arial"/>
                <w:bCs/>
                <w:color w:val="000000" w:themeColor="text1"/>
                <w:lang w:eastAsia="es-ES_tradnl" w:bidi="es-ES"/>
              </w:rPr>
              <w:t>Ley 489 de 1998. Artículo 95.</w:t>
            </w:r>
            <w:r w:rsidRPr="00B26706">
              <w:rPr>
                <w:rFonts w:ascii="Verdana" w:eastAsia="Calibri" w:hAnsi="Verdana" w:cs="Arial"/>
                <w:lang w:val="es-ES"/>
              </w:rPr>
              <w:t xml:space="preserve"> </w:t>
            </w:r>
          </w:p>
          <w:p w14:paraId="3FC909E9" w14:textId="77777777" w:rsidR="00D75510" w:rsidRPr="00B26706" w:rsidRDefault="00D75510" w:rsidP="00C733E6">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hAnsi="Verdana" w:cs="Arial"/>
                <w:lang w:val="es-ES_tradnl" w:eastAsia="es-ES_tradnl"/>
              </w:rPr>
              <w:t>Ley 153 de 1887.</w:t>
            </w:r>
            <w:r w:rsidRPr="00B26706">
              <w:rPr>
                <w:rFonts w:ascii="Verdana" w:hAnsi="Verdana" w:cs="Arial"/>
                <w:lang w:val="es-ES" w:eastAsia="es-ES_tradnl"/>
              </w:rPr>
              <w:t xml:space="preserve"> Artículo 8.</w:t>
            </w:r>
          </w:p>
          <w:p w14:paraId="1E8E04FD" w14:textId="77777777" w:rsidR="00D75510" w:rsidRPr="00B26706" w:rsidRDefault="00D75510" w:rsidP="00C733E6">
            <w:pPr>
              <w:numPr>
                <w:ilvl w:val="0"/>
                <w:numId w:val="17"/>
              </w:numPr>
              <w:snapToGrid w:val="0"/>
              <w:spacing w:before="120" w:after="120" w:line="276" w:lineRule="auto"/>
              <w:ind w:left="714" w:hanging="357"/>
              <w:rPr>
                <w:rFonts w:ascii="Verdana" w:eastAsia="Calibri" w:hAnsi="Verdana" w:cs="Arial"/>
                <w:lang w:val="es-ES"/>
              </w:rPr>
            </w:pPr>
            <w:r w:rsidRPr="00B26706">
              <w:rPr>
                <w:rFonts w:ascii="Verdana" w:eastAsia="Times New Roman" w:hAnsi="Verdana" w:cs="Arial"/>
                <w:lang w:eastAsia="es-ES_tradnl"/>
              </w:rPr>
              <w:t>Ley 1286 de 2009</w:t>
            </w:r>
            <w:r w:rsidRPr="00B26706">
              <w:rPr>
                <w:rFonts w:ascii="Verdana" w:hAnsi="Verdana" w:cs="Arial"/>
                <w:lang w:eastAsia="es-ES_tradnl"/>
              </w:rPr>
              <w:t>. Artículo 33.</w:t>
            </w:r>
          </w:p>
          <w:p w14:paraId="4962337A" w14:textId="77777777" w:rsidR="00D75510" w:rsidRPr="00B26706" w:rsidRDefault="00D75510" w:rsidP="00C733E6">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t>Ley 1150 de 2007. Artículo 2, numeral 4, literal c) y e).</w:t>
            </w:r>
          </w:p>
          <w:p w14:paraId="575DB9CB" w14:textId="77777777" w:rsidR="00D75510" w:rsidRPr="00B26706" w:rsidRDefault="00D75510" w:rsidP="00C733E6">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val="es-ES"/>
              </w:rPr>
              <w:t>Decreto 092 de 2017.</w:t>
            </w:r>
          </w:p>
          <w:p w14:paraId="41AD7EDB" w14:textId="77777777" w:rsidR="00D75510" w:rsidRPr="00B26706" w:rsidRDefault="00D75510" w:rsidP="00C733E6">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B26706">
              <w:rPr>
                <w:rFonts w:ascii="Verdana" w:eastAsia="Calibri" w:hAnsi="Verdana" w:cs="Arial"/>
                <w:lang w:eastAsia="es-MX"/>
              </w:rPr>
              <w:t>Jurisprudencia del Consejo de Estado. Disponible en:</w:t>
            </w:r>
            <w:r w:rsidRPr="00B26706">
              <w:rPr>
                <w:rFonts w:ascii="Verdana" w:hAnsi="Verdana" w:cs="Arial"/>
                <w:color w:val="7030A0"/>
              </w:rPr>
              <w:t xml:space="preserve"> </w:t>
            </w:r>
            <w:hyperlink r:id="rId13" w:history="1">
              <w:r w:rsidRPr="00B26706">
                <w:rPr>
                  <w:rStyle w:val="Hipervnculo"/>
                  <w:rFonts w:ascii="Verdana" w:hAnsi="Verdana" w:cs="Arial"/>
                </w:rPr>
                <w:t>https://relatoria.colombiacompra.gov.co/providencias-consejo-de-estado/</w:t>
              </w:r>
            </w:hyperlink>
          </w:p>
        </w:tc>
      </w:tr>
    </w:tbl>
    <w:p w14:paraId="6C221E6A" w14:textId="77777777" w:rsidR="00D75510" w:rsidRPr="00B26706" w:rsidRDefault="00D75510" w:rsidP="00D75510">
      <w:pPr>
        <w:widowControl w:val="0"/>
        <w:autoSpaceDE w:val="0"/>
        <w:autoSpaceDN w:val="0"/>
        <w:spacing w:line="276" w:lineRule="auto"/>
        <w:jc w:val="both"/>
        <w:rPr>
          <w:rFonts w:ascii="Verdana" w:hAnsi="Verdana" w:cs="Arial"/>
        </w:rPr>
      </w:pPr>
    </w:p>
    <w:p w14:paraId="73F5AC16" w14:textId="77777777" w:rsidR="00D75510" w:rsidRPr="00B26706" w:rsidRDefault="00D75510" w:rsidP="00D7551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26706">
        <w:rPr>
          <w:rFonts w:ascii="Verdana" w:eastAsia="Century Gothic" w:hAnsi="Verdana" w:cs="Century Gothic"/>
          <w:b/>
          <w:bCs/>
        </w:rPr>
        <w:t>Doctrina de la Agencia Nacional de Contratación Pública:</w:t>
      </w:r>
    </w:p>
    <w:p w14:paraId="32D7B144" w14:textId="77777777" w:rsidR="00D75510" w:rsidRPr="00B26706" w:rsidRDefault="00D75510" w:rsidP="00D75510">
      <w:pPr>
        <w:spacing w:before="120" w:line="276" w:lineRule="auto"/>
        <w:contextualSpacing/>
        <w:jc w:val="both"/>
        <w:rPr>
          <w:rFonts w:ascii="Verdana" w:eastAsia="Aptos" w:hAnsi="Verdana" w:cs="Arial"/>
          <w:shd w:val="clear" w:color="auto" w:fill="FFFFFF"/>
          <w:lang/>
        </w:rPr>
      </w:pPr>
      <w:r w:rsidRPr="00B26706">
        <w:rPr>
          <w:rStyle w:val="normaltextrun"/>
          <w:rFonts w:ascii="Verdana" w:hAnsi="Verdana" w:cs="Arial"/>
          <w:color w:val="000000" w:themeColor="text1"/>
          <w:shd w:val="clear" w:color="auto" w:fill="FFFFFF"/>
          <w:lang w:val="es-ES"/>
        </w:rPr>
        <w:t xml:space="preserve">La Agencia Nacional de Contratación Pública – Colombia Compra Eficiente se refirió a </w:t>
      </w:r>
      <w:r w:rsidRPr="00B26706">
        <w:rPr>
          <w:rFonts w:ascii="Verdana" w:eastAsia="Aptos" w:hAnsi="Verdana" w:cs="Arial"/>
          <w:shd w:val="clear" w:color="auto" w:fill="FFFFFF"/>
          <w:lang w:val="es-ES"/>
        </w:rPr>
        <w:t xml:space="preserve">sobre las actividades relacionadas con ciencia, tecnología e innovación y los contratos y convenios para contratarlas en los conceptos C-066 del 3 de marzo de 2020, C-084 del 11 de marzo de 2020, C-236 del 6 de abril de 2020, C-036 del 1 de marzo de 2021, C-656 del 30 de noviembre de 2021, C-164 del 22 de marzo de 2022, C-131 del 28 de marzo de 2022, C-207 del 19 de abril de 2022, C-049 del 9 de mayo de 2024, C-097 del 28 de junio de 2024, C-467 del 28 de octubre de 2014, C-266 del 4 de abril de 2025, </w:t>
      </w:r>
      <w:r w:rsidRPr="00B26706">
        <w:rPr>
          <w:rFonts w:ascii="Verdana" w:eastAsia="Aptos" w:hAnsi="Verdana" w:cs="Arial"/>
          <w:shd w:val="clear" w:color="auto" w:fill="FFFFFF"/>
          <w:lang/>
        </w:rPr>
        <w:t>C-739 de 17 de julio de 2025</w:t>
      </w:r>
      <w:r>
        <w:rPr>
          <w:rFonts w:ascii="Verdana" w:eastAsia="Aptos" w:hAnsi="Verdana" w:cs="Arial"/>
          <w:shd w:val="clear" w:color="auto" w:fill="FFFFFF"/>
          <w:lang/>
        </w:rPr>
        <w:t>,</w:t>
      </w:r>
      <w:r w:rsidRPr="00B26706">
        <w:rPr>
          <w:rFonts w:ascii="Verdana" w:eastAsia="Aptos" w:hAnsi="Verdana" w:cs="Arial"/>
          <w:b/>
          <w:bCs/>
          <w:shd w:val="clear" w:color="auto" w:fill="FFFFFF"/>
          <w:lang/>
        </w:rPr>
        <w:t xml:space="preserve"> </w:t>
      </w:r>
      <w:r w:rsidRPr="00B26706">
        <w:rPr>
          <w:rFonts w:ascii="Verdana" w:eastAsia="Aptos" w:hAnsi="Verdana" w:cs="Arial"/>
          <w:shd w:val="clear" w:color="auto" w:fill="FFFFFF"/>
          <w:lang w:val="es-ES"/>
        </w:rPr>
        <w:t xml:space="preserve">entre otros. </w:t>
      </w:r>
      <w:r w:rsidRPr="00B26706">
        <w:rPr>
          <w:rFonts w:ascii="Verdana" w:hAnsi="Verdana" w:cs="Arial"/>
          <w:color w:val="000000" w:themeColor="text1"/>
          <w:shd w:val="clear" w:color="auto" w:fill="FFFFFF"/>
          <w:lang w:val="es-ES"/>
        </w:rPr>
        <w:t xml:space="preserve">Estos </w:t>
      </w:r>
      <w:r w:rsidRPr="00B26706">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4" w:history="1">
        <w:r w:rsidRPr="00B26706">
          <w:rPr>
            <w:rStyle w:val="Hipervnculo"/>
            <w:rFonts w:ascii="Verdana" w:hAnsi="Verdana" w:cs="Arial"/>
            <w:shd w:val="clear" w:color="auto" w:fill="FFFFFF"/>
            <w:lang w:val="es-ES"/>
          </w:rPr>
          <w:t>https://relatoria.colombiacompra.gov.co/busqueda/conceptos</w:t>
        </w:r>
      </w:hyperlink>
      <w:r w:rsidRPr="00B26706">
        <w:rPr>
          <w:rStyle w:val="Hipervnculo"/>
          <w:rFonts w:ascii="Verdana" w:hAnsi="Verdana"/>
          <w:lang w:val="es-ES"/>
        </w:rPr>
        <w:t>.</w:t>
      </w:r>
      <w:r w:rsidRPr="00B26706">
        <w:rPr>
          <w:rStyle w:val="normaltextrun"/>
          <w:rFonts w:ascii="Verdana" w:hAnsi="Verdana" w:cs="Arial"/>
          <w:color w:val="000000" w:themeColor="text1"/>
          <w:shd w:val="clear" w:color="auto" w:fill="FFFFFF"/>
          <w:lang w:val="es-ES"/>
        </w:rPr>
        <w:t xml:space="preserve">  </w:t>
      </w:r>
    </w:p>
    <w:p w14:paraId="17B85F7D" w14:textId="77777777" w:rsidR="00D75510" w:rsidRPr="00B26706" w:rsidRDefault="00D75510" w:rsidP="00D75510">
      <w:pPr>
        <w:spacing w:line="276" w:lineRule="auto"/>
        <w:contextualSpacing/>
        <w:jc w:val="both"/>
        <w:rPr>
          <w:rFonts w:ascii="Verdana" w:hAnsi="Verdana"/>
          <w:lang w:val="es-ES"/>
        </w:rPr>
      </w:pPr>
    </w:p>
    <w:p w14:paraId="1733F376" w14:textId="77777777" w:rsidR="00D75510" w:rsidRPr="00B26706" w:rsidRDefault="00D75510" w:rsidP="00D75510">
      <w:pPr>
        <w:spacing w:line="276" w:lineRule="auto"/>
        <w:contextualSpacing/>
        <w:jc w:val="both"/>
        <w:rPr>
          <w:rFonts w:ascii="Verdana" w:hAnsi="Verdana"/>
          <w:lang w:val="es-ES"/>
        </w:rPr>
      </w:pPr>
      <w:r w:rsidRPr="00B26706">
        <w:rPr>
          <w:rFonts w:ascii="Verdana" w:hAnsi="Verdana"/>
          <w:lang w:val="es-ES"/>
        </w:rPr>
        <w:t>También le contamos que ya se encuentra disponible la </w:t>
      </w:r>
      <w:r w:rsidRPr="00B26706">
        <w:rPr>
          <w:rFonts w:ascii="Verdana" w:hAnsi="Verdana"/>
          <w:b/>
          <w:bCs/>
          <w:lang w:val="es-ES"/>
        </w:rPr>
        <w:t xml:space="preserve">Guía de lineamientos de transparencia y selección objetiva para el departamento de La Guajira – Objetivo sexto constitucional de la Sentencia T-302 del </w:t>
      </w:r>
      <w:r w:rsidRPr="00B26706">
        <w:rPr>
          <w:rFonts w:ascii="Verdana" w:hAnsi="Verdana"/>
          <w:b/>
          <w:bCs/>
          <w:lang w:val="es-ES"/>
        </w:rPr>
        <w:lastRenderedPageBreak/>
        <w:t>2017. </w:t>
      </w:r>
      <w:r w:rsidRPr="00B26706">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26706">
        <w:rPr>
          <w:rFonts w:ascii="Verdana" w:hAnsi="Verdana"/>
          <w:lang w:val="es-ES"/>
        </w:rPr>
        <w:t>Wayúu</w:t>
      </w:r>
      <w:proofErr w:type="spellEnd"/>
      <w:r w:rsidRPr="00B26706">
        <w:rPr>
          <w:rFonts w:ascii="Verdana" w:hAnsi="Verdana"/>
          <w:lang w:val="es-ES"/>
        </w:rPr>
        <w:t>. Puede consultar la guía en el siguiente enlace: </w:t>
      </w:r>
      <w:hyperlink r:id="rId15" w:tgtFrame="_blank" w:tooltip="Original URL: https://www.colombiacompra.gov.co/wp-content/uploads/2025/05/GUIA-DE-LINEAMIENTOS-DE-TRANSPARENCIA-Y-SELECCION-OBJETIVA-1.0.pdf. Click or tap if you trust this link." w:history="1">
        <w:r w:rsidRPr="00B26706">
          <w:rPr>
            <w:rStyle w:val="Hipervnculo"/>
            <w:rFonts w:ascii="Verdana" w:hAnsi="Verdana"/>
            <w:lang w:val="es-ES"/>
          </w:rPr>
          <w:t>Guía de lineamientos de transparencia y selección objetiva para el departamento de La Guajira – Objetivo sexto constitucional de la Sentencia T-302 del 2017</w:t>
        </w:r>
      </w:hyperlink>
      <w:r w:rsidRPr="00B26706">
        <w:rPr>
          <w:rFonts w:ascii="Verdana" w:hAnsi="Verdana"/>
          <w:u w:val="single"/>
          <w:lang w:val="es-ES"/>
        </w:rPr>
        <w:t>"</w:t>
      </w:r>
    </w:p>
    <w:p w14:paraId="3F0FC06C" w14:textId="77777777" w:rsidR="00D75510" w:rsidRPr="00B26706" w:rsidRDefault="00D75510" w:rsidP="00D75510">
      <w:pPr>
        <w:spacing w:line="276" w:lineRule="auto"/>
        <w:contextualSpacing/>
        <w:jc w:val="both"/>
        <w:rPr>
          <w:rFonts w:ascii="Verdana" w:hAnsi="Verdana"/>
          <w:lang w:val="es-ES"/>
        </w:rPr>
      </w:pPr>
    </w:p>
    <w:p w14:paraId="5A55BECF" w14:textId="77777777" w:rsidR="00D75510" w:rsidRPr="00B26706" w:rsidRDefault="00D75510" w:rsidP="00D75510">
      <w:pPr>
        <w:spacing w:line="276" w:lineRule="auto"/>
        <w:contextualSpacing/>
        <w:jc w:val="both"/>
        <w:rPr>
          <w:rFonts w:ascii="Verdana" w:hAnsi="Verdana"/>
          <w:lang w:val="es-ES"/>
        </w:rPr>
      </w:pPr>
      <w:r w:rsidRPr="00B26706">
        <w:rPr>
          <w:rFonts w:ascii="Verdana" w:hAnsi="Verdana"/>
          <w:lang w:val="es-ES"/>
        </w:rPr>
        <w:t xml:space="preserve">Por último, lo invitamos a seguirnos en las redes sociales en las cuales se difunde información institucional: </w:t>
      </w:r>
    </w:p>
    <w:p w14:paraId="2685E14B" w14:textId="77777777" w:rsidR="00D75510" w:rsidRPr="00B26706" w:rsidRDefault="00D75510" w:rsidP="00D75510">
      <w:pPr>
        <w:spacing w:line="276" w:lineRule="auto"/>
        <w:contextualSpacing/>
        <w:jc w:val="both"/>
        <w:rPr>
          <w:rFonts w:ascii="Verdana" w:hAnsi="Verdana"/>
          <w:lang w:val="es-ES"/>
        </w:rPr>
      </w:pPr>
    </w:p>
    <w:p w14:paraId="7920C8C5" w14:textId="77777777" w:rsidR="00D75510" w:rsidRPr="00B26706" w:rsidRDefault="00D75510" w:rsidP="00D75510">
      <w:pPr>
        <w:spacing w:line="276" w:lineRule="auto"/>
        <w:contextualSpacing/>
        <w:jc w:val="both"/>
        <w:rPr>
          <w:rFonts w:ascii="Verdana" w:hAnsi="Verdana"/>
          <w:lang w:val="es-ES"/>
        </w:rPr>
      </w:pPr>
      <w:r w:rsidRPr="00B26706">
        <w:rPr>
          <w:rFonts w:ascii="Verdana" w:hAnsi="Verdana"/>
          <w:lang w:val="es-ES"/>
        </w:rPr>
        <w:t xml:space="preserve">Twitter: </w:t>
      </w:r>
      <w:r w:rsidRPr="00B26706">
        <w:rPr>
          <w:rStyle w:val="Hipervnculo"/>
          <w:rFonts w:ascii="Verdana" w:hAnsi="Verdana" w:cs="Arial"/>
          <w:shd w:val="clear" w:color="auto" w:fill="FFFFFF"/>
          <w:lang w:val="es-ES"/>
        </w:rPr>
        <w:t>@colombiacompra</w:t>
      </w:r>
      <w:r w:rsidRPr="00B26706">
        <w:rPr>
          <w:rFonts w:ascii="Verdana" w:hAnsi="Verdana"/>
          <w:color w:val="4472C4" w:themeColor="accent1"/>
          <w:lang w:val="es-ES"/>
        </w:rPr>
        <w:t xml:space="preserve"> </w:t>
      </w:r>
    </w:p>
    <w:p w14:paraId="79C31530" w14:textId="77777777" w:rsidR="00D75510" w:rsidRPr="00B26706" w:rsidRDefault="00D75510" w:rsidP="00D75510">
      <w:pPr>
        <w:spacing w:line="276" w:lineRule="auto"/>
        <w:contextualSpacing/>
        <w:jc w:val="both"/>
        <w:rPr>
          <w:rFonts w:ascii="Verdana" w:hAnsi="Verdana"/>
          <w:lang w:val="es-ES"/>
        </w:rPr>
      </w:pPr>
      <w:r w:rsidRPr="00B26706">
        <w:rPr>
          <w:rFonts w:ascii="Verdana" w:hAnsi="Verdana"/>
          <w:lang w:val="es-ES"/>
        </w:rPr>
        <w:t xml:space="preserve">Facebook: </w:t>
      </w:r>
      <w:proofErr w:type="spellStart"/>
      <w:r w:rsidRPr="00B26706">
        <w:rPr>
          <w:rStyle w:val="Hipervnculo"/>
          <w:rFonts w:ascii="Verdana" w:hAnsi="Verdana" w:cs="Arial"/>
          <w:shd w:val="clear" w:color="auto" w:fill="FFFFFF"/>
          <w:lang w:val="es-ES"/>
        </w:rPr>
        <w:t>ColombiaCompraEficiente</w:t>
      </w:r>
      <w:proofErr w:type="spellEnd"/>
    </w:p>
    <w:p w14:paraId="4C10DABB" w14:textId="77777777" w:rsidR="00D75510" w:rsidRPr="00B26706" w:rsidRDefault="00D75510" w:rsidP="00D75510">
      <w:pPr>
        <w:spacing w:line="276" w:lineRule="auto"/>
        <w:contextualSpacing/>
        <w:jc w:val="both"/>
        <w:rPr>
          <w:rFonts w:ascii="Verdana" w:hAnsi="Verdana"/>
          <w:lang w:val="es-ES"/>
        </w:rPr>
      </w:pPr>
      <w:r w:rsidRPr="00B26706">
        <w:rPr>
          <w:rFonts w:ascii="Verdana" w:hAnsi="Verdana"/>
          <w:lang w:val="es-ES"/>
        </w:rPr>
        <w:t xml:space="preserve">LinkedIn: </w:t>
      </w:r>
      <w:r w:rsidRPr="00B26706">
        <w:rPr>
          <w:rStyle w:val="Hipervnculo"/>
          <w:rFonts w:ascii="Verdana" w:hAnsi="Verdana" w:cs="Arial"/>
          <w:shd w:val="clear" w:color="auto" w:fill="FFFFFF"/>
          <w:lang w:val="es-ES"/>
        </w:rPr>
        <w:t xml:space="preserve">Agencia Nacional de Contratación Pública - Colombia Compra Eficiente </w:t>
      </w:r>
      <w:r w:rsidRPr="00B26706">
        <w:rPr>
          <w:rFonts w:ascii="Verdana" w:hAnsi="Verdana"/>
          <w:lang w:val="es-ES"/>
        </w:rPr>
        <w:t xml:space="preserve">Instagram: </w:t>
      </w:r>
      <w:r w:rsidRPr="00B26706">
        <w:rPr>
          <w:rStyle w:val="Hipervnculo"/>
          <w:rFonts w:ascii="Verdana" w:hAnsi="Verdana" w:cs="Arial"/>
          <w:shd w:val="clear" w:color="auto" w:fill="FFFFFF"/>
          <w:lang w:val="es-ES"/>
        </w:rPr>
        <w:t>@colombiacompraeficiente_cce</w:t>
      </w:r>
    </w:p>
    <w:p w14:paraId="3DA4215C" w14:textId="77777777" w:rsidR="00D75510" w:rsidRPr="00B26706" w:rsidRDefault="00D75510" w:rsidP="00D75510">
      <w:pPr>
        <w:widowControl w:val="0"/>
        <w:autoSpaceDE w:val="0"/>
        <w:autoSpaceDN w:val="0"/>
        <w:spacing w:line="276" w:lineRule="auto"/>
        <w:contextualSpacing/>
        <w:jc w:val="both"/>
        <w:rPr>
          <w:rFonts w:ascii="Verdana" w:hAnsi="Verdana" w:cs="Arial"/>
          <w:color w:val="000000" w:themeColor="text1"/>
          <w:lang w:val="es-ES"/>
        </w:rPr>
      </w:pPr>
    </w:p>
    <w:p w14:paraId="5CA08FB3" w14:textId="77777777" w:rsidR="00D75510" w:rsidRDefault="00D75510" w:rsidP="00D75510">
      <w:pPr>
        <w:widowControl w:val="0"/>
        <w:autoSpaceDE w:val="0"/>
        <w:autoSpaceDN w:val="0"/>
        <w:spacing w:line="276" w:lineRule="auto"/>
        <w:contextualSpacing/>
        <w:jc w:val="both"/>
        <w:rPr>
          <w:rFonts w:ascii="Verdana" w:hAnsi="Verdana" w:cs="Arial"/>
          <w:color w:val="000000" w:themeColor="text1"/>
          <w:lang w:val="es-ES"/>
        </w:rPr>
      </w:pPr>
      <w:r w:rsidRPr="00B26706">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6B5B898" w14:textId="2F5EA0B4" w:rsidR="00D75510" w:rsidRDefault="00D75510" w:rsidP="00D75510">
      <w:pPr>
        <w:widowControl w:val="0"/>
        <w:autoSpaceDE w:val="0"/>
        <w:autoSpaceDN w:val="0"/>
        <w:spacing w:line="276" w:lineRule="auto"/>
        <w:contextualSpacing/>
        <w:jc w:val="both"/>
        <w:rPr>
          <w:rFonts w:ascii="Verdana" w:hAnsi="Verdana" w:cs="Arial"/>
          <w:color w:val="000000" w:themeColor="text1"/>
          <w:lang w:val="es-ES"/>
        </w:rPr>
      </w:pPr>
    </w:p>
    <w:p w14:paraId="54776EA4" w14:textId="0C11282B" w:rsidR="00D75510" w:rsidRDefault="00D75510" w:rsidP="00D75510">
      <w:pPr>
        <w:spacing w:before="120" w:line="276" w:lineRule="auto"/>
        <w:rPr>
          <w:rFonts w:ascii="Verdana" w:hAnsi="Verdana" w:cs="Arial"/>
          <w:color w:val="000000" w:themeColor="text1"/>
          <w:lang w:val="es-ES" w:eastAsia="es-CO"/>
        </w:rPr>
      </w:pPr>
      <w:r w:rsidRPr="00B26706">
        <w:rPr>
          <w:rFonts w:ascii="Verdana" w:hAnsi="Verdana" w:cs="Arial"/>
          <w:color w:val="000000" w:themeColor="text1"/>
          <w:lang w:val="es-ES" w:eastAsia="es-CO"/>
        </w:rPr>
        <w:t xml:space="preserve">Atentamente, </w:t>
      </w:r>
    </w:p>
    <w:p w14:paraId="04DC781A" w14:textId="093EACBA" w:rsidR="00D75510" w:rsidRDefault="005D39B8" w:rsidP="00D75510">
      <w:pPr>
        <w:spacing w:before="240"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12E5B3E5" wp14:editId="597F8640">
            <wp:simplePos x="0" y="0"/>
            <wp:positionH relativeFrom="column">
              <wp:posOffset>1108246</wp:posOffset>
            </wp:positionH>
            <wp:positionV relativeFrom="page">
              <wp:posOffset>5953125</wp:posOffset>
            </wp:positionV>
            <wp:extent cx="3510280" cy="1303020"/>
            <wp:effectExtent l="0" t="0" r="0" b="508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510280" cy="1303020"/>
                    </a:xfrm>
                    <a:prstGeom prst="rect">
                      <a:avLst/>
                    </a:prstGeom>
                  </pic:spPr>
                </pic:pic>
              </a:graphicData>
            </a:graphic>
            <wp14:sizeRelH relativeFrom="page">
              <wp14:pctWidth>0</wp14:pctWidth>
            </wp14:sizeRelH>
            <wp14:sizeRelV relativeFrom="page">
              <wp14:pctHeight>0</wp14:pctHeight>
            </wp14:sizeRelV>
          </wp:anchor>
        </w:drawing>
      </w:r>
    </w:p>
    <w:p w14:paraId="09965EE2" w14:textId="77777777" w:rsidR="005D39B8" w:rsidRDefault="005D39B8" w:rsidP="00D75510">
      <w:pPr>
        <w:spacing w:before="240" w:line="276" w:lineRule="auto"/>
        <w:jc w:val="center"/>
        <w:rPr>
          <w:rFonts w:ascii="Verdana" w:hAnsi="Verdana" w:cs="Arial"/>
          <w:color w:val="000000" w:themeColor="text1"/>
          <w:lang w:val="es-ES" w:eastAsia="es-CO"/>
        </w:rPr>
      </w:pPr>
    </w:p>
    <w:p w14:paraId="11AA7333" w14:textId="7ED658DD" w:rsidR="005D39B8" w:rsidRPr="00BE53A2" w:rsidRDefault="005D39B8" w:rsidP="00D75510">
      <w:pPr>
        <w:spacing w:before="240"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75510" w:rsidRPr="00335BE0" w14:paraId="1489B7E6" w14:textId="77777777" w:rsidTr="00C733E6">
        <w:trPr>
          <w:trHeight w:val="315"/>
        </w:trPr>
        <w:tc>
          <w:tcPr>
            <w:tcW w:w="893" w:type="dxa"/>
            <w:vAlign w:val="center"/>
            <w:hideMark/>
          </w:tcPr>
          <w:p w14:paraId="18F82DDA" w14:textId="77777777" w:rsidR="00D75510" w:rsidRPr="00335BE0" w:rsidRDefault="00D75510" w:rsidP="00C733E6">
            <w:pPr>
              <w:contextualSpacing/>
              <w:rPr>
                <w:rFonts w:ascii="Verdana" w:hAnsi="Verdana" w:cs="Arial"/>
                <w:sz w:val="15"/>
                <w:szCs w:val="15"/>
                <w:lang w:val="es-ES" w:eastAsia="es-ES"/>
              </w:rPr>
            </w:pPr>
            <w:r w:rsidRPr="00335BE0">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0403C4B6" w14:textId="77777777" w:rsidR="00D75510" w:rsidRPr="00335BE0" w:rsidRDefault="00D75510" w:rsidP="00C733E6">
            <w:pPr>
              <w:contextualSpacing/>
              <w:rPr>
                <w:rFonts w:ascii="Verdana" w:eastAsia="Arial" w:hAnsi="Verdana" w:cs="Arial"/>
                <w:color w:val="000000" w:themeColor="text1"/>
                <w:sz w:val="15"/>
                <w:szCs w:val="15"/>
              </w:rPr>
            </w:pPr>
            <w:r w:rsidRPr="00335BE0">
              <w:rPr>
                <w:rFonts w:ascii="Verdana" w:eastAsia="Arial" w:hAnsi="Verdana" w:cs="Arial"/>
                <w:color w:val="000000" w:themeColor="text1"/>
                <w:sz w:val="15"/>
                <w:szCs w:val="15"/>
              </w:rPr>
              <w:t>Anamaría Bonilla Prieto</w:t>
            </w:r>
          </w:p>
          <w:p w14:paraId="1F9E3CA8" w14:textId="77777777" w:rsidR="00D75510" w:rsidRPr="00335BE0" w:rsidRDefault="00D75510" w:rsidP="00C733E6">
            <w:pPr>
              <w:contextualSpacing/>
              <w:rPr>
                <w:rFonts w:ascii="Verdana" w:eastAsia="Arial" w:hAnsi="Verdana" w:cs="Arial"/>
                <w:sz w:val="15"/>
                <w:szCs w:val="15"/>
              </w:rPr>
            </w:pPr>
            <w:r w:rsidRPr="00335BE0">
              <w:rPr>
                <w:rStyle w:val="normaltextrun"/>
                <w:rFonts w:ascii="Verdana" w:eastAsia="Arial" w:hAnsi="Verdana" w:cs="Arial"/>
                <w:color w:val="000000" w:themeColor="text1"/>
                <w:sz w:val="15"/>
                <w:szCs w:val="15"/>
              </w:rPr>
              <w:t xml:space="preserve">Contratista de la Subdirección </w:t>
            </w:r>
            <w:r w:rsidRPr="00335BE0">
              <w:rPr>
                <w:rStyle w:val="normaltextrun"/>
                <w:rFonts w:ascii="Verdana" w:eastAsia="Arial" w:hAnsi="Verdana" w:cs="Arial"/>
                <w:sz w:val="15"/>
                <w:szCs w:val="15"/>
              </w:rPr>
              <w:t>de Gestión Contractual</w:t>
            </w:r>
          </w:p>
        </w:tc>
      </w:tr>
      <w:tr w:rsidR="00D75510" w:rsidRPr="00335BE0" w14:paraId="39E269EC" w14:textId="77777777" w:rsidTr="00C733E6">
        <w:trPr>
          <w:trHeight w:val="330"/>
        </w:trPr>
        <w:tc>
          <w:tcPr>
            <w:tcW w:w="893" w:type="dxa"/>
            <w:vAlign w:val="center"/>
            <w:hideMark/>
          </w:tcPr>
          <w:p w14:paraId="0260B53F" w14:textId="77777777" w:rsidR="00D75510" w:rsidRPr="00335BE0" w:rsidRDefault="00D75510" w:rsidP="00C733E6">
            <w:pPr>
              <w:contextualSpacing/>
              <w:rPr>
                <w:rFonts w:ascii="Verdana" w:hAnsi="Verdana" w:cs="Arial"/>
                <w:sz w:val="15"/>
                <w:szCs w:val="15"/>
                <w:lang w:val="es-ES" w:eastAsia="es-ES"/>
              </w:rPr>
            </w:pPr>
            <w:r w:rsidRPr="00335BE0">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15D853" w14:textId="77777777" w:rsidR="00D75510" w:rsidRPr="00335BE0" w:rsidRDefault="00D75510" w:rsidP="00C733E6">
            <w:pPr>
              <w:contextualSpacing/>
              <w:textAlignment w:val="baseline"/>
              <w:rPr>
                <w:rFonts w:ascii="Verdana" w:eastAsia="Times New Roman" w:hAnsi="Verdana" w:cs="Arial"/>
                <w:sz w:val="15"/>
                <w:szCs w:val="15"/>
                <w:lang w:val="es-ES" w:eastAsia="es-ES_tradnl"/>
              </w:rPr>
            </w:pPr>
            <w:r w:rsidRPr="00335BE0">
              <w:rPr>
                <w:rFonts w:ascii="Verdana" w:eastAsia="Times New Roman" w:hAnsi="Verdana" w:cs="Arial"/>
                <w:sz w:val="15"/>
                <w:szCs w:val="15"/>
                <w:lang w:val="es-ES" w:eastAsia="es-ES_tradnl"/>
              </w:rPr>
              <w:t>Alejandro Sarmiento Cantillo</w:t>
            </w:r>
          </w:p>
          <w:p w14:paraId="0818C8F7" w14:textId="77777777" w:rsidR="00D75510" w:rsidRPr="00335BE0" w:rsidRDefault="00D75510" w:rsidP="00C733E6">
            <w:pPr>
              <w:pStyle w:val="paragraph"/>
              <w:spacing w:before="0" w:beforeAutospacing="0" w:after="0" w:afterAutospacing="0"/>
              <w:contextualSpacing/>
              <w:textAlignment w:val="baseline"/>
              <w:rPr>
                <w:rFonts w:ascii="Verdana" w:hAnsi="Verdana" w:cs="Segoe UI"/>
                <w:sz w:val="15"/>
                <w:szCs w:val="15"/>
              </w:rPr>
            </w:pPr>
            <w:r w:rsidRPr="00335BE0">
              <w:rPr>
                <w:rFonts w:ascii="Verdana" w:hAnsi="Verdana" w:cs="Arial"/>
                <w:sz w:val="15"/>
                <w:szCs w:val="15"/>
                <w:lang w:val="es-ES"/>
              </w:rPr>
              <w:t xml:space="preserve">Gestor T1 – 15 </w:t>
            </w:r>
            <w:r w:rsidRPr="00335BE0">
              <w:rPr>
                <w:rStyle w:val="normaltextrun"/>
                <w:rFonts w:ascii="Verdana" w:hAnsi="Verdana" w:cs="Arial"/>
                <w:sz w:val="15"/>
                <w:szCs w:val="15"/>
                <w:lang w:val="es-ES"/>
              </w:rPr>
              <w:t>de la Subdirección de Gestión Contractual</w:t>
            </w:r>
            <w:r w:rsidRPr="00335BE0">
              <w:rPr>
                <w:rStyle w:val="eop"/>
                <w:rFonts w:ascii="Verdana" w:hAnsi="Verdana" w:cs="Arial"/>
                <w:sz w:val="15"/>
                <w:szCs w:val="15"/>
                <w:lang w:val="es-ES"/>
              </w:rPr>
              <w:t> </w:t>
            </w:r>
          </w:p>
        </w:tc>
      </w:tr>
      <w:tr w:rsidR="00D75510" w:rsidRPr="00335BE0" w14:paraId="236AA9BC" w14:textId="77777777" w:rsidTr="00C733E6">
        <w:trPr>
          <w:trHeight w:val="300"/>
        </w:trPr>
        <w:tc>
          <w:tcPr>
            <w:tcW w:w="893" w:type="dxa"/>
            <w:vAlign w:val="center"/>
          </w:tcPr>
          <w:p w14:paraId="3E06536F" w14:textId="77777777" w:rsidR="00D75510" w:rsidRPr="00335BE0" w:rsidRDefault="00D75510" w:rsidP="00C733E6">
            <w:pPr>
              <w:contextualSpacing/>
              <w:rPr>
                <w:rFonts w:ascii="Verdana" w:hAnsi="Verdana" w:cs="Arial"/>
                <w:sz w:val="15"/>
                <w:szCs w:val="15"/>
                <w:lang w:val="es-ES" w:eastAsia="es-ES"/>
              </w:rPr>
            </w:pPr>
            <w:r w:rsidRPr="00335BE0">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BB94DB" w14:textId="77777777" w:rsidR="00D75510" w:rsidRPr="00335BE0" w:rsidRDefault="00D75510" w:rsidP="00C733E6">
            <w:pPr>
              <w:contextualSpacing/>
              <w:rPr>
                <w:rFonts w:ascii="Verdana" w:eastAsia="Calibri" w:hAnsi="Verdana" w:cs="Arial"/>
                <w:sz w:val="15"/>
                <w:szCs w:val="15"/>
                <w:lang w:val="pt-BR" w:eastAsia="es-ES"/>
              </w:rPr>
            </w:pPr>
            <w:r w:rsidRPr="00335BE0">
              <w:rPr>
                <w:rFonts w:ascii="Verdana" w:eastAsia="Calibri" w:hAnsi="Verdana" w:cs="Arial"/>
                <w:sz w:val="15"/>
                <w:szCs w:val="15"/>
                <w:lang w:val="pt-BR" w:eastAsia="es-ES"/>
              </w:rPr>
              <w:t>Carolina Quintero Gacharná</w:t>
            </w:r>
          </w:p>
          <w:p w14:paraId="1E4A4CA2" w14:textId="77777777" w:rsidR="00D75510" w:rsidRPr="00335BE0" w:rsidRDefault="00D75510" w:rsidP="00C733E6">
            <w:pPr>
              <w:contextualSpacing/>
              <w:rPr>
                <w:rFonts w:ascii="Verdana" w:eastAsia="Calibri" w:hAnsi="Verdana" w:cs="Arial"/>
                <w:sz w:val="15"/>
                <w:szCs w:val="15"/>
                <w:lang w:val="pt-BR" w:eastAsia="es-ES"/>
              </w:rPr>
            </w:pPr>
            <w:r w:rsidRPr="00335BE0">
              <w:rPr>
                <w:rFonts w:ascii="Verdana" w:eastAsia="Calibri" w:hAnsi="Verdana" w:cs="Arial"/>
                <w:sz w:val="15"/>
                <w:szCs w:val="15"/>
                <w:lang w:eastAsia="es-ES"/>
              </w:rPr>
              <w:t>Subdirectora</w:t>
            </w:r>
            <w:r w:rsidRPr="00335BE0">
              <w:rPr>
                <w:rFonts w:ascii="Verdana" w:eastAsia="Calibri" w:hAnsi="Verdana" w:cs="Arial"/>
                <w:sz w:val="15"/>
                <w:szCs w:val="15"/>
                <w:lang w:val="pt-BR" w:eastAsia="es-ES"/>
              </w:rPr>
              <w:t xml:space="preserve"> de Gestión Contractual ANCP – CCE</w:t>
            </w:r>
          </w:p>
        </w:tc>
      </w:tr>
    </w:tbl>
    <w:p w14:paraId="760EB9D8" w14:textId="77777777" w:rsidR="00D75510" w:rsidRPr="004F6FE2" w:rsidRDefault="00D75510" w:rsidP="00D75510"/>
    <w:p w14:paraId="0F293BF4" w14:textId="26127281" w:rsidR="00127233" w:rsidRPr="00A4627D" w:rsidRDefault="00127233" w:rsidP="00A4627D"/>
    <w:sectPr w:rsidR="00127233" w:rsidRPr="00A4627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92839" w14:textId="77777777" w:rsidR="00164385" w:rsidRDefault="00164385" w:rsidP="004A1847">
      <w:pPr>
        <w:spacing w:after="0" w:line="240" w:lineRule="auto"/>
      </w:pPr>
      <w:r>
        <w:separator/>
      </w:r>
    </w:p>
  </w:endnote>
  <w:endnote w:type="continuationSeparator" w:id="0">
    <w:p w14:paraId="6ED1ADD5" w14:textId="77777777" w:rsidR="00164385" w:rsidRDefault="00164385" w:rsidP="004A1847">
      <w:pPr>
        <w:spacing w:after="0" w:line="240" w:lineRule="auto"/>
      </w:pPr>
      <w:r>
        <w:continuationSeparator/>
      </w:r>
    </w:p>
  </w:endnote>
  <w:endnote w:type="continuationNotice" w:id="1">
    <w:p w14:paraId="04326206" w14:textId="77777777" w:rsidR="00164385" w:rsidRDefault="001643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CCA50" w14:textId="77777777" w:rsidR="00164385" w:rsidRDefault="00164385" w:rsidP="004A1847">
      <w:pPr>
        <w:spacing w:after="0" w:line="240" w:lineRule="auto"/>
      </w:pPr>
      <w:r>
        <w:separator/>
      </w:r>
    </w:p>
  </w:footnote>
  <w:footnote w:type="continuationSeparator" w:id="0">
    <w:p w14:paraId="649BF77B" w14:textId="77777777" w:rsidR="00164385" w:rsidRDefault="00164385" w:rsidP="004A1847">
      <w:pPr>
        <w:spacing w:after="0" w:line="240" w:lineRule="auto"/>
      </w:pPr>
      <w:r>
        <w:continuationSeparator/>
      </w:r>
    </w:p>
  </w:footnote>
  <w:footnote w:type="continuationNotice" w:id="1">
    <w:p w14:paraId="0A4277B9" w14:textId="77777777" w:rsidR="00164385" w:rsidRDefault="00164385">
      <w:pPr>
        <w:spacing w:after="0" w:line="240" w:lineRule="auto"/>
      </w:pPr>
    </w:p>
  </w:footnote>
  <w:footnote w:id="2">
    <w:p w14:paraId="117E1509" w14:textId="77777777" w:rsidR="00D75510" w:rsidRPr="00481C72" w:rsidRDefault="00D75510" w:rsidP="00D75510">
      <w:pPr>
        <w:pStyle w:val="Textonotapie"/>
        <w:ind w:firstLine="708"/>
        <w:contextualSpacing/>
        <w:jc w:val="both"/>
        <w:rPr>
          <w:rFonts w:ascii="Verdana" w:hAnsi="Verdana"/>
          <w:sz w:val="16"/>
          <w:szCs w:val="16"/>
        </w:rPr>
      </w:pPr>
      <w:r w:rsidRPr="00481C72">
        <w:rPr>
          <w:rStyle w:val="Refdenotaalpie"/>
          <w:rFonts w:ascii="Verdana" w:hAnsi="Verdana" w:cs="Arial"/>
          <w:sz w:val="16"/>
          <w:szCs w:val="16"/>
        </w:rPr>
        <w:footnoteRef/>
      </w:r>
      <w:r w:rsidRPr="00481C72">
        <w:rPr>
          <w:rFonts w:ascii="Verdana" w:hAnsi="Verdana" w:cs="Arial"/>
          <w:sz w:val="16"/>
          <w:szCs w:val="16"/>
        </w:rPr>
        <w:t xml:space="preserve"> </w:t>
      </w:r>
      <w:r w:rsidRPr="00481C72">
        <w:rPr>
          <w:rFonts w:ascii="Verdana" w:hAnsi="Verdana"/>
          <w:sz w:val="16"/>
          <w:szCs w:val="16"/>
        </w:rPr>
        <w:t>Por la cual se modifica la Ley 29 de 1990, se transforma a Colciencias en Departamento Administrativo, se fortalece el Sistema Nacional de Ciencia, Tecnología e Innovación&lt;</w:t>
      </w:r>
      <w:hyperlink r:id="rId1" w:anchor="1" w:history="1">
        <w:r w:rsidRPr="00481C72">
          <w:rPr>
            <w:rFonts w:ascii="Verdana" w:hAnsi="Verdana"/>
            <w:sz w:val="16"/>
            <w:szCs w:val="16"/>
          </w:rPr>
          <w:t>1</w:t>
        </w:r>
      </w:hyperlink>
      <w:r w:rsidRPr="00481C72">
        <w:rPr>
          <w:rFonts w:ascii="Verdana" w:hAnsi="Verdana"/>
          <w:sz w:val="16"/>
          <w:szCs w:val="16"/>
        </w:rPr>
        <w:t>&gt; en Colombia y se dictan otras disposiciones.</w:t>
      </w:r>
    </w:p>
  </w:footnote>
  <w:footnote w:id="3">
    <w:p w14:paraId="2CF9B730" w14:textId="77777777" w:rsidR="00D75510" w:rsidRPr="00481C72" w:rsidRDefault="00D75510" w:rsidP="00D75510">
      <w:pPr>
        <w:pStyle w:val="Textonotapie"/>
        <w:ind w:firstLine="708"/>
        <w:contextualSpacing/>
        <w:jc w:val="both"/>
        <w:rPr>
          <w:rFonts w:ascii="Verdana" w:hAnsi="Verdana"/>
          <w:sz w:val="16"/>
          <w:szCs w:val="16"/>
        </w:rPr>
      </w:pPr>
      <w:r w:rsidRPr="00481C72">
        <w:rPr>
          <w:rStyle w:val="Refdenotaalpie"/>
          <w:rFonts w:ascii="Verdana" w:hAnsi="Verdana"/>
          <w:sz w:val="16"/>
          <w:szCs w:val="16"/>
        </w:rPr>
        <w:footnoteRef/>
      </w:r>
      <w:r w:rsidRPr="00481C72">
        <w:rPr>
          <w:rFonts w:ascii="Verdana" w:hAnsi="Verdana"/>
          <w:sz w:val="16"/>
          <w:szCs w:val="16"/>
        </w:rPr>
        <w:t xml:space="preserve"> Decreto Ley 393 de 1991. “Artículo 1°. Modalidades de asociación. Para adelantar actividades científicas y tecnológicas proyectos de investigación y creación de tecnologías, la Nación y sus entidades descentralizadas podrán asociarse con los particulares bajo dos modalidades. </w:t>
      </w:r>
    </w:p>
    <w:p w14:paraId="02F579C4" w14:textId="77777777" w:rsidR="00D75510" w:rsidRPr="00481C72" w:rsidRDefault="00D75510" w:rsidP="00D75510">
      <w:pPr>
        <w:pStyle w:val="Textonotapie"/>
        <w:ind w:firstLine="708"/>
        <w:contextualSpacing/>
        <w:jc w:val="both"/>
        <w:rPr>
          <w:rFonts w:ascii="Verdana" w:hAnsi="Verdana"/>
          <w:sz w:val="16"/>
          <w:szCs w:val="16"/>
        </w:rPr>
      </w:pPr>
      <w:r w:rsidRPr="00481C72">
        <w:rPr>
          <w:rFonts w:ascii="Verdana" w:hAnsi="Verdana"/>
          <w:sz w:val="16"/>
          <w:szCs w:val="16"/>
        </w:rPr>
        <w:t>1. Mediante la creación y organización de sociedades civiles y comerciales y personas jurídicas sin ánimo de lucro como corporaciones y fundaciones. </w:t>
      </w:r>
    </w:p>
    <w:p w14:paraId="1E4D1911" w14:textId="77777777" w:rsidR="00D75510" w:rsidRPr="00481C72" w:rsidRDefault="00D75510" w:rsidP="00D75510">
      <w:pPr>
        <w:pStyle w:val="Textonotapie"/>
        <w:ind w:firstLine="708"/>
        <w:contextualSpacing/>
        <w:jc w:val="both"/>
        <w:rPr>
          <w:rFonts w:ascii="Verdana" w:hAnsi="Verdana"/>
          <w:sz w:val="16"/>
          <w:szCs w:val="16"/>
        </w:rPr>
      </w:pPr>
      <w:r w:rsidRPr="00481C72">
        <w:rPr>
          <w:rFonts w:ascii="Verdana" w:hAnsi="Verdana"/>
          <w:sz w:val="16"/>
          <w:szCs w:val="16"/>
        </w:rPr>
        <w:t>2. Mediante la celebración de convenios especiales de cooperación”. </w:t>
      </w:r>
    </w:p>
    <w:p w14:paraId="0EC751E3" w14:textId="77777777" w:rsidR="00D75510" w:rsidRPr="00481C72" w:rsidRDefault="00D75510" w:rsidP="00D75510">
      <w:pPr>
        <w:pStyle w:val="Textonotapie"/>
        <w:ind w:firstLine="708"/>
        <w:contextualSpacing/>
        <w:jc w:val="both"/>
        <w:rPr>
          <w:rFonts w:ascii="Verdana" w:hAnsi="Verdana"/>
          <w:sz w:val="16"/>
          <w:szCs w:val="16"/>
          <w:lang/>
        </w:rPr>
      </w:pPr>
      <w:r w:rsidRPr="00481C72">
        <w:rPr>
          <w:rFonts w:ascii="Verdana" w:hAnsi="Verdana"/>
          <w:sz w:val="16"/>
          <w:szCs w:val="16"/>
          <w:lang/>
        </w:rPr>
        <w:t>“Artículo 6°. Convenio especial de cooperación. Para adelantar actividades científicas y tecnológicas, proyectos de investigación y creación de tecnologías, la Nación y sus entidades descentralizadas podrán celebrar con los particulares convenios especiales de cooperación, que no darán lugar al nacimiento de una nueva persona jurídica. En virtud de estos convenios las personas que los celebren aportan recursos de distinto tipo para facilitar fomentar, desarrollar y alcanzar en común algunos de los propósitos contemplados en el artículo segundo”. </w:t>
      </w:r>
    </w:p>
  </w:footnote>
  <w:footnote w:id="4">
    <w:p w14:paraId="0F9D1822" w14:textId="77777777" w:rsidR="00D75510" w:rsidRPr="00481C72" w:rsidRDefault="00D75510" w:rsidP="00D75510">
      <w:pPr>
        <w:pStyle w:val="Textonotapie"/>
        <w:ind w:firstLine="708"/>
        <w:contextualSpacing/>
        <w:jc w:val="both"/>
        <w:rPr>
          <w:rFonts w:ascii="Verdana" w:hAnsi="Verdana"/>
          <w:sz w:val="16"/>
          <w:szCs w:val="16"/>
          <w:lang w:val="es-ES"/>
        </w:rPr>
      </w:pPr>
      <w:r w:rsidRPr="00481C72">
        <w:rPr>
          <w:rStyle w:val="Refdenotaalpie"/>
          <w:rFonts w:ascii="Verdana" w:hAnsi="Verdana"/>
          <w:sz w:val="16"/>
          <w:szCs w:val="16"/>
        </w:rPr>
        <w:footnoteRef/>
      </w:r>
      <w:r w:rsidRPr="00481C72">
        <w:rPr>
          <w:rFonts w:ascii="Verdana" w:hAnsi="Verdana"/>
          <w:sz w:val="16"/>
          <w:szCs w:val="16"/>
        </w:rPr>
        <w:t xml:space="preserve"> </w:t>
      </w:r>
      <w:r w:rsidRPr="00481C72">
        <w:rPr>
          <w:rFonts w:ascii="Verdana" w:hAnsi="Verdana"/>
          <w:sz w:val="16"/>
          <w:szCs w:val="16"/>
          <w:lang w:val="es-CO"/>
        </w:rPr>
        <w:t>Consejo de Estado. Sala de Consulta y Servicio Civil. Concepto del ocho (08) de marzo de dos mil diecisiete (2017). Radicación número: 11001-03-06-000-2016-00102-00(2298). C.P. Edgar González López.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546F3E"/>
    <w:multiLevelType w:val="hybridMultilevel"/>
    <w:tmpl w:val="0E1E106C"/>
    <w:lvl w:ilvl="0" w:tplc="04090017">
      <w:start w:val="1"/>
      <w:numFmt w:val="lowerLetter"/>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32396957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1A15"/>
    <w:rsid w:val="000A683E"/>
    <w:rsid w:val="000B19B9"/>
    <w:rsid w:val="000D0334"/>
    <w:rsid w:val="000F6486"/>
    <w:rsid w:val="00123DF3"/>
    <w:rsid w:val="001249BC"/>
    <w:rsid w:val="00125105"/>
    <w:rsid w:val="00127233"/>
    <w:rsid w:val="001620A6"/>
    <w:rsid w:val="00164385"/>
    <w:rsid w:val="001977D9"/>
    <w:rsid w:val="001E4177"/>
    <w:rsid w:val="001F7DC6"/>
    <w:rsid w:val="002421BB"/>
    <w:rsid w:val="0025796E"/>
    <w:rsid w:val="002707A2"/>
    <w:rsid w:val="00283F8C"/>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3258B"/>
    <w:rsid w:val="0044528D"/>
    <w:rsid w:val="004465D7"/>
    <w:rsid w:val="00454ABF"/>
    <w:rsid w:val="004A1847"/>
    <w:rsid w:val="004A305D"/>
    <w:rsid w:val="004F21C4"/>
    <w:rsid w:val="004F685F"/>
    <w:rsid w:val="00503FFD"/>
    <w:rsid w:val="005566E8"/>
    <w:rsid w:val="00574867"/>
    <w:rsid w:val="00591460"/>
    <w:rsid w:val="005C3777"/>
    <w:rsid w:val="005C5CDC"/>
    <w:rsid w:val="005D39B8"/>
    <w:rsid w:val="005D476C"/>
    <w:rsid w:val="006219F8"/>
    <w:rsid w:val="006302F7"/>
    <w:rsid w:val="00656571"/>
    <w:rsid w:val="00665D70"/>
    <w:rsid w:val="006900D9"/>
    <w:rsid w:val="006A760C"/>
    <w:rsid w:val="00706C16"/>
    <w:rsid w:val="007567F7"/>
    <w:rsid w:val="00756841"/>
    <w:rsid w:val="007649AB"/>
    <w:rsid w:val="00771D0C"/>
    <w:rsid w:val="007833AC"/>
    <w:rsid w:val="007B268C"/>
    <w:rsid w:val="007B7171"/>
    <w:rsid w:val="007C0C0F"/>
    <w:rsid w:val="007C3DC2"/>
    <w:rsid w:val="007E5497"/>
    <w:rsid w:val="00806F5F"/>
    <w:rsid w:val="00820278"/>
    <w:rsid w:val="00867F95"/>
    <w:rsid w:val="008843B6"/>
    <w:rsid w:val="008914AC"/>
    <w:rsid w:val="00891928"/>
    <w:rsid w:val="00897A3A"/>
    <w:rsid w:val="008A0025"/>
    <w:rsid w:val="008A446D"/>
    <w:rsid w:val="008C6EBE"/>
    <w:rsid w:val="008D180B"/>
    <w:rsid w:val="008F0EA7"/>
    <w:rsid w:val="008F153B"/>
    <w:rsid w:val="008F6397"/>
    <w:rsid w:val="00906564"/>
    <w:rsid w:val="00923EEF"/>
    <w:rsid w:val="009419F9"/>
    <w:rsid w:val="0095188E"/>
    <w:rsid w:val="0095685E"/>
    <w:rsid w:val="00961B09"/>
    <w:rsid w:val="00965334"/>
    <w:rsid w:val="0097093E"/>
    <w:rsid w:val="009A0DFA"/>
    <w:rsid w:val="009A340F"/>
    <w:rsid w:val="009B25A8"/>
    <w:rsid w:val="009B2D26"/>
    <w:rsid w:val="009C71FA"/>
    <w:rsid w:val="009C72E7"/>
    <w:rsid w:val="009D3058"/>
    <w:rsid w:val="009E3F40"/>
    <w:rsid w:val="009F3A13"/>
    <w:rsid w:val="00A122D3"/>
    <w:rsid w:val="00A17F13"/>
    <w:rsid w:val="00A20739"/>
    <w:rsid w:val="00A33C78"/>
    <w:rsid w:val="00A37D1E"/>
    <w:rsid w:val="00A4627D"/>
    <w:rsid w:val="00AB0ADB"/>
    <w:rsid w:val="00AC1059"/>
    <w:rsid w:val="00AD1CEB"/>
    <w:rsid w:val="00B00C0E"/>
    <w:rsid w:val="00B01B1A"/>
    <w:rsid w:val="00B44A47"/>
    <w:rsid w:val="00B72CD3"/>
    <w:rsid w:val="00B72FFF"/>
    <w:rsid w:val="00BC3D36"/>
    <w:rsid w:val="00BD7F72"/>
    <w:rsid w:val="00C04FB3"/>
    <w:rsid w:val="00C330EB"/>
    <w:rsid w:val="00C5626F"/>
    <w:rsid w:val="00C754BE"/>
    <w:rsid w:val="00C76B1C"/>
    <w:rsid w:val="00CB6357"/>
    <w:rsid w:val="00CC1B26"/>
    <w:rsid w:val="00D423A2"/>
    <w:rsid w:val="00D520D8"/>
    <w:rsid w:val="00D56210"/>
    <w:rsid w:val="00D63AC2"/>
    <w:rsid w:val="00D7383B"/>
    <w:rsid w:val="00D75510"/>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19AB"/>
    <w:rsid w:val="00F666C4"/>
    <w:rsid w:val="00F76AFC"/>
    <w:rsid w:val="00F97412"/>
    <w:rsid w:val="00FA47C0"/>
    <w:rsid w:val="00FB5DD1"/>
    <w:rsid w:val="00FC2B5D"/>
    <w:rsid w:val="00FD58AC"/>
    <w:rsid w:val="00FD6F78"/>
    <w:rsid w:val="00FF1449"/>
    <w:rsid w:val="25257AD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7551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7551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providencias-consejo-de-estad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ivasquez@ins.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286_2009.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5540D49-5E92-4C8D-9789-BD17CFEF14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openxmlformats.org/package/2006/metadata/core-properties"/>
    <ds:schemaRef ds:uri="http://purl.org/dc/dcmitype/"/>
    <ds:schemaRef ds:uri="http://purl.org/dc/elements/1.1/"/>
    <ds:schemaRef ds:uri="http://schemas.microsoft.com/office/2006/documentManagement/types"/>
    <ds:schemaRef ds:uri="a6cb9e4b-f1d1-4245-83ec-6cad768d538a"/>
    <ds:schemaRef ds:uri="http://schemas.microsoft.com/office/infopath/2007/PartnerControls"/>
    <ds:schemaRef ds:uri="9d85dbaf-23eb-4e57-a637-93dcacc8b1a1"/>
    <ds:schemaRef ds:uri="http://schemas.microsoft.com/office/2006/metadata/properties"/>
    <ds:schemaRef ds:uri="http://www.w3.org/XML/1998/namespace"/>
    <ds:schemaRef ds:uri="http://purl.org/dc/te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14</Pages>
  <Words>4815</Words>
  <Characters>26483</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2025-10-21T15:25:00Z</dcterms:created>
  <dcterms:modified xsi:type="dcterms:W3CDTF">2025-10-21T15:25:00Z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