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F2A9E" w14:textId="77777777" w:rsidR="00725273" w:rsidRPr="005534FB" w:rsidRDefault="00725273" w:rsidP="00725273">
      <w:pPr>
        <w:spacing w:after="0" w:line="240" w:lineRule="auto"/>
        <w:jc w:val="both"/>
        <w:rPr>
          <w:rFonts w:ascii="Verdana" w:eastAsia="Calibri" w:hAnsi="Verdana" w:cs="Arial"/>
          <w:b/>
          <w:bCs/>
          <w:color w:val="000000" w:themeColor="text1"/>
          <w:sz w:val="20"/>
          <w:szCs w:val="20"/>
          <w:lang w:val="es-ES_tradnl"/>
        </w:rPr>
      </w:pPr>
    </w:p>
    <w:p w14:paraId="6D02D3E0" w14:textId="77777777" w:rsidR="00725273" w:rsidRPr="005534FB" w:rsidRDefault="00725273" w:rsidP="00725273">
      <w:pPr>
        <w:spacing w:after="0" w:line="240" w:lineRule="auto"/>
        <w:jc w:val="both"/>
        <w:rPr>
          <w:rFonts w:ascii="Verdana" w:eastAsia="Calibri" w:hAnsi="Verdana" w:cs="Arial"/>
          <w:b/>
          <w:color w:val="000000"/>
          <w:lang w:val="es-ES_tradnl"/>
        </w:rPr>
      </w:pPr>
      <w:r w:rsidRPr="005534FB">
        <w:rPr>
          <w:rFonts w:ascii="Verdana" w:eastAsia="Calibri" w:hAnsi="Verdana" w:cs="Arial"/>
          <w:b/>
          <w:color w:val="000000"/>
          <w:lang w:val="es-ES_tradnl"/>
        </w:rPr>
        <w:t xml:space="preserve">ASOCIACIONES PÚBLICO PRIVADAS – Formas de colaboración </w:t>
      </w:r>
    </w:p>
    <w:p w14:paraId="20872878" w14:textId="77777777" w:rsidR="00725273" w:rsidRPr="005534FB" w:rsidRDefault="00725273" w:rsidP="00725273">
      <w:pPr>
        <w:tabs>
          <w:tab w:val="left" w:pos="1816"/>
        </w:tabs>
        <w:spacing w:after="0" w:line="240" w:lineRule="auto"/>
        <w:jc w:val="both"/>
        <w:rPr>
          <w:rFonts w:ascii="Verdana" w:eastAsia="Calibri" w:hAnsi="Verdana" w:cs="Arial"/>
          <w:b/>
          <w:color w:val="000000"/>
          <w:sz w:val="20"/>
          <w:szCs w:val="20"/>
          <w:lang w:val="es-ES_tradnl"/>
        </w:rPr>
      </w:pPr>
      <w:r w:rsidRPr="005534FB">
        <w:rPr>
          <w:rFonts w:ascii="Verdana" w:eastAsia="Calibri" w:hAnsi="Verdana" w:cs="Arial"/>
          <w:b/>
          <w:color w:val="000000"/>
          <w:sz w:val="20"/>
          <w:szCs w:val="20"/>
          <w:lang w:val="es-ES_tradnl"/>
        </w:rPr>
        <w:t xml:space="preserve"> </w:t>
      </w:r>
      <w:r w:rsidRPr="005534FB">
        <w:rPr>
          <w:rFonts w:ascii="Verdana" w:eastAsia="Calibri" w:hAnsi="Verdana" w:cs="Arial"/>
          <w:b/>
          <w:color w:val="000000"/>
          <w:sz w:val="20"/>
          <w:szCs w:val="20"/>
          <w:lang w:val="es-ES_tradnl"/>
        </w:rPr>
        <w:tab/>
      </w:r>
      <w:r w:rsidRPr="005534FB">
        <w:rPr>
          <w:rFonts w:ascii="Verdana" w:eastAsia="Calibri" w:hAnsi="Verdana" w:cs="Arial"/>
          <w:color w:val="000000"/>
          <w:sz w:val="20"/>
          <w:szCs w:val="20"/>
          <w:lang w:val="es-ES_tradnl"/>
        </w:rPr>
        <w:t xml:space="preserve"> </w:t>
      </w:r>
    </w:p>
    <w:p w14:paraId="7C28533D" w14:textId="77777777" w:rsidR="00725273" w:rsidRPr="005534FB" w:rsidRDefault="00725273" w:rsidP="00725273">
      <w:pPr>
        <w:spacing w:after="0" w:line="240" w:lineRule="auto"/>
        <w:jc w:val="both"/>
        <w:rPr>
          <w:rFonts w:ascii="Verdana" w:eastAsia="Calibri" w:hAnsi="Verdana" w:cs="Arial"/>
          <w:color w:val="000000"/>
          <w:sz w:val="20"/>
          <w:szCs w:val="20"/>
          <w:lang w:val="es-ES"/>
        </w:rPr>
      </w:pPr>
      <w:r w:rsidRPr="005534FB">
        <w:rPr>
          <w:rFonts w:ascii="Verdana" w:eastAsia="Calibri" w:hAnsi="Verdana" w:cs="Arial"/>
          <w:color w:val="000000" w:themeColor="text1"/>
          <w:sz w:val="20"/>
          <w:szCs w:val="20"/>
          <w:lang w:val="es-ES"/>
        </w:rPr>
        <w:t>Las asociaciones público privadas – APP– son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 Así lo consideró la Corte Constitucional, expresando lo siguiente:</w:t>
      </w:r>
    </w:p>
    <w:p w14:paraId="320E4E96" w14:textId="77777777" w:rsidR="00725273" w:rsidRPr="005534FB" w:rsidRDefault="00725273" w:rsidP="00725273">
      <w:pPr>
        <w:spacing w:after="0" w:line="240" w:lineRule="auto"/>
        <w:jc w:val="both"/>
        <w:rPr>
          <w:rFonts w:ascii="Verdana" w:eastAsia="Calibri" w:hAnsi="Verdana" w:cs="Arial"/>
          <w:color w:val="000000"/>
          <w:sz w:val="20"/>
          <w:szCs w:val="20"/>
          <w:lang w:val="es-ES_tradnl"/>
        </w:rPr>
      </w:pPr>
    </w:p>
    <w:p w14:paraId="69E99AE5" w14:textId="77777777" w:rsidR="00725273" w:rsidRPr="005534FB" w:rsidRDefault="00725273" w:rsidP="00725273">
      <w:pPr>
        <w:spacing w:after="0" w:line="240" w:lineRule="auto"/>
        <w:jc w:val="both"/>
        <w:rPr>
          <w:rFonts w:ascii="Verdana" w:hAnsi="Verdana" w:cs="Arial"/>
          <w:noProof/>
          <w:color w:val="000000" w:themeColor="text1"/>
          <w:sz w:val="20"/>
          <w:szCs w:val="20"/>
          <w:lang w:val="es-ES"/>
        </w:rPr>
      </w:pPr>
      <w:r w:rsidRPr="005534FB">
        <w:rPr>
          <w:rFonts w:ascii="Verdana" w:eastAsia="Calibri" w:hAnsi="Verdana" w:cs="Arial"/>
          <w:color w:val="000000" w:themeColor="text1"/>
          <w:sz w:val="20"/>
          <w:szCs w:val="20"/>
          <w:lang w:val="es-ES"/>
        </w:rPr>
        <w:t>Las APP se caracterizan por: (i) tener una larga duración; (</w:t>
      </w:r>
      <w:proofErr w:type="spellStart"/>
      <w:r w:rsidRPr="005534FB">
        <w:rPr>
          <w:rFonts w:ascii="Verdana" w:eastAsia="Calibri" w:hAnsi="Verdana" w:cs="Arial"/>
          <w:color w:val="000000" w:themeColor="text1"/>
          <w:sz w:val="20"/>
          <w:szCs w:val="20"/>
          <w:lang w:val="es-ES"/>
        </w:rPr>
        <w:t>ii</w:t>
      </w:r>
      <w:proofErr w:type="spellEnd"/>
      <w:r w:rsidRPr="005534FB">
        <w:rPr>
          <w:rFonts w:ascii="Verdana" w:eastAsia="Calibri" w:hAnsi="Verdana" w:cs="Arial"/>
          <w:color w:val="000000" w:themeColor="text1"/>
          <w:sz w:val="20"/>
          <w:szCs w:val="20"/>
          <w:lang w:val="es-ES"/>
        </w:rPr>
        <w:t>) definir sus objetos alrededor de proyectos, lo que conlleva la previsión de actividades como el diseño, construcción y mantenimiento de la infraestructura pública sobre la que verse el contrato y/o los servicios asociados; (</w:t>
      </w:r>
      <w:proofErr w:type="spellStart"/>
      <w:r w:rsidRPr="005534FB">
        <w:rPr>
          <w:rFonts w:ascii="Verdana" w:eastAsia="Calibri" w:hAnsi="Verdana" w:cs="Arial"/>
          <w:color w:val="000000" w:themeColor="text1"/>
          <w:sz w:val="20"/>
          <w:szCs w:val="20"/>
          <w:lang w:val="es-ES"/>
        </w:rPr>
        <w:t>iii</w:t>
      </w:r>
      <w:proofErr w:type="spellEnd"/>
      <w:r w:rsidRPr="005534FB">
        <w:rPr>
          <w:rFonts w:ascii="Verdana" w:eastAsia="Calibri" w:hAnsi="Verdana" w:cs="Arial"/>
          <w:color w:val="000000" w:themeColor="text1"/>
          <w:sz w:val="20"/>
          <w:szCs w:val="20"/>
          <w:lang w:val="es-ES"/>
        </w:rPr>
        <w:t>) contar con financiación privada o público-privada; (</w:t>
      </w:r>
      <w:proofErr w:type="spellStart"/>
      <w:r w:rsidRPr="005534FB">
        <w:rPr>
          <w:rFonts w:ascii="Verdana" w:eastAsia="Calibri" w:hAnsi="Verdana" w:cs="Arial"/>
          <w:color w:val="000000" w:themeColor="text1"/>
          <w:sz w:val="20"/>
          <w:szCs w:val="20"/>
          <w:lang w:val="es-ES"/>
        </w:rPr>
        <w:t>iv</w:t>
      </w:r>
      <w:proofErr w:type="spellEnd"/>
      <w:r w:rsidRPr="005534FB">
        <w:rPr>
          <w:rFonts w:ascii="Verdana" w:eastAsia="Calibri" w:hAnsi="Verdana" w:cs="Arial"/>
          <w:color w:val="000000" w:themeColor="text1"/>
          <w:sz w:val="20"/>
          <w:szCs w:val="20"/>
          <w:lang w:val="es-ES"/>
        </w:rPr>
        <w:t>) establecer como forma de remuneración el otorgamiento del derecho a la explotación de la infraestructura o servicio, aunque en algunos casos es posible pactar el desembolso de recursos públicos; (v) condicionar la remuneración a niveles de calidad; (vi) trasladar parte importante de los riesgos al contratista –por ejemplo, los asociados al diseño, niveles de demanda, deterioro y mantenimiento de la infraestructura- según su capacidad y experiencia; y (</w:t>
      </w:r>
      <w:proofErr w:type="spellStart"/>
      <w:r w:rsidRPr="005534FB">
        <w:rPr>
          <w:rFonts w:ascii="Verdana" w:eastAsia="Calibri" w:hAnsi="Verdana" w:cs="Arial"/>
          <w:color w:val="000000" w:themeColor="text1"/>
          <w:sz w:val="20"/>
          <w:szCs w:val="20"/>
          <w:lang w:val="es-ES"/>
        </w:rPr>
        <w:t>vii</w:t>
      </w:r>
      <w:proofErr w:type="spellEnd"/>
      <w:r w:rsidRPr="005534FB">
        <w:rPr>
          <w:rFonts w:ascii="Verdana" w:eastAsia="Calibri" w:hAnsi="Verdana" w:cs="Arial"/>
          <w:color w:val="000000" w:themeColor="text1"/>
          <w:sz w:val="20"/>
          <w:szCs w:val="20"/>
          <w:lang w:val="es-ES"/>
        </w:rPr>
        <w:t>) distribuir las tareas entre las partes de acuerdo con su experiencia y ventaja competitiva.</w:t>
      </w:r>
    </w:p>
    <w:p w14:paraId="41E82B31" w14:textId="77777777" w:rsidR="00725273" w:rsidRPr="005534FB" w:rsidRDefault="00725273" w:rsidP="00725273">
      <w:pPr>
        <w:spacing w:after="0" w:line="240" w:lineRule="auto"/>
        <w:jc w:val="both"/>
        <w:rPr>
          <w:rFonts w:ascii="Verdana" w:eastAsia="Calibri" w:hAnsi="Verdana" w:cs="Arial"/>
          <w:b/>
          <w:color w:val="000000"/>
          <w:sz w:val="20"/>
          <w:szCs w:val="20"/>
          <w:lang w:val="es-ES_tradnl"/>
        </w:rPr>
      </w:pPr>
    </w:p>
    <w:p w14:paraId="02CDD524" w14:textId="77777777" w:rsidR="00725273" w:rsidRPr="005534FB" w:rsidRDefault="00725273" w:rsidP="00725273">
      <w:pPr>
        <w:spacing w:after="0" w:line="240" w:lineRule="auto"/>
        <w:jc w:val="both"/>
        <w:rPr>
          <w:rFonts w:ascii="Verdana" w:eastAsia="Calibri" w:hAnsi="Verdana" w:cs="Arial"/>
          <w:b/>
          <w:color w:val="000000"/>
          <w:lang w:val="es-ES_tradnl"/>
        </w:rPr>
      </w:pPr>
      <w:r w:rsidRPr="005534FB">
        <w:rPr>
          <w:rFonts w:ascii="Verdana" w:eastAsia="Calibri" w:hAnsi="Verdana" w:cs="Arial"/>
          <w:b/>
          <w:color w:val="000000"/>
          <w:lang w:val="es-ES_tradnl"/>
        </w:rPr>
        <w:t>ASOCIACIONES PÚBLICO PRIVADAS – Concepto – Ley 1508 de 2012</w:t>
      </w:r>
    </w:p>
    <w:p w14:paraId="2D766D7E" w14:textId="77777777" w:rsidR="00725273" w:rsidRPr="005534FB" w:rsidRDefault="00725273" w:rsidP="00725273">
      <w:pPr>
        <w:spacing w:after="0" w:line="240" w:lineRule="auto"/>
        <w:jc w:val="both"/>
        <w:rPr>
          <w:rFonts w:ascii="Verdana" w:hAnsi="Verdana" w:cs="Arial"/>
          <w:noProof/>
          <w:color w:val="000000" w:themeColor="text1"/>
          <w:sz w:val="20"/>
          <w:szCs w:val="20"/>
          <w:lang w:val="es-ES_tradnl"/>
        </w:rPr>
      </w:pPr>
    </w:p>
    <w:p w14:paraId="33534315" w14:textId="77777777" w:rsidR="00725273" w:rsidRPr="005534FB" w:rsidRDefault="00725273" w:rsidP="00725273">
      <w:pPr>
        <w:tabs>
          <w:tab w:val="left" w:pos="709"/>
        </w:tabs>
        <w:spacing w:after="0" w:line="240" w:lineRule="auto"/>
        <w:jc w:val="both"/>
        <w:rPr>
          <w:rFonts w:ascii="Verdana" w:eastAsia="Calibri" w:hAnsi="Verdana" w:cs="Arial"/>
          <w:color w:val="000000"/>
          <w:sz w:val="20"/>
          <w:szCs w:val="20"/>
          <w:lang w:val="es-ES_tradnl"/>
        </w:rPr>
      </w:pPr>
      <w:r w:rsidRPr="005534FB">
        <w:rPr>
          <w:rFonts w:ascii="Verdana" w:eastAsia="Calibri" w:hAnsi="Verdana" w:cs="Arial"/>
          <w:color w:val="000000"/>
          <w:sz w:val="20"/>
          <w:szCs w:val="20"/>
          <w:lang w:val="es-ES_tradnl"/>
        </w:rPr>
        <w:t xml:space="preserve">La Ley 1508 de 2012, </w:t>
      </w:r>
      <w:r>
        <w:rPr>
          <w:rFonts w:ascii="Verdana" w:eastAsia="Calibri" w:hAnsi="Verdana" w:cs="Arial"/>
          <w:color w:val="000000"/>
          <w:sz w:val="20"/>
          <w:szCs w:val="20"/>
          <w:lang w:val="es-ES_tradnl"/>
        </w:rPr>
        <w:t>“</w:t>
      </w:r>
      <w:r w:rsidRPr="005534FB">
        <w:rPr>
          <w:rFonts w:ascii="Verdana" w:eastAsia="Calibri" w:hAnsi="Verdana" w:cs="Arial"/>
          <w:color w:val="000000"/>
          <w:sz w:val="20"/>
          <w:szCs w:val="20"/>
          <w:lang w:val="es-ES_tradnl"/>
        </w:rPr>
        <w:t>Por la cual se establece el régimen jurídico de las Asociaciones Público Privadas, se dictan normas orgánicas de presupuesto y se dictan otras disposiciones</w:t>
      </w:r>
      <w:r>
        <w:rPr>
          <w:rFonts w:ascii="Verdana" w:eastAsia="Calibri" w:hAnsi="Verdana" w:cs="Arial"/>
          <w:color w:val="000000"/>
          <w:sz w:val="20"/>
          <w:szCs w:val="20"/>
          <w:lang w:val="es-ES_tradnl"/>
        </w:rPr>
        <w:t>”</w:t>
      </w:r>
      <w:r w:rsidRPr="005534FB">
        <w:rPr>
          <w:rFonts w:ascii="Verdana" w:eastAsia="Calibri" w:hAnsi="Verdana" w:cs="Arial"/>
          <w:color w:val="000000"/>
          <w:sz w:val="20"/>
          <w:szCs w:val="20"/>
          <w:lang w:val="es-ES_tradnl"/>
        </w:rPr>
        <w:t>, en el artículo 1, definió las asociaciones público privadas –APP– de la siguiente manera:</w:t>
      </w:r>
    </w:p>
    <w:p w14:paraId="1C4151FA" w14:textId="77777777" w:rsidR="00725273" w:rsidRPr="005534FB" w:rsidRDefault="00725273" w:rsidP="00725273">
      <w:pPr>
        <w:tabs>
          <w:tab w:val="left" w:pos="709"/>
        </w:tabs>
        <w:spacing w:after="0" w:line="240" w:lineRule="auto"/>
        <w:jc w:val="both"/>
        <w:rPr>
          <w:rFonts w:ascii="Verdana" w:eastAsia="Calibri" w:hAnsi="Verdana" w:cs="Arial"/>
          <w:color w:val="000000"/>
          <w:sz w:val="20"/>
          <w:szCs w:val="20"/>
          <w:lang w:val="es-ES_tradnl"/>
        </w:rPr>
      </w:pPr>
    </w:p>
    <w:p w14:paraId="10F29307" w14:textId="77777777" w:rsidR="00725273" w:rsidRPr="005534FB" w:rsidRDefault="00725273" w:rsidP="00725273">
      <w:pPr>
        <w:tabs>
          <w:tab w:val="left" w:pos="709"/>
        </w:tabs>
        <w:spacing w:after="0" w:line="240" w:lineRule="auto"/>
        <w:jc w:val="both"/>
        <w:rPr>
          <w:rFonts w:ascii="Verdana" w:eastAsia="Calibri" w:hAnsi="Verdana" w:cs="Arial"/>
          <w:color w:val="000000"/>
          <w:sz w:val="20"/>
          <w:szCs w:val="20"/>
          <w:lang w:val="es-ES_tradnl"/>
        </w:rPr>
      </w:pPr>
      <w:r w:rsidRPr="005534FB">
        <w:rPr>
          <w:rFonts w:ascii="Verdana" w:eastAsia="Calibri" w:hAnsi="Verdana" w:cs="Arial"/>
          <w:color w:val="000000"/>
          <w:sz w:val="20"/>
          <w:szCs w:val="20"/>
          <w:lang w:val="es-ES_tradnl"/>
        </w:rPr>
        <w:t>Las Asociaciones Público Privadas son un instrumento de vinculación de capital privado, que se materializan en un contrato entre una entidad estatal y una persona natural o jurídica de derecho privado, para la provisión de bienes públicos y de sus servicios relacionados, que involucra la retención y transferencia de riesgos entre las partes y mecanismos de pago, relacionados con la disponibilidad y el nivel de servicio de la infraestructura y/o servicio.</w:t>
      </w:r>
    </w:p>
    <w:p w14:paraId="44FF37A7" w14:textId="77777777" w:rsidR="00725273" w:rsidRPr="005534FB" w:rsidRDefault="00725273" w:rsidP="00725273">
      <w:pPr>
        <w:spacing w:after="0" w:line="240" w:lineRule="auto"/>
        <w:jc w:val="both"/>
        <w:rPr>
          <w:rFonts w:ascii="Verdana" w:hAnsi="Verdana" w:cs="Arial"/>
          <w:noProof/>
          <w:color w:val="000000" w:themeColor="text1"/>
          <w:sz w:val="20"/>
          <w:szCs w:val="20"/>
          <w:lang w:val="es-ES_tradnl"/>
        </w:rPr>
      </w:pPr>
    </w:p>
    <w:p w14:paraId="0E06DFC8" w14:textId="77777777" w:rsidR="00725273" w:rsidRPr="005534FB" w:rsidRDefault="00725273" w:rsidP="00725273">
      <w:pPr>
        <w:spacing w:after="0" w:line="240" w:lineRule="auto"/>
        <w:jc w:val="both"/>
        <w:rPr>
          <w:rFonts w:ascii="Verdana" w:eastAsia="Calibri" w:hAnsi="Verdana" w:cs="Arial"/>
          <w:b/>
          <w:color w:val="000000"/>
          <w:lang w:val="es-ES_tradnl"/>
        </w:rPr>
      </w:pPr>
      <w:r w:rsidRPr="005534FB">
        <w:rPr>
          <w:rFonts w:ascii="Verdana" w:eastAsia="Calibri" w:hAnsi="Verdana" w:cs="Arial"/>
          <w:b/>
          <w:color w:val="000000"/>
          <w:lang w:val="es-ES_tradnl"/>
        </w:rPr>
        <w:t>TIPOS DE APP – De iniciativa pública – De iniciativa privada</w:t>
      </w:r>
    </w:p>
    <w:p w14:paraId="38C3B487" w14:textId="77777777" w:rsidR="00725273" w:rsidRPr="005534FB" w:rsidRDefault="00725273" w:rsidP="00725273">
      <w:pPr>
        <w:spacing w:after="0" w:line="240" w:lineRule="auto"/>
        <w:jc w:val="both"/>
        <w:rPr>
          <w:rFonts w:ascii="Verdana" w:hAnsi="Verdana" w:cs="Arial"/>
          <w:noProof/>
          <w:color w:val="000000" w:themeColor="text1"/>
          <w:sz w:val="20"/>
          <w:szCs w:val="20"/>
          <w:lang w:val="es-ES_tradnl"/>
        </w:rPr>
      </w:pPr>
    </w:p>
    <w:p w14:paraId="46F173B6" w14:textId="77777777" w:rsidR="00725273" w:rsidRPr="005534FB" w:rsidRDefault="00725273" w:rsidP="00725273">
      <w:pPr>
        <w:tabs>
          <w:tab w:val="left" w:pos="709"/>
        </w:tabs>
        <w:spacing w:after="0" w:line="240" w:lineRule="auto"/>
        <w:jc w:val="both"/>
        <w:rPr>
          <w:rFonts w:ascii="Verdana" w:eastAsia="Calibri" w:hAnsi="Verdana" w:cs="Arial"/>
          <w:color w:val="000000"/>
          <w:sz w:val="20"/>
          <w:szCs w:val="20"/>
          <w:lang w:val="es-ES_tradnl"/>
        </w:rPr>
      </w:pPr>
      <w:r w:rsidRPr="005534FB">
        <w:rPr>
          <w:rFonts w:ascii="Verdana" w:eastAsia="Calibri" w:hAnsi="Verdana" w:cs="Arial"/>
          <w:color w:val="000000"/>
          <w:sz w:val="20"/>
          <w:szCs w:val="20"/>
          <w:lang w:val="es-ES_tradnl"/>
        </w:rPr>
        <w:t xml:space="preserve">La Ley 1508 de 2012 regula dos tipos de proyecto de asociación público privada: i) los de iniciativa pública y </w:t>
      </w:r>
      <w:proofErr w:type="spellStart"/>
      <w:r w:rsidRPr="005534FB">
        <w:rPr>
          <w:rFonts w:ascii="Verdana" w:eastAsia="Calibri" w:hAnsi="Verdana" w:cs="Arial"/>
          <w:color w:val="000000"/>
          <w:sz w:val="20"/>
          <w:szCs w:val="20"/>
          <w:lang w:val="es-ES_tradnl"/>
        </w:rPr>
        <w:t>ii</w:t>
      </w:r>
      <w:proofErr w:type="spellEnd"/>
      <w:r w:rsidRPr="005534FB">
        <w:rPr>
          <w:rFonts w:ascii="Verdana" w:eastAsia="Calibri" w:hAnsi="Verdana" w:cs="Arial"/>
          <w:color w:val="000000"/>
          <w:sz w:val="20"/>
          <w:szCs w:val="20"/>
          <w:lang w:val="es-ES_tradnl"/>
        </w:rPr>
        <w:t>) los de iniciativa privada. En relación con los primeros, es la entidad estatal la que estructura el proyecto y realiza la invitación a participar en el proceso de selección. En los segundos, son los particulares quienes elaboran la propuesta, previa estructuración del proyecto, por su cuenta y riesgo. Los proyectos de asociación pública privada de iniciativa pública o privada, a su vez, se clasifican en dos modalidades: a) los que requieren el desembolso de recursos públicos y b) los que no necesitan dicho desembolso.</w:t>
      </w:r>
    </w:p>
    <w:p w14:paraId="37F0F0B3" w14:textId="77777777" w:rsidR="00725273" w:rsidRPr="00462654" w:rsidRDefault="00725273" w:rsidP="00725273">
      <w:pPr>
        <w:tabs>
          <w:tab w:val="left" w:pos="709"/>
        </w:tabs>
        <w:spacing w:after="0" w:line="240" w:lineRule="auto"/>
        <w:jc w:val="both"/>
        <w:rPr>
          <w:rFonts w:ascii="Verdana" w:eastAsia="Calibri" w:hAnsi="Verdana" w:cs="Arial"/>
          <w:bCs/>
          <w:sz w:val="20"/>
          <w:szCs w:val="20"/>
          <w:lang w:val="es-ES_tradnl" w:eastAsia="es-ES_tradnl"/>
        </w:rPr>
      </w:pPr>
    </w:p>
    <w:p w14:paraId="314EC5DD" w14:textId="77777777" w:rsidR="00725273" w:rsidRPr="00462654" w:rsidRDefault="00725273" w:rsidP="00725273">
      <w:pPr>
        <w:spacing w:after="0" w:line="240" w:lineRule="auto"/>
        <w:jc w:val="both"/>
        <w:rPr>
          <w:rFonts w:ascii="Verdana" w:eastAsia="Calibri" w:hAnsi="Verdana" w:cs="Arial"/>
          <w:b/>
          <w:color w:val="000000" w:themeColor="text1"/>
          <w:lang w:val="es-ES_tradnl"/>
        </w:rPr>
      </w:pPr>
      <w:r w:rsidRPr="00E73F3F">
        <w:rPr>
          <w:rFonts w:ascii="Verdana" w:eastAsia="Calibri" w:hAnsi="Verdana" w:cs="Arial"/>
          <w:b/>
          <w:color w:val="000000" w:themeColor="text1"/>
          <w:lang w:val="es-ES_tradnl"/>
        </w:rPr>
        <w:t>CONTRATO ESTATAL – Deber de vigilancia y control</w:t>
      </w:r>
      <w:r w:rsidRPr="00462654">
        <w:rPr>
          <w:rFonts w:ascii="Verdana" w:eastAsia="Calibri" w:hAnsi="Verdana" w:cs="Arial"/>
          <w:b/>
          <w:color w:val="000000" w:themeColor="text1"/>
          <w:lang w:val="es-ES_tradnl"/>
        </w:rPr>
        <w:t xml:space="preserve"> </w:t>
      </w:r>
    </w:p>
    <w:p w14:paraId="36098A06" w14:textId="77777777" w:rsidR="00725273" w:rsidRPr="00462654" w:rsidRDefault="00725273" w:rsidP="00725273">
      <w:pPr>
        <w:spacing w:after="0" w:line="240" w:lineRule="auto"/>
        <w:jc w:val="both"/>
        <w:rPr>
          <w:rFonts w:ascii="Verdana" w:eastAsia="Calibri" w:hAnsi="Verdana" w:cs="Arial"/>
          <w:bCs/>
          <w:color w:val="000000" w:themeColor="text1"/>
          <w:sz w:val="20"/>
          <w:szCs w:val="20"/>
          <w:lang w:val="es-ES_tradnl"/>
        </w:rPr>
      </w:pPr>
    </w:p>
    <w:p w14:paraId="2700E0BF" w14:textId="77777777" w:rsidR="00725273" w:rsidRPr="009E2388" w:rsidRDefault="00725273" w:rsidP="00725273">
      <w:pPr>
        <w:spacing w:after="0" w:line="240" w:lineRule="auto"/>
        <w:jc w:val="both"/>
        <w:rPr>
          <w:rFonts w:ascii="Verdana" w:eastAsia="Calibri" w:hAnsi="Verdana" w:cs="Arial"/>
          <w:bCs/>
          <w:color w:val="000000" w:themeColor="text1"/>
          <w:sz w:val="20"/>
          <w:szCs w:val="20"/>
          <w:lang w:val="es-ES_tradnl" w:eastAsia="es-ES_tradnl"/>
        </w:rPr>
      </w:pPr>
      <w:r w:rsidRPr="00E73F3F">
        <w:rPr>
          <w:rFonts w:ascii="Verdana" w:eastAsia="Calibri" w:hAnsi="Verdana" w:cs="Arial"/>
          <w:bCs/>
          <w:color w:val="000000" w:themeColor="text1"/>
          <w:sz w:val="20"/>
          <w:szCs w:val="20"/>
          <w:lang w:val="es-ES_tradnl" w:eastAsia="es-ES_tradnl"/>
        </w:rPr>
        <w:t xml:space="preserve">[…] los artículos 4, 5, 12, 14 y 26 </w:t>
      </w:r>
      <w:r w:rsidRPr="00F85355">
        <w:rPr>
          <w:rFonts w:ascii="Verdana" w:eastAsia="Calibri" w:hAnsi="Verdana" w:cs="Arial"/>
          <w:bCs/>
          <w:i/>
          <w:iCs/>
          <w:color w:val="000000" w:themeColor="text1"/>
          <w:sz w:val="20"/>
          <w:szCs w:val="20"/>
          <w:lang w:val="es-ES_tradnl" w:eastAsia="es-ES_tradnl"/>
        </w:rPr>
        <w:t>ibidem</w:t>
      </w:r>
      <w:r w:rsidRPr="00E73F3F">
        <w:rPr>
          <w:rFonts w:ascii="Verdana" w:eastAsia="Calibri" w:hAnsi="Verdana" w:cs="Arial"/>
          <w:bCs/>
          <w:color w:val="000000" w:themeColor="text1"/>
          <w:sz w:val="20"/>
          <w:szCs w:val="20"/>
          <w:lang w:val="es-ES_tradnl" w:eastAsia="es-ES_tradnl"/>
        </w:rPr>
        <w:t xml:space="preserve"> consagran normas relacionadas con el control y vigilancia de la ejecución de los contratos estatales. Estas disposiciones establecen, entre otros aspectos, la obligación de las entidades estatales de velar por el correcto y oportuno cumplimiento de las prestaciones del contrato, incluyendo las especificaciones de los bienes, obras y servicios,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r w:rsidRPr="00462654">
        <w:rPr>
          <w:rFonts w:ascii="Verdana" w:eastAsia="Calibri" w:hAnsi="Verdana" w:cs="Arial"/>
          <w:bCs/>
          <w:color w:val="000000" w:themeColor="text1"/>
          <w:sz w:val="20"/>
          <w:szCs w:val="20"/>
          <w:lang w:val="es-ES_tradnl" w:eastAsia="es-ES_tradnl"/>
        </w:rPr>
        <w:t xml:space="preserve"> </w:t>
      </w:r>
    </w:p>
    <w:p w14:paraId="67BACDAF" w14:textId="77777777" w:rsidR="00725273" w:rsidRPr="00462654" w:rsidRDefault="00725273" w:rsidP="00725273">
      <w:pPr>
        <w:spacing w:after="0" w:line="240" w:lineRule="auto"/>
        <w:rPr>
          <w:rFonts w:ascii="Verdana" w:eastAsia="Geomanist Light" w:hAnsi="Verdana" w:cs="Arial"/>
          <w:color w:val="000000" w:themeColor="text1"/>
          <w:sz w:val="20"/>
          <w:szCs w:val="20"/>
          <w:lang w:val="es-ES_tradnl"/>
        </w:rPr>
      </w:pPr>
    </w:p>
    <w:p w14:paraId="0471ABAA" w14:textId="77777777" w:rsidR="00725273" w:rsidRPr="00462654" w:rsidRDefault="00725273" w:rsidP="00725273">
      <w:pPr>
        <w:spacing w:after="0" w:line="240" w:lineRule="auto"/>
        <w:jc w:val="both"/>
        <w:rPr>
          <w:rFonts w:ascii="Verdana" w:eastAsia="Calibri" w:hAnsi="Verdana" w:cs="Arial"/>
          <w:b/>
          <w:lang w:val="es-ES_tradnl"/>
        </w:rPr>
      </w:pPr>
      <w:r w:rsidRPr="00F85355">
        <w:rPr>
          <w:rFonts w:ascii="Verdana" w:eastAsia="Calibri" w:hAnsi="Verdana" w:cs="Arial"/>
          <w:b/>
          <w:lang w:val="es-ES_tradnl"/>
        </w:rPr>
        <w:t>INTERVENTORÍA – Características</w:t>
      </w:r>
    </w:p>
    <w:p w14:paraId="17D33A41" w14:textId="77777777" w:rsidR="00725273" w:rsidRPr="00462654" w:rsidRDefault="00725273" w:rsidP="00725273">
      <w:pPr>
        <w:spacing w:after="0" w:line="240" w:lineRule="auto"/>
        <w:jc w:val="both"/>
        <w:rPr>
          <w:rFonts w:ascii="Verdana" w:eastAsia="Calibri" w:hAnsi="Verdana" w:cs="Arial"/>
          <w:b/>
          <w:sz w:val="20"/>
          <w:szCs w:val="20"/>
          <w:lang w:val="es-ES_tradnl"/>
        </w:rPr>
      </w:pPr>
    </w:p>
    <w:p w14:paraId="1D6E8A82" w14:textId="77777777" w:rsidR="00725273" w:rsidRPr="009E2388" w:rsidRDefault="00725273" w:rsidP="00725273">
      <w:pPr>
        <w:spacing w:after="0" w:line="240" w:lineRule="auto"/>
        <w:jc w:val="both"/>
        <w:rPr>
          <w:rFonts w:ascii="Verdana" w:eastAsia="Calibri" w:hAnsi="Verdana" w:cs="Arial"/>
          <w:bCs/>
          <w:sz w:val="20"/>
          <w:szCs w:val="20"/>
          <w:lang w:val="es-ES_tradnl"/>
        </w:rPr>
      </w:pPr>
      <w:r w:rsidRPr="00F85355">
        <w:rPr>
          <w:rFonts w:ascii="Verdana" w:eastAsia="Calibri" w:hAnsi="Verdana" w:cs="Arial"/>
          <w:bCs/>
          <w:sz w:val="20"/>
          <w:szCs w:val="20"/>
          <w:lang w:val="es-ES_tradnl"/>
        </w:rPr>
        <w:t xml:space="preserve">La interventoría: i) será un mecanismo de vigilancia contingente en la medida que solo es obligatorio para el seguimiento de los contratos de obra adjudicados por licitación pública ‒art. 32, numeral 1‒; en los demás casos se requerirá cuando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el seguimiento del contrato suponga conocimiento especializado en la materia, o cuando la complejidad o la extensión </w:t>
      </w:r>
      <w:proofErr w:type="gramStart"/>
      <w:r w:rsidRPr="00F85355">
        <w:rPr>
          <w:rFonts w:ascii="Verdana" w:eastAsia="Calibri" w:hAnsi="Verdana" w:cs="Arial"/>
          <w:bCs/>
          <w:sz w:val="20"/>
          <w:szCs w:val="20"/>
          <w:lang w:val="es-ES_tradnl"/>
        </w:rPr>
        <w:t>del mismo</w:t>
      </w:r>
      <w:proofErr w:type="gramEnd"/>
      <w:r w:rsidRPr="00F85355">
        <w:rPr>
          <w:rFonts w:ascii="Verdana" w:eastAsia="Calibri" w:hAnsi="Verdana" w:cs="Arial"/>
          <w:bCs/>
          <w:sz w:val="20"/>
          <w:szCs w:val="20"/>
          <w:lang w:val="es-ES_tradnl"/>
        </w:rPr>
        <w:t xml:space="preserve"> lo justifiquen</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Ley 1474 de 2011‒. </w:t>
      </w:r>
      <w:proofErr w:type="spellStart"/>
      <w:r w:rsidRPr="00F85355">
        <w:rPr>
          <w:rFonts w:ascii="Verdana" w:eastAsia="Calibri" w:hAnsi="Verdana" w:cs="Arial"/>
          <w:bCs/>
          <w:sz w:val="20"/>
          <w:szCs w:val="20"/>
          <w:lang w:val="es-ES_tradnl"/>
        </w:rPr>
        <w:t>ii</w:t>
      </w:r>
      <w:proofErr w:type="spellEnd"/>
      <w:r w:rsidRPr="00F85355">
        <w:rPr>
          <w:rFonts w:ascii="Verdana" w:eastAsia="Calibri" w:hAnsi="Verdana" w:cs="Arial"/>
          <w:bCs/>
          <w:sz w:val="20"/>
          <w:szCs w:val="20"/>
          <w:lang w:val="es-ES_tradnl"/>
        </w:rPr>
        <w:t xml:space="preserve">) Este mecanismo de vigilancia exige, en su ejecución, la utilización de conocimientos especializados. </w:t>
      </w:r>
      <w:proofErr w:type="spellStart"/>
      <w:r w:rsidRPr="00F85355">
        <w:rPr>
          <w:rFonts w:ascii="Verdana" w:eastAsia="Calibri" w:hAnsi="Verdana" w:cs="Arial"/>
          <w:bCs/>
          <w:sz w:val="20"/>
          <w:szCs w:val="20"/>
          <w:lang w:val="es-ES_tradnl"/>
        </w:rPr>
        <w:t>iii</w:t>
      </w:r>
      <w:proofErr w:type="spellEnd"/>
      <w:r w:rsidRPr="00F85355">
        <w:rPr>
          <w:rFonts w:ascii="Verdana" w:eastAsia="Calibri" w:hAnsi="Verdana" w:cs="Arial"/>
          <w:bCs/>
          <w:sz w:val="20"/>
          <w:szCs w:val="20"/>
          <w:lang w:val="es-ES_tradnl"/>
        </w:rPr>
        <w:t xml:space="preserve">) Por lo anterior, la entidad contrata un experto a través de un concurso de méritos, al tratarse la interventoría de una especie del contrato de consultoría ‒art. 32, numeral 2, inciso 2, Ley 80 de 1993 ‒, de manera que la interventoría es realizada por una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persona natural o jurídica contratada para tal fin por la Entidad Estatal</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Ley 1474‒. </w:t>
      </w:r>
      <w:proofErr w:type="spellStart"/>
      <w:r w:rsidRPr="00F85355">
        <w:rPr>
          <w:rFonts w:ascii="Verdana" w:eastAsia="Calibri" w:hAnsi="Verdana" w:cs="Arial"/>
          <w:bCs/>
          <w:sz w:val="20"/>
          <w:szCs w:val="20"/>
          <w:lang w:val="es-ES_tradnl"/>
        </w:rPr>
        <w:t>iv</w:t>
      </w:r>
      <w:proofErr w:type="spellEnd"/>
      <w:r w:rsidRPr="00F85355">
        <w:rPr>
          <w:rFonts w:ascii="Verdana" w:eastAsia="Calibri" w:hAnsi="Verdana" w:cs="Arial"/>
          <w:bCs/>
          <w:sz w:val="20"/>
          <w:szCs w:val="20"/>
          <w:lang w:val="es-ES_tradnl"/>
        </w:rPr>
        <w:t xml:space="preserve">)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se deberán indicar las actividades técnicas a cargo del interventor y las demás quedarán a cargo de la Entidad a través del supervisor</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inciso 3‒. Finalmente, vi) el contrato de interventoría será supervisado directamente por la entidad ‒art. 83, inciso 4‒.</w:t>
      </w:r>
      <w:r w:rsidRPr="009E2388">
        <w:rPr>
          <w:rFonts w:ascii="Verdana" w:eastAsia="Calibri" w:hAnsi="Verdana" w:cs="Arial"/>
          <w:bCs/>
          <w:sz w:val="20"/>
          <w:szCs w:val="20"/>
          <w:lang w:val="es-ES_tradnl"/>
        </w:rPr>
        <w:t xml:space="preserve"> </w:t>
      </w:r>
    </w:p>
    <w:p w14:paraId="34C46E3A" w14:textId="77777777" w:rsidR="00725273" w:rsidRPr="00AF1555" w:rsidRDefault="00725273" w:rsidP="00725273">
      <w:pPr>
        <w:tabs>
          <w:tab w:val="left" w:pos="709"/>
        </w:tabs>
        <w:spacing w:after="0" w:line="240" w:lineRule="auto"/>
        <w:jc w:val="both"/>
        <w:rPr>
          <w:rFonts w:ascii="Verdana" w:eastAsia="Calibri" w:hAnsi="Verdana" w:cs="Arial"/>
          <w:bCs/>
          <w:sz w:val="20"/>
          <w:szCs w:val="20"/>
          <w:lang w:val="es-ES_tradnl" w:eastAsia="es-ES_tradnl"/>
        </w:rPr>
      </w:pPr>
    </w:p>
    <w:p w14:paraId="6EC5681B" w14:textId="77777777" w:rsidR="00725273" w:rsidRPr="00AF1555" w:rsidRDefault="00725273" w:rsidP="00725273">
      <w:pPr>
        <w:spacing w:after="0" w:line="240" w:lineRule="auto"/>
        <w:jc w:val="both"/>
        <w:rPr>
          <w:rFonts w:ascii="Verdana" w:eastAsia="Calibri" w:hAnsi="Verdana" w:cs="Arial"/>
          <w:b/>
          <w:color w:val="000000" w:themeColor="text1"/>
          <w:lang w:val="es-ES"/>
        </w:rPr>
      </w:pPr>
      <w:r w:rsidRPr="000B5B4A">
        <w:rPr>
          <w:rFonts w:ascii="Verdana" w:eastAsia="Calibri" w:hAnsi="Verdana" w:cs="Arial"/>
          <w:b/>
          <w:color w:val="000000" w:themeColor="text1"/>
          <w:lang w:val="es-ES"/>
        </w:rPr>
        <w:t>MODALIDADES DE SELECCIÓN – Selección abreviada de menor cuantía – Características</w:t>
      </w:r>
      <w:r w:rsidRPr="00AF1555">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 Interventoría – Proyectos de APP – Procedencia</w:t>
      </w:r>
    </w:p>
    <w:p w14:paraId="2637C720" w14:textId="77777777" w:rsidR="00725273" w:rsidRPr="00AF1555" w:rsidRDefault="00725273" w:rsidP="00725273">
      <w:pPr>
        <w:spacing w:after="0" w:line="240" w:lineRule="auto"/>
        <w:jc w:val="both"/>
        <w:rPr>
          <w:rFonts w:ascii="Verdana" w:eastAsia="Calibri" w:hAnsi="Verdana" w:cs="Arial"/>
          <w:bCs/>
          <w:color w:val="000000" w:themeColor="text1"/>
          <w:sz w:val="20"/>
          <w:szCs w:val="20"/>
          <w:lang w:val="es-ES"/>
        </w:rPr>
      </w:pPr>
    </w:p>
    <w:p w14:paraId="44DEDF15" w14:textId="77777777" w:rsidR="00725273" w:rsidRPr="000B5B4A" w:rsidRDefault="00725273" w:rsidP="00725273">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 xml:space="preserve">Respecto a la selección abreviada, el numeral 2 del artículo 2 de la Ley 1150 de 2007 dispone que </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 xml:space="preserve">[…]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3520F4E8" w14:textId="77777777" w:rsidR="00725273" w:rsidRPr="000B5B4A" w:rsidRDefault="00725273" w:rsidP="00725273">
      <w:pPr>
        <w:spacing w:after="0" w:line="240" w:lineRule="auto"/>
        <w:jc w:val="both"/>
        <w:rPr>
          <w:rFonts w:ascii="Verdana" w:eastAsia="Calibri" w:hAnsi="Verdana" w:cs="Arial"/>
          <w:bCs/>
          <w:color w:val="000000" w:themeColor="text1"/>
          <w:sz w:val="20"/>
          <w:szCs w:val="20"/>
          <w:lang w:val="es-ES" w:eastAsia="es-ES_tradnl"/>
        </w:rPr>
      </w:pPr>
    </w:p>
    <w:p w14:paraId="4C603EAC" w14:textId="77777777" w:rsidR="00725273" w:rsidRDefault="00725273" w:rsidP="00725273">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 xml:space="preserve">Se trata de un procedimiento que, conforme a la reglamentación que expida el Gobierno Nacional, agiliza la contratación estatal en los eventos en que no se justifica adelantar una licitación pública, pero tampoco limitar la participación de los proponentes como en </w:t>
      </w:r>
      <w:r w:rsidRPr="000B5B4A">
        <w:rPr>
          <w:rFonts w:ascii="Verdana" w:eastAsia="Calibri" w:hAnsi="Verdana" w:cs="Arial"/>
          <w:bCs/>
          <w:color w:val="000000" w:themeColor="text1"/>
          <w:sz w:val="20"/>
          <w:szCs w:val="20"/>
          <w:lang w:val="es-ES" w:eastAsia="es-ES_tradnl"/>
        </w:rPr>
        <w:lastRenderedPageBreak/>
        <w:t>la contratación directa, de forma tal que es un mecanismo de selección objetiva que asegura una mayor concurrencia de participantes sin sacrificar los principios de eficacia y eficiencia en el proceso de selección</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w:t>
      </w:r>
    </w:p>
    <w:p w14:paraId="235136E2" w14:textId="77777777" w:rsidR="00725273" w:rsidRDefault="00725273" w:rsidP="00725273">
      <w:pPr>
        <w:spacing w:after="0" w:line="240" w:lineRule="auto"/>
        <w:jc w:val="both"/>
        <w:rPr>
          <w:rFonts w:ascii="Verdana" w:eastAsia="Calibri" w:hAnsi="Verdana" w:cs="Arial"/>
          <w:bCs/>
          <w:color w:val="000000" w:themeColor="text1"/>
          <w:sz w:val="20"/>
          <w:szCs w:val="20"/>
          <w:lang w:val="es-ES" w:eastAsia="es-ES_tradnl"/>
        </w:rPr>
      </w:pPr>
    </w:p>
    <w:p w14:paraId="7DB3533D" w14:textId="77777777" w:rsidR="00725273" w:rsidRPr="00EB0B5F" w:rsidRDefault="00725273" w:rsidP="00725273">
      <w:pPr>
        <w:spacing w:after="0" w:line="240" w:lineRule="auto"/>
        <w:jc w:val="both"/>
        <w:rPr>
          <w:rFonts w:ascii="Verdana" w:eastAsia="Calibri" w:hAnsi="Verdana" w:cs="Arial"/>
          <w:iCs/>
          <w:color w:val="000000" w:themeColor="text1"/>
          <w:sz w:val="20"/>
          <w:szCs w:val="20"/>
          <w:lang w:eastAsia="es-ES_tradnl"/>
        </w:rPr>
      </w:pPr>
      <w:r w:rsidRPr="002F2729">
        <w:rPr>
          <w:rFonts w:ascii="Verdana" w:eastAsia="Calibri" w:hAnsi="Verdana" w:cs="Arial"/>
          <w:iCs/>
          <w:color w:val="000000" w:themeColor="text1"/>
          <w:sz w:val="20"/>
          <w:szCs w:val="20"/>
          <w:lang w:eastAsia="es-ES_tradnl"/>
        </w:rPr>
        <w:t>En consecuencia, como el artículo 33 de la Ley 1508 de 2012 permite que la interventoría se contrate a través de la selección abreviada de menor cuantía según el valor del contrato, estos significa que sólo es procedente esta modalidad dentro de los topes indicados en el literal b) del artículo 2.2 de la Ley 1150 de 2007. Es decir, si el presupuesto oficial los supera, aplica el concurso de méritos, pues así lo dispone el artículo 2.3 de la Ley 1150 de 2007 en concordancia con el artículo 32.2 de la Ley 80 de 1993.</w:t>
      </w:r>
    </w:p>
    <w:p w14:paraId="638D54E0" w14:textId="77777777" w:rsidR="00725273" w:rsidRPr="00DE2AC7" w:rsidRDefault="00725273" w:rsidP="00725273">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w:t>
      </w:r>
    </w:p>
    <w:p w14:paraId="3FFE1008" w14:textId="77777777" w:rsidR="00725273" w:rsidRPr="00DE2AC7" w:rsidRDefault="00725273" w:rsidP="00725273">
      <w:pPr>
        <w:spacing w:after="0" w:line="240" w:lineRule="auto"/>
        <w:rPr>
          <w:rFonts w:ascii="Verdana" w:eastAsia="Geomanist Light" w:hAnsi="Verdana" w:cs="Arial"/>
          <w:color w:val="000000" w:themeColor="text1"/>
        </w:rPr>
      </w:pPr>
    </w:p>
    <w:p w14:paraId="10B9EA03" w14:textId="77777777" w:rsidR="00725273" w:rsidRDefault="00725273" w:rsidP="00725273">
      <w:pPr>
        <w:spacing w:after="0" w:line="240" w:lineRule="auto"/>
        <w:rPr>
          <w:rFonts w:ascii="Verdana" w:eastAsia="Geomanist Light" w:hAnsi="Verdana" w:cs="Arial"/>
          <w:color w:val="000000" w:themeColor="text1"/>
          <w:lang w:val="es-MX"/>
        </w:rPr>
      </w:pPr>
    </w:p>
    <w:p w14:paraId="4753262B" w14:textId="77777777" w:rsidR="00725273" w:rsidRDefault="00725273" w:rsidP="00725273">
      <w:pPr>
        <w:spacing w:after="0" w:line="240" w:lineRule="auto"/>
        <w:rPr>
          <w:rFonts w:ascii="Verdana" w:eastAsia="Geomanist Light" w:hAnsi="Verdana" w:cs="Arial"/>
          <w:color w:val="000000" w:themeColor="text1"/>
          <w:lang w:val="es-MX"/>
        </w:rPr>
      </w:pPr>
    </w:p>
    <w:p w14:paraId="5BEC187C" w14:textId="77777777" w:rsidR="00725273" w:rsidRDefault="00725273" w:rsidP="00725273">
      <w:pPr>
        <w:spacing w:after="0" w:line="240" w:lineRule="auto"/>
        <w:rPr>
          <w:rFonts w:ascii="Verdana" w:eastAsia="Geomanist Light" w:hAnsi="Verdana" w:cs="Arial"/>
          <w:color w:val="000000" w:themeColor="text1"/>
          <w:lang w:val="es-MX"/>
        </w:rPr>
      </w:pPr>
    </w:p>
    <w:p w14:paraId="0B743739" w14:textId="77777777" w:rsidR="00725273" w:rsidRDefault="00725273" w:rsidP="00725273">
      <w:pPr>
        <w:spacing w:after="0" w:line="240" w:lineRule="auto"/>
        <w:rPr>
          <w:rFonts w:ascii="Verdana" w:eastAsia="Geomanist Light" w:hAnsi="Verdana" w:cs="Arial"/>
          <w:color w:val="000000" w:themeColor="text1"/>
          <w:lang w:val="es-MX"/>
        </w:rPr>
      </w:pPr>
    </w:p>
    <w:p w14:paraId="047747F3" w14:textId="77777777" w:rsidR="00725273" w:rsidRDefault="00725273" w:rsidP="00725273">
      <w:pPr>
        <w:spacing w:after="0" w:line="240" w:lineRule="auto"/>
        <w:rPr>
          <w:rFonts w:ascii="Verdana" w:eastAsia="Geomanist Light" w:hAnsi="Verdana" w:cs="Arial"/>
          <w:color w:val="000000" w:themeColor="text1"/>
          <w:lang w:val="es-MX"/>
        </w:rPr>
      </w:pPr>
    </w:p>
    <w:p w14:paraId="6F0FD844" w14:textId="77777777" w:rsidR="00725273" w:rsidRDefault="00725273" w:rsidP="00725273">
      <w:pPr>
        <w:spacing w:after="0" w:line="240" w:lineRule="auto"/>
        <w:rPr>
          <w:rFonts w:ascii="Verdana" w:eastAsia="Geomanist Light" w:hAnsi="Verdana" w:cs="Arial"/>
          <w:color w:val="000000" w:themeColor="text1"/>
          <w:lang w:val="es-MX"/>
        </w:rPr>
      </w:pPr>
    </w:p>
    <w:p w14:paraId="4DE8A23C" w14:textId="77777777" w:rsidR="00725273" w:rsidRDefault="00725273" w:rsidP="00725273">
      <w:pPr>
        <w:spacing w:after="0" w:line="240" w:lineRule="auto"/>
        <w:rPr>
          <w:rFonts w:ascii="Verdana" w:eastAsia="Geomanist Light" w:hAnsi="Verdana" w:cs="Arial"/>
          <w:color w:val="000000" w:themeColor="text1"/>
          <w:lang w:val="es-MX"/>
        </w:rPr>
      </w:pPr>
    </w:p>
    <w:p w14:paraId="70A4C976" w14:textId="77777777" w:rsidR="00725273" w:rsidRDefault="00725273" w:rsidP="00725273">
      <w:pPr>
        <w:spacing w:after="0" w:line="240" w:lineRule="auto"/>
        <w:rPr>
          <w:rFonts w:ascii="Verdana" w:eastAsia="Geomanist Light" w:hAnsi="Verdana" w:cs="Arial"/>
          <w:color w:val="000000" w:themeColor="text1"/>
          <w:lang w:val="es-MX"/>
        </w:rPr>
      </w:pPr>
    </w:p>
    <w:p w14:paraId="7CD1A2C2" w14:textId="77777777" w:rsidR="00725273" w:rsidRDefault="00725273" w:rsidP="00725273">
      <w:pPr>
        <w:spacing w:after="0" w:line="240" w:lineRule="auto"/>
        <w:rPr>
          <w:rFonts w:ascii="Verdana" w:eastAsia="Geomanist Light" w:hAnsi="Verdana" w:cs="Arial"/>
          <w:color w:val="000000" w:themeColor="text1"/>
          <w:lang w:val="es-MX"/>
        </w:rPr>
      </w:pPr>
    </w:p>
    <w:p w14:paraId="115DE617" w14:textId="77777777" w:rsidR="00725273" w:rsidRDefault="00725273" w:rsidP="00725273">
      <w:pPr>
        <w:spacing w:after="0" w:line="240" w:lineRule="auto"/>
        <w:rPr>
          <w:rFonts w:ascii="Verdana" w:eastAsia="Geomanist Light" w:hAnsi="Verdana" w:cs="Arial"/>
          <w:color w:val="000000" w:themeColor="text1"/>
          <w:lang w:val="es-MX"/>
        </w:rPr>
      </w:pPr>
    </w:p>
    <w:p w14:paraId="5A50AC56" w14:textId="77777777" w:rsidR="00725273" w:rsidRDefault="00725273" w:rsidP="00725273">
      <w:pPr>
        <w:spacing w:after="0" w:line="240" w:lineRule="auto"/>
        <w:rPr>
          <w:rFonts w:ascii="Verdana" w:eastAsia="Geomanist Light" w:hAnsi="Verdana" w:cs="Arial"/>
          <w:color w:val="000000" w:themeColor="text1"/>
          <w:lang w:val="es-MX"/>
        </w:rPr>
      </w:pPr>
    </w:p>
    <w:p w14:paraId="63F050FB" w14:textId="77777777" w:rsidR="00725273" w:rsidRDefault="00725273" w:rsidP="00725273">
      <w:pPr>
        <w:spacing w:after="0" w:line="240" w:lineRule="auto"/>
        <w:rPr>
          <w:rFonts w:ascii="Verdana" w:eastAsia="Geomanist Light" w:hAnsi="Verdana" w:cs="Arial"/>
          <w:color w:val="000000" w:themeColor="text1"/>
          <w:lang w:val="es-MX"/>
        </w:rPr>
      </w:pPr>
    </w:p>
    <w:p w14:paraId="155FA30C" w14:textId="77777777" w:rsidR="00725273" w:rsidRDefault="00725273" w:rsidP="00725273">
      <w:pPr>
        <w:spacing w:after="0" w:line="240" w:lineRule="auto"/>
        <w:rPr>
          <w:rFonts w:ascii="Verdana" w:eastAsia="Geomanist Light" w:hAnsi="Verdana" w:cs="Arial"/>
          <w:color w:val="000000" w:themeColor="text1"/>
          <w:lang w:val="es-MX"/>
        </w:rPr>
      </w:pPr>
    </w:p>
    <w:p w14:paraId="10FED27D" w14:textId="77777777" w:rsidR="00725273" w:rsidRDefault="00725273" w:rsidP="00725273">
      <w:pPr>
        <w:spacing w:after="0" w:line="240" w:lineRule="auto"/>
        <w:rPr>
          <w:rFonts w:ascii="Verdana" w:eastAsia="Geomanist Light" w:hAnsi="Verdana" w:cs="Arial"/>
          <w:color w:val="000000" w:themeColor="text1"/>
          <w:lang w:val="es-MX"/>
        </w:rPr>
      </w:pPr>
    </w:p>
    <w:p w14:paraId="1ADDB1B2" w14:textId="77777777" w:rsidR="00725273" w:rsidRDefault="00725273" w:rsidP="00725273">
      <w:pPr>
        <w:spacing w:after="0" w:line="240" w:lineRule="auto"/>
        <w:rPr>
          <w:rFonts w:ascii="Verdana" w:eastAsia="Geomanist Light" w:hAnsi="Verdana" w:cs="Arial"/>
          <w:color w:val="000000" w:themeColor="text1"/>
          <w:lang w:val="es-MX"/>
        </w:rPr>
      </w:pPr>
    </w:p>
    <w:p w14:paraId="45F6BA8D" w14:textId="77777777" w:rsidR="00725273" w:rsidRDefault="00725273" w:rsidP="00725273">
      <w:pPr>
        <w:spacing w:after="0" w:line="240" w:lineRule="auto"/>
        <w:rPr>
          <w:rFonts w:ascii="Verdana" w:eastAsia="Geomanist Light" w:hAnsi="Verdana" w:cs="Arial"/>
          <w:color w:val="000000" w:themeColor="text1"/>
          <w:lang w:val="es-MX"/>
        </w:rPr>
      </w:pPr>
    </w:p>
    <w:p w14:paraId="255F989A" w14:textId="77777777" w:rsidR="00725273" w:rsidRDefault="00725273" w:rsidP="00725273">
      <w:pPr>
        <w:spacing w:after="0" w:line="240" w:lineRule="auto"/>
        <w:rPr>
          <w:rFonts w:ascii="Verdana" w:eastAsia="Geomanist Light" w:hAnsi="Verdana" w:cs="Arial"/>
          <w:color w:val="000000" w:themeColor="text1"/>
          <w:lang w:val="es-MX"/>
        </w:rPr>
      </w:pPr>
    </w:p>
    <w:p w14:paraId="5F6E1C91" w14:textId="77777777" w:rsidR="00725273" w:rsidRDefault="00725273" w:rsidP="00725273">
      <w:pPr>
        <w:spacing w:after="0" w:line="240" w:lineRule="auto"/>
        <w:rPr>
          <w:rFonts w:ascii="Verdana" w:eastAsia="Geomanist Light" w:hAnsi="Verdana" w:cs="Arial"/>
          <w:color w:val="000000" w:themeColor="text1"/>
          <w:lang w:val="es-MX"/>
        </w:rPr>
      </w:pPr>
    </w:p>
    <w:p w14:paraId="1E4AD19A" w14:textId="77777777" w:rsidR="00725273" w:rsidRDefault="00725273" w:rsidP="00725273">
      <w:pPr>
        <w:spacing w:after="0" w:line="240" w:lineRule="auto"/>
        <w:rPr>
          <w:rFonts w:ascii="Verdana" w:eastAsia="Geomanist Light" w:hAnsi="Verdana" w:cs="Arial"/>
          <w:color w:val="000000" w:themeColor="text1"/>
          <w:lang w:val="es-MX"/>
        </w:rPr>
      </w:pPr>
    </w:p>
    <w:p w14:paraId="3757BC24" w14:textId="77777777" w:rsidR="00725273" w:rsidRDefault="00725273" w:rsidP="00725273">
      <w:pPr>
        <w:spacing w:after="0" w:line="240" w:lineRule="auto"/>
        <w:rPr>
          <w:rFonts w:ascii="Verdana" w:eastAsia="Geomanist Light" w:hAnsi="Verdana" w:cs="Arial"/>
          <w:color w:val="000000" w:themeColor="text1"/>
          <w:lang w:val="es-MX"/>
        </w:rPr>
      </w:pPr>
    </w:p>
    <w:p w14:paraId="3BD97796" w14:textId="77777777" w:rsidR="00725273" w:rsidRDefault="00725273" w:rsidP="00725273">
      <w:pPr>
        <w:spacing w:after="0" w:line="240" w:lineRule="auto"/>
        <w:rPr>
          <w:rFonts w:ascii="Verdana" w:eastAsia="Geomanist Light" w:hAnsi="Verdana" w:cs="Arial"/>
          <w:color w:val="000000" w:themeColor="text1"/>
          <w:lang w:val="es-MX"/>
        </w:rPr>
      </w:pPr>
    </w:p>
    <w:p w14:paraId="20CD8C69" w14:textId="77777777" w:rsidR="00725273" w:rsidRDefault="00725273" w:rsidP="00725273">
      <w:pPr>
        <w:spacing w:after="0" w:line="240" w:lineRule="auto"/>
        <w:rPr>
          <w:rFonts w:ascii="Verdana" w:eastAsia="Geomanist Light" w:hAnsi="Verdana" w:cs="Arial"/>
          <w:color w:val="000000" w:themeColor="text1"/>
          <w:lang w:val="es-MX"/>
        </w:rPr>
      </w:pPr>
    </w:p>
    <w:p w14:paraId="08906699" w14:textId="77777777" w:rsidR="00725273" w:rsidRDefault="00725273" w:rsidP="00725273">
      <w:pPr>
        <w:spacing w:after="0" w:line="240" w:lineRule="auto"/>
        <w:rPr>
          <w:rFonts w:ascii="Verdana" w:eastAsia="Geomanist Light" w:hAnsi="Verdana" w:cs="Arial"/>
          <w:color w:val="000000" w:themeColor="text1"/>
          <w:lang w:val="es-MX"/>
        </w:rPr>
      </w:pPr>
    </w:p>
    <w:p w14:paraId="26BCB5E1" w14:textId="77777777" w:rsidR="00725273" w:rsidRDefault="00725273" w:rsidP="00725273">
      <w:pPr>
        <w:spacing w:after="0" w:line="240" w:lineRule="auto"/>
        <w:rPr>
          <w:rFonts w:ascii="Verdana" w:eastAsia="Geomanist Light" w:hAnsi="Verdana" w:cs="Arial"/>
          <w:color w:val="000000" w:themeColor="text1"/>
          <w:lang w:val="es-MX"/>
        </w:rPr>
      </w:pPr>
    </w:p>
    <w:p w14:paraId="309A385B" w14:textId="77777777" w:rsidR="00725273" w:rsidRDefault="00725273" w:rsidP="00725273">
      <w:pPr>
        <w:spacing w:after="0" w:line="240" w:lineRule="auto"/>
        <w:rPr>
          <w:rFonts w:ascii="Verdana" w:eastAsia="Geomanist Light" w:hAnsi="Verdana" w:cs="Arial"/>
          <w:color w:val="000000" w:themeColor="text1"/>
          <w:lang w:val="es-MX"/>
        </w:rPr>
      </w:pPr>
    </w:p>
    <w:p w14:paraId="2770B6B4" w14:textId="77777777" w:rsidR="00725273" w:rsidRDefault="00725273" w:rsidP="00725273">
      <w:pPr>
        <w:spacing w:after="0" w:line="240" w:lineRule="auto"/>
        <w:rPr>
          <w:rFonts w:ascii="Verdana" w:eastAsia="Geomanist Light" w:hAnsi="Verdana" w:cs="Arial"/>
          <w:color w:val="000000" w:themeColor="text1"/>
          <w:lang w:val="es-MX"/>
        </w:rPr>
      </w:pPr>
    </w:p>
    <w:p w14:paraId="2A1DE159" w14:textId="77777777" w:rsidR="00725273" w:rsidRDefault="00725273" w:rsidP="00725273">
      <w:pPr>
        <w:spacing w:after="0" w:line="240" w:lineRule="auto"/>
        <w:rPr>
          <w:rFonts w:ascii="Verdana" w:eastAsia="Geomanist Light" w:hAnsi="Verdana" w:cs="Arial"/>
          <w:color w:val="000000" w:themeColor="text1"/>
          <w:lang w:val="es-MX"/>
        </w:rPr>
      </w:pPr>
    </w:p>
    <w:p w14:paraId="575AD185" w14:textId="77777777" w:rsidR="00725273" w:rsidRDefault="00725273" w:rsidP="00725273">
      <w:pPr>
        <w:spacing w:after="0" w:line="240" w:lineRule="auto"/>
        <w:rPr>
          <w:rFonts w:ascii="Verdana" w:eastAsia="Geomanist Light" w:hAnsi="Verdana" w:cs="Arial"/>
          <w:color w:val="000000" w:themeColor="text1"/>
          <w:lang w:val="es-MX"/>
        </w:rPr>
      </w:pPr>
    </w:p>
    <w:p w14:paraId="5224D260" w14:textId="77777777" w:rsidR="00725273" w:rsidRDefault="00725273" w:rsidP="00725273">
      <w:pPr>
        <w:spacing w:after="0" w:line="240" w:lineRule="auto"/>
        <w:rPr>
          <w:rFonts w:ascii="Verdana" w:eastAsia="Geomanist Light" w:hAnsi="Verdana" w:cs="Arial"/>
          <w:color w:val="000000" w:themeColor="text1"/>
          <w:lang w:val="es-MX"/>
        </w:rPr>
      </w:pPr>
    </w:p>
    <w:p w14:paraId="18EB892C" w14:textId="77777777" w:rsidR="00725273" w:rsidRDefault="00725273" w:rsidP="00D170EC">
      <w:pPr>
        <w:spacing w:after="0" w:line="240" w:lineRule="auto"/>
        <w:rPr>
          <w:rFonts w:ascii="Verdana" w:eastAsia="Geomanist Light" w:hAnsi="Verdana" w:cs="Arial"/>
          <w:color w:val="000000" w:themeColor="text1"/>
          <w:lang w:val="es-MX"/>
        </w:rPr>
      </w:pPr>
    </w:p>
    <w:p w14:paraId="4619C978" w14:textId="77777777" w:rsidR="00725273" w:rsidRDefault="00725273" w:rsidP="00D170EC">
      <w:pPr>
        <w:spacing w:after="0" w:line="240" w:lineRule="auto"/>
        <w:rPr>
          <w:rFonts w:ascii="Verdana" w:eastAsia="Geomanist Light" w:hAnsi="Verdana" w:cs="Arial"/>
          <w:color w:val="000000" w:themeColor="text1"/>
          <w:lang w:val="es-MX"/>
        </w:rPr>
      </w:pPr>
    </w:p>
    <w:p w14:paraId="1EED4654" w14:textId="6898B9B8" w:rsidR="00D170EC" w:rsidRPr="00593A5F" w:rsidRDefault="00D170EC" w:rsidP="00D170EC">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1532F">
        <w:rPr>
          <w:rFonts w:ascii="Verdana" w:eastAsia="Geomanist Light" w:hAnsi="Verdana" w:cs="Arial"/>
          <w:color w:val="000000" w:themeColor="text1"/>
          <w:lang w:val="es-MX"/>
        </w:rPr>
        <w:t>27 de Octubre de 2025</w:t>
      </w:r>
    </w:p>
    <w:p w14:paraId="0FAFD238" w14:textId="77777777" w:rsidR="00D170EC" w:rsidRDefault="00D170EC" w:rsidP="00D170EC">
      <w:pPr>
        <w:spacing w:after="0" w:line="240" w:lineRule="auto"/>
        <w:jc w:val="both"/>
        <w:rPr>
          <w:rFonts w:ascii="Verdana" w:eastAsia="Calibri" w:hAnsi="Verdana" w:cs="Arial"/>
          <w:color w:val="000000"/>
          <w:lang w:val="es-ES"/>
        </w:rPr>
      </w:pPr>
    </w:p>
    <w:p w14:paraId="52817A4B" w14:textId="65BEDAB0" w:rsidR="00A6479F" w:rsidRDefault="00A6479F" w:rsidP="00DF1BF3">
      <w:pPr>
        <w:spacing w:after="0" w:line="240" w:lineRule="auto"/>
        <w:jc w:val="right"/>
        <w:rPr>
          <w:rFonts w:ascii="Verdana" w:eastAsia="Calibri" w:hAnsi="Verdana" w:cs="Arial"/>
          <w:color w:val="000000"/>
          <w:lang w:val="es-ES"/>
        </w:rPr>
      </w:pPr>
      <w:r w:rsidRPr="00A6479F">
        <w:rPr>
          <w:rFonts w:ascii="Verdana" w:eastAsia="Calibri" w:hAnsi="Verdana" w:cs="Arial"/>
          <w:noProof/>
          <w:color w:val="000000"/>
          <w:lang w:val="es-ES"/>
        </w:rPr>
        <w:drawing>
          <wp:inline distT="0" distB="0" distL="0" distR="0" wp14:anchorId="65D88ACB" wp14:editId="3F518D6D">
            <wp:extent cx="2400300" cy="622300"/>
            <wp:effectExtent l="0" t="0" r="0" b="0"/>
            <wp:docPr id="19847338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33854" name=""/>
                    <pic:cNvPicPr/>
                  </pic:nvPicPr>
                  <pic:blipFill>
                    <a:blip r:embed="rId10"/>
                    <a:stretch>
                      <a:fillRect/>
                    </a:stretch>
                  </pic:blipFill>
                  <pic:spPr>
                    <a:xfrm>
                      <a:off x="0" y="0"/>
                      <a:ext cx="2400300" cy="622300"/>
                    </a:xfrm>
                    <a:prstGeom prst="rect">
                      <a:avLst/>
                    </a:prstGeom>
                  </pic:spPr>
                </pic:pic>
              </a:graphicData>
            </a:graphic>
          </wp:inline>
        </w:drawing>
      </w:r>
    </w:p>
    <w:p w14:paraId="67206FAE" w14:textId="77777777" w:rsidR="00D170EC" w:rsidRPr="00593A5F" w:rsidRDefault="00D170EC" w:rsidP="00D170EC">
      <w:pPr>
        <w:spacing w:after="0" w:line="240" w:lineRule="auto"/>
        <w:jc w:val="both"/>
        <w:rPr>
          <w:rFonts w:ascii="Verdana" w:eastAsia="Calibri" w:hAnsi="Verdana" w:cs="Arial"/>
          <w:color w:val="000000"/>
          <w:lang w:val="es-ES"/>
        </w:rPr>
      </w:pPr>
    </w:p>
    <w:p w14:paraId="62694F09" w14:textId="77777777" w:rsidR="00D170EC" w:rsidRPr="00B96799" w:rsidRDefault="00D170EC" w:rsidP="00D170EC">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7D09EA87" w14:textId="77777777" w:rsidR="00D170EC" w:rsidRPr="0085423D" w:rsidRDefault="00D170EC" w:rsidP="00D170EC">
      <w:pPr>
        <w:spacing w:after="0" w:line="240" w:lineRule="auto"/>
        <w:rPr>
          <w:rFonts w:ascii="Verdana" w:eastAsia="Calibri" w:hAnsi="Verdana" w:cs="Arial"/>
          <w:b/>
          <w:lang w:val="es-ES_tradnl" w:eastAsia="es-ES_tradnl"/>
        </w:rPr>
      </w:pPr>
      <w:r w:rsidRPr="00203804">
        <w:rPr>
          <w:rFonts w:ascii="Verdana" w:eastAsia="Calibri" w:hAnsi="Verdana" w:cs="Arial"/>
          <w:b/>
          <w:lang w:val="es-ES_tradnl" w:eastAsia="es-ES_tradnl"/>
        </w:rPr>
        <w:t>Giomar</w:t>
      </w:r>
      <w:r>
        <w:rPr>
          <w:rFonts w:ascii="Verdana" w:eastAsia="Calibri" w:hAnsi="Verdana" w:cs="Arial"/>
          <w:b/>
          <w:lang w:val="es-ES_tradnl" w:eastAsia="es-ES_tradnl"/>
        </w:rPr>
        <w:t xml:space="preserve"> </w:t>
      </w:r>
      <w:r w:rsidRPr="00203804">
        <w:rPr>
          <w:rFonts w:ascii="Verdana" w:eastAsia="Calibri" w:hAnsi="Verdana" w:cs="Arial"/>
          <w:b/>
          <w:lang w:val="es-ES_tradnl" w:eastAsia="es-ES_tradnl"/>
        </w:rPr>
        <w:t>Liliana Gutiérrez Sánchez</w:t>
      </w:r>
      <w:r>
        <w:rPr>
          <w:rFonts w:ascii="Verdana" w:eastAsia="Calibri" w:hAnsi="Verdana" w:cs="Arial"/>
          <w:b/>
          <w:lang w:val="es-ES_tradnl" w:eastAsia="es-ES_tradnl"/>
        </w:rPr>
        <w:t xml:space="preserve"> </w:t>
      </w:r>
    </w:p>
    <w:p w14:paraId="00772A38" w14:textId="77777777" w:rsidR="00D170EC" w:rsidRPr="00203804" w:rsidRDefault="00D170EC" w:rsidP="00D170EC">
      <w:pPr>
        <w:spacing w:after="0" w:line="240" w:lineRule="auto"/>
        <w:rPr>
          <w:rFonts w:ascii="Verdana" w:eastAsia="Calibri" w:hAnsi="Verdana" w:cs="Arial"/>
          <w:lang w:val="es-ES" w:eastAsia="es-ES"/>
        </w:rPr>
      </w:pPr>
      <w:hyperlink r:id="rId11" w:history="1">
        <w:r w:rsidRPr="001F746C">
          <w:rPr>
            <w:rStyle w:val="Hipervnculo"/>
            <w:rFonts w:ascii="Verdana" w:hAnsi="Verdana"/>
          </w:rPr>
          <w:t>ggutierrez@ani.gov.co</w:t>
        </w:r>
      </w:hyperlink>
      <w:r>
        <w:rPr>
          <w:rFonts w:ascii="Verdana" w:hAnsi="Verdana"/>
        </w:rPr>
        <w:t xml:space="preserve"> </w:t>
      </w:r>
      <w:r w:rsidRPr="00203804">
        <w:rPr>
          <w:rFonts w:ascii="Verdana" w:hAnsi="Verdana"/>
        </w:rPr>
        <w:t xml:space="preserve">           </w:t>
      </w:r>
      <w:r w:rsidRPr="00203804">
        <w:rPr>
          <w:rFonts w:ascii="Verdana" w:eastAsia="Calibri" w:hAnsi="Verdana" w:cs="Arial"/>
          <w:lang w:val="es-ES" w:eastAsia="es-ES"/>
        </w:rPr>
        <w:t xml:space="preserve">    </w:t>
      </w:r>
    </w:p>
    <w:p w14:paraId="769B4C7B" w14:textId="77777777" w:rsidR="00D170EC" w:rsidRDefault="00D170EC" w:rsidP="00D170EC">
      <w:pPr>
        <w:spacing w:after="0" w:line="240" w:lineRule="auto"/>
        <w:rPr>
          <w:rFonts w:ascii="Verdana" w:eastAsia="Calibri" w:hAnsi="Verdana" w:cs="Arial"/>
          <w:lang w:val="es-ES" w:eastAsia="es-ES"/>
        </w:rPr>
      </w:pPr>
      <w:r w:rsidRPr="00203804">
        <w:rPr>
          <w:rFonts w:ascii="Verdana" w:eastAsia="Calibri" w:hAnsi="Verdana" w:cs="Arial"/>
          <w:lang w:val="es-ES" w:eastAsia="es-ES"/>
        </w:rPr>
        <w:t>Bogotá D.C.</w:t>
      </w:r>
      <w:r>
        <w:rPr>
          <w:rFonts w:ascii="Verdana" w:eastAsia="Calibri" w:hAnsi="Verdana" w:cs="Arial"/>
          <w:lang w:val="es-ES" w:eastAsia="es-ES"/>
        </w:rPr>
        <w:t xml:space="preserve"> </w:t>
      </w:r>
    </w:p>
    <w:p w14:paraId="3ED1F5FC" w14:textId="77777777" w:rsidR="00D170EC" w:rsidRPr="00593A5F" w:rsidRDefault="00D170EC" w:rsidP="00D170EC">
      <w:pPr>
        <w:spacing w:after="0" w:line="240" w:lineRule="auto"/>
        <w:rPr>
          <w:rFonts w:ascii="Verdana" w:eastAsia="Calibri" w:hAnsi="Verdana" w:cs="Arial"/>
          <w:b/>
          <w:bCs/>
          <w:color w:val="000000"/>
          <w:lang w:val="es-ES_tradnl" w:eastAsia="es-ES_tradnl"/>
        </w:rPr>
      </w:pPr>
    </w:p>
    <w:p w14:paraId="17D687C3" w14:textId="77777777" w:rsidR="00D170EC" w:rsidRPr="00593A5F" w:rsidRDefault="00D170EC" w:rsidP="00D170EC">
      <w:pPr>
        <w:spacing w:after="0" w:line="240" w:lineRule="auto"/>
        <w:rPr>
          <w:rFonts w:ascii="Verdana" w:eastAsia="Calibri" w:hAnsi="Verdana" w:cs="Arial"/>
          <w:b/>
          <w:bCs/>
          <w:color w:val="000000"/>
          <w:lang w:val="es-ES_tradnl" w:eastAsia="es-ES_tradnl"/>
        </w:rPr>
      </w:pPr>
    </w:p>
    <w:tbl>
      <w:tblPr>
        <w:tblStyle w:val="Tablaconcuadrcula"/>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6100"/>
      </w:tblGrid>
      <w:tr w:rsidR="00D170EC" w:rsidRPr="00593A5F" w14:paraId="44AE0E4C" w14:textId="77777777" w:rsidTr="00BB7B03">
        <w:trPr>
          <w:trHeight w:val="884"/>
        </w:trPr>
        <w:tc>
          <w:tcPr>
            <w:tcW w:w="2689" w:type="dxa"/>
          </w:tcPr>
          <w:p w14:paraId="1C22F4B2" w14:textId="77777777" w:rsidR="00D170EC" w:rsidRPr="00C00976" w:rsidRDefault="00D170EC" w:rsidP="00BB7B03">
            <w:pPr>
              <w:jc w:val="both"/>
              <w:rPr>
                <w:rFonts w:ascii="Verdana" w:eastAsia="Calibri" w:hAnsi="Verdana" w:cs="Arial"/>
                <w:b/>
                <w:bCs/>
                <w:color w:val="7030A0"/>
                <w:lang w:val="es-ES_tradnl" w:eastAsia="es-ES_tradnl"/>
              </w:rPr>
            </w:pPr>
          </w:p>
        </w:tc>
        <w:tc>
          <w:tcPr>
            <w:tcW w:w="6100" w:type="dxa"/>
          </w:tcPr>
          <w:p w14:paraId="041214A1" w14:textId="6EB68A32" w:rsidR="00D170EC" w:rsidRPr="00C00976" w:rsidRDefault="00D170EC" w:rsidP="00BB7B0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427690">
              <w:rPr>
                <w:rFonts w:ascii="Verdana" w:eastAsia="Calibri" w:hAnsi="Verdana" w:cs="Arial"/>
                <w:b/>
                <w:bCs/>
                <w:lang w:val="es-ES" w:eastAsia="es-ES"/>
              </w:rPr>
              <w:t>1324</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170EC" w:rsidRPr="00593A5F" w14:paraId="096DB9D4" w14:textId="77777777" w:rsidTr="00BB7B03">
        <w:trPr>
          <w:trHeight w:val="884"/>
        </w:trPr>
        <w:tc>
          <w:tcPr>
            <w:tcW w:w="2689" w:type="dxa"/>
          </w:tcPr>
          <w:p w14:paraId="64676115" w14:textId="77777777" w:rsidR="00D170EC" w:rsidRPr="00593A5F" w:rsidRDefault="00D170EC" w:rsidP="00BB7B0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D045CE9" w14:textId="77777777" w:rsidR="00D170EC" w:rsidRPr="00A11406" w:rsidRDefault="00D170EC" w:rsidP="00BB7B03">
            <w:pPr>
              <w:spacing w:line="276" w:lineRule="auto"/>
              <w:jc w:val="both"/>
              <w:rPr>
                <w:rFonts w:ascii="Verdana" w:eastAsia="Calibri" w:hAnsi="Verdana" w:cs="Arial"/>
                <w:lang w:val="es-ES" w:eastAsia="es-ES"/>
              </w:rPr>
            </w:pPr>
            <w:r w:rsidRPr="005926DC">
              <w:rPr>
                <w:rFonts w:ascii="Verdana" w:eastAsia="Calibri" w:hAnsi="Verdana" w:cs="Arial"/>
                <w:lang w:val="es-ES" w:eastAsia="es-ES"/>
              </w:rPr>
              <w:t>ASOCIACIONES PÚBLICO PRIVADAS – Formas de colaboración / ASOCIACIONES PÚBLICO PRIVADAS – Concepto – Ley 1508 de 2012 / TIPOS DE APP – De iniciativa pública – De iniciativa privada / CONTRATO ESTATAL</w:t>
            </w:r>
            <w:r w:rsidRPr="005F6F61">
              <w:rPr>
                <w:rFonts w:ascii="Verdana" w:eastAsia="Calibri" w:hAnsi="Verdana" w:cs="Arial"/>
                <w:lang w:val="es-ES" w:eastAsia="es-ES"/>
              </w:rPr>
              <w:t xml:space="preserve"> – Deber de vigilancia y control</w:t>
            </w:r>
            <w:r>
              <w:rPr>
                <w:rFonts w:ascii="Verdana" w:eastAsia="Calibri" w:hAnsi="Verdana" w:cs="Arial"/>
                <w:lang w:val="es-ES" w:eastAsia="es-ES"/>
              </w:rPr>
              <w:t xml:space="preserve"> / </w:t>
            </w:r>
            <w:r w:rsidRPr="005F6F61">
              <w:rPr>
                <w:rFonts w:ascii="Verdana" w:eastAsia="Calibri" w:hAnsi="Verdana" w:cs="Arial"/>
                <w:lang w:val="es-ES" w:eastAsia="es-ES"/>
              </w:rPr>
              <w:t>INTERVENTORÍA – Características</w:t>
            </w:r>
            <w:r>
              <w:rPr>
                <w:rFonts w:ascii="Verdana" w:eastAsia="Calibri" w:hAnsi="Verdana" w:cs="Arial"/>
                <w:lang w:val="es-ES" w:eastAsia="es-ES"/>
              </w:rPr>
              <w:t xml:space="preserve"> / </w:t>
            </w:r>
            <w:r w:rsidRPr="005F6F61">
              <w:rPr>
                <w:rFonts w:ascii="Verdana" w:eastAsia="Calibri" w:hAnsi="Verdana" w:cs="Arial"/>
                <w:lang w:val="es-ES" w:eastAsia="es-ES"/>
              </w:rPr>
              <w:t>MODALIDADES DE SELECCIÓN – Selección abreviada de menor cuantía – Características</w:t>
            </w:r>
            <w:r>
              <w:rPr>
                <w:rFonts w:ascii="Verdana" w:eastAsia="Calibri" w:hAnsi="Verdana" w:cs="Arial"/>
                <w:lang w:val="es-ES" w:eastAsia="es-ES"/>
              </w:rPr>
              <w:t xml:space="preserve"> </w:t>
            </w:r>
            <w:r w:rsidRPr="002F2729">
              <w:rPr>
                <w:rFonts w:ascii="Verdana" w:eastAsia="Calibri" w:hAnsi="Verdana" w:cs="Arial"/>
                <w:lang w:val="es-ES" w:eastAsia="es-ES"/>
              </w:rPr>
              <w:t>– Interventoría – Proyectos de APP – Procedencia</w:t>
            </w:r>
            <w:r w:rsidRPr="005F6F6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B6D4144" w14:textId="77777777" w:rsidR="00D170EC" w:rsidRPr="00593A5F" w:rsidRDefault="00D170EC" w:rsidP="00BB7B0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170EC" w:rsidRPr="008E6AD9" w14:paraId="70838ACA" w14:textId="77777777" w:rsidTr="00BB7B03">
        <w:tc>
          <w:tcPr>
            <w:tcW w:w="2689" w:type="dxa"/>
          </w:tcPr>
          <w:p w14:paraId="517EB19D" w14:textId="77777777" w:rsidR="00D170EC" w:rsidRPr="008E6AD9" w:rsidRDefault="00D170EC" w:rsidP="00BB7B0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470A556" w14:textId="77777777" w:rsidR="00D170EC" w:rsidRPr="00B92340" w:rsidRDefault="00D170EC" w:rsidP="00BB7B0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945D24">
              <w:rPr>
                <w:rFonts w:ascii="Verdana" w:eastAsia="Calibri" w:hAnsi="Verdana" w:cs="Arial"/>
                <w:lang w:val="es-ES_tradnl" w:eastAsia="es-ES_tradnl"/>
              </w:rPr>
              <w:t>1_2025_10_16_011634</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1704A38" w14:textId="77777777" w:rsidR="00D170EC" w:rsidRPr="00593A5F" w:rsidRDefault="00D170EC" w:rsidP="00D170EC">
      <w:pPr>
        <w:spacing w:after="0" w:line="240" w:lineRule="auto"/>
        <w:jc w:val="both"/>
        <w:rPr>
          <w:rFonts w:ascii="Verdana" w:eastAsia="Calibri" w:hAnsi="Verdana" w:cs="Arial"/>
          <w:color w:val="000000"/>
          <w:lang w:val="es-ES_tradnl" w:eastAsia="es-ES_tradnl"/>
        </w:rPr>
      </w:pPr>
    </w:p>
    <w:p w14:paraId="4BDBE9EF" w14:textId="77777777" w:rsidR="00D170EC" w:rsidRPr="00593A5F" w:rsidRDefault="00D170EC" w:rsidP="00D170EC">
      <w:pPr>
        <w:spacing w:after="0" w:line="240" w:lineRule="auto"/>
        <w:jc w:val="both"/>
        <w:rPr>
          <w:rFonts w:ascii="Verdana" w:eastAsia="Calibri" w:hAnsi="Verdana" w:cs="Arial"/>
          <w:color w:val="000000"/>
          <w:lang w:val="es-ES_tradnl" w:eastAsia="es-ES_tradnl"/>
        </w:rPr>
      </w:pPr>
    </w:p>
    <w:p w14:paraId="4EAA5A61" w14:textId="77777777" w:rsidR="00D170EC" w:rsidRPr="008E6AD9" w:rsidRDefault="00D170EC" w:rsidP="00D170E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FD1BE9">
        <w:rPr>
          <w:rFonts w:ascii="Verdana" w:eastAsia="Calibri" w:hAnsi="Verdana" w:cs="Arial"/>
          <w:lang w:val="es-ES" w:eastAsia="es-ES"/>
        </w:rPr>
        <w:t>Gutiérrez Sánchez</w:t>
      </w:r>
      <w:r w:rsidRPr="008E6AD9">
        <w:rPr>
          <w:rFonts w:ascii="Verdana" w:eastAsia="Calibri" w:hAnsi="Verdana" w:cs="Arial"/>
          <w:lang w:val="es-ES" w:eastAsia="es-ES"/>
        </w:rPr>
        <w:t xml:space="preserve">: </w:t>
      </w:r>
    </w:p>
    <w:p w14:paraId="785A1766" w14:textId="77777777" w:rsidR="00D170EC" w:rsidRDefault="00D170EC" w:rsidP="00D170E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3408DEE" w14:textId="77777777" w:rsidR="00D170EC" w:rsidRPr="00593A5F" w:rsidRDefault="00D170EC" w:rsidP="00D170E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16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–respecto a la contratación de la interventoría de los proyectos de APP, conforme al inciso primero del artículo 33 de la Ley 1508 de 2012– manifiesta que</w:t>
      </w:r>
      <w:r w:rsidRPr="008E6AD9">
        <w:rPr>
          <w:rFonts w:ascii="Verdana" w:eastAsia="Calibri" w:hAnsi="Verdana" w:cs="Arial"/>
          <w:lang w:val="es-ES" w:eastAsia="es-ES"/>
        </w:rPr>
        <w:t xml:space="preserve">: </w:t>
      </w:r>
    </w:p>
    <w:p w14:paraId="4E91B043" w14:textId="77777777" w:rsidR="00D170EC" w:rsidRPr="00272A7B" w:rsidRDefault="00D170EC" w:rsidP="00D170EC">
      <w:pPr>
        <w:pStyle w:val="Prrafodelista"/>
        <w:tabs>
          <w:tab w:val="left" w:pos="142"/>
          <w:tab w:val="left" w:pos="284"/>
        </w:tabs>
        <w:spacing w:after="0" w:line="276" w:lineRule="auto"/>
        <w:ind w:left="0"/>
        <w:jc w:val="both"/>
        <w:rPr>
          <w:rFonts w:ascii="Verdana" w:eastAsia="Century Gothic" w:hAnsi="Verdana" w:cs="Century Gothic"/>
          <w:b/>
          <w:bCs/>
        </w:rPr>
      </w:pPr>
    </w:p>
    <w:p w14:paraId="4623DB26" w14:textId="77777777" w:rsidR="00D170EC" w:rsidRPr="004C4E62" w:rsidRDefault="00D170EC" w:rsidP="00D170EC">
      <w:pPr>
        <w:spacing w:after="0" w:line="240" w:lineRule="auto"/>
        <w:ind w:left="709" w:right="709"/>
        <w:jc w:val="both"/>
        <w:rPr>
          <w:rFonts w:ascii="Verdana" w:eastAsia="Century Gothic" w:hAnsi="Verdana" w:cs="Century Gothic"/>
          <w:sz w:val="20"/>
          <w:szCs w:val="20"/>
          <w:lang w:val="es-ES"/>
        </w:rPr>
      </w:pPr>
      <w:bookmarkStart w:id="0" w:name="_Hlk95313578"/>
      <w:r w:rsidRPr="004C4E62">
        <w:rPr>
          <w:rFonts w:ascii="Verdana" w:eastAsia="Century Gothic" w:hAnsi="Verdana" w:cs="Century Gothic"/>
          <w:sz w:val="20"/>
          <w:szCs w:val="20"/>
          <w:lang w:val="es-ES"/>
        </w:rPr>
        <w:lastRenderedPageBreak/>
        <w:t>“</w:t>
      </w:r>
      <w:bookmarkEnd w:id="0"/>
      <w:r>
        <w:rPr>
          <w:rFonts w:ascii="Verdana" w:eastAsia="Century Gothic" w:hAnsi="Verdana" w:cs="Century Gothic"/>
          <w:sz w:val="20"/>
          <w:szCs w:val="20"/>
          <w:lang w:val="es-ES"/>
        </w:rPr>
        <w:t xml:space="preserve">[…] </w:t>
      </w:r>
      <w:r w:rsidRPr="00FD1BE9">
        <w:rPr>
          <w:rFonts w:ascii="Verdana" w:eastAsia="Century Gothic" w:hAnsi="Verdana" w:cs="Century Gothic"/>
          <w:sz w:val="20"/>
          <w:szCs w:val="20"/>
          <w:lang w:val="es-ES"/>
        </w:rPr>
        <w:t>se solicita precisar si, en el evento en que el presupuesto oficial supere el valor correspondiente a la menor cuantía de la entidad, sería procedente aplicar la modalidad de selección abreviada de menor cuantía o si debería emplearse en ese caso la modalidad de concurso de méritos</w:t>
      </w:r>
      <w:r w:rsidRPr="004C4E62">
        <w:rPr>
          <w:rFonts w:ascii="Verdana" w:eastAsia="Century Gothic" w:hAnsi="Verdana" w:cs="Century Gothic"/>
          <w:sz w:val="20"/>
          <w:szCs w:val="20"/>
          <w:lang w:val="es-ES"/>
        </w:rPr>
        <w:t>”.</w:t>
      </w:r>
    </w:p>
    <w:p w14:paraId="689B0E5A" w14:textId="77777777" w:rsidR="00D170EC" w:rsidRPr="008E6AD9" w:rsidRDefault="00D170EC" w:rsidP="00D170EC">
      <w:pPr>
        <w:pStyle w:val="Prrafodelista"/>
        <w:tabs>
          <w:tab w:val="left" w:pos="142"/>
          <w:tab w:val="left" w:pos="284"/>
        </w:tabs>
        <w:spacing w:after="0" w:line="276" w:lineRule="auto"/>
        <w:ind w:left="0"/>
        <w:jc w:val="both"/>
        <w:rPr>
          <w:rFonts w:ascii="Verdana" w:eastAsia="Century Gothic" w:hAnsi="Verdana" w:cs="Century Gothic"/>
          <w:b/>
          <w:bCs/>
        </w:rPr>
      </w:pPr>
    </w:p>
    <w:p w14:paraId="1F8292D3" w14:textId="77777777" w:rsidR="00D170EC" w:rsidRPr="00A652FF" w:rsidRDefault="00D170EC" w:rsidP="00D170E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47735A" w14:textId="77777777" w:rsidR="00D170EC" w:rsidRDefault="00D170EC" w:rsidP="00D170E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3214792" w14:textId="77777777" w:rsidR="00D170EC" w:rsidRPr="00593A5F" w:rsidRDefault="00D170EC" w:rsidP="00D170EC">
      <w:pPr>
        <w:spacing w:after="0" w:line="276" w:lineRule="auto"/>
        <w:ind w:firstLine="709"/>
        <w:jc w:val="both"/>
        <w:rPr>
          <w:rFonts w:ascii="Verdana" w:eastAsia="Calibri" w:hAnsi="Verdana" w:cs="Arial"/>
          <w:color w:val="000000"/>
          <w:lang w:val="es-ES" w:eastAsia="es-ES"/>
        </w:rPr>
      </w:pPr>
    </w:p>
    <w:p w14:paraId="4EC379E4" w14:textId="77777777" w:rsidR="00D170EC" w:rsidRPr="00593A5F" w:rsidRDefault="00D170EC" w:rsidP="00D170E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C27EF1A" w14:textId="77777777" w:rsidR="00D170EC" w:rsidRPr="00593A5F" w:rsidRDefault="00D170EC" w:rsidP="00D170EC">
      <w:pPr>
        <w:tabs>
          <w:tab w:val="left" w:pos="426"/>
        </w:tabs>
        <w:spacing w:after="0" w:line="276" w:lineRule="auto"/>
        <w:jc w:val="both"/>
        <w:rPr>
          <w:rFonts w:ascii="Verdana" w:eastAsia="Century Gothic" w:hAnsi="Verdana" w:cs="Century Gothic"/>
          <w:lang w:val="es-ES"/>
        </w:rPr>
      </w:pPr>
    </w:p>
    <w:p w14:paraId="630C9907" w14:textId="77777777" w:rsidR="00D170EC" w:rsidRPr="00593A5F" w:rsidRDefault="00D170EC" w:rsidP="00D170E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¿para la contratación de las interventorías de los proyectos de APP de que trata el artículo 33 de la Ley 1508 de 2012, procede la selección abreviada de menor cuantía fuera de los topes regulados en el</w:t>
      </w:r>
      <w:r>
        <w:rPr>
          <w:rFonts w:ascii="Verdana" w:eastAsia="Calibri" w:hAnsi="Verdana" w:cs="Arial"/>
          <w:color w:val="000000" w:themeColor="text1"/>
          <w:lang w:val="es-MX"/>
        </w:rPr>
        <w:t xml:space="preserve"> </w:t>
      </w:r>
      <w:r w:rsidRPr="007D48B0">
        <w:rPr>
          <w:rFonts w:ascii="Verdana" w:eastAsia="Calibri" w:hAnsi="Verdana" w:cs="Arial"/>
          <w:color w:val="000000" w:themeColor="text1"/>
          <w:lang w:val="es-MX"/>
        </w:rPr>
        <w:t>literal b) del artículo 2.2 de la Ley 1150 de 2007</w:t>
      </w:r>
      <w:r>
        <w:rPr>
          <w:rFonts w:ascii="Verdana" w:eastAsia="Calibri" w:hAnsi="Verdana" w:cs="Arial"/>
          <w:color w:val="000000" w:themeColor="text1"/>
          <w:lang w:val="es-MX"/>
        </w:rPr>
        <w:t>?</w:t>
      </w:r>
      <w:r w:rsidRPr="007D48B0">
        <w:rPr>
          <w:rFonts w:ascii="Verdana" w:eastAsia="Calibri" w:hAnsi="Verdana" w:cs="Arial"/>
          <w:color w:val="000000" w:themeColor="text1"/>
          <w:lang w:val="es-MX"/>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557808D" w14:textId="77777777" w:rsidR="00D170EC" w:rsidRPr="004B140F" w:rsidRDefault="00D170EC" w:rsidP="00D170EC">
      <w:pPr>
        <w:spacing w:after="0" w:line="276" w:lineRule="auto"/>
        <w:jc w:val="both"/>
        <w:rPr>
          <w:rFonts w:ascii="Verdana" w:eastAsia="Calibri" w:hAnsi="Verdana" w:cs="Arial"/>
          <w:color w:val="7030A0"/>
        </w:rPr>
      </w:pPr>
    </w:p>
    <w:p w14:paraId="38EB875A" w14:textId="77777777" w:rsidR="00D170EC" w:rsidRPr="00593A5F" w:rsidRDefault="00D170EC" w:rsidP="00D170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EB4515A" w14:textId="77777777" w:rsidR="00D170EC" w:rsidRPr="00593A5F" w:rsidRDefault="00D170EC" w:rsidP="00D170E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70EC" w:rsidRPr="00593A5F" w14:paraId="5FD0690B" w14:textId="77777777" w:rsidTr="00542196">
        <w:trPr>
          <w:jc w:val="center"/>
        </w:trPr>
        <w:tc>
          <w:tcPr>
            <w:tcW w:w="8828" w:type="dxa"/>
          </w:tcPr>
          <w:p w14:paraId="26A1B261" w14:textId="5B201F67" w:rsidR="00D170EC" w:rsidRDefault="00D170EC" w:rsidP="00BB7B03">
            <w:pPr>
              <w:spacing w:after="120" w:line="276" w:lineRule="auto"/>
              <w:jc w:val="both"/>
              <w:rPr>
                <w:rFonts w:ascii="Verdana" w:eastAsia="Calibri" w:hAnsi="Verdana" w:cs="Arial"/>
                <w:color w:val="000000" w:themeColor="text1"/>
                <w:lang w:val="es-MX"/>
              </w:rPr>
            </w:pPr>
            <w:bookmarkStart w:id="1" w:name="_Hlk171694685"/>
            <w:r>
              <w:rPr>
                <w:rFonts w:ascii="Verdana" w:eastAsia="Calibri" w:hAnsi="Verdana" w:cs="Arial"/>
                <w:bCs/>
                <w:color w:val="000000" w:themeColor="text1"/>
              </w:rPr>
              <w:t xml:space="preserve">Conforme a la interpretación general de las normas del sistema de compras públicas, </w:t>
            </w:r>
            <w:r>
              <w:rPr>
                <w:rFonts w:ascii="Verdana" w:hAnsi="Verdana" w:cs="Arial"/>
                <w:color w:val="000000" w:themeColor="text1"/>
              </w:rPr>
              <w:t>el inciso primero del artículo 33 de la Ley 1508 de 2012 establece disposiciones especiales respecto a la contratación de la interventoría en los proyectos del APP. La norma dispone lo siguiente: “</w:t>
            </w:r>
            <w:r w:rsidRPr="00907743">
              <w:rPr>
                <w:rFonts w:ascii="Verdana" w:hAnsi="Verdana" w:cs="Arial"/>
                <w:color w:val="000000" w:themeColor="text1"/>
              </w:rPr>
              <w:t xml:space="preserve">La elaboración de estudios, </w:t>
            </w:r>
            <w:r w:rsidRPr="00907743">
              <w:rPr>
                <w:rFonts w:ascii="Verdana" w:hAnsi="Verdana" w:cs="Arial"/>
                <w:color w:val="000000" w:themeColor="text1"/>
              </w:rPr>
              <w:lastRenderedPageBreak/>
              <w:t xml:space="preserve">la evaluación de proyectos de iniciativa privada y </w:t>
            </w:r>
            <w:r w:rsidRPr="00907743">
              <w:rPr>
                <w:rFonts w:ascii="Verdana" w:hAnsi="Verdana" w:cs="Arial"/>
                <w:i/>
                <w:iCs/>
                <w:color w:val="000000" w:themeColor="text1"/>
              </w:rPr>
              <w:t>las interventorías de los contratos, se podrán contratar mediante el procedimiento de selección abreviada de menor cuantía</w:t>
            </w:r>
            <w:r w:rsidRPr="00907743">
              <w:rPr>
                <w:rFonts w:ascii="Verdana" w:hAnsi="Verdana" w:cs="Arial"/>
                <w:color w:val="000000" w:themeColor="text1"/>
              </w:rPr>
              <w:t xml:space="preserve"> o mínima cuantía </w:t>
            </w:r>
            <w:r w:rsidRPr="00907743">
              <w:rPr>
                <w:rFonts w:ascii="Verdana" w:hAnsi="Verdana" w:cs="Arial"/>
                <w:i/>
                <w:iCs/>
                <w:color w:val="000000" w:themeColor="text1"/>
              </w:rPr>
              <w:t>según su valor</w:t>
            </w:r>
            <w:r>
              <w:rPr>
                <w:rFonts w:ascii="Verdana" w:hAnsi="Verdana" w:cs="Arial"/>
                <w:color w:val="000000" w:themeColor="text1"/>
              </w:rPr>
              <w:t>” (Énfasis fuera de texto)</w:t>
            </w:r>
            <w:r w:rsidRPr="00907743">
              <w:rPr>
                <w:rFonts w:ascii="Verdana" w:hAnsi="Verdana" w:cs="Arial"/>
                <w:color w:val="000000" w:themeColor="text1"/>
              </w:rPr>
              <w:t>.</w:t>
            </w:r>
            <w:r>
              <w:rPr>
                <w:rFonts w:ascii="Verdana" w:hAnsi="Verdana" w:cs="Arial"/>
                <w:color w:val="000000" w:themeColor="text1"/>
              </w:rPr>
              <w:t xml:space="preserve"> E</w:t>
            </w:r>
            <w:r w:rsidRPr="007D48B0">
              <w:rPr>
                <w:rFonts w:ascii="Verdana" w:eastAsia="Calibri" w:hAnsi="Verdana" w:cs="Arial"/>
                <w:color w:val="000000" w:themeColor="text1"/>
                <w:lang w:val="es-MX"/>
              </w:rPr>
              <w:t>st</w:t>
            </w:r>
            <w:r>
              <w:rPr>
                <w:rFonts w:ascii="Verdana" w:eastAsia="Calibri" w:hAnsi="Verdana" w:cs="Arial"/>
                <w:color w:val="000000" w:themeColor="text1"/>
                <w:lang w:val="es-MX"/>
              </w:rPr>
              <w:t>e</w:t>
            </w:r>
            <w:r w:rsidRPr="007D48B0">
              <w:rPr>
                <w:rFonts w:ascii="Verdana" w:eastAsia="Calibri" w:hAnsi="Verdana" w:cs="Arial"/>
                <w:color w:val="000000" w:themeColor="text1"/>
                <w:lang w:val="es-MX"/>
              </w:rPr>
              <w:t xml:space="preserve"> se refiere a los procesos contractuales cuyo su valor es inferior a los topes que señala</w:t>
            </w:r>
            <w:r>
              <w:rPr>
                <w:rFonts w:ascii="Verdana" w:eastAsia="Calibri" w:hAnsi="Verdana" w:cs="Arial"/>
                <w:color w:val="000000" w:themeColor="text1"/>
                <w:lang w:val="es-MX"/>
              </w:rPr>
              <w:t xml:space="preserve"> el </w:t>
            </w:r>
            <w:r w:rsidRPr="007D48B0">
              <w:rPr>
                <w:rFonts w:ascii="Verdana" w:eastAsia="Calibri" w:hAnsi="Verdana" w:cs="Arial"/>
                <w:color w:val="000000" w:themeColor="text1"/>
                <w:lang w:val="es-MX"/>
              </w:rPr>
              <w:t>literal b) del artículo 2.2 de la Ley 1150 de 2007 respecto de su presupuesto anual, y se desarrolla en el Decreto único Reglamentario del Sector Planeación donde se establece su procedimiento</w:t>
            </w:r>
            <w:r>
              <w:rPr>
                <w:rFonts w:ascii="Verdana" w:eastAsia="Calibri" w:hAnsi="Verdana" w:cs="Arial"/>
                <w:color w:val="000000" w:themeColor="text1"/>
                <w:lang w:val="es-MX"/>
              </w:rPr>
              <w:t>.</w:t>
            </w:r>
          </w:p>
          <w:p w14:paraId="2444EE0F" w14:textId="77777777" w:rsidR="00D170EC" w:rsidRDefault="00D170EC" w:rsidP="00BB7B03">
            <w:pPr>
              <w:spacing w:after="120" w:line="276" w:lineRule="auto"/>
              <w:ind w:firstLine="734"/>
              <w:jc w:val="both"/>
              <w:rPr>
                <w:rFonts w:ascii="Verdana" w:hAnsi="Verdana" w:cs="Arial"/>
                <w:color w:val="000000" w:themeColor="text1"/>
              </w:rPr>
            </w:pPr>
            <w:r w:rsidRPr="007D48B0">
              <w:rPr>
                <w:rFonts w:ascii="Verdana" w:eastAsia="Calibri" w:hAnsi="Verdana" w:cs="Arial"/>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p>
          <w:p w14:paraId="036D7F7B" w14:textId="0BC1CEB4" w:rsidR="00D170EC" w:rsidRPr="005F6F61" w:rsidRDefault="00D170EC" w:rsidP="00BB7B03">
            <w:pPr>
              <w:spacing w:after="120" w:line="276" w:lineRule="auto"/>
              <w:ind w:firstLine="731"/>
              <w:jc w:val="both"/>
              <w:rPr>
                <w:rFonts w:ascii="Verdana" w:hAnsi="Verdana" w:cs="Arial"/>
                <w:color w:val="000000" w:themeColor="text1"/>
              </w:rPr>
            </w:pPr>
            <w:r>
              <w:rPr>
                <w:rFonts w:ascii="Verdana" w:hAnsi="Verdana" w:cs="Arial"/>
                <w:color w:val="000000" w:themeColor="text1"/>
              </w:rPr>
              <w:t xml:space="preserve">En consecuencia, como el artículo 33 de la Ley 1508 de 2012 permite que la interventoría se contrate a través de la selección abreviada de menor cuantía según el valor del contrato, esto significa que sólo es procedente esta modalidad dentro de los topes indicados en </w:t>
            </w:r>
            <w:r>
              <w:rPr>
                <w:rFonts w:ascii="Verdana" w:eastAsia="Calibri" w:hAnsi="Verdana" w:cs="Arial"/>
                <w:color w:val="000000" w:themeColor="text1"/>
                <w:lang w:val="es-MX"/>
              </w:rPr>
              <w:t xml:space="preserve">el </w:t>
            </w:r>
            <w:r w:rsidRPr="007D48B0">
              <w:rPr>
                <w:rFonts w:ascii="Verdana" w:eastAsia="Calibri" w:hAnsi="Verdana" w:cs="Arial"/>
                <w:color w:val="000000" w:themeColor="text1"/>
                <w:lang w:val="es-MX"/>
              </w:rPr>
              <w:t>literal b) del artículo 2.2 de la Ley 1150 de 2007</w:t>
            </w:r>
            <w:r>
              <w:rPr>
                <w:rFonts w:ascii="Verdana" w:hAnsi="Verdana" w:cs="Arial"/>
                <w:color w:val="000000" w:themeColor="text1"/>
              </w:rPr>
              <w:t>. Es decir, si el presupuesto oficial los supera, aplica el concurso de méritos, pues así lo dispone el artículo 2.3 de la Ley 1150 de 2007 en concordancia con el artículo 32.2 de la Ley 80 de 1993.</w:t>
            </w:r>
          </w:p>
          <w:p w14:paraId="1AC056D8" w14:textId="77777777" w:rsidR="00D170EC" w:rsidRPr="001941FD" w:rsidRDefault="00D170EC" w:rsidP="00BB7B03">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95ABD43" w14:textId="77777777" w:rsidR="00D170EC" w:rsidRPr="00593A5F" w:rsidRDefault="00D170EC" w:rsidP="00D170EC">
      <w:pPr>
        <w:tabs>
          <w:tab w:val="left" w:pos="142"/>
          <w:tab w:val="left" w:pos="284"/>
        </w:tabs>
        <w:spacing w:after="0" w:line="276" w:lineRule="auto"/>
        <w:jc w:val="both"/>
        <w:rPr>
          <w:rFonts w:ascii="Verdana" w:eastAsia="Century Gothic" w:hAnsi="Verdana" w:cs="Century Gothic"/>
          <w:b/>
          <w:bCs/>
          <w:lang w:val="es-ES"/>
        </w:rPr>
      </w:pPr>
    </w:p>
    <w:bookmarkEnd w:id="1"/>
    <w:p w14:paraId="091B8D42" w14:textId="77777777" w:rsidR="00D170EC" w:rsidRPr="00593A5F" w:rsidRDefault="00D170EC" w:rsidP="00D170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106CF42" w14:textId="77777777" w:rsidR="00D170EC" w:rsidRPr="00593A5F" w:rsidRDefault="00D170EC" w:rsidP="00D170EC">
      <w:pPr>
        <w:spacing w:after="0" w:line="276" w:lineRule="auto"/>
        <w:jc w:val="both"/>
        <w:rPr>
          <w:rFonts w:ascii="Verdana" w:eastAsia="Calibri" w:hAnsi="Verdana" w:cs="Arial"/>
          <w:color w:val="7030A0"/>
          <w:lang w:val="es-ES"/>
        </w:rPr>
      </w:pPr>
    </w:p>
    <w:p w14:paraId="7D49C5E1" w14:textId="77777777" w:rsidR="00D170EC" w:rsidRDefault="00D170EC" w:rsidP="00D170EC">
      <w:pPr>
        <w:spacing w:after="0" w:line="276" w:lineRule="auto"/>
        <w:jc w:val="both"/>
        <w:rPr>
          <w:rFonts w:ascii="Verdana" w:eastAsia="Calibri" w:hAnsi="Verdana" w:cs="Arial"/>
          <w:lang w:val="es-ES"/>
        </w:rPr>
      </w:pPr>
      <w:r w:rsidRPr="00B96799">
        <w:rPr>
          <w:rFonts w:ascii="Verdana" w:eastAsia="Calibri" w:hAnsi="Verdana" w:cs="Arial"/>
          <w:lang w:val="es-ES"/>
        </w:rPr>
        <w:lastRenderedPageBreak/>
        <w:t>Lo anterior se sustenta en las siguientes consideraciones:</w:t>
      </w:r>
    </w:p>
    <w:p w14:paraId="12393DB5" w14:textId="77777777" w:rsidR="00D170EC" w:rsidRPr="00415608" w:rsidRDefault="00D170EC" w:rsidP="00D170EC">
      <w:pPr>
        <w:spacing w:after="0" w:line="276" w:lineRule="auto"/>
        <w:jc w:val="both"/>
        <w:rPr>
          <w:rFonts w:ascii="Verdana" w:eastAsia="Calibri" w:hAnsi="Verdana" w:cs="Arial"/>
          <w:lang w:val="es-ES"/>
        </w:rPr>
      </w:pPr>
    </w:p>
    <w:p w14:paraId="3900F616" w14:textId="77777777" w:rsidR="00D170EC" w:rsidRPr="0009789A" w:rsidRDefault="00D170EC" w:rsidP="7C0662BC">
      <w:pPr>
        <w:spacing w:after="0" w:line="276" w:lineRule="auto"/>
        <w:jc w:val="both"/>
        <w:rPr>
          <w:rFonts w:ascii="Verdana" w:eastAsia="Calibri" w:hAnsi="Verdana" w:cs="Arial"/>
          <w:color w:val="000000" w:themeColor="text1"/>
          <w:lang w:val="es-ES"/>
        </w:rPr>
      </w:pPr>
      <w:r w:rsidRPr="7C0662BC">
        <w:rPr>
          <w:rFonts w:ascii="Verdana" w:eastAsia="Calibri" w:hAnsi="Verdana" w:cs="Arial"/>
          <w:lang w:val="es-ES"/>
        </w:rPr>
        <w:t xml:space="preserve">i. </w:t>
      </w:r>
      <w:r w:rsidRPr="7C0662BC">
        <w:rPr>
          <w:rFonts w:ascii="Verdana" w:eastAsia="Calibri" w:hAnsi="Verdana" w:cs="Arial"/>
          <w:color w:val="000000" w:themeColor="text1"/>
          <w:lang w:val="es-ES"/>
        </w:rPr>
        <w:t>Las asociaciones público privadas – APP– son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 Así lo consideró la Corte Constitucional, expresando lo siguiente:</w:t>
      </w:r>
    </w:p>
    <w:p w14:paraId="74ED7FB5" w14:textId="77777777" w:rsidR="00D170EC" w:rsidRPr="0009789A" w:rsidRDefault="00D170EC" w:rsidP="00D170EC">
      <w:pPr>
        <w:tabs>
          <w:tab w:val="left" w:pos="0"/>
        </w:tabs>
        <w:spacing w:after="0" w:line="276" w:lineRule="auto"/>
        <w:jc w:val="both"/>
        <w:rPr>
          <w:rFonts w:ascii="Verdana" w:eastAsia="Calibri" w:hAnsi="Verdana" w:cs="Arial"/>
          <w:bCs/>
          <w:color w:val="000000" w:themeColor="text1"/>
          <w:lang w:val="es-ES_tradnl"/>
        </w:rPr>
      </w:pPr>
    </w:p>
    <w:p w14:paraId="56493B2A" w14:textId="77777777" w:rsidR="00D170EC" w:rsidRPr="00932767" w:rsidRDefault="00D170EC" w:rsidP="00D170EC">
      <w:pPr>
        <w:spacing w:after="0" w:line="240" w:lineRule="auto"/>
        <w:ind w:left="709" w:right="709"/>
        <w:jc w:val="both"/>
        <w:rPr>
          <w:rFonts w:ascii="Verdana" w:eastAsia="Calibri" w:hAnsi="Verdana" w:cs="Arial"/>
          <w:color w:val="000000" w:themeColor="text1"/>
          <w:sz w:val="20"/>
          <w:szCs w:val="20"/>
          <w:lang w:val="es-ES"/>
        </w:rPr>
      </w:pPr>
      <w:r w:rsidRPr="7C0662BC">
        <w:rPr>
          <w:rFonts w:ascii="Verdana" w:eastAsia="Calibri" w:hAnsi="Verdana" w:cs="Arial"/>
          <w:color w:val="000000" w:themeColor="text1"/>
          <w:sz w:val="20"/>
          <w:szCs w:val="20"/>
          <w:lang w:val="es-ES"/>
        </w:rPr>
        <w:t>“Las APP se caracterizan por: (i) tener una larga duración; (</w:t>
      </w:r>
      <w:proofErr w:type="spellStart"/>
      <w:r w:rsidRPr="7C0662BC">
        <w:rPr>
          <w:rFonts w:ascii="Verdana" w:eastAsia="Calibri" w:hAnsi="Verdana" w:cs="Arial"/>
          <w:color w:val="000000" w:themeColor="text1"/>
          <w:sz w:val="20"/>
          <w:szCs w:val="20"/>
          <w:lang w:val="es-ES"/>
        </w:rPr>
        <w:t>ii</w:t>
      </w:r>
      <w:proofErr w:type="spellEnd"/>
      <w:r w:rsidRPr="7C0662BC">
        <w:rPr>
          <w:rFonts w:ascii="Verdana" w:eastAsia="Calibri" w:hAnsi="Verdana" w:cs="Arial"/>
          <w:color w:val="000000" w:themeColor="text1"/>
          <w:sz w:val="20"/>
          <w:szCs w:val="20"/>
          <w:lang w:val="es-ES"/>
        </w:rPr>
        <w:t>) definir sus objetos alrededor de proyectos, lo que conlleva la previsión de actividades como el diseño, construcción y mantenimiento de la infraestructura pública sobre la que verse el contrato y/o los servicios asociados; (</w:t>
      </w:r>
      <w:proofErr w:type="spellStart"/>
      <w:r w:rsidRPr="7C0662BC">
        <w:rPr>
          <w:rFonts w:ascii="Verdana" w:eastAsia="Calibri" w:hAnsi="Verdana" w:cs="Arial"/>
          <w:color w:val="000000" w:themeColor="text1"/>
          <w:sz w:val="20"/>
          <w:szCs w:val="20"/>
          <w:lang w:val="es-ES"/>
        </w:rPr>
        <w:t>iii</w:t>
      </w:r>
      <w:proofErr w:type="spellEnd"/>
      <w:r w:rsidRPr="7C0662BC">
        <w:rPr>
          <w:rFonts w:ascii="Verdana" w:eastAsia="Calibri" w:hAnsi="Verdana" w:cs="Arial"/>
          <w:color w:val="000000" w:themeColor="text1"/>
          <w:sz w:val="20"/>
          <w:szCs w:val="20"/>
          <w:lang w:val="es-ES"/>
        </w:rPr>
        <w:t>) contar con financiación privada o público-privada; (</w:t>
      </w:r>
      <w:proofErr w:type="spellStart"/>
      <w:r w:rsidRPr="7C0662BC">
        <w:rPr>
          <w:rFonts w:ascii="Verdana" w:eastAsia="Calibri" w:hAnsi="Verdana" w:cs="Arial"/>
          <w:color w:val="000000" w:themeColor="text1"/>
          <w:sz w:val="20"/>
          <w:szCs w:val="20"/>
          <w:lang w:val="es-ES"/>
        </w:rPr>
        <w:t>iv</w:t>
      </w:r>
      <w:proofErr w:type="spellEnd"/>
      <w:r w:rsidRPr="7C0662BC">
        <w:rPr>
          <w:rFonts w:ascii="Verdana" w:eastAsia="Calibri" w:hAnsi="Verdana" w:cs="Arial"/>
          <w:color w:val="000000" w:themeColor="text1"/>
          <w:sz w:val="20"/>
          <w:szCs w:val="20"/>
          <w:lang w:val="es-ES"/>
        </w:rPr>
        <w:t>) establecer como forma de remuneración el otorgamiento del derecho a la explotación de la infraestructura o servicio, aunque en algunos casos es posible pactar el desembolso de recursos públicos; (v) condicionar la remuneración a niveles de calidad; (vi) trasladar parte importante de los riesgos al contratista –por ejemplo, los asociados al diseño, niveles de demanda, deterioro y mantenimiento de la infraestructura- según su capacidad y experiencia; y (</w:t>
      </w:r>
      <w:proofErr w:type="spellStart"/>
      <w:r w:rsidRPr="7C0662BC">
        <w:rPr>
          <w:rFonts w:ascii="Verdana" w:eastAsia="Calibri" w:hAnsi="Verdana" w:cs="Arial"/>
          <w:color w:val="000000" w:themeColor="text1"/>
          <w:sz w:val="20"/>
          <w:szCs w:val="20"/>
          <w:lang w:val="es-ES"/>
        </w:rPr>
        <w:t>vii</w:t>
      </w:r>
      <w:proofErr w:type="spellEnd"/>
      <w:r w:rsidRPr="7C0662BC">
        <w:rPr>
          <w:rFonts w:ascii="Verdana" w:eastAsia="Calibri" w:hAnsi="Verdana" w:cs="Arial"/>
          <w:color w:val="000000" w:themeColor="text1"/>
          <w:sz w:val="20"/>
          <w:szCs w:val="20"/>
          <w:lang w:val="es-ES"/>
        </w:rPr>
        <w:t>) distribuir las tareas entre las partes de acuerdo con su experiencia y ventaja competitiva”</w:t>
      </w:r>
      <w:r w:rsidRPr="7C0662BC">
        <w:rPr>
          <w:rStyle w:val="Refdenotaalpie"/>
          <w:rFonts w:ascii="Verdana" w:eastAsia="Calibri" w:hAnsi="Verdana" w:cs="Arial"/>
          <w:color w:val="000000" w:themeColor="text1"/>
          <w:sz w:val="20"/>
          <w:szCs w:val="20"/>
          <w:lang w:val="es-ES"/>
        </w:rPr>
        <w:footnoteReference w:id="2"/>
      </w:r>
      <w:r w:rsidRPr="7C0662BC">
        <w:rPr>
          <w:rFonts w:ascii="Verdana" w:eastAsia="Calibri" w:hAnsi="Verdana" w:cs="Arial"/>
          <w:color w:val="000000" w:themeColor="text1"/>
          <w:sz w:val="20"/>
          <w:szCs w:val="20"/>
          <w:lang w:val="es-ES"/>
        </w:rPr>
        <w:t>.</w:t>
      </w:r>
    </w:p>
    <w:p w14:paraId="526F9033" w14:textId="77777777" w:rsidR="00D170EC" w:rsidRPr="0009789A" w:rsidRDefault="00D170EC" w:rsidP="00D170EC">
      <w:pPr>
        <w:tabs>
          <w:tab w:val="left" w:pos="0"/>
        </w:tabs>
        <w:spacing w:after="0" w:line="276" w:lineRule="auto"/>
        <w:jc w:val="both"/>
        <w:rPr>
          <w:rFonts w:ascii="Verdana" w:eastAsia="Calibri" w:hAnsi="Verdana" w:cs="Arial"/>
          <w:bCs/>
          <w:color w:val="000000" w:themeColor="text1"/>
          <w:lang w:val="es-ES_tradnl"/>
        </w:rPr>
      </w:pPr>
    </w:p>
    <w:p w14:paraId="1CFBDB7B" w14:textId="77777777" w:rsidR="00D170EC" w:rsidRPr="0009789A" w:rsidRDefault="00D170EC" w:rsidP="7C0662BC">
      <w:pPr>
        <w:spacing w:after="0" w:line="276" w:lineRule="auto"/>
        <w:ind w:firstLine="709"/>
        <w:jc w:val="both"/>
        <w:rPr>
          <w:rFonts w:ascii="Verdana" w:eastAsia="Calibri" w:hAnsi="Verdana" w:cs="Arial"/>
          <w:color w:val="000000" w:themeColor="text1"/>
          <w:lang w:val="es-ES"/>
        </w:rPr>
      </w:pPr>
      <w:r w:rsidRPr="7C0662BC">
        <w:rPr>
          <w:rFonts w:ascii="Verdana" w:eastAsia="Calibri" w:hAnsi="Verdana" w:cs="Arial"/>
          <w:color w:val="000000" w:themeColor="text1"/>
          <w:lang w:val="es-ES"/>
        </w:rPr>
        <w:t>La Ley 1508 de 2012, “Por la cual se establece el régimen jurídico de las Asociaciones Público Privadas, se dictan normas orgánicas de presupuesto y se dictan otras disposiciones”, en el artículo 1, definió las asociaciones público privadas –APP– de la siguiente manera:</w:t>
      </w:r>
    </w:p>
    <w:p w14:paraId="051FC731" w14:textId="77777777" w:rsidR="00D170EC" w:rsidRPr="0009789A" w:rsidRDefault="00D170EC" w:rsidP="00D170EC">
      <w:pPr>
        <w:tabs>
          <w:tab w:val="left" w:pos="0"/>
        </w:tabs>
        <w:spacing w:after="0"/>
        <w:ind w:left="709" w:right="709"/>
        <w:jc w:val="both"/>
        <w:rPr>
          <w:rFonts w:ascii="Verdana" w:eastAsia="Calibri" w:hAnsi="Verdana" w:cs="Arial"/>
          <w:bCs/>
          <w:color w:val="000000" w:themeColor="text1"/>
          <w:lang w:val="es-ES_tradnl"/>
        </w:rPr>
      </w:pPr>
    </w:p>
    <w:p w14:paraId="2F295D8C" w14:textId="77777777" w:rsidR="00D170EC" w:rsidRPr="00932767" w:rsidRDefault="00D170EC" w:rsidP="7C0662BC">
      <w:pPr>
        <w:spacing w:after="0" w:line="240" w:lineRule="auto"/>
        <w:ind w:left="709" w:right="709"/>
        <w:jc w:val="both"/>
        <w:rPr>
          <w:rFonts w:ascii="Verdana" w:eastAsia="Calibri" w:hAnsi="Verdana" w:cs="Arial"/>
          <w:color w:val="000000" w:themeColor="text1"/>
          <w:sz w:val="20"/>
          <w:szCs w:val="20"/>
          <w:lang w:val="es-ES"/>
        </w:rPr>
      </w:pPr>
      <w:r w:rsidRPr="7C0662BC">
        <w:rPr>
          <w:rFonts w:ascii="Verdana" w:eastAsia="Calibri" w:hAnsi="Verdana" w:cs="Arial"/>
          <w:color w:val="000000" w:themeColor="text1"/>
          <w:sz w:val="20"/>
          <w:szCs w:val="20"/>
          <w:lang w:val="es-ES"/>
        </w:rPr>
        <w:t>“Las Asociaciones Público Privadas son un instrumento de vinculación de capital privado, que se materializan en un contrato entre una entidad estatal y una persona natural o jurídica de derecho privado, para la provisión de bienes públicos y de sus servicios relacionados, que involucra la retención y transferencia de riesgos entre las partes y mecanismos de pago, relacionados con la disponibilidad y el nivel de servicio de la infraestructura y/o servicio”.</w:t>
      </w:r>
    </w:p>
    <w:p w14:paraId="60F686EB" w14:textId="77777777" w:rsidR="00D170EC" w:rsidRPr="0009789A" w:rsidRDefault="00D170EC" w:rsidP="00D170EC">
      <w:pPr>
        <w:tabs>
          <w:tab w:val="left" w:pos="0"/>
        </w:tabs>
        <w:spacing w:after="0" w:line="276" w:lineRule="auto"/>
        <w:ind w:firstLine="709"/>
        <w:jc w:val="both"/>
        <w:rPr>
          <w:rFonts w:ascii="Verdana" w:eastAsia="Calibri" w:hAnsi="Verdana" w:cs="Arial"/>
          <w:bCs/>
          <w:color w:val="000000" w:themeColor="text1"/>
          <w:lang w:val="es-ES_tradnl"/>
        </w:rPr>
      </w:pPr>
    </w:p>
    <w:p w14:paraId="6CA2D503" w14:textId="77777777" w:rsidR="00D170EC" w:rsidRPr="008F1BF3" w:rsidRDefault="00D170EC" w:rsidP="00D170EC">
      <w:pPr>
        <w:tabs>
          <w:tab w:val="left" w:pos="0"/>
        </w:tabs>
        <w:spacing w:after="0" w:line="276" w:lineRule="auto"/>
        <w:ind w:firstLine="709"/>
        <w:jc w:val="both"/>
        <w:rPr>
          <w:rFonts w:ascii="Verdana" w:eastAsia="Calibri" w:hAnsi="Verdana" w:cs="Arial"/>
          <w:bCs/>
          <w:color w:val="000000" w:themeColor="text1"/>
          <w:sz w:val="20"/>
          <w:szCs w:val="20"/>
          <w:lang w:val="es-ES_tradnl"/>
        </w:rPr>
      </w:pPr>
      <w:r w:rsidRPr="0009789A">
        <w:rPr>
          <w:rFonts w:ascii="Verdana" w:eastAsia="Calibri" w:hAnsi="Verdana" w:cs="Arial"/>
          <w:bCs/>
          <w:color w:val="000000" w:themeColor="text1"/>
          <w:lang w:val="es-ES_tradnl"/>
        </w:rPr>
        <w:t xml:space="preserve">Con fundamento en dicha noción, puede decirse que la colaboración público-privada es un mecanismo a través del cual el sector privado participa en la gestión pública, representada en la ejecución de actividades de infraestructura o de otros servicios, vinculando capital, conocimientos y experiencia, así como </w:t>
      </w:r>
      <w:r w:rsidRPr="0009789A">
        <w:rPr>
          <w:rFonts w:ascii="Verdana" w:eastAsia="Calibri" w:hAnsi="Verdana" w:cs="Arial"/>
          <w:bCs/>
          <w:color w:val="000000" w:themeColor="text1"/>
          <w:lang w:val="es-ES_tradnl"/>
        </w:rPr>
        <w:lastRenderedPageBreak/>
        <w:t>un mayor riesgo que el ordinariamente asumido en otras tipologías contractuales</w:t>
      </w:r>
      <w:r w:rsidRPr="0009789A">
        <w:rPr>
          <w:rStyle w:val="Refdenotaalpie"/>
          <w:rFonts w:ascii="Verdana" w:eastAsia="Calibri" w:hAnsi="Verdana" w:cs="Arial"/>
          <w:bCs/>
          <w:color w:val="000000" w:themeColor="text1"/>
          <w:lang w:val="es-ES_tradnl"/>
        </w:rPr>
        <w:footnoteReference w:id="3"/>
      </w:r>
      <w:r w:rsidRPr="0009789A">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09789A">
        <w:rPr>
          <w:rFonts w:ascii="Verdana" w:eastAsia="Calibri" w:hAnsi="Verdana" w:cs="Arial"/>
          <w:bCs/>
          <w:color w:val="000000" w:themeColor="text1"/>
          <w:lang w:val="es-ES_tradnl"/>
        </w:rPr>
        <w:t xml:space="preserve">Por lo anterior, la doctrina nacional ha expresado que </w:t>
      </w:r>
      <w:r>
        <w:rPr>
          <w:rFonts w:ascii="Verdana" w:eastAsia="Calibri" w:hAnsi="Verdana" w:cs="Arial"/>
          <w:bCs/>
          <w:color w:val="000000" w:themeColor="text1"/>
          <w:lang w:val="es-ES_tradnl"/>
        </w:rPr>
        <w:t xml:space="preserve">“[…] </w:t>
      </w:r>
      <w:r w:rsidRPr="0009789A">
        <w:rPr>
          <w:rFonts w:ascii="Verdana" w:eastAsia="Calibri" w:hAnsi="Verdana" w:cs="Arial"/>
          <w:bCs/>
          <w:color w:val="000000" w:themeColor="text1"/>
          <w:lang w:val="es-ES_tradnl"/>
        </w:rPr>
        <w:t>las APP no constituyen un instrumento absolutamente novedoso en el derecho colombiano, pues los contratos con los que se pretende instrumentarlas –ya sea el caso de una concesión u otro tipo contractual– son figuras que ya existían en nuestra legislación</w:t>
      </w:r>
      <w:r>
        <w:rPr>
          <w:rFonts w:ascii="Verdana" w:eastAsia="Calibri" w:hAnsi="Verdana" w:cs="Arial"/>
          <w:bCs/>
          <w:color w:val="000000" w:themeColor="text1"/>
          <w:lang w:val="es-ES_tradnl"/>
        </w:rPr>
        <w:t>”</w:t>
      </w:r>
      <w:r w:rsidRPr="0009789A">
        <w:rPr>
          <w:rStyle w:val="Refdenotaalpie"/>
          <w:rFonts w:ascii="Verdana" w:eastAsia="Calibri" w:hAnsi="Verdana" w:cs="Arial"/>
          <w:bCs/>
          <w:color w:val="000000" w:themeColor="text1"/>
          <w:lang w:val="es-ES_tradnl"/>
        </w:rPr>
        <w:footnoteReference w:id="4"/>
      </w:r>
      <w:r w:rsidRPr="0009789A">
        <w:rPr>
          <w:rFonts w:ascii="Verdana" w:eastAsia="Calibri" w:hAnsi="Verdana" w:cs="Arial"/>
          <w:bCs/>
          <w:color w:val="000000" w:themeColor="text1"/>
          <w:lang w:val="es-ES_tradnl"/>
        </w:rPr>
        <w:t xml:space="preserve">. </w:t>
      </w:r>
    </w:p>
    <w:p w14:paraId="3DD2C6A8" w14:textId="77777777" w:rsidR="00D170EC" w:rsidRPr="00F05E25" w:rsidRDefault="00D170EC" w:rsidP="00D170EC">
      <w:pPr>
        <w:tabs>
          <w:tab w:val="left" w:pos="0"/>
        </w:tabs>
        <w:spacing w:after="0" w:line="276" w:lineRule="auto"/>
        <w:jc w:val="both"/>
        <w:rPr>
          <w:rFonts w:ascii="Verdana" w:eastAsia="Calibri" w:hAnsi="Verdana" w:cs="Arial"/>
          <w:bCs/>
          <w:color w:val="000000" w:themeColor="text1"/>
          <w:lang w:val="es-ES_tradnl"/>
        </w:rPr>
      </w:pPr>
    </w:p>
    <w:p w14:paraId="5A1BEA87" w14:textId="77777777" w:rsidR="00D170EC" w:rsidRPr="00F05E25" w:rsidRDefault="00D170EC" w:rsidP="00D170EC">
      <w:pPr>
        <w:tabs>
          <w:tab w:val="left" w:pos="426"/>
        </w:tabs>
        <w:spacing w:line="276" w:lineRule="auto"/>
        <w:jc w:val="both"/>
        <w:rPr>
          <w:rFonts w:ascii="Verdana" w:eastAsia="Calibri" w:hAnsi="Verdana" w:cs="Arial"/>
          <w:lang w:val="es-ES"/>
        </w:rPr>
      </w:pPr>
      <w:proofErr w:type="spellStart"/>
      <w:r w:rsidRPr="7C0662BC">
        <w:rPr>
          <w:rFonts w:ascii="Verdana" w:eastAsia="Calibri" w:hAnsi="Verdana" w:cs="Arial"/>
          <w:color w:val="000000" w:themeColor="text1"/>
          <w:lang w:val="es-ES"/>
        </w:rPr>
        <w:t>ii</w:t>
      </w:r>
      <w:proofErr w:type="spellEnd"/>
      <w:r w:rsidRPr="7C0662BC">
        <w:rPr>
          <w:rFonts w:ascii="Verdana" w:eastAsia="Calibri" w:hAnsi="Verdana" w:cs="Arial"/>
          <w:color w:val="000000" w:themeColor="text1"/>
          <w:lang w:val="es-ES"/>
        </w:rPr>
        <w:t>. L</w:t>
      </w:r>
      <w:r w:rsidRPr="7C0662BC">
        <w:rPr>
          <w:rFonts w:ascii="Verdana" w:eastAsia="Calibri" w:hAnsi="Verdana" w:cs="Arial"/>
          <w:lang w:val="es-ES"/>
        </w:rPr>
        <w:t xml:space="preserve">a Ley 1508 de 2012 regula dos (2) tipos de proyecto de asociación público privada: i) los de iniciativa pública y </w:t>
      </w:r>
      <w:proofErr w:type="spellStart"/>
      <w:r w:rsidRPr="7C0662BC">
        <w:rPr>
          <w:rFonts w:ascii="Verdana" w:eastAsia="Calibri" w:hAnsi="Verdana" w:cs="Arial"/>
          <w:lang w:val="es-ES"/>
        </w:rPr>
        <w:t>ii</w:t>
      </w:r>
      <w:proofErr w:type="spellEnd"/>
      <w:r w:rsidRPr="7C0662BC">
        <w:rPr>
          <w:rFonts w:ascii="Verdana" w:eastAsia="Calibri" w:hAnsi="Verdana" w:cs="Arial"/>
          <w:lang w:val="es-ES"/>
        </w:rPr>
        <w:t xml:space="preserve">) los de iniciativa privada. En relación con los primeros, es la entidad estatal la que estructura el proyecto y realiza la invitación a participar en el proceso de selección. En los segundos, son los particulares quienes elaboran la propuesta, previa estructuración del proyecto, por su cuenta y riesgo. Los proyectos de asociación pública privada de iniciativa </w:t>
      </w:r>
      <w:r w:rsidRPr="7C0662BC">
        <w:rPr>
          <w:rFonts w:ascii="Verdana" w:eastAsia="Calibri" w:hAnsi="Verdana" w:cs="Arial"/>
          <w:i/>
          <w:lang w:val="es-ES"/>
        </w:rPr>
        <w:t>pública</w:t>
      </w:r>
      <w:r w:rsidRPr="7C0662BC">
        <w:rPr>
          <w:rFonts w:ascii="Verdana" w:eastAsia="Calibri" w:hAnsi="Verdana" w:cs="Arial"/>
          <w:lang w:val="es-ES"/>
        </w:rPr>
        <w:t xml:space="preserve"> o </w:t>
      </w:r>
      <w:r w:rsidRPr="7C0662BC">
        <w:rPr>
          <w:rFonts w:ascii="Verdana" w:eastAsia="Calibri" w:hAnsi="Verdana" w:cs="Arial"/>
          <w:i/>
          <w:lang w:val="es-ES"/>
        </w:rPr>
        <w:t>privada</w:t>
      </w:r>
      <w:r w:rsidRPr="7C0662BC">
        <w:rPr>
          <w:rFonts w:ascii="Verdana" w:eastAsia="Calibri" w:hAnsi="Verdana" w:cs="Arial"/>
          <w:lang w:val="es-ES"/>
        </w:rPr>
        <w:t>, a su vez, se clasifican en dos modalidades: a) los que requieren el desembolso de recursos públicos y b) los que no necesitan dicho desembolso.</w:t>
      </w:r>
    </w:p>
    <w:p w14:paraId="7C013287" w14:textId="77777777" w:rsidR="00D170EC" w:rsidRPr="00F05E25" w:rsidRDefault="00D170EC" w:rsidP="00D170EC">
      <w:pPr>
        <w:tabs>
          <w:tab w:val="left" w:pos="426"/>
        </w:tabs>
        <w:spacing w:before="120" w:line="276" w:lineRule="auto"/>
        <w:ind w:firstLine="709"/>
        <w:jc w:val="both"/>
        <w:rPr>
          <w:rFonts w:ascii="Verdana" w:eastAsia="Calibri" w:hAnsi="Verdana" w:cs="Arial"/>
          <w:lang w:val="es-ES_tradnl"/>
        </w:rPr>
      </w:pPr>
      <w:r w:rsidRPr="00F05E25">
        <w:rPr>
          <w:rFonts w:ascii="Verdana" w:eastAsia="Calibri" w:hAnsi="Verdana" w:cs="Arial"/>
          <w:lang w:val="es-ES_tradnl"/>
        </w:rPr>
        <w:t xml:space="preserve">Teniendo en cuenta que la consulta se formula en el marco de APP de </w:t>
      </w:r>
      <w:r w:rsidRPr="00F05E25">
        <w:rPr>
          <w:rFonts w:ascii="Verdana" w:eastAsia="Calibri" w:hAnsi="Verdana" w:cs="Arial"/>
          <w:i/>
          <w:iCs/>
          <w:lang w:val="es-ES_tradnl"/>
        </w:rPr>
        <w:t>iniciativa privada</w:t>
      </w:r>
      <w:r w:rsidRPr="00F05E25">
        <w:rPr>
          <w:rFonts w:ascii="Verdana" w:eastAsia="Calibri" w:hAnsi="Verdana" w:cs="Arial"/>
          <w:lang w:val="es-ES_tradnl"/>
        </w:rPr>
        <w:t xml:space="preserve">, es importante explicar que, luego de estructurar el proyecto, cumpliendo con las exigencias del artículo 14 de la Ley 1508 de 2012, el particular le debe presentar a la entidad estatal una propuesta después de la fase de </w:t>
      </w:r>
      <w:r w:rsidRPr="00F05E25">
        <w:rPr>
          <w:rFonts w:ascii="Verdana" w:eastAsia="Calibri" w:hAnsi="Verdana" w:cs="Arial"/>
          <w:i/>
          <w:iCs/>
          <w:lang w:val="es-ES_tradnl"/>
        </w:rPr>
        <w:t>prefactibilidad</w:t>
      </w:r>
      <w:r w:rsidRPr="00F05E25">
        <w:rPr>
          <w:rStyle w:val="Refdenotaalpie"/>
          <w:rFonts w:ascii="Verdana" w:eastAsia="Calibri" w:hAnsi="Verdana" w:cs="Arial"/>
          <w:lang w:val="es-ES_tradnl"/>
        </w:rPr>
        <w:footnoteReference w:id="5"/>
      </w:r>
      <w:r w:rsidRPr="00F05E25">
        <w:rPr>
          <w:rFonts w:ascii="Verdana" w:eastAsia="Calibri" w:hAnsi="Verdana" w:cs="Arial"/>
          <w:lang w:val="es-ES_tradnl"/>
        </w:rPr>
        <w:t xml:space="preserve">. Si esta es aceptada por la entidad, el originador privado </w:t>
      </w:r>
      <w:r w:rsidRPr="00F05E25">
        <w:rPr>
          <w:rFonts w:ascii="Verdana" w:eastAsia="Calibri" w:hAnsi="Verdana" w:cs="Arial"/>
          <w:lang w:val="es-ES_tradnl"/>
        </w:rPr>
        <w:lastRenderedPageBreak/>
        <w:t xml:space="preserve">continúa con la fase de </w:t>
      </w:r>
      <w:r w:rsidRPr="00F05E25">
        <w:rPr>
          <w:rFonts w:ascii="Verdana" w:eastAsia="Calibri" w:hAnsi="Verdana" w:cs="Arial"/>
          <w:i/>
          <w:iCs/>
          <w:lang w:val="es-ES_tradnl"/>
        </w:rPr>
        <w:t>factibilidad</w:t>
      </w:r>
      <w:r w:rsidRPr="00F05E25">
        <w:rPr>
          <w:rFonts w:ascii="Verdana" w:eastAsia="Calibri" w:hAnsi="Verdana" w:cs="Arial"/>
          <w:lang w:val="es-ES_tradnl"/>
        </w:rPr>
        <w:t>, al cabo de la cual le allega la propuesta a la entidad pública, quien puede aceptarla o rechazarla</w:t>
      </w:r>
      <w:r w:rsidRPr="00F05E25">
        <w:rPr>
          <w:rStyle w:val="Refdenotaalpie"/>
          <w:rFonts w:ascii="Verdana" w:eastAsia="Calibri" w:hAnsi="Verdana" w:cs="Arial"/>
          <w:lang w:val="es-ES_tradnl"/>
        </w:rPr>
        <w:footnoteReference w:id="6"/>
      </w:r>
      <w:r w:rsidRPr="00F05E25">
        <w:rPr>
          <w:rFonts w:ascii="Verdana" w:eastAsia="Calibri" w:hAnsi="Verdana" w:cs="Arial"/>
          <w:lang w:val="es-ES_tradnl"/>
        </w:rPr>
        <w:t xml:space="preserve">. Así se deduce del artículo 16 </w:t>
      </w:r>
      <w:r w:rsidRPr="00424B96">
        <w:rPr>
          <w:rFonts w:ascii="Verdana" w:eastAsia="Calibri" w:hAnsi="Verdana" w:cs="Arial"/>
          <w:i/>
          <w:iCs/>
          <w:lang w:val="es-ES_tradnl"/>
        </w:rPr>
        <w:t>ibidem</w:t>
      </w:r>
      <w:r w:rsidRPr="00F05E25">
        <w:rPr>
          <w:rFonts w:ascii="Verdana" w:eastAsia="Calibri" w:hAnsi="Verdana" w:cs="Arial"/>
          <w:lang w:val="es-ES_tradnl"/>
        </w:rPr>
        <w:t xml:space="preserve">, según el cual, luego de la presentación de la iniciativa en fase de factibilidad, la entidad cuenta en principio con seis (6) meses, prorrogables hasta la mitad de dicho término, para estudiar la viabilidad de la iniciativa. </w:t>
      </w:r>
    </w:p>
    <w:p w14:paraId="54FC5E0D" w14:textId="77777777" w:rsidR="00D170EC" w:rsidRDefault="00D170EC" w:rsidP="00D170EC">
      <w:pPr>
        <w:tabs>
          <w:tab w:val="left" w:pos="426"/>
        </w:tabs>
        <w:spacing w:before="120" w:after="0" w:line="276" w:lineRule="auto"/>
        <w:ind w:firstLine="709"/>
        <w:jc w:val="both"/>
        <w:rPr>
          <w:rFonts w:ascii="Verdana" w:eastAsia="Calibri" w:hAnsi="Verdana" w:cs="Arial"/>
          <w:lang w:val="es-ES"/>
        </w:rPr>
      </w:pPr>
      <w:r w:rsidRPr="7C0662BC">
        <w:rPr>
          <w:rFonts w:ascii="Verdana" w:eastAsia="Calibri" w:hAnsi="Verdana" w:cs="Arial"/>
          <w:lang w:val="es-ES"/>
        </w:rPr>
        <w:t>Después de esto puede decidir aceptarla o rechazarla. En el primer caso, la entidad estatal y el originador pueden llegar a un acuerdo sobre el precio y las condiciones del proyecto. En el segundo, es decir, si se rechaza la iniciativa, el originador conserva la propiedad de los estudios, pero estos pueden ser adquiridos por la entidad estatal. Sin embargo, la presentación de la iniciativa no genera un derecho para el particular, ni una obligación para la entidad estatal</w:t>
      </w:r>
      <w:r w:rsidRPr="7C0662BC">
        <w:rPr>
          <w:rStyle w:val="Refdenotaalpie"/>
          <w:rFonts w:ascii="Verdana" w:eastAsia="Calibri" w:hAnsi="Verdana" w:cs="Arial"/>
          <w:lang w:val="es-ES"/>
        </w:rPr>
        <w:footnoteReference w:id="7"/>
      </w:r>
      <w:r w:rsidRPr="7C0662BC">
        <w:rPr>
          <w:rFonts w:ascii="Verdana" w:eastAsia="Calibri" w:hAnsi="Verdana" w:cs="Arial"/>
          <w:lang w:val="es-ES"/>
        </w:rPr>
        <w:t xml:space="preserve">. Como se advierte, si el proyecto de iniciativa privada es aceptado, la </w:t>
      </w:r>
      <w:r w:rsidRPr="7C0662BC">
        <w:rPr>
          <w:rFonts w:ascii="Verdana" w:eastAsia="Calibri" w:hAnsi="Verdana" w:cs="Arial"/>
          <w:lang w:val="es-ES"/>
        </w:rPr>
        <w:lastRenderedPageBreak/>
        <w:t xml:space="preserve">entidad llega a un acuerdo con el originador sobre la viabilidad del proyecto y el valor de los estudios efectuados por el particular en la estructuración del proyecto. </w:t>
      </w:r>
    </w:p>
    <w:p w14:paraId="70B1000C" w14:textId="77777777" w:rsidR="00D170EC" w:rsidRDefault="00D170EC" w:rsidP="00D170EC">
      <w:pPr>
        <w:tabs>
          <w:tab w:val="left" w:pos="426"/>
        </w:tabs>
        <w:spacing w:after="0" w:line="276" w:lineRule="auto"/>
        <w:ind w:firstLine="709"/>
        <w:jc w:val="both"/>
        <w:rPr>
          <w:rFonts w:ascii="Verdana" w:eastAsia="Calibri" w:hAnsi="Verdana" w:cs="Arial"/>
          <w:lang w:val="es-ES_tradnl"/>
        </w:rPr>
      </w:pPr>
    </w:p>
    <w:p w14:paraId="515BB8B4" w14:textId="77777777" w:rsidR="00D170EC" w:rsidRPr="0037057D" w:rsidRDefault="00D170EC" w:rsidP="00D170EC">
      <w:pPr>
        <w:pStyle w:val="Sinespaciado"/>
        <w:spacing w:line="276" w:lineRule="auto"/>
        <w:jc w:val="both"/>
        <w:rPr>
          <w:rFonts w:ascii="Verdana" w:hAnsi="Verdana" w:cs="Arial"/>
          <w:bCs/>
          <w:sz w:val="22"/>
        </w:rPr>
      </w:pPr>
      <w:proofErr w:type="spellStart"/>
      <w:r>
        <w:rPr>
          <w:rFonts w:ascii="Verdana" w:eastAsia="Calibri" w:hAnsi="Verdana" w:cs="Arial"/>
          <w:sz w:val="22"/>
          <w:lang w:val="es-ES_tradnl"/>
        </w:rPr>
        <w:t>iii</w:t>
      </w:r>
      <w:proofErr w:type="spellEnd"/>
      <w:r>
        <w:rPr>
          <w:rFonts w:ascii="Verdana" w:eastAsia="Calibri" w:hAnsi="Verdana" w:cs="Arial"/>
          <w:sz w:val="22"/>
          <w:lang w:val="es-ES_tradnl"/>
        </w:rPr>
        <w:t>.</w:t>
      </w:r>
      <w:r>
        <w:rPr>
          <w:rFonts w:ascii="Verdana" w:eastAsia="Calibri" w:hAnsi="Verdana" w:cs="Arial"/>
          <w:lang w:val="es-ES_tradnl"/>
        </w:rPr>
        <w:t xml:space="preserve"> </w:t>
      </w:r>
      <w:r>
        <w:rPr>
          <w:rFonts w:ascii="Verdana" w:hAnsi="Verdana" w:cs="Arial"/>
          <w:bCs/>
          <w:sz w:val="22"/>
        </w:rPr>
        <w:t>Ahora bien, e</w:t>
      </w:r>
      <w:r w:rsidRPr="0037057D">
        <w:rPr>
          <w:rFonts w:ascii="Verdana" w:hAnsi="Verdana" w:cs="Arial"/>
          <w:bCs/>
          <w:sz w:val="22"/>
        </w:rPr>
        <w:t>l Estado acude a la contratación de bienes, obras y servicios para cumplir los fines que le impone el ordenamiento jurídico, la continuidad y eficiente prestación de los servicios públicos y la efectividad de los derechos e intereses de los administrados y de quienes colaboran en la consecución de dichos fines, entre otros</w:t>
      </w:r>
      <w:r w:rsidRPr="0037057D">
        <w:rPr>
          <w:rStyle w:val="Refdenotaalpie"/>
          <w:rFonts w:ascii="Verdana" w:hAnsi="Verdana" w:cs="Arial"/>
          <w:sz w:val="22"/>
        </w:rPr>
        <w:footnoteReference w:id="8"/>
      </w:r>
      <w:r w:rsidRPr="0037057D">
        <w:rPr>
          <w:rFonts w:ascii="Verdana" w:hAnsi="Verdana" w:cs="Arial"/>
          <w:bCs/>
          <w:sz w:val="22"/>
        </w:rPr>
        <w:t xml:space="preserve">. Para la garantía de los fines de interés general involucrados en la contratación de las entidades estatales, el Estatuto General de Contratación de la Administración Pública dispone que, en la etapa de ejecución del contrato, las entidades estatales y los servidores públicos que participan en ella tienen la obligación de controlar y vigilar la correcta ejecución del objeto contratado, para efectos de que las finalidades perseguidas con la celebración de los negocios jurídicos se logren de manera satisfactoria. </w:t>
      </w:r>
    </w:p>
    <w:p w14:paraId="46C9C441" w14:textId="77777777" w:rsidR="00D170EC" w:rsidRPr="0037057D" w:rsidRDefault="00D170EC" w:rsidP="00D170EC">
      <w:pPr>
        <w:pStyle w:val="Sinespaciado"/>
        <w:spacing w:before="120" w:after="120" w:line="276" w:lineRule="auto"/>
        <w:ind w:firstLine="709"/>
        <w:jc w:val="both"/>
        <w:rPr>
          <w:rFonts w:ascii="Verdana" w:hAnsi="Verdana" w:cs="Arial"/>
          <w:bCs/>
          <w:sz w:val="22"/>
        </w:rPr>
      </w:pPr>
      <w:r w:rsidRPr="0037057D">
        <w:rPr>
          <w:rFonts w:ascii="Verdana" w:hAnsi="Verdana" w:cs="Arial"/>
          <w:bCs/>
          <w:sz w:val="22"/>
        </w:rPr>
        <w:t xml:space="preserve">Por esto, la Ley 80 de 1993 alude a la obligación mencionada, que guarda relación con el principio de responsabilidad que rige la celebración y ejecución de los contratos estatales. Así, por ejemplo, los artículos 4, 5, 12, 14 y 26 </w:t>
      </w:r>
      <w:r w:rsidRPr="0037057D">
        <w:rPr>
          <w:rFonts w:ascii="Verdana" w:hAnsi="Verdana" w:cs="Arial"/>
          <w:bCs/>
          <w:i/>
          <w:iCs/>
          <w:sz w:val="22"/>
        </w:rPr>
        <w:t>ibidem</w:t>
      </w:r>
      <w:r w:rsidRPr="0037057D">
        <w:rPr>
          <w:rFonts w:ascii="Verdana" w:hAnsi="Verdana" w:cs="Arial"/>
          <w:bCs/>
          <w:sz w:val="22"/>
        </w:rPr>
        <w:t xml:space="preserve"> consagran normas relacionadas con el control y vigilancia de la ejecución de los contratos estatales. Estas disposiciones establecen, entre otros aspectos, la obligación de las entidades estatales de velar por el correcto y oportuno cumplimiento de las prestaciones del contrato, incluyendo las especificaciones de los bienes, obras y servicios,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w:t>
      </w:r>
      <w:r w:rsidRPr="0037057D">
        <w:rPr>
          <w:rFonts w:ascii="Verdana" w:hAnsi="Verdana" w:cs="Arial"/>
          <w:bCs/>
          <w:sz w:val="22"/>
        </w:rPr>
        <w:lastRenderedPageBreak/>
        <w:t>las entidades estatales deben ejercer el control de la ejecución del contrato y, de ser el caso, tomar medidas para exigir el adecuado cumplimiento.</w:t>
      </w:r>
    </w:p>
    <w:p w14:paraId="457ADCE9" w14:textId="77777777" w:rsidR="00D170EC" w:rsidRPr="0037057D" w:rsidRDefault="00D170EC" w:rsidP="00D170EC">
      <w:pPr>
        <w:pStyle w:val="Sinespaciado"/>
        <w:spacing w:before="120" w:line="276" w:lineRule="auto"/>
        <w:ind w:firstLine="709"/>
        <w:jc w:val="both"/>
        <w:rPr>
          <w:rFonts w:ascii="Verdana" w:hAnsi="Verdana" w:cs="Arial"/>
          <w:bCs/>
          <w:sz w:val="22"/>
        </w:rPr>
      </w:pPr>
      <w:r w:rsidRPr="0037057D">
        <w:rPr>
          <w:rFonts w:ascii="Verdana" w:hAnsi="Verdana" w:cs="Arial"/>
          <w:bCs/>
          <w:sz w:val="22"/>
        </w:rPr>
        <w:t>Las Leyes 1150 de 2007 y 1474 de 2011 complementan el régimen jurídico de la obligación de vigilar la correcta ejecución de los contratos estatales. En dichas leyes se impone el debido proceso como principio rector en materia sancionatoria contractual para la imposición de multas y la decisión de hacer efectiva la cláusula penal; principio que se debe respetar en el ejercicio del control y vigilancia de la ejecución contractual</w:t>
      </w:r>
      <w:r w:rsidRPr="0037057D">
        <w:rPr>
          <w:rStyle w:val="Refdenotaalpie"/>
          <w:rFonts w:ascii="Verdana" w:hAnsi="Verdana" w:cs="Arial"/>
          <w:sz w:val="22"/>
        </w:rPr>
        <w:footnoteReference w:id="9"/>
      </w:r>
      <w:r w:rsidRPr="0037057D">
        <w:rPr>
          <w:rFonts w:ascii="Verdana" w:hAnsi="Verdana" w:cs="Arial"/>
          <w:bCs/>
          <w:sz w:val="22"/>
        </w:rPr>
        <w:t>. De igual forma, se establecen los límites de la responsabilidad del representante legal ante la delegación de sus funciones en materia contractual</w:t>
      </w:r>
      <w:r w:rsidRPr="0037057D">
        <w:rPr>
          <w:rStyle w:val="Refdenotaalpie"/>
          <w:rFonts w:ascii="Verdana" w:hAnsi="Verdana" w:cs="Arial"/>
          <w:sz w:val="22"/>
        </w:rPr>
        <w:footnoteReference w:id="10"/>
      </w:r>
      <w:r w:rsidRPr="0037057D">
        <w:rPr>
          <w:rFonts w:ascii="Verdana" w:hAnsi="Verdana" w:cs="Arial"/>
          <w:bCs/>
          <w:sz w:val="22"/>
        </w:rPr>
        <w:t xml:space="preserve"> y se regula la supervisión y la interventoría de los contratos estatales</w:t>
      </w:r>
      <w:r w:rsidRPr="0037057D">
        <w:rPr>
          <w:rStyle w:val="Refdenotaalpie"/>
          <w:rFonts w:ascii="Verdana" w:hAnsi="Verdana" w:cs="Arial"/>
          <w:sz w:val="22"/>
        </w:rPr>
        <w:footnoteReference w:id="11"/>
      </w:r>
      <w:r w:rsidRPr="0037057D">
        <w:rPr>
          <w:rFonts w:ascii="Verdana" w:hAnsi="Verdana" w:cs="Arial"/>
          <w:bCs/>
          <w:sz w:val="22"/>
        </w:rPr>
        <w:t>. La jurisprudencia de lo contencioso-administrativo, por su parte, ha considerado que la obligación de vigilar la correcta ejecución del objeto contractual es una función de la entidad contratante, en los siguientes términos:</w:t>
      </w:r>
    </w:p>
    <w:p w14:paraId="1579B4AF" w14:textId="77777777" w:rsidR="00D170EC" w:rsidRPr="0037057D" w:rsidRDefault="00D170EC" w:rsidP="00D170EC">
      <w:pPr>
        <w:pStyle w:val="Sinespaciado"/>
        <w:spacing w:line="276" w:lineRule="auto"/>
        <w:jc w:val="both"/>
        <w:rPr>
          <w:rFonts w:ascii="Verdana" w:hAnsi="Verdana" w:cs="Arial"/>
          <w:bCs/>
          <w:sz w:val="22"/>
          <w:szCs w:val="20"/>
        </w:rPr>
      </w:pPr>
      <w:r w:rsidRPr="0037057D">
        <w:rPr>
          <w:rFonts w:ascii="Verdana" w:hAnsi="Verdana" w:cs="Arial"/>
          <w:bCs/>
        </w:rPr>
        <w:t xml:space="preserve"> </w:t>
      </w:r>
    </w:p>
    <w:p w14:paraId="79154F79" w14:textId="77777777" w:rsidR="00D170EC" w:rsidRPr="00A67AE8" w:rsidRDefault="00D170EC" w:rsidP="00D170EC">
      <w:pPr>
        <w:pStyle w:val="Sinespaciado"/>
        <w:ind w:left="709" w:right="709"/>
        <w:jc w:val="both"/>
        <w:rPr>
          <w:rFonts w:ascii="Verdana" w:hAnsi="Verdana" w:cs="Arial"/>
          <w:bCs/>
          <w:sz w:val="20"/>
          <w:szCs w:val="20"/>
          <w:lang w:val="es-CO"/>
        </w:rPr>
      </w:pPr>
      <w:r w:rsidRPr="00A67AE8">
        <w:rPr>
          <w:rFonts w:ascii="Verdana" w:hAnsi="Verdana" w:cs="Arial"/>
          <w:bCs/>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A67AE8">
        <w:rPr>
          <w:rStyle w:val="Refdenotaalpie"/>
          <w:rFonts w:ascii="Verdana" w:hAnsi="Verdana" w:cs="Arial"/>
          <w:sz w:val="20"/>
          <w:szCs w:val="20"/>
        </w:rPr>
        <w:footnoteReference w:id="12"/>
      </w:r>
      <w:r w:rsidRPr="00A67AE8">
        <w:rPr>
          <w:rFonts w:ascii="Verdana" w:eastAsia="Calibri" w:hAnsi="Verdana" w:cs="Arial"/>
          <w:sz w:val="20"/>
          <w:szCs w:val="20"/>
        </w:rPr>
        <w:t>.</w:t>
      </w:r>
    </w:p>
    <w:p w14:paraId="4196D41C" w14:textId="77777777" w:rsidR="00D170EC" w:rsidRPr="0037057D" w:rsidRDefault="00D170EC" w:rsidP="00D170EC">
      <w:pPr>
        <w:pStyle w:val="Sinespaciado"/>
        <w:spacing w:line="276" w:lineRule="auto"/>
        <w:jc w:val="both"/>
        <w:rPr>
          <w:rFonts w:ascii="Verdana" w:hAnsi="Verdana" w:cs="Arial"/>
          <w:bCs/>
          <w:lang w:val="es-ES"/>
        </w:rPr>
      </w:pPr>
    </w:p>
    <w:p w14:paraId="52541973" w14:textId="77777777" w:rsidR="00D170EC" w:rsidRDefault="00D170EC" w:rsidP="00D170EC">
      <w:pPr>
        <w:pStyle w:val="Sinespaciado"/>
        <w:spacing w:line="276" w:lineRule="auto"/>
        <w:ind w:firstLine="708"/>
        <w:jc w:val="both"/>
        <w:rPr>
          <w:rFonts w:ascii="Verdana" w:hAnsi="Verdana" w:cs="Arial"/>
          <w:bCs/>
          <w:sz w:val="22"/>
        </w:rPr>
      </w:pPr>
      <w:r w:rsidRPr="0037057D">
        <w:rPr>
          <w:rFonts w:ascii="Verdana" w:hAnsi="Verdana" w:cs="Arial"/>
          <w:bCs/>
          <w:sz w:val="22"/>
        </w:rPr>
        <w:t xml:space="preserve">En este punto, se reitera lo expuesto en el concepto emitido por esta Agencia con el radicado 4201913000008240 del 20 de diciembre de 2019, esto es, que </w:t>
      </w:r>
      <w:r>
        <w:rPr>
          <w:rFonts w:ascii="Verdana" w:hAnsi="Verdana" w:cs="Arial"/>
          <w:bCs/>
          <w:sz w:val="22"/>
        </w:rPr>
        <w:t>“</w:t>
      </w:r>
      <w:r w:rsidRPr="0037057D">
        <w:rPr>
          <w:rFonts w:ascii="Verdana" w:hAnsi="Verdana" w:cs="Arial"/>
          <w:bCs/>
          <w:sz w:val="22"/>
        </w:rPr>
        <w:t xml:space="preserve">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w:t>
      </w:r>
      <w:r w:rsidRPr="0037057D">
        <w:rPr>
          <w:rFonts w:ascii="Verdana" w:hAnsi="Verdana" w:cs="Arial"/>
          <w:bCs/>
          <w:sz w:val="22"/>
        </w:rPr>
        <w:lastRenderedPageBreak/>
        <w:t>del contrato, en aras de lograr la satisfacción de las necesidades de bienes, obras o servicios que se pretenden suplir con la celebración de los contratos estatales</w:t>
      </w:r>
      <w:r>
        <w:rPr>
          <w:rFonts w:ascii="Verdana" w:hAnsi="Verdana" w:cs="Arial"/>
          <w:bCs/>
          <w:sz w:val="22"/>
        </w:rPr>
        <w:t>”</w:t>
      </w:r>
      <w:r w:rsidRPr="0037057D">
        <w:rPr>
          <w:rFonts w:ascii="Verdana" w:hAnsi="Verdana" w:cs="Arial"/>
          <w:bCs/>
          <w:sz w:val="22"/>
        </w:rPr>
        <w:t>. En desarrollo del deber descrito, se analizará uno de los instrumentos dispuestos por el ordenamiento jurídico para su cumplimiento, relacionado con la interventoría de los contratos estatales.</w:t>
      </w:r>
    </w:p>
    <w:p w14:paraId="7F614477" w14:textId="77777777" w:rsidR="00D170EC" w:rsidRDefault="00D170EC" w:rsidP="00D170EC">
      <w:pPr>
        <w:pStyle w:val="Sinespaciado"/>
        <w:spacing w:line="276" w:lineRule="auto"/>
        <w:jc w:val="both"/>
        <w:rPr>
          <w:rFonts w:ascii="Verdana" w:hAnsi="Verdana" w:cs="Arial"/>
          <w:bCs/>
          <w:sz w:val="22"/>
        </w:rPr>
      </w:pPr>
    </w:p>
    <w:p w14:paraId="518C7474" w14:textId="77777777" w:rsidR="00D170EC" w:rsidRPr="0037057D" w:rsidRDefault="00D170EC" w:rsidP="00D170EC">
      <w:pPr>
        <w:pStyle w:val="Sinespaciado"/>
        <w:spacing w:line="276" w:lineRule="auto"/>
        <w:jc w:val="both"/>
        <w:rPr>
          <w:rFonts w:ascii="Verdana" w:hAnsi="Verdana" w:cs="Arial"/>
          <w:sz w:val="22"/>
        </w:rPr>
      </w:pPr>
      <w:r w:rsidRPr="0037057D">
        <w:rPr>
          <w:rFonts w:ascii="Verdana" w:hAnsi="Verdana" w:cs="Arial"/>
          <w:bCs/>
          <w:sz w:val="22"/>
        </w:rPr>
        <w:t>i</w:t>
      </w:r>
      <w:r>
        <w:rPr>
          <w:rFonts w:ascii="Verdana" w:hAnsi="Verdana" w:cs="Arial"/>
          <w:bCs/>
          <w:sz w:val="22"/>
        </w:rPr>
        <w:t>v</w:t>
      </w:r>
      <w:r w:rsidRPr="0037057D">
        <w:rPr>
          <w:rFonts w:ascii="Verdana" w:hAnsi="Verdana" w:cs="Arial"/>
          <w:bCs/>
          <w:sz w:val="22"/>
        </w:rPr>
        <w:t xml:space="preserve">. </w:t>
      </w:r>
      <w:r w:rsidRPr="0037057D">
        <w:rPr>
          <w:rFonts w:ascii="Verdana" w:hAnsi="Verdana" w:cs="Arial"/>
          <w:sz w:val="22"/>
        </w:rPr>
        <w:t xml:space="preserve">La Ley 1474 de 2011 enmarcó el seguimiento, control y vigilancia de la ejecución del contrato estatal dentro del principio de moralidad administrativa. El artículo 83 </w:t>
      </w:r>
      <w:r w:rsidRPr="0037057D">
        <w:rPr>
          <w:rFonts w:ascii="Verdana" w:hAnsi="Verdana" w:cs="Arial"/>
          <w:i/>
          <w:iCs/>
          <w:sz w:val="22"/>
        </w:rPr>
        <w:t xml:space="preserve">ibidem </w:t>
      </w:r>
      <w:r w:rsidRPr="0037057D">
        <w:rPr>
          <w:rFonts w:ascii="Verdana" w:hAnsi="Verdana" w:cs="Arial"/>
          <w:sz w:val="22"/>
        </w:rPr>
        <w:t xml:space="preserve">prescribe que </w:t>
      </w:r>
      <w:r>
        <w:rPr>
          <w:rFonts w:ascii="Verdana" w:hAnsi="Verdana" w:cs="Arial"/>
          <w:sz w:val="22"/>
        </w:rPr>
        <w:t>“</w:t>
      </w:r>
      <w:r w:rsidRPr="0037057D">
        <w:rPr>
          <w:rFonts w:ascii="Verdana" w:hAnsi="Verdana" w:cs="Arial"/>
          <w:sz w:val="22"/>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r>
        <w:rPr>
          <w:rFonts w:ascii="Verdana" w:hAnsi="Verdana" w:cs="Arial"/>
          <w:sz w:val="22"/>
        </w:rPr>
        <w:t>”</w:t>
      </w:r>
      <w:r w:rsidRPr="0037057D">
        <w:rPr>
          <w:rFonts w:ascii="Verdana" w:hAnsi="Verdana" w:cs="Arial"/>
          <w:sz w:val="22"/>
        </w:rPr>
        <w:t xml:space="preserve">. Además, el legislador, en el mismo artículo, definió las nociones de </w:t>
      </w:r>
      <w:r w:rsidRPr="0037057D">
        <w:rPr>
          <w:rFonts w:ascii="Verdana" w:hAnsi="Verdana" w:cs="Arial"/>
          <w:i/>
          <w:iCs/>
          <w:sz w:val="22"/>
        </w:rPr>
        <w:t>supervisión</w:t>
      </w:r>
      <w:r w:rsidRPr="0037057D">
        <w:rPr>
          <w:rFonts w:ascii="Verdana" w:hAnsi="Verdana" w:cs="Arial"/>
          <w:sz w:val="22"/>
        </w:rPr>
        <w:t xml:space="preserve"> e </w:t>
      </w:r>
      <w:r w:rsidRPr="0037057D">
        <w:rPr>
          <w:rFonts w:ascii="Verdana" w:hAnsi="Verdana" w:cs="Arial"/>
          <w:i/>
          <w:iCs/>
          <w:sz w:val="22"/>
        </w:rPr>
        <w:t>interventoría</w:t>
      </w:r>
      <w:r w:rsidRPr="0037057D">
        <w:rPr>
          <w:rFonts w:ascii="Verdana" w:hAnsi="Verdana" w:cs="Arial"/>
          <w:sz w:val="22"/>
        </w:rPr>
        <w:t xml:space="preserve">, como mecanismos que pueden usar las entidades estatales para vigilar el contrato, en estos términos: </w:t>
      </w:r>
    </w:p>
    <w:p w14:paraId="145C5D49" w14:textId="77777777" w:rsidR="00D170EC" w:rsidRPr="0037057D" w:rsidRDefault="00D170EC" w:rsidP="00D170EC">
      <w:pPr>
        <w:pStyle w:val="Sinespaciado"/>
        <w:spacing w:line="276" w:lineRule="auto"/>
        <w:jc w:val="both"/>
        <w:rPr>
          <w:rFonts w:ascii="Verdana" w:hAnsi="Verdana" w:cs="Arial"/>
        </w:rPr>
      </w:pPr>
    </w:p>
    <w:p w14:paraId="36737683" w14:textId="77777777" w:rsidR="00D170EC" w:rsidRPr="00A67AE8" w:rsidRDefault="00D170EC" w:rsidP="00D170EC">
      <w:pPr>
        <w:pStyle w:val="Sinespaciado"/>
        <w:spacing w:after="120"/>
        <w:ind w:left="709" w:right="709"/>
        <w:jc w:val="both"/>
        <w:rPr>
          <w:rFonts w:ascii="Verdana" w:hAnsi="Verdana" w:cs="Arial"/>
          <w:sz w:val="20"/>
          <w:szCs w:val="20"/>
        </w:rPr>
      </w:pPr>
      <w:r w:rsidRPr="00A67AE8">
        <w:rPr>
          <w:rFonts w:ascii="Verdana" w:hAnsi="Verdana" w:cs="Arial"/>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069653E3" w14:textId="77777777" w:rsidR="00D170EC" w:rsidRPr="0037057D" w:rsidRDefault="00D170EC" w:rsidP="00D170EC">
      <w:pPr>
        <w:pStyle w:val="Sinespaciado"/>
        <w:ind w:left="709" w:right="709"/>
        <w:jc w:val="both"/>
        <w:rPr>
          <w:rFonts w:ascii="Verdana" w:hAnsi="Verdana" w:cs="Arial"/>
          <w:sz w:val="21"/>
          <w:szCs w:val="21"/>
        </w:rPr>
      </w:pPr>
      <w:r w:rsidRPr="00A67AE8">
        <w:rPr>
          <w:rFonts w:ascii="Verdana" w:hAnsi="Verdana" w:cs="Arial"/>
          <w:sz w:val="20"/>
          <w:szCs w:val="20"/>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501CEC34" w14:textId="77777777" w:rsidR="00D170EC" w:rsidRPr="0037057D" w:rsidRDefault="00D170EC" w:rsidP="00D170EC">
      <w:pPr>
        <w:pStyle w:val="Sinespaciado"/>
        <w:spacing w:line="276" w:lineRule="auto"/>
        <w:jc w:val="both"/>
        <w:rPr>
          <w:rFonts w:ascii="Verdana" w:hAnsi="Verdana" w:cs="Arial"/>
          <w:lang w:val="es-ES"/>
        </w:rPr>
      </w:pPr>
    </w:p>
    <w:p w14:paraId="009E5E56" w14:textId="77777777" w:rsidR="00D170EC" w:rsidRPr="0037057D" w:rsidRDefault="00D170EC" w:rsidP="00D170EC">
      <w:pPr>
        <w:pStyle w:val="Sinespaciado"/>
        <w:spacing w:after="120" w:line="276" w:lineRule="auto"/>
        <w:ind w:firstLine="709"/>
        <w:jc w:val="both"/>
        <w:rPr>
          <w:rFonts w:ascii="Verdana" w:hAnsi="Verdana" w:cs="Arial"/>
          <w:sz w:val="22"/>
        </w:rPr>
      </w:pPr>
      <w:r w:rsidRPr="0037057D">
        <w:rPr>
          <w:rFonts w:ascii="Verdana" w:hAnsi="Verdana" w:cs="Arial"/>
          <w:sz w:val="22"/>
        </w:rPr>
        <w:t xml:space="preserve">De este modo, la interventoría: i) será un mecanismo de vigilancia contingente en la medida que solo es obligatorio para el seguimiento de los contratos de obra adjudicados por licitación pública ‒art. 32, numeral 1‒; en los demás casos se requerirá cuando </w:t>
      </w:r>
      <w:r>
        <w:rPr>
          <w:rFonts w:ascii="Verdana" w:hAnsi="Verdana" w:cs="Arial"/>
          <w:sz w:val="22"/>
        </w:rPr>
        <w:t>“</w:t>
      </w:r>
      <w:r w:rsidRPr="0037057D">
        <w:rPr>
          <w:rFonts w:ascii="Verdana" w:hAnsi="Verdana" w:cs="Arial"/>
          <w:sz w:val="22"/>
        </w:rPr>
        <w:t>el seguimiento del contrato suponga conocimiento especializado en la materia, o cuando la complejidad o la extensión del mismo lo justifiquen</w:t>
      </w:r>
      <w:r>
        <w:rPr>
          <w:rFonts w:ascii="Verdana" w:hAnsi="Verdana" w:cs="Arial"/>
          <w:sz w:val="22"/>
        </w:rPr>
        <w:t>”</w:t>
      </w:r>
      <w:r w:rsidRPr="0037057D">
        <w:rPr>
          <w:rFonts w:ascii="Verdana" w:hAnsi="Verdana" w:cs="Arial"/>
          <w:sz w:val="22"/>
        </w:rPr>
        <w:t xml:space="preserve"> ‒art. 83, Ley 1474 de 2011‒. ii) Este mecanismo de vigilancia exige, en su ejecución, la utilización de conocimientos especializados. </w:t>
      </w:r>
      <w:r w:rsidRPr="0037057D">
        <w:rPr>
          <w:rFonts w:ascii="Verdana" w:hAnsi="Verdana" w:cs="Arial"/>
          <w:sz w:val="22"/>
        </w:rPr>
        <w:lastRenderedPageBreak/>
        <w:t>iii) Por lo anterior, la entidad contrata un experto a través de un concurso de méritos, al tratarse la interventoría de una especie del contrato de consultoría ‒art. 32, numeral 2, inciso 2, Ley 80 de 1993</w:t>
      </w:r>
      <w:r w:rsidRPr="0037057D">
        <w:rPr>
          <w:rStyle w:val="Refdenotaalpie"/>
          <w:rFonts w:ascii="Verdana" w:hAnsi="Verdana" w:cs="Arial"/>
          <w:sz w:val="22"/>
        </w:rPr>
        <w:footnoteReference w:id="13"/>
      </w:r>
      <w:r w:rsidRPr="0037057D">
        <w:rPr>
          <w:rFonts w:ascii="Verdana" w:hAnsi="Verdana" w:cs="Arial"/>
          <w:sz w:val="22"/>
        </w:rPr>
        <w:t xml:space="preserve">‒, de manera que la interventoría es realizada por una </w:t>
      </w:r>
      <w:r>
        <w:rPr>
          <w:rFonts w:ascii="Verdana" w:hAnsi="Verdana" w:cs="Arial"/>
          <w:sz w:val="22"/>
        </w:rPr>
        <w:t>“</w:t>
      </w:r>
      <w:r w:rsidRPr="0037057D">
        <w:rPr>
          <w:rFonts w:ascii="Verdana" w:hAnsi="Verdana" w:cs="Arial"/>
          <w:sz w:val="22"/>
        </w:rPr>
        <w:t>persona natural o jurídica contratada para tal fin por la Entidad Estatal</w:t>
      </w:r>
      <w:r>
        <w:rPr>
          <w:rFonts w:ascii="Verdana" w:hAnsi="Verdana" w:cs="Arial"/>
          <w:sz w:val="22"/>
        </w:rPr>
        <w:t>”</w:t>
      </w:r>
      <w:r w:rsidRPr="0037057D">
        <w:rPr>
          <w:rFonts w:ascii="Verdana" w:hAnsi="Verdana" w:cs="Arial"/>
          <w:sz w:val="22"/>
        </w:rPr>
        <w:t xml:space="preserve">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Pr>
          <w:rFonts w:ascii="Verdana" w:hAnsi="Verdana" w:cs="Arial"/>
          <w:sz w:val="22"/>
        </w:rPr>
        <w:t>“</w:t>
      </w:r>
      <w:r w:rsidRPr="0037057D">
        <w:rPr>
          <w:rFonts w:ascii="Verdana" w:hAnsi="Verdana" w:cs="Arial"/>
          <w:sz w:val="22"/>
        </w:rPr>
        <w:t>se deberán indicar las actividades técnicas a cargo del interventor y las demás quedarán a cargo de la Entidad a través del supervisor</w:t>
      </w:r>
      <w:r>
        <w:rPr>
          <w:rFonts w:ascii="Verdana" w:hAnsi="Verdana" w:cs="Arial"/>
          <w:sz w:val="22"/>
        </w:rPr>
        <w:t>”</w:t>
      </w:r>
      <w:r w:rsidRPr="0037057D">
        <w:rPr>
          <w:rFonts w:ascii="Verdana" w:hAnsi="Verdana" w:cs="Arial"/>
          <w:sz w:val="22"/>
        </w:rPr>
        <w:t xml:space="preserve"> ‒art. 83, inciso 3‒. Finalmente, vi) el contrato de interventoría será supervisado directamente por la entidad ‒art. 83, inciso 4‒.</w:t>
      </w:r>
    </w:p>
    <w:p w14:paraId="5695BBBE" w14:textId="77777777" w:rsidR="00D170EC" w:rsidRDefault="00D170EC" w:rsidP="00D170EC">
      <w:pPr>
        <w:pStyle w:val="Sinespaciado"/>
        <w:spacing w:line="276" w:lineRule="auto"/>
        <w:ind w:firstLine="709"/>
        <w:jc w:val="both"/>
        <w:rPr>
          <w:rFonts w:ascii="Verdana" w:hAnsi="Verdana" w:cs="Arial"/>
          <w:sz w:val="22"/>
        </w:rPr>
      </w:pPr>
      <w:r w:rsidRPr="0037057D">
        <w:rPr>
          <w:rFonts w:ascii="Verdana" w:hAnsi="Verdana" w:cs="Arial"/>
          <w:sz w:val="22"/>
        </w:rPr>
        <w:t xml:space="preserve">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49505233" w14:textId="77777777" w:rsidR="00D170EC" w:rsidRPr="0037057D" w:rsidRDefault="00D170EC" w:rsidP="00D170EC">
      <w:pPr>
        <w:pStyle w:val="Sinespaciado"/>
        <w:spacing w:line="276" w:lineRule="auto"/>
        <w:ind w:firstLine="709"/>
        <w:jc w:val="both"/>
        <w:rPr>
          <w:rFonts w:ascii="Verdana" w:hAnsi="Verdana" w:cs="Arial"/>
          <w:sz w:val="22"/>
        </w:rPr>
      </w:pPr>
    </w:p>
    <w:p w14:paraId="296E3C3B" w14:textId="77777777" w:rsidR="00D170EC" w:rsidRDefault="00D170EC" w:rsidP="00D170EC">
      <w:pPr>
        <w:spacing w:after="120" w:line="276" w:lineRule="auto"/>
        <w:jc w:val="both"/>
        <w:rPr>
          <w:rFonts w:ascii="Verdana" w:hAnsi="Verdana" w:cs="Arial"/>
          <w:color w:val="000000" w:themeColor="text1"/>
        </w:rPr>
      </w:pPr>
      <w:r>
        <w:rPr>
          <w:rFonts w:ascii="Verdana" w:hAnsi="Verdana" w:cs="Arial"/>
          <w:color w:val="000000" w:themeColor="text1"/>
        </w:rPr>
        <w:t>v. Dentro de este marco, el inciso primero del artículo 33 de la Ley 1508 de 2012 establece disposiciones especiales respecto a la contratación de la interventoría en los proyectos del APP. La norma dispone lo siguiente: “</w:t>
      </w:r>
      <w:r w:rsidRPr="00907743">
        <w:rPr>
          <w:rFonts w:ascii="Verdana" w:hAnsi="Verdana" w:cs="Arial"/>
          <w:color w:val="000000" w:themeColor="text1"/>
        </w:rPr>
        <w:t xml:space="preserve">La elaboración de estudios, la evaluación de proyectos de iniciativa privada y </w:t>
      </w:r>
      <w:r w:rsidRPr="00907743">
        <w:rPr>
          <w:rFonts w:ascii="Verdana" w:hAnsi="Verdana" w:cs="Arial"/>
          <w:i/>
          <w:iCs/>
          <w:color w:val="000000" w:themeColor="text1"/>
        </w:rPr>
        <w:t>las interventorías de los contratos, se podrán contratar mediante el procedimiento de selección abreviada de menor cuantía</w:t>
      </w:r>
      <w:r w:rsidRPr="00907743">
        <w:rPr>
          <w:rFonts w:ascii="Verdana" w:hAnsi="Verdana" w:cs="Arial"/>
          <w:color w:val="000000" w:themeColor="text1"/>
        </w:rPr>
        <w:t xml:space="preserve"> o mínima cuantía </w:t>
      </w:r>
      <w:r w:rsidRPr="00907743">
        <w:rPr>
          <w:rFonts w:ascii="Verdana" w:hAnsi="Verdana" w:cs="Arial"/>
          <w:i/>
          <w:iCs/>
          <w:color w:val="000000" w:themeColor="text1"/>
        </w:rPr>
        <w:t>según su valor</w:t>
      </w:r>
      <w:r>
        <w:rPr>
          <w:rFonts w:ascii="Verdana" w:hAnsi="Verdana" w:cs="Arial"/>
          <w:color w:val="000000" w:themeColor="text1"/>
        </w:rPr>
        <w:t>” (Énfasis fuera de texto)</w:t>
      </w:r>
      <w:r w:rsidRPr="00907743">
        <w:rPr>
          <w:rFonts w:ascii="Verdana" w:hAnsi="Verdana" w:cs="Arial"/>
          <w:color w:val="000000" w:themeColor="text1"/>
        </w:rPr>
        <w:t>.</w:t>
      </w:r>
    </w:p>
    <w:p w14:paraId="050964C6" w14:textId="77777777" w:rsidR="00D170EC" w:rsidRDefault="00D170EC" w:rsidP="00D170EC">
      <w:pPr>
        <w:spacing w:after="120" w:line="276" w:lineRule="auto"/>
        <w:jc w:val="both"/>
        <w:rPr>
          <w:rFonts w:ascii="Verdana" w:hAnsi="Verdana" w:cs="Arial"/>
          <w:color w:val="000000" w:themeColor="text1"/>
        </w:rPr>
      </w:pPr>
      <w:r>
        <w:rPr>
          <w:rFonts w:ascii="Verdana" w:hAnsi="Verdana" w:cs="Arial"/>
          <w:color w:val="000000" w:themeColor="text1"/>
        </w:rPr>
        <w:tab/>
        <w:t xml:space="preserve">Respecto a las normas generales del sistema de compras públicas, para efectos de los procedimientos con pluralidad de ofertes, la entidades deben contratar la interventoría a través del concurso de méritos. En caso de que el </w:t>
      </w:r>
      <w:r>
        <w:rPr>
          <w:rFonts w:ascii="Verdana" w:hAnsi="Verdana" w:cs="Arial"/>
          <w:color w:val="000000" w:themeColor="text1"/>
        </w:rPr>
        <w:lastRenderedPageBreak/>
        <w:t>presupuesto oficial sea menor al 10% de la menor cuantía de la entidad, el procedimiento aplicable será el de mínima cuantía. En este caso, “</w:t>
      </w:r>
      <w:r w:rsidRPr="00E4659E">
        <w:rPr>
          <w:rFonts w:ascii="Verdana" w:hAnsi="Verdana" w:cs="Arial"/>
          <w:color w:val="000000" w:themeColor="text1"/>
        </w:rPr>
        <w:t>Dado que la selección de mínima cuantía es especial para cualquier objeto</w:t>
      </w:r>
      <w:r>
        <w:rPr>
          <w:rFonts w:ascii="Verdana" w:hAnsi="Verdana" w:cs="Arial"/>
          <w:color w:val="000000" w:themeColor="text1"/>
        </w:rPr>
        <w:t xml:space="preserve"> </w:t>
      </w:r>
      <w:r w:rsidRPr="00E4659E">
        <w:rPr>
          <w:rFonts w:ascii="Verdana" w:hAnsi="Verdana" w:cs="Arial"/>
          <w:color w:val="000000" w:themeColor="text1"/>
        </w:rPr>
        <w:t>contractual, de conformidad con el inciso primero del artículo 30 de la Ley 2069</w:t>
      </w:r>
      <w:r>
        <w:rPr>
          <w:rFonts w:ascii="Verdana" w:hAnsi="Verdana" w:cs="Arial"/>
          <w:color w:val="000000" w:themeColor="text1"/>
        </w:rPr>
        <w:t xml:space="preserve"> </w:t>
      </w:r>
      <w:r w:rsidRPr="00E4659E">
        <w:rPr>
          <w:rFonts w:ascii="Verdana" w:hAnsi="Verdana" w:cs="Arial"/>
          <w:color w:val="000000" w:themeColor="text1"/>
        </w:rPr>
        <w:t>de 2020, en caso de concurrencia entre el concurso de méritos y la mínima</w:t>
      </w:r>
      <w:r>
        <w:rPr>
          <w:rFonts w:ascii="Verdana" w:hAnsi="Verdana" w:cs="Arial"/>
          <w:color w:val="000000" w:themeColor="text1"/>
        </w:rPr>
        <w:t xml:space="preserve"> </w:t>
      </w:r>
      <w:r w:rsidRPr="00E4659E">
        <w:rPr>
          <w:rFonts w:ascii="Verdana" w:hAnsi="Verdana" w:cs="Arial"/>
          <w:color w:val="000000" w:themeColor="text1"/>
        </w:rPr>
        <w:t>cuantía, la modalidad de selección aplicable será la de mínima cuantía</w:t>
      </w:r>
      <w:r>
        <w:rPr>
          <w:rFonts w:ascii="Verdana" w:hAnsi="Verdana" w:cs="Arial"/>
          <w:color w:val="000000" w:themeColor="text1"/>
        </w:rPr>
        <w:t>”</w:t>
      </w:r>
      <w:r>
        <w:rPr>
          <w:rStyle w:val="Refdenotaalpie"/>
          <w:rFonts w:ascii="Verdana" w:hAnsi="Verdana" w:cs="Arial"/>
          <w:color w:val="000000" w:themeColor="text1"/>
        </w:rPr>
        <w:footnoteReference w:id="14"/>
      </w:r>
      <w:r w:rsidRPr="00E4659E">
        <w:rPr>
          <w:rFonts w:ascii="Verdana" w:hAnsi="Verdana" w:cs="Arial"/>
          <w:color w:val="000000" w:themeColor="text1"/>
        </w:rPr>
        <w:t>.</w:t>
      </w:r>
      <w:r>
        <w:rPr>
          <w:rFonts w:ascii="Verdana" w:hAnsi="Verdana" w:cs="Arial"/>
          <w:color w:val="000000" w:themeColor="text1"/>
        </w:rPr>
        <w:t xml:space="preserve"> </w:t>
      </w:r>
    </w:p>
    <w:p w14:paraId="546BC264" w14:textId="77777777" w:rsidR="00D170EC" w:rsidRPr="007D48B0" w:rsidRDefault="00D170EC" w:rsidP="00D170EC">
      <w:pPr>
        <w:spacing w:after="120" w:line="276" w:lineRule="auto"/>
        <w:jc w:val="both"/>
        <w:rPr>
          <w:rFonts w:ascii="Verdana" w:eastAsia="Calibri" w:hAnsi="Verdana" w:cs="Arial"/>
        </w:rPr>
      </w:pPr>
      <w:r>
        <w:rPr>
          <w:rFonts w:ascii="Verdana" w:hAnsi="Verdana" w:cs="Arial"/>
          <w:color w:val="000000" w:themeColor="text1"/>
        </w:rPr>
        <w:tab/>
        <w:t xml:space="preserve">Sin embargo, para los proyectos de APP, el artículo 33 de la Ley 1508 de 2012 permite que la interventoría se contrate a través de la selección abreviada de menor cuantía según el valor del contrato. </w:t>
      </w:r>
      <w:bookmarkStart w:id="2" w:name="_Hlk39070608"/>
      <w:r>
        <w:rPr>
          <w:rFonts w:ascii="Verdana" w:eastAsia="Calibri" w:hAnsi="Verdana" w:cs="Arial"/>
        </w:rPr>
        <w:t>E</w:t>
      </w:r>
      <w:r w:rsidRPr="007D48B0">
        <w:rPr>
          <w:rFonts w:ascii="Verdana" w:eastAsia="Calibri" w:hAnsi="Verdana" w:cs="Arial"/>
        </w:rPr>
        <w:t>l numeral 2 del artículo 2 de la Ley 1150 de 2007</w:t>
      </w:r>
      <w:bookmarkEnd w:id="2"/>
      <w:r w:rsidRPr="007D48B0">
        <w:rPr>
          <w:rFonts w:ascii="Verdana" w:eastAsia="Calibri" w:hAnsi="Verdana" w:cs="Arial"/>
        </w:rPr>
        <w:t xml:space="preserve"> dispone que </w:t>
      </w:r>
      <w:r>
        <w:rPr>
          <w:rFonts w:ascii="Verdana" w:eastAsia="Calibri" w:hAnsi="Verdana" w:cs="Arial"/>
        </w:rPr>
        <w:t>“</w:t>
      </w:r>
      <w:r w:rsidRPr="007D48B0">
        <w:rPr>
          <w:rFonts w:ascii="Verdana" w:eastAsia="Calibri" w:hAnsi="Verdana" w:cs="Arial"/>
        </w:rPr>
        <w:t>[…]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rPr>
        <w:t>”</w:t>
      </w:r>
      <w:r w:rsidRPr="007D48B0">
        <w:rPr>
          <w:rFonts w:ascii="Verdana" w:eastAsia="Calibri" w:hAnsi="Verdana" w:cs="Arial"/>
        </w:rPr>
        <w:t>, regulando cada una de las causales</w:t>
      </w:r>
      <w:r w:rsidRPr="007D48B0">
        <w:rPr>
          <w:rStyle w:val="Refdenotaalpie"/>
          <w:rFonts w:ascii="Verdana" w:eastAsia="Calibri" w:hAnsi="Verdana" w:cs="Arial"/>
        </w:rPr>
        <w:footnoteReference w:id="15"/>
      </w:r>
      <w:r w:rsidRPr="007D48B0">
        <w:rPr>
          <w:rFonts w:ascii="Verdana" w:eastAsia="Calibri" w:hAnsi="Verdana" w:cs="Arial"/>
        </w:rPr>
        <w:t xml:space="preserve">. </w:t>
      </w:r>
    </w:p>
    <w:p w14:paraId="450D5497" w14:textId="77777777" w:rsidR="00D170EC" w:rsidRPr="007D48B0" w:rsidRDefault="00D170EC" w:rsidP="00D170EC">
      <w:pPr>
        <w:spacing w:after="0" w:line="276" w:lineRule="auto"/>
        <w:ind w:firstLine="708"/>
        <w:jc w:val="both"/>
        <w:rPr>
          <w:rFonts w:ascii="Verdana" w:eastAsia="Calibri" w:hAnsi="Verdana" w:cs="Arial"/>
        </w:rPr>
      </w:pPr>
      <w:bookmarkStart w:id="3" w:name="_Hlk39174727"/>
      <w:r w:rsidRPr="007D48B0">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3"/>
      <w:r w:rsidRPr="007D48B0">
        <w:rPr>
          <w:rFonts w:ascii="Verdana" w:eastAsia="Calibri" w:hAnsi="Verdana" w:cs="Arial"/>
        </w:rPr>
        <w:t>. En la exposición de motivos se explica lo siguiente:</w:t>
      </w:r>
    </w:p>
    <w:p w14:paraId="2B72EBAA" w14:textId="77777777" w:rsidR="00D170EC" w:rsidRPr="007D48B0" w:rsidRDefault="00D170EC" w:rsidP="00D170EC">
      <w:pPr>
        <w:spacing w:after="0" w:line="276" w:lineRule="auto"/>
        <w:jc w:val="both"/>
        <w:rPr>
          <w:rFonts w:ascii="Verdana" w:eastAsia="Calibri" w:hAnsi="Verdana" w:cs="Arial"/>
        </w:rPr>
      </w:pPr>
    </w:p>
    <w:p w14:paraId="72C7A52F" w14:textId="77777777" w:rsidR="00D170EC" w:rsidRPr="00B46929" w:rsidRDefault="00D170EC" w:rsidP="00D170EC">
      <w:pPr>
        <w:spacing w:after="120" w:line="240" w:lineRule="auto"/>
        <w:ind w:left="709" w:right="709"/>
        <w:jc w:val="both"/>
        <w:rPr>
          <w:rFonts w:ascii="Verdana" w:eastAsia="Calibri" w:hAnsi="Verdana" w:cs="Arial"/>
          <w:sz w:val="20"/>
          <w:szCs w:val="20"/>
        </w:rPr>
      </w:pPr>
      <w:r w:rsidRPr="00B46929">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7018E067" w14:textId="77777777" w:rsidR="00D170EC" w:rsidRPr="00B46929" w:rsidRDefault="00D170EC" w:rsidP="00D170EC">
      <w:pPr>
        <w:spacing w:after="120" w:line="240" w:lineRule="auto"/>
        <w:ind w:left="709" w:right="709"/>
        <w:jc w:val="both"/>
        <w:rPr>
          <w:rFonts w:ascii="Verdana" w:eastAsia="Calibri" w:hAnsi="Verdana" w:cs="Arial"/>
          <w:sz w:val="20"/>
          <w:szCs w:val="20"/>
        </w:rPr>
      </w:pPr>
      <w:r w:rsidRPr="00B46929">
        <w:rPr>
          <w:rFonts w:ascii="Verdana" w:eastAsia="Calibri" w:hAnsi="Verdana" w:cs="Arial"/>
          <w:sz w:val="20"/>
          <w:szCs w:val="20"/>
        </w:rPr>
        <w:t xml:space="preserve">– Se crea la llamada </w:t>
      </w:r>
      <w:r>
        <w:rPr>
          <w:rFonts w:ascii="Verdana" w:eastAsia="Calibri" w:hAnsi="Verdana" w:cs="Arial"/>
          <w:sz w:val="20"/>
          <w:szCs w:val="20"/>
        </w:rPr>
        <w:t>‘</w:t>
      </w:r>
      <w:r w:rsidRPr="00B46929">
        <w:rPr>
          <w:rFonts w:ascii="Verdana" w:eastAsia="Calibri" w:hAnsi="Verdana" w:cs="Arial"/>
          <w:sz w:val="20"/>
          <w:szCs w:val="20"/>
        </w:rPr>
        <w:t>selección abreviada</w:t>
      </w:r>
      <w:r>
        <w:rPr>
          <w:rFonts w:ascii="Verdana" w:eastAsia="Calibri" w:hAnsi="Verdana" w:cs="Arial"/>
          <w:sz w:val="20"/>
          <w:szCs w:val="20"/>
        </w:rPr>
        <w:t>’</w:t>
      </w:r>
      <w:r w:rsidRPr="00B46929">
        <w:rPr>
          <w:rFonts w:ascii="Verdana" w:eastAsia="Calibri" w:hAnsi="Verdana" w:cs="Arial"/>
          <w:sz w:val="20"/>
          <w:szCs w:val="20"/>
        </w:rPr>
        <w:t>,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0565B1A7" w14:textId="77777777" w:rsidR="00D170EC" w:rsidRPr="007D48B0" w:rsidRDefault="00D170EC" w:rsidP="00D170EC">
      <w:pPr>
        <w:spacing w:after="0" w:line="240" w:lineRule="auto"/>
        <w:ind w:left="709" w:right="709"/>
        <w:jc w:val="both"/>
        <w:rPr>
          <w:rFonts w:ascii="Verdana" w:eastAsia="Calibri" w:hAnsi="Verdana" w:cs="Arial"/>
          <w:sz w:val="21"/>
          <w:szCs w:val="21"/>
        </w:rPr>
      </w:pPr>
      <w:r w:rsidRPr="00B46929">
        <w:rPr>
          <w:rFonts w:ascii="Verdana" w:eastAsia="Calibri" w:hAnsi="Verdana" w:cs="Arial"/>
          <w:sz w:val="20"/>
          <w:szCs w:val="20"/>
        </w:rPr>
        <w:t xml:space="preserve">– Adicionalmente en esta categoría se recoge la llamada </w:t>
      </w:r>
      <w:r>
        <w:rPr>
          <w:rFonts w:ascii="Verdana" w:eastAsia="Calibri" w:hAnsi="Verdana" w:cs="Arial"/>
          <w:sz w:val="20"/>
          <w:szCs w:val="20"/>
        </w:rPr>
        <w:t>‘</w:t>
      </w:r>
      <w:r w:rsidRPr="00B46929">
        <w:rPr>
          <w:rFonts w:ascii="Verdana" w:eastAsia="Calibri" w:hAnsi="Verdana" w:cs="Arial"/>
          <w:sz w:val="20"/>
          <w:szCs w:val="20"/>
        </w:rPr>
        <w:t>menor cuantía</w:t>
      </w:r>
      <w:r>
        <w:rPr>
          <w:rFonts w:ascii="Verdana" w:eastAsia="Calibri" w:hAnsi="Verdana" w:cs="Arial"/>
          <w:sz w:val="20"/>
          <w:szCs w:val="20"/>
        </w:rPr>
        <w:t>’</w:t>
      </w:r>
      <w:r w:rsidRPr="00B46929">
        <w:rPr>
          <w:rFonts w:ascii="Verdana" w:eastAsia="Calibri" w:hAnsi="Verdana" w:cs="Arial"/>
          <w:sz w:val="20"/>
          <w:szCs w:val="20"/>
        </w:rPr>
        <w:t xml:space="preserve"> (sólo aplicable en lo sucesivo a bienes o servicios diferentes de los anteriores), así como otros procesos que por su naturaleza o circunstancias deben ser objeto de tratamiento expedido, tales como la defensa y seguridad nacional, entre otras”</w:t>
      </w:r>
      <w:r w:rsidRPr="00B46929">
        <w:rPr>
          <w:rStyle w:val="Refdenotaalpie"/>
          <w:rFonts w:ascii="Verdana" w:eastAsia="Calibri" w:hAnsi="Verdana" w:cs="Arial"/>
          <w:sz w:val="20"/>
          <w:szCs w:val="20"/>
        </w:rPr>
        <w:footnoteReference w:id="16"/>
      </w:r>
      <w:r w:rsidRPr="00B46929">
        <w:rPr>
          <w:rFonts w:ascii="Verdana" w:eastAsia="Calibri" w:hAnsi="Verdana" w:cs="Arial"/>
          <w:sz w:val="20"/>
          <w:szCs w:val="20"/>
        </w:rPr>
        <w:t>.</w:t>
      </w:r>
    </w:p>
    <w:p w14:paraId="295D0C3E" w14:textId="77777777" w:rsidR="00D170EC" w:rsidRPr="007D48B0" w:rsidRDefault="00D170EC" w:rsidP="00D170EC">
      <w:pPr>
        <w:spacing w:after="0" w:line="276" w:lineRule="auto"/>
        <w:jc w:val="both"/>
        <w:rPr>
          <w:rFonts w:ascii="Verdana" w:eastAsia="Calibri" w:hAnsi="Verdana" w:cs="Arial"/>
        </w:rPr>
      </w:pPr>
    </w:p>
    <w:p w14:paraId="71AB5F51" w14:textId="77777777" w:rsidR="00D170EC" w:rsidRDefault="00D170EC" w:rsidP="00D170EC">
      <w:pPr>
        <w:spacing w:after="120" w:line="276" w:lineRule="auto"/>
        <w:ind w:firstLine="709"/>
        <w:jc w:val="both"/>
        <w:rPr>
          <w:rFonts w:ascii="Verdana" w:eastAsia="Calibri" w:hAnsi="Verdana" w:cs="Arial"/>
        </w:rPr>
      </w:pPr>
      <w:r w:rsidRPr="007D48B0">
        <w:rPr>
          <w:rFonts w:ascii="Verdana" w:eastAsia="Calibri" w:hAnsi="Verdana" w:cs="Arial"/>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w:t>
      </w:r>
      <w:r w:rsidRPr="007D48B0">
        <w:rPr>
          <w:rFonts w:ascii="Verdana" w:eastAsia="Calibri" w:hAnsi="Verdana" w:cs="Arial"/>
        </w:rPr>
        <w:lastRenderedPageBreak/>
        <w:t xml:space="preserve">procedimiento, las etapas, entre otros.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r w:rsidRPr="007D48B0">
        <w:rPr>
          <w:rStyle w:val="Refdenotaalpie"/>
          <w:rFonts w:ascii="Verdana" w:eastAsia="Calibri" w:hAnsi="Verdana" w:cs="Arial"/>
        </w:rPr>
        <w:footnoteReference w:id="17"/>
      </w:r>
      <w:r w:rsidRPr="007D48B0">
        <w:rPr>
          <w:rFonts w:ascii="Verdana" w:eastAsia="Calibri" w:hAnsi="Verdana" w:cs="Arial"/>
        </w:rPr>
        <w:t xml:space="preserve">. </w:t>
      </w:r>
    </w:p>
    <w:p w14:paraId="56749A7D" w14:textId="77777777" w:rsidR="00D170EC" w:rsidRDefault="00D170EC" w:rsidP="00D170EC">
      <w:pPr>
        <w:spacing w:after="0" w:line="276" w:lineRule="auto"/>
        <w:ind w:firstLine="708"/>
        <w:jc w:val="both"/>
        <w:rPr>
          <w:rFonts w:ascii="Verdana" w:eastAsia="Calibri" w:hAnsi="Verdana" w:cs="Arial"/>
          <w:color w:val="000000" w:themeColor="text1"/>
          <w:lang w:val="es-MX"/>
        </w:rPr>
      </w:pPr>
      <w:r w:rsidRPr="007D48B0">
        <w:rPr>
          <w:rFonts w:ascii="Verdana" w:eastAsia="Calibri" w:hAnsi="Verdana" w:cs="Arial"/>
          <w:color w:val="000000" w:themeColor="text1"/>
          <w:lang w:val="es-MX"/>
        </w:rPr>
        <w:t>Conforme al literal b) del artículo 2.2 de la Ley 1150 de 2007, una de las causales de selección abreviada es la de menor cuantía. Esta se refiere a los procesos contractuales cuyo su valor es inferior a los topes que la norma señala respecto de su presupuesto anual, y se desarrolla en el Decreto único Reglamentario del Sector Planeación donde se establece su procedimiento</w:t>
      </w:r>
      <w:r>
        <w:rPr>
          <w:rFonts w:ascii="Verdana" w:eastAsia="Calibri" w:hAnsi="Verdana" w:cs="Arial"/>
          <w:color w:val="000000" w:themeColor="text1"/>
          <w:lang w:val="es-MX"/>
        </w:rPr>
        <w:t>. Conforme a la norma precitada, los rangos de la menor cuantía son los siguientes:</w:t>
      </w:r>
    </w:p>
    <w:p w14:paraId="5257952F" w14:textId="77777777" w:rsidR="00D170EC" w:rsidRDefault="00D170EC" w:rsidP="00D170EC">
      <w:pPr>
        <w:spacing w:after="0" w:line="276" w:lineRule="auto"/>
        <w:ind w:firstLine="708"/>
        <w:jc w:val="both"/>
        <w:rPr>
          <w:rFonts w:ascii="Verdana" w:eastAsia="Calibri" w:hAnsi="Verdana" w:cs="Arial"/>
          <w:color w:val="000000" w:themeColor="text1"/>
          <w:lang w:val="es-MX"/>
        </w:rPr>
      </w:pPr>
    </w:p>
    <w:p w14:paraId="05031BDF"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w:t>
      </w:r>
    </w:p>
    <w:p w14:paraId="6350EDC9"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Para las entidades que tengan un presupuesto anual superior o igual a 1.200.000 salarios mínimos legales mensuales, la menor cuantía será hasta 1.000 salarios mínimos legales mensuales.</w:t>
      </w:r>
    </w:p>
    <w:p w14:paraId="32BF2591"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Las que tengan un presupuesto anual superior o igual a 850.000 salarios mínimos legales mensuales e inferiores a 1.200.000 salarios mínimos legales mensuales, la menor cuantía será hasta 850 salarios mínimos legales mensuales.</w:t>
      </w:r>
    </w:p>
    <w:p w14:paraId="6A10F494"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Las que tengan un presupuesto anual superior o igual a 400.000 salarios mínimos legales mensuales e inferior a 850.000 salarios mínimos legales mensuales, la menor cuantía será hasta 650 salarios mínimos legales mensuales.</w:t>
      </w:r>
    </w:p>
    <w:p w14:paraId="2783C7DB"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Las que tengan un presupuesto anual superior o igual a 120.000 salarios mínimos legales mensuales e inferior a 400.000 salarios mínimos legales mensuales, la menor cuantía será hasta 450 salarios mínimos legales mensuales.</w:t>
      </w:r>
    </w:p>
    <w:p w14:paraId="0596DA3A" w14:textId="77777777" w:rsidR="00D170EC" w:rsidRPr="00B46929" w:rsidRDefault="00D170EC" w:rsidP="00D170EC">
      <w:pPr>
        <w:spacing w:after="120" w:line="240" w:lineRule="auto"/>
        <w:ind w:left="709" w:right="709"/>
        <w:jc w:val="both"/>
        <w:rPr>
          <w:rFonts w:ascii="Verdana" w:hAnsi="Verdana" w:cs="Arial"/>
          <w:color w:val="000000" w:themeColor="text1"/>
          <w:sz w:val="20"/>
          <w:szCs w:val="20"/>
        </w:rPr>
      </w:pPr>
      <w:r w:rsidRPr="00B46929">
        <w:rPr>
          <w:rFonts w:ascii="Verdana" w:hAnsi="Verdana" w:cs="Arial"/>
          <w:color w:val="000000" w:themeColor="text1"/>
          <w:sz w:val="20"/>
          <w:szCs w:val="20"/>
        </w:rPr>
        <w:t>Las que tengan un presupuesto anual inferior a 120.000 salarios mínimos legales mensuales, la menor cuantía será hasta 280 salarios mínimos legales mensuales;</w:t>
      </w:r>
    </w:p>
    <w:p w14:paraId="073EA95B" w14:textId="77777777" w:rsidR="00D170EC" w:rsidRDefault="00D170EC" w:rsidP="00D170EC">
      <w:pPr>
        <w:spacing w:after="0" w:line="240" w:lineRule="auto"/>
        <w:ind w:left="709" w:right="709"/>
        <w:jc w:val="both"/>
        <w:rPr>
          <w:rFonts w:ascii="Verdana" w:hAnsi="Verdana" w:cs="Arial"/>
          <w:color w:val="000000" w:themeColor="text1"/>
        </w:rPr>
      </w:pPr>
      <w:r w:rsidRPr="00B46929">
        <w:rPr>
          <w:rFonts w:ascii="Verdana" w:hAnsi="Verdana" w:cs="Arial"/>
          <w:color w:val="000000" w:themeColor="text1"/>
          <w:sz w:val="20"/>
          <w:szCs w:val="20"/>
        </w:rPr>
        <w:t>[…]”.</w:t>
      </w:r>
    </w:p>
    <w:p w14:paraId="09F3CA13" w14:textId="77777777" w:rsidR="00D170EC" w:rsidRDefault="00D170EC" w:rsidP="00D170EC">
      <w:pPr>
        <w:spacing w:after="0" w:line="276" w:lineRule="auto"/>
        <w:jc w:val="both"/>
        <w:rPr>
          <w:rFonts w:ascii="Verdana" w:hAnsi="Verdana" w:cs="Arial"/>
          <w:color w:val="000000" w:themeColor="text1"/>
        </w:rPr>
      </w:pPr>
    </w:p>
    <w:p w14:paraId="689BEF5A" w14:textId="77777777" w:rsidR="00D170EC" w:rsidRDefault="00D170EC" w:rsidP="00D170EC">
      <w:pPr>
        <w:spacing w:after="0" w:line="276" w:lineRule="auto"/>
        <w:jc w:val="both"/>
        <w:rPr>
          <w:rFonts w:ascii="Verdana" w:hAnsi="Verdana" w:cs="Arial"/>
          <w:color w:val="000000" w:themeColor="text1"/>
        </w:rPr>
      </w:pPr>
      <w:r>
        <w:rPr>
          <w:rFonts w:ascii="Verdana" w:hAnsi="Verdana" w:cs="Arial"/>
          <w:color w:val="000000" w:themeColor="text1"/>
        </w:rPr>
        <w:tab/>
        <w:t>En consecuencia, como el artículo 33 de la Ley 1508 de 2012 dispone que “[…]</w:t>
      </w:r>
      <w:r w:rsidRPr="00B46929">
        <w:rPr>
          <w:rFonts w:ascii="Verdana" w:hAnsi="Verdana" w:cs="Arial"/>
          <w:color w:val="000000" w:themeColor="text1"/>
        </w:rPr>
        <w:t xml:space="preserve"> las interventorías de los contratos, se podrán contratar mediante el </w:t>
      </w:r>
      <w:r w:rsidRPr="00B46929">
        <w:rPr>
          <w:rFonts w:ascii="Verdana" w:hAnsi="Verdana" w:cs="Arial"/>
          <w:color w:val="000000" w:themeColor="text1"/>
        </w:rPr>
        <w:lastRenderedPageBreak/>
        <w:t xml:space="preserve">procedimiento de selección abreviada de menor cuantía </w:t>
      </w:r>
      <w:r>
        <w:rPr>
          <w:rFonts w:ascii="Verdana" w:hAnsi="Verdana" w:cs="Arial"/>
          <w:color w:val="000000" w:themeColor="text1"/>
        </w:rPr>
        <w:t>[…]</w:t>
      </w:r>
      <w:r w:rsidRPr="00B46929">
        <w:rPr>
          <w:rFonts w:ascii="Verdana" w:hAnsi="Verdana" w:cs="Arial"/>
          <w:color w:val="000000" w:themeColor="text1"/>
        </w:rPr>
        <w:t xml:space="preserve"> según su valor”</w:t>
      </w:r>
      <w:r>
        <w:rPr>
          <w:rFonts w:ascii="Verdana" w:hAnsi="Verdana" w:cs="Arial"/>
          <w:color w:val="000000" w:themeColor="text1"/>
        </w:rPr>
        <w:t>, estos significa que sólo es procedente esta modalidad dentro de los topes indicados anteriormente. Es decir, si el presupuesto oficial los supera, aplica el concurso de méritos, pues así lo dispone el artículo 2.3 de la Ley 1150 de 2007 en concordancia con el artículo 32.2 de la Ley 80 de 1993.</w:t>
      </w:r>
    </w:p>
    <w:p w14:paraId="413A2F3B" w14:textId="77777777" w:rsidR="00D170EC" w:rsidRPr="00334DF9" w:rsidRDefault="00D170EC" w:rsidP="00D170EC">
      <w:pPr>
        <w:spacing w:after="0" w:line="276" w:lineRule="auto"/>
        <w:jc w:val="both"/>
        <w:rPr>
          <w:rFonts w:ascii="Verdana" w:eastAsia="Calibri" w:hAnsi="Verdana" w:cs="Arial"/>
          <w:bCs/>
          <w:color w:val="000000" w:themeColor="text1"/>
        </w:rPr>
      </w:pPr>
      <w:r w:rsidRPr="00907743">
        <w:rPr>
          <w:rFonts w:ascii="Verdana" w:hAnsi="Verdana" w:cs="Arial"/>
          <w:color w:val="000000" w:themeColor="text1"/>
        </w:rPr>
        <w:t xml:space="preserve">  </w:t>
      </w:r>
      <w:r>
        <w:rPr>
          <w:rFonts w:ascii="Verdana" w:hAnsi="Verdana" w:cs="Arial"/>
          <w:color w:val="000000" w:themeColor="text1"/>
        </w:rPr>
        <w:t xml:space="preserve"> </w:t>
      </w:r>
    </w:p>
    <w:p w14:paraId="7032B49C" w14:textId="77777777" w:rsidR="00D170EC" w:rsidRDefault="00D170EC" w:rsidP="00D170EC">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47BE21" w14:textId="77777777" w:rsidR="00D170EC" w:rsidRPr="00185EE9" w:rsidRDefault="00D170EC" w:rsidP="00D170EC">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F55E2C3" w14:textId="77777777" w:rsidR="00D170EC" w:rsidRPr="00182C89" w:rsidRDefault="00D170EC" w:rsidP="00D170EC">
      <w:pPr>
        <w:tabs>
          <w:tab w:val="left" w:pos="709"/>
        </w:tabs>
        <w:spacing w:after="0" w:line="276" w:lineRule="auto"/>
        <w:jc w:val="both"/>
        <w:rPr>
          <w:rFonts w:ascii="Verdana" w:eastAsia="Calibri" w:hAnsi="Verdana" w:cs="Arial"/>
          <w:color w:val="000000" w:themeColor="text1"/>
        </w:rPr>
      </w:pPr>
    </w:p>
    <w:p w14:paraId="0CE92677" w14:textId="77777777" w:rsidR="00D170EC" w:rsidRPr="00593A5F" w:rsidRDefault="00D170EC" w:rsidP="00D170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7754B9D" w14:textId="77777777" w:rsidR="00D170EC" w:rsidRPr="00593A5F" w:rsidRDefault="00D170EC" w:rsidP="00D170EC">
      <w:pPr>
        <w:widowControl w:val="0"/>
        <w:autoSpaceDE w:val="0"/>
        <w:autoSpaceDN w:val="0"/>
        <w:spacing w:after="0" w:line="276" w:lineRule="auto"/>
        <w:jc w:val="both"/>
        <w:rPr>
          <w:rFonts w:ascii="Verdana" w:hAnsi="Verdana" w:cs="Arial"/>
        </w:rPr>
      </w:pPr>
    </w:p>
    <w:tbl>
      <w:tblPr>
        <w:tblStyle w:val="Tablaconcuadrcula"/>
        <w:tblW w:w="8647" w:type="dxa"/>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70EC" w:rsidRPr="002407CE" w14:paraId="3CC57910" w14:textId="77777777" w:rsidTr="005926DC">
        <w:trPr>
          <w:trHeight w:val="870"/>
          <w:jc w:val="center"/>
        </w:trPr>
        <w:tc>
          <w:tcPr>
            <w:tcW w:w="8647" w:type="dxa"/>
          </w:tcPr>
          <w:p w14:paraId="19E2C292" w14:textId="77777777" w:rsidR="00D170EC" w:rsidRDefault="00D170EC" w:rsidP="00BB7B0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w:t>
            </w:r>
            <w:r w:rsidRPr="002F2729">
              <w:rPr>
                <w:rFonts w:ascii="Verdana" w:hAnsi="Verdana" w:cs="Arial"/>
              </w:rPr>
              <w:t>4, 5, 12, 14</w:t>
            </w:r>
            <w:r>
              <w:rPr>
                <w:rFonts w:ascii="Verdana" w:hAnsi="Verdana" w:cs="Arial"/>
              </w:rPr>
              <w:t>, 26 y 32.</w:t>
            </w:r>
          </w:p>
          <w:p w14:paraId="2B4F0A2C" w14:textId="77777777" w:rsidR="00D170EC" w:rsidRDefault="00D170EC" w:rsidP="00BB7B0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1245F721" w14:textId="77777777" w:rsidR="00D170EC" w:rsidRDefault="00D170EC" w:rsidP="00BB7B0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83.</w:t>
            </w:r>
          </w:p>
          <w:p w14:paraId="212668DC" w14:textId="77777777" w:rsidR="00D170EC" w:rsidRDefault="00D170EC" w:rsidP="00BB7B0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1508 de 2012, artículos 14 y 33.</w:t>
            </w:r>
          </w:p>
          <w:p w14:paraId="5991786B" w14:textId="77777777" w:rsidR="00D170EC" w:rsidRPr="002F2729" w:rsidRDefault="00D170EC" w:rsidP="00BB7B0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Ley 2069 de 2020, artículo 30.</w:t>
            </w:r>
          </w:p>
        </w:tc>
      </w:tr>
    </w:tbl>
    <w:p w14:paraId="7EC22CA1" w14:textId="77777777" w:rsidR="00D170EC" w:rsidRPr="002407CE" w:rsidRDefault="00D170EC" w:rsidP="00D170EC">
      <w:pPr>
        <w:widowControl w:val="0"/>
        <w:autoSpaceDE w:val="0"/>
        <w:autoSpaceDN w:val="0"/>
        <w:spacing w:after="0" w:line="276" w:lineRule="auto"/>
        <w:jc w:val="both"/>
        <w:rPr>
          <w:rFonts w:ascii="Verdana" w:hAnsi="Verdana" w:cs="Arial"/>
        </w:rPr>
      </w:pPr>
    </w:p>
    <w:p w14:paraId="7A372A2D" w14:textId="77777777" w:rsidR="00D170EC" w:rsidRPr="00593A5F" w:rsidRDefault="00D170EC" w:rsidP="00D170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159ECC5" w14:textId="77777777" w:rsidR="00D170EC" w:rsidRPr="00593A5F" w:rsidRDefault="00D170EC" w:rsidP="00D170EC">
      <w:pPr>
        <w:widowControl w:val="0"/>
        <w:autoSpaceDE w:val="0"/>
        <w:autoSpaceDN w:val="0"/>
        <w:spacing w:after="0" w:line="276" w:lineRule="auto"/>
        <w:jc w:val="both"/>
        <w:rPr>
          <w:rFonts w:ascii="Verdana" w:hAnsi="Verdana" w:cs="Arial"/>
        </w:rPr>
      </w:pPr>
    </w:p>
    <w:p w14:paraId="61DD151C" w14:textId="77777777" w:rsidR="00D170EC" w:rsidRPr="00ED0098" w:rsidRDefault="00D170EC" w:rsidP="00D170EC">
      <w:pPr>
        <w:widowControl w:val="0"/>
        <w:autoSpaceDE w:val="0"/>
        <w:autoSpaceDN w:val="0"/>
        <w:spacing w:after="0" w:line="276" w:lineRule="auto"/>
        <w:jc w:val="both"/>
        <w:rPr>
          <w:rStyle w:val="normaltextrun"/>
          <w:rFonts w:ascii="Verdana" w:hAnsi="Verdana" w:cs="Arial"/>
          <w:shd w:val="clear" w:color="auto" w:fill="FFFFFF"/>
        </w:rPr>
      </w:pPr>
      <w:r w:rsidRPr="002F2729">
        <w:rPr>
          <w:rFonts w:ascii="Verdana" w:hAnsi="Verdana" w:cs="Arial"/>
          <w:shd w:val="clear" w:color="auto" w:fill="FFFFFF"/>
        </w:rPr>
        <w:t>Esta Subdirección se ha pronunciado sobre la obligación de controlar y vigilar la ejecución de los contratos estatales en los Conceptos en los Conceptos 4201913000004799 del 30 de agosto  de 2019 y 4201913000008240 del 20 de diciembre de 2019, C-064 del 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C-830 del 28 de noviembre de 2022 y C-930 del 30 de diciembre de 2022</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97FC150" w14:textId="77777777" w:rsidR="00D170EC" w:rsidRPr="00096788" w:rsidRDefault="00D170EC" w:rsidP="00D170EC">
      <w:pPr>
        <w:widowControl w:val="0"/>
        <w:autoSpaceDE w:val="0"/>
        <w:autoSpaceDN w:val="0"/>
        <w:spacing w:after="0" w:line="276" w:lineRule="auto"/>
        <w:jc w:val="both"/>
        <w:rPr>
          <w:rFonts w:ascii="Verdana" w:hAnsi="Verdana" w:cs="Arial"/>
          <w:color w:val="000000" w:themeColor="text1"/>
          <w:shd w:val="clear" w:color="auto" w:fill="FFFFFF"/>
        </w:rPr>
      </w:pPr>
    </w:p>
    <w:p w14:paraId="35281AB7" w14:textId="77777777" w:rsidR="00D170EC" w:rsidRPr="00E440FD" w:rsidRDefault="00D170EC" w:rsidP="00D170EC">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E95B3AC" w14:textId="77777777" w:rsidR="00D170EC" w:rsidRPr="009C4035" w:rsidRDefault="00D170EC" w:rsidP="00D170EC">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01ABB7B" w14:textId="77777777" w:rsidR="00D170EC" w:rsidRPr="00593A5F" w:rsidRDefault="00D170EC" w:rsidP="00D170E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C972A0A" w14:textId="77777777" w:rsidR="00D170EC" w:rsidRPr="00593A5F" w:rsidRDefault="00D170EC" w:rsidP="00D170EC">
      <w:pPr>
        <w:widowControl w:val="0"/>
        <w:autoSpaceDE w:val="0"/>
        <w:autoSpaceDN w:val="0"/>
        <w:spacing w:after="0" w:line="276" w:lineRule="auto"/>
        <w:jc w:val="both"/>
        <w:rPr>
          <w:rFonts w:ascii="Verdana" w:hAnsi="Verdana" w:cs="Arial"/>
        </w:rPr>
      </w:pPr>
    </w:p>
    <w:p w14:paraId="1E3478A2" w14:textId="77777777" w:rsidR="00D170EC" w:rsidRPr="00593A5F" w:rsidRDefault="00D170EC" w:rsidP="00D170E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E049EC4" w14:textId="2F996B3F" w:rsidR="00D170EC" w:rsidRPr="00593A5F" w:rsidRDefault="00C66EDA" w:rsidP="00D170EC">
      <w:pPr>
        <w:spacing w:line="276" w:lineRule="auto"/>
        <w:jc w:val="center"/>
        <w:rPr>
          <w:rFonts w:ascii="Verdana" w:hAnsi="Verdana" w:cs="Arial"/>
          <w:color w:val="000000"/>
          <w:lang w:val="es-ES_tradnl" w:eastAsia="es-CO"/>
        </w:rPr>
      </w:pPr>
      <w:r>
        <w:rPr>
          <w:noProof/>
        </w:rPr>
        <w:lastRenderedPageBreak/>
        <w:drawing>
          <wp:inline distT="0" distB="0" distL="0" distR="0" wp14:anchorId="2BB41F76" wp14:editId="3827C7F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70EC" w:rsidRPr="00593A5F" w14:paraId="59BE1866" w14:textId="77777777" w:rsidTr="00C66EDA">
        <w:trPr>
          <w:trHeight w:val="315"/>
        </w:trPr>
        <w:tc>
          <w:tcPr>
            <w:tcW w:w="893" w:type="dxa"/>
            <w:vAlign w:val="center"/>
            <w:hideMark/>
          </w:tcPr>
          <w:p w14:paraId="724B9CB7" w14:textId="77777777" w:rsidR="00D170EC" w:rsidRPr="003751C7" w:rsidRDefault="00D170EC" w:rsidP="00BB7B0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vAlign w:val="center"/>
            <w:hideMark/>
          </w:tcPr>
          <w:p w14:paraId="59C81EAD" w14:textId="77777777" w:rsidR="00D170EC" w:rsidRPr="00254A7A" w:rsidRDefault="00D170EC" w:rsidP="00BB7B0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D4DB8F9" w14:textId="77777777" w:rsidR="00D170EC" w:rsidRPr="00254A7A" w:rsidRDefault="00D170EC" w:rsidP="00BB7B0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170EC" w:rsidRPr="00593A5F" w14:paraId="0A38F09A" w14:textId="77777777" w:rsidTr="00C66EDA">
        <w:trPr>
          <w:trHeight w:val="330"/>
        </w:trPr>
        <w:tc>
          <w:tcPr>
            <w:tcW w:w="893" w:type="dxa"/>
            <w:vAlign w:val="center"/>
            <w:hideMark/>
          </w:tcPr>
          <w:p w14:paraId="6CBAE921" w14:textId="77777777" w:rsidR="00D170EC" w:rsidRPr="003751C7" w:rsidRDefault="00D170EC" w:rsidP="00BB7B0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vAlign w:val="center"/>
            <w:hideMark/>
          </w:tcPr>
          <w:p w14:paraId="598E7C4A" w14:textId="77777777" w:rsidR="00D170EC" w:rsidRPr="001B6B73" w:rsidRDefault="00D170EC" w:rsidP="00BB7B0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A4312E6" w14:textId="77777777" w:rsidR="00D170EC" w:rsidRPr="00254A7A" w:rsidRDefault="00D170EC" w:rsidP="00BB7B0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170EC" w:rsidRPr="00593A5F" w14:paraId="43F32495" w14:textId="77777777" w:rsidTr="00C66EDA">
        <w:trPr>
          <w:trHeight w:val="300"/>
        </w:trPr>
        <w:tc>
          <w:tcPr>
            <w:tcW w:w="893" w:type="dxa"/>
            <w:vAlign w:val="center"/>
          </w:tcPr>
          <w:p w14:paraId="4572FEC4" w14:textId="77777777" w:rsidR="00D170EC" w:rsidRPr="003751C7" w:rsidRDefault="00D170EC" w:rsidP="00BB7B0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vAlign w:val="center"/>
          </w:tcPr>
          <w:p w14:paraId="67A46F3B" w14:textId="77777777" w:rsidR="00D170EC" w:rsidRPr="003751C7" w:rsidRDefault="00D170EC" w:rsidP="00BB7B0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A4C15F5" w14:textId="77777777" w:rsidR="00D170EC" w:rsidRPr="003751C7" w:rsidRDefault="00D170EC" w:rsidP="00BB7B0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1CF3408" w14:textId="77777777" w:rsidR="00D170EC" w:rsidRPr="00543BFE" w:rsidRDefault="00D170EC" w:rsidP="00D170EC"/>
    <w:p w14:paraId="0F293BF4" w14:textId="06CDD293" w:rsidR="00127233" w:rsidRPr="00D170EC" w:rsidRDefault="00127233" w:rsidP="00D170EC"/>
    <w:sectPr w:rsidR="00127233" w:rsidRPr="00D170E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D309" w14:textId="77777777" w:rsidR="00623B42" w:rsidRDefault="00623B42" w:rsidP="004A1847">
      <w:pPr>
        <w:spacing w:after="0" w:line="240" w:lineRule="auto"/>
      </w:pPr>
      <w:r>
        <w:separator/>
      </w:r>
    </w:p>
  </w:endnote>
  <w:endnote w:type="continuationSeparator" w:id="0">
    <w:p w14:paraId="20E72ECB" w14:textId="77777777" w:rsidR="00623B42" w:rsidRDefault="00623B42" w:rsidP="004A1847">
      <w:pPr>
        <w:spacing w:after="0" w:line="240" w:lineRule="auto"/>
      </w:pPr>
      <w:r>
        <w:continuationSeparator/>
      </w:r>
    </w:p>
  </w:endnote>
  <w:endnote w:type="continuationNotice" w:id="1">
    <w:p w14:paraId="3554178F" w14:textId="77777777" w:rsidR="00623B42" w:rsidRDefault="00623B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4D863" w14:textId="77777777" w:rsidR="00623B42" w:rsidRDefault="00623B42" w:rsidP="004A1847">
      <w:pPr>
        <w:spacing w:after="0" w:line="240" w:lineRule="auto"/>
      </w:pPr>
      <w:r>
        <w:separator/>
      </w:r>
    </w:p>
  </w:footnote>
  <w:footnote w:type="continuationSeparator" w:id="0">
    <w:p w14:paraId="02FC7B11" w14:textId="77777777" w:rsidR="00623B42" w:rsidRDefault="00623B42" w:rsidP="004A1847">
      <w:pPr>
        <w:spacing w:after="0" w:line="240" w:lineRule="auto"/>
      </w:pPr>
      <w:r>
        <w:continuationSeparator/>
      </w:r>
    </w:p>
  </w:footnote>
  <w:footnote w:type="continuationNotice" w:id="1">
    <w:p w14:paraId="383A8F86" w14:textId="77777777" w:rsidR="00623B42" w:rsidRDefault="00623B42">
      <w:pPr>
        <w:spacing w:after="0" w:line="240" w:lineRule="auto"/>
      </w:pPr>
    </w:p>
  </w:footnote>
  <w:footnote w:id="2">
    <w:p w14:paraId="44B8FFBB" w14:textId="77777777" w:rsidR="00D170EC" w:rsidRPr="005811DA" w:rsidRDefault="00D170EC" w:rsidP="00D170EC">
      <w:pPr>
        <w:pStyle w:val="Textonotapie"/>
        <w:ind w:firstLine="709"/>
        <w:jc w:val="both"/>
        <w:rPr>
          <w:rFonts w:ascii="Verdana" w:hAnsi="Verdana" w:cs="Arial"/>
          <w:sz w:val="16"/>
          <w:szCs w:val="16"/>
          <w:lang w:val="pt-BR"/>
        </w:rPr>
      </w:pPr>
      <w:r w:rsidRPr="00911CF8">
        <w:rPr>
          <w:rStyle w:val="Refdenotaalpie"/>
          <w:rFonts w:ascii="Verdana" w:hAnsi="Verdana" w:cs="Arial"/>
          <w:sz w:val="16"/>
          <w:szCs w:val="16"/>
        </w:rPr>
        <w:footnoteRef/>
      </w:r>
      <w:r w:rsidRPr="005811DA">
        <w:rPr>
          <w:rFonts w:ascii="Verdana" w:hAnsi="Verdana" w:cs="Arial"/>
          <w:sz w:val="16"/>
          <w:szCs w:val="16"/>
          <w:lang w:val="pt-BR"/>
        </w:rPr>
        <w:t xml:space="preserve"> CORTE CONSTITUCIONAL. Sentencia C-595 de 2014. M.P. Jorge Ignacio Pretelt Chaljub. </w:t>
      </w:r>
    </w:p>
  </w:footnote>
  <w:footnote w:id="3">
    <w:p w14:paraId="08377789" w14:textId="77777777" w:rsidR="00D170EC" w:rsidRPr="00911CF8" w:rsidRDefault="00D170EC" w:rsidP="00D170EC">
      <w:pPr>
        <w:pStyle w:val="Textonotapie"/>
        <w:ind w:firstLine="709"/>
        <w:jc w:val="both"/>
        <w:rPr>
          <w:rFonts w:ascii="Verdana" w:hAnsi="Verdana" w:cs="Arial"/>
          <w:sz w:val="16"/>
          <w:szCs w:val="16"/>
          <w:lang w:val="es-ES_tradnl"/>
        </w:rPr>
      </w:pPr>
      <w:r w:rsidRPr="00911CF8">
        <w:rPr>
          <w:rStyle w:val="Refdenotaalpie"/>
          <w:rFonts w:ascii="Verdana" w:hAnsi="Verdana" w:cs="Arial"/>
          <w:sz w:val="16"/>
          <w:szCs w:val="16"/>
          <w:lang w:val="es-ES_tradnl"/>
        </w:rPr>
        <w:footnoteRef/>
      </w:r>
      <w:r w:rsidRPr="00911CF8">
        <w:rPr>
          <w:rFonts w:ascii="Verdana" w:hAnsi="Verdana" w:cs="Arial"/>
          <w:sz w:val="16"/>
          <w:szCs w:val="16"/>
          <w:lang w:val="es-ES_tradnl"/>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0911CF8">
        <w:rPr>
          <w:rFonts w:ascii="Verdana" w:hAnsi="Verdana" w:cs="Arial"/>
          <w:i/>
          <w:iCs/>
          <w:sz w:val="16"/>
          <w:szCs w:val="16"/>
          <w:lang w:val="es-ES_tradnl"/>
        </w:rPr>
        <w:t>public private partnerships –</w:t>
      </w:r>
      <w:r w:rsidRPr="00911CF8">
        <w:rPr>
          <w:rFonts w:ascii="Verdana" w:hAnsi="Verdana" w:cs="Arial"/>
          <w:sz w:val="16"/>
          <w:szCs w:val="16"/>
          <w:lang w:val="es-ES_tradnl"/>
        </w:rPr>
        <w:t>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pp. 37-38).</w:t>
      </w:r>
    </w:p>
  </w:footnote>
  <w:footnote w:id="4">
    <w:p w14:paraId="52F18B00" w14:textId="77777777" w:rsidR="00D170EC" w:rsidRPr="00911CF8" w:rsidRDefault="00D170EC" w:rsidP="00D170EC">
      <w:pPr>
        <w:pStyle w:val="Textonotapie"/>
        <w:ind w:firstLine="709"/>
        <w:jc w:val="both"/>
        <w:rPr>
          <w:rFonts w:ascii="Verdana" w:hAnsi="Verdana" w:cs="Arial"/>
          <w:sz w:val="16"/>
          <w:szCs w:val="16"/>
          <w:lang w:val="es-ES"/>
        </w:rPr>
      </w:pPr>
      <w:r w:rsidRPr="00911CF8">
        <w:rPr>
          <w:rStyle w:val="Refdenotaalpie"/>
          <w:rFonts w:ascii="Verdana" w:hAnsi="Verdana" w:cs="Arial"/>
          <w:sz w:val="16"/>
          <w:szCs w:val="16"/>
        </w:rPr>
        <w:footnoteRef/>
      </w:r>
      <w:r w:rsidRPr="00911CF8">
        <w:rPr>
          <w:rFonts w:ascii="Verdana" w:hAnsi="Verdana" w:cs="Arial"/>
          <w:sz w:val="16"/>
          <w:szCs w:val="16"/>
        </w:rPr>
        <w:t xml:space="preserve"> </w:t>
      </w:r>
      <w:r w:rsidRPr="00911CF8">
        <w:rPr>
          <w:rFonts w:ascii="Verdana" w:hAnsi="Verdana" w:cs="Arial"/>
          <w:sz w:val="16"/>
          <w:szCs w:val="16"/>
          <w:lang w:val="es-ES"/>
        </w:rPr>
        <w:t xml:space="preserve">BENAVIDES, José Luis. Presentación. En: BENAVIDES, José Luis (compilador). Estudio sobre el régimen jurídico de las asociaciones público-privadas. Bogotá: Universidad Externado de Colombia, 2014, p. 13. </w:t>
      </w:r>
      <w:r w:rsidRPr="008F1BF3">
        <w:rPr>
          <w:rFonts w:ascii="Verdana" w:hAnsi="Verdana" w:cs="Arial"/>
          <w:sz w:val="16"/>
          <w:szCs w:val="16"/>
          <w:lang w:val="es-ES"/>
        </w:rPr>
        <w:t>Es por ello que, refiriéndose a la Ley 1508 de 2012, la Sala de Consulta y Servicio Civil del Consejo de Estado ha afirmado: “Según los antecedentes legislativos, la citada normatividad tiene por objeto promover nuevos esquemas de participación privada y optimizar los mecanismos existentes para la provisión de servicios de infraestructura productiva y social en diferentes sectores, tales como (i) infraestructura, mantenimiento de equipos y desarrollo de capacidades estratégicas en el sector de defensa; (ii) distritos de riego y adecuación de tierras; (iii) infraestructura social en educación, salud y atención integral a la primera infancia; (iv) infraestructura física de entidades públicas; (v) rehabilitación y mantenimiento vial y (vi) desarrollo de infraestructura logística, entre otros”</w:t>
      </w:r>
      <w:r>
        <w:rPr>
          <w:rFonts w:ascii="Verdana" w:hAnsi="Verdana" w:cs="Arial"/>
          <w:sz w:val="16"/>
          <w:szCs w:val="16"/>
          <w:lang w:val="es-ES"/>
        </w:rPr>
        <w:t xml:space="preserve"> (Cfr. </w:t>
      </w:r>
      <w:r w:rsidRPr="00911CF8">
        <w:rPr>
          <w:rFonts w:ascii="Verdana" w:hAnsi="Verdana" w:cs="Arial"/>
          <w:sz w:val="16"/>
          <w:szCs w:val="16"/>
        </w:rPr>
        <w:t>CONSEJO DE ESTADO. Sala de Consulta y Servicio Civil. Concepto del 8 de mayo de 2018. Número único: 11001-03-06-000-2018-00095-00. Radicación interna: 2382</w:t>
      </w:r>
      <w:r>
        <w:rPr>
          <w:rFonts w:ascii="Verdana" w:hAnsi="Verdana" w:cs="Arial"/>
          <w:sz w:val="16"/>
          <w:szCs w:val="16"/>
        </w:rPr>
        <w:t>).</w:t>
      </w:r>
    </w:p>
  </w:footnote>
  <w:footnote w:id="5">
    <w:p w14:paraId="176E5CBD" w14:textId="77777777" w:rsidR="00D170EC" w:rsidRPr="00911CF8" w:rsidRDefault="00D170EC" w:rsidP="00D170EC">
      <w:pPr>
        <w:pStyle w:val="Textonotapie"/>
        <w:ind w:firstLine="709"/>
        <w:jc w:val="both"/>
        <w:rPr>
          <w:rFonts w:ascii="Verdana" w:hAnsi="Verdana" w:cs="Arial"/>
          <w:sz w:val="16"/>
          <w:szCs w:val="16"/>
          <w:lang w:val="es-ES"/>
        </w:rPr>
      </w:pPr>
      <w:r w:rsidRPr="00911CF8">
        <w:rPr>
          <w:rStyle w:val="Refdenotaalpie"/>
          <w:rFonts w:ascii="Verdana" w:hAnsi="Verdana" w:cs="Arial"/>
          <w:sz w:val="16"/>
          <w:szCs w:val="16"/>
        </w:rPr>
        <w:footnoteRef/>
      </w:r>
      <w:r w:rsidRPr="00911CF8">
        <w:rPr>
          <w:rFonts w:ascii="Verdana" w:hAnsi="Verdana" w:cs="Arial"/>
          <w:sz w:val="16"/>
          <w:szCs w:val="16"/>
        </w:rPr>
        <w:t xml:space="preserve"> </w:t>
      </w:r>
      <w:r w:rsidRPr="00911CF8">
        <w:rPr>
          <w:rFonts w:ascii="Verdana" w:hAnsi="Verdana" w:cs="Arial"/>
          <w:sz w:val="16"/>
          <w:szCs w:val="16"/>
          <w:lang w:val="es-ES"/>
        </w:rPr>
        <w:t>Este artículo regula la estructuración de proyectos por particulares de la siguiente manera: “Los particulares podrán estructurar proyectos de infraestructura pública o para la prestación de sus servicios asociados, por su propia cuenta y riesgo, asumiendo la totalidad de los costos de la estructuración, y presentarlos de forma confidencial y bajo reserva a consideración de las entidades estatales competentes.</w:t>
      </w:r>
    </w:p>
    <w:p w14:paraId="7FE87B0C"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El proceso de estructuración del proyecto por agentes privados estará dividido en dos (2) etapas, una de prefactibilidad y otra de factibilidad.</w:t>
      </w:r>
    </w:p>
    <w:p w14:paraId="14C58B00"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En la etapa de prefactibilidad el originador de la propuesta deberá señalar claramente la descripción completa del proyecto incluyendo el diseño mínimo en etapa de prefactibilidad, construcción, operación, mantenimiento, organización y explotación del mismo, alcance del proyecto, estudios de demanda en etapa de prefactibilidad, especificaciones del proyecto, su costo estimado y la fuente de financiación.</w:t>
      </w:r>
    </w:p>
    <w:p w14:paraId="79723A6A"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Para la etapa de factibilidad, la iniciativa para la realización del proyecto deberá comprender: el modelo financiero detallado y formulado que fundamente el valor del proyecto, descripción detallada de las fases y duración del proyecto, justificación del plazo del contrato, análisis de riesgos asociados al proyecto, estudios de impacto ambiental, económico y social, y estudios de factibilidad técnica, económica, ambiental, predial, financiera y jurídica del proyecto.</w:t>
      </w:r>
    </w:p>
    <w:p w14:paraId="2E37F649"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En la etapa de factibilidad el originador del proyecto deberá anexar los documentos que acrediten su capacidad jurídica, financiera o de potencial financiación, de experiencia en inversión o de estructuración de proyectos o para desarrollar el proyecto, el valor de la estructuración del proyecto y una minuta del contrato a celebrar que incluya entre otros, la propuesta de distribución de riesgos.</w:t>
      </w:r>
    </w:p>
    <w:p w14:paraId="33F01913"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En esta etapa se deberá certificar que la información que entrega es veraz y es toda de la que dispone sobre el proyecto. Esta certificación deberá presentarse mediante una declaración juramentada.</w:t>
      </w:r>
    </w:p>
    <w:p w14:paraId="1CFEBD7B"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No podrán presentarse iniciativas en los casos en que correspondan a un proyecto que, al momento de su presentación modifiquen contratos o concesiones existentes o para los cuales se haya adelantado su estructuración por parte de cualquier entidad estatal. Tampoco se aceptarán aquellas iniciativas que demanden garantías del Estado o desembolsos de recursos del Presupuesto General de la Nación, las entidades territoriales o de otros fondos públicos, superiores a los establecidos en la presente ley.</w:t>
      </w:r>
    </w:p>
    <w:p w14:paraId="73B7C769"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Cuando existan varios originadores para un mismo proyecto tendrá prioridad para su estudio el primero que radique una oferta ante la entidad estatal competente y que posteriormente sea declarada por esta como viable”.</w:t>
      </w:r>
    </w:p>
  </w:footnote>
  <w:footnote w:id="6">
    <w:p w14:paraId="6C69FC08" w14:textId="77777777" w:rsidR="00D170EC" w:rsidRPr="00911CF8" w:rsidRDefault="00D170EC" w:rsidP="00D170EC">
      <w:pPr>
        <w:pStyle w:val="Textonotapie"/>
        <w:ind w:firstLine="709"/>
        <w:jc w:val="both"/>
        <w:rPr>
          <w:rFonts w:ascii="Verdana" w:hAnsi="Verdana" w:cs="Arial"/>
          <w:sz w:val="16"/>
          <w:szCs w:val="16"/>
        </w:rPr>
      </w:pPr>
      <w:r w:rsidRPr="00911CF8">
        <w:rPr>
          <w:rStyle w:val="Refdenotaalpie"/>
          <w:rFonts w:ascii="Verdana" w:hAnsi="Verdana" w:cs="Arial"/>
          <w:sz w:val="16"/>
          <w:szCs w:val="16"/>
        </w:rPr>
        <w:footnoteRef/>
      </w:r>
      <w:r w:rsidRPr="00911CF8">
        <w:rPr>
          <w:rFonts w:ascii="Verdana" w:hAnsi="Verdana" w:cs="Arial"/>
          <w:sz w:val="16"/>
          <w:szCs w:val="16"/>
        </w:rPr>
        <w:t xml:space="preserve"> Es una oferta, porque cumple con los requisitos del artículo 845 del Código de Comercio, dado que es un “proyecto de negocio jurídico que una persona formule a otra”.</w:t>
      </w:r>
    </w:p>
  </w:footnote>
  <w:footnote w:id="7">
    <w:p w14:paraId="38F6A688" w14:textId="77777777" w:rsidR="00D170EC" w:rsidRPr="00911CF8" w:rsidRDefault="00D170EC" w:rsidP="00D170EC">
      <w:pPr>
        <w:pStyle w:val="Textonotapie"/>
        <w:ind w:firstLine="709"/>
        <w:jc w:val="both"/>
        <w:rPr>
          <w:rFonts w:ascii="Verdana" w:hAnsi="Verdana" w:cs="Arial"/>
          <w:sz w:val="16"/>
          <w:szCs w:val="16"/>
          <w:lang w:val="es-ES"/>
        </w:rPr>
      </w:pPr>
      <w:r w:rsidRPr="00911CF8">
        <w:rPr>
          <w:rStyle w:val="Refdenotaalpie"/>
          <w:rFonts w:ascii="Verdana" w:hAnsi="Verdana" w:cs="Arial"/>
          <w:sz w:val="16"/>
          <w:szCs w:val="16"/>
        </w:rPr>
        <w:footnoteRef/>
      </w:r>
      <w:r w:rsidRPr="00911CF8">
        <w:rPr>
          <w:rFonts w:ascii="Verdana" w:hAnsi="Verdana" w:cs="Arial"/>
          <w:sz w:val="16"/>
          <w:szCs w:val="16"/>
        </w:rPr>
        <w:t xml:space="preserve"> </w:t>
      </w:r>
      <w:r w:rsidRPr="00911CF8">
        <w:rPr>
          <w:rFonts w:ascii="Verdana" w:hAnsi="Verdana" w:cs="Arial"/>
          <w:sz w:val="16"/>
          <w:szCs w:val="16"/>
          <w:lang w:val="es-ES"/>
        </w:rPr>
        <w:t>El artículo 16 expresa lo siguiente: “Presentada la iniciativa del proyecto en etapa de factibilidad, la entidad estatal competente dispondrá de un plazo máximo de seis (6) meses a partir de la fecha de su radicación, para la evaluación de la propuesta y las consultas a terceros y a autoridades competentes, este estudio lo podrá hacer directamente o a través de terceros. Se podrá prorrogar los términos del estudio hasta por un plazo igual a la mitad del plazo inicial, para profundizar en sus investigaciones o pedir al originador del proyecto que elabore estudios adicionales o complementarios, ajustes o precisiones al proyecto.</w:t>
      </w:r>
    </w:p>
    <w:p w14:paraId="695F9156"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Si realizados los estudios pertinentes la entidad pública competente considera la iniciativa viable y acorde con los intereses y políticas públicas, así lo comunicará al originador informándole las condiciones para la aceptación de su iniciativa incluyendo el monto que acepta como valor de los estudios realizados, con fundamento en costos demostrados en tarifas de mercado para la estructuración del proyecto y las condiciones del contrato. De lo contrario rechazará la iniciativa mediante acto administrativo debidamente motivado. En todo caso la presentación de la iniciativa no genera ningún derecho para el particular, ni obligación para el Estado.</w:t>
      </w:r>
    </w:p>
    <w:p w14:paraId="12577998"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Si la iniciativa es rechazada, la propiedad sobre los estudios será del originador, pero la entidad pública tendrá la opción de adquirir aquellos insumos o estudios que le interesen o sean útiles para los propósitos de la función pública.</w:t>
      </w:r>
    </w:p>
    <w:p w14:paraId="40E07E88" w14:textId="77777777" w:rsidR="00D170EC" w:rsidRPr="00911CF8" w:rsidRDefault="00D170EC" w:rsidP="00D170EC">
      <w:pPr>
        <w:pStyle w:val="Textonotapie"/>
        <w:ind w:firstLine="709"/>
        <w:jc w:val="both"/>
        <w:rPr>
          <w:rFonts w:ascii="Verdana" w:hAnsi="Verdana" w:cs="Arial"/>
          <w:sz w:val="16"/>
          <w:szCs w:val="16"/>
          <w:lang w:val="es-ES"/>
        </w:rPr>
      </w:pPr>
      <w:r w:rsidRPr="00911CF8">
        <w:rPr>
          <w:rFonts w:ascii="Verdana" w:hAnsi="Verdana" w:cs="Arial"/>
          <w:sz w:val="16"/>
          <w:szCs w:val="16"/>
          <w:lang w:val="es-ES"/>
        </w:rPr>
        <w:t>Comunicada la viabilidad de la iniciativa, el originador del proyecto podrá aceptar las condiciones de la entidad estatal competente o proponer alternativas. En cualquier caso, en un plazo no superior a dos (2) meses contados desde la comunicación de la viabilidad, si no se llega a un acuerdo, se entenderá que el proyecto ha sido negado por la entidad pública”.</w:t>
      </w:r>
    </w:p>
  </w:footnote>
  <w:footnote w:id="8">
    <w:p w14:paraId="7F62F7BA" w14:textId="77777777" w:rsidR="00D170EC" w:rsidRPr="005B17BB" w:rsidRDefault="00D170EC" w:rsidP="00D170EC">
      <w:pPr>
        <w:pStyle w:val="Textonotapie"/>
        <w:ind w:firstLine="708"/>
        <w:jc w:val="both"/>
        <w:rPr>
          <w:rFonts w:ascii="Verdana" w:hAnsi="Verdana" w:cs="Arial"/>
          <w:iCs/>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sidRPr="005B17BB">
        <w:rPr>
          <w:rFonts w:ascii="Verdana" w:hAnsi="Verdana" w:cs="Arial"/>
          <w:iCs/>
          <w:color w:val="1A1A1A" w:themeColor="background1" w:themeShade="1A"/>
          <w:sz w:val="16"/>
          <w:szCs w:val="16"/>
        </w:rPr>
        <w:t>Artículo 3 de la Ley 80 de 1993.</w:t>
      </w:r>
    </w:p>
  </w:footnote>
  <w:footnote w:id="9">
    <w:p w14:paraId="12C68FFC" w14:textId="77777777" w:rsidR="00D170EC" w:rsidRPr="005B17BB" w:rsidRDefault="00D170EC" w:rsidP="00D170EC">
      <w:pPr>
        <w:pStyle w:val="Textonotapie"/>
        <w:ind w:firstLine="708"/>
        <w:jc w:val="both"/>
        <w:rPr>
          <w:rFonts w:ascii="Verdana" w:hAnsi="Verdana" w:cs="Arial"/>
          <w:iCs/>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sidRPr="005B17BB">
        <w:rPr>
          <w:rFonts w:ascii="Verdana" w:hAnsi="Verdana" w:cs="Arial"/>
          <w:iCs/>
          <w:color w:val="1A1A1A" w:themeColor="background1" w:themeShade="1A"/>
          <w:sz w:val="16"/>
          <w:szCs w:val="16"/>
        </w:rPr>
        <w:t>Artículo 17 de la Ley 1150 de 2007.</w:t>
      </w:r>
    </w:p>
  </w:footnote>
  <w:footnote w:id="10">
    <w:p w14:paraId="668E824C" w14:textId="77777777" w:rsidR="00D170EC" w:rsidRPr="005B17BB" w:rsidRDefault="00D170EC" w:rsidP="00D170EC">
      <w:pPr>
        <w:pStyle w:val="Textonotapie"/>
        <w:ind w:firstLine="708"/>
        <w:jc w:val="both"/>
        <w:rPr>
          <w:rFonts w:ascii="Verdana" w:hAnsi="Verdana" w:cs="Arial"/>
          <w:iCs/>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sidRPr="005B17BB">
        <w:rPr>
          <w:rFonts w:ascii="Verdana" w:hAnsi="Verdana" w:cs="Arial"/>
          <w:iCs/>
          <w:color w:val="1A1A1A" w:themeColor="background1" w:themeShade="1A"/>
          <w:sz w:val="16"/>
          <w:szCs w:val="16"/>
        </w:rPr>
        <w:t>Artículo 21 de la Ley 1150 de 2007.</w:t>
      </w:r>
    </w:p>
  </w:footnote>
  <w:footnote w:id="11">
    <w:p w14:paraId="04298FF4" w14:textId="77777777" w:rsidR="00D170EC" w:rsidRPr="005B17BB" w:rsidRDefault="00D170EC" w:rsidP="00D170EC">
      <w:pPr>
        <w:pStyle w:val="Textonotapie"/>
        <w:ind w:firstLine="708"/>
        <w:jc w:val="both"/>
        <w:rPr>
          <w:rFonts w:ascii="Verdana" w:hAnsi="Verdana" w:cs="Arial"/>
          <w:iCs/>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sidRPr="005B17BB">
        <w:rPr>
          <w:rFonts w:ascii="Verdana" w:hAnsi="Verdana" w:cs="Arial"/>
          <w:iCs/>
          <w:color w:val="1A1A1A" w:themeColor="background1" w:themeShade="1A"/>
          <w:sz w:val="16"/>
          <w:szCs w:val="16"/>
        </w:rPr>
        <w:t>Artículos 83 a 86 de la Ley 1474 de 2011.</w:t>
      </w:r>
    </w:p>
  </w:footnote>
  <w:footnote w:id="12">
    <w:p w14:paraId="49843E29" w14:textId="77777777" w:rsidR="00D170EC" w:rsidRPr="005B17BB" w:rsidRDefault="00D170EC" w:rsidP="00D170EC">
      <w:pPr>
        <w:pStyle w:val="Textonotapie"/>
        <w:ind w:firstLine="708"/>
        <w:jc w:val="both"/>
        <w:rPr>
          <w:rFonts w:ascii="Verdana" w:hAnsi="Verdana" w:cs="Arial"/>
          <w:iCs/>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sidRPr="005B17BB">
        <w:rPr>
          <w:rFonts w:ascii="Verdana" w:hAnsi="Verdana" w:cs="Arial"/>
          <w:iCs/>
          <w:color w:val="1A1A1A" w:themeColor="background1" w:themeShade="1A"/>
          <w:sz w:val="16"/>
          <w:szCs w:val="16"/>
        </w:rPr>
        <w:t xml:space="preserve">CONSEJO DE ESTADO. Sección 3ª. Sentencia del 27 de noviembre de 2017. Exp. 51.802. M.P. Jaime Orlando Santofimio. </w:t>
      </w:r>
    </w:p>
  </w:footnote>
  <w:footnote w:id="13">
    <w:p w14:paraId="71517F69" w14:textId="77777777" w:rsidR="00D170EC" w:rsidRPr="005B17BB" w:rsidRDefault="00D170EC" w:rsidP="00D170EC">
      <w:pPr>
        <w:pStyle w:val="Textonotapie"/>
        <w:ind w:firstLine="708"/>
        <w:rPr>
          <w:rFonts w:ascii="Verdana" w:hAnsi="Verdana" w:cs="Arial"/>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Pr>
          <w:rFonts w:ascii="Verdana" w:hAnsi="Verdana" w:cs="Arial"/>
          <w:color w:val="1A1A1A" w:themeColor="background1" w:themeShade="1A"/>
          <w:sz w:val="16"/>
          <w:szCs w:val="16"/>
        </w:rPr>
        <w:t>“</w:t>
      </w:r>
      <w:r w:rsidRPr="005B17BB">
        <w:rPr>
          <w:rFonts w:ascii="Verdana" w:hAnsi="Verdana" w:cs="Arial"/>
          <w:color w:val="1A1A1A" w:themeColor="background1" w:themeShade="1A"/>
          <w:sz w:val="16"/>
          <w:szCs w:val="16"/>
        </w:rPr>
        <w:t>Son también contratos de consultoría los que tienen por objeto la interventoría […]</w:t>
      </w:r>
      <w:r>
        <w:rPr>
          <w:rFonts w:ascii="Verdana" w:hAnsi="Verdana" w:cs="Arial"/>
          <w:color w:val="1A1A1A" w:themeColor="background1" w:themeShade="1A"/>
          <w:sz w:val="16"/>
          <w:szCs w:val="16"/>
        </w:rPr>
        <w:t>”</w:t>
      </w:r>
    </w:p>
  </w:footnote>
  <w:footnote w:id="14">
    <w:p w14:paraId="5E91DB26" w14:textId="77777777" w:rsidR="00D170EC" w:rsidRPr="00E4659E" w:rsidRDefault="00D170EC" w:rsidP="00D170EC">
      <w:pPr>
        <w:pStyle w:val="Textonotapie"/>
        <w:ind w:firstLine="708"/>
        <w:jc w:val="both"/>
        <w:rPr>
          <w:rFonts w:ascii="Verdana" w:hAnsi="Verdana"/>
          <w:sz w:val="16"/>
          <w:szCs w:val="16"/>
          <w:lang w:val="es-CO"/>
        </w:rPr>
      </w:pPr>
      <w:r w:rsidRPr="00E4659E">
        <w:rPr>
          <w:rStyle w:val="Refdenotaalpie"/>
          <w:rFonts w:ascii="Verdana" w:hAnsi="Verdana"/>
          <w:sz w:val="16"/>
          <w:szCs w:val="16"/>
        </w:rPr>
        <w:footnoteRef/>
      </w:r>
      <w:r w:rsidRPr="00E4659E">
        <w:rPr>
          <w:rFonts w:ascii="Verdana" w:hAnsi="Verdana"/>
          <w:sz w:val="16"/>
          <w:szCs w:val="16"/>
        </w:rPr>
        <w:t xml:space="preserve"> Manual </w:t>
      </w:r>
      <w:r>
        <w:rPr>
          <w:rFonts w:ascii="Verdana" w:hAnsi="Verdana"/>
          <w:sz w:val="16"/>
          <w:szCs w:val="16"/>
        </w:rPr>
        <w:t>d</w:t>
      </w:r>
      <w:r w:rsidRPr="00E4659E">
        <w:rPr>
          <w:rFonts w:ascii="Verdana" w:hAnsi="Verdana"/>
          <w:sz w:val="16"/>
          <w:szCs w:val="16"/>
        </w:rPr>
        <w:t xml:space="preserve">e </w:t>
      </w:r>
      <w:r>
        <w:rPr>
          <w:rFonts w:ascii="Verdana" w:hAnsi="Verdana"/>
          <w:sz w:val="16"/>
          <w:szCs w:val="16"/>
        </w:rPr>
        <w:t>l</w:t>
      </w:r>
      <w:r w:rsidRPr="00E4659E">
        <w:rPr>
          <w:rFonts w:ascii="Verdana" w:hAnsi="Verdana"/>
          <w:sz w:val="16"/>
          <w:szCs w:val="16"/>
        </w:rPr>
        <w:t xml:space="preserve">a Modalidad </w:t>
      </w:r>
      <w:r>
        <w:rPr>
          <w:rFonts w:ascii="Verdana" w:hAnsi="Verdana"/>
          <w:sz w:val="16"/>
          <w:szCs w:val="16"/>
        </w:rPr>
        <w:t>d</w:t>
      </w:r>
      <w:r w:rsidRPr="00E4659E">
        <w:rPr>
          <w:rFonts w:ascii="Verdana" w:hAnsi="Verdana"/>
          <w:sz w:val="16"/>
          <w:szCs w:val="16"/>
        </w:rPr>
        <w:t xml:space="preserve">e Selección </w:t>
      </w:r>
      <w:r>
        <w:rPr>
          <w:rFonts w:ascii="Verdana" w:hAnsi="Verdana"/>
          <w:sz w:val="16"/>
          <w:szCs w:val="16"/>
        </w:rPr>
        <w:t>d</w:t>
      </w:r>
      <w:r w:rsidRPr="00E4659E">
        <w:rPr>
          <w:rFonts w:ascii="Verdana" w:hAnsi="Verdana"/>
          <w:sz w:val="16"/>
          <w:szCs w:val="16"/>
        </w:rPr>
        <w:t>e Mínima Cuantía</w:t>
      </w:r>
      <w:r>
        <w:rPr>
          <w:rFonts w:ascii="Verdana" w:hAnsi="Verdana"/>
          <w:sz w:val="16"/>
          <w:szCs w:val="16"/>
        </w:rPr>
        <w:t xml:space="preserve">. Consultado el 23 de octubre de 2025 en la página web </w:t>
      </w:r>
      <w:hyperlink r:id="rId1" w:history="1">
        <w:r w:rsidRPr="001F746C">
          <w:rPr>
            <w:rStyle w:val="Hipervnculo"/>
            <w:rFonts w:ascii="Verdana" w:hAnsi="Verdana"/>
            <w:sz w:val="16"/>
            <w:szCs w:val="16"/>
          </w:rPr>
          <w:t>https://www.colombiacompra.gov.co/wp-content/uploads/2024/08/manual_de_la_modalidad_de_seleccion_de_minima_cuantia.pdf</w:t>
        </w:r>
      </w:hyperlink>
      <w:r>
        <w:rPr>
          <w:rFonts w:ascii="Verdana" w:hAnsi="Verdana"/>
          <w:sz w:val="16"/>
          <w:szCs w:val="16"/>
        </w:rPr>
        <w:t xml:space="preserve">. </w:t>
      </w:r>
    </w:p>
  </w:footnote>
  <w:footnote w:id="15">
    <w:p w14:paraId="1C913253" w14:textId="77777777" w:rsidR="00D170EC" w:rsidRPr="007D48B0" w:rsidRDefault="00D170EC" w:rsidP="00D170EC">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El numeral 2 del artículo 2 de la Ley 1150 de 2007 prescribe: </w:t>
      </w:r>
      <w:r>
        <w:rPr>
          <w:rFonts w:ascii="Verdana" w:hAnsi="Verdana" w:cs="Arial"/>
          <w:sz w:val="16"/>
          <w:szCs w:val="16"/>
        </w:rPr>
        <w:t>“</w:t>
      </w:r>
      <w:r w:rsidRPr="007D48B0">
        <w:rPr>
          <w:rFonts w:ascii="Verdana" w:hAnsi="Verdana" w:cs="Arial"/>
          <w:sz w:val="16"/>
          <w:szCs w:val="16"/>
        </w:rPr>
        <w:t>[…] Serán causales de selección abreviada las siguientes:</w:t>
      </w:r>
    </w:p>
    <w:p w14:paraId="094454C0"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1D73FEE0"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0605A8E7"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222D4B02"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w:t>
      </w:r>
    </w:p>
    <w:p w14:paraId="3EA36232"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1CFAE32B"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FE9BBA4"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e) La enajenación de bienes del Estado, con excepción de aquellos a que se refiere la Ley 226 de 1995.</w:t>
      </w:r>
    </w:p>
    <w:p w14:paraId="24D0664F"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 xml:space="preserve">[…]; </w:t>
      </w:r>
    </w:p>
    <w:p w14:paraId="69F1B578"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 xml:space="preserve">f) Productos de origen o destinación agropecuarios que se ofrezcan en las bolsas de productos legalmente constituidas; </w:t>
      </w:r>
    </w:p>
    <w:p w14:paraId="78CBB573"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39FCFC75" w14:textId="77777777" w:rsidR="00D170EC" w:rsidRPr="007D48B0"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396DDBC3" w14:textId="77777777" w:rsidR="00D170EC" w:rsidRDefault="00D170EC" w:rsidP="00D170EC">
      <w:pPr>
        <w:pStyle w:val="Textonotapie"/>
        <w:ind w:firstLine="708"/>
        <w:jc w:val="both"/>
        <w:rPr>
          <w:rFonts w:ascii="Verdana" w:hAnsi="Verdana" w:cs="Arial"/>
          <w:sz w:val="16"/>
          <w:szCs w:val="16"/>
        </w:rPr>
      </w:pPr>
      <w:r w:rsidRPr="007D48B0">
        <w:rPr>
          <w:rFonts w:ascii="Verdana" w:hAnsi="Verdana" w:cs="Arial"/>
          <w:sz w:val="16"/>
          <w:szCs w:val="16"/>
        </w:rPr>
        <w:t>i) La contratación de bienes y servicios que se requieran para la defensa y seguridad nacional</w:t>
      </w:r>
      <w:r>
        <w:rPr>
          <w:rFonts w:ascii="Verdana" w:hAnsi="Verdana" w:cs="Arial"/>
          <w:sz w:val="16"/>
          <w:szCs w:val="16"/>
        </w:rPr>
        <w:t>.</w:t>
      </w:r>
    </w:p>
    <w:p w14:paraId="469497B7" w14:textId="77777777" w:rsidR="00D170EC" w:rsidRPr="007D48B0" w:rsidRDefault="00D170EC" w:rsidP="00D170EC">
      <w:pPr>
        <w:pStyle w:val="Textonotapie"/>
        <w:ind w:firstLine="708"/>
        <w:jc w:val="both"/>
        <w:rPr>
          <w:rFonts w:ascii="Verdana" w:hAnsi="Verdana" w:cs="Arial"/>
          <w:sz w:val="16"/>
          <w:szCs w:val="16"/>
        </w:rPr>
      </w:pPr>
      <w:r>
        <w:rPr>
          <w:rFonts w:ascii="Verdana" w:hAnsi="Verdana" w:cs="Arial"/>
          <w:sz w:val="16"/>
          <w:szCs w:val="16"/>
        </w:rPr>
        <w:t xml:space="preserve">j) </w:t>
      </w:r>
      <w:r w:rsidRPr="000B48EE">
        <w:rPr>
          <w:rFonts w:ascii="Verdana" w:hAnsi="Verdana" w:cs="Arial"/>
          <w:sz w:val="16"/>
          <w:szCs w:val="16"/>
        </w:rPr>
        <w:t>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r>
        <w:rPr>
          <w:rFonts w:ascii="Verdana" w:hAnsi="Verdana" w:cs="Arial"/>
          <w:sz w:val="16"/>
          <w:szCs w:val="16"/>
        </w:rPr>
        <w:t>”</w:t>
      </w:r>
      <w:r w:rsidRPr="007D48B0">
        <w:rPr>
          <w:rFonts w:ascii="Verdana" w:hAnsi="Verdana" w:cs="Arial"/>
          <w:sz w:val="16"/>
          <w:szCs w:val="16"/>
        </w:rPr>
        <w:t>.</w:t>
      </w:r>
    </w:p>
  </w:footnote>
  <w:footnote w:id="16">
    <w:p w14:paraId="4D8D1315" w14:textId="77777777" w:rsidR="00D170EC" w:rsidRPr="00E75013" w:rsidRDefault="00D170EC" w:rsidP="00D170EC">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CONGRESO DE LA REPÚBLICA. Exposición de motivos de la Ley 1150 de 2007. Gaceta del Congreso No. 458 del 1º de agosto de 2005. p. 8. </w:t>
      </w:r>
    </w:p>
  </w:footnote>
  <w:footnote w:id="17">
    <w:p w14:paraId="3821F109" w14:textId="77777777" w:rsidR="00D170EC" w:rsidRPr="007D48B0" w:rsidRDefault="00D170EC" w:rsidP="00D170EC">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CONSEJO DE ESTADO. Sección Tercera. Subsección A. Sentencia del 23 de julio de 2015. Exp. 36.805. C. P. Hernán Andrade Rincón.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323"/>
    <w:rsid w:val="0001532F"/>
    <w:rsid w:val="00016F78"/>
    <w:rsid w:val="000179CB"/>
    <w:rsid w:val="00046945"/>
    <w:rsid w:val="00053BE9"/>
    <w:rsid w:val="00061B2A"/>
    <w:rsid w:val="00082362"/>
    <w:rsid w:val="000A683E"/>
    <w:rsid w:val="000B19B9"/>
    <w:rsid w:val="000D0334"/>
    <w:rsid w:val="000F3973"/>
    <w:rsid w:val="000F6486"/>
    <w:rsid w:val="0012159A"/>
    <w:rsid w:val="00125105"/>
    <w:rsid w:val="0012596A"/>
    <w:rsid w:val="00127233"/>
    <w:rsid w:val="001337B8"/>
    <w:rsid w:val="0016131A"/>
    <w:rsid w:val="001959FB"/>
    <w:rsid w:val="001E4177"/>
    <w:rsid w:val="001F7DC6"/>
    <w:rsid w:val="002421BB"/>
    <w:rsid w:val="0025796E"/>
    <w:rsid w:val="002707A2"/>
    <w:rsid w:val="00277009"/>
    <w:rsid w:val="002951A0"/>
    <w:rsid w:val="002962BC"/>
    <w:rsid w:val="002A093D"/>
    <w:rsid w:val="002A0DD0"/>
    <w:rsid w:val="002A49AC"/>
    <w:rsid w:val="002A64FD"/>
    <w:rsid w:val="002C7A84"/>
    <w:rsid w:val="002E4FD9"/>
    <w:rsid w:val="0031599A"/>
    <w:rsid w:val="00322A85"/>
    <w:rsid w:val="00324168"/>
    <w:rsid w:val="0033379C"/>
    <w:rsid w:val="003448F4"/>
    <w:rsid w:val="00374F5E"/>
    <w:rsid w:val="00376DF0"/>
    <w:rsid w:val="00377E3E"/>
    <w:rsid w:val="003A779E"/>
    <w:rsid w:val="003B60ED"/>
    <w:rsid w:val="003C46F7"/>
    <w:rsid w:val="003D0F4D"/>
    <w:rsid w:val="003D5B0D"/>
    <w:rsid w:val="003E0499"/>
    <w:rsid w:val="003F3941"/>
    <w:rsid w:val="00406575"/>
    <w:rsid w:val="00414C74"/>
    <w:rsid w:val="0042722E"/>
    <w:rsid w:val="00427690"/>
    <w:rsid w:val="0044528D"/>
    <w:rsid w:val="00455969"/>
    <w:rsid w:val="0047089B"/>
    <w:rsid w:val="00471FB8"/>
    <w:rsid w:val="004A1847"/>
    <w:rsid w:val="004A305D"/>
    <w:rsid w:val="004F21C4"/>
    <w:rsid w:val="004F685F"/>
    <w:rsid w:val="005373D9"/>
    <w:rsid w:val="00542196"/>
    <w:rsid w:val="00555245"/>
    <w:rsid w:val="00555C50"/>
    <w:rsid w:val="005566E8"/>
    <w:rsid w:val="00572960"/>
    <w:rsid w:val="00574867"/>
    <w:rsid w:val="0058091B"/>
    <w:rsid w:val="005811DA"/>
    <w:rsid w:val="00591460"/>
    <w:rsid w:val="005926DC"/>
    <w:rsid w:val="005965E7"/>
    <w:rsid w:val="005A0DEA"/>
    <w:rsid w:val="005C3777"/>
    <w:rsid w:val="005C5CDC"/>
    <w:rsid w:val="005D476C"/>
    <w:rsid w:val="006219F8"/>
    <w:rsid w:val="00623B42"/>
    <w:rsid w:val="006302F7"/>
    <w:rsid w:val="00665D70"/>
    <w:rsid w:val="006900D9"/>
    <w:rsid w:val="0069500F"/>
    <w:rsid w:val="006A5A39"/>
    <w:rsid w:val="006A760C"/>
    <w:rsid w:val="00706C16"/>
    <w:rsid w:val="00725273"/>
    <w:rsid w:val="00741336"/>
    <w:rsid w:val="00742DCA"/>
    <w:rsid w:val="0075104E"/>
    <w:rsid w:val="00756841"/>
    <w:rsid w:val="007649AB"/>
    <w:rsid w:val="00771D0C"/>
    <w:rsid w:val="007833AC"/>
    <w:rsid w:val="007B268C"/>
    <w:rsid w:val="007B7171"/>
    <w:rsid w:val="007C0C0F"/>
    <w:rsid w:val="007C3DC2"/>
    <w:rsid w:val="007C643D"/>
    <w:rsid w:val="007E5497"/>
    <w:rsid w:val="00806F5F"/>
    <w:rsid w:val="00820278"/>
    <w:rsid w:val="00836B62"/>
    <w:rsid w:val="00867F95"/>
    <w:rsid w:val="008843B6"/>
    <w:rsid w:val="00891928"/>
    <w:rsid w:val="00897A3A"/>
    <w:rsid w:val="008A446D"/>
    <w:rsid w:val="008D180B"/>
    <w:rsid w:val="008D67E1"/>
    <w:rsid w:val="008F0EA7"/>
    <w:rsid w:val="00904518"/>
    <w:rsid w:val="00906561"/>
    <w:rsid w:val="00923EEF"/>
    <w:rsid w:val="009419F9"/>
    <w:rsid w:val="009512D1"/>
    <w:rsid w:val="0095685E"/>
    <w:rsid w:val="00961B09"/>
    <w:rsid w:val="00965334"/>
    <w:rsid w:val="0097093E"/>
    <w:rsid w:val="00971CC7"/>
    <w:rsid w:val="009A0DFA"/>
    <w:rsid w:val="009B25A8"/>
    <w:rsid w:val="009B2D26"/>
    <w:rsid w:val="009C71FA"/>
    <w:rsid w:val="009C72E7"/>
    <w:rsid w:val="009D3058"/>
    <w:rsid w:val="009F3A13"/>
    <w:rsid w:val="00A0140C"/>
    <w:rsid w:val="00A01884"/>
    <w:rsid w:val="00A122D3"/>
    <w:rsid w:val="00A17F13"/>
    <w:rsid w:val="00A20739"/>
    <w:rsid w:val="00A2508C"/>
    <w:rsid w:val="00A33C78"/>
    <w:rsid w:val="00A6479F"/>
    <w:rsid w:val="00A91301"/>
    <w:rsid w:val="00AB0ADB"/>
    <w:rsid w:val="00AB4EE8"/>
    <w:rsid w:val="00AF2A7F"/>
    <w:rsid w:val="00B00C0E"/>
    <w:rsid w:val="00B01B1A"/>
    <w:rsid w:val="00B1227C"/>
    <w:rsid w:val="00B44A47"/>
    <w:rsid w:val="00B4585F"/>
    <w:rsid w:val="00B61AD0"/>
    <w:rsid w:val="00B70243"/>
    <w:rsid w:val="00B72CD3"/>
    <w:rsid w:val="00B72FFF"/>
    <w:rsid w:val="00B73022"/>
    <w:rsid w:val="00B75E85"/>
    <w:rsid w:val="00B93E29"/>
    <w:rsid w:val="00BB7B03"/>
    <w:rsid w:val="00BC3D36"/>
    <w:rsid w:val="00BD7F72"/>
    <w:rsid w:val="00BF0467"/>
    <w:rsid w:val="00BF699E"/>
    <w:rsid w:val="00C04FB3"/>
    <w:rsid w:val="00C330EB"/>
    <w:rsid w:val="00C66EDA"/>
    <w:rsid w:val="00C754BE"/>
    <w:rsid w:val="00C76B1C"/>
    <w:rsid w:val="00CB6357"/>
    <w:rsid w:val="00CC1B26"/>
    <w:rsid w:val="00CC6F69"/>
    <w:rsid w:val="00CD0045"/>
    <w:rsid w:val="00D027D2"/>
    <w:rsid w:val="00D03ED8"/>
    <w:rsid w:val="00D170EC"/>
    <w:rsid w:val="00D4101E"/>
    <w:rsid w:val="00D423A2"/>
    <w:rsid w:val="00D520D8"/>
    <w:rsid w:val="00D63AC2"/>
    <w:rsid w:val="00D7383B"/>
    <w:rsid w:val="00DA231B"/>
    <w:rsid w:val="00DC39FC"/>
    <w:rsid w:val="00DF1BF3"/>
    <w:rsid w:val="00DF5254"/>
    <w:rsid w:val="00E16408"/>
    <w:rsid w:val="00E20894"/>
    <w:rsid w:val="00E245AB"/>
    <w:rsid w:val="00E2764C"/>
    <w:rsid w:val="00E27F2E"/>
    <w:rsid w:val="00E35E62"/>
    <w:rsid w:val="00E50AFE"/>
    <w:rsid w:val="00E66B17"/>
    <w:rsid w:val="00E75C92"/>
    <w:rsid w:val="00E771DC"/>
    <w:rsid w:val="00E8772A"/>
    <w:rsid w:val="00E90F6B"/>
    <w:rsid w:val="00E91943"/>
    <w:rsid w:val="00E92C27"/>
    <w:rsid w:val="00E9446B"/>
    <w:rsid w:val="00E96CA0"/>
    <w:rsid w:val="00EA0E3D"/>
    <w:rsid w:val="00EC38A7"/>
    <w:rsid w:val="00EC729B"/>
    <w:rsid w:val="00EE1AA8"/>
    <w:rsid w:val="00F31EDC"/>
    <w:rsid w:val="00F3397C"/>
    <w:rsid w:val="00F462B3"/>
    <w:rsid w:val="00F5664F"/>
    <w:rsid w:val="00F666C4"/>
    <w:rsid w:val="00F76AFC"/>
    <w:rsid w:val="00FA47C0"/>
    <w:rsid w:val="00FB376A"/>
    <w:rsid w:val="00FB5DD1"/>
    <w:rsid w:val="00FC2B5D"/>
    <w:rsid w:val="00FD177D"/>
    <w:rsid w:val="00FE2331"/>
    <w:rsid w:val="00FE3B07"/>
    <w:rsid w:val="00FF05E7"/>
    <w:rsid w:val="00FF1449"/>
    <w:rsid w:val="7C0662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45CF0ED-79F5-DE40-9C7C-7AC2316E0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170E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170EC"/>
    <w:rPr>
      <w:rFonts w:ascii="Geomanist Light" w:hAnsi="Geomanist Light"/>
      <w:lang w:val="es-ES"/>
    </w:rPr>
  </w:style>
  <w:style w:type="character" w:customStyle="1" w:styleId="s15">
    <w:name w:val="s15"/>
    <w:basedOn w:val="Fuentedeprrafopredeter"/>
    <w:rsid w:val="00D170EC"/>
  </w:style>
  <w:style w:type="character" w:customStyle="1" w:styleId="apple-converted-space">
    <w:name w:val="apple-converted-space"/>
    <w:basedOn w:val="Fuentedeprrafopredeter"/>
    <w:rsid w:val="00D170EC"/>
  </w:style>
  <w:style w:type="paragraph" w:styleId="Sinespaciado">
    <w:name w:val="No Spacing"/>
    <w:aliases w:val="No Indent"/>
    <w:link w:val="SinespaciadoCar"/>
    <w:uiPriority w:val="3"/>
    <w:qFormat/>
    <w:rsid w:val="00D170EC"/>
    <w:pPr>
      <w:spacing w:after="0" w:line="240" w:lineRule="auto"/>
    </w:pPr>
    <w:rPr>
      <w:sz w:val="24"/>
      <w:lang w:val="es-MX"/>
    </w:rPr>
  </w:style>
  <w:style w:type="character" w:customStyle="1" w:styleId="SinespaciadoCar">
    <w:name w:val="Sin espaciado Car"/>
    <w:aliases w:val="No Indent Car"/>
    <w:link w:val="Sinespaciado"/>
    <w:uiPriority w:val="3"/>
    <w:rsid w:val="00D170EC"/>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gutierrez@ani.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manual_de_la_modalidad_de_seleccion_de_minima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08DE739-854C-40B2-B6C3-C935353EE6E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19</Pages>
  <Words>5797</Words>
  <Characters>31888</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37610</CharactersWithSpaces>
  <SharedDoc>false</SharedDoc>
  <HLinks>
    <vt:vector size="24"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2097230</vt:i4>
      </vt:variant>
      <vt:variant>
        <vt:i4>0</vt:i4>
      </vt:variant>
      <vt:variant>
        <vt:i4>0</vt:i4>
      </vt:variant>
      <vt:variant>
        <vt:i4>5</vt:i4>
      </vt:variant>
      <vt:variant>
        <vt:lpwstr>mailto:ggutierrez@ani.gov.co</vt:lpwstr>
      </vt:variant>
      <vt:variant>
        <vt:lpwstr/>
      </vt:variant>
      <vt:variant>
        <vt:i4>7274555</vt:i4>
      </vt:variant>
      <vt:variant>
        <vt:i4>0</vt:i4>
      </vt:variant>
      <vt:variant>
        <vt:i4>0</vt:i4>
      </vt:variant>
      <vt:variant>
        <vt:i4>5</vt:i4>
      </vt:variant>
      <vt:variant>
        <vt:lpwstr>https://www.colombiacompra.gov.co/wp-content/uploads/2024/08/manual_de_la_modalidad_de_seleccion_de_minima_cuantia.pdf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2025-10-27T15:13:00Z</dcterms:created>
  <dcterms:modified xsi:type="dcterms:W3CDTF">2025-10-27T16:09:00Z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