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131F37" w14:textId="76F7A219" w:rsidR="001278F6" w:rsidRPr="00E26069" w:rsidRDefault="001278F6" w:rsidP="001278F6">
      <w:pPr>
        <w:spacing w:after="0" w:line="240" w:lineRule="auto"/>
        <w:jc w:val="both"/>
        <w:rPr>
          <w:rFonts w:ascii="Verdana" w:eastAsia="Calibri" w:hAnsi="Verdana" w:cs="Arial"/>
          <w:b/>
          <w:color w:val="000000"/>
          <w:kern w:val="2"/>
          <w:lang w:val="es-ES"/>
          <w14:ligatures w14:val="standardContextual"/>
        </w:rPr>
      </w:pPr>
      <w:r w:rsidRPr="00E26069">
        <w:rPr>
          <w:rFonts w:ascii="Verdana" w:eastAsia="Calibri" w:hAnsi="Verdana" w:cs="Arial"/>
          <w:b/>
          <w:color w:val="000000"/>
          <w:kern w:val="2"/>
          <w:lang w:val="es-ES"/>
          <w14:ligatures w14:val="standardContextual"/>
        </w:rPr>
        <w:t xml:space="preserve">PRECIOS UNITARIOS </w:t>
      </w:r>
      <w:r w:rsidR="00E26069" w:rsidRPr="00E26069">
        <w:rPr>
          <w:rFonts w:ascii="Verdana" w:eastAsia="Calibri" w:hAnsi="Verdana" w:cs="Arial"/>
          <w:b/>
          <w:bCs/>
          <w:color w:val="000000"/>
          <w:kern w:val="2"/>
          <w:lang w:val="es-ES"/>
          <w14:ligatures w14:val="standardContextual"/>
        </w:rPr>
        <w:t>–</w:t>
      </w:r>
      <w:r w:rsidRPr="00E26069">
        <w:rPr>
          <w:rFonts w:ascii="Verdana" w:eastAsia="Calibri" w:hAnsi="Verdana" w:cs="Arial"/>
          <w:b/>
          <w:color w:val="000000"/>
          <w:kern w:val="2"/>
          <w:lang w:val="es-ES"/>
          <w14:ligatures w14:val="standardContextual"/>
        </w:rPr>
        <w:t xml:space="preserve"> APU – AIU – Diferencias </w:t>
      </w:r>
    </w:p>
    <w:p w14:paraId="43A16B9B" w14:textId="77777777" w:rsidR="001278F6" w:rsidRPr="001278F6" w:rsidRDefault="001278F6" w:rsidP="001278F6">
      <w:pPr>
        <w:spacing w:after="0" w:line="240" w:lineRule="auto"/>
        <w:jc w:val="both"/>
        <w:rPr>
          <w:rFonts w:ascii="Verdana" w:eastAsia="Calibri" w:hAnsi="Verdana" w:cs="Arial"/>
          <w:bCs/>
          <w:color w:val="000000"/>
          <w:kern w:val="2"/>
          <w:sz w:val="20"/>
          <w:szCs w:val="20"/>
          <w:lang w:val="es-ES"/>
          <w14:ligatures w14:val="standardContextual"/>
        </w:rPr>
      </w:pPr>
    </w:p>
    <w:p w14:paraId="22A9DEFE" w14:textId="77777777" w:rsidR="001278F6" w:rsidRPr="001278F6" w:rsidRDefault="001278F6" w:rsidP="001278F6">
      <w:pPr>
        <w:spacing w:after="0" w:line="240" w:lineRule="auto"/>
        <w:jc w:val="both"/>
        <w:rPr>
          <w:rFonts w:ascii="Verdana" w:eastAsia="Calibri" w:hAnsi="Verdana" w:cs="Arial"/>
          <w:iCs/>
          <w:color w:val="000000"/>
          <w:kern w:val="2"/>
          <w:sz w:val="20"/>
          <w:szCs w:val="20"/>
          <w:lang w:eastAsia="es-ES_tradnl"/>
          <w14:ligatures w14:val="standardContextual"/>
        </w:rPr>
      </w:pPr>
      <w:r w:rsidRPr="001278F6">
        <w:rPr>
          <w:rFonts w:ascii="Verdana" w:eastAsia="Calibri" w:hAnsi="Verdana" w:cs="Arial"/>
          <w:bCs/>
          <w:color w:val="000000"/>
          <w:kern w:val="2"/>
          <w:sz w:val="20"/>
          <w:szCs w:val="20"/>
          <w:lang w:val="es-ES" w:eastAsia="es-ES_tradnl"/>
          <w14:ligatures w14:val="standardContextual"/>
        </w:rPr>
        <w:t xml:space="preserve">[…] en los contratos cuyo precio se estructura a partir del sistema de precios unitarios, ha hecho parte de la práctica de los negocios que el contratante le solicite al potencial contratista que separe en su propuesta los </w:t>
      </w:r>
      <w:r w:rsidRPr="001278F6">
        <w:rPr>
          <w:rFonts w:ascii="Verdana" w:eastAsia="Calibri" w:hAnsi="Verdana" w:cs="Arial"/>
          <w:bCs/>
          <w:i/>
          <w:iCs/>
          <w:color w:val="000000"/>
          <w:kern w:val="2"/>
          <w:sz w:val="20"/>
          <w:szCs w:val="20"/>
          <w:lang w:val="es-ES" w:eastAsia="es-ES_tradnl"/>
          <w14:ligatures w14:val="standardContextual"/>
        </w:rPr>
        <w:t>costos directos</w:t>
      </w:r>
      <w:r w:rsidRPr="001278F6">
        <w:rPr>
          <w:rFonts w:ascii="Verdana" w:eastAsia="Calibri" w:hAnsi="Verdana" w:cs="Arial"/>
          <w:bCs/>
          <w:color w:val="000000"/>
          <w:kern w:val="2"/>
          <w:sz w:val="20"/>
          <w:szCs w:val="20"/>
          <w:lang w:val="es-ES" w:eastAsia="es-ES_tradnl"/>
          <w14:ligatures w14:val="standardContextual"/>
        </w:rPr>
        <w:t xml:space="preserve"> –es decir, los que están directamente implicados en la ejecución del objeto–, de los </w:t>
      </w:r>
      <w:r w:rsidRPr="001278F6">
        <w:rPr>
          <w:rFonts w:ascii="Verdana" w:eastAsia="Calibri" w:hAnsi="Verdana" w:cs="Arial"/>
          <w:bCs/>
          <w:i/>
          <w:iCs/>
          <w:color w:val="000000"/>
          <w:kern w:val="2"/>
          <w:sz w:val="20"/>
          <w:szCs w:val="20"/>
          <w:lang w:val="es-ES" w:eastAsia="es-ES_tradnl"/>
          <w14:ligatures w14:val="standardContextual"/>
        </w:rPr>
        <w:t>costos indirectos</w:t>
      </w:r>
      <w:r w:rsidRPr="001278F6">
        <w:rPr>
          <w:rFonts w:ascii="Verdana" w:eastAsia="Calibri" w:hAnsi="Verdana" w:cs="Arial"/>
          <w:bCs/>
          <w:color w:val="000000"/>
          <w:kern w:val="2"/>
          <w:sz w:val="20"/>
          <w:szCs w:val="20"/>
          <w:lang w:val="es-ES" w:eastAsia="es-ES_tradnl"/>
          <w14:ligatures w14:val="standardContextua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1278F6">
        <w:rPr>
          <w:rFonts w:ascii="Verdana" w:eastAsia="Calibri" w:hAnsi="Verdana" w:cs="Arial"/>
          <w:bCs/>
          <w:i/>
          <w:iCs/>
          <w:color w:val="000000"/>
          <w:kern w:val="2"/>
          <w:sz w:val="20"/>
          <w:szCs w:val="20"/>
          <w:lang w:val="es-ES" w:eastAsia="es-ES_tradnl"/>
          <w14:ligatures w14:val="standardContextual"/>
        </w:rPr>
        <w:t>costos directos</w:t>
      </w:r>
      <w:r w:rsidRPr="001278F6">
        <w:rPr>
          <w:rFonts w:ascii="Verdana" w:eastAsia="Calibri" w:hAnsi="Verdana" w:cs="Arial"/>
          <w:bCs/>
          <w:color w:val="000000"/>
          <w:kern w:val="2"/>
          <w:sz w:val="20"/>
          <w:szCs w:val="20"/>
          <w:lang w:val="es-ES" w:eastAsia="es-ES_tradnl"/>
          <w14:ligatures w14:val="standardContextual"/>
        </w:rPr>
        <w:t xml:space="preserve"> se evidencian en el análisis de precios unitarios –APU–, como la sumatoria de los valores de los </w:t>
      </w:r>
      <w:r w:rsidRPr="001278F6">
        <w:rPr>
          <w:rFonts w:ascii="Verdana" w:eastAsia="Calibri" w:hAnsi="Verdana" w:cs="Arial"/>
          <w:bCs/>
          <w:i/>
          <w:iCs/>
          <w:color w:val="000000"/>
          <w:kern w:val="2"/>
          <w:sz w:val="20"/>
          <w:szCs w:val="20"/>
          <w:lang w:val="es-ES" w:eastAsia="es-ES_tradnl"/>
          <w14:ligatures w14:val="standardContextual"/>
        </w:rPr>
        <w:t>ítems</w:t>
      </w:r>
      <w:r w:rsidRPr="001278F6">
        <w:rPr>
          <w:rFonts w:ascii="Verdana" w:eastAsia="Calibri" w:hAnsi="Verdana" w:cs="Arial"/>
          <w:bCs/>
          <w:color w:val="000000"/>
          <w:kern w:val="2"/>
          <w:sz w:val="20"/>
          <w:szCs w:val="20"/>
          <w:lang w:val="es-ES" w:eastAsia="es-ES_tradnl"/>
          <w14:ligatures w14:val="standardContextual"/>
        </w:rPr>
        <w:t xml:space="preserve"> según su unidad de medida, los </w:t>
      </w:r>
      <w:r w:rsidRPr="001278F6">
        <w:rPr>
          <w:rFonts w:ascii="Verdana" w:eastAsia="Calibri" w:hAnsi="Verdana" w:cs="Arial"/>
          <w:bCs/>
          <w:i/>
          <w:iCs/>
          <w:color w:val="000000"/>
          <w:kern w:val="2"/>
          <w:sz w:val="20"/>
          <w:szCs w:val="20"/>
          <w:lang w:val="es-ES" w:eastAsia="es-ES_tradnl"/>
          <w14:ligatures w14:val="standardContextual"/>
        </w:rPr>
        <w:t>costos indirectos</w:t>
      </w:r>
      <w:r w:rsidRPr="001278F6">
        <w:rPr>
          <w:rFonts w:ascii="Verdana" w:eastAsia="Calibri" w:hAnsi="Verdana" w:cs="Arial"/>
          <w:bCs/>
          <w:color w:val="000000"/>
          <w:kern w:val="2"/>
          <w:sz w:val="20"/>
          <w:szCs w:val="20"/>
          <w:lang w:val="es-ES" w:eastAsia="es-ES_tradnl"/>
          <w14:ligatures w14:val="standardContextual"/>
        </w:rPr>
        <w:t xml:space="preserve"> se suelen abreviar en las variables que integran el acrónimo AIU –Administración, Imprevistos y Utilidad–</w:t>
      </w:r>
      <w:r w:rsidRPr="001278F6">
        <w:rPr>
          <w:rFonts w:ascii="Verdana" w:eastAsia="Calibri" w:hAnsi="Verdana" w:cs="Arial"/>
          <w:color w:val="000000"/>
          <w:kern w:val="2"/>
          <w:sz w:val="20"/>
          <w:szCs w:val="20"/>
          <w:lang w:val="es-ES_tradnl"/>
          <w14:ligatures w14:val="standardContextual"/>
        </w:rPr>
        <w:t>.</w:t>
      </w:r>
    </w:p>
    <w:p w14:paraId="69DC8D43" w14:textId="77777777" w:rsidR="001278F6" w:rsidRPr="001278F6" w:rsidRDefault="001278F6" w:rsidP="001278F6">
      <w:pPr>
        <w:spacing w:after="0" w:line="240" w:lineRule="auto"/>
        <w:rPr>
          <w:rFonts w:ascii="Verdana" w:eastAsia="Geomanist Light" w:hAnsi="Verdana" w:cs="Arial"/>
          <w:color w:val="000000"/>
          <w:kern w:val="2"/>
          <w:sz w:val="20"/>
          <w:szCs w:val="20"/>
          <w:lang w:val="es-ES_tradnl"/>
          <w14:ligatures w14:val="standardContextual"/>
        </w:rPr>
      </w:pPr>
    </w:p>
    <w:p w14:paraId="4D243F1F" w14:textId="77777777" w:rsidR="001278F6" w:rsidRPr="00E26069" w:rsidRDefault="001278F6" w:rsidP="001278F6">
      <w:pPr>
        <w:spacing w:after="0" w:line="240" w:lineRule="auto"/>
        <w:jc w:val="both"/>
        <w:rPr>
          <w:rFonts w:ascii="Verdana" w:eastAsia="Calibri" w:hAnsi="Verdana" w:cs="Arial"/>
          <w:b/>
          <w:kern w:val="2"/>
          <w:lang w:val="es-ES"/>
          <w14:ligatures w14:val="standardContextual"/>
        </w:rPr>
      </w:pPr>
      <w:r w:rsidRPr="00E26069">
        <w:rPr>
          <w:rFonts w:ascii="Verdana" w:eastAsia="Calibri" w:hAnsi="Verdana" w:cs="Arial"/>
          <w:b/>
          <w:kern w:val="2"/>
          <w:lang w:val="es-ES"/>
          <w14:ligatures w14:val="standardContextual"/>
        </w:rPr>
        <w:t>AIU – Costos indirectos – Finalidad – Ejecución del contrato</w:t>
      </w:r>
    </w:p>
    <w:p w14:paraId="029664CD" w14:textId="77777777" w:rsidR="001278F6" w:rsidRPr="001278F6" w:rsidRDefault="001278F6" w:rsidP="001278F6">
      <w:pPr>
        <w:spacing w:after="0" w:line="240" w:lineRule="auto"/>
        <w:jc w:val="both"/>
        <w:rPr>
          <w:rFonts w:ascii="Verdana" w:eastAsia="Calibri" w:hAnsi="Verdana" w:cs="Arial"/>
          <w:b/>
          <w:kern w:val="2"/>
          <w:sz w:val="20"/>
          <w:szCs w:val="20"/>
          <w:lang w:val="es-ES"/>
          <w14:ligatures w14:val="standardContextual"/>
        </w:rPr>
      </w:pPr>
    </w:p>
    <w:p w14:paraId="5EA5CC76" w14:textId="77777777" w:rsidR="001278F6" w:rsidRPr="001278F6" w:rsidRDefault="001278F6" w:rsidP="001278F6">
      <w:pPr>
        <w:spacing w:after="0" w:line="240" w:lineRule="auto"/>
        <w:jc w:val="both"/>
        <w:rPr>
          <w:rFonts w:ascii="Verdana" w:eastAsia="Calibri" w:hAnsi="Verdana" w:cs="Arial"/>
          <w:bCs/>
          <w:kern w:val="2"/>
          <w:sz w:val="20"/>
          <w:szCs w:val="20"/>
          <w:lang w:val="es-ES"/>
          <w14:ligatures w14:val="standardContextual"/>
        </w:rPr>
      </w:pPr>
      <w:r w:rsidRPr="001278F6">
        <w:rPr>
          <w:rFonts w:ascii="Verdana" w:eastAsia="Calibri" w:hAnsi="Verdana" w:cs="Arial"/>
          <w:bCs/>
          <w:kern w:val="2"/>
          <w:sz w:val="20"/>
          <w:szCs w:val="20"/>
          <w:lang w:val="es-ES"/>
          <w14:ligatures w14:val="standardContextual"/>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1278F6">
        <w:rPr>
          <w:rFonts w:ascii="Verdana" w:eastAsia="Calibri" w:hAnsi="Verdana" w:cs="Arial"/>
          <w:bCs/>
          <w:kern w:val="2"/>
          <w:sz w:val="20"/>
          <w:szCs w:val="20"/>
          <w:lang w:val="es-ES"/>
          <w14:ligatures w14:val="standardContextual"/>
        </w:rPr>
        <w:t>áleas</w:t>
      </w:r>
      <w:proofErr w:type="spellEnd"/>
      <w:r w:rsidRPr="001278F6">
        <w:rPr>
          <w:rFonts w:ascii="Verdana" w:eastAsia="Calibri" w:hAnsi="Verdana" w:cs="Arial"/>
          <w:bCs/>
          <w:kern w:val="2"/>
          <w:sz w:val="20"/>
          <w:szCs w:val="20"/>
          <w:lang w:val="es-ES"/>
          <w14:ligatures w14:val="standardContextual"/>
        </w:rPr>
        <w:t xml:space="preserve"> normales que se presenten en la ejecución del contrato, de manera que, aunque el contratista incurra en mayores costos de los ítems incluidos en la </w:t>
      </w:r>
      <w:r w:rsidRPr="001278F6">
        <w:rPr>
          <w:rFonts w:ascii="Verdana" w:eastAsia="Calibri" w:hAnsi="Verdana" w:cs="Arial"/>
          <w:bCs/>
          <w:i/>
          <w:iCs/>
          <w:kern w:val="2"/>
          <w:sz w:val="20"/>
          <w:szCs w:val="20"/>
          <w:lang w:val="es-ES"/>
          <w14:ligatures w14:val="standardContextual"/>
        </w:rPr>
        <w:t>Administración</w:t>
      </w:r>
      <w:r w:rsidRPr="001278F6">
        <w:rPr>
          <w:rFonts w:ascii="Verdana" w:eastAsia="Calibri" w:hAnsi="Verdana" w:cs="Arial"/>
          <w:bCs/>
          <w:kern w:val="2"/>
          <w:sz w:val="20"/>
          <w:szCs w:val="20"/>
          <w:lang w:val="es-ES"/>
          <w14:ligatures w14:val="standardContextual"/>
        </w:rPr>
        <w:t xml:space="preserve"> o en más gastos de </w:t>
      </w:r>
      <w:r w:rsidRPr="001278F6">
        <w:rPr>
          <w:rFonts w:ascii="Verdana" w:eastAsia="Calibri" w:hAnsi="Verdana" w:cs="Arial"/>
          <w:bCs/>
          <w:i/>
          <w:iCs/>
          <w:kern w:val="2"/>
          <w:sz w:val="20"/>
          <w:szCs w:val="20"/>
          <w:lang w:val="es-ES"/>
          <w14:ligatures w14:val="standardContextual"/>
        </w:rPr>
        <w:t>Imprevistos</w:t>
      </w:r>
      <w:r w:rsidRPr="001278F6">
        <w:rPr>
          <w:rFonts w:ascii="Verdana" w:eastAsia="Calibri" w:hAnsi="Verdana" w:cs="Arial"/>
          <w:bCs/>
          <w:kern w:val="2"/>
          <w:sz w:val="20"/>
          <w:szCs w:val="20"/>
          <w:lang w:val="es-ES"/>
          <w14:ligatures w14:val="standardContextual"/>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1278F6">
        <w:rPr>
          <w:rFonts w:ascii="Verdana" w:eastAsia="Calibri" w:hAnsi="Verdana" w:cs="Arial"/>
          <w:bCs/>
          <w:i/>
          <w:iCs/>
          <w:kern w:val="2"/>
          <w:sz w:val="20"/>
          <w:szCs w:val="20"/>
          <w:lang w:val="es-ES"/>
          <w14:ligatures w14:val="standardContextual"/>
        </w:rPr>
        <w:t xml:space="preserve">Administración </w:t>
      </w:r>
      <w:r w:rsidRPr="001278F6">
        <w:rPr>
          <w:rFonts w:ascii="Verdana" w:eastAsia="Calibri" w:hAnsi="Verdana" w:cs="Arial"/>
          <w:bCs/>
          <w:kern w:val="2"/>
          <w:sz w:val="20"/>
          <w:szCs w:val="20"/>
          <w:lang w:val="es-ES"/>
          <w14:ligatures w14:val="standardContextual"/>
        </w:rPr>
        <w:t>o lo</w:t>
      </w:r>
      <w:r w:rsidRPr="001278F6">
        <w:rPr>
          <w:rFonts w:ascii="Verdana" w:eastAsia="Calibri" w:hAnsi="Verdana" w:cs="Arial"/>
          <w:bCs/>
          <w:i/>
          <w:iCs/>
          <w:kern w:val="2"/>
          <w:sz w:val="20"/>
          <w:szCs w:val="20"/>
          <w:lang w:val="es-ES"/>
          <w14:ligatures w14:val="standardContextual"/>
        </w:rPr>
        <w:t>s Imprevistos</w:t>
      </w:r>
      <w:r w:rsidRPr="001278F6">
        <w:rPr>
          <w:rFonts w:ascii="Verdana" w:eastAsia="Calibri" w:hAnsi="Verdana" w:cs="Arial"/>
          <w:bCs/>
          <w:kern w:val="2"/>
          <w:sz w:val="20"/>
          <w:szCs w:val="20"/>
          <w:lang w:val="es-ES"/>
          <w14:ligatures w14:val="standardContextual"/>
        </w:rPr>
        <w:t>, lo que generaría más gastos tanto para la entidad como para el contratista</w:t>
      </w:r>
      <w:r w:rsidRPr="001278F6">
        <w:rPr>
          <w:rFonts w:ascii="Verdana" w:eastAsia="Calibri" w:hAnsi="Verdana" w:cs="Arial"/>
          <w:bCs/>
          <w:kern w:val="2"/>
          <w:sz w:val="20"/>
          <w:szCs w:val="20"/>
          <w14:ligatures w14:val="standardContextual"/>
        </w:rPr>
        <w:t>.</w:t>
      </w:r>
    </w:p>
    <w:p w14:paraId="19A1A95B" w14:textId="77777777" w:rsidR="001278F6" w:rsidRPr="001278F6" w:rsidRDefault="001278F6" w:rsidP="001278F6">
      <w:pPr>
        <w:spacing w:after="0" w:line="240" w:lineRule="auto"/>
        <w:rPr>
          <w:rFonts w:ascii="Verdana" w:eastAsia="Geomanist Light" w:hAnsi="Verdana" w:cs="Arial"/>
          <w:color w:val="000000"/>
          <w:kern w:val="2"/>
          <w:sz w:val="20"/>
          <w:szCs w:val="20"/>
          <w:lang w:val="es-ES_tradnl"/>
          <w14:ligatures w14:val="standardContextual"/>
        </w:rPr>
      </w:pPr>
    </w:p>
    <w:p w14:paraId="69EAD469" w14:textId="77777777" w:rsidR="001278F6" w:rsidRPr="00E26069" w:rsidRDefault="001278F6" w:rsidP="001278F6">
      <w:pPr>
        <w:tabs>
          <w:tab w:val="left" w:pos="426"/>
        </w:tabs>
        <w:spacing w:after="0" w:line="240" w:lineRule="auto"/>
        <w:jc w:val="both"/>
        <w:rPr>
          <w:rFonts w:ascii="Verdana" w:eastAsia="Aptos" w:hAnsi="Verdana" w:cs="Arial"/>
          <w:b/>
          <w:kern w:val="2"/>
          <w:lang w:eastAsia="es-CO"/>
          <w14:ligatures w14:val="standardContextual"/>
        </w:rPr>
      </w:pPr>
      <w:r w:rsidRPr="00E26069">
        <w:rPr>
          <w:rFonts w:ascii="Verdana" w:eastAsia="Aptos" w:hAnsi="Verdana" w:cs="Arial"/>
          <w:b/>
          <w:kern w:val="2"/>
          <w:lang w:eastAsia="es-CO"/>
          <w14:ligatures w14:val="standardContextual"/>
        </w:rPr>
        <w:t>AIU – Componentes – Discrecionalidad</w:t>
      </w:r>
    </w:p>
    <w:p w14:paraId="70E39D81" w14:textId="77777777" w:rsidR="001278F6" w:rsidRPr="001278F6" w:rsidRDefault="001278F6" w:rsidP="001278F6">
      <w:pPr>
        <w:tabs>
          <w:tab w:val="left" w:pos="426"/>
        </w:tabs>
        <w:spacing w:after="0" w:line="240" w:lineRule="auto"/>
        <w:jc w:val="both"/>
        <w:rPr>
          <w:rFonts w:ascii="Verdana" w:eastAsia="Aptos" w:hAnsi="Verdana" w:cs="Arial"/>
          <w:b/>
          <w:kern w:val="2"/>
          <w:sz w:val="20"/>
          <w:szCs w:val="20"/>
          <w:lang w:eastAsia="es-CO"/>
          <w14:ligatures w14:val="standardContextual"/>
        </w:rPr>
      </w:pPr>
    </w:p>
    <w:p w14:paraId="671E4423" w14:textId="77777777" w:rsidR="001278F6" w:rsidRPr="001278F6" w:rsidRDefault="001278F6" w:rsidP="001278F6">
      <w:pPr>
        <w:spacing w:after="0" w:line="240" w:lineRule="auto"/>
        <w:jc w:val="both"/>
        <w:rPr>
          <w:rFonts w:ascii="Verdana" w:eastAsia="Aptos" w:hAnsi="Verdana" w:cs="Arial"/>
          <w:bCs/>
          <w:kern w:val="2"/>
          <w:sz w:val="20"/>
          <w:szCs w:val="20"/>
          <w:lang w:val="es-ES" w:eastAsia="es-CO"/>
          <w14:ligatures w14:val="standardContextual"/>
        </w:rPr>
      </w:pPr>
      <w:r w:rsidRPr="001278F6">
        <w:rPr>
          <w:rFonts w:ascii="Verdana" w:eastAsia="Aptos" w:hAnsi="Verdana" w:cs="Arial"/>
          <w:bCs/>
          <w:kern w:val="2"/>
          <w:sz w:val="20"/>
          <w:szCs w:val="20"/>
          <w:lang w:val="es-ES" w:eastAsia="es-CO"/>
          <w14:ligatures w14:val="standardContextual"/>
        </w:rPr>
        <w:t>[…] 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0F28F0AC" w14:textId="77777777" w:rsidR="001278F6" w:rsidRPr="001278F6" w:rsidRDefault="001278F6" w:rsidP="001278F6">
      <w:pPr>
        <w:spacing w:after="0" w:line="240" w:lineRule="auto"/>
        <w:jc w:val="both"/>
        <w:rPr>
          <w:rFonts w:ascii="Verdana" w:eastAsia="Aptos" w:hAnsi="Verdana" w:cs="Arial"/>
          <w:bCs/>
          <w:kern w:val="2"/>
          <w:sz w:val="20"/>
          <w:szCs w:val="20"/>
          <w:lang w:val="es-ES" w:eastAsia="es-CO"/>
          <w14:ligatures w14:val="standardContextual"/>
        </w:rPr>
      </w:pPr>
    </w:p>
    <w:p w14:paraId="30A5B6ED" w14:textId="77777777" w:rsidR="001278F6" w:rsidRPr="001278F6" w:rsidRDefault="001278F6" w:rsidP="001278F6">
      <w:pPr>
        <w:spacing w:after="0" w:line="240" w:lineRule="auto"/>
        <w:jc w:val="both"/>
        <w:rPr>
          <w:rFonts w:ascii="Verdana" w:eastAsia="Aptos" w:hAnsi="Verdana" w:cs="Arial"/>
          <w:bCs/>
          <w:kern w:val="2"/>
          <w:sz w:val="20"/>
          <w:szCs w:val="20"/>
          <w:lang w:val="es-ES" w:eastAsia="es-CO"/>
          <w14:ligatures w14:val="standardContextual"/>
        </w:rPr>
      </w:pPr>
      <w:r w:rsidRPr="001278F6">
        <w:rPr>
          <w:rFonts w:ascii="Verdana" w:eastAsia="Aptos" w:hAnsi="Verdana" w:cs="Arial"/>
          <w:bCs/>
          <w:kern w:val="2"/>
          <w:sz w:val="20"/>
          <w:szCs w:val="20"/>
          <w:lang w:val="es-ES" w:eastAsia="es-CO"/>
          <w14:ligatures w14:val="standardContextual"/>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w:t>
      </w:r>
      <w:r w:rsidRPr="001278F6">
        <w:rPr>
          <w:rFonts w:ascii="Verdana" w:eastAsia="Aptos" w:hAnsi="Verdana" w:cs="Arial"/>
          <w:bCs/>
          <w:kern w:val="2"/>
          <w:sz w:val="20"/>
          <w:szCs w:val="20"/>
          <w:lang w:val="es-ES" w:eastAsia="es-CO"/>
          <w14:ligatures w14:val="standardContextual"/>
        </w:rPr>
        <w:lastRenderedPageBreak/>
        <w:t>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60675DAA" w14:textId="77777777" w:rsidR="001278F6" w:rsidRPr="001278F6" w:rsidRDefault="001278F6" w:rsidP="001278F6">
      <w:pPr>
        <w:widowControl w:val="0"/>
        <w:autoSpaceDE w:val="0"/>
        <w:autoSpaceDN w:val="0"/>
        <w:spacing w:after="0" w:line="276" w:lineRule="auto"/>
        <w:jc w:val="both"/>
        <w:rPr>
          <w:rFonts w:ascii="Verdana" w:eastAsia="Calibri" w:hAnsi="Verdana" w:cs="Arial"/>
          <w:iCs/>
          <w:color w:val="000000"/>
          <w:kern w:val="2"/>
          <w:sz w:val="24"/>
          <w:szCs w:val="24"/>
          <w:lang w:val="es-ES"/>
          <w14:ligatures w14:val="standardContextual"/>
        </w:rPr>
      </w:pPr>
    </w:p>
    <w:p w14:paraId="78812C1B" w14:textId="77777777" w:rsidR="001278F6" w:rsidRPr="00E26069" w:rsidRDefault="001278F6" w:rsidP="001278F6">
      <w:pPr>
        <w:widowControl w:val="0"/>
        <w:autoSpaceDE w:val="0"/>
        <w:autoSpaceDN w:val="0"/>
        <w:spacing w:after="0" w:line="240" w:lineRule="auto"/>
        <w:jc w:val="both"/>
        <w:rPr>
          <w:rFonts w:ascii="Verdana" w:eastAsia="Calibri" w:hAnsi="Verdana" w:cs="Arial"/>
          <w:b/>
          <w:color w:val="000000"/>
          <w:kern w:val="2"/>
          <w:lang w:val="es-ES"/>
          <w14:ligatures w14:val="standardContextual"/>
        </w:rPr>
      </w:pPr>
      <w:r w:rsidRPr="00E26069">
        <w:rPr>
          <w:rFonts w:ascii="Verdana" w:eastAsia="Calibri" w:hAnsi="Verdana" w:cs="Arial"/>
          <w:b/>
          <w:color w:val="000000"/>
          <w:kern w:val="2"/>
          <w:lang w:val="es-ES"/>
          <w14:ligatures w14:val="standardContextual"/>
        </w:rPr>
        <w:t xml:space="preserve">PRECIOS UNITARIOS – APU – Obras adicionales – ítems no previstos </w:t>
      </w:r>
    </w:p>
    <w:p w14:paraId="0E85F07D" w14:textId="77777777" w:rsidR="001278F6" w:rsidRPr="001278F6" w:rsidRDefault="001278F6" w:rsidP="001278F6">
      <w:pPr>
        <w:widowControl w:val="0"/>
        <w:autoSpaceDE w:val="0"/>
        <w:autoSpaceDN w:val="0"/>
        <w:spacing w:after="0" w:line="276" w:lineRule="auto"/>
        <w:jc w:val="both"/>
        <w:rPr>
          <w:rFonts w:ascii="Verdana" w:eastAsia="Calibri" w:hAnsi="Verdana" w:cs="Arial"/>
          <w:iCs/>
          <w:color w:val="000000"/>
          <w:kern w:val="2"/>
          <w:sz w:val="24"/>
          <w:szCs w:val="24"/>
          <w:lang w:val="es-ES"/>
          <w14:ligatures w14:val="standardContextual"/>
        </w:rPr>
      </w:pPr>
    </w:p>
    <w:p w14:paraId="43679572" w14:textId="77777777" w:rsidR="001278F6" w:rsidRPr="001278F6" w:rsidRDefault="001278F6" w:rsidP="001278F6">
      <w:pPr>
        <w:widowControl w:val="0"/>
        <w:autoSpaceDE w:val="0"/>
        <w:autoSpaceDN w:val="0"/>
        <w:spacing w:after="0" w:line="240" w:lineRule="auto"/>
        <w:jc w:val="both"/>
        <w:rPr>
          <w:rFonts w:ascii="Verdana" w:eastAsia="Calibri" w:hAnsi="Verdana" w:cs="Arial"/>
          <w:iCs/>
          <w:color w:val="000000"/>
          <w:kern w:val="2"/>
          <w:sz w:val="20"/>
          <w:szCs w:val="20"/>
          <w:lang w:val="es-ES"/>
          <w14:ligatures w14:val="standardContextual"/>
        </w:rPr>
      </w:pPr>
      <w:r w:rsidRPr="001278F6">
        <w:rPr>
          <w:rFonts w:ascii="Verdana" w:eastAsia="Calibri" w:hAnsi="Verdana" w:cs="Arial"/>
          <w:iCs/>
          <w:color w:val="000000"/>
          <w:sz w:val="20"/>
          <w:szCs w:val="20"/>
          <w:lang w:val="es-ES"/>
        </w:rPr>
        <w:t xml:space="preserve">La incorporación de obras adicionales o de ítems no contemplados en el contrato de obra implica la modificación del objeto contractual, lo que general para la Entidad la obligación de establecer precios unitarios correspondientes a dichos nuevos elementos. En estos casos, la Entidad contratante deberá definir tales precios con base en un análisis técnico-económico que refleje la estructura de costos vigentes, manteniendo la coherencia con los criterios aplicados en la contratación inicial. Para ello la administración cuenta con autonomía técnica y administrativa para fijar los precios unitarios, siempre que se respeten los principios de economía, transparencia y responsabilidad, sin que ello implique la imposición arbitraria de condiciones económicas ajenas a la realidad del mercado o a los costos razonables de la ejecución. </w:t>
      </w:r>
    </w:p>
    <w:p w14:paraId="77DD0C6E" w14:textId="77777777" w:rsidR="001278F6" w:rsidRPr="001278F6" w:rsidRDefault="001278F6" w:rsidP="001278F6">
      <w:pPr>
        <w:widowControl w:val="0"/>
        <w:autoSpaceDE w:val="0"/>
        <w:autoSpaceDN w:val="0"/>
        <w:spacing w:after="0" w:line="240" w:lineRule="auto"/>
        <w:jc w:val="both"/>
        <w:rPr>
          <w:rFonts w:ascii="Verdana" w:eastAsia="Calibri" w:hAnsi="Verdana" w:cs="Arial"/>
          <w:iCs/>
          <w:color w:val="000000"/>
          <w:sz w:val="20"/>
          <w:szCs w:val="20"/>
          <w:lang w:val="es-ES"/>
        </w:rPr>
      </w:pPr>
    </w:p>
    <w:p w14:paraId="7632C5E1" w14:textId="77777777" w:rsidR="001278F6" w:rsidRPr="001278F6" w:rsidRDefault="001278F6" w:rsidP="001278F6">
      <w:pPr>
        <w:widowControl w:val="0"/>
        <w:autoSpaceDE w:val="0"/>
        <w:autoSpaceDN w:val="0"/>
        <w:spacing w:after="0" w:line="240" w:lineRule="auto"/>
        <w:jc w:val="both"/>
        <w:rPr>
          <w:rFonts w:ascii="Verdana" w:eastAsia="Calibri" w:hAnsi="Verdana" w:cs="Arial"/>
          <w:iCs/>
          <w:color w:val="000000"/>
          <w:kern w:val="2"/>
          <w:sz w:val="20"/>
          <w:szCs w:val="20"/>
          <w:lang w:val="es-ES"/>
          <w14:ligatures w14:val="standardContextual"/>
        </w:rPr>
      </w:pPr>
      <w:r w:rsidRPr="001278F6">
        <w:rPr>
          <w:rFonts w:ascii="Verdana" w:eastAsia="Calibri" w:hAnsi="Verdana" w:cs="Arial"/>
          <w:iCs/>
          <w:color w:val="000000"/>
          <w:sz w:val="20"/>
          <w:szCs w:val="20"/>
          <w:lang w:val="es-ES"/>
        </w:rPr>
        <w:t xml:space="preserve">En este sentido, para la determinación de los precios unitarios correspondientes a obras adicionales o ítems no previstos, la Agencia Nacional de Contratación Pública – Colombia Compra Eficiente considera que, dado que este procedimiento no cuenta con una regulación normativa específica en materia contractual, el primer paso que debe seguir la Entidad consiste en remitirse al texto contractual. Ello con el fin de verificar si las partes establecieron un procedimiento aplicable para fijar el valor de actividades o ítems no contemplados inicialmente. Con base en esta revisión, se podrá elaborar el correspondiente análisis de precios unitarios y, proceder con la celebración de un contrato adicional o modificatorio </w:t>
      </w:r>
      <w:proofErr w:type="gramStart"/>
      <w:r w:rsidRPr="001278F6">
        <w:rPr>
          <w:rFonts w:ascii="Verdana" w:eastAsia="Calibri" w:hAnsi="Verdana" w:cs="Arial"/>
          <w:iCs/>
          <w:color w:val="000000"/>
          <w:sz w:val="20"/>
          <w:szCs w:val="20"/>
          <w:lang w:val="es-ES"/>
        </w:rPr>
        <w:t>del inicial</w:t>
      </w:r>
      <w:proofErr w:type="gramEnd"/>
      <w:r w:rsidRPr="001278F6">
        <w:rPr>
          <w:rFonts w:ascii="Verdana" w:eastAsia="Calibri" w:hAnsi="Verdana" w:cs="Arial"/>
          <w:iCs/>
          <w:color w:val="000000"/>
          <w:sz w:val="20"/>
          <w:szCs w:val="20"/>
          <w:lang w:val="es-ES"/>
        </w:rPr>
        <w:t xml:space="preserve">. </w:t>
      </w:r>
    </w:p>
    <w:p w14:paraId="14DE3490" w14:textId="77777777" w:rsidR="001278F6" w:rsidRPr="001278F6" w:rsidRDefault="001278F6" w:rsidP="001278F6">
      <w:pPr>
        <w:widowControl w:val="0"/>
        <w:autoSpaceDE w:val="0"/>
        <w:autoSpaceDN w:val="0"/>
        <w:spacing w:after="0" w:line="240" w:lineRule="auto"/>
        <w:jc w:val="both"/>
        <w:rPr>
          <w:rFonts w:ascii="Verdana" w:eastAsia="Calibri" w:hAnsi="Verdana" w:cs="Arial"/>
          <w:iCs/>
          <w:color w:val="000000"/>
          <w:sz w:val="20"/>
          <w:szCs w:val="20"/>
          <w:lang w:val="es-ES"/>
        </w:rPr>
      </w:pPr>
    </w:p>
    <w:p w14:paraId="2B933A7A" w14:textId="77777777" w:rsidR="001278F6" w:rsidRPr="001278F6" w:rsidRDefault="001278F6" w:rsidP="001278F6">
      <w:pPr>
        <w:widowControl w:val="0"/>
        <w:autoSpaceDE w:val="0"/>
        <w:autoSpaceDN w:val="0"/>
        <w:spacing w:after="0" w:line="240" w:lineRule="auto"/>
        <w:jc w:val="both"/>
        <w:rPr>
          <w:rFonts w:ascii="Verdana" w:eastAsia="Calibri" w:hAnsi="Verdana" w:cs="Arial"/>
          <w:iCs/>
          <w:color w:val="000000"/>
          <w:sz w:val="20"/>
          <w:szCs w:val="20"/>
          <w:lang w:val="es-ES"/>
        </w:rPr>
      </w:pPr>
      <w:r w:rsidRPr="001278F6">
        <w:rPr>
          <w:rFonts w:ascii="Verdana" w:eastAsia="Calibri" w:hAnsi="Verdana" w:cs="Arial"/>
          <w:iCs/>
          <w:color w:val="000000"/>
          <w:sz w:val="20"/>
          <w:szCs w:val="20"/>
          <w:lang w:val="es-ES"/>
        </w:rPr>
        <w:t>El procedimiento señalado, se ha establecido con base en la práctica contractual observada en algunas entidades del sector, funcionando como guía operativa para la inclusión y fijación de obras adicionales o ítems no previstos. Sin embargo, es importante aclarar que dicho procedimiento no constituye norma jurídica de carácter obligatorio, por lo que las partes contratantes conservan plena autonomía para acordar mecanismos distintos conforme a su voluntad, pudiendo adoptar procedimientos alternativos.</w:t>
      </w:r>
    </w:p>
    <w:p w14:paraId="4A371CB5" w14:textId="77777777" w:rsidR="001278F6" w:rsidRPr="001278F6" w:rsidRDefault="001278F6" w:rsidP="001278F6">
      <w:pPr>
        <w:widowControl w:val="0"/>
        <w:autoSpaceDE w:val="0"/>
        <w:autoSpaceDN w:val="0"/>
        <w:spacing w:after="0" w:line="240" w:lineRule="auto"/>
        <w:jc w:val="both"/>
        <w:rPr>
          <w:rFonts w:ascii="Verdana" w:eastAsia="Calibri" w:hAnsi="Verdana" w:cs="Arial"/>
          <w:iCs/>
          <w:color w:val="000000"/>
          <w:sz w:val="20"/>
          <w:szCs w:val="20"/>
          <w:lang w:val="es-ES"/>
        </w:rPr>
      </w:pPr>
    </w:p>
    <w:p w14:paraId="3F55230C" w14:textId="77777777" w:rsidR="001278F6" w:rsidRPr="001278F6" w:rsidRDefault="001278F6" w:rsidP="001278F6">
      <w:pPr>
        <w:widowControl w:val="0"/>
        <w:autoSpaceDE w:val="0"/>
        <w:autoSpaceDN w:val="0"/>
        <w:spacing w:after="0" w:line="240" w:lineRule="auto"/>
        <w:jc w:val="both"/>
        <w:rPr>
          <w:rFonts w:ascii="Verdana" w:eastAsia="Calibri" w:hAnsi="Verdana" w:cs="Arial"/>
          <w:iCs/>
          <w:color w:val="000000"/>
          <w:sz w:val="20"/>
          <w:szCs w:val="20"/>
          <w:lang w:val="es-ES"/>
        </w:rPr>
      </w:pPr>
    </w:p>
    <w:p w14:paraId="402E4E4A" w14:textId="77777777" w:rsidR="001278F6" w:rsidRDefault="001278F6" w:rsidP="001278F6">
      <w:pPr>
        <w:widowControl w:val="0"/>
        <w:autoSpaceDE w:val="0"/>
        <w:autoSpaceDN w:val="0"/>
        <w:spacing w:after="0" w:line="240" w:lineRule="auto"/>
        <w:jc w:val="both"/>
        <w:rPr>
          <w:rFonts w:ascii="Verdana" w:eastAsia="Calibri" w:hAnsi="Verdana" w:cs="Arial"/>
          <w:iCs/>
          <w:color w:val="000000"/>
          <w:kern w:val="2"/>
          <w:sz w:val="20"/>
          <w:szCs w:val="20"/>
          <w:lang w:val="es-ES"/>
          <w14:ligatures w14:val="standardContextual"/>
        </w:rPr>
      </w:pPr>
    </w:p>
    <w:p w14:paraId="2E2DAB33" w14:textId="77777777" w:rsidR="000B582D" w:rsidRDefault="000B582D" w:rsidP="001278F6">
      <w:pPr>
        <w:widowControl w:val="0"/>
        <w:autoSpaceDE w:val="0"/>
        <w:autoSpaceDN w:val="0"/>
        <w:spacing w:after="0" w:line="240" w:lineRule="auto"/>
        <w:jc w:val="both"/>
        <w:rPr>
          <w:rFonts w:ascii="Verdana" w:eastAsia="Calibri" w:hAnsi="Verdana" w:cs="Arial"/>
          <w:iCs/>
          <w:color w:val="000000"/>
          <w:kern w:val="2"/>
          <w:sz w:val="20"/>
          <w:szCs w:val="20"/>
          <w:lang w:val="es-ES"/>
          <w14:ligatures w14:val="standardContextual"/>
        </w:rPr>
      </w:pPr>
    </w:p>
    <w:p w14:paraId="0B1E6808" w14:textId="77777777" w:rsidR="000B582D" w:rsidRPr="001278F6" w:rsidRDefault="000B582D" w:rsidP="001278F6">
      <w:pPr>
        <w:widowControl w:val="0"/>
        <w:autoSpaceDE w:val="0"/>
        <w:autoSpaceDN w:val="0"/>
        <w:spacing w:after="0" w:line="240" w:lineRule="auto"/>
        <w:jc w:val="both"/>
        <w:rPr>
          <w:rFonts w:ascii="Verdana" w:eastAsia="Calibri" w:hAnsi="Verdana" w:cs="Arial"/>
          <w:iCs/>
          <w:color w:val="000000"/>
          <w:kern w:val="2"/>
          <w:sz w:val="20"/>
          <w:szCs w:val="20"/>
          <w:lang w:val="es-ES"/>
          <w14:ligatures w14:val="standardContextual"/>
        </w:rPr>
      </w:pPr>
    </w:p>
    <w:p w14:paraId="522D95E1" w14:textId="77777777" w:rsidR="00E26069" w:rsidRDefault="00E26069" w:rsidP="001278F6">
      <w:pPr>
        <w:spacing w:after="0" w:line="240" w:lineRule="auto"/>
        <w:rPr>
          <w:rFonts w:ascii="Verdana" w:eastAsia="Calibri" w:hAnsi="Verdana" w:cs="Vrinda"/>
        </w:rPr>
      </w:pPr>
    </w:p>
    <w:p w14:paraId="3AFD1958" w14:textId="77777777" w:rsidR="00E26069" w:rsidRDefault="00E26069" w:rsidP="001278F6">
      <w:pPr>
        <w:spacing w:after="0" w:line="240" w:lineRule="auto"/>
        <w:rPr>
          <w:rFonts w:ascii="Verdana" w:eastAsia="Calibri" w:hAnsi="Verdana" w:cs="Vrinda"/>
        </w:rPr>
      </w:pPr>
    </w:p>
    <w:p w14:paraId="5AB99E18" w14:textId="39DBA95D" w:rsidR="00FF76EF" w:rsidRDefault="001278F6" w:rsidP="001278F6">
      <w:pPr>
        <w:spacing w:after="0" w:line="240" w:lineRule="auto"/>
        <w:rPr>
          <w:rFonts w:ascii="Verdana" w:eastAsia="Calibri" w:hAnsi="Verdana" w:cs="Vrinda"/>
        </w:rPr>
      </w:pPr>
      <w:r w:rsidRPr="001278F6">
        <w:rPr>
          <w:rFonts w:ascii="Verdana" w:eastAsia="Calibri" w:hAnsi="Verdana" w:cs="Vrinda"/>
        </w:rPr>
        <w:lastRenderedPageBreak/>
        <w:t>Bogotá D.C.,</w:t>
      </w:r>
      <w:r w:rsidR="00FF76EF">
        <w:rPr>
          <w:rFonts w:ascii="Verdana" w:eastAsia="Calibri" w:hAnsi="Verdana" w:cs="Vrinda"/>
        </w:rPr>
        <w:t xml:space="preserve"> 27 </w:t>
      </w:r>
      <w:proofErr w:type="gramStart"/>
      <w:r w:rsidR="00FF76EF">
        <w:rPr>
          <w:rFonts w:ascii="Verdana" w:eastAsia="Calibri" w:hAnsi="Verdana" w:cs="Vrinda"/>
        </w:rPr>
        <w:t>Octubre</w:t>
      </w:r>
      <w:proofErr w:type="gramEnd"/>
      <w:r w:rsidR="00FF76EF">
        <w:rPr>
          <w:rFonts w:ascii="Verdana" w:eastAsia="Calibri" w:hAnsi="Verdana" w:cs="Vrinda"/>
        </w:rPr>
        <w:t xml:space="preserve"> 2025</w:t>
      </w:r>
    </w:p>
    <w:p w14:paraId="07F7BCCC" w14:textId="47ECBEA6" w:rsidR="00FF76EF" w:rsidRDefault="00FF76EF" w:rsidP="001278F6">
      <w:pPr>
        <w:spacing w:after="0" w:line="240" w:lineRule="auto"/>
        <w:rPr>
          <w:rFonts w:ascii="Verdana" w:eastAsia="Calibri" w:hAnsi="Verdana" w:cs="Vrinda"/>
        </w:rPr>
      </w:pPr>
    </w:p>
    <w:p w14:paraId="4B7E38EF" w14:textId="16493FC6" w:rsidR="001278F6" w:rsidRPr="001278F6" w:rsidRDefault="00E26069" w:rsidP="00841FFE">
      <w:pPr>
        <w:spacing w:after="0" w:line="240" w:lineRule="auto"/>
        <w:jc w:val="right"/>
        <w:rPr>
          <w:rFonts w:ascii="Verdana" w:eastAsia="Calibri" w:hAnsi="Verdana" w:cs="Vrinda"/>
        </w:rPr>
      </w:pPr>
      <w:r w:rsidRPr="00841FFE">
        <w:rPr>
          <w:rFonts w:ascii="Verdana" w:eastAsia="Calibri" w:hAnsi="Verdana" w:cs="Vrinda"/>
          <w:noProof/>
        </w:rPr>
        <w:drawing>
          <wp:anchor distT="0" distB="0" distL="114300" distR="114300" simplePos="0" relativeHeight="251657216" behindDoc="0" locked="0" layoutInCell="1" allowOverlap="1" wp14:anchorId="12406400" wp14:editId="2EEB87FC">
            <wp:simplePos x="0" y="0"/>
            <wp:positionH relativeFrom="margin">
              <wp:align>right</wp:align>
            </wp:positionH>
            <wp:positionV relativeFrom="paragraph">
              <wp:posOffset>8890</wp:posOffset>
            </wp:positionV>
            <wp:extent cx="2927350" cy="1009650"/>
            <wp:effectExtent l="0" t="0" r="6350" b="0"/>
            <wp:wrapSquare wrapText="bothSides"/>
            <wp:docPr id="17477377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37746" name=""/>
                    <pic:cNvPicPr/>
                  </pic:nvPicPr>
                  <pic:blipFill>
                    <a:blip r:embed="rId10">
                      <a:extLst>
                        <a:ext uri="{28A0092B-C50C-407E-A947-70E740481C1C}">
                          <a14:useLocalDpi xmlns:a14="http://schemas.microsoft.com/office/drawing/2010/main" val="0"/>
                        </a:ext>
                      </a:extLst>
                    </a:blip>
                    <a:stretch>
                      <a:fillRect/>
                    </a:stretch>
                  </pic:blipFill>
                  <pic:spPr>
                    <a:xfrm>
                      <a:off x="0" y="0"/>
                      <a:ext cx="2927350" cy="1009650"/>
                    </a:xfrm>
                    <a:prstGeom prst="rect">
                      <a:avLst/>
                    </a:prstGeom>
                  </pic:spPr>
                </pic:pic>
              </a:graphicData>
            </a:graphic>
            <wp14:sizeRelH relativeFrom="margin">
              <wp14:pctWidth>0</wp14:pctWidth>
            </wp14:sizeRelH>
            <wp14:sizeRelV relativeFrom="margin">
              <wp14:pctHeight>0</wp14:pctHeight>
            </wp14:sizeRelV>
          </wp:anchor>
        </w:drawing>
      </w:r>
      <w:r w:rsidR="001278F6" w:rsidRPr="001278F6">
        <w:rPr>
          <w:rFonts w:ascii="Verdana" w:eastAsia="Calibri" w:hAnsi="Verdana" w:cs="Vrinda"/>
        </w:rPr>
        <w:tab/>
      </w:r>
    </w:p>
    <w:p w14:paraId="445B10AD" w14:textId="77777777" w:rsidR="001278F6" w:rsidRPr="001278F6" w:rsidRDefault="001278F6" w:rsidP="001278F6">
      <w:pPr>
        <w:spacing w:after="0" w:line="240" w:lineRule="auto"/>
        <w:jc w:val="both"/>
        <w:rPr>
          <w:rFonts w:ascii="Verdana" w:eastAsia="Calibri" w:hAnsi="Verdana" w:cs="Arial"/>
          <w:color w:val="000000"/>
          <w:lang w:val="es-ES"/>
        </w:rPr>
      </w:pPr>
    </w:p>
    <w:p w14:paraId="749B8D3E" w14:textId="77777777" w:rsidR="001278F6" w:rsidRPr="001278F6" w:rsidRDefault="001278F6" w:rsidP="001278F6">
      <w:pPr>
        <w:spacing w:after="0" w:line="240" w:lineRule="auto"/>
        <w:jc w:val="both"/>
        <w:rPr>
          <w:rFonts w:ascii="Verdana" w:eastAsia="Calibri" w:hAnsi="Verdana" w:cs="Arial"/>
          <w:lang w:val="es-ES" w:eastAsia="es-ES"/>
        </w:rPr>
      </w:pPr>
      <w:r w:rsidRPr="001278F6">
        <w:rPr>
          <w:rFonts w:ascii="Verdana" w:eastAsia="Calibri" w:hAnsi="Verdana" w:cs="Arial"/>
          <w:lang w:val="es-ES" w:eastAsia="es-ES"/>
        </w:rPr>
        <w:t>Señor</w:t>
      </w:r>
    </w:p>
    <w:p w14:paraId="0E867FE8" w14:textId="77777777" w:rsidR="001278F6" w:rsidRPr="001278F6" w:rsidRDefault="001278F6" w:rsidP="001278F6">
      <w:pPr>
        <w:spacing w:after="0" w:line="240" w:lineRule="auto"/>
        <w:rPr>
          <w:rFonts w:ascii="Verdana" w:eastAsia="Calibri" w:hAnsi="Verdana" w:cs="Arial"/>
          <w:b/>
          <w:lang w:val="es-ES_tradnl" w:eastAsia="es-ES_tradnl"/>
        </w:rPr>
      </w:pPr>
      <w:r w:rsidRPr="001278F6">
        <w:rPr>
          <w:rFonts w:ascii="Verdana" w:eastAsia="Calibri" w:hAnsi="Verdana" w:cs="Arial"/>
          <w:b/>
          <w:lang w:val="es-ES_tradnl" w:eastAsia="es-ES_tradnl"/>
        </w:rPr>
        <w:t xml:space="preserve">Andrés Hernández </w:t>
      </w:r>
    </w:p>
    <w:p w14:paraId="58E5AED6" w14:textId="77777777" w:rsidR="001278F6" w:rsidRPr="001278F6" w:rsidRDefault="001278F6" w:rsidP="001278F6">
      <w:pPr>
        <w:spacing w:after="0" w:line="240" w:lineRule="auto"/>
        <w:rPr>
          <w:rFonts w:ascii="Verdana" w:eastAsia="Calibri" w:hAnsi="Verdana" w:cs="Arial"/>
          <w:lang w:val="es-ES" w:eastAsia="es-ES"/>
        </w:rPr>
      </w:pPr>
      <w:r w:rsidRPr="001278F6">
        <w:rPr>
          <w:rFonts w:ascii="Verdana" w:eastAsia="Calibri" w:hAnsi="Verdana" w:cs="Arial"/>
          <w:lang w:val="es-ES" w:eastAsia="es-ES"/>
        </w:rPr>
        <w:t xml:space="preserve">Ciudad </w:t>
      </w:r>
    </w:p>
    <w:p w14:paraId="7E71337C" w14:textId="77777777" w:rsidR="001278F6" w:rsidRPr="001278F6" w:rsidRDefault="001278F6" w:rsidP="001278F6">
      <w:pPr>
        <w:spacing w:after="0" w:line="240" w:lineRule="auto"/>
        <w:rPr>
          <w:rFonts w:ascii="Verdana" w:eastAsia="Calibri" w:hAnsi="Verdana" w:cs="Arial"/>
          <w:b/>
          <w:bCs/>
          <w:color w:val="000000"/>
          <w:lang w:val="es-ES_tradnl" w:eastAsia="es-ES_tradnl"/>
        </w:rPr>
      </w:pPr>
    </w:p>
    <w:p w14:paraId="57D123E4" w14:textId="77777777" w:rsidR="001278F6" w:rsidRPr="001278F6" w:rsidRDefault="001278F6" w:rsidP="001278F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278F6" w:rsidRPr="001278F6" w14:paraId="72C3276C" w14:textId="77777777" w:rsidTr="007169FD">
        <w:trPr>
          <w:trHeight w:val="884"/>
        </w:trPr>
        <w:tc>
          <w:tcPr>
            <w:tcW w:w="2689" w:type="dxa"/>
          </w:tcPr>
          <w:p w14:paraId="0D5AC7CF" w14:textId="77777777" w:rsidR="001278F6" w:rsidRPr="001278F6" w:rsidRDefault="001278F6" w:rsidP="001278F6">
            <w:pPr>
              <w:jc w:val="both"/>
              <w:rPr>
                <w:rFonts w:ascii="Verdana" w:eastAsia="Calibri" w:hAnsi="Verdana" w:cs="Arial"/>
                <w:b/>
                <w:bCs/>
                <w:color w:val="7030A0"/>
                <w:lang w:val="es-ES_tradnl" w:eastAsia="es-ES_tradnl"/>
              </w:rPr>
            </w:pPr>
          </w:p>
        </w:tc>
        <w:tc>
          <w:tcPr>
            <w:tcW w:w="6100" w:type="dxa"/>
          </w:tcPr>
          <w:p w14:paraId="6EB00BD7" w14:textId="77777777" w:rsidR="001278F6" w:rsidRPr="001278F6" w:rsidRDefault="001278F6" w:rsidP="001278F6">
            <w:pPr>
              <w:jc w:val="both"/>
              <w:rPr>
                <w:rFonts w:ascii="Verdana" w:eastAsia="Calibri" w:hAnsi="Verdana" w:cs="Arial"/>
                <w:b/>
                <w:bCs/>
                <w:color w:val="7030A0"/>
                <w:lang w:val="es-ES" w:eastAsia="es-ES"/>
              </w:rPr>
            </w:pPr>
            <w:r w:rsidRPr="001278F6">
              <w:rPr>
                <w:rFonts w:ascii="Verdana" w:eastAsia="Calibri" w:hAnsi="Verdana" w:cs="Arial"/>
                <w:b/>
                <w:bCs/>
                <w:lang w:val="es-ES" w:eastAsia="es-ES"/>
              </w:rPr>
              <w:t>Concepto C-1325 de 2025</w:t>
            </w:r>
          </w:p>
        </w:tc>
      </w:tr>
      <w:tr w:rsidR="001278F6" w:rsidRPr="001278F6" w14:paraId="4AB59F0F" w14:textId="77777777" w:rsidTr="007169FD">
        <w:trPr>
          <w:trHeight w:val="884"/>
        </w:trPr>
        <w:tc>
          <w:tcPr>
            <w:tcW w:w="2689" w:type="dxa"/>
          </w:tcPr>
          <w:p w14:paraId="43CC3EDD" w14:textId="77777777" w:rsidR="001278F6" w:rsidRPr="001278F6" w:rsidRDefault="001278F6" w:rsidP="001278F6">
            <w:pPr>
              <w:jc w:val="both"/>
              <w:rPr>
                <w:rFonts w:ascii="Verdana" w:eastAsia="Calibri" w:hAnsi="Verdana" w:cs="Arial"/>
                <w:color w:val="000000"/>
                <w:lang w:val="es-ES_tradnl" w:eastAsia="es-ES_tradnl"/>
              </w:rPr>
            </w:pPr>
            <w:r w:rsidRPr="001278F6">
              <w:rPr>
                <w:rFonts w:ascii="Verdana" w:eastAsia="Calibri" w:hAnsi="Verdana" w:cs="Arial"/>
                <w:b/>
                <w:color w:val="000000"/>
                <w:lang w:val="es-ES_tradnl" w:eastAsia="es-ES_tradnl"/>
              </w:rPr>
              <w:t>Temas:</w:t>
            </w:r>
            <w:r w:rsidRPr="001278F6">
              <w:rPr>
                <w:rFonts w:ascii="Verdana" w:eastAsia="Calibri" w:hAnsi="Verdana" w:cs="Arial"/>
                <w:color w:val="000000"/>
                <w:lang w:val="es-ES_tradnl" w:eastAsia="es-ES_tradnl"/>
              </w:rPr>
              <w:t xml:space="preserve">                   </w:t>
            </w:r>
          </w:p>
        </w:tc>
        <w:tc>
          <w:tcPr>
            <w:tcW w:w="6100" w:type="dxa"/>
          </w:tcPr>
          <w:p w14:paraId="0D947C08" w14:textId="77777777" w:rsidR="001278F6" w:rsidRPr="001278F6" w:rsidRDefault="001278F6" w:rsidP="001278F6">
            <w:pPr>
              <w:widowControl w:val="0"/>
              <w:autoSpaceDE w:val="0"/>
              <w:autoSpaceDN w:val="0"/>
              <w:jc w:val="both"/>
              <w:rPr>
                <w:rFonts w:ascii="Verdana" w:eastAsia="Arial" w:hAnsi="Verdana" w:cs="Arial"/>
                <w:bCs/>
                <w:lang w:val="es-ES_tradnl"/>
              </w:rPr>
            </w:pPr>
            <w:r w:rsidRPr="001278F6">
              <w:rPr>
                <w:rFonts w:ascii="Verdana" w:eastAsia="Calibri" w:hAnsi="Verdana" w:cs="Arial"/>
                <w:bCs/>
                <w:color w:val="000000"/>
                <w:lang w:val="es-ES"/>
              </w:rPr>
              <w:t xml:space="preserve">PRECIOS UNITARIOS – APU – AIU – Diferencias / </w:t>
            </w:r>
            <w:r w:rsidRPr="001278F6">
              <w:rPr>
                <w:rFonts w:ascii="Verdana" w:eastAsia="Calibri" w:hAnsi="Verdana" w:cs="Arial"/>
                <w:bCs/>
                <w:lang w:val="es-ES"/>
              </w:rPr>
              <w:t xml:space="preserve">AIU – Costos indirectos – Finalidad – Ejecución del contrato / </w:t>
            </w:r>
            <w:r w:rsidRPr="001278F6">
              <w:rPr>
                <w:rFonts w:ascii="Verdana" w:eastAsia="Aptos" w:hAnsi="Verdana" w:cs="Arial"/>
                <w:bCs/>
                <w:lang w:eastAsia="es-CO"/>
              </w:rPr>
              <w:t xml:space="preserve">AIU – Componentes – Discrecionalidad / </w:t>
            </w:r>
            <w:r w:rsidRPr="001278F6">
              <w:rPr>
                <w:rFonts w:ascii="Verdana" w:eastAsia="Calibri" w:hAnsi="Verdana" w:cs="Arial"/>
                <w:bCs/>
                <w:color w:val="000000"/>
                <w:lang w:val="es-ES"/>
              </w:rPr>
              <w:t>PRECIOS UNITARIOS – APU – Obras adicionales – ítems no previstos</w:t>
            </w:r>
          </w:p>
          <w:p w14:paraId="1466E6EC" w14:textId="77777777" w:rsidR="001278F6" w:rsidRPr="001278F6" w:rsidRDefault="001278F6" w:rsidP="001278F6">
            <w:pPr>
              <w:spacing w:line="276" w:lineRule="auto"/>
              <w:jc w:val="both"/>
              <w:rPr>
                <w:rFonts w:ascii="Verdana" w:eastAsia="Calibri" w:hAnsi="Verdana" w:cs="Arial"/>
                <w:lang w:val="es-ES" w:eastAsia="es-ES"/>
              </w:rPr>
            </w:pPr>
            <w:r w:rsidRPr="001278F6">
              <w:rPr>
                <w:rFonts w:ascii="Verdana" w:eastAsia="Calibri" w:hAnsi="Verdana" w:cs="Arial"/>
                <w:lang w:val="es-ES" w:eastAsia="es-ES"/>
              </w:rPr>
              <w:t xml:space="preserve">  </w:t>
            </w:r>
          </w:p>
        </w:tc>
      </w:tr>
      <w:tr w:rsidR="001278F6" w:rsidRPr="001278F6" w14:paraId="6B04E73F" w14:textId="77777777" w:rsidTr="007169FD">
        <w:tc>
          <w:tcPr>
            <w:tcW w:w="2689" w:type="dxa"/>
          </w:tcPr>
          <w:p w14:paraId="34A3EC8C" w14:textId="77777777" w:rsidR="001278F6" w:rsidRPr="001278F6" w:rsidRDefault="001278F6" w:rsidP="001278F6">
            <w:pPr>
              <w:jc w:val="both"/>
              <w:rPr>
                <w:rFonts w:ascii="Verdana" w:eastAsia="Calibri" w:hAnsi="Verdana" w:cs="Arial"/>
                <w:b/>
                <w:lang w:val="es-ES_tradnl" w:eastAsia="es-ES_tradnl"/>
              </w:rPr>
            </w:pPr>
            <w:r w:rsidRPr="001278F6">
              <w:rPr>
                <w:rFonts w:ascii="Verdana" w:eastAsia="Calibri" w:hAnsi="Verdana" w:cs="Arial"/>
                <w:b/>
                <w:lang w:val="es-ES_tradnl" w:eastAsia="es-ES_tradnl"/>
              </w:rPr>
              <w:t>Radicación:</w:t>
            </w:r>
            <w:r w:rsidRPr="001278F6">
              <w:rPr>
                <w:rFonts w:ascii="Verdana" w:eastAsia="Calibri" w:hAnsi="Verdana" w:cs="Arial"/>
                <w:lang w:val="es-ES_tradnl" w:eastAsia="es-ES_tradnl"/>
              </w:rPr>
              <w:t xml:space="preserve">               </w:t>
            </w:r>
          </w:p>
        </w:tc>
        <w:tc>
          <w:tcPr>
            <w:tcW w:w="6100" w:type="dxa"/>
          </w:tcPr>
          <w:p w14:paraId="0FB6987F" w14:textId="77777777" w:rsidR="001278F6" w:rsidRPr="001278F6" w:rsidRDefault="001278F6" w:rsidP="001278F6">
            <w:pPr>
              <w:spacing w:line="276" w:lineRule="auto"/>
              <w:jc w:val="both"/>
              <w:rPr>
                <w:rFonts w:ascii="Verdana" w:eastAsia="Calibri" w:hAnsi="Verdana" w:cs="Arial"/>
                <w:lang w:eastAsia="es-ES_tradnl"/>
              </w:rPr>
            </w:pPr>
            <w:r w:rsidRPr="001278F6">
              <w:rPr>
                <w:rFonts w:ascii="Verdana" w:eastAsia="Calibri" w:hAnsi="Verdana" w:cs="Arial"/>
                <w:lang w:val="es-ES_tradnl" w:eastAsia="es-ES_tradnl"/>
              </w:rPr>
              <w:t>Respuesta a la consulta con radicado No. 1_2025_09_17_010197</w:t>
            </w:r>
          </w:p>
        </w:tc>
      </w:tr>
    </w:tbl>
    <w:p w14:paraId="3628550C" w14:textId="77777777" w:rsidR="001278F6" w:rsidRPr="001278F6" w:rsidRDefault="001278F6" w:rsidP="001278F6">
      <w:pPr>
        <w:spacing w:after="0" w:line="240" w:lineRule="auto"/>
        <w:jc w:val="both"/>
        <w:rPr>
          <w:rFonts w:ascii="Verdana" w:eastAsia="Calibri" w:hAnsi="Verdana" w:cs="Arial"/>
          <w:color w:val="000000"/>
          <w:lang w:val="es-ES_tradnl" w:eastAsia="es-ES_tradnl"/>
        </w:rPr>
      </w:pPr>
    </w:p>
    <w:p w14:paraId="44537C42" w14:textId="77777777" w:rsidR="001278F6" w:rsidRPr="001278F6" w:rsidRDefault="001278F6" w:rsidP="001278F6">
      <w:pPr>
        <w:spacing w:after="0" w:line="276" w:lineRule="auto"/>
        <w:jc w:val="both"/>
        <w:rPr>
          <w:rFonts w:ascii="Verdana" w:eastAsia="Calibri" w:hAnsi="Verdana" w:cs="Arial"/>
          <w:lang w:val="es-ES" w:eastAsia="es-ES"/>
        </w:rPr>
      </w:pPr>
      <w:r w:rsidRPr="001278F6">
        <w:rPr>
          <w:rFonts w:ascii="Verdana" w:eastAsia="Calibri" w:hAnsi="Verdana" w:cs="Arial"/>
          <w:lang w:val="es-ES" w:eastAsia="es-ES"/>
        </w:rPr>
        <w:t xml:space="preserve">Estimado señor </w:t>
      </w:r>
      <w:r w:rsidRPr="001278F6">
        <w:rPr>
          <w:rFonts w:ascii="Verdana" w:eastAsia="Calibri" w:hAnsi="Verdana" w:cs="Arial"/>
          <w:bCs/>
          <w:lang w:val="es-ES_tradnl" w:eastAsia="es-ES_tradnl"/>
        </w:rPr>
        <w:t>Hernández</w:t>
      </w:r>
      <w:r w:rsidRPr="001278F6">
        <w:rPr>
          <w:rFonts w:ascii="Verdana" w:eastAsia="Calibri" w:hAnsi="Verdana" w:cs="Arial"/>
          <w:bCs/>
          <w:lang w:val="es-ES" w:eastAsia="es-ES"/>
        </w:rPr>
        <w:t>:</w:t>
      </w:r>
      <w:r w:rsidRPr="001278F6">
        <w:rPr>
          <w:rFonts w:ascii="Verdana" w:eastAsia="Calibri" w:hAnsi="Verdana" w:cs="Arial"/>
          <w:lang w:val="es-ES" w:eastAsia="es-ES"/>
        </w:rPr>
        <w:t xml:space="preserve"> </w:t>
      </w:r>
    </w:p>
    <w:p w14:paraId="51D2D414" w14:textId="77777777" w:rsidR="001278F6" w:rsidRPr="001278F6" w:rsidRDefault="001278F6" w:rsidP="001278F6">
      <w:pPr>
        <w:tabs>
          <w:tab w:val="left" w:pos="3768"/>
        </w:tabs>
        <w:spacing w:after="0" w:line="276" w:lineRule="auto"/>
        <w:jc w:val="both"/>
        <w:rPr>
          <w:rFonts w:ascii="Verdana" w:eastAsia="Calibri" w:hAnsi="Verdana" w:cs="Arial"/>
          <w:color w:val="000000"/>
          <w:lang w:val="es-ES" w:eastAsia="es-ES"/>
        </w:rPr>
      </w:pPr>
      <w:r w:rsidRPr="001278F6">
        <w:rPr>
          <w:rFonts w:ascii="Verdana" w:eastAsia="Calibri" w:hAnsi="Verdana" w:cs="Arial"/>
          <w:color w:val="000000"/>
          <w:lang w:val="es-ES" w:eastAsia="es-ES"/>
        </w:rPr>
        <w:tab/>
      </w:r>
    </w:p>
    <w:p w14:paraId="201EF6E2" w14:textId="77777777" w:rsidR="001278F6" w:rsidRPr="001278F6" w:rsidRDefault="001278F6" w:rsidP="001278F6">
      <w:pPr>
        <w:spacing w:after="0" w:line="276" w:lineRule="auto"/>
        <w:jc w:val="both"/>
        <w:rPr>
          <w:rFonts w:ascii="Verdana" w:eastAsia="Calibri" w:hAnsi="Verdana" w:cs="Arial"/>
          <w:color w:val="7030A0"/>
          <w:lang w:val="es-ES" w:eastAsia="es-ES"/>
        </w:rPr>
      </w:pPr>
      <w:r w:rsidRPr="001278F6">
        <w:rPr>
          <w:rFonts w:ascii="Verdana" w:eastAsia="Calibri" w:hAnsi="Verdana" w:cs="Arial"/>
          <w:color w:val="000000"/>
          <w:lang w:val="es-ES" w:eastAsia="es-ES"/>
        </w:rPr>
        <w:t>En ejercicio de la competencia otorgada por los artículos 3, numeral 5º, y 11, numeral 8º, del Decreto Ley 4170 de 2011,</w:t>
      </w:r>
      <w:r w:rsidRPr="001278F6">
        <w:rPr>
          <w:rFonts w:ascii="Verdana" w:eastAsia="Arial MT" w:hAnsi="Verdana" w:cs="Arial MT"/>
          <w:lang w:val="es-ES" w:eastAsia="es-ES"/>
        </w:rPr>
        <w:t xml:space="preserve"> </w:t>
      </w:r>
      <w:r w:rsidRPr="001278F6">
        <w:rPr>
          <w:rFonts w:ascii="Verdana" w:eastAsia="Calibri" w:hAnsi="Verdana" w:cs="Arial"/>
        </w:rPr>
        <w:t xml:space="preserve">así como lo establecido en el artículo 4 de la Resolución 1707 de 2018 expedida por esta Entidad, </w:t>
      </w:r>
      <w:r w:rsidRPr="001278F6">
        <w:rPr>
          <w:rFonts w:ascii="Verdana" w:eastAsia="Calibri" w:hAnsi="Verdana" w:cs="Arial"/>
          <w:color w:val="000000"/>
          <w:lang w:val="es-ES" w:eastAsia="es-ES"/>
        </w:rPr>
        <w:t xml:space="preserve">la Agencia Nacional de Contratación Pública – Colombia Compra Eficiente responde su solicitud de consulta de </w:t>
      </w:r>
      <w:r w:rsidRPr="001278F6">
        <w:rPr>
          <w:rFonts w:ascii="Verdana" w:eastAsia="Calibri" w:hAnsi="Verdana" w:cs="Arial"/>
          <w:lang w:val="es-ES" w:eastAsia="es-ES"/>
        </w:rPr>
        <w:t xml:space="preserve">fecha 17 de septiembre de 2025, en la cual manifiesta lo siguiente: </w:t>
      </w:r>
    </w:p>
    <w:p w14:paraId="5EF1F9FE" w14:textId="77777777" w:rsidR="001278F6" w:rsidRPr="001278F6" w:rsidRDefault="001278F6" w:rsidP="001278F6">
      <w:pPr>
        <w:tabs>
          <w:tab w:val="left" w:pos="142"/>
          <w:tab w:val="left" w:pos="284"/>
        </w:tabs>
        <w:spacing w:after="0" w:line="276" w:lineRule="auto"/>
        <w:contextualSpacing/>
        <w:jc w:val="both"/>
        <w:rPr>
          <w:rFonts w:ascii="Verdana" w:eastAsia="Century Gothic" w:hAnsi="Verdana" w:cs="Century Gothic"/>
          <w:b/>
          <w:bCs/>
          <w:lang w:val="es-ES"/>
        </w:rPr>
      </w:pPr>
    </w:p>
    <w:p w14:paraId="04106077" w14:textId="77777777" w:rsidR="001278F6" w:rsidRPr="001278F6" w:rsidRDefault="001278F6" w:rsidP="001278F6">
      <w:pPr>
        <w:spacing w:after="120" w:line="240" w:lineRule="auto"/>
        <w:ind w:left="709" w:right="709"/>
        <w:jc w:val="both"/>
        <w:rPr>
          <w:rFonts w:ascii="Arial" w:eastAsia="Aptos" w:hAnsi="Arial" w:cs="Arial"/>
          <w:kern w:val="2"/>
          <w:sz w:val="21"/>
          <w:szCs w:val="21"/>
          <w14:ligatures w14:val="standardContextual"/>
        </w:rPr>
      </w:pPr>
      <w:bookmarkStart w:id="0" w:name="_Hlk95313578"/>
      <w:r w:rsidRPr="001278F6">
        <w:rPr>
          <w:rFonts w:ascii="Arial" w:eastAsia="Century Gothic" w:hAnsi="Arial" w:cs="Arial"/>
          <w:sz w:val="21"/>
          <w:szCs w:val="21"/>
          <w:lang w:val="es-ES"/>
        </w:rPr>
        <w:t>“</w:t>
      </w:r>
      <w:bookmarkEnd w:id="0"/>
      <w:r w:rsidRPr="001278F6">
        <w:rPr>
          <w:rFonts w:ascii="Arial" w:eastAsia="Aptos" w:hAnsi="Arial" w:cs="Arial"/>
          <w:kern w:val="2"/>
          <w:sz w:val="21"/>
          <w:szCs w:val="21"/>
          <w14:ligatures w14:val="standardContextual"/>
        </w:rPr>
        <w:t xml:space="preserve">En cuanto a la </w:t>
      </w:r>
      <w:proofErr w:type="spellStart"/>
      <w:r w:rsidRPr="001278F6">
        <w:rPr>
          <w:rFonts w:ascii="Arial" w:eastAsia="Aptos" w:hAnsi="Arial" w:cs="Arial"/>
          <w:kern w:val="2"/>
          <w:sz w:val="21"/>
          <w:szCs w:val="21"/>
          <w14:ligatures w14:val="standardContextual"/>
        </w:rPr>
        <w:t>inlcusión</w:t>
      </w:r>
      <w:proofErr w:type="spellEnd"/>
      <w:r w:rsidRPr="001278F6">
        <w:rPr>
          <w:rFonts w:ascii="Arial" w:eastAsia="Aptos" w:hAnsi="Arial" w:cs="Arial"/>
          <w:kern w:val="2"/>
          <w:sz w:val="21"/>
          <w:szCs w:val="21"/>
          <w14:ligatures w14:val="standardContextual"/>
        </w:rPr>
        <w:t xml:space="preserve"> de ítems no previstos en la </w:t>
      </w:r>
      <w:proofErr w:type="spellStart"/>
      <w:r w:rsidRPr="001278F6">
        <w:rPr>
          <w:rFonts w:ascii="Arial" w:eastAsia="Aptos" w:hAnsi="Arial" w:cs="Arial"/>
          <w:kern w:val="2"/>
          <w:sz w:val="21"/>
          <w:szCs w:val="21"/>
          <w14:ligatures w14:val="standardContextual"/>
        </w:rPr>
        <w:t>ejecucion</w:t>
      </w:r>
      <w:proofErr w:type="spellEnd"/>
      <w:r w:rsidRPr="001278F6">
        <w:rPr>
          <w:rFonts w:ascii="Arial" w:eastAsia="Aptos" w:hAnsi="Arial" w:cs="Arial"/>
          <w:kern w:val="2"/>
          <w:sz w:val="21"/>
          <w:szCs w:val="21"/>
          <w14:ligatures w14:val="standardContextual"/>
        </w:rPr>
        <w:t xml:space="preserve"> de una obra pública, surgen los siguientes cuestionamientos: </w:t>
      </w:r>
    </w:p>
    <w:p w14:paraId="03516AE2" w14:textId="77777777" w:rsidR="001278F6" w:rsidRPr="001278F6" w:rsidRDefault="001278F6" w:rsidP="001278F6">
      <w:pPr>
        <w:spacing w:after="120" w:line="240" w:lineRule="auto"/>
        <w:ind w:left="709" w:right="709"/>
        <w:jc w:val="both"/>
        <w:rPr>
          <w:rFonts w:ascii="Arial" w:eastAsia="Aptos" w:hAnsi="Arial" w:cs="Arial"/>
          <w:kern w:val="2"/>
          <w:sz w:val="21"/>
          <w:szCs w:val="21"/>
          <w14:ligatures w14:val="standardContextual"/>
        </w:rPr>
      </w:pPr>
      <w:r w:rsidRPr="001278F6">
        <w:rPr>
          <w:rFonts w:ascii="Arial" w:eastAsia="Aptos" w:hAnsi="Arial" w:cs="Arial"/>
          <w:kern w:val="2"/>
          <w:sz w:val="21"/>
          <w:szCs w:val="21"/>
          <w14:ligatures w14:val="standardContextual"/>
        </w:rPr>
        <w:t xml:space="preserve">Existe la necesidad de aportar las cotizaciones de los insumos que componen los ítems a agregar adicionales a los </w:t>
      </w:r>
      <w:proofErr w:type="spellStart"/>
      <w:r w:rsidRPr="001278F6">
        <w:rPr>
          <w:rFonts w:ascii="Arial" w:eastAsia="Aptos" w:hAnsi="Arial" w:cs="Arial"/>
          <w:kern w:val="2"/>
          <w:sz w:val="21"/>
          <w:szCs w:val="21"/>
          <w14:ligatures w14:val="standardContextual"/>
        </w:rPr>
        <w:t>APUs</w:t>
      </w:r>
      <w:proofErr w:type="spellEnd"/>
      <w:r w:rsidRPr="001278F6">
        <w:rPr>
          <w:rFonts w:ascii="Arial" w:eastAsia="Aptos" w:hAnsi="Arial" w:cs="Arial"/>
          <w:kern w:val="2"/>
          <w:sz w:val="21"/>
          <w:szCs w:val="21"/>
          <w14:ligatures w14:val="standardContextual"/>
        </w:rPr>
        <w:t xml:space="preserve"> o es suficiente con la presentación de los análisis de precios unitarios? </w:t>
      </w:r>
    </w:p>
    <w:p w14:paraId="657E15AC" w14:textId="77777777" w:rsidR="001278F6" w:rsidRPr="001278F6" w:rsidRDefault="001278F6" w:rsidP="001278F6">
      <w:pPr>
        <w:spacing w:after="120" w:line="240" w:lineRule="auto"/>
        <w:ind w:left="709" w:right="709"/>
        <w:jc w:val="both"/>
        <w:rPr>
          <w:rFonts w:ascii="Arial" w:eastAsia="Aptos" w:hAnsi="Arial" w:cs="Arial"/>
          <w:kern w:val="2"/>
          <w:sz w:val="21"/>
          <w:szCs w:val="21"/>
          <w14:ligatures w14:val="standardContextual"/>
        </w:rPr>
      </w:pPr>
      <w:r w:rsidRPr="001278F6">
        <w:rPr>
          <w:rFonts w:ascii="Arial" w:eastAsia="Aptos" w:hAnsi="Arial" w:cs="Arial"/>
          <w:kern w:val="2"/>
          <w:sz w:val="21"/>
          <w:szCs w:val="21"/>
          <w14:ligatures w14:val="standardContextual"/>
        </w:rPr>
        <w:t xml:space="preserve">En caso de requerirse cotizaciones, en que se diferencia con respecto a la formulación del proyecto inicial? Si en esta etapa no se requieren las cotizaciones, pues la entidad dispone de estudios de mercado con los que elabora sus presupuestos, no podría </w:t>
      </w:r>
      <w:proofErr w:type="spellStart"/>
      <w:r w:rsidRPr="001278F6">
        <w:rPr>
          <w:rFonts w:ascii="Arial" w:eastAsia="Aptos" w:hAnsi="Arial" w:cs="Arial"/>
          <w:kern w:val="2"/>
          <w:sz w:val="21"/>
          <w:szCs w:val="21"/>
          <w14:ligatures w14:val="standardContextual"/>
        </w:rPr>
        <w:t>verficar</w:t>
      </w:r>
      <w:proofErr w:type="spellEnd"/>
      <w:r w:rsidRPr="001278F6">
        <w:rPr>
          <w:rFonts w:ascii="Arial" w:eastAsia="Aptos" w:hAnsi="Arial" w:cs="Arial"/>
          <w:kern w:val="2"/>
          <w:sz w:val="21"/>
          <w:szCs w:val="21"/>
          <w14:ligatures w14:val="standardContextual"/>
        </w:rPr>
        <w:t xml:space="preserve"> los valores de los ítems no previstos con su estudio de mercado? </w:t>
      </w:r>
    </w:p>
    <w:p w14:paraId="311262D2" w14:textId="77777777" w:rsidR="001278F6" w:rsidRPr="001278F6" w:rsidRDefault="001278F6" w:rsidP="001278F6">
      <w:pPr>
        <w:spacing w:after="0" w:line="240" w:lineRule="auto"/>
        <w:ind w:left="709" w:right="709"/>
        <w:jc w:val="both"/>
        <w:rPr>
          <w:rFonts w:ascii="Arial" w:eastAsia="Century Gothic" w:hAnsi="Arial" w:cs="Arial"/>
          <w:sz w:val="21"/>
          <w:szCs w:val="21"/>
        </w:rPr>
      </w:pPr>
      <w:r w:rsidRPr="001278F6">
        <w:rPr>
          <w:rFonts w:ascii="Arial" w:eastAsia="Aptos" w:hAnsi="Arial" w:cs="Arial"/>
          <w:kern w:val="2"/>
          <w:sz w:val="21"/>
          <w:szCs w:val="21"/>
          <w14:ligatures w14:val="standardContextual"/>
        </w:rPr>
        <w:t xml:space="preserve">En que radica la diferencia entre las creación de los </w:t>
      </w:r>
      <w:proofErr w:type="spellStart"/>
      <w:r w:rsidRPr="001278F6">
        <w:rPr>
          <w:rFonts w:ascii="Arial" w:eastAsia="Aptos" w:hAnsi="Arial" w:cs="Arial"/>
          <w:kern w:val="2"/>
          <w:sz w:val="21"/>
          <w:szCs w:val="21"/>
          <w14:ligatures w14:val="standardContextual"/>
        </w:rPr>
        <w:t>APUs</w:t>
      </w:r>
      <w:proofErr w:type="spellEnd"/>
      <w:r w:rsidRPr="001278F6">
        <w:rPr>
          <w:rFonts w:ascii="Arial" w:eastAsia="Aptos" w:hAnsi="Arial" w:cs="Arial"/>
          <w:kern w:val="2"/>
          <w:sz w:val="21"/>
          <w:szCs w:val="21"/>
          <w14:ligatures w14:val="standardContextual"/>
        </w:rPr>
        <w:t xml:space="preserve"> al formular el proyecto y al crear ítems no previsto</w:t>
      </w:r>
      <w:r w:rsidRPr="001278F6">
        <w:rPr>
          <w:rFonts w:ascii="Arial" w:eastAsia="Century Gothic" w:hAnsi="Arial" w:cs="Arial"/>
          <w:sz w:val="21"/>
          <w:szCs w:val="21"/>
        </w:rPr>
        <w:t>?</w:t>
      </w:r>
      <w:r w:rsidRPr="001278F6">
        <w:rPr>
          <w:rFonts w:ascii="Arial" w:eastAsia="Century Gothic" w:hAnsi="Arial" w:cs="Arial"/>
          <w:sz w:val="21"/>
          <w:szCs w:val="21"/>
          <w:lang w:val="es-ES"/>
        </w:rPr>
        <w:t xml:space="preserve">” (sic). </w:t>
      </w:r>
    </w:p>
    <w:p w14:paraId="2965DC05" w14:textId="77777777" w:rsidR="001278F6" w:rsidRPr="001278F6" w:rsidRDefault="001278F6" w:rsidP="001278F6">
      <w:pPr>
        <w:tabs>
          <w:tab w:val="left" w:pos="142"/>
          <w:tab w:val="left" w:pos="284"/>
        </w:tabs>
        <w:spacing w:after="0" w:line="276" w:lineRule="auto"/>
        <w:contextualSpacing/>
        <w:jc w:val="both"/>
        <w:rPr>
          <w:rFonts w:ascii="Verdana" w:eastAsia="Century Gothic" w:hAnsi="Verdana" w:cs="Century Gothic"/>
          <w:b/>
          <w:bCs/>
          <w:lang w:val="es-ES"/>
        </w:rPr>
      </w:pPr>
    </w:p>
    <w:p w14:paraId="43B67B77" w14:textId="77777777" w:rsidR="001278F6" w:rsidRPr="001278F6" w:rsidRDefault="001278F6" w:rsidP="001278F6">
      <w:pPr>
        <w:spacing w:after="120" w:line="276" w:lineRule="auto"/>
        <w:ind w:firstLine="709"/>
        <w:jc w:val="both"/>
        <w:rPr>
          <w:rFonts w:ascii="Verdana" w:eastAsia="Calibri" w:hAnsi="Verdana" w:cs="Arial"/>
          <w:color w:val="000000"/>
          <w:lang w:val="es-ES" w:eastAsia="es-ES"/>
        </w:rPr>
      </w:pPr>
      <w:r w:rsidRPr="001278F6">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278F6">
        <w:rPr>
          <w:rFonts w:ascii="Verdana" w:eastAsia="Calibri" w:hAnsi="Verdana" w:cs="Arial"/>
          <w:color w:val="000000"/>
          <w:szCs w:val="24"/>
          <w:lang w:val="es-ES_tradnl" w:eastAsia="es-ES_tradnl"/>
        </w:rPr>
        <w:tab/>
      </w:r>
    </w:p>
    <w:p w14:paraId="4AAB614B" w14:textId="77777777" w:rsidR="001278F6" w:rsidRPr="001278F6" w:rsidRDefault="001278F6" w:rsidP="001278F6">
      <w:pPr>
        <w:spacing w:after="0" w:line="276" w:lineRule="auto"/>
        <w:ind w:firstLine="709"/>
        <w:jc w:val="both"/>
        <w:rPr>
          <w:rFonts w:ascii="Verdana" w:eastAsia="Calibri" w:hAnsi="Verdana" w:cs="Arial"/>
          <w:color w:val="000000"/>
          <w:lang w:val="es-ES" w:eastAsia="es-ES"/>
        </w:rPr>
      </w:pPr>
      <w:r w:rsidRPr="001278F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278F6">
        <w:rPr>
          <w:rFonts w:ascii="Verdana" w:eastAsia="Calibri" w:hAnsi="Verdana" w:cs="Arial"/>
          <w:color w:val="7030A0"/>
          <w:lang w:val="es-ES" w:eastAsia="es-ES"/>
        </w:rPr>
        <w:t xml:space="preserve"> </w:t>
      </w:r>
      <w:r w:rsidRPr="001278F6">
        <w:rPr>
          <w:rFonts w:ascii="Verdana" w:eastAsia="Calibri" w:hAnsi="Verdana" w:cs="Arial"/>
          <w:color w:val="000000"/>
          <w:lang w:val="es-ES" w:eastAsia="es-ES"/>
        </w:rPr>
        <w:t>problema</w:t>
      </w:r>
      <w:r w:rsidRPr="001278F6">
        <w:rPr>
          <w:rFonts w:ascii="Verdana" w:eastAsia="Calibri" w:hAnsi="Verdana" w:cs="Arial"/>
          <w:color w:val="7030A0"/>
          <w:lang w:val="es-ES" w:eastAsia="es-ES"/>
        </w:rPr>
        <w:t xml:space="preserve"> </w:t>
      </w:r>
      <w:r w:rsidRPr="001278F6">
        <w:rPr>
          <w:rFonts w:ascii="Verdana" w:eastAsia="Calibri" w:hAnsi="Verdana" w:cs="Arial"/>
          <w:color w:val="000000"/>
          <w:lang w:val="es-ES" w:eastAsia="es-ES"/>
        </w:rPr>
        <w:t>jurídico</w:t>
      </w:r>
      <w:r w:rsidRPr="001278F6">
        <w:rPr>
          <w:rFonts w:ascii="Verdana" w:eastAsia="Calibri" w:hAnsi="Verdana" w:cs="Arial"/>
          <w:color w:val="7030A0"/>
          <w:lang w:val="es-ES" w:eastAsia="es-ES"/>
        </w:rPr>
        <w:t xml:space="preserve"> </w:t>
      </w:r>
      <w:r w:rsidRPr="001278F6">
        <w:rPr>
          <w:rFonts w:ascii="Verdana" w:eastAsia="Calibri" w:hAnsi="Verdana" w:cs="Arial"/>
          <w:color w:val="000000"/>
          <w:lang w:val="es-ES" w:eastAsia="es-ES"/>
        </w:rPr>
        <w:t xml:space="preserve">de su consulta. </w:t>
      </w:r>
    </w:p>
    <w:p w14:paraId="2BC044A7" w14:textId="77777777" w:rsidR="001278F6" w:rsidRPr="001278F6" w:rsidRDefault="001278F6" w:rsidP="001278F6">
      <w:pPr>
        <w:spacing w:after="0" w:line="276" w:lineRule="auto"/>
        <w:ind w:firstLine="709"/>
        <w:jc w:val="both"/>
        <w:rPr>
          <w:rFonts w:ascii="Verdana" w:eastAsia="Calibri" w:hAnsi="Verdana" w:cs="Arial"/>
          <w:color w:val="000000"/>
          <w:lang w:val="es-ES" w:eastAsia="es-ES"/>
        </w:rPr>
      </w:pPr>
    </w:p>
    <w:p w14:paraId="0A167C4F" w14:textId="77777777" w:rsidR="001278F6" w:rsidRPr="001278F6" w:rsidRDefault="001278F6" w:rsidP="001278F6">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1278F6">
        <w:rPr>
          <w:rFonts w:ascii="Verdana" w:eastAsia="Century Gothic" w:hAnsi="Verdana" w:cs="Century Gothic"/>
          <w:b/>
          <w:bCs/>
          <w:lang w:val="es-ES"/>
        </w:rPr>
        <w:t>Problema planteado:</w:t>
      </w:r>
    </w:p>
    <w:p w14:paraId="1BAB9AAC" w14:textId="77777777" w:rsidR="001278F6" w:rsidRPr="001278F6" w:rsidRDefault="001278F6" w:rsidP="001278F6">
      <w:pPr>
        <w:tabs>
          <w:tab w:val="left" w:pos="426"/>
        </w:tabs>
        <w:spacing w:after="0" w:line="276" w:lineRule="auto"/>
        <w:jc w:val="both"/>
        <w:rPr>
          <w:rFonts w:ascii="Verdana" w:eastAsia="Century Gothic" w:hAnsi="Verdana" w:cs="Century Gothic"/>
          <w:lang w:val="es-ES"/>
        </w:rPr>
      </w:pPr>
    </w:p>
    <w:p w14:paraId="21598643" w14:textId="77777777" w:rsidR="001278F6" w:rsidRPr="001278F6" w:rsidRDefault="001278F6" w:rsidP="001278F6">
      <w:pPr>
        <w:spacing w:after="0" w:line="276" w:lineRule="auto"/>
        <w:jc w:val="both"/>
        <w:rPr>
          <w:rFonts w:ascii="Verdana" w:eastAsia="Century Gothic" w:hAnsi="Verdana" w:cs="Century Gothic"/>
          <w:kern w:val="2"/>
          <w14:ligatures w14:val="standardContextual"/>
        </w:rPr>
      </w:pPr>
      <w:r w:rsidRPr="001278F6">
        <w:rPr>
          <w:rFonts w:ascii="Verdana" w:eastAsia="Century Gothic" w:hAnsi="Verdana" w:cs="Century Gothic"/>
        </w:rPr>
        <w:t xml:space="preserve">De acuerdo con el contenido de su solicitud, depurada la competencia consultiva de la entidad, esta Agencia resolverá los siguientes problemas jurídicos: i) </w:t>
      </w:r>
      <w:r w:rsidRPr="001278F6">
        <w:rPr>
          <w:rFonts w:ascii="Verdana" w:eastAsia="Century Gothic" w:hAnsi="Verdana" w:cs="Century Gothic"/>
          <w:kern w:val="2"/>
          <w14:ligatures w14:val="standardContextual"/>
        </w:rPr>
        <w:t xml:space="preserve">¿Cuál es el procedimiento para establecer el análisis de precios unitarios cuando se incorporen obras adicionales o ítems no previstos en el contrato de obra? y </w:t>
      </w:r>
      <w:proofErr w:type="spellStart"/>
      <w:r w:rsidRPr="001278F6">
        <w:rPr>
          <w:rFonts w:ascii="Verdana" w:eastAsia="Century Gothic" w:hAnsi="Verdana" w:cs="Century Gothic"/>
          <w:kern w:val="2"/>
          <w14:ligatures w14:val="standardContextual"/>
        </w:rPr>
        <w:t>ii</w:t>
      </w:r>
      <w:proofErr w:type="spellEnd"/>
      <w:r w:rsidRPr="001278F6">
        <w:rPr>
          <w:rFonts w:ascii="Verdana" w:eastAsia="Century Gothic" w:hAnsi="Verdana" w:cs="Century Gothic"/>
          <w:kern w:val="2"/>
          <w14:ligatures w14:val="standardContextual"/>
        </w:rPr>
        <w:t xml:space="preserve">) ¿Se deben aportar cotizaciones por parte del contratista para verificar por parte de la entidad el valor de los ítems no previstos? </w:t>
      </w:r>
    </w:p>
    <w:p w14:paraId="028080A6" w14:textId="77777777" w:rsidR="001278F6" w:rsidRPr="001278F6" w:rsidRDefault="001278F6" w:rsidP="001278F6">
      <w:pPr>
        <w:spacing w:after="0" w:line="276" w:lineRule="auto"/>
        <w:jc w:val="both"/>
        <w:rPr>
          <w:rFonts w:ascii="Verdana" w:eastAsia="Calibri" w:hAnsi="Verdana" w:cs="Arial"/>
          <w:color w:val="7030A0"/>
        </w:rPr>
      </w:pPr>
    </w:p>
    <w:p w14:paraId="16D41EA6" w14:textId="77777777" w:rsidR="001278F6" w:rsidRPr="001278F6" w:rsidRDefault="001278F6" w:rsidP="001278F6">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1278F6">
        <w:rPr>
          <w:rFonts w:ascii="Verdana" w:eastAsia="Century Gothic" w:hAnsi="Verdana" w:cs="Century Gothic"/>
          <w:b/>
          <w:bCs/>
          <w:lang w:val="es-ES"/>
        </w:rPr>
        <w:t>Respuesta:</w:t>
      </w:r>
    </w:p>
    <w:p w14:paraId="62A87E94" w14:textId="77777777" w:rsidR="001278F6" w:rsidRPr="001278F6" w:rsidRDefault="001278F6" w:rsidP="001278F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278F6" w:rsidRPr="001278F6" w14:paraId="37DC099C" w14:textId="77777777" w:rsidTr="007169FD">
        <w:trPr>
          <w:jc w:val="center"/>
        </w:trPr>
        <w:tc>
          <w:tcPr>
            <w:tcW w:w="8828" w:type="dxa"/>
          </w:tcPr>
          <w:p w14:paraId="750CCE0D" w14:textId="77777777" w:rsidR="001278F6" w:rsidRPr="001278F6" w:rsidRDefault="001278F6" w:rsidP="001278F6">
            <w:pPr>
              <w:widowControl w:val="0"/>
              <w:autoSpaceDE w:val="0"/>
              <w:autoSpaceDN w:val="0"/>
              <w:spacing w:after="120" w:line="276" w:lineRule="auto"/>
              <w:jc w:val="both"/>
              <w:rPr>
                <w:rFonts w:ascii="Verdana" w:eastAsia="Calibri" w:hAnsi="Verdana" w:cs="Arial"/>
                <w:iCs/>
                <w:color w:val="000000"/>
                <w:lang w:val="es-ES"/>
              </w:rPr>
            </w:pPr>
            <w:bookmarkStart w:id="1" w:name="_Hlk171694685"/>
            <w:proofErr w:type="spellStart"/>
            <w:r w:rsidRPr="001278F6">
              <w:rPr>
                <w:rFonts w:ascii="Verdana" w:eastAsia="Aptos" w:hAnsi="Verdana" w:cs="Arial"/>
                <w:lang w:val="es-ES" w:eastAsia="es-ES"/>
              </w:rPr>
              <w:t>ii</w:t>
            </w:r>
            <w:proofErr w:type="spellEnd"/>
            <w:r w:rsidRPr="001278F6">
              <w:rPr>
                <w:rFonts w:ascii="Verdana" w:eastAsia="Aptos" w:hAnsi="Verdana" w:cs="Arial"/>
                <w:lang w:val="es-ES" w:eastAsia="es-ES"/>
              </w:rPr>
              <w:t xml:space="preserve">) </w:t>
            </w:r>
            <w:r w:rsidRPr="001278F6">
              <w:rPr>
                <w:rFonts w:ascii="Verdana" w:eastAsia="Calibri" w:hAnsi="Verdana" w:cs="Arial"/>
                <w:iCs/>
                <w:color w:val="000000"/>
                <w:lang w:val="es-ES"/>
              </w:rPr>
              <w:t xml:space="preserve">La incorporación de obras adicionales o de ítems no contemplados en el contrato de obra implica la modificación del objeto contractual, lo que general para la Entidad la obligación de establecer precios unitarios correspondientes a dichos nuevos elementos. En estos casos, la Entidad contratante deberá definir tales precios con base en un análisis técnico-económico que refleje la estructura de costos vigentes, manteniendo la coherencia con los criterios </w:t>
            </w:r>
            <w:r w:rsidRPr="001278F6">
              <w:rPr>
                <w:rFonts w:ascii="Verdana" w:eastAsia="Calibri" w:hAnsi="Verdana" w:cs="Arial"/>
                <w:iCs/>
                <w:color w:val="000000"/>
                <w:lang w:val="es-ES"/>
              </w:rPr>
              <w:lastRenderedPageBreak/>
              <w:t xml:space="preserve">aplicados en la contratación inicial. Para ello la administración cuenta con autonomía técnica y administrativa para fijar los precios unitarios, siempre que se respeten los principios de economía, transparencia y responsabilidad, sin que ello implique la imposición arbitraria de condiciones económicas ajenas a la realidad del mercado o a los costos razonables de la ejecución. </w:t>
            </w:r>
          </w:p>
          <w:p w14:paraId="0749C435" w14:textId="77777777" w:rsidR="001278F6" w:rsidRPr="001278F6" w:rsidRDefault="001278F6" w:rsidP="001278F6">
            <w:pPr>
              <w:widowControl w:val="0"/>
              <w:autoSpaceDE w:val="0"/>
              <w:autoSpaceDN w:val="0"/>
              <w:spacing w:line="276" w:lineRule="auto"/>
              <w:ind w:firstLine="708"/>
              <w:jc w:val="both"/>
              <w:rPr>
                <w:rFonts w:ascii="Verdana" w:eastAsia="Calibri" w:hAnsi="Verdana" w:cs="Arial"/>
                <w:iCs/>
                <w:color w:val="000000"/>
                <w:lang w:val="es-ES"/>
              </w:rPr>
            </w:pPr>
            <w:r w:rsidRPr="001278F6">
              <w:rPr>
                <w:rFonts w:ascii="Verdana" w:eastAsia="Calibri" w:hAnsi="Verdana" w:cs="Arial"/>
                <w:iCs/>
                <w:color w:val="000000"/>
                <w:lang w:val="es-ES"/>
              </w:rPr>
              <w:t xml:space="preserve">En este sentido, para la determinación de los precios unitarios correspondientes a obras adicionales o ítems no previstos, la Agencia Nacional de Contratación Pública – Colombia Compra Eficiente considera que, dado que este procedimiento no cuenta con una regulación normativa específica en materia contractual, el primer paso que debe seguir la Entidad consiste en remitirse al texto contractual. Ello con el fin de verificar si las partes establecieron un procedimiento aplicable para fijar el valor de actividades o ítems no contemplados inicialmente. Con base en esta revisión, se podrá elaborar el correspondiente análisis de precios unitarios y, proceder con la celebración de un contrato adicional o modificatorio </w:t>
            </w:r>
            <w:proofErr w:type="gramStart"/>
            <w:r w:rsidRPr="001278F6">
              <w:rPr>
                <w:rFonts w:ascii="Verdana" w:eastAsia="Calibri" w:hAnsi="Verdana" w:cs="Arial"/>
                <w:iCs/>
                <w:color w:val="000000"/>
                <w:lang w:val="es-ES"/>
              </w:rPr>
              <w:t>del inicial</w:t>
            </w:r>
            <w:proofErr w:type="gramEnd"/>
            <w:r w:rsidRPr="001278F6">
              <w:rPr>
                <w:rFonts w:ascii="Verdana" w:eastAsia="Calibri" w:hAnsi="Verdana" w:cs="Arial"/>
                <w:iCs/>
                <w:color w:val="000000"/>
                <w:lang w:val="es-ES"/>
              </w:rPr>
              <w:t xml:space="preserve">. </w:t>
            </w:r>
          </w:p>
          <w:p w14:paraId="33F8E5EB" w14:textId="77777777" w:rsidR="001278F6" w:rsidRPr="001278F6" w:rsidRDefault="001278F6" w:rsidP="001278F6">
            <w:pPr>
              <w:widowControl w:val="0"/>
              <w:autoSpaceDE w:val="0"/>
              <w:autoSpaceDN w:val="0"/>
              <w:spacing w:line="276" w:lineRule="auto"/>
              <w:ind w:firstLine="708"/>
              <w:jc w:val="both"/>
              <w:rPr>
                <w:rFonts w:ascii="Verdana" w:eastAsia="Calibri" w:hAnsi="Verdana" w:cs="Arial"/>
                <w:iCs/>
                <w:color w:val="000000"/>
                <w:lang w:val="es-ES"/>
              </w:rPr>
            </w:pPr>
          </w:p>
          <w:p w14:paraId="6E9938D7" w14:textId="77777777" w:rsidR="001278F6" w:rsidRPr="001278F6" w:rsidRDefault="001278F6" w:rsidP="001278F6">
            <w:pPr>
              <w:widowControl w:val="0"/>
              <w:autoSpaceDE w:val="0"/>
              <w:autoSpaceDN w:val="0"/>
              <w:spacing w:line="276" w:lineRule="auto"/>
              <w:jc w:val="both"/>
              <w:rPr>
                <w:rFonts w:ascii="Verdana" w:eastAsia="Calibri" w:hAnsi="Verdana" w:cs="Arial"/>
                <w:iCs/>
                <w:color w:val="000000"/>
                <w:lang w:val="es-ES"/>
              </w:rPr>
            </w:pPr>
            <w:proofErr w:type="spellStart"/>
            <w:r w:rsidRPr="001278F6">
              <w:rPr>
                <w:rFonts w:ascii="Verdana" w:eastAsia="Calibri" w:hAnsi="Verdana" w:cs="Arial"/>
                <w:iCs/>
                <w:color w:val="000000"/>
                <w:lang w:val="es-ES"/>
              </w:rPr>
              <w:t>ii</w:t>
            </w:r>
            <w:proofErr w:type="spellEnd"/>
            <w:r w:rsidRPr="001278F6">
              <w:rPr>
                <w:rFonts w:ascii="Verdana" w:eastAsia="Calibri" w:hAnsi="Verdana" w:cs="Arial"/>
                <w:iCs/>
                <w:color w:val="000000"/>
                <w:lang w:val="es-ES"/>
              </w:rPr>
              <w:t>) La Agencia Nacional de Contratación Pública – Colombia Compra Eficiente considera que, para la determinación de esos “nuevos precios”, además de atender lo previsto en el contrato -y en caso de que este no contemple un procedimiento específico-, pueden tenerse en cuenta los siguientes aspectos:</w:t>
            </w:r>
          </w:p>
          <w:p w14:paraId="07269375" w14:textId="77777777" w:rsidR="001278F6" w:rsidRPr="001278F6" w:rsidRDefault="001278F6" w:rsidP="001278F6">
            <w:pPr>
              <w:widowControl w:val="0"/>
              <w:autoSpaceDE w:val="0"/>
              <w:autoSpaceDN w:val="0"/>
              <w:spacing w:line="276" w:lineRule="auto"/>
              <w:ind w:firstLine="708"/>
              <w:jc w:val="both"/>
              <w:rPr>
                <w:rFonts w:ascii="Verdana" w:eastAsia="Calibri" w:hAnsi="Verdana" w:cs="Arial"/>
                <w:iCs/>
                <w:color w:val="000000"/>
                <w:lang w:val="es-ES"/>
              </w:rPr>
            </w:pPr>
          </w:p>
          <w:p w14:paraId="6DF3B303" w14:textId="77777777" w:rsidR="001278F6" w:rsidRPr="001278F6" w:rsidRDefault="001278F6" w:rsidP="001278F6">
            <w:pPr>
              <w:widowControl w:val="0"/>
              <w:numPr>
                <w:ilvl w:val="0"/>
                <w:numId w:val="18"/>
              </w:numPr>
              <w:autoSpaceDE w:val="0"/>
              <w:autoSpaceDN w:val="0"/>
              <w:contextualSpacing/>
              <w:jc w:val="both"/>
              <w:rPr>
                <w:rFonts w:ascii="Verdana" w:eastAsia="Calibri" w:hAnsi="Verdana" w:cs="Arial"/>
                <w:iCs/>
                <w:color w:val="000000"/>
                <w:sz w:val="21"/>
                <w:szCs w:val="21"/>
              </w:rPr>
            </w:pPr>
            <w:r w:rsidRPr="001278F6">
              <w:rPr>
                <w:rFonts w:ascii="Verdana" w:eastAsia="Calibri" w:hAnsi="Verdana" w:cs="Arial"/>
                <w:iCs/>
                <w:color w:val="000000"/>
                <w:sz w:val="21"/>
                <w:szCs w:val="21"/>
              </w:rPr>
              <w:t>La interventoría o supervisión del contrato debe identificar el ítem no previsto y justificar técnicamente la necesidad de establecer el o los precios unitarios adicionales que se requieran pactar.</w:t>
            </w:r>
          </w:p>
          <w:p w14:paraId="39276D2E" w14:textId="77777777" w:rsidR="001278F6" w:rsidRPr="001278F6" w:rsidRDefault="001278F6" w:rsidP="001278F6">
            <w:pPr>
              <w:widowControl w:val="0"/>
              <w:numPr>
                <w:ilvl w:val="0"/>
                <w:numId w:val="18"/>
              </w:numPr>
              <w:autoSpaceDE w:val="0"/>
              <w:autoSpaceDN w:val="0"/>
              <w:contextualSpacing/>
              <w:jc w:val="both"/>
              <w:rPr>
                <w:rFonts w:ascii="Verdana" w:eastAsia="Calibri" w:hAnsi="Verdana" w:cs="Arial"/>
                <w:iCs/>
                <w:color w:val="000000"/>
                <w:sz w:val="21"/>
                <w:szCs w:val="21"/>
              </w:rPr>
            </w:pPr>
            <w:r w:rsidRPr="001278F6">
              <w:rPr>
                <w:rFonts w:ascii="Verdana" w:eastAsia="Calibri" w:hAnsi="Verdana" w:cs="Arial"/>
                <w:iCs/>
                <w:color w:val="000000"/>
                <w:sz w:val="21"/>
                <w:szCs w:val="21"/>
              </w:rPr>
              <w:t>Para la elaboración del Análisis de Precios Unitarios (APU), el contratista debe presentar el desglose de los costos directos —materiales, mano de obra, herramienta menor, transporte, equipos, entre otros— con su respectivo soporte técnico, así como los costos indirectos, aplicando la metodología establecida en el contrato o en los manuales de contratación, en los cuales se define el procedimiento interno para la fijación de precios unitarios de ítems no previstos.</w:t>
            </w:r>
          </w:p>
          <w:p w14:paraId="3894578D" w14:textId="77777777" w:rsidR="001278F6" w:rsidRPr="001278F6" w:rsidRDefault="001278F6" w:rsidP="001278F6">
            <w:pPr>
              <w:widowControl w:val="0"/>
              <w:numPr>
                <w:ilvl w:val="0"/>
                <w:numId w:val="18"/>
              </w:numPr>
              <w:autoSpaceDE w:val="0"/>
              <w:autoSpaceDN w:val="0"/>
              <w:contextualSpacing/>
              <w:jc w:val="both"/>
              <w:rPr>
                <w:rFonts w:ascii="Verdana" w:eastAsia="Calibri" w:hAnsi="Verdana" w:cs="Arial"/>
                <w:b/>
                <w:bCs/>
                <w:i/>
                <w:color w:val="000000"/>
                <w:sz w:val="21"/>
                <w:szCs w:val="21"/>
              </w:rPr>
            </w:pPr>
            <w:r w:rsidRPr="001278F6">
              <w:rPr>
                <w:rFonts w:ascii="Verdana" w:eastAsia="Calibri" w:hAnsi="Verdana" w:cs="Arial"/>
                <w:iCs/>
                <w:color w:val="000000"/>
                <w:sz w:val="21"/>
                <w:szCs w:val="21"/>
              </w:rPr>
              <w:t xml:space="preserve">El interventor, y posteriormente la entidad contratante, deben revisar que los valores y cantidades presentados por el contratista para los precios unitarios adicionales sean razonables y se ajusten a las condiciones del mercado. </w:t>
            </w:r>
            <w:r w:rsidRPr="001278F6">
              <w:rPr>
                <w:rFonts w:ascii="Verdana" w:eastAsia="Calibri" w:hAnsi="Verdana" w:cs="Arial"/>
                <w:b/>
                <w:bCs/>
                <w:i/>
                <w:color w:val="000000"/>
                <w:sz w:val="21"/>
                <w:szCs w:val="21"/>
              </w:rPr>
              <w:t xml:space="preserve">Asimismo, deberán solicitar los soportes que consideren necesarios para respaldar los nuevos precios. Entre estos soportes se puede requerir la presentación de cotizaciones de mercado que justifiquen los valores de materiales, equipos o insumos no contemplados </w:t>
            </w:r>
            <w:r w:rsidRPr="001278F6">
              <w:rPr>
                <w:rFonts w:ascii="Verdana" w:eastAsia="Calibri" w:hAnsi="Verdana" w:cs="Arial"/>
                <w:b/>
                <w:bCs/>
                <w:i/>
                <w:color w:val="000000"/>
                <w:sz w:val="21"/>
                <w:szCs w:val="21"/>
              </w:rPr>
              <w:lastRenderedPageBreak/>
              <w:t>inicialmente.</w:t>
            </w:r>
          </w:p>
          <w:p w14:paraId="2DEF8DE5" w14:textId="77777777" w:rsidR="001278F6" w:rsidRPr="001278F6" w:rsidRDefault="001278F6" w:rsidP="001278F6">
            <w:pPr>
              <w:widowControl w:val="0"/>
              <w:numPr>
                <w:ilvl w:val="0"/>
                <w:numId w:val="18"/>
              </w:numPr>
              <w:autoSpaceDE w:val="0"/>
              <w:autoSpaceDN w:val="0"/>
              <w:contextualSpacing/>
              <w:jc w:val="both"/>
              <w:rPr>
                <w:rFonts w:ascii="Verdana" w:eastAsia="Calibri" w:hAnsi="Verdana" w:cs="Arial"/>
                <w:b/>
                <w:bCs/>
                <w:i/>
                <w:color w:val="000000"/>
                <w:sz w:val="21"/>
                <w:szCs w:val="21"/>
              </w:rPr>
            </w:pPr>
            <w:r w:rsidRPr="001278F6">
              <w:rPr>
                <w:rFonts w:ascii="Verdana" w:eastAsia="Calibri" w:hAnsi="Verdana" w:cs="Arial"/>
                <w:b/>
                <w:bCs/>
                <w:i/>
                <w:color w:val="000000"/>
                <w:sz w:val="21"/>
                <w:szCs w:val="21"/>
              </w:rPr>
              <w:t>La exigencia de cotizaciones surge como una medida de garantía por parte de la interventoría o la supervisión, con el fin de mantener el equilibrio económico del contrato, asegurar la transparencia, la razonabilidad de los costos y, al mismo tiempo, garantizar que el contratista reciba un pago justo por las obras adicionales pactadas, evitando sobrecostos o pagos sin soporte.</w:t>
            </w:r>
          </w:p>
          <w:p w14:paraId="5A236394" w14:textId="77777777" w:rsidR="001278F6" w:rsidRPr="001278F6" w:rsidRDefault="001278F6" w:rsidP="001278F6">
            <w:pPr>
              <w:widowControl w:val="0"/>
              <w:numPr>
                <w:ilvl w:val="0"/>
                <w:numId w:val="18"/>
              </w:numPr>
              <w:autoSpaceDE w:val="0"/>
              <w:autoSpaceDN w:val="0"/>
              <w:contextualSpacing/>
              <w:jc w:val="both"/>
              <w:rPr>
                <w:rFonts w:ascii="Verdana" w:eastAsia="Calibri" w:hAnsi="Verdana" w:cs="Arial"/>
                <w:iCs/>
                <w:color w:val="000000"/>
                <w:sz w:val="21"/>
                <w:szCs w:val="21"/>
              </w:rPr>
            </w:pPr>
            <w:r w:rsidRPr="001278F6">
              <w:rPr>
                <w:rFonts w:ascii="Verdana" w:eastAsia="Calibri" w:hAnsi="Verdana" w:cs="Arial"/>
                <w:iCs/>
                <w:color w:val="000000"/>
                <w:sz w:val="21"/>
                <w:szCs w:val="21"/>
              </w:rPr>
              <w:t xml:space="preserve">Las partes deben suscribir el “Acta de fijación de precios no previstos”, la cual deberá estar firmada por la entidad contratante, el contratista y contar con el aval del interventor o supervisor. </w:t>
            </w:r>
          </w:p>
          <w:p w14:paraId="1AB0195B" w14:textId="77777777" w:rsidR="001278F6" w:rsidRPr="001278F6" w:rsidRDefault="001278F6" w:rsidP="001278F6">
            <w:pPr>
              <w:widowControl w:val="0"/>
              <w:autoSpaceDE w:val="0"/>
              <w:autoSpaceDN w:val="0"/>
              <w:spacing w:line="276" w:lineRule="auto"/>
              <w:ind w:left="709"/>
              <w:jc w:val="both"/>
              <w:rPr>
                <w:rFonts w:ascii="Verdana" w:eastAsia="Calibri" w:hAnsi="Verdana" w:cs="Arial"/>
                <w:iCs/>
                <w:color w:val="000000"/>
              </w:rPr>
            </w:pPr>
          </w:p>
          <w:p w14:paraId="70C983CF" w14:textId="77777777" w:rsidR="001278F6" w:rsidRPr="001278F6" w:rsidRDefault="001278F6" w:rsidP="001278F6">
            <w:pPr>
              <w:widowControl w:val="0"/>
              <w:autoSpaceDE w:val="0"/>
              <w:autoSpaceDN w:val="0"/>
              <w:spacing w:after="120" w:line="276" w:lineRule="auto"/>
              <w:ind w:firstLine="708"/>
              <w:jc w:val="both"/>
              <w:rPr>
                <w:rFonts w:ascii="Verdana" w:eastAsia="Calibri" w:hAnsi="Verdana" w:cs="Arial"/>
                <w:iCs/>
                <w:color w:val="000000"/>
              </w:rPr>
            </w:pPr>
            <w:r w:rsidRPr="001278F6">
              <w:rPr>
                <w:rFonts w:ascii="Verdana" w:eastAsia="Calibri" w:hAnsi="Verdana" w:cs="Arial"/>
                <w:iCs/>
                <w:color w:val="000000"/>
                <w:lang w:val="es-ES"/>
              </w:rPr>
              <w:t xml:space="preserve">Debe indicarse que, </w:t>
            </w:r>
            <w:r w:rsidRPr="001278F6">
              <w:rPr>
                <w:rFonts w:ascii="Verdana" w:eastAsia="Calibri" w:hAnsi="Verdana" w:cs="Arial"/>
                <w:iCs/>
                <w:color w:val="000000"/>
              </w:rPr>
              <w:t xml:space="preserve">el interventor tiene la responsabilidad de verificar y controlar la correcta ejecución de las actividades pactadas en el contrato. Sin embargo, no le está permitido modificar el clausulado del contrato, ya que dicha facultad recae exclusivamente en las partes que celebraron el negocio jurídico. </w:t>
            </w:r>
          </w:p>
          <w:p w14:paraId="7DD28E89" w14:textId="77777777" w:rsidR="001278F6" w:rsidRPr="001278F6" w:rsidRDefault="001278F6" w:rsidP="001278F6">
            <w:pPr>
              <w:widowControl w:val="0"/>
              <w:autoSpaceDE w:val="0"/>
              <w:autoSpaceDN w:val="0"/>
              <w:spacing w:after="120" w:line="276" w:lineRule="auto"/>
              <w:ind w:firstLine="708"/>
              <w:jc w:val="both"/>
              <w:rPr>
                <w:rFonts w:ascii="Verdana" w:eastAsia="Calibri" w:hAnsi="Verdana" w:cs="Arial"/>
                <w:iCs/>
                <w:color w:val="000000"/>
                <w:lang w:val="es-ES"/>
              </w:rPr>
            </w:pPr>
            <w:r w:rsidRPr="00497EDC">
              <w:rPr>
                <w:rFonts w:ascii="Verdana" w:eastAsia="Calibri" w:hAnsi="Verdana" w:cs="Arial"/>
                <w:iCs/>
                <w:color w:val="000000"/>
              </w:rPr>
              <w:t xml:space="preserve">Ahora bien, de acuerdo con el procedimiento que esta Agencia considera que pueden seguir las entidades para establecer el análisis de precios unitarios de los ítems no previstos, debe señalarse que conforme con los numerales </w:t>
            </w:r>
            <w:proofErr w:type="spellStart"/>
            <w:r w:rsidRPr="00497EDC">
              <w:rPr>
                <w:rFonts w:ascii="Verdana" w:eastAsia="Calibri" w:hAnsi="Verdana" w:cs="Arial"/>
                <w:iCs/>
                <w:color w:val="000000"/>
              </w:rPr>
              <w:t>iii</w:t>
            </w:r>
            <w:proofErr w:type="spellEnd"/>
            <w:r w:rsidRPr="00497EDC">
              <w:rPr>
                <w:rFonts w:ascii="Verdana" w:eastAsia="Calibri" w:hAnsi="Verdana" w:cs="Arial"/>
                <w:iCs/>
                <w:color w:val="000000"/>
              </w:rPr>
              <w:t xml:space="preserve">) y </w:t>
            </w:r>
            <w:proofErr w:type="spellStart"/>
            <w:r w:rsidRPr="00497EDC">
              <w:rPr>
                <w:rFonts w:ascii="Verdana" w:eastAsia="Calibri" w:hAnsi="Verdana" w:cs="Arial"/>
                <w:iCs/>
                <w:color w:val="000000"/>
              </w:rPr>
              <w:t>iv</w:t>
            </w:r>
            <w:proofErr w:type="spellEnd"/>
            <w:r w:rsidRPr="00497EDC">
              <w:rPr>
                <w:rFonts w:ascii="Verdana" w:eastAsia="Calibri" w:hAnsi="Verdana" w:cs="Arial"/>
                <w:iCs/>
                <w:color w:val="000000"/>
              </w:rPr>
              <w:t>) previamente señalados, la entidad deberá solicitar los soportes que consideren necesarios para respaldar los nuevos precios de esas obras adicionales o ítems no previstos. Para tal efecto, podrá requerir la presentación de cotizaciones que justifiquen los valores de materiales, equipos o insumos no contemplados inicialmente.</w:t>
            </w:r>
            <w:r w:rsidRPr="00497EDC">
              <w:rPr>
                <w:rFonts w:ascii="Verdana" w:eastAsia="Calibri" w:hAnsi="Verdana" w:cs="Arial"/>
                <w:iCs/>
                <w:color w:val="000000"/>
                <w:lang w:val="es-ES"/>
              </w:rPr>
              <w:t xml:space="preserve"> Sin embargo, este supuesto aplicaría en el caso de que las partes no hayan establecido un procedimiento específico en el contrato, considerando que, si existe acuerdo sobre este aspecto (análisis de precios unitarios sobre obras adicionales o ítems no previstos), deberá darse aplicación a los términos establecidos por las partes. En este sentido, lo acordado prevalecerá, y solo en ausencia de disposición expresa podrá acudirse al procedimiento general previsto por esta Agencia.</w:t>
            </w:r>
            <w:r w:rsidRPr="001278F6">
              <w:rPr>
                <w:rFonts w:ascii="Verdana" w:eastAsia="Calibri" w:hAnsi="Verdana" w:cs="Arial"/>
                <w:iCs/>
                <w:color w:val="000000"/>
                <w:lang w:val="es-ES"/>
              </w:rPr>
              <w:t xml:space="preserve"> </w:t>
            </w:r>
          </w:p>
          <w:p w14:paraId="11B3252B" w14:textId="77777777" w:rsidR="001278F6" w:rsidRPr="001278F6" w:rsidRDefault="001278F6" w:rsidP="001278F6">
            <w:pPr>
              <w:widowControl w:val="0"/>
              <w:autoSpaceDE w:val="0"/>
              <w:autoSpaceDN w:val="0"/>
              <w:spacing w:after="120" w:line="276" w:lineRule="auto"/>
              <w:jc w:val="both"/>
              <w:rPr>
                <w:rFonts w:ascii="Verdana" w:eastAsia="Calibri" w:hAnsi="Verdana" w:cs="Arial"/>
                <w:iCs/>
                <w:color w:val="000000"/>
                <w:lang w:val="es-ES"/>
              </w:rPr>
            </w:pPr>
            <w:r w:rsidRPr="001278F6">
              <w:rPr>
                <w:rFonts w:ascii="Verdana" w:eastAsia="Calibri" w:hAnsi="Verdana" w:cs="Arial"/>
                <w:iCs/>
                <w:color w:val="000000"/>
              </w:rPr>
              <w:tab/>
              <w:t xml:space="preserve">Bajo los supuestos previamente expuestos, corresponde a las partes del contrato, de común intención, pactar el precio de cada uno de los ítems de obra no previstos, dentro del respectivo contrato adicional o modificatorio del contrato inicial. Para ello, deberán incorporar de manera detallada los ítems acordados, especificando, en relación con cada uno de ellos, la descripción de la actividad correspondiente, la unidad de medida y el valor unitario, este último determinado conforme con el procedimiento que las partes hayan </w:t>
            </w:r>
            <w:r w:rsidRPr="001278F6">
              <w:rPr>
                <w:rFonts w:ascii="Verdana" w:eastAsia="Calibri" w:hAnsi="Verdana" w:cs="Arial"/>
                <w:iCs/>
                <w:color w:val="000000"/>
              </w:rPr>
              <w:lastRenderedPageBreak/>
              <w:t xml:space="preserve">previsto para tal efecto.  </w:t>
            </w:r>
          </w:p>
          <w:p w14:paraId="20A59ECA" w14:textId="77777777" w:rsidR="001278F6" w:rsidRPr="001278F6" w:rsidRDefault="001278F6" w:rsidP="001278F6">
            <w:pPr>
              <w:widowControl w:val="0"/>
              <w:autoSpaceDE w:val="0"/>
              <w:autoSpaceDN w:val="0"/>
              <w:spacing w:line="276" w:lineRule="auto"/>
              <w:ind w:firstLine="708"/>
              <w:jc w:val="both"/>
              <w:rPr>
                <w:rFonts w:ascii="Verdana" w:eastAsia="Calibri" w:hAnsi="Verdana" w:cs="Arial"/>
                <w:iCs/>
                <w:color w:val="000000"/>
                <w:lang w:val="es-ES"/>
              </w:rPr>
            </w:pPr>
            <w:r w:rsidRPr="001278F6">
              <w:rPr>
                <w:rFonts w:ascii="Verdana" w:eastAsia="Calibri" w:hAnsi="Verdana" w:cs="Arial"/>
                <w:iCs/>
                <w:color w:val="000000"/>
                <w:lang w:val="es-ES"/>
              </w:rPr>
              <w:t>El procedimiento señalado, se ha establecido con base en la práctica contractual observada en algunas entidades del sector, funcionando como guía operativa para la inclusión y fijación de obras adicionales o ítems no previstos. Sin embargo, es importante aclarar que dicho procedimiento no constituye norma jurídica de carácter obligatorio, por lo que las partes contratantes conservan plena autonomía para acordar mecanismos distintos conforme a su voluntad, pudiendo adoptar procedimientos alternativos.</w:t>
            </w:r>
          </w:p>
          <w:p w14:paraId="0CC97FC1" w14:textId="77777777" w:rsidR="001278F6" w:rsidRPr="001278F6" w:rsidRDefault="001278F6" w:rsidP="001278F6">
            <w:pPr>
              <w:spacing w:before="120" w:line="276" w:lineRule="auto"/>
              <w:ind w:firstLine="709"/>
              <w:jc w:val="both"/>
              <w:rPr>
                <w:rFonts w:ascii="Verdana" w:eastAsia="Calibri" w:hAnsi="Verdana" w:cs="Arial"/>
                <w:lang w:eastAsia="es-ES"/>
              </w:rPr>
            </w:pPr>
            <w:r w:rsidRPr="001278F6">
              <w:rPr>
                <w:rFonts w:ascii="Verdana" w:eastAsia="Calibri" w:hAnsi="Verdana" w:cs="Arial"/>
                <w:lang w:eastAsia="es-ES"/>
              </w:rPr>
              <w:t>Finalmente, debe advertirse que, al margen de la explicación precedente debe advertirse que el análisis requerido para resolver problemas específicos en torno al análisis de precios unitarios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936D6D2" w14:textId="77777777" w:rsidR="001278F6" w:rsidRPr="001278F6" w:rsidRDefault="001278F6" w:rsidP="001278F6">
            <w:pPr>
              <w:spacing w:before="120" w:line="276" w:lineRule="auto"/>
              <w:ind w:firstLine="709"/>
              <w:jc w:val="both"/>
              <w:rPr>
                <w:rFonts w:ascii="Verdana" w:eastAsia="Calibri" w:hAnsi="Verdana" w:cs="Arial"/>
                <w:lang w:eastAsia="es-ES"/>
              </w:rPr>
            </w:pPr>
            <w:r w:rsidRPr="001278F6">
              <w:rPr>
                <w:rFonts w:ascii="Verdana" w:eastAsia="Calibri"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tc>
      </w:tr>
    </w:tbl>
    <w:p w14:paraId="0F697EEA" w14:textId="77777777" w:rsidR="001278F6" w:rsidRPr="001278F6" w:rsidRDefault="001278F6" w:rsidP="001278F6">
      <w:pPr>
        <w:tabs>
          <w:tab w:val="left" w:pos="142"/>
          <w:tab w:val="left" w:pos="284"/>
        </w:tabs>
        <w:spacing w:after="0" w:line="276" w:lineRule="auto"/>
        <w:jc w:val="both"/>
        <w:rPr>
          <w:rFonts w:ascii="Verdana" w:eastAsia="Century Gothic" w:hAnsi="Verdana" w:cs="Century Gothic"/>
          <w:b/>
          <w:bCs/>
          <w:lang w:val="es-ES"/>
        </w:rPr>
      </w:pPr>
    </w:p>
    <w:bookmarkEnd w:id="1"/>
    <w:p w14:paraId="5D36974B" w14:textId="77777777" w:rsidR="001278F6" w:rsidRPr="001278F6" w:rsidRDefault="001278F6" w:rsidP="00497EDC">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1278F6">
        <w:rPr>
          <w:rFonts w:ascii="Verdana" w:eastAsia="Century Gothic" w:hAnsi="Verdana" w:cs="Century Gothic"/>
          <w:b/>
          <w:bCs/>
          <w:lang w:val="es-ES"/>
        </w:rPr>
        <w:t>Razones de la respuesta:</w:t>
      </w:r>
    </w:p>
    <w:p w14:paraId="1257129B" w14:textId="77777777" w:rsidR="001278F6" w:rsidRPr="001278F6" w:rsidRDefault="001278F6" w:rsidP="00497EDC">
      <w:pPr>
        <w:spacing w:after="0" w:line="276" w:lineRule="auto"/>
        <w:jc w:val="both"/>
        <w:rPr>
          <w:rFonts w:ascii="Verdana" w:eastAsia="Calibri" w:hAnsi="Verdana" w:cs="Arial"/>
          <w:color w:val="7030A0"/>
          <w:lang w:val="es-ES"/>
        </w:rPr>
      </w:pPr>
    </w:p>
    <w:p w14:paraId="31718F8A" w14:textId="77777777" w:rsidR="001278F6" w:rsidRPr="001278F6" w:rsidRDefault="001278F6" w:rsidP="00497EDC">
      <w:pPr>
        <w:spacing w:after="0" w:line="276" w:lineRule="auto"/>
        <w:jc w:val="both"/>
        <w:rPr>
          <w:rFonts w:ascii="Verdana" w:eastAsia="Calibri" w:hAnsi="Verdana" w:cs="Arial"/>
          <w:lang w:val="es-ES"/>
        </w:rPr>
      </w:pPr>
      <w:r w:rsidRPr="001278F6">
        <w:rPr>
          <w:rFonts w:ascii="Verdana" w:eastAsia="Calibri" w:hAnsi="Verdana" w:cs="Arial"/>
          <w:lang w:val="es-ES"/>
        </w:rPr>
        <w:t>Lo anterior se sustenta en las siguientes consideraciones:</w:t>
      </w:r>
    </w:p>
    <w:p w14:paraId="6C9C62B1" w14:textId="77777777" w:rsidR="001278F6" w:rsidRPr="001278F6" w:rsidRDefault="001278F6" w:rsidP="00497EDC">
      <w:pPr>
        <w:spacing w:after="0" w:line="276" w:lineRule="auto"/>
        <w:jc w:val="both"/>
        <w:rPr>
          <w:rFonts w:ascii="Verdana" w:eastAsia="Calibri" w:hAnsi="Verdana" w:cs="Arial"/>
          <w:lang w:val="es-ES"/>
        </w:rPr>
      </w:pPr>
    </w:p>
    <w:p w14:paraId="46831E08" w14:textId="7459092D" w:rsidR="001278F6" w:rsidRPr="001278F6" w:rsidRDefault="001278F6" w:rsidP="00497EDC">
      <w:pPr>
        <w:spacing w:after="0" w:line="276" w:lineRule="auto"/>
        <w:jc w:val="both"/>
        <w:rPr>
          <w:rFonts w:ascii="Verdana" w:eastAsia="Calibri" w:hAnsi="Verdana" w:cs="Arial"/>
          <w:lang w:val="es-ES" w:eastAsia="es-ES"/>
        </w:rPr>
      </w:pPr>
      <w:r w:rsidRPr="001278F6">
        <w:rPr>
          <w:rFonts w:ascii="Verdana" w:eastAsia="Calibri" w:hAnsi="Verdana" w:cs="Arial"/>
          <w:bCs/>
          <w:szCs w:val="24"/>
          <w:lang w:val="es-ES_tradnl" w:eastAsia="es-ES_tradnl"/>
        </w:rPr>
        <w:t xml:space="preserve">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w:t>
      </w:r>
      <w:r w:rsidRPr="001278F6">
        <w:rPr>
          <w:rFonts w:ascii="Verdana" w:eastAsia="Calibri" w:hAnsi="Verdana" w:cs="Arial"/>
          <w:bCs/>
          <w:szCs w:val="24"/>
          <w:lang w:val="es-ES_tradnl" w:eastAsia="es-ES_tradnl"/>
        </w:rPr>
        <w:lastRenderedPageBreak/>
        <w:t xml:space="preserve">conmutativos. Adicionalmente, el precio suele ser el elemento más importante para el contratista, porque equivale a la remuneración que la entidad contratante le pagará por la ejecución del </w:t>
      </w:r>
      <w:r w:rsidR="00497EDC" w:rsidRPr="001278F6">
        <w:rPr>
          <w:rFonts w:ascii="Verdana" w:eastAsia="Calibri" w:hAnsi="Verdana" w:cs="Arial"/>
          <w:bCs/>
          <w:szCs w:val="24"/>
          <w:lang w:val="es-ES_tradnl" w:eastAsia="es-ES_tradnl"/>
        </w:rPr>
        <w:t>objeto</w:t>
      </w:r>
      <w:r w:rsidRPr="001278F6">
        <w:rPr>
          <w:rFonts w:ascii="Verdana" w:eastAsia="Calibri" w:hAnsi="Verdana" w:cs="Arial"/>
          <w:lang w:val="es-ES" w:eastAsia="es-ES"/>
        </w:rPr>
        <w:t xml:space="preserve"> contractual.</w:t>
      </w:r>
    </w:p>
    <w:p w14:paraId="2F23EAF4" w14:textId="77777777" w:rsidR="001278F6" w:rsidRPr="001278F6" w:rsidRDefault="001278F6" w:rsidP="001278F6">
      <w:pPr>
        <w:spacing w:before="120" w:after="12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278F6">
        <w:rPr>
          <w:rFonts w:ascii="Verdana" w:eastAsia="Calibri" w:hAnsi="Verdana" w:cs="Arial"/>
          <w:vertAlign w:val="superscript"/>
          <w:lang w:val="es-ES" w:eastAsia="es-ES"/>
        </w:rPr>
        <w:footnoteReference w:id="2"/>
      </w:r>
      <w:r w:rsidRPr="001278F6">
        <w:rPr>
          <w:rFonts w:ascii="Verdana" w:eastAsia="Calibri" w:hAnsi="Verdana" w:cs="Arial"/>
          <w:lang w:val="es-ES" w:eastAsia="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1278F6">
        <w:rPr>
          <w:rFonts w:ascii="Verdana" w:eastAsia="Calibri" w:hAnsi="Verdana" w:cs="Arial"/>
          <w:lang w:val="es-ES" w:eastAsia="es-ES"/>
        </w:rPr>
        <w:t>ii</w:t>
      </w:r>
      <w:proofErr w:type="spellEnd"/>
      <w:r w:rsidRPr="001278F6">
        <w:rPr>
          <w:rFonts w:ascii="Verdana" w:eastAsia="Calibri" w:hAnsi="Verdana" w:cs="Arial"/>
          <w:lang w:val="es-ES" w:eastAsia="es-ES"/>
        </w:rPr>
        <w:t xml:space="preserve">) el precio global –que equivale al monto total, sin </w:t>
      </w:r>
      <w:r w:rsidRPr="001278F6">
        <w:rPr>
          <w:rFonts w:ascii="Verdana" w:eastAsia="Calibri" w:hAnsi="Verdana" w:cs="Arial"/>
          <w:lang w:val="es-ES" w:eastAsia="es-ES"/>
        </w:rPr>
        <w:lastRenderedPageBreak/>
        <w:t xml:space="preserve">discriminar unidades–, y </w:t>
      </w:r>
      <w:proofErr w:type="spellStart"/>
      <w:r w:rsidRPr="001278F6">
        <w:rPr>
          <w:rFonts w:ascii="Verdana" w:eastAsia="Calibri" w:hAnsi="Verdana" w:cs="Arial"/>
          <w:lang w:val="es-ES" w:eastAsia="es-ES"/>
        </w:rPr>
        <w:t>iii</w:t>
      </w:r>
      <w:proofErr w:type="spellEnd"/>
      <w:r w:rsidRPr="001278F6">
        <w:rPr>
          <w:rFonts w:ascii="Verdana" w:eastAsia="Calibri" w:hAnsi="Verdana" w:cs="Arial"/>
          <w:lang w:val="es-ES" w:eastAsia="es-ES"/>
        </w:rPr>
        <w:t>) la administración delegada de recursos –en la que se distinguen los costos de inversión de los honorarios del administrador–.</w:t>
      </w:r>
    </w:p>
    <w:p w14:paraId="0FF96883" w14:textId="77777777" w:rsidR="001278F6" w:rsidRPr="001278F6" w:rsidRDefault="001278F6" w:rsidP="001278F6">
      <w:pPr>
        <w:spacing w:before="120" w:after="12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1278F6">
        <w:rPr>
          <w:rFonts w:ascii="Verdana" w:eastAsia="Calibri" w:hAnsi="Verdana" w:cs="Arial"/>
          <w:i/>
          <w:iCs/>
          <w:lang w:val="es-ES" w:eastAsia="es-ES"/>
        </w:rPr>
        <w:t>costos directos</w:t>
      </w:r>
      <w:r w:rsidRPr="001278F6">
        <w:rPr>
          <w:rFonts w:ascii="Verdana" w:eastAsia="Calibri" w:hAnsi="Verdana" w:cs="Arial"/>
          <w:lang w:val="es-ES" w:eastAsia="es-ES"/>
        </w:rPr>
        <w:t xml:space="preserve"> –es decir, los que están directamente implicados en la ejecución del objeto–, de los </w:t>
      </w:r>
      <w:r w:rsidRPr="001278F6">
        <w:rPr>
          <w:rFonts w:ascii="Verdana" w:eastAsia="Calibri" w:hAnsi="Verdana" w:cs="Arial"/>
          <w:i/>
          <w:iCs/>
          <w:lang w:val="es-ES" w:eastAsia="es-ES"/>
        </w:rPr>
        <w:t>costos indirectos</w:t>
      </w:r>
      <w:r w:rsidRPr="001278F6">
        <w:rPr>
          <w:rFonts w:ascii="Verdana" w:eastAsia="Calibri"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1278F6">
        <w:rPr>
          <w:rFonts w:ascii="Verdana" w:eastAsia="Calibri" w:hAnsi="Verdana" w:cs="Arial"/>
          <w:i/>
          <w:iCs/>
          <w:lang w:val="es-ES" w:eastAsia="es-ES"/>
        </w:rPr>
        <w:t>costos directos</w:t>
      </w:r>
      <w:r w:rsidRPr="001278F6">
        <w:rPr>
          <w:rFonts w:ascii="Verdana" w:eastAsia="Calibri" w:hAnsi="Verdana" w:cs="Arial"/>
          <w:lang w:val="es-ES" w:eastAsia="es-ES"/>
        </w:rPr>
        <w:t xml:space="preserve"> se evidencian en el análisis de precios unitarios –APU–, como la sumatoria de los valores de los </w:t>
      </w:r>
      <w:r w:rsidRPr="001278F6">
        <w:rPr>
          <w:rFonts w:ascii="Verdana" w:eastAsia="Calibri" w:hAnsi="Verdana" w:cs="Arial"/>
          <w:i/>
          <w:iCs/>
          <w:lang w:val="es-ES" w:eastAsia="es-ES"/>
        </w:rPr>
        <w:t>ítems</w:t>
      </w:r>
      <w:r w:rsidRPr="001278F6">
        <w:rPr>
          <w:rFonts w:ascii="Verdana" w:eastAsia="Calibri" w:hAnsi="Verdana" w:cs="Arial"/>
          <w:lang w:val="es-ES" w:eastAsia="es-ES"/>
        </w:rPr>
        <w:t xml:space="preserve"> según su unidad de medida, los </w:t>
      </w:r>
      <w:r w:rsidRPr="001278F6">
        <w:rPr>
          <w:rFonts w:ascii="Verdana" w:eastAsia="Calibri" w:hAnsi="Verdana" w:cs="Arial"/>
          <w:i/>
          <w:iCs/>
          <w:lang w:val="es-ES" w:eastAsia="es-ES"/>
        </w:rPr>
        <w:t>costos indirectos</w:t>
      </w:r>
      <w:r w:rsidRPr="001278F6">
        <w:rPr>
          <w:rFonts w:ascii="Verdana" w:eastAsia="Calibri" w:hAnsi="Verdana" w:cs="Arial"/>
          <w:lang w:val="es-ES" w:eastAsia="es-ES"/>
        </w:rPr>
        <w:t xml:space="preserve"> se suelen abreviar en las variables que integran el acrónimo AIU –Administración, Imprevistos y Utilidad–. </w:t>
      </w:r>
    </w:p>
    <w:p w14:paraId="6E2B2335" w14:textId="77777777" w:rsidR="001278F6" w:rsidRPr="001278F6" w:rsidRDefault="001278F6" w:rsidP="001278F6">
      <w:pPr>
        <w:spacing w:before="120" w:after="0" w:line="276" w:lineRule="auto"/>
        <w:ind w:firstLine="709"/>
        <w:jc w:val="both"/>
        <w:rPr>
          <w:rFonts w:ascii="Verdana" w:eastAsia="Calibri" w:hAnsi="Verdana" w:cs="Arial"/>
          <w:bCs/>
          <w:szCs w:val="24"/>
          <w:lang w:eastAsia="es-ES_tradnl"/>
        </w:rPr>
      </w:pPr>
      <w:r w:rsidRPr="001278F6">
        <w:rPr>
          <w:rFonts w:ascii="Verdana" w:eastAsia="Calibri" w:hAnsi="Verdana" w:cs="Arial"/>
          <w:bCs/>
          <w:szCs w:val="24"/>
          <w:lang w:val="es-ES" w:eastAsia="es-ES_tradnl"/>
        </w:rPr>
        <w:t>L</w:t>
      </w:r>
      <w:r w:rsidRPr="001278F6">
        <w:rPr>
          <w:rFonts w:ascii="Verdana" w:eastAsia="Calibri" w:hAnsi="Verdana" w:cs="Arial"/>
          <w:bCs/>
          <w:szCs w:val="24"/>
          <w:lang w:val="es-ES_tradnl" w:eastAsia="es-ES_tradnl"/>
        </w:rPr>
        <w:t xml:space="preserve">a jurisprudencia ha señalado que “[…] </w:t>
      </w:r>
      <w:r w:rsidRPr="001278F6">
        <w:rPr>
          <w:rFonts w:ascii="Verdana" w:eastAsia="Calibri"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1278F6">
        <w:rPr>
          <w:rFonts w:ascii="Verdana" w:eastAsia="Calibri" w:hAnsi="Verdana" w:cs="Arial"/>
          <w:bCs/>
          <w:szCs w:val="24"/>
          <w:lang w:val="es-ES_tradnl" w:eastAsia="es-ES_tradnl"/>
        </w:rPr>
        <w:t>”</w:t>
      </w:r>
      <w:r w:rsidRPr="001278F6">
        <w:rPr>
          <w:rFonts w:ascii="Verdana" w:eastAsia="Calibri" w:hAnsi="Verdana" w:cs="Arial"/>
          <w:bCs/>
          <w:szCs w:val="24"/>
          <w:vertAlign w:val="superscript"/>
          <w:lang w:val="es-ES_tradnl" w:eastAsia="es-ES_tradnl"/>
        </w:rPr>
        <w:footnoteReference w:id="3"/>
      </w:r>
      <w:r w:rsidRPr="001278F6">
        <w:rPr>
          <w:rFonts w:ascii="Verdana" w:eastAsia="Calibri"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07F29C3F" w14:textId="77777777" w:rsidR="001278F6" w:rsidRPr="001278F6" w:rsidRDefault="001278F6" w:rsidP="001278F6">
      <w:pPr>
        <w:spacing w:after="0" w:line="276" w:lineRule="auto"/>
        <w:ind w:firstLine="709"/>
        <w:jc w:val="both"/>
        <w:rPr>
          <w:rFonts w:ascii="Verdana" w:eastAsia="Calibri" w:hAnsi="Verdana" w:cs="Arial"/>
          <w:bCs/>
          <w:szCs w:val="24"/>
          <w:lang w:eastAsia="es-ES_tradnl"/>
        </w:rPr>
      </w:pPr>
    </w:p>
    <w:p w14:paraId="0160D743" w14:textId="77777777" w:rsidR="001278F6" w:rsidRPr="001278F6" w:rsidRDefault="001278F6" w:rsidP="001278F6">
      <w:pPr>
        <w:tabs>
          <w:tab w:val="left" w:pos="709"/>
        </w:tabs>
        <w:spacing w:after="120" w:line="240" w:lineRule="auto"/>
        <w:ind w:left="709" w:right="709"/>
        <w:jc w:val="both"/>
        <w:rPr>
          <w:rFonts w:ascii="Verdana" w:eastAsia="Calibri" w:hAnsi="Verdana" w:cs="Arial"/>
          <w:sz w:val="21"/>
          <w:szCs w:val="21"/>
          <w:lang w:val="es-ES" w:eastAsia="es-ES"/>
        </w:rPr>
      </w:pPr>
      <w:r w:rsidRPr="001278F6">
        <w:rPr>
          <w:rFonts w:ascii="Verdana" w:eastAsia="Calibri" w:hAnsi="Verdana" w:cs="Arial"/>
          <w:sz w:val="21"/>
          <w:szCs w:val="21"/>
          <w:lang w:val="es-ES" w:eastAsia="es-ES"/>
        </w:rPr>
        <w:t xml:space="preserve">“Cada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w:t>
      </w:r>
      <w:r w:rsidRPr="001278F6">
        <w:rPr>
          <w:rFonts w:ascii="Verdana" w:eastAsia="Calibri" w:hAnsi="Verdana" w:cs="Arial"/>
          <w:sz w:val="21"/>
          <w:szCs w:val="21"/>
          <w:lang w:val="es-ES" w:eastAsia="es-ES"/>
        </w:rPr>
        <w:lastRenderedPageBreak/>
        <w:t>mano de obra que tiene un valor de $5.000. La sumatoria de cada uno de estos insumos básicos arroja el costo directo que debe cancelar el contratista para la construcción de un metro de muro.</w:t>
      </w:r>
    </w:p>
    <w:p w14:paraId="7B2EC58E" w14:textId="77777777" w:rsidR="001278F6" w:rsidRPr="001278F6" w:rsidRDefault="001278F6" w:rsidP="001278F6">
      <w:pPr>
        <w:tabs>
          <w:tab w:val="left" w:pos="709"/>
        </w:tabs>
        <w:spacing w:after="0" w:line="240" w:lineRule="auto"/>
        <w:ind w:left="709" w:right="709"/>
        <w:jc w:val="both"/>
        <w:rPr>
          <w:rFonts w:ascii="Verdana" w:eastAsia="Calibri" w:hAnsi="Verdana" w:cs="Arial"/>
          <w:sz w:val="21"/>
          <w:szCs w:val="21"/>
          <w:lang w:val="es-ES_tradnl" w:eastAsia="es-ES_tradnl"/>
        </w:rPr>
      </w:pPr>
      <w:r w:rsidRPr="001278F6">
        <w:rPr>
          <w:rFonts w:ascii="Verdana" w:eastAsia="Calibri" w:hAnsi="Verdana" w:cs="Arial"/>
          <w:sz w:val="21"/>
          <w:szCs w:val="21"/>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1278F6">
        <w:rPr>
          <w:rFonts w:ascii="Verdana" w:eastAsia="Calibri" w:hAnsi="Verdana" w:cs="Arial"/>
          <w:sz w:val="21"/>
          <w:szCs w:val="21"/>
          <w:vertAlign w:val="superscript"/>
          <w:lang w:val="es-ES_tradnl" w:eastAsia="es-ES_tradnl"/>
        </w:rPr>
        <w:footnoteReference w:id="4"/>
      </w:r>
      <w:r w:rsidRPr="001278F6">
        <w:rPr>
          <w:rFonts w:ascii="Verdana" w:eastAsia="Calibri" w:hAnsi="Verdana" w:cs="Arial"/>
          <w:sz w:val="21"/>
          <w:szCs w:val="21"/>
          <w:lang w:val="es-ES_tradnl" w:eastAsia="es-ES_tradnl"/>
        </w:rPr>
        <w:t xml:space="preserve">. </w:t>
      </w:r>
    </w:p>
    <w:p w14:paraId="4C5DDCD6" w14:textId="77777777" w:rsidR="001278F6" w:rsidRPr="001278F6" w:rsidRDefault="001278F6" w:rsidP="001278F6">
      <w:pPr>
        <w:tabs>
          <w:tab w:val="left" w:pos="709"/>
        </w:tabs>
        <w:spacing w:after="0" w:line="276" w:lineRule="auto"/>
        <w:ind w:left="709" w:right="760"/>
        <w:jc w:val="both"/>
        <w:rPr>
          <w:rFonts w:ascii="Verdana" w:eastAsia="Calibri" w:hAnsi="Verdana" w:cs="Arial"/>
          <w:szCs w:val="24"/>
          <w:lang w:val="es-ES_tradnl" w:eastAsia="es-ES_tradnl"/>
        </w:rPr>
      </w:pPr>
    </w:p>
    <w:p w14:paraId="47EDD3AF" w14:textId="77777777" w:rsidR="001278F6" w:rsidRPr="001278F6" w:rsidRDefault="001278F6" w:rsidP="001278F6">
      <w:pPr>
        <w:spacing w:after="0" w:line="276" w:lineRule="auto"/>
        <w:ind w:firstLine="709"/>
        <w:jc w:val="both"/>
        <w:rPr>
          <w:rFonts w:ascii="Verdana" w:eastAsia="Calibri" w:hAnsi="Verdana" w:cs="Arial"/>
          <w:szCs w:val="24"/>
          <w:lang w:val="es-ES_tradnl" w:eastAsia="es-ES_tradnl"/>
        </w:rPr>
      </w:pPr>
      <w:r w:rsidRPr="001278F6">
        <w:rPr>
          <w:rFonts w:ascii="Verdana" w:eastAsia="Calibri"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09DEC788" w14:textId="77777777" w:rsidR="001278F6" w:rsidRPr="001278F6" w:rsidRDefault="001278F6" w:rsidP="001278F6">
      <w:pPr>
        <w:spacing w:after="0" w:line="276" w:lineRule="auto"/>
        <w:ind w:firstLine="709"/>
        <w:jc w:val="both"/>
        <w:rPr>
          <w:rFonts w:ascii="Verdana" w:eastAsia="Calibri" w:hAnsi="Verdana" w:cs="Arial"/>
          <w:szCs w:val="24"/>
          <w:lang w:val="es-ES_tradnl" w:eastAsia="es-ES_tradnl"/>
        </w:rPr>
      </w:pPr>
    </w:p>
    <w:p w14:paraId="42994F8C" w14:textId="77777777" w:rsidR="001278F6" w:rsidRPr="001278F6" w:rsidRDefault="001278F6" w:rsidP="001278F6">
      <w:pPr>
        <w:tabs>
          <w:tab w:val="left" w:pos="709"/>
        </w:tabs>
        <w:spacing w:after="120" w:line="240" w:lineRule="auto"/>
        <w:ind w:left="709" w:right="709"/>
        <w:jc w:val="both"/>
        <w:rPr>
          <w:rFonts w:ascii="Verdana" w:eastAsia="Calibri" w:hAnsi="Verdana" w:cs="Arial"/>
          <w:sz w:val="21"/>
          <w:szCs w:val="21"/>
          <w:lang w:val="es-ES_tradnl" w:eastAsia="es-ES_tradnl"/>
        </w:rPr>
      </w:pPr>
      <w:r w:rsidRPr="001278F6">
        <w:rPr>
          <w:rFonts w:ascii="Verdana" w:eastAsia="Calibri" w:hAnsi="Verdana" w:cs="Arial"/>
          <w:sz w:val="21"/>
          <w:szCs w:val="21"/>
          <w:lang w:val="es-ES_tradnl" w:eastAsia="es-ES_tradnl"/>
        </w:rPr>
        <w:t xml:space="preserve">“[…] el AIU propuesto para el contrato, corresponde a: </w:t>
      </w:r>
    </w:p>
    <w:p w14:paraId="0E8D8EF8" w14:textId="77777777" w:rsidR="001278F6" w:rsidRPr="001278F6" w:rsidRDefault="001278F6" w:rsidP="001278F6">
      <w:pPr>
        <w:tabs>
          <w:tab w:val="left" w:pos="709"/>
        </w:tabs>
        <w:spacing w:after="120" w:line="240" w:lineRule="auto"/>
        <w:ind w:left="709" w:right="709"/>
        <w:jc w:val="both"/>
        <w:rPr>
          <w:rFonts w:ascii="Verdana" w:eastAsia="Calibri" w:hAnsi="Verdana" w:cs="Arial"/>
          <w:sz w:val="21"/>
          <w:szCs w:val="21"/>
          <w:lang w:val="es-ES_tradnl" w:eastAsia="es-ES_tradnl"/>
        </w:rPr>
      </w:pPr>
      <w:r w:rsidRPr="001278F6">
        <w:rPr>
          <w:rFonts w:ascii="Verdana" w:eastAsia="Calibri" w:hAnsi="Verdana" w:cs="Arial"/>
          <w:sz w:val="21"/>
          <w:szCs w:val="21"/>
          <w:lang w:val="es-ES_tradnl" w:eastAsia="es-ES_tradnl"/>
        </w:rPr>
        <w:t xml:space="preserve">i) los costos de administración o costos indirectos para la operación del contrato, tales como los gastos de disponibilidad de la organización del contratista, esto es: A; </w:t>
      </w:r>
    </w:p>
    <w:p w14:paraId="67B28327" w14:textId="77777777" w:rsidR="001278F6" w:rsidRPr="001278F6" w:rsidRDefault="001278F6" w:rsidP="001278F6">
      <w:pPr>
        <w:tabs>
          <w:tab w:val="left" w:pos="709"/>
        </w:tabs>
        <w:spacing w:after="120" w:line="240" w:lineRule="auto"/>
        <w:ind w:left="709" w:right="709"/>
        <w:jc w:val="both"/>
        <w:rPr>
          <w:rFonts w:ascii="Verdana" w:eastAsia="Calibri" w:hAnsi="Verdana" w:cs="Arial"/>
          <w:sz w:val="21"/>
          <w:szCs w:val="21"/>
          <w:lang w:val="es-ES" w:eastAsia="es-ES"/>
        </w:rPr>
      </w:pPr>
      <w:proofErr w:type="spellStart"/>
      <w:r w:rsidRPr="001278F6">
        <w:rPr>
          <w:rFonts w:ascii="Verdana" w:eastAsia="Calibri" w:hAnsi="Verdana" w:cs="Arial"/>
          <w:sz w:val="21"/>
          <w:szCs w:val="21"/>
          <w:lang w:val="es-ES" w:eastAsia="es-ES"/>
        </w:rPr>
        <w:t>ii</w:t>
      </w:r>
      <w:proofErr w:type="spellEnd"/>
      <w:r w:rsidRPr="001278F6">
        <w:rPr>
          <w:rFonts w:ascii="Verdana" w:eastAsia="Calibri" w:hAnsi="Verdana" w:cs="Arial"/>
          <w:sz w:val="21"/>
          <w:szCs w:val="21"/>
          <w:lang w:val="es-ES" w:eastAsia="es-ES"/>
        </w:rPr>
        <w:t xml:space="preserve">) los imprevistos, que es el porcentaje destinado a cubrir los gastos con los que no se contaba y que se presenten durante la ejecución del contrato, esto es, el </w:t>
      </w:r>
      <w:proofErr w:type="spellStart"/>
      <w:r w:rsidRPr="001278F6">
        <w:rPr>
          <w:rFonts w:ascii="Verdana" w:eastAsia="Calibri" w:hAnsi="Verdana" w:cs="Arial"/>
          <w:sz w:val="21"/>
          <w:szCs w:val="21"/>
          <w:lang w:val="es-ES" w:eastAsia="es-ES"/>
        </w:rPr>
        <w:t>álea</w:t>
      </w:r>
      <w:proofErr w:type="spellEnd"/>
      <w:r w:rsidRPr="001278F6">
        <w:rPr>
          <w:rFonts w:ascii="Verdana" w:eastAsia="Calibri" w:hAnsi="Verdana" w:cs="Arial"/>
          <w:sz w:val="21"/>
          <w:szCs w:val="21"/>
          <w:lang w:val="es-ES" w:eastAsia="es-ES"/>
        </w:rPr>
        <w:t xml:space="preserve"> normal del contrato: I; </w:t>
      </w:r>
    </w:p>
    <w:p w14:paraId="465E5ED0" w14:textId="77777777" w:rsidR="001278F6" w:rsidRPr="001278F6" w:rsidRDefault="001278F6" w:rsidP="001278F6">
      <w:pPr>
        <w:tabs>
          <w:tab w:val="left" w:pos="709"/>
        </w:tabs>
        <w:spacing w:after="120" w:line="240" w:lineRule="auto"/>
        <w:ind w:left="709" w:right="709"/>
        <w:jc w:val="both"/>
        <w:rPr>
          <w:rFonts w:ascii="Verdana" w:eastAsia="Calibri" w:hAnsi="Verdana" w:cs="Arial"/>
          <w:sz w:val="21"/>
          <w:szCs w:val="21"/>
          <w:lang w:val="es-ES" w:eastAsia="es-ES"/>
        </w:rPr>
      </w:pPr>
      <w:proofErr w:type="spellStart"/>
      <w:r w:rsidRPr="001278F6">
        <w:rPr>
          <w:rFonts w:ascii="Verdana" w:eastAsia="Calibri" w:hAnsi="Verdana" w:cs="Arial"/>
          <w:sz w:val="21"/>
          <w:szCs w:val="21"/>
          <w:lang w:val="es-ES" w:eastAsia="es-ES"/>
        </w:rPr>
        <w:t>iii</w:t>
      </w:r>
      <w:proofErr w:type="spellEnd"/>
      <w:r w:rsidRPr="001278F6">
        <w:rPr>
          <w:rFonts w:ascii="Verdana" w:eastAsia="Calibri" w:hAnsi="Verdana" w:cs="Arial"/>
          <w:sz w:val="21"/>
          <w:szCs w:val="21"/>
          <w:lang w:val="es-ES" w:eastAsia="es-ES"/>
        </w:rPr>
        <w:t xml:space="preserve">) la utilidad o el beneficio económico que pretende percibir el contratista por la ejecución del contrato, esto es: U. </w:t>
      </w:r>
    </w:p>
    <w:p w14:paraId="2D681DC4" w14:textId="77777777" w:rsidR="001278F6" w:rsidRPr="001278F6" w:rsidRDefault="001278F6" w:rsidP="001278F6">
      <w:pPr>
        <w:tabs>
          <w:tab w:val="left" w:pos="709"/>
        </w:tabs>
        <w:spacing w:after="0" w:line="240" w:lineRule="auto"/>
        <w:ind w:left="709" w:right="709"/>
        <w:jc w:val="both"/>
        <w:rPr>
          <w:rFonts w:ascii="Verdana" w:eastAsia="Calibri" w:hAnsi="Verdana" w:cs="Arial"/>
          <w:sz w:val="21"/>
          <w:szCs w:val="21"/>
          <w:lang w:val="es-ES_tradnl" w:eastAsia="es-ES_tradnl"/>
        </w:rPr>
      </w:pPr>
      <w:r w:rsidRPr="001278F6">
        <w:rPr>
          <w:rFonts w:ascii="Verdana" w:eastAsia="Calibri" w:hAnsi="Verdana" w:cs="Arial"/>
          <w:sz w:val="21"/>
          <w:szCs w:val="21"/>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1278F6">
        <w:rPr>
          <w:rFonts w:ascii="Verdana" w:eastAsia="Calibri" w:hAnsi="Verdana" w:cs="Arial"/>
          <w:sz w:val="21"/>
          <w:szCs w:val="21"/>
          <w:vertAlign w:val="superscript"/>
          <w:lang w:val="es-ES_tradnl" w:eastAsia="es-ES_tradnl"/>
        </w:rPr>
        <w:footnoteReference w:id="5"/>
      </w:r>
      <w:r w:rsidRPr="001278F6">
        <w:rPr>
          <w:rFonts w:ascii="Verdana" w:eastAsia="Calibri" w:hAnsi="Verdana" w:cs="Arial"/>
          <w:sz w:val="21"/>
          <w:szCs w:val="21"/>
          <w:lang w:val="es-ES_tradnl" w:eastAsia="es-ES_tradnl"/>
        </w:rPr>
        <w:t>.</w:t>
      </w:r>
    </w:p>
    <w:p w14:paraId="0E4AB7A1" w14:textId="77777777" w:rsidR="001278F6" w:rsidRPr="001278F6" w:rsidRDefault="001278F6" w:rsidP="001278F6">
      <w:pPr>
        <w:tabs>
          <w:tab w:val="left" w:pos="709"/>
        </w:tabs>
        <w:spacing w:after="0" w:line="276" w:lineRule="auto"/>
        <w:ind w:left="709" w:right="760"/>
        <w:jc w:val="both"/>
        <w:rPr>
          <w:rFonts w:ascii="Verdana" w:eastAsia="Calibri" w:hAnsi="Verdana" w:cs="Arial"/>
          <w:szCs w:val="24"/>
          <w:lang w:val="es-ES_tradnl" w:eastAsia="es-ES_tradnl"/>
        </w:rPr>
      </w:pPr>
    </w:p>
    <w:p w14:paraId="637363A4" w14:textId="77777777" w:rsidR="001278F6" w:rsidRPr="001278F6" w:rsidRDefault="001278F6" w:rsidP="001278F6">
      <w:pPr>
        <w:spacing w:after="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lastRenderedPageBreak/>
        <w:t>A su turno, la Sala de Consulta y Servicio Civil del Consejo de Estado sostuvo en concepto del 5 de septiembre de 2018</w:t>
      </w:r>
      <w:r w:rsidRPr="001278F6">
        <w:rPr>
          <w:rFonts w:ascii="Verdana" w:eastAsia="Calibri" w:hAnsi="Verdana" w:cs="Arial"/>
          <w:vertAlign w:val="superscript"/>
          <w:lang w:val="es-ES" w:eastAsia="es-ES"/>
        </w:rPr>
        <w:footnoteReference w:id="6"/>
      </w:r>
      <w:r w:rsidRPr="001278F6">
        <w:rPr>
          <w:rFonts w:ascii="Verdana" w:eastAsia="Calibri"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1278F6">
        <w:rPr>
          <w:rFonts w:ascii="Verdana" w:eastAsia="Calibri" w:hAnsi="Verdana" w:cs="Arial"/>
          <w:lang w:val="es-ES" w:eastAsia="es-ES"/>
        </w:rPr>
        <w:t>la misma</w:t>
      </w:r>
      <w:proofErr w:type="gramEnd"/>
      <w:r w:rsidRPr="001278F6">
        <w:rPr>
          <w:rFonts w:ascii="Verdana" w:eastAsia="Calibri" w:hAnsi="Verdana" w:cs="Arial"/>
          <w:vertAlign w:val="superscript"/>
          <w:lang w:val="es-ES" w:eastAsia="es-ES"/>
        </w:rPr>
        <w:footnoteReference w:id="7"/>
      </w:r>
      <w:r w:rsidRPr="001278F6">
        <w:rPr>
          <w:rFonts w:ascii="Verdana" w:eastAsia="Calibri" w:hAnsi="Verdana" w:cs="Arial"/>
          <w:lang w:val="es-ES" w:eastAsia="es-ES"/>
        </w:rPr>
        <w:t>, sin perjuicio que en otros contratos este valor no aparezca discriminado y se incorpore en el valor de los precios unitarios”</w:t>
      </w:r>
      <w:r w:rsidRPr="001278F6">
        <w:rPr>
          <w:rFonts w:ascii="Verdana" w:eastAsia="Calibri" w:hAnsi="Verdana" w:cs="Arial"/>
          <w:vertAlign w:val="superscript"/>
          <w:lang w:val="es-ES" w:eastAsia="es-ES"/>
        </w:rPr>
        <w:footnoteReference w:id="8"/>
      </w:r>
      <w:r w:rsidRPr="001278F6">
        <w:rPr>
          <w:rFonts w:ascii="Verdana" w:eastAsia="Calibri" w:hAnsi="Verdana" w:cs="Arial"/>
          <w:lang w:val="es-ES" w:eastAsia="es-ES"/>
        </w:rPr>
        <w:t xml:space="preserve">. </w:t>
      </w:r>
    </w:p>
    <w:p w14:paraId="5CC287B5" w14:textId="77777777" w:rsidR="001278F6" w:rsidRPr="001278F6" w:rsidRDefault="001278F6" w:rsidP="001278F6">
      <w:pPr>
        <w:spacing w:before="120" w:after="0" w:line="276" w:lineRule="auto"/>
        <w:ind w:firstLine="709"/>
        <w:jc w:val="both"/>
        <w:rPr>
          <w:rFonts w:ascii="Verdana" w:eastAsia="Calibri" w:hAnsi="Verdana" w:cs="Arial"/>
          <w:bCs/>
          <w:szCs w:val="24"/>
          <w:lang w:val="es-ES_tradnl" w:eastAsia="es-ES_tradnl"/>
        </w:rPr>
      </w:pPr>
      <w:r w:rsidRPr="001278F6">
        <w:rPr>
          <w:rFonts w:ascii="Verdana" w:eastAsia="Calibri"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1278F6">
        <w:rPr>
          <w:rFonts w:ascii="Verdana" w:eastAsia="Calibri" w:hAnsi="Verdana" w:cs="Arial"/>
          <w:bCs/>
          <w:szCs w:val="24"/>
          <w:vertAlign w:val="superscript"/>
          <w:lang w:val="es-ES_tradnl" w:eastAsia="es-ES_tradnl"/>
        </w:rPr>
        <w:footnoteReference w:id="9"/>
      </w:r>
      <w:r w:rsidRPr="001278F6">
        <w:rPr>
          <w:rFonts w:ascii="Verdana" w:eastAsia="Calibri" w:hAnsi="Verdana" w:cs="Arial"/>
          <w:bCs/>
          <w:szCs w:val="24"/>
          <w:lang w:val="es-ES_tradnl" w:eastAsia="es-ES_tradnl"/>
        </w:rPr>
        <w:t xml:space="preserve">. De otro lado, quien define el valor de cada </w:t>
      </w:r>
      <w:r w:rsidRPr="001278F6">
        <w:rPr>
          <w:rFonts w:ascii="Verdana" w:eastAsia="Calibri" w:hAnsi="Verdana" w:cs="Arial"/>
          <w:bCs/>
          <w:i/>
          <w:iCs/>
          <w:szCs w:val="24"/>
          <w:lang w:val="es-ES_tradnl" w:eastAsia="es-ES_tradnl"/>
        </w:rPr>
        <w:t>letra</w:t>
      </w:r>
      <w:r w:rsidRPr="001278F6">
        <w:rPr>
          <w:rFonts w:ascii="Verdana" w:eastAsia="Calibri" w:hAnsi="Verdana" w:cs="Arial"/>
          <w:bCs/>
          <w:szCs w:val="24"/>
          <w:lang w:val="es-ES_tradnl" w:eastAsia="es-ES_tradnl"/>
        </w:rPr>
        <w:t xml:space="preserve"> –AIU– es el proponente, pues goza de libertad empresarial para hacerlo en la elaboración de su oferta</w:t>
      </w:r>
      <w:r w:rsidRPr="001278F6">
        <w:rPr>
          <w:rFonts w:ascii="Verdana" w:eastAsia="Calibri" w:hAnsi="Verdana" w:cs="Arial"/>
          <w:bCs/>
          <w:szCs w:val="24"/>
          <w:vertAlign w:val="superscript"/>
          <w:lang w:val="es-ES_tradnl" w:eastAsia="es-ES_tradnl"/>
        </w:rPr>
        <w:footnoteReference w:id="10"/>
      </w:r>
      <w:r w:rsidRPr="001278F6">
        <w:rPr>
          <w:rFonts w:ascii="Verdana" w:eastAsia="Calibri" w:hAnsi="Verdana" w:cs="Arial"/>
          <w:bCs/>
          <w:szCs w:val="24"/>
          <w:lang w:val="es-ES_tradnl" w:eastAsia="es-ES_tradnl"/>
        </w:rPr>
        <w:t>.</w:t>
      </w:r>
    </w:p>
    <w:p w14:paraId="2DDD11A2" w14:textId="77777777" w:rsidR="001278F6" w:rsidRPr="001278F6" w:rsidRDefault="001278F6" w:rsidP="001278F6">
      <w:pPr>
        <w:spacing w:before="120" w:after="0" w:line="276" w:lineRule="auto"/>
        <w:ind w:firstLine="709"/>
        <w:jc w:val="both"/>
        <w:rPr>
          <w:rFonts w:ascii="Verdana" w:eastAsia="Calibri" w:hAnsi="Verdana" w:cs="Arial"/>
          <w:lang w:val="es-ES" w:eastAsia="es-ES"/>
        </w:rPr>
      </w:pPr>
      <w:r w:rsidRPr="001278F6">
        <w:rPr>
          <w:rFonts w:ascii="Verdana" w:eastAsia="Calibri" w:hAnsi="Verdana" w:cs="Arial"/>
          <w:lang w:val="es-ES" w:eastAsia="es-ES"/>
        </w:rPr>
        <w:t xml:space="preserve">De esta manera, usualmente en los contratos cuyo valor se estructura bajo el sistema de precios unitarios y con el desglose del AIU, el precio se paga </w:t>
      </w:r>
      <w:r w:rsidRPr="001278F6">
        <w:rPr>
          <w:rFonts w:ascii="Verdana" w:eastAsia="Calibri" w:hAnsi="Verdana" w:cs="Arial"/>
          <w:lang w:val="es-ES" w:eastAsia="es-ES"/>
        </w:rPr>
        <w:lastRenderedPageBreak/>
        <w:t xml:space="preserve">con base en el valor de los costos directos incrementados por el porcentaje del AIU, forma de pago que pueden incluir las entidades estatales en virtud de la autonomía de la voluntad a que remiten los artículos 13, 32 y 40 del EGCAP. </w:t>
      </w:r>
    </w:p>
    <w:p w14:paraId="14FA3664" w14:textId="77777777" w:rsidR="001278F6" w:rsidRPr="001278F6" w:rsidRDefault="001278F6" w:rsidP="001278F6">
      <w:pPr>
        <w:spacing w:before="120" w:after="0" w:line="276" w:lineRule="auto"/>
        <w:ind w:firstLine="709"/>
        <w:jc w:val="both"/>
        <w:rPr>
          <w:rFonts w:ascii="Verdana" w:eastAsia="Calibri" w:hAnsi="Verdana" w:cs="Arial"/>
          <w:lang w:val="es-ES" w:eastAsia="es-ES"/>
        </w:rPr>
      </w:pPr>
      <w:r w:rsidRPr="001278F6">
        <w:rPr>
          <w:rFonts w:ascii="Verdana" w:eastAsia="Aptos" w:hAnsi="Verdana" w:cs="Arial"/>
          <w:kern w:val="2"/>
          <w:lang w:val="es-ES" w:eastAsia="es-ES"/>
          <w14:ligatures w14:val="standardContextual"/>
        </w:rPr>
        <w:t>Así las cosas, las entidades cuentan con discrecionalidad para establecer en el pliego de condiciones o en su documento equivalente, así como en el contrato, el sistema de precios unitarios y la figura del AIU. 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5E055931" w14:textId="77777777" w:rsidR="001278F6" w:rsidRPr="001278F6" w:rsidRDefault="001278F6" w:rsidP="001278F6">
      <w:pPr>
        <w:spacing w:before="120" w:after="120" w:line="276" w:lineRule="auto"/>
        <w:ind w:firstLine="709"/>
        <w:jc w:val="both"/>
        <w:rPr>
          <w:rFonts w:ascii="Verdana" w:eastAsia="Aptos" w:hAnsi="Verdana" w:cs="Arial"/>
          <w:kern w:val="2"/>
          <w:lang w:val="es-ES" w:eastAsia="es-ES"/>
          <w14:ligatures w14:val="standardContextual"/>
        </w:rPr>
      </w:pPr>
      <w:r w:rsidRPr="001278F6">
        <w:rPr>
          <w:rFonts w:ascii="Verdana" w:eastAsia="Aptos" w:hAnsi="Verdana" w:cs="Arial"/>
          <w:kern w:val="2"/>
          <w:lang w:val="es-ES" w:eastAsia="es-ES"/>
          <w14:ligatures w14:val="standardContextual"/>
        </w:rPr>
        <w:t xml:space="preserve">En este contexto, es pertinente señalar que, en caso de que los precios unitarios establecidos en los pliegos de condiciones presenten alguna inconsistencia, el proponente podrá realizar las observaciones correspondientes en los plazos señalados para el efecto. </w:t>
      </w:r>
    </w:p>
    <w:p w14:paraId="0E3B95DB" w14:textId="77777777" w:rsidR="001278F6" w:rsidRPr="001278F6" w:rsidRDefault="001278F6" w:rsidP="001278F6">
      <w:pPr>
        <w:spacing w:before="120" w:after="120" w:line="276" w:lineRule="auto"/>
        <w:ind w:firstLine="709"/>
        <w:jc w:val="both"/>
        <w:rPr>
          <w:rFonts w:ascii="Verdana" w:eastAsia="Aptos" w:hAnsi="Verdana" w:cs="Arial"/>
          <w:kern w:val="2"/>
          <w:lang w:val="es-ES" w:eastAsia="es-ES"/>
          <w14:ligatures w14:val="standardContextual"/>
        </w:rPr>
      </w:pPr>
      <w:r w:rsidRPr="001278F6">
        <w:rPr>
          <w:rFonts w:ascii="Verdana" w:eastAsia="Aptos" w:hAnsi="Verdana" w:cs="Arial"/>
          <w:kern w:val="2"/>
          <w:lang w:val="es-ES" w:eastAsia="es-ES"/>
          <w14:ligatures w14:val="standardContextual"/>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1EF09900" w14:textId="77777777" w:rsidR="001278F6" w:rsidRPr="001278F6" w:rsidRDefault="001278F6" w:rsidP="001278F6">
      <w:pPr>
        <w:spacing w:before="120" w:after="120" w:line="276" w:lineRule="auto"/>
        <w:ind w:firstLine="709"/>
        <w:jc w:val="both"/>
        <w:rPr>
          <w:rFonts w:ascii="Verdana" w:eastAsia="Aptos" w:hAnsi="Verdana" w:cs="Arial"/>
          <w:kern w:val="2"/>
          <w:lang w:val="es-ES" w:eastAsia="es-ES"/>
          <w14:ligatures w14:val="standardContextual"/>
        </w:rPr>
      </w:pPr>
      <w:r w:rsidRPr="001278F6">
        <w:rPr>
          <w:rFonts w:ascii="Verdana" w:eastAsia="Aptos" w:hAnsi="Verdana" w:cs="Times New Roman"/>
          <w:kern w:val="2"/>
          <w14:ligatures w14:val="standardContextual"/>
        </w:rPr>
        <w:t>Bajo el panorama general sobre el análisis de precios unitarios en los contratos de obra, para responder los problemas jurídico planteados en este concepto, debe indicarse que, el Consejo de Estado ha definido las obras adicionales como</w:t>
      </w:r>
      <w:r w:rsidRPr="001278F6">
        <w:rPr>
          <w:rFonts w:ascii="Verdana" w:eastAsia="Aptos" w:hAnsi="Verdana" w:cs="Times New Roman"/>
          <w:i/>
          <w:kern w:val="2"/>
          <w14:ligatures w14:val="standardContextual"/>
        </w:rPr>
        <w:t xml:space="preserve"> “aquellas obras distintas de las inicialmente previstas en el objeto contractual, o ítems no previstos pero cuya ejecución se torna necesaria para cumplirlo a cabalidad, en tal sentido su reconocimiento implica variación </w:t>
      </w:r>
      <w:r w:rsidRPr="001278F6">
        <w:rPr>
          <w:rFonts w:ascii="Verdana" w:eastAsia="Aptos" w:hAnsi="Verdana" w:cs="Times New Roman"/>
          <w:i/>
          <w:kern w:val="2"/>
          <w14:ligatures w14:val="standardContextual"/>
        </w:rPr>
        <w:lastRenderedPageBreak/>
        <w:t>del contrato”</w:t>
      </w:r>
      <w:r w:rsidRPr="001278F6">
        <w:rPr>
          <w:rFonts w:ascii="Verdana" w:eastAsia="Aptos" w:hAnsi="Verdana" w:cs="Times New Roman"/>
          <w:kern w:val="2"/>
          <w:vertAlign w:val="superscript"/>
          <w14:ligatures w14:val="standardContextual"/>
        </w:rPr>
        <w:footnoteReference w:id="11"/>
      </w:r>
      <w:r w:rsidRPr="001278F6">
        <w:rPr>
          <w:rFonts w:ascii="Verdana" w:eastAsia="Aptos" w:hAnsi="Verdana" w:cs="Times New Roman"/>
          <w:i/>
          <w:kern w:val="2"/>
          <w14:ligatures w14:val="standardContextual"/>
        </w:rPr>
        <w:t xml:space="preserve">. </w:t>
      </w:r>
      <w:r w:rsidRPr="001278F6">
        <w:rPr>
          <w:rFonts w:ascii="Verdana" w:eastAsia="Aptos" w:hAnsi="Verdana" w:cs="Times New Roman"/>
          <w:kern w:val="2"/>
          <w14:ligatures w14:val="standardContextual"/>
        </w:rPr>
        <w:t>Igualmente, la mencionada Corporación ha señalado que, cuando las partes estimen necesario incluir una obra adicional o extra que comprenda aumentar el valor del contrato, se deberá suscribir un contrato adicional, que formalice tal modificación, dado que, de lo contrario, no podrá reconocerse su pago</w:t>
      </w:r>
      <w:r w:rsidRPr="001278F6">
        <w:rPr>
          <w:rFonts w:ascii="Verdana" w:eastAsia="Aptos" w:hAnsi="Verdana" w:cs="Times New Roman"/>
          <w:kern w:val="2"/>
          <w:vertAlign w:val="superscript"/>
          <w14:ligatures w14:val="standardContextual"/>
        </w:rPr>
        <w:footnoteReference w:id="12"/>
      </w:r>
      <w:r w:rsidRPr="001278F6">
        <w:rPr>
          <w:rFonts w:ascii="Verdana" w:eastAsia="Aptos" w:hAnsi="Verdana" w:cs="Times New Roman"/>
          <w:kern w:val="2"/>
          <w14:ligatures w14:val="standardContextual"/>
        </w:rPr>
        <w:t>.</w:t>
      </w:r>
    </w:p>
    <w:p w14:paraId="0F2A4F73" w14:textId="77777777" w:rsidR="001278F6" w:rsidRPr="001278F6" w:rsidRDefault="001278F6" w:rsidP="001278F6">
      <w:pPr>
        <w:spacing w:before="120" w:after="120" w:line="276" w:lineRule="auto"/>
        <w:ind w:firstLine="709"/>
        <w:jc w:val="both"/>
        <w:rPr>
          <w:rFonts w:ascii="Verdana" w:eastAsia="Aptos" w:hAnsi="Verdana" w:cs="Arial"/>
          <w:kern w:val="2"/>
          <w:lang w:val="es-ES" w:eastAsia="es-ES"/>
          <w14:ligatures w14:val="standardContextual"/>
        </w:rPr>
      </w:pPr>
      <w:r w:rsidRPr="001278F6">
        <w:rPr>
          <w:rFonts w:ascii="Verdana" w:eastAsia="Calibri" w:hAnsi="Verdana" w:cs="Arial"/>
          <w:iCs/>
          <w:color w:val="000000"/>
          <w:lang w:val="es-ES"/>
        </w:rPr>
        <w:t xml:space="preserve">El contrato adicional consiste esencialmente en la inclusión de nuevos elementos (bienes, obras, servicios o suministros) al objeto del negocio jurídico, </w:t>
      </w:r>
      <w:proofErr w:type="gramStart"/>
      <w:r w:rsidRPr="001278F6">
        <w:rPr>
          <w:rFonts w:ascii="Verdana" w:eastAsia="Calibri" w:hAnsi="Verdana" w:cs="Arial"/>
          <w:iCs/>
          <w:color w:val="000000"/>
          <w:lang w:val="es-ES"/>
        </w:rPr>
        <w:t>que</w:t>
      </w:r>
      <w:proofErr w:type="gramEnd"/>
      <w:r w:rsidRPr="001278F6">
        <w:rPr>
          <w:rFonts w:ascii="Verdana" w:eastAsia="Calibri" w:hAnsi="Verdana" w:cs="Arial"/>
          <w:iCs/>
          <w:color w:val="000000"/>
          <w:lang w:val="es-ES"/>
        </w:rPr>
        <w:t xml:space="preserve"> pese a no estar previstos en él, guardan una estrecha relación y se requieren para lograr la correcta ejecución del acuerdo de voluntades pactado. En este sentido, este instrumento es una herramienta que permite adaptar el negocio a las necesidades administrativas e implica la inclusión de nuevas obras, bienes, servicios o suministros en el negocio original, los cuales son indispensables para que el objeto contractual cumpla la finalidad buscada por la entidad estatal contratante</w:t>
      </w:r>
      <w:r w:rsidRPr="001278F6">
        <w:rPr>
          <w:rFonts w:ascii="Verdana" w:eastAsia="Calibri" w:hAnsi="Verdana" w:cs="Arial"/>
          <w:iCs/>
          <w:color w:val="000000"/>
          <w:vertAlign w:val="superscript"/>
          <w:lang w:val="es-ES"/>
        </w:rPr>
        <w:footnoteReference w:id="13"/>
      </w:r>
      <w:r w:rsidRPr="001278F6">
        <w:rPr>
          <w:rFonts w:ascii="Verdana" w:eastAsia="Calibri" w:hAnsi="Verdana" w:cs="Arial"/>
          <w:iCs/>
          <w:color w:val="000000"/>
          <w:lang w:val="es-ES"/>
        </w:rPr>
        <w:t xml:space="preserve">. </w:t>
      </w:r>
    </w:p>
    <w:p w14:paraId="653695F7" w14:textId="77777777" w:rsidR="001278F6" w:rsidRPr="001278F6" w:rsidRDefault="001278F6" w:rsidP="001278F6">
      <w:pPr>
        <w:widowControl w:val="0"/>
        <w:autoSpaceDE w:val="0"/>
        <w:autoSpaceDN w:val="0"/>
        <w:spacing w:after="120" w:line="276" w:lineRule="auto"/>
        <w:ind w:firstLine="708"/>
        <w:jc w:val="both"/>
        <w:rPr>
          <w:rFonts w:ascii="Verdana" w:eastAsia="Calibri" w:hAnsi="Verdana" w:cs="Arial"/>
          <w:iCs/>
          <w:color w:val="000000"/>
          <w:lang w:val="es-ES"/>
        </w:rPr>
      </w:pPr>
      <w:r w:rsidRPr="001278F6">
        <w:rPr>
          <w:rFonts w:ascii="Verdana" w:eastAsia="Calibri" w:hAnsi="Verdana" w:cs="Arial"/>
          <w:iCs/>
          <w:color w:val="000000"/>
          <w:lang w:val="es-ES"/>
        </w:rPr>
        <w:t>El contrato adicional puede tener lugar cuando, durante la etapa de ejecución, se reconoce la necesidad de incorporar una o varias prestaciones a la relación obligacional, para colmar el interés colectivo que justifica la existencia misma del acuerdo de voluntades. En este sentido, las prestaciones adicionales, pueden incidir en la modificación del precio global del contrato y de los precios unitarios, siempre que no se trate de la aplicación de fórmulas o cálculos de actualización</w:t>
      </w:r>
      <w:r w:rsidRPr="001278F6">
        <w:rPr>
          <w:rFonts w:ascii="Verdana" w:eastAsia="Calibri" w:hAnsi="Verdana" w:cs="Arial"/>
          <w:iCs/>
          <w:color w:val="000000"/>
          <w:vertAlign w:val="superscript"/>
          <w:lang w:val="es-ES"/>
        </w:rPr>
        <w:footnoteReference w:id="14"/>
      </w:r>
      <w:r w:rsidRPr="001278F6">
        <w:rPr>
          <w:rFonts w:ascii="Verdana" w:eastAsia="Calibri" w:hAnsi="Verdana" w:cs="Arial"/>
          <w:iCs/>
          <w:color w:val="000000"/>
          <w:lang w:val="es-ES"/>
        </w:rPr>
        <w:t>. En este sentido, el Consejo de Estado en relación con las obras adicionales, precisó que se trata de “(…) aquellas carentes de consagración en el contrato y para las cuales resulta necesario establecer nuevos precios unitarios (…)”</w:t>
      </w:r>
      <w:r w:rsidRPr="001278F6">
        <w:rPr>
          <w:rFonts w:ascii="Verdana" w:eastAsia="Calibri" w:hAnsi="Verdana" w:cs="Arial"/>
          <w:iCs/>
          <w:color w:val="000000"/>
          <w:vertAlign w:val="superscript"/>
          <w:lang w:val="es-ES"/>
        </w:rPr>
        <w:footnoteReference w:id="15"/>
      </w:r>
      <w:r w:rsidRPr="001278F6">
        <w:rPr>
          <w:rFonts w:ascii="Verdana" w:eastAsia="Calibri" w:hAnsi="Verdana" w:cs="Arial"/>
          <w:iCs/>
          <w:color w:val="000000"/>
          <w:lang w:val="es-ES"/>
        </w:rPr>
        <w:t xml:space="preserve">, por lo tanto, la ejecución de obras adicionales o ítems no </w:t>
      </w:r>
      <w:r w:rsidRPr="001278F6">
        <w:rPr>
          <w:rFonts w:ascii="Verdana" w:eastAsia="Calibri" w:hAnsi="Verdana" w:cs="Arial"/>
          <w:iCs/>
          <w:color w:val="000000"/>
          <w:lang w:val="es-ES"/>
        </w:rPr>
        <w:lastRenderedPageBreak/>
        <w:t>previstos implica fijar nuevos precios unitarios para poder reconocer y pagar esos trabajos.</w:t>
      </w:r>
    </w:p>
    <w:p w14:paraId="7A23FE7E" w14:textId="77777777" w:rsidR="001278F6" w:rsidRPr="001278F6" w:rsidRDefault="001278F6" w:rsidP="001278F6">
      <w:pPr>
        <w:widowControl w:val="0"/>
        <w:autoSpaceDE w:val="0"/>
        <w:autoSpaceDN w:val="0"/>
        <w:spacing w:after="120" w:line="276" w:lineRule="auto"/>
        <w:ind w:firstLine="708"/>
        <w:jc w:val="both"/>
        <w:rPr>
          <w:rFonts w:ascii="Verdana" w:eastAsia="Calibri" w:hAnsi="Verdana" w:cs="Arial"/>
          <w:iCs/>
          <w:color w:val="000000"/>
          <w:lang w:val="es-ES"/>
        </w:rPr>
      </w:pPr>
      <w:r w:rsidRPr="001278F6">
        <w:rPr>
          <w:rFonts w:ascii="Verdana" w:eastAsia="Calibri" w:hAnsi="Verdana" w:cs="Arial"/>
          <w:iCs/>
          <w:color w:val="000000"/>
          <w:lang w:val="es-ES"/>
        </w:rPr>
        <w:t xml:space="preserve">La incorporación de obras adicionales o de ítems no contemplados en el contrato de obra implica la modificación del objeto contractual, lo que general para la Entidad la obligación de establecer precios unitarios correspondientes a dichos nuevos elementos. En estos casos, la Entidad contratante deberá definir tales precios con base en un análisis técnico-económico que refleje la estructura de costos vigentes, manteniendo la coherencia con los criterios aplicados en la contratación inicial. Para ello la administración cuenta con autonomía técnica y administrativa para fijar los precios unitarios, siempre que se respeten los principios de economía, transparencia y responsabilidad, sin que ello implique la imposición arbitraria de condiciones económicas ajenas a la realidad del mercado o a los costos razonables de la ejecución. </w:t>
      </w:r>
    </w:p>
    <w:p w14:paraId="51E718D7" w14:textId="77777777" w:rsidR="001278F6" w:rsidRPr="001278F6" w:rsidRDefault="001278F6" w:rsidP="001278F6">
      <w:pPr>
        <w:widowControl w:val="0"/>
        <w:autoSpaceDE w:val="0"/>
        <w:autoSpaceDN w:val="0"/>
        <w:spacing w:after="120" w:line="276" w:lineRule="auto"/>
        <w:ind w:firstLine="708"/>
        <w:jc w:val="both"/>
        <w:rPr>
          <w:rFonts w:ascii="Verdana" w:eastAsia="Calibri" w:hAnsi="Verdana" w:cs="Arial"/>
          <w:iCs/>
          <w:color w:val="000000"/>
          <w:lang w:val="es-ES"/>
        </w:rPr>
      </w:pPr>
      <w:r w:rsidRPr="001278F6">
        <w:rPr>
          <w:rFonts w:ascii="Verdana" w:eastAsia="Calibri" w:hAnsi="Verdana" w:cs="Arial"/>
          <w:iCs/>
          <w:color w:val="000000"/>
          <w:lang w:val="es-ES"/>
        </w:rPr>
        <w:t xml:space="preserve">En este sentido, para la determinación de los precios unitarios correspondientes a obras adicionales o ítems no previstos, la Agencia Nacional de Contratación Pública – Colombia Compra Eficiente considera que, dado que este procedimiento no cuenta con una regulación normativa específica en materia contractual, el primer paso que debe seguir la Entidad consiste en remitirse al texto contractual. Ello con el fin de verificar si las partes establecieron un procedimiento aplicable para fijar el valor de actividades o ítems no contemplados inicialmente. Con base en esta revisión, se podrá elaborar el correspondiente análisis de precios unitarios y, proceder con la celebración de un contrato adicional o modificatorio </w:t>
      </w:r>
      <w:proofErr w:type="gramStart"/>
      <w:r w:rsidRPr="001278F6">
        <w:rPr>
          <w:rFonts w:ascii="Verdana" w:eastAsia="Calibri" w:hAnsi="Verdana" w:cs="Arial"/>
          <w:iCs/>
          <w:color w:val="000000"/>
          <w:lang w:val="es-ES"/>
        </w:rPr>
        <w:t>del inicial</w:t>
      </w:r>
      <w:proofErr w:type="gramEnd"/>
      <w:r w:rsidRPr="001278F6">
        <w:rPr>
          <w:rFonts w:ascii="Verdana" w:eastAsia="Calibri" w:hAnsi="Verdana" w:cs="Arial"/>
          <w:iCs/>
          <w:color w:val="000000"/>
          <w:lang w:val="es-ES"/>
        </w:rPr>
        <w:t xml:space="preserve">. </w:t>
      </w:r>
    </w:p>
    <w:p w14:paraId="29B0CDB1" w14:textId="77777777" w:rsidR="001278F6" w:rsidRPr="001278F6" w:rsidRDefault="001278F6" w:rsidP="001278F6">
      <w:pPr>
        <w:widowControl w:val="0"/>
        <w:autoSpaceDE w:val="0"/>
        <w:autoSpaceDN w:val="0"/>
        <w:spacing w:after="0" w:line="276" w:lineRule="auto"/>
        <w:ind w:firstLine="708"/>
        <w:jc w:val="both"/>
        <w:rPr>
          <w:rFonts w:ascii="Verdana" w:eastAsia="Calibri" w:hAnsi="Verdana" w:cs="Arial"/>
          <w:iCs/>
          <w:color w:val="000000"/>
          <w:lang w:val="es-ES"/>
        </w:rPr>
      </w:pPr>
      <w:r w:rsidRPr="001278F6">
        <w:rPr>
          <w:rFonts w:ascii="Verdana" w:eastAsia="Calibri" w:hAnsi="Verdana" w:cs="Arial"/>
          <w:iCs/>
          <w:color w:val="000000"/>
          <w:lang w:val="es-ES"/>
        </w:rPr>
        <w:t>Sin perjuicio de lo anterior, es pertinente señalar que esta Agencia considera que, para la determinación de esos “nuevos precios”, además de atender lo previsto en el contrato -y en caso de que este no contemple un procedimiento específico-, pueden tenerse en cuenta los siguientes aspectos:</w:t>
      </w:r>
    </w:p>
    <w:p w14:paraId="7ECFD41E" w14:textId="77777777" w:rsidR="001278F6" w:rsidRPr="001278F6" w:rsidRDefault="001278F6" w:rsidP="001278F6">
      <w:pPr>
        <w:widowControl w:val="0"/>
        <w:autoSpaceDE w:val="0"/>
        <w:autoSpaceDN w:val="0"/>
        <w:spacing w:after="0" w:line="276" w:lineRule="auto"/>
        <w:ind w:firstLine="708"/>
        <w:jc w:val="both"/>
        <w:rPr>
          <w:rFonts w:ascii="Verdana" w:eastAsia="Calibri" w:hAnsi="Verdana" w:cs="Arial"/>
          <w:iCs/>
          <w:color w:val="000000"/>
          <w:lang w:val="es-ES"/>
        </w:rPr>
      </w:pPr>
    </w:p>
    <w:p w14:paraId="0609746B" w14:textId="77777777" w:rsidR="001278F6" w:rsidRPr="001278F6" w:rsidRDefault="001278F6" w:rsidP="00ED2CEC">
      <w:pPr>
        <w:widowControl w:val="0"/>
        <w:numPr>
          <w:ilvl w:val="0"/>
          <w:numId w:val="19"/>
        </w:numPr>
        <w:autoSpaceDE w:val="0"/>
        <w:autoSpaceDN w:val="0"/>
        <w:spacing w:after="0" w:line="276" w:lineRule="auto"/>
        <w:contextualSpacing/>
        <w:jc w:val="both"/>
        <w:rPr>
          <w:rFonts w:ascii="Verdana" w:eastAsia="Calibri" w:hAnsi="Verdana" w:cs="Arial"/>
          <w:iCs/>
          <w:color w:val="000000"/>
        </w:rPr>
      </w:pPr>
      <w:r w:rsidRPr="001278F6">
        <w:rPr>
          <w:rFonts w:ascii="Verdana" w:eastAsia="Calibri" w:hAnsi="Verdana" w:cs="Arial"/>
          <w:iCs/>
          <w:color w:val="000000"/>
        </w:rPr>
        <w:t>La interventoría o supervisión del contrato debe identificar el ítem no previsto y justificar técnicamente la necesidad de establecer el o los precios unitarios adicionales que se requieran pactar.</w:t>
      </w:r>
    </w:p>
    <w:p w14:paraId="33C3E78B" w14:textId="77777777" w:rsidR="001278F6" w:rsidRPr="001278F6" w:rsidRDefault="001278F6" w:rsidP="00ED2CEC">
      <w:pPr>
        <w:widowControl w:val="0"/>
        <w:numPr>
          <w:ilvl w:val="0"/>
          <w:numId w:val="19"/>
        </w:numPr>
        <w:autoSpaceDE w:val="0"/>
        <w:autoSpaceDN w:val="0"/>
        <w:spacing w:after="0" w:line="276" w:lineRule="auto"/>
        <w:contextualSpacing/>
        <w:jc w:val="both"/>
        <w:rPr>
          <w:rFonts w:ascii="Verdana" w:eastAsia="Calibri" w:hAnsi="Verdana" w:cs="Arial"/>
          <w:iCs/>
          <w:color w:val="000000"/>
        </w:rPr>
      </w:pPr>
      <w:r w:rsidRPr="001278F6">
        <w:rPr>
          <w:rFonts w:ascii="Verdana" w:eastAsia="Calibri" w:hAnsi="Verdana" w:cs="Arial"/>
          <w:iCs/>
          <w:color w:val="000000"/>
        </w:rPr>
        <w:t xml:space="preserve">Para la elaboración del Análisis de Precios Unitarios (APU), el contratista debe presentar el desglose de los costos directos —materiales, mano de obra, herramienta menor, transporte, equipos, entre otros— con su respectivo soporte técnico, así como los costos indirectos, aplicando la metodología establecida en el </w:t>
      </w:r>
      <w:r w:rsidRPr="001278F6">
        <w:rPr>
          <w:rFonts w:ascii="Verdana" w:eastAsia="Calibri" w:hAnsi="Verdana" w:cs="Arial"/>
          <w:iCs/>
          <w:color w:val="000000"/>
        </w:rPr>
        <w:lastRenderedPageBreak/>
        <w:t>contrato o en los manuales de contratación, en los cuales se define el procedimiento interno para la fijación de precios unitarios de ítems no previstos.</w:t>
      </w:r>
    </w:p>
    <w:p w14:paraId="7D967B96" w14:textId="77777777" w:rsidR="001278F6" w:rsidRPr="001278F6" w:rsidRDefault="001278F6" w:rsidP="00ED2CEC">
      <w:pPr>
        <w:widowControl w:val="0"/>
        <w:numPr>
          <w:ilvl w:val="0"/>
          <w:numId w:val="19"/>
        </w:numPr>
        <w:autoSpaceDE w:val="0"/>
        <w:autoSpaceDN w:val="0"/>
        <w:spacing w:after="0" w:line="276" w:lineRule="auto"/>
        <w:contextualSpacing/>
        <w:jc w:val="both"/>
        <w:rPr>
          <w:rFonts w:ascii="Verdana" w:eastAsia="Calibri" w:hAnsi="Verdana" w:cs="Arial"/>
          <w:iCs/>
          <w:color w:val="000000"/>
        </w:rPr>
      </w:pPr>
      <w:r w:rsidRPr="001278F6">
        <w:rPr>
          <w:rFonts w:ascii="Verdana" w:eastAsia="Calibri" w:hAnsi="Verdana" w:cs="Arial"/>
          <w:iCs/>
          <w:color w:val="000000"/>
        </w:rPr>
        <w:t>El interventor, y posteriormente la entidad contratante, deben revisar que los valores y cantidades presentados por el contratista para los precios unitarios adicionales sean razonables y se ajusten a las condiciones del mercado. Asimismo, deberán solicitar los soportes que consideren necesarios para respaldar los nuevos precios. Entre estos soportes se puede requerir la presentación de cotizaciones de mercado que justifiquen los valores de materiales, equipos o insumos no contemplados inicialmente.</w:t>
      </w:r>
    </w:p>
    <w:p w14:paraId="11101D42" w14:textId="77777777" w:rsidR="001278F6" w:rsidRPr="001278F6" w:rsidRDefault="001278F6" w:rsidP="00ED2CEC">
      <w:pPr>
        <w:widowControl w:val="0"/>
        <w:numPr>
          <w:ilvl w:val="0"/>
          <w:numId w:val="19"/>
        </w:numPr>
        <w:autoSpaceDE w:val="0"/>
        <w:autoSpaceDN w:val="0"/>
        <w:spacing w:after="0" w:line="276" w:lineRule="auto"/>
        <w:contextualSpacing/>
        <w:jc w:val="both"/>
        <w:rPr>
          <w:rFonts w:ascii="Verdana" w:eastAsia="Calibri" w:hAnsi="Verdana" w:cs="Arial"/>
          <w:iCs/>
          <w:color w:val="000000"/>
        </w:rPr>
      </w:pPr>
      <w:r w:rsidRPr="001278F6">
        <w:rPr>
          <w:rFonts w:ascii="Verdana" w:eastAsia="Calibri" w:hAnsi="Verdana" w:cs="Arial"/>
          <w:iCs/>
          <w:color w:val="000000"/>
        </w:rPr>
        <w:t>La exigencia de cotizaciones surge como una medida de garantía por parte de la interventoría o la supervisión, con el fin de mantener el equilibrio económico del contrato, asegurar la transparencia, la razonabilidad de los costos y, al mismo tiempo, garantizar que el contratista reciba un pago justo por las obras adicionales pactadas, evitando sobrecostos o pagos sin soporte.</w:t>
      </w:r>
    </w:p>
    <w:p w14:paraId="323F38E1" w14:textId="77777777" w:rsidR="001278F6" w:rsidRPr="001278F6" w:rsidRDefault="001278F6" w:rsidP="00ED2CEC">
      <w:pPr>
        <w:widowControl w:val="0"/>
        <w:numPr>
          <w:ilvl w:val="0"/>
          <w:numId w:val="19"/>
        </w:numPr>
        <w:autoSpaceDE w:val="0"/>
        <w:autoSpaceDN w:val="0"/>
        <w:spacing w:after="0" w:line="276" w:lineRule="auto"/>
        <w:contextualSpacing/>
        <w:jc w:val="both"/>
        <w:rPr>
          <w:rFonts w:ascii="Verdana" w:eastAsia="Calibri" w:hAnsi="Verdana" w:cs="Arial"/>
          <w:iCs/>
          <w:color w:val="000000"/>
        </w:rPr>
      </w:pPr>
      <w:r w:rsidRPr="001278F6">
        <w:rPr>
          <w:rFonts w:ascii="Verdana" w:eastAsia="Calibri" w:hAnsi="Verdana" w:cs="Arial"/>
          <w:iCs/>
          <w:color w:val="000000"/>
        </w:rPr>
        <w:t xml:space="preserve">Las partes deben suscribir el “Acta de fijación de precios no previstos”, la cual deberá estar firmada por la entidad contratante, el contratista y contar con el aval del interventor o supervisor. </w:t>
      </w:r>
    </w:p>
    <w:p w14:paraId="3E75E9A7" w14:textId="77777777" w:rsidR="001278F6" w:rsidRPr="001278F6" w:rsidRDefault="001278F6" w:rsidP="001278F6">
      <w:pPr>
        <w:widowControl w:val="0"/>
        <w:autoSpaceDE w:val="0"/>
        <w:autoSpaceDN w:val="0"/>
        <w:spacing w:after="0" w:line="276" w:lineRule="auto"/>
        <w:ind w:left="709"/>
        <w:jc w:val="both"/>
        <w:rPr>
          <w:rFonts w:ascii="Verdana" w:eastAsia="Calibri" w:hAnsi="Verdana" w:cs="Arial"/>
          <w:iCs/>
          <w:color w:val="000000"/>
        </w:rPr>
      </w:pPr>
    </w:p>
    <w:p w14:paraId="4C91844F" w14:textId="77777777" w:rsidR="001278F6" w:rsidRPr="001278F6" w:rsidRDefault="001278F6" w:rsidP="001278F6">
      <w:pPr>
        <w:widowControl w:val="0"/>
        <w:autoSpaceDE w:val="0"/>
        <w:autoSpaceDN w:val="0"/>
        <w:spacing w:after="0" w:line="276" w:lineRule="auto"/>
        <w:ind w:firstLine="708"/>
        <w:jc w:val="both"/>
        <w:rPr>
          <w:rFonts w:ascii="Verdana" w:eastAsia="Calibri" w:hAnsi="Verdana" w:cs="Arial"/>
          <w:iCs/>
          <w:color w:val="000000"/>
        </w:rPr>
      </w:pPr>
      <w:r w:rsidRPr="001278F6">
        <w:rPr>
          <w:rFonts w:ascii="Verdana" w:eastAsia="Calibri" w:hAnsi="Verdana" w:cs="Arial"/>
          <w:iCs/>
          <w:color w:val="000000"/>
          <w:lang w:val="es-ES"/>
        </w:rPr>
        <w:t xml:space="preserve">Debe indicarse que, </w:t>
      </w:r>
      <w:r w:rsidRPr="001278F6">
        <w:rPr>
          <w:rFonts w:ascii="Verdana" w:eastAsia="Calibri" w:hAnsi="Verdana" w:cs="Arial"/>
          <w:iCs/>
          <w:color w:val="000000"/>
        </w:rPr>
        <w:t>el interventor tiene la responsabilidad de verificar y controlar la correcta ejecución de las actividades pactadas en el contrato. Sin embargo, no le está permitido modificar el clausulado del contrato, ya que dicha facultad recae exclusivamente en las partes que celebraron el negocio jurídico. En este sentido, según lo señalado por la jurisprudencia del Consejo de Estado:</w:t>
      </w:r>
    </w:p>
    <w:p w14:paraId="058D9FF9" w14:textId="77777777" w:rsidR="001278F6" w:rsidRPr="001278F6" w:rsidRDefault="001278F6" w:rsidP="001278F6">
      <w:pPr>
        <w:widowControl w:val="0"/>
        <w:autoSpaceDE w:val="0"/>
        <w:autoSpaceDN w:val="0"/>
        <w:spacing w:after="0" w:line="276" w:lineRule="auto"/>
        <w:ind w:firstLine="708"/>
        <w:jc w:val="both"/>
        <w:rPr>
          <w:rFonts w:ascii="Verdana" w:eastAsia="Calibri" w:hAnsi="Verdana" w:cs="Arial"/>
          <w:iCs/>
          <w:color w:val="000000"/>
        </w:rPr>
      </w:pPr>
    </w:p>
    <w:p w14:paraId="253EBBB2" w14:textId="77777777" w:rsidR="001278F6" w:rsidRPr="001278F6" w:rsidRDefault="001278F6" w:rsidP="001278F6">
      <w:pPr>
        <w:widowControl w:val="0"/>
        <w:autoSpaceDE w:val="0"/>
        <w:autoSpaceDN w:val="0"/>
        <w:spacing w:after="0" w:line="240" w:lineRule="auto"/>
        <w:ind w:left="709" w:right="709"/>
        <w:jc w:val="both"/>
        <w:rPr>
          <w:rFonts w:ascii="Verdana" w:eastAsia="Calibri" w:hAnsi="Verdana" w:cs="Arial"/>
          <w:iCs/>
          <w:color w:val="000000"/>
          <w:sz w:val="21"/>
          <w:szCs w:val="21"/>
        </w:rPr>
      </w:pPr>
      <w:r w:rsidRPr="001278F6">
        <w:rPr>
          <w:rFonts w:ascii="Verdana" w:eastAsia="Calibri" w:hAnsi="Verdana" w:cs="Arial"/>
          <w:iCs/>
          <w:color w:val="000000"/>
          <w:sz w:val="21"/>
          <w:szCs w:val="21"/>
        </w:rPr>
        <w:t xml:space="preserve">“(…) al interventor no le corresponde concertar modificación a las estipulaciones del acuerdo de voluntades objeto de su control y vigilancia, </w:t>
      </w:r>
      <w:r w:rsidRPr="001278F6">
        <w:rPr>
          <w:rFonts w:ascii="Verdana" w:eastAsia="Calibri" w:hAnsi="Verdana" w:cs="Arial"/>
          <w:i/>
          <w:color w:val="000000"/>
          <w:sz w:val="21"/>
          <w:szCs w:val="21"/>
        </w:rPr>
        <w:t>como lo es, ciertamente, convenir el precio de actividades no previstas.</w:t>
      </w:r>
      <w:r w:rsidRPr="001278F6">
        <w:rPr>
          <w:rFonts w:ascii="Verdana" w:eastAsia="Calibri" w:hAnsi="Verdana" w:cs="Arial"/>
          <w:iCs/>
          <w:color w:val="000000"/>
          <w:sz w:val="21"/>
          <w:szCs w:val="21"/>
        </w:rPr>
        <w:t xml:space="preserve"> En otras palabras, el interventor del contrato no puede obligar a la entidad, porque no ostenta su representación para suscribir contratos adicionales”</w:t>
      </w:r>
      <w:r w:rsidRPr="001278F6">
        <w:rPr>
          <w:rFonts w:ascii="Verdana" w:eastAsia="Calibri" w:hAnsi="Verdana" w:cs="Arial"/>
          <w:iCs/>
          <w:color w:val="000000"/>
          <w:sz w:val="21"/>
          <w:szCs w:val="21"/>
          <w:vertAlign w:val="superscript"/>
        </w:rPr>
        <w:footnoteReference w:id="16"/>
      </w:r>
      <w:r w:rsidRPr="001278F6">
        <w:rPr>
          <w:rFonts w:ascii="Verdana" w:eastAsia="Calibri" w:hAnsi="Verdana" w:cs="Arial"/>
          <w:iCs/>
          <w:color w:val="000000"/>
          <w:sz w:val="21"/>
          <w:szCs w:val="21"/>
        </w:rPr>
        <w:t>.(énfasis fuera del texto original)</w:t>
      </w:r>
    </w:p>
    <w:p w14:paraId="72B363E4" w14:textId="77777777" w:rsidR="001278F6" w:rsidRPr="001278F6" w:rsidRDefault="001278F6" w:rsidP="001278F6">
      <w:pPr>
        <w:widowControl w:val="0"/>
        <w:autoSpaceDE w:val="0"/>
        <w:autoSpaceDN w:val="0"/>
        <w:spacing w:after="0" w:line="276" w:lineRule="auto"/>
        <w:jc w:val="both"/>
        <w:rPr>
          <w:rFonts w:ascii="Verdana" w:eastAsia="Calibri" w:hAnsi="Verdana" w:cs="Arial"/>
          <w:iCs/>
          <w:color w:val="000000"/>
          <w:lang w:val="es-ES"/>
        </w:rPr>
      </w:pPr>
    </w:p>
    <w:p w14:paraId="670C25ED" w14:textId="77777777" w:rsidR="001278F6" w:rsidRPr="001278F6" w:rsidRDefault="001278F6" w:rsidP="001278F6">
      <w:pPr>
        <w:widowControl w:val="0"/>
        <w:autoSpaceDE w:val="0"/>
        <w:autoSpaceDN w:val="0"/>
        <w:spacing w:after="120" w:line="276" w:lineRule="auto"/>
        <w:jc w:val="both"/>
        <w:rPr>
          <w:rFonts w:ascii="Verdana" w:eastAsia="Calibri" w:hAnsi="Verdana" w:cs="Arial"/>
          <w:iCs/>
          <w:color w:val="000000"/>
        </w:rPr>
      </w:pPr>
      <w:r w:rsidRPr="001278F6">
        <w:rPr>
          <w:rFonts w:ascii="Verdana" w:eastAsia="Calibri" w:hAnsi="Verdana" w:cs="Arial"/>
          <w:iCs/>
          <w:color w:val="000000"/>
          <w:lang w:val="es-ES"/>
        </w:rPr>
        <w:tab/>
        <w:t xml:space="preserve">En la misma línea, otras providencias del Consejo de Estado señalaron que, salvo que las partes del contrato de interventoría establezcan de manera </w:t>
      </w:r>
      <w:r w:rsidRPr="001278F6">
        <w:rPr>
          <w:rFonts w:ascii="Verdana" w:eastAsia="Calibri" w:hAnsi="Verdana" w:cs="Arial"/>
          <w:iCs/>
          <w:color w:val="000000"/>
          <w:lang w:val="es-ES"/>
        </w:rPr>
        <w:lastRenderedPageBreak/>
        <w:t xml:space="preserve">expresa un alcance distinto para su objeto, no le corresponde al interventor “(…) </w:t>
      </w:r>
      <w:r w:rsidRPr="001278F6">
        <w:rPr>
          <w:rFonts w:ascii="Verdana" w:eastAsia="Calibri" w:hAnsi="Verdana" w:cs="Arial"/>
          <w:iCs/>
          <w:color w:val="000000"/>
        </w:rPr>
        <w:t>concertar modificación a la normativa del contrato objeto de su control o fiscalización, como, por ejemplo (…) convenir el precio de actividades no previstas”</w:t>
      </w:r>
      <w:r w:rsidRPr="001278F6">
        <w:rPr>
          <w:rFonts w:ascii="Verdana" w:eastAsia="Calibri" w:hAnsi="Verdana" w:cs="Arial"/>
          <w:iCs/>
          <w:color w:val="000000"/>
          <w:vertAlign w:val="superscript"/>
        </w:rPr>
        <w:footnoteReference w:id="17"/>
      </w:r>
      <w:r w:rsidRPr="001278F6">
        <w:rPr>
          <w:rFonts w:ascii="Verdana" w:eastAsia="Calibri" w:hAnsi="Verdana" w:cs="Arial"/>
          <w:iCs/>
          <w:color w:val="000000"/>
        </w:rPr>
        <w:t xml:space="preserve">. </w:t>
      </w:r>
    </w:p>
    <w:p w14:paraId="5817D7ED" w14:textId="77777777" w:rsidR="001278F6" w:rsidRPr="001278F6" w:rsidRDefault="001278F6" w:rsidP="001278F6">
      <w:pPr>
        <w:widowControl w:val="0"/>
        <w:autoSpaceDE w:val="0"/>
        <w:autoSpaceDN w:val="0"/>
        <w:spacing w:after="120" w:line="276" w:lineRule="auto"/>
        <w:ind w:firstLine="708"/>
        <w:jc w:val="both"/>
        <w:rPr>
          <w:rFonts w:ascii="Verdana" w:eastAsia="Calibri" w:hAnsi="Verdana" w:cs="Arial"/>
          <w:iCs/>
          <w:color w:val="000000"/>
          <w:kern w:val="2"/>
          <w:lang w:val="es-ES"/>
          <w14:ligatures w14:val="standardContextual"/>
        </w:rPr>
      </w:pPr>
      <w:r w:rsidRPr="00497EDC">
        <w:rPr>
          <w:rFonts w:ascii="Verdana" w:eastAsia="Calibri" w:hAnsi="Verdana" w:cs="Arial"/>
          <w:iCs/>
          <w:color w:val="000000"/>
          <w:kern w:val="2"/>
          <w14:ligatures w14:val="standardContextual"/>
        </w:rPr>
        <w:t xml:space="preserve">Ahora bien, de acuerdo con el procedimiento que esta Agencia considera que pueden seguir las entidades para establecer el análisis de precios unitarios de los ítems no previstos, debe señalarse que conforme con los numerales </w:t>
      </w:r>
      <w:proofErr w:type="spellStart"/>
      <w:r w:rsidRPr="00497EDC">
        <w:rPr>
          <w:rFonts w:ascii="Verdana" w:eastAsia="Calibri" w:hAnsi="Verdana" w:cs="Arial"/>
          <w:iCs/>
          <w:color w:val="000000"/>
          <w:kern w:val="2"/>
          <w14:ligatures w14:val="standardContextual"/>
        </w:rPr>
        <w:t>iii</w:t>
      </w:r>
      <w:proofErr w:type="spellEnd"/>
      <w:r w:rsidRPr="00497EDC">
        <w:rPr>
          <w:rFonts w:ascii="Verdana" w:eastAsia="Calibri" w:hAnsi="Verdana" w:cs="Arial"/>
          <w:iCs/>
          <w:color w:val="000000"/>
          <w:kern w:val="2"/>
          <w14:ligatures w14:val="standardContextual"/>
        </w:rPr>
        <w:t xml:space="preserve">) y </w:t>
      </w:r>
      <w:proofErr w:type="spellStart"/>
      <w:r w:rsidRPr="00497EDC">
        <w:rPr>
          <w:rFonts w:ascii="Verdana" w:eastAsia="Calibri" w:hAnsi="Verdana" w:cs="Arial"/>
          <w:iCs/>
          <w:color w:val="000000"/>
          <w:kern w:val="2"/>
          <w14:ligatures w14:val="standardContextual"/>
        </w:rPr>
        <w:t>iv</w:t>
      </w:r>
      <w:proofErr w:type="spellEnd"/>
      <w:r w:rsidRPr="00497EDC">
        <w:rPr>
          <w:rFonts w:ascii="Verdana" w:eastAsia="Calibri" w:hAnsi="Verdana" w:cs="Arial"/>
          <w:iCs/>
          <w:color w:val="000000"/>
          <w:kern w:val="2"/>
          <w14:ligatures w14:val="standardContextual"/>
        </w:rPr>
        <w:t>) previamente señalados, la entidad deberá solicitar los soportes que consideren necesarios para respaldar los nuevos precios de esas obras adicionales o ítems no previstos. Para tal efecto, podrá requerir la presentación de cotizaciones que justifiquen los valores de materiales, equipos o insumos no contemplados inicialmente.</w:t>
      </w:r>
      <w:r w:rsidRPr="00497EDC">
        <w:rPr>
          <w:rFonts w:ascii="Verdana" w:eastAsia="Calibri" w:hAnsi="Verdana" w:cs="Arial"/>
          <w:iCs/>
          <w:color w:val="000000"/>
          <w:kern w:val="2"/>
          <w:lang w:val="es-ES"/>
          <w14:ligatures w14:val="standardContextual"/>
        </w:rPr>
        <w:t xml:space="preserve"> Sin embargo, este supuesto aplicaría en el caso de que las partes no hayan establecido un procedimiento específico en el contrato, considerando que, si existe acuerdo sobre este aspecto (análisis de precios unitarios sobre obras adicionales o ítems no previstos), deberá darse aplicación a los términos establecidos por las partes. En este sentido, lo acordado prevalecerá, y solo en ausencia de disposición expresa podrá acudirse al procedimiento general previsto por esta Agencia.</w:t>
      </w:r>
      <w:r w:rsidRPr="001278F6">
        <w:rPr>
          <w:rFonts w:ascii="Verdana" w:eastAsia="Calibri" w:hAnsi="Verdana" w:cs="Arial"/>
          <w:iCs/>
          <w:color w:val="000000"/>
          <w:kern w:val="2"/>
          <w:lang w:val="es-ES"/>
          <w14:ligatures w14:val="standardContextual"/>
        </w:rPr>
        <w:t xml:space="preserve"> </w:t>
      </w:r>
    </w:p>
    <w:p w14:paraId="25C38F58" w14:textId="77777777" w:rsidR="001278F6" w:rsidRPr="001278F6" w:rsidRDefault="001278F6" w:rsidP="001278F6">
      <w:pPr>
        <w:widowControl w:val="0"/>
        <w:autoSpaceDE w:val="0"/>
        <w:autoSpaceDN w:val="0"/>
        <w:spacing w:after="120" w:line="276" w:lineRule="auto"/>
        <w:jc w:val="both"/>
        <w:rPr>
          <w:rFonts w:ascii="Verdana" w:eastAsia="Calibri" w:hAnsi="Verdana" w:cs="Arial"/>
          <w:iCs/>
          <w:color w:val="000000"/>
          <w:lang w:val="es-ES"/>
        </w:rPr>
      </w:pPr>
      <w:r w:rsidRPr="001278F6">
        <w:rPr>
          <w:rFonts w:ascii="Verdana" w:eastAsia="Calibri" w:hAnsi="Verdana" w:cs="Arial"/>
          <w:iCs/>
          <w:color w:val="000000"/>
        </w:rPr>
        <w:tab/>
        <w:t xml:space="preserve">Bajo los supuestos previamente expuestos, corresponde a las partes del contrato, de común intención, pactar el precio de cada uno de los ítems de obra no previstos, dentro del respectivo contrato adicional o modificatorio del contrato inicial. Para ello, deberán incorporar de manera detallada los ítems acordados, especificando, en relación con cada uno de ellos, la descripción de la actividad correspondiente, la unidad de medida y el valor unitario, este último determinado conforme con al procedimiento que las partes hayan previsto para tal efecto.  </w:t>
      </w:r>
    </w:p>
    <w:p w14:paraId="5A5EDA31" w14:textId="77777777" w:rsidR="001278F6" w:rsidRPr="001278F6" w:rsidRDefault="001278F6" w:rsidP="001278F6">
      <w:pPr>
        <w:widowControl w:val="0"/>
        <w:autoSpaceDE w:val="0"/>
        <w:autoSpaceDN w:val="0"/>
        <w:spacing w:after="120" w:line="276" w:lineRule="auto"/>
        <w:ind w:firstLine="708"/>
        <w:jc w:val="both"/>
        <w:rPr>
          <w:rFonts w:ascii="Verdana" w:eastAsia="Calibri" w:hAnsi="Verdana" w:cs="Arial"/>
          <w:iCs/>
          <w:color w:val="000000"/>
        </w:rPr>
      </w:pPr>
      <w:r w:rsidRPr="001278F6">
        <w:rPr>
          <w:rFonts w:ascii="Verdana" w:eastAsia="Calibri" w:hAnsi="Verdana" w:cs="Arial"/>
          <w:iCs/>
          <w:color w:val="000000"/>
          <w:lang w:val="es-ES"/>
        </w:rPr>
        <w:t xml:space="preserve">El procedimiento señalado, se ha establecido con base en la práctica contractual observada en algunas entidades del sector, funcionando como guía operativa para la inclusión y fijación de obras adicionales o ítems no previstos. Sin embargo, es importante aclarar que dicho procedimiento no constituye norma jurídica de carácter obligatorio, por lo que las partes contratantes conservan plena autonomía para acordar mecanismos distintos conforme a su </w:t>
      </w:r>
      <w:r w:rsidRPr="001278F6">
        <w:rPr>
          <w:rFonts w:ascii="Verdana" w:eastAsia="Calibri" w:hAnsi="Verdana" w:cs="Arial"/>
          <w:iCs/>
          <w:color w:val="000000"/>
          <w:lang w:val="es-ES"/>
        </w:rPr>
        <w:lastRenderedPageBreak/>
        <w:t xml:space="preserve">voluntad, </w:t>
      </w:r>
      <w:proofErr w:type="spellStart"/>
      <w:r w:rsidRPr="001278F6">
        <w:rPr>
          <w:rFonts w:ascii="Verdana" w:eastAsia="Calibri" w:hAnsi="Verdana" w:cs="Arial"/>
          <w:iCs/>
          <w:color w:val="000000"/>
          <w:lang w:val="es-ES"/>
        </w:rPr>
        <w:t>pud</w:t>
      </w:r>
      <w:r w:rsidRPr="001278F6">
        <w:rPr>
          <w:rFonts w:ascii="Verdana" w:eastAsia="Calibri" w:hAnsi="Verdana" w:cs="Arial"/>
          <w:iCs/>
          <w:color w:val="000000"/>
        </w:rPr>
        <w:t>iendo</w:t>
      </w:r>
      <w:proofErr w:type="spellEnd"/>
      <w:r w:rsidRPr="001278F6">
        <w:rPr>
          <w:rFonts w:ascii="Verdana" w:eastAsia="Calibri" w:hAnsi="Verdana" w:cs="Arial"/>
          <w:iCs/>
          <w:color w:val="000000"/>
        </w:rPr>
        <w:t xml:space="preserve"> adoptar procedimientos alternativos.</w:t>
      </w:r>
    </w:p>
    <w:p w14:paraId="03E55EA0" w14:textId="77777777" w:rsidR="001278F6" w:rsidRPr="001278F6" w:rsidRDefault="001278F6" w:rsidP="001278F6">
      <w:pPr>
        <w:widowControl w:val="0"/>
        <w:autoSpaceDE w:val="0"/>
        <w:autoSpaceDN w:val="0"/>
        <w:spacing w:after="120" w:line="276" w:lineRule="auto"/>
        <w:ind w:firstLine="708"/>
        <w:jc w:val="both"/>
        <w:rPr>
          <w:rFonts w:ascii="Verdana" w:eastAsia="Calibri" w:hAnsi="Verdana" w:cs="Arial"/>
          <w:iCs/>
          <w:color w:val="000000"/>
          <w:lang w:val="es-ES"/>
        </w:rPr>
      </w:pPr>
      <w:r w:rsidRPr="001278F6">
        <w:rPr>
          <w:rFonts w:ascii="Verdana" w:eastAsia="Calibri" w:hAnsi="Verdana" w:cs="Arial"/>
          <w:iCs/>
          <w:color w:val="000000"/>
        </w:rPr>
        <w:t xml:space="preserve">Al margen </w:t>
      </w:r>
      <w:r w:rsidRPr="001278F6">
        <w:rPr>
          <w:rFonts w:ascii="Verdana" w:eastAsia="Calibri" w:hAnsi="Verdana" w:cs="Arial"/>
          <w:lang w:eastAsia="es-ES"/>
        </w:rPr>
        <w:t>de la explicación precedente debe advertirse que el análisis requerido para resolver problemas específicos en torno al análisis de precios unitarios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16BC4EB" w14:textId="77777777" w:rsidR="001278F6" w:rsidRPr="001278F6" w:rsidRDefault="001278F6" w:rsidP="001278F6">
      <w:pPr>
        <w:spacing w:before="120" w:after="0" w:line="276" w:lineRule="auto"/>
        <w:ind w:firstLine="709"/>
        <w:jc w:val="both"/>
        <w:rPr>
          <w:rFonts w:ascii="Verdana" w:eastAsia="Calibri" w:hAnsi="Verdana" w:cs="Arial"/>
          <w:lang w:eastAsia="es-ES"/>
        </w:rPr>
      </w:pPr>
      <w:r w:rsidRPr="001278F6">
        <w:rPr>
          <w:rFonts w:ascii="Verdana" w:eastAsia="Calibri"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6E6E25F6" w14:textId="77777777" w:rsidR="001278F6" w:rsidRPr="001278F6" w:rsidRDefault="001278F6" w:rsidP="001278F6">
      <w:pPr>
        <w:spacing w:after="0" w:line="276" w:lineRule="auto"/>
        <w:jc w:val="both"/>
        <w:rPr>
          <w:rFonts w:ascii="Verdana" w:eastAsia="Times New Roman" w:hAnsi="Verdana" w:cs="Arial"/>
          <w:color w:val="000000"/>
          <w:lang w:eastAsia="es-CO"/>
        </w:rPr>
      </w:pPr>
    </w:p>
    <w:p w14:paraId="12B35039" w14:textId="77777777" w:rsidR="001278F6" w:rsidRPr="001278F6" w:rsidRDefault="001278F6" w:rsidP="001278F6">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1278F6">
        <w:rPr>
          <w:rFonts w:ascii="Verdana" w:eastAsia="Century Gothic" w:hAnsi="Verdana" w:cs="Century Gothic"/>
          <w:b/>
          <w:bCs/>
          <w:lang w:val="es-ES"/>
        </w:rPr>
        <w:t>Referencias normativas:</w:t>
      </w:r>
    </w:p>
    <w:p w14:paraId="041945F2" w14:textId="77777777" w:rsidR="001278F6" w:rsidRPr="001278F6" w:rsidRDefault="001278F6" w:rsidP="001278F6">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278F6" w:rsidRPr="001278F6" w14:paraId="1A3B22CE" w14:textId="77777777" w:rsidTr="007169FD">
        <w:trPr>
          <w:trHeight w:val="404"/>
          <w:jc w:val="center"/>
        </w:trPr>
        <w:tc>
          <w:tcPr>
            <w:tcW w:w="8647" w:type="dxa"/>
          </w:tcPr>
          <w:p w14:paraId="589D00F9" w14:textId="77777777" w:rsidR="001278F6" w:rsidRPr="001278F6" w:rsidRDefault="001278F6" w:rsidP="001278F6">
            <w:pPr>
              <w:widowControl w:val="0"/>
              <w:numPr>
                <w:ilvl w:val="0"/>
                <w:numId w:val="16"/>
              </w:numPr>
              <w:autoSpaceDE w:val="0"/>
              <w:autoSpaceDN w:val="0"/>
              <w:spacing w:line="276" w:lineRule="auto"/>
              <w:contextualSpacing/>
              <w:jc w:val="both"/>
              <w:rPr>
                <w:rFonts w:ascii="Verdana" w:eastAsia="Calibri" w:hAnsi="Verdana" w:cs="Arial"/>
                <w:lang w:val="es-ES"/>
              </w:rPr>
            </w:pPr>
            <w:r w:rsidRPr="001278F6">
              <w:rPr>
                <w:rFonts w:ascii="Verdana" w:eastAsia="Calibri" w:hAnsi="Verdana" w:cs="Arial"/>
                <w:lang w:val="es-ES"/>
              </w:rPr>
              <w:t xml:space="preserve">Ley 80 de 1993, artículos 13, 32 y 40.  </w:t>
            </w:r>
          </w:p>
        </w:tc>
      </w:tr>
    </w:tbl>
    <w:p w14:paraId="69B30436" w14:textId="77777777" w:rsidR="001278F6" w:rsidRPr="001278F6" w:rsidRDefault="001278F6" w:rsidP="001278F6">
      <w:pPr>
        <w:widowControl w:val="0"/>
        <w:autoSpaceDE w:val="0"/>
        <w:autoSpaceDN w:val="0"/>
        <w:spacing w:after="0" w:line="276" w:lineRule="auto"/>
        <w:jc w:val="both"/>
        <w:rPr>
          <w:rFonts w:ascii="Verdana" w:eastAsia="Calibri" w:hAnsi="Verdana" w:cs="Arial"/>
        </w:rPr>
      </w:pPr>
    </w:p>
    <w:p w14:paraId="13B5817B" w14:textId="77777777" w:rsidR="001278F6" w:rsidRPr="001278F6" w:rsidRDefault="001278F6" w:rsidP="001278F6">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1278F6">
        <w:rPr>
          <w:rFonts w:ascii="Verdana" w:eastAsia="Century Gothic" w:hAnsi="Verdana" w:cs="Century Gothic"/>
          <w:b/>
          <w:bCs/>
          <w:lang w:val="es-ES"/>
        </w:rPr>
        <w:t>Doctrina de la Agencia Nacional de Contratación Pública:</w:t>
      </w:r>
    </w:p>
    <w:p w14:paraId="35351ACF" w14:textId="77777777" w:rsidR="001278F6" w:rsidRPr="001278F6" w:rsidRDefault="001278F6" w:rsidP="001278F6">
      <w:pPr>
        <w:widowControl w:val="0"/>
        <w:autoSpaceDE w:val="0"/>
        <w:autoSpaceDN w:val="0"/>
        <w:spacing w:after="0" w:line="276" w:lineRule="auto"/>
        <w:jc w:val="both"/>
        <w:rPr>
          <w:rFonts w:ascii="Verdana" w:eastAsia="Calibri" w:hAnsi="Verdana" w:cs="Arial"/>
        </w:rPr>
      </w:pPr>
    </w:p>
    <w:p w14:paraId="515249D8" w14:textId="77777777" w:rsidR="001278F6" w:rsidRPr="001278F6" w:rsidRDefault="001278F6" w:rsidP="001278F6">
      <w:pPr>
        <w:widowControl w:val="0"/>
        <w:autoSpaceDE w:val="0"/>
        <w:autoSpaceDN w:val="0"/>
        <w:spacing w:after="0" w:line="276" w:lineRule="auto"/>
        <w:jc w:val="both"/>
        <w:rPr>
          <w:rFonts w:ascii="Verdana" w:eastAsia="Calibri" w:hAnsi="Verdana" w:cs="Arial"/>
          <w:shd w:val="clear" w:color="auto" w:fill="FFFFFF"/>
        </w:rPr>
      </w:pPr>
      <w:r w:rsidRPr="001278F6">
        <w:rPr>
          <w:rFonts w:ascii="Verdana" w:eastAsia="Calibri" w:hAnsi="Verdana" w:cs="Arial"/>
          <w:shd w:val="clear" w:color="auto" w:fill="FFFFFF"/>
        </w:rPr>
        <w:t xml:space="preserve">La Agencia Nacional de Contratación Pública – Colombia Compra Eficiente se ha pronunciado en varias ocasiones sobre el análisis de precios unitarios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w:t>
      </w:r>
      <w:r w:rsidRPr="001278F6">
        <w:rPr>
          <w:rFonts w:ascii="Verdana" w:eastAsia="Calibri" w:hAnsi="Verdana" w:cs="Arial"/>
          <w:shd w:val="clear" w:color="auto" w:fill="FFFFFF"/>
        </w:rPr>
        <w:lastRenderedPageBreak/>
        <w:t xml:space="preserve">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septiembre de 2024, C-1000 del 14 de enero de 2025 y C-248 del 3 de abril de 2025. </w:t>
      </w:r>
    </w:p>
    <w:p w14:paraId="5CE7CAB8" w14:textId="77777777" w:rsidR="001278F6" w:rsidRPr="001278F6" w:rsidRDefault="001278F6" w:rsidP="001278F6">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p>
    <w:p w14:paraId="4358DA39" w14:textId="77777777" w:rsidR="001278F6" w:rsidRPr="001278F6" w:rsidRDefault="001278F6" w:rsidP="001278F6">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278F6">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1278F6">
          <w:rPr>
            <w:rFonts w:ascii="Verdana" w:eastAsia="Calibri" w:hAnsi="Verdana" w:cs="Arial"/>
            <w:color w:val="0000FF"/>
            <w:kern w:val="2"/>
            <w:u w:val="single"/>
            <w:shd w:val="clear" w:color="auto" w:fill="FFFFFF"/>
            <w14:ligatures w14:val="standardContextual"/>
          </w:rPr>
          <w:t>https://relatoria.colombiacompra.gov.co/</w:t>
        </w:r>
      </w:hyperlink>
      <w:r w:rsidRPr="001278F6">
        <w:rPr>
          <w:rFonts w:ascii="Verdana" w:eastAsia="Calibri" w:hAnsi="Verdana" w:cs="Arial"/>
          <w:color w:val="0000FF"/>
          <w:kern w:val="2"/>
          <w:u w:val="single"/>
          <w:shd w:val="clear" w:color="auto" w:fill="FFFFFF"/>
          <w14:ligatures w14:val="standardContextual"/>
        </w:rPr>
        <w:t> .</w:t>
      </w:r>
    </w:p>
    <w:p w14:paraId="42B88D54" w14:textId="77777777" w:rsidR="001278F6" w:rsidRPr="001278F6" w:rsidRDefault="001278F6" w:rsidP="001278F6">
      <w:pPr>
        <w:spacing w:after="0" w:line="240" w:lineRule="auto"/>
        <w:jc w:val="both"/>
        <w:rPr>
          <w:rFonts w:ascii="Verdana" w:eastAsia="Calibri" w:hAnsi="Verdana" w:cs="Arial"/>
          <w:color w:val="000000"/>
          <w:kern w:val="2"/>
          <w:shd w:val="clear" w:color="auto" w:fill="FFFFFF"/>
          <w14:ligatures w14:val="standardContextual"/>
        </w:rPr>
      </w:pPr>
    </w:p>
    <w:p w14:paraId="3D12BA70" w14:textId="77777777" w:rsidR="001278F6" w:rsidRPr="001278F6" w:rsidRDefault="001278F6" w:rsidP="001278F6">
      <w:pPr>
        <w:spacing w:after="0" w:line="240" w:lineRule="auto"/>
        <w:jc w:val="both"/>
        <w:rPr>
          <w:rFonts w:ascii="Verdana" w:eastAsia="Calibri" w:hAnsi="Verdana" w:cs="Arial"/>
          <w:color w:val="000000"/>
          <w:kern w:val="2"/>
          <w:shd w:val="clear" w:color="auto" w:fill="FFFFFF"/>
          <w14:ligatures w14:val="standardContextual"/>
        </w:rPr>
      </w:pPr>
      <w:r w:rsidRPr="001278F6">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1278F6">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1278F6">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278F6">
        <w:rPr>
          <w:rFonts w:ascii="Verdana" w:eastAsia="Calibri" w:hAnsi="Verdana" w:cs="Arial"/>
          <w:color w:val="000000"/>
          <w:kern w:val="2"/>
          <w:shd w:val="clear" w:color="auto" w:fill="FFFFFF"/>
          <w14:ligatures w14:val="standardContextual"/>
        </w:rPr>
        <w:t>Wayúu</w:t>
      </w:r>
      <w:proofErr w:type="spellEnd"/>
      <w:r w:rsidRPr="001278F6">
        <w:rPr>
          <w:rFonts w:ascii="Verdana" w:eastAsia="Calibri" w:hAnsi="Verdana" w:cs="Arial"/>
          <w:color w:val="000000"/>
          <w:kern w:val="2"/>
          <w:shd w:val="clear" w:color="auto" w:fill="FFFFFF"/>
          <w14:ligatures w14:val="standardContextual"/>
        </w:rPr>
        <w:t>. Puede consultar la guía en el siguiente enlace: </w:t>
      </w:r>
      <w:hyperlink r:id="rId12" w:tooltip="Dirección URL original: https://www.colombiacompra.gov.co/wp-content/uploads/2025/05/GUIA-DE-LINEAMIENTOS-DE-TRANSPARENCIA-Y-SELECCION-OBJETIVA-1.0.pdf. Haga clic o pulse si confía en este vínculo." w:history="1">
        <w:r w:rsidRPr="001278F6">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1278F6">
        <w:rPr>
          <w:rFonts w:ascii="Verdana" w:eastAsia="Calibri" w:hAnsi="Verdana" w:cs="Arial"/>
          <w:color w:val="000000"/>
          <w:kern w:val="2"/>
          <w:u w:val="single"/>
          <w:shd w:val="clear" w:color="auto" w:fill="FFFFFF"/>
          <w14:ligatures w14:val="standardContextual"/>
        </w:rPr>
        <w:t>"</w:t>
      </w:r>
    </w:p>
    <w:p w14:paraId="12873C3F" w14:textId="77777777" w:rsidR="001278F6" w:rsidRPr="001278F6" w:rsidRDefault="001278F6" w:rsidP="001278F6">
      <w:pPr>
        <w:spacing w:after="0" w:line="278" w:lineRule="auto"/>
        <w:jc w:val="both"/>
        <w:rPr>
          <w:rFonts w:ascii="Verdana" w:eastAsia="Aptos" w:hAnsi="Verdana" w:cs="Times New Roman"/>
          <w:color w:val="212121"/>
          <w:kern w:val="2"/>
          <w14:ligatures w14:val="standardContextual"/>
        </w:rPr>
      </w:pPr>
    </w:p>
    <w:p w14:paraId="691F0364" w14:textId="77777777" w:rsidR="001278F6" w:rsidRPr="001278F6" w:rsidRDefault="001278F6" w:rsidP="001278F6">
      <w:pPr>
        <w:spacing w:after="0" w:line="240" w:lineRule="auto"/>
        <w:jc w:val="both"/>
        <w:rPr>
          <w:rFonts w:ascii="Verdana" w:eastAsia="Calibri" w:hAnsi="Verdana" w:cs="Times New Roman"/>
          <w:kern w:val="2"/>
          <w14:ligatures w14:val="standardContextual"/>
        </w:rPr>
      </w:pPr>
      <w:r w:rsidRPr="001278F6">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65D2109B" w14:textId="77777777" w:rsidR="001278F6" w:rsidRPr="001278F6" w:rsidRDefault="001278F6" w:rsidP="001278F6">
      <w:pPr>
        <w:spacing w:after="0" w:line="240" w:lineRule="auto"/>
        <w:jc w:val="both"/>
        <w:rPr>
          <w:rFonts w:ascii="Verdana" w:eastAsia="Aptos" w:hAnsi="Verdana" w:cs="Times New Roman"/>
          <w:kern w:val="2"/>
          <w14:ligatures w14:val="standardContextual"/>
        </w:rPr>
      </w:pPr>
    </w:p>
    <w:p w14:paraId="46D3FF1F" w14:textId="77777777" w:rsidR="001278F6" w:rsidRPr="001278F6" w:rsidRDefault="001278F6" w:rsidP="001278F6">
      <w:pPr>
        <w:spacing w:after="0" w:line="240" w:lineRule="auto"/>
        <w:jc w:val="both"/>
        <w:rPr>
          <w:rFonts w:ascii="Verdana" w:eastAsia="Aptos" w:hAnsi="Verdana" w:cs="Times New Roman"/>
          <w:kern w:val="2"/>
          <w14:ligatures w14:val="standardContextual"/>
        </w:rPr>
      </w:pPr>
      <w:r w:rsidRPr="001278F6">
        <w:rPr>
          <w:rFonts w:ascii="Verdana" w:eastAsia="Aptos" w:hAnsi="Verdana" w:cs="Times New Roman"/>
          <w:kern w:val="2"/>
          <w14:ligatures w14:val="standardContextual"/>
        </w:rPr>
        <w:t xml:space="preserve">Twitter: </w:t>
      </w:r>
      <w:r w:rsidRPr="001278F6">
        <w:rPr>
          <w:rFonts w:ascii="Verdana" w:eastAsia="Calibri" w:hAnsi="Verdana" w:cs="Times New Roman"/>
          <w:color w:val="156082"/>
          <w:kern w:val="2"/>
          <w:u w:val="single"/>
          <w14:ligatures w14:val="standardContextual"/>
        </w:rPr>
        <w:t>@colombiacompra</w:t>
      </w:r>
      <w:r w:rsidRPr="001278F6">
        <w:rPr>
          <w:rFonts w:ascii="Verdana" w:eastAsia="Calibri" w:hAnsi="Verdana" w:cs="Times New Roman"/>
          <w:color w:val="156082"/>
          <w:kern w:val="2"/>
          <w14:ligatures w14:val="standardContextual"/>
        </w:rPr>
        <w:t xml:space="preserve"> </w:t>
      </w:r>
    </w:p>
    <w:p w14:paraId="4DEF28EB" w14:textId="77777777" w:rsidR="001278F6" w:rsidRPr="001278F6" w:rsidRDefault="001278F6" w:rsidP="001278F6">
      <w:pPr>
        <w:spacing w:after="0" w:line="240" w:lineRule="auto"/>
        <w:jc w:val="both"/>
        <w:rPr>
          <w:rFonts w:ascii="Verdana" w:eastAsia="Aptos" w:hAnsi="Verdana" w:cs="Times New Roman"/>
          <w:kern w:val="2"/>
          <w14:ligatures w14:val="standardContextual"/>
        </w:rPr>
      </w:pPr>
      <w:r w:rsidRPr="001278F6">
        <w:rPr>
          <w:rFonts w:ascii="Verdana" w:eastAsia="Aptos" w:hAnsi="Verdana" w:cs="Times New Roman"/>
          <w:kern w:val="2"/>
          <w14:ligatures w14:val="standardContextual"/>
        </w:rPr>
        <w:t xml:space="preserve">Facebook: </w:t>
      </w:r>
      <w:proofErr w:type="spellStart"/>
      <w:r w:rsidRPr="001278F6">
        <w:rPr>
          <w:rFonts w:ascii="Verdana" w:eastAsia="Calibri" w:hAnsi="Verdana" w:cs="Times New Roman"/>
          <w:color w:val="156082"/>
          <w:kern w:val="2"/>
          <w:u w:val="single"/>
          <w14:ligatures w14:val="standardContextual"/>
        </w:rPr>
        <w:t>ColombiaCompraEficiente</w:t>
      </w:r>
      <w:proofErr w:type="spellEnd"/>
    </w:p>
    <w:p w14:paraId="6B01A559" w14:textId="77777777" w:rsidR="001278F6" w:rsidRPr="001278F6" w:rsidRDefault="001278F6" w:rsidP="001278F6">
      <w:pPr>
        <w:spacing w:after="0" w:line="240" w:lineRule="auto"/>
        <w:jc w:val="both"/>
        <w:rPr>
          <w:rFonts w:ascii="Verdana" w:eastAsia="Aptos" w:hAnsi="Verdana" w:cs="Times New Roman"/>
          <w:kern w:val="2"/>
          <w14:ligatures w14:val="standardContextual"/>
        </w:rPr>
      </w:pPr>
      <w:r w:rsidRPr="001278F6">
        <w:rPr>
          <w:rFonts w:ascii="Verdana" w:eastAsia="Aptos" w:hAnsi="Verdana" w:cs="Times New Roman"/>
          <w:kern w:val="2"/>
          <w14:ligatures w14:val="standardContextual"/>
        </w:rPr>
        <w:t xml:space="preserve">LinkedIn: </w:t>
      </w:r>
      <w:r w:rsidRPr="001278F6">
        <w:rPr>
          <w:rFonts w:ascii="Verdana" w:eastAsia="Calibri" w:hAnsi="Verdana" w:cs="Times New Roman"/>
          <w:color w:val="156082"/>
          <w:kern w:val="2"/>
          <w:u w:val="single"/>
          <w14:ligatures w14:val="standardContextual"/>
        </w:rPr>
        <w:t>Agencia Nacional de Contratación Pública - Colombia Compra Eficiente</w:t>
      </w:r>
      <w:r w:rsidRPr="001278F6">
        <w:rPr>
          <w:rFonts w:ascii="Verdana" w:eastAsia="Calibri" w:hAnsi="Verdana" w:cs="Times New Roman"/>
          <w:color w:val="156082"/>
          <w:kern w:val="2"/>
          <w14:ligatures w14:val="standardContextual"/>
        </w:rPr>
        <w:t xml:space="preserve"> </w:t>
      </w:r>
      <w:r w:rsidRPr="001278F6">
        <w:rPr>
          <w:rFonts w:ascii="Verdana" w:eastAsia="Aptos" w:hAnsi="Verdana" w:cs="Times New Roman"/>
          <w:kern w:val="2"/>
          <w14:ligatures w14:val="standardContextual"/>
        </w:rPr>
        <w:t xml:space="preserve">Instagram: </w:t>
      </w:r>
      <w:r w:rsidRPr="001278F6">
        <w:rPr>
          <w:rFonts w:ascii="Verdana" w:eastAsia="Calibri" w:hAnsi="Verdana" w:cs="Times New Roman"/>
          <w:color w:val="156082"/>
          <w:kern w:val="2"/>
          <w:u w:val="single"/>
          <w14:ligatures w14:val="standardContextual"/>
        </w:rPr>
        <w:t>@colombiacompraeficiente_cce</w:t>
      </w:r>
    </w:p>
    <w:p w14:paraId="39312957" w14:textId="77777777" w:rsidR="001278F6" w:rsidRPr="001278F6" w:rsidRDefault="001278F6" w:rsidP="001278F6">
      <w:pPr>
        <w:spacing w:after="0" w:line="276" w:lineRule="auto"/>
        <w:jc w:val="both"/>
        <w:rPr>
          <w:rFonts w:ascii="Verdana" w:eastAsia="Aptos" w:hAnsi="Verdana" w:cs="Times New Roman"/>
          <w:kern w:val="2"/>
          <w14:ligatures w14:val="standardContextual"/>
        </w:rPr>
      </w:pPr>
    </w:p>
    <w:p w14:paraId="2E0BB890" w14:textId="77777777" w:rsidR="001278F6" w:rsidRPr="001278F6" w:rsidRDefault="001278F6" w:rsidP="001278F6">
      <w:pPr>
        <w:spacing w:after="0" w:line="276" w:lineRule="auto"/>
        <w:jc w:val="both"/>
        <w:rPr>
          <w:rFonts w:ascii="Verdana" w:eastAsia="Calibri" w:hAnsi="Verdana" w:cs="Times New Roman"/>
          <w:bCs/>
          <w:kern w:val="2"/>
          <w:lang w:val="es-ES_tradnl"/>
          <w14:ligatures w14:val="standardContextual"/>
        </w:rPr>
      </w:pPr>
      <w:r w:rsidRPr="001278F6">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2B42A82" w14:textId="77777777" w:rsidR="001278F6" w:rsidRPr="001278F6" w:rsidRDefault="001278F6" w:rsidP="001278F6">
      <w:pPr>
        <w:widowControl w:val="0"/>
        <w:autoSpaceDE w:val="0"/>
        <w:autoSpaceDN w:val="0"/>
        <w:spacing w:after="0" w:line="276" w:lineRule="auto"/>
        <w:jc w:val="both"/>
        <w:rPr>
          <w:rFonts w:ascii="Verdana" w:eastAsia="Calibri" w:hAnsi="Verdana" w:cs="Arial"/>
        </w:rPr>
      </w:pPr>
    </w:p>
    <w:p w14:paraId="43C4CAD7" w14:textId="27B9E20B" w:rsidR="001278F6" w:rsidRPr="00C82096" w:rsidRDefault="001278F6" w:rsidP="00C82096">
      <w:pPr>
        <w:spacing w:after="0" w:line="240" w:lineRule="auto"/>
        <w:rPr>
          <w:rFonts w:ascii="Verdana" w:eastAsia="Calibri" w:hAnsi="Verdana" w:cs="Arial"/>
          <w:lang w:eastAsia="es-CO"/>
        </w:rPr>
      </w:pPr>
      <w:r w:rsidRPr="001278F6">
        <w:rPr>
          <w:rFonts w:ascii="Verdana" w:eastAsia="Times New Roman" w:hAnsi="Verdana" w:cs="Arial"/>
          <w:lang w:eastAsia="es-CO"/>
        </w:rPr>
        <w:t>Atentamente,</w:t>
      </w:r>
      <w:r w:rsidRPr="001278F6">
        <w:rPr>
          <w:rFonts w:ascii="Verdana" w:eastAsia="Calibri" w:hAnsi="Verdana" w:cs="Arial"/>
          <w:lang w:eastAsia="es-CO"/>
        </w:rPr>
        <w:t xml:space="preserve"> </w:t>
      </w:r>
    </w:p>
    <w:p w14:paraId="6FA6778A" w14:textId="3CE5DD71" w:rsidR="001278F6" w:rsidRPr="001278F6" w:rsidRDefault="00C82096" w:rsidP="00C82096">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596D1E07" wp14:editId="4A25D48D">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2764331" cy="118674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278F6" w:rsidRPr="001278F6" w14:paraId="51DC2FF5" w14:textId="77777777" w:rsidTr="007169FD">
        <w:trPr>
          <w:trHeight w:val="315"/>
        </w:trPr>
        <w:tc>
          <w:tcPr>
            <w:tcW w:w="893" w:type="dxa"/>
            <w:vAlign w:val="center"/>
            <w:hideMark/>
          </w:tcPr>
          <w:p w14:paraId="6044D660" w14:textId="77777777" w:rsidR="001278F6" w:rsidRPr="001278F6" w:rsidRDefault="001278F6" w:rsidP="001278F6">
            <w:pPr>
              <w:rPr>
                <w:rFonts w:ascii="Verdana" w:eastAsia="Calibri" w:hAnsi="Verdana" w:cs="Arial"/>
                <w:sz w:val="16"/>
                <w:szCs w:val="16"/>
                <w:lang w:eastAsia="es-ES"/>
              </w:rPr>
            </w:pPr>
            <w:r w:rsidRPr="001278F6">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4BE11AC8" w14:textId="77777777" w:rsidR="001278F6" w:rsidRPr="001278F6" w:rsidRDefault="001278F6" w:rsidP="001278F6">
            <w:pPr>
              <w:rPr>
                <w:rFonts w:ascii="Verdana" w:eastAsia="Arial" w:hAnsi="Verdana" w:cs="Arial"/>
                <w:sz w:val="16"/>
                <w:szCs w:val="16"/>
              </w:rPr>
            </w:pPr>
            <w:r w:rsidRPr="001278F6">
              <w:rPr>
                <w:rFonts w:ascii="Verdana" w:eastAsia="Arial" w:hAnsi="Verdana" w:cs="Arial"/>
                <w:sz w:val="16"/>
                <w:szCs w:val="16"/>
              </w:rPr>
              <w:t xml:space="preserve">Carlos Mario </w:t>
            </w:r>
            <w:proofErr w:type="spellStart"/>
            <w:r w:rsidRPr="001278F6">
              <w:rPr>
                <w:rFonts w:ascii="Verdana" w:eastAsia="Arial" w:hAnsi="Verdana" w:cs="Arial"/>
                <w:sz w:val="16"/>
                <w:szCs w:val="16"/>
              </w:rPr>
              <w:t>Castrillon</w:t>
            </w:r>
            <w:proofErr w:type="spellEnd"/>
            <w:r w:rsidRPr="001278F6">
              <w:rPr>
                <w:rFonts w:ascii="Verdana" w:eastAsia="Arial" w:hAnsi="Verdana" w:cs="Arial"/>
                <w:sz w:val="16"/>
                <w:szCs w:val="16"/>
              </w:rPr>
              <w:t xml:space="preserve"> Endo </w:t>
            </w:r>
          </w:p>
          <w:p w14:paraId="15CD58CE" w14:textId="77777777" w:rsidR="001278F6" w:rsidRPr="001278F6" w:rsidRDefault="001278F6" w:rsidP="001278F6">
            <w:pPr>
              <w:rPr>
                <w:rFonts w:ascii="Verdana" w:eastAsia="Arial" w:hAnsi="Verdana" w:cs="Arial"/>
                <w:sz w:val="16"/>
                <w:szCs w:val="16"/>
              </w:rPr>
            </w:pPr>
            <w:r w:rsidRPr="001278F6">
              <w:rPr>
                <w:rFonts w:ascii="Verdana" w:eastAsia="Arial" w:hAnsi="Verdana" w:cs="Arial"/>
                <w:sz w:val="16"/>
                <w:szCs w:val="16"/>
              </w:rPr>
              <w:t>Contratista de la Subdirección de Gestión Contractual</w:t>
            </w:r>
          </w:p>
          <w:p w14:paraId="01D48AC4" w14:textId="77777777" w:rsidR="001278F6" w:rsidRPr="001278F6" w:rsidRDefault="001278F6" w:rsidP="001278F6">
            <w:pPr>
              <w:rPr>
                <w:rFonts w:ascii="Verdana" w:eastAsia="Arial" w:hAnsi="Verdana" w:cs="Arial"/>
                <w:sz w:val="16"/>
                <w:szCs w:val="16"/>
              </w:rPr>
            </w:pPr>
          </w:p>
        </w:tc>
      </w:tr>
      <w:tr w:rsidR="001278F6" w:rsidRPr="001278F6" w14:paraId="67E94EF0" w14:textId="77777777" w:rsidTr="007169FD">
        <w:trPr>
          <w:trHeight w:val="330"/>
        </w:trPr>
        <w:tc>
          <w:tcPr>
            <w:tcW w:w="893" w:type="dxa"/>
            <w:vAlign w:val="center"/>
            <w:hideMark/>
          </w:tcPr>
          <w:p w14:paraId="0728B109" w14:textId="77777777" w:rsidR="001278F6" w:rsidRPr="001278F6" w:rsidRDefault="001278F6" w:rsidP="001278F6">
            <w:pPr>
              <w:rPr>
                <w:rFonts w:ascii="Verdana" w:eastAsia="Calibri" w:hAnsi="Verdana" w:cs="Arial"/>
                <w:sz w:val="16"/>
                <w:szCs w:val="16"/>
                <w:lang w:eastAsia="es-ES"/>
              </w:rPr>
            </w:pPr>
            <w:r w:rsidRPr="001278F6">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3F1C6762" w14:textId="77777777" w:rsidR="001278F6" w:rsidRPr="001278F6" w:rsidRDefault="001278F6" w:rsidP="001278F6">
            <w:pPr>
              <w:textAlignment w:val="baseline"/>
              <w:rPr>
                <w:rFonts w:ascii="Verdana" w:eastAsia="Times New Roman" w:hAnsi="Verdana" w:cs="Aptos"/>
                <w:sz w:val="16"/>
                <w:szCs w:val="16"/>
                <w:lang w:eastAsia="es-CO"/>
              </w:rPr>
            </w:pPr>
            <w:r w:rsidRPr="001278F6">
              <w:rPr>
                <w:rFonts w:ascii="Verdana" w:eastAsia="Times New Roman" w:hAnsi="Verdana" w:cs="Aptos"/>
                <w:sz w:val="16"/>
                <w:szCs w:val="16"/>
                <w:lang w:eastAsia="es-CO"/>
              </w:rPr>
              <w:t xml:space="preserve">Juan David Cárdenas Cabeza </w:t>
            </w:r>
          </w:p>
          <w:p w14:paraId="3FB6EE86" w14:textId="77777777" w:rsidR="001278F6" w:rsidRPr="001278F6" w:rsidRDefault="001278F6" w:rsidP="001278F6">
            <w:pPr>
              <w:rPr>
                <w:rFonts w:ascii="Verdana" w:eastAsia="Arial" w:hAnsi="Verdana" w:cs="Arial"/>
                <w:sz w:val="16"/>
                <w:szCs w:val="16"/>
              </w:rPr>
            </w:pPr>
            <w:r w:rsidRPr="001278F6">
              <w:rPr>
                <w:rFonts w:ascii="Verdana" w:eastAsia="Arial" w:hAnsi="Verdana" w:cs="Arial"/>
                <w:sz w:val="16"/>
                <w:szCs w:val="16"/>
              </w:rPr>
              <w:t>Contratista de la Subdirección de Gestión Contractual</w:t>
            </w:r>
          </w:p>
        </w:tc>
      </w:tr>
      <w:tr w:rsidR="001278F6" w:rsidRPr="001278F6" w14:paraId="338177E1" w14:textId="77777777" w:rsidTr="007169FD">
        <w:trPr>
          <w:trHeight w:val="300"/>
        </w:trPr>
        <w:tc>
          <w:tcPr>
            <w:tcW w:w="893" w:type="dxa"/>
            <w:vAlign w:val="center"/>
          </w:tcPr>
          <w:p w14:paraId="7C86393B" w14:textId="77777777" w:rsidR="001278F6" w:rsidRPr="001278F6" w:rsidRDefault="001278F6" w:rsidP="001278F6">
            <w:pPr>
              <w:rPr>
                <w:rFonts w:ascii="Verdana" w:eastAsia="Calibri" w:hAnsi="Verdana" w:cs="Arial"/>
                <w:sz w:val="16"/>
                <w:szCs w:val="16"/>
                <w:lang w:eastAsia="es-ES"/>
              </w:rPr>
            </w:pPr>
            <w:r w:rsidRPr="001278F6">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444E89CA" w14:textId="77777777" w:rsidR="001278F6" w:rsidRPr="001278F6" w:rsidRDefault="001278F6" w:rsidP="001278F6">
            <w:pPr>
              <w:rPr>
                <w:rFonts w:ascii="Verdana" w:eastAsia="Calibri" w:hAnsi="Verdana" w:cs="Arial"/>
                <w:sz w:val="16"/>
                <w:szCs w:val="16"/>
                <w:lang w:eastAsia="es-ES"/>
              </w:rPr>
            </w:pPr>
            <w:r w:rsidRPr="001278F6">
              <w:rPr>
                <w:rFonts w:ascii="Verdana" w:eastAsia="Calibri" w:hAnsi="Verdana" w:cs="Arial"/>
                <w:sz w:val="16"/>
                <w:szCs w:val="16"/>
                <w:lang w:eastAsia="es-ES"/>
              </w:rPr>
              <w:t xml:space="preserve">Carolina Quintero </w:t>
            </w:r>
            <w:proofErr w:type="spellStart"/>
            <w:r w:rsidRPr="001278F6">
              <w:rPr>
                <w:rFonts w:ascii="Verdana" w:eastAsia="Calibri" w:hAnsi="Verdana" w:cs="Arial"/>
                <w:sz w:val="16"/>
                <w:szCs w:val="16"/>
                <w:lang w:eastAsia="es-ES"/>
              </w:rPr>
              <w:t>Gacharná</w:t>
            </w:r>
            <w:proofErr w:type="spellEnd"/>
          </w:p>
          <w:p w14:paraId="1408DFE1" w14:textId="77777777" w:rsidR="001278F6" w:rsidRPr="001278F6" w:rsidRDefault="001278F6" w:rsidP="001278F6">
            <w:pPr>
              <w:rPr>
                <w:rFonts w:ascii="Verdana" w:eastAsia="Calibri" w:hAnsi="Verdana" w:cs="Arial"/>
                <w:sz w:val="16"/>
                <w:szCs w:val="16"/>
                <w:lang w:eastAsia="es-ES"/>
              </w:rPr>
            </w:pPr>
            <w:r w:rsidRPr="001278F6">
              <w:rPr>
                <w:rFonts w:ascii="Verdana" w:eastAsia="Calibri" w:hAnsi="Verdana" w:cs="Arial"/>
                <w:sz w:val="16"/>
                <w:szCs w:val="16"/>
                <w:lang w:eastAsia="es-ES"/>
              </w:rPr>
              <w:t>Subdirectora de Gestión Contractual ANCP – CCE</w:t>
            </w:r>
          </w:p>
        </w:tc>
      </w:tr>
    </w:tbl>
    <w:p w14:paraId="08E0D4F9" w14:textId="77777777" w:rsidR="001278F6" w:rsidRPr="001278F6" w:rsidRDefault="001278F6" w:rsidP="001278F6">
      <w:pPr>
        <w:rPr>
          <w:rFonts w:ascii="Verdana" w:eastAsia="Calibri" w:hAnsi="Verdana" w:cs="Times New Roman"/>
        </w:rPr>
      </w:pPr>
    </w:p>
    <w:p w14:paraId="34570CF4" w14:textId="77777777" w:rsidR="001278F6" w:rsidRPr="001278F6" w:rsidRDefault="001278F6" w:rsidP="001278F6">
      <w:pPr>
        <w:spacing w:line="278" w:lineRule="auto"/>
        <w:rPr>
          <w:rFonts w:ascii="Verdana" w:eastAsia="Aptos" w:hAnsi="Verdana" w:cs="Times New Roman"/>
          <w:kern w:val="2"/>
          <w:sz w:val="24"/>
          <w:szCs w:val="24"/>
          <w14:ligatures w14:val="standardContextual"/>
        </w:rPr>
      </w:pPr>
    </w:p>
    <w:p w14:paraId="0A98C4D6" w14:textId="77777777" w:rsidR="001278F6" w:rsidRPr="001278F6" w:rsidRDefault="001278F6" w:rsidP="001278F6">
      <w:pPr>
        <w:spacing w:line="278" w:lineRule="auto"/>
        <w:rPr>
          <w:rFonts w:ascii="Aptos" w:eastAsia="Aptos" w:hAnsi="Aptos" w:cs="Times New Roman"/>
          <w:kern w:val="2"/>
          <w:sz w:val="24"/>
          <w:szCs w:val="24"/>
          <w14:ligatures w14:val="standardContextual"/>
        </w:rPr>
      </w:pPr>
    </w:p>
    <w:p w14:paraId="0F293BF4" w14:textId="28C92C66" w:rsidR="00127233" w:rsidRPr="00394A78" w:rsidRDefault="00127233" w:rsidP="00394A78"/>
    <w:sectPr w:rsidR="00127233" w:rsidRPr="00394A78"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1C240" w14:textId="77777777" w:rsidR="001F6E22" w:rsidRDefault="001F6E22" w:rsidP="004A1847">
      <w:pPr>
        <w:spacing w:after="0" w:line="240" w:lineRule="auto"/>
      </w:pPr>
      <w:r>
        <w:separator/>
      </w:r>
    </w:p>
  </w:endnote>
  <w:endnote w:type="continuationSeparator" w:id="0">
    <w:p w14:paraId="08AE3D6A" w14:textId="77777777" w:rsidR="001F6E22" w:rsidRDefault="001F6E22" w:rsidP="004A1847">
      <w:pPr>
        <w:spacing w:after="0" w:line="240" w:lineRule="auto"/>
      </w:pPr>
      <w:r>
        <w:continuationSeparator/>
      </w:r>
    </w:p>
  </w:endnote>
  <w:endnote w:type="continuationNotice" w:id="1">
    <w:p w14:paraId="1E9743B1" w14:textId="77777777" w:rsidR="00B20920" w:rsidRDefault="00B209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1278F6">
      <w:rPr>
        <w:rFonts w:ascii="Verdana" w:eastAsia="Times New Roman" w:hAnsi="Verdana" w:cs="Times New Roman"/>
        <w:b/>
        <w:bCs/>
        <w:sz w:val="16"/>
        <w:szCs w:val="16"/>
        <w:lang w:val="es-ES"/>
      </w:rPr>
      <w:t xml:space="preserve">pág. </w:t>
    </w:r>
    <w:r w:rsidRPr="001278F6">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1278F6">
      <w:rPr>
        <w:rFonts w:ascii="Verdana" w:eastAsia="Times New Roman" w:hAnsi="Verdana"/>
        <w:b/>
        <w:bCs/>
        <w:sz w:val="16"/>
        <w:szCs w:val="16"/>
      </w:rPr>
      <w:fldChar w:fldCharType="separate"/>
    </w:r>
    <w:r w:rsidRPr="001278F6">
      <w:rPr>
        <w:rFonts w:ascii="Verdana" w:eastAsia="Times New Roman" w:hAnsi="Verdana"/>
        <w:b/>
        <w:bCs/>
        <w:sz w:val="16"/>
        <w:szCs w:val="16"/>
      </w:rPr>
      <w:t>1</w:t>
    </w:r>
    <w:r w:rsidRPr="001278F6">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01B7A" w14:textId="77777777" w:rsidR="001F6E22" w:rsidRDefault="001F6E22" w:rsidP="004A1847">
      <w:pPr>
        <w:spacing w:after="0" w:line="240" w:lineRule="auto"/>
      </w:pPr>
      <w:r>
        <w:separator/>
      </w:r>
    </w:p>
  </w:footnote>
  <w:footnote w:type="continuationSeparator" w:id="0">
    <w:p w14:paraId="27A4A6BF" w14:textId="77777777" w:rsidR="001F6E22" w:rsidRDefault="001F6E22" w:rsidP="004A1847">
      <w:pPr>
        <w:spacing w:after="0" w:line="240" w:lineRule="auto"/>
      </w:pPr>
      <w:r>
        <w:continuationSeparator/>
      </w:r>
    </w:p>
  </w:footnote>
  <w:footnote w:type="continuationNotice" w:id="1">
    <w:p w14:paraId="4167CBC1" w14:textId="77777777" w:rsidR="00B20920" w:rsidRDefault="00B20920">
      <w:pPr>
        <w:spacing w:after="0" w:line="240" w:lineRule="auto"/>
      </w:pPr>
    </w:p>
  </w:footnote>
  <w:footnote w:id="2">
    <w:p w14:paraId="790B4F8A" w14:textId="77777777" w:rsidR="001278F6" w:rsidRDefault="001278F6" w:rsidP="001278F6">
      <w:pPr>
        <w:pStyle w:val="Textonotapie"/>
        <w:ind w:firstLine="709"/>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 xml:space="preserve">“La manera como las ofertas presentan el precio varía demasiado, incluso por razón de la costumbre que se impone en determinados negocios. Por ejemplo, tratándose de la compraventa, del </w:t>
      </w:r>
      <w:r w:rsidRPr="00D366A3">
        <w:rPr>
          <w:rFonts w:ascii="Verdana" w:eastAsia="Calibri" w:hAnsi="Verdana" w:cs="Arial"/>
          <w:sz w:val="19"/>
          <w:szCs w:val="19"/>
          <w:lang w:val="es-ES_tradnl" w:eastAsia="es-ES_tradnl"/>
        </w:rPr>
        <w:t>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41F75426" w14:textId="77777777" w:rsidR="001278F6" w:rsidRPr="00D366A3" w:rsidRDefault="001278F6" w:rsidP="001278F6">
      <w:pPr>
        <w:pStyle w:val="Textonotapie"/>
        <w:ind w:firstLine="709"/>
        <w:jc w:val="both"/>
        <w:rPr>
          <w:rFonts w:ascii="Verdana" w:eastAsia="Calibri" w:hAnsi="Verdana" w:cs="Arial"/>
          <w:sz w:val="19"/>
          <w:szCs w:val="19"/>
          <w:lang w:val="es-ES_tradnl" w:eastAsia="es-ES_tradnl"/>
        </w:rPr>
      </w:pPr>
    </w:p>
    <w:p w14:paraId="486408C0" w14:textId="77777777" w:rsidR="001278F6" w:rsidRPr="002A1F9C" w:rsidRDefault="001278F6" w:rsidP="001278F6">
      <w:pPr>
        <w:pStyle w:val="Textonotapie"/>
        <w:ind w:firstLine="709"/>
        <w:jc w:val="both"/>
        <w:rPr>
          <w:rFonts w:ascii="Verdana" w:hAnsi="Verdana" w:cs="Arial"/>
          <w:sz w:val="19"/>
          <w:szCs w:val="19"/>
          <w:lang w:val="es-ES"/>
        </w:rPr>
      </w:pPr>
      <w:r w:rsidRPr="00D366A3">
        <w:rPr>
          <w:rFonts w:ascii="Verdana" w:eastAsia="Calibri" w:hAnsi="Verdana" w:cs="Arial"/>
          <w:sz w:val="19"/>
          <w:szCs w:val="19"/>
          <w:lang w:val="es-ES_tradnl" w:eastAsia="es-ES_tradnl"/>
        </w:rPr>
        <w:t>Sin embargo, en otros negocios, como la obra pública, la concesión y la consultoría</w:t>
      </w:r>
      <w:r w:rsidRPr="002A1F9C">
        <w:rPr>
          <w:rFonts w:ascii="Verdana" w:eastAsia="Calibri" w:hAnsi="Verdana" w:cs="Arial"/>
          <w:sz w:val="19"/>
          <w:szCs w:val="19"/>
          <w:lang w:val="es-ES_tradnl" w:eastAsia="es-ES_tradnl"/>
        </w:rPr>
        <w:t>,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40B08A83" w14:textId="77777777" w:rsidR="001278F6" w:rsidRPr="002A1F9C" w:rsidRDefault="001278F6" w:rsidP="001278F6">
      <w:pPr>
        <w:pStyle w:val="Textonotapie"/>
        <w:ind w:firstLine="708"/>
        <w:jc w:val="both"/>
        <w:rPr>
          <w:rFonts w:ascii="Verdana" w:hAnsi="Verdana" w:cs="Arial"/>
          <w:sz w:val="19"/>
          <w:szCs w:val="19"/>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Sección Tercera. Subsección B. Sentencia del 29 de febrero de 2012. Exp. 16371, C.P. Danilo Rojas Betancourth.</w:t>
      </w:r>
    </w:p>
  </w:footnote>
  <w:footnote w:id="4">
    <w:p w14:paraId="4FBE987C" w14:textId="77777777" w:rsidR="001278F6" w:rsidRPr="002A1F9C" w:rsidRDefault="001278F6" w:rsidP="001278F6">
      <w:pPr>
        <w:pStyle w:val="Textonotapie"/>
        <w:ind w:firstLine="709"/>
        <w:jc w:val="both"/>
        <w:rPr>
          <w:rFonts w:ascii="Verdana" w:hAnsi="Verdana" w:cs="Arial"/>
          <w:sz w:val="19"/>
          <w:szCs w:val="19"/>
          <w:lang w:val="es-CO"/>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PINO RICCI, Jorge. El régimen jurídico de los contratos estatales. Universidad Externado de Colombia. Bogotá, 2005. pp. 416.</w:t>
      </w:r>
    </w:p>
  </w:footnote>
  <w:footnote w:id="5">
    <w:p w14:paraId="5DEC9F2B" w14:textId="77777777" w:rsidR="001278F6" w:rsidRDefault="001278F6" w:rsidP="001278F6">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Sección Tercera. Subsección B. Sentencia del 14 de octubre de 2011. Exp. 20811, C.P. Ruth Stella Correa Palacio.</w:t>
      </w:r>
    </w:p>
    <w:p w14:paraId="59A31175" w14:textId="77777777" w:rsidR="001278F6" w:rsidRPr="002A1F9C" w:rsidRDefault="001278F6" w:rsidP="001278F6">
      <w:pPr>
        <w:pStyle w:val="Textonotapie"/>
        <w:ind w:firstLine="708"/>
        <w:jc w:val="both"/>
        <w:rPr>
          <w:rFonts w:ascii="Verdana" w:hAnsi="Verdana" w:cs="Arial"/>
          <w:sz w:val="19"/>
          <w:szCs w:val="19"/>
        </w:rPr>
      </w:pPr>
    </w:p>
  </w:footnote>
  <w:footnote w:id="6">
    <w:p w14:paraId="5FE1915D" w14:textId="77777777" w:rsidR="001278F6" w:rsidRDefault="001278F6" w:rsidP="001278F6">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Sala de Consulta y Servicio Civil. Concepto del 5 de septiembre de 2018, radicado No. 11001-03-06-000-2018-00124-00 C.P. Édgar González López.</w:t>
      </w:r>
    </w:p>
    <w:p w14:paraId="6B929125" w14:textId="77777777" w:rsidR="001278F6" w:rsidRPr="002A1F9C" w:rsidRDefault="001278F6" w:rsidP="001278F6">
      <w:pPr>
        <w:pStyle w:val="Textonotapie"/>
        <w:ind w:firstLine="708"/>
        <w:jc w:val="both"/>
        <w:rPr>
          <w:rFonts w:ascii="Verdana" w:hAnsi="Verdana" w:cs="Arial"/>
          <w:sz w:val="19"/>
          <w:szCs w:val="19"/>
        </w:rPr>
      </w:pPr>
    </w:p>
  </w:footnote>
  <w:footnote w:id="7">
    <w:p w14:paraId="70D73C03" w14:textId="77777777" w:rsidR="001278F6" w:rsidRDefault="001278F6" w:rsidP="001278F6">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p w14:paraId="0C263DCC" w14:textId="77777777" w:rsidR="001278F6" w:rsidRPr="002A1F9C" w:rsidRDefault="001278F6" w:rsidP="001278F6">
      <w:pPr>
        <w:pStyle w:val="Textonotapie"/>
        <w:ind w:firstLine="708"/>
        <w:jc w:val="both"/>
        <w:rPr>
          <w:rFonts w:ascii="Verdana" w:hAnsi="Verdana" w:cs="Arial"/>
          <w:sz w:val="19"/>
          <w:szCs w:val="19"/>
        </w:rPr>
      </w:pPr>
    </w:p>
  </w:footnote>
  <w:footnote w:id="8">
    <w:p w14:paraId="321D7495" w14:textId="77777777" w:rsidR="001278F6" w:rsidRPr="002A1F9C" w:rsidRDefault="001278F6" w:rsidP="001278F6">
      <w:pPr>
        <w:pStyle w:val="Textonotapie"/>
        <w:ind w:firstLine="708"/>
        <w:jc w:val="both"/>
        <w:rPr>
          <w:rFonts w:ascii="Verdana" w:hAnsi="Verdana" w:cs="Arial"/>
          <w:sz w:val="19"/>
          <w:szCs w:val="19"/>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2A1F9C">
        <w:rPr>
          <w:rFonts w:ascii="Verdana" w:hAnsi="Verdana" w:cs="Arial"/>
          <w:sz w:val="19"/>
          <w:szCs w:val="19"/>
        </w:rPr>
        <w:t xml:space="preserve"> </w:t>
      </w:r>
    </w:p>
  </w:footnote>
  <w:footnote w:id="9">
    <w:p w14:paraId="2F0E37D2" w14:textId="77777777" w:rsidR="001278F6" w:rsidRPr="002A1F9C" w:rsidRDefault="001278F6" w:rsidP="001278F6">
      <w:pPr>
        <w:pStyle w:val="Textonotapie"/>
        <w:ind w:firstLine="709"/>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MARÍN, Op. Cit., pp. 64-65.</w:t>
      </w:r>
    </w:p>
  </w:footnote>
  <w:footnote w:id="10">
    <w:p w14:paraId="4F8035E6" w14:textId="77777777" w:rsidR="001278F6" w:rsidRPr="002A1F9C" w:rsidRDefault="001278F6" w:rsidP="001278F6">
      <w:pPr>
        <w:pStyle w:val="Textonotapie"/>
        <w:ind w:firstLine="709"/>
        <w:jc w:val="both"/>
        <w:rPr>
          <w:rFonts w:ascii="Verdana" w:hAnsi="Verdana" w:cs="Arial"/>
          <w:sz w:val="19"/>
          <w:szCs w:val="19"/>
          <w:lang w:val="es-ES"/>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Ibíd., p. 66.</w:t>
      </w:r>
    </w:p>
  </w:footnote>
  <w:footnote w:id="11">
    <w:p w14:paraId="04A0A4C1" w14:textId="77777777" w:rsidR="001278F6" w:rsidRDefault="001278F6" w:rsidP="001278F6">
      <w:pPr>
        <w:pStyle w:val="Textonotapie"/>
        <w:ind w:firstLine="708"/>
        <w:contextualSpacing/>
        <w:jc w:val="both"/>
        <w:rPr>
          <w:rFonts w:ascii="Verdana" w:hAnsi="Verdana"/>
          <w:sz w:val="19"/>
          <w:szCs w:val="19"/>
        </w:rPr>
      </w:pPr>
      <w:r w:rsidRPr="002A1F9C">
        <w:rPr>
          <w:rStyle w:val="Refdenotaalpie"/>
          <w:rFonts w:ascii="Verdana" w:hAnsi="Verdana"/>
          <w:sz w:val="19"/>
          <w:szCs w:val="19"/>
        </w:rPr>
        <w:footnoteRef/>
      </w:r>
      <w:r w:rsidRPr="002A1F9C">
        <w:rPr>
          <w:rFonts w:ascii="Verdana" w:hAnsi="Verdana"/>
          <w:sz w:val="19"/>
          <w:szCs w:val="19"/>
        </w:rPr>
        <w:t xml:space="preserve"> </w:t>
      </w:r>
      <w:r>
        <w:rPr>
          <w:rFonts w:ascii="Verdana" w:hAnsi="Verdana"/>
          <w:sz w:val="19"/>
          <w:szCs w:val="19"/>
        </w:rPr>
        <w:t>C</w:t>
      </w:r>
      <w:r w:rsidRPr="002A1F9C">
        <w:rPr>
          <w:rFonts w:ascii="Verdana" w:hAnsi="Verdana"/>
          <w:sz w:val="19"/>
          <w:szCs w:val="19"/>
        </w:rPr>
        <w:t xml:space="preserve">onsejo de </w:t>
      </w:r>
      <w:r>
        <w:rPr>
          <w:rFonts w:ascii="Verdana" w:hAnsi="Verdana"/>
          <w:sz w:val="19"/>
          <w:szCs w:val="19"/>
        </w:rPr>
        <w:t>E</w:t>
      </w:r>
      <w:r w:rsidRPr="002A1F9C">
        <w:rPr>
          <w:rFonts w:ascii="Verdana" w:hAnsi="Verdana"/>
          <w:sz w:val="19"/>
          <w:szCs w:val="19"/>
        </w:rPr>
        <w:t>stado. Sala de lo Contencioso Administrativo. Sección Tercera. Subsección B. C.P.: Ramiro Pazos Guerrero. Sentencia del 4 de junio de 2019. Radicación número: 73001-23-31-000-2008-00741-01 (39.974).</w:t>
      </w:r>
    </w:p>
    <w:p w14:paraId="21DD3EAE" w14:textId="77777777" w:rsidR="001278F6" w:rsidRPr="002A1F9C" w:rsidRDefault="001278F6" w:rsidP="001278F6">
      <w:pPr>
        <w:pStyle w:val="Textonotapie"/>
        <w:ind w:firstLine="708"/>
        <w:contextualSpacing/>
        <w:jc w:val="both"/>
        <w:rPr>
          <w:rFonts w:ascii="Verdana" w:hAnsi="Verdana"/>
          <w:sz w:val="19"/>
          <w:szCs w:val="19"/>
        </w:rPr>
      </w:pPr>
    </w:p>
  </w:footnote>
  <w:footnote w:id="12">
    <w:p w14:paraId="3FBA6663" w14:textId="77777777" w:rsidR="001278F6" w:rsidRDefault="001278F6" w:rsidP="001278F6">
      <w:pPr>
        <w:pStyle w:val="Textonotapie"/>
        <w:ind w:firstLine="708"/>
        <w:contextualSpacing/>
        <w:jc w:val="both"/>
        <w:rPr>
          <w:rFonts w:ascii="Verdana" w:hAnsi="Verdana"/>
          <w:sz w:val="19"/>
          <w:szCs w:val="19"/>
        </w:rPr>
      </w:pPr>
      <w:r w:rsidRPr="002A1F9C">
        <w:rPr>
          <w:rStyle w:val="Refdenotaalpie"/>
          <w:rFonts w:ascii="Verdana" w:hAnsi="Verdana"/>
          <w:sz w:val="19"/>
          <w:szCs w:val="19"/>
        </w:rPr>
        <w:footnoteRef/>
      </w:r>
      <w:r w:rsidRPr="002A1F9C">
        <w:rPr>
          <w:rFonts w:ascii="Verdana" w:hAnsi="Verdana"/>
          <w:sz w:val="19"/>
          <w:szCs w:val="19"/>
        </w:rPr>
        <w:t xml:space="preserve"> </w:t>
      </w:r>
      <w:r>
        <w:rPr>
          <w:rFonts w:ascii="Verdana" w:hAnsi="Verdana"/>
          <w:sz w:val="19"/>
          <w:szCs w:val="19"/>
        </w:rPr>
        <w:t>C</w:t>
      </w:r>
      <w:r w:rsidRPr="002A1F9C">
        <w:rPr>
          <w:rFonts w:ascii="Verdana" w:hAnsi="Verdana"/>
          <w:sz w:val="19"/>
          <w:szCs w:val="19"/>
        </w:rPr>
        <w:t xml:space="preserve">onsejo de </w:t>
      </w:r>
      <w:r>
        <w:rPr>
          <w:rFonts w:ascii="Verdana" w:hAnsi="Verdana"/>
          <w:sz w:val="19"/>
          <w:szCs w:val="19"/>
        </w:rPr>
        <w:t>E</w:t>
      </w:r>
      <w:r w:rsidRPr="002A1F9C">
        <w:rPr>
          <w:rFonts w:ascii="Verdana" w:hAnsi="Verdana"/>
          <w:sz w:val="19"/>
          <w:szCs w:val="19"/>
        </w:rPr>
        <w:t>stado. Sala de lo Contencioso Administrativo. Sección Tercera. Subsección B. C.P.: Alberto Montaña Plata. Sentencia del 18 de noviembre de 2021. Radicación número.: 47001-23-33-001-2013-00363-01 (61.641).</w:t>
      </w:r>
    </w:p>
    <w:p w14:paraId="6CF6C140" w14:textId="77777777" w:rsidR="001278F6" w:rsidRPr="002A1F9C" w:rsidRDefault="001278F6" w:rsidP="001278F6">
      <w:pPr>
        <w:pStyle w:val="Textonotapie"/>
        <w:ind w:firstLine="708"/>
        <w:contextualSpacing/>
        <w:jc w:val="both"/>
        <w:rPr>
          <w:rFonts w:ascii="Verdana" w:hAnsi="Verdana"/>
          <w:sz w:val="19"/>
          <w:szCs w:val="19"/>
        </w:rPr>
      </w:pPr>
    </w:p>
  </w:footnote>
  <w:footnote w:id="13">
    <w:p w14:paraId="5160938F" w14:textId="77777777" w:rsidR="001278F6" w:rsidRPr="002A1F9C" w:rsidRDefault="001278F6" w:rsidP="001278F6">
      <w:pPr>
        <w:pStyle w:val="Sinespaciado1"/>
        <w:spacing w:line="276" w:lineRule="auto"/>
        <w:ind w:firstLine="708"/>
        <w:jc w:val="both"/>
        <w:rPr>
          <w:rFonts w:ascii="Verdana" w:hAnsi="Verdana" w:cs="Arial"/>
          <w:iCs/>
          <w:sz w:val="19"/>
          <w:szCs w:val="19"/>
        </w:rPr>
      </w:pPr>
      <w:r w:rsidRPr="002A1F9C">
        <w:rPr>
          <w:rFonts w:ascii="Verdana" w:hAnsi="Verdana" w:cs="Arial"/>
          <w:iCs/>
          <w:sz w:val="19"/>
          <w:szCs w:val="19"/>
          <w:vertAlign w:val="superscript"/>
        </w:rPr>
        <w:footnoteRef/>
      </w:r>
      <w:r w:rsidRPr="002A1F9C">
        <w:rPr>
          <w:rFonts w:ascii="Verdana" w:hAnsi="Verdana" w:cs="Arial"/>
          <w:iCs/>
          <w:sz w:val="19"/>
          <w:szCs w:val="19"/>
        </w:rPr>
        <w:t xml:space="preserve"> Consejo de Estado, Sala de Consulta y Servicio Civil, Concepto 1920 del 9 de septiembre de 2008 y ponencia de Enrique José Arboleda Perdomo.</w:t>
      </w:r>
    </w:p>
    <w:p w14:paraId="0109B097" w14:textId="77777777" w:rsidR="001278F6" w:rsidRPr="002A1F9C" w:rsidRDefault="001278F6" w:rsidP="001278F6">
      <w:pPr>
        <w:pStyle w:val="Textonotapie"/>
        <w:jc w:val="both"/>
        <w:rPr>
          <w:rFonts w:ascii="Verdana" w:hAnsi="Verdana"/>
          <w:sz w:val="19"/>
          <w:szCs w:val="19"/>
        </w:rPr>
      </w:pPr>
    </w:p>
  </w:footnote>
  <w:footnote w:id="14">
    <w:p w14:paraId="6BC849F3" w14:textId="77777777" w:rsidR="001278F6" w:rsidRDefault="001278F6" w:rsidP="001278F6">
      <w:pPr>
        <w:pStyle w:val="Textonotapie"/>
        <w:ind w:firstLine="708"/>
        <w:jc w:val="both"/>
        <w:rPr>
          <w:rFonts w:ascii="Verdana" w:hAnsi="Verdana" w:cs="Arial"/>
          <w:iCs/>
          <w:sz w:val="19"/>
          <w:szCs w:val="19"/>
        </w:rPr>
      </w:pPr>
      <w:r w:rsidRPr="002A1F9C">
        <w:rPr>
          <w:rFonts w:ascii="Verdana" w:hAnsi="Verdana" w:cs="Arial"/>
          <w:iCs/>
          <w:sz w:val="19"/>
          <w:szCs w:val="19"/>
          <w:vertAlign w:val="superscript"/>
        </w:rPr>
        <w:footnoteRef/>
      </w:r>
      <w:r w:rsidRPr="002A1F9C">
        <w:rPr>
          <w:rFonts w:ascii="Verdana" w:hAnsi="Verdana" w:cs="Arial"/>
          <w:iCs/>
          <w:sz w:val="19"/>
          <w:szCs w:val="19"/>
          <w:vertAlign w:val="superscript"/>
        </w:rPr>
        <w:t xml:space="preserve"> </w:t>
      </w:r>
      <w:r w:rsidRPr="002A1F9C">
        <w:rPr>
          <w:rFonts w:ascii="Verdana" w:hAnsi="Verdana" w:cs="Arial"/>
          <w:iCs/>
          <w:sz w:val="19"/>
          <w:szCs w:val="19"/>
        </w:rPr>
        <w:t>Véase al respecto el Concepto de la Sala de Consulta y Servicio Civil del 23 de agosto de 2013, radicado 2148 y ponencia de William Zambrano Cetina.</w:t>
      </w:r>
    </w:p>
    <w:p w14:paraId="7DC9D8D9" w14:textId="77777777" w:rsidR="001278F6" w:rsidRPr="002A1F9C" w:rsidRDefault="001278F6" w:rsidP="001278F6">
      <w:pPr>
        <w:pStyle w:val="Textonotapie"/>
        <w:jc w:val="both"/>
        <w:rPr>
          <w:rFonts w:ascii="Verdana" w:hAnsi="Verdana"/>
          <w:sz w:val="19"/>
          <w:szCs w:val="19"/>
        </w:rPr>
      </w:pPr>
    </w:p>
  </w:footnote>
  <w:footnote w:id="15">
    <w:p w14:paraId="43910607" w14:textId="77777777" w:rsidR="001278F6" w:rsidRPr="00B2642C" w:rsidRDefault="001278F6" w:rsidP="001278F6">
      <w:pPr>
        <w:pStyle w:val="Textonotapie"/>
        <w:ind w:firstLine="708"/>
        <w:jc w:val="both"/>
        <w:rPr>
          <w:i/>
          <w:iCs/>
        </w:rPr>
      </w:pPr>
      <w:r>
        <w:rPr>
          <w:rStyle w:val="Refdenotaalpie"/>
        </w:rPr>
        <w:footnoteRef/>
      </w:r>
      <w:r>
        <w:t xml:space="preserve"> </w:t>
      </w:r>
      <w:r w:rsidRPr="00B2642C">
        <w:rPr>
          <w:i/>
          <w:iCs/>
        </w:rPr>
        <w:t xml:space="preserve">Ibidem </w:t>
      </w:r>
    </w:p>
  </w:footnote>
  <w:footnote w:id="16">
    <w:p w14:paraId="2DA10480" w14:textId="77777777" w:rsidR="001278F6" w:rsidRDefault="001278F6" w:rsidP="001278F6">
      <w:pPr>
        <w:pStyle w:val="Textonotapie"/>
        <w:ind w:firstLine="708"/>
        <w:jc w:val="both"/>
      </w:pPr>
      <w:r>
        <w:rPr>
          <w:rStyle w:val="Refdenotaalpie"/>
        </w:rPr>
        <w:footnoteRef/>
      </w:r>
      <w:r>
        <w:t xml:space="preserve"> Ibidem </w:t>
      </w:r>
    </w:p>
    <w:p w14:paraId="153660B2" w14:textId="77777777" w:rsidR="001278F6" w:rsidRDefault="001278F6" w:rsidP="001278F6">
      <w:pPr>
        <w:pStyle w:val="Textonotapie"/>
        <w:ind w:firstLine="708"/>
        <w:jc w:val="both"/>
      </w:pPr>
    </w:p>
  </w:footnote>
  <w:footnote w:id="17">
    <w:p w14:paraId="622836FF" w14:textId="77777777" w:rsidR="001278F6" w:rsidRDefault="001278F6" w:rsidP="001278F6">
      <w:pPr>
        <w:pStyle w:val="Textonotapie"/>
        <w:ind w:firstLine="708"/>
        <w:contextualSpacing/>
        <w:jc w:val="both"/>
      </w:pPr>
      <w:r>
        <w:rPr>
          <w:rStyle w:val="Refdenotaalpie"/>
        </w:rPr>
        <w:footnoteRef/>
      </w:r>
      <w:r>
        <w:t xml:space="preserve"> </w:t>
      </w:r>
      <w:r>
        <w:rPr>
          <w:rFonts w:ascii="Verdana" w:hAnsi="Verdana"/>
          <w:sz w:val="19"/>
          <w:szCs w:val="19"/>
        </w:rPr>
        <w:t>C</w:t>
      </w:r>
      <w:r w:rsidRPr="002A1F9C">
        <w:rPr>
          <w:rFonts w:ascii="Verdana" w:hAnsi="Verdana"/>
          <w:sz w:val="19"/>
          <w:szCs w:val="19"/>
        </w:rPr>
        <w:t xml:space="preserve">onsejo de </w:t>
      </w:r>
      <w:r>
        <w:rPr>
          <w:rFonts w:ascii="Verdana" w:hAnsi="Verdana"/>
          <w:sz w:val="19"/>
          <w:szCs w:val="19"/>
        </w:rPr>
        <w:t>E</w:t>
      </w:r>
      <w:r w:rsidRPr="002A1F9C">
        <w:rPr>
          <w:rFonts w:ascii="Verdana" w:hAnsi="Verdana"/>
          <w:sz w:val="19"/>
          <w:szCs w:val="19"/>
        </w:rPr>
        <w:t xml:space="preserve">stado. Sala de lo Contencioso Administrativo. Sección Tercera. Subsección </w:t>
      </w:r>
      <w:r>
        <w:rPr>
          <w:rFonts w:ascii="Verdana" w:hAnsi="Verdana"/>
          <w:sz w:val="19"/>
          <w:szCs w:val="19"/>
        </w:rPr>
        <w:t>C</w:t>
      </w:r>
      <w:r w:rsidRPr="002A1F9C">
        <w:rPr>
          <w:rFonts w:ascii="Verdana" w:hAnsi="Verdana"/>
          <w:sz w:val="19"/>
          <w:szCs w:val="19"/>
        </w:rPr>
        <w:t>. C.P.:</w:t>
      </w:r>
      <w:r>
        <w:rPr>
          <w:rFonts w:ascii="Verdana" w:hAnsi="Verdana"/>
          <w:sz w:val="19"/>
          <w:szCs w:val="19"/>
        </w:rPr>
        <w:t xml:space="preserve"> Jaime Enrique Rodríguez Navas</w:t>
      </w:r>
      <w:r w:rsidRPr="002A1F9C">
        <w:rPr>
          <w:rFonts w:ascii="Verdana" w:hAnsi="Verdana"/>
          <w:sz w:val="19"/>
          <w:szCs w:val="19"/>
        </w:rPr>
        <w:t xml:space="preserve">. Sentencia del 1 de </w:t>
      </w:r>
      <w:r>
        <w:rPr>
          <w:rFonts w:ascii="Verdana" w:hAnsi="Verdana"/>
          <w:sz w:val="19"/>
          <w:szCs w:val="19"/>
        </w:rPr>
        <w:t xml:space="preserve">julio </w:t>
      </w:r>
      <w:r w:rsidRPr="002A1F9C">
        <w:rPr>
          <w:rFonts w:ascii="Verdana" w:hAnsi="Verdana"/>
          <w:sz w:val="19"/>
          <w:szCs w:val="19"/>
        </w:rPr>
        <w:t>de 202</w:t>
      </w:r>
      <w:r>
        <w:rPr>
          <w:rFonts w:ascii="Verdana" w:hAnsi="Verdana"/>
          <w:sz w:val="19"/>
          <w:szCs w:val="19"/>
        </w:rPr>
        <w:t>0</w:t>
      </w:r>
      <w:r w:rsidRPr="002A1F9C">
        <w:rPr>
          <w:rFonts w:ascii="Verdana" w:hAnsi="Verdana"/>
          <w:sz w:val="19"/>
          <w:szCs w:val="19"/>
        </w:rPr>
        <w:t xml:space="preserve">. Radicación número.: </w:t>
      </w:r>
      <w:r w:rsidRPr="00F97441">
        <w:rPr>
          <w:rFonts w:ascii="Verdana" w:hAnsi="Verdana"/>
          <w:sz w:val="19"/>
          <w:szCs w:val="19"/>
          <w:lang w:val="es-CO"/>
        </w:rPr>
        <w:t>05001-23-31-000-2000-03439-01(47101)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2475AC"/>
    <w:multiLevelType w:val="hybridMultilevel"/>
    <w:tmpl w:val="E048A90C"/>
    <w:lvl w:ilvl="0" w:tplc="541C0D2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AFC16BB"/>
    <w:multiLevelType w:val="hybridMultilevel"/>
    <w:tmpl w:val="50367D3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E1691C"/>
    <w:multiLevelType w:val="hybridMultilevel"/>
    <w:tmpl w:val="E048A90C"/>
    <w:lvl w:ilvl="0" w:tplc="FFFFFFFF">
      <w:start w:val="1"/>
      <w:numFmt w:val="lowerRoman"/>
      <w:lvlText w:val="%1)"/>
      <w:lvlJc w:val="left"/>
      <w:pPr>
        <w:ind w:left="1429" w:hanging="72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679089576">
    <w:abstractNumId w:val="9"/>
  </w:num>
  <w:num w:numId="17" w16cid:durableId="255403801">
    <w:abstractNumId w:val="10"/>
  </w:num>
  <w:num w:numId="18" w16cid:durableId="1481381379">
    <w:abstractNumId w:val="0"/>
  </w:num>
  <w:num w:numId="19" w16cid:durableId="8957466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716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726F"/>
    <w:rsid w:val="000A683E"/>
    <w:rsid w:val="000B19B9"/>
    <w:rsid w:val="000B582D"/>
    <w:rsid w:val="000D0334"/>
    <w:rsid w:val="000F6486"/>
    <w:rsid w:val="00125105"/>
    <w:rsid w:val="00127233"/>
    <w:rsid w:val="001278F6"/>
    <w:rsid w:val="001E4177"/>
    <w:rsid w:val="001F6E22"/>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94A78"/>
    <w:rsid w:val="003A779E"/>
    <w:rsid w:val="003D0F4D"/>
    <w:rsid w:val="003D5B0D"/>
    <w:rsid w:val="003E0499"/>
    <w:rsid w:val="003F3941"/>
    <w:rsid w:val="00406575"/>
    <w:rsid w:val="00414C74"/>
    <w:rsid w:val="0042722E"/>
    <w:rsid w:val="0044528D"/>
    <w:rsid w:val="00497EDC"/>
    <w:rsid w:val="004A1847"/>
    <w:rsid w:val="004A305D"/>
    <w:rsid w:val="004F21C4"/>
    <w:rsid w:val="004F685F"/>
    <w:rsid w:val="005566E8"/>
    <w:rsid w:val="00574867"/>
    <w:rsid w:val="00591460"/>
    <w:rsid w:val="005C3777"/>
    <w:rsid w:val="005C5CDC"/>
    <w:rsid w:val="005D476C"/>
    <w:rsid w:val="005F2D2F"/>
    <w:rsid w:val="006219F8"/>
    <w:rsid w:val="006302F7"/>
    <w:rsid w:val="006657D1"/>
    <w:rsid w:val="00665D70"/>
    <w:rsid w:val="006900D9"/>
    <w:rsid w:val="006A760C"/>
    <w:rsid w:val="00706C16"/>
    <w:rsid w:val="00706E45"/>
    <w:rsid w:val="007347AB"/>
    <w:rsid w:val="00756841"/>
    <w:rsid w:val="007649AB"/>
    <w:rsid w:val="00771D0C"/>
    <w:rsid w:val="007833AC"/>
    <w:rsid w:val="007B268C"/>
    <w:rsid w:val="007B7171"/>
    <w:rsid w:val="007C0C0F"/>
    <w:rsid w:val="007C3DC2"/>
    <w:rsid w:val="007E5497"/>
    <w:rsid w:val="00806F5F"/>
    <w:rsid w:val="00820278"/>
    <w:rsid w:val="00841FFE"/>
    <w:rsid w:val="00867F95"/>
    <w:rsid w:val="008843B6"/>
    <w:rsid w:val="00891928"/>
    <w:rsid w:val="00897A3A"/>
    <w:rsid w:val="008A446D"/>
    <w:rsid w:val="008B62A4"/>
    <w:rsid w:val="008D180B"/>
    <w:rsid w:val="008F0EA7"/>
    <w:rsid w:val="008F153C"/>
    <w:rsid w:val="008F7431"/>
    <w:rsid w:val="00921664"/>
    <w:rsid w:val="00923EEF"/>
    <w:rsid w:val="00924808"/>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20920"/>
    <w:rsid w:val="00B34595"/>
    <w:rsid w:val="00B44A47"/>
    <w:rsid w:val="00B72CD3"/>
    <w:rsid w:val="00B72FFF"/>
    <w:rsid w:val="00BC1C82"/>
    <w:rsid w:val="00BC3D36"/>
    <w:rsid w:val="00BD7F72"/>
    <w:rsid w:val="00C04FB3"/>
    <w:rsid w:val="00C330EB"/>
    <w:rsid w:val="00C754BE"/>
    <w:rsid w:val="00C76B1C"/>
    <w:rsid w:val="00C82096"/>
    <w:rsid w:val="00CB6357"/>
    <w:rsid w:val="00CC1B26"/>
    <w:rsid w:val="00D423A2"/>
    <w:rsid w:val="00D520D8"/>
    <w:rsid w:val="00D609CD"/>
    <w:rsid w:val="00D63AC2"/>
    <w:rsid w:val="00D64E31"/>
    <w:rsid w:val="00D7383B"/>
    <w:rsid w:val="00DA231B"/>
    <w:rsid w:val="00DC39FC"/>
    <w:rsid w:val="00DF5254"/>
    <w:rsid w:val="00E16408"/>
    <w:rsid w:val="00E20894"/>
    <w:rsid w:val="00E245AB"/>
    <w:rsid w:val="00E26069"/>
    <w:rsid w:val="00E2764C"/>
    <w:rsid w:val="00E27F2E"/>
    <w:rsid w:val="00E50AFE"/>
    <w:rsid w:val="00E75C92"/>
    <w:rsid w:val="00E771DC"/>
    <w:rsid w:val="00E8772A"/>
    <w:rsid w:val="00E90F6B"/>
    <w:rsid w:val="00E92C27"/>
    <w:rsid w:val="00EA0E3D"/>
    <w:rsid w:val="00EC38A7"/>
    <w:rsid w:val="00ED2CEC"/>
    <w:rsid w:val="00EE1AA8"/>
    <w:rsid w:val="00F31EDC"/>
    <w:rsid w:val="00F462B3"/>
    <w:rsid w:val="00F5664F"/>
    <w:rsid w:val="00F666C4"/>
    <w:rsid w:val="00F76AFC"/>
    <w:rsid w:val="00FA47C0"/>
    <w:rsid w:val="00FB4CBB"/>
    <w:rsid w:val="00FB5DD1"/>
    <w:rsid w:val="00FC2B5D"/>
    <w:rsid w:val="00FF1449"/>
    <w:rsid w:val="00FF76EF"/>
    <w:rsid w:val="36EFED65"/>
    <w:rsid w:val="4D9D79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278F6"/>
    <w:pPr>
      <w:spacing w:line="240" w:lineRule="exact"/>
    </w:pPr>
    <w:rPr>
      <w:vertAlign w:val="superscript"/>
    </w:rPr>
  </w:style>
  <w:style w:type="paragraph" w:customStyle="1" w:styleId="Sinespaciado1">
    <w:name w:val="Sin espaciado1"/>
    <w:next w:val="Sinespaciado"/>
    <w:uiPriority w:val="1"/>
    <w:qFormat/>
    <w:rsid w:val="001278F6"/>
    <w:pPr>
      <w:spacing w:after="0" w:line="240" w:lineRule="auto"/>
    </w:pPr>
    <w:rPr>
      <w:kern w:val="2"/>
      <w:sz w:val="24"/>
      <w:szCs w:val="24"/>
      <w14:ligatures w14:val="standardContextual"/>
    </w:rPr>
  </w:style>
  <w:style w:type="paragraph" w:styleId="Sinespaciado">
    <w:name w:val="No Spacing"/>
    <w:uiPriority w:val="1"/>
    <w:qFormat/>
    <w:rsid w:val="001278F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0AFE16-8DF4-447C-A891-EC9D43D05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9d85dbaf-23eb-4e57-a637-93dcacc8b1a1"/>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19</Pages>
  <Words>6534</Words>
  <Characters>35810</Characters>
  <Application>Microsoft Office Word</Application>
  <DocSecurity>0</DocSecurity>
  <Lines>675</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2025-10-28T20:24:00Z</dcterms:created>
  <dcterms:modified xsi:type="dcterms:W3CDTF">2025-10-28T20:24:00Z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