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32D2A" w14:textId="799DDFA0" w:rsidR="0002408E" w:rsidRPr="00892759" w:rsidRDefault="0002408E" w:rsidP="0002408E">
      <w:pPr>
        <w:spacing w:line="276" w:lineRule="auto"/>
        <w:jc w:val="both"/>
        <w:rPr>
          <w:rFonts w:ascii="Verdana" w:eastAsia="Calibri" w:hAnsi="Verdana" w:cs="Arial"/>
          <w:b/>
          <w:bCs/>
          <w:lang w:val="es-ES" w:eastAsia="es-ES"/>
        </w:rPr>
      </w:pPr>
      <w:r w:rsidRPr="00892759">
        <w:rPr>
          <w:rFonts w:ascii="Verdana" w:eastAsia="Calibri" w:hAnsi="Verdana" w:cs="Arial"/>
          <w:b/>
          <w:bCs/>
          <w:lang w:val="es-ES" w:eastAsia="es-ES"/>
        </w:rPr>
        <w:t xml:space="preserve">REQUISITOS HABILITANTES – Noción </w:t>
      </w:r>
    </w:p>
    <w:p w14:paraId="5E3028CC" w14:textId="77777777" w:rsidR="007475CF" w:rsidRPr="00886F14" w:rsidRDefault="007475CF" w:rsidP="007475CF">
      <w:pPr>
        <w:spacing w:after="120" w:line="276" w:lineRule="auto"/>
        <w:jc w:val="both"/>
        <w:rPr>
          <w:rFonts w:ascii="Verdana" w:hAnsi="Verdana" w:cs="Arial"/>
          <w:color w:val="000000" w:themeColor="text1"/>
          <w:lang w:val="es-ES_tradnl"/>
        </w:rPr>
      </w:pPr>
      <w:r w:rsidRPr="00886F14">
        <w:rPr>
          <w:rFonts w:ascii="Verdana" w:hAnsi="Verdana" w:cs="Arial"/>
          <w:color w:val="000000" w:themeColor="text1"/>
          <w:lang w:val="es-ES_tradnl"/>
        </w:rPr>
        <w:t xml:space="preserve">Los </w:t>
      </w:r>
      <w:r w:rsidRPr="00886F14">
        <w:rPr>
          <w:rFonts w:ascii="Verdana" w:hAnsi="Verdana" w:cs="Arial"/>
          <w:i/>
          <w:iCs/>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3898EFB1" w14:textId="789A0F98" w:rsidR="007475CF" w:rsidRDefault="007475CF" w:rsidP="007475CF">
      <w:pPr>
        <w:spacing w:line="276" w:lineRule="auto"/>
        <w:jc w:val="both"/>
        <w:rPr>
          <w:rFonts w:ascii="Verdana" w:eastAsia="Calibri" w:hAnsi="Verdana" w:cs="Arial"/>
          <w:lang w:val="es-ES" w:eastAsia="es-ES"/>
        </w:rPr>
      </w:pPr>
      <w:r w:rsidRPr="26496D74">
        <w:rPr>
          <w:rFonts w:ascii="Verdana" w:hAnsi="Verdana" w:cs="Arial"/>
          <w:color w:val="000000" w:themeColor="text1"/>
          <w:lang w:val="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318405C1" w14:textId="4955333A" w:rsidR="0002408E" w:rsidRPr="00892759" w:rsidRDefault="0002408E" w:rsidP="0002408E">
      <w:pPr>
        <w:spacing w:line="276" w:lineRule="auto"/>
        <w:jc w:val="both"/>
        <w:rPr>
          <w:rFonts w:ascii="Verdana" w:eastAsia="Calibri" w:hAnsi="Verdana" w:cs="Arial"/>
          <w:b/>
          <w:bCs/>
          <w:lang w:val="es-ES" w:eastAsia="es-ES"/>
        </w:rPr>
      </w:pPr>
      <w:r w:rsidRPr="00892759">
        <w:rPr>
          <w:rFonts w:ascii="Verdana" w:eastAsia="Calibri" w:hAnsi="Verdana" w:cs="Arial"/>
          <w:b/>
          <w:bCs/>
          <w:lang w:val="es-ES" w:eastAsia="es-ES"/>
        </w:rPr>
        <w:t xml:space="preserve">CAPACIDAD – Personas naturales – Personas jurídicas </w:t>
      </w:r>
    </w:p>
    <w:p w14:paraId="649B1F65" w14:textId="596546E9" w:rsidR="007475CF" w:rsidRDefault="007475CF" w:rsidP="0002408E">
      <w:pPr>
        <w:spacing w:line="276" w:lineRule="auto"/>
        <w:jc w:val="both"/>
        <w:rPr>
          <w:rFonts w:ascii="Verdana" w:hAnsi="Verdana" w:cs="Arial"/>
          <w:color w:val="000000" w:themeColor="text1"/>
        </w:rPr>
      </w:pPr>
      <w:r w:rsidRPr="002775BB">
        <w:rPr>
          <w:rFonts w:ascii="Verdana" w:hAnsi="Verdana" w:cs="Arial"/>
          <w:i/>
          <w:iCs/>
          <w:color w:val="000000" w:themeColor="text1"/>
        </w:rPr>
        <w:t>Respecto a la capacidad jurídica</w:t>
      </w:r>
      <w:r>
        <w:rPr>
          <w:rFonts w:ascii="Verdana" w:hAnsi="Verdana" w:cs="Arial"/>
          <w:color w:val="000000" w:themeColor="text1"/>
        </w:rPr>
        <w:t>, ésta</w:t>
      </w:r>
      <w:r w:rsidRPr="002F7E6A">
        <w:rPr>
          <w:rFonts w:ascii="Verdana" w:hAnsi="Verdana" w:cs="Arial"/>
          <w:color w:val="000000" w:themeColor="text1"/>
        </w:rPr>
        <w:t xml:space="preserve"> es un presupuesto de la validez de contrato. No en vano, en concordancia con el numeral 1 del artículo 1502 del Código Civil, el artículo 6 de la Ley 80 de 1993 dispone que </w:t>
      </w:r>
      <w:r>
        <w:rPr>
          <w:rFonts w:ascii="Verdana" w:hAnsi="Verdana" w:cs="Arial"/>
          <w:color w:val="000000" w:themeColor="text1"/>
        </w:rPr>
        <w:t>“</w:t>
      </w:r>
      <w:r w:rsidRPr="002F7E6A">
        <w:rPr>
          <w:rFonts w:ascii="Verdana" w:hAnsi="Verdana" w:cs="Arial"/>
          <w:color w:val="000000" w:themeColor="text1"/>
        </w:rPr>
        <w:t>Pueden celebrar contratos con las entidades estatales las personas consideradas legalmente capaces en las disposiciones vigentes</w:t>
      </w:r>
      <w:r>
        <w:rPr>
          <w:rFonts w:ascii="Verdana" w:hAnsi="Verdana" w:cs="Arial"/>
          <w:color w:val="000000" w:themeColor="text1"/>
        </w:rPr>
        <w:t xml:space="preserve"> […]”</w:t>
      </w:r>
      <w:r w:rsidRPr="002F7E6A">
        <w:rPr>
          <w:rFonts w:ascii="Verdana" w:hAnsi="Verdana" w:cs="Arial"/>
          <w:color w:val="000000" w:themeColor="text1"/>
        </w:rPr>
        <w:t>. Para estos efectos,</w:t>
      </w:r>
      <w:r>
        <w:rPr>
          <w:rFonts w:ascii="Verdana" w:hAnsi="Verdana" w:cs="Arial"/>
          <w:color w:val="000000" w:themeColor="text1"/>
        </w:rPr>
        <w:t xml:space="preserve"> tratándose de </w:t>
      </w:r>
      <w:r w:rsidRPr="002775BB">
        <w:rPr>
          <w:rFonts w:ascii="Verdana" w:hAnsi="Verdana" w:cs="Arial"/>
          <w:i/>
          <w:iCs/>
          <w:color w:val="000000" w:themeColor="text1"/>
        </w:rPr>
        <w:t>personas naturales</w:t>
      </w:r>
      <w:r>
        <w:rPr>
          <w:rFonts w:ascii="Verdana" w:hAnsi="Verdana" w:cs="Arial"/>
          <w:color w:val="000000" w:themeColor="text1"/>
        </w:rPr>
        <w:t>,</w:t>
      </w:r>
      <w:r w:rsidRPr="002F7E6A">
        <w:rPr>
          <w:rFonts w:ascii="Verdana" w:hAnsi="Verdana" w:cs="Arial"/>
          <w:color w:val="000000" w:themeColor="text1"/>
        </w:rPr>
        <w:t xml:space="preserve"> si bien todos los seres humanos, por el hecho de gozar de personalidad jurídica, son sujetos de derechos y obligaciones, algunas no pueden ejercerlos por sí mismos, sino a través de interpuesta persona. Lo anterior significa que, si bien todas las personas tienen </w:t>
      </w:r>
      <w:r w:rsidRPr="002F7E6A">
        <w:rPr>
          <w:rFonts w:ascii="Verdana" w:hAnsi="Verdana" w:cs="Arial"/>
          <w:i/>
          <w:color w:val="000000" w:themeColor="text1"/>
        </w:rPr>
        <w:t>capacidad de goce</w:t>
      </w:r>
      <w:r w:rsidRPr="002F7E6A">
        <w:rPr>
          <w:rFonts w:ascii="Verdana" w:hAnsi="Verdana" w:cs="Arial"/>
          <w:color w:val="000000" w:themeColor="text1"/>
        </w:rPr>
        <w:t xml:space="preserve">, no todas tienen </w:t>
      </w:r>
      <w:r w:rsidRPr="002F7E6A">
        <w:rPr>
          <w:rFonts w:ascii="Verdana" w:hAnsi="Verdana" w:cs="Arial"/>
          <w:i/>
          <w:color w:val="000000" w:themeColor="text1"/>
        </w:rPr>
        <w:t>capacidad de ejercicio</w:t>
      </w:r>
      <w:r w:rsidRPr="002F7E6A">
        <w:rPr>
          <w:rFonts w:ascii="Verdana" w:hAnsi="Verdana" w:cs="Arial"/>
          <w:color w:val="000000" w:themeColor="text1"/>
        </w:rPr>
        <w:t xml:space="preserve">. En efecto, la primera es reconocida por el artículo 14 de la Constitución Política de 1991, en el sentido que </w:t>
      </w:r>
      <w:r>
        <w:rPr>
          <w:rFonts w:ascii="Verdana" w:hAnsi="Verdana" w:cs="Arial"/>
          <w:color w:val="000000" w:themeColor="text1"/>
        </w:rPr>
        <w:t>“</w:t>
      </w:r>
      <w:r w:rsidRPr="002F7E6A">
        <w:rPr>
          <w:rFonts w:ascii="Verdana" w:hAnsi="Verdana" w:cs="Arial"/>
          <w:color w:val="000000" w:themeColor="text1"/>
        </w:rPr>
        <w:t>Toda persona tiene derecho al reconocimiento de su personalidad jurídica</w:t>
      </w:r>
      <w:r>
        <w:rPr>
          <w:rFonts w:ascii="Verdana" w:hAnsi="Verdana" w:cs="Arial"/>
          <w:color w:val="000000" w:themeColor="text1"/>
        </w:rPr>
        <w:t>”</w:t>
      </w:r>
      <w:r w:rsidRPr="002F7E6A">
        <w:rPr>
          <w:rFonts w:ascii="Verdana" w:hAnsi="Verdana" w:cs="Arial"/>
          <w:color w:val="000000" w:themeColor="text1"/>
        </w:rPr>
        <w:t xml:space="preserve">. Adicionalmente, el artículo 74 del Código Civil prescribe que </w:t>
      </w:r>
      <w:r>
        <w:rPr>
          <w:rFonts w:ascii="Verdana" w:hAnsi="Verdana" w:cs="Arial"/>
          <w:color w:val="000000" w:themeColor="text1"/>
        </w:rPr>
        <w:t>“</w:t>
      </w:r>
      <w:r w:rsidRPr="002F7E6A">
        <w:rPr>
          <w:rFonts w:ascii="Verdana" w:hAnsi="Verdana" w:cs="Arial"/>
          <w:color w:val="000000" w:themeColor="text1"/>
        </w:rPr>
        <w:t>Son personas todos los individuos de la especie humana, cualquiera que sea su edad, sexo, estirpe o condición</w:t>
      </w:r>
      <w:r>
        <w:rPr>
          <w:rFonts w:ascii="Verdana" w:hAnsi="Verdana" w:cs="Arial"/>
          <w:color w:val="000000" w:themeColor="text1"/>
        </w:rPr>
        <w:t>”</w:t>
      </w:r>
      <w:r w:rsidRPr="002F7E6A">
        <w:rPr>
          <w:rFonts w:ascii="Verdana" w:hAnsi="Verdana" w:cs="Arial"/>
          <w:color w:val="000000" w:themeColor="text1"/>
        </w:rPr>
        <w:t>.</w:t>
      </w:r>
    </w:p>
    <w:p w14:paraId="04EDE20A" w14:textId="77777777" w:rsidR="0047071B" w:rsidRDefault="0047071B" w:rsidP="0002408E">
      <w:pPr>
        <w:spacing w:line="276" w:lineRule="auto"/>
        <w:jc w:val="both"/>
        <w:rPr>
          <w:rFonts w:ascii="Verdana" w:hAnsi="Verdana" w:cs="Arial"/>
          <w:color w:val="000000" w:themeColor="text1"/>
        </w:rPr>
      </w:pPr>
      <w:r>
        <w:rPr>
          <w:rFonts w:ascii="Verdana" w:hAnsi="Verdana" w:cs="Arial"/>
          <w:color w:val="000000" w:themeColor="text1"/>
        </w:rPr>
        <w:t>[…]</w:t>
      </w:r>
    </w:p>
    <w:p w14:paraId="1D5E40A6" w14:textId="6B51F569" w:rsidR="0047071B" w:rsidRDefault="0047071B" w:rsidP="0002408E">
      <w:pPr>
        <w:spacing w:line="276" w:lineRule="auto"/>
        <w:jc w:val="both"/>
        <w:rPr>
          <w:rFonts w:ascii="Verdana" w:eastAsia="Calibri" w:hAnsi="Verdana" w:cs="Arial"/>
          <w:lang w:val="es-ES" w:eastAsia="es-ES"/>
        </w:rPr>
      </w:pPr>
      <w:r>
        <w:rPr>
          <w:rFonts w:ascii="Verdana" w:hAnsi="Verdana" w:cs="Arial"/>
          <w:color w:val="000000" w:themeColor="text1"/>
          <w:lang w:val="es-ES_tradnl"/>
        </w:rPr>
        <w:lastRenderedPageBreak/>
        <w:t xml:space="preserve">En relación con las </w:t>
      </w:r>
      <w:r w:rsidRPr="002775BB">
        <w:rPr>
          <w:rFonts w:ascii="Verdana" w:hAnsi="Verdana" w:cs="Arial"/>
          <w:i/>
          <w:iCs/>
          <w:color w:val="000000" w:themeColor="text1"/>
          <w:lang w:val="es-ES_tradnl"/>
        </w:rPr>
        <w:t>personas jurídicas</w:t>
      </w:r>
      <w:r>
        <w:rPr>
          <w:rFonts w:ascii="Verdana" w:hAnsi="Verdana" w:cs="Arial"/>
          <w:color w:val="000000" w:themeColor="text1"/>
          <w:lang w:val="es-ES_tradnl"/>
        </w:rPr>
        <w:t xml:space="preserve">, su </w:t>
      </w:r>
      <w:r>
        <w:rPr>
          <w:rFonts w:ascii="Verdana" w:eastAsia="Calibri" w:hAnsi="Verdana" w:cs="Arial"/>
          <w:lang w:val="es-ES_tradnl"/>
        </w:rPr>
        <w:t>existencia es independiente de quienes la integran. S</w:t>
      </w:r>
      <w:proofErr w:type="spellStart"/>
      <w:r w:rsidRPr="008808A6">
        <w:rPr>
          <w:rFonts w:ascii="Verdana" w:eastAsia="Calibri" w:hAnsi="Verdana" w:cs="Arial"/>
          <w:lang w:val="es-ES"/>
        </w:rPr>
        <w:t>on</w:t>
      </w:r>
      <w:proofErr w:type="spellEnd"/>
      <w:r w:rsidRPr="008808A6">
        <w:rPr>
          <w:rFonts w:ascii="Verdana" w:eastAsia="Calibri" w:hAnsi="Verdana" w:cs="Arial"/>
          <w:lang w:val="es-ES"/>
        </w:rPr>
        <w:t xml:space="preserve"> entes ficticios con capacidad autónoma para ejercer derechos y contraer obligaciones –</w:t>
      </w:r>
      <w:r w:rsidRPr="008808A6">
        <w:rPr>
          <w:rFonts w:ascii="Verdana" w:eastAsia="Calibri" w:hAnsi="Verdana" w:cs="Arial"/>
          <w:color w:val="000000" w:themeColor="text1"/>
        </w:rPr>
        <w:t>art. 633 del Código Civil–</w:t>
      </w:r>
      <w:r>
        <w:rPr>
          <w:rFonts w:ascii="Verdana" w:eastAsia="Calibri" w:hAnsi="Verdana" w:cs="Arial"/>
          <w:color w:val="000000" w:themeColor="text1"/>
        </w:rPr>
        <w:t>; razón por la cual, a</w:t>
      </w:r>
      <w:r w:rsidRPr="008808A6">
        <w:rPr>
          <w:rFonts w:ascii="Verdana" w:eastAsia="Calibri" w:hAnsi="Verdana" w:cs="Arial"/>
          <w:color w:val="000000" w:themeColor="text1"/>
        </w:rPr>
        <w:t xml:space="preserve">unque </w:t>
      </w:r>
      <w:r>
        <w:rPr>
          <w:rFonts w:ascii="Verdana" w:eastAsia="Calibri" w:hAnsi="Verdana" w:cs="Arial"/>
          <w:color w:val="000000" w:themeColor="text1"/>
        </w:rPr>
        <w:t>la</w:t>
      </w:r>
      <w:r w:rsidRPr="008808A6">
        <w:rPr>
          <w:rFonts w:ascii="Verdana" w:eastAsia="Calibri" w:hAnsi="Verdana" w:cs="Arial"/>
          <w:color w:val="000000" w:themeColor="text1"/>
        </w:rPr>
        <w:t xml:space="preserve"> participación </w:t>
      </w:r>
      <w:r>
        <w:rPr>
          <w:rFonts w:ascii="Verdana" w:eastAsia="Calibri" w:hAnsi="Verdana" w:cs="Arial"/>
          <w:color w:val="000000" w:themeColor="text1"/>
        </w:rPr>
        <w:t>corresponda a</w:t>
      </w:r>
      <w:r w:rsidRPr="008808A6">
        <w:rPr>
          <w:rFonts w:ascii="Verdana" w:eastAsia="Calibri" w:hAnsi="Verdana" w:cs="Arial"/>
          <w:color w:val="000000" w:themeColor="text1"/>
        </w:rPr>
        <w:t xml:space="preserve"> otros sujetos de derecho, </w:t>
      </w:r>
      <w:r>
        <w:rPr>
          <w:rFonts w:ascii="Verdana" w:eastAsia="Calibri" w:hAnsi="Verdana" w:cs="Arial"/>
          <w:color w:val="000000" w:themeColor="text1"/>
        </w:rPr>
        <w:t>dichos entes</w:t>
      </w:r>
      <w:r w:rsidRPr="008808A6">
        <w:rPr>
          <w:rFonts w:ascii="Verdana" w:eastAsia="Calibri" w:hAnsi="Verdana" w:cs="Arial"/>
          <w:color w:val="000000" w:themeColor="text1"/>
        </w:rPr>
        <w:t xml:space="preserve"> tienen personería jurídica diferente de los socios individualmente considerados</w:t>
      </w:r>
      <w:r>
        <w:rPr>
          <w:rFonts w:ascii="Verdana" w:eastAsia="Calibri" w:hAnsi="Verdana" w:cs="Arial"/>
          <w:color w:val="000000" w:themeColor="text1"/>
        </w:rPr>
        <w:t xml:space="preserve"> </w:t>
      </w:r>
      <w:r w:rsidRPr="0089670F">
        <w:rPr>
          <w:rFonts w:ascii="Verdana" w:eastAsia="Calibri" w:hAnsi="Verdana" w:cs="Arial"/>
          <w:color w:val="000000" w:themeColor="text1"/>
        </w:rPr>
        <w:t>–art. 98, inc. 2, del Código de Comercio–</w:t>
      </w:r>
      <w:r w:rsidRPr="008808A6">
        <w:rPr>
          <w:rFonts w:ascii="Verdana" w:eastAsia="Calibri" w:hAnsi="Verdana" w:cs="Arial"/>
          <w:color w:val="000000" w:themeColor="text1"/>
        </w:rPr>
        <w:t>.</w:t>
      </w:r>
      <w:r>
        <w:rPr>
          <w:rFonts w:ascii="Verdana" w:eastAsia="Calibri" w:hAnsi="Verdana" w:cs="Arial"/>
          <w:color w:val="000000" w:themeColor="text1"/>
        </w:rPr>
        <w:t xml:space="preserve"> […]</w:t>
      </w:r>
    </w:p>
    <w:p w14:paraId="24753CF0" w14:textId="00074B3B" w:rsidR="0002408E" w:rsidRDefault="0002408E" w:rsidP="0002408E">
      <w:pPr>
        <w:spacing w:line="276" w:lineRule="auto"/>
        <w:jc w:val="both"/>
        <w:rPr>
          <w:rFonts w:ascii="Verdana" w:eastAsia="Calibri" w:hAnsi="Verdana" w:cs="Arial"/>
          <w:b/>
          <w:bCs/>
          <w:lang w:val="es-ES" w:eastAsia="es-ES"/>
        </w:rPr>
      </w:pPr>
      <w:r w:rsidRPr="00892759">
        <w:rPr>
          <w:rFonts w:ascii="Verdana" w:eastAsia="Calibri" w:hAnsi="Verdana" w:cs="Arial"/>
          <w:b/>
          <w:bCs/>
          <w:lang w:val="es-ES" w:eastAsia="es-ES"/>
        </w:rPr>
        <w:t xml:space="preserve">CERTIFICACIONES – Existencia y representación legal – RUP – Plazo de vigencia                     </w:t>
      </w:r>
    </w:p>
    <w:p w14:paraId="32DDD6B9" w14:textId="44F2852F" w:rsidR="00892759" w:rsidRPr="00892759" w:rsidRDefault="0047071B" w:rsidP="0002408E">
      <w:pPr>
        <w:spacing w:line="276" w:lineRule="auto"/>
        <w:jc w:val="both"/>
        <w:rPr>
          <w:rFonts w:ascii="Verdana" w:eastAsia="Calibri" w:hAnsi="Verdana" w:cs="Arial"/>
          <w:b/>
          <w:bCs/>
          <w:lang w:val="es-ES" w:eastAsia="es-ES"/>
        </w:rPr>
      </w:pPr>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Times New Roman"/>
          <w:iCs/>
          <w:lang w:val="es-ES"/>
        </w:rPr>
        <w:t xml:space="preserve">tanto el artículo 33 del Código de Comercio como el artículo </w:t>
      </w:r>
      <w:r w:rsidRPr="002139D9">
        <w:rPr>
          <w:rFonts w:ascii="Verdana" w:eastAsia="Calibri" w:hAnsi="Verdana" w:cs="Arial"/>
        </w:rPr>
        <w:t>2.2.1.1.1.5.1 del Decreto 1082 de 2015</w:t>
      </w:r>
      <w:r>
        <w:rPr>
          <w:rFonts w:ascii="Verdana" w:eastAsia="Calibri" w:hAnsi="Verdana" w:cs="Arial"/>
        </w:rPr>
        <w:t xml:space="preserve"> establecen el deber de renovar anualmente la matrícula mercantil y el registro único de proponentes. Sin embargo, el ordenamiento no regula un plazo de vigencia del certificado de existencia y representación legal ni de la certificación del RUP, aspectos totalmente distintos a la obligación de renovar los registros.</w:t>
      </w:r>
    </w:p>
    <w:p w14:paraId="4EB82283" w14:textId="26EC4580" w:rsidR="0002408E" w:rsidRDefault="0002408E" w:rsidP="00A260FB">
      <w:pPr>
        <w:spacing w:after="0" w:line="240" w:lineRule="auto"/>
        <w:rPr>
          <w:rFonts w:ascii="Verdana" w:eastAsia="Geomanist Light" w:hAnsi="Verdana" w:cs="Arial"/>
          <w:color w:val="000000" w:themeColor="text1"/>
          <w:lang w:val="es-MX"/>
        </w:rPr>
      </w:pPr>
    </w:p>
    <w:p w14:paraId="513308C7" w14:textId="2DE4ACDC" w:rsidR="0047071B" w:rsidRDefault="0047071B" w:rsidP="00A260FB">
      <w:pPr>
        <w:spacing w:after="0" w:line="240" w:lineRule="auto"/>
        <w:rPr>
          <w:rFonts w:ascii="Verdana" w:eastAsia="Geomanist Light" w:hAnsi="Verdana" w:cs="Arial"/>
          <w:color w:val="000000" w:themeColor="text1"/>
          <w:lang w:val="es-MX"/>
        </w:rPr>
      </w:pPr>
    </w:p>
    <w:p w14:paraId="38C84359" w14:textId="75CC757C" w:rsidR="0047071B" w:rsidRDefault="0047071B" w:rsidP="00A260FB">
      <w:pPr>
        <w:spacing w:after="0" w:line="240" w:lineRule="auto"/>
        <w:rPr>
          <w:rFonts w:ascii="Verdana" w:eastAsia="Geomanist Light" w:hAnsi="Verdana" w:cs="Arial"/>
          <w:color w:val="000000" w:themeColor="text1"/>
          <w:lang w:val="es-MX"/>
        </w:rPr>
      </w:pPr>
    </w:p>
    <w:p w14:paraId="3FC4132D" w14:textId="60208C5F" w:rsidR="0047071B" w:rsidRDefault="0047071B" w:rsidP="00A260FB">
      <w:pPr>
        <w:spacing w:after="0" w:line="240" w:lineRule="auto"/>
        <w:rPr>
          <w:rFonts w:ascii="Verdana" w:eastAsia="Geomanist Light" w:hAnsi="Verdana" w:cs="Arial"/>
          <w:color w:val="000000" w:themeColor="text1"/>
          <w:lang w:val="es-MX"/>
        </w:rPr>
      </w:pPr>
    </w:p>
    <w:p w14:paraId="5BB60F59" w14:textId="7277A651" w:rsidR="0047071B" w:rsidRDefault="0047071B" w:rsidP="00A260FB">
      <w:pPr>
        <w:spacing w:after="0" w:line="240" w:lineRule="auto"/>
        <w:rPr>
          <w:rFonts w:ascii="Verdana" w:eastAsia="Geomanist Light" w:hAnsi="Verdana" w:cs="Arial"/>
          <w:color w:val="000000" w:themeColor="text1"/>
          <w:lang w:val="es-MX"/>
        </w:rPr>
      </w:pPr>
    </w:p>
    <w:p w14:paraId="73345B39" w14:textId="3A9C85D4" w:rsidR="0047071B" w:rsidRDefault="0047071B" w:rsidP="00A260FB">
      <w:pPr>
        <w:spacing w:after="0" w:line="240" w:lineRule="auto"/>
        <w:rPr>
          <w:rFonts w:ascii="Verdana" w:eastAsia="Geomanist Light" w:hAnsi="Verdana" w:cs="Arial"/>
          <w:color w:val="000000" w:themeColor="text1"/>
          <w:lang w:val="es-MX"/>
        </w:rPr>
      </w:pPr>
    </w:p>
    <w:p w14:paraId="21C6F40E" w14:textId="688D6EFC" w:rsidR="0047071B" w:rsidRDefault="0047071B" w:rsidP="00A260FB">
      <w:pPr>
        <w:spacing w:after="0" w:line="240" w:lineRule="auto"/>
        <w:rPr>
          <w:rFonts w:ascii="Verdana" w:eastAsia="Geomanist Light" w:hAnsi="Verdana" w:cs="Arial"/>
          <w:color w:val="000000" w:themeColor="text1"/>
          <w:lang w:val="es-MX"/>
        </w:rPr>
      </w:pPr>
    </w:p>
    <w:p w14:paraId="14E7B8B4" w14:textId="18A58E3C" w:rsidR="0047071B" w:rsidRDefault="0047071B" w:rsidP="00A260FB">
      <w:pPr>
        <w:spacing w:after="0" w:line="240" w:lineRule="auto"/>
        <w:rPr>
          <w:rFonts w:ascii="Verdana" w:eastAsia="Geomanist Light" w:hAnsi="Verdana" w:cs="Arial"/>
          <w:color w:val="000000" w:themeColor="text1"/>
          <w:lang w:val="es-MX"/>
        </w:rPr>
      </w:pPr>
    </w:p>
    <w:p w14:paraId="224E5A28" w14:textId="32E57983" w:rsidR="0047071B" w:rsidRDefault="0047071B" w:rsidP="00A260FB">
      <w:pPr>
        <w:spacing w:after="0" w:line="240" w:lineRule="auto"/>
        <w:rPr>
          <w:rFonts w:ascii="Verdana" w:eastAsia="Geomanist Light" w:hAnsi="Verdana" w:cs="Arial"/>
          <w:color w:val="000000" w:themeColor="text1"/>
          <w:lang w:val="es-MX"/>
        </w:rPr>
      </w:pPr>
    </w:p>
    <w:p w14:paraId="28736D49" w14:textId="6F344310" w:rsidR="0047071B" w:rsidRDefault="0047071B" w:rsidP="00A260FB">
      <w:pPr>
        <w:spacing w:after="0" w:line="240" w:lineRule="auto"/>
        <w:rPr>
          <w:rFonts w:ascii="Verdana" w:eastAsia="Geomanist Light" w:hAnsi="Verdana" w:cs="Arial"/>
          <w:color w:val="000000" w:themeColor="text1"/>
          <w:lang w:val="es-MX"/>
        </w:rPr>
      </w:pPr>
    </w:p>
    <w:p w14:paraId="42FDA9D5" w14:textId="1869354F" w:rsidR="0047071B" w:rsidRDefault="0047071B" w:rsidP="00A260FB">
      <w:pPr>
        <w:spacing w:after="0" w:line="240" w:lineRule="auto"/>
        <w:rPr>
          <w:rFonts w:ascii="Verdana" w:eastAsia="Geomanist Light" w:hAnsi="Verdana" w:cs="Arial"/>
          <w:color w:val="000000" w:themeColor="text1"/>
          <w:lang w:val="es-MX"/>
        </w:rPr>
      </w:pPr>
    </w:p>
    <w:p w14:paraId="172EE4E1" w14:textId="7D0F42A8" w:rsidR="0047071B" w:rsidRDefault="0047071B" w:rsidP="00A260FB">
      <w:pPr>
        <w:spacing w:after="0" w:line="240" w:lineRule="auto"/>
        <w:rPr>
          <w:rFonts w:ascii="Verdana" w:eastAsia="Geomanist Light" w:hAnsi="Verdana" w:cs="Arial"/>
          <w:color w:val="000000" w:themeColor="text1"/>
          <w:lang w:val="es-MX"/>
        </w:rPr>
      </w:pPr>
    </w:p>
    <w:p w14:paraId="4D7D2CB4" w14:textId="5628D107" w:rsidR="0047071B" w:rsidRDefault="0047071B" w:rsidP="00A260FB">
      <w:pPr>
        <w:spacing w:after="0" w:line="240" w:lineRule="auto"/>
        <w:rPr>
          <w:rFonts w:ascii="Verdana" w:eastAsia="Geomanist Light" w:hAnsi="Verdana" w:cs="Arial"/>
          <w:color w:val="000000" w:themeColor="text1"/>
          <w:lang w:val="es-MX"/>
        </w:rPr>
      </w:pPr>
    </w:p>
    <w:p w14:paraId="76E7D900" w14:textId="377CBE93" w:rsidR="0047071B" w:rsidRDefault="0047071B" w:rsidP="00A260FB">
      <w:pPr>
        <w:spacing w:after="0" w:line="240" w:lineRule="auto"/>
        <w:rPr>
          <w:rFonts w:ascii="Verdana" w:eastAsia="Geomanist Light" w:hAnsi="Verdana" w:cs="Arial"/>
          <w:color w:val="000000" w:themeColor="text1"/>
          <w:lang w:val="es-MX"/>
        </w:rPr>
      </w:pPr>
    </w:p>
    <w:p w14:paraId="47A7E4B2" w14:textId="0EFD4B98" w:rsidR="0047071B" w:rsidRDefault="0047071B" w:rsidP="00A260FB">
      <w:pPr>
        <w:spacing w:after="0" w:line="240" w:lineRule="auto"/>
        <w:rPr>
          <w:rFonts w:ascii="Verdana" w:eastAsia="Geomanist Light" w:hAnsi="Verdana" w:cs="Arial"/>
          <w:color w:val="000000" w:themeColor="text1"/>
          <w:lang w:val="es-MX"/>
        </w:rPr>
      </w:pPr>
    </w:p>
    <w:p w14:paraId="2649D246" w14:textId="791488EA" w:rsidR="0047071B" w:rsidRDefault="0047071B" w:rsidP="00A260FB">
      <w:pPr>
        <w:spacing w:after="0" w:line="240" w:lineRule="auto"/>
        <w:rPr>
          <w:rFonts w:ascii="Verdana" w:eastAsia="Geomanist Light" w:hAnsi="Verdana" w:cs="Arial"/>
          <w:color w:val="000000" w:themeColor="text1"/>
          <w:lang w:val="es-MX"/>
        </w:rPr>
      </w:pPr>
    </w:p>
    <w:p w14:paraId="23D56FC5" w14:textId="4E2DAEA9" w:rsidR="0047071B" w:rsidRDefault="0047071B" w:rsidP="00A260FB">
      <w:pPr>
        <w:spacing w:after="0" w:line="240" w:lineRule="auto"/>
        <w:rPr>
          <w:rFonts w:ascii="Verdana" w:eastAsia="Geomanist Light" w:hAnsi="Verdana" w:cs="Arial"/>
          <w:color w:val="000000" w:themeColor="text1"/>
          <w:lang w:val="es-MX"/>
        </w:rPr>
      </w:pPr>
    </w:p>
    <w:p w14:paraId="499257EB" w14:textId="0E43BA00" w:rsidR="0047071B" w:rsidRDefault="0047071B" w:rsidP="00A260FB">
      <w:pPr>
        <w:spacing w:after="0" w:line="240" w:lineRule="auto"/>
        <w:rPr>
          <w:rFonts w:ascii="Verdana" w:eastAsia="Geomanist Light" w:hAnsi="Verdana" w:cs="Arial"/>
          <w:color w:val="000000" w:themeColor="text1"/>
          <w:lang w:val="es-MX"/>
        </w:rPr>
      </w:pPr>
    </w:p>
    <w:p w14:paraId="57434D7E" w14:textId="4C00BD27" w:rsidR="0047071B" w:rsidRDefault="0047071B" w:rsidP="00A260FB">
      <w:pPr>
        <w:spacing w:after="0" w:line="240" w:lineRule="auto"/>
        <w:rPr>
          <w:rFonts w:ascii="Verdana" w:eastAsia="Geomanist Light" w:hAnsi="Verdana" w:cs="Arial"/>
          <w:color w:val="000000" w:themeColor="text1"/>
          <w:lang w:val="es-MX"/>
        </w:rPr>
      </w:pPr>
    </w:p>
    <w:p w14:paraId="53656DF7" w14:textId="75386CAD" w:rsidR="0047071B" w:rsidRDefault="0047071B" w:rsidP="00A260FB">
      <w:pPr>
        <w:spacing w:after="0" w:line="240" w:lineRule="auto"/>
        <w:rPr>
          <w:rFonts w:ascii="Verdana" w:eastAsia="Geomanist Light" w:hAnsi="Verdana" w:cs="Arial"/>
          <w:color w:val="000000" w:themeColor="text1"/>
          <w:lang w:val="es-MX"/>
        </w:rPr>
      </w:pPr>
    </w:p>
    <w:p w14:paraId="10AE21C9" w14:textId="0352D618" w:rsidR="0047071B" w:rsidRDefault="0047071B" w:rsidP="00A260FB">
      <w:pPr>
        <w:spacing w:after="0" w:line="240" w:lineRule="auto"/>
        <w:rPr>
          <w:rFonts w:ascii="Verdana" w:eastAsia="Geomanist Light" w:hAnsi="Verdana" w:cs="Arial"/>
          <w:color w:val="000000" w:themeColor="text1"/>
          <w:lang w:val="es-MX"/>
        </w:rPr>
      </w:pPr>
    </w:p>
    <w:p w14:paraId="1BEC016E" w14:textId="77777777" w:rsidR="0047071B" w:rsidRDefault="0047071B" w:rsidP="00A260FB">
      <w:pPr>
        <w:spacing w:after="0" w:line="240" w:lineRule="auto"/>
        <w:rPr>
          <w:rFonts w:ascii="Verdana" w:eastAsia="Geomanist Light" w:hAnsi="Verdana" w:cs="Arial"/>
          <w:color w:val="000000" w:themeColor="text1"/>
          <w:lang w:val="es-MX"/>
        </w:rPr>
      </w:pPr>
    </w:p>
    <w:p w14:paraId="6509B7F1" w14:textId="77777777" w:rsidR="0002408E" w:rsidRDefault="0002408E" w:rsidP="00A260FB">
      <w:pPr>
        <w:spacing w:after="0" w:line="240" w:lineRule="auto"/>
        <w:rPr>
          <w:rFonts w:ascii="Verdana" w:eastAsia="Geomanist Light" w:hAnsi="Verdana" w:cs="Arial"/>
          <w:color w:val="000000" w:themeColor="text1"/>
          <w:lang w:val="es-MX"/>
        </w:rPr>
      </w:pPr>
    </w:p>
    <w:p w14:paraId="4E72C826" w14:textId="77777777" w:rsidR="0002408E" w:rsidRDefault="0002408E" w:rsidP="00A260FB">
      <w:pPr>
        <w:spacing w:after="0" w:line="240" w:lineRule="auto"/>
        <w:rPr>
          <w:rFonts w:ascii="Verdana" w:eastAsia="Geomanist Light" w:hAnsi="Verdana" w:cs="Arial"/>
          <w:color w:val="000000" w:themeColor="text1"/>
          <w:lang w:val="es-MX"/>
        </w:rPr>
      </w:pPr>
    </w:p>
    <w:p w14:paraId="39D53437" w14:textId="40E28E1D" w:rsidR="00A260FB" w:rsidRDefault="00C24433" w:rsidP="00A260FB">
      <w:pPr>
        <w:spacing w:after="0" w:line="240" w:lineRule="auto"/>
        <w:rPr>
          <w:rFonts w:ascii="Verdana" w:eastAsia="Geomanist Light" w:hAnsi="Verdana" w:cs="Arial"/>
          <w:color w:val="201F1E"/>
          <w:lang w:val="es-MX"/>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363A6678" wp14:editId="5CD4BC36">
            <wp:simplePos x="0" y="0"/>
            <wp:positionH relativeFrom="column">
              <wp:posOffset>3263021</wp:posOffset>
            </wp:positionH>
            <wp:positionV relativeFrom="paragraph">
              <wp:posOffset>-55880</wp:posOffset>
            </wp:positionV>
            <wp:extent cx="2258970" cy="710418"/>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1">
                      <a:extLst>
                        <a:ext uri="{28A0092B-C50C-407E-A947-70E740481C1C}">
                          <a14:useLocalDpi xmlns:a14="http://schemas.microsoft.com/office/drawing/2010/main" val="0"/>
                        </a:ext>
                      </a:extLst>
                    </a:blip>
                    <a:stretch>
                      <a:fillRect/>
                    </a:stretch>
                  </pic:blipFill>
                  <pic:spPr>
                    <a:xfrm>
                      <a:off x="0" y="0"/>
                      <a:ext cx="2258970" cy="710418"/>
                    </a:xfrm>
                    <a:prstGeom prst="rect">
                      <a:avLst/>
                    </a:prstGeom>
                  </pic:spPr>
                </pic:pic>
              </a:graphicData>
            </a:graphic>
            <wp14:sizeRelH relativeFrom="page">
              <wp14:pctWidth>0</wp14:pctWidth>
            </wp14:sizeRelH>
            <wp14:sizeRelV relativeFrom="page">
              <wp14:pctHeight>0</wp14:pctHeight>
            </wp14:sizeRelV>
          </wp:anchor>
        </w:drawing>
      </w:r>
      <w:r w:rsidR="00A260FB">
        <w:rPr>
          <w:rFonts w:ascii="Verdana" w:eastAsia="Geomanist Light" w:hAnsi="Verdana" w:cs="Arial"/>
          <w:color w:val="000000" w:themeColor="text1"/>
          <w:lang w:val="es-MX"/>
        </w:rPr>
        <w:t>Bogotá D.C., </w:t>
      </w:r>
      <w:r>
        <w:rPr>
          <w:rFonts w:ascii="Verdana" w:eastAsia="Geomanist Light" w:hAnsi="Verdana" w:cs="Arial"/>
          <w:color w:val="201F1E"/>
          <w:lang w:val="es-MX"/>
        </w:rPr>
        <w:t xml:space="preserve">24 </w:t>
      </w:r>
      <w:proofErr w:type="gramStart"/>
      <w:r>
        <w:rPr>
          <w:rFonts w:ascii="Verdana" w:eastAsia="Geomanist Light" w:hAnsi="Verdana" w:cs="Arial"/>
          <w:color w:val="201F1E"/>
          <w:lang w:val="es-MX"/>
        </w:rPr>
        <w:t>Octubre</w:t>
      </w:r>
      <w:proofErr w:type="gramEnd"/>
      <w:r>
        <w:rPr>
          <w:rFonts w:ascii="Verdana" w:eastAsia="Geomanist Light" w:hAnsi="Verdana" w:cs="Arial"/>
          <w:color w:val="201F1E"/>
          <w:lang w:val="es-MX"/>
        </w:rPr>
        <w:t xml:space="preserve"> 2025</w:t>
      </w:r>
    </w:p>
    <w:p w14:paraId="4340FA9F" w14:textId="7298AA77" w:rsidR="00A260FB" w:rsidRDefault="00A260FB" w:rsidP="00A260FB">
      <w:pPr>
        <w:spacing w:after="0" w:line="240" w:lineRule="auto"/>
        <w:jc w:val="both"/>
        <w:rPr>
          <w:rFonts w:ascii="Verdana" w:eastAsia="Calibri" w:hAnsi="Verdana" w:cs="Arial"/>
          <w:color w:val="000000"/>
          <w:lang w:val="es-ES"/>
        </w:rPr>
      </w:pPr>
    </w:p>
    <w:p w14:paraId="42F4991E" w14:textId="46D63924" w:rsidR="00265303" w:rsidRPr="001F3B3D" w:rsidRDefault="00265303" w:rsidP="00A260FB">
      <w:pPr>
        <w:spacing w:after="0" w:line="240" w:lineRule="auto"/>
        <w:jc w:val="both"/>
        <w:rPr>
          <w:rFonts w:ascii="Verdana" w:eastAsia="Calibri" w:hAnsi="Verdana" w:cs="Arial"/>
          <w:color w:val="000000"/>
          <w:lang w:val="es-ES"/>
        </w:rPr>
      </w:pPr>
    </w:p>
    <w:p w14:paraId="2EDB7B08" w14:textId="105F819E" w:rsidR="00A260FB" w:rsidRDefault="00A260FB" w:rsidP="00A260FB">
      <w:pPr>
        <w:spacing w:after="0" w:line="240" w:lineRule="auto"/>
        <w:jc w:val="both"/>
        <w:rPr>
          <w:rFonts w:ascii="Verdana" w:eastAsia="Calibri" w:hAnsi="Verdana" w:cs="Arial"/>
          <w:lang w:val="es-ES" w:eastAsia="es-ES"/>
        </w:rPr>
      </w:pPr>
      <w:bookmarkStart w:id="0" w:name="_Hlk208479311"/>
      <w:r>
        <w:rPr>
          <w:rFonts w:ascii="Verdana" w:eastAsia="Calibri" w:hAnsi="Verdana" w:cs="Arial"/>
          <w:lang w:val="es-ES" w:eastAsia="es-ES"/>
        </w:rPr>
        <w:t>Señor</w:t>
      </w:r>
      <w:r w:rsidR="00BA6D0C">
        <w:rPr>
          <w:rFonts w:ascii="Verdana" w:eastAsia="Calibri" w:hAnsi="Verdana" w:cs="Arial"/>
          <w:lang w:val="es-ES" w:eastAsia="es-ES"/>
        </w:rPr>
        <w:t>a</w:t>
      </w:r>
    </w:p>
    <w:p w14:paraId="350BB082" w14:textId="1C7A503B" w:rsidR="00A260FB" w:rsidRDefault="00BA6D0C" w:rsidP="00A260FB">
      <w:pPr>
        <w:spacing w:after="0" w:line="240" w:lineRule="auto"/>
        <w:rPr>
          <w:rFonts w:ascii="Verdana" w:eastAsia="Calibri" w:hAnsi="Verdana" w:cs="Arial"/>
          <w:b/>
          <w:lang w:val="es-ES" w:eastAsia="es-ES"/>
        </w:rPr>
      </w:pPr>
      <w:r>
        <w:rPr>
          <w:rFonts w:ascii="Verdana" w:eastAsia="Calibri" w:hAnsi="Verdana" w:cs="Arial"/>
          <w:b/>
          <w:lang w:val="es-ES" w:eastAsia="es-ES"/>
        </w:rPr>
        <w:t>Marleny Natalia Malaver Rojas</w:t>
      </w:r>
    </w:p>
    <w:p w14:paraId="1B64B1B1" w14:textId="3D32B014" w:rsidR="00BA6D0C" w:rsidRDefault="00BA6D0C" w:rsidP="00A260FB">
      <w:pPr>
        <w:spacing w:after="0" w:line="240" w:lineRule="auto"/>
        <w:rPr>
          <w:rFonts w:ascii="Verdana" w:eastAsia="Calibri" w:hAnsi="Verdana" w:cs="Arial"/>
          <w:b/>
          <w:lang w:val="es-ES" w:eastAsia="es-ES"/>
        </w:rPr>
      </w:pPr>
      <w:r>
        <w:rPr>
          <w:rFonts w:ascii="Verdana" w:eastAsia="Calibri" w:hAnsi="Verdana" w:cs="Arial"/>
          <w:b/>
          <w:lang w:val="es-ES" w:eastAsia="es-ES"/>
        </w:rPr>
        <w:t>Superintendencia de Sociedades</w:t>
      </w:r>
    </w:p>
    <w:p w14:paraId="1C7F3376" w14:textId="508C3E1E" w:rsidR="00A260FB" w:rsidRPr="00C53B42" w:rsidRDefault="008662B2" w:rsidP="00A260FB">
      <w:pPr>
        <w:spacing w:after="0" w:line="240" w:lineRule="auto"/>
        <w:rPr>
          <w:rFonts w:ascii="Verdana" w:hAnsi="Verdana" w:cs="ArialMT"/>
        </w:rPr>
      </w:pPr>
      <w:hyperlink r:id="rId12" w:history="1">
        <w:r w:rsidR="00BA6D0C" w:rsidRPr="003E1EC9">
          <w:rPr>
            <w:rStyle w:val="Hipervnculo"/>
            <w:rFonts w:ascii="Verdana" w:hAnsi="Verdana" w:cs="ArialMT"/>
          </w:rPr>
          <w:t>correocertificado@supersociedades.gov.co</w:t>
        </w:r>
      </w:hyperlink>
      <w:r w:rsidR="00A260FB" w:rsidRPr="001F3B3D">
        <w:rPr>
          <w:rFonts w:ascii="Verdana" w:hAnsi="Verdana" w:cs="ArialMT"/>
        </w:rPr>
        <w:t xml:space="preserve">   </w:t>
      </w:r>
    </w:p>
    <w:bookmarkEnd w:id="0"/>
    <w:p w14:paraId="56E5ED3D" w14:textId="22E811EF" w:rsidR="00A260FB" w:rsidRPr="00867EB5" w:rsidRDefault="00867EB5" w:rsidP="00A260FB">
      <w:pPr>
        <w:spacing w:after="0" w:line="240" w:lineRule="auto"/>
        <w:rPr>
          <w:rFonts w:ascii="Verdana" w:hAnsi="Verdana" w:cs="ArialMT"/>
        </w:rPr>
      </w:pPr>
      <w:r w:rsidRPr="00867EB5">
        <w:rPr>
          <w:rFonts w:ascii="Verdana" w:eastAsia="Calibri" w:hAnsi="Verdana" w:cs="Arial"/>
          <w:lang w:val="es-ES" w:eastAsia="es-ES"/>
        </w:rPr>
        <w:t>Bogotá D.C.</w:t>
      </w:r>
    </w:p>
    <w:p w14:paraId="4DCB1FEA" w14:textId="77777777" w:rsidR="00A260FB" w:rsidRPr="00C114AA" w:rsidRDefault="00A260FB" w:rsidP="00A260FB">
      <w:pPr>
        <w:spacing w:after="0" w:line="240" w:lineRule="auto"/>
        <w:rPr>
          <w:rFonts w:ascii="Verdana" w:eastAsia="Calibri" w:hAnsi="Verdana" w:cs="Arial"/>
          <w:b/>
          <w:bCs/>
          <w:color w:val="000000"/>
          <w:highlight w:val="yellow"/>
          <w:lang w:val="es-ES_tradnl" w:eastAsia="es-ES_tradnl"/>
        </w:rPr>
      </w:pPr>
    </w:p>
    <w:p w14:paraId="166846B1" w14:textId="77777777" w:rsidR="00265303" w:rsidRPr="00C114AA" w:rsidRDefault="00265303" w:rsidP="00A260FB">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260FB" w:rsidRPr="00C114AA" w14:paraId="70FDB0A0" w14:textId="77777777" w:rsidTr="002D18AA">
        <w:trPr>
          <w:trHeight w:val="218"/>
        </w:trPr>
        <w:tc>
          <w:tcPr>
            <w:tcW w:w="2689" w:type="dxa"/>
          </w:tcPr>
          <w:p w14:paraId="45FFD4DD" w14:textId="77777777" w:rsidR="00A260FB" w:rsidRPr="00C114AA" w:rsidRDefault="00A260FB" w:rsidP="002D18AA">
            <w:pPr>
              <w:spacing w:line="240" w:lineRule="auto"/>
              <w:jc w:val="both"/>
              <w:rPr>
                <w:rFonts w:ascii="Verdana" w:eastAsia="Calibri" w:hAnsi="Verdana" w:cs="Arial"/>
                <w:b/>
                <w:bCs/>
                <w:color w:val="7030A0"/>
                <w:highlight w:val="yellow"/>
                <w:lang w:val="es-ES_tradnl" w:eastAsia="es-ES_tradnl"/>
              </w:rPr>
            </w:pPr>
          </w:p>
        </w:tc>
        <w:tc>
          <w:tcPr>
            <w:tcW w:w="6100" w:type="dxa"/>
            <w:hideMark/>
          </w:tcPr>
          <w:p w14:paraId="0295F6BC" w14:textId="7EC7DADB" w:rsidR="00A260FB" w:rsidRDefault="00A260FB" w:rsidP="002D18AA">
            <w:pPr>
              <w:spacing w:line="240" w:lineRule="auto"/>
              <w:jc w:val="both"/>
              <w:rPr>
                <w:rFonts w:ascii="Verdana" w:eastAsia="Calibri" w:hAnsi="Verdana" w:cs="Arial"/>
                <w:b/>
                <w:bCs/>
                <w:lang w:val="es-ES" w:eastAsia="es-ES"/>
              </w:rPr>
            </w:pPr>
            <w:r w:rsidRPr="00867EB5">
              <w:rPr>
                <w:rFonts w:ascii="Verdana" w:eastAsia="Calibri" w:hAnsi="Verdana" w:cs="Arial"/>
                <w:b/>
                <w:bCs/>
                <w:lang w:val="es-ES" w:eastAsia="es-ES"/>
              </w:rPr>
              <w:t>Concepto C-1</w:t>
            </w:r>
            <w:r w:rsidR="00BA6D0C">
              <w:rPr>
                <w:rFonts w:ascii="Verdana" w:eastAsia="Calibri" w:hAnsi="Verdana" w:cs="Arial"/>
                <w:b/>
                <w:bCs/>
                <w:lang w:val="es-ES" w:eastAsia="es-ES"/>
              </w:rPr>
              <w:t>327</w:t>
            </w:r>
            <w:r w:rsidRPr="00867EB5">
              <w:rPr>
                <w:rFonts w:ascii="Verdana" w:eastAsia="Calibri" w:hAnsi="Verdana" w:cs="Arial"/>
                <w:b/>
                <w:bCs/>
                <w:lang w:val="es-ES" w:eastAsia="es-ES"/>
              </w:rPr>
              <w:t xml:space="preserve"> de 2025</w:t>
            </w:r>
          </w:p>
          <w:p w14:paraId="1259CFF2" w14:textId="77777777" w:rsidR="00867EB5" w:rsidRPr="00867EB5" w:rsidRDefault="00867EB5" w:rsidP="002D18AA">
            <w:pPr>
              <w:spacing w:line="240" w:lineRule="auto"/>
              <w:jc w:val="both"/>
              <w:rPr>
                <w:rFonts w:ascii="Verdana" w:eastAsia="Calibri" w:hAnsi="Verdana" w:cs="Arial"/>
                <w:b/>
                <w:bCs/>
                <w:lang w:val="es-ES" w:eastAsia="es-ES"/>
              </w:rPr>
            </w:pPr>
          </w:p>
          <w:p w14:paraId="50CD59DF" w14:textId="77777777" w:rsidR="00A260FB" w:rsidRPr="00C114AA" w:rsidRDefault="00A260FB" w:rsidP="002D18AA">
            <w:pPr>
              <w:spacing w:line="240" w:lineRule="auto"/>
              <w:jc w:val="both"/>
              <w:rPr>
                <w:rFonts w:ascii="Verdana" w:eastAsia="Calibri" w:hAnsi="Verdana" w:cs="Arial"/>
                <w:b/>
                <w:bCs/>
                <w:highlight w:val="yellow"/>
                <w:lang w:val="es-ES" w:eastAsia="es-ES"/>
              </w:rPr>
            </w:pPr>
          </w:p>
        </w:tc>
      </w:tr>
      <w:tr w:rsidR="00A260FB" w:rsidRPr="00C114AA" w14:paraId="21538FCA" w14:textId="77777777" w:rsidTr="002D18AA">
        <w:trPr>
          <w:trHeight w:val="884"/>
        </w:trPr>
        <w:tc>
          <w:tcPr>
            <w:tcW w:w="2689" w:type="dxa"/>
            <w:hideMark/>
          </w:tcPr>
          <w:p w14:paraId="4F6DEA8D" w14:textId="77777777" w:rsidR="00A260FB" w:rsidRPr="00867EB5" w:rsidRDefault="00A260FB" w:rsidP="002D18AA">
            <w:pPr>
              <w:spacing w:line="240" w:lineRule="auto"/>
              <w:jc w:val="both"/>
              <w:rPr>
                <w:rFonts w:ascii="Verdana" w:eastAsia="Calibri" w:hAnsi="Verdana" w:cs="Arial"/>
                <w:color w:val="000000"/>
                <w:lang w:val="es-ES_tradnl" w:eastAsia="es-ES_tradnl"/>
              </w:rPr>
            </w:pPr>
            <w:r w:rsidRPr="00867EB5">
              <w:rPr>
                <w:rFonts w:ascii="Verdana" w:eastAsia="Calibri" w:hAnsi="Verdana" w:cs="Arial"/>
                <w:b/>
                <w:color w:val="000000"/>
                <w:lang w:val="es-ES_tradnl" w:eastAsia="es-ES_tradnl"/>
              </w:rPr>
              <w:t>Temas:</w:t>
            </w:r>
            <w:r w:rsidRPr="00867EB5">
              <w:rPr>
                <w:rFonts w:ascii="Verdana" w:eastAsia="Calibri" w:hAnsi="Verdana" w:cs="Arial"/>
                <w:color w:val="000000"/>
                <w:lang w:val="es-ES_tradnl" w:eastAsia="es-ES_tradnl"/>
              </w:rPr>
              <w:t xml:space="preserve">                   </w:t>
            </w:r>
          </w:p>
        </w:tc>
        <w:tc>
          <w:tcPr>
            <w:tcW w:w="6100" w:type="dxa"/>
            <w:hideMark/>
          </w:tcPr>
          <w:p w14:paraId="2549A42A" w14:textId="29C134A7" w:rsidR="00BA6D0C" w:rsidRPr="00A11406" w:rsidRDefault="00BA6D0C" w:rsidP="00BA6D0C">
            <w:pPr>
              <w:spacing w:line="276" w:lineRule="auto"/>
              <w:jc w:val="both"/>
              <w:rPr>
                <w:rFonts w:ascii="Verdana" w:eastAsia="Calibri" w:hAnsi="Verdana" w:cs="Arial"/>
                <w:lang w:val="es-ES" w:eastAsia="es-ES"/>
              </w:rPr>
            </w:pPr>
            <w:r w:rsidRPr="00A71E46">
              <w:rPr>
                <w:rFonts w:ascii="Verdana" w:eastAsia="Calibri" w:hAnsi="Verdana" w:cs="Arial"/>
                <w:lang w:val="es-ES" w:eastAsia="es-ES"/>
              </w:rPr>
              <w:t>REQUISITOS HABILITANTES – Noción</w:t>
            </w:r>
            <w:r>
              <w:rPr>
                <w:rFonts w:ascii="Verdana" w:eastAsia="Calibri" w:hAnsi="Verdana" w:cs="Arial"/>
                <w:lang w:val="es-ES" w:eastAsia="es-ES"/>
              </w:rPr>
              <w:t xml:space="preserve"> / </w:t>
            </w:r>
            <w:r w:rsidRPr="00A71E46">
              <w:rPr>
                <w:rFonts w:ascii="Verdana" w:eastAsia="Calibri" w:hAnsi="Verdana" w:cs="Arial"/>
                <w:lang w:val="es-ES" w:eastAsia="es-ES"/>
              </w:rPr>
              <w:t>CAPACIDAD – Personas naturales – Personas jurídicas</w:t>
            </w:r>
            <w:r>
              <w:rPr>
                <w:rFonts w:ascii="Verdana" w:eastAsia="Calibri" w:hAnsi="Verdana" w:cs="Arial"/>
                <w:lang w:val="es-ES" w:eastAsia="es-ES"/>
              </w:rPr>
              <w:t xml:space="preserve"> / </w:t>
            </w:r>
            <w:r w:rsidRPr="00A71E46">
              <w:rPr>
                <w:rFonts w:ascii="Verdana" w:eastAsia="Calibri" w:hAnsi="Verdana" w:cs="Arial"/>
                <w:lang w:val="es-ES" w:eastAsia="es-ES"/>
              </w:rPr>
              <w:t>CERTIFICACIONES – Existencia y representación legal – RUP – Plazo de vigencia</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A30759E" w14:textId="77777777" w:rsidR="00867EB5" w:rsidRPr="00867EB5" w:rsidRDefault="00867EB5" w:rsidP="00835BA5">
            <w:pPr>
              <w:jc w:val="both"/>
              <w:rPr>
                <w:rFonts w:ascii="Verdana" w:eastAsia="Calibri" w:hAnsi="Verdana" w:cs="Arial"/>
                <w:lang w:val="es-ES" w:eastAsia="es-ES"/>
              </w:rPr>
            </w:pPr>
          </w:p>
          <w:p w14:paraId="3C1233A2" w14:textId="19693CF4" w:rsidR="00A260FB" w:rsidRPr="00867EB5" w:rsidRDefault="00A260FB" w:rsidP="002D18AA">
            <w:pPr>
              <w:spacing w:line="240" w:lineRule="auto"/>
              <w:jc w:val="both"/>
              <w:rPr>
                <w:rFonts w:ascii="Verdana" w:eastAsia="Calibri" w:hAnsi="Verdana" w:cs="Arial"/>
                <w:lang w:val="es-ES" w:eastAsia="es-ES"/>
              </w:rPr>
            </w:pPr>
          </w:p>
        </w:tc>
      </w:tr>
      <w:tr w:rsidR="00A260FB" w14:paraId="3E9CD960" w14:textId="77777777" w:rsidTr="002D18AA">
        <w:tc>
          <w:tcPr>
            <w:tcW w:w="2689" w:type="dxa"/>
            <w:hideMark/>
          </w:tcPr>
          <w:p w14:paraId="1DC00C3B" w14:textId="77777777" w:rsidR="00A260FB" w:rsidRPr="00867EB5" w:rsidRDefault="00A260FB" w:rsidP="002D18AA">
            <w:pPr>
              <w:spacing w:line="240" w:lineRule="auto"/>
              <w:jc w:val="both"/>
              <w:rPr>
                <w:rFonts w:ascii="Verdana" w:eastAsia="Calibri" w:hAnsi="Verdana" w:cs="Arial"/>
                <w:b/>
                <w:color w:val="7030A0"/>
                <w:lang w:val="es-ES_tradnl" w:eastAsia="es-ES_tradnl"/>
              </w:rPr>
            </w:pPr>
            <w:r w:rsidRPr="00867EB5">
              <w:rPr>
                <w:rFonts w:ascii="Verdana" w:eastAsia="Calibri" w:hAnsi="Verdana" w:cs="Arial"/>
                <w:b/>
                <w:lang w:val="es-ES_tradnl" w:eastAsia="es-ES_tradnl"/>
              </w:rPr>
              <w:t>Radicación:</w:t>
            </w:r>
            <w:r w:rsidRPr="00867EB5">
              <w:rPr>
                <w:rFonts w:ascii="Verdana" w:eastAsia="Calibri" w:hAnsi="Verdana" w:cs="Arial"/>
                <w:lang w:val="es-ES_tradnl" w:eastAsia="es-ES_tradnl"/>
              </w:rPr>
              <w:t xml:space="preserve">               </w:t>
            </w:r>
          </w:p>
        </w:tc>
        <w:tc>
          <w:tcPr>
            <w:tcW w:w="6100" w:type="dxa"/>
          </w:tcPr>
          <w:p w14:paraId="6BA1F0B9" w14:textId="6C9F16AC" w:rsidR="00A260FB" w:rsidRPr="00867EB5" w:rsidRDefault="00A260FB" w:rsidP="002D18AA">
            <w:pPr>
              <w:spacing w:line="240" w:lineRule="auto"/>
              <w:jc w:val="both"/>
              <w:rPr>
                <w:rFonts w:ascii="Verdana" w:eastAsia="Calibri" w:hAnsi="Verdana" w:cs="Arial"/>
                <w:lang w:val="es-ES_tradnl" w:eastAsia="es-ES_tradnl"/>
              </w:rPr>
            </w:pPr>
            <w:r w:rsidRPr="00867EB5">
              <w:rPr>
                <w:rFonts w:ascii="Verdana" w:eastAsia="Calibri" w:hAnsi="Verdana" w:cs="Arial"/>
                <w:lang w:val="es-ES_tradnl" w:eastAsia="es-ES_tradnl"/>
              </w:rPr>
              <w:t xml:space="preserve">Respuesta a consulta con radicado No. </w:t>
            </w:r>
            <w:r w:rsidR="00BA6D0C" w:rsidRPr="00BA6D0C">
              <w:rPr>
                <w:rFonts w:ascii="Verdana" w:eastAsia="Calibri" w:hAnsi="Verdana" w:cs="Arial"/>
                <w:lang w:val="es-ES_tradnl" w:eastAsia="es-ES_tradnl"/>
              </w:rPr>
              <w:t>1_2025_09_16_010148</w:t>
            </w:r>
          </w:p>
        </w:tc>
      </w:tr>
    </w:tbl>
    <w:p w14:paraId="224C0E92" w14:textId="77777777" w:rsidR="00A260FB" w:rsidRDefault="00A260FB" w:rsidP="00A260FB">
      <w:pPr>
        <w:spacing w:after="0" w:line="240" w:lineRule="auto"/>
        <w:jc w:val="both"/>
        <w:rPr>
          <w:rFonts w:ascii="Verdana" w:eastAsia="Calibri" w:hAnsi="Verdana" w:cs="Arial"/>
          <w:color w:val="000000"/>
          <w:lang w:val="es-ES_tradnl" w:eastAsia="es-ES_tradnl"/>
        </w:rPr>
      </w:pPr>
    </w:p>
    <w:p w14:paraId="5AD7B095" w14:textId="77777777" w:rsidR="00A260FB" w:rsidRDefault="00A260FB" w:rsidP="00A260FB">
      <w:pPr>
        <w:spacing w:after="0" w:line="240" w:lineRule="auto"/>
        <w:jc w:val="both"/>
        <w:rPr>
          <w:rFonts w:ascii="Verdana" w:eastAsia="Calibri" w:hAnsi="Verdana" w:cs="Arial"/>
          <w:color w:val="000000"/>
          <w:lang w:val="es-ES_tradnl" w:eastAsia="es-ES_tradnl"/>
        </w:rPr>
      </w:pPr>
    </w:p>
    <w:p w14:paraId="1F9E3127" w14:textId="01FF8755" w:rsidR="00A260FB" w:rsidRDefault="00A260FB" w:rsidP="00A260F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w:t>
      </w:r>
      <w:r w:rsidR="00BA6D0C">
        <w:rPr>
          <w:rFonts w:ascii="Verdana" w:eastAsia="Calibri" w:hAnsi="Verdana" w:cs="Arial"/>
          <w:color w:val="000000" w:themeColor="text1"/>
          <w:lang w:val="es-ES" w:eastAsia="es-ES"/>
        </w:rPr>
        <w:t>a</w:t>
      </w:r>
      <w:r>
        <w:rPr>
          <w:rFonts w:ascii="Verdana" w:eastAsia="Calibri" w:hAnsi="Verdana" w:cs="Arial"/>
          <w:color w:val="000000" w:themeColor="text1"/>
          <w:lang w:val="es-ES" w:eastAsia="es-ES"/>
        </w:rPr>
        <w:t xml:space="preserve"> señor</w:t>
      </w:r>
      <w:r w:rsidR="00BA6D0C">
        <w:rPr>
          <w:rFonts w:ascii="Verdana" w:eastAsia="Calibri" w:hAnsi="Verdana" w:cs="Arial"/>
          <w:color w:val="000000" w:themeColor="text1"/>
          <w:lang w:val="es-ES" w:eastAsia="es-ES"/>
        </w:rPr>
        <w:t>a</w:t>
      </w:r>
      <w:r>
        <w:rPr>
          <w:rFonts w:ascii="Verdana" w:eastAsia="Calibri" w:hAnsi="Verdana" w:cs="Arial"/>
          <w:color w:val="000000" w:themeColor="text1"/>
          <w:lang w:val="es-ES" w:eastAsia="es-ES"/>
        </w:rPr>
        <w:t xml:space="preserve"> </w:t>
      </w:r>
      <w:r w:rsidR="00BA6D0C">
        <w:rPr>
          <w:rFonts w:ascii="Verdana" w:eastAsia="Calibri" w:hAnsi="Verdana" w:cs="Arial"/>
          <w:color w:val="000000" w:themeColor="text1"/>
          <w:lang w:val="es-ES" w:eastAsia="es-ES"/>
        </w:rPr>
        <w:t>Malaver</w:t>
      </w:r>
      <w:r>
        <w:rPr>
          <w:rFonts w:ascii="Verdana" w:eastAsia="Calibri" w:hAnsi="Verdana" w:cs="Arial"/>
          <w:color w:val="000000" w:themeColor="text1"/>
          <w:lang w:val="es-ES" w:eastAsia="es-ES"/>
        </w:rPr>
        <w:t>,</w:t>
      </w:r>
    </w:p>
    <w:p w14:paraId="12D063A9" w14:textId="77777777" w:rsidR="00A260FB" w:rsidRDefault="00A260FB" w:rsidP="00A260F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8C109A" w14:textId="3A65233E" w:rsidR="00A260FB" w:rsidRDefault="00A260FB" w:rsidP="00A260FB">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w:t>
      </w:r>
      <w:r w:rsidR="0061047B">
        <w:rPr>
          <w:rFonts w:ascii="Verdana" w:eastAsia="Calibri" w:hAnsi="Verdana" w:cs="Arial"/>
          <w:lang w:val="es-ES" w:eastAsia="es-ES"/>
        </w:rPr>
        <w:t xml:space="preserve">a la solicitud </w:t>
      </w:r>
      <w:r w:rsidR="00BA6D0C">
        <w:rPr>
          <w:rFonts w:ascii="Verdana" w:eastAsia="Calibri" w:hAnsi="Verdana" w:cs="Arial"/>
          <w:lang w:val="es-ES" w:eastAsia="es-ES"/>
        </w:rPr>
        <w:t>de consulta, remitida por su Despacho el</w:t>
      </w:r>
      <w:r w:rsidR="0061047B">
        <w:rPr>
          <w:rFonts w:ascii="Verdana" w:eastAsia="Calibri" w:hAnsi="Verdana" w:cs="Arial"/>
          <w:lang w:val="es-ES" w:eastAsia="es-ES"/>
        </w:rPr>
        <w:t xml:space="preserve"> 16 de septiembre de 2025</w:t>
      </w:r>
      <w:r w:rsidR="00BA6D0C">
        <w:rPr>
          <w:rFonts w:ascii="Verdana" w:eastAsia="Calibri" w:hAnsi="Verdana" w:cs="Arial"/>
          <w:lang w:val="es-ES" w:eastAsia="es-ES"/>
        </w:rPr>
        <w:t>, en la cu</w:t>
      </w:r>
      <w:r>
        <w:rPr>
          <w:rFonts w:ascii="Verdana" w:eastAsia="Calibri" w:hAnsi="Verdana" w:cs="Arial"/>
          <w:lang w:val="es-ES" w:eastAsia="es-ES"/>
        </w:rPr>
        <w:t xml:space="preserve">al manifiesta lo siguiente: </w:t>
      </w:r>
    </w:p>
    <w:p w14:paraId="1B65C55B" w14:textId="77777777" w:rsidR="00A260FB" w:rsidRDefault="00A260FB" w:rsidP="00A260F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50D1CAE" w14:textId="77777777" w:rsidR="00BA6D0C" w:rsidRDefault="00A260FB" w:rsidP="0061047B">
      <w:pPr>
        <w:autoSpaceDE w:val="0"/>
        <w:autoSpaceDN w:val="0"/>
        <w:adjustRightInd w:val="0"/>
        <w:spacing w:after="0" w:line="240" w:lineRule="auto"/>
        <w:ind w:left="709" w:right="709"/>
        <w:jc w:val="both"/>
      </w:pPr>
      <w:r w:rsidRPr="00BF30E7">
        <w:rPr>
          <w:rFonts w:ascii="Verdana" w:hAnsi="Verdana" w:cs="ArialMT"/>
          <w:sz w:val="20"/>
          <w:szCs w:val="20"/>
        </w:rPr>
        <w:t>“</w:t>
      </w:r>
      <w:r w:rsidR="00BA6D0C">
        <w:t>Mediante el presente se remiten las preguntas 1 y 4 del escrito de la referencia, mediante la cual se formuló una consulta, solicitud de información, queja, reclamo o petición, por ser de su competencia, así mismo, informamos que las preguntas 2 y 3 serán atendidas por esta Entidad. El traslado se surte teniendo en cuenta lo señalado en el artículo 21 de la Ley 1755 de 2015.</w:t>
      </w:r>
    </w:p>
    <w:p w14:paraId="2C2DAAA1" w14:textId="7F75CB81" w:rsidR="0061047B" w:rsidRDefault="0061047B" w:rsidP="0061047B">
      <w:pPr>
        <w:autoSpaceDE w:val="0"/>
        <w:autoSpaceDN w:val="0"/>
        <w:adjustRightInd w:val="0"/>
        <w:spacing w:after="0" w:line="240" w:lineRule="auto"/>
        <w:ind w:left="709" w:right="709"/>
        <w:jc w:val="both"/>
      </w:pPr>
      <w:r>
        <w:t>1. ¿Cuál es la diferencia en términos de validez de los documentos si se presentan con una fecha de expedición superior a los treinta (30) días previos al cierre del proceso de contratación, por ejemplo, 32 o 40 días, si la vigencia de dichos documentos es de un año?</w:t>
      </w:r>
    </w:p>
    <w:p w14:paraId="04AB5A96" w14:textId="77777777" w:rsidR="0061047B" w:rsidRDefault="0061047B" w:rsidP="0061047B">
      <w:pPr>
        <w:autoSpaceDE w:val="0"/>
        <w:autoSpaceDN w:val="0"/>
        <w:adjustRightInd w:val="0"/>
        <w:spacing w:after="0" w:line="240" w:lineRule="auto"/>
        <w:ind w:left="709" w:right="709"/>
        <w:jc w:val="both"/>
      </w:pPr>
      <w:r>
        <w:t>[…]</w:t>
      </w:r>
    </w:p>
    <w:p w14:paraId="695BD8A0" w14:textId="32B02E7D" w:rsidR="00C114AA" w:rsidRPr="00BF30E7" w:rsidRDefault="0061047B" w:rsidP="0061047B">
      <w:pPr>
        <w:autoSpaceDE w:val="0"/>
        <w:autoSpaceDN w:val="0"/>
        <w:adjustRightInd w:val="0"/>
        <w:spacing w:after="0" w:line="240" w:lineRule="auto"/>
        <w:ind w:left="709" w:right="709"/>
        <w:jc w:val="both"/>
        <w:rPr>
          <w:rFonts w:ascii="Verdana" w:hAnsi="Verdana" w:cs="ArialMT"/>
          <w:sz w:val="20"/>
          <w:szCs w:val="20"/>
        </w:rPr>
      </w:pPr>
      <w:r>
        <w:lastRenderedPageBreak/>
        <w:t xml:space="preserve">4. En su concepto, ¿la exigencia de actualización constante de estos documentos constituye una barrera burocrática que afecta la competitividad de las pequeñas empresas? En caso afirmativo, ¿existen alternativas o medidas que favorezcan a las </w:t>
      </w:r>
      <w:proofErr w:type="spellStart"/>
      <w:r>
        <w:t>PYMEs</w:t>
      </w:r>
      <w:proofErr w:type="spellEnd"/>
      <w:r>
        <w:t xml:space="preserve"> para garantizar su participación en los procesos de contratación pública sin que se vea afectado su acceso por cuestiones burocráticas?</w:t>
      </w:r>
      <w:r w:rsidR="00C114AA">
        <w:rPr>
          <w:rFonts w:ascii="Verdana" w:hAnsi="Verdana" w:cs="ArialMT"/>
          <w:sz w:val="20"/>
          <w:szCs w:val="20"/>
        </w:rPr>
        <w:t>”</w:t>
      </w:r>
    </w:p>
    <w:p w14:paraId="7D92BBA5" w14:textId="77777777" w:rsidR="00A260FB" w:rsidRPr="00924340" w:rsidRDefault="00A260FB" w:rsidP="009B0144">
      <w:pPr>
        <w:autoSpaceDE w:val="0"/>
        <w:autoSpaceDN w:val="0"/>
        <w:adjustRightInd w:val="0"/>
        <w:spacing w:after="0" w:line="276" w:lineRule="auto"/>
        <w:ind w:left="709" w:right="709"/>
        <w:jc w:val="both"/>
        <w:rPr>
          <w:rFonts w:ascii="Verdana" w:eastAsia="Century Gothic" w:hAnsi="Verdana" w:cs="Century Gothic"/>
          <w:b/>
        </w:rPr>
      </w:pPr>
    </w:p>
    <w:p w14:paraId="01359D02" w14:textId="77777777" w:rsidR="00A260FB" w:rsidRDefault="00A260FB" w:rsidP="00A260FB">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0D51725" w14:textId="688F463C" w:rsidR="00A260FB" w:rsidRDefault="00A260FB" w:rsidP="00A260FB">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unas consideraciones sobre las normas generales relacionadas con </w:t>
      </w:r>
      <w:r w:rsidR="00BF1FB9">
        <w:rPr>
          <w:rFonts w:ascii="Verdana" w:eastAsia="Calibri" w:hAnsi="Verdana" w:cs="Arial"/>
          <w:color w:val="000000"/>
          <w:lang w:val="es-ES" w:eastAsia="es-ES"/>
        </w:rPr>
        <w:t>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9E58983" w14:textId="77777777" w:rsidR="00A260FB" w:rsidRPr="009B0144" w:rsidRDefault="00A260FB" w:rsidP="00A260FB">
      <w:pPr>
        <w:spacing w:after="0" w:line="276" w:lineRule="auto"/>
        <w:ind w:firstLine="709"/>
        <w:jc w:val="both"/>
        <w:rPr>
          <w:rFonts w:ascii="Verdana" w:eastAsia="Calibri" w:hAnsi="Verdana" w:cs="Arial"/>
          <w:lang w:val="es-ES" w:eastAsia="es-ES"/>
        </w:rPr>
      </w:pPr>
    </w:p>
    <w:p w14:paraId="45D925DD" w14:textId="77777777" w:rsidR="00A260FB"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68E747C" w14:textId="77777777" w:rsidR="00A260FB" w:rsidRDefault="00A260FB" w:rsidP="00A260FB">
      <w:pPr>
        <w:tabs>
          <w:tab w:val="left" w:pos="426"/>
        </w:tabs>
        <w:spacing w:after="0" w:line="276" w:lineRule="auto"/>
        <w:jc w:val="both"/>
        <w:rPr>
          <w:rFonts w:ascii="Verdana" w:eastAsia="Century Gothic" w:hAnsi="Verdana" w:cs="Century Gothic"/>
          <w:lang w:val="es-ES"/>
        </w:rPr>
      </w:pPr>
    </w:p>
    <w:p w14:paraId="12179AAE" w14:textId="3226E456" w:rsidR="00A260FB" w:rsidRDefault="00A260FB" w:rsidP="00A260FB">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w:t>
      </w:r>
      <w:r w:rsidR="00BF1FB9">
        <w:rPr>
          <w:rFonts w:ascii="Verdana" w:eastAsia="Century Gothic" w:hAnsi="Verdana" w:cs="Century Gothic"/>
        </w:rPr>
        <w:t xml:space="preserve"> </w:t>
      </w:r>
      <w:r>
        <w:rPr>
          <w:rFonts w:ascii="Verdana" w:eastAsia="Century Gothic" w:hAnsi="Verdana" w:cs="Century Gothic"/>
        </w:rPr>
        <w:t xml:space="preserve">jurídico: </w:t>
      </w:r>
      <w:r w:rsidR="00BF1FB9">
        <w:rPr>
          <w:rFonts w:ascii="Verdana" w:eastAsia="Century Gothic" w:hAnsi="Verdana" w:cs="Century Gothic"/>
        </w:rPr>
        <w:t xml:space="preserve">¿existe discrecionalidad por parte de las entidades públicas para establecer el </w:t>
      </w:r>
      <w:r w:rsidR="00BF1FB9" w:rsidRPr="00BC4126">
        <w:rPr>
          <w:rFonts w:ascii="Verdana" w:eastAsia="Century Gothic" w:hAnsi="Verdana" w:cs="Century Gothic"/>
        </w:rPr>
        <w:t xml:space="preserve">plazo de vigencia del certificado de existencia y representación legal </w:t>
      </w:r>
      <w:r w:rsidR="00BF1FB9">
        <w:rPr>
          <w:rFonts w:ascii="Verdana" w:eastAsia="Century Gothic" w:hAnsi="Verdana" w:cs="Century Gothic"/>
        </w:rPr>
        <w:t>y</w:t>
      </w:r>
      <w:r w:rsidR="00BF1FB9" w:rsidRPr="00BC4126">
        <w:rPr>
          <w:rFonts w:ascii="Verdana" w:eastAsia="Century Gothic" w:hAnsi="Verdana" w:cs="Century Gothic"/>
        </w:rPr>
        <w:t xml:space="preserve"> de la certificación del RUP </w:t>
      </w:r>
      <w:r w:rsidR="00BF1FB9">
        <w:rPr>
          <w:rFonts w:ascii="Verdana" w:eastAsia="Century Gothic" w:hAnsi="Verdana" w:cs="Century Gothic"/>
        </w:rPr>
        <w:t xml:space="preserve">en los documentos del proceso? </w:t>
      </w:r>
      <w:r w:rsidR="00BF1FB9" w:rsidRPr="00906BE9">
        <w:rPr>
          <w:rFonts w:ascii="Verdana" w:eastAsia="Century Gothic" w:hAnsi="Verdana" w:cs="Century Gothic"/>
        </w:rPr>
        <w:t xml:space="preserve">      </w:t>
      </w:r>
      <w:r w:rsidR="00BF1FB9">
        <w:rPr>
          <w:rFonts w:ascii="Verdana" w:eastAsia="Century Gothic" w:hAnsi="Verdana" w:cs="Century Gothic"/>
        </w:rPr>
        <w:t xml:space="preserve">       </w:t>
      </w:r>
      <w:r w:rsidR="00BF1FB9" w:rsidRPr="00C00976">
        <w:rPr>
          <w:rFonts w:ascii="Verdana" w:eastAsia="Century Gothic" w:hAnsi="Verdana" w:cs="Century Gothic"/>
          <w:color w:val="7030A0"/>
        </w:rPr>
        <w:t xml:space="preserve"> </w:t>
      </w:r>
    </w:p>
    <w:p w14:paraId="2E95D2B0" w14:textId="77777777" w:rsidR="00A260FB" w:rsidRPr="009B0144" w:rsidRDefault="00A260FB" w:rsidP="00A260FB">
      <w:pPr>
        <w:spacing w:after="0" w:line="276" w:lineRule="auto"/>
        <w:jc w:val="both"/>
        <w:rPr>
          <w:rFonts w:ascii="Verdana" w:eastAsia="Calibri" w:hAnsi="Verdana" w:cs="Arial"/>
          <w:lang w:val="es-ES"/>
        </w:rPr>
      </w:pPr>
    </w:p>
    <w:p w14:paraId="44C07CBC" w14:textId="77777777" w:rsidR="00A260FB"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77E0720" w14:textId="77777777" w:rsidR="00A260FB" w:rsidRDefault="00A260FB" w:rsidP="00A260F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260FB" w:rsidRPr="001B5827" w14:paraId="66FC8DE1" w14:textId="77777777" w:rsidTr="002D18AA">
        <w:tc>
          <w:tcPr>
            <w:tcW w:w="8828" w:type="dxa"/>
            <w:tcBorders>
              <w:top w:val="dotted" w:sz="4" w:space="0" w:color="auto"/>
              <w:left w:val="dotted" w:sz="4" w:space="0" w:color="auto"/>
              <w:bottom w:val="dotted" w:sz="4" w:space="0" w:color="auto"/>
              <w:right w:val="dotted" w:sz="4" w:space="0" w:color="auto"/>
            </w:tcBorders>
          </w:tcPr>
          <w:p w14:paraId="75144C65" w14:textId="77777777" w:rsidR="00BF1FB9" w:rsidRPr="00F93FDF" w:rsidRDefault="00BF1FB9" w:rsidP="00BF1FB9">
            <w:pPr>
              <w:spacing w:after="120" w:line="276" w:lineRule="auto"/>
              <w:jc w:val="both"/>
              <w:rPr>
                <w:rFonts w:ascii="Verdana" w:eastAsia="Calibri" w:hAnsi="Verdana" w:cs="Arial"/>
              </w:rPr>
            </w:pPr>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Times New Roman"/>
                <w:iCs/>
                <w:lang w:val="es-ES"/>
              </w:rPr>
              <w:t xml:space="preserve">tanto el artículo 33 del Código de Comercio como el artículo </w:t>
            </w:r>
            <w:r w:rsidRPr="002139D9">
              <w:rPr>
                <w:rFonts w:ascii="Verdana" w:eastAsia="Calibri" w:hAnsi="Verdana" w:cs="Arial"/>
              </w:rPr>
              <w:t>2.2.1.1.1.5.1 del Decreto 1082 de 2015</w:t>
            </w:r>
            <w:r>
              <w:rPr>
                <w:rFonts w:ascii="Verdana" w:eastAsia="Calibri" w:hAnsi="Verdana" w:cs="Arial"/>
              </w:rPr>
              <w:t xml:space="preserve"> establecen el deber de renovar anualmente la matrícula mercantil y el registro único de proponentes. Sin embargo, el ordenamiento no regula un plazo de vigencia del certificado de </w:t>
            </w:r>
            <w:r>
              <w:rPr>
                <w:rFonts w:ascii="Verdana" w:eastAsia="Calibri" w:hAnsi="Verdana" w:cs="Arial"/>
              </w:rPr>
              <w:lastRenderedPageBreak/>
              <w:t xml:space="preserve">existencia y representación legal ni de la certificación del RUP, aspectos totalmente distintos a la obligación de renovar los registros. </w:t>
            </w:r>
            <w:r>
              <w:rPr>
                <w:rFonts w:ascii="Verdana" w:eastAsia="Calibri" w:hAnsi="Verdana" w:cs="Arial"/>
                <w:color w:val="000000"/>
                <w:szCs w:val="24"/>
                <w:lang w:eastAsia="es-ES_tradnl"/>
              </w:rPr>
              <w:t>Por tanto, salvo que el proceso de selección se rija por el artículo 1 de la Ley 2022 de 2020 o el artículo 56 de la Ley 2195 de 2022, las entidades tienen discrecionalidad para acoger un plazo de vigencia de 30 días o establecer uno distinto en los pliegos de condiciones. (Respuesta la pregunta 1)</w:t>
            </w:r>
          </w:p>
          <w:p w14:paraId="26C3AB6A" w14:textId="77777777" w:rsidR="00BF1FB9" w:rsidRDefault="00BF1FB9" w:rsidP="00BF1FB9">
            <w:pPr>
              <w:spacing w:after="120" w:line="276" w:lineRule="auto"/>
              <w:ind w:firstLine="737"/>
              <w:jc w:val="both"/>
              <w:rPr>
                <w:rFonts w:ascii="Verdana" w:eastAsia="Calibri" w:hAnsi="Verdana" w:cs="Arial"/>
                <w:color w:val="000000"/>
                <w:szCs w:val="24"/>
                <w:lang w:eastAsia="es-ES_tradnl"/>
              </w:rPr>
            </w:pPr>
            <w:r w:rsidRPr="00F93FDF">
              <w:rPr>
                <w:rFonts w:ascii="Verdana" w:eastAsia="Calibri" w:hAnsi="Verdana" w:cs="Times New Roman"/>
                <w:i/>
              </w:rPr>
              <w:t>Tratándose del certificado de existencia y representación legal</w:t>
            </w:r>
            <w:r>
              <w:rPr>
                <w:rFonts w:ascii="Verdana" w:eastAsia="Calibri" w:hAnsi="Verdana" w:cs="Times New Roman"/>
                <w:iCs/>
              </w:rPr>
              <w:t xml:space="preserve">, </w:t>
            </w:r>
            <w:r w:rsidRPr="00C93ED5">
              <w:rPr>
                <w:rFonts w:ascii="Verdana" w:eastAsia="Calibri" w:hAnsi="Verdana" w:cs="Arial"/>
                <w:color w:val="000000"/>
                <w:szCs w:val="24"/>
                <w:lang w:eastAsia="es-ES_tradnl"/>
              </w:rPr>
              <w:t xml:space="preserve">no incluir un término para </w:t>
            </w:r>
            <w:r>
              <w:rPr>
                <w:rFonts w:ascii="Verdana" w:eastAsia="Calibri" w:hAnsi="Verdana" w:cs="Arial"/>
                <w:color w:val="000000"/>
                <w:szCs w:val="24"/>
                <w:lang w:eastAsia="es-ES_tradnl"/>
              </w:rPr>
              <w:t>su</w:t>
            </w:r>
            <w:r w:rsidRPr="00C93ED5">
              <w:rPr>
                <w:rFonts w:ascii="Verdana" w:eastAsia="Calibri" w:hAnsi="Verdana" w:cs="Arial"/>
                <w:color w:val="000000"/>
                <w:szCs w:val="24"/>
                <w:lang w:eastAsia="es-ES_tradnl"/>
              </w:rPr>
              <w:t xml:space="preserve"> expedición en el pliego de condiciones podría generar consecuencias negativas que afectan el proceso de contratación. Por ejemplo, si no se estableciera un término máximo de expedición del certificado, podría ocurrir que las personas jurídicas hubieren modificado su objeto social a actividades que no permiten ejecutar el contrato estatal, sin que la Entidad Estatal tenga conocimiento de esta situación, al no contar con un certificado reciente. De igual forma, si una sociedad restringe la capacidad del representante legal para contraer obligaciones y esta restricción no se ve reflejada en el certificado de existencia y representación, al no ser reciente, la entidad estatal podría terminar suscribiendo un contrato inoponible frente a la sociedad, en cuanto el representante legal no tendría la capacidad jurídica para que esta contraiga obligaciones. Además, es posible que la sociedad hubiera realizado modificaciones respecto a su representante legal u otras modificaciones que justifican que se aporte un certificado de existencia y representación legal de reciente expedición.</w:t>
            </w:r>
            <w:r>
              <w:rPr>
                <w:rFonts w:ascii="Verdana" w:eastAsia="Calibri" w:hAnsi="Verdana" w:cs="Arial"/>
                <w:color w:val="000000"/>
                <w:szCs w:val="24"/>
                <w:lang w:eastAsia="es-ES_tradnl"/>
              </w:rPr>
              <w:t xml:space="preserve"> </w:t>
            </w:r>
          </w:p>
          <w:p w14:paraId="3B93CA90" w14:textId="62779413" w:rsidR="00BF1FB9" w:rsidRDefault="00BF1FB9" w:rsidP="00BF1FB9">
            <w:pPr>
              <w:spacing w:after="120" w:line="276" w:lineRule="auto"/>
              <w:ind w:firstLine="737"/>
              <w:jc w:val="both"/>
              <w:rPr>
                <w:rFonts w:ascii="Verdana" w:eastAsia="Calibri" w:hAnsi="Verdana" w:cs="Arial"/>
              </w:rPr>
            </w:pPr>
            <w:r w:rsidRPr="0088150E">
              <w:rPr>
                <w:rFonts w:ascii="Verdana" w:eastAsia="Calibri" w:hAnsi="Verdana" w:cs="Arial"/>
                <w:i/>
                <w:iCs/>
                <w:color w:val="000000"/>
                <w:szCs w:val="24"/>
                <w:lang w:eastAsia="es-ES_tradnl"/>
              </w:rPr>
              <w:t>Tratándose de la certificación del RUP</w:t>
            </w:r>
            <w:r>
              <w:rPr>
                <w:rFonts w:ascii="Verdana" w:eastAsia="Calibri" w:hAnsi="Verdana" w:cs="Arial"/>
                <w:color w:val="000000"/>
                <w:szCs w:val="24"/>
                <w:lang w:eastAsia="es-ES_tradnl"/>
              </w:rPr>
              <w:t>, s</w:t>
            </w:r>
            <w:r>
              <w:rPr>
                <w:rFonts w:ascii="Verdana" w:eastAsia="Calibri" w:hAnsi="Verdana" w:cs="Arial"/>
              </w:rPr>
              <w:t>i bien el registro tiene una vigencia anual, la fecha de expedición del documento es jurídicamente relevante, porque en dicho periodo pueden haberse presentado actualizaciones en las que varíe la información contenida en él. Así, los datos reportados en el registro están vigentes</w:t>
            </w:r>
            <w:r w:rsidRPr="00A62995">
              <w:rPr>
                <w:rFonts w:ascii="Verdana" w:eastAsia="Calibri" w:hAnsi="Verdana" w:cs="Arial"/>
              </w:rPr>
              <w:t xml:space="preserve"> mientras no existan nuevas </w:t>
            </w:r>
            <w:r>
              <w:rPr>
                <w:rFonts w:ascii="Verdana" w:eastAsia="Calibri" w:hAnsi="Verdana" w:cs="Arial"/>
              </w:rPr>
              <w:t>actualizaciones</w:t>
            </w:r>
            <w:r w:rsidRPr="00A62995">
              <w:rPr>
                <w:rFonts w:ascii="Verdana" w:eastAsia="Calibri" w:hAnsi="Verdana" w:cs="Arial"/>
              </w:rPr>
              <w:t xml:space="preserve"> que afecten </w:t>
            </w:r>
            <w:r>
              <w:rPr>
                <w:rFonts w:ascii="Verdana" w:eastAsia="Calibri" w:hAnsi="Verdana" w:cs="Arial"/>
              </w:rPr>
              <w:t xml:space="preserve">el contenido de la información suministrada a la cámara de comercio. </w:t>
            </w:r>
          </w:p>
          <w:p w14:paraId="3174C028" w14:textId="2CA6D33F" w:rsidR="00D6538D" w:rsidRPr="001B5827" w:rsidRDefault="00BF1FB9" w:rsidP="00BF1FB9">
            <w:pPr>
              <w:spacing w:after="120" w:line="276" w:lineRule="auto"/>
              <w:jc w:val="both"/>
              <w:rPr>
                <w:rFonts w:ascii="Verdana" w:hAnsi="Verdana"/>
              </w:rPr>
            </w:pPr>
            <w:r>
              <w:rPr>
                <w:rFonts w:ascii="Verdana" w:eastAsia="Calibri" w:hAnsi="Verdana" w:cs="Arial"/>
                <w:color w:val="000000"/>
                <w:szCs w:val="24"/>
                <w:lang w:eastAsia="es-ES_tradnl"/>
              </w:rPr>
              <w:t xml:space="preserve">Finalmente, la Agencia estima que la exigencia de certificaciones de reciente expedición no es violatoria de la libre competencia económica ni constituye una barrera burocrática, pues es una condición que se impone por igual a todos los interesados en los procesos de selección. En este contexto, no existe alguna norma que, con carácter prevalente o imperativo, establezcan </w:t>
            </w:r>
            <w:r w:rsidRPr="00763D43">
              <w:rPr>
                <w:rFonts w:ascii="Verdana" w:eastAsia="Calibri" w:hAnsi="Verdana" w:cs="Arial"/>
                <w:color w:val="000000"/>
                <w:szCs w:val="24"/>
                <w:lang w:eastAsia="es-ES_tradnl"/>
              </w:rPr>
              <w:t xml:space="preserve">alternativas o medidas que favorezcan a las </w:t>
            </w:r>
            <w:proofErr w:type="spellStart"/>
            <w:r>
              <w:rPr>
                <w:rFonts w:ascii="Verdana" w:eastAsia="Calibri" w:hAnsi="Verdana" w:cs="Arial"/>
                <w:color w:val="000000"/>
                <w:szCs w:val="24"/>
                <w:lang w:eastAsia="es-ES_tradnl"/>
              </w:rPr>
              <w:t>Mipymes</w:t>
            </w:r>
            <w:proofErr w:type="spellEnd"/>
            <w:r>
              <w:rPr>
                <w:rFonts w:ascii="Verdana" w:eastAsia="Calibri" w:hAnsi="Verdana" w:cs="Arial"/>
                <w:color w:val="000000"/>
                <w:szCs w:val="24"/>
                <w:lang w:eastAsia="es-ES_tradnl"/>
              </w:rPr>
              <w:t xml:space="preserve"> en la forma como se </w:t>
            </w:r>
            <w:r>
              <w:rPr>
                <w:rFonts w:ascii="Verdana" w:eastAsia="Calibri" w:hAnsi="Verdana" w:cs="Arial"/>
                <w:color w:val="000000"/>
                <w:szCs w:val="24"/>
                <w:lang w:eastAsia="es-ES_tradnl"/>
              </w:rPr>
              <w:lastRenderedPageBreak/>
              <w:t>aportan los certificados de existencia y representación legal o los certificados del registro único de proponentes. (Respuesta a la pregunta 4)</w:t>
            </w:r>
          </w:p>
        </w:tc>
      </w:tr>
    </w:tbl>
    <w:p w14:paraId="01DBD84B" w14:textId="77777777" w:rsidR="00A260FB" w:rsidRPr="001B5827" w:rsidRDefault="00A260FB" w:rsidP="00A260FB">
      <w:pPr>
        <w:tabs>
          <w:tab w:val="left" w:pos="142"/>
          <w:tab w:val="left" w:pos="284"/>
        </w:tabs>
        <w:spacing w:after="0" w:line="276" w:lineRule="auto"/>
        <w:jc w:val="both"/>
        <w:rPr>
          <w:rFonts w:ascii="Verdana" w:eastAsia="Century Gothic" w:hAnsi="Verdana" w:cs="Century Gothic"/>
          <w:b/>
          <w:bCs/>
          <w:lang w:val="es-ES"/>
        </w:rPr>
      </w:pPr>
    </w:p>
    <w:p w14:paraId="6A0569C5" w14:textId="77777777" w:rsidR="00A260FB" w:rsidRPr="001B5827" w:rsidRDefault="00A260FB" w:rsidP="00A26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6CB79111" w14:textId="77777777" w:rsidR="00A260FB" w:rsidRPr="001B5827" w:rsidRDefault="00A260FB" w:rsidP="00A260FB">
      <w:pPr>
        <w:spacing w:after="0" w:line="276" w:lineRule="auto"/>
        <w:jc w:val="both"/>
        <w:rPr>
          <w:rFonts w:ascii="Verdana" w:eastAsia="Calibri" w:hAnsi="Verdana" w:cs="Arial"/>
          <w:lang w:val="es-ES"/>
        </w:rPr>
      </w:pPr>
    </w:p>
    <w:p w14:paraId="59453C99" w14:textId="77777777" w:rsidR="00A260FB" w:rsidRDefault="00A260FB" w:rsidP="00A260FB">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5032AA80" w14:textId="7132361C" w:rsidR="00A260FB" w:rsidRDefault="00A260FB" w:rsidP="00A260FB">
      <w:pPr>
        <w:spacing w:after="0" w:line="276" w:lineRule="auto"/>
        <w:jc w:val="both"/>
        <w:rPr>
          <w:rFonts w:ascii="Verdana" w:eastAsia="Calibri" w:hAnsi="Verdana" w:cs="Arial"/>
          <w:lang w:val="es-ES"/>
        </w:rPr>
      </w:pPr>
    </w:p>
    <w:p w14:paraId="306E8AD4" w14:textId="77777777" w:rsidR="00BF1FB9" w:rsidRPr="00886F14" w:rsidRDefault="00BF1FB9" w:rsidP="00BF1FB9">
      <w:pPr>
        <w:spacing w:after="120" w:line="276" w:lineRule="auto"/>
        <w:jc w:val="both"/>
        <w:rPr>
          <w:rFonts w:ascii="Verdana" w:hAnsi="Verdana" w:cs="Arial"/>
          <w:color w:val="000000" w:themeColor="text1"/>
          <w:lang w:val="es-ES_tradnl"/>
        </w:rPr>
      </w:pPr>
      <w:r w:rsidRPr="00886F14">
        <w:rPr>
          <w:rFonts w:ascii="Verdana" w:eastAsia="Calibri" w:hAnsi="Verdana" w:cs="Arial"/>
          <w:lang w:val="es-ES"/>
        </w:rPr>
        <w:t xml:space="preserve">i. </w:t>
      </w:r>
      <w:r w:rsidRPr="00886F14">
        <w:rPr>
          <w:rFonts w:ascii="Verdana" w:hAnsi="Verdana" w:cs="Arial"/>
          <w:color w:val="000000" w:themeColor="text1"/>
          <w:lang w:val="es-ES_tradnl"/>
        </w:rPr>
        <w:t xml:space="preserve">Los </w:t>
      </w:r>
      <w:r w:rsidRPr="00886F14">
        <w:rPr>
          <w:rFonts w:ascii="Verdana" w:hAnsi="Verdana" w:cs="Arial"/>
          <w:i/>
          <w:iCs/>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1BD0C14F" w14:textId="77777777" w:rsidR="00BF1FB9" w:rsidRPr="00886F14" w:rsidRDefault="00BF1FB9" w:rsidP="00BF1FB9">
      <w:pPr>
        <w:spacing w:after="120" w:line="276" w:lineRule="auto"/>
        <w:ind w:firstLine="708"/>
        <w:jc w:val="both"/>
        <w:rPr>
          <w:rFonts w:ascii="Verdana" w:hAnsi="Verdana" w:cs="Arial"/>
          <w:color w:val="000000" w:themeColor="text1"/>
          <w:lang w:val="es-ES"/>
        </w:rPr>
      </w:pPr>
      <w:r w:rsidRPr="26496D74">
        <w:rPr>
          <w:rFonts w:ascii="Verdana" w:hAnsi="Verdana" w:cs="Arial"/>
          <w:color w:val="000000" w:themeColor="text1"/>
          <w:lang w:val="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3294A275" w14:textId="77777777" w:rsidR="00BF1FB9" w:rsidRPr="00886F14" w:rsidRDefault="00BF1FB9" w:rsidP="00BF1FB9">
      <w:pPr>
        <w:spacing w:after="0" w:line="276" w:lineRule="auto"/>
        <w:ind w:firstLine="708"/>
        <w:jc w:val="both"/>
        <w:rPr>
          <w:rFonts w:ascii="Verdana" w:hAnsi="Verdana" w:cs="Arial"/>
          <w:color w:val="000000" w:themeColor="text1"/>
          <w:lang w:val="es-ES"/>
        </w:rPr>
      </w:pPr>
      <w:r w:rsidRPr="26496D74">
        <w:rPr>
          <w:rFonts w:ascii="Verdana" w:hAnsi="Verdana" w:cs="Arial"/>
          <w:color w:val="000000" w:themeColor="text1"/>
          <w:lang w:val="es-ES"/>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26496D74">
        <w:rPr>
          <w:rFonts w:ascii="Verdana" w:hAnsi="Verdana" w:cs="Arial"/>
          <w:i/>
          <w:color w:val="000000" w:themeColor="text1"/>
          <w:lang w:val="es-ES"/>
        </w:rPr>
        <w:t>.</w:t>
      </w:r>
      <w:r w:rsidRPr="26496D74">
        <w:rPr>
          <w:rFonts w:ascii="Verdana" w:hAnsi="Verdana" w:cs="Arial"/>
          <w:color w:val="000000" w:themeColor="text1"/>
          <w:lang w:val="es-ES"/>
        </w:rPr>
        <w:t xml:space="preserve"> En ese contexto, los factores de escogencia y calificación que establezcan las Entidades en los pliegos de condiciones o en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26496D74">
        <w:rPr>
          <w:rFonts w:ascii="Verdana" w:hAnsi="Verdana" w:cs="Arial"/>
          <w:i/>
          <w:color w:val="000000" w:themeColor="text1"/>
          <w:lang w:val="es-ES"/>
        </w:rPr>
        <w:t>entre otros</w:t>
      </w:r>
      <w:r w:rsidRPr="26496D74">
        <w:rPr>
          <w:rFonts w:ascii="Verdana" w:hAnsi="Verdana" w:cs="Arial"/>
          <w:color w:val="000000" w:themeColor="text1"/>
          <w:lang w:val="es-ES"/>
        </w:rPr>
        <w:t xml:space="preserve">, los siguientes: i) la capacidad jurídica; </w:t>
      </w:r>
      <w:proofErr w:type="spellStart"/>
      <w:r w:rsidRPr="26496D74">
        <w:rPr>
          <w:rFonts w:ascii="Verdana" w:hAnsi="Verdana" w:cs="Arial"/>
          <w:color w:val="000000" w:themeColor="text1"/>
          <w:lang w:val="es-ES"/>
        </w:rPr>
        <w:t>ii</w:t>
      </w:r>
      <w:proofErr w:type="spellEnd"/>
      <w:r w:rsidRPr="26496D74">
        <w:rPr>
          <w:rFonts w:ascii="Verdana" w:hAnsi="Verdana" w:cs="Arial"/>
          <w:color w:val="000000" w:themeColor="text1"/>
          <w:lang w:val="es-ES"/>
        </w:rPr>
        <w:t xml:space="preserve">) la </w:t>
      </w:r>
      <w:r w:rsidRPr="26496D74">
        <w:rPr>
          <w:rFonts w:ascii="Verdana" w:hAnsi="Verdana" w:cs="Arial"/>
          <w:color w:val="000000" w:themeColor="text1"/>
          <w:lang w:val="es-ES"/>
        </w:rPr>
        <w:lastRenderedPageBreak/>
        <w:t xml:space="preserve">experiencia; </w:t>
      </w:r>
      <w:proofErr w:type="spellStart"/>
      <w:r w:rsidRPr="26496D74">
        <w:rPr>
          <w:rFonts w:ascii="Verdana" w:hAnsi="Verdana" w:cs="Arial"/>
          <w:color w:val="000000" w:themeColor="text1"/>
          <w:lang w:val="es-ES"/>
        </w:rPr>
        <w:t>iii</w:t>
      </w:r>
      <w:proofErr w:type="spellEnd"/>
      <w:r w:rsidRPr="26496D74">
        <w:rPr>
          <w:rFonts w:ascii="Verdana" w:hAnsi="Verdana" w:cs="Arial"/>
          <w:color w:val="000000" w:themeColor="text1"/>
          <w:lang w:val="es-ES"/>
        </w:rPr>
        <w:t xml:space="preserve">) la capacidad financiera y </w:t>
      </w:r>
      <w:proofErr w:type="spellStart"/>
      <w:r w:rsidRPr="26496D74">
        <w:rPr>
          <w:rFonts w:ascii="Verdana" w:hAnsi="Verdana" w:cs="Arial"/>
          <w:color w:val="000000" w:themeColor="text1"/>
          <w:lang w:val="es-ES"/>
        </w:rPr>
        <w:t>iv</w:t>
      </w:r>
      <w:proofErr w:type="spellEnd"/>
      <w:r w:rsidRPr="26496D74">
        <w:rPr>
          <w:rFonts w:ascii="Verdana" w:hAnsi="Verdana" w:cs="Arial"/>
          <w:color w:val="000000" w:themeColor="text1"/>
          <w:lang w:val="es-ES"/>
        </w:rPr>
        <w:t xml:space="preserve">) la capacidad de organización. En efecto, la normativa citada prescribe lo siguiente: </w:t>
      </w:r>
    </w:p>
    <w:p w14:paraId="0B29232C" w14:textId="77777777" w:rsidR="00BF1FB9" w:rsidRPr="00886F14" w:rsidRDefault="00BF1FB9" w:rsidP="00BF1FB9">
      <w:pPr>
        <w:spacing w:after="0" w:line="276" w:lineRule="auto"/>
        <w:ind w:firstLine="708"/>
        <w:jc w:val="both"/>
        <w:rPr>
          <w:rFonts w:ascii="Verdana" w:hAnsi="Verdana" w:cs="Arial"/>
          <w:color w:val="000000" w:themeColor="text1"/>
          <w:lang w:val="es-ES_tradnl"/>
        </w:rPr>
      </w:pPr>
    </w:p>
    <w:p w14:paraId="4436F918" w14:textId="77777777" w:rsidR="00BF1FB9" w:rsidRPr="00886F14" w:rsidRDefault="00BF1FB9" w:rsidP="00BF1FB9">
      <w:pPr>
        <w:spacing w:after="0" w:line="240" w:lineRule="auto"/>
        <w:ind w:left="709" w:right="709"/>
        <w:rPr>
          <w:rFonts w:ascii="Verdana" w:hAnsi="Verdana" w:cs="Arial"/>
          <w:color w:val="000000" w:themeColor="text1"/>
          <w:sz w:val="21"/>
          <w:szCs w:val="21"/>
          <w:lang w:val="es-ES_tradnl"/>
        </w:rPr>
      </w:pPr>
      <w:r w:rsidRPr="00886F14">
        <w:rPr>
          <w:rFonts w:ascii="Verdana" w:hAnsi="Verdana" w:cs="Arial"/>
          <w:i/>
          <w:iCs/>
          <w:color w:val="000000" w:themeColor="text1"/>
          <w:sz w:val="21"/>
          <w:szCs w:val="21"/>
          <w:lang w:val="es-ES_tradnl"/>
        </w:rPr>
        <w:t>“</w:t>
      </w:r>
      <w:r w:rsidRPr="00886F14">
        <w:rPr>
          <w:rFonts w:ascii="Verdana" w:hAnsi="Verdana" w:cs="Arial"/>
          <w:color w:val="000000" w:themeColor="text1"/>
          <w:sz w:val="21"/>
          <w:szCs w:val="21"/>
          <w:lang w:val="es-ES_tradnl"/>
        </w:rPr>
        <w:t xml:space="preserve">Artículo 5. De la Selección Objetiva. </w:t>
      </w:r>
    </w:p>
    <w:p w14:paraId="0BFEEAB5" w14:textId="77777777" w:rsidR="00BF1FB9" w:rsidRPr="00886F14" w:rsidRDefault="00BF1FB9" w:rsidP="00BF1FB9">
      <w:pPr>
        <w:spacing w:after="120" w:line="240" w:lineRule="auto"/>
        <w:ind w:left="709" w:right="709"/>
        <w:rPr>
          <w:rFonts w:ascii="Verdana" w:hAnsi="Verdana" w:cs="Arial"/>
          <w:color w:val="000000" w:themeColor="text1"/>
          <w:sz w:val="21"/>
          <w:szCs w:val="21"/>
          <w:lang w:val="es-ES_tradnl"/>
        </w:rPr>
      </w:pPr>
      <w:r w:rsidRPr="00886F14">
        <w:rPr>
          <w:rFonts w:ascii="Verdana" w:hAnsi="Verdana" w:cs="Arial"/>
          <w:color w:val="000000" w:themeColor="text1"/>
          <w:sz w:val="21"/>
          <w:szCs w:val="21"/>
          <w:lang w:val="es-ES_tradnl"/>
        </w:rPr>
        <w:t>[…]</w:t>
      </w:r>
    </w:p>
    <w:p w14:paraId="4D7EE530" w14:textId="77777777" w:rsidR="00BF1FB9" w:rsidRPr="00886F14" w:rsidRDefault="00BF1FB9" w:rsidP="00BF1FB9">
      <w:pPr>
        <w:pStyle w:val="Prrafodelista"/>
        <w:spacing w:after="0"/>
        <w:ind w:left="709" w:right="709"/>
        <w:jc w:val="both"/>
        <w:rPr>
          <w:rFonts w:ascii="Verdana" w:eastAsia="Calibri" w:hAnsi="Verdana" w:cs="Arial"/>
          <w:color w:val="000000" w:themeColor="text1"/>
          <w:sz w:val="21"/>
          <w:szCs w:val="21"/>
        </w:rPr>
      </w:pPr>
      <w:r w:rsidRPr="26496D74">
        <w:rPr>
          <w:rFonts w:ascii="Verdana" w:eastAsia="Calibri" w:hAnsi="Verdana" w:cs="Arial"/>
          <w:color w:val="000000" w:themeColor="text1"/>
          <w:sz w:val="21"/>
          <w:szCs w:val="21"/>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26496D74">
        <w:rPr>
          <w:rFonts w:ascii="Verdana" w:eastAsia="Calibri" w:hAnsi="Verdana" w:cs="Arial"/>
          <w:i/>
          <w:color w:val="000000" w:themeColor="text1"/>
          <w:sz w:val="21"/>
          <w:szCs w:val="21"/>
        </w:rPr>
        <w:t>”</w:t>
      </w:r>
      <w:r w:rsidRPr="26496D74">
        <w:rPr>
          <w:rFonts w:ascii="Verdana" w:eastAsia="Calibri" w:hAnsi="Verdana" w:cs="Arial"/>
          <w:color w:val="000000" w:themeColor="text1"/>
          <w:sz w:val="21"/>
          <w:szCs w:val="21"/>
        </w:rPr>
        <w:t>.</w:t>
      </w:r>
    </w:p>
    <w:p w14:paraId="182B4E90" w14:textId="77777777" w:rsidR="00BF1FB9" w:rsidRPr="00886F14" w:rsidRDefault="00BF1FB9" w:rsidP="00BF1FB9">
      <w:pPr>
        <w:spacing w:after="0" w:line="276" w:lineRule="auto"/>
        <w:ind w:right="709"/>
        <w:jc w:val="both"/>
        <w:rPr>
          <w:rFonts w:ascii="Verdana" w:eastAsia="Calibri" w:hAnsi="Verdana" w:cs="Arial"/>
          <w:color w:val="000000" w:themeColor="text1"/>
          <w:sz w:val="21"/>
          <w:szCs w:val="21"/>
          <w:lang w:val="es-ES_tradnl"/>
        </w:rPr>
      </w:pPr>
    </w:p>
    <w:p w14:paraId="5071A1E9" w14:textId="77777777" w:rsidR="00BF1FB9" w:rsidRDefault="00BF1FB9" w:rsidP="00BF1FB9">
      <w:pPr>
        <w:spacing w:after="0" w:line="276" w:lineRule="auto"/>
        <w:jc w:val="both"/>
        <w:rPr>
          <w:rFonts w:ascii="Verdana" w:hAnsi="Verdana" w:cs="Arial"/>
          <w:color w:val="000000" w:themeColor="text1"/>
          <w:lang w:val="es-ES_tradnl"/>
        </w:rPr>
      </w:pPr>
      <w:r w:rsidRPr="00886F14">
        <w:rPr>
          <w:rFonts w:ascii="Verdana" w:hAnsi="Verdana" w:cs="Arial"/>
          <w:color w:val="000000" w:themeColor="text1"/>
          <w:lang w:val="es-ES_tradnl"/>
        </w:rPr>
        <w:tab/>
      </w:r>
      <w:r w:rsidRPr="00886F14">
        <w:rPr>
          <w:rFonts w:ascii="Verdana" w:hAnsi="Verdana" w:cs="Arial"/>
        </w:rPr>
        <w:t>Una vez fijados los requisitos habilitantes por la Entidad Estatal, quienes presenten ofertas deben acreditar que cumplen con los mismos, pues, en el evento contrario, las propuestas deberán ser rechazadas. El ente encargado de verificar el cumplimiento por parte de los proponentes sobre los requisitos que haya considerado la Entidad como habilitantes será la Cámara de Comercio, esto en la medida en que, mediante el Registro Único de Proponentes –RUP–, se pondrá de presente toda la información relacionada con la experiencia, capacidad jurídica, capacidad financiera y organizacional, así como la clasificación del proponente</w:t>
      </w:r>
      <w:r w:rsidRPr="00886F14">
        <w:rPr>
          <w:rStyle w:val="Refdenotaalpie"/>
          <w:rFonts w:ascii="Verdana" w:hAnsi="Verdana" w:cs="Arial"/>
          <w:color w:val="000000" w:themeColor="text1"/>
          <w:lang w:val="es-ES_tradnl"/>
        </w:rPr>
        <w:footnoteReference w:id="2"/>
      </w:r>
      <w:r w:rsidRPr="00886F14">
        <w:rPr>
          <w:rFonts w:ascii="Verdana" w:hAnsi="Verdana" w:cs="Arial"/>
        </w:rPr>
        <w:t>. De la misma manera es pertinente mencionar que existen determinados procesos en donde se excepciona el uso del mencionado registro y de la clasificación del proponente, siendo estos los siguientes: contratación directa, contratos para la prestación de servicios de salud, contratos de mínima cuantía, entre otros puestos de presente por el artículo 6 de la Ley 1150 de 2007</w:t>
      </w:r>
      <w:r w:rsidRPr="00886F14">
        <w:rPr>
          <w:rStyle w:val="Refdenotaalpie"/>
          <w:rFonts w:ascii="Verdana" w:hAnsi="Verdana" w:cs="Arial"/>
          <w:color w:val="000000" w:themeColor="text1"/>
          <w:lang w:val="es-ES_tradnl"/>
        </w:rPr>
        <w:footnoteReference w:id="3"/>
      </w:r>
      <w:r w:rsidRPr="00886F14">
        <w:rPr>
          <w:rFonts w:ascii="Verdana" w:hAnsi="Verdana" w:cs="Arial"/>
          <w:color w:val="000000" w:themeColor="text1"/>
          <w:lang w:val="es-ES_tradnl"/>
        </w:rPr>
        <w:t>.</w:t>
      </w:r>
    </w:p>
    <w:p w14:paraId="325D38F1" w14:textId="77777777" w:rsidR="00BF1FB9" w:rsidRDefault="00BF1FB9" w:rsidP="00BF1FB9">
      <w:pPr>
        <w:spacing w:after="0" w:line="276" w:lineRule="auto"/>
        <w:jc w:val="both"/>
        <w:rPr>
          <w:rFonts w:ascii="Verdana" w:hAnsi="Verdana" w:cs="Arial"/>
          <w:color w:val="000000" w:themeColor="text1"/>
          <w:lang w:val="es-ES_tradnl"/>
        </w:rPr>
      </w:pPr>
    </w:p>
    <w:p w14:paraId="3D5E5276" w14:textId="77777777" w:rsidR="00BF1FB9" w:rsidRDefault="00BF1FB9" w:rsidP="00BF1FB9">
      <w:pPr>
        <w:tabs>
          <w:tab w:val="left" w:pos="8505"/>
        </w:tabs>
        <w:spacing w:after="0" w:line="276" w:lineRule="auto"/>
        <w:ind w:right="142"/>
        <w:jc w:val="both"/>
        <w:rPr>
          <w:rFonts w:ascii="Verdana" w:hAnsi="Verdana" w:cs="Arial"/>
          <w:color w:val="000000" w:themeColor="text1"/>
        </w:rPr>
      </w:pPr>
      <w:proofErr w:type="spellStart"/>
      <w:r w:rsidRPr="002F7E6A">
        <w:rPr>
          <w:rFonts w:ascii="Verdana" w:hAnsi="Verdana" w:cs="Arial"/>
          <w:iCs/>
          <w:color w:val="000000" w:themeColor="text1"/>
          <w:lang w:val="es-ES_tradnl"/>
        </w:rPr>
        <w:t>ii</w:t>
      </w:r>
      <w:proofErr w:type="spellEnd"/>
      <w:r w:rsidRPr="002F7E6A">
        <w:rPr>
          <w:rFonts w:ascii="Verdana" w:hAnsi="Verdana" w:cs="Arial"/>
          <w:iCs/>
          <w:color w:val="000000" w:themeColor="text1"/>
          <w:lang w:val="es-ES_tradnl"/>
        </w:rPr>
        <w:t xml:space="preserve">. </w:t>
      </w:r>
      <w:r w:rsidRPr="002775BB">
        <w:rPr>
          <w:rFonts w:ascii="Verdana" w:hAnsi="Verdana" w:cs="Arial"/>
          <w:i/>
          <w:iCs/>
          <w:color w:val="000000" w:themeColor="text1"/>
        </w:rPr>
        <w:t>Respecto a la capacidad jurídica</w:t>
      </w:r>
      <w:r>
        <w:rPr>
          <w:rFonts w:ascii="Verdana" w:hAnsi="Verdana" w:cs="Arial"/>
          <w:color w:val="000000" w:themeColor="text1"/>
        </w:rPr>
        <w:t>, ésta</w:t>
      </w:r>
      <w:r w:rsidRPr="002F7E6A">
        <w:rPr>
          <w:rFonts w:ascii="Verdana" w:hAnsi="Verdana" w:cs="Arial"/>
          <w:color w:val="000000" w:themeColor="text1"/>
        </w:rPr>
        <w:t xml:space="preserve"> es un presupuesto de la validez de contrato. No en vano, en concordancia con el numeral 1 del artículo 1502 del Código Civil</w:t>
      </w:r>
      <w:r w:rsidRPr="002F7E6A">
        <w:rPr>
          <w:rStyle w:val="Refdenotaalpie"/>
          <w:rFonts w:ascii="Verdana" w:hAnsi="Verdana" w:cs="Arial"/>
          <w:color w:val="000000" w:themeColor="text1"/>
        </w:rPr>
        <w:footnoteReference w:id="4"/>
      </w:r>
      <w:r w:rsidRPr="002F7E6A">
        <w:rPr>
          <w:rFonts w:ascii="Verdana" w:hAnsi="Verdana" w:cs="Arial"/>
          <w:color w:val="000000" w:themeColor="text1"/>
        </w:rPr>
        <w:t xml:space="preserve">, el artículo 6 de la Ley 80 de 1993 dispone que </w:t>
      </w:r>
      <w:r>
        <w:rPr>
          <w:rFonts w:ascii="Verdana" w:hAnsi="Verdana" w:cs="Arial"/>
          <w:color w:val="000000" w:themeColor="text1"/>
        </w:rPr>
        <w:t>“</w:t>
      </w:r>
      <w:r w:rsidRPr="002F7E6A">
        <w:rPr>
          <w:rFonts w:ascii="Verdana" w:hAnsi="Verdana" w:cs="Arial"/>
          <w:color w:val="000000" w:themeColor="text1"/>
        </w:rPr>
        <w:t>Pueden celebrar contratos con las entidades estatales las personas consideradas legalmente capaces en las disposiciones vigentes</w:t>
      </w:r>
      <w:r>
        <w:rPr>
          <w:rFonts w:ascii="Verdana" w:hAnsi="Verdana" w:cs="Arial"/>
          <w:color w:val="000000" w:themeColor="text1"/>
        </w:rPr>
        <w:t xml:space="preserve"> […]”</w:t>
      </w:r>
      <w:r w:rsidRPr="002F7E6A">
        <w:rPr>
          <w:rFonts w:ascii="Verdana" w:hAnsi="Verdana" w:cs="Arial"/>
          <w:color w:val="000000" w:themeColor="text1"/>
        </w:rPr>
        <w:t>. Para estos efectos,</w:t>
      </w:r>
      <w:r>
        <w:rPr>
          <w:rFonts w:ascii="Verdana" w:hAnsi="Verdana" w:cs="Arial"/>
          <w:color w:val="000000" w:themeColor="text1"/>
        </w:rPr>
        <w:t xml:space="preserve"> tratándose de </w:t>
      </w:r>
      <w:r w:rsidRPr="002775BB">
        <w:rPr>
          <w:rFonts w:ascii="Verdana" w:hAnsi="Verdana" w:cs="Arial"/>
          <w:i/>
          <w:iCs/>
          <w:color w:val="000000" w:themeColor="text1"/>
        </w:rPr>
        <w:t>personas naturales</w:t>
      </w:r>
      <w:r>
        <w:rPr>
          <w:rFonts w:ascii="Verdana" w:hAnsi="Verdana" w:cs="Arial"/>
          <w:color w:val="000000" w:themeColor="text1"/>
        </w:rPr>
        <w:t>,</w:t>
      </w:r>
      <w:r w:rsidRPr="002F7E6A">
        <w:rPr>
          <w:rFonts w:ascii="Verdana" w:hAnsi="Verdana" w:cs="Arial"/>
          <w:color w:val="000000" w:themeColor="text1"/>
        </w:rPr>
        <w:t xml:space="preserve"> si bien todos los seres humanos, por el hecho de gozar de personalidad jurídica, son sujetos de derechos y obligaciones, algunas no pueden ejercerlos por sí mismos, sino a través de interpuesta persona. Lo anterior significa que, si bien todas las personas tienen </w:t>
      </w:r>
      <w:r w:rsidRPr="002F7E6A">
        <w:rPr>
          <w:rFonts w:ascii="Verdana" w:hAnsi="Verdana" w:cs="Arial"/>
          <w:i/>
          <w:color w:val="000000" w:themeColor="text1"/>
        </w:rPr>
        <w:t>capacidad de goce</w:t>
      </w:r>
      <w:r w:rsidRPr="002F7E6A">
        <w:rPr>
          <w:rFonts w:ascii="Verdana" w:hAnsi="Verdana" w:cs="Arial"/>
          <w:color w:val="000000" w:themeColor="text1"/>
        </w:rPr>
        <w:t xml:space="preserve">, no todas tienen </w:t>
      </w:r>
      <w:r w:rsidRPr="002F7E6A">
        <w:rPr>
          <w:rFonts w:ascii="Verdana" w:hAnsi="Verdana" w:cs="Arial"/>
          <w:i/>
          <w:color w:val="000000" w:themeColor="text1"/>
        </w:rPr>
        <w:t>capacidad de ejercicio</w:t>
      </w:r>
      <w:r w:rsidRPr="002F7E6A">
        <w:rPr>
          <w:rFonts w:ascii="Verdana" w:hAnsi="Verdana" w:cs="Arial"/>
          <w:color w:val="000000" w:themeColor="text1"/>
        </w:rPr>
        <w:t xml:space="preserve">. En efecto, la primera es reconocida por el artículo 14 de la Constitución Política de 1991, en el sentido que </w:t>
      </w:r>
      <w:r>
        <w:rPr>
          <w:rFonts w:ascii="Verdana" w:hAnsi="Verdana" w:cs="Arial"/>
          <w:color w:val="000000" w:themeColor="text1"/>
        </w:rPr>
        <w:t>“</w:t>
      </w:r>
      <w:r w:rsidRPr="002F7E6A">
        <w:rPr>
          <w:rFonts w:ascii="Verdana" w:hAnsi="Verdana" w:cs="Arial"/>
          <w:color w:val="000000" w:themeColor="text1"/>
        </w:rPr>
        <w:t>Toda persona tiene derecho al reconocimiento de su personalidad jurídica</w:t>
      </w:r>
      <w:r>
        <w:rPr>
          <w:rFonts w:ascii="Verdana" w:hAnsi="Verdana" w:cs="Arial"/>
          <w:color w:val="000000" w:themeColor="text1"/>
        </w:rPr>
        <w:t>”</w:t>
      </w:r>
      <w:r w:rsidRPr="002F7E6A">
        <w:rPr>
          <w:rFonts w:ascii="Verdana" w:hAnsi="Verdana" w:cs="Arial"/>
          <w:color w:val="000000" w:themeColor="text1"/>
        </w:rPr>
        <w:t xml:space="preserve">. Adicionalmente, el artículo 74 del Código Civil prescribe que </w:t>
      </w:r>
      <w:r>
        <w:rPr>
          <w:rFonts w:ascii="Verdana" w:hAnsi="Verdana" w:cs="Arial"/>
          <w:color w:val="000000" w:themeColor="text1"/>
        </w:rPr>
        <w:t>“</w:t>
      </w:r>
      <w:r w:rsidRPr="002F7E6A">
        <w:rPr>
          <w:rFonts w:ascii="Verdana" w:hAnsi="Verdana" w:cs="Arial"/>
          <w:color w:val="000000" w:themeColor="text1"/>
        </w:rPr>
        <w:t>Son personas todos los individuos de la especie humana, cualquiera que sea su edad, sexo, estirpe o condición</w:t>
      </w:r>
      <w:r>
        <w:rPr>
          <w:rFonts w:ascii="Verdana" w:hAnsi="Verdana" w:cs="Arial"/>
          <w:color w:val="000000" w:themeColor="text1"/>
        </w:rPr>
        <w:t>”</w:t>
      </w:r>
      <w:r w:rsidRPr="002F7E6A">
        <w:rPr>
          <w:rFonts w:ascii="Verdana" w:hAnsi="Verdana" w:cs="Arial"/>
          <w:color w:val="000000" w:themeColor="text1"/>
        </w:rPr>
        <w:t>. Al respecto, la doctrina explica que:</w:t>
      </w:r>
    </w:p>
    <w:p w14:paraId="668E5BB2" w14:textId="77777777" w:rsidR="00BF1FB9" w:rsidRPr="002F7E6A" w:rsidRDefault="00BF1FB9" w:rsidP="00BF1FB9">
      <w:pPr>
        <w:tabs>
          <w:tab w:val="left" w:pos="8505"/>
        </w:tabs>
        <w:spacing w:after="0" w:line="276" w:lineRule="auto"/>
        <w:ind w:right="142"/>
        <w:jc w:val="both"/>
        <w:rPr>
          <w:rFonts w:ascii="Verdana" w:hAnsi="Verdana" w:cs="Arial"/>
          <w:color w:val="000000" w:themeColor="text1"/>
        </w:rPr>
      </w:pPr>
    </w:p>
    <w:p w14:paraId="7E60ABE7" w14:textId="77777777" w:rsidR="00BF1FB9" w:rsidRPr="002F7E6A" w:rsidRDefault="00BF1FB9" w:rsidP="00BF1FB9">
      <w:pPr>
        <w:tabs>
          <w:tab w:val="left" w:pos="8505"/>
        </w:tabs>
        <w:spacing w:after="120" w:line="240" w:lineRule="auto"/>
        <w:ind w:left="709" w:right="709"/>
        <w:jc w:val="both"/>
        <w:rPr>
          <w:rFonts w:ascii="Verdana" w:hAnsi="Verdana" w:cs="Arial"/>
          <w:color w:val="000000" w:themeColor="text1"/>
          <w:sz w:val="21"/>
          <w:szCs w:val="21"/>
        </w:rPr>
      </w:pPr>
      <w:r>
        <w:rPr>
          <w:rFonts w:ascii="Verdana" w:hAnsi="Verdana" w:cs="Arial"/>
          <w:color w:val="000000" w:themeColor="text1"/>
          <w:sz w:val="21"/>
          <w:szCs w:val="21"/>
        </w:rPr>
        <w:t>“</w:t>
      </w:r>
      <w:r w:rsidRPr="002F7E6A">
        <w:rPr>
          <w:rFonts w:ascii="Verdana" w:hAnsi="Verdana" w:cs="Arial"/>
          <w:i/>
          <w:iCs/>
          <w:color w:val="000000" w:themeColor="text1"/>
          <w:sz w:val="21"/>
          <w:szCs w:val="21"/>
        </w:rPr>
        <w:t>Capacidad</w:t>
      </w:r>
      <w:r w:rsidRPr="002F7E6A">
        <w:rPr>
          <w:rFonts w:ascii="Verdana" w:hAnsi="Verdana" w:cs="Arial"/>
          <w:color w:val="000000" w:themeColor="text1"/>
          <w:sz w:val="21"/>
          <w:szCs w:val="21"/>
        </w:rPr>
        <w:t xml:space="preserve"> es una palabra de doble sentido, lo mismo que </w:t>
      </w:r>
      <w:r w:rsidRPr="002F7E6A">
        <w:rPr>
          <w:rFonts w:ascii="Verdana" w:hAnsi="Verdana" w:cs="Arial"/>
          <w:i/>
          <w:iCs/>
          <w:color w:val="000000" w:themeColor="text1"/>
          <w:sz w:val="21"/>
          <w:szCs w:val="21"/>
        </w:rPr>
        <w:t>incapacidad</w:t>
      </w:r>
      <w:r w:rsidRPr="002F7E6A">
        <w:rPr>
          <w:rFonts w:ascii="Verdana" w:hAnsi="Verdana" w:cs="Arial"/>
          <w:color w:val="000000" w:themeColor="text1"/>
          <w:sz w:val="21"/>
          <w:szCs w:val="21"/>
        </w:rPr>
        <w:t xml:space="preserve">, su contraria: a veces designa con ella la aptitud o falta de aptitud para </w:t>
      </w:r>
      <w:r w:rsidRPr="002F7E6A">
        <w:rPr>
          <w:rFonts w:ascii="Verdana" w:hAnsi="Verdana" w:cs="Arial"/>
          <w:i/>
          <w:iCs/>
          <w:color w:val="000000" w:themeColor="text1"/>
          <w:sz w:val="21"/>
          <w:szCs w:val="21"/>
        </w:rPr>
        <w:t>adquirir</w:t>
      </w:r>
      <w:r w:rsidRPr="002F7E6A">
        <w:rPr>
          <w:rFonts w:ascii="Verdana" w:hAnsi="Verdana" w:cs="Arial"/>
          <w:color w:val="000000" w:themeColor="text1"/>
          <w:sz w:val="21"/>
          <w:szCs w:val="21"/>
        </w:rPr>
        <w:t xml:space="preserve"> y para </w:t>
      </w:r>
      <w:r w:rsidRPr="002F7E6A">
        <w:rPr>
          <w:rFonts w:ascii="Verdana" w:hAnsi="Verdana" w:cs="Arial"/>
          <w:i/>
          <w:iCs/>
          <w:color w:val="000000" w:themeColor="text1"/>
          <w:sz w:val="21"/>
          <w:szCs w:val="21"/>
        </w:rPr>
        <w:t>poseer</w:t>
      </w:r>
      <w:r w:rsidRPr="002F7E6A">
        <w:rPr>
          <w:rFonts w:ascii="Verdana" w:hAnsi="Verdana" w:cs="Arial"/>
          <w:color w:val="000000" w:themeColor="text1"/>
          <w:sz w:val="21"/>
          <w:szCs w:val="21"/>
        </w:rPr>
        <w:t xml:space="preserve"> derechos, para ser titular de esos derechos, y entonces se trata de una </w:t>
      </w:r>
      <w:r w:rsidRPr="002F7E6A">
        <w:rPr>
          <w:rFonts w:ascii="Verdana" w:hAnsi="Verdana" w:cs="Arial"/>
          <w:i/>
          <w:iCs/>
          <w:color w:val="000000" w:themeColor="text1"/>
          <w:sz w:val="21"/>
          <w:szCs w:val="21"/>
        </w:rPr>
        <w:t>capacidad</w:t>
      </w:r>
      <w:r w:rsidRPr="002F7E6A">
        <w:rPr>
          <w:rFonts w:ascii="Verdana" w:hAnsi="Verdana" w:cs="Arial"/>
          <w:color w:val="000000" w:themeColor="text1"/>
          <w:sz w:val="21"/>
          <w:szCs w:val="21"/>
        </w:rPr>
        <w:t xml:space="preserve"> o una </w:t>
      </w:r>
      <w:r w:rsidRPr="002F7E6A">
        <w:rPr>
          <w:rFonts w:ascii="Verdana" w:hAnsi="Verdana" w:cs="Arial"/>
          <w:i/>
          <w:iCs/>
          <w:color w:val="000000" w:themeColor="text1"/>
          <w:sz w:val="21"/>
          <w:szCs w:val="21"/>
        </w:rPr>
        <w:t>incapacidad</w:t>
      </w:r>
      <w:r w:rsidRPr="002F7E6A">
        <w:rPr>
          <w:rFonts w:ascii="Verdana" w:hAnsi="Verdana" w:cs="Arial"/>
          <w:color w:val="000000" w:themeColor="text1"/>
          <w:sz w:val="21"/>
          <w:szCs w:val="21"/>
        </w:rPr>
        <w:t xml:space="preserve"> </w:t>
      </w:r>
      <w:r w:rsidRPr="002F7E6A">
        <w:rPr>
          <w:rFonts w:ascii="Verdana" w:hAnsi="Verdana" w:cs="Arial"/>
          <w:i/>
          <w:iCs/>
          <w:color w:val="000000" w:themeColor="text1"/>
          <w:sz w:val="21"/>
          <w:szCs w:val="21"/>
        </w:rPr>
        <w:t>de goce</w:t>
      </w:r>
      <w:r w:rsidRPr="002F7E6A">
        <w:rPr>
          <w:rFonts w:ascii="Verdana" w:hAnsi="Verdana" w:cs="Arial"/>
          <w:color w:val="000000" w:themeColor="text1"/>
          <w:sz w:val="21"/>
          <w:szCs w:val="21"/>
        </w:rPr>
        <w:t xml:space="preserve"> […]; otras veces, y con mayor frecuencia, se trata sólo de la aptitud o falta de aptitud para </w:t>
      </w:r>
      <w:r w:rsidRPr="002F7E6A">
        <w:rPr>
          <w:rFonts w:ascii="Verdana" w:hAnsi="Verdana" w:cs="Arial"/>
          <w:i/>
          <w:iCs/>
          <w:color w:val="000000" w:themeColor="text1"/>
          <w:sz w:val="21"/>
          <w:szCs w:val="21"/>
        </w:rPr>
        <w:t>ejercer</w:t>
      </w:r>
      <w:r w:rsidRPr="002F7E6A">
        <w:rPr>
          <w:rFonts w:ascii="Verdana" w:hAnsi="Verdana" w:cs="Arial"/>
          <w:color w:val="000000" w:themeColor="text1"/>
          <w:sz w:val="21"/>
          <w:szCs w:val="21"/>
        </w:rPr>
        <w:t xml:space="preserve"> los derechos de que una persona está investida y, en tal caso, se trata sólo de una </w:t>
      </w:r>
      <w:r w:rsidRPr="002F7E6A">
        <w:rPr>
          <w:rFonts w:ascii="Verdana" w:hAnsi="Verdana" w:cs="Arial"/>
          <w:i/>
          <w:iCs/>
          <w:color w:val="000000" w:themeColor="text1"/>
          <w:sz w:val="21"/>
          <w:szCs w:val="21"/>
        </w:rPr>
        <w:t>capacidad</w:t>
      </w:r>
      <w:r w:rsidRPr="002F7E6A">
        <w:rPr>
          <w:rFonts w:ascii="Verdana" w:hAnsi="Verdana" w:cs="Arial"/>
          <w:color w:val="000000" w:themeColor="text1"/>
          <w:sz w:val="21"/>
          <w:szCs w:val="21"/>
        </w:rPr>
        <w:t xml:space="preserve"> o de una </w:t>
      </w:r>
      <w:r w:rsidRPr="002F7E6A">
        <w:rPr>
          <w:rFonts w:ascii="Verdana" w:hAnsi="Verdana" w:cs="Arial"/>
          <w:i/>
          <w:iCs/>
          <w:color w:val="000000" w:themeColor="text1"/>
          <w:sz w:val="21"/>
          <w:szCs w:val="21"/>
        </w:rPr>
        <w:t>incapacidad de ejercicio</w:t>
      </w:r>
      <w:r w:rsidRPr="002F7E6A">
        <w:rPr>
          <w:rFonts w:ascii="Verdana" w:hAnsi="Verdana" w:cs="Arial"/>
          <w:color w:val="000000" w:themeColor="text1"/>
          <w:sz w:val="21"/>
          <w:szCs w:val="21"/>
        </w:rPr>
        <w:t>.</w:t>
      </w:r>
    </w:p>
    <w:p w14:paraId="5DAFC0DD" w14:textId="77777777" w:rsidR="00BF1FB9" w:rsidRPr="002F7E6A" w:rsidRDefault="00BF1FB9" w:rsidP="00BF1FB9">
      <w:pPr>
        <w:tabs>
          <w:tab w:val="left" w:pos="8505"/>
        </w:tabs>
        <w:spacing w:after="0" w:line="240" w:lineRule="auto"/>
        <w:ind w:left="709" w:right="709"/>
        <w:jc w:val="both"/>
        <w:rPr>
          <w:rFonts w:ascii="Verdana" w:hAnsi="Verdana" w:cs="Arial"/>
          <w:color w:val="000000" w:themeColor="text1"/>
          <w:sz w:val="21"/>
          <w:szCs w:val="21"/>
        </w:rPr>
      </w:pPr>
      <w:r w:rsidRPr="002F7E6A">
        <w:rPr>
          <w:rFonts w:ascii="Verdana" w:hAnsi="Verdana" w:cs="Arial"/>
          <w:color w:val="000000" w:themeColor="text1"/>
          <w:sz w:val="21"/>
          <w:szCs w:val="21"/>
        </w:rPr>
        <w:t xml:space="preserve">Ejemplos: un menor no tiene derechos políticos, está totalmente privado de ellos; la incapacidad se refiere al </w:t>
      </w:r>
      <w:r w:rsidRPr="002F7E6A">
        <w:rPr>
          <w:rFonts w:ascii="Verdana" w:hAnsi="Verdana" w:cs="Arial"/>
          <w:i/>
          <w:iCs/>
          <w:color w:val="000000" w:themeColor="text1"/>
          <w:sz w:val="21"/>
          <w:szCs w:val="21"/>
        </w:rPr>
        <w:t>goce</w:t>
      </w:r>
      <w:r w:rsidRPr="002F7E6A">
        <w:rPr>
          <w:rFonts w:ascii="Verdana" w:hAnsi="Verdana" w:cs="Arial"/>
          <w:color w:val="000000" w:themeColor="text1"/>
          <w:sz w:val="21"/>
          <w:szCs w:val="21"/>
        </w:rPr>
        <w:t xml:space="preserve">, a la </w:t>
      </w:r>
      <w:r w:rsidRPr="002F7E6A">
        <w:rPr>
          <w:rFonts w:ascii="Verdana" w:hAnsi="Verdana" w:cs="Arial"/>
          <w:i/>
          <w:iCs/>
          <w:color w:val="000000" w:themeColor="text1"/>
          <w:sz w:val="21"/>
          <w:szCs w:val="21"/>
        </w:rPr>
        <w:t>existencia</w:t>
      </w:r>
      <w:r w:rsidRPr="002F7E6A">
        <w:rPr>
          <w:rFonts w:ascii="Verdana" w:hAnsi="Verdana" w:cs="Arial"/>
          <w:color w:val="000000" w:themeColor="text1"/>
          <w:sz w:val="21"/>
          <w:szCs w:val="21"/>
        </w:rPr>
        <w:t xml:space="preserve"> misma de esos derechos. Pero ese mismo menor puede ser propietario o acreedor; puede poseer bienes, tener una fortuna considerable; </w:t>
      </w:r>
      <w:r w:rsidRPr="002F7E6A">
        <w:rPr>
          <w:rFonts w:ascii="Verdana" w:hAnsi="Verdana" w:cs="Arial"/>
          <w:color w:val="000000" w:themeColor="text1"/>
          <w:sz w:val="21"/>
          <w:szCs w:val="21"/>
        </w:rPr>
        <w:lastRenderedPageBreak/>
        <w:t>desde este punto de vista, en ese terreno, le pertenece la capacidad de goce, pero, esos derechos de que está investido de propiedad o de crédito, no puede ejercerlos por sí mismo, sobre todo sí es todavía un niño; es preciso, de toda necesidad, que alguien los ejerza por él, en su nombre. Le falta capacidad de ejercicio.</w:t>
      </w:r>
    </w:p>
    <w:p w14:paraId="3A86D98B" w14:textId="77777777" w:rsidR="00BF1FB9" w:rsidRPr="002F7E6A" w:rsidRDefault="00BF1FB9" w:rsidP="00BF1FB9">
      <w:pPr>
        <w:tabs>
          <w:tab w:val="left" w:pos="8505"/>
        </w:tabs>
        <w:spacing w:after="120" w:line="240" w:lineRule="auto"/>
        <w:ind w:left="709" w:right="709"/>
        <w:jc w:val="both"/>
        <w:rPr>
          <w:rFonts w:ascii="Verdana" w:hAnsi="Verdana" w:cs="Arial"/>
          <w:color w:val="000000" w:themeColor="text1"/>
          <w:sz w:val="21"/>
          <w:szCs w:val="21"/>
        </w:rPr>
      </w:pPr>
      <w:r w:rsidRPr="002F7E6A">
        <w:rPr>
          <w:rFonts w:ascii="Verdana" w:hAnsi="Verdana" w:cs="Arial"/>
          <w:color w:val="000000" w:themeColor="text1"/>
          <w:sz w:val="21"/>
          <w:szCs w:val="21"/>
        </w:rPr>
        <w:t>[…]</w:t>
      </w:r>
    </w:p>
    <w:p w14:paraId="62547B9E" w14:textId="77777777" w:rsidR="00BF1FB9" w:rsidRPr="002F7E6A" w:rsidRDefault="00BF1FB9" w:rsidP="00BF1FB9">
      <w:pPr>
        <w:tabs>
          <w:tab w:val="left" w:pos="8505"/>
        </w:tabs>
        <w:spacing w:after="0" w:line="240" w:lineRule="auto"/>
        <w:ind w:left="709" w:right="709"/>
        <w:jc w:val="both"/>
        <w:rPr>
          <w:rFonts w:ascii="Verdana" w:hAnsi="Verdana" w:cs="Arial"/>
          <w:color w:val="000000" w:themeColor="text1"/>
        </w:rPr>
      </w:pPr>
      <w:r w:rsidRPr="002F7E6A">
        <w:rPr>
          <w:rFonts w:ascii="Verdana" w:hAnsi="Verdana" w:cs="Arial"/>
          <w:color w:val="000000" w:themeColor="text1"/>
          <w:sz w:val="21"/>
          <w:szCs w:val="21"/>
        </w:rPr>
        <w:t>Resulta de las explicaciones precedentes que la incapacidad de goce es más grave que la de ejercicio, porque la primera lleva consigo la segunda, y no recíprocamente. Y, sobre todo, una es irremediable mientras que la otra lleva consigo paliativos, remedios: el menor es incapaz de ejercitar los derechos que le pertenecen, pero eso no importa, porque alguien los ejercerá por él, su padre o su tutor. Lo esencial es tener, poseer los derechos; la cuestión de su ejercicio es, si no secundaria, por lo menos susceptible de ser resuelta por un medio o por otro</w:t>
      </w:r>
      <w:r>
        <w:rPr>
          <w:rFonts w:ascii="Verdana" w:hAnsi="Verdana" w:cs="Arial"/>
          <w:color w:val="000000" w:themeColor="text1"/>
          <w:sz w:val="21"/>
          <w:szCs w:val="21"/>
        </w:rPr>
        <w:t>”</w:t>
      </w:r>
      <w:r w:rsidRPr="002F7E6A">
        <w:rPr>
          <w:rStyle w:val="Refdenotaalpie"/>
          <w:rFonts w:ascii="Verdana" w:hAnsi="Verdana" w:cs="Arial"/>
          <w:color w:val="000000" w:themeColor="text1"/>
          <w:sz w:val="21"/>
          <w:szCs w:val="21"/>
        </w:rPr>
        <w:footnoteReference w:id="5"/>
      </w:r>
      <w:r w:rsidRPr="002F7E6A">
        <w:rPr>
          <w:rFonts w:ascii="Verdana" w:hAnsi="Verdana" w:cs="Arial"/>
          <w:color w:val="000000" w:themeColor="text1"/>
          <w:sz w:val="21"/>
          <w:szCs w:val="21"/>
        </w:rPr>
        <w:t>. (</w:t>
      </w:r>
      <w:r>
        <w:rPr>
          <w:rFonts w:ascii="Verdana" w:hAnsi="Verdana" w:cs="Arial"/>
          <w:color w:val="000000" w:themeColor="text1"/>
          <w:sz w:val="21"/>
          <w:szCs w:val="21"/>
        </w:rPr>
        <w:t>Énfasis</w:t>
      </w:r>
      <w:r w:rsidRPr="002F7E6A">
        <w:rPr>
          <w:rFonts w:ascii="Verdana" w:hAnsi="Verdana" w:cs="Arial"/>
          <w:color w:val="000000" w:themeColor="text1"/>
          <w:sz w:val="21"/>
          <w:szCs w:val="21"/>
        </w:rPr>
        <w:t xml:space="preserve"> dentro del texto)</w:t>
      </w:r>
      <w:r w:rsidRPr="002F7E6A">
        <w:rPr>
          <w:rFonts w:ascii="Verdana" w:hAnsi="Verdana" w:cs="Arial"/>
          <w:color w:val="000000" w:themeColor="text1"/>
        </w:rPr>
        <w:t xml:space="preserve">               </w:t>
      </w:r>
    </w:p>
    <w:p w14:paraId="5E17393C" w14:textId="77777777" w:rsidR="00BF1FB9" w:rsidRPr="002775BB" w:rsidRDefault="00BF1FB9" w:rsidP="00BF1FB9">
      <w:pPr>
        <w:tabs>
          <w:tab w:val="left" w:pos="709"/>
        </w:tabs>
        <w:spacing w:after="0" w:line="276" w:lineRule="auto"/>
        <w:ind w:firstLine="709"/>
        <w:jc w:val="both"/>
        <w:rPr>
          <w:rFonts w:ascii="Verdana" w:hAnsi="Verdana" w:cs="Arial"/>
          <w:color w:val="000000" w:themeColor="text1"/>
        </w:rPr>
      </w:pPr>
    </w:p>
    <w:p w14:paraId="3BFB8EA9" w14:textId="77777777" w:rsidR="00BF1FB9" w:rsidRPr="002F7E6A" w:rsidRDefault="00BF1FB9" w:rsidP="00BF1FB9">
      <w:pPr>
        <w:tabs>
          <w:tab w:val="left" w:pos="709"/>
        </w:tabs>
        <w:spacing w:after="120" w:line="276" w:lineRule="auto"/>
        <w:ind w:firstLine="709"/>
        <w:jc w:val="both"/>
        <w:rPr>
          <w:rFonts w:ascii="Verdana" w:hAnsi="Verdana" w:cs="Arial"/>
          <w:color w:val="000000" w:themeColor="text1"/>
        </w:rPr>
      </w:pPr>
      <w:r w:rsidRPr="002F7E6A">
        <w:rPr>
          <w:rFonts w:ascii="Verdana" w:hAnsi="Verdana" w:cs="Arial"/>
          <w:color w:val="000000" w:themeColor="text1"/>
        </w:rPr>
        <w:t xml:space="preserve">Por ello, ante la necesidad de proteger a determinados sujetos, el ordenamiento jurídico exige que se actúe a través de terceros, bien sea para adquirir derechos o contraer obligaciones. No en vano, el Código Civil dispone que </w:t>
      </w:r>
      <w:r>
        <w:rPr>
          <w:rFonts w:ascii="Verdana" w:hAnsi="Verdana" w:cs="Arial"/>
          <w:color w:val="000000" w:themeColor="text1"/>
        </w:rPr>
        <w:t>“</w:t>
      </w:r>
      <w:r w:rsidRPr="002F7E6A">
        <w:rPr>
          <w:rFonts w:ascii="Verdana" w:hAnsi="Verdana" w:cs="Arial"/>
          <w:color w:val="000000" w:themeColor="text1"/>
        </w:rPr>
        <w:t>La capacidad legal de una persona consiste en poderse obligar por sí misma, y sin el ministerio o la autorización de otra</w:t>
      </w:r>
      <w:r>
        <w:rPr>
          <w:rFonts w:ascii="Verdana" w:hAnsi="Verdana" w:cs="Arial"/>
          <w:color w:val="000000" w:themeColor="text1"/>
        </w:rPr>
        <w:t>”</w:t>
      </w:r>
      <w:r w:rsidRPr="002F7E6A">
        <w:rPr>
          <w:rFonts w:ascii="Verdana" w:hAnsi="Verdana" w:cs="Arial"/>
          <w:color w:val="000000" w:themeColor="text1"/>
        </w:rPr>
        <w:t xml:space="preserve"> </w:t>
      </w:r>
      <w:r>
        <w:rPr>
          <w:rFonts w:ascii="Verdana" w:hAnsi="Verdana" w:cs="Arial"/>
          <w:color w:val="000000" w:themeColor="text1"/>
        </w:rPr>
        <w:t>–</w:t>
      </w:r>
      <w:r w:rsidRPr="002F7E6A">
        <w:rPr>
          <w:rFonts w:ascii="Verdana" w:hAnsi="Verdana" w:cs="Arial"/>
          <w:color w:val="000000" w:themeColor="text1"/>
        </w:rPr>
        <w:t>inciso 2 del artículo 1502</w:t>
      </w:r>
      <w:r>
        <w:rPr>
          <w:rFonts w:ascii="Verdana" w:hAnsi="Verdana" w:cs="Arial"/>
          <w:color w:val="000000" w:themeColor="text1"/>
        </w:rPr>
        <w:t>–</w:t>
      </w:r>
      <w:r w:rsidRPr="002F7E6A">
        <w:rPr>
          <w:rFonts w:ascii="Verdana" w:hAnsi="Verdana" w:cs="Arial"/>
          <w:color w:val="000000" w:themeColor="text1"/>
        </w:rPr>
        <w:t xml:space="preserve"> y que </w:t>
      </w:r>
      <w:r>
        <w:rPr>
          <w:rFonts w:ascii="Verdana" w:hAnsi="Verdana" w:cs="Arial"/>
          <w:color w:val="000000" w:themeColor="text1"/>
        </w:rPr>
        <w:t>“</w:t>
      </w:r>
      <w:r w:rsidRPr="002F7E6A">
        <w:rPr>
          <w:rFonts w:ascii="Verdana" w:hAnsi="Verdana" w:cs="Arial"/>
          <w:color w:val="000000" w:themeColor="text1"/>
        </w:rPr>
        <w:t>Toda persona es legalmente capaz, excepto aquéllas que la ley declara incapaces</w:t>
      </w:r>
      <w:r>
        <w:rPr>
          <w:rFonts w:ascii="Verdana" w:hAnsi="Verdana" w:cs="Arial"/>
          <w:color w:val="000000" w:themeColor="text1"/>
        </w:rPr>
        <w:t>”</w:t>
      </w:r>
      <w:r w:rsidRPr="002F7E6A">
        <w:rPr>
          <w:rFonts w:ascii="Verdana" w:hAnsi="Verdana" w:cs="Arial"/>
          <w:color w:val="000000" w:themeColor="text1"/>
        </w:rPr>
        <w:t xml:space="preserve"> </w:t>
      </w:r>
      <w:r>
        <w:rPr>
          <w:rFonts w:ascii="Verdana" w:hAnsi="Verdana" w:cs="Arial"/>
          <w:color w:val="000000" w:themeColor="text1"/>
        </w:rPr>
        <w:t>–</w:t>
      </w:r>
      <w:r w:rsidRPr="002F7E6A">
        <w:rPr>
          <w:rFonts w:ascii="Verdana" w:hAnsi="Verdana" w:cs="Arial"/>
          <w:color w:val="000000" w:themeColor="text1"/>
        </w:rPr>
        <w:t>artículo 1503</w:t>
      </w:r>
      <w:r>
        <w:rPr>
          <w:rFonts w:ascii="Verdana" w:hAnsi="Verdana" w:cs="Arial"/>
          <w:color w:val="000000" w:themeColor="text1"/>
        </w:rPr>
        <w:t>–</w:t>
      </w:r>
      <w:r>
        <w:rPr>
          <w:rStyle w:val="Refdenotaalpie"/>
          <w:rFonts w:ascii="Verdana" w:hAnsi="Verdana" w:cs="Arial"/>
          <w:color w:val="000000" w:themeColor="text1"/>
        </w:rPr>
        <w:footnoteReference w:id="6"/>
      </w:r>
      <w:r w:rsidRPr="002F7E6A">
        <w:rPr>
          <w:rFonts w:ascii="Verdana" w:hAnsi="Verdana" w:cs="Arial"/>
          <w:color w:val="000000" w:themeColor="text1"/>
        </w:rPr>
        <w:t>.</w:t>
      </w:r>
    </w:p>
    <w:p w14:paraId="3C9CB765" w14:textId="77777777" w:rsidR="00BF1FB9" w:rsidRDefault="00BF1FB9" w:rsidP="00BF1FB9">
      <w:pPr>
        <w:spacing w:after="0" w:line="276" w:lineRule="auto"/>
        <w:ind w:firstLine="708"/>
        <w:jc w:val="both"/>
        <w:rPr>
          <w:rFonts w:ascii="Verdana" w:hAnsi="Verdana" w:cs="Arial"/>
          <w:color w:val="000000" w:themeColor="text1"/>
          <w:lang w:val="es-ES_tradnl"/>
        </w:rPr>
      </w:pPr>
      <w:r w:rsidRPr="002F7E6A">
        <w:rPr>
          <w:rFonts w:ascii="Verdana" w:hAnsi="Verdana" w:cs="Arial"/>
          <w:color w:val="000000" w:themeColor="text1"/>
        </w:rPr>
        <w:t xml:space="preserve">Para el Consejo de Estado </w:t>
      </w:r>
      <w:r>
        <w:rPr>
          <w:rFonts w:ascii="Verdana" w:hAnsi="Verdana" w:cs="Arial"/>
          <w:color w:val="000000" w:themeColor="text1"/>
        </w:rPr>
        <w:t>“</w:t>
      </w:r>
      <w:r w:rsidRPr="002F7E6A">
        <w:rPr>
          <w:rFonts w:ascii="Verdana" w:hAnsi="Verdana" w:cs="Arial"/>
          <w:color w:val="000000" w:themeColor="text1"/>
        </w:rPr>
        <w:t xml:space="preserve">[…]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w:t>
      </w:r>
      <w:proofErr w:type="spellStart"/>
      <w:r w:rsidRPr="002F7E6A">
        <w:rPr>
          <w:rFonts w:ascii="Verdana" w:hAnsi="Verdana" w:cs="Arial"/>
          <w:color w:val="000000" w:themeColor="text1"/>
        </w:rPr>
        <w:t>iter</w:t>
      </w:r>
      <w:proofErr w:type="spellEnd"/>
      <w:r w:rsidRPr="002F7E6A">
        <w:rPr>
          <w:rFonts w:ascii="Verdana" w:hAnsi="Verdana" w:cs="Arial"/>
          <w:color w:val="000000" w:themeColor="text1"/>
        </w:rPr>
        <w:t xml:space="preserve"> contractual</w:t>
      </w:r>
      <w:r>
        <w:rPr>
          <w:rFonts w:ascii="Verdana" w:hAnsi="Verdana" w:cs="Arial"/>
          <w:color w:val="000000" w:themeColor="text1"/>
        </w:rPr>
        <w:t>”</w:t>
      </w:r>
      <w:r w:rsidRPr="002F7E6A">
        <w:rPr>
          <w:rStyle w:val="Refdenotaalpie"/>
          <w:rFonts w:ascii="Verdana" w:hAnsi="Verdana" w:cs="Arial"/>
          <w:color w:val="000000" w:themeColor="text1"/>
        </w:rPr>
        <w:footnoteReference w:id="7"/>
      </w:r>
      <w:r w:rsidRPr="002F7E6A">
        <w:rPr>
          <w:rFonts w:ascii="Verdana" w:hAnsi="Verdana" w:cs="Arial"/>
          <w:color w:val="000000" w:themeColor="text1"/>
        </w:rPr>
        <w:t xml:space="preserve">. </w:t>
      </w:r>
      <w:r w:rsidRPr="008E1B7D">
        <w:rPr>
          <w:rFonts w:ascii="Verdana" w:hAnsi="Verdana" w:cs="Arial"/>
          <w:color w:val="000000" w:themeColor="text1"/>
        </w:rPr>
        <w:t xml:space="preserve">Si bien las inhabilidades y las incompatibilidades guardan relación con las incapacidades particulares que </w:t>
      </w:r>
      <w:r w:rsidRPr="008E1B7D">
        <w:rPr>
          <w:rFonts w:ascii="Verdana" w:hAnsi="Verdana" w:cs="Arial"/>
          <w:color w:val="000000" w:themeColor="text1"/>
        </w:rPr>
        <w:lastRenderedPageBreak/>
        <w:t>consisten en la prohibición que la ley ha impuesto a ciertas personas para ejecutar ciertos actos</w:t>
      </w:r>
      <w:r w:rsidRPr="008E1B7D">
        <w:rPr>
          <w:rStyle w:val="Refdenotaalpie"/>
          <w:rFonts w:ascii="Verdana" w:hAnsi="Verdana" w:cs="Arial"/>
          <w:color w:val="000000" w:themeColor="text1"/>
        </w:rPr>
        <w:footnoteReference w:id="8"/>
      </w:r>
      <w:r w:rsidRPr="008E1B7D">
        <w:rPr>
          <w:rFonts w:ascii="Verdana" w:hAnsi="Verdana" w:cs="Arial"/>
          <w:color w:val="000000" w:themeColor="text1"/>
        </w:rPr>
        <w:t xml:space="preserve">, para efectos de la capacidad de ejercicio, </w:t>
      </w:r>
      <w:r w:rsidRPr="002F7E6A">
        <w:rPr>
          <w:rFonts w:ascii="Verdana" w:hAnsi="Verdana" w:cs="Arial"/>
          <w:color w:val="000000" w:themeColor="text1"/>
        </w:rPr>
        <w:t>es necesario estarse a lo dispuesto en inciso 1 del artículo 34 del Código Civil.</w:t>
      </w:r>
      <w:r>
        <w:rPr>
          <w:rFonts w:ascii="Verdana" w:hAnsi="Verdana" w:cs="Arial"/>
          <w:color w:val="000000" w:themeColor="text1"/>
          <w:lang w:val="es-ES_tradnl"/>
        </w:rPr>
        <w:t xml:space="preserve"> </w:t>
      </w:r>
    </w:p>
    <w:p w14:paraId="63347AE6" w14:textId="77777777" w:rsidR="00BF1FB9" w:rsidRDefault="00BF1FB9" w:rsidP="00BF1FB9">
      <w:pPr>
        <w:spacing w:after="0" w:line="276" w:lineRule="auto"/>
        <w:jc w:val="both"/>
        <w:rPr>
          <w:rFonts w:ascii="Verdana" w:hAnsi="Verdana" w:cs="Arial"/>
          <w:color w:val="000000" w:themeColor="text1"/>
          <w:lang w:val="es-ES_tradnl"/>
        </w:rPr>
      </w:pPr>
    </w:p>
    <w:p w14:paraId="6F5BC842" w14:textId="77777777" w:rsidR="00BF1FB9" w:rsidRDefault="00BF1FB9" w:rsidP="00BF1FB9">
      <w:pPr>
        <w:pBdr>
          <w:top w:val="nil"/>
          <w:left w:val="nil"/>
          <w:bottom w:val="nil"/>
          <w:right w:val="nil"/>
          <w:between w:val="nil"/>
        </w:pBdr>
        <w:spacing w:after="120" w:line="276" w:lineRule="auto"/>
        <w:jc w:val="both"/>
        <w:rPr>
          <w:rFonts w:ascii="Verdana" w:eastAsia="Calibri" w:hAnsi="Verdana" w:cs="Arial"/>
          <w:color w:val="000000" w:themeColor="text1"/>
        </w:rPr>
      </w:pPr>
      <w:proofErr w:type="spellStart"/>
      <w:r>
        <w:rPr>
          <w:rFonts w:ascii="Verdana" w:hAnsi="Verdana" w:cs="Arial"/>
          <w:color w:val="000000" w:themeColor="text1"/>
          <w:lang w:val="es-ES_tradnl"/>
        </w:rPr>
        <w:t>iii</w:t>
      </w:r>
      <w:proofErr w:type="spellEnd"/>
      <w:r>
        <w:rPr>
          <w:rFonts w:ascii="Verdana" w:hAnsi="Verdana" w:cs="Arial"/>
          <w:color w:val="000000" w:themeColor="text1"/>
          <w:lang w:val="es-ES_tradnl"/>
        </w:rPr>
        <w:t xml:space="preserve">. En relación con las </w:t>
      </w:r>
      <w:r w:rsidRPr="002775BB">
        <w:rPr>
          <w:rFonts w:ascii="Verdana" w:hAnsi="Verdana" w:cs="Arial"/>
          <w:i/>
          <w:iCs/>
          <w:color w:val="000000" w:themeColor="text1"/>
          <w:lang w:val="es-ES_tradnl"/>
        </w:rPr>
        <w:t>personas jurídicas</w:t>
      </w:r>
      <w:r>
        <w:rPr>
          <w:rFonts w:ascii="Verdana" w:hAnsi="Verdana" w:cs="Arial"/>
          <w:color w:val="000000" w:themeColor="text1"/>
          <w:lang w:val="es-ES_tradnl"/>
        </w:rPr>
        <w:t xml:space="preserve">, su </w:t>
      </w:r>
      <w:r>
        <w:rPr>
          <w:rFonts w:ascii="Verdana" w:eastAsia="Calibri" w:hAnsi="Verdana" w:cs="Arial"/>
          <w:lang w:val="es-ES_tradnl"/>
        </w:rPr>
        <w:t>existencia es independiente de quienes la integran. S</w:t>
      </w:r>
      <w:proofErr w:type="spellStart"/>
      <w:r w:rsidRPr="008808A6">
        <w:rPr>
          <w:rFonts w:ascii="Verdana" w:eastAsia="Calibri" w:hAnsi="Verdana" w:cs="Arial"/>
          <w:lang w:val="es-ES"/>
        </w:rPr>
        <w:t>on</w:t>
      </w:r>
      <w:proofErr w:type="spellEnd"/>
      <w:r w:rsidRPr="008808A6">
        <w:rPr>
          <w:rFonts w:ascii="Verdana" w:eastAsia="Calibri" w:hAnsi="Verdana" w:cs="Arial"/>
          <w:lang w:val="es-ES"/>
        </w:rPr>
        <w:t xml:space="preserve"> entes ficticios con capacidad autónoma para ejercer derechos y contraer obligaciones –</w:t>
      </w:r>
      <w:r w:rsidRPr="008808A6">
        <w:rPr>
          <w:rFonts w:ascii="Verdana" w:eastAsia="Calibri" w:hAnsi="Verdana" w:cs="Arial"/>
          <w:color w:val="000000" w:themeColor="text1"/>
        </w:rPr>
        <w:t>art. 633 del Código Civil–</w:t>
      </w:r>
      <w:r w:rsidRPr="008808A6">
        <w:rPr>
          <w:rStyle w:val="Refdenotaalpie"/>
          <w:rFonts w:ascii="Verdana" w:eastAsia="Calibri" w:hAnsi="Verdana" w:cs="Arial"/>
          <w:color w:val="000000" w:themeColor="text1"/>
        </w:rPr>
        <w:footnoteReference w:id="9"/>
      </w:r>
      <w:r>
        <w:rPr>
          <w:rFonts w:ascii="Verdana" w:eastAsia="Calibri" w:hAnsi="Verdana" w:cs="Arial"/>
          <w:color w:val="000000" w:themeColor="text1"/>
        </w:rPr>
        <w:t>; razón por la cual, a</w:t>
      </w:r>
      <w:r w:rsidRPr="008808A6">
        <w:rPr>
          <w:rFonts w:ascii="Verdana" w:eastAsia="Calibri" w:hAnsi="Verdana" w:cs="Arial"/>
          <w:color w:val="000000" w:themeColor="text1"/>
        </w:rPr>
        <w:t xml:space="preserve">unque </w:t>
      </w:r>
      <w:r>
        <w:rPr>
          <w:rFonts w:ascii="Verdana" w:eastAsia="Calibri" w:hAnsi="Verdana" w:cs="Arial"/>
          <w:color w:val="000000" w:themeColor="text1"/>
        </w:rPr>
        <w:t>la</w:t>
      </w:r>
      <w:r w:rsidRPr="008808A6">
        <w:rPr>
          <w:rFonts w:ascii="Verdana" w:eastAsia="Calibri" w:hAnsi="Verdana" w:cs="Arial"/>
          <w:color w:val="000000" w:themeColor="text1"/>
        </w:rPr>
        <w:t xml:space="preserve"> participación </w:t>
      </w:r>
      <w:r>
        <w:rPr>
          <w:rFonts w:ascii="Verdana" w:eastAsia="Calibri" w:hAnsi="Verdana" w:cs="Arial"/>
          <w:color w:val="000000" w:themeColor="text1"/>
        </w:rPr>
        <w:t>corresponda a</w:t>
      </w:r>
      <w:r w:rsidRPr="008808A6">
        <w:rPr>
          <w:rFonts w:ascii="Verdana" w:eastAsia="Calibri" w:hAnsi="Verdana" w:cs="Arial"/>
          <w:color w:val="000000" w:themeColor="text1"/>
        </w:rPr>
        <w:t xml:space="preserve"> otros sujetos de derecho, </w:t>
      </w:r>
      <w:r>
        <w:rPr>
          <w:rFonts w:ascii="Verdana" w:eastAsia="Calibri" w:hAnsi="Verdana" w:cs="Arial"/>
          <w:color w:val="000000" w:themeColor="text1"/>
        </w:rPr>
        <w:t>dichos entes</w:t>
      </w:r>
      <w:r w:rsidRPr="008808A6">
        <w:rPr>
          <w:rFonts w:ascii="Verdana" w:eastAsia="Calibri" w:hAnsi="Verdana" w:cs="Arial"/>
          <w:color w:val="000000" w:themeColor="text1"/>
        </w:rPr>
        <w:t xml:space="preserve"> tienen personería jurídica diferente de los socios individualmente considerados</w:t>
      </w:r>
      <w:r>
        <w:rPr>
          <w:rFonts w:ascii="Verdana" w:eastAsia="Calibri" w:hAnsi="Verdana" w:cs="Arial"/>
          <w:color w:val="000000" w:themeColor="text1"/>
        </w:rPr>
        <w:t xml:space="preserve"> </w:t>
      </w:r>
      <w:r w:rsidRPr="0089670F">
        <w:rPr>
          <w:rFonts w:ascii="Verdana" w:eastAsia="Calibri" w:hAnsi="Verdana" w:cs="Arial"/>
          <w:color w:val="000000" w:themeColor="text1"/>
        </w:rPr>
        <w:t>–art. 98, inc. 2, del Código de Comercio–</w:t>
      </w:r>
      <w:r w:rsidRPr="008808A6">
        <w:rPr>
          <w:rStyle w:val="Refdenotaalpie"/>
          <w:rFonts w:ascii="Verdana" w:eastAsia="Calibri" w:hAnsi="Verdana" w:cs="Arial"/>
          <w:color w:val="000000" w:themeColor="text1"/>
        </w:rPr>
        <w:footnoteReference w:id="10"/>
      </w:r>
      <w:r w:rsidRPr="008808A6">
        <w:rPr>
          <w:rFonts w:ascii="Verdana" w:eastAsia="Calibri" w:hAnsi="Verdana" w:cs="Arial"/>
          <w:color w:val="000000" w:themeColor="text1"/>
        </w:rPr>
        <w:t xml:space="preserve">. De esta manera, “[…] todas estas colectividades se presentan como independientes y distintas de los seres </w:t>
      </w:r>
      <w:r w:rsidRPr="008808A6">
        <w:rPr>
          <w:rFonts w:ascii="Verdana" w:eastAsia="Calibri" w:hAnsi="Verdana" w:cs="Arial"/>
          <w:color w:val="000000" w:themeColor="text1"/>
        </w:rPr>
        <w:lastRenderedPageBreak/>
        <w:t>humanos que las constituyen; desaparece en cierta medida la individualidad de estos; y se forma un ser jurídico distinto de ellos con vida propia […]”</w:t>
      </w:r>
      <w:r w:rsidRPr="008808A6">
        <w:rPr>
          <w:rStyle w:val="Refdenotaalpie"/>
          <w:rFonts w:ascii="Verdana" w:eastAsia="Calibri" w:hAnsi="Verdana" w:cs="Arial"/>
          <w:color w:val="000000" w:themeColor="text1"/>
        </w:rPr>
        <w:footnoteReference w:id="11"/>
      </w:r>
      <w:r w:rsidRPr="008808A6">
        <w:rPr>
          <w:rFonts w:ascii="Verdana" w:eastAsia="Calibri" w:hAnsi="Verdana" w:cs="Arial"/>
          <w:color w:val="000000" w:themeColor="text1"/>
        </w:rPr>
        <w:t xml:space="preserve">. </w:t>
      </w:r>
    </w:p>
    <w:p w14:paraId="2F1E6BBC" w14:textId="77777777" w:rsidR="00BF1FB9" w:rsidRDefault="00BF1FB9" w:rsidP="00BF1FB9">
      <w:pPr>
        <w:pBdr>
          <w:top w:val="nil"/>
          <w:left w:val="nil"/>
          <w:bottom w:val="nil"/>
          <w:right w:val="nil"/>
          <w:between w:val="nil"/>
        </w:pBd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Conforme al “</w:t>
      </w:r>
      <w:r w:rsidRPr="00DE0124">
        <w:rPr>
          <w:rFonts w:ascii="Verdana" w:eastAsia="Calibri" w:hAnsi="Verdana" w:cs="Arial"/>
          <w:color w:val="000000" w:themeColor="text1"/>
        </w:rPr>
        <w:t xml:space="preserve">Manual </w:t>
      </w:r>
      <w:r>
        <w:rPr>
          <w:rFonts w:ascii="Verdana" w:eastAsia="Calibri" w:hAnsi="Verdana" w:cs="Arial"/>
          <w:color w:val="000000" w:themeColor="text1"/>
        </w:rPr>
        <w:t>p</w:t>
      </w:r>
      <w:r w:rsidRPr="00DE0124">
        <w:rPr>
          <w:rFonts w:ascii="Verdana" w:eastAsia="Calibri" w:hAnsi="Verdana" w:cs="Arial"/>
          <w:color w:val="000000" w:themeColor="text1"/>
        </w:rPr>
        <w:t xml:space="preserve">ara </w:t>
      </w:r>
      <w:r w:rsidRPr="009331A6">
        <w:rPr>
          <w:rFonts w:ascii="Verdana" w:eastAsia="Calibri" w:hAnsi="Verdana" w:cs="Arial"/>
          <w:color w:val="000000" w:themeColor="text1"/>
        </w:rPr>
        <w:t xml:space="preserve">Determinar y Verificar los Requisitos Habilitantes en los Procesos De Contratación” expedido por la Agencia, </w:t>
      </w:r>
      <w:r>
        <w:rPr>
          <w:rFonts w:ascii="Verdana" w:eastAsia="Calibri" w:hAnsi="Verdana" w:cs="Arial"/>
          <w:color w:val="000000" w:themeColor="text1"/>
        </w:rPr>
        <w:t>l</w:t>
      </w:r>
      <w:r w:rsidRPr="009331A6">
        <w:rPr>
          <w:rFonts w:ascii="Verdana" w:eastAsia="Calibri" w:hAnsi="Verdana" w:cs="Arial"/>
          <w:color w:val="000000" w:themeColor="text1"/>
        </w:rPr>
        <w:t>a capacidad de las personas jurídicas está relacionada con</w:t>
      </w:r>
      <w:r>
        <w:rPr>
          <w:rFonts w:ascii="Verdana" w:eastAsia="Calibri" w:hAnsi="Verdana" w:cs="Arial"/>
          <w:color w:val="000000" w:themeColor="text1"/>
        </w:rPr>
        <w:t xml:space="preserve"> los siguientes aspectos</w:t>
      </w:r>
      <w:r w:rsidRPr="009331A6">
        <w:rPr>
          <w:rFonts w:ascii="Verdana" w:eastAsia="Calibri" w:hAnsi="Verdana" w:cs="Arial"/>
          <w:color w:val="000000" w:themeColor="text1"/>
        </w:rPr>
        <w:t xml:space="preserve">: i) la posibilidad de adelantar actividades en el marco de su objeto social; </w:t>
      </w:r>
      <w:proofErr w:type="spellStart"/>
      <w:r w:rsidRPr="009331A6">
        <w:rPr>
          <w:rFonts w:ascii="Verdana" w:eastAsia="Calibri" w:hAnsi="Verdana" w:cs="Arial"/>
          <w:color w:val="000000" w:themeColor="text1"/>
        </w:rPr>
        <w:t>ii</w:t>
      </w:r>
      <w:proofErr w:type="spellEnd"/>
      <w:r w:rsidRPr="009331A6">
        <w:rPr>
          <w:rFonts w:ascii="Verdana" w:eastAsia="Calibri" w:hAnsi="Verdana" w:cs="Arial"/>
          <w:color w:val="000000" w:themeColor="text1"/>
        </w:rPr>
        <w:t xml:space="preserve">) las facultades de su representante legal y la autorización del órgano social competente cuando esto es necesario de acuerdo con sus estatutos; y </w:t>
      </w:r>
      <w:proofErr w:type="spellStart"/>
      <w:r w:rsidRPr="009331A6">
        <w:rPr>
          <w:rFonts w:ascii="Verdana" w:eastAsia="Calibri" w:hAnsi="Verdana" w:cs="Arial"/>
          <w:color w:val="000000" w:themeColor="text1"/>
        </w:rPr>
        <w:t>iii</w:t>
      </w:r>
      <w:proofErr w:type="spellEnd"/>
      <w:r w:rsidRPr="009331A6">
        <w:rPr>
          <w:rFonts w:ascii="Verdana" w:eastAsia="Calibri" w:hAnsi="Verdana" w:cs="Arial"/>
          <w:color w:val="000000" w:themeColor="text1"/>
        </w:rPr>
        <w:t>) la ausencia de inhabilidades, incompatibilidades, conflicto de intereses o prohibiciones para contratar, derivadas de la ley.</w:t>
      </w:r>
    </w:p>
    <w:p w14:paraId="3D17EA88" w14:textId="77777777" w:rsidR="00BF1FB9" w:rsidRPr="00512809" w:rsidRDefault="00BF1FB9" w:rsidP="00BF1FB9">
      <w:pPr>
        <w:pBdr>
          <w:top w:val="nil"/>
          <w:left w:val="nil"/>
          <w:bottom w:val="nil"/>
          <w:right w:val="nil"/>
          <w:between w:val="nil"/>
        </w:pBd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 xml:space="preserve">Respecto a la acreditación de la capacidad de las personas jurídicas, el certificado de existencia y representación legal juega un papel importante. </w:t>
      </w:r>
      <w:r w:rsidRPr="00512809">
        <w:rPr>
          <w:rFonts w:ascii="Verdana" w:hAnsi="Verdana" w:cs="Arial"/>
          <w:color w:val="000000" w:themeColor="text1"/>
        </w:rPr>
        <w:t xml:space="preserve">Conforme al artículo 117 del Código de Comercio, </w:t>
      </w:r>
      <w:r>
        <w:rPr>
          <w:rFonts w:ascii="Verdana" w:hAnsi="Verdana" w:cs="Arial"/>
          <w:color w:val="000000" w:themeColor="text1"/>
        </w:rPr>
        <w:t xml:space="preserve">tanto </w:t>
      </w:r>
      <w:r w:rsidRPr="00512809">
        <w:rPr>
          <w:rFonts w:ascii="Verdana" w:hAnsi="Verdana" w:cs="Arial"/>
          <w:color w:val="000000" w:themeColor="text1"/>
        </w:rPr>
        <w:t xml:space="preserve">la existencia de la sociedad </w:t>
      </w:r>
      <w:r>
        <w:rPr>
          <w:rFonts w:ascii="Verdana" w:hAnsi="Verdana" w:cs="Arial"/>
          <w:color w:val="000000" w:themeColor="text1"/>
        </w:rPr>
        <w:t>como</w:t>
      </w:r>
      <w:r w:rsidRPr="00512809">
        <w:rPr>
          <w:rFonts w:ascii="Verdana" w:hAnsi="Verdana" w:cs="Arial"/>
          <w:color w:val="000000" w:themeColor="text1"/>
        </w:rPr>
        <w:t xml:space="preserve"> las cláusulas del contrato se probarán mediante </w:t>
      </w:r>
      <w:r>
        <w:rPr>
          <w:rFonts w:ascii="Verdana" w:hAnsi="Verdana" w:cs="Arial"/>
          <w:color w:val="000000" w:themeColor="text1"/>
        </w:rPr>
        <w:t xml:space="preserve">“[…] </w:t>
      </w:r>
      <w:r w:rsidRPr="00512809">
        <w:rPr>
          <w:rFonts w:ascii="Verdana" w:hAnsi="Verdana" w:cs="Arial"/>
          <w:color w:val="000000" w:themeColor="text1"/>
        </w:rPr>
        <w:t>certificación de la cámara de comercio del domicilio principal, en la que constará el número, fecha y notaría de la escritura de constitución y de las reformas del contrato, si las hubiere</w:t>
      </w:r>
      <w:r>
        <w:rPr>
          <w:rFonts w:ascii="Verdana" w:hAnsi="Verdana" w:cs="Arial"/>
          <w:color w:val="000000" w:themeColor="text1"/>
        </w:rPr>
        <w:t>”</w:t>
      </w:r>
      <w:r w:rsidRPr="00512809">
        <w:rPr>
          <w:rFonts w:ascii="Verdana" w:hAnsi="Verdana" w:cs="Arial"/>
          <w:color w:val="000000" w:themeColor="text1"/>
        </w:rPr>
        <w:t xml:space="preserve">. Dicho </w:t>
      </w:r>
      <w:r>
        <w:rPr>
          <w:rFonts w:ascii="Verdana" w:hAnsi="Verdana" w:cs="Arial"/>
          <w:color w:val="000000" w:themeColor="text1"/>
        </w:rPr>
        <w:t>documento</w:t>
      </w:r>
      <w:r w:rsidRPr="00512809">
        <w:rPr>
          <w:rFonts w:ascii="Verdana" w:hAnsi="Verdana" w:cs="Arial"/>
          <w:color w:val="000000" w:themeColor="text1"/>
        </w:rPr>
        <w:t xml:space="preserve"> también tiene la función de </w:t>
      </w:r>
      <w:r>
        <w:rPr>
          <w:rFonts w:ascii="Verdana" w:hAnsi="Verdana" w:cs="Arial"/>
          <w:color w:val="000000" w:themeColor="text1"/>
        </w:rPr>
        <w:t>acreditar</w:t>
      </w:r>
      <w:r w:rsidRPr="00512809">
        <w:rPr>
          <w:rFonts w:ascii="Verdana" w:hAnsi="Verdana" w:cs="Arial"/>
          <w:color w:val="000000" w:themeColor="text1"/>
        </w:rPr>
        <w:t xml:space="preserve"> la representación de la sociedad, por lo que además deberá señalar los nombres de los representantes, las facultades conferidas a cada uno de ellos y las limitaciones que eventualmente se </w:t>
      </w:r>
      <w:r>
        <w:rPr>
          <w:rFonts w:ascii="Verdana" w:hAnsi="Verdana" w:cs="Arial"/>
          <w:color w:val="000000" w:themeColor="text1"/>
        </w:rPr>
        <w:t xml:space="preserve">les </w:t>
      </w:r>
      <w:r w:rsidRPr="00512809">
        <w:rPr>
          <w:rFonts w:ascii="Verdana" w:hAnsi="Verdana" w:cs="Arial"/>
          <w:color w:val="000000" w:themeColor="text1"/>
        </w:rPr>
        <w:t>impongan</w:t>
      </w:r>
      <w:r w:rsidRPr="00512809">
        <w:rPr>
          <w:rFonts w:ascii="Verdana" w:hAnsi="Verdana" w:cs="Arial"/>
          <w:color w:val="000000" w:themeColor="text1"/>
          <w:vertAlign w:val="superscript"/>
        </w:rPr>
        <w:footnoteReference w:id="12"/>
      </w:r>
      <w:r w:rsidRPr="00512809">
        <w:rPr>
          <w:rFonts w:ascii="Verdana" w:hAnsi="Verdana" w:cs="Arial"/>
          <w:color w:val="000000" w:themeColor="text1"/>
        </w:rPr>
        <w:t>. </w:t>
      </w:r>
    </w:p>
    <w:p w14:paraId="598D3813" w14:textId="77777777" w:rsidR="00BF1FB9" w:rsidRDefault="00BF1FB9" w:rsidP="00BF1FB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r>
      <w:r w:rsidRPr="00512809">
        <w:rPr>
          <w:rFonts w:ascii="Verdana" w:eastAsia="Calibri" w:hAnsi="Verdana" w:cs="Arial"/>
          <w:color w:val="000000"/>
          <w:szCs w:val="24"/>
          <w:lang w:eastAsia="es-ES_tradnl"/>
        </w:rPr>
        <w:t>En concordancia con esta disposición, las entidades estatales al adelantar sus procesos de contratación exig</w:t>
      </w:r>
      <w:r>
        <w:rPr>
          <w:rFonts w:ascii="Verdana" w:eastAsia="Calibri" w:hAnsi="Verdana" w:cs="Arial"/>
          <w:color w:val="000000"/>
          <w:szCs w:val="24"/>
          <w:lang w:eastAsia="es-ES_tradnl"/>
        </w:rPr>
        <w:t>en</w:t>
      </w:r>
      <w:r w:rsidRPr="00512809">
        <w:rPr>
          <w:rFonts w:ascii="Verdana" w:eastAsia="Calibri" w:hAnsi="Verdana" w:cs="Arial"/>
          <w:color w:val="000000"/>
          <w:szCs w:val="24"/>
          <w:lang w:eastAsia="es-ES_tradnl"/>
        </w:rPr>
        <w:t xml:space="preserve"> certificados de existencia y representación</w:t>
      </w:r>
      <w:r>
        <w:rPr>
          <w:rFonts w:ascii="Verdana" w:eastAsia="Calibri" w:hAnsi="Verdana" w:cs="Arial"/>
          <w:color w:val="000000"/>
          <w:szCs w:val="24"/>
          <w:lang w:eastAsia="es-ES_tradnl"/>
        </w:rPr>
        <w:t xml:space="preserve"> con un tiempo de expedición determinado</w:t>
      </w:r>
      <w:r w:rsidRPr="00512809">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para</w:t>
      </w:r>
      <w:r w:rsidRPr="00512809">
        <w:rPr>
          <w:rFonts w:ascii="Verdana" w:eastAsia="Calibri" w:hAnsi="Verdana" w:cs="Arial"/>
          <w:color w:val="000000"/>
          <w:szCs w:val="24"/>
          <w:lang w:eastAsia="es-ES_tradnl"/>
        </w:rPr>
        <w:t xml:space="preserve"> verificar</w:t>
      </w:r>
      <w:r>
        <w:rPr>
          <w:rFonts w:ascii="Verdana" w:eastAsia="Calibri" w:hAnsi="Verdana" w:cs="Arial"/>
          <w:color w:val="000000"/>
          <w:szCs w:val="24"/>
          <w:lang w:eastAsia="es-ES_tradnl"/>
        </w:rPr>
        <w:t xml:space="preserve"> tanto</w:t>
      </w:r>
      <w:r w:rsidRPr="00512809">
        <w:rPr>
          <w:rFonts w:ascii="Verdana" w:eastAsia="Calibri" w:hAnsi="Verdana" w:cs="Arial"/>
          <w:color w:val="000000"/>
          <w:szCs w:val="24"/>
          <w:lang w:eastAsia="es-ES_tradnl"/>
        </w:rPr>
        <w:t xml:space="preserve"> la identidad de sus eventuales contratistas que tengan la condición de personas jurídicas</w:t>
      </w:r>
      <w:r>
        <w:rPr>
          <w:rFonts w:ascii="Verdana" w:eastAsia="Calibri" w:hAnsi="Verdana" w:cs="Arial"/>
          <w:color w:val="000000"/>
          <w:szCs w:val="24"/>
          <w:lang w:eastAsia="es-ES_tradnl"/>
        </w:rPr>
        <w:t xml:space="preserve"> como las atribuciones de sus representantes legales</w:t>
      </w:r>
      <w:r w:rsidRPr="00512809">
        <w:rPr>
          <w:rFonts w:ascii="Verdana" w:eastAsia="Calibri" w:hAnsi="Verdana" w:cs="Arial"/>
          <w:color w:val="000000"/>
          <w:szCs w:val="24"/>
          <w:lang w:eastAsia="es-ES_tradnl"/>
        </w:rPr>
        <w:t>.</w:t>
      </w:r>
      <w:r>
        <w:rPr>
          <w:rFonts w:ascii="Verdana" w:eastAsia="Calibri" w:hAnsi="Verdana" w:cs="Arial"/>
          <w:color w:val="000000"/>
          <w:szCs w:val="24"/>
          <w:lang w:eastAsia="es-ES_tradnl"/>
        </w:rPr>
        <w:t xml:space="preserve"> Por ejemplo, tratándose de los “Documentos Tipo – Versión 4” de licitación de obra pública de infraestructura de transporte, éste se solicita para verificar el requisito habilitante de capacidad; razón por la cual, de acuerdo con el numeral 3.2.2 de documento base, debe tener una “</w:t>
      </w:r>
      <w:r w:rsidRPr="00063920">
        <w:rPr>
          <w:rFonts w:ascii="Verdana" w:eastAsia="Calibri" w:hAnsi="Verdana" w:cs="Arial"/>
          <w:color w:val="000000"/>
          <w:szCs w:val="24"/>
          <w:lang w:eastAsia="es-ES_tradnl"/>
        </w:rPr>
        <w:t xml:space="preserve">Fecha de expedición </w:t>
      </w:r>
      <w:r>
        <w:rPr>
          <w:rFonts w:ascii="Verdana" w:eastAsia="Calibri" w:hAnsi="Verdana" w:cs="Arial"/>
          <w:color w:val="000000"/>
          <w:szCs w:val="24"/>
          <w:lang w:eastAsia="es-ES_tradnl"/>
        </w:rPr>
        <w:t>[…]</w:t>
      </w:r>
      <w:r w:rsidRPr="00063920">
        <w:rPr>
          <w:rFonts w:ascii="Verdana" w:eastAsia="Calibri" w:hAnsi="Verdana" w:cs="Arial"/>
          <w:color w:val="000000"/>
          <w:szCs w:val="24"/>
          <w:lang w:eastAsia="es-ES_tradnl"/>
        </w:rPr>
        <w:t xml:space="preserve"> no mayor a treinta (30) días calendario </w:t>
      </w:r>
      <w:r w:rsidRPr="00063920">
        <w:rPr>
          <w:rFonts w:ascii="Verdana" w:eastAsia="Calibri" w:hAnsi="Verdana" w:cs="Arial"/>
          <w:color w:val="000000"/>
          <w:szCs w:val="24"/>
          <w:lang w:eastAsia="es-ES_tradnl"/>
        </w:rPr>
        <w:lastRenderedPageBreak/>
        <w:t>anteriores a la fecha de cierre del Proceso de Contratación. En caso de modificarse la fecha de cierre del proceso, se tendrá como referencia para establecer el plazo de vigencia del certificado de existencia y representación legal la fecha originalmente establecida en el pliego de condiciones definitivo</w:t>
      </w:r>
      <w:r>
        <w:rPr>
          <w:rFonts w:ascii="Verdana" w:eastAsia="Calibri" w:hAnsi="Verdana" w:cs="Arial"/>
          <w:color w:val="000000"/>
          <w:szCs w:val="24"/>
          <w:lang w:eastAsia="es-ES_tradnl"/>
        </w:rPr>
        <w:t>”</w:t>
      </w:r>
      <w:r w:rsidRPr="00063920">
        <w:rPr>
          <w:rFonts w:ascii="Verdana" w:eastAsia="Calibri" w:hAnsi="Verdana" w:cs="Arial"/>
          <w:color w:val="000000"/>
          <w:szCs w:val="24"/>
          <w:lang w:eastAsia="es-ES_tradnl"/>
        </w:rPr>
        <w:t>.</w:t>
      </w:r>
    </w:p>
    <w:p w14:paraId="19AD147C" w14:textId="77777777" w:rsidR="00BF1FB9" w:rsidRDefault="00BF1FB9" w:rsidP="00BF1FB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 xml:space="preserve">Asimismo, para efectos de las convocatorias de que trata el artículo 12 de la Ley 1150 de 2007, el parágrafo segundo del artículo </w:t>
      </w:r>
      <w:r w:rsidRPr="00063920">
        <w:rPr>
          <w:rFonts w:ascii="Verdana" w:eastAsia="Calibri" w:hAnsi="Verdana" w:cs="Arial"/>
          <w:color w:val="000000"/>
          <w:szCs w:val="24"/>
          <w:lang w:eastAsia="es-ES_tradnl"/>
        </w:rPr>
        <w:t>2.2.1.2.4.2.4</w:t>
      </w:r>
      <w:r>
        <w:rPr>
          <w:rFonts w:ascii="Verdana" w:eastAsia="Calibri" w:hAnsi="Verdana" w:cs="Arial"/>
          <w:color w:val="000000"/>
          <w:szCs w:val="24"/>
          <w:lang w:eastAsia="es-ES_tradnl"/>
        </w:rPr>
        <w:t xml:space="preserve"> del Decreto 1082 de 2015 dispone lo siguiente: “</w:t>
      </w:r>
      <w:r w:rsidRPr="00063920">
        <w:rPr>
          <w:rFonts w:ascii="Verdana" w:eastAsia="Calibri" w:hAnsi="Verdana" w:cs="Arial"/>
          <w:color w:val="000000"/>
          <w:szCs w:val="24"/>
          <w:lang w:eastAsia="es-ES_tradnl"/>
        </w:rPr>
        <w:t xml:space="preserve">Para efectos de la limitación a </w:t>
      </w:r>
      <w:proofErr w:type="spellStart"/>
      <w:r w:rsidRPr="00063920">
        <w:rPr>
          <w:rFonts w:ascii="Verdana" w:eastAsia="Calibri" w:hAnsi="Verdana" w:cs="Arial"/>
          <w:color w:val="000000"/>
          <w:szCs w:val="24"/>
          <w:lang w:eastAsia="es-ES_tradnl"/>
        </w:rPr>
        <w:t>Mipyme</w:t>
      </w:r>
      <w:proofErr w:type="spellEnd"/>
      <w:r w:rsidRPr="00063920">
        <w:rPr>
          <w:rFonts w:ascii="Verdana" w:eastAsia="Calibri" w:hAnsi="Verdana" w:cs="Arial"/>
          <w:color w:val="000000"/>
          <w:szCs w:val="24"/>
          <w:lang w:eastAsia="es-ES_tradnl"/>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Pr>
          <w:rFonts w:ascii="Verdana" w:eastAsia="Calibri" w:hAnsi="Verdana" w:cs="Arial"/>
          <w:color w:val="000000"/>
          <w:szCs w:val="24"/>
          <w:lang w:eastAsia="es-ES_tradnl"/>
        </w:rPr>
        <w:t>”</w:t>
      </w:r>
      <w:r w:rsidRPr="00063920">
        <w:rPr>
          <w:rFonts w:ascii="Verdana" w:eastAsia="Calibri" w:hAnsi="Verdana" w:cs="Arial"/>
          <w:color w:val="000000"/>
          <w:szCs w:val="24"/>
          <w:lang w:eastAsia="es-ES_tradnl"/>
        </w:rPr>
        <w:t>.</w:t>
      </w:r>
      <w:r>
        <w:rPr>
          <w:rFonts w:ascii="Verdana" w:eastAsia="Calibri" w:hAnsi="Verdana" w:cs="Arial"/>
          <w:color w:val="000000"/>
          <w:szCs w:val="24"/>
          <w:lang w:eastAsia="es-ES_tradnl"/>
        </w:rPr>
        <w:t xml:space="preserve"> </w:t>
      </w:r>
    </w:p>
    <w:p w14:paraId="1FF79BE3" w14:textId="42072600" w:rsidR="00BF1FB9" w:rsidRDefault="00BF1FB9" w:rsidP="00BF1FB9">
      <w:pPr>
        <w:spacing w:after="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r>
      <w:r w:rsidR="0002408E">
        <w:rPr>
          <w:rFonts w:ascii="Verdana" w:eastAsia="Calibri" w:hAnsi="Verdana" w:cs="Arial"/>
          <w:color w:val="000000"/>
          <w:szCs w:val="24"/>
          <w:lang w:eastAsia="es-ES_tradnl"/>
        </w:rPr>
        <w:t>A</w:t>
      </w:r>
      <w:r>
        <w:rPr>
          <w:rFonts w:ascii="Verdana" w:eastAsia="Calibri" w:hAnsi="Verdana" w:cs="Arial"/>
          <w:color w:val="000000"/>
          <w:szCs w:val="24"/>
          <w:lang w:eastAsia="es-ES_tradnl"/>
        </w:rPr>
        <w:t xml:space="preserve">unque el artículo 33 del Código de Comercio prescribe que las personas que tengan la calidad de comerciantes deben renovar matrícula mercantil dentro de los tres primeros meses de cada año– </w:t>
      </w:r>
      <w:r w:rsidRPr="00024410">
        <w:rPr>
          <w:rFonts w:ascii="Verdana" w:eastAsia="Calibri" w:hAnsi="Verdana" w:cs="Arial"/>
          <w:color w:val="000000"/>
          <w:szCs w:val="24"/>
          <w:lang w:eastAsia="es-ES_tradnl"/>
        </w:rPr>
        <w:t xml:space="preserve">no existe un término de vigencia </w:t>
      </w:r>
      <w:r>
        <w:rPr>
          <w:rFonts w:ascii="Verdana" w:eastAsia="Calibri" w:hAnsi="Verdana" w:cs="Arial"/>
          <w:color w:val="000000"/>
          <w:szCs w:val="24"/>
          <w:lang w:eastAsia="es-ES_tradnl"/>
        </w:rPr>
        <w:t xml:space="preserve">para la certificación. Por ello, salvo norma que disponga algún plazo especial, dicho aspecto debe clarificarse en los documentos del proceso, pues </w:t>
      </w:r>
      <w:r w:rsidRPr="00C72A1D">
        <w:rPr>
          <w:rFonts w:ascii="Verdana" w:eastAsia="Calibri" w:hAnsi="Verdana" w:cs="Arial"/>
          <w:color w:val="000000"/>
          <w:szCs w:val="24"/>
          <w:lang w:eastAsia="es-ES_tradnl"/>
        </w:rPr>
        <w:t xml:space="preserve">ni el Código de Comercio ni ninguna otra norma del ordenamiento jurídico colombiano </w:t>
      </w:r>
      <w:r>
        <w:rPr>
          <w:rFonts w:ascii="Verdana" w:eastAsia="Calibri" w:hAnsi="Verdana" w:cs="Arial"/>
          <w:color w:val="000000"/>
          <w:szCs w:val="24"/>
          <w:lang w:eastAsia="es-ES_tradnl"/>
        </w:rPr>
        <w:t>regulan la materia. Al respecto, en Oficio</w:t>
      </w:r>
      <w:r w:rsidRPr="00836C75">
        <w:rPr>
          <w:rFonts w:ascii="Verdana" w:eastAsia="Calibri" w:hAnsi="Verdana" w:cs="Arial"/>
          <w:color w:val="000000"/>
          <w:szCs w:val="24"/>
          <w:lang w:eastAsia="es-ES_tradnl"/>
        </w:rPr>
        <w:t xml:space="preserve"> 16-136493 </w:t>
      </w:r>
      <w:r>
        <w:rPr>
          <w:rFonts w:ascii="Verdana" w:eastAsia="Calibri" w:hAnsi="Verdana" w:cs="Arial"/>
          <w:color w:val="000000"/>
          <w:szCs w:val="24"/>
          <w:lang w:eastAsia="es-ES_tradnl"/>
        </w:rPr>
        <w:t xml:space="preserve">del </w:t>
      </w:r>
      <w:r w:rsidRPr="00836C75">
        <w:rPr>
          <w:rFonts w:ascii="Verdana" w:eastAsia="Calibri" w:hAnsi="Verdana" w:cs="Arial"/>
          <w:color w:val="000000"/>
          <w:szCs w:val="24"/>
          <w:lang w:eastAsia="es-ES_tradnl"/>
        </w:rPr>
        <w:t>5 de julio de 2016</w:t>
      </w:r>
      <w:r>
        <w:rPr>
          <w:rFonts w:ascii="Verdana" w:eastAsia="Calibri" w:hAnsi="Verdana" w:cs="Arial"/>
          <w:color w:val="000000"/>
          <w:szCs w:val="24"/>
          <w:lang w:eastAsia="es-ES_tradnl"/>
        </w:rPr>
        <w:t xml:space="preserve">, la Superintendencia de Industria y Comercio estima que: </w:t>
      </w:r>
    </w:p>
    <w:p w14:paraId="792407D6" w14:textId="77777777" w:rsidR="00BF1FB9" w:rsidRDefault="00BF1FB9" w:rsidP="00BF1FB9">
      <w:pPr>
        <w:spacing w:after="0" w:line="276" w:lineRule="auto"/>
        <w:jc w:val="both"/>
        <w:rPr>
          <w:rFonts w:ascii="Verdana" w:eastAsia="Calibri" w:hAnsi="Verdana" w:cs="Arial"/>
          <w:color w:val="000000"/>
          <w:szCs w:val="24"/>
          <w:lang w:eastAsia="es-ES_tradnl"/>
        </w:rPr>
      </w:pPr>
    </w:p>
    <w:p w14:paraId="764D9BAB" w14:textId="77777777" w:rsidR="00BF1FB9" w:rsidRPr="00C93ED5" w:rsidRDefault="00BF1FB9" w:rsidP="00BF1FB9">
      <w:pPr>
        <w:spacing w:after="120" w:line="240" w:lineRule="auto"/>
        <w:ind w:left="709" w:right="709"/>
        <w:jc w:val="both"/>
        <w:rPr>
          <w:rFonts w:ascii="Verdana" w:eastAsia="Calibri" w:hAnsi="Verdana" w:cs="Arial"/>
          <w:color w:val="000000"/>
          <w:sz w:val="21"/>
          <w:szCs w:val="21"/>
          <w:lang w:eastAsia="es-ES_tradnl"/>
        </w:rPr>
      </w:pPr>
      <w:r w:rsidRPr="00C93ED5">
        <w:rPr>
          <w:rFonts w:ascii="Verdana" w:eastAsia="Calibri" w:hAnsi="Verdana" w:cs="Arial"/>
          <w:color w:val="000000"/>
          <w:sz w:val="21"/>
          <w:szCs w:val="21"/>
          <w:lang w:eastAsia="es-ES_tradnl"/>
        </w:rPr>
        <w:t xml:space="preserve">“[…] la ley no ha señalado un término de vigencia para el certificado de existencia y representación legal que expiden las cámaras de comercio. </w:t>
      </w:r>
    </w:p>
    <w:p w14:paraId="1A59E3F0" w14:textId="77777777" w:rsidR="00BF1FB9" w:rsidRPr="00C93ED5" w:rsidRDefault="00BF1FB9" w:rsidP="00BF1FB9">
      <w:pPr>
        <w:spacing w:after="120" w:line="240" w:lineRule="auto"/>
        <w:ind w:left="709" w:right="709"/>
        <w:jc w:val="both"/>
        <w:rPr>
          <w:rFonts w:ascii="Verdana" w:eastAsia="Calibri" w:hAnsi="Verdana" w:cs="Arial"/>
          <w:color w:val="000000"/>
          <w:sz w:val="21"/>
          <w:szCs w:val="21"/>
          <w:lang w:eastAsia="es-ES_tradnl"/>
        </w:rPr>
      </w:pPr>
      <w:r w:rsidRPr="00C93ED5">
        <w:rPr>
          <w:rFonts w:ascii="Verdana" w:eastAsia="Calibri" w:hAnsi="Verdana" w:cs="Arial"/>
          <w:color w:val="000000"/>
          <w:sz w:val="21"/>
          <w:szCs w:val="21"/>
          <w:lang w:eastAsia="es-ES_tradnl"/>
        </w:rPr>
        <w:t>En relación con este punto, es pertinente advertir que teniendo en cuenta que los actos y documentos sujetos a inscripción pueden ser modificados en cualquier momento y las cámaras de comercio deben proceder a su registro siempre que se cumplan los requisitos previstos para dicha inscripción, los certificados de existencia y representación legal no tienen una vigencia temporal específica. En consecuencia, mientras no se presenten otros actos y documentos que alteren las inscripciones previas, tales certificados corresponderán exactamente a lo que se encuentre inscrito.</w:t>
      </w:r>
    </w:p>
    <w:p w14:paraId="058A288F" w14:textId="77777777" w:rsidR="00BF1FB9" w:rsidRPr="00C93ED5" w:rsidRDefault="00BF1FB9" w:rsidP="00BF1FB9">
      <w:pPr>
        <w:spacing w:after="0" w:line="240" w:lineRule="auto"/>
        <w:ind w:left="709" w:right="709"/>
        <w:jc w:val="both"/>
        <w:rPr>
          <w:rFonts w:ascii="Verdana" w:eastAsia="Calibri" w:hAnsi="Verdana" w:cs="Arial"/>
          <w:color w:val="000000"/>
          <w:sz w:val="21"/>
          <w:szCs w:val="21"/>
          <w:lang w:eastAsia="es-ES_tradnl"/>
        </w:rPr>
      </w:pPr>
      <w:r w:rsidRPr="00C93ED5">
        <w:rPr>
          <w:rFonts w:ascii="Verdana" w:eastAsia="Calibri" w:hAnsi="Verdana" w:cs="Arial"/>
          <w:color w:val="000000"/>
          <w:sz w:val="21"/>
          <w:szCs w:val="21"/>
          <w:lang w:eastAsia="es-ES_tradnl"/>
        </w:rPr>
        <w:t xml:space="preserve">De acuerdo con lo anterior, se debe señalar que </w:t>
      </w:r>
      <w:r w:rsidRPr="00C93ED5">
        <w:rPr>
          <w:rFonts w:ascii="Verdana" w:eastAsia="Calibri" w:hAnsi="Verdana" w:cs="Arial"/>
          <w:i/>
          <w:iCs/>
          <w:color w:val="000000"/>
          <w:sz w:val="21"/>
          <w:szCs w:val="21"/>
          <w:lang w:eastAsia="es-ES_tradnl"/>
        </w:rPr>
        <w:t xml:space="preserve">en caso de que se requiera conocer con plena certeza los actos y documentos inscritos en la cámara de comercio de una sociedad determinada, es necesario obtener certificados de existencia y representación legal recientemente </w:t>
      </w:r>
      <w:r w:rsidRPr="00C93ED5">
        <w:rPr>
          <w:rFonts w:ascii="Verdana" w:eastAsia="Calibri" w:hAnsi="Verdana" w:cs="Arial"/>
          <w:i/>
          <w:iCs/>
          <w:color w:val="000000"/>
          <w:sz w:val="21"/>
          <w:szCs w:val="21"/>
          <w:lang w:eastAsia="es-ES_tradnl"/>
        </w:rPr>
        <w:lastRenderedPageBreak/>
        <w:t>expedidos por la cámara de comercio respectiva</w:t>
      </w:r>
      <w:r w:rsidRPr="00C93ED5">
        <w:rPr>
          <w:rFonts w:ascii="Verdana" w:eastAsia="Calibri" w:hAnsi="Verdana" w:cs="Arial"/>
          <w:color w:val="000000"/>
          <w:sz w:val="21"/>
          <w:szCs w:val="21"/>
          <w:lang w:eastAsia="es-ES_tradnl"/>
        </w:rPr>
        <w:t>”.</w:t>
      </w:r>
      <w:r>
        <w:rPr>
          <w:rFonts w:ascii="Verdana" w:eastAsia="Calibri" w:hAnsi="Verdana" w:cs="Arial"/>
          <w:color w:val="000000"/>
          <w:sz w:val="21"/>
          <w:szCs w:val="21"/>
          <w:lang w:eastAsia="es-ES_tradnl"/>
        </w:rPr>
        <w:t xml:space="preserve"> (Énfasis fuera de texto)</w:t>
      </w:r>
    </w:p>
    <w:p w14:paraId="2042BC89" w14:textId="77777777" w:rsidR="00BF1FB9" w:rsidRDefault="00BF1FB9" w:rsidP="00BF1FB9">
      <w:pPr>
        <w:spacing w:after="0" w:line="276" w:lineRule="auto"/>
        <w:jc w:val="both"/>
        <w:rPr>
          <w:rFonts w:ascii="Verdana" w:eastAsia="Calibri" w:hAnsi="Verdana" w:cs="Arial"/>
          <w:color w:val="000000"/>
          <w:szCs w:val="24"/>
          <w:lang w:eastAsia="es-ES_tradnl"/>
        </w:rPr>
      </w:pPr>
    </w:p>
    <w:p w14:paraId="3B478B4B" w14:textId="77777777" w:rsidR="00BF1FB9" w:rsidRDefault="00BF1FB9" w:rsidP="00BF1FB9">
      <w:pPr>
        <w:spacing w:after="12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t xml:space="preserve">En esta perspectiva, </w:t>
      </w:r>
      <w:r w:rsidRPr="00C93ED5">
        <w:rPr>
          <w:rFonts w:ascii="Verdana" w:eastAsia="Calibri" w:hAnsi="Verdana" w:cs="Arial"/>
          <w:color w:val="000000"/>
          <w:szCs w:val="24"/>
          <w:lang w:eastAsia="es-ES_tradnl"/>
        </w:rPr>
        <w:t>no incluir un término para la expedición del certificado de existencia y representación en el pliego de condiciones podría generar consecuencias negativas que afectan el proceso de contratación. Por ejemplo, si no se estableciera un término máximo de expedición del certificado de existencia y representación, podría ocurrir que las personas jurídicas hubieren modificado su objeto social a actividades que no permiten ejecutar el contrato estatal, sin que la Entidad Estatal tenga conocimiento de esta situación, al no contar con un certificado reciente. De igual forma, si una sociedad restringe la capacidad del representante legal para contraer obligaciones y esta restricción no se ve reflejada en el certificado de existencia y representación, al no ser reciente, la entidad estatal podría terminar suscribiendo un contrato inoponible frente a la sociedad, en cuanto el representante legal no tendría la capacidad jurídica para que esta contraiga obligaciones</w:t>
      </w:r>
      <w:r w:rsidRPr="00470743">
        <w:rPr>
          <w:rFonts w:ascii="Arial" w:eastAsia="Times New Roman" w:hAnsi="Arial" w:cs="Arial"/>
          <w:color w:val="000000" w:themeColor="text1"/>
          <w:vertAlign w:val="superscript"/>
          <w:lang w:eastAsia="es-ES"/>
        </w:rPr>
        <w:footnoteReference w:id="13"/>
      </w:r>
      <w:r w:rsidRPr="00C93ED5">
        <w:rPr>
          <w:rFonts w:ascii="Verdana" w:eastAsia="Calibri" w:hAnsi="Verdana" w:cs="Arial"/>
          <w:color w:val="000000"/>
          <w:szCs w:val="24"/>
          <w:lang w:eastAsia="es-ES_tradnl"/>
        </w:rPr>
        <w:t>. Además, es posible que la sociedad hubiera realizado modificaciones respecto a su representante legal u otras modificaciones que justifican que se aporte un certificado de existencia y representación legal de reciente expedición.</w:t>
      </w:r>
      <w:r>
        <w:rPr>
          <w:rFonts w:ascii="Verdana" w:eastAsia="Calibri" w:hAnsi="Verdana" w:cs="Arial"/>
          <w:color w:val="000000"/>
          <w:szCs w:val="24"/>
          <w:lang w:eastAsia="es-ES_tradnl"/>
        </w:rPr>
        <w:t xml:space="preserve"> </w:t>
      </w:r>
    </w:p>
    <w:p w14:paraId="42B78693" w14:textId="77777777" w:rsidR="00BF1FB9" w:rsidRDefault="00BF1FB9" w:rsidP="00BF1FB9">
      <w:pPr>
        <w:spacing w:after="0" w:line="276" w:lineRule="auto"/>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ab/>
      </w:r>
      <w:r w:rsidRPr="003B354F">
        <w:rPr>
          <w:rFonts w:ascii="Verdana" w:eastAsia="Calibri" w:hAnsi="Verdana" w:cs="Arial"/>
          <w:color w:val="000000"/>
          <w:szCs w:val="24"/>
          <w:lang w:eastAsia="es-ES_tradnl"/>
        </w:rPr>
        <w:t>En esa medida,</w:t>
      </w:r>
      <w:r>
        <w:rPr>
          <w:rFonts w:ascii="Verdana" w:eastAsia="Calibri" w:hAnsi="Verdana" w:cs="Arial"/>
          <w:color w:val="000000"/>
          <w:szCs w:val="24"/>
          <w:lang w:eastAsia="es-ES_tradnl"/>
        </w:rPr>
        <w:t xml:space="preserve"> como ocurre en</w:t>
      </w:r>
      <w:r w:rsidRPr="003B354F">
        <w:rPr>
          <w:rFonts w:ascii="Verdana" w:eastAsia="Calibri" w:hAnsi="Verdana" w:cs="Arial"/>
          <w:color w:val="000000"/>
          <w:szCs w:val="24"/>
          <w:lang w:eastAsia="es-ES_tradnl"/>
        </w:rPr>
        <w:t xml:space="preserve"> los documentos tipo de </w:t>
      </w:r>
      <w:r>
        <w:rPr>
          <w:rFonts w:ascii="Verdana" w:eastAsia="Calibri" w:hAnsi="Verdana" w:cs="Arial"/>
          <w:color w:val="000000"/>
          <w:szCs w:val="24"/>
          <w:lang w:eastAsia="es-ES_tradnl"/>
        </w:rPr>
        <w:t>licitación para obra pública</w:t>
      </w:r>
      <w:r w:rsidRPr="003B354F">
        <w:rPr>
          <w:rFonts w:ascii="Verdana" w:eastAsia="Calibri" w:hAnsi="Verdana" w:cs="Arial"/>
          <w:color w:val="000000"/>
          <w:szCs w:val="24"/>
          <w:lang w:eastAsia="es-ES_tradnl"/>
        </w:rPr>
        <w:t xml:space="preserve"> de infraestructura de transporte, la Agencia Nacional de Contratación Pública – Colombia Compra Eficiente adoptó un término de expedición del certificado de existencia y representación legal de máximo 30 días antes del cierre del proceso</w:t>
      </w:r>
      <w:r>
        <w:rPr>
          <w:rFonts w:ascii="Verdana" w:eastAsia="Calibri" w:hAnsi="Verdana" w:cs="Arial"/>
          <w:color w:val="000000"/>
          <w:szCs w:val="24"/>
          <w:lang w:eastAsia="es-ES_tradnl"/>
        </w:rPr>
        <w:t>. E</w:t>
      </w:r>
      <w:r w:rsidRPr="003B354F">
        <w:rPr>
          <w:rFonts w:ascii="Verdana" w:eastAsia="Calibri" w:hAnsi="Verdana" w:cs="Arial"/>
          <w:color w:val="000000"/>
          <w:szCs w:val="24"/>
          <w:lang w:eastAsia="es-ES_tradnl"/>
        </w:rPr>
        <w:t xml:space="preserve">sta regla </w:t>
      </w:r>
      <w:r>
        <w:rPr>
          <w:rFonts w:ascii="Verdana" w:eastAsia="Calibri" w:hAnsi="Verdana" w:cs="Arial"/>
          <w:color w:val="000000"/>
          <w:szCs w:val="24"/>
          <w:lang w:eastAsia="es-ES_tradnl"/>
        </w:rPr>
        <w:t>garantiza</w:t>
      </w:r>
      <w:r w:rsidRPr="003B354F">
        <w:rPr>
          <w:rFonts w:ascii="Verdana" w:eastAsia="Calibri" w:hAnsi="Verdana" w:cs="Arial"/>
          <w:color w:val="000000"/>
          <w:szCs w:val="24"/>
          <w:lang w:eastAsia="es-ES_tradnl"/>
        </w:rPr>
        <w:t xml:space="preserve"> que </w:t>
      </w:r>
      <w:proofErr w:type="gramStart"/>
      <w:r w:rsidRPr="003B354F">
        <w:rPr>
          <w:rFonts w:ascii="Verdana" w:eastAsia="Calibri" w:hAnsi="Verdana" w:cs="Arial"/>
          <w:color w:val="000000"/>
          <w:szCs w:val="24"/>
          <w:lang w:eastAsia="es-ES_tradnl"/>
        </w:rPr>
        <w:t>la entidades estatales</w:t>
      </w:r>
      <w:proofErr w:type="gramEnd"/>
      <w:r w:rsidRPr="003B354F">
        <w:rPr>
          <w:rFonts w:ascii="Verdana" w:eastAsia="Calibri" w:hAnsi="Verdana" w:cs="Arial"/>
          <w:color w:val="000000"/>
          <w:szCs w:val="24"/>
          <w:lang w:eastAsia="es-ES_tradnl"/>
        </w:rPr>
        <w:t xml:space="preserve"> puedan identificar con plena certeza la identidad de la persona jurídica, además de evitar circunstancias como las indicadas en el párrafo anterior, de manera que no se materialicen las consecuencias negativas que se pudieren derivar de la presentación de certificados de existencia y representación legal que no </w:t>
      </w:r>
      <w:r>
        <w:rPr>
          <w:rFonts w:ascii="Verdana" w:eastAsia="Calibri" w:hAnsi="Verdana" w:cs="Arial"/>
          <w:color w:val="000000"/>
          <w:szCs w:val="24"/>
          <w:lang w:eastAsia="es-ES_tradnl"/>
        </w:rPr>
        <w:t>sean</w:t>
      </w:r>
      <w:r w:rsidRPr="003B354F">
        <w:rPr>
          <w:rFonts w:ascii="Verdana" w:eastAsia="Calibri" w:hAnsi="Verdana" w:cs="Arial"/>
          <w:color w:val="000000"/>
          <w:szCs w:val="24"/>
          <w:lang w:eastAsia="es-ES_tradnl"/>
        </w:rPr>
        <w:t xml:space="preserve"> recientes. En tal sentido, se consideró que el término de 30 días calendario al cierre del proceso constitu</w:t>
      </w:r>
      <w:r>
        <w:rPr>
          <w:rFonts w:ascii="Verdana" w:eastAsia="Calibri" w:hAnsi="Verdana" w:cs="Arial"/>
          <w:color w:val="000000"/>
          <w:szCs w:val="24"/>
          <w:lang w:eastAsia="es-ES_tradnl"/>
        </w:rPr>
        <w:t>ye</w:t>
      </w:r>
      <w:r w:rsidRPr="003B354F">
        <w:rPr>
          <w:rFonts w:ascii="Verdana" w:eastAsia="Calibri" w:hAnsi="Verdana" w:cs="Arial"/>
          <w:color w:val="000000"/>
          <w:szCs w:val="24"/>
          <w:lang w:eastAsia="es-ES_tradnl"/>
        </w:rPr>
        <w:t xml:space="preserve"> un término razonable que suelen utilizar muchas entidades estatales en su práctica contractual.</w:t>
      </w:r>
      <w:r>
        <w:rPr>
          <w:rFonts w:ascii="Verdana" w:eastAsia="Calibri" w:hAnsi="Verdana" w:cs="Arial"/>
          <w:color w:val="000000"/>
          <w:szCs w:val="24"/>
          <w:lang w:eastAsia="es-ES_tradnl"/>
        </w:rPr>
        <w:t xml:space="preserve"> Por tanto, salvo que el proceso de selección se rija por el artículo 1 de la Ley 2022 de 2020 o el artículo 56 de la Ley 2195 de 2022, las entidades tienen discrecionalidad para acoger dicho plazo de vigencia o establecer uno distinto en los pliegos de condiciones.</w:t>
      </w:r>
    </w:p>
    <w:p w14:paraId="15B29670" w14:textId="77777777" w:rsidR="00BF1FB9" w:rsidRDefault="00BF1FB9" w:rsidP="00BF1FB9">
      <w:pPr>
        <w:spacing w:after="0" w:line="276" w:lineRule="auto"/>
        <w:jc w:val="both"/>
        <w:rPr>
          <w:rFonts w:ascii="Verdana" w:eastAsia="Calibri" w:hAnsi="Verdana" w:cs="Arial"/>
          <w:color w:val="000000"/>
          <w:szCs w:val="24"/>
          <w:lang w:eastAsia="es-ES_tradnl"/>
        </w:rPr>
      </w:pPr>
    </w:p>
    <w:p w14:paraId="7F4202C7" w14:textId="77777777" w:rsidR="00BF1FB9" w:rsidRDefault="00BF1FB9" w:rsidP="00BF1FB9">
      <w:pPr>
        <w:spacing w:after="120" w:line="276" w:lineRule="auto"/>
        <w:jc w:val="both"/>
        <w:rPr>
          <w:rFonts w:ascii="Verdana" w:eastAsia="Calibri" w:hAnsi="Verdana" w:cs="Arial"/>
        </w:rPr>
      </w:pPr>
      <w:proofErr w:type="spellStart"/>
      <w:r w:rsidRPr="002139D9">
        <w:rPr>
          <w:rFonts w:ascii="Verdana" w:eastAsia="Calibri" w:hAnsi="Verdana" w:cs="Arial"/>
          <w:color w:val="000000"/>
          <w:szCs w:val="24"/>
          <w:lang w:eastAsia="es-ES_tradnl"/>
        </w:rPr>
        <w:t>iv</w:t>
      </w:r>
      <w:proofErr w:type="spellEnd"/>
      <w:r w:rsidRPr="002139D9">
        <w:rPr>
          <w:rFonts w:ascii="Verdana" w:eastAsia="Calibri" w:hAnsi="Verdana" w:cs="Arial"/>
          <w:color w:val="000000"/>
          <w:szCs w:val="24"/>
          <w:lang w:eastAsia="es-ES_tradnl"/>
        </w:rPr>
        <w:t xml:space="preserve">. </w:t>
      </w:r>
      <w:r w:rsidRPr="002139D9">
        <w:rPr>
          <w:rFonts w:ascii="Verdana" w:eastAsia="Calibri" w:hAnsi="Verdana" w:cs="Arial"/>
        </w:rPr>
        <w:t xml:space="preserve">De otro lado, </w:t>
      </w:r>
      <w:r w:rsidRPr="00E347D3">
        <w:rPr>
          <w:rFonts w:ascii="Verdana" w:eastAsia="Calibri" w:hAnsi="Verdana" w:cs="Arial"/>
        </w:rPr>
        <w:t xml:space="preserve">las cámaras de comercio, de acuerdo con el artículo 6.1 de la Ley 1150 de 2007 y con el artículo 2.2.1.1.1.5.3 del Decreto 1082 de 2015, verificarán y certificarán los requisitos habilitantes de experiencia, capacidad jurídica, capacidad financiera y de organización. Conforme al numeral 6.3 de la Ley 1150 de 2007, la cámara de comercio, verificada la información aportada por el proponente, publicará el acto de inscripción del Registro Único de Proponentes, contra el cual cualquier persona podrá interponer recurso de reposición dentro de los diez (10) días hábiles siguientes contados a partir de su publicación –posibilidad aplicable frente a la </w:t>
      </w:r>
      <w:r w:rsidRPr="00E347D3">
        <w:rPr>
          <w:rFonts w:ascii="Verdana" w:eastAsia="Calibri" w:hAnsi="Verdana" w:cs="Arial"/>
          <w:i/>
          <w:iCs/>
        </w:rPr>
        <w:t>inscripción, renovación o actualización–</w:t>
      </w:r>
      <w:r w:rsidRPr="00E347D3">
        <w:rPr>
          <w:rFonts w:ascii="Verdana" w:eastAsia="Calibri" w:hAnsi="Verdana" w:cs="Arial"/>
          <w:vertAlign w:val="superscript"/>
        </w:rPr>
        <w:footnoteReference w:id="14"/>
      </w:r>
      <w:r w:rsidRPr="00E347D3">
        <w:rPr>
          <w:rFonts w:ascii="Verdana" w:eastAsia="Calibri" w:hAnsi="Verdana" w:cs="Arial"/>
        </w:rPr>
        <w:t>. En firme el acto administrativo que realiza la inscripción en el Registro Único de Proponentes se podrá demandar su nulidad sin que la presentación de la demanda suspenda la inscripción del RUP.</w:t>
      </w:r>
    </w:p>
    <w:p w14:paraId="2271800F" w14:textId="77777777" w:rsidR="00BF1FB9" w:rsidRPr="002139D9" w:rsidRDefault="00BF1FB9" w:rsidP="00BF1FB9">
      <w:pPr>
        <w:spacing w:after="0" w:line="276" w:lineRule="auto"/>
        <w:ind w:firstLine="708"/>
        <w:jc w:val="both"/>
        <w:rPr>
          <w:rFonts w:ascii="Verdana" w:eastAsia="Calibri" w:hAnsi="Verdana" w:cs="Arial"/>
        </w:rPr>
      </w:pPr>
      <w:r>
        <w:rPr>
          <w:rFonts w:ascii="Verdana" w:eastAsia="Calibri" w:hAnsi="Verdana" w:cs="Arial"/>
        </w:rPr>
        <w:t>E</w:t>
      </w:r>
      <w:r w:rsidRPr="002139D9">
        <w:rPr>
          <w:rFonts w:ascii="Verdana" w:eastAsia="Calibri" w:hAnsi="Verdana" w:cs="Arial"/>
        </w:rPr>
        <w:t>l artículo 2.2.1.1.1.5.1 del Decreto 1082 de 2015 señala que las personas inscritas en el RUP deben presentar la información para renovar su registro a más tardar el quinto día hábil del mes de abril de cada año, de lo contrario cesan los efectos del RUP</w:t>
      </w:r>
      <w:r w:rsidRPr="002139D9">
        <w:rPr>
          <w:rFonts w:ascii="Verdana" w:eastAsia="Calibri" w:hAnsi="Verdana" w:cs="Arial"/>
          <w:vertAlign w:val="superscript"/>
        </w:rPr>
        <w:footnoteReference w:id="15"/>
      </w:r>
      <w:r w:rsidRPr="002139D9">
        <w:rPr>
          <w:rFonts w:ascii="Verdana" w:eastAsia="Calibri" w:hAnsi="Verdana" w:cs="Arial"/>
        </w:rPr>
        <w:t xml:space="preserve">. Asimismo, el Consejo de Estado en sentencia del 19 de </w:t>
      </w:r>
      <w:r w:rsidRPr="002139D9">
        <w:rPr>
          <w:rFonts w:ascii="Verdana" w:eastAsia="Calibri" w:hAnsi="Verdana" w:cs="Arial"/>
        </w:rPr>
        <w:lastRenderedPageBreak/>
        <w:t>septiembre de 2019 señaló la finalidad de la renovación del RUP y las consecuencias de no hacerlo en el término previsto:</w:t>
      </w:r>
    </w:p>
    <w:p w14:paraId="774A8B59" w14:textId="77777777" w:rsidR="00BF1FB9" w:rsidRPr="002139D9" w:rsidRDefault="00BF1FB9" w:rsidP="00BF1FB9">
      <w:pPr>
        <w:spacing w:after="0" w:line="276" w:lineRule="auto"/>
        <w:jc w:val="both"/>
        <w:rPr>
          <w:rFonts w:ascii="Verdana" w:eastAsia="Calibri" w:hAnsi="Verdana" w:cs="Arial"/>
        </w:rPr>
      </w:pPr>
    </w:p>
    <w:p w14:paraId="01D0D59D" w14:textId="77777777" w:rsidR="00BF1FB9" w:rsidRPr="002139D9" w:rsidRDefault="00BF1FB9" w:rsidP="00BF1FB9">
      <w:pPr>
        <w:tabs>
          <w:tab w:val="left" w:pos="567"/>
        </w:tabs>
        <w:spacing w:after="120" w:line="240" w:lineRule="auto"/>
        <w:ind w:left="709" w:right="709"/>
        <w:jc w:val="both"/>
        <w:rPr>
          <w:rFonts w:ascii="Verdana" w:eastAsia="Calibri" w:hAnsi="Verdana" w:cs="Arial"/>
          <w:sz w:val="21"/>
          <w:szCs w:val="21"/>
        </w:rPr>
      </w:pPr>
      <w:r>
        <w:rPr>
          <w:rFonts w:ascii="Verdana" w:eastAsia="Calibri" w:hAnsi="Verdana" w:cs="Arial"/>
          <w:sz w:val="21"/>
          <w:szCs w:val="21"/>
        </w:rPr>
        <w:t>“</w:t>
      </w:r>
      <w:r w:rsidRPr="002139D9">
        <w:rPr>
          <w:rFonts w:ascii="Verdana" w:eastAsia="Calibri" w:hAnsi="Verdana" w:cs="Arial"/>
          <w:sz w:val="21"/>
          <w:szCs w:val="21"/>
        </w:rPr>
        <w:t xml:space="preserve">Al respecto, no puede perderse de vista que la finalidad principal de la renovación del RUP, al margen de que con ese acto se nutra del registro de nueva información, es conservar su vigencia, propósito que, de acuerdo con el artículo 8 del Decreto 1510 de 2013, solo ha de cumplirse si el mismo se realiza dentro del plazo allí establecido, comprendido entre el 1 de enero hasta el quinto día hábil del mes de abril. En defecto, la disposición reglamentaria establece como consecuencia la cesación de los efectos del RUP. </w:t>
      </w:r>
    </w:p>
    <w:p w14:paraId="439F9A50" w14:textId="77777777" w:rsidR="00BF1FB9" w:rsidRPr="002139D9" w:rsidRDefault="00BF1FB9" w:rsidP="00BF1FB9">
      <w:pPr>
        <w:tabs>
          <w:tab w:val="left" w:pos="567"/>
        </w:tabs>
        <w:spacing w:after="0" w:line="240" w:lineRule="auto"/>
        <w:ind w:left="709" w:right="709"/>
        <w:jc w:val="both"/>
        <w:rPr>
          <w:rFonts w:ascii="Verdana" w:eastAsia="Calibri" w:hAnsi="Verdana" w:cs="Arial"/>
          <w:sz w:val="21"/>
          <w:szCs w:val="21"/>
        </w:rPr>
      </w:pPr>
      <w:r w:rsidRPr="002139D9">
        <w:rPr>
          <w:rFonts w:ascii="Verdana" w:eastAsia="Calibri" w:hAnsi="Verdana" w:cs="Arial"/>
          <w:sz w:val="21"/>
          <w:szCs w:val="21"/>
        </w:rPr>
        <w:t>Ante ese panorama, el incumplimiento del deber de renovar el RUP en el período trae como consecuencia la cesación de efectos respecto de la información certificada en ese documento y, por contera, la falta de vocación como plena prueba para acreditar el cumplimiento de los requisitos habilitantes del proponente, anomalía que en manera alguna se sanea o convalida por el hecho de realizar una renovación por fuera del plazo reglamentado, en tanto no resulta jurídicamente admisible extender una vigencia que por ministerio de la ley se encuentra vencida y cuyos efectos cesaron, precisamente por no haberse renovado en el término señalado</w:t>
      </w:r>
      <w:r>
        <w:rPr>
          <w:rFonts w:ascii="Verdana" w:eastAsia="Calibri" w:hAnsi="Verdana" w:cs="Arial"/>
          <w:sz w:val="21"/>
          <w:szCs w:val="21"/>
        </w:rPr>
        <w:t>”</w:t>
      </w:r>
      <w:r w:rsidRPr="002139D9">
        <w:rPr>
          <w:rFonts w:ascii="Verdana" w:eastAsia="Calibri" w:hAnsi="Verdana" w:cs="Arial"/>
          <w:sz w:val="21"/>
          <w:szCs w:val="21"/>
          <w:vertAlign w:val="superscript"/>
        </w:rPr>
        <w:footnoteReference w:id="16"/>
      </w:r>
      <w:r w:rsidRPr="002139D9">
        <w:rPr>
          <w:rFonts w:ascii="Verdana" w:eastAsia="Calibri" w:hAnsi="Verdana" w:cs="Arial"/>
          <w:sz w:val="21"/>
          <w:szCs w:val="21"/>
        </w:rPr>
        <w:t xml:space="preserve">. </w:t>
      </w:r>
    </w:p>
    <w:p w14:paraId="5CEFC455" w14:textId="77777777" w:rsidR="00BF1FB9" w:rsidRPr="002139D9" w:rsidRDefault="00BF1FB9" w:rsidP="00BF1FB9">
      <w:pPr>
        <w:spacing w:after="0" w:line="240" w:lineRule="auto"/>
        <w:jc w:val="both"/>
        <w:rPr>
          <w:rFonts w:ascii="Verdana" w:eastAsia="Calibri" w:hAnsi="Verdana" w:cs="Arial"/>
        </w:rPr>
      </w:pPr>
      <w:r w:rsidRPr="002139D9">
        <w:rPr>
          <w:rFonts w:ascii="Verdana" w:eastAsia="Calibri" w:hAnsi="Verdana" w:cs="Arial"/>
        </w:rPr>
        <w:t xml:space="preserve"> </w:t>
      </w:r>
    </w:p>
    <w:p w14:paraId="754BD67B" w14:textId="77777777" w:rsidR="00BF1FB9" w:rsidRPr="002139D9" w:rsidRDefault="00BF1FB9" w:rsidP="00BF1FB9">
      <w:pPr>
        <w:spacing w:after="120" w:line="276" w:lineRule="auto"/>
        <w:ind w:firstLine="708"/>
        <w:jc w:val="both"/>
        <w:rPr>
          <w:rFonts w:ascii="Verdana" w:eastAsia="Calibri" w:hAnsi="Verdana" w:cs="Arial"/>
        </w:rPr>
      </w:pPr>
      <w:r w:rsidRPr="002139D9">
        <w:rPr>
          <w:rFonts w:ascii="Verdana" w:eastAsia="Calibri" w:hAnsi="Verdana" w:cs="Arial"/>
        </w:rPr>
        <w:t xml:space="preserve">Conforme a lo anterior, en armonía el artículo 2.2.1.1.1.5.1. del Decreto 1082 de 2015, </w:t>
      </w:r>
      <w:r w:rsidRPr="002139D9">
        <w:rPr>
          <w:rFonts w:ascii="Verdana" w:eastAsia="Calibri" w:hAnsi="Verdana" w:cs="Arial"/>
          <w:i/>
        </w:rPr>
        <w:t>si el proponente</w:t>
      </w:r>
      <w:r w:rsidRPr="002139D9">
        <w:rPr>
          <w:rFonts w:ascii="Verdana" w:eastAsia="Calibri" w:hAnsi="Verdana" w:cs="Arial"/>
        </w:rPr>
        <w:t xml:space="preserve"> </w:t>
      </w:r>
      <w:r w:rsidRPr="002139D9">
        <w:rPr>
          <w:rFonts w:ascii="Verdana" w:eastAsia="Calibri" w:hAnsi="Verdana" w:cs="Arial"/>
          <w:i/>
        </w:rPr>
        <w:t>no presenta la información para renovar su registro</w:t>
      </w:r>
      <w:r w:rsidRPr="002139D9">
        <w:rPr>
          <w:rFonts w:ascii="Verdana" w:eastAsia="Calibri" w:hAnsi="Verdana" w:cs="Arial"/>
        </w:rPr>
        <w:t xml:space="preserve"> antes del quinto día hábil del mes de abril de cada año, cesarán los efectos del RUP. Lo anterior implica que el proponente que no cumpla con la carga indicada no se puede presentar a los procedimientos de selección, en los casos que es necesario estar inscrito en el RUP, porque no tendría capacidad para hacerlo y, por tanto, tendría que inscribirse nuevamente, caso en el que solo se podrá presentar cuando la inscripción esté en firme. </w:t>
      </w:r>
    </w:p>
    <w:p w14:paraId="79701235" w14:textId="77777777" w:rsidR="00BF1FB9" w:rsidRPr="002139D9" w:rsidRDefault="00BF1FB9" w:rsidP="00BF1FB9">
      <w:pPr>
        <w:spacing w:after="120" w:line="276" w:lineRule="auto"/>
        <w:ind w:firstLine="708"/>
        <w:jc w:val="both"/>
        <w:rPr>
          <w:rFonts w:ascii="Verdana" w:eastAsia="Calibri" w:hAnsi="Verdana" w:cs="Arial"/>
        </w:rPr>
      </w:pPr>
      <w:r w:rsidRPr="002139D9">
        <w:rPr>
          <w:rFonts w:ascii="Verdana" w:eastAsia="Calibri" w:hAnsi="Verdana" w:cs="Arial"/>
        </w:rPr>
        <w:t xml:space="preserve">Tratándose del trámite de </w:t>
      </w:r>
      <w:r w:rsidRPr="002139D9">
        <w:rPr>
          <w:rFonts w:ascii="Verdana" w:eastAsia="Calibri" w:hAnsi="Verdana" w:cs="Arial"/>
          <w:i/>
        </w:rPr>
        <w:t>renovación,</w:t>
      </w:r>
      <w:r w:rsidRPr="002139D9">
        <w:rPr>
          <w:rFonts w:ascii="Verdana" w:eastAsia="Calibri" w:hAnsi="Verdana" w:cs="Arial"/>
        </w:rPr>
        <w:t xml:space="preserve"> la persona que haya presentado la información para renovar su registro a más tardar al quinto día hábil del mes de abril, cumpliendo con el requisito establecido en el artículo 2.2.1.1.1.5.1, puede participar en los procedimientos de selección, debiéndose tener en cuenta la </w:t>
      </w:r>
      <w:r w:rsidRPr="002139D9">
        <w:rPr>
          <w:rFonts w:ascii="Verdana" w:eastAsia="Calibri" w:hAnsi="Verdana" w:cs="Arial"/>
        </w:rPr>
        <w:lastRenderedPageBreak/>
        <w:t>información “antigua”. De esta manera,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5B778040" w14:textId="77777777" w:rsidR="00BF1FB9" w:rsidRPr="002139D9" w:rsidRDefault="00BF1FB9" w:rsidP="00BF1FB9">
      <w:pPr>
        <w:spacing w:after="120" w:line="276" w:lineRule="auto"/>
        <w:ind w:firstLine="708"/>
        <w:jc w:val="both"/>
        <w:rPr>
          <w:rFonts w:ascii="Verdana" w:eastAsia="Calibri" w:hAnsi="Verdana" w:cs="Arial"/>
        </w:rPr>
      </w:pPr>
      <w:r w:rsidRPr="002139D9">
        <w:rPr>
          <w:rFonts w:ascii="Verdana" w:eastAsia="Calibri" w:hAnsi="Verdana" w:cs="Arial"/>
        </w:rPr>
        <w:t>Así las cosas, para verificar que los efectos del RUP no han cesado, es necesario que el certificado contenga la anotación de que el inscrito, a más tardar el quinto día hábil de abril de cada año,</w:t>
      </w:r>
      <w:r w:rsidRPr="002139D9" w:rsidDel="00B14FC4">
        <w:rPr>
          <w:rFonts w:ascii="Verdana" w:eastAsia="Calibri" w:hAnsi="Verdana" w:cs="Arial"/>
        </w:rPr>
        <w:t xml:space="preserve"> </w:t>
      </w:r>
      <w:r w:rsidRPr="002139D9">
        <w:rPr>
          <w:rFonts w:ascii="Verdana" w:eastAsia="Calibri" w:hAnsi="Verdana" w:cs="Arial"/>
        </w:rPr>
        <w:t xml:space="preserve">radicó ante la cámara de comercio los documentos para la renovación. En todo caso, si tal circunstancia no estuviere inscrita en el certificado, podrá acreditarse a través del medio documental expedido por la cámara de comercio correspondiente, por lo que al no existir tarifa legal que permita establecer la forma de acreditar el trámite de renovación, la entidad estatal debe validar que el documento aportado por el proponente ofrezca certeza sobre el estado del trámite, verificando que se haya </w:t>
      </w:r>
      <w:r w:rsidRPr="002139D9">
        <w:rPr>
          <w:rFonts w:ascii="Verdana" w:eastAsia="Calibri" w:hAnsi="Verdana" w:cs="Arial"/>
          <w:i/>
        </w:rPr>
        <w:t>presentado la información para renovar su registro</w:t>
      </w:r>
      <w:r w:rsidRPr="002139D9">
        <w:rPr>
          <w:rFonts w:ascii="Verdana" w:eastAsia="Calibri" w:hAnsi="Verdana" w:cs="Arial"/>
        </w:rPr>
        <w:t xml:space="preserve"> antes del quinto día hábil del mes de abril de cada año.</w:t>
      </w:r>
    </w:p>
    <w:p w14:paraId="128000FA" w14:textId="77777777" w:rsidR="00BF1FB9" w:rsidRPr="002139D9" w:rsidRDefault="00BF1FB9" w:rsidP="00BF1FB9">
      <w:pPr>
        <w:spacing w:after="120" w:line="276" w:lineRule="auto"/>
        <w:ind w:firstLine="709"/>
        <w:jc w:val="both"/>
        <w:rPr>
          <w:rFonts w:ascii="Verdana" w:eastAsia="Calibri" w:hAnsi="Verdana" w:cs="Arial"/>
        </w:rPr>
      </w:pPr>
      <w:r w:rsidRPr="002139D9">
        <w:rPr>
          <w:rFonts w:ascii="Verdana" w:eastAsia="Calibri" w:hAnsi="Verdana" w:cs="Arial"/>
        </w:rPr>
        <w:t>Dicho esto, la firmeza del acto de inscripción, renovación y actualización del RUP debe armonizarse con las prescripciones establecidas para la generalidad de los actos administrativos, esto es, de acuerdo con el artículo 87 de la Ley 1437 de 2011</w:t>
      </w:r>
      <w:r w:rsidRPr="002139D9">
        <w:rPr>
          <w:rFonts w:ascii="Verdana" w:eastAsia="Calibri" w:hAnsi="Verdana" w:cs="Arial"/>
          <w:vertAlign w:val="superscript"/>
        </w:rPr>
        <w:footnoteReference w:id="17"/>
      </w:r>
      <w:r w:rsidRPr="002139D9">
        <w:rPr>
          <w:rFonts w:ascii="Verdana" w:eastAsia="Calibri" w:hAnsi="Verdana" w:cs="Arial"/>
        </w:rPr>
        <w:t xml:space="preserve">. Conforme a lo anterior, la persona natural o jurídica podrá presentarse a los procedimientos de selección cuando el acto administrativo que realiza la inscripción del RUP se encuentra en firme, porque es un requisito para las personas naturales y jurídicas, nacionales o extranjeras con domicilio en Colombia, que aspiran a celebrar contratos con las entidades estatales, estar inscritas en él, salvo las excepciones establecidas en la ley. </w:t>
      </w:r>
    </w:p>
    <w:p w14:paraId="53B2359C" w14:textId="77777777" w:rsidR="00BF1FB9" w:rsidRPr="002139D9" w:rsidRDefault="00BF1FB9" w:rsidP="00BF1FB9">
      <w:pPr>
        <w:spacing w:after="120" w:line="276" w:lineRule="auto"/>
        <w:ind w:firstLine="709"/>
        <w:jc w:val="both"/>
        <w:rPr>
          <w:rFonts w:ascii="Verdana" w:eastAsia="Calibri" w:hAnsi="Verdana" w:cs="Arial"/>
        </w:rPr>
      </w:pPr>
      <w:r w:rsidRPr="002139D9">
        <w:rPr>
          <w:rFonts w:ascii="Verdana" w:eastAsia="Calibri" w:hAnsi="Verdana" w:cs="Arial"/>
        </w:rPr>
        <w:t xml:space="preserve">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w:t>
      </w:r>
      <w:r w:rsidRPr="002139D9">
        <w:rPr>
          <w:rFonts w:ascii="Verdana" w:eastAsia="Calibri" w:hAnsi="Verdana" w:cs="Arial"/>
        </w:rPr>
        <w:lastRenderedPageBreak/>
        <w:t>ejecutoriedad”</w:t>
      </w:r>
      <w:r w:rsidRPr="002139D9">
        <w:rPr>
          <w:rFonts w:ascii="Verdana" w:eastAsia="Calibri" w:hAnsi="Verdana" w:cs="Arial"/>
          <w:vertAlign w:val="superscript"/>
        </w:rPr>
        <w:footnoteReference w:id="18"/>
      </w:r>
      <w:r w:rsidRPr="002139D9">
        <w:rPr>
          <w:rFonts w:ascii="Verdana" w:eastAsia="Calibri" w:hAnsi="Verdana" w:cs="Arial"/>
        </w:rPr>
        <w:t xml:space="preserve">. 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 </w:t>
      </w:r>
    </w:p>
    <w:p w14:paraId="76BF83C0" w14:textId="77777777" w:rsidR="00BF1FB9" w:rsidRDefault="00BF1FB9" w:rsidP="00BF1FB9">
      <w:pPr>
        <w:spacing w:after="120" w:line="276" w:lineRule="auto"/>
        <w:ind w:firstLine="709"/>
        <w:jc w:val="both"/>
        <w:rPr>
          <w:rFonts w:ascii="Verdana" w:eastAsia="Calibri" w:hAnsi="Verdana" w:cs="Arial"/>
        </w:rPr>
      </w:pPr>
      <w:r w:rsidRPr="002139D9">
        <w:rPr>
          <w:rFonts w:ascii="Verdana" w:eastAsia="Calibri" w:hAnsi="Verdana" w:cs="Arial"/>
        </w:rPr>
        <w:t>El artículo 6.3 de la Ley 1150 de 2007 regula la impugnación del acto de inscripción de información en el RUP, para que cualquier persona presente recurso de reposición durante los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2C2E540A" w14:textId="77777777" w:rsidR="00BF1FB9" w:rsidRDefault="00BF1FB9" w:rsidP="00BF1FB9">
      <w:pPr>
        <w:spacing w:after="120" w:line="276" w:lineRule="auto"/>
        <w:jc w:val="both"/>
        <w:rPr>
          <w:rFonts w:ascii="Verdana" w:eastAsia="Calibri" w:hAnsi="Verdana" w:cs="Arial"/>
        </w:rPr>
      </w:pPr>
      <w:r>
        <w:rPr>
          <w:rFonts w:ascii="Verdana" w:eastAsia="Calibri" w:hAnsi="Verdana" w:cs="Arial"/>
        </w:rPr>
        <w:tab/>
        <w:t xml:space="preserve">Al igual que ocurre con el certificado de existencia y representación legal, el literal D) del numeral 3.1.1 del pliego de condiciones </w:t>
      </w:r>
      <w:r>
        <w:rPr>
          <w:rFonts w:ascii="Verdana" w:eastAsia="Calibri" w:hAnsi="Verdana" w:cs="Arial"/>
          <w:color w:val="000000"/>
          <w:szCs w:val="24"/>
          <w:lang w:eastAsia="es-ES_tradnl"/>
        </w:rPr>
        <w:t>de los “Documentos Tipo – Versión 4” de licitación de obra pública de infraestructura de transporte</w:t>
      </w:r>
      <w:r>
        <w:rPr>
          <w:rFonts w:ascii="Verdana" w:eastAsia="Calibri" w:hAnsi="Verdana" w:cs="Arial"/>
        </w:rPr>
        <w:t xml:space="preserve"> establece lo siguiente: “</w:t>
      </w:r>
      <w:r w:rsidRPr="0053708D">
        <w:rPr>
          <w:rFonts w:ascii="Verdana" w:eastAsia="Calibri" w:hAnsi="Verdana" w:cs="Arial"/>
        </w:rPr>
        <w:t>Los proponentes obligados a estar inscritos en el Registro Único de Proponentes (RUP), deben aportar certificado con fecha de expedición no mayor a treinta (30) días calendario anteriores a la fecha de cierre del Proceso de Contratación. En caso de modificarse la fecha de cierre del proceso, se tendrá como referencia para establecer el plazo de vigencia del certificado la fecha originalmente establecida en el pliego de condiciones definitivo</w:t>
      </w:r>
      <w:r>
        <w:rPr>
          <w:rFonts w:ascii="Verdana" w:eastAsia="Calibri" w:hAnsi="Verdana" w:cs="Arial"/>
        </w:rPr>
        <w:t>”</w:t>
      </w:r>
      <w:r w:rsidRPr="0053708D">
        <w:rPr>
          <w:rFonts w:ascii="Verdana" w:eastAsia="Calibri" w:hAnsi="Verdana" w:cs="Arial"/>
        </w:rPr>
        <w:t>.</w:t>
      </w:r>
    </w:p>
    <w:p w14:paraId="085ABDB5" w14:textId="4781DE87" w:rsidR="00BF1FB9" w:rsidRDefault="00BF1FB9" w:rsidP="00BF1FB9">
      <w:pPr>
        <w:spacing w:after="120" w:line="276" w:lineRule="auto"/>
        <w:jc w:val="both"/>
        <w:rPr>
          <w:rFonts w:ascii="Verdana" w:eastAsia="Calibri" w:hAnsi="Verdana" w:cs="Arial"/>
        </w:rPr>
      </w:pPr>
      <w:r>
        <w:rPr>
          <w:rFonts w:ascii="Verdana" w:eastAsia="Calibri" w:hAnsi="Verdana" w:cs="Arial"/>
        </w:rPr>
        <w:tab/>
        <w:t>La fecha de expedición del certificado es distinta al cumplimiento de la obligación de renovar el RUP después de la inscripción. Si bien el registro tiene una vigencia anual, la fecha de expedición del certificado es jurídicamente relevante, porque e</w:t>
      </w:r>
      <w:r w:rsidR="0047071B">
        <w:rPr>
          <w:rFonts w:ascii="Verdana" w:eastAsia="Calibri" w:hAnsi="Verdana" w:cs="Arial"/>
        </w:rPr>
        <w:t>n</w:t>
      </w:r>
      <w:r>
        <w:rPr>
          <w:rFonts w:ascii="Verdana" w:eastAsia="Calibri" w:hAnsi="Verdana" w:cs="Arial"/>
        </w:rPr>
        <w:t xml:space="preserve"> dicho periodo pueden haberse presentado actualizaciones en las que varie la información contenida en él. Así, los datos reportados en el registro están vigentes</w:t>
      </w:r>
      <w:r w:rsidRPr="00A62995">
        <w:rPr>
          <w:rFonts w:ascii="Verdana" w:eastAsia="Calibri" w:hAnsi="Verdana" w:cs="Arial"/>
        </w:rPr>
        <w:t xml:space="preserve"> mientras no existan nuevas </w:t>
      </w:r>
      <w:r>
        <w:rPr>
          <w:rFonts w:ascii="Verdana" w:eastAsia="Calibri" w:hAnsi="Verdana" w:cs="Arial"/>
        </w:rPr>
        <w:t>actualizaciones</w:t>
      </w:r>
      <w:r w:rsidRPr="00A62995">
        <w:rPr>
          <w:rFonts w:ascii="Verdana" w:eastAsia="Calibri" w:hAnsi="Verdana" w:cs="Arial"/>
        </w:rPr>
        <w:t xml:space="preserve"> que afecten </w:t>
      </w:r>
      <w:r>
        <w:rPr>
          <w:rFonts w:ascii="Verdana" w:eastAsia="Calibri" w:hAnsi="Verdana" w:cs="Arial"/>
        </w:rPr>
        <w:t xml:space="preserve">el contenido de la información suministrada a la cámara de comercio. Por ello, también se hace necesario que los interesados alleguen una certificación de expedición reciente, por lo que –sin perjuicio de lo establecido en los documentos </w:t>
      </w:r>
      <w:r>
        <w:rPr>
          <w:rFonts w:ascii="Verdana" w:eastAsia="Calibri" w:hAnsi="Verdana" w:cs="Arial"/>
        </w:rPr>
        <w:lastRenderedPageBreak/>
        <w:t xml:space="preserve">tipo sobre la materia– las entidades deben establecer la fecha de expedición del certificado en el pliego de condiciones. </w:t>
      </w:r>
    </w:p>
    <w:p w14:paraId="1C2C7377" w14:textId="77777777" w:rsidR="00BF1FB9" w:rsidRDefault="00BF1FB9" w:rsidP="00BF1FB9">
      <w:pPr>
        <w:spacing w:after="120" w:line="276" w:lineRule="auto"/>
        <w:ind w:firstLine="737"/>
        <w:jc w:val="both"/>
        <w:rPr>
          <w:rFonts w:ascii="Verdana" w:eastAsia="Calibri" w:hAnsi="Verdana" w:cs="Arial"/>
        </w:rPr>
      </w:pPr>
      <w:r>
        <w:rPr>
          <w:rFonts w:ascii="Verdana" w:eastAsia="Calibri" w:hAnsi="Verdana" w:cs="Arial"/>
        </w:rPr>
        <w:t xml:space="preserve">Por lo demás, </w:t>
      </w:r>
      <w:r>
        <w:rPr>
          <w:rFonts w:ascii="Verdana" w:eastAsia="Calibri" w:hAnsi="Verdana" w:cs="Arial"/>
          <w:color w:val="000000"/>
          <w:szCs w:val="24"/>
          <w:lang w:eastAsia="es-ES_tradnl"/>
        </w:rPr>
        <w:t>el ordenamiento tampoco regula la frecuencia con la que deben modificarse las certificaciones objeto de consulta, pues depende de los cambios que experimenten los inscritos en sus actividades económicas. Como se dichas variaciones inciden en el cumplimiento de requisitos habilitantes, especialmente, en lo que se refiere a la capacidad jurídica, es</w:t>
      </w:r>
      <w:r w:rsidRPr="00106C39">
        <w:rPr>
          <w:rFonts w:ascii="Verdana" w:eastAsia="Calibri" w:hAnsi="Verdana" w:cs="Arial"/>
          <w:color w:val="000000"/>
          <w:szCs w:val="24"/>
          <w:lang w:eastAsia="es-ES_tradnl"/>
        </w:rPr>
        <w:t xml:space="preserve"> necesario </w:t>
      </w:r>
      <w:r>
        <w:rPr>
          <w:rFonts w:ascii="Verdana" w:eastAsia="Calibri" w:hAnsi="Verdana" w:cs="Arial"/>
          <w:color w:val="000000"/>
          <w:szCs w:val="24"/>
          <w:lang w:eastAsia="es-ES_tradnl"/>
        </w:rPr>
        <w:t>que las certificaciones sean de reciente expedición</w:t>
      </w:r>
      <w:r w:rsidRPr="00106C39">
        <w:rPr>
          <w:rFonts w:ascii="Verdana" w:eastAsia="Calibri" w:hAnsi="Verdana" w:cs="Arial"/>
          <w:color w:val="000000"/>
          <w:szCs w:val="24"/>
          <w:lang w:eastAsia="es-ES_tradnl"/>
        </w:rPr>
        <w:t xml:space="preserve"> para garantizar </w:t>
      </w:r>
      <w:r>
        <w:rPr>
          <w:rFonts w:ascii="Verdana" w:eastAsia="Calibri" w:hAnsi="Verdana" w:cs="Arial"/>
          <w:color w:val="000000"/>
          <w:szCs w:val="24"/>
          <w:lang w:eastAsia="es-ES_tradnl"/>
        </w:rPr>
        <w:t>la</w:t>
      </w:r>
      <w:r w:rsidRPr="00106C39">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 xml:space="preserve">vigencia de la información contenida en éstas, por lo que no basta la ausencia de cambios </w:t>
      </w:r>
      <w:r w:rsidRPr="00106C39">
        <w:rPr>
          <w:rFonts w:ascii="Verdana" w:eastAsia="Calibri" w:hAnsi="Verdana" w:cs="Arial"/>
          <w:color w:val="000000"/>
          <w:szCs w:val="24"/>
          <w:lang w:eastAsia="es-ES_tradnl"/>
        </w:rPr>
        <w:t>en un periodo de tiempo razonable</w:t>
      </w:r>
      <w:r>
        <w:rPr>
          <w:rFonts w:ascii="Verdana" w:eastAsia="Calibri" w:hAnsi="Verdana" w:cs="Arial"/>
          <w:color w:val="000000"/>
          <w:szCs w:val="24"/>
          <w:lang w:eastAsia="es-ES_tradnl"/>
        </w:rPr>
        <w:t>.</w:t>
      </w:r>
    </w:p>
    <w:p w14:paraId="7056643C" w14:textId="77777777" w:rsidR="00BF1FB9" w:rsidRPr="00F77BD5" w:rsidRDefault="00BF1FB9" w:rsidP="00BF1FB9">
      <w:pPr>
        <w:spacing w:after="0" w:line="276" w:lineRule="auto"/>
        <w:ind w:firstLine="737"/>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Finalmente, la Agencia estima que la exigencia de certificaciones de reciente expedición no es violatoria de la libre competencia económica ni constituye una barrera burocrática, pues es una condición que se impone por igual a todos los interesados en los procesos de selección. En este contexto, no existe alguna norma que, con carácter prevalente o imperativo, establezcan </w:t>
      </w:r>
      <w:r w:rsidRPr="00763D43">
        <w:rPr>
          <w:rFonts w:ascii="Verdana" w:eastAsia="Calibri" w:hAnsi="Verdana" w:cs="Arial"/>
          <w:color w:val="000000"/>
          <w:szCs w:val="24"/>
          <w:lang w:eastAsia="es-ES_tradnl"/>
        </w:rPr>
        <w:t xml:space="preserve">alternativas o medidas que favorezcan a las </w:t>
      </w:r>
      <w:proofErr w:type="spellStart"/>
      <w:r>
        <w:rPr>
          <w:rFonts w:ascii="Verdana" w:eastAsia="Calibri" w:hAnsi="Verdana" w:cs="Arial"/>
          <w:color w:val="000000"/>
          <w:szCs w:val="24"/>
          <w:lang w:eastAsia="es-ES_tradnl"/>
        </w:rPr>
        <w:t>Mipymes</w:t>
      </w:r>
      <w:proofErr w:type="spellEnd"/>
      <w:r>
        <w:rPr>
          <w:rFonts w:ascii="Verdana" w:eastAsia="Calibri" w:hAnsi="Verdana" w:cs="Arial"/>
          <w:color w:val="000000"/>
          <w:szCs w:val="24"/>
          <w:lang w:eastAsia="es-ES_tradnl"/>
        </w:rPr>
        <w:t xml:space="preserve"> en la forma como se aportan los certificados de existencia y representación legal o los certificados del registro único de proponentes.</w:t>
      </w:r>
    </w:p>
    <w:p w14:paraId="3D5040FE" w14:textId="77777777" w:rsidR="00BF1FB9" w:rsidRPr="00E347D3" w:rsidRDefault="00BF1FB9" w:rsidP="00BF1FB9">
      <w:pPr>
        <w:spacing w:after="0" w:line="276" w:lineRule="auto"/>
        <w:jc w:val="both"/>
        <w:rPr>
          <w:rFonts w:ascii="Verdana" w:eastAsia="Calibri" w:hAnsi="Verdana" w:cs="Arial"/>
        </w:rPr>
      </w:pPr>
      <w:r>
        <w:rPr>
          <w:rFonts w:ascii="Verdana" w:eastAsia="Calibri" w:hAnsi="Verdana" w:cs="Arial"/>
        </w:rPr>
        <w:t xml:space="preserve">    </w:t>
      </w:r>
      <w:r w:rsidRPr="002139D9">
        <w:rPr>
          <w:rFonts w:ascii="Verdana" w:eastAsia="Calibri" w:hAnsi="Verdana" w:cs="Arial"/>
        </w:rPr>
        <w:t xml:space="preserve"> </w:t>
      </w:r>
    </w:p>
    <w:p w14:paraId="4ADA1907" w14:textId="77777777" w:rsidR="00BF1FB9" w:rsidRDefault="00BF1FB9" w:rsidP="00BF1FB9">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BFF09B2" w14:textId="77777777" w:rsidR="00BF1FB9" w:rsidRPr="00185EE9" w:rsidRDefault="00BF1FB9" w:rsidP="00BF1FB9">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853DE">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7223B792" w14:textId="77777777" w:rsidR="00BF1FB9" w:rsidRPr="00182C89" w:rsidRDefault="00BF1FB9" w:rsidP="00BF1FB9">
      <w:pPr>
        <w:tabs>
          <w:tab w:val="left" w:pos="709"/>
        </w:tabs>
        <w:spacing w:after="0" w:line="276" w:lineRule="auto"/>
        <w:jc w:val="both"/>
        <w:rPr>
          <w:rFonts w:ascii="Verdana" w:eastAsia="Calibri" w:hAnsi="Verdana" w:cs="Arial"/>
          <w:color w:val="000000" w:themeColor="text1"/>
        </w:rPr>
      </w:pPr>
    </w:p>
    <w:p w14:paraId="5F4647EF" w14:textId="77777777" w:rsidR="00BF1FB9" w:rsidRPr="00593A5F" w:rsidRDefault="00BF1FB9" w:rsidP="00BF1FB9">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6428B3F" w14:textId="77777777" w:rsidR="00BF1FB9" w:rsidRPr="00593A5F" w:rsidRDefault="00BF1FB9" w:rsidP="00BF1FB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F1FB9" w:rsidRPr="002407CE" w14:paraId="204A1BB8" w14:textId="77777777" w:rsidTr="001B619F">
        <w:trPr>
          <w:trHeight w:val="870"/>
          <w:jc w:val="center"/>
        </w:trPr>
        <w:tc>
          <w:tcPr>
            <w:tcW w:w="8647" w:type="dxa"/>
          </w:tcPr>
          <w:p w14:paraId="61E4A72F" w14:textId="77777777" w:rsidR="00BF1FB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14.</w:t>
            </w:r>
          </w:p>
          <w:p w14:paraId="1BEE91DD" w14:textId="77777777" w:rsidR="00BF1FB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6.</w:t>
            </w:r>
          </w:p>
          <w:p w14:paraId="2A5E9252" w14:textId="77777777" w:rsidR="00BF1FB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Ley 1150 de 2007, artículo</w:t>
            </w:r>
            <w:r>
              <w:rPr>
                <w:rFonts w:ascii="Verdana" w:hAnsi="Verdana" w:cs="Arial"/>
              </w:rPr>
              <w:t>s</w:t>
            </w:r>
            <w:r w:rsidRPr="00185EE9">
              <w:rPr>
                <w:rFonts w:ascii="Verdana" w:hAnsi="Verdana" w:cs="Arial"/>
              </w:rPr>
              <w:t xml:space="preserve"> </w:t>
            </w:r>
            <w:r>
              <w:rPr>
                <w:rFonts w:ascii="Verdana" w:hAnsi="Verdana" w:cs="Arial"/>
              </w:rPr>
              <w:t>5, 6 y 12</w:t>
            </w:r>
            <w:r w:rsidRPr="00185EE9">
              <w:rPr>
                <w:rFonts w:ascii="Verdana" w:hAnsi="Verdana" w:cs="Arial"/>
              </w:rPr>
              <w:t>.</w:t>
            </w:r>
          </w:p>
          <w:p w14:paraId="09200EC3" w14:textId="77777777" w:rsidR="00BF1FB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87.</w:t>
            </w:r>
          </w:p>
          <w:p w14:paraId="2DE30072" w14:textId="77777777" w:rsidR="00BF1FB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2022 de 2020, artículo 1.</w:t>
            </w:r>
          </w:p>
          <w:p w14:paraId="7894D254" w14:textId="77777777" w:rsidR="00BF1FB9" w:rsidRPr="00185EE9"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r w:rsidRPr="00185EE9">
              <w:rPr>
                <w:rFonts w:ascii="Verdana" w:hAnsi="Verdana" w:cs="Arial"/>
              </w:rPr>
              <w:t xml:space="preserve"> </w:t>
            </w:r>
          </w:p>
          <w:p w14:paraId="0055D436" w14:textId="77777777" w:rsidR="00BF1FB9" w:rsidRPr="00D1192E"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 xml:space="preserve">Decreto 1082 de 2015, </w:t>
            </w:r>
            <w:r>
              <w:rPr>
                <w:rFonts w:ascii="Verdana" w:hAnsi="Verdana" w:cs="Arial"/>
              </w:rPr>
              <w:t xml:space="preserve">artículos </w:t>
            </w:r>
            <w:r w:rsidRPr="00063920">
              <w:rPr>
                <w:rFonts w:ascii="Verdana" w:eastAsia="Calibri" w:hAnsi="Verdana" w:cs="Arial"/>
                <w:color w:val="000000"/>
                <w:szCs w:val="24"/>
                <w:lang w:eastAsia="es-ES_tradnl"/>
              </w:rPr>
              <w:t>2.2.1.2.4.2.4</w:t>
            </w:r>
            <w:r>
              <w:rPr>
                <w:rFonts w:ascii="Verdana" w:eastAsia="Calibri" w:hAnsi="Verdana" w:cs="Arial"/>
                <w:color w:val="000000"/>
                <w:szCs w:val="24"/>
                <w:lang w:eastAsia="es-ES_tradnl"/>
              </w:rPr>
              <w:t xml:space="preserve">, </w:t>
            </w:r>
            <w:r w:rsidRPr="002139D9">
              <w:rPr>
                <w:rFonts w:ascii="Verdana" w:eastAsia="Calibri" w:hAnsi="Verdana" w:cs="Arial"/>
              </w:rPr>
              <w:t>2.2.1.1.1.5.1</w:t>
            </w:r>
            <w:r>
              <w:rPr>
                <w:rFonts w:ascii="Verdana" w:eastAsia="Calibri" w:hAnsi="Verdana" w:cs="Arial"/>
                <w:color w:val="000000"/>
                <w:szCs w:val="24"/>
                <w:lang w:eastAsia="es-ES_tradnl"/>
              </w:rPr>
              <w:t xml:space="preserve"> y </w:t>
            </w:r>
            <w:r w:rsidRPr="00E347D3">
              <w:rPr>
                <w:rFonts w:ascii="Verdana" w:eastAsia="Calibri" w:hAnsi="Verdana" w:cs="Arial"/>
              </w:rPr>
              <w:t>2.2.1.1.1.5.3</w:t>
            </w:r>
            <w:r>
              <w:rPr>
                <w:rFonts w:ascii="Verdana" w:eastAsia="Calibri" w:hAnsi="Verdana" w:cs="Arial"/>
                <w:color w:val="000000"/>
                <w:szCs w:val="24"/>
                <w:lang w:eastAsia="es-ES_tradnl"/>
              </w:rPr>
              <w:t>.</w:t>
            </w:r>
          </w:p>
          <w:p w14:paraId="77BABA1C" w14:textId="77777777" w:rsidR="00BF1FB9" w:rsidRPr="00D1192E" w:rsidRDefault="00BF1FB9" w:rsidP="00BF1FB9">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Código Civil, artículo</w:t>
            </w:r>
            <w:r>
              <w:rPr>
                <w:rFonts w:ascii="Verdana" w:hAnsi="Verdana" w:cs="Arial"/>
              </w:rPr>
              <w:t>s 34, 74, 633, 1502 y 1503</w:t>
            </w:r>
            <w:r w:rsidRPr="00185EE9">
              <w:rPr>
                <w:rFonts w:ascii="Verdana" w:hAnsi="Verdana" w:cs="Arial"/>
              </w:rPr>
              <w:t>.</w:t>
            </w:r>
          </w:p>
          <w:p w14:paraId="5182C19A" w14:textId="77777777" w:rsidR="00BF1FB9" w:rsidRPr="00DA543F" w:rsidRDefault="00BF1FB9" w:rsidP="00BF1FB9">
            <w:pPr>
              <w:pStyle w:val="Prrafodelista"/>
              <w:widowControl w:val="0"/>
              <w:numPr>
                <w:ilvl w:val="0"/>
                <w:numId w:val="20"/>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de Comercio, artículos 33, 98 y 117.</w:t>
            </w:r>
          </w:p>
        </w:tc>
      </w:tr>
    </w:tbl>
    <w:p w14:paraId="56163576" w14:textId="77777777" w:rsidR="00BF1FB9" w:rsidRPr="002407CE" w:rsidRDefault="00BF1FB9" w:rsidP="00BF1FB9">
      <w:pPr>
        <w:widowControl w:val="0"/>
        <w:autoSpaceDE w:val="0"/>
        <w:autoSpaceDN w:val="0"/>
        <w:spacing w:after="0" w:line="276" w:lineRule="auto"/>
        <w:jc w:val="both"/>
        <w:rPr>
          <w:rFonts w:ascii="Verdana" w:hAnsi="Verdana" w:cs="Arial"/>
        </w:rPr>
      </w:pPr>
    </w:p>
    <w:p w14:paraId="2D0DE4FB" w14:textId="77777777" w:rsidR="00BF1FB9" w:rsidRPr="00593A5F" w:rsidRDefault="00BF1FB9" w:rsidP="00BF1FB9">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916475B" w14:textId="77777777" w:rsidR="00BF1FB9" w:rsidRPr="00593A5F" w:rsidRDefault="00BF1FB9" w:rsidP="00BF1FB9">
      <w:pPr>
        <w:widowControl w:val="0"/>
        <w:autoSpaceDE w:val="0"/>
        <w:autoSpaceDN w:val="0"/>
        <w:spacing w:after="0" w:line="276" w:lineRule="auto"/>
        <w:jc w:val="both"/>
        <w:rPr>
          <w:rFonts w:ascii="Verdana" w:hAnsi="Verdana" w:cs="Arial"/>
        </w:rPr>
      </w:pPr>
    </w:p>
    <w:p w14:paraId="36BC1D30" w14:textId="3D3A7645" w:rsidR="00BF1FB9" w:rsidRPr="00ED0098" w:rsidRDefault="00BF1FB9" w:rsidP="00BF1FB9">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vigencia del certificado de existencia y representación legal respecto a los procesos regidos por documentos tipo en el Concepto C-511 del 21 de septiembre de 2021</w:t>
      </w:r>
      <w:r w:rsidR="00BA6D0C">
        <w:rPr>
          <w:rFonts w:ascii="Verdana" w:hAnsi="Verdana"/>
        </w:rPr>
        <w:t>, C-1149 de 2025.</w:t>
      </w:r>
      <w:r>
        <w:rPr>
          <w:rFonts w:ascii="Verdana" w:hAnsi="Verdana"/>
        </w:rPr>
        <w:t xml:space="preserve"> Igualmente, ha analizado las problemáticas asociadas al RUP en los Conceptos </w:t>
      </w:r>
      <w:r w:rsidRPr="002F7E54">
        <w:rPr>
          <w:rFonts w:ascii="Verdana" w:hAnsi="Verdana"/>
        </w:rPr>
        <w:t xml:space="preserve">4201713000001182 del 24 de marzo de 2017, 4201814000002165 del 23 de abril de 2017, 4201713000001647 del 27 de abril de 2017, 4201711000001879 del 11 de mayo de 2017, 4201714000002097 del 24 de mayo de 2017, 4201814000002927 del 11 de abril de 2018, 4201814000002917 del 11 de mayo de 2018, 4201813000003018 del 11 de mayo de 2018, , 4201814000004174 del 18 de mayo de 2018, 4201814000004014 del 20 de junio de 2018, 4201813000004073 del 21 de junio de 2018, 4201912000003350 del 4 de julio de 2019, 4201912000007418 del 11 de diciembre de 2019, y C-005  del 14 de febrero de 2020, C-454 del 06 de julio de 2020 2020, C-466 del 24 de julio de 2020, C-420 del 28 de julio de 2020, C-534 del 12 de agosto de 2020, C-553 del 24 de agosto de 2021, C-576 del 31 de agosto de 2021, C-786 de 2020 del 19 de enero de 2021, C-800 del 1 </w:t>
      </w:r>
      <w:r w:rsidRPr="002F7E54">
        <w:rPr>
          <w:rFonts w:ascii="Verdana" w:hAnsi="Verdana"/>
        </w:rPr>
        <w:lastRenderedPageBreak/>
        <w:t>de febrero de 2021, C-703 del 11 de enero de 2022, C-328 del 22 de julio de 2022, 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440DBF3" w14:textId="77777777" w:rsidR="00A260FB" w:rsidRPr="00125A1D" w:rsidRDefault="00A260FB" w:rsidP="00A260F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742CAF4" w14:textId="77777777" w:rsidR="00A260FB" w:rsidRPr="00125A1D" w:rsidRDefault="00A260FB" w:rsidP="00A260FB">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xml:space="preserve">. </w:t>
      </w:r>
      <w:r w:rsidRPr="009857CA">
        <w:rPr>
          <w:rFonts w:ascii="Verdana" w:hAnsi="Verdana"/>
          <w:color w:val="000000"/>
          <w:bdr w:val="none" w:sz="0" w:space="0" w:color="auto" w:frame="1"/>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9857CA">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9857CA">
        <w:rPr>
          <w:rFonts w:ascii="Verdana" w:hAnsi="Verdana"/>
          <w:color w:val="467886"/>
          <w:u w:val="single"/>
          <w:bdr w:val="none" w:sz="0" w:space="0" w:color="auto" w:frame="1"/>
        </w:rPr>
        <w:t>"</w:t>
      </w:r>
    </w:p>
    <w:p w14:paraId="2870A5AB" w14:textId="77777777" w:rsidR="00A260FB" w:rsidRPr="00125A1D" w:rsidRDefault="00A260FB" w:rsidP="00A260FB">
      <w:pPr>
        <w:spacing w:after="0" w:line="276" w:lineRule="auto"/>
        <w:jc w:val="both"/>
        <w:rPr>
          <w:rFonts w:ascii="Verdana" w:hAnsi="Verdana"/>
        </w:rPr>
      </w:pPr>
    </w:p>
    <w:p w14:paraId="04905F5A"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31A6A516" w14:textId="77777777" w:rsidR="00A260FB" w:rsidRPr="00125A1D" w:rsidRDefault="00A260FB" w:rsidP="00A260FB">
      <w:pPr>
        <w:spacing w:after="0" w:line="276" w:lineRule="auto"/>
        <w:jc w:val="both"/>
        <w:rPr>
          <w:rFonts w:ascii="Verdana" w:hAnsi="Verdana"/>
        </w:rPr>
      </w:pPr>
    </w:p>
    <w:p w14:paraId="611808F8"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721CF2F9"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5BA23557" w14:textId="77777777" w:rsidR="00A260FB" w:rsidRPr="00125A1D" w:rsidRDefault="00A260FB" w:rsidP="00A260FB">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78E5203F" w14:textId="77777777" w:rsidR="00A260FB" w:rsidRPr="00125A1D" w:rsidRDefault="00A260FB" w:rsidP="00A260FB">
      <w:pPr>
        <w:widowControl w:val="0"/>
        <w:autoSpaceDE w:val="0"/>
        <w:autoSpaceDN w:val="0"/>
        <w:spacing w:after="0" w:line="276" w:lineRule="auto"/>
        <w:jc w:val="both"/>
        <w:rPr>
          <w:rFonts w:ascii="Verdana" w:hAnsi="Verdana" w:cs="Arial"/>
        </w:rPr>
      </w:pPr>
    </w:p>
    <w:p w14:paraId="09130255" w14:textId="77777777" w:rsidR="00A260FB" w:rsidRPr="00125A1D" w:rsidRDefault="00A260FB" w:rsidP="00A260FB">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394D2AA8" w14:textId="77777777" w:rsidR="00A260FB" w:rsidRPr="00125A1D" w:rsidRDefault="00A260FB" w:rsidP="00A260FB">
      <w:pPr>
        <w:widowControl w:val="0"/>
        <w:autoSpaceDE w:val="0"/>
        <w:autoSpaceDN w:val="0"/>
        <w:spacing w:after="0" w:line="276" w:lineRule="auto"/>
        <w:jc w:val="both"/>
        <w:rPr>
          <w:rFonts w:ascii="Verdana" w:hAnsi="Verdana" w:cs="Arial"/>
        </w:rPr>
      </w:pPr>
    </w:p>
    <w:p w14:paraId="606A3636" w14:textId="77777777" w:rsidR="00A260FB" w:rsidRPr="00125A1D" w:rsidRDefault="00A260FB" w:rsidP="00A260FB">
      <w:pPr>
        <w:spacing w:after="0" w:line="276" w:lineRule="auto"/>
        <w:rPr>
          <w:rFonts w:ascii="Verdana" w:hAnsi="Verdana" w:cs="Arial"/>
          <w:lang w:eastAsia="es-CO"/>
        </w:rPr>
      </w:pPr>
      <w:bookmarkStart w:id="2"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65AEA4E2" w14:textId="6EA53DD5" w:rsidR="00A260FB" w:rsidRDefault="0047071B" w:rsidP="00A260FB">
      <w:pPr>
        <w:spacing w:line="276" w:lineRule="auto"/>
        <w:jc w:val="center"/>
        <w:rPr>
          <w:rFonts w:ascii="Verdana" w:hAnsi="Verdana" w:cs="Arial"/>
          <w:color w:val="000000"/>
          <w:lang w:val="es-ES_tradnl" w:eastAsia="es-CO"/>
        </w:rPr>
      </w:pPr>
      <w:r>
        <w:rPr>
          <w:noProof/>
        </w:rPr>
        <w:lastRenderedPageBreak/>
        <w:drawing>
          <wp:inline distT="0" distB="0" distL="0" distR="0" wp14:anchorId="544201A0" wp14:editId="03452AAD">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260FB" w14:paraId="6862FB9E" w14:textId="77777777" w:rsidTr="002D18AA">
        <w:trPr>
          <w:trHeight w:val="315"/>
        </w:trPr>
        <w:tc>
          <w:tcPr>
            <w:tcW w:w="893" w:type="dxa"/>
            <w:vAlign w:val="center"/>
            <w:hideMark/>
          </w:tcPr>
          <w:p w14:paraId="77F8682F"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C1DD78" w14:textId="77777777" w:rsidR="00A260FB" w:rsidRDefault="00A260FB" w:rsidP="002D18AA">
            <w:pPr>
              <w:spacing w:after="255" w:line="240" w:lineRule="auto"/>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1B5A0AF4" w14:textId="77777777" w:rsidR="00A260FB" w:rsidRDefault="00A260FB" w:rsidP="002D18AA">
            <w:pPr>
              <w:spacing w:after="255" w:line="240" w:lineRule="auto"/>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A260FB" w14:paraId="34B9B218" w14:textId="77777777" w:rsidTr="002D18AA">
        <w:trPr>
          <w:trHeight w:val="330"/>
        </w:trPr>
        <w:tc>
          <w:tcPr>
            <w:tcW w:w="893" w:type="dxa"/>
            <w:vAlign w:val="center"/>
            <w:hideMark/>
          </w:tcPr>
          <w:p w14:paraId="385BD974"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B2170D" w14:textId="56189E88" w:rsidR="00A260FB" w:rsidRDefault="00BA6D0C" w:rsidP="002D18A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692B1461" w14:textId="77777777" w:rsidR="00A260FB" w:rsidRDefault="00A260FB" w:rsidP="002D18A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A260FB" w14:paraId="78FA6D44" w14:textId="77777777" w:rsidTr="002D18AA">
        <w:trPr>
          <w:trHeight w:val="300"/>
        </w:trPr>
        <w:tc>
          <w:tcPr>
            <w:tcW w:w="893" w:type="dxa"/>
            <w:vAlign w:val="center"/>
            <w:hideMark/>
          </w:tcPr>
          <w:p w14:paraId="52F208ED" w14:textId="77777777" w:rsidR="00A260FB" w:rsidRDefault="00A260FB" w:rsidP="002D18AA">
            <w:pPr>
              <w:spacing w:after="255" w:line="240" w:lineRule="auto"/>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4D4D82" w14:textId="77777777" w:rsidR="00A260FB" w:rsidRDefault="00A260FB" w:rsidP="002D18AA">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2A32CCB" w14:textId="77777777" w:rsidR="00A260FB" w:rsidRDefault="00A260FB" w:rsidP="002D18AA">
            <w:pPr>
              <w:spacing w:after="255" w:line="240" w:lineRule="auto"/>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2"/>
    </w:tbl>
    <w:p w14:paraId="0F293BF4" w14:textId="1D2A1A09" w:rsidR="00127233" w:rsidRPr="00AA7021" w:rsidRDefault="00127233" w:rsidP="00AA7021"/>
    <w:sectPr w:rsidR="00127233" w:rsidRPr="00AA702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0843F" w14:textId="77777777" w:rsidR="00695157" w:rsidRDefault="00695157" w:rsidP="004A1847">
      <w:pPr>
        <w:spacing w:after="0" w:line="240" w:lineRule="auto"/>
      </w:pPr>
      <w:r>
        <w:separator/>
      </w:r>
    </w:p>
  </w:endnote>
  <w:endnote w:type="continuationSeparator" w:id="0">
    <w:p w14:paraId="236646D2" w14:textId="77777777" w:rsidR="00695157" w:rsidRDefault="00695157" w:rsidP="004A1847">
      <w:pPr>
        <w:spacing w:after="0" w:line="240" w:lineRule="auto"/>
      </w:pPr>
      <w:r>
        <w:continuationSeparator/>
      </w:r>
    </w:p>
  </w:endnote>
  <w:endnote w:type="continuationNotice" w:id="1">
    <w:p w14:paraId="118F8EFD" w14:textId="77777777" w:rsidR="00695157" w:rsidRDefault="006951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86933" w14:textId="77777777" w:rsidR="00695157" w:rsidRDefault="00695157" w:rsidP="004A1847">
      <w:pPr>
        <w:spacing w:after="0" w:line="240" w:lineRule="auto"/>
      </w:pPr>
      <w:r>
        <w:separator/>
      </w:r>
    </w:p>
  </w:footnote>
  <w:footnote w:type="continuationSeparator" w:id="0">
    <w:p w14:paraId="302D4F81" w14:textId="77777777" w:rsidR="00695157" w:rsidRDefault="00695157" w:rsidP="004A1847">
      <w:pPr>
        <w:spacing w:after="0" w:line="240" w:lineRule="auto"/>
      </w:pPr>
      <w:r>
        <w:continuationSeparator/>
      </w:r>
    </w:p>
  </w:footnote>
  <w:footnote w:type="continuationNotice" w:id="1">
    <w:p w14:paraId="73AF7247" w14:textId="77777777" w:rsidR="00695157" w:rsidRDefault="00695157">
      <w:pPr>
        <w:spacing w:after="0" w:line="240" w:lineRule="auto"/>
      </w:pPr>
    </w:p>
  </w:footnote>
  <w:footnote w:id="2">
    <w:p w14:paraId="69B89DF1" w14:textId="77777777" w:rsidR="00BF1FB9" w:rsidRDefault="00BF1FB9" w:rsidP="00BF1FB9">
      <w:pPr>
        <w:pStyle w:val="NormalWeb"/>
        <w:spacing w:before="0" w:beforeAutospacing="0" w:after="0" w:afterAutospacing="0"/>
        <w:ind w:firstLine="708"/>
        <w:jc w:val="both"/>
        <w:rPr>
          <w:rFonts w:ascii="Verdana" w:hAnsi="Verdana" w:cs="Arial"/>
          <w:color w:val="000000" w:themeColor="text1"/>
          <w:sz w:val="16"/>
          <w:szCs w:val="16"/>
        </w:rPr>
      </w:pPr>
      <w:r w:rsidRPr="00E347D3">
        <w:rPr>
          <w:rStyle w:val="Refdenotaalpie"/>
          <w:rFonts w:ascii="Verdana" w:hAnsi="Verdana" w:cs="Arial"/>
          <w:color w:val="000000" w:themeColor="text1"/>
          <w:sz w:val="16"/>
          <w:szCs w:val="16"/>
        </w:rPr>
        <w:footnoteRef/>
      </w:r>
      <w:r w:rsidRPr="00E347D3">
        <w:rPr>
          <w:rFonts w:ascii="Verdana" w:hAnsi="Verdana" w:cs="Arial"/>
          <w:color w:val="000000" w:themeColor="text1"/>
          <w:sz w:val="16"/>
          <w:szCs w:val="16"/>
        </w:rPr>
        <w:t xml:space="preserve"> </w:t>
      </w:r>
      <w:r w:rsidRPr="00E347D3">
        <w:rPr>
          <w:rFonts w:ascii="Verdana" w:hAnsi="Verdana" w:cs="Arial"/>
          <w:color w:val="000000" w:themeColor="text1"/>
          <w:sz w:val="16"/>
          <w:szCs w:val="16"/>
          <w:lang w:val="es-ES"/>
        </w:rPr>
        <w:t xml:space="preserve">Art. 6 Ley 1150 de 2007 </w:t>
      </w:r>
      <w:r w:rsidRPr="00E347D3">
        <w:rPr>
          <w:rFonts w:ascii="Verdana" w:eastAsia="Calibri" w:hAnsi="Verdana" w:cs="Arial"/>
          <w:i/>
          <w:iCs/>
          <w:color w:val="000000" w:themeColor="text1"/>
          <w:sz w:val="16"/>
          <w:szCs w:val="16"/>
          <w:lang w:val="es-ES_tradnl"/>
        </w:rPr>
        <w:t>“</w:t>
      </w:r>
      <w:r w:rsidRPr="00E347D3">
        <w:rPr>
          <w:rFonts w:ascii="Verdana" w:hAnsi="Verdana" w:cs="Arial"/>
          <w:color w:val="000000" w:themeColor="text1"/>
          <w:sz w:val="16"/>
          <w:szCs w:val="16"/>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A9008C8" w14:textId="77777777" w:rsidR="00BF1FB9" w:rsidRPr="00E347D3" w:rsidRDefault="00BF1FB9" w:rsidP="00BF1FB9">
      <w:pPr>
        <w:pStyle w:val="NormalWeb"/>
        <w:spacing w:before="0" w:beforeAutospacing="0" w:after="0" w:afterAutospacing="0"/>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w:t>
      </w:r>
    </w:p>
    <w:p w14:paraId="32ADBF84" w14:textId="77777777" w:rsidR="00BF1FB9" w:rsidRPr="00E347D3" w:rsidRDefault="00BF1FB9" w:rsidP="00BF1FB9">
      <w:pPr>
        <w:pStyle w:val="NormalWeb"/>
        <w:spacing w:before="0" w:beforeAutospacing="0" w:after="0" w:afterAutospacing="0"/>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En dicho registro constará la información relacionada con la experiencia, capacidad jurídica, financiera y de organización del proponente y su clasificación</w:t>
      </w:r>
      <w:r w:rsidRPr="00E347D3">
        <w:rPr>
          <w:rFonts w:ascii="Verdana" w:eastAsia="Calibri" w:hAnsi="Verdana" w:cs="Arial"/>
          <w:i/>
          <w:iCs/>
          <w:color w:val="000000" w:themeColor="text1"/>
          <w:sz w:val="16"/>
          <w:szCs w:val="16"/>
          <w:lang w:val="es-ES_tradnl"/>
        </w:rPr>
        <w:t>”</w:t>
      </w:r>
      <w:r w:rsidRPr="00E347D3">
        <w:rPr>
          <w:rFonts w:ascii="Verdana" w:hAnsi="Verdana" w:cs="Arial"/>
          <w:color w:val="000000" w:themeColor="text1"/>
          <w:sz w:val="16"/>
          <w:szCs w:val="16"/>
        </w:rPr>
        <w:t>.</w:t>
      </w:r>
    </w:p>
  </w:footnote>
  <w:footnote w:id="3">
    <w:p w14:paraId="4E990325" w14:textId="77777777" w:rsidR="00BF1FB9" w:rsidRPr="00E347D3" w:rsidRDefault="00BF1FB9" w:rsidP="00BF1FB9">
      <w:pPr>
        <w:spacing w:after="0" w:line="240" w:lineRule="auto"/>
        <w:ind w:firstLine="708"/>
        <w:jc w:val="both"/>
        <w:rPr>
          <w:rFonts w:ascii="Verdana" w:hAnsi="Verdana" w:cs="Arial"/>
          <w:color w:val="000000" w:themeColor="text1"/>
          <w:sz w:val="16"/>
          <w:szCs w:val="16"/>
        </w:rPr>
      </w:pPr>
      <w:r w:rsidRPr="00E347D3">
        <w:rPr>
          <w:rStyle w:val="Refdenotaalpie"/>
          <w:rFonts w:ascii="Verdana" w:hAnsi="Verdana" w:cs="Arial"/>
          <w:color w:val="000000" w:themeColor="text1"/>
          <w:sz w:val="16"/>
          <w:szCs w:val="16"/>
        </w:rPr>
        <w:footnoteRef/>
      </w:r>
      <w:r w:rsidRPr="00E347D3">
        <w:rPr>
          <w:rFonts w:ascii="Verdana" w:hAnsi="Verdana" w:cs="Arial"/>
          <w:color w:val="000000" w:themeColor="text1"/>
          <w:sz w:val="16"/>
          <w:szCs w:val="16"/>
        </w:rPr>
        <w:t xml:space="preserve"> </w:t>
      </w:r>
      <w:r w:rsidRPr="00E347D3">
        <w:rPr>
          <w:rFonts w:ascii="Verdana" w:hAnsi="Verdana" w:cs="Arial"/>
          <w:i/>
          <w:iCs/>
          <w:color w:val="000000" w:themeColor="text1"/>
          <w:sz w:val="16"/>
          <w:szCs w:val="16"/>
          <w:lang w:val="es-ES_tradnl"/>
        </w:rPr>
        <w:t>“</w:t>
      </w:r>
      <w:r w:rsidRPr="00E347D3">
        <w:rPr>
          <w:rFonts w:ascii="Verdana" w:hAnsi="Verdana" w:cs="Arial"/>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E347D3">
        <w:rPr>
          <w:rFonts w:ascii="Verdana" w:hAnsi="Verdana" w:cs="Arial"/>
          <w:i/>
          <w:iCs/>
          <w:sz w:val="16"/>
          <w:szCs w:val="16"/>
        </w:rPr>
        <w:t>”</w:t>
      </w:r>
      <w:r w:rsidRPr="00E347D3">
        <w:rPr>
          <w:rFonts w:ascii="Verdana" w:hAnsi="Verdana" w:cs="Arial"/>
          <w:color w:val="000000" w:themeColor="text1"/>
          <w:sz w:val="16"/>
          <w:szCs w:val="16"/>
        </w:rPr>
        <w:t xml:space="preserve">. </w:t>
      </w:r>
    </w:p>
  </w:footnote>
  <w:footnote w:id="4">
    <w:p w14:paraId="5F1A7443"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Style w:val="Refdenotaalpie"/>
          <w:rFonts w:ascii="Verdana" w:hAnsi="Verdana" w:cs="Arial"/>
          <w:color w:val="000000" w:themeColor="text1"/>
          <w:sz w:val="16"/>
          <w:szCs w:val="16"/>
        </w:rPr>
        <w:footnoteRef/>
      </w:r>
      <w:r w:rsidRPr="00E347D3">
        <w:rPr>
          <w:rFonts w:ascii="Verdana" w:hAnsi="Verdana" w:cs="Arial"/>
          <w:color w:val="000000" w:themeColor="text1"/>
          <w:sz w:val="16"/>
          <w:szCs w:val="16"/>
        </w:rPr>
        <w:t xml:space="preserve"> Esta norma prescribe que “Para que una persona se obligue a otra por un acto o declaración de voluntad, es necesario:</w:t>
      </w:r>
    </w:p>
    <w:p w14:paraId="14EB15AB"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1o.) que sea legalmente capaz;</w:t>
      </w:r>
    </w:p>
    <w:p w14:paraId="19AB071B"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2o.) que consienta en dicho acto o declaración y su consentimiento no adolezca de vicio;</w:t>
      </w:r>
    </w:p>
    <w:p w14:paraId="513C634F"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3o.) que recaiga sobre un objeto lícito;</w:t>
      </w:r>
    </w:p>
    <w:p w14:paraId="14BAB900"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4o.) que tenga una causa lícita.</w:t>
      </w:r>
    </w:p>
    <w:p w14:paraId="5A57ECAC"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La capacidad legal de una persona consiste en poderse obligar por sí misma, y sin el ministerio o la autorización de otra”.</w:t>
      </w:r>
    </w:p>
  </w:footnote>
  <w:footnote w:id="5">
    <w:p w14:paraId="7A1F5ABF"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Style w:val="Refdenotaalpie"/>
          <w:rFonts w:ascii="Verdana" w:hAnsi="Verdana"/>
          <w:color w:val="000000" w:themeColor="text1"/>
          <w:sz w:val="16"/>
          <w:szCs w:val="16"/>
        </w:rPr>
        <w:footnoteRef/>
      </w:r>
      <w:r w:rsidRPr="00E347D3">
        <w:rPr>
          <w:rFonts w:ascii="Verdana" w:hAnsi="Verdana"/>
          <w:color w:val="000000" w:themeColor="text1"/>
          <w:sz w:val="16"/>
          <w:szCs w:val="16"/>
        </w:rPr>
        <w:t xml:space="preserve"> </w:t>
      </w:r>
      <w:r w:rsidRPr="00E347D3">
        <w:rPr>
          <w:rFonts w:ascii="Verdana" w:hAnsi="Verdana" w:cs="Arial"/>
          <w:color w:val="000000" w:themeColor="text1"/>
          <w:sz w:val="16"/>
          <w:szCs w:val="16"/>
        </w:rPr>
        <w:t>JOSSERAND, Louis. Derecho civil: teorías generales del derecho y de los derechos. Las personas. Tomo I. Volumen I. Buenos Aires: EJEA, 1952. pp. 262-263.</w:t>
      </w:r>
    </w:p>
  </w:footnote>
  <w:footnote w:id="6">
    <w:p w14:paraId="1FE9508B" w14:textId="77777777" w:rsidR="00BF1FB9" w:rsidRPr="00E347D3" w:rsidRDefault="00BF1FB9" w:rsidP="00BF1FB9">
      <w:pPr>
        <w:pStyle w:val="Textonotapie"/>
        <w:ind w:firstLine="708"/>
        <w:jc w:val="both"/>
        <w:rPr>
          <w:rFonts w:ascii="Verdana" w:hAnsi="Verdana"/>
          <w:sz w:val="16"/>
          <w:szCs w:val="16"/>
        </w:rPr>
      </w:pPr>
      <w:r w:rsidRPr="00E347D3">
        <w:rPr>
          <w:rStyle w:val="Refdenotaalpie"/>
          <w:rFonts w:ascii="Verdana" w:hAnsi="Verdana"/>
          <w:sz w:val="16"/>
          <w:szCs w:val="16"/>
        </w:rPr>
        <w:footnoteRef/>
      </w:r>
      <w:r w:rsidRPr="00E347D3">
        <w:rPr>
          <w:rFonts w:ascii="Verdana" w:hAnsi="Verdana"/>
          <w:sz w:val="16"/>
          <w:szCs w:val="16"/>
        </w:rPr>
        <w:t xml:space="preserve"> En esta medida, la limitación de la capacidad de ejercicio de los menores de edad tiene su fundamento en el artículo 1504 del Código Civil, el cual –después de la modificación introducida por el artículo 57 de la Ley 1996 de 2019– dispone que “Son absolutamente incapaces los impúberes. Sus actos no producen ni aún obligaciones naturales, y no admiten caución. Son también incapaces los menores púberes. Pero la incapacidad de estas personas no es absoluta y sus actos pueden tener valor en ciertas circunstancias y bajo ciertos respectos determinados por las leyes. Además de estas incapacidades hay otras particulares que consisten en la prohibición que la ley ha impuesto a ciertas personas para ejecutar ciertos actos”. </w:t>
      </w:r>
    </w:p>
  </w:footnote>
  <w:footnote w:id="7">
    <w:p w14:paraId="54C3A169" w14:textId="77777777" w:rsidR="00BF1FB9" w:rsidRPr="00E347D3" w:rsidRDefault="00BF1FB9" w:rsidP="00BF1FB9">
      <w:pPr>
        <w:pStyle w:val="Textonotapie"/>
        <w:ind w:firstLine="708"/>
        <w:jc w:val="both"/>
        <w:rPr>
          <w:rFonts w:ascii="Verdana" w:hAnsi="Verdana"/>
          <w:color w:val="000000" w:themeColor="text1"/>
          <w:sz w:val="16"/>
          <w:szCs w:val="16"/>
        </w:rPr>
      </w:pPr>
      <w:r w:rsidRPr="00E347D3">
        <w:rPr>
          <w:rStyle w:val="Refdenotaalpie"/>
          <w:rFonts w:ascii="Verdana" w:hAnsi="Verdana"/>
          <w:color w:val="000000" w:themeColor="text1"/>
          <w:sz w:val="16"/>
          <w:szCs w:val="16"/>
        </w:rPr>
        <w:footnoteRef/>
      </w:r>
      <w:r w:rsidRPr="00E347D3">
        <w:rPr>
          <w:rFonts w:ascii="Verdana" w:hAnsi="Verdana"/>
          <w:color w:val="000000" w:themeColor="text1"/>
          <w:sz w:val="16"/>
          <w:szCs w:val="16"/>
        </w:rPr>
        <w:t xml:space="preserve"> </w:t>
      </w:r>
      <w:r w:rsidRPr="00E347D3">
        <w:rPr>
          <w:rFonts w:ascii="Verdana" w:hAnsi="Verdana" w:cs="Arial"/>
          <w:color w:val="000000" w:themeColor="text1"/>
          <w:sz w:val="16"/>
          <w:szCs w:val="16"/>
        </w:rPr>
        <w:t>CONSEJO DE ESTADO. Sección Tercera. Sentencia del 26 de enero de 2011. Rad. 36.408. C.P. Jaime Orlando Santofimio Gamboa.</w:t>
      </w:r>
      <w:r w:rsidRPr="00E347D3">
        <w:rPr>
          <w:rFonts w:ascii="Verdana" w:hAnsi="Verdana"/>
          <w:color w:val="000000" w:themeColor="text1"/>
          <w:sz w:val="16"/>
          <w:szCs w:val="16"/>
        </w:rPr>
        <w:t xml:space="preserve">  </w:t>
      </w:r>
    </w:p>
  </w:footnote>
  <w:footnote w:id="8">
    <w:p w14:paraId="70142CD5"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Style w:val="Refdenotaalpie"/>
          <w:rFonts w:ascii="Verdana" w:hAnsi="Verdana"/>
          <w:color w:val="000000" w:themeColor="text1"/>
          <w:sz w:val="16"/>
          <w:szCs w:val="16"/>
        </w:rPr>
        <w:footnoteRef/>
      </w:r>
      <w:r w:rsidRPr="00E347D3">
        <w:rPr>
          <w:rFonts w:ascii="Verdana" w:hAnsi="Verdana"/>
          <w:color w:val="000000" w:themeColor="text1"/>
          <w:sz w:val="16"/>
          <w:szCs w:val="16"/>
        </w:rPr>
        <w:t xml:space="preserve"> </w:t>
      </w:r>
      <w:r w:rsidRPr="00E347D3">
        <w:rPr>
          <w:rFonts w:ascii="Verdana" w:hAnsi="Verdana" w:cs="Arial"/>
          <w:color w:val="000000" w:themeColor="text1"/>
          <w:sz w:val="16"/>
          <w:szCs w:val="16"/>
        </w:rPr>
        <w:t>Para estos efectos, la doctrina considera que “[…] la incapacidad especial afecta únicamente a ciertas personas, impidiéndoles que puedan ejecutar actos específicos que la ley señala en cada caso; de modo que, para que sea aplicable, se requieren dos condiciones: la persona misma y el acto.</w:t>
      </w:r>
    </w:p>
    <w:p w14:paraId="5108D29A"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Si esas personas, que, por otra parte, son plenamente capaces para celebrar o ejecutar válidamente cualquier acto o contrato de la vida civil, celebran uno, para el cual son capaces, el acto o contrato es válido, porque la incapacidad sólo dice relación con el acto o contrato específico que la ley señala.</w:t>
      </w:r>
    </w:p>
    <w:p w14:paraId="5A843516"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Igualmente, el acto o contrato para cuya ejecución o celebración la ley considera incapaz a ciertas y determinadas personas no tiene en sí nada de reprobable, y puede, por lo general, ser ejecutado por cualquier individuo, estando las más de las veces expresamente reglamentado por la legislación. Pero si es ejecutado por aquellas personas, la ley no permite su subsistencia y autoriza su anulación, porque no quiere que esas personas, que están en situaciones especiales, celebren o ejecuten tales actos o contratos.</w:t>
      </w:r>
    </w:p>
    <w:p w14:paraId="1CF57059"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En consecuencia, en las incapacidades especiales existe una relación íntima entre la calidad o estado de que está revestida una persona, y el acto específico que realiza. Por tal motivo, tratándose de una persona que no reúna esa calidad o estado, el acto puede ejecutarse sin ningún inconveniente; y en igual forma, tratándose de otro acto diverso, la persona que tenga esa calidad puede ejecutarlo válidamente. La incapacidad especial se produce, pues, por la conjunción de dos circunstancias, que deben coexistir: persona que reúna ciertas condiciones o que tenga un estado especial determinado por la ley, y acto cuya celebración sea prohibida a esa persona” (</w:t>
      </w:r>
      <w:bookmarkStart w:id="1" w:name="_Hlk35615848"/>
      <w:r w:rsidRPr="00E347D3">
        <w:rPr>
          <w:rFonts w:ascii="Verdana" w:hAnsi="Verdana" w:cs="Arial"/>
          <w:color w:val="000000" w:themeColor="text1"/>
          <w:sz w:val="16"/>
          <w:szCs w:val="16"/>
        </w:rPr>
        <w:t>ALESSADRI BESA, Arturo. La nulidad y la rescisión en el derecho civil chileno. Tomo I. Santiago de Chile: Ediar Editores LTDA, 1949. p. 471</w:t>
      </w:r>
      <w:bookmarkEnd w:id="1"/>
      <w:r w:rsidRPr="00E347D3">
        <w:rPr>
          <w:rFonts w:ascii="Verdana" w:hAnsi="Verdana" w:cs="Arial"/>
          <w:color w:val="000000" w:themeColor="text1"/>
          <w:sz w:val="16"/>
          <w:szCs w:val="16"/>
        </w:rPr>
        <w:t xml:space="preserve">). </w:t>
      </w:r>
    </w:p>
  </w:footnote>
  <w:footnote w:id="9">
    <w:p w14:paraId="0EE3DAA1" w14:textId="77777777" w:rsidR="00BF1FB9" w:rsidRPr="00E347D3" w:rsidRDefault="00BF1FB9" w:rsidP="00BF1FB9">
      <w:pPr>
        <w:pStyle w:val="Textonotapie"/>
        <w:ind w:firstLine="708"/>
        <w:jc w:val="both"/>
        <w:rPr>
          <w:rFonts w:ascii="Verdana" w:hAnsi="Verdana" w:cs="Arial"/>
          <w:sz w:val="16"/>
          <w:szCs w:val="16"/>
        </w:rPr>
      </w:pPr>
      <w:r w:rsidRPr="00E347D3">
        <w:rPr>
          <w:rStyle w:val="Refdenotaalpie"/>
          <w:rFonts w:ascii="Verdana" w:hAnsi="Verdana" w:cs="Arial"/>
          <w:sz w:val="16"/>
          <w:szCs w:val="16"/>
        </w:rPr>
        <w:footnoteRef/>
      </w:r>
      <w:r w:rsidRPr="00E347D3">
        <w:rPr>
          <w:rFonts w:ascii="Verdana" w:hAnsi="Verdana" w:cs="Arial"/>
          <w:sz w:val="16"/>
          <w:szCs w:val="16"/>
        </w:rPr>
        <w:t xml:space="preserve"> Al respecto, “Se ha considerado […] que, respecto de la colectividad, la personificación no es un hecho natural, porque la colectividad no puede existir como persona </w:t>
      </w:r>
      <w:r w:rsidRPr="00E347D3">
        <w:rPr>
          <w:rFonts w:ascii="Verdana" w:hAnsi="Verdana" w:cs="Arial"/>
          <w:i/>
          <w:iCs/>
          <w:sz w:val="16"/>
          <w:szCs w:val="16"/>
        </w:rPr>
        <w:t>jure propio</w:t>
      </w:r>
      <w:r w:rsidRPr="00E347D3">
        <w:rPr>
          <w:rFonts w:ascii="Verdana" w:hAnsi="Verdana" w:cs="Arial"/>
          <w:sz w:val="16"/>
          <w:szCs w:val="16"/>
        </w:rPr>
        <w:t xml:space="preserve">; se ha querido, por tanto, investigar cómo puede ser sujeto de derechos un ente que no tiene existencia real y electiva, y se ha pensado que, además de los entes reales y efectivos, que son personas </w:t>
      </w:r>
      <w:r w:rsidRPr="00E347D3">
        <w:rPr>
          <w:rFonts w:ascii="Verdana" w:hAnsi="Verdana" w:cs="Arial"/>
          <w:i/>
          <w:iCs/>
          <w:sz w:val="16"/>
          <w:szCs w:val="16"/>
        </w:rPr>
        <w:t>jure propio</w:t>
      </w:r>
      <w:r w:rsidRPr="00E347D3">
        <w:rPr>
          <w:rFonts w:ascii="Verdana" w:hAnsi="Verdana" w:cs="Arial"/>
          <w:sz w:val="16"/>
          <w:szCs w:val="16"/>
        </w:rPr>
        <w:t>,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Olejnik, 2020. p. 10).</w:t>
      </w:r>
    </w:p>
  </w:footnote>
  <w:footnote w:id="10">
    <w:p w14:paraId="5647133A" w14:textId="77777777" w:rsidR="00BF1FB9" w:rsidRPr="00E347D3" w:rsidRDefault="00BF1FB9" w:rsidP="00BF1FB9">
      <w:pPr>
        <w:pStyle w:val="Textonotapie"/>
        <w:ind w:firstLine="708"/>
        <w:jc w:val="both"/>
        <w:rPr>
          <w:rFonts w:ascii="Verdana" w:hAnsi="Verdana" w:cs="Arial"/>
          <w:sz w:val="16"/>
          <w:szCs w:val="16"/>
        </w:rPr>
      </w:pPr>
      <w:r w:rsidRPr="00E347D3">
        <w:rPr>
          <w:rStyle w:val="Refdenotaalpie"/>
          <w:rFonts w:ascii="Verdana" w:hAnsi="Verdana" w:cs="Arial"/>
          <w:sz w:val="16"/>
          <w:szCs w:val="16"/>
        </w:rPr>
        <w:footnoteRef/>
      </w:r>
      <w:r w:rsidRPr="00E347D3">
        <w:rPr>
          <w:rFonts w:ascii="Verdana" w:hAnsi="Verdana" w:cs="Arial"/>
          <w:sz w:val="16"/>
          <w:szCs w:val="16"/>
        </w:rPr>
        <w:t xml:space="preserve"> Así, “[…] podemos advertir que el concepto de persona jurídica está directamente ligado a la capacidad, y por la vía de la capacidad, llegaremos a un concepto afín, el de la separación patrimonial entre la persona jurídica y sus miembros. </w:t>
      </w:r>
    </w:p>
    <w:p w14:paraId="7FB96F82" w14:textId="77777777" w:rsidR="00BF1FB9" w:rsidRPr="00E347D3" w:rsidRDefault="00BF1FB9" w:rsidP="00BF1FB9">
      <w:pPr>
        <w:pStyle w:val="Textonotapie"/>
        <w:ind w:firstLine="708"/>
        <w:jc w:val="both"/>
        <w:rPr>
          <w:rFonts w:ascii="Verdana" w:hAnsi="Verdana" w:cs="Arial"/>
          <w:sz w:val="16"/>
          <w:szCs w:val="16"/>
        </w:rPr>
      </w:pPr>
      <w:r w:rsidRPr="00E347D3">
        <w:rPr>
          <w:rFonts w:ascii="Verdana" w:hAnsi="Verdana" w:cs="Arial"/>
          <w:sz w:val="16"/>
          <w:szCs w:val="16"/>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footnote>
  <w:footnote w:id="11">
    <w:p w14:paraId="07F7CD75" w14:textId="77777777" w:rsidR="00BF1FB9" w:rsidRPr="00E347D3" w:rsidRDefault="00BF1FB9" w:rsidP="00BF1FB9">
      <w:pPr>
        <w:pStyle w:val="Textonotapie"/>
        <w:ind w:firstLine="708"/>
        <w:jc w:val="both"/>
        <w:rPr>
          <w:rFonts w:ascii="Verdana" w:hAnsi="Verdana" w:cs="Arial"/>
          <w:sz w:val="16"/>
          <w:szCs w:val="16"/>
        </w:rPr>
      </w:pPr>
      <w:r w:rsidRPr="00E347D3">
        <w:rPr>
          <w:rStyle w:val="Refdenotaalpie"/>
          <w:rFonts w:ascii="Verdana" w:hAnsi="Verdana" w:cs="Arial"/>
          <w:sz w:val="16"/>
          <w:szCs w:val="16"/>
        </w:rPr>
        <w:footnoteRef/>
      </w:r>
      <w:r w:rsidRPr="00E347D3">
        <w:rPr>
          <w:rFonts w:ascii="Verdana" w:hAnsi="Verdana" w:cs="Arial"/>
          <w:sz w:val="16"/>
          <w:szCs w:val="16"/>
        </w:rPr>
        <w:t xml:space="preserve"> CLARO SOLAR, Luis. Explicaciones de derecho civil chileno y comparado. Volumen II. Tomo V. Santiago: Editorial Jurídica de Chile, 2013. p. 353.</w:t>
      </w:r>
    </w:p>
  </w:footnote>
  <w:footnote w:id="12">
    <w:p w14:paraId="4891C577"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Style w:val="Refdenotaalpie"/>
          <w:rFonts w:ascii="Verdana" w:hAnsi="Verdana" w:cs="Arial"/>
          <w:color w:val="000000" w:themeColor="text1"/>
          <w:sz w:val="16"/>
          <w:szCs w:val="16"/>
        </w:rPr>
        <w:footnoteRef/>
      </w:r>
      <w:r w:rsidRPr="00E347D3">
        <w:rPr>
          <w:rFonts w:ascii="Verdana" w:hAnsi="Verdana" w:cs="Arial"/>
          <w:color w:val="000000" w:themeColor="text1"/>
          <w:sz w:val="16"/>
          <w:szCs w:val="16"/>
        </w:rPr>
        <w:t xml:space="preserve"> “Artículo 117. La existencia de la sociedad y las cláusulas del contrato se probarán con certificación de la cámara de comercio del domicilio principal, en la que constará el número, fecha y notaría de la escritura de constitución y de las reformas del contrato, si las hubiere; el certificado expresará, además, la fecha y el número de la providencia por la cual se le concedió permiso de funcionamiento y, en todo caso, la constancia de que la sociedad no se halla disuelta. </w:t>
      </w:r>
    </w:p>
    <w:p w14:paraId="1B513668" w14:textId="77777777" w:rsidR="00BF1FB9" w:rsidRPr="00E347D3" w:rsidRDefault="00BF1FB9" w:rsidP="00BF1FB9">
      <w:pPr>
        <w:pStyle w:val="Textonotapie"/>
        <w:ind w:firstLine="708"/>
        <w:jc w:val="both"/>
        <w:rPr>
          <w:rFonts w:ascii="Verdana" w:hAnsi="Verdana" w:cs="Arial"/>
          <w:color w:val="000000" w:themeColor="text1"/>
          <w:sz w:val="16"/>
          <w:szCs w:val="16"/>
        </w:rPr>
      </w:pPr>
      <w:r w:rsidRPr="00E347D3">
        <w:rPr>
          <w:rFonts w:ascii="Verdana" w:hAnsi="Verdana" w:cs="Arial"/>
          <w:color w:val="000000" w:themeColor="text1"/>
          <w:sz w:val="16"/>
          <w:szCs w:val="16"/>
        </w:rPr>
        <w:t xml:space="preserve">Para probar la representación de una sociedad bastará la certificación de la cámara respectiva, con indicación del nombre de los representantes, de las facultades conferidas a cada uno de ellos en el contrato y de las limitaciones acordadas a dichas facultades, en su caso”. </w:t>
      </w:r>
    </w:p>
  </w:footnote>
  <w:footnote w:id="13">
    <w:p w14:paraId="15A0F4E6" w14:textId="77777777" w:rsidR="00BF1FB9" w:rsidRPr="00E347D3" w:rsidRDefault="00BF1FB9" w:rsidP="00BF1FB9">
      <w:pPr>
        <w:pStyle w:val="Textonotapie"/>
        <w:ind w:firstLine="708"/>
        <w:jc w:val="both"/>
        <w:rPr>
          <w:rFonts w:ascii="Verdana" w:hAnsi="Verdana" w:cs="Arial"/>
          <w:sz w:val="16"/>
          <w:szCs w:val="16"/>
        </w:rPr>
      </w:pPr>
      <w:r w:rsidRPr="00E347D3">
        <w:rPr>
          <w:rStyle w:val="Refdenotaalpie"/>
          <w:rFonts w:ascii="Verdana" w:hAnsi="Verdana" w:cs="Arial"/>
          <w:sz w:val="16"/>
          <w:szCs w:val="16"/>
        </w:rPr>
        <w:footnoteRef/>
      </w:r>
      <w:r w:rsidRPr="00E347D3">
        <w:rPr>
          <w:rFonts w:ascii="Verdana" w:hAnsi="Verdana" w:cs="Arial"/>
          <w:sz w:val="16"/>
          <w:szCs w:val="16"/>
        </w:rPr>
        <w:t xml:space="preserve"> De acuerdo con la Corte Constitucional en la Sentencia C-305 de 2019, con ponencia de la Magistrada Cristina Pardo Schlesinger, “[…] la indebida representación negocial no da lugar a la nulidad del contrato, ni relativa ni absoluta, sino a la inoponibilidad del mismo frente a terceros, específicamente frente a la persona jurídica”.</w:t>
      </w:r>
    </w:p>
  </w:footnote>
  <w:footnote w:id="14">
    <w:p w14:paraId="5ADFC91C" w14:textId="77777777" w:rsidR="00BF1FB9" w:rsidRPr="00E347D3" w:rsidRDefault="00BF1FB9" w:rsidP="00BF1FB9">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E347D3">
        <w:rPr>
          <w:rStyle w:val="Refdenotaalpie"/>
          <w:rFonts w:ascii="Verdana" w:hAnsi="Verdana" w:cs="Arial"/>
          <w:color w:val="000000"/>
          <w:sz w:val="16"/>
          <w:szCs w:val="16"/>
        </w:rPr>
        <w:footnoteRef/>
      </w:r>
      <w:r w:rsidRPr="00E347D3">
        <w:rPr>
          <w:rFonts w:ascii="Verdana" w:hAnsi="Verdana" w:cs="Arial"/>
          <w:color w:val="000000"/>
          <w:sz w:val="16"/>
          <w:szCs w:val="16"/>
          <w:lang w:val="es-MX"/>
        </w:rPr>
        <w:t xml:space="preserve"> “6.3.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w:t>
      </w:r>
    </w:p>
    <w:p w14:paraId="563321CB" w14:textId="77777777" w:rsidR="00BF1FB9" w:rsidRPr="00E347D3" w:rsidRDefault="00BF1FB9" w:rsidP="00BF1FB9">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En firme la inscripción, cualquier persona podrá demandar su nulidad en desarrollo de la acción prevista en el Código Contencioso Administrativo. Para el efecto será competente el Juez de lo Contencioso Administrativo en única instancia.</w:t>
      </w:r>
    </w:p>
    <w:p w14:paraId="02A454CC" w14:textId="77777777" w:rsidR="00BF1FB9" w:rsidRPr="00E347D3" w:rsidRDefault="00BF1FB9" w:rsidP="00BF1FB9">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7555C6BC" w14:textId="77777777" w:rsidR="00BF1FB9" w:rsidRPr="00E347D3" w:rsidRDefault="00BF1FB9" w:rsidP="00BF1FB9">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w:t>
      </w:r>
    </w:p>
    <w:p w14:paraId="76B61614" w14:textId="77777777" w:rsidR="00BF1FB9" w:rsidRPr="00E347D3" w:rsidRDefault="00BF1FB9" w:rsidP="00BF1FB9">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w:t>
      </w:r>
    </w:p>
    <w:p w14:paraId="4279F0E1" w14:textId="77777777" w:rsidR="00BF1FB9" w:rsidRPr="00E347D3" w:rsidRDefault="00BF1FB9" w:rsidP="00BF1FB9">
      <w:pPr>
        <w:pStyle w:val="NormalWeb"/>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Las mismas sanciones previstas en el inciso anterior se predicarán en el evento en que el Juez de lo Contencioso Administrativa declare la nulidad del acto de inscripción.</w:t>
      </w:r>
    </w:p>
    <w:p w14:paraId="5B1ACC11" w14:textId="77777777" w:rsidR="00BF1FB9" w:rsidRPr="00E347D3" w:rsidRDefault="00BF1FB9" w:rsidP="00BF1FB9">
      <w:pPr>
        <w:pStyle w:val="NormalWeb"/>
        <w:spacing w:before="0" w:beforeAutospacing="0" w:after="0" w:afterAutospacing="0"/>
        <w:ind w:firstLine="708"/>
        <w:jc w:val="both"/>
        <w:rPr>
          <w:rFonts w:ascii="Verdana" w:hAnsi="Verdana" w:cs="Arial"/>
          <w:color w:val="000000"/>
          <w:sz w:val="16"/>
          <w:szCs w:val="16"/>
          <w:lang w:val="es-MX"/>
        </w:rPr>
      </w:pPr>
      <w:r w:rsidRPr="00E347D3">
        <w:rPr>
          <w:rFonts w:ascii="Verdana" w:hAnsi="Verdana" w:cs="Arial"/>
          <w:color w:val="000000"/>
          <w:sz w:val="16"/>
          <w:szCs w:val="16"/>
          <w:lang w:val="es-MX"/>
        </w:rPr>
        <w:t>La información contenida en el registro es pública y su consulta será gratuita”.</w:t>
      </w:r>
    </w:p>
  </w:footnote>
  <w:footnote w:id="15">
    <w:p w14:paraId="2E138A55" w14:textId="77777777" w:rsidR="00BF1FB9" w:rsidRPr="00E347D3" w:rsidRDefault="00BF1FB9" w:rsidP="00BF1FB9">
      <w:pPr>
        <w:pStyle w:val="Textonotapie"/>
        <w:ind w:firstLine="708"/>
        <w:jc w:val="both"/>
        <w:rPr>
          <w:rFonts w:ascii="Verdana" w:eastAsia="Times New Roman" w:hAnsi="Verdana" w:cs="Arial"/>
          <w:color w:val="000000"/>
          <w:sz w:val="16"/>
          <w:szCs w:val="16"/>
          <w:lang w:eastAsia="es-CO"/>
        </w:rPr>
      </w:pPr>
      <w:r w:rsidRPr="00E347D3">
        <w:rPr>
          <w:rStyle w:val="Refdenotaalpie"/>
          <w:rFonts w:ascii="Verdana" w:hAnsi="Verdana" w:cs="Arial"/>
          <w:color w:val="000000"/>
          <w:sz w:val="16"/>
          <w:szCs w:val="16"/>
        </w:rPr>
        <w:footnoteRef/>
      </w:r>
      <w:r w:rsidRPr="00E347D3">
        <w:rPr>
          <w:rFonts w:ascii="Verdana" w:eastAsia="Times New Roman" w:hAnsi="Verdana" w:cs="Arial"/>
          <w:color w:val="000000"/>
          <w:sz w:val="16"/>
          <w:szCs w:val="16"/>
          <w:lang w:eastAsia="es-CO"/>
        </w:rPr>
        <w:t xml:space="preserve"> “Artículo 2.2.1.1.1.5.1. Inscripción, renovación, actualización y cancelación del RUP.</w:t>
      </w:r>
    </w:p>
    <w:p w14:paraId="3EAEB6C5" w14:textId="77777777" w:rsidR="00BF1FB9" w:rsidRPr="00E347D3" w:rsidRDefault="00BF1FB9" w:rsidP="00BF1FB9">
      <w:pPr>
        <w:pStyle w:val="Textonotapie"/>
        <w:ind w:firstLine="708"/>
        <w:jc w:val="both"/>
        <w:rPr>
          <w:rFonts w:ascii="Verdana" w:eastAsia="Times New Roman" w:hAnsi="Verdana" w:cs="Arial"/>
          <w:color w:val="000000"/>
          <w:sz w:val="16"/>
          <w:szCs w:val="16"/>
          <w:lang w:eastAsia="es-CO"/>
        </w:rPr>
      </w:pPr>
      <w:r w:rsidRPr="00E347D3">
        <w:rPr>
          <w:rFonts w:ascii="Verdana" w:eastAsia="Times New Roman" w:hAnsi="Verdana" w:cs="Arial"/>
          <w:color w:val="000000"/>
          <w:sz w:val="16"/>
          <w:szCs w:val="16"/>
          <w:lang w:eastAsia="es-CO"/>
        </w:rPr>
        <w:t>[…]</w:t>
      </w:r>
    </w:p>
    <w:p w14:paraId="4FA67FE1" w14:textId="77777777" w:rsidR="00BF1FB9" w:rsidRPr="00E347D3" w:rsidRDefault="00BF1FB9" w:rsidP="00BF1FB9">
      <w:pPr>
        <w:pStyle w:val="Textonotapie"/>
        <w:ind w:firstLine="708"/>
        <w:jc w:val="both"/>
        <w:rPr>
          <w:rFonts w:ascii="Verdana" w:eastAsia="Times New Roman" w:hAnsi="Verdana" w:cs="Arial"/>
          <w:color w:val="000000"/>
          <w:sz w:val="16"/>
          <w:szCs w:val="16"/>
          <w:lang w:eastAsia="es-CO"/>
        </w:rPr>
      </w:pPr>
      <w:r w:rsidRPr="00E347D3">
        <w:rPr>
          <w:rFonts w:ascii="Verdana" w:eastAsia="Times New Roman" w:hAnsi="Verdana" w:cs="Arial"/>
          <w:color w:val="000000"/>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footnote>
  <w:footnote w:id="16">
    <w:p w14:paraId="4184AC30" w14:textId="77777777" w:rsidR="00BF1FB9" w:rsidRPr="00E347D3" w:rsidRDefault="00BF1FB9" w:rsidP="00BF1FB9">
      <w:pPr>
        <w:pStyle w:val="Textonotapie"/>
        <w:ind w:firstLine="708"/>
        <w:jc w:val="both"/>
        <w:rPr>
          <w:rFonts w:ascii="Verdana" w:eastAsia="Times New Roman" w:hAnsi="Verdana" w:cs="Arial"/>
          <w:color w:val="000000"/>
          <w:sz w:val="16"/>
          <w:szCs w:val="16"/>
          <w:lang w:eastAsia="es-CO"/>
        </w:rPr>
      </w:pPr>
      <w:r w:rsidRPr="00E347D3">
        <w:rPr>
          <w:rStyle w:val="Refdenotaalpie"/>
          <w:rFonts w:ascii="Verdana" w:hAnsi="Verdana" w:cs="Arial"/>
          <w:color w:val="000000"/>
          <w:sz w:val="16"/>
          <w:szCs w:val="16"/>
        </w:rPr>
        <w:footnoteRef/>
      </w:r>
      <w:r w:rsidRPr="00E347D3">
        <w:rPr>
          <w:rFonts w:ascii="Verdana" w:hAnsi="Verdana" w:cs="Arial"/>
          <w:color w:val="000000"/>
          <w:sz w:val="16"/>
          <w:szCs w:val="16"/>
        </w:rPr>
        <w:t xml:space="preserve"> </w:t>
      </w:r>
      <w:r w:rsidRPr="00E347D3">
        <w:rPr>
          <w:rFonts w:ascii="Verdana" w:eastAsia="Times New Roman" w:hAnsi="Verdana" w:cs="Arial"/>
          <w:color w:val="000000"/>
          <w:sz w:val="16"/>
          <w:szCs w:val="16"/>
          <w:lang w:eastAsia="es-CO"/>
        </w:rPr>
        <w:t>Consejo de Estado. Sección Tercera. Subsección A. Sentencia del 19 de septiembre de 2019. Exp. 59.432. C.P. Marta Nubia Velásquez Rico.</w:t>
      </w:r>
    </w:p>
  </w:footnote>
  <w:footnote w:id="17">
    <w:p w14:paraId="19CE71ED"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Style w:val="Refdenotaalpie"/>
          <w:rFonts w:ascii="Verdana" w:hAnsi="Verdana" w:cs="Arial"/>
          <w:color w:val="000000"/>
          <w:sz w:val="16"/>
          <w:szCs w:val="16"/>
        </w:rPr>
        <w:footnoteRef/>
      </w:r>
      <w:r w:rsidRPr="00E347D3">
        <w:rPr>
          <w:rFonts w:ascii="Verdana" w:hAnsi="Verdana" w:cs="Arial"/>
          <w:color w:val="000000"/>
          <w:sz w:val="16"/>
          <w:szCs w:val="16"/>
        </w:rPr>
        <w:t xml:space="preserve"> </w:t>
      </w:r>
      <w:r w:rsidRPr="00E347D3">
        <w:rPr>
          <w:rFonts w:ascii="Verdana" w:hAnsi="Verdana" w:cs="Arial"/>
          <w:color w:val="000000"/>
          <w:sz w:val="16"/>
          <w:szCs w:val="16"/>
          <w:lang w:val="es-CO"/>
        </w:rPr>
        <w:t xml:space="preserve">“Artículo 87. Firmeza de los actos administrativos. Los actos administrativos quedarán en firme: </w:t>
      </w:r>
    </w:p>
    <w:p w14:paraId="1FF54553"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Fonts w:ascii="Verdana" w:hAnsi="Verdana" w:cs="Arial"/>
          <w:color w:val="000000"/>
          <w:sz w:val="16"/>
          <w:szCs w:val="16"/>
          <w:lang w:val="es-CO"/>
        </w:rPr>
        <w:t xml:space="preserve">1. Cuando contra ellos no proceda ningún recurso, desde el día siguiente al de su notificación, comunicación o publicación según el caso. </w:t>
      </w:r>
    </w:p>
    <w:p w14:paraId="1F714BC9"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Fonts w:ascii="Verdana" w:hAnsi="Verdana" w:cs="Arial"/>
          <w:color w:val="000000"/>
          <w:sz w:val="16"/>
          <w:szCs w:val="16"/>
          <w:lang w:val="es-CO"/>
        </w:rPr>
        <w:t xml:space="preserve">2. Desde el día siguiente a la publicación, comunicación o notificación de la decisión sobre los recursos interpuestos. </w:t>
      </w:r>
    </w:p>
    <w:p w14:paraId="58750E32"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Fonts w:ascii="Verdana" w:hAnsi="Verdana" w:cs="Arial"/>
          <w:color w:val="000000"/>
          <w:sz w:val="16"/>
          <w:szCs w:val="16"/>
          <w:lang w:val="es-CO"/>
        </w:rPr>
        <w:t>3. Desde el día siguiente al del vencimiento del término para interponer los recursos, si estos no fueron interpuestos, o se hubiere renunciado expresamente a ellos.</w:t>
      </w:r>
    </w:p>
    <w:p w14:paraId="1DAE8C80"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Fonts w:ascii="Verdana" w:hAnsi="Verdana" w:cs="Arial"/>
          <w:color w:val="000000"/>
          <w:sz w:val="16"/>
          <w:szCs w:val="16"/>
          <w:lang w:val="es-CO"/>
        </w:rPr>
        <w:t xml:space="preserve">4. Desde el día siguiente al de la notificación de la aceptación del desistimiento de los recursos. </w:t>
      </w:r>
    </w:p>
    <w:p w14:paraId="4C50D966"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Fonts w:ascii="Verdana" w:hAnsi="Verdana" w:cs="Arial"/>
          <w:color w:val="000000"/>
          <w:sz w:val="16"/>
          <w:szCs w:val="16"/>
          <w:lang w:val="es-CO"/>
        </w:rPr>
        <w:t>5. Desde el día siguiente al de la protocolización a que alude el artículo 85 para el silencio administrativo positivo”.</w:t>
      </w:r>
    </w:p>
  </w:footnote>
  <w:footnote w:id="18">
    <w:p w14:paraId="54B10228" w14:textId="77777777" w:rsidR="00BF1FB9" w:rsidRPr="00E347D3" w:rsidRDefault="00BF1FB9" w:rsidP="00BF1FB9">
      <w:pPr>
        <w:pStyle w:val="Textonotapie"/>
        <w:ind w:firstLine="709"/>
        <w:jc w:val="both"/>
        <w:rPr>
          <w:rFonts w:ascii="Verdana" w:hAnsi="Verdana" w:cs="Arial"/>
          <w:color w:val="000000"/>
          <w:sz w:val="16"/>
          <w:szCs w:val="16"/>
          <w:lang w:val="es-CO"/>
        </w:rPr>
      </w:pPr>
      <w:r w:rsidRPr="00E347D3">
        <w:rPr>
          <w:rStyle w:val="Refdenotaalpie"/>
          <w:rFonts w:ascii="Verdana" w:hAnsi="Verdana" w:cs="Arial"/>
          <w:color w:val="000000"/>
          <w:sz w:val="16"/>
          <w:szCs w:val="16"/>
        </w:rPr>
        <w:footnoteRef/>
      </w:r>
      <w:r w:rsidRPr="00E347D3">
        <w:rPr>
          <w:rFonts w:ascii="Verdana" w:hAnsi="Verdana" w:cs="Arial"/>
          <w:color w:val="000000"/>
          <w:sz w:val="16"/>
          <w:szCs w:val="16"/>
        </w:rPr>
        <w:t xml:space="preserve"> </w:t>
      </w:r>
      <w:r w:rsidRPr="00E347D3">
        <w:rPr>
          <w:rFonts w:ascii="Verdana" w:hAnsi="Verdana" w:cs="Arial"/>
          <w:color w:val="000000"/>
          <w:sz w:val="16"/>
          <w:szCs w:val="16"/>
          <w:lang w:val="es-CO"/>
        </w:rPr>
        <w:t>Consejo de Estado. Sección Cuarta. Sentencia del 19 de noviembre de 1999. Exp. 9.453. CP. Daniel Manrique Guzmán.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AAF789E"/>
    <w:multiLevelType w:val="hybridMultilevel"/>
    <w:tmpl w:val="2D0EEA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4"/>
  </w:num>
  <w:num w:numId="14">
    <w:abstractNumId w:val="16"/>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1"/>
  </w:num>
  <w:num w:numId="19">
    <w:abstractNumId w:val="0"/>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08E"/>
    <w:rsid w:val="00046945"/>
    <w:rsid w:val="00061B2A"/>
    <w:rsid w:val="0007089F"/>
    <w:rsid w:val="00073447"/>
    <w:rsid w:val="00082362"/>
    <w:rsid w:val="000A683E"/>
    <w:rsid w:val="000B19B9"/>
    <w:rsid w:val="000D0334"/>
    <w:rsid w:val="000F6486"/>
    <w:rsid w:val="00125105"/>
    <w:rsid w:val="00127233"/>
    <w:rsid w:val="0014102E"/>
    <w:rsid w:val="001665A2"/>
    <w:rsid w:val="001B7BC9"/>
    <w:rsid w:val="001D04C3"/>
    <w:rsid w:val="001E4177"/>
    <w:rsid w:val="001F3B3D"/>
    <w:rsid w:val="001F7DC6"/>
    <w:rsid w:val="00201DDF"/>
    <w:rsid w:val="0020451D"/>
    <w:rsid w:val="0020567F"/>
    <w:rsid w:val="002421BB"/>
    <w:rsid w:val="0025796E"/>
    <w:rsid w:val="0026137C"/>
    <w:rsid w:val="00265303"/>
    <w:rsid w:val="002707A2"/>
    <w:rsid w:val="002800E8"/>
    <w:rsid w:val="002951A0"/>
    <w:rsid w:val="002962BC"/>
    <w:rsid w:val="002A093D"/>
    <w:rsid w:val="002A0DD0"/>
    <w:rsid w:val="002A248A"/>
    <w:rsid w:val="002A49AC"/>
    <w:rsid w:val="002A64FD"/>
    <w:rsid w:val="002C3E4C"/>
    <w:rsid w:val="002C7A84"/>
    <w:rsid w:val="002E4FD9"/>
    <w:rsid w:val="002F7177"/>
    <w:rsid w:val="00322A85"/>
    <w:rsid w:val="00324168"/>
    <w:rsid w:val="003448F4"/>
    <w:rsid w:val="00374F5E"/>
    <w:rsid w:val="00377E3E"/>
    <w:rsid w:val="003927C8"/>
    <w:rsid w:val="003A779E"/>
    <w:rsid w:val="003D0F4D"/>
    <w:rsid w:val="003D5B0D"/>
    <w:rsid w:val="003D74D4"/>
    <w:rsid w:val="003E0499"/>
    <w:rsid w:val="003F3941"/>
    <w:rsid w:val="003F3C30"/>
    <w:rsid w:val="004041C4"/>
    <w:rsid w:val="00406575"/>
    <w:rsid w:val="00414C74"/>
    <w:rsid w:val="0042722E"/>
    <w:rsid w:val="0043440B"/>
    <w:rsid w:val="0044522C"/>
    <w:rsid w:val="0044528D"/>
    <w:rsid w:val="00460FF7"/>
    <w:rsid w:val="0047071B"/>
    <w:rsid w:val="004A1847"/>
    <w:rsid w:val="004A305D"/>
    <w:rsid w:val="004D3AD2"/>
    <w:rsid w:val="004F21C4"/>
    <w:rsid w:val="004F685F"/>
    <w:rsid w:val="00511283"/>
    <w:rsid w:val="005566E8"/>
    <w:rsid w:val="005607F8"/>
    <w:rsid w:val="00563F2A"/>
    <w:rsid w:val="00574867"/>
    <w:rsid w:val="005850D6"/>
    <w:rsid w:val="00591460"/>
    <w:rsid w:val="005C3777"/>
    <w:rsid w:val="005C5CDC"/>
    <w:rsid w:val="005D476C"/>
    <w:rsid w:val="0061047B"/>
    <w:rsid w:val="006219F8"/>
    <w:rsid w:val="006302F7"/>
    <w:rsid w:val="00651226"/>
    <w:rsid w:val="00665D70"/>
    <w:rsid w:val="006900D9"/>
    <w:rsid w:val="00695157"/>
    <w:rsid w:val="006A760C"/>
    <w:rsid w:val="006E5F10"/>
    <w:rsid w:val="00706C16"/>
    <w:rsid w:val="00717F43"/>
    <w:rsid w:val="007475CF"/>
    <w:rsid w:val="00756841"/>
    <w:rsid w:val="007649AB"/>
    <w:rsid w:val="00764AC6"/>
    <w:rsid w:val="00771D0C"/>
    <w:rsid w:val="007833AC"/>
    <w:rsid w:val="007A77AF"/>
    <w:rsid w:val="007B268C"/>
    <w:rsid w:val="007B3334"/>
    <w:rsid w:val="007B7171"/>
    <w:rsid w:val="007C0C0F"/>
    <w:rsid w:val="007C3DC2"/>
    <w:rsid w:val="007E5497"/>
    <w:rsid w:val="00806F5F"/>
    <w:rsid w:val="008157C0"/>
    <w:rsid w:val="00820278"/>
    <w:rsid w:val="00835BA5"/>
    <w:rsid w:val="008662B2"/>
    <w:rsid w:val="00867CDC"/>
    <w:rsid w:val="00867EB5"/>
    <w:rsid w:val="00867F95"/>
    <w:rsid w:val="008843B6"/>
    <w:rsid w:val="00891928"/>
    <w:rsid w:val="00892759"/>
    <w:rsid w:val="00897A3A"/>
    <w:rsid w:val="008A446D"/>
    <w:rsid w:val="008D180B"/>
    <w:rsid w:val="008F0EA7"/>
    <w:rsid w:val="00923EEF"/>
    <w:rsid w:val="009419F9"/>
    <w:rsid w:val="0095685E"/>
    <w:rsid w:val="00961B09"/>
    <w:rsid w:val="00965334"/>
    <w:rsid w:val="0097093E"/>
    <w:rsid w:val="009857CA"/>
    <w:rsid w:val="009A0DFA"/>
    <w:rsid w:val="009B0144"/>
    <w:rsid w:val="009B25A8"/>
    <w:rsid w:val="009B2D26"/>
    <w:rsid w:val="009C71FA"/>
    <w:rsid w:val="009C72E7"/>
    <w:rsid w:val="009D3058"/>
    <w:rsid w:val="009F3A13"/>
    <w:rsid w:val="00A122D3"/>
    <w:rsid w:val="00A17F13"/>
    <w:rsid w:val="00A20739"/>
    <w:rsid w:val="00A260FB"/>
    <w:rsid w:val="00A33C78"/>
    <w:rsid w:val="00AA7021"/>
    <w:rsid w:val="00AB0ADB"/>
    <w:rsid w:val="00AC4048"/>
    <w:rsid w:val="00B00C0E"/>
    <w:rsid w:val="00B01B1A"/>
    <w:rsid w:val="00B44A47"/>
    <w:rsid w:val="00B72CD3"/>
    <w:rsid w:val="00B72FFF"/>
    <w:rsid w:val="00BA6D0C"/>
    <w:rsid w:val="00BC3D36"/>
    <w:rsid w:val="00BD7F72"/>
    <w:rsid w:val="00BF1FB9"/>
    <w:rsid w:val="00BF2472"/>
    <w:rsid w:val="00C04FB3"/>
    <w:rsid w:val="00C114AA"/>
    <w:rsid w:val="00C24433"/>
    <w:rsid w:val="00C330EB"/>
    <w:rsid w:val="00C754BE"/>
    <w:rsid w:val="00C7569C"/>
    <w:rsid w:val="00C76B1C"/>
    <w:rsid w:val="00CB6357"/>
    <w:rsid w:val="00CC1B26"/>
    <w:rsid w:val="00CF7919"/>
    <w:rsid w:val="00D423A2"/>
    <w:rsid w:val="00D520D8"/>
    <w:rsid w:val="00D63AC2"/>
    <w:rsid w:val="00D6538D"/>
    <w:rsid w:val="00D7383B"/>
    <w:rsid w:val="00D97D4E"/>
    <w:rsid w:val="00DA231B"/>
    <w:rsid w:val="00DC0DC3"/>
    <w:rsid w:val="00DC39FC"/>
    <w:rsid w:val="00DF5254"/>
    <w:rsid w:val="00E02E56"/>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0FB"/>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260FB"/>
    <w:rPr>
      <w:rFonts w:ascii="Geomanist Light" w:hAnsi="Geomanist Light"/>
      <w:lang w:val="es-ES"/>
    </w:rPr>
  </w:style>
  <w:style w:type="paragraph" w:customStyle="1" w:styleId="Appelnotedebasde">
    <w:name w:val="Appel note de bas de..."/>
    <w:basedOn w:val="Normal"/>
    <w:link w:val="Refdenotaalpie"/>
    <w:uiPriority w:val="99"/>
    <w:rsid w:val="00A260FB"/>
    <w:pPr>
      <w:spacing w:line="240" w:lineRule="exact"/>
    </w:pPr>
    <w:rPr>
      <w:vertAlign w:val="superscript"/>
    </w:rPr>
  </w:style>
  <w:style w:type="character" w:customStyle="1" w:styleId="NormalWebCar">
    <w:name w:val="Normal (Web) Car"/>
    <w:link w:val="NormalWeb"/>
    <w:uiPriority w:val="99"/>
    <w:rsid w:val="00A260F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rreocertificado@supersociedades.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4BCD35-97DA-4747-ADD8-8BD472E02020}">
  <ds:schemaRefs>
    <ds:schemaRef ds:uri="http://schemas.openxmlformats.org/officeDocument/2006/bibliography"/>
  </ds:schemaRefs>
</ds:datastoreItem>
</file>

<file path=customXml/itemProps3.xml><?xml version="1.0" encoding="utf-8"?>
<ds:datastoreItem xmlns:ds="http://schemas.openxmlformats.org/officeDocument/2006/customXml" ds:itemID="{AD93AE99-5B24-4852-B938-EFF5640242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purl.org/dc/elements/1.1/"/>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http://purl.org/dc/dcmitype/"/>
    <ds:schemaRef ds:uri="9d85dbaf-23eb-4e57-a637-93dcacc8b1a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6350</Words>
  <Characters>34931</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2025-10-29T03:50:00Z</dcterms:created>
  <dcterms:modified xsi:type="dcterms:W3CDTF">2025-10-29T03:50:00Z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