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D4BFA" w14:textId="77777777" w:rsidR="0088688C" w:rsidRPr="001E5AD4" w:rsidRDefault="0088688C" w:rsidP="001E5AD4">
      <w:pPr>
        <w:snapToGrid w:val="0"/>
        <w:contextualSpacing/>
        <w:jc w:val="both"/>
        <w:rPr>
          <w:rFonts w:ascii="Verdana" w:eastAsia="Calibri" w:hAnsi="Verdana" w:cs="Arial"/>
          <w:b/>
          <w:bCs/>
          <w:lang w:val="es-ES" w:eastAsia="es-ES"/>
        </w:rPr>
      </w:pPr>
      <w:bookmarkStart w:id="0" w:name="_Hlk212641359"/>
      <w:bookmarkEnd w:id="0"/>
      <w:r w:rsidRPr="001E5AD4">
        <w:rPr>
          <w:rFonts w:ascii="Verdana" w:eastAsia="Calibri" w:hAnsi="Verdana" w:cs="Arial"/>
          <w:b/>
          <w:bCs/>
          <w:lang w:val="es-ES" w:eastAsia="es-ES"/>
        </w:rPr>
        <w:t>LEY DE GARANTÍAS ELECTORALES – Finalidad</w:t>
      </w:r>
    </w:p>
    <w:p w14:paraId="1792DDF6"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2D5909A2" w14:textId="721C2E28" w:rsidR="0088688C" w:rsidRPr="001E5AD4" w:rsidRDefault="0088688C" w:rsidP="001E5AD4">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27EABF83"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31BC7B38" w14:textId="77777777" w:rsidR="0088688C" w:rsidRPr="001E5AD4" w:rsidRDefault="0088688C" w:rsidP="001E5AD4">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40041FB1"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eastAsia="es-ES"/>
        </w:rPr>
      </w:pPr>
    </w:p>
    <w:p w14:paraId="36E03940" w14:textId="54D896FC" w:rsidR="0088688C" w:rsidRDefault="0088688C" w:rsidP="001E5AD4">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CA84248" w14:textId="77777777" w:rsidR="001E5AD4" w:rsidRPr="001E5AD4" w:rsidRDefault="001E5AD4" w:rsidP="001E5AD4">
      <w:pPr>
        <w:snapToGrid w:val="0"/>
        <w:spacing w:after="0" w:line="240" w:lineRule="auto"/>
        <w:contextualSpacing/>
        <w:jc w:val="both"/>
        <w:rPr>
          <w:rFonts w:ascii="Verdana" w:eastAsia="Calibri" w:hAnsi="Verdana" w:cs="Arial"/>
          <w:sz w:val="20"/>
          <w:szCs w:val="20"/>
          <w:lang w:val="es-ES"/>
        </w:rPr>
      </w:pPr>
    </w:p>
    <w:p w14:paraId="5301165A" w14:textId="142532D7" w:rsidR="0088688C" w:rsidRPr="001E5AD4" w:rsidRDefault="0088688C" w:rsidP="001E5AD4">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2164E635"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6C7581FA" w14:textId="77777777" w:rsidR="0088688C" w:rsidRPr="001E5AD4" w:rsidRDefault="0088688C" w:rsidP="001E5AD4">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236BD93D" w14:textId="77777777" w:rsidR="001E5AD4" w:rsidRDefault="001E5AD4" w:rsidP="001E5AD4">
      <w:pPr>
        <w:snapToGrid w:val="0"/>
        <w:spacing w:after="0" w:line="240" w:lineRule="auto"/>
        <w:contextualSpacing/>
        <w:jc w:val="both"/>
        <w:rPr>
          <w:rFonts w:ascii="Verdana" w:eastAsia="Times New Roman" w:hAnsi="Verdana" w:cs="Arial"/>
          <w:sz w:val="20"/>
          <w:szCs w:val="20"/>
          <w:lang w:val="es-ES"/>
        </w:rPr>
      </w:pPr>
    </w:p>
    <w:p w14:paraId="6D17E240" w14:textId="30681149" w:rsidR="0088688C" w:rsidRPr="001E5AD4" w:rsidRDefault="0088688C" w:rsidP="001E5AD4">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20E63D0" w14:textId="77777777" w:rsidR="0088688C" w:rsidRPr="001E5AD4" w:rsidRDefault="0088688C" w:rsidP="001E5AD4">
      <w:pPr>
        <w:snapToGrid w:val="0"/>
        <w:spacing w:after="0" w:line="240" w:lineRule="auto"/>
        <w:contextualSpacing/>
        <w:jc w:val="both"/>
        <w:rPr>
          <w:rFonts w:ascii="Verdana" w:eastAsia="Calibri" w:hAnsi="Verdana" w:cs="Arial"/>
          <w:sz w:val="20"/>
          <w:szCs w:val="20"/>
          <w:lang w:val="es-ES" w:eastAsia="es-ES"/>
        </w:rPr>
      </w:pPr>
    </w:p>
    <w:p w14:paraId="2034672A" w14:textId="217B131B" w:rsidR="0088688C" w:rsidRPr="001E5AD4" w:rsidRDefault="0088688C" w:rsidP="001E5AD4">
      <w:pPr>
        <w:snapToGrid w:val="0"/>
        <w:spacing w:after="0" w:line="240" w:lineRule="auto"/>
        <w:contextualSpacing/>
        <w:jc w:val="both"/>
        <w:rPr>
          <w:rFonts w:ascii="Verdana" w:eastAsia="Arial" w:hAnsi="Verdana" w:cs="Arial"/>
          <w:b/>
          <w:bCs/>
          <w:color w:val="000000" w:themeColor="text1"/>
        </w:rPr>
      </w:pPr>
      <w:r w:rsidRPr="001E5AD4">
        <w:rPr>
          <w:rFonts w:ascii="Verdana" w:eastAsia="Calibri" w:hAnsi="Verdana" w:cs="Arial"/>
          <w:b/>
          <w:bCs/>
          <w:lang w:val="es-ES" w:eastAsia="es-ES"/>
        </w:rPr>
        <w:t>LEY DE GARANTÍAS ELECTORALES ‒ Aplicación ‒</w:t>
      </w:r>
      <w:r w:rsidRPr="00CF1A4C">
        <w:rPr>
          <w:rFonts w:ascii="Verdana" w:eastAsia="Calibri" w:hAnsi="Verdana" w:cs="Arial"/>
          <w:b/>
          <w:bCs/>
          <w:lang w:val="es-ES" w:eastAsia="es-ES"/>
        </w:rPr>
        <w:t xml:space="preserve"> </w:t>
      </w:r>
      <w:r w:rsidR="00CF1A4C" w:rsidRPr="00CF1A4C">
        <w:rPr>
          <w:rFonts w:ascii="Verdana" w:eastAsia="Calibri" w:hAnsi="Verdana" w:cs="Arial"/>
          <w:b/>
          <w:bCs/>
          <w:lang w:val="es-ES" w:eastAsia="es-ES"/>
        </w:rPr>
        <w:t>excepciones ‒ Defensa y seguridad del Estado</w:t>
      </w:r>
    </w:p>
    <w:p w14:paraId="6028760F" w14:textId="77777777" w:rsidR="001E5AD4" w:rsidRDefault="001E5AD4" w:rsidP="00927895">
      <w:pPr>
        <w:spacing w:after="0"/>
        <w:rPr>
          <w:rFonts w:ascii="Verdana" w:hAnsi="Verdana"/>
          <w:lang w:val="es-ES"/>
        </w:rPr>
      </w:pPr>
    </w:p>
    <w:p w14:paraId="17409724" w14:textId="020B6DCC" w:rsidR="001E5AD4" w:rsidRPr="004C6CBE" w:rsidRDefault="004C6CBE" w:rsidP="004C6CBE">
      <w:pPr>
        <w:spacing w:after="0" w:line="240" w:lineRule="auto"/>
        <w:jc w:val="both"/>
        <w:rPr>
          <w:rFonts w:ascii="Verdana" w:hAnsi="Verdana"/>
          <w:sz w:val="20"/>
          <w:szCs w:val="20"/>
          <w:lang w:val="es-ES"/>
        </w:rPr>
      </w:pPr>
      <w:r>
        <w:rPr>
          <w:rFonts w:ascii="Verdana" w:hAnsi="Verdana"/>
          <w:sz w:val="20"/>
          <w:szCs w:val="20"/>
          <w:lang w:val="es-ES"/>
        </w:rPr>
        <w:lastRenderedPageBreak/>
        <w:t>L</w:t>
      </w:r>
      <w:r w:rsidRPr="004C6CBE">
        <w:rPr>
          <w:rFonts w:ascii="Verdana" w:hAnsi="Verdana"/>
          <w:sz w:val="20"/>
          <w:szCs w:val="20"/>
          <w:lang w:val="es-ES"/>
        </w:rPr>
        <w:t xml:space="preserve">as actividades que se desarrollen en el marco de la defensa jurídica del Estado, en términos generales, no se encuentran comprendidas dentro de la excepción prevista en el artículo 33 de la Ley de Garantías Electorales, relativa a la defensa y seguridad del Estado. No obstante, lo anterior no excluye la posibilidad de realizar un análisis particular en casos concretos, en los cuales la defensa jurídica del Estado pueda </w:t>
      </w:r>
      <w:proofErr w:type="gramStart"/>
      <w:r w:rsidRPr="004C6CBE">
        <w:rPr>
          <w:rFonts w:ascii="Verdana" w:hAnsi="Verdana"/>
          <w:sz w:val="20"/>
          <w:szCs w:val="20"/>
          <w:lang w:val="es-ES"/>
        </w:rPr>
        <w:t>enmarcarse dentro de</w:t>
      </w:r>
      <w:proofErr w:type="gramEnd"/>
      <w:r w:rsidRPr="004C6CBE">
        <w:rPr>
          <w:rFonts w:ascii="Verdana" w:hAnsi="Verdana"/>
          <w:sz w:val="20"/>
          <w:szCs w:val="20"/>
          <w:lang w:val="es-ES"/>
        </w:rPr>
        <w:t xml:space="preserve"> la noción de defensa y seguridad del Estado definida por el Consejo de Estado. Esto incluye la participación en procesos judiciales o administrativos en los que la Nación sea parte demandante o demandada y sea necesaria su intervención para garantizar los derechos y libertades de los ciudadanos, el mantenimiento del orden público, la convivencia pacífica de la comunidad y los demás aspectos a los que se hizo referencia en líneas anteriores</w:t>
      </w:r>
      <w:r w:rsidR="0098737C">
        <w:rPr>
          <w:rFonts w:ascii="Verdana" w:hAnsi="Verdana"/>
          <w:sz w:val="20"/>
          <w:szCs w:val="20"/>
          <w:lang w:val="es-ES"/>
        </w:rPr>
        <w:t>.</w:t>
      </w:r>
    </w:p>
    <w:p w14:paraId="3E58F383" w14:textId="77777777" w:rsidR="001E5AD4" w:rsidRDefault="001E5AD4" w:rsidP="00927895">
      <w:pPr>
        <w:spacing w:after="0"/>
        <w:rPr>
          <w:rFonts w:ascii="Verdana" w:hAnsi="Verdana"/>
          <w:lang w:val="es-ES"/>
        </w:rPr>
      </w:pPr>
    </w:p>
    <w:p w14:paraId="33615388" w14:textId="77777777" w:rsidR="001E5AD4" w:rsidRDefault="001E5AD4" w:rsidP="00927895">
      <w:pPr>
        <w:spacing w:after="0"/>
        <w:rPr>
          <w:rFonts w:ascii="Verdana" w:hAnsi="Verdana"/>
          <w:lang w:val="es-ES"/>
        </w:rPr>
      </w:pPr>
    </w:p>
    <w:p w14:paraId="0DAB5BF9" w14:textId="77777777" w:rsidR="001E5AD4" w:rsidRDefault="001E5AD4" w:rsidP="00927895">
      <w:pPr>
        <w:spacing w:after="0"/>
        <w:rPr>
          <w:rFonts w:ascii="Verdana" w:hAnsi="Verdana"/>
          <w:lang w:val="es-ES"/>
        </w:rPr>
      </w:pPr>
    </w:p>
    <w:p w14:paraId="0D0B3B0A" w14:textId="77777777" w:rsidR="001E5AD4" w:rsidRDefault="001E5AD4" w:rsidP="00927895">
      <w:pPr>
        <w:spacing w:after="0"/>
        <w:rPr>
          <w:rFonts w:ascii="Verdana" w:hAnsi="Verdana"/>
          <w:lang w:val="es-ES"/>
        </w:rPr>
      </w:pPr>
    </w:p>
    <w:p w14:paraId="1AF7B4A3" w14:textId="77777777" w:rsidR="001E5AD4" w:rsidRDefault="001E5AD4" w:rsidP="00927895">
      <w:pPr>
        <w:spacing w:after="0"/>
        <w:rPr>
          <w:rFonts w:ascii="Verdana" w:hAnsi="Verdana"/>
          <w:lang w:val="es-ES"/>
        </w:rPr>
      </w:pPr>
    </w:p>
    <w:p w14:paraId="56408ED8" w14:textId="77777777" w:rsidR="001E5AD4" w:rsidRDefault="001E5AD4" w:rsidP="00927895">
      <w:pPr>
        <w:spacing w:after="0"/>
        <w:rPr>
          <w:rFonts w:ascii="Verdana" w:hAnsi="Verdana"/>
          <w:lang w:val="es-ES"/>
        </w:rPr>
      </w:pPr>
    </w:p>
    <w:p w14:paraId="06D9A1AA" w14:textId="77777777" w:rsidR="001E5AD4" w:rsidRDefault="001E5AD4" w:rsidP="00927895">
      <w:pPr>
        <w:spacing w:after="0"/>
        <w:rPr>
          <w:rFonts w:ascii="Verdana" w:hAnsi="Verdana"/>
          <w:lang w:val="es-ES"/>
        </w:rPr>
      </w:pPr>
    </w:p>
    <w:p w14:paraId="4F2D8828" w14:textId="77777777" w:rsidR="001E5AD4" w:rsidRDefault="001E5AD4" w:rsidP="00927895">
      <w:pPr>
        <w:spacing w:after="0"/>
        <w:rPr>
          <w:rFonts w:ascii="Verdana" w:hAnsi="Verdana"/>
          <w:lang w:val="es-ES"/>
        </w:rPr>
      </w:pPr>
    </w:p>
    <w:p w14:paraId="7EA0FD5E" w14:textId="77777777" w:rsidR="001E5AD4" w:rsidRDefault="001E5AD4" w:rsidP="00927895">
      <w:pPr>
        <w:spacing w:after="0"/>
        <w:rPr>
          <w:rFonts w:ascii="Verdana" w:hAnsi="Verdana"/>
          <w:lang w:val="es-ES"/>
        </w:rPr>
      </w:pPr>
    </w:p>
    <w:p w14:paraId="03876FE5" w14:textId="77777777" w:rsidR="001E5AD4" w:rsidRDefault="001E5AD4" w:rsidP="00927895">
      <w:pPr>
        <w:spacing w:after="0"/>
        <w:rPr>
          <w:rFonts w:ascii="Verdana" w:hAnsi="Verdana"/>
          <w:lang w:val="es-ES"/>
        </w:rPr>
      </w:pPr>
    </w:p>
    <w:p w14:paraId="086CC02F" w14:textId="77777777" w:rsidR="001E5AD4" w:rsidRDefault="001E5AD4" w:rsidP="00927895">
      <w:pPr>
        <w:spacing w:after="0"/>
        <w:rPr>
          <w:rFonts w:ascii="Verdana" w:hAnsi="Verdana"/>
          <w:lang w:val="es-ES"/>
        </w:rPr>
      </w:pPr>
    </w:p>
    <w:p w14:paraId="05124B01" w14:textId="77777777" w:rsidR="001E5AD4" w:rsidRDefault="001E5AD4" w:rsidP="00927895">
      <w:pPr>
        <w:spacing w:after="0"/>
        <w:rPr>
          <w:rFonts w:ascii="Verdana" w:hAnsi="Verdana"/>
          <w:lang w:val="es-ES"/>
        </w:rPr>
      </w:pPr>
    </w:p>
    <w:p w14:paraId="48F1FFF7" w14:textId="77777777" w:rsidR="001E5AD4" w:rsidRDefault="001E5AD4" w:rsidP="00927895">
      <w:pPr>
        <w:spacing w:after="0"/>
        <w:rPr>
          <w:rFonts w:ascii="Verdana" w:hAnsi="Verdana"/>
          <w:lang w:val="es-ES"/>
        </w:rPr>
      </w:pPr>
    </w:p>
    <w:p w14:paraId="161B12A4" w14:textId="77777777" w:rsidR="001E5AD4" w:rsidRDefault="001E5AD4" w:rsidP="00927895">
      <w:pPr>
        <w:spacing w:after="0"/>
        <w:rPr>
          <w:rFonts w:ascii="Verdana" w:hAnsi="Verdana"/>
          <w:lang w:val="es-ES"/>
        </w:rPr>
      </w:pPr>
    </w:p>
    <w:p w14:paraId="47AE80BD" w14:textId="77777777" w:rsidR="001E5AD4" w:rsidRDefault="001E5AD4" w:rsidP="00927895">
      <w:pPr>
        <w:spacing w:after="0"/>
        <w:rPr>
          <w:rFonts w:ascii="Verdana" w:hAnsi="Verdana"/>
          <w:lang w:val="es-ES"/>
        </w:rPr>
      </w:pPr>
    </w:p>
    <w:p w14:paraId="315C04F8" w14:textId="77777777" w:rsidR="001E5AD4" w:rsidRDefault="001E5AD4" w:rsidP="00927895">
      <w:pPr>
        <w:spacing w:after="0"/>
        <w:rPr>
          <w:rFonts w:ascii="Verdana" w:hAnsi="Verdana"/>
          <w:lang w:val="es-ES"/>
        </w:rPr>
      </w:pPr>
    </w:p>
    <w:p w14:paraId="10F04C51" w14:textId="77777777" w:rsidR="001E5AD4" w:rsidRDefault="001E5AD4" w:rsidP="00927895">
      <w:pPr>
        <w:spacing w:after="0"/>
        <w:rPr>
          <w:rFonts w:ascii="Verdana" w:hAnsi="Verdana"/>
          <w:lang w:val="es-ES"/>
        </w:rPr>
      </w:pPr>
    </w:p>
    <w:p w14:paraId="0B08E1DF" w14:textId="77777777" w:rsidR="001E5AD4" w:rsidRDefault="001E5AD4" w:rsidP="00927895">
      <w:pPr>
        <w:spacing w:after="0"/>
        <w:rPr>
          <w:rFonts w:ascii="Verdana" w:hAnsi="Verdana"/>
          <w:lang w:val="es-ES"/>
        </w:rPr>
      </w:pPr>
    </w:p>
    <w:p w14:paraId="69A6A4E0" w14:textId="77777777" w:rsidR="001E5AD4" w:rsidRDefault="001E5AD4" w:rsidP="00927895">
      <w:pPr>
        <w:spacing w:after="0"/>
        <w:rPr>
          <w:rFonts w:ascii="Verdana" w:hAnsi="Verdana"/>
          <w:lang w:val="es-ES"/>
        </w:rPr>
      </w:pPr>
    </w:p>
    <w:p w14:paraId="37739EFF" w14:textId="77777777" w:rsidR="001E5AD4" w:rsidRDefault="001E5AD4" w:rsidP="00927895">
      <w:pPr>
        <w:spacing w:after="0"/>
        <w:rPr>
          <w:rFonts w:ascii="Verdana" w:hAnsi="Verdana"/>
          <w:lang w:val="es-ES"/>
        </w:rPr>
      </w:pPr>
    </w:p>
    <w:p w14:paraId="5684CE7E" w14:textId="77777777" w:rsidR="001E5AD4" w:rsidRDefault="001E5AD4" w:rsidP="00927895">
      <w:pPr>
        <w:spacing w:after="0"/>
        <w:rPr>
          <w:rFonts w:ascii="Verdana" w:hAnsi="Verdana"/>
          <w:lang w:val="es-ES"/>
        </w:rPr>
      </w:pPr>
    </w:p>
    <w:p w14:paraId="5BB158B3" w14:textId="77777777" w:rsidR="001E5AD4" w:rsidRDefault="001E5AD4" w:rsidP="00927895">
      <w:pPr>
        <w:spacing w:after="0"/>
        <w:rPr>
          <w:rFonts w:ascii="Verdana" w:hAnsi="Verdana"/>
          <w:lang w:val="es-ES"/>
        </w:rPr>
      </w:pPr>
    </w:p>
    <w:p w14:paraId="73D0C23A" w14:textId="77777777" w:rsidR="001E5AD4" w:rsidRDefault="001E5AD4" w:rsidP="00927895">
      <w:pPr>
        <w:spacing w:after="0"/>
        <w:rPr>
          <w:rFonts w:ascii="Verdana" w:hAnsi="Verdana"/>
          <w:lang w:val="es-ES"/>
        </w:rPr>
      </w:pPr>
    </w:p>
    <w:p w14:paraId="749502DE" w14:textId="77777777" w:rsidR="001E5AD4" w:rsidRDefault="001E5AD4" w:rsidP="00927895">
      <w:pPr>
        <w:spacing w:after="0"/>
        <w:rPr>
          <w:rFonts w:ascii="Verdana" w:hAnsi="Verdana"/>
          <w:lang w:val="es-ES"/>
        </w:rPr>
      </w:pPr>
    </w:p>
    <w:p w14:paraId="5EDB0D90" w14:textId="77777777" w:rsidR="001E5AD4" w:rsidRDefault="001E5AD4" w:rsidP="00927895">
      <w:pPr>
        <w:spacing w:after="0"/>
        <w:rPr>
          <w:rFonts w:ascii="Verdana" w:hAnsi="Verdana"/>
          <w:lang w:val="es-ES"/>
        </w:rPr>
      </w:pPr>
    </w:p>
    <w:p w14:paraId="7C7B46ED" w14:textId="77777777" w:rsidR="001E5AD4" w:rsidRDefault="001E5AD4" w:rsidP="00927895">
      <w:pPr>
        <w:spacing w:after="0"/>
        <w:rPr>
          <w:rFonts w:ascii="Verdana" w:hAnsi="Verdana"/>
          <w:lang w:val="es-ES"/>
        </w:rPr>
      </w:pPr>
    </w:p>
    <w:p w14:paraId="27F0AF59" w14:textId="77777777" w:rsidR="001E5AD4" w:rsidRDefault="001E5AD4" w:rsidP="00927895">
      <w:pPr>
        <w:spacing w:after="0"/>
        <w:rPr>
          <w:rFonts w:ascii="Verdana" w:hAnsi="Verdana"/>
          <w:lang w:val="es-ES"/>
        </w:rPr>
      </w:pPr>
    </w:p>
    <w:p w14:paraId="43AD93BC" w14:textId="77777777" w:rsidR="006400F3" w:rsidRDefault="006400F3" w:rsidP="00742264">
      <w:pPr>
        <w:spacing w:after="0" w:line="240" w:lineRule="auto"/>
        <w:rPr>
          <w:rFonts w:ascii="Verdana" w:eastAsia="Geomanist Light" w:hAnsi="Verdana" w:cs="Arial"/>
          <w:color w:val="000000" w:themeColor="text1"/>
          <w:lang w:val="es-MX"/>
        </w:rPr>
      </w:pPr>
    </w:p>
    <w:p w14:paraId="0EDAE560" w14:textId="77777777" w:rsidR="004C6CBE" w:rsidRDefault="004C6CBE" w:rsidP="00742264">
      <w:pPr>
        <w:spacing w:after="0" w:line="240" w:lineRule="auto"/>
        <w:rPr>
          <w:rFonts w:ascii="Verdana" w:eastAsia="Geomanist Light" w:hAnsi="Verdana" w:cs="Arial"/>
          <w:color w:val="000000" w:themeColor="text1"/>
          <w:lang w:val="es-MX"/>
        </w:rPr>
      </w:pPr>
    </w:p>
    <w:p w14:paraId="1A9128F2" w14:textId="77777777" w:rsidR="004C6CBE" w:rsidRDefault="004C6CBE" w:rsidP="00742264">
      <w:pPr>
        <w:spacing w:after="0" w:line="240" w:lineRule="auto"/>
        <w:rPr>
          <w:rFonts w:ascii="Verdana" w:eastAsia="Geomanist Light" w:hAnsi="Verdana" w:cs="Arial"/>
          <w:color w:val="000000" w:themeColor="text1"/>
          <w:lang w:val="es-MX"/>
        </w:rPr>
      </w:pPr>
    </w:p>
    <w:p w14:paraId="064AC247" w14:textId="77777777" w:rsidR="006400F3" w:rsidRDefault="006400F3" w:rsidP="00742264">
      <w:pPr>
        <w:spacing w:after="0" w:line="240" w:lineRule="auto"/>
        <w:rPr>
          <w:rFonts w:ascii="Verdana" w:eastAsia="Geomanist Light" w:hAnsi="Verdana" w:cs="Arial"/>
          <w:color w:val="000000" w:themeColor="text1"/>
          <w:lang w:val="es-MX"/>
        </w:rPr>
      </w:pPr>
    </w:p>
    <w:p w14:paraId="72272908" w14:textId="17989301" w:rsidR="00742264" w:rsidRPr="00A27102" w:rsidRDefault="00742264" w:rsidP="00742264">
      <w:pPr>
        <w:spacing w:after="0" w:line="240" w:lineRule="auto"/>
        <w:rPr>
          <w:rFonts w:ascii="Verdana" w:eastAsia="Geomanist Light" w:hAnsi="Verdana" w:cs="Arial"/>
          <w:color w:val="201F1E"/>
          <w:lang w:val="es-MX"/>
        </w:rPr>
      </w:pPr>
      <w:r w:rsidRPr="00A27102">
        <w:rPr>
          <w:rFonts w:ascii="Verdana" w:eastAsia="Geomanist Light" w:hAnsi="Verdana" w:cs="Arial"/>
          <w:color w:val="000000" w:themeColor="text1"/>
          <w:lang w:val="es-MX"/>
        </w:rPr>
        <w:lastRenderedPageBreak/>
        <w:t>Bogotá D.C., </w:t>
      </w:r>
      <w:r w:rsidR="006400F3">
        <w:rPr>
          <w:rFonts w:ascii="Verdana" w:eastAsia="Geomanist Light" w:hAnsi="Verdana" w:cs="Arial"/>
          <w:color w:val="201F1E"/>
          <w:lang w:val="es-MX"/>
        </w:rPr>
        <w:t>27 de octubre de 2025</w:t>
      </w:r>
    </w:p>
    <w:p w14:paraId="635E1B07" w14:textId="70314B10" w:rsidR="00742264" w:rsidRDefault="00742264" w:rsidP="00742264">
      <w:pPr>
        <w:spacing w:after="0"/>
        <w:rPr>
          <w:rFonts w:ascii="Verdana" w:hAnsi="Verdana"/>
          <w:lang w:val="es-ES"/>
        </w:rPr>
      </w:pPr>
    </w:p>
    <w:p w14:paraId="2C3FD6F4" w14:textId="09994A51" w:rsidR="00742264" w:rsidRDefault="00742264" w:rsidP="006400F3">
      <w:pPr>
        <w:spacing w:after="0"/>
        <w:jc w:val="right"/>
        <w:rPr>
          <w:rFonts w:ascii="Verdana" w:hAnsi="Verdana"/>
          <w:lang w:val="es-ES"/>
        </w:rPr>
      </w:pPr>
    </w:p>
    <w:p w14:paraId="4E6B57D6" w14:textId="2E1992BC" w:rsidR="006400F3" w:rsidRPr="00FC6F34" w:rsidRDefault="00364778" w:rsidP="00742264">
      <w:pPr>
        <w:spacing w:after="0"/>
        <w:rPr>
          <w:rFonts w:ascii="Verdana" w:hAnsi="Verdana"/>
          <w:lang w:val="es-ES"/>
        </w:rPr>
      </w:pPr>
      <w:r w:rsidRPr="006400F3">
        <w:rPr>
          <w:rFonts w:ascii="Verdana" w:hAnsi="Verdana"/>
          <w:noProof/>
          <w:lang w:val="es-ES"/>
        </w:rPr>
        <w:drawing>
          <wp:anchor distT="0" distB="0" distL="114300" distR="114300" simplePos="0" relativeHeight="251659264" behindDoc="0" locked="0" layoutInCell="1" allowOverlap="1" wp14:anchorId="50A42C75" wp14:editId="261EFBC2">
            <wp:simplePos x="0" y="0"/>
            <wp:positionH relativeFrom="margin">
              <wp:align>right</wp:align>
            </wp:positionH>
            <wp:positionV relativeFrom="paragraph">
              <wp:posOffset>10795</wp:posOffset>
            </wp:positionV>
            <wp:extent cx="3089910" cy="883285"/>
            <wp:effectExtent l="0" t="0" r="0" b="0"/>
            <wp:wrapSquare wrapText="bothSides"/>
            <wp:docPr id="18047816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9910" cy="8832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260856" w14:textId="77777777" w:rsidR="00742264" w:rsidRDefault="00742264" w:rsidP="00742264">
      <w:pPr>
        <w:spacing w:after="0" w:line="240" w:lineRule="auto"/>
        <w:rPr>
          <w:rFonts w:ascii="Verdana" w:eastAsia="Calibri" w:hAnsi="Verdana" w:cs="Arial"/>
          <w:color w:val="000000" w:themeColor="text1"/>
          <w:lang w:val="es-ES" w:eastAsia="es-ES"/>
        </w:rPr>
      </w:pPr>
      <w:bookmarkStart w:id="1" w:name="_Hlk143780582"/>
      <w:r>
        <w:rPr>
          <w:rFonts w:ascii="Verdana" w:eastAsia="Calibri" w:hAnsi="Verdana" w:cs="Arial"/>
          <w:color w:val="000000" w:themeColor="text1"/>
          <w:lang w:val="es-ES" w:eastAsia="es-ES"/>
        </w:rPr>
        <w:t>Doctores</w:t>
      </w:r>
    </w:p>
    <w:p w14:paraId="561A9FD6" w14:textId="77777777" w:rsidR="00742264" w:rsidRPr="009879EA" w:rsidRDefault="00742264" w:rsidP="00742264">
      <w:pPr>
        <w:spacing w:after="0" w:line="240" w:lineRule="auto"/>
        <w:rPr>
          <w:rFonts w:ascii="Verdana" w:hAnsi="Verdana"/>
          <w:b/>
          <w:bCs/>
          <w:lang w:val="es-ES"/>
        </w:rPr>
      </w:pPr>
      <w:proofErr w:type="spellStart"/>
      <w:r w:rsidRPr="009879EA">
        <w:rPr>
          <w:rFonts w:ascii="Verdana" w:hAnsi="Verdana"/>
          <w:b/>
          <w:bCs/>
          <w:lang w:val="es-ES"/>
        </w:rPr>
        <w:t>Alie</w:t>
      </w:r>
      <w:proofErr w:type="spellEnd"/>
      <w:r w:rsidRPr="009879EA">
        <w:rPr>
          <w:rFonts w:ascii="Verdana" w:hAnsi="Verdana"/>
          <w:b/>
          <w:bCs/>
          <w:lang w:val="es-ES"/>
        </w:rPr>
        <w:t xml:space="preserve"> Roció Rodríguez Pineda </w:t>
      </w:r>
    </w:p>
    <w:p w14:paraId="5672B15A" w14:textId="77777777" w:rsidR="00742264" w:rsidRDefault="00742264" w:rsidP="00742264">
      <w:pPr>
        <w:spacing w:after="0" w:line="240" w:lineRule="auto"/>
        <w:rPr>
          <w:rFonts w:ascii="Verdana" w:hAnsi="Verdana"/>
          <w:b/>
          <w:bCs/>
          <w:lang w:val="es-ES"/>
        </w:rPr>
      </w:pPr>
      <w:r w:rsidRPr="009879EA">
        <w:rPr>
          <w:rFonts w:ascii="Verdana" w:hAnsi="Verdana"/>
          <w:b/>
          <w:bCs/>
          <w:lang w:val="es-ES"/>
        </w:rPr>
        <w:t>Jefe Oficina Asesora Jurídica</w:t>
      </w:r>
    </w:p>
    <w:p w14:paraId="090AB705" w14:textId="77777777" w:rsidR="00742264" w:rsidRPr="00CE3D2F" w:rsidRDefault="00742264" w:rsidP="00742264">
      <w:pPr>
        <w:spacing w:after="0" w:line="240" w:lineRule="auto"/>
        <w:rPr>
          <w:rFonts w:ascii="Verdana" w:eastAsia="Calibri" w:hAnsi="Verdana" w:cs="Arial"/>
          <w:b/>
          <w:color w:val="000000" w:themeColor="text1"/>
          <w:lang w:eastAsia="es-ES"/>
        </w:rPr>
      </w:pPr>
      <w:r w:rsidRPr="00317467">
        <w:rPr>
          <w:rFonts w:ascii="Verdana" w:eastAsia="Calibri" w:hAnsi="Verdana" w:cs="Arial"/>
          <w:b/>
          <w:color w:val="000000" w:themeColor="text1"/>
          <w:lang w:eastAsia="es-ES"/>
        </w:rPr>
        <w:t>Agencia Nacional de Defensa Jurídica del Estado</w:t>
      </w:r>
    </w:p>
    <w:p w14:paraId="7B1BEED0" w14:textId="77777777" w:rsidR="00742264" w:rsidRPr="007F33F9" w:rsidRDefault="00742264" w:rsidP="00742264">
      <w:pPr>
        <w:spacing w:after="0" w:line="240" w:lineRule="auto"/>
        <w:rPr>
          <w:rFonts w:ascii="Verdana" w:hAnsi="Verdana"/>
          <w:lang w:val="es-ES"/>
        </w:rPr>
      </w:pPr>
      <w:hyperlink r:id="rId12" w:history="1">
        <w:r w:rsidRPr="007F33F9">
          <w:rPr>
            <w:rStyle w:val="Hipervnculo"/>
            <w:rFonts w:ascii="Verdana" w:hAnsi="Verdana"/>
            <w:lang w:val="es-ES"/>
          </w:rPr>
          <w:t>Fernando.Ruiz@defensajuridica.gov.co</w:t>
        </w:r>
      </w:hyperlink>
      <w:r w:rsidRPr="007F33F9">
        <w:rPr>
          <w:rFonts w:ascii="Verdana" w:hAnsi="Verdana"/>
          <w:lang w:val="es-ES"/>
        </w:rPr>
        <w:t xml:space="preserve"> </w:t>
      </w:r>
    </w:p>
    <w:p w14:paraId="79A5A402" w14:textId="77777777" w:rsidR="00742264" w:rsidRDefault="00742264" w:rsidP="00742264">
      <w:pPr>
        <w:spacing w:after="0" w:line="240" w:lineRule="auto"/>
        <w:rPr>
          <w:rFonts w:ascii="Verdana" w:hAnsi="Verdana"/>
          <w:b/>
          <w:bCs/>
          <w:lang w:val="es-ES"/>
        </w:rPr>
      </w:pPr>
    </w:p>
    <w:p w14:paraId="6291EA11" w14:textId="77777777" w:rsidR="00742264" w:rsidRPr="007A347D" w:rsidRDefault="00742264" w:rsidP="00742264">
      <w:pPr>
        <w:spacing w:after="0" w:line="240" w:lineRule="auto"/>
        <w:rPr>
          <w:rFonts w:ascii="Verdana" w:hAnsi="Verdana"/>
          <w:b/>
          <w:bCs/>
          <w:lang w:val="es-ES"/>
        </w:rPr>
      </w:pPr>
      <w:r w:rsidRPr="007A347D">
        <w:rPr>
          <w:rFonts w:ascii="Verdana" w:hAnsi="Verdana"/>
          <w:b/>
          <w:bCs/>
          <w:lang w:val="es-ES"/>
        </w:rPr>
        <w:t xml:space="preserve">Juan Carlos Delgado D </w:t>
      </w:r>
      <w:proofErr w:type="spellStart"/>
      <w:r w:rsidRPr="007A347D">
        <w:rPr>
          <w:rFonts w:ascii="Verdana" w:hAnsi="Verdana"/>
          <w:b/>
          <w:bCs/>
          <w:lang w:val="es-ES"/>
        </w:rPr>
        <w:t>Aste</w:t>
      </w:r>
      <w:proofErr w:type="spellEnd"/>
    </w:p>
    <w:p w14:paraId="12CD8C6F" w14:textId="77777777" w:rsidR="00742264" w:rsidRPr="009879EA" w:rsidRDefault="00742264" w:rsidP="00742264">
      <w:pPr>
        <w:spacing w:after="0" w:line="240" w:lineRule="auto"/>
        <w:rPr>
          <w:rFonts w:ascii="Verdana" w:hAnsi="Verdana"/>
          <w:b/>
          <w:bCs/>
          <w:lang w:val="es-ES"/>
        </w:rPr>
      </w:pPr>
      <w:r w:rsidRPr="007A347D">
        <w:rPr>
          <w:rFonts w:ascii="Verdana" w:hAnsi="Verdana"/>
          <w:b/>
          <w:bCs/>
          <w:lang w:val="es-ES"/>
        </w:rPr>
        <w:t>Director Técnico de la Dirección de Asesoría Legal</w:t>
      </w:r>
    </w:p>
    <w:p w14:paraId="72913445" w14:textId="77777777" w:rsidR="00742264" w:rsidRPr="006157C1" w:rsidRDefault="00742264" w:rsidP="00742264">
      <w:pPr>
        <w:spacing w:after="0" w:line="240" w:lineRule="auto"/>
        <w:rPr>
          <w:rFonts w:ascii="Verdana" w:eastAsia="Calibri" w:hAnsi="Verdana" w:cs="Arial"/>
          <w:bCs/>
          <w:color w:val="000000" w:themeColor="text1"/>
          <w:lang w:eastAsia="es-ES"/>
        </w:rPr>
      </w:pPr>
      <w:hyperlink r:id="rId13" w:history="1">
        <w:r w:rsidRPr="006157C1">
          <w:rPr>
            <w:rStyle w:val="Hipervnculo"/>
            <w:rFonts w:ascii="Verdana" w:eastAsia="Calibri" w:hAnsi="Verdana" w:cs="Arial"/>
            <w:bCs/>
            <w:lang w:eastAsia="es-ES"/>
          </w:rPr>
          <w:t>asesorialegal@defensajuridica.gov.co</w:t>
        </w:r>
      </w:hyperlink>
      <w:r w:rsidRPr="006157C1">
        <w:rPr>
          <w:rFonts w:ascii="Verdana" w:eastAsia="Calibri" w:hAnsi="Verdana" w:cs="Arial"/>
          <w:bCs/>
          <w:color w:val="000000" w:themeColor="text1"/>
          <w:lang w:eastAsia="es-ES"/>
        </w:rPr>
        <w:t xml:space="preserve"> </w:t>
      </w:r>
    </w:p>
    <w:p w14:paraId="478F32E0" w14:textId="77777777" w:rsidR="00742264" w:rsidRDefault="00742264" w:rsidP="00742264">
      <w:pPr>
        <w:spacing w:after="0" w:line="240" w:lineRule="auto"/>
        <w:rPr>
          <w:rFonts w:ascii="Verdana" w:eastAsia="Calibri" w:hAnsi="Verdana" w:cs="Arial"/>
          <w:b/>
          <w:color w:val="000000" w:themeColor="text1"/>
          <w:lang w:eastAsia="es-ES"/>
        </w:rPr>
      </w:pPr>
      <w:r w:rsidRPr="00317467">
        <w:rPr>
          <w:rFonts w:ascii="Verdana" w:eastAsia="Calibri" w:hAnsi="Verdana" w:cs="Arial"/>
          <w:b/>
          <w:color w:val="000000" w:themeColor="text1"/>
          <w:lang w:eastAsia="es-ES"/>
        </w:rPr>
        <w:t>Agencia Nacional de Defensa Jurídica del Estado</w:t>
      </w:r>
    </w:p>
    <w:p w14:paraId="5B9FA64C" w14:textId="77777777" w:rsidR="00742264" w:rsidRPr="00BC4697" w:rsidRDefault="00742264" w:rsidP="00742264">
      <w:pPr>
        <w:spacing w:after="0" w:line="240" w:lineRule="auto"/>
        <w:rPr>
          <w:rFonts w:ascii="Verdana" w:eastAsia="Calibri" w:hAnsi="Verdana" w:cs="Arial"/>
          <w:color w:val="000000" w:themeColor="text1"/>
          <w:lang w:eastAsia="es-ES"/>
        </w:rPr>
      </w:pPr>
      <w:r w:rsidRPr="00FC6F34">
        <w:rPr>
          <w:rFonts w:ascii="Verdana" w:hAnsi="Verdana"/>
          <w:lang w:val="es-ES"/>
        </w:rPr>
        <w:t>Bogotá D.C.</w:t>
      </w:r>
    </w:p>
    <w:p w14:paraId="16BB932B" w14:textId="77777777" w:rsidR="00742264" w:rsidRPr="00FC6F34" w:rsidRDefault="00742264" w:rsidP="00742264">
      <w:pPr>
        <w:spacing w:after="0" w:line="240" w:lineRule="auto"/>
        <w:rPr>
          <w:rFonts w:ascii="Verdana" w:eastAsia="Calibri" w:hAnsi="Verdana" w:cs="Arial"/>
          <w:b/>
          <w:bCs/>
          <w:color w:val="000000" w:themeColor="text1"/>
          <w:lang w:val="es-ES" w:eastAsia="es-ES"/>
        </w:rPr>
      </w:pPr>
    </w:p>
    <w:tbl>
      <w:tblPr>
        <w:tblStyle w:val="Tablaconcuadrcula"/>
        <w:tblW w:w="906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66"/>
        <w:gridCol w:w="6496"/>
      </w:tblGrid>
      <w:tr w:rsidR="00742264" w:rsidRPr="00FC6F34" w14:paraId="3FB36DFC" w14:textId="77777777" w:rsidTr="00E96322">
        <w:trPr>
          <w:trHeight w:val="304"/>
        </w:trPr>
        <w:tc>
          <w:tcPr>
            <w:tcW w:w="2566" w:type="dxa"/>
          </w:tcPr>
          <w:p w14:paraId="35099F21" w14:textId="77777777" w:rsidR="00742264" w:rsidRPr="00FC6F34" w:rsidRDefault="00742264" w:rsidP="00577CE2">
            <w:pPr>
              <w:ind w:left="-142"/>
              <w:jc w:val="both"/>
              <w:rPr>
                <w:rFonts w:ascii="Verdana" w:eastAsia="Calibri" w:hAnsi="Verdana" w:cs="Arial"/>
                <w:b/>
                <w:bCs/>
                <w:color w:val="000000" w:themeColor="text1"/>
                <w:lang w:val="es-ES" w:eastAsia="es-ES_tradnl"/>
              </w:rPr>
            </w:pPr>
          </w:p>
        </w:tc>
        <w:tc>
          <w:tcPr>
            <w:tcW w:w="6496" w:type="dxa"/>
          </w:tcPr>
          <w:p w14:paraId="4D2A8BE8" w14:textId="77777777" w:rsidR="00742264" w:rsidRDefault="00742264" w:rsidP="00577CE2">
            <w:pPr>
              <w:ind w:left="3"/>
              <w:jc w:val="both"/>
              <w:rPr>
                <w:rFonts w:ascii="Verdana" w:eastAsia="Calibri" w:hAnsi="Verdana" w:cs="Arial"/>
                <w:b/>
                <w:bCs/>
                <w:color w:val="000000" w:themeColor="text1"/>
                <w:lang w:val="es-ES" w:eastAsia="es-ES"/>
              </w:rPr>
            </w:pPr>
          </w:p>
          <w:p w14:paraId="744611BA" w14:textId="77777777" w:rsidR="00742264" w:rsidRPr="00FC6F34" w:rsidRDefault="00742264" w:rsidP="00577CE2">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1329</w:t>
            </w:r>
            <w:r w:rsidRPr="00FC6F34">
              <w:rPr>
                <w:rFonts w:ascii="Verdana" w:eastAsia="Calibri" w:hAnsi="Verdana" w:cs="Arial"/>
                <w:b/>
                <w:bCs/>
                <w:color w:val="000000" w:themeColor="text1"/>
                <w:lang w:val="es-ES" w:eastAsia="es-ES"/>
              </w:rPr>
              <w:t xml:space="preserve"> de 2025</w:t>
            </w:r>
          </w:p>
          <w:p w14:paraId="3F231397" w14:textId="77777777" w:rsidR="00742264" w:rsidRPr="00FC6F34" w:rsidRDefault="00742264" w:rsidP="00577CE2">
            <w:pPr>
              <w:ind w:left="3"/>
              <w:jc w:val="both"/>
              <w:rPr>
                <w:rFonts w:ascii="Verdana" w:eastAsia="Calibri" w:hAnsi="Verdana" w:cs="Arial"/>
                <w:b/>
                <w:bCs/>
                <w:color w:val="000000" w:themeColor="text1"/>
                <w:lang w:val="es-ES" w:eastAsia="es-ES"/>
              </w:rPr>
            </w:pPr>
          </w:p>
        </w:tc>
      </w:tr>
      <w:tr w:rsidR="00742264" w:rsidRPr="00FC6F34" w14:paraId="4C5FA788" w14:textId="77777777" w:rsidTr="00E96322">
        <w:trPr>
          <w:trHeight w:val="304"/>
        </w:trPr>
        <w:tc>
          <w:tcPr>
            <w:tcW w:w="2566" w:type="dxa"/>
          </w:tcPr>
          <w:p w14:paraId="618F2620" w14:textId="77777777" w:rsidR="00742264" w:rsidRPr="00FC6F34" w:rsidRDefault="00742264" w:rsidP="00577CE2">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496" w:type="dxa"/>
          </w:tcPr>
          <w:p w14:paraId="4BB681B3" w14:textId="77777777" w:rsidR="00742264" w:rsidRDefault="00742264" w:rsidP="00577CE2">
            <w:pPr>
              <w:spacing w:line="276" w:lineRule="auto"/>
              <w:jc w:val="both"/>
              <w:rPr>
                <w:rFonts w:ascii="Verdana" w:eastAsia="Arial" w:hAnsi="Verdana" w:cs="Arial"/>
                <w:bCs/>
                <w:color w:val="000000" w:themeColor="text1"/>
              </w:rPr>
            </w:pPr>
            <w:r w:rsidRPr="00FC6F3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 </w:t>
            </w:r>
            <w:r w:rsidRPr="00FC6F34">
              <w:rPr>
                <w:rFonts w:ascii="Verdana" w:eastAsia="Calibri" w:hAnsi="Verdana" w:cs="Arial"/>
                <w:lang w:val="es-ES" w:eastAsia="es-ES"/>
              </w:rPr>
              <w:t xml:space="preserve">LEY DE GARANTÍAS ELECTORALES ‒ </w:t>
            </w:r>
            <w:r>
              <w:rPr>
                <w:rFonts w:ascii="Verdana" w:eastAsia="Calibri" w:hAnsi="Verdana" w:cs="Arial"/>
                <w:lang w:val="es-ES" w:eastAsia="es-ES"/>
              </w:rPr>
              <w:t xml:space="preserve">Aplicación </w:t>
            </w:r>
            <w:r w:rsidRPr="00FC6F34">
              <w:rPr>
                <w:rFonts w:ascii="Verdana" w:eastAsia="Calibri" w:hAnsi="Verdana" w:cs="Arial"/>
                <w:lang w:val="es-ES" w:eastAsia="es-ES"/>
              </w:rPr>
              <w:t>‒</w:t>
            </w:r>
            <w:r>
              <w:rPr>
                <w:rFonts w:ascii="Verdana" w:eastAsia="Calibri" w:hAnsi="Verdana" w:cs="Arial"/>
                <w:lang w:val="es-ES" w:eastAsia="es-ES"/>
              </w:rPr>
              <w:t xml:space="preserve"> excepciones </w:t>
            </w:r>
            <w:r w:rsidRPr="00FC6F34">
              <w:rPr>
                <w:rFonts w:ascii="Verdana" w:eastAsia="Calibri" w:hAnsi="Verdana" w:cs="Arial"/>
                <w:lang w:val="es-ES" w:eastAsia="es-ES"/>
              </w:rPr>
              <w:t>‒</w:t>
            </w:r>
            <w:r>
              <w:rPr>
                <w:rFonts w:ascii="Verdana" w:eastAsia="Calibri" w:hAnsi="Verdana" w:cs="Arial"/>
                <w:lang w:val="es-ES" w:eastAsia="es-ES"/>
              </w:rPr>
              <w:t xml:space="preserve"> Defensa y seguridad del Estado</w:t>
            </w:r>
          </w:p>
          <w:p w14:paraId="339A9555" w14:textId="77777777" w:rsidR="00742264" w:rsidRPr="00FC6F34" w:rsidRDefault="00742264" w:rsidP="00577CE2">
            <w:pPr>
              <w:spacing w:line="276" w:lineRule="auto"/>
              <w:jc w:val="both"/>
              <w:rPr>
                <w:rFonts w:ascii="Verdana" w:eastAsia="Calibri" w:hAnsi="Verdana" w:cs="Arial"/>
                <w:color w:val="000000" w:themeColor="text1"/>
                <w:lang w:val="es-ES" w:eastAsia="es-ES"/>
              </w:rPr>
            </w:pPr>
          </w:p>
        </w:tc>
      </w:tr>
      <w:tr w:rsidR="00742264" w:rsidRPr="00FC6F34" w14:paraId="5FD7E665" w14:textId="77777777" w:rsidTr="00E96322">
        <w:trPr>
          <w:trHeight w:val="1083"/>
        </w:trPr>
        <w:tc>
          <w:tcPr>
            <w:tcW w:w="2566" w:type="dxa"/>
          </w:tcPr>
          <w:p w14:paraId="0CAAFB74" w14:textId="77777777" w:rsidR="00742264" w:rsidRPr="00FC6F34" w:rsidRDefault="00742264" w:rsidP="00577CE2">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496" w:type="dxa"/>
          </w:tcPr>
          <w:p w14:paraId="167D4BF6" w14:textId="77777777" w:rsidR="00742264" w:rsidRPr="00FC6F34" w:rsidRDefault="00742264" w:rsidP="00577CE2">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No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5C692A">
              <w:rPr>
                <w:rFonts w:ascii="Verdana" w:eastAsia="Calibri" w:hAnsi="Verdana" w:cs="Arial"/>
                <w:color w:val="000000" w:themeColor="text1"/>
                <w:lang w:val="es-ES" w:eastAsia="es-ES"/>
              </w:rPr>
              <w:t>1_2025_09_17_010203</w:t>
            </w:r>
            <w:r>
              <w:rPr>
                <w:rFonts w:ascii="Verdana" w:eastAsia="Calibri" w:hAnsi="Verdana" w:cs="Arial"/>
                <w:color w:val="000000" w:themeColor="text1"/>
                <w:lang w:val="es-ES" w:eastAsia="es-ES"/>
              </w:rPr>
              <w:t>,</w:t>
            </w:r>
            <w:r w:rsidRPr="005C692A">
              <w:rPr>
                <w:rFonts w:ascii="Verdana" w:eastAsia="Calibri" w:hAnsi="Verdana" w:cs="Arial"/>
                <w:color w:val="000000" w:themeColor="text1"/>
                <w:lang w:val="es-ES" w:eastAsia="es-ES"/>
              </w:rPr>
              <w:t xml:space="preserve"> 1_2025_09_17_010190</w:t>
            </w:r>
            <w:r>
              <w:rPr>
                <w:rFonts w:ascii="Verdana" w:eastAsia="Calibri" w:hAnsi="Verdana" w:cs="Arial"/>
                <w:color w:val="000000" w:themeColor="text1"/>
                <w:lang w:val="es-ES" w:eastAsia="es-ES"/>
              </w:rPr>
              <w:t>,</w:t>
            </w:r>
            <w:r w:rsidRPr="005C692A">
              <w:rPr>
                <w:rFonts w:ascii="Verdana" w:eastAsia="Calibri" w:hAnsi="Verdana" w:cs="Arial"/>
                <w:color w:val="000000" w:themeColor="text1"/>
                <w:lang w:val="es-ES" w:eastAsia="es-ES"/>
              </w:rPr>
              <w:t xml:space="preserve"> 1_2025_09_30_010807</w:t>
            </w:r>
            <w:r>
              <w:rPr>
                <w:rFonts w:ascii="Verdana" w:eastAsia="Calibri" w:hAnsi="Verdana" w:cs="Arial"/>
                <w:color w:val="000000" w:themeColor="text1"/>
                <w:lang w:val="es-ES" w:eastAsia="es-ES"/>
              </w:rPr>
              <w:t xml:space="preserve"> y</w:t>
            </w:r>
            <w:r w:rsidRPr="005C692A">
              <w:rPr>
                <w:rFonts w:ascii="Verdana" w:eastAsia="Calibri" w:hAnsi="Verdana" w:cs="Arial"/>
                <w:color w:val="000000" w:themeColor="text1"/>
                <w:lang w:val="es-ES" w:eastAsia="es-ES"/>
              </w:rPr>
              <w:t xml:space="preserve"> 1_2025_09_30_010830</w:t>
            </w:r>
            <w:r>
              <w:rPr>
                <w:rFonts w:ascii="Verdana" w:eastAsia="Calibri" w:hAnsi="Verdana" w:cs="Arial"/>
                <w:color w:val="000000" w:themeColor="text1"/>
                <w:lang w:val="es-ES" w:eastAsia="es-ES"/>
              </w:rPr>
              <w:t xml:space="preserve"> - Acumulados</w:t>
            </w:r>
          </w:p>
        </w:tc>
      </w:tr>
    </w:tbl>
    <w:p w14:paraId="78AE9C36" w14:textId="77777777" w:rsidR="00742264" w:rsidRPr="00FC6F34" w:rsidRDefault="00742264" w:rsidP="00742264">
      <w:pPr>
        <w:spacing w:after="0" w:line="276" w:lineRule="auto"/>
        <w:jc w:val="both"/>
        <w:rPr>
          <w:rFonts w:ascii="Verdana" w:eastAsia="Calibri" w:hAnsi="Verdana" w:cs="Arial"/>
          <w:color w:val="000000" w:themeColor="text1"/>
          <w:lang w:val="es-ES" w:eastAsia="es-ES"/>
        </w:rPr>
      </w:pPr>
    </w:p>
    <w:p w14:paraId="5DABB68E" w14:textId="77777777" w:rsidR="00742264" w:rsidRPr="00FC6F34" w:rsidRDefault="00742264" w:rsidP="00742264">
      <w:pPr>
        <w:spacing w:after="0" w:line="276" w:lineRule="auto"/>
        <w:jc w:val="both"/>
        <w:rPr>
          <w:rFonts w:ascii="Verdana" w:eastAsia="Calibri" w:hAnsi="Verdana" w:cs="Arial"/>
          <w:color w:val="000000" w:themeColor="text1"/>
          <w:lang w:val="es-ES" w:eastAsia="es-ES"/>
        </w:rPr>
      </w:pPr>
    </w:p>
    <w:p w14:paraId="1F875801" w14:textId="77777777" w:rsidR="00742264" w:rsidRPr="00FC6F34" w:rsidRDefault="00742264" w:rsidP="0074226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os</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Doctores</w:t>
      </w:r>
      <w:r w:rsidRPr="00FC6F34">
        <w:rPr>
          <w:rFonts w:ascii="Verdana" w:eastAsia="Calibri" w:hAnsi="Verdana" w:cs="Arial"/>
          <w:color w:val="000000" w:themeColor="text1"/>
          <w:lang w:val="es-ES" w:eastAsia="es-ES"/>
        </w:rPr>
        <w:t>:</w:t>
      </w:r>
    </w:p>
    <w:p w14:paraId="2647DFDA" w14:textId="77777777" w:rsidR="00742264" w:rsidRPr="00FC6F34" w:rsidRDefault="00742264" w:rsidP="00742264">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2E637E98" w14:textId="77777777" w:rsidR="00742264" w:rsidRPr="00FC6F34" w:rsidRDefault="00742264" w:rsidP="00742264">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 xml:space="preserve">17 </w:t>
      </w:r>
      <w:r w:rsidRPr="00FC6F34">
        <w:rPr>
          <w:rFonts w:ascii="Verdana" w:eastAsia="Calibri" w:hAnsi="Verdana" w:cs="Arial"/>
          <w:color w:val="000000" w:themeColor="text1"/>
          <w:lang w:val="es-ES" w:eastAsia="es-ES"/>
        </w:rPr>
        <w:t xml:space="preserve">de </w:t>
      </w:r>
      <w:r>
        <w:rPr>
          <w:rFonts w:ascii="Verdana" w:eastAsia="Calibri" w:hAnsi="Verdana" w:cs="Arial"/>
          <w:color w:val="000000" w:themeColor="text1"/>
          <w:lang w:val="es-ES" w:eastAsia="es-ES"/>
        </w:rPr>
        <w:t>septiembre</w:t>
      </w:r>
      <w:r w:rsidRPr="00FC6F34">
        <w:rPr>
          <w:rFonts w:ascii="Verdana" w:eastAsia="Calibri" w:hAnsi="Verdana" w:cs="Arial"/>
          <w:color w:val="000000" w:themeColor="text1"/>
          <w:lang w:val="es-ES" w:eastAsia="es-ES"/>
        </w:rPr>
        <w:t xml:space="preserve"> de 2025, en la</w:t>
      </w:r>
      <w:r>
        <w:rPr>
          <w:rFonts w:ascii="Verdana" w:eastAsia="Calibri" w:hAnsi="Verdana" w:cs="Arial"/>
          <w:color w:val="000000" w:themeColor="text1"/>
          <w:lang w:val="es-ES" w:eastAsia="es-ES"/>
        </w:rPr>
        <w:t xml:space="preserve"> cual respecto de las </w:t>
      </w:r>
      <w:r>
        <w:rPr>
          <w:rFonts w:ascii="Verdana" w:eastAsia="Calibri" w:hAnsi="Verdana" w:cs="Arial"/>
          <w:color w:val="000000" w:themeColor="text1"/>
          <w:lang w:val="es-ES" w:eastAsia="es-ES"/>
        </w:rPr>
        <w:lastRenderedPageBreak/>
        <w:t xml:space="preserve">excepciones establecidas en el </w:t>
      </w:r>
      <w:r w:rsidRPr="00756ADB">
        <w:rPr>
          <w:rFonts w:ascii="Verdana" w:eastAsia="Calibri" w:hAnsi="Verdana" w:cs="Arial"/>
          <w:color w:val="000000" w:themeColor="text1"/>
          <w:lang w:eastAsia="es-ES"/>
        </w:rPr>
        <w:t>artículo 33 de la Ley 996 de 2005</w:t>
      </w:r>
      <w:r w:rsidRPr="00756ADB">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pregunta</w:t>
      </w:r>
      <w:r w:rsidRPr="00FC6F34">
        <w:rPr>
          <w:rFonts w:ascii="Verdana" w:eastAsia="Calibri" w:hAnsi="Verdana" w:cs="Arial"/>
          <w:color w:val="000000" w:themeColor="text1"/>
          <w:lang w:val="es-ES" w:eastAsia="es-ES"/>
        </w:rPr>
        <w:t xml:space="preserve"> lo siguiente: </w:t>
      </w:r>
    </w:p>
    <w:p w14:paraId="39FC633D" w14:textId="77777777" w:rsidR="00742264" w:rsidRPr="00BF306B" w:rsidRDefault="00742264" w:rsidP="00742264">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2277E2B8" w14:textId="77777777" w:rsidR="00742264" w:rsidRPr="001A70DA" w:rsidRDefault="00742264" w:rsidP="00742264">
      <w:pPr>
        <w:spacing w:after="0" w:line="240" w:lineRule="auto"/>
        <w:ind w:left="709" w:right="709"/>
        <w:jc w:val="both"/>
        <w:rPr>
          <w:rFonts w:ascii="Verdana" w:hAnsi="Verdana"/>
          <w:sz w:val="20"/>
          <w:szCs w:val="20"/>
        </w:rPr>
      </w:pPr>
      <w:r w:rsidRPr="001A70DA">
        <w:rPr>
          <w:rFonts w:ascii="Verdana" w:eastAsia="Century Gothic" w:hAnsi="Verdana" w:cs="Century Gothic"/>
          <w:i/>
          <w:color w:val="000000" w:themeColor="text1"/>
          <w:sz w:val="20"/>
          <w:szCs w:val="20"/>
          <w:lang w:val="es-ES"/>
        </w:rPr>
        <w:t>“</w:t>
      </w:r>
      <w:r w:rsidRPr="001A70DA">
        <w:rPr>
          <w:rFonts w:ascii="Verdana" w:hAnsi="Verdana"/>
          <w:sz w:val="20"/>
          <w:szCs w:val="20"/>
        </w:rPr>
        <w:t xml:space="preserve">1. ¿La ANDJE está exceptuada de la limitación en materia de contratación directa señalada en el artículo 33 de la Ley 996 de 2005 en atención a que debe encargarse de la defensa jurídica del Estado? </w:t>
      </w:r>
    </w:p>
    <w:p w14:paraId="6C41723A" w14:textId="77777777" w:rsidR="00742264" w:rsidRPr="001A70DA" w:rsidRDefault="00742264" w:rsidP="00742264">
      <w:pPr>
        <w:spacing w:after="0" w:line="240" w:lineRule="auto"/>
        <w:ind w:left="709" w:right="709"/>
        <w:jc w:val="both"/>
        <w:rPr>
          <w:rFonts w:ascii="Verdana" w:hAnsi="Verdana"/>
          <w:sz w:val="20"/>
          <w:szCs w:val="20"/>
        </w:rPr>
      </w:pPr>
    </w:p>
    <w:p w14:paraId="25C7FC8E" w14:textId="77777777" w:rsidR="00742264" w:rsidRPr="001A70DA" w:rsidRDefault="00742264" w:rsidP="00742264">
      <w:pPr>
        <w:spacing w:after="0" w:line="240" w:lineRule="auto"/>
        <w:ind w:left="709" w:right="709"/>
        <w:jc w:val="both"/>
        <w:rPr>
          <w:rFonts w:ascii="Verdana" w:hAnsi="Verdana"/>
          <w:sz w:val="20"/>
          <w:szCs w:val="20"/>
        </w:rPr>
      </w:pPr>
      <w:r w:rsidRPr="001A70DA">
        <w:rPr>
          <w:rFonts w:ascii="Verdana" w:hAnsi="Verdana"/>
          <w:sz w:val="20"/>
          <w:szCs w:val="20"/>
        </w:rPr>
        <w:t xml:space="preserve">2. En la citada norma se indica que, “(…) Queda exceptuado lo referente a la defensa y seguridad del Estado, los contratos de crédito público (…)”. En ese orden de ideas, ¿debe entenderse que la contratación directa ejecutada por la ANDJE con recursos provenientes de créditos de organismos multilaterales de crédito BID también se encuentran exceptuados? </w:t>
      </w:r>
    </w:p>
    <w:p w14:paraId="04309334" w14:textId="77777777" w:rsidR="00742264" w:rsidRPr="001A70DA" w:rsidRDefault="00742264" w:rsidP="00742264">
      <w:pPr>
        <w:spacing w:after="0" w:line="240" w:lineRule="auto"/>
        <w:ind w:left="709" w:right="709"/>
        <w:jc w:val="both"/>
        <w:rPr>
          <w:rFonts w:ascii="Verdana" w:hAnsi="Verdana"/>
          <w:sz w:val="20"/>
          <w:szCs w:val="20"/>
        </w:rPr>
      </w:pPr>
    </w:p>
    <w:p w14:paraId="568BED88" w14:textId="77777777" w:rsidR="00742264" w:rsidRPr="001A70DA" w:rsidRDefault="00742264" w:rsidP="00742264">
      <w:pPr>
        <w:spacing w:after="0" w:line="240" w:lineRule="auto"/>
        <w:ind w:left="709" w:right="709"/>
        <w:jc w:val="both"/>
        <w:rPr>
          <w:rFonts w:ascii="Verdana" w:hAnsi="Verdana"/>
          <w:sz w:val="20"/>
          <w:szCs w:val="20"/>
        </w:rPr>
      </w:pPr>
      <w:r w:rsidRPr="001A70DA">
        <w:rPr>
          <w:rFonts w:ascii="Verdana" w:hAnsi="Verdana"/>
          <w:sz w:val="20"/>
          <w:szCs w:val="20"/>
        </w:rPr>
        <w:t>3. ¿Qué criterios adicionales deben observarse en la aplicación de estas excepciones para garantizar la legalidad y transparencia de los contratos y/o convenios celebrados en época preelectoral?</w:t>
      </w:r>
      <w:r w:rsidRPr="001A70DA">
        <w:rPr>
          <w:rFonts w:ascii="Verdana" w:eastAsia="Century Gothic" w:hAnsi="Verdana" w:cs="Century Gothic"/>
          <w:i/>
          <w:color w:val="000000" w:themeColor="text1"/>
          <w:sz w:val="20"/>
          <w:szCs w:val="20"/>
          <w:lang w:val="es-ES"/>
        </w:rPr>
        <w:t>”</w:t>
      </w:r>
    </w:p>
    <w:p w14:paraId="51246AB9" w14:textId="77777777" w:rsidR="00742264" w:rsidRDefault="00742264" w:rsidP="00742264">
      <w:pPr>
        <w:spacing w:after="0" w:line="240" w:lineRule="auto"/>
        <w:ind w:left="709" w:right="709"/>
        <w:jc w:val="both"/>
        <w:rPr>
          <w:rFonts w:ascii="Verdana" w:hAnsi="Verdana"/>
          <w:sz w:val="20"/>
          <w:szCs w:val="20"/>
        </w:rPr>
      </w:pPr>
    </w:p>
    <w:p w14:paraId="7D1F1FC2" w14:textId="77777777" w:rsidR="00742264" w:rsidRPr="002E740E" w:rsidRDefault="00742264" w:rsidP="00742264">
      <w:pPr>
        <w:spacing w:after="0" w:line="240" w:lineRule="auto"/>
        <w:ind w:left="709" w:right="-93"/>
        <w:jc w:val="both"/>
        <w:rPr>
          <w:rFonts w:ascii="Verdana" w:eastAsia="Calibri" w:hAnsi="Verdana" w:cs="Arial"/>
          <w:color w:val="000000" w:themeColor="text1"/>
          <w:lang w:val="es-ES" w:eastAsia="es-ES"/>
        </w:rPr>
      </w:pPr>
      <w:r w:rsidRPr="002E740E">
        <w:rPr>
          <w:rFonts w:ascii="Verdana" w:eastAsia="Calibri" w:hAnsi="Verdana" w:cs="Arial"/>
          <w:color w:val="000000" w:themeColor="text1"/>
          <w:lang w:val="es-ES" w:eastAsia="es-ES"/>
        </w:rPr>
        <w:t xml:space="preserve">Asimismo, la consulta de fecha 30 de septiembre manifiesta lo siguiente: </w:t>
      </w:r>
    </w:p>
    <w:p w14:paraId="2E124C8A" w14:textId="77777777" w:rsidR="00742264" w:rsidRDefault="00742264" w:rsidP="00742264">
      <w:pPr>
        <w:spacing w:after="0" w:line="240" w:lineRule="auto"/>
        <w:ind w:left="709" w:right="709"/>
        <w:jc w:val="both"/>
        <w:rPr>
          <w:rFonts w:ascii="Verdana" w:hAnsi="Verdana"/>
          <w:sz w:val="20"/>
          <w:szCs w:val="20"/>
        </w:rPr>
      </w:pPr>
    </w:p>
    <w:p w14:paraId="0F0F15BD" w14:textId="77777777" w:rsidR="00742264" w:rsidRPr="00BC3586" w:rsidRDefault="00742264" w:rsidP="00742264">
      <w:pPr>
        <w:spacing w:after="0" w:line="240" w:lineRule="auto"/>
        <w:ind w:left="709" w:right="709"/>
        <w:jc w:val="both"/>
        <w:rPr>
          <w:rFonts w:ascii="Verdana" w:hAnsi="Verdana"/>
          <w:sz w:val="20"/>
          <w:szCs w:val="20"/>
        </w:rPr>
      </w:pPr>
      <w:r w:rsidRPr="00BC3586">
        <w:rPr>
          <w:rFonts w:ascii="Verdana" w:hAnsi="Verdana"/>
          <w:sz w:val="20"/>
          <w:szCs w:val="20"/>
        </w:rPr>
        <w:t xml:space="preserve">“Con base en lo anterior, se considera que las actividades contractuales de la Agencia, particularmente aquellas que se adelantan bajo la modalidad de contratación directa para asegurar la defensa jurídica del Estado, podrían encontrarse legítimamente amparadas por dicha excepción, sin desconocer los principios de transparencia, legalidad y responsabilidad fiscal </w:t>
      </w:r>
    </w:p>
    <w:p w14:paraId="50C1B1B3" w14:textId="77777777" w:rsidR="00742264" w:rsidRPr="00BC3586" w:rsidRDefault="00742264" w:rsidP="00742264">
      <w:pPr>
        <w:spacing w:after="0" w:line="240" w:lineRule="auto"/>
        <w:ind w:left="709" w:right="709"/>
        <w:jc w:val="both"/>
        <w:rPr>
          <w:rFonts w:ascii="Verdana" w:hAnsi="Verdana"/>
          <w:sz w:val="20"/>
          <w:szCs w:val="20"/>
        </w:rPr>
      </w:pPr>
    </w:p>
    <w:p w14:paraId="31CB0927" w14:textId="77777777" w:rsidR="00742264" w:rsidRPr="00BC3586" w:rsidRDefault="00742264" w:rsidP="00742264">
      <w:pPr>
        <w:spacing w:after="0" w:line="240" w:lineRule="auto"/>
        <w:ind w:left="709" w:right="709"/>
        <w:jc w:val="both"/>
        <w:rPr>
          <w:rFonts w:ascii="Verdana" w:hAnsi="Verdana"/>
          <w:sz w:val="20"/>
          <w:szCs w:val="20"/>
        </w:rPr>
      </w:pPr>
      <w:r w:rsidRPr="00BC3586">
        <w:rPr>
          <w:rFonts w:ascii="Verdana" w:hAnsi="Verdana"/>
          <w:sz w:val="20"/>
          <w:szCs w:val="20"/>
        </w:rPr>
        <w:t>En mérito de lo expuesto, agradezco a esa Agencia se sirva emitir el concepto jurídico correspondiente, a efectos de contar con una interpretación clara y autorizada sobre la aplicabilidad de la excepción contenida en el artículo 33 de la Ley 996 de 2005 a los procesos contractuales adelantados por la Agencia Nacional de Defensa Jurídica del Estado bajo la modalidad de contratación directa. Ello con el fin de garantizar el cumplimiento de sus funciones misionales, sin afectar los principios rectores de la contratación pública ni los fines constitucionales de la defensa del interés general y el patrimonio público”</w:t>
      </w:r>
    </w:p>
    <w:p w14:paraId="552AF0F0" w14:textId="77777777" w:rsidR="00742264" w:rsidRPr="00FC6F34" w:rsidRDefault="00742264" w:rsidP="00742264">
      <w:pPr>
        <w:spacing w:after="0" w:line="276" w:lineRule="auto"/>
        <w:ind w:right="709"/>
        <w:jc w:val="both"/>
        <w:rPr>
          <w:rFonts w:ascii="Verdana" w:eastAsia="Calibri" w:hAnsi="Verdana" w:cs="Arial"/>
          <w:lang w:val="es-ES"/>
        </w:rPr>
      </w:pPr>
    </w:p>
    <w:p w14:paraId="6B6A03DF" w14:textId="77777777" w:rsidR="00742264" w:rsidRPr="00FC6F34" w:rsidRDefault="00742264" w:rsidP="00742264">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w:t>
      </w:r>
      <w:r w:rsidRPr="00FC6F34">
        <w:rPr>
          <w:rFonts w:ascii="Verdana" w:eastAsia="Calibri" w:hAnsi="Verdana" w:cs="Arial"/>
          <w:color w:val="000000" w:themeColor="text1"/>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5D23764D" w14:textId="77777777" w:rsidR="00742264" w:rsidRPr="00FC6F34" w:rsidRDefault="00742264" w:rsidP="00742264">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FC6F34">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de su consulta. </w:t>
      </w:r>
    </w:p>
    <w:p w14:paraId="347E3E37" w14:textId="77777777" w:rsidR="00742264" w:rsidRPr="00FC6F34" w:rsidRDefault="00742264" w:rsidP="00742264">
      <w:pPr>
        <w:spacing w:after="0" w:line="276" w:lineRule="auto"/>
        <w:ind w:firstLine="709"/>
        <w:jc w:val="both"/>
        <w:rPr>
          <w:rFonts w:ascii="Verdana" w:eastAsia="Calibri" w:hAnsi="Verdana" w:cs="Arial"/>
          <w:color w:val="000000" w:themeColor="text1"/>
          <w:lang w:val="es-ES" w:eastAsia="es-ES"/>
        </w:rPr>
      </w:pPr>
    </w:p>
    <w:p w14:paraId="6A25A071" w14:textId="77777777" w:rsidR="00742264" w:rsidRPr="00FC6F34" w:rsidRDefault="00742264" w:rsidP="0074226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4088EE6F" w14:textId="77777777" w:rsidR="00742264" w:rsidRPr="00FC6F34" w:rsidRDefault="00742264" w:rsidP="00742264">
      <w:pPr>
        <w:tabs>
          <w:tab w:val="left" w:pos="426"/>
        </w:tabs>
        <w:spacing w:after="0" w:line="276" w:lineRule="auto"/>
        <w:jc w:val="both"/>
        <w:rPr>
          <w:rFonts w:ascii="Verdana" w:eastAsia="Century Gothic" w:hAnsi="Verdana" w:cs="Century Gothic"/>
          <w:color w:val="000000" w:themeColor="text1"/>
          <w:lang w:val="es-ES"/>
        </w:rPr>
      </w:pPr>
    </w:p>
    <w:p w14:paraId="602FFAEE" w14:textId="77777777" w:rsidR="00742264" w:rsidRPr="00FC6F34" w:rsidRDefault="00742264" w:rsidP="00742264">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l</w:t>
      </w:r>
      <w:r>
        <w:rPr>
          <w:rFonts w:ascii="Verdana" w:eastAsia="Century Gothic" w:hAnsi="Verdana" w:cs="Century Gothic"/>
          <w:color w:val="000000" w:themeColor="text1"/>
          <w:lang w:val="es-ES"/>
        </w:rPr>
        <w:t>os</w:t>
      </w:r>
      <w:r w:rsidRPr="00FC6F34">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i) </w:t>
      </w:r>
      <w:r w:rsidRPr="004D22F7">
        <w:rPr>
          <w:rFonts w:ascii="Verdana" w:eastAsia="Century Gothic" w:hAnsi="Verdana" w:cs="Century Gothic"/>
          <w:iCs/>
          <w:color w:val="000000" w:themeColor="text1"/>
          <w:lang w:val="es-ES"/>
        </w:rPr>
        <w:t>¿Las excepciones establecida</w:t>
      </w:r>
      <w:r>
        <w:rPr>
          <w:rFonts w:ascii="Verdana" w:eastAsia="Century Gothic" w:hAnsi="Verdana" w:cs="Century Gothic"/>
          <w:iCs/>
          <w:color w:val="000000" w:themeColor="text1"/>
          <w:lang w:val="es-ES"/>
        </w:rPr>
        <w:t>s</w:t>
      </w:r>
      <w:r w:rsidRPr="004D22F7">
        <w:rPr>
          <w:rFonts w:ascii="Verdana" w:eastAsia="Century Gothic" w:hAnsi="Verdana" w:cs="Century Gothic"/>
          <w:iCs/>
          <w:color w:val="000000" w:themeColor="text1"/>
          <w:lang w:val="es-ES"/>
        </w:rPr>
        <w:t xml:space="preserve"> en el artículo 33 de la Ley 996 de </w:t>
      </w:r>
      <w:r>
        <w:rPr>
          <w:rFonts w:ascii="Verdana" w:eastAsia="Century Gothic" w:hAnsi="Verdana" w:cs="Century Gothic"/>
          <w:iCs/>
          <w:color w:val="000000" w:themeColor="text1"/>
          <w:lang w:val="es-ES"/>
        </w:rPr>
        <w:t>2005</w:t>
      </w:r>
      <w:r w:rsidRPr="004D22F7">
        <w:rPr>
          <w:rFonts w:ascii="Verdana" w:eastAsia="Century Gothic" w:hAnsi="Verdana" w:cs="Century Gothic"/>
          <w:iCs/>
          <w:color w:val="000000" w:themeColor="text1"/>
          <w:lang w:val="es-ES"/>
        </w:rPr>
        <w:t xml:space="preserve"> cobija la contratación para la defensa jurídica del Estado</w:t>
      </w:r>
      <w:r w:rsidRPr="004D22F7">
        <w:rPr>
          <w:rFonts w:ascii="Verdana" w:eastAsia="Century Gothic" w:hAnsi="Verdana" w:cs="Century Gothic"/>
          <w:iCs/>
          <w:color w:val="000000" w:themeColor="text1"/>
        </w:rPr>
        <w:t>?</w:t>
      </w:r>
      <w:r>
        <w:rPr>
          <w:rFonts w:ascii="Verdana" w:eastAsia="Century Gothic" w:hAnsi="Verdana" w:cs="Century Gothic"/>
          <w:iCs/>
          <w:color w:val="000000" w:themeColor="text1"/>
        </w:rPr>
        <w:t>,</w:t>
      </w:r>
      <w:r w:rsidRPr="004D22F7">
        <w:rPr>
          <w:rFonts w:ascii="Verdana" w:eastAsia="Century Gothic" w:hAnsi="Verdana" w:cs="Century Gothic"/>
          <w:iCs/>
          <w:color w:val="000000" w:themeColor="text1"/>
        </w:rPr>
        <w:t xml:space="preserve"> </w:t>
      </w:r>
      <w:r>
        <w:rPr>
          <w:rFonts w:ascii="Verdana" w:eastAsia="Century Gothic" w:hAnsi="Verdana" w:cs="Century Gothic"/>
          <w:iCs/>
          <w:color w:val="000000" w:themeColor="text1"/>
        </w:rPr>
        <w:t xml:space="preserve">y </w:t>
      </w:r>
      <w:proofErr w:type="spellStart"/>
      <w:r>
        <w:rPr>
          <w:rFonts w:ascii="Verdana" w:eastAsia="Century Gothic" w:hAnsi="Verdana" w:cs="Century Gothic"/>
          <w:iCs/>
          <w:color w:val="000000" w:themeColor="text1"/>
        </w:rPr>
        <w:t>ii</w:t>
      </w:r>
      <w:proofErr w:type="spellEnd"/>
      <w:r>
        <w:rPr>
          <w:rFonts w:ascii="Verdana" w:eastAsia="Century Gothic" w:hAnsi="Verdana" w:cs="Century Gothic"/>
          <w:iCs/>
          <w:color w:val="000000" w:themeColor="text1"/>
        </w:rPr>
        <w:t xml:space="preserve">) ¿Se encuentra restringida la celebración de contratación directa ejecutada con recursos </w:t>
      </w:r>
      <w:r w:rsidRPr="00620D70">
        <w:rPr>
          <w:rFonts w:ascii="Verdana" w:eastAsia="Century Gothic" w:hAnsi="Verdana" w:cs="Century Gothic"/>
          <w:color w:val="000000" w:themeColor="text1"/>
        </w:rPr>
        <w:t>provenientes de organismos multilaterales</w:t>
      </w:r>
      <w:r>
        <w:rPr>
          <w:rFonts w:ascii="Verdana" w:eastAsia="Century Gothic" w:hAnsi="Verdana" w:cs="Century Gothic"/>
          <w:color w:val="000000" w:themeColor="text1"/>
        </w:rPr>
        <w:t xml:space="preserve"> de créditos</w:t>
      </w:r>
      <w:r w:rsidRPr="00620D70">
        <w:rPr>
          <w:rFonts w:ascii="Verdana" w:eastAsia="Century Gothic" w:hAnsi="Verdana" w:cs="Century Gothic"/>
          <w:color w:val="000000" w:themeColor="text1"/>
        </w:rPr>
        <w:t xml:space="preserve"> </w:t>
      </w:r>
      <w:r w:rsidRPr="00D47C60">
        <w:rPr>
          <w:rFonts w:ascii="Verdana" w:eastAsia="Century Gothic" w:hAnsi="Verdana" w:cs="Century Gothic"/>
          <w:color w:val="000000" w:themeColor="text1"/>
          <w:lang w:val="es-ES"/>
        </w:rPr>
        <w:t>durante el periodo de la Ley de Garantías Electorales?</w:t>
      </w:r>
    </w:p>
    <w:p w14:paraId="2BBA57CD" w14:textId="77777777" w:rsidR="00742264" w:rsidRPr="00FC6F34" w:rsidRDefault="00742264" w:rsidP="00742264">
      <w:pPr>
        <w:spacing w:after="0" w:line="276" w:lineRule="auto"/>
        <w:jc w:val="both"/>
        <w:rPr>
          <w:rFonts w:ascii="Verdana" w:eastAsia="Calibri" w:hAnsi="Verdana" w:cs="Arial"/>
          <w:color w:val="000000" w:themeColor="text1"/>
          <w:lang w:val="es-ES"/>
        </w:rPr>
      </w:pPr>
    </w:p>
    <w:p w14:paraId="26C7170F" w14:textId="77777777" w:rsidR="00742264" w:rsidRPr="00FC6F34" w:rsidRDefault="00742264" w:rsidP="0074226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3ECC6E25" w14:textId="77777777" w:rsidR="00742264" w:rsidRPr="00FC6F34" w:rsidRDefault="00742264" w:rsidP="00742264">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42264" w:rsidRPr="00FC6F34" w14:paraId="11F86A48" w14:textId="77777777" w:rsidTr="00577CE2">
        <w:tc>
          <w:tcPr>
            <w:tcW w:w="8828" w:type="dxa"/>
          </w:tcPr>
          <w:p w14:paraId="43AA5729" w14:textId="77777777" w:rsidR="00742264" w:rsidRDefault="00742264" w:rsidP="00577CE2">
            <w:pPr>
              <w:spacing w:after="120" w:line="276" w:lineRule="auto"/>
              <w:jc w:val="both"/>
              <w:rPr>
                <w:rFonts w:ascii="Verdana" w:hAnsi="Verdana" w:cs="Arial"/>
                <w:bCs/>
                <w:color w:val="000000" w:themeColor="text1"/>
                <w:lang w:val="es-ES"/>
              </w:rPr>
            </w:pPr>
            <w:r>
              <w:rPr>
                <w:rFonts w:ascii="Verdana" w:eastAsia="Arial" w:hAnsi="Verdana" w:cs="Arial"/>
                <w:bCs/>
                <w:color w:val="000000" w:themeColor="text1"/>
                <w:lang w:val="es-ES"/>
              </w:rPr>
              <w:t>i. E</w:t>
            </w:r>
            <w:r w:rsidRPr="00FC6F34">
              <w:rPr>
                <w:rFonts w:ascii="Verdana" w:eastAsia="Arial" w:hAnsi="Verdana" w:cs="Arial"/>
                <w:bCs/>
                <w:color w:val="000000" w:themeColor="text1"/>
                <w:lang w:val="es-ES"/>
              </w:rPr>
              <w:t xml:space="preserv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r>
              <w:rPr>
                <w:rFonts w:ascii="Verdana" w:hAnsi="Verdana" w:cs="Arial"/>
                <w:bCs/>
                <w:color w:val="000000" w:themeColor="text1"/>
                <w:lang w:val="es-ES"/>
              </w:rPr>
              <w:t xml:space="preserve"> 1</w:t>
            </w:r>
            <w:r w:rsidRPr="00FC6F34">
              <w:rPr>
                <w:rFonts w:ascii="Verdana" w:hAnsi="Verdana" w:cs="Arial"/>
                <w:bCs/>
                <w:color w:val="000000" w:themeColor="text1"/>
                <w:lang w:val="es-ES"/>
              </w:rPr>
              <w:t>) La contratación referente a la defensa y seguridad del Estado;</w:t>
            </w:r>
            <w:r>
              <w:rPr>
                <w:rFonts w:ascii="Verdana" w:hAnsi="Verdana" w:cs="Arial"/>
                <w:bCs/>
                <w:color w:val="000000" w:themeColor="text1"/>
                <w:lang w:val="es-ES"/>
              </w:rPr>
              <w:t xml:space="preserve"> 2</w:t>
            </w:r>
            <w:r w:rsidRPr="00FC6F34">
              <w:rPr>
                <w:rFonts w:ascii="Verdana" w:hAnsi="Verdana" w:cs="Arial"/>
                <w:bCs/>
                <w:color w:val="000000" w:themeColor="text1"/>
                <w:lang w:val="es-ES"/>
              </w:rPr>
              <w:t>) Los contratos de crédito público;</w:t>
            </w:r>
            <w:r>
              <w:rPr>
                <w:rFonts w:ascii="Verdana" w:hAnsi="Verdana" w:cs="Arial"/>
                <w:bCs/>
                <w:color w:val="000000" w:themeColor="text1"/>
                <w:lang w:val="es-ES"/>
              </w:rPr>
              <w:t xml:space="preserve"> 3</w:t>
            </w:r>
            <w:r w:rsidRPr="00FC6F34">
              <w:rPr>
                <w:rFonts w:ascii="Verdana" w:hAnsi="Verdana" w:cs="Arial"/>
                <w:bCs/>
                <w:color w:val="000000" w:themeColor="text1"/>
                <w:lang w:val="es-ES"/>
              </w:rPr>
              <w:t xml:space="preserve">) Los contratos requeridos para cubrir las emergencias educativas, sanitarias y desastres; </w:t>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r>
              <w:rPr>
                <w:rFonts w:ascii="Verdana" w:hAnsi="Verdana" w:cs="Arial"/>
                <w:bCs/>
                <w:color w:val="000000" w:themeColor="text1"/>
                <w:lang w:val="es-ES"/>
              </w:rPr>
              <w:t xml:space="preserve"> 5</w:t>
            </w:r>
            <w:r w:rsidRPr="00FC6F34">
              <w:rPr>
                <w:rFonts w:ascii="Verdana" w:hAnsi="Verdana" w:cs="Arial"/>
                <w:bCs/>
                <w:color w:val="000000" w:themeColor="text1"/>
                <w:lang w:val="es-ES"/>
              </w:rPr>
              <w:t xml:space="preserve">) La contratación que deban realizar las entidades sanitarias y hospitalarias. </w:t>
            </w:r>
          </w:p>
          <w:p w14:paraId="78DE91F0" w14:textId="77777777" w:rsidR="00742264" w:rsidRPr="00FC6F34" w:rsidRDefault="00742264" w:rsidP="00577CE2">
            <w:pPr>
              <w:spacing w:after="120" w:line="276" w:lineRule="auto"/>
              <w:ind w:firstLine="743"/>
              <w:jc w:val="both"/>
              <w:rPr>
                <w:rFonts w:ascii="Verdana" w:hAnsi="Verdana" w:cs="Arial"/>
                <w:bCs/>
                <w:color w:val="000000" w:themeColor="text1"/>
                <w:lang w:val="es-ES"/>
              </w:rPr>
            </w:pPr>
            <w:r>
              <w:rPr>
                <w:rFonts w:ascii="Verdana" w:hAnsi="Verdana" w:cs="Arial"/>
                <w:bCs/>
                <w:color w:val="000000" w:themeColor="text1"/>
                <w:lang w:val="es-ES"/>
              </w:rPr>
              <w:lastRenderedPageBreak/>
              <w:t>Particularmente, frente a la excepción de la contratación referente a la defensa y seguridad del Estado, de cara a la consulta planteada, resulta indispensable</w:t>
            </w:r>
            <w:r w:rsidRPr="003E5E57">
              <w:rPr>
                <w:rFonts w:ascii="Verdana" w:eastAsia="Calibri" w:hAnsi="Verdana" w:cs="Arial"/>
                <w:bCs/>
                <w:color w:val="000000" w:themeColor="text1"/>
              </w:rPr>
              <w:t xml:space="preserve"> precisar el alcance del concepto </w:t>
            </w:r>
            <w:r w:rsidRPr="003E5E57">
              <w:rPr>
                <w:rFonts w:ascii="Verdana" w:eastAsia="Calibri" w:hAnsi="Verdana" w:cs="Arial"/>
                <w:color w:val="000000"/>
                <w:lang w:val="es-ES"/>
              </w:rPr>
              <w:t xml:space="preserve">de </w:t>
            </w:r>
            <w:r w:rsidRPr="003E5E57">
              <w:rPr>
                <w:rFonts w:ascii="Verdana" w:eastAsia="Calibri" w:hAnsi="Verdana" w:cs="Arial"/>
                <w:i/>
                <w:iCs/>
                <w:color w:val="000000"/>
                <w:lang w:val="es-ES"/>
              </w:rPr>
              <w:t>“defensa y seguridad nacional</w:t>
            </w:r>
            <w:r w:rsidRPr="003E5E57">
              <w:rPr>
                <w:rFonts w:ascii="Verdana" w:eastAsia="Calibri" w:hAnsi="Verdana" w:cs="Arial"/>
                <w:color w:val="000000"/>
                <w:lang w:val="es-ES"/>
              </w:rPr>
              <w:t>”. Este concepto no tiene una definición legal en el Estatuto General de Contratación de la Administración Pública –EGCAP–.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Pr>
                <w:rFonts w:ascii="Verdana" w:eastAsia="Calibri" w:hAnsi="Verdana" w:cs="Arial"/>
                <w:color w:val="000000"/>
                <w:lang w:val="es-ES"/>
              </w:rPr>
              <w:t>.</w:t>
            </w:r>
          </w:p>
          <w:p w14:paraId="0D91A06C" w14:textId="77777777" w:rsidR="00742264" w:rsidRDefault="00742264" w:rsidP="00577CE2">
            <w:pPr>
              <w:tabs>
                <w:tab w:val="left" w:pos="426"/>
              </w:tabs>
              <w:spacing w:after="120" w:line="276" w:lineRule="auto"/>
              <w:ind w:firstLine="709"/>
              <w:jc w:val="both"/>
              <w:rPr>
                <w:rFonts w:ascii="Verdana" w:hAnsi="Verdana" w:cs="Arial"/>
                <w:bCs/>
                <w:color w:val="000000" w:themeColor="text1"/>
                <w:lang w:val="es-ES"/>
              </w:rPr>
            </w:pPr>
            <w:r>
              <w:rPr>
                <w:rFonts w:ascii="Verdana" w:hAnsi="Verdana"/>
              </w:rPr>
              <w:t>Concretamente, frente</w:t>
            </w:r>
            <w:r>
              <w:rPr>
                <w:rFonts w:ascii="Verdana" w:hAnsi="Verdana" w:cs="Arial"/>
                <w:bCs/>
                <w:color w:val="000000" w:themeColor="text1"/>
                <w:lang w:val="es-ES"/>
              </w:rPr>
              <w:t xml:space="preserve"> al alcance de este concepto en el marco de la Ley de Garantías Electorales, el Consejo de Estado concluyó que </w:t>
            </w:r>
            <w:r w:rsidRPr="002705E0">
              <w:rPr>
                <w:rFonts w:ascii="Verdana" w:hAnsi="Verdana" w:cs="Arial"/>
                <w:bCs/>
                <w:color w:val="000000" w:themeColor="text1"/>
                <w:lang w:val="es-ES"/>
              </w:rPr>
              <w:t xml:space="preserve">los conceptos de seguridad y defensa </w:t>
            </w:r>
            <w:r>
              <w:rPr>
                <w:rFonts w:ascii="Verdana" w:hAnsi="Verdana" w:cs="Arial"/>
                <w:bCs/>
                <w:color w:val="000000" w:themeColor="text1"/>
                <w:lang w:val="es-ES"/>
              </w:rPr>
              <w:t xml:space="preserve">del Estado </w:t>
            </w:r>
            <w:r w:rsidRPr="002705E0">
              <w:rPr>
                <w:rFonts w:ascii="Verdana" w:hAnsi="Verdana" w:cs="Arial"/>
                <w:bCs/>
                <w:color w:val="000000" w:themeColor="text1"/>
                <w:lang w:val="es-ES"/>
              </w:rPr>
              <w:t>son conceptos jurídicos indeterminados, su alcance no se limita al campo de lo bélico sino que incluye asuntos encaminados, directamente o por conexidad, al mantenimiento del orden público, la convivencia pacífica de la comunidad y la vigencia de los derechos y libertades de las persona</w:t>
            </w:r>
            <w:r>
              <w:rPr>
                <w:rFonts w:ascii="Verdana" w:hAnsi="Verdana" w:cs="Arial"/>
                <w:bCs/>
                <w:color w:val="000000" w:themeColor="text1"/>
                <w:lang w:val="es-ES"/>
              </w:rPr>
              <w:t xml:space="preserve">s. </w:t>
            </w:r>
          </w:p>
          <w:p w14:paraId="26C40902" w14:textId="77777777" w:rsidR="00742264" w:rsidRDefault="00742264" w:rsidP="00577CE2">
            <w:pPr>
              <w:tabs>
                <w:tab w:val="left" w:pos="426"/>
              </w:tabs>
              <w:spacing w:after="120" w:line="276" w:lineRule="auto"/>
              <w:ind w:firstLine="709"/>
              <w:jc w:val="both"/>
              <w:rPr>
                <w:rFonts w:ascii="Verdana" w:hAnsi="Verdana"/>
              </w:rPr>
            </w:pPr>
            <w:r>
              <w:rPr>
                <w:rFonts w:ascii="Verdana" w:hAnsi="Verdana"/>
              </w:rPr>
              <w:t xml:space="preserve">En este sentido, a juicio de esta Subdirección la noción de defensa y seguridad del Estado en el marco de la Ley de garantías, no comprende de manera general la actividad de defensa jurídica del Estado que realiza la Agencia Nacional de Defensa Jurídica del Estado en cumplimiento de sus funciones misionales, ya que las actividades que abarca la noción de defensa jurídica del Estado, conforme al artículo 3 del Decreto </w:t>
            </w:r>
            <w:r w:rsidRPr="00012144">
              <w:rPr>
                <w:rFonts w:ascii="Verdana" w:hAnsi="Verdana"/>
              </w:rPr>
              <w:t>4085 del 2011</w:t>
            </w:r>
            <w:r>
              <w:rPr>
                <w:rFonts w:ascii="Verdana" w:hAnsi="Verdana"/>
              </w:rPr>
              <w:t xml:space="preserve">, se proyectan a </w:t>
            </w:r>
            <w:r w:rsidRPr="00A20CB1">
              <w:rPr>
                <w:rFonts w:ascii="Verdana" w:hAnsi="Verdana"/>
              </w:rPr>
              <w:t xml:space="preserve">la </w:t>
            </w:r>
            <w:r>
              <w:rPr>
                <w:rFonts w:ascii="Verdana" w:hAnsi="Verdana"/>
              </w:rPr>
              <w:t xml:space="preserve">defensa de los intereses de la administración y los derechos patrimoniales </w:t>
            </w:r>
            <w:r w:rsidRPr="00A20CB1">
              <w:rPr>
                <w:rFonts w:ascii="Verdana" w:hAnsi="Verdana"/>
              </w:rPr>
              <w:t>de</w:t>
            </w:r>
            <w:r>
              <w:rPr>
                <w:rFonts w:ascii="Verdana" w:hAnsi="Verdana"/>
              </w:rPr>
              <w:t xml:space="preserve"> la nación o de las entidades públicas del orden nacional</w:t>
            </w:r>
            <w:r w:rsidRPr="00A20CB1">
              <w:rPr>
                <w:rFonts w:ascii="Verdana" w:hAnsi="Verdana"/>
              </w:rPr>
              <w:t>, que no necesariamente afectan la seguridad o la defensa nacional</w:t>
            </w:r>
            <w:r>
              <w:rPr>
                <w:rFonts w:ascii="Verdana" w:hAnsi="Verdana"/>
              </w:rPr>
              <w:t>.</w:t>
            </w:r>
          </w:p>
          <w:p w14:paraId="499A46ED" w14:textId="77777777" w:rsidR="00742264" w:rsidRDefault="00742264" w:rsidP="00577CE2">
            <w:pPr>
              <w:tabs>
                <w:tab w:val="left" w:pos="426"/>
              </w:tabs>
              <w:spacing w:after="120" w:line="276" w:lineRule="auto"/>
              <w:ind w:firstLine="709"/>
              <w:jc w:val="both"/>
              <w:rPr>
                <w:rFonts w:ascii="Verdana" w:hAnsi="Verdana"/>
              </w:rPr>
            </w:pPr>
            <w:r>
              <w:rPr>
                <w:rFonts w:ascii="Verdana" w:hAnsi="Verdana"/>
              </w:rPr>
              <w:t>En este contexto, no se considera viable equiparar la noción defensa y seguridad del Estado con el alcance del concepto de defensa jurídica del Estado ya que</w:t>
            </w:r>
            <w:r w:rsidRPr="00842812">
              <w:rPr>
                <w:rFonts w:ascii="Verdana" w:hAnsi="Verdana"/>
              </w:rPr>
              <w:t xml:space="preserve"> </w:t>
            </w:r>
            <w:r>
              <w:rPr>
                <w:rFonts w:ascii="Verdana" w:hAnsi="Verdana"/>
              </w:rPr>
              <w:t xml:space="preserve">dichas actividades no se relacionan, en estricto sentido, con el </w:t>
            </w:r>
            <w:r w:rsidRPr="001F0253">
              <w:rPr>
                <w:rFonts w:ascii="Verdana" w:hAnsi="Verdana"/>
                <w:lang w:val="es-ES"/>
              </w:rPr>
              <w:t>mantenimiento del orden público, la convivencia pacífica de la comunidad</w:t>
            </w:r>
            <w:r>
              <w:rPr>
                <w:rFonts w:ascii="Verdana" w:hAnsi="Verdana"/>
                <w:lang w:val="es-ES"/>
              </w:rPr>
              <w:t>,</w:t>
            </w:r>
            <w:r w:rsidRPr="001F0253">
              <w:rPr>
                <w:rFonts w:ascii="Verdana" w:hAnsi="Verdana"/>
                <w:lang w:val="es-ES"/>
              </w:rPr>
              <w:t xml:space="preserve"> la vigencia de los derechos y libertades de las personas </w:t>
            </w:r>
            <w:r>
              <w:rPr>
                <w:rFonts w:ascii="Verdana" w:hAnsi="Verdana"/>
                <w:lang w:val="es-ES"/>
              </w:rPr>
              <w:t xml:space="preserve">o la protección de los ciudadanos, </w:t>
            </w:r>
            <w:r w:rsidRPr="00ED5FD4">
              <w:rPr>
                <w:rFonts w:ascii="Verdana" w:hAnsi="Verdana"/>
              </w:rPr>
              <w:t xml:space="preserve">que son los elementos </w:t>
            </w:r>
            <w:r>
              <w:rPr>
                <w:rFonts w:ascii="Verdana" w:hAnsi="Verdana"/>
              </w:rPr>
              <w:t xml:space="preserve">delimitantes </w:t>
            </w:r>
            <w:r w:rsidRPr="00ED5FD4">
              <w:rPr>
                <w:rFonts w:ascii="Verdana" w:hAnsi="Verdana"/>
              </w:rPr>
              <w:t xml:space="preserve">del concepto de defensa </w:t>
            </w:r>
            <w:r>
              <w:rPr>
                <w:rFonts w:ascii="Verdana" w:hAnsi="Verdana"/>
              </w:rPr>
              <w:t xml:space="preserve">y seguridad </w:t>
            </w:r>
            <w:r w:rsidRPr="00ED5FD4">
              <w:rPr>
                <w:rFonts w:ascii="Verdana" w:hAnsi="Verdana"/>
              </w:rPr>
              <w:t>nacional</w:t>
            </w:r>
            <w:r>
              <w:rPr>
                <w:rFonts w:ascii="Verdana" w:hAnsi="Verdana"/>
              </w:rPr>
              <w:t>, de acuerdo con lo expuesto por el Consejo de Estado</w:t>
            </w:r>
            <w:r w:rsidRPr="00ED5FD4">
              <w:rPr>
                <w:rFonts w:ascii="Verdana" w:hAnsi="Verdana"/>
              </w:rPr>
              <w:t>.</w:t>
            </w:r>
            <w:r>
              <w:rPr>
                <w:rFonts w:ascii="Verdana" w:hAnsi="Verdana"/>
              </w:rPr>
              <w:t xml:space="preserve"> </w:t>
            </w:r>
            <w:r w:rsidRPr="00A20CB1">
              <w:rPr>
                <w:rFonts w:ascii="Verdana" w:hAnsi="Verdana"/>
              </w:rPr>
              <w:t xml:space="preserve">En consecuencia, mientras la defensa y seguridad del Estado atiende a la protección colectiva del Estado, la defensa judicial responde a la necesidad </w:t>
            </w:r>
            <w:r w:rsidRPr="00A20CB1">
              <w:rPr>
                <w:rFonts w:ascii="Verdana" w:hAnsi="Verdana"/>
              </w:rPr>
              <w:lastRenderedPageBreak/>
              <w:t>administrativa y procesal de salvaguardar derechos específicos</w:t>
            </w:r>
            <w:r>
              <w:rPr>
                <w:rFonts w:ascii="Verdana" w:hAnsi="Verdana"/>
              </w:rPr>
              <w:t xml:space="preserve"> de la Nación</w:t>
            </w:r>
            <w:r w:rsidRPr="00A20CB1">
              <w:rPr>
                <w:rFonts w:ascii="Verdana" w:hAnsi="Verdana"/>
              </w:rPr>
              <w:t xml:space="preserve"> dentro del marco legal.</w:t>
            </w:r>
          </w:p>
          <w:p w14:paraId="3E9FCA97" w14:textId="77777777" w:rsidR="00742264" w:rsidRPr="005D1521" w:rsidRDefault="00742264" w:rsidP="00577CE2">
            <w:pPr>
              <w:tabs>
                <w:tab w:val="left" w:pos="426"/>
              </w:tabs>
              <w:spacing w:after="120" w:line="276" w:lineRule="auto"/>
              <w:ind w:firstLine="709"/>
              <w:jc w:val="both"/>
              <w:rPr>
                <w:rFonts w:ascii="Verdana" w:hAnsi="Verdana" w:cs="Arial"/>
                <w:bCs/>
                <w:color w:val="000000" w:themeColor="text1"/>
              </w:rPr>
            </w:pPr>
            <w:r w:rsidRPr="004550CD">
              <w:rPr>
                <w:rFonts w:ascii="Verdana" w:hAnsi="Verdana" w:cs="Arial"/>
                <w:bCs/>
                <w:color w:val="000000" w:themeColor="text1"/>
              </w:rPr>
              <w:t xml:space="preserve">Por consiguiente, las actividades que se desarrollen en el marco de la defensa jurídica del Estado, en términos generales, no se encuentran comprendidas dentro de la excepción prevista en el artículo 33 de la Ley de Garantías Electorales, relativa a la defensa y seguridad del Estado. No obstante, lo anterior no excluye la posibilidad de realizar un análisis particular en casos concretos, en los cuales la defensa jurídica del Estado pueda </w:t>
            </w:r>
            <w:proofErr w:type="gramStart"/>
            <w:r w:rsidRPr="004550CD">
              <w:rPr>
                <w:rFonts w:ascii="Verdana" w:hAnsi="Verdana" w:cs="Arial"/>
                <w:bCs/>
                <w:color w:val="000000" w:themeColor="text1"/>
              </w:rPr>
              <w:t>enmarcarse dentro de</w:t>
            </w:r>
            <w:proofErr w:type="gramEnd"/>
            <w:r w:rsidRPr="004550CD">
              <w:rPr>
                <w:rFonts w:ascii="Verdana" w:hAnsi="Verdana" w:cs="Arial"/>
                <w:bCs/>
                <w:color w:val="000000" w:themeColor="text1"/>
              </w:rPr>
              <w:t xml:space="preserve"> la noción de defensa y seguridad del Estado definida por el Consejo de Estado</w:t>
            </w:r>
            <w:r>
              <w:rPr>
                <w:rFonts w:ascii="Verdana" w:hAnsi="Verdana" w:cs="Arial"/>
                <w:bCs/>
                <w:color w:val="000000" w:themeColor="text1"/>
              </w:rPr>
              <w:t xml:space="preserve">. Esto incluye </w:t>
            </w:r>
            <w:r w:rsidRPr="003A10B0">
              <w:rPr>
                <w:rFonts w:ascii="Verdana" w:hAnsi="Verdana"/>
              </w:rPr>
              <w:t xml:space="preserve">la participación en procesos judiciales o administrativos en los que la Nación sea parte demandante o demandada </w:t>
            </w:r>
            <w:r>
              <w:rPr>
                <w:rFonts w:ascii="Verdana" w:hAnsi="Verdana" w:cs="Arial"/>
                <w:bCs/>
                <w:color w:val="000000" w:themeColor="text1"/>
              </w:rPr>
              <w:t xml:space="preserve">y sea necesaria su intervención para </w:t>
            </w:r>
            <w:r w:rsidRPr="004550CD">
              <w:rPr>
                <w:rFonts w:ascii="Verdana" w:hAnsi="Verdana" w:cs="Arial"/>
                <w:bCs/>
                <w:color w:val="000000" w:themeColor="text1"/>
              </w:rPr>
              <w:t>garantizar los derechos y libertades de los ciudadanos</w:t>
            </w:r>
            <w:r>
              <w:rPr>
                <w:rFonts w:ascii="Verdana" w:hAnsi="Verdana" w:cs="Arial"/>
                <w:bCs/>
                <w:color w:val="000000" w:themeColor="text1"/>
              </w:rPr>
              <w:t>,</w:t>
            </w:r>
            <w:r w:rsidRPr="004550CD">
              <w:rPr>
                <w:rFonts w:ascii="Verdana" w:hAnsi="Verdana" w:cs="Arial"/>
                <w:bCs/>
                <w:color w:val="000000" w:themeColor="text1"/>
              </w:rPr>
              <w:t xml:space="preserve"> </w:t>
            </w:r>
            <w:r>
              <w:rPr>
                <w:rFonts w:ascii="Verdana" w:hAnsi="Verdana"/>
              </w:rPr>
              <w:t xml:space="preserve">el </w:t>
            </w:r>
            <w:r w:rsidRPr="001F0253">
              <w:rPr>
                <w:rFonts w:ascii="Verdana" w:hAnsi="Verdana"/>
                <w:lang w:val="es-ES"/>
              </w:rPr>
              <w:t>mantenimiento del orden público, la convivencia pacífica de la comunidad</w:t>
            </w:r>
            <w:r>
              <w:rPr>
                <w:rFonts w:ascii="Verdana" w:hAnsi="Verdana"/>
                <w:lang w:val="es-ES"/>
              </w:rPr>
              <w:t xml:space="preserve"> y los demás aspectos a los que se hizo referencia en líneas anteriores. En todo caso, el análisis requerido para sustentar esta o cualquiera de las demás excepciones a la restricción del artículo 33 de la Ley 996 de 2005, deberá ser realizado por la Entidad Estatal contratante en cada caso concreto, de lo que se deberá dejar constancia en los Documentos del Proceso. </w:t>
            </w:r>
          </w:p>
          <w:p w14:paraId="132BCA31" w14:textId="77777777" w:rsidR="00742264" w:rsidRPr="00C3283C" w:rsidRDefault="00742264" w:rsidP="00577CE2">
            <w:pPr>
              <w:spacing w:after="120" w:line="276" w:lineRule="auto"/>
              <w:jc w:val="both"/>
              <w:rPr>
                <w:rFonts w:ascii="Verdana" w:eastAsia="Arial" w:hAnsi="Verdana" w:cs="Arial"/>
                <w:bCs/>
                <w:color w:val="000000" w:themeColor="text1"/>
                <w:lang w:val="es-ES"/>
              </w:rPr>
            </w:pPr>
            <w:proofErr w:type="spellStart"/>
            <w:r>
              <w:rPr>
                <w:rFonts w:ascii="Verdana" w:eastAsia="Arial" w:hAnsi="Verdana" w:cs="Arial"/>
                <w:bCs/>
                <w:color w:val="000000" w:themeColor="text1"/>
                <w:lang w:val="es-ES"/>
              </w:rPr>
              <w:t>ii</w:t>
            </w:r>
            <w:proofErr w:type="spellEnd"/>
            <w:r>
              <w:rPr>
                <w:rFonts w:ascii="Verdana" w:eastAsia="Arial" w:hAnsi="Verdana" w:cs="Arial"/>
                <w:bCs/>
                <w:color w:val="000000" w:themeColor="text1"/>
                <w:lang w:val="es-ES"/>
              </w:rPr>
              <w:t xml:space="preserve">. Con fundamento en el artículo 20 de la Ley 1150 de 2007, </w:t>
            </w:r>
            <w:r w:rsidRPr="002740FF">
              <w:rPr>
                <w:rFonts w:ascii="Verdana" w:eastAsia="Arial" w:hAnsi="Verdana" w:cs="Arial"/>
                <w:bCs/>
                <w:color w:val="000000" w:themeColor="text1"/>
              </w:rPr>
              <w:t xml:space="preserve">la restricción contemplada en el artículo 33 </w:t>
            </w:r>
            <w:r>
              <w:rPr>
                <w:rFonts w:ascii="Verdana" w:eastAsia="Arial" w:hAnsi="Verdana" w:cs="Arial"/>
                <w:bCs/>
                <w:color w:val="000000" w:themeColor="text1"/>
              </w:rPr>
              <w:t xml:space="preserve">de la Ley de Garantías Electorales </w:t>
            </w:r>
            <w:r w:rsidRPr="002740FF">
              <w:rPr>
                <w:rFonts w:ascii="Verdana" w:eastAsia="Arial" w:hAnsi="Verdana" w:cs="Arial"/>
                <w:bCs/>
                <w:color w:val="000000" w:themeColor="text1"/>
              </w:rPr>
              <w:t>no aplica a los contratos o convenios a los que se refiere el inciso segundo del artículo 20 de la Ley 1150 de 2007, cuando se sometan a los reglamentos de dichos organismos, incluyendo aquellos financiados con fondos de los organismos multilaterales de crédito y entes gubernamentales extranjeros, sin importar el porcentaje de financiación.</w:t>
            </w:r>
            <w:r w:rsidRPr="00FC6F34">
              <w:rPr>
                <w:rFonts w:ascii="Verdana" w:eastAsia="Times New Roman" w:hAnsi="Verdana" w:cs="Arial"/>
                <w:color w:val="000000" w:themeColor="text1"/>
                <w:lang w:val="es-ES" w:eastAsia="es-ES"/>
              </w:rPr>
              <w:t xml:space="preserve"> </w:t>
            </w:r>
          </w:p>
        </w:tc>
      </w:tr>
    </w:tbl>
    <w:p w14:paraId="021213A4" w14:textId="77777777" w:rsidR="00742264" w:rsidRPr="00FC6F34" w:rsidRDefault="00742264" w:rsidP="00742264">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A8838FF" w14:textId="77777777" w:rsidR="00742264" w:rsidRPr="00FC6F34" w:rsidRDefault="00742264" w:rsidP="0074226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26FF4DE1" w14:textId="77777777" w:rsidR="00742264" w:rsidRPr="00FC6F34" w:rsidRDefault="00742264" w:rsidP="00742264">
      <w:pPr>
        <w:spacing w:after="0" w:line="276" w:lineRule="auto"/>
        <w:jc w:val="both"/>
        <w:rPr>
          <w:rFonts w:ascii="Verdana" w:eastAsia="Calibri" w:hAnsi="Verdana" w:cs="Arial"/>
          <w:color w:val="000000" w:themeColor="text1"/>
          <w:lang w:val="es-ES"/>
        </w:rPr>
      </w:pPr>
    </w:p>
    <w:p w14:paraId="2B5B86E6" w14:textId="77777777" w:rsidR="00742264" w:rsidRPr="00FC6F34" w:rsidRDefault="00742264" w:rsidP="00742264">
      <w:pPr>
        <w:tabs>
          <w:tab w:val="left" w:pos="426"/>
        </w:tabs>
        <w:spacing w:after="120" w:line="276" w:lineRule="auto"/>
        <w:jc w:val="both"/>
        <w:rPr>
          <w:rFonts w:ascii="Verdana" w:eastAsia="Times New Roman" w:hAnsi="Verdana" w:cs="Arial"/>
          <w:lang w:val="es-ES" w:eastAsia="es-CO"/>
        </w:rPr>
      </w:pPr>
      <w:bookmarkStart w:id="2" w:name="_Hlk102983874"/>
      <w:bookmarkStart w:id="3"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 xml:space="preserve">Por ejemplo, el artículo 127 de la Constitución Política establece una prohibición contractual a los servidores públicos y, en cuanto a aspectos </w:t>
      </w:r>
      <w:r w:rsidRPr="00FC6F34">
        <w:rPr>
          <w:rFonts w:ascii="Verdana" w:eastAsia="Calibri" w:hAnsi="Verdana" w:cs="Arial"/>
          <w:lang w:val="es-ES"/>
        </w:rPr>
        <w:lastRenderedPageBreak/>
        <w:t>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7152EBCC" w14:textId="77777777" w:rsidR="00742264" w:rsidRPr="00FC6F34" w:rsidRDefault="00742264" w:rsidP="00742264">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152CE92F" w14:textId="77777777" w:rsidR="00742264" w:rsidRPr="00FC6F34" w:rsidRDefault="00742264" w:rsidP="00742264">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6FA79E0" w14:textId="77777777" w:rsidR="00742264" w:rsidRPr="00FC6F34" w:rsidRDefault="00742264" w:rsidP="00742264">
      <w:pPr>
        <w:spacing w:after="0" w:line="276" w:lineRule="auto"/>
        <w:ind w:right="709"/>
        <w:jc w:val="both"/>
        <w:rPr>
          <w:rFonts w:ascii="Verdana" w:eastAsia="Times New Roman" w:hAnsi="Verdana" w:cs="Arial"/>
          <w:lang w:val="es-ES" w:eastAsia="es-CO"/>
        </w:rPr>
      </w:pPr>
    </w:p>
    <w:p w14:paraId="0222835C" w14:textId="77777777" w:rsidR="00742264" w:rsidRPr="00FC6F34" w:rsidRDefault="00742264" w:rsidP="0074226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01161301" w14:textId="77777777" w:rsidR="00742264" w:rsidRPr="00FC6F34" w:rsidRDefault="00742264" w:rsidP="0074226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46E3B1C8" w14:textId="77777777" w:rsidR="00742264" w:rsidRPr="00FC6F34" w:rsidRDefault="00742264" w:rsidP="00742264">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28281AC5" w14:textId="77777777" w:rsidR="00742264" w:rsidRPr="00FC6F34" w:rsidRDefault="00742264" w:rsidP="00742264">
      <w:pPr>
        <w:spacing w:after="0" w:line="276" w:lineRule="auto"/>
        <w:ind w:firstLine="709"/>
        <w:jc w:val="both"/>
        <w:rPr>
          <w:rFonts w:ascii="Verdana" w:eastAsia="Times New Roman" w:hAnsi="Verdana" w:cs="Arial"/>
          <w:lang w:val="es-ES" w:eastAsia="es-CO"/>
        </w:rPr>
      </w:pPr>
    </w:p>
    <w:p w14:paraId="2597CB7D" w14:textId="77777777" w:rsidR="00742264" w:rsidRPr="00FC6F34" w:rsidRDefault="00742264" w:rsidP="00742264">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w:t>
      </w:r>
      <w:r w:rsidRPr="00FC6F34">
        <w:rPr>
          <w:rFonts w:ascii="Verdana" w:eastAsia="Times New Roman" w:hAnsi="Verdana" w:cs="Arial"/>
          <w:lang w:val="es-ES" w:eastAsia="es-CO"/>
        </w:rPr>
        <w:lastRenderedPageBreak/>
        <w:t>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4B663EAB" w14:textId="77777777" w:rsidR="00742264" w:rsidRPr="00FC6F34" w:rsidRDefault="00742264" w:rsidP="00742264">
      <w:pPr>
        <w:spacing w:after="0" w:line="276" w:lineRule="auto"/>
        <w:ind w:firstLine="709"/>
        <w:jc w:val="both"/>
        <w:rPr>
          <w:rFonts w:ascii="Verdana" w:eastAsia="Times New Roman" w:hAnsi="Verdana" w:cs="Arial"/>
          <w:lang w:val="es-ES" w:eastAsia="es-CO"/>
        </w:rPr>
      </w:pPr>
    </w:p>
    <w:p w14:paraId="2C7F122B" w14:textId="77777777" w:rsidR="00742264" w:rsidRPr="00FC6F34" w:rsidRDefault="00742264" w:rsidP="0074226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1E8D29D" w14:textId="77777777" w:rsidR="00742264" w:rsidRPr="00FC6F34" w:rsidRDefault="00742264" w:rsidP="00742264">
      <w:pPr>
        <w:spacing w:after="0" w:line="240" w:lineRule="auto"/>
        <w:ind w:right="709"/>
        <w:jc w:val="both"/>
        <w:rPr>
          <w:rFonts w:ascii="Verdana" w:eastAsia="Times New Roman" w:hAnsi="Verdana" w:cs="Arial"/>
          <w:lang w:val="es-ES" w:eastAsia="es-CO"/>
        </w:rPr>
      </w:pPr>
    </w:p>
    <w:p w14:paraId="7BE4A673" w14:textId="77777777" w:rsidR="00742264" w:rsidRPr="00FC6F34" w:rsidRDefault="00742264" w:rsidP="00742264">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0DD28CAE" w14:textId="77777777" w:rsidR="00742264" w:rsidRPr="00FC6F34" w:rsidRDefault="00742264" w:rsidP="00742264">
      <w:pPr>
        <w:spacing w:after="0" w:line="276" w:lineRule="auto"/>
        <w:jc w:val="both"/>
        <w:rPr>
          <w:rFonts w:ascii="Verdana" w:eastAsia="Calibri" w:hAnsi="Verdana" w:cs="Arial"/>
          <w:bCs/>
          <w:lang w:val="es-ES"/>
        </w:rPr>
      </w:pPr>
    </w:p>
    <w:p w14:paraId="616BAF46" w14:textId="77777777" w:rsidR="00742264" w:rsidRDefault="00742264" w:rsidP="00742264">
      <w:pPr>
        <w:spacing w:after="12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B2FF5E1" w14:textId="77777777" w:rsidR="00742264" w:rsidRPr="00FC6F34" w:rsidRDefault="00742264" w:rsidP="00742264">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lastRenderedPageBreak/>
        <w:t>ii</w:t>
      </w:r>
      <w:proofErr w:type="spellEnd"/>
      <w:r w:rsidRPr="00FC6F34">
        <w:rPr>
          <w:rFonts w:ascii="Verdana" w:eastAsia="Arial" w:hAnsi="Verdana" w:cs="Arial"/>
          <w:lang w:val="es-ES" w:eastAsia="es-ES" w:bidi="es-ES"/>
        </w:rPr>
        <w:t>)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79F8B6B1" w14:textId="77777777" w:rsidR="00742264" w:rsidRPr="00FC6F34" w:rsidRDefault="00742264" w:rsidP="00742264">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55858B2D" w14:textId="77777777" w:rsidR="00742264" w:rsidRPr="00FC6F34" w:rsidRDefault="00742264" w:rsidP="00742264">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7F392652" w14:textId="77777777" w:rsidR="00742264" w:rsidRPr="00FC6F34" w:rsidRDefault="00742264" w:rsidP="00742264">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E8003FC" w14:textId="77777777" w:rsidR="00742264" w:rsidRPr="00FC6F34" w:rsidRDefault="00742264" w:rsidP="00742264">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025BF7A" w14:textId="77777777" w:rsidR="00742264" w:rsidRPr="00FC6F34" w:rsidRDefault="00742264" w:rsidP="00742264">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w:t>
      </w:r>
      <w:r w:rsidRPr="00FC6F34">
        <w:rPr>
          <w:rFonts w:ascii="Verdana" w:eastAsia="Arial" w:hAnsi="Verdana" w:cs="Arial"/>
          <w:sz w:val="20"/>
          <w:szCs w:val="20"/>
          <w:lang w:val="es-ES" w:eastAsia="es-ES" w:bidi="es-ES"/>
        </w:rPr>
        <w:lastRenderedPageBreak/>
        <w:t xml:space="preserve">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632F787F" w14:textId="77777777" w:rsidR="00742264" w:rsidRPr="00FC6F34" w:rsidRDefault="00742264" w:rsidP="00742264">
      <w:pPr>
        <w:widowControl w:val="0"/>
        <w:autoSpaceDE w:val="0"/>
        <w:autoSpaceDN w:val="0"/>
        <w:spacing w:after="0" w:line="276" w:lineRule="auto"/>
        <w:contextualSpacing/>
        <w:rPr>
          <w:rFonts w:ascii="Verdana" w:eastAsia="Arial" w:hAnsi="Verdana" w:cs="Arial"/>
          <w:lang w:val="es-ES" w:eastAsia="es-ES" w:bidi="es-ES"/>
        </w:rPr>
      </w:pPr>
    </w:p>
    <w:p w14:paraId="2F2E7D6C" w14:textId="77777777" w:rsidR="00742264" w:rsidRPr="00FC6F34" w:rsidRDefault="00742264" w:rsidP="0074226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58E778C" w14:textId="77777777" w:rsidR="00742264" w:rsidRPr="00FC6F34" w:rsidRDefault="00742264" w:rsidP="0074226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58CEB22" w14:textId="77777777" w:rsidR="00742264" w:rsidRDefault="00742264" w:rsidP="00742264">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lastRenderedPageBreak/>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A2556CF" w14:textId="77777777" w:rsidR="00742264" w:rsidRDefault="00742264" w:rsidP="00742264">
      <w:pPr>
        <w:spacing w:after="120" w:line="276" w:lineRule="auto"/>
        <w:jc w:val="both"/>
        <w:rPr>
          <w:rFonts w:ascii="Verdana" w:eastAsia="Times New Roman" w:hAnsi="Verdana" w:cs="Arial"/>
          <w:lang w:val="es-ES" w:eastAsia="es-CO"/>
        </w:rPr>
      </w:pPr>
      <w:proofErr w:type="spellStart"/>
      <w:r w:rsidRPr="00FC6F34">
        <w:rPr>
          <w:rFonts w:ascii="Verdana" w:eastAsia="Calibri" w:hAnsi="Verdana" w:cs="Arial"/>
          <w:lang w:val="es-ES"/>
        </w:rPr>
        <w:t>iii</w:t>
      </w:r>
      <w:proofErr w:type="spellEnd"/>
      <w:r w:rsidRPr="00FC6F34">
        <w:rPr>
          <w:rFonts w:ascii="Verdana" w:eastAsia="Calibri" w:hAnsi="Verdana" w:cs="Arial"/>
          <w:lang w:val="es-ES"/>
        </w:rPr>
        <w:t xml:space="preserve">) </w:t>
      </w:r>
      <w:r>
        <w:rPr>
          <w:rFonts w:ascii="Verdana" w:eastAsia="Calibri" w:hAnsi="Verdana" w:cs="Arial"/>
          <w:lang w:val="es-ES" w:eastAsia="es-ES" w:bidi="es-ES"/>
        </w:rPr>
        <w:t>P</w:t>
      </w:r>
      <w:r w:rsidRPr="00FC6F34">
        <w:rPr>
          <w:rFonts w:ascii="Verdana" w:eastAsia="Calibri" w:hAnsi="Verdana" w:cs="Arial"/>
          <w:lang w:val="es-ES" w:eastAsia="es-ES" w:bidi="es-ES"/>
        </w:rPr>
        <w:t xml:space="preserve">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w:t>
      </w:r>
      <w:r w:rsidRPr="00CD0948">
        <w:rPr>
          <w:rFonts w:ascii="Verdana" w:eastAsia="Times New Roman" w:hAnsi="Verdana" w:cs="Arial"/>
          <w:i/>
          <w:iCs/>
          <w:lang w:val="es-ES"/>
        </w:rPr>
        <w:t>ámbito material</w:t>
      </w:r>
      <w:r w:rsidRPr="00FC6F34">
        <w:rPr>
          <w:rFonts w:ascii="Verdana" w:eastAsia="Times New Roman" w:hAnsi="Verdana" w:cs="Arial"/>
          <w:lang w:val="es-ES"/>
        </w:rPr>
        <w:t xml:space="preserve">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35802CC6" w14:textId="77777777" w:rsidR="00742264" w:rsidRPr="00ED66F4" w:rsidRDefault="00742264" w:rsidP="00742264">
      <w:pPr>
        <w:spacing w:after="0" w:line="276" w:lineRule="auto"/>
        <w:jc w:val="both"/>
        <w:rPr>
          <w:rFonts w:ascii="Verdana" w:eastAsia="Arial" w:hAnsi="Verdana" w:cs="Arial"/>
          <w:lang w:val="es-ES" w:eastAsia="es-ES" w:bidi="es-ES"/>
        </w:rPr>
      </w:pPr>
    </w:p>
    <w:p w14:paraId="11427F26" w14:textId="77777777" w:rsidR="00742264" w:rsidRPr="00FC6F34" w:rsidRDefault="00742264" w:rsidP="00742264">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3F1498C4" w14:textId="77777777" w:rsidR="00742264" w:rsidRPr="00FC6F34" w:rsidRDefault="00742264" w:rsidP="00742264">
      <w:pPr>
        <w:shd w:val="clear" w:color="auto" w:fill="FFFFFF" w:themeFill="background1"/>
        <w:spacing w:after="0" w:line="276" w:lineRule="auto"/>
        <w:ind w:firstLine="709"/>
        <w:jc w:val="both"/>
        <w:rPr>
          <w:rFonts w:ascii="Verdana" w:eastAsia="Times New Roman" w:hAnsi="Verdana" w:cs="Arial"/>
          <w:lang w:val="es-ES" w:eastAsia="x-none"/>
        </w:rPr>
      </w:pPr>
    </w:p>
    <w:p w14:paraId="14356761" w14:textId="77777777" w:rsidR="00742264" w:rsidRPr="00FC6F34" w:rsidRDefault="00742264" w:rsidP="00742264">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 xml:space="preserve">cualquier sistema que no implique </w:t>
      </w:r>
      <w:r w:rsidRPr="00FC6F34">
        <w:rPr>
          <w:rFonts w:ascii="Verdana" w:eastAsia="Times New Roman" w:hAnsi="Verdana" w:cs="Arial"/>
          <w:lang w:val="es-ES" w:eastAsia="x-none"/>
        </w:rPr>
        <w:lastRenderedPageBreak/>
        <w:t>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5FCBB559" w14:textId="77777777" w:rsidR="00742264" w:rsidRPr="00FC6F34" w:rsidRDefault="00742264" w:rsidP="00742264">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CD0948">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24F9119E" w14:textId="77777777" w:rsidR="00742264" w:rsidRDefault="00742264" w:rsidP="00742264">
      <w:pPr>
        <w:spacing w:after="12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w:t>
      </w:r>
      <w:r>
        <w:rPr>
          <w:rFonts w:ascii="Verdana" w:eastAsia="Times New Roman" w:hAnsi="Verdana" w:cs="Arial"/>
          <w:i/>
          <w:iCs/>
          <w:lang w:val="es-ES"/>
        </w:rPr>
        <w:t xml:space="preserve"> o convenio</w:t>
      </w:r>
      <w:r w:rsidRPr="00FC6F34">
        <w:rPr>
          <w:rFonts w:ascii="Verdana" w:eastAsia="Times New Roman" w:hAnsi="Verdana" w:cs="Arial"/>
          <w:i/>
          <w:iCs/>
          <w:lang w:val="es-ES"/>
        </w:rPr>
        <w:t xml:space="preserve">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2259EAA" w14:textId="77777777" w:rsidR="00742264" w:rsidRPr="00FC6F34" w:rsidRDefault="00742264" w:rsidP="00742264">
      <w:pPr>
        <w:spacing w:after="12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w:t>
      </w:r>
      <w:r w:rsidRPr="00FC6F34">
        <w:rPr>
          <w:rFonts w:ascii="Verdana" w:eastAsia="Times New Roman" w:hAnsi="Verdana" w:cs="Arial"/>
          <w:i/>
          <w:iCs/>
          <w:lang w:val="es-ES"/>
        </w:rPr>
        <w:lastRenderedPageBreak/>
        <w:t>entes del Estado</w:t>
      </w:r>
      <w:r w:rsidRPr="00FC6F34">
        <w:rPr>
          <w:rFonts w:ascii="Verdana" w:eastAsia="Times New Roman" w:hAnsi="Verdana" w:cs="Arial"/>
          <w:lang w:val="es-ES"/>
        </w:rPr>
        <w:t>” [énfasis propio]. Al respecto la Sala De Consulta y Servicio Civil del Consejo de Estado señaló lo siguiente:</w:t>
      </w:r>
    </w:p>
    <w:p w14:paraId="78447F13" w14:textId="77777777" w:rsidR="00742264" w:rsidRPr="00FC6F34" w:rsidRDefault="00742264" w:rsidP="00742264">
      <w:pPr>
        <w:spacing w:after="0" w:line="276" w:lineRule="auto"/>
        <w:ind w:firstLine="708"/>
        <w:jc w:val="both"/>
        <w:rPr>
          <w:rFonts w:ascii="Verdana" w:eastAsia="Times New Roman" w:hAnsi="Verdana" w:cs="Arial"/>
          <w:lang w:val="es-ES"/>
        </w:rPr>
      </w:pPr>
    </w:p>
    <w:p w14:paraId="76CBF942" w14:textId="77777777" w:rsidR="00742264" w:rsidRDefault="00742264" w:rsidP="00742264">
      <w:pPr>
        <w:spacing w:after="0" w:line="240" w:lineRule="auto"/>
        <w:ind w:left="709" w:right="709"/>
        <w:jc w:val="both"/>
        <w:rPr>
          <w:rFonts w:ascii="Verdana" w:eastAsia="Times New Roman" w:hAnsi="Verdana" w:cs="Arial"/>
          <w:bCs/>
          <w:sz w:val="20"/>
          <w:szCs w:val="20"/>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0A264567" w14:textId="77777777" w:rsidR="00742264" w:rsidRPr="00FC6F34" w:rsidRDefault="00742264" w:rsidP="00742264">
      <w:pPr>
        <w:spacing w:after="0" w:line="240" w:lineRule="auto"/>
        <w:ind w:left="709" w:right="709"/>
        <w:jc w:val="both"/>
        <w:rPr>
          <w:rFonts w:ascii="Verdana" w:eastAsia="Times New Roman" w:hAnsi="Verdana" w:cs="Arial"/>
          <w:bCs/>
          <w:lang w:val="es-ES" w:eastAsia="es-CO"/>
        </w:rPr>
      </w:pPr>
    </w:p>
    <w:p w14:paraId="79412D99" w14:textId="77777777" w:rsidR="00742264" w:rsidRPr="00FC6F34" w:rsidRDefault="00742264" w:rsidP="00742264">
      <w:pPr>
        <w:spacing w:after="12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547F34BA" w14:textId="77777777" w:rsidR="00742264" w:rsidRPr="00FC6F34" w:rsidRDefault="00742264" w:rsidP="00742264">
      <w:pPr>
        <w:spacing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2F169E03" w14:textId="77777777" w:rsidR="00742264" w:rsidRPr="00FC6F34" w:rsidRDefault="00742264" w:rsidP="00742264">
      <w:pPr>
        <w:spacing w:after="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lastRenderedPageBreak/>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11B895C9" w14:textId="77777777" w:rsidR="00742264" w:rsidRPr="00FC6F34" w:rsidRDefault="00742264" w:rsidP="0074226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1</w:t>
      </w:r>
      <w:r w:rsidRPr="00FC6F34">
        <w:rPr>
          <w:rFonts w:ascii="Verdana" w:hAnsi="Verdana" w:cs="Arial"/>
          <w:bCs/>
          <w:color w:val="000000" w:themeColor="text1"/>
          <w:lang w:val="es-ES"/>
        </w:rPr>
        <w:t>) La contratación referente a la defensa y seguridad del Estado;</w:t>
      </w:r>
    </w:p>
    <w:p w14:paraId="7156F870" w14:textId="77777777" w:rsidR="00742264" w:rsidRPr="00FC6F34" w:rsidRDefault="00742264" w:rsidP="0074226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3085D846" w14:textId="77777777" w:rsidR="00742264" w:rsidRPr="00FC6F34" w:rsidRDefault="00742264" w:rsidP="0074226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19C6CB60" w14:textId="77777777" w:rsidR="00742264" w:rsidRPr="00FC6F34" w:rsidRDefault="00742264" w:rsidP="0074226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7A74E276" w14:textId="77777777" w:rsidR="00742264" w:rsidRPr="00FC6F34" w:rsidRDefault="00742264" w:rsidP="00742264">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7120B8BC" w14:textId="77777777" w:rsidR="00742264" w:rsidRDefault="00742264" w:rsidP="00742264">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F5BE57B" w14:textId="77777777" w:rsidR="00742264" w:rsidRPr="00FC6F34" w:rsidRDefault="00742264" w:rsidP="00742264">
      <w:pPr>
        <w:tabs>
          <w:tab w:val="left" w:pos="426"/>
        </w:tabs>
        <w:spacing w:after="0" w:line="240" w:lineRule="auto"/>
        <w:ind w:firstLine="709"/>
        <w:jc w:val="both"/>
        <w:rPr>
          <w:rFonts w:ascii="Verdana" w:hAnsi="Verdana" w:cs="Arial"/>
          <w:bCs/>
          <w:color w:val="000000" w:themeColor="text1"/>
          <w:lang w:val="es-ES"/>
        </w:rPr>
      </w:pPr>
    </w:p>
    <w:p w14:paraId="537F69C9" w14:textId="77777777" w:rsidR="00742264" w:rsidRDefault="00742264" w:rsidP="00742264">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8"/>
      </w:r>
      <w:r w:rsidRPr="00FC6F34">
        <w:rPr>
          <w:rFonts w:ascii="Verdana" w:hAnsi="Verdana" w:cs="Arial"/>
          <w:color w:val="000000" w:themeColor="text1"/>
          <w:sz w:val="20"/>
          <w:szCs w:val="20"/>
          <w:lang w:val="es-ES" w:eastAsia="es-CO"/>
        </w:rPr>
        <w:t xml:space="preserve">”. </w:t>
      </w:r>
    </w:p>
    <w:p w14:paraId="5A0A3682" w14:textId="77777777" w:rsidR="00742264" w:rsidRPr="00FC6F34" w:rsidRDefault="00742264" w:rsidP="00742264">
      <w:pPr>
        <w:shd w:val="clear" w:color="auto" w:fill="FFFFFF"/>
        <w:spacing w:after="0" w:line="240" w:lineRule="auto"/>
        <w:ind w:left="709" w:right="709"/>
        <w:jc w:val="both"/>
        <w:rPr>
          <w:rFonts w:ascii="Verdana" w:hAnsi="Verdana" w:cs="Arial"/>
          <w:color w:val="000000" w:themeColor="text1"/>
          <w:sz w:val="20"/>
          <w:szCs w:val="20"/>
          <w:lang w:val="es-ES" w:eastAsia="es-CO"/>
        </w:rPr>
      </w:pPr>
    </w:p>
    <w:p w14:paraId="54DA080B" w14:textId="77777777" w:rsidR="00742264" w:rsidRPr="00153204" w:rsidRDefault="00742264" w:rsidP="00742264">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FC6F34">
        <w:rPr>
          <w:rFonts w:ascii="Verdana" w:hAnsi="Verdana" w:cs="Arial"/>
          <w:bCs/>
          <w:color w:val="000000" w:themeColor="text1"/>
          <w:lang w:val="es-ES"/>
        </w:rPr>
        <w:t xml:space="preserve">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w:t>
      </w:r>
      <w:r w:rsidRPr="00FC6F34">
        <w:rPr>
          <w:rFonts w:ascii="Verdana" w:hAnsi="Verdana" w:cs="Arial"/>
          <w:bCs/>
          <w:color w:val="000000" w:themeColor="text1"/>
          <w:lang w:val="es-ES"/>
        </w:rPr>
        <w:lastRenderedPageBreak/>
        <w:t>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r w:rsidRPr="00153204">
        <w:rPr>
          <w:rFonts w:ascii="Verdana" w:hAnsi="Verdana" w:cs="Arial"/>
          <w:color w:val="000000" w:themeColor="text1"/>
          <w:lang w:val="es-ES"/>
        </w:rPr>
        <w:t xml:space="preserve">“[…] </w:t>
      </w:r>
      <w:r w:rsidRPr="00153204">
        <w:rPr>
          <w:rFonts w:ascii="Verdana" w:hAnsi="Verdana" w:cs="Arial"/>
          <w:i/>
          <w:color w:val="000000" w:themeColor="text1"/>
          <w:lang w:val="es-ES"/>
        </w:rPr>
        <w:t>Las excepciones aplicables a la restricción de contratación pública</w:t>
      </w:r>
      <w:r>
        <w:rPr>
          <w:rFonts w:ascii="Verdana" w:hAnsi="Verdana" w:cs="Arial"/>
          <w:i/>
          <w:color w:val="000000" w:themeColor="text1"/>
          <w:lang w:val="es-ES"/>
        </w:rPr>
        <w:t>.</w:t>
      </w:r>
      <w:r w:rsidRPr="00153204">
        <w:rPr>
          <w:rFonts w:ascii="Verdana" w:hAnsi="Verdana" w:cs="Arial"/>
          <w:i/>
          <w:color w:val="000000" w:themeColor="text1"/>
          <w:lang w:val="es-ES"/>
        </w:rPr>
        <w:t xml:space="preserve"> </w:t>
      </w:r>
      <w:r w:rsidRPr="00153204">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153204">
        <w:rPr>
          <w:rFonts w:ascii="Verdana" w:hAnsi="Verdana" w:cs="Arial"/>
          <w:color w:val="000000" w:themeColor="text1"/>
          <w:shd w:val="clear" w:color="auto" w:fill="FFFFFF"/>
          <w:vertAlign w:val="superscript"/>
          <w:lang w:val="es-ES"/>
        </w:rPr>
        <w:footnoteReference w:id="19"/>
      </w:r>
      <w:r w:rsidRPr="00153204">
        <w:rPr>
          <w:rFonts w:ascii="Verdana" w:hAnsi="Verdana" w:cs="Arial"/>
          <w:color w:val="000000" w:themeColor="text1"/>
          <w:shd w:val="clear" w:color="auto" w:fill="FFFFFF"/>
          <w:lang w:val="es-ES"/>
        </w:rPr>
        <w:t>.</w:t>
      </w:r>
    </w:p>
    <w:p w14:paraId="4B7380A3" w14:textId="77777777" w:rsidR="00742264" w:rsidRDefault="00742264" w:rsidP="00742264">
      <w:pPr>
        <w:tabs>
          <w:tab w:val="left" w:pos="426"/>
        </w:tabs>
        <w:spacing w:after="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Lo anterior implica que las excepciones al artículo 33 en comento deben interpretarse y aplicarse de manera </w:t>
      </w:r>
      <w:r w:rsidRPr="002D4C10">
        <w:rPr>
          <w:rFonts w:ascii="Verdana" w:hAnsi="Verdana" w:cs="Arial"/>
          <w:bCs/>
          <w:i/>
          <w:iCs/>
          <w:color w:val="000000" w:themeColor="text1"/>
          <w:lang w:val="es-ES"/>
        </w:rPr>
        <w:t>estricta</w:t>
      </w:r>
      <w:r w:rsidRPr="00FC6F34">
        <w:rPr>
          <w:rFonts w:ascii="Verdana" w:hAnsi="Verdana" w:cs="Arial"/>
          <w:bCs/>
          <w:color w:val="000000" w:themeColor="text1"/>
          <w:lang w:val="es-ES"/>
        </w:rPr>
        <w:t>.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91AC39C" w14:textId="77777777" w:rsidR="00742264" w:rsidRPr="003E5E57" w:rsidRDefault="00742264" w:rsidP="00742264">
      <w:pPr>
        <w:spacing w:after="120" w:line="276" w:lineRule="auto"/>
        <w:ind w:firstLine="709"/>
        <w:jc w:val="both"/>
        <w:rPr>
          <w:rFonts w:ascii="Verdana" w:eastAsia="Calibri" w:hAnsi="Verdana" w:cs="Arial"/>
          <w:color w:val="000000"/>
          <w:lang w:val="es-ES"/>
        </w:rPr>
      </w:pPr>
      <w:r>
        <w:rPr>
          <w:rFonts w:ascii="Verdana" w:hAnsi="Verdana" w:cs="Arial"/>
          <w:bCs/>
          <w:color w:val="000000" w:themeColor="text1"/>
          <w:lang w:val="es-ES"/>
        </w:rPr>
        <w:t>Particularmente, frente a la excepción de la contratación referente a la defensa y seguridad del Estado, de cara a la consulta planteada, resulta indispensable</w:t>
      </w:r>
      <w:r w:rsidRPr="003E5E57">
        <w:rPr>
          <w:rFonts w:ascii="Verdana" w:eastAsia="Calibri" w:hAnsi="Verdana" w:cs="Arial"/>
          <w:bCs/>
          <w:color w:val="000000" w:themeColor="text1"/>
        </w:rPr>
        <w:t xml:space="preserve"> precisar el alcance del concepto </w:t>
      </w:r>
      <w:r w:rsidRPr="003E5E57">
        <w:rPr>
          <w:rFonts w:ascii="Verdana" w:eastAsia="Calibri" w:hAnsi="Verdana" w:cs="Arial"/>
          <w:color w:val="000000"/>
          <w:lang w:val="es-ES"/>
        </w:rPr>
        <w:t xml:space="preserve">de </w:t>
      </w:r>
      <w:r w:rsidRPr="003E5E57">
        <w:rPr>
          <w:rFonts w:ascii="Verdana" w:eastAsia="Calibri" w:hAnsi="Verdana" w:cs="Arial"/>
          <w:i/>
          <w:iCs/>
          <w:color w:val="000000"/>
          <w:lang w:val="es-ES"/>
        </w:rPr>
        <w:t>“defensa y seguridad nacional</w:t>
      </w:r>
      <w:r w:rsidRPr="003E5E57">
        <w:rPr>
          <w:rFonts w:ascii="Verdana" w:eastAsia="Calibri" w:hAnsi="Verdana" w:cs="Arial"/>
          <w:color w:val="000000"/>
          <w:lang w:val="es-ES"/>
        </w:rPr>
        <w:t>”. Este concepto no tiene una definición legal en el Estatuto General de Contratación de la Administración Pública –EGCAP–. En tal sentido, es un concepto jurídico indeterminado cuya noción se basa en la idea de que el Estado y sus autoridades tienen la responsabilidad de construir estrategias y realizar acciones para proteger a los ciudadanos, garantizar el orden público, el funcionamiento de las instituciones legítimamente constituidas y la soberanía sobre el territorio</w:t>
      </w:r>
      <w:r w:rsidRPr="003E5E57">
        <w:rPr>
          <w:rFonts w:ascii="Verdana" w:eastAsia="Calibri" w:hAnsi="Verdana" w:cs="Arial"/>
          <w:color w:val="000000"/>
          <w:vertAlign w:val="superscript"/>
          <w:lang w:val="es-ES"/>
        </w:rPr>
        <w:footnoteReference w:id="20"/>
      </w:r>
      <w:r w:rsidRPr="003E5E57">
        <w:rPr>
          <w:rFonts w:ascii="Verdana" w:eastAsia="Calibri" w:hAnsi="Verdana" w:cs="Arial"/>
          <w:color w:val="000000"/>
          <w:lang w:val="es-ES"/>
        </w:rPr>
        <w:t xml:space="preserve">.  </w:t>
      </w:r>
    </w:p>
    <w:p w14:paraId="02CEFBB6" w14:textId="77777777" w:rsidR="00742264" w:rsidRDefault="00742264" w:rsidP="00742264">
      <w:pPr>
        <w:spacing w:after="120" w:line="276" w:lineRule="auto"/>
        <w:ind w:firstLine="709"/>
        <w:jc w:val="both"/>
        <w:rPr>
          <w:rFonts w:ascii="Verdana" w:hAnsi="Verdana" w:cs="Arial"/>
          <w:color w:val="000000" w:themeColor="text1"/>
          <w:lang w:val="es-ES_tradnl"/>
        </w:rPr>
      </w:pPr>
      <w:r w:rsidRPr="003E5E57">
        <w:rPr>
          <w:rFonts w:ascii="Verdana" w:hAnsi="Verdana" w:cs="Arial"/>
          <w:color w:val="000000" w:themeColor="text1"/>
          <w:lang w:val="es-ES_tradnl"/>
        </w:rPr>
        <w:t xml:space="preserve">Al </w:t>
      </w:r>
      <w:r w:rsidRPr="003E5E57">
        <w:rPr>
          <w:rFonts w:ascii="Verdana" w:eastAsia="Calibri" w:hAnsi="Verdana" w:cs="Arial"/>
          <w:color w:val="000000"/>
          <w:lang w:val="es-ES"/>
        </w:rPr>
        <w:t xml:space="preserve">respecto, </w:t>
      </w:r>
      <w:r w:rsidRPr="003E5E57">
        <w:rPr>
          <w:rFonts w:ascii="Verdana" w:hAnsi="Verdana" w:cs="Arial"/>
          <w:color w:val="000000" w:themeColor="text1"/>
          <w:lang w:val="es-ES_tradnl"/>
        </w:rPr>
        <w:t>en sentencia del 26 de julio de 2011, la Sección Tercera sostuvo:</w:t>
      </w:r>
    </w:p>
    <w:p w14:paraId="599B25E5" w14:textId="77777777" w:rsidR="00742264" w:rsidRPr="003E5E57" w:rsidRDefault="00742264" w:rsidP="00742264">
      <w:pPr>
        <w:spacing w:after="0" w:line="240" w:lineRule="auto"/>
        <w:ind w:firstLine="709"/>
        <w:jc w:val="both"/>
        <w:rPr>
          <w:rFonts w:ascii="Verdana" w:hAnsi="Verdana" w:cs="Arial"/>
          <w:color w:val="000000" w:themeColor="text1"/>
          <w:lang w:val="es-ES_tradnl"/>
        </w:rPr>
      </w:pPr>
    </w:p>
    <w:p w14:paraId="3009A58D" w14:textId="77777777" w:rsidR="00742264" w:rsidRPr="003E5E57" w:rsidRDefault="00742264" w:rsidP="00742264">
      <w:pPr>
        <w:spacing w:after="0" w:line="240" w:lineRule="auto"/>
        <w:ind w:left="709" w:right="709"/>
        <w:jc w:val="both"/>
        <w:rPr>
          <w:rFonts w:ascii="Verdana" w:hAnsi="Verdana" w:cs="Arial"/>
          <w:bCs/>
          <w:sz w:val="20"/>
          <w:szCs w:val="20"/>
        </w:rPr>
      </w:pPr>
      <w:r w:rsidRPr="003E5E57">
        <w:rPr>
          <w:rFonts w:ascii="Verdana" w:hAnsi="Verdana" w:cs="Arial"/>
          <w:bCs/>
          <w:sz w:val="20"/>
          <w:szCs w:val="20"/>
        </w:rPr>
        <w:lastRenderedPageBreak/>
        <w:t xml:space="preserve">“[…] en vigencia de la ley 80 original –que rigió el proceso de selección </w:t>
      </w:r>
      <w:r w:rsidRPr="003E5E57">
        <w:rPr>
          <w:rFonts w:ascii="Verdana" w:hAnsi="Verdana" w:cs="Arial"/>
          <w:bCs/>
          <w:i/>
          <w:sz w:val="20"/>
          <w:szCs w:val="20"/>
        </w:rPr>
        <w:t>sub iudice</w:t>
      </w:r>
      <w:r w:rsidRPr="003E5E57">
        <w:rPr>
          <w:rFonts w:ascii="Verdana" w:hAnsi="Verdana" w:cs="Arial"/>
          <w:bCs/>
          <w:sz w:val="20"/>
          <w:szCs w:val="20"/>
        </w:rPr>
        <w:t xml:space="preserve">- la noción de bienes para la defensa y seguridad nacional fue un concepto jurídico indeterminado, </w:t>
      </w:r>
      <w:r w:rsidRPr="003E5E57">
        <w:rPr>
          <w:rFonts w:ascii="Verdana" w:hAnsi="Verdana" w:cs="Arial"/>
          <w:bCs/>
          <w:i/>
          <w:iCs/>
          <w:sz w:val="20"/>
          <w:szCs w:val="20"/>
        </w:rPr>
        <w:t>cuyo alcance, como acontece normalmente con estas nociones vagas y amplias, suele quedar en manos del operador jurídico del caso, que tiene el deber de precisar su contenido para aplicarlo al asunto concreto</w:t>
      </w:r>
      <w:r w:rsidRPr="003E5E57">
        <w:rPr>
          <w:rFonts w:ascii="Verdana" w:hAnsi="Verdana" w:cs="Arial"/>
          <w:bCs/>
          <w:sz w:val="20"/>
          <w:szCs w:val="20"/>
        </w:rPr>
        <w:t>. Claro está que luego procede el control judicial sobre los actos que definen el tema, y será el juez quien determinará la corrección o incorrección que la administración hace de su alcance</w:t>
      </w:r>
      <w:r w:rsidRPr="003E5E57">
        <w:rPr>
          <w:rFonts w:ascii="Verdana" w:hAnsi="Verdana"/>
          <w:sz w:val="20"/>
          <w:szCs w:val="20"/>
          <w:vertAlign w:val="superscript"/>
        </w:rPr>
        <w:footnoteReference w:id="21"/>
      </w:r>
      <w:r w:rsidRPr="003E5E57">
        <w:rPr>
          <w:rFonts w:ascii="Verdana" w:hAnsi="Verdana" w:cs="Arial"/>
          <w:bCs/>
          <w:sz w:val="20"/>
          <w:szCs w:val="20"/>
        </w:rPr>
        <w:t>”. [Énfasis por fuera de texto]</w:t>
      </w:r>
    </w:p>
    <w:p w14:paraId="7D20D727" w14:textId="77777777" w:rsidR="00742264" w:rsidRPr="003E5E57" w:rsidRDefault="00742264" w:rsidP="00742264">
      <w:pPr>
        <w:spacing w:after="0" w:line="240" w:lineRule="auto"/>
        <w:ind w:left="709" w:right="709"/>
        <w:jc w:val="both"/>
        <w:rPr>
          <w:rFonts w:ascii="Verdana" w:hAnsi="Verdana" w:cs="Arial"/>
          <w:bCs/>
          <w:sz w:val="20"/>
          <w:szCs w:val="20"/>
        </w:rPr>
      </w:pPr>
    </w:p>
    <w:p w14:paraId="6FEAF790" w14:textId="77777777" w:rsidR="00742264" w:rsidRPr="003E5E57" w:rsidRDefault="00742264" w:rsidP="00742264">
      <w:pPr>
        <w:spacing w:line="276" w:lineRule="auto"/>
        <w:ind w:firstLine="709"/>
        <w:jc w:val="both"/>
        <w:rPr>
          <w:rFonts w:ascii="Verdana" w:hAnsi="Verdana" w:cs="Arial"/>
          <w:color w:val="000000" w:themeColor="text1"/>
          <w:lang w:val="es-ES_tradnl"/>
        </w:rPr>
      </w:pPr>
      <w:r w:rsidRPr="003E5E57">
        <w:rPr>
          <w:rFonts w:ascii="Verdana" w:eastAsia="Calibri" w:hAnsi="Verdana" w:cs="Arial"/>
          <w:color w:val="000000"/>
          <w:lang w:val="es-ES"/>
        </w:rPr>
        <w:t xml:space="preserve">Asimismo, </w:t>
      </w:r>
      <w:r w:rsidRPr="003E5E57">
        <w:rPr>
          <w:rFonts w:ascii="Verdana" w:hAnsi="Verdana" w:cs="Arial"/>
          <w:color w:val="000000" w:themeColor="text1"/>
          <w:lang w:val="es-ES_tradnl"/>
        </w:rPr>
        <w:t>en la sentencia del 23 de julio de 2015, la Sección Tercera indicó:</w:t>
      </w:r>
    </w:p>
    <w:p w14:paraId="24284E05" w14:textId="77777777" w:rsidR="00742264" w:rsidRPr="003E5E57" w:rsidRDefault="00742264" w:rsidP="00742264">
      <w:pPr>
        <w:spacing w:after="0" w:line="240" w:lineRule="auto"/>
        <w:ind w:left="709" w:right="709"/>
        <w:jc w:val="both"/>
        <w:rPr>
          <w:rFonts w:ascii="Verdana" w:hAnsi="Verdana" w:cs="Arial"/>
          <w:sz w:val="20"/>
          <w:szCs w:val="20"/>
          <w:lang w:val="es-ES" w:eastAsia="es-ES"/>
        </w:rPr>
      </w:pPr>
      <w:r w:rsidRPr="003E5E57">
        <w:rPr>
          <w:rFonts w:ascii="Verdana" w:hAnsi="Verdana" w:cs="Arial"/>
          <w:sz w:val="20"/>
          <w:szCs w:val="20"/>
          <w:lang w:val="es-ES" w:eastAsia="es-ES"/>
        </w:rPr>
        <w:t xml:space="preserve">La defensa y seguridad nacional son </w:t>
      </w:r>
      <w:r w:rsidRPr="003E5E57">
        <w:rPr>
          <w:rFonts w:ascii="Verdana" w:hAnsi="Verdana" w:cs="Arial"/>
          <w:i/>
          <w:sz w:val="20"/>
          <w:szCs w:val="20"/>
          <w:lang w:val="es-ES" w:eastAsia="es-ES"/>
        </w:rPr>
        <w:t>conceptos normativos indeterminados</w:t>
      </w:r>
      <w:r w:rsidRPr="003E5E57">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w:t>
      </w:r>
      <w:proofErr w:type="gramStart"/>
      <w:r w:rsidRPr="003E5E57">
        <w:rPr>
          <w:rFonts w:ascii="Verdana" w:hAnsi="Verdana" w:cs="Arial"/>
          <w:sz w:val="20"/>
          <w:szCs w:val="20"/>
          <w:lang w:val="es-ES" w:eastAsia="es-ES"/>
        </w:rPr>
        <w:t>espacio-temporal</w:t>
      </w:r>
      <w:proofErr w:type="gramEnd"/>
      <w:r w:rsidRPr="003E5E57">
        <w:rPr>
          <w:rFonts w:ascii="Verdana" w:hAnsi="Verdana" w:cs="Arial"/>
          <w:sz w:val="20"/>
          <w:szCs w:val="20"/>
          <w:lang w:val="es-ES" w:eastAsia="es-ES"/>
        </w:rPr>
        <w:t xml:space="preserve">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3945CF4A" w14:textId="77777777" w:rsidR="00742264" w:rsidRPr="003E5E57" w:rsidRDefault="00742264" w:rsidP="00742264">
      <w:pPr>
        <w:spacing w:after="0" w:line="240" w:lineRule="auto"/>
        <w:ind w:left="709" w:right="709"/>
        <w:jc w:val="both"/>
        <w:rPr>
          <w:rFonts w:ascii="Verdana" w:hAnsi="Verdana" w:cs="Arial"/>
          <w:sz w:val="20"/>
          <w:szCs w:val="20"/>
          <w:lang w:val="es-ES" w:eastAsia="es-ES"/>
        </w:rPr>
      </w:pPr>
    </w:p>
    <w:p w14:paraId="462E0992" w14:textId="77777777" w:rsidR="00742264" w:rsidRDefault="00742264" w:rsidP="00742264">
      <w:pPr>
        <w:spacing w:after="0" w:line="240" w:lineRule="auto"/>
        <w:ind w:left="709" w:right="709"/>
        <w:jc w:val="both"/>
        <w:rPr>
          <w:rFonts w:ascii="Verdana" w:hAnsi="Verdana" w:cs="Arial"/>
          <w:sz w:val="20"/>
          <w:szCs w:val="20"/>
          <w:lang w:val="es-ES_tradnl" w:eastAsia="es-ES"/>
        </w:rPr>
      </w:pPr>
      <w:r w:rsidRPr="003E5E57">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3E5E57">
        <w:rPr>
          <w:rFonts w:ascii="Verdana" w:hAnsi="Verdana" w:cs="Arial"/>
          <w:i/>
          <w:sz w:val="20"/>
          <w:szCs w:val="20"/>
          <w:lang w:val="es-ES_tradnl" w:eastAsia="es-ES"/>
        </w:rPr>
        <w:t>el criterio conforme al cual la seguridad es apenas un conjunto de dispositivos para la guerra</w:t>
      </w:r>
      <w:r w:rsidRPr="003E5E57">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sidRPr="003E5E57">
        <w:rPr>
          <w:rFonts w:ascii="Verdana" w:hAnsi="Verdana"/>
          <w:sz w:val="20"/>
          <w:szCs w:val="20"/>
          <w:vertAlign w:val="superscript"/>
        </w:rPr>
        <w:footnoteReference w:id="22"/>
      </w:r>
      <w:r w:rsidRPr="003E5E57">
        <w:rPr>
          <w:rFonts w:ascii="Verdana" w:hAnsi="Verdana" w:cs="Arial"/>
          <w:sz w:val="20"/>
          <w:szCs w:val="20"/>
          <w:lang w:val="es-ES_tradnl" w:eastAsia="es-ES"/>
        </w:rPr>
        <w:t>.</w:t>
      </w:r>
    </w:p>
    <w:p w14:paraId="6F320F03" w14:textId="77777777" w:rsidR="00742264" w:rsidRPr="00854D37" w:rsidRDefault="00742264" w:rsidP="00742264">
      <w:pPr>
        <w:spacing w:after="0" w:line="240" w:lineRule="auto"/>
        <w:ind w:left="709" w:right="709"/>
        <w:jc w:val="both"/>
        <w:rPr>
          <w:rFonts w:ascii="Verdana" w:hAnsi="Verdana" w:cs="Arial"/>
          <w:sz w:val="20"/>
          <w:szCs w:val="20"/>
          <w:lang w:val="es-ES_tradnl" w:eastAsia="es-ES"/>
        </w:rPr>
      </w:pPr>
    </w:p>
    <w:p w14:paraId="6E76D249" w14:textId="77777777" w:rsidR="00742264" w:rsidRDefault="00742264" w:rsidP="00742264">
      <w:pPr>
        <w:tabs>
          <w:tab w:val="left" w:pos="426"/>
        </w:tabs>
        <w:spacing w:after="120" w:line="276" w:lineRule="auto"/>
        <w:ind w:firstLine="709"/>
        <w:jc w:val="both"/>
        <w:rPr>
          <w:rFonts w:ascii="Verdana" w:hAnsi="Verdana" w:cs="Arial"/>
          <w:bCs/>
          <w:color w:val="000000" w:themeColor="text1"/>
          <w:lang w:val="es-ES"/>
        </w:rPr>
      </w:pPr>
      <w:r>
        <w:rPr>
          <w:rFonts w:ascii="Verdana" w:hAnsi="Verdana" w:cs="Arial"/>
          <w:bCs/>
          <w:color w:val="000000" w:themeColor="text1"/>
          <w:lang w:val="es-ES"/>
        </w:rPr>
        <w:t xml:space="preserve">Concretamente, frente al alcance de este concepto en el marco de la Ley de Garantías Electorales, el Consejo de Estado señaló lo siguiente: </w:t>
      </w:r>
    </w:p>
    <w:p w14:paraId="5F6E1F72" w14:textId="77777777" w:rsidR="00742264" w:rsidRDefault="00742264" w:rsidP="00742264">
      <w:pPr>
        <w:tabs>
          <w:tab w:val="left" w:pos="426"/>
        </w:tabs>
        <w:spacing w:after="0" w:line="276" w:lineRule="auto"/>
        <w:ind w:firstLine="709"/>
        <w:jc w:val="both"/>
        <w:rPr>
          <w:rFonts w:ascii="Verdana" w:hAnsi="Verdana" w:cs="Arial"/>
          <w:bCs/>
          <w:color w:val="000000" w:themeColor="text1"/>
          <w:lang w:val="es-ES"/>
        </w:rPr>
      </w:pPr>
    </w:p>
    <w:p w14:paraId="1EB94C08"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Pr>
          <w:rFonts w:ascii="Verdana" w:hAnsi="Verdana" w:cs="Arial"/>
          <w:sz w:val="20"/>
          <w:szCs w:val="20"/>
          <w:lang w:val="es-ES" w:eastAsia="es-ES"/>
        </w:rPr>
        <w:t>“</w:t>
      </w:r>
      <w:r w:rsidRPr="000C6630">
        <w:rPr>
          <w:rFonts w:ascii="Verdana" w:hAnsi="Verdana" w:cs="Arial"/>
          <w:sz w:val="20"/>
          <w:szCs w:val="20"/>
          <w:lang w:val="es-ES" w:eastAsia="es-ES"/>
        </w:rPr>
        <w:t>(i) La seguridad y la defensa nacionales son presupuestos materiales de la soberanía nacional, la independencia, la integridad territorial y el orden constitucional, y contribuyen a garantizar las condiciones necesarias para el ejercicio de los derechos, obligaciones y libertades públicas.</w:t>
      </w:r>
    </w:p>
    <w:p w14:paraId="45A68CCC"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 </w:t>
      </w:r>
    </w:p>
    <w:p w14:paraId="2174494D"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lastRenderedPageBreak/>
        <w:t>(</w:t>
      </w:r>
      <w:proofErr w:type="spellStart"/>
      <w:r w:rsidRPr="000C6630">
        <w:rPr>
          <w:rFonts w:ascii="Verdana" w:hAnsi="Verdana" w:cs="Arial"/>
          <w:sz w:val="20"/>
          <w:szCs w:val="20"/>
          <w:lang w:val="es-ES" w:eastAsia="es-ES"/>
        </w:rPr>
        <w:t>ii</w:t>
      </w:r>
      <w:proofErr w:type="spellEnd"/>
      <w:r w:rsidRPr="000C6630">
        <w:rPr>
          <w:rFonts w:ascii="Verdana" w:hAnsi="Verdana" w:cs="Arial"/>
          <w:sz w:val="20"/>
          <w:szCs w:val="20"/>
          <w:lang w:val="es-ES" w:eastAsia="es-ES"/>
        </w:rPr>
        <w:t>) Se trata de conceptos amplios, relativos y dinámicos, cuya concreción depende de los objetivos que se propone alcanzar el Estado en una época determinada, de manera que son susceptibles de actualización y sufren constantes transformaciones y cambios.</w:t>
      </w:r>
    </w:p>
    <w:p w14:paraId="052CC4A0"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 </w:t>
      </w:r>
    </w:p>
    <w:p w14:paraId="217FE3B3"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w:t>
      </w:r>
      <w:proofErr w:type="spellStart"/>
      <w:r w:rsidRPr="000C6630">
        <w:rPr>
          <w:rFonts w:ascii="Verdana" w:hAnsi="Verdana" w:cs="Arial"/>
          <w:sz w:val="20"/>
          <w:szCs w:val="20"/>
          <w:lang w:val="es-ES" w:eastAsia="es-ES"/>
        </w:rPr>
        <w:t>iii</w:t>
      </w:r>
      <w:proofErr w:type="spellEnd"/>
      <w:r w:rsidRPr="000C6630">
        <w:rPr>
          <w:rFonts w:ascii="Verdana" w:hAnsi="Verdana" w:cs="Arial"/>
          <w:sz w:val="20"/>
          <w:szCs w:val="20"/>
          <w:lang w:val="es-ES" w:eastAsia="es-ES"/>
        </w:rPr>
        <w:t>) La conservación y mantenimiento del orden público es la finalidad misma de la “seguridad” y encuentra en el Gobierno Nacional (art. 189.4 CP) su principal responsable y garante, razón por la cual puede adoptar medidas y adelantar acciones coercitivas o militares y soluciones no armamentistas sino políticas negociadas (por ejemplo desmovilización y reinserción), para alcanzar la paz, que es un valor (preámbulo constitucional), un fin esencial del Estado (art. 2 CP), un derecho (art. 22 CP) y un deber social (95.6 CP).</w:t>
      </w:r>
    </w:p>
    <w:p w14:paraId="424F1EFF"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 </w:t>
      </w:r>
    </w:p>
    <w:p w14:paraId="7064F5B9"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w:t>
      </w:r>
      <w:proofErr w:type="spellStart"/>
      <w:r w:rsidRPr="000C6630">
        <w:rPr>
          <w:rFonts w:ascii="Verdana" w:hAnsi="Verdana" w:cs="Arial"/>
          <w:sz w:val="20"/>
          <w:szCs w:val="20"/>
          <w:lang w:val="es-ES" w:eastAsia="es-ES"/>
        </w:rPr>
        <w:t>iv</w:t>
      </w:r>
      <w:proofErr w:type="spellEnd"/>
      <w:r w:rsidRPr="000C6630">
        <w:rPr>
          <w:rFonts w:ascii="Verdana" w:hAnsi="Verdana" w:cs="Arial"/>
          <w:sz w:val="20"/>
          <w:szCs w:val="20"/>
          <w:lang w:val="es-ES" w:eastAsia="es-ES"/>
        </w:rPr>
        <w:t xml:space="preserve">) Estos conceptos no están relacionados únicamente con los dispositivos o </w:t>
      </w:r>
      <w:r w:rsidRPr="0029347E">
        <w:rPr>
          <w:rFonts w:ascii="Verdana" w:hAnsi="Verdana" w:cs="Arial"/>
          <w:sz w:val="20"/>
          <w:szCs w:val="20"/>
          <w:lang w:val="es-ES" w:eastAsia="es-ES"/>
        </w:rPr>
        <w:t>actividades bélicas o armamentistas, sino que abarcan todas aquellas estrategias y acciones que permitan la garantía de los derechos y libertades y, por ende, la coexistencia pacífica de los habitantes de la Nación, inclusive aquellas que permitan que los infractores de la ley se reincorporen a la vida civil.</w:t>
      </w:r>
    </w:p>
    <w:p w14:paraId="6C33B948"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 </w:t>
      </w:r>
    </w:p>
    <w:p w14:paraId="175801C2"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(v) La política de seguridad y defensa nacionales, supone para el Estado no solo la adopción de estrategias y acciones militares directas, sino también soluciones negociadas y, por tanto, estas últimas y todas las acciones y actividades que requieran, también configuran evidentes manifestaciones de la defensa y la seguridad nacionales.</w:t>
      </w:r>
    </w:p>
    <w:p w14:paraId="26483A08"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0C6630">
        <w:rPr>
          <w:rFonts w:ascii="Verdana" w:hAnsi="Verdana" w:cs="Arial"/>
          <w:sz w:val="20"/>
          <w:szCs w:val="20"/>
          <w:lang w:val="es-ES" w:eastAsia="es-ES"/>
        </w:rPr>
        <w:t> </w:t>
      </w:r>
    </w:p>
    <w:p w14:paraId="3BE7147B" w14:textId="77777777" w:rsidR="00742264" w:rsidRPr="000C6630" w:rsidRDefault="00742264" w:rsidP="00742264">
      <w:pPr>
        <w:spacing w:after="0" w:line="240" w:lineRule="auto"/>
        <w:ind w:left="709" w:right="709"/>
        <w:jc w:val="both"/>
        <w:rPr>
          <w:rFonts w:ascii="Verdana" w:hAnsi="Verdana" w:cs="Arial"/>
          <w:sz w:val="20"/>
          <w:szCs w:val="20"/>
          <w:lang w:val="es-ES" w:eastAsia="es-ES"/>
        </w:rPr>
      </w:pPr>
      <w:r w:rsidRPr="00C66CFF">
        <w:rPr>
          <w:rFonts w:ascii="Verdana" w:hAnsi="Verdana" w:cs="Arial"/>
          <w:sz w:val="20"/>
          <w:szCs w:val="20"/>
          <w:lang w:val="es-ES" w:eastAsia="es-ES"/>
        </w:rPr>
        <w:t xml:space="preserve">Como se puede concluir de este análisis, los conceptos de seguridad y defensa nacionales son conceptos jurídicos indeterminados, su alcance no se limita al campo de lo bélico sino que incluye asuntos encaminados, directamente o por conexidad, </w:t>
      </w:r>
      <w:bookmarkStart w:id="4" w:name="_Hlk212129055"/>
      <w:r w:rsidRPr="00C66CFF">
        <w:rPr>
          <w:rFonts w:ascii="Verdana" w:hAnsi="Verdana" w:cs="Arial"/>
          <w:sz w:val="20"/>
          <w:szCs w:val="20"/>
          <w:lang w:val="es-ES" w:eastAsia="es-ES"/>
        </w:rPr>
        <w:t>al mantenimiento del orden público, la convivencia pacífica de la comunidad y la vigencia de los derechos y libertades de las personas</w:t>
      </w:r>
      <w:r>
        <w:rPr>
          <w:rFonts w:ascii="Verdana" w:hAnsi="Verdana" w:cs="Arial"/>
          <w:sz w:val="20"/>
          <w:szCs w:val="20"/>
          <w:lang w:val="es-ES" w:eastAsia="es-ES"/>
        </w:rPr>
        <w:t>”</w:t>
      </w:r>
      <w:r>
        <w:rPr>
          <w:rStyle w:val="Refdenotaalpie"/>
          <w:rFonts w:ascii="Verdana" w:hAnsi="Verdana" w:cs="Arial"/>
          <w:sz w:val="20"/>
          <w:szCs w:val="20"/>
          <w:lang w:val="es-ES" w:eastAsia="es-ES"/>
        </w:rPr>
        <w:footnoteReference w:id="23"/>
      </w:r>
      <w:r w:rsidRPr="000C6630">
        <w:rPr>
          <w:rFonts w:ascii="Verdana" w:hAnsi="Verdana" w:cs="Arial"/>
          <w:sz w:val="20"/>
          <w:szCs w:val="20"/>
          <w:lang w:val="es-ES" w:eastAsia="es-ES"/>
        </w:rPr>
        <w:t>.</w:t>
      </w:r>
    </w:p>
    <w:bookmarkEnd w:id="4"/>
    <w:p w14:paraId="2B0988C7" w14:textId="77777777" w:rsidR="00742264" w:rsidRDefault="00742264" w:rsidP="00742264">
      <w:pPr>
        <w:tabs>
          <w:tab w:val="left" w:pos="426"/>
        </w:tabs>
        <w:spacing w:after="0" w:line="276" w:lineRule="auto"/>
        <w:ind w:firstLine="709"/>
        <w:jc w:val="both"/>
        <w:rPr>
          <w:rFonts w:ascii="Verdana" w:hAnsi="Verdana" w:cs="Arial"/>
          <w:bCs/>
          <w:color w:val="000000" w:themeColor="text1"/>
          <w:lang w:val="es-ES"/>
        </w:rPr>
      </w:pPr>
    </w:p>
    <w:p w14:paraId="27D108D2" w14:textId="77777777" w:rsidR="00742264" w:rsidRPr="007A4265" w:rsidRDefault="00742264" w:rsidP="00742264">
      <w:pPr>
        <w:tabs>
          <w:tab w:val="left" w:pos="426"/>
        </w:tabs>
        <w:spacing w:after="120" w:line="276" w:lineRule="auto"/>
        <w:ind w:firstLine="709"/>
        <w:jc w:val="both"/>
        <w:rPr>
          <w:rFonts w:ascii="Verdana" w:hAnsi="Verdana"/>
          <w:lang w:val="es-MX"/>
        </w:rPr>
      </w:pPr>
      <w:r>
        <w:rPr>
          <w:rFonts w:ascii="Verdana" w:hAnsi="Verdana"/>
        </w:rPr>
        <w:t xml:space="preserve">De lo anterior se desprende que </w:t>
      </w:r>
      <w:r w:rsidRPr="00A26574">
        <w:rPr>
          <w:rFonts w:ascii="Verdana" w:hAnsi="Verdana"/>
        </w:rPr>
        <w:t>la seguridad y defensa nacional son conceptos jurídicos amplios y flexibles, cuyo alcance supera lo estrictamente militar para incluir todas las medidas necesarias para preservar el orden público, la paz social y los derechos fundamentales de la comunidad</w:t>
      </w:r>
      <w:r>
        <w:rPr>
          <w:rFonts w:ascii="Verdana" w:hAnsi="Verdana"/>
        </w:rPr>
        <w:t>. Sin embargo, aunque son conceptos jurídicos indeterminados su alcance está delimitado por e</w:t>
      </w:r>
      <w:r w:rsidRPr="00D94438">
        <w:rPr>
          <w:rFonts w:ascii="Verdana" w:hAnsi="Verdana"/>
          <w:lang w:val="es-ES"/>
        </w:rPr>
        <w:t>l mantenimiento del orden público, la convivencia pacífica de la comunidad y la vigencia de los derechos y libertades de las personas.</w:t>
      </w:r>
      <w:r>
        <w:rPr>
          <w:rFonts w:ascii="Verdana" w:hAnsi="Verdana"/>
          <w:lang w:val="es-ES"/>
        </w:rPr>
        <w:t xml:space="preserve"> Por ello, el Consejo de Estado destacó que “</w:t>
      </w:r>
      <w:r w:rsidRPr="007A4265">
        <w:rPr>
          <w:rFonts w:ascii="Verdana" w:hAnsi="Verdana"/>
          <w:lang w:val="es-MX"/>
        </w:rPr>
        <w:t xml:space="preserve">aunque se trate de una noción en constante cambio según </w:t>
      </w:r>
      <w:r w:rsidRPr="007A4265">
        <w:rPr>
          <w:rFonts w:ascii="Verdana" w:hAnsi="Verdana"/>
          <w:lang w:val="es-MX"/>
        </w:rPr>
        <w:lastRenderedPageBreak/>
        <w:t xml:space="preserve">cada país, conviene agregar que se trata del concepto base sobre el que se construye la estrategia para </w:t>
      </w:r>
      <w:r w:rsidRPr="001F5A10">
        <w:rPr>
          <w:rFonts w:ascii="Verdana" w:hAnsi="Verdana"/>
          <w:i/>
          <w:iCs/>
          <w:lang w:val="es-MX"/>
        </w:rPr>
        <w:t>proteger a los ciudadanos</w:t>
      </w:r>
      <w:r>
        <w:rPr>
          <w:rStyle w:val="Refdenotaalpie"/>
          <w:rFonts w:ascii="Verdana" w:hAnsi="Verdana"/>
          <w:i/>
          <w:iCs/>
          <w:lang w:val="es-MX"/>
        </w:rPr>
        <w:footnoteReference w:id="24"/>
      </w:r>
      <w:r w:rsidRPr="001F5A10">
        <w:rPr>
          <w:rFonts w:ascii="Verdana" w:hAnsi="Verdana"/>
          <w:i/>
          <w:iCs/>
          <w:lang w:val="es-MX"/>
        </w:rPr>
        <w:t>”</w:t>
      </w:r>
      <w:r>
        <w:rPr>
          <w:rFonts w:ascii="Verdana" w:hAnsi="Verdana"/>
          <w:i/>
          <w:iCs/>
          <w:lang w:val="es-MX"/>
        </w:rPr>
        <w:t xml:space="preserve">. </w:t>
      </w:r>
    </w:p>
    <w:p w14:paraId="194C218E" w14:textId="77777777" w:rsidR="00742264" w:rsidRDefault="00742264" w:rsidP="00742264">
      <w:pPr>
        <w:tabs>
          <w:tab w:val="left" w:pos="426"/>
        </w:tabs>
        <w:spacing w:after="120" w:line="276" w:lineRule="auto"/>
        <w:ind w:firstLine="709"/>
        <w:jc w:val="both"/>
        <w:rPr>
          <w:rFonts w:ascii="Verdana" w:hAnsi="Verdana"/>
        </w:rPr>
      </w:pPr>
      <w:r>
        <w:rPr>
          <w:rFonts w:ascii="Verdana" w:hAnsi="Verdana"/>
        </w:rPr>
        <w:t xml:space="preserve">En este sentido, a juicio de esta Subdirección la noción de defensa y seguridad del Estado en el marco de la Ley de Garantías Electorales no comprende de manera general la actividad de defensa jurídica del Estado que realiza la Agencia Nacional de Defensa Jurídica del Estado en cumplimiento de sus funciones misionales. En efecto, </w:t>
      </w:r>
      <w:r w:rsidRPr="00012144">
        <w:rPr>
          <w:rFonts w:ascii="Verdana" w:hAnsi="Verdana"/>
        </w:rPr>
        <w:t>el artículo 3 del Decreto 4085 del 2011</w:t>
      </w:r>
      <w:r>
        <w:rPr>
          <w:rFonts w:ascii="Verdana" w:hAnsi="Verdana"/>
        </w:rPr>
        <w:t xml:space="preserve"> al determinar el alcance de la defensa jurídica del Estado señaló que se entiende por esta “</w:t>
      </w:r>
      <w:r w:rsidRPr="00012144">
        <w:rPr>
          <w:rFonts w:ascii="Verdana" w:hAnsi="Verdana"/>
        </w:rPr>
        <w:t>el conjunto de las actuaciones dirigidas a la garantía de los derechos de la Nación y del Estado y de los principios y postulados fundamentales que los sustentan, y a la protección efectiva del patrimonio público</w:t>
      </w:r>
      <w:r>
        <w:rPr>
          <w:rFonts w:ascii="Verdana" w:hAnsi="Verdana"/>
        </w:rPr>
        <w:t>”</w:t>
      </w:r>
      <w:r w:rsidRPr="00012144">
        <w:rPr>
          <w:rFonts w:ascii="Verdana" w:hAnsi="Verdana"/>
        </w:rPr>
        <w:t>.</w:t>
      </w:r>
      <w:r w:rsidRPr="00937849">
        <w:rPr>
          <w:rFonts w:ascii="Verdana" w:hAnsi="Verdana"/>
        </w:rPr>
        <w:t xml:space="preserve"> </w:t>
      </w:r>
      <w:r>
        <w:rPr>
          <w:rFonts w:ascii="Verdana" w:hAnsi="Verdana"/>
        </w:rPr>
        <w:t>De esta forma, la noción de defensa jurídica del Estado tiene como</w:t>
      </w:r>
      <w:r w:rsidRPr="00ED5FD4">
        <w:rPr>
          <w:rFonts w:ascii="Verdana" w:hAnsi="Verdana"/>
        </w:rPr>
        <w:t xml:space="preserve"> finalidad principal </w:t>
      </w:r>
      <w:r>
        <w:rPr>
          <w:rFonts w:ascii="Verdana" w:hAnsi="Verdana"/>
        </w:rPr>
        <w:t xml:space="preserve">los derechos de la nación y </w:t>
      </w:r>
      <w:r w:rsidRPr="00ED5FD4">
        <w:rPr>
          <w:rFonts w:ascii="Verdana" w:hAnsi="Verdana"/>
        </w:rPr>
        <w:t>salvaguardar los intereses patrimoniales y jurídicos del Estado frente a reclamaciones de particulares u otros sujetos</w:t>
      </w:r>
      <w:r>
        <w:rPr>
          <w:rFonts w:ascii="Verdana" w:hAnsi="Verdana"/>
        </w:rPr>
        <w:t xml:space="preserve">. </w:t>
      </w:r>
    </w:p>
    <w:p w14:paraId="18B00015" w14:textId="77777777" w:rsidR="00742264" w:rsidRDefault="00742264" w:rsidP="00742264">
      <w:pPr>
        <w:tabs>
          <w:tab w:val="left" w:pos="426"/>
        </w:tabs>
        <w:spacing w:after="120" w:line="276" w:lineRule="auto"/>
        <w:ind w:firstLine="709"/>
        <w:jc w:val="both"/>
        <w:rPr>
          <w:rFonts w:ascii="Verdana" w:hAnsi="Verdana"/>
        </w:rPr>
      </w:pPr>
      <w:r>
        <w:rPr>
          <w:rFonts w:ascii="Verdana" w:hAnsi="Verdana"/>
        </w:rPr>
        <w:t>Dentro de este marco, la actividad de defensa jurídica incluye l</w:t>
      </w:r>
      <w:r w:rsidRPr="00680E31">
        <w:rPr>
          <w:rFonts w:ascii="Verdana" w:hAnsi="Verdana"/>
        </w:rPr>
        <w:t>a identificación y prevención de conductas antijurídicas</w:t>
      </w:r>
      <w:r>
        <w:rPr>
          <w:rFonts w:ascii="Verdana" w:hAnsi="Verdana"/>
        </w:rPr>
        <w:t>, administración, control y procesamiento</w:t>
      </w:r>
      <w:r w:rsidRPr="00680E31">
        <w:rPr>
          <w:rFonts w:ascii="Verdana" w:hAnsi="Verdana"/>
        </w:rPr>
        <w:t> </w:t>
      </w:r>
      <w:r>
        <w:rPr>
          <w:rFonts w:ascii="Verdana" w:hAnsi="Verdana"/>
        </w:rPr>
        <w:t xml:space="preserve">de la información relativa a la defensa jurídica del Estado, utilización de los mecanismos alternativos de solución de conflictos, </w:t>
      </w:r>
      <w:r w:rsidRPr="003A10B0">
        <w:rPr>
          <w:rFonts w:ascii="Verdana" w:hAnsi="Verdana"/>
        </w:rPr>
        <w:t> la participación en procesos judiciales o administrativos en los que la Nación o las entidades públicas del orden nacional sean parte demandante o demandada o deban intervenir</w:t>
      </w:r>
      <w:r>
        <w:rPr>
          <w:rFonts w:ascii="Verdana" w:hAnsi="Verdana"/>
        </w:rPr>
        <w:t>,</w:t>
      </w:r>
      <w:r w:rsidRPr="003A10B0">
        <w:rPr>
          <w:rFonts w:ascii="Verdana" w:hAnsi="Verdana"/>
        </w:rPr>
        <w:t xml:space="preserve"> la definición de estándares para la defensa judicial de las entidades públicas</w:t>
      </w:r>
      <w:r>
        <w:rPr>
          <w:rFonts w:ascii="Verdana" w:hAnsi="Verdana"/>
        </w:rPr>
        <w:t>,</w:t>
      </w:r>
      <w:r w:rsidRPr="003A10B0">
        <w:rPr>
          <w:rFonts w:ascii="Verdana" w:hAnsi="Verdana"/>
        </w:rPr>
        <w:t xml:space="preserve"> la evaluación de los resultados de la defensa jurídica del Estado y del cumplimiento de sentencias y conciliaciones, y la recuperación de dineros públicos por la vía de la acción de repetición.</w:t>
      </w:r>
      <w:r w:rsidRPr="00ED5FD4">
        <w:rPr>
          <w:rFonts w:ascii="Verdana" w:hAnsi="Verdana"/>
        </w:rPr>
        <w:t xml:space="preserve"> </w:t>
      </w:r>
      <w:r>
        <w:rPr>
          <w:rFonts w:ascii="Verdana" w:hAnsi="Verdana"/>
        </w:rPr>
        <w:t xml:space="preserve">De esta forma, el alcance de estas actividades se proyecta a </w:t>
      </w:r>
      <w:r w:rsidRPr="00A20CB1">
        <w:rPr>
          <w:rFonts w:ascii="Verdana" w:hAnsi="Verdana"/>
        </w:rPr>
        <w:t xml:space="preserve">la </w:t>
      </w:r>
      <w:r>
        <w:rPr>
          <w:rFonts w:ascii="Verdana" w:hAnsi="Verdana"/>
        </w:rPr>
        <w:t xml:space="preserve">defensa de los intereses de la administración y los derechos patrimoniales </w:t>
      </w:r>
      <w:r w:rsidRPr="00A20CB1">
        <w:rPr>
          <w:rFonts w:ascii="Verdana" w:hAnsi="Verdana"/>
        </w:rPr>
        <w:t>de</w:t>
      </w:r>
      <w:r>
        <w:rPr>
          <w:rFonts w:ascii="Verdana" w:hAnsi="Verdana"/>
        </w:rPr>
        <w:t xml:space="preserve"> la Nación o de las entidades públicas del orden nacional</w:t>
      </w:r>
      <w:r w:rsidRPr="00A20CB1">
        <w:rPr>
          <w:rFonts w:ascii="Verdana" w:hAnsi="Verdana"/>
        </w:rPr>
        <w:t>, que no necesariamente afectan la seguridad o la defensa nacional</w:t>
      </w:r>
      <w:r>
        <w:rPr>
          <w:rFonts w:ascii="Verdana" w:hAnsi="Verdana"/>
        </w:rPr>
        <w:t>.</w:t>
      </w:r>
    </w:p>
    <w:p w14:paraId="32FFE1A6" w14:textId="77777777" w:rsidR="00742264" w:rsidRDefault="00742264" w:rsidP="00742264">
      <w:pPr>
        <w:tabs>
          <w:tab w:val="left" w:pos="426"/>
        </w:tabs>
        <w:spacing w:after="120" w:line="276" w:lineRule="auto"/>
        <w:ind w:firstLine="709"/>
        <w:jc w:val="both"/>
        <w:rPr>
          <w:rFonts w:ascii="Verdana" w:hAnsi="Verdana"/>
        </w:rPr>
      </w:pPr>
      <w:r>
        <w:rPr>
          <w:rFonts w:ascii="Verdana" w:hAnsi="Verdana"/>
        </w:rPr>
        <w:t>En este contexto, no se considera viable equiparar en términos generales la noción defensa y seguridad del Estado con el alcance del concepto de defensa jurídica del Estado ya que</w:t>
      </w:r>
      <w:r w:rsidRPr="00842812">
        <w:rPr>
          <w:rFonts w:ascii="Verdana" w:hAnsi="Verdana"/>
        </w:rPr>
        <w:t xml:space="preserve"> </w:t>
      </w:r>
      <w:r>
        <w:rPr>
          <w:rFonts w:ascii="Verdana" w:hAnsi="Verdana"/>
        </w:rPr>
        <w:t xml:space="preserve">dichas actividades no se relacionan, en estricto sentido, con el </w:t>
      </w:r>
      <w:r w:rsidRPr="001F0253">
        <w:rPr>
          <w:rFonts w:ascii="Verdana" w:hAnsi="Verdana"/>
          <w:lang w:val="es-ES"/>
        </w:rPr>
        <w:t>mantenimiento del orden público, la convivencia pacífica de la comunidad</w:t>
      </w:r>
      <w:r>
        <w:rPr>
          <w:rFonts w:ascii="Verdana" w:hAnsi="Verdana"/>
          <w:lang w:val="es-ES"/>
        </w:rPr>
        <w:t>,</w:t>
      </w:r>
      <w:r w:rsidRPr="001F0253">
        <w:rPr>
          <w:rFonts w:ascii="Verdana" w:hAnsi="Verdana"/>
          <w:lang w:val="es-ES"/>
        </w:rPr>
        <w:t xml:space="preserve"> la vigencia de los derechos y libertades de las personas </w:t>
      </w:r>
      <w:r>
        <w:rPr>
          <w:rFonts w:ascii="Verdana" w:hAnsi="Verdana"/>
          <w:lang w:val="es-ES"/>
        </w:rPr>
        <w:t xml:space="preserve">o la protección de los ciudadanos, </w:t>
      </w:r>
      <w:r w:rsidRPr="00ED5FD4">
        <w:rPr>
          <w:rFonts w:ascii="Verdana" w:hAnsi="Verdana"/>
        </w:rPr>
        <w:t xml:space="preserve">que son los elementos </w:t>
      </w:r>
      <w:r>
        <w:rPr>
          <w:rFonts w:ascii="Verdana" w:hAnsi="Verdana"/>
        </w:rPr>
        <w:t xml:space="preserve">delimitantes </w:t>
      </w:r>
      <w:r w:rsidRPr="00ED5FD4">
        <w:rPr>
          <w:rFonts w:ascii="Verdana" w:hAnsi="Verdana"/>
        </w:rPr>
        <w:t xml:space="preserve">del concepto </w:t>
      </w:r>
      <w:r w:rsidRPr="00ED5FD4">
        <w:rPr>
          <w:rFonts w:ascii="Verdana" w:hAnsi="Verdana"/>
        </w:rPr>
        <w:lastRenderedPageBreak/>
        <w:t xml:space="preserve">de defensa </w:t>
      </w:r>
      <w:r>
        <w:rPr>
          <w:rFonts w:ascii="Verdana" w:hAnsi="Verdana"/>
        </w:rPr>
        <w:t xml:space="preserve">y seguridad </w:t>
      </w:r>
      <w:r w:rsidRPr="00ED5FD4">
        <w:rPr>
          <w:rFonts w:ascii="Verdana" w:hAnsi="Verdana"/>
        </w:rPr>
        <w:t>nacional</w:t>
      </w:r>
      <w:r>
        <w:rPr>
          <w:rFonts w:ascii="Verdana" w:hAnsi="Verdana"/>
        </w:rPr>
        <w:t>, de acuerdo con lo expuesto por el Consejo de Estado</w:t>
      </w:r>
      <w:r w:rsidRPr="00ED5FD4">
        <w:rPr>
          <w:rFonts w:ascii="Verdana" w:hAnsi="Verdana"/>
        </w:rPr>
        <w:t>.</w:t>
      </w:r>
      <w:r>
        <w:rPr>
          <w:rFonts w:ascii="Verdana" w:hAnsi="Verdana"/>
        </w:rPr>
        <w:t xml:space="preserve"> </w:t>
      </w:r>
      <w:r w:rsidRPr="00A20CB1">
        <w:rPr>
          <w:rFonts w:ascii="Verdana" w:hAnsi="Verdana"/>
        </w:rPr>
        <w:t>En consecuencia, mientras la defensa y seguridad del Estado atiende a la protección colectiva del Estado, la defensa judicial responde a la necesidad administrativa y procesal de salvaguardar derechos específicos</w:t>
      </w:r>
      <w:r>
        <w:rPr>
          <w:rFonts w:ascii="Verdana" w:hAnsi="Verdana"/>
        </w:rPr>
        <w:t xml:space="preserve"> de la Nación</w:t>
      </w:r>
      <w:r w:rsidRPr="00A20CB1">
        <w:rPr>
          <w:rFonts w:ascii="Verdana" w:hAnsi="Verdana"/>
        </w:rPr>
        <w:t xml:space="preserve"> dentro del marco legal.</w:t>
      </w:r>
    </w:p>
    <w:p w14:paraId="1D8063BD" w14:textId="77777777" w:rsidR="00742264" w:rsidRPr="00A20CB1" w:rsidRDefault="00742264" w:rsidP="00742264">
      <w:pPr>
        <w:tabs>
          <w:tab w:val="left" w:pos="426"/>
        </w:tabs>
        <w:spacing w:after="120" w:line="276" w:lineRule="auto"/>
        <w:ind w:firstLine="709"/>
        <w:jc w:val="both"/>
        <w:rPr>
          <w:rFonts w:ascii="Verdana" w:hAnsi="Verdana"/>
        </w:rPr>
      </w:pPr>
      <w:r>
        <w:rPr>
          <w:rFonts w:ascii="Verdana" w:hAnsi="Verdana"/>
        </w:rPr>
        <w:t xml:space="preserve">En gracia de discusión, si </w:t>
      </w:r>
      <w:r w:rsidRPr="002B25E0">
        <w:rPr>
          <w:rFonts w:ascii="Verdana" w:hAnsi="Verdana"/>
        </w:rPr>
        <w:t>pudiera existir una relación indirecta entre la defensa jurídica y la defensa nacional</w:t>
      </w:r>
      <w:r>
        <w:rPr>
          <w:rFonts w:ascii="Verdana" w:hAnsi="Verdana"/>
        </w:rPr>
        <w:t xml:space="preserve">, se considera que </w:t>
      </w:r>
      <w:r w:rsidRPr="002B25E0">
        <w:rPr>
          <w:rFonts w:ascii="Verdana" w:hAnsi="Verdana"/>
        </w:rPr>
        <w:t>dicha conexión es meramente accesoria</w:t>
      </w:r>
      <w:r>
        <w:rPr>
          <w:rFonts w:ascii="Verdana" w:hAnsi="Verdana"/>
        </w:rPr>
        <w:t xml:space="preserve">, pues la </w:t>
      </w:r>
      <w:r w:rsidRPr="002B25E0">
        <w:rPr>
          <w:rFonts w:ascii="Verdana" w:hAnsi="Verdana"/>
        </w:rPr>
        <w:t xml:space="preserve">defensa jurídica responde a un deber de representación y a la correcta gestión de los intereses públicos, </w:t>
      </w:r>
      <w:r>
        <w:rPr>
          <w:rFonts w:ascii="Verdana" w:hAnsi="Verdana"/>
        </w:rPr>
        <w:t>es decir, su objetivo es</w:t>
      </w:r>
      <w:r w:rsidRPr="00352506">
        <w:rPr>
          <w:rFonts w:ascii="Verdana" w:hAnsi="Verdana"/>
        </w:rPr>
        <w:t xml:space="preserve"> asegurar que el Estado actúe y se defienda correctamente dentro del sistema judicial</w:t>
      </w:r>
      <w:r>
        <w:rPr>
          <w:rFonts w:ascii="Verdana" w:hAnsi="Verdana"/>
        </w:rPr>
        <w:t xml:space="preserve">, pero </w:t>
      </w:r>
      <w:r w:rsidRPr="002B25E0">
        <w:rPr>
          <w:rFonts w:ascii="Verdana" w:hAnsi="Verdana"/>
        </w:rPr>
        <w:t xml:space="preserve">no </w:t>
      </w:r>
      <w:r>
        <w:rPr>
          <w:rFonts w:ascii="Verdana" w:hAnsi="Verdana"/>
        </w:rPr>
        <w:t xml:space="preserve">se dirige </w:t>
      </w:r>
      <w:r w:rsidRPr="002B25E0">
        <w:rPr>
          <w:rFonts w:ascii="Verdana" w:hAnsi="Verdana"/>
        </w:rPr>
        <w:t>a la protección</w:t>
      </w:r>
      <w:r>
        <w:rPr>
          <w:rFonts w:ascii="Verdana" w:hAnsi="Verdana"/>
        </w:rPr>
        <w:t xml:space="preserve"> propiamente</w:t>
      </w:r>
      <w:r w:rsidRPr="002B25E0">
        <w:rPr>
          <w:rFonts w:ascii="Verdana" w:hAnsi="Verdana"/>
        </w:rPr>
        <w:t xml:space="preserve"> de la</w:t>
      </w:r>
      <w:r>
        <w:rPr>
          <w:rFonts w:ascii="Verdana" w:hAnsi="Verdana"/>
        </w:rPr>
        <w:t xml:space="preserve"> N</w:t>
      </w:r>
      <w:r w:rsidRPr="002B25E0">
        <w:rPr>
          <w:rFonts w:ascii="Verdana" w:hAnsi="Verdana"/>
        </w:rPr>
        <w:t>ación</w:t>
      </w:r>
      <w:r>
        <w:rPr>
          <w:rFonts w:ascii="Verdana" w:hAnsi="Verdana"/>
        </w:rPr>
        <w:t>, sus ciudadanos, su territorio, etc</w:t>
      </w:r>
      <w:r w:rsidRPr="002B25E0">
        <w:rPr>
          <w:rFonts w:ascii="Verdana" w:hAnsi="Verdana"/>
        </w:rPr>
        <w:t xml:space="preserve">. Por tanto, su inclusión dentro del concepto de seguridad y defensa </w:t>
      </w:r>
      <w:r>
        <w:rPr>
          <w:rFonts w:ascii="Verdana" w:hAnsi="Verdana"/>
        </w:rPr>
        <w:t xml:space="preserve">del Estado en el marco de la Ley de </w:t>
      </w:r>
      <w:proofErr w:type="gramStart"/>
      <w:r>
        <w:rPr>
          <w:rFonts w:ascii="Verdana" w:hAnsi="Verdana"/>
        </w:rPr>
        <w:t>Garantías,</w:t>
      </w:r>
      <w:proofErr w:type="gramEnd"/>
      <w:r>
        <w:rPr>
          <w:rFonts w:ascii="Verdana" w:hAnsi="Verdana"/>
        </w:rPr>
        <w:t xml:space="preserve"> no</w:t>
      </w:r>
      <w:r w:rsidRPr="002B25E0">
        <w:rPr>
          <w:rFonts w:ascii="Verdana" w:hAnsi="Verdana"/>
        </w:rPr>
        <w:t xml:space="preserve"> resultaría jurídicamente</w:t>
      </w:r>
      <w:r>
        <w:rPr>
          <w:rFonts w:ascii="Verdana" w:hAnsi="Verdana"/>
        </w:rPr>
        <w:t xml:space="preserve"> </w:t>
      </w:r>
      <w:r w:rsidRPr="002B25E0">
        <w:rPr>
          <w:rFonts w:ascii="Verdana" w:hAnsi="Verdana"/>
        </w:rPr>
        <w:t>procedente</w:t>
      </w:r>
      <w:r>
        <w:rPr>
          <w:rFonts w:ascii="Verdana" w:hAnsi="Verdana"/>
        </w:rPr>
        <w:t xml:space="preserve">. </w:t>
      </w:r>
    </w:p>
    <w:p w14:paraId="617F199B" w14:textId="77777777" w:rsidR="00742264" w:rsidRDefault="00742264" w:rsidP="00742264">
      <w:pPr>
        <w:tabs>
          <w:tab w:val="left" w:pos="426"/>
        </w:tabs>
        <w:spacing w:line="276" w:lineRule="auto"/>
        <w:ind w:firstLine="709"/>
        <w:jc w:val="both"/>
        <w:rPr>
          <w:rFonts w:ascii="Verdana" w:hAnsi="Verdana" w:cs="Arial"/>
          <w:bCs/>
          <w:color w:val="000000" w:themeColor="text1"/>
          <w:lang w:val="es-ES"/>
        </w:rPr>
      </w:pPr>
      <w:r w:rsidRPr="00E87434">
        <w:rPr>
          <w:rFonts w:ascii="Verdana" w:hAnsi="Verdana" w:cs="Arial"/>
          <w:bCs/>
          <w:color w:val="000000" w:themeColor="text1"/>
          <w:lang w:val="es-ES"/>
        </w:rPr>
        <w:t>A lo anterior se suma que las excepciones previstas en el artículo 33 de la Ley de Garantías deben ser objeto de una interpretación estricta, en atención a su carácter excepcional. En consecuencia, no resulta procedente realizar interpretaciones extensivas o analógicas que permitan incluir situaciones de hecho distintas o apenas similares a las expresamente contempladas por el legislador en dicha disposición.</w:t>
      </w:r>
    </w:p>
    <w:p w14:paraId="6406483E" w14:textId="77777777" w:rsidR="00742264" w:rsidRDefault="00742264" w:rsidP="00742264">
      <w:pPr>
        <w:tabs>
          <w:tab w:val="left" w:pos="426"/>
        </w:tabs>
        <w:spacing w:line="276" w:lineRule="auto"/>
        <w:ind w:firstLine="709"/>
        <w:jc w:val="both"/>
        <w:rPr>
          <w:rFonts w:ascii="Verdana" w:hAnsi="Verdana" w:cs="Arial"/>
          <w:bCs/>
          <w:color w:val="000000" w:themeColor="text1"/>
        </w:rPr>
      </w:pPr>
      <w:r w:rsidRPr="004550CD">
        <w:rPr>
          <w:rFonts w:ascii="Verdana" w:hAnsi="Verdana" w:cs="Arial"/>
          <w:bCs/>
          <w:color w:val="000000" w:themeColor="text1"/>
        </w:rPr>
        <w:t xml:space="preserve">Por consiguiente, las actividades que se desarrollen en el marco de la defensa jurídica del Estado, en términos generales, no se encuentran comprendidas dentro de la excepción prevista en el artículo 33 de la Ley de Garantías Electorales, relativa a la defensa y seguridad del Estado. No obstante, lo anterior no excluye la posibilidad de realizar un análisis particular en casos concretos, en los cuales la defensa jurídica del Estado pueda </w:t>
      </w:r>
      <w:proofErr w:type="gramStart"/>
      <w:r w:rsidRPr="004550CD">
        <w:rPr>
          <w:rFonts w:ascii="Verdana" w:hAnsi="Verdana" w:cs="Arial"/>
          <w:bCs/>
          <w:color w:val="000000" w:themeColor="text1"/>
        </w:rPr>
        <w:t>enmarcarse dentro de</w:t>
      </w:r>
      <w:proofErr w:type="gramEnd"/>
      <w:r w:rsidRPr="004550CD">
        <w:rPr>
          <w:rFonts w:ascii="Verdana" w:hAnsi="Verdana" w:cs="Arial"/>
          <w:bCs/>
          <w:color w:val="000000" w:themeColor="text1"/>
        </w:rPr>
        <w:t xml:space="preserve"> la noción de defensa y seguridad del Estado definida por el Consejo de Estado</w:t>
      </w:r>
      <w:r>
        <w:rPr>
          <w:rFonts w:ascii="Verdana" w:hAnsi="Verdana" w:cs="Arial"/>
          <w:bCs/>
          <w:color w:val="000000" w:themeColor="text1"/>
        </w:rPr>
        <w:t xml:space="preserve">. Esto incluye </w:t>
      </w:r>
      <w:r w:rsidRPr="003A10B0">
        <w:rPr>
          <w:rFonts w:ascii="Verdana" w:hAnsi="Verdana"/>
        </w:rPr>
        <w:t xml:space="preserve">la participación en procesos judiciales o administrativos en los que la Nación sea parte demandante o demandada </w:t>
      </w:r>
      <w:r>
        <w:rPr>
          <w:rFonts w:ascii="Verdana" w:hAnsi="Verdana" w:cs="Arial"/>
          <w:bCs/>
          <w:color w:val="000000" w:themeColor="text1"/>
        </w:rPr>
        <w:t xml:space="preserve">y sea necesaria su intervención para </w:t>
      </w:r>
      <w:r w:rsidRPr="004550CD">
        <w:rPr>
          <w:rFonts w:ascii="Verdana" w:hAnsi="Verdana" w:cs="Arial"/>
          <w:bCs/>
          <w:color w:val="000000" w:themeColor="text1"/>
        </w:rPr>
        <w:t>garantizar los derechos y libertades de los ciudadanos</w:t>
      </w:r>
      <w:r>
        <w:rPr>
          <w:rFonts w:ascii="Verdana" w:hAnsi="Verdana" w:cs="Arial"/>
          <w:bCs/>
          <w:color w:val="000000" w:themeColor="text1"/>
        </w:rPr>
        <w:t>,</w:t>
      </w:r>
      <w:r w:rsidRPr="004550CD">
        <w:rPr>
          <w:rFonts w:ascii="Verdana" w:hAnsi="Verdana" w:cs="Arial"/>
          <w:bCs/>
          <w:color w:val="000000" w:themeColor="text1"/>
        </w:rPr>
        <w:t xml:space="preserve"> </w:t>
      </w:r>
      <w:r>
        <w:rPr>
          <w:rFonts w:ascii="Verdana" w:hAnsi="Verdana"/>
        </w:rPr>
        <w:t xml:space="preserve">el </w:t>
      </w:r>
      <w:r w:rsidRPr="001F0253">
        <w:rPr>
          <w:rFonts w:ascii="Verdana" w:hAnsi="Verdana"/>
          <w:lang w:val="es-ES"/>
        </w:rPr>
        <w:t>mantenimiento del orden público, la convivencia pacífica de la comunidad</w:t>
      </w:r>
      <w:r>
        <w:rPr>
          <w:rFonts w:ascii="Verdana" w:hAnsi="Verdana"/>
          <w:lang w:val="es-ES"/>
        </w:rPr>
        <w:t xml:space="preserve"> y los demás aspectos a los que se hizo referencia en líneas anteriores. </w:t>
      </w:r>
    </w:p>
    <w:p w14:paraId="600E52CE" w14:textId="77777777" w:rsidR="00742264" w:rsidRPr="0098326D" w:rsidRDefault="00742264" w:rsidP="00742264">
      <w:pPr>
        <w:tabs>
          <w:tab w:val="left" w:pos="426"/>
        </w:tabs>
        <w:spacing w:line="276" w:lineRule="auto"/>
        <w:ind w:firstLine="709"/>
        <w:jc w:val="both"/>
        <w:rPr>
          <w:rFonts w:ascii="Verdana" w:eastAsia="Calibri" w:hAnsi="Verdana" w:cs="Arial"/>
          <w:lang w:val="es-ES"/>
        </w:rPr>
      </w:pPr>
      <w:r>
        <w:rPr>
          <w:rFonts w:ascii="Verdana" w:eastAsia="Calibri" w:hAnsi="Verdana" w:cs="Arial"/>
          <w:lang w:val="es-ES"/>
        </w:rPr>
        <w:t>En este sentido, c</w:t>
      </w:r>
      <w:r w:rsidRPr="00584759">
        <w:rPr>
          <w:rFonts w:ascii="Verdana" w:eastAsia="Calibri" w:hAnsi="Verdana" w:cs="Arial"/>
          <w:lang w:val="es-ES"/>
        </w:rPr>
        <w:t xml:space="preserve">orresponde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 realizar el correspondiente análisis para determinar si aplica o no una determinada excepción</w:t>
      </w:r>
      <w:r>
        <w:rPr>
          <w:rFonts w:ascii="Verdana" w:eastAsia="Calibri" w:hAnsi="Verdana" w:cs="Arial"/>
          <w:lang w:val="es-ES"/>
        </w:rPr>
        <w:t xml:space="preserve"> a la prohibición del artículo 33, según </w:t>
      </w:r>
      <w:r w:rsidRPr="00584759">
        <w:rPr>
          <w:rFonts w:ascii="Verdana" w:eastAsia="Calibri" w:hAnsi="Verdana" w:cs="Arial"/>
          <w:lang w:val="es-ES"/>
        </w:rPr>
        <w:t xml:space="preserve">la situación fáctica y jurídica </w:t>
      </w:r>
      <w:r w:rsidRPr="00584759">
        <w:rPr>
          <w:rFonts w:ascii="Verdana" w:eastAsia="Calibri" w:hAnsi="Verdana" w:cs="Arial"/>
          <w:lang w:val="es-ES"/>
        </w:rPr>
        <w:lastRenderedPageBreak/>
        <w:t>particular del caso concreto, para lo cual las consideraciones expuestas en el presente concepto constituyen un instrumento orientador</w:t>
      </w:r>
      <w:r>
        <w:rPr>
          <w:rFonts w:ascii="Verdana" w:eastAsia="Calibri" w:hAnsi="Verdana" w:cs="Arial"/>
          <w:lang w:val="es-ES"/>
        </w:rPr>
        <w:t>.</w:t>
      </w:r>
    </w:p>
    <w:p w14:paraId="208B9256" w14:textId="77777777" w:rsidR="00742264" w:rsidRDefault="00742264" w:rsidP="00742264">
      <w:pPr>
        <w:spacing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ES"/>
        </w:rPr>
        <w:t>v) Por otro lado, frente al segundo problema jurídico, es importante señalar que</w:t>
      </w:r>
      <w:r w:rsidRPr="001C3B9A">
        <w:rPr>
          <w:rFonts w:ascii="Verdana" w:eastAsia="Calibri" w:hAnsi="Verdana" w:cs="Arial"/>
          <w:lang w:val="es-ES"/>
        </w:rPr>
        <w:t xml:space="preserve"> </w:t>
      </w:r>
      <w:r>
        <w:rPr>
          <w:rFonts w:ascii="Verdana" w:eastAsia="Calibri" w:hAnsi="Verdana" w:cs="Arial"/>
          <w:lang w:val="es-ES"/>
        </w:rPr>
        <w:t xml:space="preserve">artículo 20 de la Ley 1150 de 2007 establece el régimen aplicable a los contratos o </w:t>
      </w:r>
      <w:r w:rsidRPr="00D15328">
        <w:rPr>
          <w:rFonts w:ascii="Verdana" w:eastAsia="Arial" w:hAnsi="Verdana" w:cs="Arial"/>
          <w:bCs/>
          <w:color w:val="000000" w:themeColor="text1"/>
        </w:rPr>
        <w:t>convenios que se suscriban con organismos internacionales</w:t>
      </w:r>
      <w:r w:rsidRPr="00DD566D">
        <w:rPr>
          <w:rFonts w:eastAsia="Arial"/>
          <w:bCs/>
          <w:color w:val="000000" w:themeColor="text1"/>
          <w:vertAlign w:val="superscript"/>
        </w:rPr>
        <w:footnoteReference w:id="25"/>
      </w:r>
      <w:r>
        <w:rPr>
          <w:rFonts w:ascii="Verdana" w:eastAsia="Arial" w:hAnsi="Verdana" w:cs="Arial"/>
          <w:bCs/>
          <w:color w:val="000000" w:themeColor="text1"/>
        </w:rPr>
        <w:t xml:space="preserve">. </w:t>
      </w:r>
      <w:r w:rsidRPr="00D15328">
        <w:rPr>
          <w:rFonts w:ascii="Verdana" w:eastAsia="Arial" w:hAnsi="Verdana" w:cs="Arial"/>
          <w:bCs/>
          <w:color w:val="000000" w:themeColor="text1"/>
        </w:rPr>
        <w:t xml:space="preserve">Particularmente, </w:t>
      </w:r>
      <w:r>
        <w:rPr>
          <w:rFonts w:ascii="Verdana" w:eastAsia="Arial" w:hAnsi="Verdana" w:cs="Arial"/>
          <w:bCs/>
          <w:color w:val="000000" w:themeColor="text1"/>
        </w:rPr>
        <w:t>e</w:t>
      </w:r>
      <w:r w:rsidRPr="005F6411">
        <w:rPr>
          <w:rFonts w:ascii="Verdana" w:eastAsia="Arial" w:hAnsi="Verdana" w:cs="Arial"/>
          <w:bCs/>
          <w:color w:val="000000" w:themeColor="text1"/>
        </w:rPr>
        <w:t>l inciso segundo del artículo 20 de la Ley 1150 de 2007</w:t>
      </w:r>
      <w:r>
        <w:rPr>
          <w:rFonts w:ascii="Verdana" w:eastAsia="Arial" w:hAnsi="Verdana" w:cs="Arial"/>
          <w:bCs/>
          <w:color w:val="000000" w:themeColor="text1"/>
        </w:rPr>
        <w:t xml:space="preserve"> </w:t>
      </w:r>
      <w:r w:rsidRPr="005F6411">
        <w:rPr>
          <w:rFonts w:ascii="Verdana" w:eastAsia="Arial" w:hAnsi="Verdana" w:cs="Arial"/>
          <w:bCs/>
          <w:color w:val="000000" w:themeColor="text1"/>
        </w:rPr>
        <w:t xml:space="preserve">señala que es posible someter los siguientes contratos o convenios a los reglamentos de </w:t>
      </w:r>
      <w:r>
        <w:rPr>
          <w:rFonts w:ascii="Verdana" w:eastAsia="Arial" w:hAnsi="Verdana" w:cs="Arial"/>
          <w:bCs/>
          <w:color w:val="000000" w:themeColor="text1"/>
        </w:rPr>
        <w:t xml:space="preserve">tales </w:t>
      </w:r>
      <w:r w:rsidRPr="005F6411">
        <w:rPr>
          <w:rFonts w:ascii="Verdana" w:eastAsia="Arial" w:hAnsi="Verdana" w:cs="Arial"/>
          <w:bCs/>
          <w:color w:val="000000" w:themeColor="text1"/>
        </w:rPr>
        <w:t>organismos o entes internacionales, independientemente del monto o porcentaje de los aportes de las partes:</w:t>
      </w:r>
      <w:r>
        <w:rPr>
          <w:rFonts w:ascii="Verdana" w:eastAsia="Arial" w:hAnsi="Verdana" w:cs="Arial"/>
          <w:bCs/>
          <w:color w:val="000000" w:themeColor="text1"/>
          <w:lang w:val="es-ES"/>
        </w:rPr>
        <w:t xml:space="preserve"> </w:t>
      </w:r>
    </w:p>
    <w:p w14:paraId="2579BD7E" w14:textId="77777777" w:rsidR="00742264" w:rsidRDefault="00742264" w:rsidP="00742264">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lang w:val="es-ES"/>
        </w:rPr>
        <w:t xml:space="preserve">a. </w:t>
      </w:r>
      <w:r>
        <w:rPr>
          <w:rFonts w:ascii="Verdana" w:eastAsia="Arial" w:hAnsi="Verdana" w:cs="Arial"/>
          <w:bCs/>
          <w:color w:val="000000" w:themeColor="text1"/>
        </w:rPr>
        <w:t>L</w:t>
      </w:r>
      <w:r w:rsidRPr="002740FF">
        <w:rPr>
          <w:rFonts w:ascii="Verdana" w:eastAsia="Arial" w:hAnsi="Verdana" w:cs="Arial"/>
          <w:bCs/>
          <w:color w:val="000000" w:themeColor="text1"/>
        </w:rPr>
        <w:t xml:space="preserve">os contratos o convenios celebrados con personas extranjeras de derecho público u organismos de derecho internacional cuyo objeto sea el desarrollo de programas de promoción, prevención y atención en salud; </w:t>
      </w:r>
    </w:p>
    <w:p w14:paraId="4A6752DB" w14:textId="77777777" w:rsidR="00742264" w:rsidRDefault="00742264" w:rsidP="00742264">
      <w:pPr>
        <w:spacing w:after="120" w:line="276" w:lineRule="auto"/>
        <w:ind w:firstLine="709"/>
        <w:jc w:val="both"/>
        <w:rPr>
          <w:rFonts w:ascii="Verdana" w:eastAsia="Arial" w:hAnsi="Verdana" w:cs="Arial"/>
          <w:bCs/>
          <w:color w:val="000000" w:themeColor="text1"/>
        </w:rPr>
      </w:pPr>
      <w:r w:rsidRPr="002740FF">
        <w:rPr>
          <w:rFonts w:ascii="Verdana" w:eastAsia="Arial" w:hAnsi="Verdana" w:cs="Arial"/>
          <w:bCs/>
          <w:color w:val="000000" w:themeColor="text1"/>
        </w:rPr>
        <w:t xml:space="preserve">b. Los contratos y convenios necesarios para la operación de la Organización Internacional del Trabajo; </w:t>
      </w:r>
    </w:p>
    <w:p w14:paraId="78E26B5B" w14:textId="77777777" w:rsidR="00742264" w:rsidRDefault="00742264" w:rsidP="00742264">
      <w:pPr>
        <w:spacing w:after="120" w:line="276" w:lineRule="auto"/>
        <w:ind w:firstLine="709"/>
        <w:jc w:val="both"/>
        <w:rPr>
          <w:rFonts w:ascii="Verdana" w:eastAsia="Arial" w:hAnsi="Verdana" w:cs="Arial"/>
          <w:bCs/>
          <w:color w:val="000000" w:themeColor="text1"/>
        </w:rPr>
      </w:pPr>
      <w:r w:rsidRPr="002740FF">
        <w:rPr>
          <w:rFonts w:ascii="Verdana" w:eastAsia="Arial" w:hAnsi="Verdana" w:cs="Arial"/>
          <w:bCs/>
          <w:color w:val="000000" w:themeColor="text1"/>
        </w:rPr>
        <w:t xml:space="preserve">c. Los contratos y convenios que se ejecuten en desarrollo del sistema integrado de monitoreo de cultivos ilícitos; </w:t>
      </w:r>
    </w:p>
    <w:p w14:paraId="213D6D0F" w14:textId="77777777" w:rsidR="00742264" w:rsidRDefault="00742264" w:rsidP="00742264">
      <w:pPr>
        <w:spacing w:after="120" w:line="276" w:lineRule="auto"/>
        <w:ind w:firstLine="709"/>
        <w:jc w:val="both"/>
        <w:rPr>
          <w:rFonts w:ascii="Verdana" w:eastAsia="Arial" w:hAnsi="Verdana" w:cs="Arial"/>
          <w:bCs/>
          <w:color w:val="000000" w:themeColor="text1"/>
        </w:rPr>
      </w:pPr>
      <w:r w:rsidRPr="002740FF">
        <w:rPr>
          <w:rFonts w:ascii="Verdana" w:eastAsia="Arial" w:hAnsi="Verdana" w:cs="Arial"/>
          <w:bCs/>
          <w:color w:val="000000" w:themeColor="text1"/>
        </w:rPr>
        <w:t xml:space="preserve">d. Los contratos y convenios para la operación del programa mundial de alimentos; </w:t>
      </w:r>
    </w:p>
    <w:p w14:paraId="4C8D9A9C" w14:textId="77777777" w:rsidR="00742264" w:rsidRDefault="00742264" w:rsidP="00742264">
      <w:pPr>
        <w:spacing w:after="120" w:line="276" w:lineRule="auto"/>
        <w:ind w:firstLine="709"/>
        <w:jc w:val="both"/>
        <w:rPr>
          <w:rFonts w:ascii="Verdana" w:eastAsia="Arial" w:hAnsi="Verdana" w:cs="Arial"/>
          <w:bCs/>
          <w:color w:val="000000" w:themeColor="text1"/>
        </w:rPr>
      </w:pPr>
      <w:r w:rsidRPr="002740FF">
        <w:rPr>
          <w:rFonts w:ascii="Verdana" w:eastAsia="Arial" w:hAnsi="Verdana" w:cs="Arial"/>
          <w:bCs/>
          <w:color w:val="000000" w:themeColor="text1"/>
        </w:rPr>
        <w:t xml:space="preserve">e. Los contratos y convenios para el desarrollo de programas de apoyo educativo a población desplazada y vulnerable adelantados por la Unesco y la OIM; </w:t>
      </w:r>
    </w:p>
    <w:p w14:paraId="6F713B6B" w14:textId="77777777" w:rsidR="00742264" w:rsidRDefault="00742264" w:rsidP="00742264">
      <w:pPr>
        <w:spacing w:after="120" w:line="276" w:lineRule="auto"/>
        <w:ind w:firstLine="709"/>
        <w:jc w:val="both"/>
        <w:rPr>
          <w:rFonts w:ascii="Verdana" w:eastAsia="Arial" w:hAnsi="Verdana" w:cs="Arial"/>
          <w:bCs/>
          <w:color w:val="000000" w:themeColor="text1"/>
        </w:rPr>
      </w:pPr>
      <w:r w:rsidRPr="002740FF">
        <w:rPr>
          <w:rFonts w:ascii="Verdana" w:eastAsia="Arial" w:hAnsi="Verdana" w:cs="Arial"/>
          <w:bCs/>
          <w:color w:val="000000" w:themeColor="text1"/>
        </w:rPr>
        <w:lastRenderedPageBreak/>
        <w:t xml:space="preserve">f. </w:t>
      </w:r>
      <w:r w:rsidRPr="006B7447">
        <w:rPr>
          <w:rFonts w:ascii="Verdana" w:eastAsia="Arial" w:hAnsi="Verdana" w:cs="Arial"/>
          <w:bCs/>
          <w:i/>
          <w:iCs/>
          <w:color w:val="000000" w:themeColor="text1"/>
        </w:rPr>
        <w:t>Los contratos o convenios financiados con fondos de los organismos multilaterales de crédito</w:t>
      </w:r>
      <w:r w:rsidRPr="002740FF">
        <w:rPr>
          <w:rFonts w:ascii="Verdana" w:eastAsia="Arial" w:hAnsi="Verdana" w:cs="Arial"/>
          <w:bCs/>
          <w:color w:val="000000" w:themeColor="text1"/>
        </w:rPr>
        <w:t xml:space="preserve"> y entes gubernamentales extranjeros. </w:t>
      </w:r>
    </w:p>
    <w:p w14:paraId="66017586" w14:textId="77777777" w:rsidR="00742264" w:rsidRDefault="00742264" w:rsidP="00742264">
      <w:pPr>
        <w:spacing w:after="120" w:line="276" w:lineRule="auto"/>
        <w:ind w:firstLine="709"/>
        <w:jc w:val="both"/>
        <w:rPr>
          <w:rFonts w:ascii="Verdana" w:eastAsia="Arial" w:hAnsi="Verdana" w:cs="Arial"/>
          <w:bCs/>
          <w:color w:val="000000" w:themeColor="text1"/>
        </w:rPr>
      </w:pPr>
      <w:r w:rsidRPr="002740FF">
        <w:rPr>
          <w:rFonts w:ascii="Verdana" w:eastAsia="Arial" w:hAnsi="Verdana" w:cs="Arial"/>
          <w:bCs/>
          <w:color w:val="000000" w:themeColor="text1"/>
        </w:rPr>
        <w:t xml:space="preserve">De acuerdo con lo anterior, el artículo 2.2.1.2.4.4.1. del Decreto 1082 de 2015 establece que los contratos o convenios financiados con fondos de los organismos multilaterales de crédito, entes gubernamentales extranjeros o personas extranjeras de derecho público, así como aquellos a los que se refiere el inciso 2 del artículo 20 de la Ley 1150 de 2007, se ejecutarán de conformidad con lo establecido en los tratados internacionales marco y complementarios, y en los convenios celebrados, o sus reglamentos, según sea el caso, sin que a ellos le sea aplicable el porcentaje señalado en el inciso primero del artículo 20 de la Ley 1150 de 2007. </w:t>
      </w:r>
    </w:p>
    <w:p w14:paraId="6106870B" w14:textId="77777777" w:rsidR="00742264" w:rsidRPr="0047421D" w:rsidRDefault="00742264" w:rsidP="00742264">
      <w:pPr>
        <w:spacing w:after="120" w:line="276" w:lineRule="auto"/>
        <w:ind w:firstLine="709"/>
        <w:jc w:val="both"/>
        <w:rPr>
          <w:rFonts w:ascii="Verdana" w:eastAsia="Arial" w:hAnsi="Verdana" w:cs="Arial"/>
          <w:bCs/>
          <w:color w:val="000000" w:themeColor="text1"/>
        </w:rPr>
      </w:pPr>
      <w:r w:rsidRPr="002740FF">
        <w:rPr>
          <w:rFonts w:ascii="Verdana" w:eastAsia="Arial" w:hAnsi="Verdana" w:cs="Arial"/>
          <w:bCs/>
          <w:color w:val="000000" w:themeColor="text1"/>
        </w:rPr>
        <w:t>Con fundamento en dicha normativa, la restricción contemplada en el artículo 33</w:t>
      </w:r>
      <w:r>
        <w:rPr>
          <w:rFonts w:ascii="Verdana" w:eastAsia="Arial" w:hAnsi="Verdana" w:cs="Arial"/>
          <w:bCs/>
          <w:color w:val="000000" w:themeColor="text1"/>
        </w:rPr>
        <w:t xml:space="preserve"> de la Ley de Garantías Electorales</w:t>
      </w:r>
      <w:r w:rsidRPr="002740FF">
        <w:rPr>
          <w:rFonts w:ascii="Verdana" w:eastAsia="Arial" w:hAnsi="Verdana" w:cs="Arial"/>
          <w:bCs/>
          <w:color w:val="000000" w:themeColor="text1"/>
        </w:rPr>
        <w:t xml:space="preserve"> no aplica a los contratos o convenios a los que se refiere el inciso segundo del artículo 20 de la Ley 1150 de 2007, cuando se sometan a los reglamentos de dichos organismos, incluyendo aquellos financiados con fondos de los organismos multilaterales de crédito y entes gubernamentales extranjeros, sin importar el porcentaje de financiación.</w:t>
      </w:r>
    </w:p>
    <w:p w14:paraId="5277AA61" w14:textId="77777777" w:rsidR="00742264" w:rsidRPr="00584759" w:rsidRDefault="00742264" w:rsidP="00742264">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53D02EF8" w14:textId="77777777" w:rsidR="00742264" w:rsidRPr="00FC6F34" w:rsidRDefault="00742264" w:rsidP="00742264">
      <w:pPr>
        <w:spacing w:after="0" w:line="276" w:lineRule="auto"/>
        <w:ind w:firstLine="708"/>
        <w:jc w:val="both"/>
        <w:rPr>
          <w:rFonts w:ascii="Verdana" w:eastAsia="Calibri" w:hAnsi="Verdana" w:cs="Arial"/>
          <w:lang w:val="es-ES"/>
        </w:rPr>
      </w:pPr>
    </w:p>
    <w:bookmarkEnd w:id="2"/>
    <w:bookmarkEnd w:id="3"/>
    <w:p w14:paraId="74A6B0DD" w14:textId="77777777" w:rsidR="00742264" w:rsidRPr="00FC6F34" w:rsidRDefault="00742264" w:rsidP="00742264">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D04763">
        <w:rPr>
          <w:rFonts w:ascii="Verdana" w:eastAsia="Century Gothic" w:hAnsi="Verdana" w:cs="Century Gothic"/>
          <w:b/>
          <w:color w:val="000000" w:themeColor="text1"/>
        </w:rPr>
        <w:t>Referencias normativas, jurisprudenciales y otras fuentes:</w:t>
      </w:r>
    </w:p>
    <w:p w14:paraId="39DC0725" w14:textId="77777777" w:rsidR="00742264" w:rsidRPr="00FC6F34" w:rsidRDefault="00742264" w:rsidP="00742264">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42264" w:rsidRPr="00FC6F34" w14:paraId="4A5FD539" w14:textId="77777777" w:rsidTr="00577CE2">
        <w:trPr>
          <w:trHeight w:val="870"/>
        </w:trPr>
        <w:tc>
          <w:tcPr>
            <w:tcW w:w="8647" w:type="dxa"/>
          </w:tcPr>
          <w:p w14:paraId="490AEFD5" w14:textId="77777777" w:rsidR="00742264" w:rsidRPr="00FC6F34" w:rsidRDefault="00742264" w:rsidP="00742264">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439F8C9B" w14:textId="77777777" w:rsidR="00742264" w:rsidRPr="00FC6F34" w:rsidRDefault="00742264" w:rsidP="00742264">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5AE1E20F" w14:textId="77777777" w:rsidR="00742264" w:rsidRPr="00FC6F34" w:rsidRDefault="00742264" w:rsidP="00742264">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lastRenderedPageBreak/>
              <w:t xml:space="preserve">Ley 1150 de 2007, </w:t>
            </w:r>
            <w:r w:rsidRPr="00FC6F34">
              <w:rPr>
                <w:rFonts w:ascii="Verdana" w:eastAsia="Arial MT" w:hAnsi="Verdana" w:cs="Arial"/>
                <w:lang w:val="es-ES" w:eastAsia="es-ES" w:bidi="es-ES"/>
              </w:rPr>
              <w:t>Artículo 2</w:t>
            </w:r>
            <w:r>
              <w:rPr>
                <w:rFonts w:ascii="Verdana" w:eastAsia="Arial MT" w:hAnsi="Verdana" w:cs="Arial"/>
                <w:lang w:val="es-ES" w:eastAsia="es-ES" w:bidi="es-ES"/>
              </w:rPr>
              <w:t>0</w:t>
            </w:r>
            <w:r w:rsidRPr="00FC6F34">
              <w:rPr>
                <w:rFonts w:ascii="Verdana" w:eastAsia="Arial MT" w:hAnsi="Verdana" w:cs="Arial"/>
                <w:lang w:val="es-ES" w:eastAsia="es-ES" w:bidi="es-ES"/>
              </w:rPr>
              <w:t xml:space="preserve"> </w:t>
            </w:r>
          </w:p>
          <w:p w14:paraId="26AA4BCB" w14:textId="77777777" w:rsidR="00742264" w:rsidRPr="00FC6F34" w:rsidRDefault="00742264" w:rsidP="00742264">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6E2A6543" w14:textId="77777777" w:rsidR="00742264" w:rsidRPr="00FC6F34" w:rsidRDefault="00742264" w:rsidP="00742264">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w:t>
            </w:r>
            <w:proofErr w:type="spellStart"/>
            <w:r w:rsidRPr="00FC6F34">
              <w:rPr>
                <w:rFonts w:ascii="Verdana" w:eastAsia="Calibri" w:hAnsi="Verdana" w:cs="Arial"/>
                <w:lang w:val="es-ES"/>
              </w:rPr>
              <w:t>Namén</w:t>
            </w:r>
            <w:proofErr w:type="spellEnd"/>
            <w:r w:rsidRPr="00FC6F34">
              <w:rPr>
                <w:rFonts w:ascii="Verdana" w:eastAsia="Calibri" w:hAnsi="Verdana" w:cs="Arial"/>
                <w:lang w:val="es-ES"/>
              </w:rPr>
              <w:t xml:space="preserve"> Vargas. </w:t>
            </w:r>
          </w:p>
          <w:p w14:paraId="6B7BB638" w14:textId="77777777" w:rsidR="00742264" w:rsidRPr="00FC6F34" w:rsidRDefault="00742264" w:rsidP="00742264">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040A7E5B" w14:textId="77777777" w:rsidR="00742264" w:rsidRPr="00DE22E1" w:rsidRDefault="00742264" w:rsidP="00742264">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 xml:space="preserve">Consejo de Estado, Sala de Consulta y Servicio Civil, Concepto de fecha 8 de mayo de 2018, No. 2382. C. P. Álvaro </w:t>
            </w:r>
            <w:proofErr w:type="spellStart"/>
            <w:r w:rsidRPr="00FC6F34">
              <w:rPr>
                <w:rFonts w:ascii="Verdana" w:eastAsia="Calibri" w:hAnsi="Verdana" w:cs="Arial"/>
              </w:rPr>
              <w:t>Namén</w:t>
            </w:r>
            <w:proofErr w:type="spellEnd"/>
            <w:r w:rsidRPr="00FC6F34">
              <w:rPr>
                <w:rFonts w:ascii="Verdana" w:eastAsia="Calibri" w:hAnsi="Verdana" w:cs="Arial"/>
              </w:rPr>
              <w:t xml:space="preserve"> Vargas.</w:t>
            </w:r>
          </w:p>
          <w:p w14:paraId="219E0DDA" w14:textId="77777777" w:rsidR="00742264" w:rsidRPr="00DE22E1" w:rsidRDefault="00742264" w:rsidP="00742264">
            <w:pPr>
              <w:pStyle w:val="Prrafodelista"/>
              <w:numPr>
                <w:ilvl w:val="0"/>
                <w:numId w:val="16"/>
              </w:numPr>
              <w:spacing w:before="120" w:after="120" w:line="276" w:lineRule="auto"/>
              <w:contextualSpacing w:val="0"/>
              <w:jc w:val="both"/>
              <w:rPr>
                <w:rFonts w:ascii="Verdana" w:hAnsi="Verdana" w:cs="Arial"/>
              </w:rPr>
            </w:pPr>
            <w:r w:rsidRPr="00DE22E1">
              <w:rPr>
                <w:rFonts w:ascii="Verdana" w:hAnsi="Verdana" w:cs="Arial"/>
                <w:lang w:val="es-CO"/>
              </w:rPr>
              <w:t xml:space="preserve">Consejo de Estado. Sala de Consulta y Servicio Civil. Concepto del 2 de septiembre de 2013 Radicado No: 2168. CP: </w:t>
            </w:r>
            <w:proofErr w:type="spellStart"/>
            <w:r w:rsidRPr="00DE22E1">
              <w:rPr>
                <w:rFonts w:ascii="Verdana" w:hAnsi="Verdana" w:cs="Arial"/>
                <w:lang w:val="es-CO"/>
              </w:rPr>
              <w:t>Alvaro</w:t>
            </w:r>
            <w:proofErr w:type="spellEnd"/>
            <w:r w:rsidRPr="00DE22E1">
              <w:rPr>
                <w:rFonts w:ascii="Verdana" w:hAnsi="Verdana" w:cs="Arial"/>
                <w:lang w:val="es-CO"/>
              </w:rPr>
              <w:t xml:space="preserve"> </w:t>
            </w:r>
            <w:proofErr w:type="spellStart"/>
            <w:r w:rsidRPr="00DE22E1">
              <w:rPr>
                <w:rFonts w:ascii="Verdana" w:hAnsi="Verdana" w:cs="Arial"/>
                <w:lang w:val="es-CO"/>
              </w:rPr>
              <w:t>Namén</w:t>
            </w:r>
            <w:proofErr w:type="spellEnd"/>
            <w:r w:rsidRPr="00DE22E1">
              <w:rPr>
                <w:rFonts w:ascii="Verdana" w:hAnsi="Verdana" w:cs="Arial"/>
                <w:lang w:val="es-CO"/>
              </w:rPr>
              <w:t xml:space="preserve"> Vargas.</w:t>
            </w:r>
          </w:p>
          <w:p w14:paraId="47861ECA" w14:textId="77777777" w:rsidR="00742264" w:rsidRPr="00DE22E1" w:rsidRDefault="00742264" w:rsidP="00742264">
            <w:pPr>
              <w:pStyle w:val="Prrafodelista"/>
              <w:numPr>
                <w:ilvl w:val="0"/>
                <w:numId w:val="16"/>
              </w:numPr>
              <w:spacing w:before="120" w:after="120" w:line="276" w:lineRule="auto"/>
              <w:contextualSpacing w:val="0"/>
              <w:jc w:val="both"/>
              <w:rPr>
                <w:rFonts w:ascii="Verdana" w:hAnsi="Verdana" w:cs="Arial"/>
              </w:rPr>
            </w:pPr>
            <w:r w:rsidRPr="00DE22E1">
              <w:rPr>
                <w:rFonts w:ascii="Verdana" w:hAnsi="Verdana" w:cs="Arial"/>
                <w:lang w:val="es-CO"/>
              </w:rPr>
              <w:t xml:space="preserve">Consejo de Estado. Sección Tercera. Subsección C. Sentencia del 26 de julio de 2011. Consejero Ponente: Enrique Gil Botero. Expediente: </w:t>
            </w:r>
            <w:r w:rsidRPr="00DE22E1">
              <w:rPr>
                <w:rFonts w:ascii="Verdana" w:hAnsi="Verdana" w:cs="Arial"/>
                <w:iCs/>
                <w:lang w:val="es-CO"/>
              </w:rPr>
              <w:t>17661</w:t>
            </w:r>
          </w:p>
          <w:p w14:paraId="7F5806DE" w14:textId="77777777" w:rsidR="00742264" w:rsidRPr="00DE22E1" w:rsidRDefault="00742264" w:rsidP="00742264">
            <w:pPr>
              <w:pStyle w:val="Prrafodelista"/>
              <w:numPr>
                <w:ilvl w:val="0"/>
                <w:numId w:val="16"/>
              </w:numPr>
              <w:spacing w:before="120" w:after="120" w:line="276" w:lineRule="auto"/>
              <w:contextualSpacing w:val="0"/>
              <w:jc w:val="both"/>
              <w:rPr>
                <w:rFonts w:ascii="Verdana" w:hAnsi="Verdana" w:cs="Arial"/>
              </w:rPr>
            </w:pPr>
            <w:r w:rsidRPr="00DE22E1">
              <w:rPr>
                <w:rFonts w:ascii="Verdana" w:hAnsi="Verdana" w:cs="Arial"/>
                <w:lang w:val="es-CO"/>
              </w:rPr>
              <w:t xml:space="preserve">Consejo de Estado. Sección Tercera, sentencia del 27 de marzo de 2008. </w:t>
            </w:r>
            <w:proofErr w:type="spellStart"/>
            <w:r w:rsidRPr="00DE22E1">
              <w:rPr>
                <w:rFonts w:ascii="Verdana" w:hAnsi="Verdana" w:cs="Arial"/>
                <w:lang w:val="es-CO"/>
              </w:rPr>
              <w:t>Exp</w:t>
            </w:r>
            <w:proofErr w:type="spellEnd"/>
            <w:r w:rsidRPr="00DE22E1">
              <w:rPr>
                <w:rFonts w:ascii="Verdana" w:hAnsi="Verdana" w:cs="Arial"/>
                <w:lang w:val="es-CO"/>
              </w:rPr>
              <w:t>. 29.393, C. P. Ruth Stella Correa Palacio</w:t>
            </w:r>
            <w:r>
              <w:rPr>
                <w:rFonts w:ascii="Verdana" w:hAnsi="Verdana" w:cs="Arial"/>
                <w:lang w:val="es-CO"/>
              </w:rPr>
              <w:t>.</w:t>
            </w:r>
          </w:p>
          <w:p w14:paraId="6F0C6A88" w14:textId="77777777" w:rsidR="00742264" w:rsidRPr="00FC6F34" w:rsidRDefault="00742264" w:rsidP="00742264">
            <w:pPr>
              <w:pStyle w:val="Prrafodelista"/>
              <w:numPr>
                <w:ilvl w:val="0"/>
                <w:numId w:val="16"/>
              </w:numPr>
              <w:spacing w:before="120" w:after="120" w:line="276" w:lineRule="auto"/>
              <w:contextualSpacing w:val="0"/>
              <w:jc w:val="both"/>
              <w:rPr>
                <w:rFonts w:ascii="Verdana" w:hAnsi="Verdana" w:cs="Arial"/>
              </w:rPr>
            </w:pPr>
            <w:r w:rsidRPr="00DE22E1">
              <w:rPr>
                <w:rFonts w:ascii="Verdana" w:hAnsi="Verdana" w:cs="Arial"/>
                <w:lang w:val="es-CO"/>
              </w:rPr>
              <w:t xml:space="preserve">Consejo de Estado. Sección Tercera. Sala Plena. Sentencia del 23 de julio de 2015. Consejero Ponente: Hernán Andrade Rincón. Expediente: </w:t>
            </w:r>
            <w:r w:rsidRPr="00DE22E1">
              <w:rPr>
                <w:rFonts w:ascii="Verdana" w:hAnsi="Verdana" w:cs="Arial"/>
                <w:lang w:val="es-ES_tradnl"/>
              </w:rPr>
              <w:t>36805</w:t>
            </w:r>
            <w:r>
              <w:rPr>
                <w:rFonts w:ascii="Verdana" w:hAnsi="Verdana" w:cs="Arial"/>
                <w:lang w:val="es-ES_tradnl"/>
              </w:rPr>
              <w:t>.</w:t>
            </w:r>
          </w:p>
        </w:tc>
      </w:tr>
    </w:tbl>
    <w:p w14:paraId="5983C23F" w14:textId="77777777" w:rsidR="00742264" w:rsidRPr="00FC6F34" w:rsidRDefault="00742264" w:rsidP="00742264">
      <w:pPr>
        <w:widowControl w:val="0"/>
        <w:autoSpaceDE w:val="0"/>
        <w:autoSpaceDN w:val="0"/>
        <w:spacing w:after="0" w:line="276" w:lineRule="auto"/>
        <w:jc w:val="both"/>
        <w:rPr>
          <w:rFonts w:ascii="Verdana" w:hAnsi="Verdana" w:cs="Arial"/>
          <w:color w:val="000000" w:themeColor="text1"/>
          <w:lang w:val="es-ES"/>
        </w:rPr>
      </w:pPr>
    </w:p>
    <w:p w14:paraId="2EBFE339" w14:textId="77777777" w:rsidR="00742264" w:rsidRPr="00FC6F34" w:rsidRDefault="00742264" w:rsidP="00742264">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127CD09C" w14:textId="77777777" w:rsidR="00742264" w:rsidRPr="00FC6F34" w:rsidRDefault="00742264" w:rsidP="00742264">
      <w:pPr>
        <w:widowControl w:val="0"/>
        <w:autoSpaceDE w:val="0"/>
        <w:autoSpaceDN w:val="0"/>
        <w:spacing w:after="0" w:line="276" w:lineRule="auto"/>
        <w:jc w:val="both"/>
        <w:rPr>
          <w:rFonts w:ascii="Verdana" w:hAnsi="Verdana" w:cs="Arial"/>
          <w:color w:val="000000" w:themeColor="text1"/>
          <w:lang w:val="es-ES"/>
        </w:rPr>
      </w:pPr>
    </w:p>
    <w:p w14:paraId="595BAE69" w14:textId="77777777" w:rsidR="00742264" w:rsidRPr="00982071" w:rsidRDefault="00742264" w:rsidP="00742264">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w:t>
      </w:r>
      <w:r w:rsidRPr="00FC6F34">
        <w:rPr>
          <w:rFonts w:ascii="Verdana" w:hAnsi="Verdana" w:cs="Arial"/>
          <w:shd w:val="clear" w:color="auto" w:fill="FFFFFF"/>
          <w:lang w:val="es-ES"/>
        </w:rPr>
        <w:lastRenderedPageBreak/>
        <w:t>729 del 15 de Julio de 2015</w:t>
      </w:r>
      <w:r>
        <w:rPr>
          <w:rFonts w:ascii="Verdana" w:hAnsi="Verdana" w:cs="Arial"/>
          <w:shd w:val="clear" w:color="auto" w:fill="FFFFFF"/>
          <w:lang w:val="es-ES"/>
        </w:rPr>
        <w:t>,</w:t>
      </w:r>
      <w:r w:rsidRPr="00FC6F34">
        <w:rPr>
          <w:rFonts w:ascii="Verdana" w:hAnsi="Verdana" w:cs="Arial"/>
          <w:shd w:val="clear" w:color="auto" w:fill="FFFFFF"/>
          <w:lang w:val="es-ES"/>
        </w:rPr>
        <w:t xml:space="preserve"> C-273-A de 2025</w:t>
      </w:r>
      <w:r>
        <w:rPr>
          <w:rFonts w:ascii="Verdana" w:hAnsi="Verdana" w:cs="Arial"/>
          <w:shd w:val="clear" w:color="auto" w:fill="FFFFFF"/>
          <w:lang w:val="es-ES"/>
        </w:rPr>
        <w:t>,  C-1274 de 2025, entre otros</w:t>
      </w:r>
      <w:r w:rsidRPr="00FC6F34">
        <w:rPr>
          <w:rFonts w:ascii="Verdana" w:hAnsi="Verdana" w:cs="Arial"/>
          <w:shd w:val="clear" w:color="auto" w:fill="FFFFFF"/>
          <w:lang w:val="es-ES"/>
        </w:rPr>
        <w:t>.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4"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2D3EE5C3" w14:textId="77777777" w:rsidR="00742264" w:rsidRPr="00FC6F34" w:rsidRDefault="00742264" w:rsidP="00742264">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10127BB" w14:textId="77777777" w:rsidR="00742264" w:rsidRPr="00FC6F34" w:rsidRDefault="00742264" w:rsidP="00742264">
      <w:pPr>
        <w:widowControl w:val="0"/>
        <w:autoSpaceDE w:val="0"/>
        <w:autoSpaceDN w:val="0"/>
        <w:spacing w:after="0" w:line="276" w:lineRule="auto"/>
        <w:jc w:val="both"/>
        <w:rPr>
          <w:rFonts w:ascii="Verdana" w:hAnsi="Verdana" w:cs="Arial"/>
          <w:lang w:val="es-ES"/>
        </w:rPr>
      </w:pPr>
    </w:p>
    <w:p w14:paraId="045E0C20" w14:textId="77777777" w:rsidR="00742264" w:rsidRPr="00FC6F34" w:rsidRDefault="00742264" w:rsidP="00742264">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bookmarkEnd w:id="1"/>
    <w:p w14:paraId="2703DD47" w14:textId="6628650C" w:rsidR="00742264" w:rsidRPr="00FC6F34" w:rsidRDefault="008A676F" w:rsidP="008A676F">
      <w:pPr>
        <w:jc w:val="center"/>
        <w:rPr>
          <w:lang w:val="es-ES"/>
        </w:rPr>
      </w:pPr>
      <w:r w:rsidRPr="002C3AD6">
        <w:rPr>
          <w:rFonts w:ascii="Century Gothic" w:hAnsi="Century Gothic"/>
          <w:noProof/>
          <w:lang w:val="en-US"/>
        </w:rPr>
        <w:drawing>
          <wp:inline distT="0" distB="0" distL="0" distR="0" wp14:anchorId="36B976F8" wp14:editId="0415DA5E">
            <wp:extent cx="3670300" cy="1423554"/>
            <wp:effectExtent l="0" t="0" r="6350" b="571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891299" cy="1509270"/>
                    </a:xfrm>
                    <a:prstGeom prst="rect">
                      <a:avLst/>
                    </a:prstGeom>
                  </pic:spPr>
                </pic:pic>
              </a:graphicData>
            </a:graphic>
          </wp:inline>
        </w:drawing>
      </w:r>
    </w:p>
    <w:p w14:paraId="5A4CA25E" w14:textId="534C4B41" w:rsidR="00742264" w:rsidRPr="00A27102" w:rsidRDefault="00742264" w:rsidP="00742264">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42264" w:rsidRPr="00A27102" w14:paraId="0A16785E" w14:textId="77777777" w:rsidTr="00577CE2">
        <w:trPr>
          <w:trHeight w:val="315"/>
        </w:trPr>
        <w:tc>
          <w:tcPr>
            <w:tcW w:w="893" w:type="dxa"/>
            <w:vAlign w:val="center"/>
            <w:hideMark/>
          </w:tcPr>
          <w:p w14:paraId="48FDC51E" w14:textId="77777777" w:rsidR="00742264" w:rsidRPr="00A27102" w:rsidRDefault="00742264" w:rsidP="00577CE2">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7FE8FD" w14:textId="77777777" w:rsidR="00742264" w:rsidRPr="00A27102" w:rsidRDefault="00742264" w:rsidP="00577CE2">
            <w:pPr>
              <w:contextualSpacing/>
              <w:rPr>
                <w:rFonts w:ascii="Verdana" w:hAnsi="Verdana"/>
                <w:sz w:val="16"/>
                <w:szCs w:val="16"/>
              </w:rPr>
            </w:pPr>
            <w:r w:rsidRPr="00A27102">
              <w:rPr>
                <w:rFonts w:ascii="Verdana" w:hAnsi="Verdana"/>
                <w:sz w:val="16"/>
                <w:szCs w:val="16"/>
              </w:rPr>
              <w:t>Tatiana Baquero Iguarán</w:t>
            </w:r>
          </w:p>
          <w:p w14:paraId="281A0AA1" w14:textId="77777777" w:rsidR="00742264" w:rsidRPr="00A27102" w:rsidRDefault="00742264" w:rsidP="00577CE2">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742264" w:rsidRPr="00A27102" w14:paraId="1C9BEA29" w14:textId="77777777" w:rsidTr="00577CE2">
        <w:trPr>
          <w:trHeight w:val="330"/>
        </w:trPr>
        <w:tc>
          <w:tcPr>
            <w:tcW w:w="893" w:type="dxa"/>
            <w:vAlign w:val="center"/>
            <w:hideMark/>
          </w:tcPr>
          <w:p w14:paraId="1B145244" w14:textId="77777777" w:rsidR="00742264" w:rsidRPr="00A27102" w:rsidRDefault="00742264" w:rsidP="00577CE2">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A4C34E" w14:textId="77777777" w:rsidR="00742264" w:rsidRPr="00A27102" w:rsidRDefault="00742264" w:rsidP="00577CE2">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4CE587EA" w14:textId="77777777" w:rsidR="00742264" w:rsidRPr="00A27102" w:rsidRDefault="00742264" w:rsidP="00577CE2">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742264" w:rsidRPr="00A27102" w14:paraId="312F164C" w14:textId="77777777" w:rsidTr="00577CE2">
        <w:trPr>
          <w:trHeight w:val="300"/>
        </w:trPr>
        <w:tc>
          <w:tcPr>
            <w:tcW w:w="893" w:type="dxa"/>
            <w:vAlign w:val="center"/>
          </w:tcPr>
          <w:p w14:paraId="2472EBAE" w14:textId="77777777" w:rsidR="00742264" w:rsidRPr="00A27102" w:rsidRDefault="00742264" w:rsidP="00577CE2">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7C8424F" w14:textId="77777777" w:rsidR="00742264" w:rsidRPr="00A27102" w:rsidRDefault="00742264" w:rsidP="00577CE2">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08A4B136" w14:textId="77777777" w:rsidR="00742264" w:rsidRPr="00A27102" w:rsidRDefault="00742264" w:rsidP="00577CE2">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7677257E" w14:textId="77777777" w:rsidR="00742264" w:rsidRPr="00A27102" w:rsidRDefault="00742264" w:rsidP="00742264"/>
    <w:p w14:paraId="53E64257" w14:textId="77777777" w:rsidR="00742264" w:rsidRPr="00927895" w:rsidRDefault="00742264" w:rsidP="00742264"/>
    <w:p w14:paraId="438BEF47" w14:textId="77777777" w:rsidR="00742264" w:rsidRPr="00C51B83" w:rsidRDefault="00742264" w:rsidP="00742264"/>
    <w:p w14:paraId="6A67514E" w14:textId="77777777" w:rsidR="00742264" w:rsidRPr="00AA2912" w:rsidRDefault="00742264" w:rsidP="00742264"/>
    <w:p w14:paraId="6F659FE5" w14:textId="77777777" w:rsidR="001E5AD4" w:rsidRDefault="001E5AD4" w:rsidP="00927895">
      <w:pPr>
        <w:spacing w:after="0"/>
        <w:rPr>
          <w:rFonts w:ascii="Verdana" w:hAnsi="Verdana"/>
          <w:lang w:val="es-ES"/>
        </w:rPr>
      </w:pPr>
    </w:p>
    <w:sectPr w:rsidR="001E5AD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96800" w14:textId="77777777" w:rsidR="00596962" w:rsidRDefault="00596962" w:rsidP="004A1847">
      <w:pPr>
        <w:spacing w:after="0" w:line="240" w:lineRule="auto"/>
      </w:pPr>
      <w:r>
        <w:separator/>
      </w:r>
    </w:p>
  </w:endnote>
  <w:endnote w:type="continuationSeparator" w:id="0">
    <w:p w14:paraId="6E72A7D3" w14:textId="77777777" w:rsidR="00596962" w:rsidRDefault="00596962" w:rsidP="004A1847">
      <w:pPr>
        <w:spacing w:after="0" w:line="240" w:lineRule="auto"/>
      </w:pPr>
      <w:r>
        <w:continuationSeparator/>
      </w:r>
    </w:p>
  </w:endnote>
  <w:endnote w:type="continuationNotice" w:id="1">
    <w:p w14:paraId="1046C6F6" w14:textId="77777777" w:rsidR="00596962" w:rsidRDefault="005969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A0BA7" w14:textId="77777777" w:rsidR="00596962" w:rsidRDefault="00596962" w:rsidP="004A1847">
      <w:pPr>
        <w:spacing w:after="0" w:line="240" w:lineRule="auto"/>
      </w:pPr>
      <w:r>
        <w:separator/>
      </w:r>
    </w:p>
  </w:footnote>
  <w:footnote w:type="continuationSeparator" w:id="0">
    <w:p w14:paraId="56D1254F" w14:textId="77777777" w:rsidR="00596962" w:rsidRDefault="00596962" w:rsidP="004A1847">
      <w:pPr>
        <w:spacing w:after="0" w:line="240" w:lineRule="auto"/>
      </w:pPr>
      <w:r>
        <w:continuationSeparator/>
      </w:r>
    </w:p>
  </w:footnote>
  <w:footnote w:type="continuationNotice" w:id="1">
    <w:p w14:paraId="4CC8C565" w14:textId="77777777" w:rsidR="00596962" w:rsidRDefault="00596962">
      <w:pPr>
        <w:spacing w:after="0" w:line="240" w:lineRule="auto"/>
      </w:pPr>
    </w:p>
  </w:footnote>
  <w:footnote w:id="2">
    <w:p w14:paraId="4C653097" w14:textId="77777777" w:rsidR="00742264" w:rsidRPr="008A676F" w:rsidRDefault="00742264" w:rsidP="00742264">
      <w:pPr>
        <w:pStyle w:val="Textonotapie"/>
        <w:ind w:firstLine="709"/>
        <w:contextualSpacing/>
        <w:jc w:val="both"/>
        <w:rPr>
          <w:rFonts w:ascii="Verdana" w:hAnsi="Verdana" w:cs="Arial"/>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105E346" w14:textId="77777777" w:rsidR="00742264" w:rsidRPr="008A676F" w:rsidRDefault="00742264" w:rsidP="00742264">
      <w:pPr>
        <w:pStyle w:val="Textonotapie"/>
        <w:ind w:firstLine="709"/>
        <w:contextualSpacing/>
        <w:jc w:val="both"/>
        <w:rPr>
          <w:rFonts w:ascii="Verdana" w:hAnsi="Verdana" w:cs="Arial"/>
          <w:sz w:val="14"/>
          <w:szCs w:val="14"/>
        </w:rPr>
      </w:pPr>
      <w:r w:rsidRPr="008A676F">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9ECED24" w14:textId="77777777" w:rsidR="00742264" w:rsidRPr="008A676F" w:rsidRDefault="00742264" w:rsidP="00742264">
      <w:pPr>
        <w:pStyle w:val="Textonotapie"/>
        <w:ind w:firstLine="709"/>
        <w:contextualSpacing/>
        <w:jc w:val="both"/>
        <w:rPr>
          <w:rFonts w:ascii="Verdana" w:hAnsi="Verdana" w:cs="Arial"/>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Gaceta del Congreso de la República No. 71 del 2005.</w:t>
      </w:r>
    </w:p>
  </w:footnote>
  <w:footnote w:id="4">
    <w:p w14:paraId="51524975" w14:textId="77777777" w:rsidR="00742264" w:rsidRPr="008A676F" w:rsidRDefault="00742264" w:rsidP="00742264">
      <w:pPr>
        <w:pStyle w:val="Textonotapie"/>
        <w:ind w:firstLine="709"/>
        <w:contextualSpacing/>
        <w:jc w:val="both"/>
        <w:rPr>
          <w:rFonts w:ascii="Verdana" w:hAnsi="Verdana" w:cs="Arial"/>
          <w:sz w:val="14"/>
          <w:szCs w:val="14"/>
          <w:lang w:val="pt-BR"/>
        </w:rPr>
      </w:pPr>
      <w:r w:rsidRPr="008A676F">
        <w:rPr>
          <w:rStyle w:val="Refdenotaalpie"/>
          <w:rFonts w:ascii="Verdana" w:hAnsi="Verdana" w:cs="Arial"/>
          <w:sz w:val="14"/>
          <w:szCs w:val="14"/>
        </w:rPr>
        <w:footnoteRef/>
      </w:r>
      <w:r w:rsidRPr="008A676F">
        <w:rPr>
          <w:rFonts w:ascii="Verdana" w:hAnsi="Verdana" w:cs="Arial"/>
          <w:sz w:val="14"/>
          <w:szCs w:val="14"/>
          <w:lang w:val="pt-BR"/>
        </w:rPr>
        <w:t xml:space="preserve"> Corte Constitucional, Sentencia C- 1153 de 2005, M.P. Marco Gerardo Monroy Cabra.</w:t>
      </w:r>
    </w:p>
  </w:footnote>
  <w:footnote w:id="5">
    <w:p w14:paraId="5CD8DD00" w14:textId="77777777" w:rsidR="00742264" w:rsidRPr="008A676F" w:rsidRDefault="00742264" w:rsidP="00742264">
      <w:pPr>
        <w:pStyle w:val="Textonotapie"/>
        <w:ind w:firstLine="709"/>
        <w:contextualSpacing/>
        <w:jc w:val="both"/>
        <w:rPr>
          <w:rFonts w:ascii="Verdana" w:hAnsi="Verdana" w:cs="Arial"/>
          <w:sz w:val="14"/>
          <w:szCs w:val="14"/>
          <w:lang w:val="pt-BR"/>
        </w:rPr>
      </w:pPr>
      <w:r w:rsidRPr="008A676F">
        <w:rPr>
          <w:rStyle w:val="Refdenotaalpie"/>
          <w:rFonts w:ascii="Verdana" w:hAnsi="Verdana" w:cs="Arial"/>
          <w:sz w:val="14"/>
          <w:szCs w:val="14"/>
        </w:rPr>
        <w:footnoteRef/>
      </w:r>
      <w:r w:rsidRPr="008A676F">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6A33E7E" w14:textId="77777777" w:rsidR="00742264" w:rsidRPr="008A676F" w:rsidRDefault="00742264" w:rsidP="00742264">
      <w:pPr>
        <w:pStyle w:val="Textonotapie"/>
        <w:ind w:firstLine="709"/>
        <w:contextualSpacing/>
        <w:jc w:val="both"/>
        <w:rPr>
          <w:rFonts w:ascii="Verdana" w:hAnsi="Verdana" w:cs="Arial"/>
          <w:sz w:val="14"/>
          <w:szCs w:val="14"/>
          <w:lang w:val="es-CO"/>
        </w:rPr>
      </w:pPr>
      <w:r w:rsidRPr="008A676F">
        <w:rPr>
          <w:rStyle w:val="Refdenotaalpie"/>
          <w:rFonts w:ascii="Verdana" w:hAnsi="Verdana" w:cs="Arial"/>
          <w:sz w:val="14"/>
          <w:szCs w:val="14"/>
        </w:rPr>
        <w:footnoteRef/>
      </w:r>
      <w:r w:rsidRPr="008A676F">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3FA1140E" w14:textId="77777777" w:rsidR="00742264" w:rsidRPr="008A676F" w:rsidRDefault="00742264" w:rsidP="00742264">
      <w:pPr>
        <w:pStyle w:val="Textonotapie"/>
        <w:ind w:firstLine="709"/>
        <w:contextualSpacing/>
        <w:jc w:val="both"/>
        <w:rPr>
          <w:rFonts w:ascii="Verdana" w:hAnsi="Verdana" w:cs="Arial"/>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Consejo de Estado, Sala de Consulta y Servicio Civil de fecha 24 de julio de 2013, Rad. 2166, C. P. Álvaro Namén Vargas.  </w:t>
      </w:r>
    </w:p>
  </w:footnote>
  <w:footnote w:id="8">
    <w:p w14:paraId="218B4457" w14:textId="77777777" w:rsidR="00742264" w:rsidRPr="008A676F" w:rsidRDefault="00742264" w:rsidP="00742264">
      <w:pPr>
        <w:spacing w:after="0" w:line="240" w:lineRule="auto"/>
        <w:ind w:firstLine="709"/>
        <w:contextualSpacing/>
        <w:jc w:val="both"/>
        <w:rPr>
          <w:rFonts w:ascii="Verdana" w:eastAsia="Times New Roman" w:hAnsi="Verdana" w:cs="Arial"/>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w:t>
      </w:r>
      <w:r w:rsidRPr="008A676F">
        <w:rPr>
          <w:rFonts w:ascii="Verdana" w:eastAsia="Calibri" w:hAnsi="Verdana" w:cs="Arial"/>
          <w:color w:val="000000"/>
          <w:sz w:val="14"/>
          <w:szCs w:val="14"/>
        </w:rPr>
        <w:t>“</w:t>
      </w:r>
      <w:r w:rsidRPr="008A676F">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6C97C9E" w14:textId="77777777" w:rsidR="00742264" w:rsidRPr="008A676F" w:rsidRDefault="00742264" w:rsidP="00742264">
      <w:pPr>
        <w:spacing w:after="0" w:line="240" w:lineRule="auto"/>
        <w:ind w:firstLine="709"/>
        <w:contextualSpacing/>
        <w:jc w:val="both"/>
        <w:rPr>
          <w:rFonts w:ascii="Verdana" w:eastAsia="Times New Roman" w:hAnsi="Verdana" w:cs="Arial"/>
          <w:sz w:val="14"/>
          <w:szCs w:val="14"/>
        </w:rPr>
      </w:pPr>
      <w:r w:rsidRPr="008A676F">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A676F">
        <w:rPr>
          <w:rFonts w:ascii="Verdana" w:eastAsia="Calibri" w:hAnsi="Verdana" w:cs="Arial"/>
          <w:color w:val="000000"/>
          <w:sz w:val="14"/>
          <w:szCs w:val="14"/>
        </w:rPr>
        <w:t>”</w:t>
      </w:r>
      <w:r w:rsidRPr="008A676F">
        <w:rPr>
          <w:rFonts w:ascii="Verdana" w:eastAsia="Times New Roman" w:hAnsi="Verdana" w:cs="Arial"/>
          <w:sz w:val="14"/>
          <w:szCs w:val="14"/>
        </w:rPr>
        <w:t>.</w:t>
      </w:r>
    </w:p>
  </w:footnote>
  <w:footnote w:id="9">
    <w:p w14:paraId="2ABEB063" w14:textId="77777777" w:rsidR="00742264" w:rsidRPr="008A676F" w:rsidRDefault="00742264" w:rsidP="00742264">
      <w:pPr>
        <w:pStyle w:val="NormalWeb"/>
        <w:spacing w:before="0" w:beforeAutospacing="0" w:after="0" w:afterAutospacing="0"/>
        <w:ind w:firstLine="709"/>
        <w:contextualSpacing/>
        <w:jc w:val="both"/>
        <w:rPr>
          <w:rFonts w:ascii="Verdana" w:hAnsi="Verdana" w:cs="Arial"/>
          <w:sz w:val="14"/>
          <w:szCs w:val="14"/>
          <w:lang w:val="es-MX"/>
        </w:rPr>
      </w:pPr>
      <w:r w:rsidRPr="008A676F">
        <w:rPr>
          <w:rStyle w:val="Refdenotaalpie"/>
          <w:rFonts w:ascii="Verdana" w:hAnsi="Verdana" w:cs="Arial"/>
          <w:sz w:val="14"/>
          <w:szCs w:val="14"/>
        </w:rPr>
        <w:footnoteRef/>
      </w:r>
      <w:r w:rsidRPr="008A676F">
        <w:rPr>
          <w:rFonts w:ascii="Verdana" w:hAnsi="Verdana" w:cs="Arial"/>
          <w:sz w:val="14"/>
          <w:szCs w:val="14"/>
        </w:rPr>
        <w:t xml:space="preserve"> </w:t>
      </w:r>
      <w:r w:rsidRPr="008A676F">
        <w:rPr>
          <w:rFonts w:ascii="Verdana" w:eastAsia="Calibri" w:hAnsi="Verdana" w:cs="Arial"/>
          <w:color w:val="000000"/>
          <w:sz w:val="14"/>
          <w:szCs w:val="14"/>
        </w:rPr>
        <w:t>“</w:t>
      </w:r>
      <w:r w:rsidRPr="008A676F">
        <w:rPr>
          <w:rFonts w:ascii="Verdana" w:hAnsi="Verdana" w:cs="Arial"/>
          <w:sz w:val="14"/>
          <w:szCs w:val="14"/>
          <w:lang w:val="es-MX"/>
        </w:rPr>
        <w:t>Artículo 38. Prohibiciones para los servidores públicos. A los empleados del Estado les está prohibido: […]</w:t>
      </w:r>
    </w:p>
    <w:p w14:paraId="70818A86" w14:textId="77777777" w:rsidR="00742264" w:rsidRPr="008A676F" w:rsidRDefault="00742264" w:rsidP="00742264">
      <w:pPr>
        <w:pStyle w:val="NormalWeb"/>
        <w:spacing w:before="0" w:beforeAutospacing="0" w:after="0" w:afterAutospacing="0"/>
        <w:ind w:firstLine="709"/>
        <w:contextualSpacing/>
        <w:jc w:val="both"/>
        <w:rPr>
          <w:rFonts w:ascii="Verdana" w:hAnsi="Verdana" w:cs="Arial"/>
          <w:sz w:val="14"/>
          <w:szCs w:val="14"/>
          <w:lang w:val="es-MX"/>
        </w:rPr>
      </w:pPr>
      <w:r w:rsidRPr="008A676F">
        <w:rPr>
          <w:rStyle w:val="baj"/>
          <w:rFonts w:ascii="Verdana" w:hAnsi="Verdana" w:cs="Arial"/>
          <w:sz w:val="14"/>
          <w:szCs w:val="14"/>
          <w:lang w:val="es-MX"/>
        </w:rPr>
        <w:t>Parágrafo.</w:t>
      </w:r>
      <w:r w:rsidRPr="008A676F">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A676F">
        <w:rPr>
          <w:rFonts w:ascii="Verdana" w:eastAsia="Calibri" w:hAnsi="Verdana" w:cs="Arial"/>
          <w:color w:val="000000"/>
          <w:sz w:val="14"/>
          <w:szCs w:val="14"/>
        </w:rPr>
        <w:t>”</w:t>
      </w:r>
      <w:r w:rsidRPr="008A676F">
        <w:rPr>
          <w:rFonts w:ascii="Verdana" w:hAnsi="Verdana" w:cs="Arial"/>
          <w:sz w:val="14"/>
          <w:szCs w:val="14"/>
          <w:lang w:val="es-MX"/>
        </w:rPr>
        <w:t>.</w:t>
      </w:r>
    </w:p>
  </w:footnote>
  <w:footnote w:id="10">
    <w:p w14:paraId="34AC183D" w14:textId="77777777" w:rsidR="00742264" w:rsidRPr="008A676F" w:rsidRDefault="00742264" w:rsidP="00742264">
      <w:pPr>
        <w:spacing w:after="0" w:line="240" w:lineRule="auto"/>
        <w:ind w:left="100" w:right="244" w:firstLine="709"/>
        <w:contextualSpacing/>
        <w:jc w:val="both"/>
        <w:rPr>
          <w:rFonts w:ascii="Verdana" w:hAnsi="Verdana" w:cs="Arial"/>
          <w:sz w:val="14"/>
          <w:szCs w:val="14"/>
          <w:lang w:val="es-ES"/>
        </w:rPr>
      </w:pPr>
      <w:r w:rsidRPr="008A676F">
        <w:rPr>
          <w:rStyle w:val="Refdenotaalpie"/>
          <w:rFonts w:ascii="Verdana" w:hAnsi="Verdana" w:cs="Arial"/>
          <w:sz w:val="14"/>
          <w:szCs w:val="14"/>
        </w:rPr>
        <w:footnoteRef/>
      </w:r>
      <w:r w:rsidRPr="008A676F">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1">
    <w:p w14:paraId="492AA2D1" w14:textId="77777777" w:rsidR="00742264" w:rsidRPr="008A676F" w:rsidRDefault="00742264" w:rsidP="00742264">
      <w:pPr>
        <w:pStyle w:val="Textonotapie"/>
        <w:ind w:right="51" w:firstLine="709"/>
        <w:contextualSpacing/>
        <w:jc w:val="both"/>
        <w:rPr>
          <w:rFonts w:ascii="Verdana" w:hAnsi="Verdana" w:cs="Arial"/>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w:t>
      </w:r>
      <w:r w:rsidRPr="008A676F">
        <w:rPr>
          <w:rFonts w:ascii="Verdana" w:hAnsi="Verdana" w:cs="Arial"/>
          <w:sz w:val="14"/>
          <w:szCs w:val="14"/>
          <w:lang w:val="es-ES"/>
        </w:rPr>
        <w:t xml:space="preserve">[26] </w:t>
      </w:r>
      <w:r w:rsidRPr="008A676F">
        <w:rPr>
          <w:rFonts w:ascii="Verdana" w:hAnsi="Verdana" w:cs="Arial"/>
          <w:sz w:val="14"/>
          <w:szCs w:val="14"/>
        </w:rPr>
        <w:t>Al respecto ver el concepto 1712 de 2 de febrero de 2006. Consejo de Estado Sala de Consulta y Servicio Civil”.</w:t>
      </w:r>
    </w:p>
  </w:footnote>
  <w:footnote w:id="12">
    <w:p w14:paraId="03B510C9" w14:textId="77777777" w:rsidR="00742264" w:rsidRPr="008A676F" w:rsidRDefault="00742264" w:rsidP="00742264">
      <w:pPr>
        <w:pStyle w:val="Textonotapie"/>
        <w:ind w:firstLine="709"/>
        <w:contextualSpacing/>
        <w:jc w:val="both"/>
        <w:rPr>
          <w:rFonts w:ascii="Verdana" w:hAnsi="Verdana" w:cs="Arial"/>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3">
    <w:p w14:paraId="54518EDD" w14:textId="77777777" w:rsidR="00742264" w:rsidRPr="008A676F" w:rsidRDefault="00742264" w:rsidP="00742264">
      <w:pPr>
        <w:pStyle w:val="Textonotapie"/>
        <w:ind w:firstLine="709"/>
        <w:contextualSpacing/>
        <w:jc w:val="both"/>
        <w:rPr>
          <w:rFonts w:ascii="Verdana" w:hAnsi="Verdana" w:cs="Arial"/>
          <w:sz w:val="14"/>
          <w:szCs w:val="14"/>
          <w:lang w:val="es-ES"/>
        </w:rPr>
      </w:pPr>
      <w:r w:rsidRPr="008A676F">
        <w:rPr>
          <w:rStyle w:val="Refdenotaalpie"/>
          <w:rFonts w:ascii="Verdana" w:hAnsi="Verdana" w:cs="Arial"/>
          <w:sz w:val="14"/>
          <w:szCs w:val="14"/>
        </w:rPr>
        <w:footnoteRef/>
      </w:r>
      <w:r w:rsidRPr="008A676F">
        <w:rPr>
          <w:rFonts w:ascii="Verdana" w:hAnsi="Verdana" w:cs="Arial"/>
          <w:sz w:val="14"/>
          <w:szCs w:val="14"/>
        </w:rPr>
        <w:t xml:space="preserve"> </w:t>
      </w:r>
      <w:r w:rsidRPr="008A676F">
        <w:rPr>
          <w:rFonts w:ascii="Verdana" w:hAnsi="Verdana" w:cs="Arial"/>
          <w:sz w:val="14"/>
          <w:szCs w:val="14"/>
          <w:lang w:val="es-ES"/>
        </w:rPr>
        <w:t xml:space="preserve">Artículo 2. </w:t>
      </w:r>
    </w:p>
  </w:footnote>
  <w:footnote w:id="14">
    <w:p w14:paraId="57E295B1" w14:textId="77777777" w:rsidR="00742264" w:rsidRPr="008A676F" w:rsidRDefault="00742264" w:rsidP="00742264">
      <w:pPr>
        <w:pStyle w:val="Textonotapie"/>
        <w:ind w:firstLine="709"/>
        <w:contextualSpacing/>
        <w:jc w:val="both"/>
        <w:rPr>
          <w:rFonts w:ascii="Verdana" w:hAnsi="Verdana" w:cs="Arial"/>
          <w:sz w:val="14"/>
          <w:szCs w:val="14"/>
          <w:lang w:val="es-ES"/>
        </w:rPr>
      </w:pPr>
      <w:r w:rsidRPr="008A676F">
        <w:rPr>
          <w:rStyle w:val="Refdenotaalpie"/>
          <w:rFonts w:ascii="Verdana" w:hAnsi="Verdana" w:cs="Arial"/>
          <w:sz w:val="14"/>
          <w:szCs w:val="14"/>
        </w:rPr>
        <w:footnoteRef/>
      </w:r>
      <w:r w:rsidRPr="008A676F">
        <w:rPr>
          <w:rFonts w:ascii="Verdana" w:hAnsi="Verdana" w:cs="Arial"/>
          <w:sz w:val="14"/>
          <w:szCs w:val="14"/>
        </w:rPr>
        <w:t xml:space="preserve"> </w:t>
      </w:r>
      <w:r w:rsidRPr="008A676F">
        <w:rPr>
          <w:rFonts w:ascii="Verdana" w:hAnsi="Verdana" w:cs="Arial"/>
          <w:i/>
          <w:sz w:val="14"/>
          <w:szCs w:val="14"/>
          <w:lang w:val="es-ES"/>
        </w:rPr>
        <w:t>Ídem</w:t>
      </w:r>
      <w:r w:rsidRPr="008A676F">
        <w:rPr>
          <w:rFonts w:ascii="Verdana" w:hAnsi="Verdana" w:cs="Arial"/>
          <w:sz w:val="14"/>
          <w:szCs w:val="14"/>
          <w:lang w:val="es-ES"/>
        </w:rPr>
        <w:t>.</w:t>
      </w:r>
    </w:p>
  </w:footnote>
  <w:footnote w:id="15">
    <w:p w14:paraId="2A95863D" w14:textId="77777777" w:rsidR="00742264" w:rsidRPr="008A676F" w:rsidRDefault="00742264" w:rsidP="00742264">
      <w:pPr>
        <w:pStyle w:val="Textonotapie"/>
        <w:ind w:firstLine="709"/>
        <w:contextualSpacing/>
        <w:jc w:val="both"/>
        <w:rPr>
          <w:rFonts w:ascii="Verdana" w:hAnsi="Verdana" w:cs="Arial"/>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Consejo de Estado. Sala de Consulta y Servicio Civil. Concepto del 08 de mayo de 2018. Exp. 2.382. C.P. Álvaro Namén Vargas.</w:t>
      </w:r>
    </w:p>
  </w:footnote>
  <w:footnote w:id="16">
    <w:p w14:paraId="454B8AF5" w14:textId="77777777" w:rsidR="00742264" w:rsidRPr="008A676F" w:rsidRDefault="00742264" w:rsidP="00742264">
      <w:pPr>
        <w:pStyle w:val="Textonotapie"/>
        <w:ind w:firstLine="708"/>
        <w:contextualSpacing/>
        <w:jc w:val="both"/>
        <w:rPr>
          <w:rFonts w:ascii="Verdana" w:hAnsi="Verdana"/>
          <w:sz w:val="14"/>
          <w:szCs w:val="14"/>
          <w:lang w:val="es-ES"/>
        </w:rPr>
      </w:pPr>
      <w:r w:rsidRPr="008A676F">
        <w:rPr>
          <w:rStyle w:val="Refdenotaalpie"/>
          <w:rFonts w:ascii="Verdana" w:hAnsi="Verdana"/>
          <w:sz w:val="14"/>
          <w:szCs w:val="14"/>
        </w:rPr>
        <w:footnoteRef/>
      </w:r>
      <w:r w:rsidRPr="008A676F">
        <w:rPr>
          <w:rFonts w:ascii="Verdana" w:hAnsi="Verdana"/>
          <w:sz w:val="14"/>
          <w:szCs w:val="14"/>
        </w:rPr>
        <w:t xml:space="preserve"> </w:t>
      </w:r>
      <w:r w:rsidRPr="008A676F">
        <w:rPr>
          <w:rFonts w:ascii="Verdana" w:eastAsia="Calibri" w:hAnsi="Verdana" w:cs="Arial"/>
          <w:sz w:val="14"/>
          <w:szCs w:val="14"/>
          <w:lang w:val="es-ES"/>
        </w:rPr>
        <w:t xml:space="preserve">Consejo de Estado, Sala de Consulta y Servicio Civil, Concepto de fecha 8 de mayo de 2018, No. </w:t>
      </w:r>
      <w:r w:rsidRPr="008A676F">
        <w:rPr>
          <w:rFonts w:ascii="Verdana" w:hAnsi="Verdana"/>
          <w:sz w:val="14"/>
          <w:szCs w:val="14"/>
          <w:lang w:val="es-CO"/>
        </w:rPr>
        <w:t>2382.</w:t>
      </w:r>
      <w:r w:rsidRPr="008A676F">
        <w:rPr>
          <w:rFonts w:ascii="Verdana" w:hAnsi="Verdana"/>
          <w:sz w:val="14"/>
          <w:szCs w:val="14"/>
        </w:rPr>
        <w:t xml:space="preserve"> </w:t>
      </w:r>
      <w:r w:rsidRPr="008A676F">
        <w:rPr>
          <w:rFonts w:ascii="Verdana" w:hAnsi="Verdana"/>
          <w:sz w:val="14"/>
          <w:szCs w:val="14"/>
          <w:lang w:val="es-CO"/>
        </w:rPr>
        <w:t>C. P. Álvaro Namén Vargas.</w:t>
      </w:r>
    </w:p>
  </w:footnote>
  <w:footnote w:id="17">
    <w:p w14:paraId="7E1EA6B3" w14:textId="77777777" w:rsidR="00742264" w:rsidRPr="008A676F" w:rsidRDefault="00742264" w:rsidP="00742264">
      <w:pPr>
        <w:spacing w:after="0" w:line="240" w:lineRule="auto"/>
        <w:ind w:firstLine="709"/>
        <w:contextualSpacing/>
        <w:jc w:val="both"/>
        <w:rPr>
          <w:rFonts w:ascii="Verdana" w:hAnsi="Verdana" w:cs="Arial"/>
          <w:color w:val="000000" w:themeColor="text1"/>
          <w:sz w:val="14"/>
          <w:szCs w:val="14"/>
        </w:rPr>
      </w:pPr>
      <w:r w:rsidRPr="008A676F">
        <w:rPr>
          <w:rStyle w:val="Refdenotaalpie"/>
          <w:rFonts w:ascii="Verdana" w:hAnsi="Verdana" w:cs="Arial"/>
          <w:color w:val="000000" w:themeColor="text1"/>
          <w:sz w:val="14"/>
          <w:szCs w:val="14"/>
        </w:rPr>
        <w:footnoteRef/>
      </w:r>
      <w:r w:rsidRPr="008A676F">
        <w:rPr>
          <w:rFonts w:ascii="Verdana" w:hAnsi="Verdana" w:cs="Arial"/>
          <w:color w:val="000000" w:themeColor="text1"/>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78EE2F17" w14:textId="77777777" w:rsidR="00742264" w:rsidRPr="008A676F" w:rsidRDefault="00742264" w:rsidP="00742264">
      <w:pPr>
        <w:pStyle w:val="Textonotapie"/>
        <w:ind w:firstLine="708"/>
        <w:contextualSpacing/>
        <w:jc w:val="both"/>
        <w:rPr>
          <w:rFonts w:ascii="Verdana" w:hAnsi="Verdana" w:cs="Arial"/>
          <w:color w:val="000000" w:themeColor="text1"/>
          <w:sz w:val="14"/>
          <w:szCs w:val="14"/>
        </w:rPr>
      </w:pPr>
      <w:r w:rsidRPr="008A676F">
        <w:rPr>
          <w:rStyle w:val="Refdenotaalpie"/>
          <w:rFonts w:ascii="Verdana" w:hAnsi="Verdana" w:cs="Arial"/>
          <w:color w:val="000000" w:themeColor="text1"/>
          <w:sz w:val="14"/>
          <w:szCs w:val="14"/>
        </w:rPr>
        <w:footnoteRef/>
      </w:r>
      <w:r w:rsidRPr="008A676F">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footnote>
  <w:footnote w:id="19">
    <w:p w14:paraId="64916E2E" w14:textId="77777777" w:rsidR="00742264" w:rsidRPr="008A676F" w:rsidRDefault="00742264" w:rsidP="00742264">
      <w:pPr>
        <w:pStyle w:val="Textonotapie"/>
        <w:ind w:firstLine="708"/>
        <w:contextualSpacing/>
        <w:jc w:val="both"/>
        <w:rPr>
          <w:rFonts w:ascii="Verdana" w:hAnsi="Verdana" w:cs="Arial"/>
          <w:color w:val="000000" w:themeColor="text1"/>
          <w:sz w:val="14"/>
          <w:szCs w:val="14"/>
        </w:rPr>
      </w:pPr>
      <w:r w:rsidRPr="008A676F">
        <w:rPr>
          <w:rStyle w:val="Refdenotaalpie"/>
          <w:rFonts w:ascii="Verdana" w:hAnsi="Verdana" w:cs="Arial"/>
          <w:color w:val="000000" w:themeColor="text1"/>
          <w:sz w:val="14"/>
          <w:szCs w:val="14"/>
        </w:rPr>
        <w:footnoteRef/>
      </w:r>
      <w:r w:rsidRPr="008A676F">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footnote>
  <w:footnote w:id="20">
    <w:p w14:paraId="3A3CB90C" w14:textId="77777777" w:rsidR="00742264" w:rsidRPr="008A676F" w:rsidRDefault="00742264" w:rsidP="00742264">
      <w:pPr>
        <w:pStyle w:val="Textonotapie"/>
        <w:ind w:firstLine="708"/>
        <w:jc w:val="both"/>
        <w:rPr>
          <w:rFonts w:ascii="Verdana" w:eastAsia="Calibri" w:hAnsi="Verdana" w:cs="Arial"/>
          <w:color w:val="000000"/>
          <w:sz w:val="14"/>
          <w:szCs w:val="14"/>
        </w:rPr>
      </w:pPr>
      <w:r w:rsidRPr="008A676F">
        <w:rPr>
          <w:rStyle w:val="Refdenotaalpie"/>
          <w:rFonts w:ascii="Verdana" w:hAnsi="Verdana" w:cs="Arial"/>
          <w:sz w:val="14"/>
          <w:szCs w:val="14"/>
        </w:rPr>
        <w:footnoteRef/>
      </w:r>
      <w:r w:rsidRPr="008A676F">
        <w:rPr>
          <w:rFonts w:ascii="Verdana" w:hAnsi="Verdana" w:cs="Arial"/>
          <w:sz w:val="14"/>
          <w:szCs w:val="14"/>
        </w:rPr>
        <w:t xml:space="preserve"> </w:t>
      </w:r>
      <w:r w:rsidRPr="008A676F">
        <w:rPr>
          <w:rFonts w:ascii="Verdana" w:eastAsia="Calibri" w:hAnsi="Verdana" w:cs="Arial"/>
          <w:color w:val="000000"/>
          <w:sz w:val="14"/>
          <w:szCs w:val="14"/>
        </w:rPr>
        <w:t>La Sección Tercera del Consejo de Estado, en sentencia del 27 de marzo de 2008. Exp. 29.393, C. P. Ruth Stella Correa Palacio, consideró: “[L]a seguridad y la defensa nacional constituyen sin lugar a dudas presupuesto material de la vigencia efectiva del orden constitucional. Sin embargo no existe norma alguna que defina estos vocablos. Se trata de conceptos que tienen distintas significaciones, en tanto varias nociones los informan. En el caso de la seguridad, además, esta acusa cierto grado de relatividad según la “intensidad en los antagonismos”, se trata igualmente de un “concepto dinámico” que impone la actualización de mecanismos para su efectividad y que encuentra significado en los objetivos que se propone alcanzar el Estado en una época determinada. Noción a la vez relativa y coyuntural, merced a que su contenido jurídico no es inmutable sino que necesariamente sufre constantes transformaciones. En tanto “noción ambigua” es difícil de definir la seguridad, pues depende del entorno de cada país (en Canadá por ejemplo suele ser asociada a “estabilidad económica”). Con todo, y aunque se trate de una noción en constante cambio según cada país, conviene agregar que se trata del concepto base sobre el que se construye la estrategia para proteger a los ciudadanos”.</w:t>
      </w:r>
    </w:p>
    <w:p w14:paraId="4693CF23" w14:textId="77777777" w:rsidR="00742264" w:rsidRPr="008A676F" w:rsidRDefault="00742264" w:rsidP="00742264">
      <w:pPr>
        <w:pStyle w:val="Textonotapie"/>
        <w:ind w:firstLine="708"/>
        <w:jc w:val="both"/>
        <w:rPr>
          <w:rFonts w:ascii="Verdana" w:eastAsia="Calibri" w:hAnsi="Verdana" w:cs="Arial"/>
          <w:color w:val="000000"/>
          <w:sz w:val="14"/>
          <w:szCs w:val="14"/>
        </w:rPr>
      </w:pPr>
    </w:p>
  </w:footnote>
  <w:footnote w:id="21">
    <w:p w14:paraId="2F7E3A06" w14:textId="77777777" w:rsidR="00742264" w:rsidRPr="008A676F" w:rsidRDefault="00742264" w:rsidP="00742264">
      <w:pPr>
        <w:pStyle w:val="Textonotapie"/>
        <w:ind w:firstLine="709"/>
        <w:jc w:val="both"/>
        <w:rPr>
          <w:rFonts w:ascii="Verdana" w:hAnsi="Verdana" w:cs="Arial"/>
          <w:sz w:val="14"/>
          <w:szCs w:val="14"/>
          <w:lang w:val="es-ES"/>
        </w:rPr>
      </w:pPr>
      <w:r w:rsidRPr="008A676F">
        <w:rPr>
          <w:rStyle w:val="Refdenotaalpie"/>
          <w:rFonts w:ascii="Verdana" w:hAnsi="Verdana"/>
          <w:sz w:val="14"/>
          <w:szCs w:val="14"/>
        </w:rPr>
        <w:footnoteRef/>
      </w:r>
      <w:r w:rsidRPr="008A676F">
        <w:rPr>
          <w:rFonts w:ascii="Verdana" w:hAnsi="Verdana" w:cs="Arial"/>
          <w:sz w:val="14"/>
          <w:szCs w:val="14"/>
        </w:rPr>
        <w:t xml:space="preserve"> Consejo de Estado. Sección Tercera. Subsección C. Sentencia del 26 de julio de 2011. Consejero Ponente: Enrique Gil Botero. Expediente: </w:t>
      </w:r>
      <w:r w:rsidRPr="008A676F">
        <w:rPr>
          <w:rFonts w:ascii="Verdana" w:hAnsi="Verdana" w:cs="Arial"/>
          <w:iCs/>
          <w:sz w:val="14"/>
          <w:szCs w:val="14"/>
        </w:rPr>
        <w:t>17661.</w:t>
      </w:r>
    </w:p>
  </w:footnote>
  <w:footnote w:id="22">
    <w:p w14:paraId="1884B686" w14:textId="77777777" w:rsidR="00742264" w:rsidRPr="008A676F" w:rsidRDefault="00742264" w:rsidP="00742264">
      <w:pPr>
        <w:pStyle w:val="Textonotapie"/>
        <w:ind w:firstLine="709"/>
        <w:jc w:val="both"/>
        <w:rPr>
          <w:rFonts w:ascii="Verdana" w:hAnsi="Verdana" w:cs="Arial"/>
          <w:sz w:val="14"/>
          <w:szCs w:val="14"/>
          <w:lang w:val="es-ES"/>
        </w:rPr>
      </w:pPr>
      <w:r w:rsidRPr="008A676F">
        <w:rPr>
          <w:rStyle w:val="Refdenotaalpie"/>
          <w:rFonts w:ascii="Verdana" w:hAnsi="Verdana"/>
          <w:sz w:val="14"/>
          <w:szCs w:val="14"/>
        </w:rPr>
        <w:footnoteRef/>
      </w:r>
      <w:r w:rsidRPr="008A676F">
        <w:rPr>
          <w:rFonts w:ascii="Verdana" w:hAnsi="Verdana" w:cs="Arial"/>
          <w:sz w:val="14"/>
          <w:szCs w:val="14"/>
        </w:rPr>
        <w:t xml:space="preserve"> </w:t>
      </w:r>
      <w:r w:rsidRPr="008A676F">
        <w:rPr>
          <w:rFonts w:ascii="Verdana" w:hAnsi="Verdana" w:cs="Arial"/>
          <w:sz w:val="14"/>
          <w:szCs w:val="14"/>
          <w:lang w:val="es-ES"/>
        </w:rPr>
        <w:t xml:space="preserve">Consejo de Estado. Sección Tercera. Sala Plena. Sentencia del 23 de julio de 2015. Consejero Ponente: Hernán Andrade Rincón. Expediente: </w:t>
      </w:r>
      <w:r w:rsidRPr="008A676F">
        <w:rPr>
          <w:rFonts w:ascii="Verdana" w:hAnsi="Verdana" w:cs="Arial"/>
          <w:spacing w:val="4"/>
          <w:sz w:val="14"/>
          <w:szCs w:val="14"/>
          <w:lang w:val="es-ES_tradnl"/>
        </w:rPr>
        <w:t>36805.</w:t>
      </w:r>
    </w:p>
  </w:footnote>
  <w:footnote w:id="23">
    <w:p w14:paraId="365AEAF4" w14:textId="77777777" w:rsidR="00742264" w:rsidRPr="008A676F" w:rsidRDefault="00742264" w:rsidP="00742264">
      <w:pPr>
        <w:pStyle w:val="Textonotapie"/>
        <w:ind w:firstLine="709"/>
        <w:jc w:val="both"/>
        <w:rPr>
          <w:sz w:val="14"/>
          <w:szCs w:val="14"/>
          <w:lang w:val="es-CO"/>
        </w:rPr>
      </w:pPr>
      <w:r w:rsidRPr="008A676F">
        <w:rPr>
          <w:rStyle w:val="Refdenotaalpie"/>
          <w:sz w:val="14"/>
          <w:szCs w:val="14"/>
        </w:rPr>
        <w:footnoteRef/>
      </w:r>
      <w:r w:rsidRPr="008A676F">
        <w:rPr>
          <w:sz w:val="14"/>
          <w:szCs w:val="14"/>
        </w:rPr>
        <w:t xml:space="preserve"> </w:t>
      </w:r>
      <w:r w:rsidRPr="008A676F">
        <w:rPr>
          <w:rFonts w:ascii="Verdana" w:hAnsi="Verdana" w:cs="Arial"/>
          <w:sz w:val="14"/>
          <w:szCs w:val="14"/>
          <w:lang w:val="es-ES"/>
        </w:rPr>
        <w:t xml:space="preserve">Consejo de Estado. Sala de Consulta y Servicio Civil. Concepto del 2 de septiembre de 2013 Radicado No: 2168. CP: Alvaro Namén Vargas. </w:t>
      </w:r>
    </w:p>
  </w:footnote>
  <w:footnote w:id="24">
    <w:p w14:paraId="58F455ED" w14:textId="77777777" w:rsidR="00742264" w:rsidRPr="008A676F" w:rsidRDefault="00742264" w:rsidP="00742264">
      <w:pPr>
        <w:pStyle w:val="Textonotapie"/>
        <w:ind w:firstLine="709"/>
        <w:rPr>
          <w:sz w:val="14"/>
          <w:szCs w:val="14"/>
          <w:lang w:val="es-CO"/>
        </w:rPr>
      </w:pPr>
      <w:r w:rsidRPr="008A676F">
        <w:rPr>
          <w:rStyle w:val="Refdenotaalpie"/>
          <w:sz w:val="14"/>
          <w:szCs w:val="14"/>
        </w:rPr>
        <w:footnoteRef/>
      </w:r>
      <w:r w:rsidRPr="008A676F">
        <w:rPr>
          <w:sz w:val="14"/>
          <w:szCs w:val="14"/>
        </w:rPr>
        <w:t xml:space="preserve"> </w:t>
      </w:r>
      <w:r w:rsidRPr="008A676F">
        <w:rPr>
          <w:rFonts w:ascii="Verdana" w:eastAsia="Calibri" w:hAnsi="Verdana" w:cs="Arial"/>
          <w:color w:val="000000"/>
          <w:sz w:val="14"/>
          <w:szCs w:val="14"/>
        </w:rPr>
        <w:t>Consejo de Estado. Sección Tercera, sentencia del 27 de marzo de 2008. Exp. 29.393, C. P. Ruth Stella Correa Palacio</w:t>
      </w:r>
    </w:p>
  </w:footnote>
  <w:footnote w:id="25">
    <w:p w14:paraId="30914349" w14:textId="77777777" w:rsidR="00742264" w:rsidRPr="008A676F" w:rsidRDefault="00742264" w:rsidP="00742264">
      <w:pPr>
        <w:pStyle w:val="NormalWeb"/>
        <w:spacing w:before="0" w:beforeAutospacing="0" w:after="0" w:afterAutospacing="0"/>
        <w:ind w:firstLine="709"/>
        <w:jc w:val="both"/>
        <w:rPr>
          <w:rFonts w:ascii="Verdana" w:hAnsi="Verdana" w:cs="Arial"/>
          <w:color w:val="000000" w:themeColor="text1"/>
          <w:sz w:val="14"/>
          <w:szCs w:val="14"/>
        </w:rPr>
      </w:pPr>
      <w:r w:rsidRPr="008A676F">
        <w:rPr>
          <w:rStyle w:val="Refdenotaalpie"/>
          <w:rFonts w:ascii="Verdana" w:hAnsi="Verdana" w:cs="Arial"/>
          <w:sz w:val="14"/>
          <w:szCs w:val="14"/>
        </w:rPr>
        <w:footnoteRef/>
      </w:r>
      <w:r w:rsidRPr="008A676F">
        <w:rPr>
          <w:rFonts w:ascii="Verdana" w:hAnsi="Verdana" w:cs="Arial"/>
          <w:color w:val="000000" w:themeColor="text1"/>
          <w:sz w:val="14"/>
          <w:szCs w:val="14"/>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14:paraId="4FCF075C" w14:textId="77777777" w:rsidR="00742264" w:rsidRPr="008A676F" w:rsidRDefault="00742264" w:rsidP="00742264">
      <w:pPr>
        <w:pStyle w:val="NormalWeb"/>
        <w:spacing w:before="0" w:beforeAutospacing="0" w:after="0" w:afterAutospacing="0"/>
        <w:ind w:firstLine="709"/>
        <w:jc w:val="both"/>
        <w:rPr>
          <w:rFonts w:ascii="Verdana" w:hAnsi="Verdana" w:cs="Arial"/>
          <w:color w:val="000000" w:themeColor="text1"/>
          <w:sz w:val="14"/>
          <w:szCs w:val="14"/>
        </w:rPr>
      </w:pPr>
      <w:r w:rsidRPr="008A676F">
        <w:rPr>
          <w:rFonts w:ascii="Verdana" w:hAnsi="Verdana" w:cs="Arial"/>
          <w:color w:val="000000" w:themeColor="text1"/>
          <w:sz w:val="14"/>
          <w:szCs w:val="14"/>
        </w:rPr>
        <w:t>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545A24F8" w14:textId="77777777" w:rsidR="00742264" w:rsidRPr="008A676F" w:rsidRDefault="00742264" w:rsidP="00742264">
      <w:pPr>
        <w:pStyle w:val="NormalWeb"/>
        <w:spacing w:before="0" w:beforeAutospacing="0" w:after="0" w:afterAutospacing="0"/>
        <w:ind w:firstLine="709"/>
        <w:jc w:val="both"/>
        <w:rPr>
          <w:rFonts w:ascii="Verdana" w:hAnsi="Verdana" w:cs="Arial"/>
          <w:color w:val="000000" w:themeColor="text1"/>
          <w:sz w:val="14"/>
          <w:szCs w:val="14"/>
        </w:rPr>
      </w:pPr>
      <w:r w:rsidRPr="008A676F">
        <w:rPr>
          <w:rFonts w:ascii="Verdana" w:hAnsi="Verdana" w:cs="Arial"/>
          <w:color w:val="000000" w:themeColor="text1"/>
          <w:sz w:val="14"/>
          <w:szCs w:val="14"/>
        </w:rPr>
        <w:t>Las entidades estatales no podrán celebrar contratos o convenios para la administración o gerencia de sus recursos propios o de aquellos que les asignen los presupuestos públicos, con organismos de cooperación, asistencia o ayuda internacional.</w:t>
      </w:r>
    </w:p>
    <w:p w14:paraId="2149220D" w14:textId="77777777" w:rsidR="00742264" w:rsidRPr="008A676F" w:rsidRDefault="00742264" w:rsidP="00742264">
      <w:pPr>
        <w:pStyle w:val="NormalWeb"/>
        <w:spacing w:before="0" w:beforeAutospacing="0" w:after="0" w:afterAutospacing="0"/>
        <w:ind w:firstLine="709"/>
        <w:jc w:val="both"/>
        <w:rPr>
          <w:rFonts w:ascii="Verdana" w:hAnsi="Verdana" w:cs="Arial"/>
          <w:color w:val="000000" w:themeColor="text1"/>
          <w:sz w:val="14"/>
          <w:szCs w:val="14"/>
        </w:rPr>
      </w:pPr>
      <w:r w:rsidRPr="008A676F">
        <w:rPr>
          <w:rStyle w:val="baj"/>
          <w:rFonts w:ascii="Verdana" w:hAnsi="Verdana" w:cs="Arial"/>
          <w:color w:val="000000" w:themeColor="text1"/>
          <w:sz w:val="14"/>
          <w:szCs w:val="14"/>
        </w:rPr>
        <w:t>PARÁGRAFO 1o.</w:t>
      </w:r>
      <w:r w:rsidRPr="008A676F">
        <w:rPr>
          <w:rFonts w:ascii="Verdana" w:hAnsi="Verdana" w:cs="Arial"/>
          <w:color w:val="000000" w:themeColor="text1"/>
          <w:sz w:val="14"/>
          <w:szCs w:val="14"/>
        </w:rPr>
        <w:t> Los contratos o acuerdos celebrados con personas extranjeras de derecho público, podrán someterse a las reglas de tales organismos.</w:t>
      </w:r>
    </w:p>
    <w:p w14:paraId="0DAC0C0A" w14:textId="77777777" w:rsidR="00742264" w:rsidRPr="008A676F" w:rsidRDefault="00742264" w:rsidP="00742264">
      <w:pPr>
        <w:pStyle w:val="NormalWeb"/>
        <w:spacing w:before="0" w:beforeAutospacing="0" w:after="0" w:afterAutospacing="0"/>
        <w:ind w:firstLine="709"/>
        <w:jc w:val="both"/>
        <w:rPr>
          <w:rFonts w:ascii="Verdana" w:hAnsi="Verdana" w:cs="Arial"/>
          <w:color w:val="000000" w:themeColor="text1"/>
          <w:sz w:val="14"/>
          <w:szCs w:val="14"/>
        </w:rPr>
      </w:pPr>
      <w:r w:rsidRPr="008A676F">
        <w:rPr>
          <w:rStyle w:val="baj"/>
          <w:rFonts w:ascii="Verdana" w:hAnsi="Verdana" w:cs="Arial"/>
          <w:color w:val="000000" w:themeColor="text1"/>
          <w:sz w:val="14"/>
          <w:szCs w:val="14"/>
        </w:rPr>
        <w:t>PARÁGRAFO 2o.</w:t>
      </w:r>
      <w:r w:rsidRPr="008A676F">
        <w:rPr>
          <w:rFonts w:ascii="Verdana" w:hAnsi="Verdana" w:cs="Arial"/>
          <w:color w:val="000000" w:themeColor="text1"/>
          <w:sz w:val="14"/>
          <w:szCs w:val="14"/>
        </w:rPr>
        <w:t> Las entidades estatales tendrán la obligación de reportar la información a los organismos de control y al Secop relativa a la ejecución de los contratos a los que se refiere el presente artículo.</w:t>
      </w:r>
    </w:p>
    <w:p w14:paraId="1C56A1C5" w14:textId="77777777" w:rsidR="00742264" w:rsidRPr="008A676F" w:rsidRDefault="00742264" w:rsidP="00742264">
      <w:pPr>
        <w:pStyle w:val="NormalWeb"/>
        <w:spacing w:before="0" w:beforeAutospacing="0" w:after="0" w:afterAutospacing="0"/>
        <w:ind w:firstLine="709"/>
        <w:jc w:val="both"/>
        <w:rPr>
          <w:rFonts w:ascii="Verdana" w:hAnsi="Verdana" w:cs="Arial"/>
          <w:color w:val="000000" w:themeColor="text1"/>
          <w:sz w:val="14"/>
          <w:szCs w:val="14"/>
        </w:rPr>
      </w:pPr>
      <w:r w:rsidRPr="008A676F">
        <w:rPr>
          <w:rStyle w:val="baj"/>
          <w:rFonts w:ascii="Verdana" w:hAnsi="Verdana" w:cs="Arial"/>
          <w:color w:val="000000" w:themeColor="text1"/>
          <w:sz w:val="14"/>
          <w:szCs w:val="14"/>
        </w:rPr>
        <w:t>PARÁGRAFO 3o.</w:t>
      </w:r>
      <w:r w:rsidRPr="008A676F">
        <w:rPr>
          <w:rFonts w:ascii="Verdana" w:hAnsi="Verdana" w:cs="Arial"/>
          <w:color w:val="000000" w:themeColor="text1"/>
          <w:sz w:val="14"/>
          <w:szCs w:val="14"/>
        </w:rPr>
        <w:t> En todo Proyecto de cooperación que involucre recursos estatales se deberán cuantificar en moneda nacional, los aportes en especie de la entidad, organización o persona cooperante, así como los del ente nacional colombiano. Las contralorías ejercerán el control fiscal sobre los proyectos y contratos celebrados con organismos multilaterales”.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B2"/>
    <w:rsid w:val="0000638F"/>
    <w:rsid w:val="00012144"/>
    <w:rsid w:val="00014CF2"/>
    <w:rsid w:val="00016F78"/>
    <w:rsid w:val="00022D0A"/>
    <w:rsid w:val="00025859"/>
    <w:rsid w:val="00032636"/>
    <w:rsid w:val="00044408"/>
    <w:rsid w:val="00046945"/>
    <w:rsid w:val="00061B2A"/>
    <w:rsid w:val="000771F0"/>
    <w:rsid w:val="000800AC"/>
    <w:rsid w:val="00082362"/>
    <w:rsid w:val="0008513D"/>
    <w:rsid w:val="000A683E"/>
    <w:rsid w:val="000B19B9"/>
    <w:rsid w:val="000C6630"/>
    <w:rsid w:val="000D0334"/>
    <w:rsid w:val="000D092C"/>
    <w:rsid w:val="000D3BF9"/>
    <w:rsid w:val="000E1B4F"/>
    <w:rsid w:val="000E2D1A"/>
    <w:rsid w:val="000E4620"/>
    <w:rsid w:val="000F6486"/>
    <w:rsid w:val="00104697"/>
    <w:rsid w:val="00110454"/>
    <w:rsid w:val="0011493E"/>
    <w:rsid w:val="00124CBC"/>
    <w:rsid w:val="00125105"/>
    <w:rsid w:val="00127233"/>
    <w:rsid w:val="0014165C"/>
    <w:rsid w:val="001454C6"/>
    <w:rsid w:val="00150BFF"/>
    <w:rsid w:val="001512F4"/>
    <w:rsid w:val="00153204"/>
    <w:rsid w:val="001622F7"/>
    <w:rsid w:val="00167B36"/>
    <w:rsid w:val="00193FFF"/>
    <w:rsid w:val="00194B53"/>
    <w:rsid w:val="001A70DA"/>
    <w:rsid w:val="001A79A5"/>
    <w:rsid w:val="001C3B9A"/>
    <w:rsid w:val="001C4ADB"/>
    <w:rsid w:val="001E39A2"/>
    <w:rsid w:val="001E3D06"/>
    <w:rsid w:val="001E4177"/>
    <w:rsid w:val="001E5236"/>
    <w:rsid w:val="001E5A46"/>
    <w:rsid w:val="001E5AD4"/>
    <w:rsid w:val="001F0253"/>
    <w:rsid w:val="001F5A10"/>
    <w:rsid w:val="001F7DC6"/>
    <w:rsid w:val="002067F5"/>
    <w:rsid w:val="00210741"/>
    <w:rsid w:val="002125C8"/>
    <w:rsid w:val="0022048C"/>
    <w:rsid w:val="002227FB"/>
    <w:rsid w:val="00222B1F"/>
    <w:rsid w:val="0022574A"/>
    <w:rsid w:val="002421BB"/>
    <w:rsid w:val="00243685"/>
    <w:rsid w:val="00257118"/>
    <w:rsid w:val="0025796E"/>
    <w:rsid w:val="002705E0"/>
    <w:rsid w:val="002707A2"/>
    <w:rsid w:val="00273A02"/>
    <w:rsid w:val="002740FF"/>
    <w:rsid w:val="00274A9E"/>
    <w:rsid w:val="00275581"/>
    <w:rsid w:val="00280EFB"/>
    <w:rsid w:val="00283F8C"/>
    <w:rsid w:val="0028677B"/>
    <w:rsid w:val="0029347E"/>
    <w:rsid w:val="002951A0"/>
    <w:rsid w:val="002962BC"/>
    <w:rsid w:val="002A093D"/>
    <w:rsid w:val="002A0DD0"/>
    <w:rsid w:val="002A49AC"/>
    <w:rsid w:val="002A64FD"/>
    <w:rsid w:val="002B205C"/>
    <w:rsid w:val="002B25E0"/>
    <w:rsid w:val="002B2AB8"/>
    <w:rsid w:val="002C7A84"/>
    <w:rsid w:val="002D66EC"/>
    <w:rsid w:val="002E4FD9"/>
    <w:rsid w:val="002E740E"/>
    <w:rsid w:val="002F1143"/>
    <w:rsid w:val="00317467"/>
    <w:rsid w:val="00322A85"/>
    <w:rsid w:val="00324168"/>
    <w:rsid w:val="003242C3"/>
    <w:rsid w:val="00330994"/>
    <w:rsid w:val="003448F4"/>
    <w:rsid w:val="003518DE"/>
    <w:rsid w:val="00352506"/>
    <w:rsid w:val="00363F80"/>
    <w:rsid w:val="00364778"/>
    <w:rsid w:val="0037004C"/>
    <w:rsid w:val="00373094"/>
    <w:rsid w:val="00374F5E"/>
    <w:rsid w:val="00377E3E"/>
    <w:rsid w:val="00380CCD"/>
    <w:rsid w:val="003A10B0"/>
    <w:rsid w:val="003A779E"/>
    <w:rsid w:val="003B6ABF"/>
    <w:rsid w:val="003C1AA8"/>
    <w:rsid w:val="003D0F4D"/>
    <w:rsid w:val="003D180E"/>
    <w:rsid w:val="003D5B0D"/>
    <w:rsid w:val="003D7039"/>
    <w:rsid w:val="003E0499"/>
    <w:rsid w:val="003F3941"/>
    <w:rsid w:val="00402BA2"/>
    <w:rsid w:val="0040423C"/>
    <w:rsid w:val="00406575"/>
    <w:rsid w:val="00414C74"/>
    <w:rsid w:val="0042722E"/>
    <w:rsid w:val="00430AEE"/>
    <w:rsid w:val="00440D75"/>
    <w:rsid w:val="00441B42"/>
    <w:rsid w:val="0044528D"/>
    <w:rsid w:val="00452F94"/>
    <w:rsid w:val="004550CD"/>
    <w:rsid w:val="0046511B"/>
    <w:rsid w:val="004739C7"/>
    <w:rsid w:val="0047421D"/>
    <w:rsid w:val="00486687"/>
    <w:rsid w:val="0049167A"/>
    <w:rsid w:val="004A0628"/>
    <w:rsid w:val="004A1847"/>
    <w:rsid w:val="004A305D"/>
    <w:rsid w:val="004A4952"/>
    <w:rsid w:val="004C040C"/>
    <w:rsid w:val="004C6CBE"/>
    <w:rsid w:val="004D22F7"/>
    <w:rsid w:val="004E7FAE"/>
    <w:rsid w:val="004F21C4"/>
    <w:rsid w:val="004F685F"/>
    <w:rsid w:val="00516129"/>
    <w:rsid w:val="005169C2"/>
    <w:rsid w:val="005301FB"/>
    <w:rsid w:val="005317FE"/>
    <w:rsid w:val="005566E8"/>
    <w:rsid w:val="005576FC"/>
    <w:rsid w:val="00574867"/>
    <w:rsid w:val="005830F1"/>
    <w:rsid w:val="00591460"/>
    <w:rsid w:val="0059160A"/>
    <w:rsid w:val="00596962"/>
    <w:rsid w:val="005972A9"/>
    <w:rsid w:val="005A4205"/>
    <w:rsid w:val="005C1345"/>
    <w:rsid w:val="005C3777"/>
    <w:rsid w:val="005C409D"/>
    <w:rsid w:val="005C5CDC"/>
    <w:rsid w:val="005C692A"/>
    <w:rsid w:val="005D1521"/>
    <w:rsid w:val="005D476C"/>
    <w:rsid w:val="005D6497"/>
    <w:rsid w:val="005E7883"/>
    <w:rsid w:val="005F6411"/>
    <w:rsid w:val="006157C1"/>
    <w:rsid w:val="00615AA5"/>
    <w:rsid w:val="00620D70"/>
    <w:rsid w:val="006219F8"/>
    <w:rsid w:val="006253D4"/>
    <w:rsid w:val="00625A56"/>
    <w:rsid w:val="006302F7"/>
    <w:rsid w:val="006400F3"/>
    <w:rsid w:val="00640803"/>
    <w:rsid w:val="0066305C"/>
    <w:rsid w:val="00665D70"/>
    <w:rsid w:val="00675C09"/>
    <w:rsid w:val="00680E31"/>
    <w:rsid w:val="00682D45"/>
    <w:rsid w:val="006900D9"/>
    <w:rsid w:val="006A760C"/>
    <w:rsid w:val="006B54D1"/>
    <w:rsid w:val="006B7447"/>
    <w:rsid w:val="006E1FD3"/>
    <w:rsid w:val="006F33E3"/>
    <w:rsid w:val="006F4526"/>
    <w:rsid w:val="0070052E"/>
    <w:rsid w:val="00706C16"/>
    <w:rsid w:val="00722C18"/>
    <w:rsid w:val="00730C53"/>
    <w:rsid w:val="007327A0"/>
    <w:rsid w:val="00737252"/>
    <w:rsid w:val="00742264"/>
    <w:rsid w:val="00751D89"/>
    <w:rsid w:val="00756841"/>
    <w:rsid w:val="00756ADB"/>
    <w:rsid w:val="007649AB"/>
    <w:rsid w:val="00771D0C"/>
    <w:rsid w:val="007813F7"/>
    <w:rsid w:val="007833AC"/>
    <w:rsid w:val="007967DC"/>
    <w:rsid w:val="007A0E99"/>
    <w:rsid w:val="007A347D"/>
    <w:rsid w:val="007A4265"/>
    <w:rsid w:val="007A7952"/>
    <w:rsid w:val="007B268C"/>
    <w:rsid w:val="007B7171"/>
    <w:rsid w:val="007C0C0F"/>
    <w:rsid w:val="007C3DC2"/>
    <w:rsid w:val="007C6AE0"/>
    <w:rsid w:val="007D6FE2"/>
    <w:rsid w:val="007E5497"/>
    <w:rsid w:val="007E5BB4"/>
    <w:rsid w:val="007F10FB"/>
    <w:rsid w:val="007F33F9"/>
    <w:rsid w:val="007F4A1F"/>
    <w:rsid w:val="00806F5F"/>
    <w:rsid w:val="00820278"/>
    <w:rsid w:val="00823AC6"/>
    <w:rsid w:val="008339F3"/>
    <w:rsid w:val="00842812"/>
    <w:rsid w:val="00842E4F"/>
    <w:rsid w:val="00844717"/>
    <w:rsid w:val="00854D37"/>
    <w:rsid w:val="008625F5"/>
    <w:rsid w:val="00867F95"/>
    <w:rsid w:val="00875B07"/>
    <w:rsid w:val="008843B6"/>
    <w:rsid w:val="0088442B"/>
    <w:rsid w:val="0088688C"/>
    <w:rsid w:val="00886D64"/>
    <w:rsid w:val="00891928"/>
    <w:rsid w:val="00897A3A"/>
    <w:rsid w:val="008A446D"/>
    <w:rsid w:val="008A676F"/>
    <w:rsid w:val="008D180B"/>
    <w:rsid w:val="008D4A0E"/>
    <w:rsid w:val="008F0EA7"/>
    <w:rsid w:val="008F7B5D"/>
    <w:rsid w:val="00901B4F"/>
    <w:rsid w:val="00903345"/>
    <w:rsid w:val="00923EEF"/>
    <w:rsid w:val="00927895"/>
    <w:rsid w:val="00937849"/>
    <w:rsid w:val="009419F9"/>
    <w:rsid w:val="00942490"/>
    <w:rsid w:val="00944C59"/>
    <w:rsid w:val="0095685E"/>
    <w:rsid w:val="00961B09"/>
    <w:rsid w:val="00965334"/>
    <w:rsid w:val="0097093E"/>
    <w:rsid w:val="0097371E"/>
    <w:rsid w:val="00980D80"/>
    <w:rsid w:val="0098326D"/>
    <w:rsid w:val="00985C60"/>
    <w:rsid w:val="0098737C"/>
    <w:rsid w:val="009879EA"/>
    <w:rsid w:val="009A0DFA"/>
    <w:rsid w:val="009A6E12"/>
    <w:rsid w:val="009B25A8"/>
    <w:rsid w:val="009B2D26"/>
    <w:rsid w:val="009C1DAD"/>
    <w:rsid w:val="009C71FA"/>
    <w:rsid w:val="009C72E7"/>
    <w:rsid w:val="009D3058"/>
    <w:rsid w:val="009E4BFA"/>
    <w:rsid w:val="009F3A13"/>
    <w:rsid w:val="00A07365"/>
    <w:rsid w:val="00A119E3"/>
    <w:rsid w:val="00A11BEB"/>
    <w:rsid w:val="00A122D3"/>
    <w:rsid w:val="00A12B5E"/>
    <w:rsid w:val="00A1443D"/>
    <w:rsid w:val="00A17F13"/>
    <w:rsid w:val="00A20739"/>
    <w:rsid w:val="00A20CB1"/>
    <w:rsid w:val="00A26574"/>
    <w:rsid w:val="00A33C78"/>
    <w:rsid w:val="00A56975"/>
    <w:rsid w:val="00A76106"/>
    <w:rsid w:val="00AA4151"/>
    <w:rsid w:val="00AB0ADB"/>
    <w:rsid w:val="00AC7D5A"/>
    <w:rsid w:val="00AE7D7A"/>
    <w:rsid w:val="00AF33D9"/>
    <w:rsid w:val="00AF5434"/>
    <w:rsid w:val="00AF7609"/>
    <w:rsid w:val="00B00C0E"/>
    <w:rsid w:val="00B01B1A"/>
    <w:rsid w:val="00B44A47"/>
    <w:rsid w:val="00B44B98"/>
    <w:rsid w:val="00B64A68"/>
    <w:rsid w:val="00B72CD3"/>
    <w:rsid w:val="00B72FFF"/>
    <w:rsid w:val="00BC3586"/>
    <w:rsid w:val="00BC3D36"/>
    <w:rsid w:val="00BC67D4"/>
    <w:rsid w:val="00BD7F72"/>
    <w:rsid w:val="00BF306B"/>
    <w:rsid w:val="00BF408C"/>
    <w:rsid w:val="00C00508"/>
    <w:rsid w:val="00C04FB3"/>
    <w:rsid w:val="00C14B99"/>
    <w:rsid w:val="00C27077"/>
    <w:rsid w:val="00C3283C"/>
    <w:rsid w:val="00C330EB"/>
    <w:rsid w:val="00C45727"/>
    <w:rsid w:val="00C65BAD"/>
    <w:rsid w:val="00C66CFF"/>
    <w:rsid w:val="00C748B3"/>
    <w:rsid w:val="00C754BE"/>
    <w:rsid w:val="00C76B1C"/>
    <w:rsid w:val="00C77EA5"/>
    <w:rsid w:val="00CB6357"/>
    <w:rsid w:val="00CC1B26"/>
    <w:rsid w:val="00CC3A0C"/>
    <w:rsid w:val="00CD4B40"/>
    <w:rsid w:val="00CE3D2F"/>
    <w:rsid w:val="00CF1A4C"/>
    <w:rsid w:val="00CF4F4C"/>
    <w:rsid w:val="00D15328"/>
    <w:rsid w:val="00D24803"/>
    <w:rsid w:val="00D369A0"/>
    <w:rsid w:val="00D423A2"/>
    <w:rsid w:val="00D520CE"/>
    <w:rsid w:val="00D520D8"/>
    <w:rsid w:val="00D63AC2"/>
    <w:rsid w:val="00D7163F"/>
    <w:rsid w:val="00D71DB7"/>
    <w:rsid w:val="00D7383B"/>
    <w:rsid w:val="00D912B2"/>
    <w:rsid w:val="00D94438"/>
    <w:rsid w:val="00D946B0"/>
    <w:rsid w:val="00DA1601"/>
    <w:rsid w:val="00DA231B"/>
    <w:rsid w:val="00DA4565"/>
    <w:rsid w:val="00DC39FC"/>
    <w:rsid w:val="00DD1135"/>
    <w:rsid w:val="00DD566D"/>
    <w:rsid w:val="00DE22E1"/>
    <w:rsid w:val="00DF5254"/>
    <w:rsid w:val="00E0661A"/>
    <w:rsid w:val="00E07945"/>
    <w:rsid w:val="00E16408"/>
    <w:rsid w:val="00E20894"/>
    <w:rsid w:val="00E245AB"/>
    <w:rsid w:val="00E2764C"/>
    <w:rsid w:val="00E27F2E"/>
    <w:rsid w:val="00E34BEA"/>
    <w:rsid w:val="00E40B3B"/>
    <w:rsid w:val="00E50AFE"/>
    <w:rsid w:val="00E52901"/>
    <w:rsid w:val="00E652CA"/>
    <w:rsid w:val="00E66717"/>
    <w:rsid w:val="00E75C92"/>
    <w:rsid w:val="00E771DC"/>
    <w:rsid w:val="00E87434"/>
    <w:rsid w:val="00E8772A"/>
    <w:rsid w:val="00E90F6B"/>
    <w:rsid w:val="00E92C27"/>
    <w:rsid w:val="00E94C79"/>
    <w:rsid w:val="00E96322"/>
    <w:rsid w:val="00EA0C68"/>
    <w:rsid w:val="00EA0E3D"/>
    <w:rsid w:val="00EB0AA1"/>
    <w:rsid w:val="00EB3E46"/>
    <w:rsid w:val="00EC38A7"/>
    <w:rsid w:val="00EC679A"/>
    <w:rsid w:val="00ED20B8"/>
    <w:rsid w:val="00ED5FD4"/>
    <w:rsid w:val="00ED66F4"/>
    <w:rsid w:val="00EE1AA8"/>
    <w:rsid w:val="00EF1EE0"/>
    <w:rsid w:val="00EF2181"/>
    <w:rsid w:val="00F00473"/>
    <w:rsid w:val="00F146F4"/>
    <w:rsid w:val="00F1796B"/>
    <w:rsid w:val="00F20EBE"/>
    <w:rsid w:val="00F31EDC"/>
    <w:rsid w:val="00F462B3"/>
    <w:rsid w:val="00F502D3"/>
    <w:rsid w:val="00F52FD5"/>
    <w:rsid w:val="00F5664F"/>
    <w:rsid w:val="00F60A2F"/>
    <w:rsid w:val="00F628BB"/>
    <w:rsid w:val="00F629B6"/>
    <w:rsid w:val="00F663FB"/>
    <w:rsid w:val="00F666C4"/>
    <w:rsid w:val="00F76AFC"/>
    <w:rsid w:val="00F923E5"/>
    <w:rsid w:val="00F95342"/>
    <w:rsid w:val="00F97A4F"/>
    <w:rsid w:val="00FA47C0"/>
    <w:rsid w:val="00FB5DD1"/>
    <w:rsid w:val="00FB76DE"/>
    <w:rsid w:val="00FC2B5D"/>
    <w:rsid w:val="00FD2AE6"/>
    <w:rsid w:val="00FE6593"/>
    <w:rsid w:val="00FF1449"/>
    <w:rsid w:val="00FF6E5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38F43A54-EBE6-E045-BD46-C5AD2082C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27895"/>
    <w:pPr>
      <w:spacing w:line="240" w:lineRule="exact"/>
    </w:pPr>
    <w:rPr>
      <w:vertAlign w:val="superscript"/>
    </w:rPr>
  </w:style>
  <w:style w:type="character" w:customStyle="1" w:styleId="baj">
    <w:name w:val="b_aj"/>
    <w:basedOn w:val="Fuentedeprrafopredeter"/>
    <w:rsid w:val="00927895"/>
  </w:style>
  <w:style w:type="character" w:customStyle="1" w:styleId="NormalWebCar">
    <w:name w:val="Normal (Web) Car"/>
    <w:link w:val="NormalWeb"/>
    <w:uiPriority w:val="99"/>
    <w:locked/>
    <w:rsid w:val="00927895"/>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2789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sesorialegal@defensajuridic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ernando.Ruiz@defensajuridic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20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8AA3217-32F5-4050-8A97-63B507DA8025}">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9d85dbaf-23eb-4e57-a637-93dcacc8b1a1"/>
    <ds:schemaRef ds:uri="http://schemas.openxmlformats.org/package/2006/metadata/core-properties"/>
    <ds:schemaRef ds:uri="http://purl.org/dc/elements/1.1/"/>
    <ds:schemaRef ds:uri="http://schemas.microsoft.com/office/infopath/2007/PartnerControls"/>
    <ds:schemaRef ds:uri="http://www.w3.org/XML/1998/namespace"/>
    <ds:schemaRef ds:uri="http://schemas.microsoft.com/office/2006/metadata/properties"/>
    <ds:schemaRef ds:uri="http://purl.org/dc/terms/"/>
    <ds:schemaRef ds:uri="a6cb9e4b-f1d1-4245-83ec-6cad768d538a"/>
    <ds:schemaRef ds:uri="http://purl.org/dc/dcmitype/"/>
  </ds:schemaRefs>
</ds:datastoreItem>
</file>

<file path=customXml/itemProps4.xml><?xml version="1.0" encoding="utf-8"?>
<ds:datastoreItem xmlns:ds="http://schemas.openxmlformats.org/officeDocument/2006/customXml" ds:itemID="{3217B821-9112-4A55-819E-66706B0661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24</Pages>
  <Words>7914</Words>
  <Characters>42658</Characters>
  <Application>Microsoft Office Word</Application>
  <DocSecurity>0</DocSecurity>
  <Lines>853</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2023-01-10T18:18:00Z</cp:lastPrinted>
  <dcterms:created xsi:type="dcterms:W3CDTF">2025-10-29T21:34:00Z</dcterms:created>
  <dcterms:modified xsi:type="dcterms:W3CDTF">2025-10-29T21:34:00Z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