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F1945" w14:textId="77777777" w:rsidR="002B61C0" w:rsidRPr="002B61C0" w:rsidRDefault="002B61C0" w:rsidP="002B61C0">
      <w:pPr>
        <w:spacing w:after="0" w:line="240" w:lineRule="auto"/>
        <w:jc w:val="both"/>
        <w:rPr>
          <w:rFonts w:ascii="Verdana" w:eastAsia="Geomanist Light" w:hAnsi="Verdana" w:cs="Arial"/>
          <w:b/>
          <w:color w:val="000000" w:themeColor="text1"/>
          <w:lang w:val="es-ES_tradnl"/>
        </w:rPr>
      </w:pPr>
      <w:r w:rsidRPr="002B61C0">
        <w:rPr>
          <w:rFonts w:ascii="Verdana" w:eastAsia="Geomanist Light" w:hAnsi="Verdana" w:cs="Arial"/>
          <w:b/>
          <w:color w:val="000000" w:themeColor="text1"/>
          <w:lang w:val="es-ES_tradnl"/>
        </w:rPr>
        <w:t>PROPONENTE PLURAL ‒ Consorcio ‒ Unión temporal ‒ Concepto – Diferencias</w:t>
      </w:r>
    </w:p>
    <w:p w14:paraId="232949D7" w14:textId="77777777" w:rsidR="002B61C0" w:rsidRPr="002B61C0" w:rsidRDefault="002B61C0" w:rsidP="002B61C0">
      <w:pPr>
        <w:spacing w:after="0" w:line="240" w:lineRule="auto"/>
        <w:jc w:val="both"/>
        <w:rPr>
          <w:rFonts w:ascii="Verdana" w:eastAsia="Geomanist Light" w:hAnsi="Verdana" w:cs="Arial"/>
          <w:bCs/>
          <w:color w:val="000000" w:themeColor="text1"/>
          <w:lang w:val="es-ES_tradnl"/>
        </w:rPr>
      </w:pPr>
    </w:p>
    <w:p w14:paraId="02029021" w14:textId="77777777" w:rsidR="002B61C0" w:rsidRPr="00E90C4E" w:rsidRDefault="002B61C0" w:rsidP="002B61C0">
      <w:pPr>
        <w:spacing w:after="0" w:line="240" w:lineRule="auto"/>
        <w:jc w:val="both"/>
        <w:rPr>
          <w:rFonts w:ascii="Verdana" w:eastAsia="Geomanist Light" w:hAnsi="Verdana" w:cs="Arial"/>
          <w:color w:val="000000" w:themeColor="text1"/>
          <w:sz w:val="20"/>
          <w:szCs w:val="20"/>
        </w:rPr>
      </w:pPr>
      <w:r w:rsidRPr="00E90C4E">
        <w:rPr>
          <w:rFonts w:ascii="Verdana" w:eastAsia="Geomanist Light" w:hAnsi="Verdana" w:cs="Arial"/>
          <w:color w:val="000000" w:themeColor="text1"/>
          <w:sz w:val="20"/>
          <w:szCs w:val="20"/>
        </w:rPr>
        <w:t xml:space="preserve">[…]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375FFF5B" w14:textId="77777777" w:rsidR="002B61C0" w:rsidRPr="002B61C0" w:rsidRDefault="002B61C0" w:rsidP="002B61C0">
      <w:pPr>
        <w:spacing w:after="0" w:line="240" w:lineRule="auto"/>
        <w:jc w:val="both"/>
        <w:rPr>
          <w:rFonts w:ascii="Verdana" w:eastAsia="Geomanist Light" w:hAnsi="Verdana" w:cs="Arial"/>
          <w:color w:val="000000" w:themeColor="text1"/>
        </w:rPr>
      </w:pPr>
      <w:r w:rsidRPr="002B61C0">
        <w:rPr>
          <w:rFonts w:ascii="Verdana" w:eastAsia="Geomanist Light" w:hAnsi="Verdana" w:cs="Arial"/>
          <w:color w:val="000000" w:themeColor="text1"/>
        </w:rPr>
        <w:t xml:space="preserve"> </w:t>
      </w:r>
    </w:p>
    <w:p w14:paraId="78D416D5" w14:textId="77777777" w:rsidR="002B61C0" w:rsidRPr="002B61C0" w:rsidRDefault="002B61C0" w:rsidP="002B61C0">
      <w:pPr>
        <w:spacing w:after="0" w:line="240" w:lineRule="auto"/>
        <w:jc w:val="both"/>
        <w:rPr>
          <w:rFonts w:ascii="Verdana" w:eastAsia="Geomanist Light" w:hAnsi="Verdana" w:cs="Arial"/>
          <w:b/>
          <w:color w:val="000000" w:themeColor="text1"/>
        </w:rPr>
      </w:pPr>
      <w:r w:rsidRPr="002B61C0">
        <w:rPr>
          <w:rFonts w:ascii="Verdana" w:eastAsia="Geomanist Light" w:hAnsi="Verdana" w:cs="Arial"/>
          <w:b/>
          <w:color w:val="000000" w:themeColor="text1"/>
          <w:lang w:val="es-ES_tradnl"/>
        </w:rPr>
        <w:t>CONSORCIOS Y UNIONES TEMPORALES – Ausencia de personería jurídica – Capacidad jurídica restringida</w:t>
      </w:r>
    </w:p>
    <w:p w14:paraId="7B7CD2E0" w14:textId="77777777" w:rsidR="002B61C0" w:rsidRPr="002B61C0" w:rsidRDefault="002B61C0" w:rsidP="002B61C0">
      <w:pPr>
        <w:spacing w:after="0" w:line="240" w:lineRule="auto"/>
        <w:jc w:val="both"/>
        <w:rPr>
          <w:rFonts w:ascii="Verdana" w:eastAsia="Geomanist Light" w:hAnsi="Verdana" w:cs="Arial"/>
          <w:bCs/>
          <w:color w:val="000000" w:themeColor="text1"/>
          <w:lang w:val="es-ES_tradnl"/>
        </w:rPr>
      </w:pPr>
    </w:p>
    <w:p w14:paraId="7EB2D1FC" w14:textId="77777777" w:rsidR="002B61C0" w:rsidRPr="00E90C4E" w:rsidRDefault="002B61C0" w:rsidP="002B61C0">
      <w:pPr>
        <w:spacing w:after="0" w:line="240" w:lineRule="auto"/>
        <w:jc w:val="both"/>
        <w:rPr>
          <w:rFonts w:ascii="Verdana" w:eastAsia="Geomanist Light" w:hAnsi="Verdana" w:cs="Arial"/>
          <w:bCs/>
          <w:color w:val="000000" w:themeColor="text1"/>
          <w:sz w:val="20"/>
          <w:szCs w:val="20"/>
          <w:lang w:val="es-ES"/>
        </w:rPr>
      </w:pPr>
      <w:r w:rsidRPr="00E90C4E">
        <w:rPr>
          <w:rFonts w:ascii="Verdana" w:eastAsia="Geomanist Light" w:hAnsi="Verdana" w:cs="Arial"/>
          <w:bCs/>
          <w:color w:val="000000" w:themeColor="text1"/>
          <w:sz w:val="20"/>
          <w:szCs w:val="20"/>
          <w:lang w:val="es-ES"/>
        </w:rPr>
        <w:t>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w:t>
      </w:r>
    </w:p>
    <w:p w14:paraId="2D2E9F11" w14:textId="77777777" w:rsidR="002B61C0" w:rsidRPr="00E90C4E" w:rsidRDefault="002B61C0" w:rsidP="002B61C0">
      <w:pPr>
        <w:spacing w:after="0" w:line="240" w:lineRule="auto"/>
        <w:jc w:val="both"/>
        <w:rPr>
          <w:rFonts w:ascii="Verdana" w:eastAsia="Geomanist Light" w:hAnsi="Verdana" w:cs="Arial"/>
          <w:bCs/>
          <w:color w:val="000000" w:themeColor="text1"/>
          <w:sz w:val="20"/>
          <w:szCs w:val="20"/>
          <w:lang w:val="es-ES"/>
        </w:rPr>
      </w:pPr>
    </w:p>
    <w:p w14:paraId="70992604" w14:textId="77777777" w:rsidR="002B61C0" w:rsidRPr="00E90C4E" w:rsidRDefault="002B61C0" w:rsidP="002B61C0">
      <w:pPr>
        <w:spacing w:after="0" w:line="240" w:lineRule="auto"/>
        <w:jc w:val="both"/>
        <w:rPr>
          <w:rFonts w:ascii="Verdana" w:eastAsia="Geomanist Light" w:hAnsi="Verdana" w:cs="Arial"/>
          <w:color w:val="000000" w:themeColor="text1"/>
          <w:sz w:val="20"/>
          <w:szCs w:val="20"/>
        </w:rPr>
      </w:pPr>
      <w:r w:rsidRPr="00E90C4E">
        <w:rPr>
          <w:rFonts w:ascii="Verdana" w:eastAsia="Geomanist Light" w:hAnsi="Verdana" w:cs="Arial"/>
          <w:bCs/>
          <w:color w:val="000000" w:themeColor="text1"/>
          <w:sz w:val="20"/>
          <w:szCs w:val="20"/>
          <w:lang w:val="es-ES"/>
        </w:rPr>
        <w:t>[…] el consorcio o la unión temporal se da “Cuando dos o más personas en forma conjunta presentan una misma propuesta para la adjudicación, celebración y ejecución de un contrato […]”.</w:t>
      </w:r>
      <w:r w:rsidRPr="00E90C4E">
        <w:rPr>
          <w:rFonts w:ascii="Verdana" w:eastAsia="Geomanist Light" w:hAnsi="Verdana" w:cs="Arial"/>
          <w:color w:val="000000" w:themeColor="text1"/>
          <w:sz w:val="20"/>
          <w:szCs w:val="20"/>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3E54554C" w14:textId="77777777" w:rsidR="002B61C0" w:rsidRPr="00E90C4E" w:rsidRDefault="002B61C0" w:rsidP="002B61C0">
      <w:pPr>
        <w:spacing w:after="0" w:line="240" w:lineRule="auto"/>
        <w:jc w:val="both"/>
        <w:rPr>
          <w:rFonts w:ascii="Verdana" w:eastAsia="Geomanist Light" w:hAnsi="Verdana" w:cs="Arial"/>
          <w:color w:val="000000" w:themeColor="text1"/>
          <w:sz w:val="20"/>
          <w:szCs w:val="20"/>
        </w:rPr>
      </w:pPr>
    </w:p>
    <w:p w14:paraId="4459298A" w14:textId="77777777" w:rsidR="002B61C0" w:rsidRPr="00E90C4E" w:rsidRDefault="002B61C0" w:rsidP="002B61C0">
      <w:pPr>
        <w:spacing w:after="0" w:line="240" w:lineRule="auto"/>
        <w:jc w:val="both"/>
        <w:rPr>
          <w:rFonts w:ascii="Verdana" w:eastAsia="Geomanist Light" w:hAnsi="Verdana" w:cs="Arial"/>
          <w:color w:val="000000" w:themeColor="text1"/>
          <w:sz w:val="20"/>
          <w:szCs w:val="20"/>
          <w:lang w:val="es-MX"/>
        </w:rPr>
      </w:pPr>
      <w:r w:rsidRPr="00E90C4E">
        <w:rPr>
          <w:rFonts w:ascii="Verdana" w:eastAsia="Geomanist Light" w:hAnsi="Verdana" w:cs="Arial"/>
          <w:color w:val="000000" w:themeColor="text1"/>
          <w:sz w:val="20"/>
          <w:szCs w:val="20"/>
        </w:rPr>
        <w:t>La capacidad jurídica de los proponentes plurales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de la Ley 80 de 1993 se restringe a las actividades allí dispuestas sin que se extienda, por ejemplo, a la celebración de contratos de fiducia, cesiones de crédito, cesiones de contrato o subcontratos. En estos casos, la celebración de dichos negocios jurídicos no corresponde a la estructura plural, sino a todos sus integrantes de forma conjunta. Es decir, fuera de las actividades descritas en el EGCAP, son los participantes –no estructura plural– los que tienen personería y capacidad para actuar.</w:t>
      </w:r>
    </w:p>
    <w:p w14:paraId="2B9B604F" w14:textId="77777777" w:rsidR="002B61C0" w:rsidRPr="002B61C0" w:rsidRDefault="002B61C0" w:rsidP="002B61C0">
      <w:pPr>
        <w:spacing w:after="0" w:line="240" w:lineRule="auto"/>
        <w:rPr>
          <w:rFonts w:ascii="Verdana" w:eastAsia="Geomanist Light" w:hAnsi="Verdana" w:cs="Arial"/>
          <w:color w:val="000000" w:themeColor="text1"/>
          <w:lang w:val="es-MX"/>
        </w:rPr>
      </w:pPr>
    </w:p>
    <w:p w14:paraId="02CA93FD" w14:textId="77777777" w:rsidR="002B61C0" w:rsidRPr="002B61C0" w:rsidRDefault="002B61C0" w:rsidP="002B61C0">
      <w:pPr>
        <w:spacing w:after="0" w:line="240" w:lineRule="auto"/>
        <w:jc w:val="both"/>
        <w:rPr>
          <w:rFonts w:ascii="Verdana" w:eastAsia="Geomanist Light" w:hAnsi="Verdana" w:cs="Arial"/>
          <w:b/>
          <w:color w:val="000000" w:themeColor="text1"/>
        </w:rPr>
      </w:pPr>
      <w:r w:rsidRPr="002B61C0">
        <w:rPr>
          <w:rFonts w:ascii="Verdana" w:eastAsia="Geomanist Light" w:hAnsi="Verdana" w:cs="Arial"/>
          <w:b/>
          <w:color w:val="000000" w:themeColor="text1"/>
          <w:lang w:val="es-ES_tradnl"/>
        </w:rPr>
        <w:t>CONSORCIOS Y UNIONES TEMPORALES – Capacidad jurídica restringida – Cambio jurisprudencial – Sentencia de unificación – Comparecer en acciones judiciales</w:t>
      </w:r>
    </w:p>
    <w:p w14:paraId="309C09DB" w14:textId="77777777" w:rsidR="002B61C0" w:rsidRPr="002B61C0" w:rsidRDefault="002B61C0" w:rsidP="002B61C0">
      <w:pPr>
        <w:spacing w:after="0" w:line="240" w:lineRule="auto"/>
        <w:rPr>
          <w:rFonts w:ascii="Verdana" w:eastAsia="Geomanist Light" w:hAnsi="Verdana" w:cs="Arial"/>
          <w:color w:val="000000" w:themeColor="text1"/>
        </w:rPr>
      </w:pPr>
    </w:p>
    <w:p w14:paraId="6D32F232" w14:textId="77777777" w:rsidR="002B61C0" w:rsidRPr="00E90C4E" w:rsidRDefault="002B61C0" w:rsidP="002B61C0">
      <w:pPr>
        <w:spacing w:after="0" w:line="240" w:lineRule="auto"/>
        <w:jc w:val="both"/>
        <w:rPr>
          <w:rFonts w:ascii="Verdana" w:eastAsia="Geomanist Light" w:hAnsi="Verdana" w:cs="Arial"/>
          <w:color w:val="000000" w:themeColor="text1"/>
          <w:sz w:val="20"/>
          <w:szCs w:val="20"/>
        </w:rPr>
      </w:pPr>
      <w:r w:rsidRPr="00E90C4E">
        <w:rPr>
          <w:rFonts w:ascii="Verdana" w:eastAsia="Geomanist Light" w:hAnsi="Verdana" w:cs="Arial"/>
          <w:color w:val="000000" w:themeColor="text1"/>
          <w:sz w:val="20"/>
          <w:szCs w:val="20"/>
        </w:rPr>
        <w:t>Sin embargo, respecto de su pregunta, esa capacidad jurídica de los consorcios no solo se limita al campo de la contratación estatal, debido al cambio jurisprudencial que realizó el Consejo de Estado en el año 2013, mediante sentencia de unificación, donde extendió la capacidad jurídica de los consorcios a los procesos judiciales con ocasión de su participación en procesos de contratación estatal. Lo anterior ha sido ratificado en providencias posteriores</w:t>
      </w:r>
      <w:r w:rsidRPr="00E90C4E">
        <w:rPr>
          <w:rFonts w:eastAsia="Geomanist Light"/>
          <w:sz w:val="20"/>
          <w:szCs w:val="20"/>
        </w:rPr>
        <w:footnoteReference w:id="1"/>
      </w:r>
      <w:r w:rsidRPr="00E90C4E">
        <w:rPr>
          <w:rFonts w:ascii="Verdana" w:eastAsia="Geomanist Light" w:hAnsi="Verdana" w:cs="Arial"/>
          <w:color w:val="000000" w:themeColor="text1"/>
          <w:sz w:val="20"/>
          <w:szCs w:val="20"/>
        </w:rPr>
        <w:t xml:space="preserve">, y el cambio radica en que, en principio, el Consejo de Estado afirmó que los proponentes plurales no tienen personería jurídica diferente a la de sus miembros, por lo que no pueden comparecer en proceso ante autoridades judiciales porque solo sus miembros en tanto sean personas naturales o jurídicas son los titulares de la capacidad para actuar como sujetos procesales. </w:t>
      </w:r>
    </w:p>
    <w:p w14:paraId="56825EA0" w14:textId="77777777" w:rsidR="002B61C0" w:rsidRPr="00E90C4E" w:rsidRDefault="002B61C0" w:rsidP="002B61C0">
      <w:pPr>
        <w:spacing w:after="0" w:line="240" w:lineRule="auto"/>
        <w:jc w:val="both"/>
        <w:rPr>
          <w:rFonts w:ascii="Verdana" w:eastAsia="Geomanist Light" w:hAnsi="Verdana" w:cs="Arial"/>
          <w:color w:val="000000" w:themeColor="text1"/>
          <w:sz w:val="20"/>
          <w:szCs w:val="20"/>
        </w:rPr>
      </w:pPr>
    </w:p>
    <w:p w14:paraId="627500B5" w14:textId="77777777" w:rsidR="002B61C0" w:rsidRPr="00E90C4E" w:rsidRDefault="002B61C0" w:rsidP="002B61C0">
      <w:pPr>
        <w:spacing w:after="0" w:line="240" w:lineRule="auto"/>
        <w:jc w:val="both"/>
        <w:rPr>
          <w:rFonts w:ascii="Verdana" w:eastAsia="Geomanist Light" w:hAnsi="Verdana" w:cs="Arial"/>
          <w:color w:val="000000" w:themeColor="text1"/>
          <w:sz w:val="20"/>
          <w:szCs w:val="20"/>
        </w:rPr>
      </w:pPr>
      <w:r w:rsidRPr="00E90C4E">
        <w:rPr>
          <w:rFonts w:ascii="Verdana" w:eastAsia="Geomanist Light" w:hAnsi="Verdana" w:cs="Arial"/>
          <w:color w:val="000000" w:themeColor="text1"/>
          <w:sz w:val="20"/>
          <w:szCs w:val="20"/>
        </w:rPr>
        <w:t xml:space="preserve">Sobre esta postura, el Consejo de Estado realizó una rectificación jurisprudencial en la sentencia de unificación con radicado 19.933 del 25 de septiembre de 2013, Consejero ponente Mauricio Fajardo Gómez, de lo cual se destaca que: i) los consorcios tienen capacidad jurídica a pesar de no tener personería jurídica porque la ley así lo determinó, y para tener capacidad jurídica no es requisito ser persona, </w:t>
      </w:r>
      <w:proofErr w:type="spellStart"/>
      <w:r w:rsidRPr="00E90C4E">
        <w:rPr>
          <w:rFonts w:ascii="Verdana" w:eastAsia="Geomanist Light" w:hAnsi="Verdana" w:cs="Arial"/>
          <w:color w:val="000000" w:themeColor="text1"/>
          <w:sz w:val="20"/>
          <w:szCs w:val="20"/>
        </w:rPr>
        <w:t>ii</w:t>
      </w:r>
      <w:proofErr w:type="spellEnd"/>
      <w:r w:rsidRPr="00E90C4E">
        <w:rPr>
          <w:rFonts w:ascii="Verdana" w:eastAsia="Geomanist Light" w:hAnsi="Verdana" w:cs="Arial"/>
          <w:color w:val="000000" w:themeColor="text1"/>
          <w:sz w:val="20"/>
          <w:szCs w:val="20"/>
        </w:rPr>
        <w:t xml:space="preserve">) la capacidad para obrar como demandante en el Código Contencioso Administrativo (ahora Código de Procedimiento Administrativo y de lo Contencioso Administrativo) no exige personalidad jurídica independiente, </w:t>
      </w:r>
      <w:proofErr w:type="spellStart"/>
      <w:r w:rsidRPr="00E90C4E">
        <w:rPr>
          <w:rFonts w:ascii="Verdana" w:eastAsia="Geomanist Light" w:hAnsi="Verdana" w:cs="Arial"/>
          <w:color w:val="000000" w:themeColor="text1"/>
          <w:sz w:val="20"/>
          <w:szCs w:val="20"/>
        </w:rPr>
        <w:t>iii</w:t>
      </w:r>
      <w:proofErr w:type="spellEnd"/>
      <w:r w:rsidRPr="00E90C4E">
        <w:rPr>
          <w:rFonts w:ascii="Verdana" w:eastAsia="Geomanist Light" w:hAnsi="Verdana" w:cs="Arial"/>
          <w:color w:val="000000" w:themeColor="text1"/>
          <w:sz w:val="20"/>
          <w:szCs w:val="20"/>
        </w:rPr>
        <w:t xml:space="preserve">) la personería jurídica no es un requisito para ejercer acciones judiciales, </w:t>
      </w:r>
      <w:proofErr w:type="spellStart"/>
      <w:r w:rsidRPr="00E90C4E">
        <w:rPr>
          <w:rFonts w:ascii="Verdana" w:eastAsia="Geomanist Light" w:hAnsi="Verdana" w:cs="Arial"/>
          <w:color w:val="000000" w:themeColor="text1"/>
          <w:sz w:val="20"/>
          <w:szCs w:val="20"/>
        </w:rPr>
        <w:t>iv</w:t>
      </w:r>
      <w:proofErr w:type="spellEnd"/>
      <w:r w:rsidRPr="00E90C4E">
        <w:rPr>
          <w:rFonts w:ascii="Verdana" w:eastAsia="Geomanist Light" w:hAnsi="Verdana" w:cs="Arial"/>
          <w:color w:val="000000" w:themeColor="text1"/>
          <w:sz w:val="20"/>
          <w:szCs w:val="20"/>
        </w:rPr>
        <w:t xml:space="preserve">) la capacidad jurídica otorgada por la Ley 80 de 1993 a los proponentes plurales proyecta sus efectos en el campo procesal para ser parte en procesos judiciales relacionados con los procedimientos de selección contractual o con el contrato estatal propiamente, ya que sería contradictorio que tuvieran capacidad jurídica para celebrar contratos pero no para defender los derechos y obligaciones derivados de estos en el ámbito judicial, v) el legislador no limitó el alcance de las facultades del representante legal de un consorcio, por lo que la jurisprudencia no puede limitar la representación legal a la celebración y ejecución del contrato estatal, y </w:t>
      </w:r>
      <w:proofErr w:type="spellStart"/>
      <w:r w:rsidRPr="00E90C4E">
        <w:rPr>
          <w:rFonts w:ascii="Verdana" w:eastAsia="Geomanist Light" w:hAnsi="Verdana" w:cs="Arial"/>
          <w:color w:val="000000" w:themeColor="text1"/>
          <w:sz w:val="20"/>
          <w:szCs w:val="20"/>
        </w:rPr>
        <w:t>iv</w:t>
      </w:r>
      <w:proofErr w:type="spellEnd"/>
      <w:r w:rsidRPr="00E90C4E">
        <w:rPr>
          <w:rFonts w:ascii="Verdana" w:eastAsia="Geomanist Light" w:hAnsi="Verdana" w:cs="Arial"/>
          <w:color w:val="000000" w:themeColor="text1"/>
          <w:sz w:val="20"/>
          <w:szCs w:val="20"/>
        </w:rPr>
        <w:t>) la rectificación jurisprudencial no se opone a que los integrantes del proponente plural, individualmente considerados, comparezcan a los procesos judiciales.</w:t>
      </w:r>
    </w:p>
    <w:p w14:paraId="3DA8FEC3" w14:textId="77777777" w:rsidR="002B61C0" w:rsidRPr="002B61C0" w:rsidRDefault="002B61C0" w:rsidP="002B61C0">
      <w:pPr>
        <w:spacing w:after="0" w:line="240" w:lineRule="auto"/>
        <w:rPr>
          <w:rFonts w:ascii="Verdana" w:eastAsia="Geomanist Light" w:hAnsi="Verdana" w:cs="Arial"/>
          <w:color w:val="000000" w:themeColor="text1"/>
          <w:lang w:val="es-ES"/>
        </w:rPr>
      </w:pPr>
    </w:p>
    <w:p w14:paraId="004E5C8C" w14:textId="77777777" w:rsidR="00964B40" w:rsidRDefault="00964B40" w:rsidP="002B61C0">
      <w:pPr>
        <w:spacing w:after="0" w:line="240" w:lineRule="auto"/>
        <w:jc w:val="both"/>
        <w:rPr>
          <w:rFonts w:ascii="Verdana" w:eastAsia="Geomanist Light" w:hAnsi="Verdana" w:cs="Arial"/>
          <w:color w:val="000000" w:themeColor="text1"/>
          <w:lang w:val="es-ES"/>
        </w:rPr>
      </w:pPr>
    </w:p>
    <w:p w14:paraId="329BFB68" w14:textId="77777777" w:rsidR="00964B40" w:rsidRDefault="00964B40" w:rsidP="002B61C0">
      <w:pPr>
        <w:spacing w:after="0" w:line="240" w:lineRule="auto"/>
        <w:jc w:val="both"/>
        <w:rPr>
          <w:rFonts w:ascii="Verdana" w:eastAsia="Geomanist Light" w:hAnsi="Verdana" w:cs="Arial"/>
          <w:color w:val="000000" w:themeColor="text1"/>
          <w:lang w:val="es-ES"/>
        </w:rPr>
      </w:pPr>
    </w:p>
    <w:p w14:paraId="5597B87F" w14:textId="77777777" w:rsidR="00964B40" w:rsidRDefault="00964B40" w:rsidP="002B61C0">
      <w:pPr>
        <w:spacing w:after="0" w:line="240" w:lineRule="auto"/>
        <w:jc w:val="both"/>
        <w:rPr>
          <w:rFonts w:ascii="Verdana" w:eastAsia="Geomanist Light" w:hAnsi="Verdana" w:cs="Arial"/>
          <w:color w:val="000000" w:themeColor="text1"/>
          <w:lang w:val="es-ES"/>
        </w:rPr>
      </w:pPr>
    </w:p>
    <w:p w14:paraId="714F36FC" w14:textId="77777777" w:rsidR="00E90C4E" w:rsidRDefault="00E90C4E" w:rsidP="002B61C0">
      <w:pPr>
        <w:spacing w:after="0" w:line="240" w:lineRule="auto"/>
        <w:jc w:val="both"/>
        <w:rPr>
          <w:rFonts w:ascii="Verdana" w:eastAsia="Geomanist Light" w:hAnsi="Verdana" w:cs="Arial"/>
          <w:color w:val="000000" w:themeColor="text1"/>
          <w:lang w:val="es-ES"/>
        </w:rPr>
      </w:pPr>
    </w:p>
    <w:p w14:paraId="6C5FFE45" w14:textId="77777777" w:rsidR="00992015" w:rsidRDefault="00992015" w:rsidP="002B61C0">
      <w:pPr>
        <w:spacing w:after="0" w:line="240" w:lineRule="auto"/>
        <w:jc w:val="both"/>
        <w:rPr>
          <w:rFonts w:ascii="Verdana" w:eastAsia="Geomanist Light" w:hAnsi="Verdana" w:cs="Arial"/>
          <w:color w:val="000000" w:themeColor="text1"/>
          <w:lang w:val="es-ES"/>
        </w:rPr>
      </w:pPr>
    </w:p>
    <w:p w14:paraId="5DF09963" w14:textId="77777777" w:rsidR="00992015" w:rsidRDefault="00992015" w:rsidP="002B61C0">
      <w:pPr>
        <w:spacing w:after="0" w:line="240" w:lineRule="auto"/>
        <w:jc w:val="both"/>
        <w:rPr>
          <w:rFonts w:ascii="Verdana" w:eastAsia="Geomanist Light" w:hAnsi="Verdana" w:cs="Arial"/>
          <w:color w:val="000000" w:themeColor="text1"/>
          <w:lang w:val="es-ES"/>
        </w:rPr>
      </w:pPr>
    </w:p>
    <w:p w14:paraId="1A4DC1CB" w14:textId="77777777" w:rsidR="00992015" w:rsidRDefault="00992015" w:rsidP="002B61C0">
      <w:pPr>
        <w:spacing w:after="0" w:line="240" w:lineRule="auto"/>
        <w:jc w:val="both"/>
        <w:rPr>
          <w:rFonts w:ascii="Verdana" w:eastAsia="Geomanist Light" w:hAnsi="Verdana" w:cs="Arial"/>
          <w:color w:val="000000" w:themeColor="text1"/>
          <w:lang w:val="es-ES"/>
        </w:rPr>
      </w:pPr>
    </w:p>
    <w:p w14:paraId="721BF7C0" w14:textId="77777777" w:rsidR="00992015" w:rsidRDefault="00992015" w:rsidP="002B61C0">
      <w:pPr>
        <w:spacing w:after="0" w:line="240" w:lineRule="auto"/>
        <w:jc w:val="both"/>
        <w:rPr>
          <w:rFonts w:ascii="Verdana" w:eastAsia="Geomanist Light" w:hAnsi="Verdana" w:cs="Arial"/>
          <w:color w:val="000000" w:themeColor="text1"/>
          <w:lang w:val="es-ES"/>
        </w:rPr>
      </w:pPr>
    </w:p>
    <w:p w14:paraId="309BBD08" w14:textId="77777777" w:rsidR="00992015" w:rsidRDefault="00992015" w:rsidP="002B61C0">
      <w:pPr>
        <w:spacing w:after="0" w:line="240" w:lineRule="auto"/>
        <w:jc w:val="both"/>
        <w:rPr>
          <w:rFonts w:ascii="Verdana" w:eastAsia="Geomanist Light" w:hAnsi="Verdana" w:cs="Arial"/>
          <w:color w:val="000000" w:themeColor="text1"/>
          <w:lang w:val="es-ES"/>
        </w:rPr>
      </w:pPr>
    </w:p>
    <w:p w14:paraId="28D4407D" w14:textId="77777777" w:rsidR="00992015" w:rsidRDefault="00992015" w:rsidP="002B61C0">
      <w:pPr>
        <w:spacing w:after="0" w:line="240" w:lineRule="auto"/>
        <w:jc w:val="both"/>
        <w:rPr>
          <w:rFonts w:ascii="Verdana" w:eastAsia="Geomanist Light" w:hAnsi="Verdana" w:cs="Arial"/>
          <w:color w:val="000000" w:themeColor="text1"/>
          <w:lang w:val="es-ES"/>
        </w:rPr>
      </w:pPr>
    </w:p>
    <w:p w14:paraId="174264F8" w14:textId="61AF9AD8" w:rsidR="002B61C0" w:rsidRDefault="002B61C0" w:rsidP="002B61C0">
      <w:pPr>
        <w:spacing w:after="0" w:line="240" w:lineRule="auto"/>
        <w:jc w:val="both"/>
        <w:rPr>
          <w:rFonts w:ascii="Verdana" w:eastAsia="Geomanist Light" w:hAnsi="Verdana" w:cs="Arial"/>
          <w:color w:val="000000" w:themeColor="text1"/>
          <w:lang w:val="es-ES"/>
        </w:rPr>
      </w:pPr>
      <w:r w:rsidRPr="5AB88118">
        <w:rPr>
          <w:rFonts w:ascii="Verdana" w:eastAsia="Geomanist Light" w:hAnsi="Verdana" w:cs="Arial"/>
          <w:color w:val="000000" w:themeColor="text1"/>
          <w:lang w:val="es-ES"/>
        </w:rPr>
        <w:lastRenderedPageBreak/>
        <w:t xml:space="preserve">Bogotá D.C., </w:t>
      </w:r>
      <w:r w:rsidR="00964B40">
        <w:rPr>
          <w:rFonts w:ascii="Verdana" w:eastAsia="Geomanist Light" w:hAnsi="Verdana" w:cs="Arial"/>
          <w:color w:val="000000" w:themeColor="text1"/>
          <w:lang w:val="es-ES"/>
        </w:rPr>
        <w:t>27 de octubre de 2025</w:t>
      </w:r>
    </w:p>
    <w:p w14:paraId="42E27280" w14:textId="77777777" w:rsidR="00964B40" w:rsidRDefault="00964B40" w:rsidP="002B61C0">
      <w:pPr>
        <w:spacing w:after="0" w:line="240" w:lineRule="auto"/>
        <w:jc w:val="both"/>
        <w:rPr>
          <w:rFonts w:ascii="Verdana" w:eastAsia="Geomanist Light" w:hAnsi="Verdana" w:cs="Arial"/>
          <w:color w:val="000000" w:themeColor="text1"/>
          <w:lang w:val="es-ES"/>
        </w:rPr>
      </w:pPr>
    </w:p>
    <w:p w14:paraId="77D0DA8A" w14:textId="68CEED51" w:rsidR="00964B40" w:rsidRPr="002B61C0" w:rsidRDefault="00964B40" w:rsidP="00964B40">
      <w:pPr>
        <w:spacing w:after="0" w:line="240" w:lineRule="auto"/>
        <w:jc w:val="right"/>
        <w:rPr>
          <w:rFonts w:ascii="Verdana" w:eastAsia="Geomanist Light" w:hAnsi="Verdana" w:cs="Arial"/>
          <w:color w:val="000000" w:themeColor="text1"/>
          <w:lang w:val="es-ES"/>
        </w:rPr>
      </w:pPr>
    </w:p>
    <w:p w14:paraId="692847AC" w14:textId="2A2A01B7" w:rsidR="002B61C0" w:rsidRPr="002B61C0" w:rsidRDefault="00992015" w:rsidP="002B61C0">
      <w:pPr>
        <w:spacing w:after="0" w:line="240" w:lineRule="auto"/>
        <w:jc w:val="right"/>
        <w:rPr>
          <w:rFonts w:ascii="Verdana" w:eastAsia="Calibri" w:hAnsi="Verdana" w:cs="Arial"/>
          <w:color w:val="000000"/>
          <w:lang w:val="es-ES"/>
        </w:rPr>
      </w:pPr>
      <w:r w:rsidRPr="00964B40">
        <w:rPr>
          <w:rFonts w:ascii="Verdana" w:eastAsia="Geomanist Light" w:hAnsi="Verdana" w:cs="Arial"/>
          <w:noProof/>
          <w:color w:val="000000" w:themeColor="text1"/>
          <w:lang w:val="es-ES"/>
        </w:rPr>
        <w:drawing>
          <wp:anchor distT="0" distB="0" distL="114300" distR="114300" simplePos="0" relativeHeight="251659264" behindDoc="0" locked="0" layoutInCell="1" allowOverlap="1" wp14:anchorId="53A17C42" wp14:editId="289096F5">
            <wp:simplePos x="0" y="0"/>
            <wp:positionH relativeFrom="margin">
              <wp:align>right</wp:align>
            </wp:positionH>
            <wp:positionV relativeFrom="paragraph">
              <wp:posOffset>45720</wp:posOffset>
            </wp:positionV>
            <wp:extent cx="3046730" cy="848995"/>
            <wp:effectExtent l="0" t="0" r="1270" b="8255"/>
            <wp:wrapSquare wrapText="bothSides"/>
            <wp:docPr id="23425217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25217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46730" cy="848995"/>
                    </a:xfrm>
                    <a:prstGeom prst="rect">
                      <a:avLst/>
                    </a:prstGeom>
                  </pic:spPr>
                </pic:pic>
              </a:graphicData>
            </a:graphic>
            <wp14:sizeRelH relativeFrom="margin">
              <wp14:pctWidth>0</wp14:pctWidth>
            </wp14:sizeRelH>
            <wp14:sizeRelV relativeFrom="margin">
              <wp14:pctHeight>0</wp14:pctHeight>
            </wp14:sizeRelV>
          </wp:anchor>
        </w:drawing>
      </w:r>
    </w:p>
    <w:p w14:paraId="4952798F" w14:textId="1D06D51A" w:rsidR="002B61C0" w:rsidRPr="002B61C0" w:rsidRDefault="002B61C0" w:rsidP="002B61C0">
      <w:pPr>
        <w:spacing w:after="0" w:line="240" w:lineRule="auto"/>
        <w:jc w:val="both"/>
        <w:rPr>
          <w:rFonts w:ascii="Verdana" w:eastAsia="Calibri" w:hAnsi="Verdana" w:cs="Arial"/>
          <w:color w:val="000000"/>
          <w:lang w:val="es-ES"/>
        </w:rPr>
      </w:pPr>
    </w:p>
    <w:p w14:paraId="7C0E4840" w14:textId="6B372FCD" w:rsidR="002B61C0" w:rsidRPr="002B61C0" w:rsidRDefault="002B61C0" w:rsidP="002B61C0">
      <w:pPr>
        <w:spacing w:after="0" w:line="240" w:lineRule="auto"/>
        <w:jc w:val="both"/>
        <w:rPr>
          <w:rFonts w:ascii="Verdana" w:eastAsia="Calibri" w:hAnsi="Verdana" w:cs="Arial"/>
          <w:lang w:val="es-ES" w:eastAsia="es-ES"/>
        </w:rPr>
      </w:pPr>
      <w:r w:rsidRPr="002B61C0">
        <w:rPr>
          <w:rFonts w:ascii="Verdana" w:eastAsia="Calibri" w:hAnsi="Verdana" w:cs="Arial"/>
          <w:lang w:val="es-ES" w:eastAsia="es-ES"/>
        </w:rPr>
        <w:t>Señora</w:t>
      </w:r>
    </w:p>
    <w:p w14:paraId="4AF6AF44" w14:textId="77777777" w:rsidR="002B61C0" w:rsidRPr="002B61C0" w:rsidRDefault="002B61C0" w:rsidP="002B61C0">
      <w:pPr>
        <w:spacing w:after="0" w:line="240" w:lineRule="auto"/>
        <w:rPr>
          <w:rFonts w:ascii="Verdana" w:eastAsia="Calibri" w:hAnsi="Verdana" w:cs="Arial"/>
          <w:b/>
          <w:lang w:val="es-ES_tradnl" w:eastAsia="es-ES_tradnl"/>
        </w:rPr>
      </w:pPr>
      <w:r w:rsidRPr="002B61C0">
        <w:rPr>
          <w:rFonts w:ascii="Verdana" w:eastAsia="Calibri" w:hAnsi="Verdana" w:cs="Arial"/>
          <w:b/>
          <w:lang w:val="es-ES_tradnl" w:eastAsia="es-ES_tradnl"/>
        </w:rPr>
        <w:t>Karina Téllez Salas</w:t>
      </w:r>
    </w:p>
    <w:p w14:paraId="74AEB2D2" w14:textId="77777777" w:rsidR="002B61C0" w:rsidRPr="002B61C0" w:rsidRDefault="002B61C0" w:rsidP="002B61C0">
      <w:pPr>
        <w:spacing w:after="0" w:line="240" w:lineRule="auto"/>
        <w:rPr>
          <w:rFonts w:ascii="Verdana" w:eastAsia="Calibri" w:hAnsi="Verdana" w:cs="Arial"/>
          <w:color w:val="4472C4" w:themeColor="accent1"/>
          <w:u w:val="single"/>
          <w:lang w:val="es-ES" w:eastAsia="es-ES"/>
        </w:rPr>
      </w:pPr>
      <w:r w:rsidRPr="002B61C0">
        <w:rPr>
          <w:rFonts w:ascii="Verdana" w:eastAsia="Calibri" w:hAnsi="Verdana" w:cs="Arial"/>
          <w:color w:val="4472C4" w:themeColor="accent1"/>
          <w:u w:val="single"/>
          <w:lang w:val="es-ES" w:eastAsia="es-ES"/>
        </w:rPr>
        <w:t>a30711936@gmail.com</w:t>
      </w:r>
    </w:p>
    <w:p w14:paraId="6D0F0A70" w14:textId="77777777" w:rsidR="002B61C0" w:rsidRPr="002B61C0" w:rsidRDefault="002B61C0" w:rsidP="002B61C0">
      <w:pPr>
        <w:spacing w:after="0" w:line="240" w:lineRule="auto"/>
        <w:rPr>
          <w:rFonts w:ascii="Verdana" w:eastAsia="Calibri" w:hAnsi="Verdana" w:cs="Arial"/>
          <w:lang w:val="es-ES" w:eastAsia="es-ES"/>
        </w:rPr>
      </w:pPr>
      <w:r w:rsidRPr="002B61C0">
        <w:rPr>
          <w:rFonts w:ascii="Verdana" w:eastAsia="Calibri" w:hAnsi="Verdana" w:cs="Arial"/>
          <w:lang w:val="es-ES" w:eastAsia="es-ES"/>
        </w:rPr>
        <w:t>Bogotá D.C.</w:t>
      </w:r>
    </w:p>
    <w:p w14:paraId="7510571B" w14:textId="77777777" w:rsidR="002B61C0" w:rsidRPr="002B61C0" w:rsidRDefault="002B61C0" w:rsidP="002B61C0">
      <w:pPr>
        <w:spacing w:after="0" w:line="240" w:lineRule="auto"/>
        <w:rPr>
          <w:rFonts w:ascii="Verdana" w:eastAsia="Calibri" w:hAnsi="Verdana" w:cs="Arial"/>
          <w:b/>
          <w:bCs/>
          <w:color w:val="000000"/>
          <w:lang w:val="es-ES_tradnl" w:eastAsia="es-ES_tradnl"/>
        </w:rPr>
      </w:pPr>
    </w:p>
    <w:p w14:paraId="0EEAA0B8" w14:textId="77777777" w:rsidR="002B61C0" w:rsidRPr="002B61C0" w:rsidRDefault="002B61C0" w:rsidP="002B61C0">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B61C0" w:rsidRPr="002B61C0" w14:paraId="17F1EF85" w14:textId="77777777" w:rsidTr="008A71F9">
        <w:trPr>
          <w:trHeight w:val="884"/>
        </w:trPr>
        <w:tc>
          <w:tcPr>
            <w:tcW w:w="2689" w:type="dxa"/>
          </w:tcPr>
          <w:p w14:paraId="5A247AB3" w14:textId="77777777" w:rsidR="002B61C0" w:rsidRPr="002B61C0" w:rsidRDefault="002B61C0" w:rsidP="002B61C0">
            <w:pPr>
              <w:jc w:val="both"/>
              <w:rPr>
                <w:rFonts w:ascii="Verdana" w:eastAsia="Calibri" w:hAnsi="Verdana" w:cs="Arial"/>
                <w:b/>
                <w:bCs/>
                <w:color w:val="7030A0"/>
                <w:lang w:val="es-ES_tradnl" w:eastAsia="es-ES_tradnl"/>
              </w:rPr>
            </w:pPr>
          </w:p>
        </w:tc>
        <w:tc>
          <w:tcPr>
            <w:tcW w:w="6100" w:type="dxa"/>
          </w:tcPr>
          <w:p w14:paraId="44840649" w14:textId="77777777" w:rsidR="002B61C0" w:rsidRPr="002B61C0" w:rsidRDefault="002B61C0" w:rsidP="002B61C0">
            <w:pPr>
              <w:jc w:val="both"/>
              <w:rPr>
                <w:rFonts w:ascii="Verdana" w:eastAsia="Calibri" w:hAnsi="Verdana" w:cs="Arial"/>
                <w:b/>
                <w:bCs/>
                <w:color w:val="7030A0"/>
                <w:lang w:val="es-ES" w:eastAsia="es-ES"/>
              </w:rPr>
            </w:pPr>
            <w:r w:rsidRPr="002B61C0">
              <w:rPr>
                <w:rFonts w:ascii="Verdana" w:eastAsia="Calibri" w:hAnsi="Verdana" w:cs="Arial"/>
                <w:b/>
                <w:bCs/>
                <w:lang w:val="es-ES" w:eastAsia="es-ES"/>
              </w:rPr>
              <w:t>Concepto C – 1330 de 2025</w:t>
            </w:r>
          </w:p>
        </w:tc>
      </w:tr>
      <w:tr w:rsidR="002B61C0" w:rsidRPr="002B61C0" w14:paraId="5329D044" w14:textId="77777777" w:rsidTr="008A71F9">
        <w:trPr>
          <w:trHeight w:val="884"/>
        </w:trPr>
        <w:tc>
          <w:tcPr>
            <w:tcW w:w="2689" w:type="dxa"/>
          </w:tcPr>
          <w:p w14:paraId="377E825B" w14:textId="77777777" w:rsidR="002B61C0" w:rsidRPr="002B61C0" w:rsidRDefault="002B61C0" w:rsidP="002B61C0">
            <w:pPr>
              <w:jc w:val="both"/>
              <w:rPr>
                <w:rFonts w:ascii="Verdana" w:eastAsia="Calibri" w:hAnsi="Verdana" w:cs="Arial"/>
                <w:color w:val="000000"/>
                <w:lang w:val="es-ES_tradnl" w:eastAsia="es-ES_tradnl"/>
              </w:rPr>
            </w:pPr>
            <w:r w:rsidRPr="002B61C0">
              <w:rPr>
                <w:rFonts w:ascii="Verdana" w:eastAsia="Calibri" w:hAnsi="Verdana" w:cs="Arial"/>
                <w:b/>
                <w:color w:val="000000"/>
                <w:lang w:val="es-ES_tradnl" w:eastAsia="es-ES_tradnl"/>
              </w:rPr>
              <w:t>Temas:</w:t>
            </w:r>
            <w:r w:rsidRPr="002B61C0">
              <w:rPr>
                <w:rFonts w:ascii="Verdana" w:eastAsia="Calibri" w:hAnsi="Verdana" w:cs="Arial"/>
                <w:color w:val="000000"/>
                <w:lang w:val="es-ES_tradnl" w:eastAsia="es-ES_tradnl"/>
              </w:rPr>
              <w:t xml:space="preserve">                   </w:t>
            </w:r>
          </w:p>
        </w:tc>
        <w:tc>
          <w:tcPr>
            <w:tcW w:w="6100" w:type="dxa"/>
          </w:tcPr>
          <w:p w14:paraId="0B5BAA03" w14:textId="77777777" w:rsidR="002B61C0" w:rsidRPr="002B61C0" w:rsidRDefault="002B61C0" w:rsidP="002B61C0">
            <w:pPr>
              <w:spacing w:line="276" w:lineRule="auto"/>
              <w:jc w:val="both"/>
              <w:rPr>
                <w:rFonts w:ascii="Verdana" w:eastAsia="Calibri" w:hAnsi="Verdana" w:cs="Arial"/>
                <w:lang w:val="es-ES" w:eastAsia="es-ES"/>
              </w:rPr>
            </w:pPr>
            <w:r w:rsidRPr="002B61C0">
              <w:rPr>
                <w:rFonts w:ascii="Verdana" w:eastAsia="Calibri" w:hAnsi="Verdana" w:cs="Arial"/>
                <w:lang w:val="es-ES" w:eastAsia="es-ES"/>
              </w:rPr>
              <w:t>PROPONENTE PLURAL ‒ Consorcio ‒ Unión temporal ‒ Concepto – Diferencias / CONSORCIOS Y UNIONES TEMPORALES – Ausencia de personería jurídica – Capacidad jurídica restringida / CONSORCIOS Y UNIONES TEMPORALES – Capacidad jurídica restringida – Cambio jurisprudencial – Sentencia de unificación – Comparecer en acciones judiciales</w:t>
            </w:r>
          </w:p>
          <w:p w14:paraId="5695FD78" w14:textId="77777777" w:rsidR="002B61C0" w:rsidRPr="002B61C0" w:rsidRDefault="002B61C0" w:rsidP="002B61C0">
            <w:pPr>
              <w:spacing w:line="276" w:lineRule="auto"/>
              <w:jc w:val="both"/>
              <w:rPr>
                <w:rFonts w:ascii="Verdana" w:eastAsia="Calibri" w:hAnsi="Verdana" w:cs="Arial"/>
                <w:lang w:val="es-ES" w:eastAsia="es-ES"/>
              </w:rPr>
            </w:pPr>
          </w:p>
        </w:tc>
      </w:tr>
      <w:tr w:rsidR="002B61C0" w:rsidRPr="002B61C0" w14:paraId="4D343C07" w14:textId="77777777" w:rsidTr="008A71F9">
        <w:tc>
          <w:tcPr>
            <w:tcW w:w="2689" w:type="dxa"/>
          </w:tcPr>
          <w:p w14:paraId="06279B38" w14:textId="77777777" w:rsidR="002B61C0" w:rsidRPr="002B61C0" w:rsidRDefault="002B61C0" w:rsidP="002B61C0">
            <w:pPr>
              <w:jc w:val="both"/>
              <w:rPr>
                <w:rFonts w:ascii="Verdana" w:eastAsia="Calibri" w:hAnsi="Verdana" w:cs="Arial"/>
                <w:b/>
                <w:lang w:val="es-ES_tradnl" w:eastAsia="es-ES_tradnl"/>
              </w:rPr>
            </w:pPr>
            <w:r w:rsidRPr="002B61C0">
              <w:rPr>
                <w:rFonts w:ascii="Verdana" w:eastAsia="Calibri" w:hAnsi="Verdana" w:cs="Arial"/>
                <w:b/>
                <w:lang w:val="es-ES_tradnl" w:eastAsia="es-ES_tradnl"/>
              </w:rPr>
              <w:t>Radicación:</w:t>
            </w:r>
            <w:r w:rsidRPr="002B61C0">
              <w:rPr>
                <w:rFonts w:ascii="Verdana" w:eastAsia="Calibri" w:hAnsi="Verdana" w:cs="Arial"/>
                <w:lang w:val="es-ES_tradnl" w:eastAsia="es-ES_tradnl"/>
              </w:rPr>
              <w:t xml:space="preserve">               </w:t>
            </w:r>
          </w:p>
        </w:tc>
        <w:tc>
          <w:tcPr>
            <w:tcW w:w="6100" w:type="dxa"/>
          </w:tcPr>
          <w:p w14:paraId="387A7701" w14:textId="77777777" w:rsidR="002B61C0" w:rsidRPr="002B61C0" w:rsidRDefault="002B61C0" w:rsidP="002B61C0">
            <w:pPr>
              <w:jc w:val="both"/>
              <w:rPr>
                <w:rFonts w:ascii="Verdana" w:eastAsia="Calibri" w:hAnsi="Verdana" w:cs="Arial"/>
                <w:lang w:eastAsia="es-ES_tradnl"/>
              </w:rPr>
            </w:pPr>
            <w:r w:rsidRPr="002B61C0">
              <w:rPr>
                <w:rFonts w:ascii="Verdana" w:eastAsia="Calibri" w:hAnsi="Verdana" w:cs="Arial"/>
                <w:lang w:val="es-ES_tradnl" w:eastAsia="es-ES_tradnl"/>
              </w:rPr>
              <w:t>Respuesta a consulta con radicado No. 1_2025_09_17_010179</w:t>
            </w:r>
          </w:p>
        </w:tc>
      </w:tr>
    </w:tbl>
    <w:p w14:paraId="67EFAA23" w14:textId="77777777" w:rsidR="002B61C0" w:rsidRPr="002B61C0" w:rsidRDefault="002B61C0" w:rsidP="002B61C0">
      <w:pPr>
        <w:spacing w:after="0" w:line="240" w:lineRule="auto"/>
        <w:jc w:val="both"/>
        <w:rPr>
          <w:rFonts w:ascii="Verdana" w:eastAsia="Calibri" w:hAnsi="Verdana" w:cs="Arial"/>
          <w:color w:val="000000"/>
          <w:lang w:val="es-ES_tradnl" w:eastAsia="es-ES_tradnl"/>
        </w:rPr>
      </w:pPr>
    </w:p>
    <w:p w14:paraId="705EF97F" w14:textId="77777777" w:rsidR="002B61C0" w:rsidRPr="002B61C0" w:rsidRDefault="002B61C0" w:rsidP="002B61C0">
      <w:pPr>
        <w:spacing w:after="0" w:line="240" w:lineRule="auto"/>
        <w:jc w:val="both"/>
        <w:rPr>
          <w:rFonts w:ascii="Verdana" w:eastAsia="Calibri" w:hAnsi="Verdana" w:cs="Arial"/>
          <w:color w:val="000000"/>
          <w:lang w:val="es-ES_tradnl" w:eastAsia="es-ES_tradnl"/>
        </w:rPr>
      </w:pPr>
    </w:p>
    <w:p w14:paraId="069675DA" w14:textId="77777777" w:rsidR="002B61C0" w:rsidRPr="002B61C0" w:rsidRDefault="002B61C0" w:rsidP="002B61C0">
      <w:pPr>
        <w:spacing w:after="0" w:line="276" w:lineRule="auto"/>
        <w:jc w:val="both"/>
        <w:rPr>
          <w:rFonts w:ascii="Verdana" w:eastAsia="Calibri" w:hAnsi="Verdana" w:cs="Arial"/>
          <w:lang w:val="es-ES" w:eastAsia="es-ES"/>
        </w:rPr>
      </w:pPr>
      <w:r w:rsidRPr="002B61C0">
        <w:rPr>
          <w:rFonts w:ascii="Verdana" w:eastAsia="Calibri" w:hAnsi="Verdana" w:cs="Arial"/>
          <w:lang w:val="es-ES" w:eastAsia="es-ES"/>
        </w:rPr>
        <w:t xml:space="preserve">Estimada señora Téllez: </w:t>
      </w:r>
    </w:p>
    <w:p w14:paraId="5533D149" w14:textId="77777777" w:rsidR="002B61C0" w:rsidRPr="002B61C0" w:rsidRDefault="002B61C0" w:rsidP="002B61C0">
      <w:pPr>
        <w:tabs>
          <w:tab w:val="left" w:pos="3768"/>
        </w:tabs>
        <w:spacing w:after="0" w:line="276" w:lineRule="auto"/>
        <w:jc w:val="both"/>
        <w:rPr>
          <w:rFonts w:ascii="Verdana" w:eastAsia="Calibri" w:hAnsi="Verdana" w:cs="Arial"/>
          <w:color w:val="000000" w:themeColor="text1"/>
          <w:lang w:val="es-ES" w:eastAsia="es-ES"/>
        </w:rPr>
      </w:pPr>
      <w:r w:rsidRPr="002B61C0">
        <w:rPr>
          <w:rFonts w:ascii="Verdana" w:eastAsia="Calibri" w:hAnsi="Verdana" w:cs="Arial"/>
          <w:color w:val="000000" w:themeColor="text1"/>
          <w:lang w:val="es-ES" w:eastAsia="es-ES"/>
        </w:rPr>
        <w:tab/>
      </w:r>
    </w:p>
    <w:p w14:paraId="3FF0B3FD" w14:textId="77777777" w:rsidR="002B61C0" w:rsidRPr="002B61C0" w:rsidRDefault="002B61C0" w:rsidP="002B61C0">
      <w:pPr>
        <w:spacing w:after="0" w:line="276" w:lineRule="auto"/>
        <w:jc w:val="both"/>
        <w:rPr>
          <w:rFonts w:ascii="Verdana" w:eastAsia="Calibri" w:hAnsi="Verdana" w:cs="Arial"/>
          <w:color w:val="7030A0"/>
          <w:lang w:val="es-ES" w:eastAsia="es-ES"/>
        </w:rPr>
      </w:pPr>
      <w:r w:rsidRPr="002B61C0">
        <w:rPr>
          <w:rFonts w:ascii="Verdana" w:eastAsia="Calibri" w:hAnsi="Verdana" w:cs="Arial"/>
          <w:color w:val="000000" w:themeColor="text1"/>
          <w:lang w:val="es-ES" w:eastAsia="es-ES"/>
        </w:rPr>
        <w:t>En ejercicio de la competencia otorgada por los artículos 3, numeral 5º, y 11, numeral 8º, del Decreto Ley 4170 de 2011,</w:t>
      </w:r>
      <w:r w:rsidRPr="002B61C0">
        <w:rPr>
          <w:rFonts w:ascii="Verdana" w:eastAsia="Arial MT" w:hAnsi="Verdana" w:cs="Arial MT"/>
          <w:lang w:val="es-ES" w:eastAsia="es-ES"/>
        </w:rPr>
        <w:t xml:space="preserve"> </w:t>
      </w:r>
      <w:r w:rsidRPr="002B61C0">
        <w:rPr>
          <w:rFonts w:ascii="Verdana" w:hAnsi="Verdana" w:cs="Arial"/>
        </w:rPr>
        <w:t xml:space="preserve">así como lo establecido en el artículo 4 de la Resolución 1707 de 2018 expedida por esta Entidad, </w:t>
      </w:r>
      <w:r w:rsidRPr="002B61C0">
        <w:rPr>
          <w:rFonts w:ascii="Verdana" w:eastAsia="Calibri" w:hAnsi="Verdana" w:cs="Arial"/>
          <w:color w:val="000000" w:themeColor="text1"/>
          <w:lang w:val="es-ES" w:eastAsia="es-ES"/>
        </w:rPr>
        <w:t xml:space="preserve">la Agencia Nacional de Contratación Pública – Colombia Compra Eficiente– responde sus solicitudes de consulta de </w:t>
      </w:r>
      <w:r w:rsidRPr="002B61C0">
        <w:rPr>
          <w:rFonts w:ascii="Verdana" w:eastAsia="Calibri" w:hAnsi="Verdana" w:cs="Arial"/>
          <w:lang w:val="es-ES" w:eastAsia="es-ES"/>
        </w:rPr>
        <w:t xml:space="preserve">fecha 17 de septiembre de 2025, en la cual pregunta: </w:t>
      </w:r>
    </w:p>
    <w:p w14:paraId="1035BBEB" w14:textId="77777777" w:rsidR="002B61C0" w:rsidRPr="002B61C0" w:rsidRDefault="002B61C0" w:rsidP="002B61C0">
      <w:pPr>
        <w:spacing w:after="0" w:line="240" w:lineRule="auto"/>
        <w:ind w:left="709" w:right="709"/>
        <w:jc w:val="both"/>
        <w:rPr>
          <w:rFonts w:ascii="Verdana" w:eastAsia="Century Gothic" w:hAnsi="Verdana" w:cs="Century Gothic"/>
          <w:sz w:val="20"/>
          <w:szCs w:val="20"/>
          <w:lang w:val="es-ES"/>
        </w:rPr>
      </w:pPr>
      <w:bookmarkStart w:id="0" w:name="_Hlk95313578"/>
    </w:p>
    <w:p w14:paraId="7876D306" w14:textId="77777777" w:rsidR="002B61C0" w:rsidRPr="002B61C0" w:rsidRDefault="002B61C0" w:rsidP="002B61C0">
      <w:pPr>
        <w:spacing w:after="0" w:line="240" w:lineRule="auto"/>
        <w:ind w:left="709" w:right="709"/>
        <w:jc w:val="both"/>
        <w:rPr>
          <w:rFonts w:ascii="Verdana" w:hAnsi="Verdana" w:cs="Arial"/>
          <w:sz w:val="20"/>
          <w:szCs w:val="20"/>
          <w:shd w:val="clear" w:color="auto" w:fill="FFFFFF"/>
          <w:lang w:val="es-ES"/>
        </w:rPr>
      </w:pPr>
      <w:r w:rsidRPr="002B61C0">
        <w:rPr>
          <w:rFonts w:ascii="Verdana" w:eastAsia="Century Gothic" w:hAnsi="Verdana" w:cs="Century Gothic"/>
          <w:sz w:val="20"/>
          <w:szCs w:val="20"/>
          <w:lang w:val="es-ES"/>
        </w:rPr>
        <w:t>“</w:t>
      </w:r>
      <w:r w:rsidRPr="002B61C0">
        <w:rPr>
          <w:rFonts w:ascii="Verdana" w:hAnsi="Verdana" w:cs="Arial"/>
          <w:sz w:val="20"/>
          <w:szCs w:val="20"/>
          <w:shd w:val="clear" w:color="auto" w:fill="FFFFFF"/>
          <w:lang w:val="es-ES"/>
        </w:rPr>
        <w:t xml:space="preserve">Cordial saludo: Requiero consultar si es obligatorio que un consorcio deba tramitar inscripción en Cámara de Comercio de registro mercantil u obtener certificado de existencia y representación, máximo cuando el contrato para el cual se conformó la propuesta plural fue ejecutado y liquidado en el año 2018.Actualmente se surte proceso litigioso dentro del cual se ha instaurado una tutela y el Consejo de Estado inadmite la petición de tutela solicitando que se adjunte el certificado de cámara de </w:t>
      </w:r>
      <w:r w:rsidRPr="002B61C0">
        <w:rPr>
          <w:rFonts w:ascii="Verdana" w:hAnsi="Verdana" w:cs="Arial"/>
          <w:sz w:val="20"/>
          <w:szCs w:val="20"/>
          <w:shd w:val="clear" w:color="auto" w:fill="FFFFFF"/>
          <w:lang w:val="es-ES"/>
        </w:rPr>
        <w:lastRenderedPageBreak/>
        <w:t xml:space="preserve">comercio del consorcio accionante. El consorcio se conformó en 2018 para participar en una licitación cuya obra fue adjudicada, ejecutada y liquidada en ese mismo año, no </w:t>
      </w:r>
      <w:proofErr w:type="gramStart"/>
      <w:r w:rsidRPr="002B61C0">
        <w:rPr>
          <w:rFonts w:ascii="Verdana" w:hAnsi="Verdana" w:cs="Arial"/>
          <w:sz w:val="20"/>
          <w:szCs w:val="20"/>
          <w:shd w:val="clear" w:color="auto" w:fill="FFFFFF"/>
          <w:lang w:val="es-ES"/>
        </w:rPr>
        <w:t>obstante</w:t>
      </w:r>
      <w:proofErr w:type="gramEnd"/>
      <w:r w:rsidRPr="002B61C0">
        <w:rPr>
          <w:rFonts w:ascii="Verdana" w:hAnsi="Verdana" w:cs="Arial"/>
          <w:sz w:val="20"/>
          <w:szCs w:val="20"/>
          <w:shd w:val="clear" w:color="auto" w:fill="FFFFFF"/>
          <w:lang w:val="es-ES"/>
        </w:rPr>
        <w:t xml:space="preserve"> el consorcio como tal fue vinculado oficiosamente a un proceso judicial en Tribunal superior de Nariño, quien al desconocer la contestación allegada en debida oportunidad y rechazar el recurso de reposición, me obliga como representante del consorcio a instaurar una tutela. Sin embargo, el Consejo de Estado inadmite la tutela porque según su parecer no se aportó el certificado de existencia y representación del Consorcio emanada por la cámara de comercio de Pasto. Se insiste que el consorcio esta fenecido desde el año 2018, fecha en que se liquidó el contrato. Es pacifica la jurisprudencia en reconocer que el consorcio no es una persona jurídica y no tiene personalidad jurídica, sin </w:t>
      </w:r>
      <w:proofErr w:type="gramStart"/>
      <w:r w:rsidRPr="002B61C0">
        <w:rPr>
          <w:rFonts w:ascii="Verdana" w:hAnsi="Verdana" w:cs="Arial"/>
          <w:sz w:val="20"/>
          <w:szCs w:val="20"/>
          <w:shd w:val="clear" w:color="auto" w:fill="FFFFFF"/>
          <w:lang w:val="es-ES"/>
        </w:rPr>
        <w:t>embargo</w:t>
      </w:r>
      <w:proofErr w:type="gramEnd"/>
      <w:r w:rsidRPr="002B61C0">
        <w:rPr>
          <w:rFonts w:ascii="Verdana" w:hAnsi="Verdana" w:cs="Arial"/>
          <w:sz w:val="20"/>
          <w:szCs w:val="20"/>
          <w:shd w:val="clear" w:color="auto" w:fill="FFFFFF"/>
          <w:lang w:val="es-ES"/>
        </w:rPr>
        <w:t xml:space="preserve"> se le reconoce </w:t>
      </w:r>
    </w:p>
    <w:p w14:paraId="018A9747" w14:textId="77777777" w:rsidR="002B61C0" w:rsidRPr="002B61C0" w:rsidRDefault="002B61C0" w:rsidP="002B61C0">
      <w:pPr>
        <w:spacing w:after="0" w:line="240" w:lineRule="auto"/>
        <w:ind w:left="709" w:right="709"/>
        <w:jc w:val="both"/>
        <w:rPr>
          <w:rFonts w:ascii="Verdana" w:hAnsi="Verdana" w:cs="Arial"/>
          <w:sz w:val="20"/>
          <w:szCs w:val="20"/>
          <w:shd w:val="clear" w:color="auto" w:fill="FFFFFF"/>
          <w:lang w:val="es-ES"/>
        </w:rPr>
      </w:pPr>
      <w:r w:rsidRPr="002B61C0">
        <w:rPr>
          <w:rFonts w:ascii="Verdana" w:hAnsi="Verdana" w:cs="Arial"/>
          <w:sz w:val="20"/>
          <w:szCs w:val="20"/>
          <w:shd w:val="clear" w:color="auto" w:fill="FFFFFF"/>
          <w:lang w:val="es-ES"/>
        </w:rPr>
        <w:t xml:space="preserve">la capacidad para comparecer a procesos judiciales, esto incluso según sentencia de unificación del Consejo de Estado desde el año 2013. Respetuosamente, solicito se emita el concepto que ha sostenido Colombia Compra Eficiente en cuanto a la naturaleza jurídica de los consorcios y uniones temporales y si es o no obligatorio el realizar registro mercantil en cámaras de </w:t>
      </w:r>
    </w:p>
    <w:p w14:paraId="3CDA2947" w14:textId="77777777" w:rsidR="002B61C0" w:rsidRPr="002B61C0" w:rsidRDefault="002B61C0" w:rsidP="002B61C0">
      <w:pPr>
        <w:spacing w:after="0" w:line="240" w:lineRule="auto"/>
        <w:ind w:left="709" w:right="709"/>
        <w:jc w:val="both"/>
        <w:rPr>
          <w:rFonts w:ascii="Verdana" w:hAnsi="Verdana" w:cs="Arial"/>
          <w:sz w:val="20"/>
          <w:szCs w:val="20"/>
          <w:shd w:val="clear" w:color="auto" w:fill="FFFFFF"/>
          <w:lang w:val="es-ES"/>
        </w:rPr>
      </w:pPr>
      <w:r w:rsidRPr="002B61C0">
        <w:rPr>
          <w:rFonts w:ascii="Verdana" w:hAnsi="Verdana" w:cs="Arial"/>
          <w:sz w:val="20"/>
          <w:szCs w:val="20"/>
          <w:shd w:val="clear" w:color="auto" w:fill="FFFFFF"/>
          <w:lang w:val="es-ES"/>
        </w:rPr>
        <w:t xml:space="preserve">comercio, para realizar la ejecución del contrato o para comparecer a alguna actuación judicial. Sírvase emitir la respuesta a esta pregunta lo </w:t>
      </w:r>
      <w:proofErr w:type="spellStart"/>
      <w:r w:rsidRPr="002B61C0">
        <w:rPr>
          <w:rFonts w:ascii="Verdana" w:hAnsi="Verdana" w:cs="Arial"/>
          <w:sz w:val="20"/>
          <w:szCs w:val="20"/>
          <w:shd w:val="clear" w:color="auto" w:fill="FFFFFF"/>
          <w:lang w:val="es-ES"/>
        </w:rPr>
        <w:t>mas</w:t>
      </w:r>
      <w:proofErr w:type="spellEnd"/>
      <w:r w:rsidRPr="002B61C0">
        <w:rPr>
          <w:rFonts w:ascii="Verdana" w:hAnsi="Verdana" w:cs="Arial"/>
          <w:sz w:val="20"/>
          <w:szCs w:val="20"/>
          <w:shd w:val="clear" w:color="auto" w:fill="FFFFFF"/>
          <w:lang w:val="es-ES"/>
        </w:rPr>
        <w:t xml:space="preserve"> pronto posible.</w:t>
      </w:r>
      <w:r w:rsidRPr="002B61C0">
        <w:rPr>
          <w:rFonts w:ascii="Verdana" w:eastAsia="Century Gothic" w:hAnsi="Verdana" w:cs="Century Gothic"/>
          <w:sz w:val="20"/>
          <w:szCs w:val="20"/>
          <w:lang w:val="es-ES"/>
        </w:rPr>
        <w:t>”</w:t>
      </w:r>
      <w:bookmarkEnd w:id="0"/>
      <w:r w:rsidRPr="002B61C0">
        <w:rPr>
          <w:rFonts w:ascii="Verdana" w:eastAsia="Century Gothic" w:hAnsi="Verdana" w:cs="Century Gothic"/>
          <w:sz w:val="20"/>
          <w:szCs w:val="20"/>
          <w:lang w:val="es-ES"/>
        </w:rPr>
        <w:t>.</w:t>
      </w:r>
    </w:p>
    <w:p w14:paraId="186E6243" w14:textId="77777777" w:rsidR="002B61C0" w:rsidRPr="002B61C0" w:rsidRDefault="002B61C0" w:rsidP="002B61C0">
      <w:pPr>
        <w:tabs>
          <w:tab w:val="left" w:pos="142"/>
          <w:tab w:val="left" w:pos="284"/>
        </w:tabs>
        <w:spacing w:line="276" w:lineRule="auto"/>
        <w:contextualSpacing/>
        <w:jc w:val="both"/>
        <w:rPr>
          <w:rFonts w:ascii="Verdana" w:eastAsia="Century Gothic" w:hAnsi="Verdana" w:cs="Century Gothic"/>
          <w:b/>
          <w:bCs/>
          <w:lang w:val="es-ES"/>
        </w:rPr>
      </w:pPr>
    </w:p>
    <w:p w14:paraId="5DBC5EA2" w14:textId="77777777" w:rsidR="002B61C0" w:rsidRPr="002B61C0" w:rsidRDefault="002B61C0" w:rsidP="002B61C0">
      <w:pPr>
        <w:spacing w:after="120" w:line="276" w:lineRule="auto"/>
        <w:ind w:firstLine="709"/>
        <w:jc w:val="both"/>
        <w:rPr>
          <w:rFonts w:ascii="Verdana" w:eastAsia="Calibri" w:hAnsi="Verdana" w:cs="Arial"/>
          <w:color w:val="000000"/>
          <w:lang w:val="es-ES" w:eastAsia="es-ES"/>
        </w:rPr>
      </w:pPr>
      <w:r w:rsidRPr="002B61C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61C0">
        <w:rPr>
          <w:rFonts w:ascii="Verdana" w:eastAsia="Calibri" w:hAnsi="Verdana" w:cs="Arial"/>
          <w:color w:val="000000"/>
          <w:szCs w:val="24"/>
          <w:lang w:val="es-ES_tradnl" w:eastAsia="es-ES_tradnl"/>
        </w:rPr>
        <w:tab/>
      </w:r>
    </w:p>
    <w:p w14:paraId="1E8752D5" w14:textId="77777777" w:rsidR="002B61C0" w:rsidRPr="002B61C0" w:rsidRDefault="002B61C0" w:rsidP="002B61C0">
      <w:pPr>
        <w:spacing w:after="0" w:line="276" w:lineRule="auto"/>
        <w:ind w:firstLine="709"/>
        <w:jc w:val="both"/>
        <w:rPr>
          <w:rFonts w:ascii="Verdana" w:eastAsia="Calibri" w:hAnsi="Verdana" w:cs="Arial"/>
          <w:color w:val="000000"/>
          <w:lang w:val="es-ES" w:eastAsia="es-ES"/>
        </w:rPr>
      </w:pPr>
      <w:r w:rsidRPr="002B61C0">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2B61C0">
        <w:rPr>
          <w:rFonts w:ascii="Verdana" w:eastAsia="Calibri" w:hAnsi="Verdana" w:cs="Arial"/>
          <w:color w:val="7030A0"/>
          <w:lang w:val="es-ES" w:eastAsia="es-ES"/>
        </w:rPr>
        <w:t xml:space="preserve"> </w:t>
      </w:r>
      <w:r w:rsidRPr="002B61C0">
        <w:rPr>
          <w:rFonts w:ascii="Verdana" w:eastAsia="Calibri" w:hAnsi="Verdana" w:cs="Arial"/>
          <w:color w:val="000000"/>
          <w:lang w:val="es-ES" w:eastAsia="es-ES"/>
        </w:rPr>
        <w:t>problema</w:t>
      </w:r>
      <w:r w:rsidRPr="002B61C0">
        <w:rPr>
          <w:rFonts w:ascii="Verdana" w:eastAsia="Calibri" w:hAnsi="Verdana" w:cs="Arial"/>
          <w:color w:val="7030A0"/>
          <w:lang w:val="es-ES" w:eastAsia="es-ES"/>
        </w:rPr>
        <w:t xml:space="preserve"> </w:t>
      </w:r>
      <w:r w:rsidRPr="002B61C0">
        <w:rPr>
          <w:rFonts w:ascii="Verdana" w:eastAsia="Calibri" w:hAnsi="Verdana" w:cs="Arial"/>
          <w:color w:val="000000"/>
          <w:lang w:val="es-ES" w:eastAsia="es-ES"/>
        </w:rPr>
        <w:t>jurídico</w:t>
      </w:r>
      <w:r w:rsidRPr="002B61C0">
        <w:rPr>
          <w:rFonts w:ascii="Verdana" w:eastAsia="Calibri" w:hAnsi="Verdana" w:cs="Arial"/>
          <w:color w:val="7030A0"/>
          <w:lang w:val="es-ES" w:eastAsia="es-ES"/>
        </w:rPr>
        <w:t xml:space="preserve"> </w:t>
      </w:r>
      <w:r w:rsidRPr="002B61C0">
        <w:rPr>
          <w:rFonts w:ascii="Verdana" w:eastAsia="Calibri" w:hAnsi="Verdana" w:cs="Arial"/>
          <w:color w:val="000000"/>
          <w:lang w:val="es-ES" w:eastAsia="es-ES"/>
        </w:rPr>
        <w:t xml:space="preserve">de su consulta. </w:t>
      </w:r>
    </w:p>
    <w:p w14:paraId="48817106" w14:textId="77777777" w:rsidR="002B61C0" w:rsidRPr="002B61C0" w:rsidRDefault="002B61C0" w:rsidP="002B61C0">
      <w:pPr>
        <w:spacing w:after="0" w:line="276" w:lineRule="auto"/>
        <w:ind w:firstLine="709"/>
        <w:jc w:val="both"/>
        <w:rPr>
          <w:rFonts w:ascii="Verdana" w:eastAsia="Calibri" w:hAnsi="Verdana" w:cs="Arial"/>
          <w:color w:val="000000"/>
          <w:lang w:val="es-ES" w:eastAsia="es-ES"/>
        </w:rPr>
      </w:pPr>
    </w:p>
    <w:p w14:paraId="28D9BD23" w14:textId="77777777" w:rsidR="002B61C0" w:rsidRPr="002B61C0" w:rsidRDefault="002B61C0" w:rsidP="002B61C0">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2B61C0">
        <w:rPr>
          <w:rFonts w:ascii="Verdana" w:eastAsia="Century Gothic" w:hAnsi="Verdana" w:cs="Century Gothic"/>
          <w:b/>
          <w:bCs/>
          <w:lang w:val="es-ES"/>
        </w:rPr>
        <w:lastRenderedPageBreak/>
        <w:t>Problema planteado:</w:t>
      </w:r>
    </w:p>
    <w:p w14:paraId="4439A5E8" w14:textId="77777777" w:rsidR="002B61C0" w:rsidRPr="002B61C0" w:rsidRDefault="002B61C0" w:rsidP="002B61C0">
      <w:pPr>
        <w:tabs>
          <w:tab w:val="left" w:pos="426"/>
        </w:tabs>
        <w:spacing w:after="0" w:line="276" w:lineRule="auto"/>
        <w:jc w:val="both"/>
        <w:rPr>
          <w:rFonts w:ascii="Verdana" w:eastAsia="Century Gothic" w:hAnsi="Verdana" w:cs="Century Gothic"/>
          <w:lang w:val="es-ES"/>
        </w:rPr>
      </w:pPr>
    </w:p>
    <w:p w14:paraId="729E85FA" w14:textId="1EA10ADA" w:rsidR="002B61C0" w:rsidRPr="002B61C0" w:rsidRDefault="002B61C0" w:rsidP="002B61C0">
      <w:pPr>
        <w:spacing w:after="0" w:line="276" w:lineRule="auto"/>
        <w:jc w:val="both"/>
        <w:rPr>
          <w:rFonts w:ascii="Verdana" w:eastAsia="Century Gothic" w:hAnsi="Verdana" w:cs="Century Gothic"/>
        </w:rPr>
      </w:pPr>
      <w:r w:rsidRPr="002B61C0">
        <w:rPr>
          <w:rFonts w:ascii="Verdana" w:eastAsia="Century Gothic" w:hAnsi="Verdana" w:cs="Century Gothic"/>
        </w:rPr>
        <w:t>De acuerdo con el contenido de su solicitud, esta Agencia resolverá el siguiente problema jurídico: ¿Los consorcios tienen capacidad jurídica para presentar acciones judiciales</w:t>
      </w:r>
      <w:r w:rsidR="6DF70841" w:rsidRPr="2A33A943">
        <w:rPr>
          <w:rFonts w:ascii="Verdana" w:eastAsia="Century Gothic" w:hAnsi="Verdana" w:cs="Century Gothic"/>
        </w:rPr>
        <w:t xml:space="preserve"> sin necesidad de estar inscrito en el registro mercantil ante la </w:t>
      </w:r>
      <w:r w:rsidR="6351BED5" w:rsidRPr="2A33A943">
        <w:rPr>
          <w:rFonts w:ascii="Verdana" w:eastAsia="Century Gothic" w:hAnsi="Verdana" w:cs="Century Gothic"/>
        </w:rPr>
        <w:t>cámara</w:t>
      </w:r>
      <w:r w:rsidR="6DF70841" w:rsidRPr="2A33A943">
        <w:rPr>
          <w:rFonts w:ascii="Verdana" w:eastAsia="Century Gothic" w:hAnsi="Verdana" w:cs="Century Gothic"/>
        </w:rPr>
        <w:t xml:space="preserve"> de comercio de su jurisdicción</w:t>
      </w:r>
      <w:r w:rsidRPr="002B61C0">
        <w:rPr>
          <w:rFonts w:ascii="Verdana" w:eastAsia="Century Gothic" w:hAnsi="Verdana" w:cs="Century Gothic"/>
        </w:rPr>
        <w:t>?</w:t>
      </w:r>
      <w:r w:rsidRPr="002B61C0">
        <w:rPr>
          <w:rFonts w:ascii="Verdana" w:eastAsia="Century Gothic" w:hAnsi="Verdana" w:cs="Century Gothic"/>
          <w:color w:val="7030A0"/>
        </w:rPr>
        <w:t xml:space="preserve"> </w:t>
      </w:r>
    </w:p>
    <w:p w14:paraId="4686B9B6" w14:textId="77777777" w:rsidR="002B61C0" w:rsidRPr="002B61C0" w:rsidRDefault="002B61C0" w:rsidP="002B61C0">
      <w:pPr>
        <w:spacing w:after="0" w:line="276" w:lineRule="auto"/>
        <w:jc w:val="both"/>
        <w:rPr>
          <w:rFonts w:ascii="Verdana" w:eastAsia="Calibri" w:hAnsi="Verdana" w:cs="Arial"/>
          <w:color w:val="7030A0"/>
          <w:lang w:val="es-ES"/>
        </w:rPr>
      </w:pPr>
    </w:p>
    <w:p w14:paraId="398F588E" w14:textId="1A8E028F" w:rsidR="002B61C0" w:rsidRPr="002B61C0" w:rsidRDefault="002B61C0" w:rsidP="002B61C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B61C0">
        <w:rPr>
          <w:rFonts w:ascii="Verdana" w:eastAsia="Century Gothic" w:hAnsi="Verdana" w:cs="Century Gothic"/>
          <w:b/>
          <w:bCs/>
          <w:lang w:val="es-ES"/>
        </w:rPr>
        <w:t>Respuesta:</w:t>
      </w:r>
    </w:p>
    <w:p w14:paraId="4B450678" w14:textId="77777777" w:rsidR="002B61C0" w:rsidRPr="002B61C0" w:rsidRDefault="002B61C0" w:rsidP="002B61C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61C0" w:rsidRPr="002B61C0" w14:paraId="33066B96" w14:textId="77777777" w:rsidTr="008A71F9">
        <w:trPr>
          <w:jc w:val="center"/>
        </w:trPr>
        <w:tc>
          <w:tcPr>
            <w:tcW w:w="8828" w:type="dxa"/>
          </w:tcPr>
          <w:p w14:paraId="3215FCFD" w14:textId="77777777" w:rsidR="002B61C0" w:rsidRPr="002B61C0" w:rsidRDefault="002B61C0" w:rsidP="002B61C0">
            <w:pPr>
              <w:spacing w:after="120" w:line="276" w:lineRule="auto"/>
              <w:jc w:val="both"/>
              <w:rPr>
                <w:rFonts w:ascii="Verdana" w:hAnsi="Verdana" w:cs="Arial"/>
                <w:color w:val="000000" w:themeColor="text1"/>
              </w:rPr>
            </w:pPr>
            <w:bookmarkStart w:id="1" w:name="_Hlk170985864"/>
            <w:r w:rsidRPr="002B61C0">
              <w:rPr>
                <w:rFonts w:ascii="Verdana" w:eastAsia="Calibri" w:hAnsi="Verdana" w:cs="Arial"/>
                <w:lang w:val="es-ES"/>
              </w:rPr>
              <w:t xml:space="preserve">El consorcio o la unión temporal surge “Cuando dos o más personas en forma conjunta presentan una misma propuesta para la adjudicación, celebración y ejecución de un contrato […]”. Desde esta perspectiva, su capacidad jurídica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de la Ley 80 de 1993 se restringe a las actividades allí dispuestas sin que se extienda, </w:t>
            </w:r>
            <w:r w:rsidRPr="002B61C0">
              <w:rPr>
                <w:rFonts w:ascii="Verdana" w:eastAsia="Century Gothic" w:hAnsi="Verdana" w:cs="Century Gothic"/>
              </w:rPr>
              <w:t>por ejemplo, a la celebración de contratos de fiducia, cesiones de crédito, cesiones de contrato o subcontratos</w:t>
            </w:r>
            <w:r w:rsidRPr="002B61C0">
              <w:rPr>
                <w:rFonts w:ascii="Verdana" w:eastAsia="Calibri" w:hAnsi="Verdana" w:cs="Arial"/>
                <w:lang w:val="es-ES"/>
              </w:rPr>
              <w:t>.</w:t>
            </w:r>
            <w:r w:rsidRPr="002B61C0">
              <w:rPr>
                <w:rFonts w:ascii="Verdana" w:eastAsia="Calibri" w:hAnsi="Verdana" w:cs="Arial"/>
                <w:color w:val="7030A0"/>
                <w:lang w:val="es-ES"/>
              </w:rPr>
              <w:t xml:space="preserve"> </w:t>
            </w:r>
            <w:r w:rsidRPr="002B61C0">
              <w:rPr>
                <w:rFonts w:ascii="Verdana" w:eastAsia="Calibri" w:hAnsi="Verdana" w:cs="Arial"/>
                <w:lang w:val="es-ES"/>
              </w:rPr>
              <w:t>En estos casos, la celebración de dichos negocios jurídicos no corresponde a la estructura plural, sino a todos sus integrantes de forma conjunta</w:t>
            </w:r>
            <w:bookmarkEnd w:id="1"/>
            <w:r w:rsidRPr="002B61C0">
              <w:rPr>
                <w:rFonts w:ascii="Verdana" w:eastAsia="Calibri" w:hAnsi="Verdana" w:cs="Arial"/>
                <w:lang w:val="es-ES"/>
              </w:rPr>
              <w:t xml:space="preserve">. </w:t>
            </w:r>
            <w:r w:rsidRPr="002B61C0">
              <w:rPr>
                <w:rFonts w:ascii="Verdana" w:hAnsi="Verdana" w:cs="Arial"/>
                <w:color w:val="000000" w:themeColor="text1"/>
              </w:rPr>
              <w:t>Es decir, fuera de las actividades descritas en el EGCAP, son los participantes –no estructura plural– los que tienen personería y capacidad para actuar.</w:t>
            </w:r>
          </w:p>
          <w:p w14:paraId="1097561F" w14:textId="77777777" w:rsidR="002B61C0" w:rsidRPr="002B61C0" w:rsidRDefault="002B61C0" w:rsidP="002B61C0">
            <w:pPr>
              <w:spacing w:after="120" w:line="276" w:lineRule="auto"/>
              <w:jc w:val="both"/>
              <w:rPr>
                <w:rFonts w:ascii="Verdana" w:eastAsia="Calibri" w:hAnsi="Verdana" w:cs="Arial"/>
                <w:color w:val="000000" w:themeColor="text1"/>
                <w:lang w:val="es-ES"/>
              </w:rPr>
            </w:pPr>
            <w:r w:rsidRPr="002B61C0">
              <w:rPr>
                <w:rFonts w:ascii="Verdana" w:eastAsia="Calibri" w:hAnsi="Verdana" w:cs="Arial"/>
                <w:color w:val="000000" w:themeColor="text1"/>
                <w:lang w:val="es-ES"/>
              </w:rPr>
              <w:t>Sin embargo, respecto de su pregunta, esa capacidad jurídica de los consorcios no solo se limita al campo de la contratación estatal, debido al cambio jurisprudencial que realizó el Consejo de Estado en el año 2013, mediante sentencia de unificación, donde extendió la capacidad jurídica de los consorcios a los procesos judiciales con ocasión de su participación en procesos de contratación estatal. Lo anterior ha sido ratificado en providencias posteriores</w:t>
            </w:r>
            <w:r w:rsidRPr="002B61C0">
              <w:rPr>
                <w:rFonts w:ascii="Verdana" w:eastAsia="Calibri" w:hAnsi="Verdana" w:cs="Arial"/>
                <w:color w:val="000000" w:themeColor="text1"/>
                <w:vertAlign w:val="superscript"/>
                <w:lang w:val="es-ES"/>
              </w:rPr>
              <w:footnoteReference w:id="2"/>
            </w:r>
            <w:r w:rsidRPr="002B61C0">
              <w:rPr>
                <w:rFonts w:ascii="Verdana" w:eastAsia="Calibri" w:hAnsi="Verdana" w:cs="Arial"/>
                <w:color w:val="000000" w:themeColor="text1"/>
                <w:lang w:val="es-ES"/>
              </w:rPr>
              <w:t xml:space="preserve">, y el cambio radica en que, en principio, el Consejo de Estado afirmó que los proponentes plurales no tienen personería jurídica diferente a la de sus miembros, por lo que no pueden comparecer en proceso ante autoridades judiciales porque solo sus miembros en tanto sean personas </w:t>
            </w:r>
            <w:r w:rsidRPr="002B61C0">
              <w:rPr>
                <w:rFonts w:ascii="Verdana" w:eastAsia="Calibri" w:hAnsi="Verdana" w:cs="Arial"/>
                <w:color w:val="000000" w:themeColor="text1"/>
                <w:lang w:val="es-ES"/>
              </w:rPr>
              <w:lastRenderedPageBreak/>
              <w:t xml:space="preserve">naturales o jurídicas son los titulares de la capacidad para actuar como sujetos procesales. </w:t>
            </w:r>
          </w:p>
          <w:p w14:paraId="18CF9F6F" w14:textId="18AB0D51" w:rsidR="002B61C0" w:rsidRPr="002B61C0" w:rsidRDefault="002B61C0" w:rsidP="002B61C0">
            <w:pPr>
              <w:spacing w:after="120" w:line="276" w:lineRule="auto"/>
              <w:jc w:val="both"/>
              <w:rPr>
                <w:rFonts w:ascii="Verdana" w:eastAsia="Calibri" w:hAnsi="Verdana" w:cs="Arial"/>
                <w:color w:val="000000" w:themeColor="text1"/>
                <w:lang w:val="es-ES"/>
              </w:rPr>
            </w:pPr>
            <w:r w:rsidRPr="002B61C0">
              <w:rPr>
                <w:rFonts w:ascii="Verdana" w:eastAsia="Calibri" w:hAnsi="Verdana" w:cs="Arial"/>
                <w:color w:val="000000" w:themeColor="text1"/>
                <w:lang w:val="es-ES"/>
              </w:rPr>
              <w:t xml:space="preserve">Sobre esta postura, el Consejo de Estado realizó una rectificación jurisprudencial en la sentencia de unificación con radicado 19.933 del 25 de septiembre de 2013, Consejero ponente Mauricio Fajardo Gómez, de </w:t>
            </w:r>
            <w:r w:rsidRPr="63ABDD13">
              <w:rPr>
                <w:rFonts w:ascii="Verdana" w:eastAsia="Calibri" w:hAnsi="Verdana" w:cs="Arial"/>
                <w:color w:val="000000" w:themeColor="text1"/>
                <w:lang w:val="es-ES"/>
              </w:rPr>
              <w:t>l</w:t>
            </w:r>
            <w:r w:rsidR="7A1E4500" w:rsidRPr="63ABDD13">
              <w:rPr>
                <w:rFonts w:ascii="Verdana" w:eastAsia="Calibri" w:hAnsi="Verdana" w:cs="Arial"/>
                <w:color w:val="000000" w:themeColor="text1"/>
                <w:lang w:val="es-ES"/>
              </w:rPr>
              <w:t>a</w:t>
            </w:r>
            <w:r w:rsidRPr="002B61C0">
              <w:rPr>
                <w:rFonts w:ascii="Verdana" w:eastAsia="Calibri" w:hAnsi="Verdana" w:cs="Arial"/>
                <w:color w:val="000000" w:themeColor="text1"/>
                <w:lang w:val="es-ES"/>
              </w:rPr>
              <w:t xml:space="preserve"> cual se destaca que: i) los consorcios tienen capacidad jurídica a pesar de no tener personería jurídica porque la ley así lo determinó, y para tener capacidad jurídica no es requisito ser persona, </w:t>
            </w:r>
            <w:proofErr w:type="spellStart"/>
            <w:r w:rsidRPr="002B61C0">
              <w:rPr>
                <w:rFonts w:ascii="Verdana" w:eastAsia="Calibri" w:hAnsi="Verdana" w:cs="Arial"/>
                <w:color w:val="000000" w:themeColor="text1"/>
                <w:lang w:val="es-ES"/>
              </w:rPr>
              <w:t>ii</w:t>
            </w:r>
            <w:proofErr w:type="spellEnd"/>
            <w:r w:rsidRPr="002B61C0">
              <w:rPr>
                <w:rFonts w:ascii="Verdana" w:eastAsia="Calibri" w:hAnsi="Verdana" w:cs="Arial"/>
                <w:color w:val="000000" w:themeColor="text1"/>
                <w:lang w:val="es-ES"/>
              </w:rPr>
              <w:t xml:space="preserve">) la capacidad para obrar como demandante en el Código Contencioso Administrativo (ahora Código de Procedimiento Administrativo y de lo Contencioso Administrativo) no exige personalidad jurídica independiente, </w:t>
            </w:r>
            <w:proofErr w:type="spellStart"/>
            <w:r w:rsidRPr="002B61C0">
              <w:rPr>
                <w:rFonts w:ascii="Verdana" w:eastAsia="Calibri" w:hAnsi="Verdana" w:cs="Arial"/>
                <w:color w:val="000000" w:themeColor="text1"/>
                <w:lang w:val="es-ES"/>
              </w:rPr>
              <w:t>iii</w:t>
            </w:r>
            <w:proofErr w:type="spellEnd"/>
            <w:r w:rsidRPr="002B61C0">
              <w:rPr>
                <w:rFonts w:ascii="Verdana" w:eastAsia="Calibri" w:hAnsi="Verdana" w:cs="Arial"/>
                <w:color w:val="000000" w:themeColor="text1"/>
                <w:lang w:val="es-ES"/>
              </w:rPr>
              <w:t xml:space="preserve">) la personería jurídica no es un requisito para ejercer acciones judiciales, </w:t>
            </w:r>
            <w:proofErr w:type="spellStart"/>
            <w:r w:rsidRPr="002B61C0">
              <w:rPr>
                <w:rFonts w:ascii="Verdana" w:eastAsia="Calibri" w:hAnsi="Verdana" w:cs="Arial"/>
                <w:color w:val="000000" w:themeColor="text1"/>
                <w:lang w:val="es-ES"/>
              </w:rPr>
              <w:t>iv</w:t>
            </w:r>
            <w:proofErr w:type="spellEnd"/>
            <w:r w:rsidRPr="002B61C0">
              <w:rPr>
                <w:rFonts w:ascii="Verdana" w:eastAsia="Calibri" w:hAnsi="Verdana" w:cs="Arial"/>
                <w:color w:val="000000" w:themeColor="text1"/>
                <w:lang w:val="es-ES"/>
              </w:rPr>
              <w:t xml:space="preserve">) la capacidad jurídica otorgada por la Ley 80 de 1993 a los proponentes plurales proyecta sus efectos en el campo procesal para ser parte en procesos judiciales relacionados con los procedimientos de selección contractual o con el contrato estatal propiamente, ya que sería contradictorio que tuvieran capacidad jurídica para celebrar contratos pero no para defender los derechos y obligaciones derivados de estos en el ámbito judicial, v) el legislador no limitó el alcance de las facultades del representante legal de un consorcio, por lo que la jurisprudencia no puede limitar la representación legal a la celebración y ejecución del contrato estatal, y </w:t>
            </w:r>
            <w:proofErr w:type="spellStart"/>
            <w:r w:rsidRPr="002B61C0">
              <w:rPr>
                <w:rFonts w:ascii="Verdana" w:eastAsia="Calibri" w:hAnsi="Verdana" w:cs="Arial"/>
                <w:color w:val="000000" w:themeColor="text1"/>
                <w:lang w:val="es-ES"/>
              </w:rPr>
              <w:t>iv</w:t>
            </w:r>
            <w:proofErr w:type="spellEnd"/>
            <w:r w:rsidRPr="002B61C0">
              <w:rPr>
                <w:rFonts w:ascii="Verdana" w:eastAsia="Calibri" w:hAnsi="Verdana" w:cs="Arial"/>
                <w:color w:val="000000" w:themeColor="text1"/>
                <w:lang w:val="es-ES"/>
              </w:rPr>
              <w:t>) la rectificación jurisprudencial no se opone a que los integrantes del proponente plural, individualmente considerados, comparezcan a los procesos judiciales.</w:t>
            </w:r>
          </w:p>
          <w:p w14:paraId="2B2B6EAB" w14:textId="7EA8B074" w:rsidR="002B61C0" w:rsidRPr="002B61C0" w:rsidRDefault="002B61C0" w:rsidP="2A33A943">
            <w:pPr>
              <w:spacing w:after="120" w:line="276" w:lineRule="auto"/>
              <w:jc w:val="both"/>
              <w:rPr>
                <w:rFonts w:ascii="Verdana" w:eastAsia="Calibri" w:hAnsi="Verdana" w:cs="Arial"/>
                <w:color w:val="000000" w:themeColor="text1"/>
                <w:lang w:val="es-ES"/>
              </w:rPr>
            </w:pPr>
            <w:r w:rsidRPr="002B61C0">
              <w:rPr>
                <w:rFonts w:ascii="Verdana" w:eastAsia="Calibri" w:hAnsi="Verdana" w:cs="Arial"/>
                <w:color w:val="000000" w:themeColor="text1"/>
                <w:lang w:val="es-ES"/>
              </w:rPr>
              <w:t>Finalmente, de acuerdo con la parte considerativa de este concepto, la representación legal de un consorcio se otorga mediante el documento de constitución que es un documento privado,</w:t>
            </w:r>
            <w:r w:rsidR="0098735D">
              <w:rPr>
                <w:rFonts w:ascii="Verdana" w:eastAsia="Calibri" w:hAnsi="Verdana" w:cs="Arial"/>
                <w:color w:val="000000" w:themeColor="text1"/>
                <w:lang w:val="es-ES"/>
              </w:rPr>
              <w:t xml:space="preserve"> sin que se requiera </w:t>
            </w:r>
            <w:r w:rsidR="00283A74">
              <w:rPr>
                <w:rFonts w:ascii="Verdana" w:eastAsia="Calibri" w:hAnsi="Verdana" w:cs="Arial"/>
                <w:color w:val="000000" w:themeColor="text1"/>
                <w:lang w:val="es-ES"/>
              </w:rPr>
              <w:t>registro mercantil,</w:t>
            </w:r>
            <w:r w:rsidRPr="002B61C0">
              <w:rPr>
                <w:rFonts w:ascii="Verdana" w:eastAsia="Calibri" w:hAnsi="Verdana" w:cs="Arial"/>
                <w:color w:val="000000" w:themeColor="text1"/>
                <w:lang w:val="es-ES"/>
              </w:rPr>
              <w:t xml:space="preserve"> por lo que este deberá acreditarse para el ejercicio de las acciones judiciales que se pretendan interponer, ya que a pesar de que la capacidad jurídica del consorcio la otorga la ley, esta debe ser ejercida a través de un representante legal nombrado en el documento de constitución de la figura asociativa, tal como lo dispone el artículo 7 de la Ley 80 de 1993 así: </w:t>
            </w:r>
            <w:r w:rsidRPr="002B61C0">
              <w:rPr>
                <w:rFonts w:ascii="Verdana" w:eastAsia="Calibri" w:hAnsi="Verdana" w:cs="Arial"/>
                <w:i/>
                <w:iCs/>
                <w:color w:val="000000" w:themeColor="text1"/>
                <w:lang w:val="es-ES"/>
              </w:rPr>
              <w:t>“(…)Los miembros del consorcio y de la unión temporal deberán designar la persona que, para todos los efectos, representará al consorcio o unión temporal (…)”.</w:t>
            </w:r>
          </w:p>
          <w:p w14:paraId="70241354" w14:textId="0F2FACA2" w:rsidR="002B61C0" w:rsidRPr="002B61C0" w:rsidRDefault="62818842" w:rsidP="002B61C0">
            <w:pPr>
              <w:spacing w:after="120" w:line="276" w:lineRule="auto"/>
              <w:jc w:val="both"/>
              <w:rPr>
                <w:rFonts w:ascii="Verdana" w:eastAsia="Verdana" w:hAnsi="Verdana" w:cs="Verdana"/>
                <w:lang w:val="es-ES"/>
              </w:rPr>
            </w:pPr>
            <w:r w:rsidRPr="63ABDD13">
              <w:rPr>
                <w:rFonts w:ascii="Verdana" w:eastAsia="Calibri" w:hAnsi="Verdana" w:cs="Arial"/>
                <w:color w:val="000000" w:themeColor="text1"/>
                <w:lang w:val="es-ES"/>
              </w:rPr>
              <w:t xml:space="preserve">Adicionalmente es preciso señalar que el </w:t>
            </w:r>
            <w:r w:rsidR="30F7B535" w:rsidRPr="63ABDD13">
              <w:rPr>
                <w:rFonts w:ascii="Verdana" w:eastAsia="Calibri" w:hAnsi="Verdana" w:cs="Arial"/>
                <w:color w:val="000000" w:themeColor="text1"/>
                <w:lang w:val="es-ES"/>
              </w:rPr>
              <w:t xml:space="preserve">numeral sexto del </w:t>
            </w:r>
            <w:r w:rsidR="1B077BCC" w:rsidRPr="63ABDD13">
              <w:rPr>
                <w:rFonts w:ascii="Verdana" w:eastAsia="Calibri" w:hAnsi="Verdana" w:cs="Arial"/>
                <w:color w:val="000000" w:themeColor="text1"/>
                <w:lang w:val="es-ES"/>
              </w:rPr>
              <w:t>artículo</w:t>
            </w:r>
            <w:r w:rsidRPr="63ABDD13">
              <w:rPr>
                <w:rFonts w:ascii="Verdana" w:eastAsia="Calibri" w:hAnsi="Verdana" w:cs="Arial"/>
                <w:color w:val="000000" w:themeColor="text1"/>
                <w:lang w:val="es-ES"/>
              </w:rPr>
              <w:t xml:space="preserve"> 7 de</w:t>
            </w:r>
            <w:r w:rsidR="2A3CD8F9" w:rsidRPr="63ABDD13">
              <w:rPr>
                <w:rFonts w:ascii="Verdana" w:eastAsia="Calibri" w:hAnsi="Verdana" w:cs="Arial"/>
                <w:color w:val="000000" w:themeColor="text1"/>
                <w:lang w:val="es-ES"/>
              </w:rPr>
              <w:t>l</w:t>
            </w:r>
            <w:r w:rsidRPr="63ABDD13">
              <w:rPr>
                <w:rFonts w:ascii="Verdana" w:eastAsia="Calibri" w:hAnsi="Verdana" w:cs="Arial"/>
                <w:color w:val="000000" w:themeColor="text1"/>
                <w:lang w:val="es-ES"/>
              </w:rPr>
              <w:t xml:space="preserve"> EGCAP es claro en determ</w:t>
            </w:r>
            <w:r w:rsidR="4E0F0744" w:rsidRPr="63ABDD13">
              <w:rPr>
                <w:rFonts w:ascii="Verdana" w:eastAsia="Calibri" w:hAnsi="Verdana" w:cs="Arial"/>
                <w:color w:val="000000" w:themeColor="text1"/>
                <w:lang w:val="es-ES"/>
              </w:rPr>
              <w:t xml:space="preserve">inar </w:t>
            </w:r>
            <w:r w:rsidRPr="63ABDD13">
              <w:rPr>
                <w:rFonts w:ascii="Verdana" w:eastAsia="Calibri" w:hAnsi="Verdana" w:cs="Arial"/>
                <w:color w:val="000000" w:themeColor="text1"/>
                <w:lang w:val="es-ES"/>
              </w:rPr>
              <w:t xml:space="preserve">que </w:t>
            </w:r>
            <w:r w:rsidR="604E51D3" w:rsidRPr="63ABDD13">
              <w:rPr>
                <w:rFonts w:ascii="Verdana" w:eastAsia="Calibri" w:hAnsi="Verdana" w:cs="Arial"/>
                <w:color w:val="000000" w:themeColor="text1"/>
                <w:lang w:val="es-ES"/>
              </w:rPr>
              <w:t>los integrantes del Consorc</w:t>
            </w:r>
            <w:r w:rsidR="06256AE5" w:rsidRPr="63ABDD13">
              <w:rPr>
                <w:rFonts w:ascii="Verdana" w:eastAsia="Calibri" w:hAnsi="Verdana" w:cs="Arial"/>
                <w:color w:val="000000" w:themeColor="text1"/>
                <w:lang w:val="es-ES"/>
              </w:rPr>
              <w:t>i</w:t>
            </w:r>
            <w:r w:rsidR="604E51D3" w:rsidRPr="63ABDD13">
              <w:rPr>
                <w:rFonts w:ascii="Verdana" w:eastAsia="Calibri" w:hAnsi="Verdana" w:cs="Arial"/>
                <w:color w:val="000000" w:themeColor="text1"/>
                <w:lang w:val="es-ES"/>
              </w:rPr>
              <w:t xml:space="preserve">o </w:t>
            </w:r>
            <w:r w:rsidR="510DB66A" w:rsidRPr="63ABDD13">
              <w:rPr>
                <w:rFonts w:ascii="Verdana" w:eastAsia="Calibri" w:hAnsi="Verdana" w:cs="Arial"/>
                <w:color w:val="000000" w:themeColor="text1"/>
                <w:lang w:val="es-ES"/>
              </w:rPr>
              <w:t xml:space="preserve">responden </w:t>
            </w:r>
            <w:r w:rsidR="510DB66A" w:rsidRPr="2A33A943">
              <w:rPr>
                <w:rFonts w:ascii="Verdana" w:eastAsia="Calibri" w:hAnsi="Verdana" w:cs="Arial"/>
                <w:i/>
                <w:iCs/>
                <w:color w:val="000000" w:themeColor="text1"/>
                <w:lang w:val="es-ES"/>
              </w:rPr>
              <w:t>“</w:t>
            </w:r>
            <w:r w:rsidR="47E93C35" w:rsidRPr="2A33A943">
              <w:rPr>
                <w:rFonts w:ascii="Verdana" w:eastAsia="Calibri" w:hAnsi="Verdana" w:cs="Arial"/>
                <w:i/>
                <w:iCs/>
                <w:color w:val="000000" w:themeColor="text1"/>
                <w:lang w:val="es-ES"/>
              </w:rPr>
              <w:t xml:space="preserve">(...) </w:t>
            </w:r>
            <w:r w:rsidR="604E51D3" w:rsidRPr="63ABDD13">
              <w:rPr>
                <w:rFonts w:ascii="Verdana" w:eastAsia="Verdana" w:hAnsi="Verdana" w:cs="Verdana"/>
                <w:i/>
                <w:lang w:val="es-ES"/>
              </w:rPr>
              <w:t xml:space="preserve">solidariamente de todas y cada una de las obligaciones derivadas de la </w:t>
            </w:r>
            <w:r w:rsidR="604E51D3" w:rsidRPr="63ABDD13">
              <w:rPr>
                <w:rFonts w:ascii="Verdana" w:eastAsia="Verdana" w:hAnsi="Verdana" w:cs="Verdana"/>
                <w:i/>
                <w:lang w:val="es-ES"/>
              </w:rPr>
              <w:lastRenderedPageBreak/>
              <w:t>propuesta y del contrato. En consecuencia, las actuaciones, hechos y omisiones que se presenten en desarrollo de la propuesta y del contrato, afectarán a todos los miembros que lo conforman</w:t>
            </w:r>
            <w:r w:rsidR="01F1D7B1" w:rsidRPr="2A33A943">
              <w:rPr>
                <w:rFonts w:ascii="Verdana" w:eastAsia="Verdana" w:hAnsi="Verdana" w:cs="Verdana"/>
                <w:lang w:val="es-ES"/>
              </w:rPr>
              <w:t>”</w:t>
            </w:r>
            <w:r w:rsidR="604E51D3" w:rsidRPr="2A33A943">
              <w:rPr>
                <w:rFonts w:ascii="Verdana" w:eastAsia="Verdana" w:hAnsi="Verdana" w:cs="Verdana"/>
                <w:lang w:val="es-ES"/>
              </w:rPr>
              <w:t>.</w:t>
            </w:r>
          </w:p>
        </w:tc>
      </w:tr>
    </w:tbl>
    <w:p w14:paraId="185A2CE4" w14:textId="77777777" w:rsidR="002B61C0" w:rsidRPr="002B61C0" w:rsidRDefault="002B61C0" w:rsidP="002B61C0">
      <w:pPr>
        <w:tabs>
          <w:tab w:val="left" w:pos="142"/>
          <w:tab w:val="left" w:pos="284"/>
        </w:tabs>
        <w:spacing w:after="0" w:line="276" w:lineRule="auto"/>
        <w:jc w:val="both"/>
        <w:rPr>
          <w:rFonts w:ascii="Verdana" w:eastAsia="Century Gothic" w:hAnsi="Verdana" w:cs="Century Gothic"/>
          <w:b/>
          <w:bCs/>
          <w:lang w:val="es-ES"/>
        </w:rPr>
      </w:pPr>
    </w:p>
    <w:p w14:paraId="5678E0AC" w14:textId="77777777" w:rsidR="002B61C0" w:rsidRPr="002B61C0" w:rsidRDefault="002B61C0" w:rsidP="002B61C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B61C0">
        <w:rPr>
          <w:rFonts w:ascii="Verdana" w:eastAsia="Century Gothic" w:hAnsi="Verdana" w:cs="Century Gothic"/>
          <w:b/>
          <w:bCs/>
          <w:lang w:val="es-ES"/>
        </w:rPr>
        <w:t>Razones de la respuesta:</w:t>
      </w:r>
    </w:p>
    <w:p w14:paraId="76500903" w14:textId="77777777" w:rsidR="002B61C0" w:rsidRPr="002B61C0" w:rsidRDefault="002B61C0" w:rsidP="002B61C0">
      <w:pPr>
        <w:spacing w:after="0" w:line="276" w:lineRule="auto"/>
        <w:jc w:val="both"/>
        <w:rPr>
          <w:rFonts w:ascii="Verdana" w:eastAsia="Calibri" w:hAnsi="Verdana" w:cs="Arial"/>
          <w:color w:val="7030A0"/>
          <w:lang w:val="es-ES"/>
        </w:rPr>
      </w:pPr>
    </w:p>
    <w:p w14:paraId="7776B2D2" w14:textId="77777777" w:rsidR="002B61C0" w:rsidRPr="002B61C0" w:rsidRDefault="002B61C0" w:rsidP="002B61C0">
      <w:pPr>
        <w:spacing w:after="0" w:line="276" w:lineRule="auto"/>
        <w:jc w:val="both"/>
        <w:rPr>
          <w:rFonts w:ascii="Verdana" w:eastAsia="Calibri" w:hAnsi="Verdana" w:cs="Arial"/>
          <w:lang w:val="es-ES"/>
        </w:rPr>
      </w:pPr>
      <w:r w:rsidRPr="002B61C0">
        <w:rPr>
          <w:rFonts w:ascii="Verdana" w:eastAsia="Calibri" w:hAnsi="Verdana" w:cs="Arial"/>
          <w:lang w:val="es-ES"/>
        </w:rPr>
        <w:t xml:space="preserve">Lo anterior se sustenta en las siguientes consideraciones: </w:t>
      </w:r>
    </w:p>
    <w:p w14:paraId="1FB71083" w14:textId="77777777" w:rsidR="002B61C0" w:rsidRPr="002B61C0" w:rsidRDefault="002B61C0" w:rsidP="002B61C0">
      <w:pPr>
        <w:spacing w:after="0" w:line="276" w:lineRule="auto"/>
        <w:jc w:val="both"/>
        <w:rPr>
          <w:rFonts w:ascii="Verdana" w:eastAsia="Calibri" w:hAnsi="Verdana" w:cs="Arial"/>
          <w:color w:val="7030A0"/>
          <w:lang w:val="es-ES"/>
        </w:rPr>
      </w:pPr>
    </w:p>
    <w:p w14:paraId="4D012C8F" w14:textId="77777777" w:rsidR="002B61C0" w:rsidRPr="002B61C0" w:rsidRDefault="002B61C0" w:rsidP="002B61C0">
      <w:pPr>
        <w:numPr>
          <w:ilvl w:val="0"/>
          <w:numId w:val="18"/>
        </w:numPr>
        <w:spacing w:after="120" w:line="276" w:lineRule="auto"/>
        <w:contextualSpacing/>
        <w:jc w:val="both"/>
        <w:rPr>
          <w:rFonts w:ascii="Verdana" w:eastAsia="Calibri" w:hAnsi="Verdana" w:cs="Arial"/>
          <w:lang w:val="es-MX"/>
        </w:rPr>
      </w:pPr>
      <w:r w:rsidRPr="002B61C0">
        <w:rPr>
          <w:rFonts w:ascii="Verdana" w:hAnsi="Verdana" w:cs="Arial"/>
          <w:lang w:val="es-ES_tradnl"/>
        </w:rPr>
        <w:t xml:space="preserve">Si bien las personas pueden presentarse individualmente a los procesos de selección, también pueden hacerlo en forma plural a través de consorcios o uniones temporales. En efecto, </w:t>
      </w:r>
      <w:r w:rsidRPr="002B61C0">
        <w:rPr>
          <w:rFonts w:ascii="Verdana" w:eastAsia="Calibri" w:hAnsi="Verdana" w:cs="Arial"/>
          <w:lang w:val="es-MX"/>
        </w:rPr>
        <w:t>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411741EA" w14:textId="77777777" w:rsidR="002B61C0" w:rsidRPr="002B61C0" w:rsidRDefault="002B61C0" w:rsidP="002B61C0">
      <w:pPr>
        <w:spacing w:after="120" w:line="276" w:lineRule="auto"/>
        <w:ind w:left="720"/>
        <w:contextualSpacing/>
        <w:jc w:val="both"/>
        <w:rPr>
          <w:rFonts w:ascii="Verdana" w:eastAsia="Calibri" w:hAnsi="Verdana" w:cs="Arial"/>
          <w:lang w:val="es-MX"/>
        </w:rPr>
      </w:pPr>
    </w:p>
    <w:p w14:paraId="3448914A" w14:textId="77777777" w:rsidR="002B61C0" w:rsidRPr="002B61C0" w:rsidRDefault="002B61C0" w:rsidP="002B61C0">
      <w:pPr>
        <w:numPr>
          <w:ilvl w:val="0"/>
          <w:numId w:val="18"/>
        </w:numPr>
        <w:spacing w:after="0" w:line="276" w:lineRule="auto"/>
        <w:contextualSpacing/>
        <w:jc w:val="both"/>
        <w:rPr>
          <w:rFonts w:ascii="Verdana" w:eastAsia="Calibri" w:hAnsi="Verdana" w:cs="Arial"/>
          <w:bCs/>
          <w:color w:val="000000" w:themeColor="text1"/>
          <w:lang w:val="es-ES"/>
        </w:rPr>
      </w:pPr>
      <w:r w:rsidRPr="002B61C0">
        <w:rPr>
          <w:rFonts w:ascii="Verdana" w:eastAsia="Calibri" w:hAnsi="Verdana" w:cs="Arial"/>
          <w:color w:val="000000" w:themeColor="text1"/>
          <w:lang w:val="es-ES"/>
        </w:rPr>
        <w:t>La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tradicionalmente habían estado reservados a las personas jurídicas. Tal es precisamente el caso de la capacidad para contratar otorgada a los consorcios y uniones temporales. En este sentido, la Corte Constitucional ha sostenido:</w:t>
      </w:r>
    </w:p>
    <w:p w14:paraId="5EFA9135" w14:textId="77777777" w:rsidR="002B61C0" w:rsidRPr="002B61C0" w:rsidRDefault="002B61C0" w:rsidP="002B61C0">
      <w:pPr>
        <w:spacing w:after="0" w:line="276" w:lineRule="auto"/>
        <w:jc w:val="both"/>
        <w:rPr>
          <w:rFonts w:ascii="Verdana" w:eastAsia="Calibri" w:hAnsi="Verdana" w:cs="Arial"/>
          <w:bCs/>
          <w:color w:val="000000" w:themeColor="text1"/>
          <w:lang w:val="es-ES"/>
        </w:rPr>
      </w:pPr>
    </w:p>
    <w:p w14:paraId="4DA1897A" w14:textId="77777777" w:rsidR="002B61C0" w:rsidRPr="002B61C0" w:rsidRDefault="002B61C0" w:rsidP="002B61C0">
      <w:pPr>
        <w:spacing w:after="0" w:line="240" w:lineRule="auto"/>
        <w:ind w:left="709" w:right="709"/>
        <w:jc w:val="both"/>
        <w:rPr>
          <w:rFonts w:ascii="Verdana" w:eastAsia="Calibri" w:hAnsi="Verdana" w:cs="Arial"/>
          <w:bCs/>
          <w:color w:val="000000" w:themeColor="text1"/>
          <w:sz w:val="21"/>
          <w:szCs w:val="21"/>
        </w:rPr>
      </w:pPr>
      <w:r w:rsidRPr="002B61C0">
        <w:rPr>
          <w:rFonts w:ascii="Verdana" w:eastAsia="Calibri" w:hAnsi="Verdana" w:cs="Arial"/>
          <w:bCs/>
          <w:color w:val="000000" w:themeColor="text1"/>
          <w:sz w:val="21"/>
          <w:szCs w:val="21"/>
        </w:rPr>
        <w:t xml:space="preserve">“Respecto de la capacidad legal para contratar y la personalidad jurídica señala, que la Ley 80 de 1993 al crear las figuras de los </w:t>
      </w:r>
      <w:r w:rsidRPr="002B61C0">
        <w:rPr>
          <w:rFonts w:ascii="Verdana" w:eastAsia="Calibri" w:hAnsi="Verdana" w:cs="Arial"/>
          <w:bCs/>
          <w:color w:val="000000" w:themeColor="text1"/>
          <w:sz w:val="21"/>
          <w:szCs w:val="21"/>
        </w:rPr>
        <w:lastRenderedPageBreak/>
        <w:t>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4923E463"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szCs w:val="21"/>
        </w:rPr>
      </w:pPr>
      <w:r w:rsidRPr="002B61C0">
        <w:rPr>
          <w:rFonts w:ascii="Verdana" w:eastAsia="Calibri" w:hAnsi="Verdana" w:cs="Arial"/>
          <w:bCs/>
          <w:color w:val="000000" w:themeColor="text1"/>
          <w:sz w:val="21"/>
          <w:szCs w:val="21"/>
        </w:rPr>
        <w:t>[…]</w:t>
      </w:r>
    </w:p>
    <w:p w14:paraId="00FD865B" w14:textId="77777777" w:rsidR="002B61C0" w:rsidRPr="002B61C0" w:rsidRDefault="002B61C0" w:rsidP="002B61C0">
      <w:pPr>
        <w:spacing w:after="0" w:line="240" w:lineRule="auto"/>
        <w:ind w:left="709" w:right="709"/>
        <w:jc w:val="both"/>
        <w:rPr>
          <w:rFonts w:ascii="Verdana" w:eastAsia="Calibri" w:hAnsi="Verdana" w:cs="Arial"/>
          <w:bCs/>
          <w:color w:val="000000" w:themeColor="text1"/>
          <w:sz w:val="21"/>
          <w:szCs w:val="21"/>
        </w:rPr>
      </w:pPr>
      <w:r w:rsidRPr="002B61C0">
        <w:rPr>
          <w:rFonts w:ascii="Verdana" w:eastAsia="Calibri" w:hAnsi="Verdana" w:cs="Arial"/>
          <w:bCs/>
          <w:color w:val="000000" w:themeColor="text1"/>
          <w:sz w:val="21"/>
          <w:szCs w:val="21"/>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2B61C0">
        <w:rPr>
          <w:rFonts w:ascii="Verdana" w:eastAsia="Calibri" w:hAnsi="Verdana" w:cs="Arial"/>
          <w:bCs/>
          <w:color w:val="000000" w:themeColor="text1"/>
          <w:sz w:val="21"/>
          <w:szCs w:val="21"/>
          <w:vertAlign w:val="superscript"/>
        </w:rPr>
        <w:footnoteReference w:id="3"/>
      </w:r>
      <w:r w:rsidRPr="002B61C0">
        <w:rPr>
          <w:rFonts w:ascii="Verdana" w:eastAsia="Calibri" w:hAnsi="Verdana" w:cs="Arial"/>
          <w:bCs/>
          <w:color w:val="000000" w:themeColor="text1"/>
          <w:sz w:val="21"/>
          <w:szCs w:val="21"/>
        </w:rPr>
        <w:t>.</w:t>
      </w:r>
    </w:p>
    <w:p w14:paraId="1918031D" w14:textId="77777777" w:rsidR="002B61C0" w:rsidRPr="002B61C0" w:rsidRDefault="002B61C0" w:rsidP="002B61C0">
      <w:pPr>
        <w:spacing w:after="0"/>
        <w:ind w:left="720" w:right="730"/>
        <w:jc w:val="both"/>
        <w:rPr>
          <w:rFonts w:ascii="Verdana" w:eastAsia="Calibri" w:hAnsi="Verdana" w:cs="Arial"/>
          <w:bCs/>
          <w:color w:val="000000" w:themeColor="text1"/>
          <w:sz w:val="21"/>
          <w:szCs w:val="21"/>
        </w:rPr>
      </w:pPr>
    </w:p>
    <w:p w14:paraId="493C2FE6" w14:textId="77777777" w:rsidR="002B61C0" w:rsidRPr="002B61C0" w:rsidRDefault="002B61C0" w:rsidP="002B61C0">
      <w:pPr>
        <w:numPr>
          <w:ilvl w:val="0"/>
          <w:numId w:val="19"/>
        </w:numPr>
        <w:spacing w:after="120" w:line="276" w:lineRule="auto"/>
        <w:ind w:left="709"/>
        <w:contextualSpacing/>
        <w:jc w:val="both"/>
        <w:rPr>
          <w:rFonts w:ascii="Verdana" w:eastAsia="Calibri" w:hAnsi="Verdana" w:cs="Arial"/>
          <w:bCs/>
          <w:color w:val="000000" w:themeColor="text1"/>
          <w:lang w:val="es-ES"/>
        </w:rPr>
      </w:pPr>
      <w:bookmarkStart w:id="2" w:name="_Hlk135067740"/>
      <w:r w:rsidRPr="002B61C0">
        <w:rPr>
          <w:rFonts w:ascii="Verdana" w:eastAsia="Calibri" w:hAnsi="Verdana" w:cs="Arial"/>
          <w:color w:val="000000" w:themeColor="text1"/>
          <w:lang w:val="es-ES"/>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bookmarkEnd w:id="2"/>
    <w:p w14:paraId="25067105" w14:textId="77777777" w:rsidR="002B61C0" w:rsidRPr="002B61C0" w:rsidRDefault="002B61C0" w:rsidP="002B61C0">
      <w:pPr>
        <w:spacing w:after="120" w:line="276" w:lineRule="auto"/>
        <w:ind w:left="709"/>
        <w:contextualSpacing/>
        <w:jc w:val="both"/>
        <w:rPr>
          <w:rFonts w:ascii="Verdana" w:eastAsia="Calibri" w:hAnsi="Verdana" w:cs="Arial"/>
          <w:bCs/>
          <w:color w:val="000000" w:themeColor="text1"/>
          <w:lang w:val="es-ES"/>
        </w:rPr>
      </w:pPr>
    </w:p>
    <w:p w14:paraId="032AA28A" w14:textId="77777777" w:rsidR="002B61C0" w:rsidRPr="002B61C0" w:rsidRDefault="002B61C0" w:rsidP="002B61C0">
      <w:pPr>
        <w:numPr>
          <w:ilvl w:val="0"/>
          <w:numId w:val="19"/>
        </w:numPr>
        <w:spacing w:after="0" w:line="276" w:lineRule="auto"/>
        <w:ind w:left="709"/>
        <w:contextualSpacing/>
        <w:jc w:val="both"/>
        <w:rPr>
          <w:rFonts w:ascii="Verdana" w:hAnsi="Verdana" w:cs="Arial"/>
          <w:lang w:val="es-ES"/>
        </w:rPr>
      </w:pPr>
      <w:r w:rsidRPr="002B61C0">
        <w:rPr>
          <w:rFonts w:ascii="Verdana" w:hAnsi="Verdana" w:cs="Arial"/>
          <w:lang w:val="es-ES"/>
        </w:rPr>
        <w:t>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15AA33D2" w14:textId="77777777" w:rsidR="002B61C0" w:rsidRPr="002B61C0" w:rsidRDefault="002B61C0" w:rsidP="002B61C0">
      <w:pPr>
        <w:spacing w:after="0" w:line="276" w:lineRule="auto"/>
        <w:ind w:firstLine="709"/>
        <w:jc w:val="both"/>
        <w:rPr>
          <w:rFonts w:ascii="Verdana" w:eastAsia="Calibri" w:hAnsi="Verdana" w:cs="Arial"/>
          <w:bCs/>
          <w:color w:val="000000" w:themeColor="text1"/>
          <w:lang w:val="es-ES"/>
        </w:rPr>
      </w:pPr>
    </w:p>
    <w:p w14:paraId="3D92AECC" w14:textId="77777777" w:rsidR="002B61C0" w:rsidRPr="002B61C0" w:rsidRDefault="002B61C0" w:rsidP="002B61C0">
      <w:pPr>
        <w:spacing w:after="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lastRenderedPageBreak/>
        <w:t>“Artículo 7º.- ENTIDADES A CONTRATAR. Artículo modificado por el artículo 3 de la Ley 2160 de 2021. Para los efectos de esta Ley se entiende por:</w:t>
      </w:r>
    </w:p>
    <w:p w14:paraId="3F4898BC"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w:t>
      </w:r>
    </w:p>
    <w:p w14:paraId="5F1828DB"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3CE43B1E" w14:textId="77777777" w:rsidR="002B61C0" w:rsidRPr="002B61C0" w:rsidRDefault="002B61C0" w:rsidP="002B61C0">
      <w:pPr>
        <w:spacing w:after="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1ABCB469"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w:t>
      </w:r>
    </w:p>
    <w:p w14:paraId="5461D0B2"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4790317A" w14:textId="77777777" w:rsidR="002B61C0" w:rsidRPr="002B61C0" w:rsidRDefault="002B61C0" w:rsidP="002B61C0">
      <w:pPr>
        <w:spacing w:after="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Los miembros del consorcio y de la unión temporal deberán designar la persona que, para todos los efectos, representará al consorcio o unión temporal y señalarán las reglas básicas que regulen las relaciones entre ellos y su responsabilidad.</w:t>
      </w:r>
    </w:p>
    <w:p w14:paraId="01C6F5FB" w14:textId="77777777" w:rsidR="002B61C0" w:rsidRPr="002B61C0" w:rsidRDefault="002B61C0" w:rsidP="002B61C0">
      <w:pPr>
        <w:spacing w:after="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w:t>
      </w:r>
    </w:p>
    <w:p w14:paraId="48D75DCC" w14:textId="77777777" w:rsidR="002B61C0" w:rsidRPr="002B61C0" w:rsidRDefault="002B61C0" w:rsidP="002B61C0">
      <w:pPr>
        <w:spacing w:after="0" w:line="276" w:lineRule="auto"/>
        <w:ind w:left="720" w:right="731"/>
        <w:jc w:val="both"/>
        <w:rPr>
          <w:rFonts w:ascii="Verdana" w:eastAsia="Calibri" w:hAnsi="Verdana" w:cs="Arial"/>
          <w:bCs/>
          <w:color w:val="000000" w:themeColor="text1"/>
          <w:lang w:val="es-ES"/>
        </w:rPr>
      </w:pPr>
    </w:p>
    <w:p w14:paraId="09363D1F" w14:textId="77777777" w:rsidR="002B61C0" w:rsidRPr="002B61C0" w:rsidRDefault="002B61C0" w:rsidP="002B61C0">
      <w:pPr>
        <w:numPr>
          <w:ilvl w:val="0"/>
          <w:numId w:val="19"/>
        </w:numPr>
        <w:spacing w:after="120" w:line="276" w:lineRule="auto"/>
        <w:ind w:left="709"/>
        <w:contextualSpacing/>
        <w:jc w:val="both"/>
        <w:rPr>
          <w:rFonts w:ascii="Verdana" w:hAnsi="Verdana" w:cs="Arial"/>
          <w:color w:val="000000" w:themeColor="text1"/>
          <w:lang w:val="es-ES"/>
        </w:rPr>
      </w:pPr>
      <w:r w:rsidRPr="002B61C0">
        <w:rPr>
          <w:rFonts w:ascii="Verdana" w:eastAsia="Calibri" w:hAnsi="Verdana" w:cs="Arial"/>
          <w:bCs/>
          <w:color w:val="000000" w:themeColor="text1"/>
          <w:lang w:val="es-ES"/>
        </w:rPr>
        <w:t>Como se observa, el artículo citado señala que el consorcio o la unión temporal se da “Cuando dos o más personas en forma conjunta presentan una misma propuesta para la adjudicación, celebración y ejecución de un contrato […]”.</w:t>
      </w:r>
      <w:r w:rsidRPr="002B61C0">
        <w:rPr>
          <w:rFonts w:ascii="Verdana" w:hAnsi="Verdana" w:cs="Arial"/>
          <w:color w:val="000000" w:themeColor="text1"/>
          <w:lang w:val="es-ES"/>
        </w:rPr>
        <w:t xml:space="preserve">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w:t>
      </w:r>
    </w:p>
    <w:p w14:paraId="00D388DC" w14:textId="77777777" w:rsidR="002B61C0" w:rsidRPr="002B61C0" w:rsidRDefault="002B61C0" w:rsidP="002B61C0">
      <w:pPr>
        <w:spacing w:after="120" w:line="276" w:lineRule="auto"/>
        <w:ind w:left="709"/>
        <w:contextualSpacing/>
        <w:jc w:val="both"/>
        <w:rPr>
          <w:rFonts w:ascii="Verdana" w:hAnsi="Verdana" w:cs="Arial"/>
          <w:color w:val="000000" w:themeColor="text1"/>
          <w:lang w:val="es-ES"/>
        </w:rPr>
      </w:pPr>
    </w:p>
    <w:p w14:paraId="4E36150C" w14:textId="77777777" w:rsidR="002B61C0" w:rsidRPr="002B61C0" w:rsidRDefault="002B61C0" w:rsidP="002B61C0">
      <w:pPr>
        <w:numPr>
          <w:ilvl w:val="0"/>
          <w:numId w:val="19"/>
        </w:numPr>
        <w:spacing w:after="120" w:line="276" w:lineRule="auto"/>
        <w:ind w:left="709"/>
        <w:contextualSpacing/>
        <w:jc w:val="both"/>
        <w:rPr>
          <w:rFonts w:ascii="Verdana" w:hAnsi="Verdana" w:cs="Arial"/>
          <w:color w:val="000000" w:themeColor="text1"/>
          <w:lang w:val="es-ES"/>
        </w:rPr>
      </w:pPr>
      <w:r w:rsidRPr="002B61C0">
        <w:rPr>
          <w:rFonts w:ascii="Verdana" w:hAnsi="Verdana" w:cs="Arial"/>
          <w:color w:val="000000" w:themeColor="text1"/>
          <w:lang w:val="es-ES"/>
        </w:rPr>
        <w:lastRenderedPageBreak/>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0BD23EE3" w14:textId="77777777" w:rsidR="002B61C0" w:rsidRPr="002B61C0" w:rsidRDefault="002B61C0" w:rsidP="002B61C0">
      <w:pPr>
        <w:spacing w:after="120" w:line="276" w:lineRule="auto"/>
        <w:ind w:left="709"/>
        <w:contextualSpacing/>
        <w:jc w:val="both"/>
        <w:rPr>
          <w:rFonts w:ascii="Verdana" w:hAnsi="Verdana" w:cs="Arial"/>
          <w:color w:val="000000" w:themeColor="text1"/>
          <w:lang w:val="es-ES"/>
        </w:rPr>
      </w:pPr>
    </w:p>
    <w:p w14:paraId="1BC33B05" w14:textId="77777777" w:rsidR="002B61C0" w:rsidRPr="002B61C0" w:rsidRDefault="002B61C0" w:rsidP="002B61C0">
      <w:pPr>
        <w:widowControl w:val="0"/>
        <w:numPr>
          <w:ilvl w:val="0"/>
          <w:numId w:val="19"/>
        </w:numPr>
        <w:autoSpaceDE w:val="0"/>
        <w:autoSpaceDN w:val="0"/>
        <w:spacing w:after="120" w:line="276" w:lineRule="auto"/>
        <w:ind w:left="709"/>
        <w:contextualSpacing/>
        <w:jc w:val="both"/>
        <w:rPr>
          <w:rFonts w:ascii="Verdana" w:hAnsi="Verdana" w:cs="Arial"/>
          <w:color w:val="000000" w:themeColor="text1"/>
          <w:lang w:val="es-ES"/>
        </w:rPr>
      </w:pPr>
      <w:r w:rsidRPr="002B61C0">
        <w:rPr>
          <w:rFonts w:ascii="Verdana" w:hAnsi="Verdana" w:cs="Arial"/>
          <w:color w:val="000000" w:themeColor="text1"/>
          <w:lang w:val="es-ES"/>
        </w:rPr>
        <w:t xml:space="preserve">En conclusión, </w:t>
      </w:r>
      <w:bookmarkStart w:id="3" w:name="_Hlk170989338"/>
      <w:r w:rsidRPr="002B61C0">
        <w:rPr>
          <w:rFonts w:ascii="Verdana" w:hAnsi="Verdana" w:cs="Arial"/>
          <w:color w:val="000000" w:themeColor="text1"/>
          <w:lang w:val="es-ES"/>
        </w:rPr>
        <w:t>la capacidad jurídica de los proponentes plurales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de la Ley 80 de 1993 se restringe a las actividades allí dispuestas sin que se extienda, por ejemplo, a la celebración de contratos de fiducia, cesiones de crédito, cesiones de contrato o subcontratos. En estos casos, la celebración de dichos negocios jurídicos no corresponde a la estructura plural, sino a todos sus integrantes de forma conjunta. Es decir, fuera de las actividades descritas en el EGCAP, son los participantes –no estructura plural– los que tienen personería y capacidad para actuar.</w:t>
      </w:r>
    </w:p>
    <w:p w14:paraId="2BBBFD45" w14:textId="77777777" w:rsidR="002B61C0" w:rsidRPr="002B61C0" w:rsidRDefault="002B61C0" w:rsidP="002B61C0">
      <w:pPr>
        <w:ind w:left="720"/>
        <w:contextualSpacing/>
        <w:rPr>
          <w:rFonts w:ascii="Verdana" w:eastAsia="Calibri" w:hAnsi="Verdana" w:cs="Arial"/>
          <w:color w:val="000000" w:themeColor="text1"/>
          <w:lang w:val="es-ES"/>
        </w:rPr>
      </w:pPr>
    </w:p>
    <w:p w14:paraId="65EFFA5C" w14:textId="77777777" w:rsidR="002B61C0" w:rsidRPr="002B61C0" w:rsidRDefault="002B61C0" w:rsidP="002B61C0">
      <w:pPr>
        <w:widowControl w:val="0"/>
        <w:numPr>
          <w:ilvl w:val="0"/>
          <w:numId w:val="19"/>
        </w:numPr>
        <w:autoSpaceDE w:val="0"/>
        <w:autoSpaceDN w:val="0"/>
        <w:spacing w:after="120" w:line="276" w:lineRule="auto"/>
        <w:ind w:left="709"/>
        <w:contextualSpacing/>
        <w:jc w:val="both"/>
        <w:rPr>
          <w:rFonts w:ascii="Verdana" w:hAnsi="Verdana" w:cs="Arial"/>
          <w:color w:val="000000" w:themeColor="text1"/>
          <w:lang w:val="es-ES"/>
        </w:rPr>
      </w:pPr>
      <w:r w:rsidRPr="002B61C0">
        <w:rPr>
          <w:rFonts w:ascii="Verdana" w:eastAsia="Calibri" w:hAnsi="Verdana" w:cs="Arial"/>
          <w:color w:val="000000" w:themeColor="text1"/>
          <w:lang w:val="es-ES"/>
        </w:rPr>
        <w:t>Sin embargo, respecto de su pregunta, la capacidad jurídica de los consorcios no solo se limita al campo de la contratación estatal, debido al cambio jurisprudencial que realizó el Consejo de Estado en el año 2013, mediante sentencia de unificación, donde extendió la capacidad jurídica de los consorcios a los procesos judiciales con ocasión de su participación en procesos de contratación estatal. Lo anterior ha sido ratificado en providencias posteriores</w:t>
      </w:r>
      <w:r w:rsidRPr="002B61C0">
        <w:rPr>
          <w:rFonts w:ascii="Verdana" w:eastAsia="Calibri" w:hAnsi="Verdana" w:cs="Arial"/>
          <w:color w:val="000000" w:themeColor="text1"/>
          <w:vertAlign w:val="superscript"/>
          <w:lang w:val="es-ES"/>
        </w:rPr>
        <w:footnoteReference w:id="4"/>
      </w:r>
      <w:r w:rsidRPr="002B61C0">
        <w:rPr>
          <w:rFonts w:ascii="Verdana" w:eastAsia="Calibri" w:hAnsi="Verdana" w:cs="Arial"/>
          <w:color w:val="000000" w:themeColor="text1"/>
          <w:lang w:val="es-ES"/>
        </w:rPr>
        <w:t xml:space="preserve">, y el cambio radica en que, en principio, el </w:t>
      </w:r>
      <w:r w:rsidRPr="002B61C0">
        <w:rPr>
          <w:rFonts w:ascii="Verdana" w:eastAsia="Calibri" w:hAnsi="Verdana" w:cs="Arial"/>
          <w:color w:val="000000" w:themeColor="text1"/>
          <w:lang w:val="es-ES"/>
        </w:rPr>
        <w:lastRenderedPageBreak/>
        <w:t>Consejo de Estado afirmó que los proponentes plurales no tienen personería jurídica diferente a la de sus miembros, por lo que no pueden comparecer en proceso ante autoridades judiciales porque solo sus miembros en tanto sean personas naturales o jurídicas son los titulares de la capacidad para actuar como sujetos procesales.</w:t>
      </w:r>
    </w:p>
    <w:p w14:paraId="42648166" w14:textId="77777777" w:rsidR="002B61C0" w:rsidRPr="002B61C0" w:rsidRDefault="002B61C0" w:rsidP="002B61C0">
      <w:pPr>
        <w:ind w:left="720"/>
        <w:contextualSpacing/>
        <w:rPr>
          <w:rFonts w:ascii="Verdana" w:eastAsia="Calibri" w:hAnsi="Verdana" w:cs="Arial"/>
          <w:color w:val="000000" w:themeColor="text1"/>
          <w:lang w:val="es-ES"/>
        </w:rPr>
      </w:pPr>
    </w:p>
    <w:p w14:paraId="24C50810" w14:textId="77777777" w:rsidR="002B61C0" w:rsidRPr="002B61C0" w:rsidRDefault="002B61C0" w:rsidP="002B61C0">
      <w:pPr>
        <w:widowControl w:val="0"/>
        <w:numPr>
          <w:ilvl w:val="0"/>
          <w:numId w:val="19"/>
        </w:numPr>
        <w:autoSpaceDE w:val="0"/>
        <w:autoSpaceDN w:val="0"/>
        <w:spacing w:after="120" w:line="276" w:lineRule="auto"/>
        <w:ind w:left="709"/>
        <w:contextualSpacing/>
        <w:jc w:val="both"/>
        <w:rPr>
          <w:rFonts w:ascii="Verdana" w:hAnsi="Verdana" w:cs="Arial"/>
          <w:color w:val="000000" w:themeColor="text1"/>
          <w:lang w:val="es-ES"/>
        </w:rPr>
      </w:pPr>
      <w:r w:rsidRPr="002B61C0">
        <w:rPr>
          <w:rFonts w:ascii="Verdana" w:eastAsia="Calibri" w:hAnsi="Verdana" w:cs="Arial"/>
          <w:color w:val="000000" w:themeColor="text1"/>
          <w:lang w:val="es-ES"/>
        </w:rPr>
        <w:t>Sobre esta postura, el Consejo de Estado realizó una rectificación jurisprudencial así:</w:t>
      </w:r>
    </w:p>
    <w:p w14:paraId="35D317C5" w14:textId="77777777" w:rsidR="002B61C0" w:rsidRPr="002B61C0" w:rsidRDefault="002B61C0" w:rsidP="002B61C0">
      <w:pPr>
        <w:ind w:left="720"/>
        <w:contextualSpacing/>
        <w:rPr>
          <w:rFonts w:ascii="Verdana" w:eastAsia="Calibri" w:hAnsi="Verdana" w:cs="Arial"/>
          <w:color w:val="000000" w:themeColor="text1"/>
          <w:lang w:val="es-ES"/>
        </w:rPr>
      </w:pPr>
    </w:p>
    <w:p w14:paraId="7E439EC1" w14:textId="7B32688D" w:rsidR="002B61C0" w:rsidRPr="002B61C0" w:rsidRDefault="002B61C0" w:rsidP="002B61C0">
      <w:pPr>
        <w:spacing w:after="120" w:line="240" w:lineRule="auto"/>
        <w:ind w:left="709" w:right="709"/>
        <w:jc w:val="both"/>
        <w:rPr>
          <w:rFonts w:ascii="Verdana" w:eastAsia="Calibri" w:hAnsi="Verdana" w:cs="Arial"/>
          <w:color w:val="000000" w:themeColor="text1"/>
          <w:sz w:val="21"/>
          <w:szCs w:val="21"/>
          <w:lang w:val="es-ES"/>
        </w:rPr>
      </w:pPr>
      <w:r w:rsidRPr="2A33A943">
        <w:rPr>
          <w:rFonts w:ascii="Verdana" w:eastAsia="Calibri" w:hAnsi="Verdana" w:cs="Arial"/>
          <w:color w:val="000000" w:themeColor="text1"/>
          <w:sz w:val="21"/>
          <w:szCs w:val="21"/>
          <w:lang w:val="es-ES"/>
        </w:rPr>
        <w:t xml:space="preserve">La capacidad de contratación que expresamente la Ley 80 otorgó y reconoció a los consorcios y a las uniones temporales, en modo alguno puede entenderse agotada en el campo de las actuaciones que esas organizaciones pueden válidamente desplegar en relación o con ocasión de su actividad contractual – incluyendo los actos jurídicos consistentes en la formulación misma de la oferta; la notificación de la adjudicación; la celebración, ejecución y liquidación del respectivo contrato estatal–, </w:t>
      </w:r>
      <w:r w:rsidRPr="63ABDD13">
        <w:rPr>
          <w:rFonts w:ascii="Verdana" w:eastAsia="Calibri" w:hAnsi="Verdana" w:cs="Arial"/>
          <w:b/>
          <w:color w:val="000000" w:themeColor="text1"/>
          <w:sz w:val="21"/>
          <w:szCs w:val="21"/>
          <w:u w:val="single"/>
          <w:lang w:val="es-ES"/>
        </w:rPr>
        <w:t>sino que proyecta sus efectos de manera cierta e importante en el campo procesal, en el cual, como ya se indicó, esas organizaciones empresariales podrán asumir la condición de parte, en cuanto titulares de derechos y obligaciones, al tiempo que podrán comparecer en juicio para exigir o defender, según corresponda, los derechos que a su favor hubieren surgido del respectivo procedimiento administrativo de selección contractual o del propio contrato estatal</w:t>
      </w:r>
      <w:r w:rsidR="4D755A34" w:rsidRPr="2A33A943">
        <w:rPr>
          <w:rFonts w:ascii="Verdana" w:eastAsia="Calibri" w:hAnsi="Verdana" w:cs="Arial"/>
          <w:color w:val="000000" w:themeColor="text1"/>
          <w:sz w:val="21"/>
          <w:szCs w:val="21"/>
          <w:lang w:val="es-ES"/>
        </w:rPr>
        <w:t xml:space="preserve"> (el subrayado es propio).</w:t>
      </w:r>
    </w:p>
    <w:p w14:paraId="032E492E"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w:t>
      </w:r>
    </w:p>
    <w:p w14:paraId="21BA0EF4"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Es la misma ley la que contempla y establece –como resulta apenas natural-, que las partes de un contrato estatal son las que están suficientemente facultadas para acudir a la vía judicial con el propósito de reclamar o de defender los derechos originados en el respectivo contrato, cuestión que permite señalar que cuando el contrato se celebra con un consorcio o con una unión temporal, se ha de entender que una de las partes está constituida por esta clase de agrupación, sin perjuicio de agregar que en esos eventos sus integrantes, individualmente considerados, también resultarán vinculados al respectivo contrato estatal y, por mandato de la ley, deberán responder en forma solidaria por la integridad de las obligaciones derivadas de la propuesta y del contrato.</w:t>
      </w:r>
    </w:p>
    <w:p w14:paraId="79DC64AE"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w:t>
      </w:r>
    </w:p>
    <w:p w14:paraId="170F6757"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 xml:space="preserve">Como resulta apenas natural, ha de entenderse también que la representación del consorcio o de la unión temporal, en los términos </w:t>
      </w:r>
      <w:r w:rsidRPr="002B61C0">
        <w:rPr>
          <w:rFonts w:ascii="Verdana" w:eastAsia="Calibri" w:hAnsi="Verdana" w:cs="Arial"/>
          <w:bCs/>
          <w:color w:val="000000" w:themeColor="text1"/>
          <w:sz w:val="21"/>
          <w:lang w:val="es-ES"/>
        </w:rPr>
        <w:lastRenderedPageBreak/>
        <w:t>de la ley, para todos los efectos, comprenderá por igual las actuaciones procesales que deban emprenderse o desplegarse con el propósito de reclamar o defender en juicio los derechos derivados de la propuesta o del contrato. Es más, resultaría contradictorio e inadmisible suponer que el representante de una de esas agrupaciones empresariales pudiere celebrar el contrato, convenir su liquidación y hacer salvedades acerca de su contenido o notificarse válidamente de los actos administrativos contractuales e incluso recurrirlos en sede administrativa, pero que una vez agotada la vía gubernativa no pudiere demandar esos actos o el contrato mismo ante el juez competente o formular demandas en relación con las salvedades consignadas en el acta de liquidación final.</w:t>
      </w:r>
    </w:p>
    <w:p w14:paraId="44FC3F75"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w:t>
      </w:r>
    </w:p>
    <w:p w14:paraId="1C1B56F4"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El efecto útil, como criterio rector de interpretación normativa, impone admitir que los artículos 6 y 7 de la Ley 80 tuvieron el claro y evidente propósito de dotar a los consorcios y a las uniones temporales de la capacidad jurídica necesaria tanto para celebrar contratos estatales como para comparecer en juicio, cuando se debatan asuntos relacionados con los mismos; si ello no fuere así y no produjere tales efectos en el campo procesal, habría que concluir entonces que las disposiciones legales aludidas saldrían sobrando o carecerían de sentido, criterio hermenéutico que llevaría a negarles la totalidad o buena parte de sus efectos</w:t>
      </w:r>
      <w:r w:rsidRPr="002B61C0">
        <w:rPr>
          <w:rFonts w:ascii="Verdana" w:eastAsia="Calibri" w:hAnsi="Verdana" w:cs="Arial"/>
          <w:bCs/>
          <w:color w:val="000000" w:themeColor="text1"/>
          <w:sz w:val="21"/>
          <w:vertAlign w:val="superscript"/>
          <w:lang w:val="es-ES"/>
        </w:rPr>
        <w:footnoteReference w:id="5"/>
      </w:r>
      <w:r w:rsidRPr="002B61C0">
        <w:rPr>
          <w:rFonts w:ascii="Verdana" w:eastAsia="Calibri" w:hAnsi="Verdana" w:cs="Arial"/>
          <w:bCs/>
          <w:color w:val="000000" w:themeColor="text1"/>
          <w:sz w:val="21"/>
          <w:lang w:val="es-ES"/>
        </w:rPr>
        <w:t>.</w:t>
      </w:r>
    </w:p>
    <w:p w14:paraId="5FE3943F" w14:textId="77777777" w:rsidR="002B61C0" w:rsidRPr="002B61C0" w:rsidRDefault="002B61C0" w:rsidP="002B61C0">
      <w:pPr>
        <w:ind w:left="720"/>
        <w:contextualSpacing/>
        <w:rPr>
          <w:rFonts w:ascii="Verdana" w:eastAsia="Calibri" w:hAnsi="Verdana" w:cs="Arial"/>
          <w:color w:val="000000" w:themeColor="text1"/>
          <w:lang w:val="es-ES"/>
        </w:rPr>
      </w:pPr>
    </w:p>
    <w:p w14:paraId="38BB2B46" w14:textId="77777777" w:rsidR="002B61C0" w:rsidRPr="002B61C0" w:rsidRDefault="002B61C0" w:rsidP="002B61C0">
      <w:pPr>
        <w:widowControl w:val="0"/>
        <w:numPr>
          <w:ilvl w:val="0"/>
          <w:numId w:val="19"/>
        </w:numPr>
        <w:autoSpaceDE w:val="0"/>
        <w:autoSpaceDN w:val="0"/>
        <w:spacing w:after="120" w:line="276" w:lineRule="auto"/>
        <w:ind w:left="709"/>
        <w:contextualSpacing/>
        <w:jc w:val="both"/>
        <w:rPr>
          <w:rFonts w:ascii="Verdana" w:hAnsi="Verdana" w:cs="Arial"/>
          <w:color w:val="000000" w:themeColor="text1"/>
          <w:lang w:val="es-ES"/>
        </w:rPr>
      </w:pPr>
      <w:r w:rsidRPr="002B61C0">
        <w:rPr>
          <w:rFonts w:ascii="Verdana" w:eastAsia="Calibri" w:hAnsi="Verdana" w:cs="Arial"/>
          <w:color w:val="000000" w:themeColor="text1"/>
          <w:lang w:val="es-ES"/>
        </w:rPr>
        <w:t xml:space="preserve">De lo anterior se concluye que: i) los consorcios tienen capacidad jurídica a pesar de no tener personería jurídica porque la ley así lo determinó, y para tener capacidad jurídica no es requisito ser persona, </w:t>
      </w:r>
      <w:proofErr w:type="spellStart"/>
      <w:r w:rsidRPr="002B61C0">
        <w:rPr>
          <w:rFonts w:ascii="Verdana" w:eastAsia="Calibri" w:hAnsi="Verdana" w:cs="Arial"/>
          <w:color w:val="000000" w:themeColor="text1"/>
          <w:lang w:val="es-ES"/>
        </w:rPr>
        <w:t>ii</w:t>
      </w:r>
      <w:proofErr w:type="spellEnd"/>
      <w:r w:rsidRPr="002B61C0">
        <w:rPr>
          <w:rFonts w:ascii="Verdana" w:eastAsia="Calibri" w:hAnsi="Verdana" w:cs="Arial"/>
          <w:color w:val="000000" w:themeColor="text1"/>
          <w:lang w:val="es-ES"/>
        </w:rPr>
        <w:t xml:space="preserve">) la capacidad para obrar como demandante en el Código Contencioso Administrativo (ahora Código de Procedimiento Administrativo y de lo Contencioso Administrativo) no exige personalidad jurídica independiente, </w:t>
      </w:r>
      <w:proofErr w:type="spellStart"/>
      <w:r w:rsidRPr="002B61C0">
        <w:rPr>
          <w:rFonts w:ascii="Verdana" w:eastAsia="Calibri" w:hAnsi="Verdana" w:cs="Arial"/>
          <w:color w:val="000000" w:themeColor="text1"/>
          <w:lang w:val="es-ES"/>
        </w:rPr>
        <w:t>iii</w:t>
      </w:r>
      <w:proofErr w:type="spellEnd"/>
      <w:r w:rsidRPr="002B61C0">
        <w:rPr>
          <w:rFonts w:ascii="Verdana" w:eastAsia="Calibri" w:hAnsi="Verdana" w:cs="Arial"/>
          <w:color w:val="000000" w:themeColor="text1"/>
          <w:lang w:val="es-ES"/>
        </w:rPr>
        <w:t xml:space="preserve">) la personería jurídica no es un requisito para ejercer acciones judiciales, </w:t>
      </w:r>
      <w:proofErr w:type="spellStart"/>
      <w:r w:rsidRPr="002B61C0">
        <w:rPr>
          <w:rFonts w:ascii="Verdana" w:eastAsia="Calibri" w:hAnsi="Verdana" w:cs="Arial"/>
          <w:color w:val="000000" w:themeColor="text1"/>
          <w:lang w:val="es-ES"/>
        </w:rPr>
        <w:t>iv</w:t>
      </w:r>
      <w:proofErr w:type="spellEnd"/>
      <w:r w:rsidRPr="002B61C0">
        <w:rPr>
          <w:rFonts w:ascii="Verdana" w:eastAsia="Calibri" w:hAnsi="Verdana" w:cs="Arial"/>
          <w:color w:val="000000" w:themeColor="text1"/>
          <w:lang w:val="es-ES"/>
        </w:rPr>
        <w:t xml:space="preserve">) la capacidad jurídica otorgada por la Ley 80 de 1993 a los proponentes plurales proyecta sus efectos en el campo procesal para ser parte en procesos judiciales relacionados con los procedimientos de selección contractual o con el contrato estatal propiamente, ya que sería contradictorio que tuvieran capacidad jurídica para celebrar contratos pero no para defender los derechos y obligaciones derivados de estos en el ámbito judicial, v) el legislador no limitó el alcance de las facultades del </w:t>
      </w:r>
      <w:r w:rsidRPr="002B61C0">
        <w:rPr>
          <w:rFonts w:ascii="Verdana" w:eastAsia="Calibri" w:hAnsi="Verdana" w:cs="Arial"/>
          <w:color w:val="000000" w:themeColor="text1"/>
          <w:lang w:val="es-ES"/>
        </w:rPr>
        <w:lastRenderedPageBreak/>
        <w:t xml:space="preserve">representante legal de un consorcio, por lo que la jurisprudencia no puede limitar la representación legal a la celebración y ejecución del contrato estatal, y </w:t>
      </w:r>
      <w:proofErr w:type="spellStart"/>
      <w:r w:rsidRPr="002B61C0">
        <w:rPr>
          <w:rFonts w:ascii="Verdana" w:eastAsia="Calibri" w:hAnsi="Verdana" w:cs="Arial"/>
          <w:color w:val="000000" w:themeColor="text1"/>
          <w:lang w:val="es-ES"/>
        </w:rPr>
        <w:t>iv</w:t>
      </w:r>
      <w:proofErr w:type="spellEnd"/>
      <w:r w:rsidRPr="002B61C0">
        <w:rPr>
          <w:rFonts w:ascii="Verdana" w:eastAsia="Calibri" w:hAnsi="Verdana" w:cs="Arial"/>
          <w:color w:val="000000" w:themeColor="text1"/>
          <w:lang w:val="es-ES"/>
        </w:rPr>
        <w:t>) la rectificación jurisprudencial no se opone a que los integrantes del proponente plural, individualmente considerados, comparezcan a los procesos judiciales.</w:t>
      </w:r>
    </w:p>
    <w:p w14:paraId="7F77F5F7" w14:textId="77777777" w:rsidR="002B61C0" w:rsidRPr="002B61C0" w:rsidRDefault="002B61C0" w:rsidP="002B61C0">
      <w:pPr>
        <w:widowControl w:val="0"/>
        <w:autoSpaceDE w:val="0"/>
        <w:autoSpaceDN w:val="0"/>
        <w:spacing w:after="120" w:line="276" w:lineRule="auto"/>
        <w:ind w:left="709"/>
        <w:contextualSpacing/>
        <w:jc w:val="both"/>
        <w:rPr>
          <w:rFonts w:ascii="Verdana" w:hAnsi="Verdana" w:cs="Arial"/>
          <w:color w:val="000000" w:themeColor="text1"/>
          <w:lang w:val="es-ES"/>
        </w:rPr>
      </w:pPr>
    </w:p>
    <w:p w14:paraId="38240742" w14:textId="77777777" w:rsidR="002B61C0" w:rsidRPr="002B61C0" w:rsidRDefault="002B61C0" w:rsidP="002B61C0">
      <w:pPr>
        <w:widowControl w:val="0"/>
        <w:numPr>
          <w:ilvl w:val="0"/>
          <w:numId w:val="19"/>
        </w:numPr>
        <w:autoSpaceDE w:val="0"/>
        <w:autoSpaceDN w:val="0"/>
        <w:spacing w:after="120" w:line="276" w:lineRule="auto"/>
        <w:ind w:left="709"/>
        <w:contextualSpacing/>
        <w:jc w:val="both"/>
        <w:rPr>
          <w:rFonts w:ascii="Verdana" w:hAnsi="Verdana" w:cs="Arial"/>
          <w:color w:val="000000" w:themeColor="text1"/>
          <w:lang w:val="es-ES"/>
        </w:rPr>
      </w:pPr>
      <w:r w:rsidRPr="002B61C0">
        <w:rPr>
          <w:rFonts w:ascii="Verdana" w:hAnsi="Verdana" w:cs="Arial"/>
          <w:color w:val="000000" w:themeColor="text1"/>
          <w:lang w:val="es-ES"/>
        </w:rPr>
        <w:t>Por último, el Consejo de Estado determina que:</w:t>
      </w:r>
    </w:p>
    <w:p w14:paraId="593732A3" w14:textId="77777777" w:rsidR="002B61C0" w:rsidRPr="002B61C0" w:rsidRDefault="002B61C0" w:rsidP="002B61C0">
      <w:pPr>
        <w:ind w:left="720"/>
        <w:contextualSpacing/>
        <w:rPr>
          <w:rFonts w:ascii="Verdana" w:hAnsi="Verdana" w:cs="Arial"/>
          <w:color w:val="000000" w:themeColor="text1"/>
          <w:lang w:val="es-ES"/>
        </w:rPr>
      </w:pPr>
    </w:p>
    <w:p w14:paraId="359E71E1" w14:textId="77777777" w:rsidR="002B61C0" w:rsidRPr="002B61C0" w:rsidRDefault="002B61C0" w:rsidP="002B61C0">
      <w:pPr>
        <w:spacing w:after="120" w:line="240" w:lineRule="auto"/>
        <w:ind w:left="709" w:right="709"/>
        <w:jc w:val="both"/>
        <w:rPr>
          <w:rFonts w:ascii="Verdana" w:eastAsia="Calibri" w:hAnsi="Verdana" w:cs="Arial"/>
          <w:bCs/>
          <w:color w:val="000000" w:themeColor="text1"/>
          <w:sz w:val="21"/>
          <w:lang w:val="es-ES"/>
        </w:rPr>
      </w:pPr>
      <w:r w:rsidRPr="002B61C0">
        <w:rPr>
          <w:rFonts w:ascii="Verdana" w:eastAsia="Calibri" w:hAnsi="Verdana" w:cs="Arial"/>
          <w:bCs/>
          <w:color w:val="000000" w:themeColor="text1"/>
          <w:sz w:val="21"/>
          <w:lang w:val="es-ES"/>
        </w:rPr>
        <w:t xml:space="preserve">La modificación de la Jurisprudencia que aquí se lleva a cabo apunta únicamente a dejar de lado aquella tesis jurisprudencial en cuya virtud se consideraba, hasta este momento, que en cuanto los consorcios y las uniones temporales carecen de personalidad jurídica propia e independiente, no les resultaba dable comparecer a los procesos judiciales porque esa condición estaba reservada de manera exclusiva a las personas –ora naturales, ora jurídicas–, por lo cual se concluía que en los correspondientes procesos judiciales únicamente podían ocupar alguno de sus extremos los integrantes de tales organizaciones empresariales. En consecuencia, a partir del presente proveído se concluye que tanto los consorcios como las uniones temporales sí se encuentran legalmente facultados para concurrir, por conducto de su representante, a los procesos judiciales que pudieren tener origen en controversias surgidas del procedimiento administrativo de selección de contratistas o de la celebración y ejecución de los contratos estatales en relación con los cuales tengan algún interés, cuestión que de ninguna manera excluye la opción, que naturalmente continúa vigente, de que los integrantes de tales consorcios o uniones temporales también puedan, si así lo deciden y siempre que para ello satisfagan los requisitos y presupuestos exigidos en las normas vigentes para el efecto, comparecer a los procesos judiciales –bien como demandantes, bien como demandados, bien como terceros legitimados o incluso en la condición de litisconsortes, facultativos o necesarios, según corresponda–, opción que de ser ejercida deberá consultar, como resulta apenas natural, las exigencias relacionadas con la debida integración del contradictorio, por manera que, en aquellos eventos en que varios o uno solo de los integrantes de un consorcio o de una unión temporal concurran a un proceso judicial, en su condición individual e independiente, deberán satisfacerse las reglas que deban aplicarse, según las particularidades de cada caso específico, para que los demás integrantes del correspondiente consorcio o unión temporal deban o puedan ser vinculados en </w:t>
      </w:r>
      <w:r w:rsidRPr="002B61C0">
        <w:rPr>
          <w:rFonts w:ascii="Verdana" w:eastAsia="Calibri" w:hAnsi="Verdana" w:cs="Arial"/>
          <w:bCs/>
          <w:color w:val="000000" w:themeColor="text1"/>
          <w:sz w:val="21"/>
          <w:lang w:val="es-ES"/>
        </w:rPr>
        <w:lastRenderedPageBreak/>
        <w:t>condición de litisconsortes, facultativos o necesarios, según corresponda</w:t>
      </w:r>
      <w:r w:rsidRPr="002B61C0">
        <w:rPr>
          <w:rFonts w:ascii="Verdana" w:eastAsia="Calibri" w:hAnsi="Verdana" w:cs="Arial"/>
          <w:bCs/>
          <w:color w:val="000000" w:themeColor="text1"/>
          <w:sz w:val="21"/>
          <w:vertAlign w:val="superscript"/>
          <w:lang w:val="es-ES"/>
        </w:rPr>
        <w:footnoteReference w:id="6"/>
      </w:r>
      <w:r w:rsidRPr="002B61C0">
        <w:rPr>
          <w:rFonts w:ascii="Verdana" w:eastAsia="Calibri" w:hAnsi="Verdana" w:cs="Arial"/>
          <w:bCs/>
          <w:color w:val="000000" w:themeColor="text1"/>
          <w:sz w:val="21"/>
          <w:lang w:val="es-ES"/>
        </w:rPr>
        <w:t>.</w:t>
      </w:r>
    </w:p>
    <w:bookmarkEnd w:id="3"/>
    <w:p w14:paraId="1A839656" w14:textId="77777777" w:rsidR="002B61C0" w:rsidRPr="002B61C0" w:rsidRDefault="002B61C0" w:rsidP="002B61C0">
      <w:pPr>
        <w:widowControl w:val="0"/>
        <w:autoSpaceDE w:val="0"/>
        <w:autoSpaceDN w:val="0"/>
        <w:spacing w:after="120" w:line="276" w:lineRule="auto"/>
        <w:ind w:left="709"/>
        <w:contextualSpacing/>
        <w:jc w:val="both"/>
        <w:rPr>
          <w:rFonts w:ascii="Verdana" w:hAnsi="Verdana" w:cs="Arial"/>
          <w:color w:val="000000" w:themeColor="text1"/>
          <w:lang w:val="es-ES"/>
        </w:rPr>
      </w:pPr>
    </w:p>
    <w:p w14:paraId="452B33AA" w14:textId="77777777" w:rsidR="002B61C0" w:rsidRPr="002B61C0" w:rsidRDefault="002B61C0" w:rsidP="002B61C0">
      <w:pPr>
        <w:widowControl w:val="0"/>
        <w:numPr>
          <w:ilvl w:val="0"/>
          <w:numId w:val="19"/>
        </w:numPr>
        <w:autoSpaceDE w:val="0"/>
        <w:autoSpaceDN w:val="0"/>
        <w:spacing w:after="0" w:line="276" w:lineRule="auto"/>
        <w:ind w:left="709"/>
        <w:contextualSpacing/>
        <w:jc w:val="both"/>
        <w:rPr>
          <w:rFonts w:ascii="Verdana" w:hAnsi="Verdana" w:cs="Arial"/>
          <w:lang w:val="es-ES"/>
        </w:rPr>
      </w:pPr>
      <w:r w:rsidRPr="002B61C0">
        <w:rPr>
          <w:rFonts w:ascii="Verdana" w:hAnsi="Verdana" w:cs="Arial"/>
          <w:lang w:val="es-ES"/>
        </w:rPr>
        <w:t xml:space="preserve">Sin perjuicio de lo anterior debe advertirse que el análisis requerido para interponer acciones judiciales debe ser realizado por los sujetos intervinientes, de acuerdo con lo explicado </w:t>
      </w:r>
      <w:r w:rsidRPr="002B61C0">
        <w:rPr>
          <w:rFonts w:ascii="Verdana" w:hAnsi="Verdana" w:cs="Arial"/>
          <w:i/>
          <w:lang w:val="es-ES"/>
        </w:rPr>
        <w:t>ut supra</w:t>
      </w:r>
      <w:r w:rsidRPr="002B61C0">
        <w:rPr>
          <w:rFonts w:ascii="Verdana" w:hAnsi="Verdana" w:cs="Arial"/>
          <w:lang w:val="es-ES"/>
        </w:rPr>
        <w:t xml:space="preserve">.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2569D31B" w14:textId="77777777" w:rsidR="002B61C0" w:rsidRPr="002B61C0" w:rsidRDefault="002B61C0" w:rsidP="002B61C0">
      <w:pPr>
        <w:ind w:left="720"/>
        <w:contextualSpacing/>
        <w:rPr>
          <w:rFonts w:ascii="Verdana" w:hAnsi="Verdana" w:cs="Arial"/>
          <w:lang w:val="es-ES"/>
        </w:rPr>
      </w:pPr>
    </w:p>
    <w:p w14:paraId="67D47E2F" w14:textId="77777777" w:rsidR="002B61C0" w:rsidRPr="002B61C0" w:rsidRDefault="002B61C0" w:rsidP="002B61C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B61C0">
        <w:rPr>
          <w:rFonts w:ascii="Verdana" w:eastAsia="Century Gothic" w:hAnsi="Verdana" w:cs="Century Gothic"/>
          <w:b/>
          <w:bCs/>
          <w:lang w:val="es-ES"/>
        </w:rPr>
        <w:t>Referencias normativas y jurisprudenciales:</w:t>
      </w:r>
    </w:p>
    <w:p w14:paraId="5DF9C6EF" w14:textId="77777777" w:rsidR="002B61C0" w:rsidRPr="002B61C0" w:rsidRDefault="002B61C0" w:rsidP="002B61C0">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B61C0" w:rsidRPr="002B61C0" w14:paraId="6B3A8B1C" w14:textId="77777777" w:rsidTr="008A71F9">
        <w:trPr>
          <w:trHeight w:val="870"/>
          <w:jc w:val="center"/>
        </w:trPr>
        <w:tc>
          <w:tcPr>
            <w:tcW w:w="8647" w:type="dxa"/>
          </w:tcPr>
          <w:p w14:paraId="5251B450" w14:textId="77777777" w:rsidR="002B61C0" w:rsidRPr="002B61C0" w:rsidRDefault="002B61C0" w:rsidP="002B61C0">
            <w:pPr>
              <w:widowControl w:val="0"/>
              <w:numPr>
                <w:ilvl w:val="0"/>
                <w:numId w:val="17"/>
              </w:numPr>
              <w:autoSpaceDE w:val="0"/>
              <w:autoSpaceDN w:val="0"/>
              <w:spacing w:after="120" w:line="276" w:lineRule="auto"/>
              <w:contextualSpacing/>
              <w:jc w:val="both"/>
              <w:rPr>
                <w:rFonts w:ascii="Verdana" w:hAnsi="Verdana" w:cs="Arial"/>
                <w:lang w:val="es-ES"/>
              </w:rPr>
            </w:pPr>
            <w:r w:rsidRPr="002B61C0">
              <w:rPr>
                <w:rFonts w:ascii="Verdana" w:hAnsi="Verdana" w:cs="Arial"/>
                <w:lang w:val="es-ES"/>
              </w:rPr>
              <w:t xml:space="preserve">Código Civil, artículos 1502, 1503 y 1504. </w:t>
            </w:r>
          </w:p>
          <w:p w14:paraId="237F33B6" w14:textId="77777777" w:rsidR="002B61C0" w:rsidRPr="002B61C0" w:rsidRDefault="002B61C0" w:rsidP="002B61C0">
            <w:pPr>
              <w:widowControl w:val="0"/>
              <w:autoSpaceDE w:val="0"/>
              <w:autoSpaceDN w:val="0"/>
              <w:spacing w:after="120" w:line="276" w:lineRule="auto"/>
              <w:ind w:left="720"/>
              <w:contextualSpacing/>
              <w:jc w:val="both"/>
              <w:rPr>
                <w:rFonts w:ascii="Verdana" w:hAnsi="Verdana" w:cs="Arial"/>
                <w:sz w:val="12"/>
                <w:szCs w:val="12"/>
                <w:lang w:val="es-ES"/>
              </w:rPr>
            </w:pPr>
          </w:p>
          <w:p w14:paraId="61EF8E01" w14:textId="77777777" w:rsidR="002B61C0" w:rsidRPr="002B61C0" w:rsidRDefault="002B61C0" w:rsidP="002B61C0">
            <w:pPr>
              <w:widowControl w:val="0"/>
              <w:numPr>
                <w:ilvl w:val="0"/>
                <w:numId w:val="17"/>
              </w:numPr>
              <w:autoSpaceDE w:val="0"/>
              <w:autoSpaceDN w:val="0"/>
              <w:spacing w:after="120" w:line="276" w:lineRule="auto"/>
              <w:jc w:val="both"/>
              <w:rPr>
                <w:rFonts w:ascii="Verdana" w:hAnsi="Verdana" w:cs="Arial"/>
                <w:lang w:val="es-ES"/>
              </w:rPr>
            </w:pPr>
            <w:r w:rsidRPr="002B61C0">
              <w:rPr>
                <w:rFonts w:ascii="Verdana" w:hAnsi="Verdana" w:cs="Arial"/>
                <w:lang w:val="es-ES"/>
              </w:rPr>
              <w:t>Código de Comercio, artículo 99.</w:t>
            </w:r>
          </w:p>
          <w:p w14:paraId="3E27A1BE" w14:textId="77777777" w:rsidR="002B61C0" w:rsidRPr="002B61C0" w:rsidRDefault="002B61C0" w:rsidP="002B61C0">
            <w:pPr>
              <w:widowControl w:val="0"/>
              <w:numPr>
                <w:ilvl w:val="0"/>
                <w:numId w:val="17"/>
              </w:numPr>
              <w:autoSpaceDE w:val="0"/>
              <w:autoSpaceDN w:val="0"/>
              <w:spacing w:after="120" w:line="276" w:lineRule="auto"/>
              <w:jc w:val="both"/>
              <w:rPr>
                <w:rFonts w:ascii="Verdana" w:hAnsi="Verdana" w:cs="Arial"/>
                <w:lang w:val="es-ES"/>
              </w:rPr>
            </w:pPr>
            <w:r w:rsidRPr="002B61C0">
              <w:rPr>
                <w:rFonts w:ascii="Verdana" w:hAnsi="Verdana" w:cs="Arial"/>
                <w:lang w:val="es-ES"/>
              </w:rPr>
              <w:t>Ley 80 de 1993, artículos 2, 6 y 7.</w:t>
            </w:r>
          </w:p>
          <w:p w14:paraId="1174C6A6" w14:textId="77777777" w:rsidR="002B61C0" w:rsidRPr="002B61C0" w:rsidRDefault="002B61C0" w:rsidP="002B61C0">
            <w:pPr>
              <w:widowControl w:val="0"/>
              <w:numPr>
                <w:ilvl w:val="0"/>
                <w:numId w:val="17"/>
              </w:numPr>
              <w:autoSpaceDE w:val="0"/>
              <w:autoSpaceDN w:val="0"/>
              <w:spacing w:after="120" w:line="276" w:lineRule="auto"/>
              <w:jc w:val="both"/>
              <w:rPr>
                <w:rFonts w:ascii="Verdana" w:hAnsi="Verdana" w:cs="Arial"/>
                <w:lang w:val="es-ES"/>
              </w:rPr>
            </w:pPr>
            <w:r w:rsidRPr="002B61C0">
              <w:rPr>
                <w:rFonts w:ascii="Verdana" w:hAnsi="Verdana" w:cs="Arial"/>
                <w:lang w:val="es-ES"/>
              </w:rPr>
              <w:t xml:space="preserve">Jurisprudencia de la Corte Constitucional y Consejo de Estado. Disponible en:  </w:t>
            </w:r>
            <w:hyperlink r:id="rId11" w:history="1">
              <w:r w:rsidRPr="002B61C0">
                <w:rPr>
                  <w:rFonts w:ascii="Verdana" w:hAnsi="Verdana" w:cs="Arial"/>
                  <w:color w:val="4472C4" w:themeColor="accent1"/>
                  <w:u w:val="single"/>
                  <w:lang w:val="es-ES"/>
                </w:rPr>
                <w:t>https://www.corteconstitucional.gov./relatoria/</w:t>
              </w:r>
            </w:hyperlink>
            <w:r w:rsidRPr="002B61C0">
              <w:rPr>
                <w:rFonts w:ascii="Verdana" w:hAnsi="Verdana" w:cs="Arial"/>
                <w:lang w:val="es-ES"/>
              </w:rPr>
              <w:t xml:space="preserve"> </w:t>
            </w:r>
          </w:p>
          <w:p w14:paraId="47F592DD" w14:textId="77777777" w:rsidR="002B61C0" w:rsidRPr="002B61C0" w:rsidRDefault="002B61C0" w:rsidP="002B61C0">
            <w:pPr>
              <w:widowControl w:val="0"/>
              <w:numPr>
                <w:ilvl w:val="0"/>
                <w:numId w:val="17"/>
              </w:numPr>
              <w:autoSpaceDE w:val="0"/>
              <w:autoSpaceDN w:val="0"/>
              <w:spacing w:after="120" w:line="276" w:lineRule="auto"/>
              <w:jc w:val="both"/>
              <w:rPr>
                <w:rFonts w:ascii="Verdana" w:hAnsi="Verdana" w:cs="Arial"/>
                <w:lang w:val="es-ES"/>
              </w:rPr>
            </w:pPr>
            <w:r w:rsidRPr="002B61C0">
              <w:rPr>
                <w:rFonts w:ascii="Verdana" w:hAnsi="Verdana" w:cs="Arial"/>
                <w:lang w:val="es-ES"/>
              </w:rPr>
              <w:t xml:space="preserve">Consejo de Estado, Sala de Consulta y Servicio Civil, radicado interno 2513 del 13 de diciembre de 2023, </w:t>
            </w:r>
            <w:proofErr w:type="gramStart"/>
            <w:r w:rsidRPr="002B61C0">
              <w:rPr>
                <w:rFonts w:ascii="Verdana" w:hAnsi="Verdana" w:cs="Arial"/>
                <w:lang w:val="es-ES"/>
              </w:rPr>
              <w:t>Consejero</w:t>
            </w:r>
            <w:proofErr w:type="gramEnd"/>
            <w:r w:rsidRPr="002B61C0">
              <w:rPr>
                <w:rFonts w:ascii="Verdana" w:hAnsi="Verdana" w:cs="Arial"/>
                <w:lang w:val="es-ES"/>
              </w:rPr>
              <w:t xml:space="preserve"> ponente: Oscar Darío Amaya Navas (E).</w:t>
            </w:r>
          </w:p>
          <w:p w14:paraId="331009D8" w14:textId="77777777" w:rsidR="002B61C0" w:rsidRPr="002B61C0" w:rsidRDefault="002B61C0" w:rsidP="002B61C0">
            <w:pPr>
              <w:widowControl w:val="0"/>
              <w:numPr>
                <w:ilvl w:val="0"/>
                <w:numId w:val="17"/>
              </w:numPr>
              <w:autoSpaceDE w:val="0"/>
              <w:autoSpaceDN w:val="0"/>
              <w:spacing w:after="120" w:line="276" w:lineRule="auto"/>
              <w:jc w:val="both"/>
              <w:rPr>
                <w:rFonts w:ascii="Verdana" w:hAnsi="Verdana" w:cs="Arial"/>
                <w:lang w:val="es-ES"/>
              </w:rPr>
            </w:pPr>
            <w:r w:rsidRPr="002B61C0">
              <w:rPr>
                <w:rFonts w:ascii="Verdana" w:hAnsi="Verdana" w:cs="Arial"/>
                <w:lang w:val="es-ES"/>
              </w:rPr>
              <w:t xml:space="preserve">Consejo de Estado, Sala de lo Contencioso Administrativo, Sección tercera, Subsección B, radicado 52.300 del 7 de septiembre de 2023, </w:t>
            </w:r>
            <w:proofErr w:type="gramStart"/>
            <w:r w:rsidRPr="002B61C0">
              <w:rPr>
                <w:rFonts w:ascii="Verdana" w:hAnsi="Verdana" w:cs="Arial"/>
                <w:lang w:val="es-ES"/>
              </w:rPr>
              <w:t>Consejero</w:t>
            </w:r>
            <w:proofErr w:type="gramEnd"/>
            <w:r w:rsidRPr="002B61C0">
              <w:rPr>
                <w:rFonts w:ascii="Verdana" w:hAnsi="Verdana" w:cs="Arial"/>
                <w:lang w:val="es-ES"/>
              </w:rPr>
              <w:t xml:space="preserve"> ponente: Fredy Ibarra Martínez.</w:t>
            </w:r>
          </w:p>
          <w:p w14:paraId="095669FB" w14:textId="77777777" w:rsidR="002B61C0" w:rsidRPr="002B61C0" w:rsidRDefault="002B61C0" w:rsidP="002B61C0">
            <w:pPr>
              <w:widowControl w:val="0"/>
              <w:numPr>
                <w:ilvl w:val="0"/>
                <w:numId w:val="17"/>
              </w:numPr>
              <w:autoSpaceDE w:val="0"/>
              <w:autoSpaceDN w:val="0"/>
              <w:spacing w:after="120" w:line="276" w:lineRule="auto"/>
              <w:jc w:val="both"/>
              <w:rPr>
                <w:rFonts w:ascii="Verdana" w:hAnsi="Verdana" w:cs="Arial"/>
                <w:lang w:val="es-ES"/>
              </w:rPr>
            </w:pPr>
            <w:r w:rsidRPr="002B61C0">
              <w:rPr>
                <w:rFonts w:ascii="Verdana" w:hAnsi="Verdana" w:cs="Arial"/>
                <w:lang w:val="es-ES"/>
              </w:rPr>
              <w:t xml:space="preserve">Consejo de Estado, Sala de lo Contencioso Administrativo, Sección tercera, Subsección A, radicado 64.073 del 20 de enero de 2021, </w:t>
            </w:r>
            <w:proofErr w:type="gramStart"/>
            <w:r w:rsidRPr="002B61C0">
              <w:rPr>
                <w:rFonts w:ascii="Verdana" w:hAnsi="Verdana" w:cs="Arial"/>
                <w:lang w:val="es-ES"/>
              </w:rPr>
              <w:t>Consejera</w:t>
            </w:r>
            <w:proofErr w:type="gramEnd"/>
            <w:r w:rsidRPr="002B61C0">
              <w:rPr>
                <w:rFonts w:ascii="Verdana" w:hAnsi="Verdana" w:cs="Arial"/>
                <w:lang w:val="es-ES"/>
              </w:rPr>
              <w:t xml:space="preserve"> ponente: María Adriana Marín.</w:t>
            </w:r>
          </w:p>
          <w:p w14:paraId="532C72BC" w14:textId="77777777" w:rsidR="002B61C0" w:rsidRPr="002B61C0" w:rsidRDefault="002B61C0" w:rsidP="002B61C0">
            <w:pPr>
              <w:widowControl w:val="0"/>
              <w:numPr>
                <w:ilvl w:val="0"/>
                <w:numId w:val="17"/>
              </w:numPr>
              <w:autoSpaceDE w:val="0"/>
              <w:autoSpaceDN w:val="0"/>
              <w:spacing w:after="120" w:line="276" w:lineRule="auto"/>
              <w:jc w:val="both"/>
              <w:rPr>
                <w:rFonts w:ascii="Verdana" w:hAnsi="Verdana" w:cs="Arial"/>
                <w:lang w:val="es-ES"/>
              </w:rPr>
            </w:pPr>
            <w:r w:rsidRPr="002B61C0">
              <w:rPr>
                <w:rFonts w:ascii="Verdana" w:hAnsi="Verdana" w:cs="Arial"/>
                <w:lang w:val="es-ES"/>
              </w:rPr>
              <w:t xml:space="preserve">Consejo de Estado, Sala de lo Contencioso Administrativo, Sección tercera, Sala plena, radicado 19.933 del 25 de septiembre de 2013, </w:t>
            </w:r>
            <w:proofErr w:type="gramStart"/>
            <w:r w:rsidRPr="002B61C0">
              <w:rPr>
                <w:rFonts w:ascii="Verdana" w:hAnsi="Verdana" w:cs="Arial"/>
                <w:lang w:val="es-ES"/>
              </w:rPr>
              <w:t>Consejero</w:t>
            </w:r>
            <w:proofErr w:type="gramEnd"/>
            <w:r w:rsidRPr="002B61C0">
              <w:rPr>
                <w:rFonts w:ascii="Verdana" w:hAnsi="Verdana" w:cs="Arial"/>
                <w:lang w:val="es-ES"/>
              </w:rPr>
              <w:t xml:space="preserve"> ponente: Mauricio Fajardo </w:t>
            </w:r>
            <w:proofErr w:type="spellStart"/>
            <w:r w:rsidRPr="002B61C0">
              <w:rPr>
                <w:rFonts w:ascii="Verdana" w:hAnsi="Verdana" w:cs="Arial"/>
                <w:lang w:val="es-ES"/>
              </w:rPr>
              <w:t>Gomez</w:t>
            </w:r>
            <w:proofErr w:type="spellEnd"/>
            <w:r w:rsidRPr="002B61C0">
              <w:rPr>
                <w:rFonts w:ascii="Verdana" w:hAnsi="Verdana" w:cs="Arial"/>
                <w:lang w:val="es-ES"/>
              </w:rPr>
              <w:t>.</w:t>
            </w:r>
          </w:p>
        </w:tc>
      </w:tr>
    </w:tbl>
    <w:p w14:paraId="3FF791D4" w14:textId="77777777" w:rsidR="002B61C0" w:rsidRPr="002B61C0" w:rsidRDefault="002B61C0" w:rsidP="002B61C0">
      <w:pPr>
        <w:widowControl w:val="0"/>
        <w:autoSpaceDE w:val="0"/>
        <w:autoSpaceDN w:val="0"/>
        <w:spacing w:after="0" w:line="276" w:lineRule="auto"/>
        <w:jc w:val="both"/>
        <w:rPr>
          <w:rFonts w:ascii="Verdana" w:hAnsi="Verdana" w:cs="Arial"/>
        </w:rPr>
      </w:pPr>
    </w:p>
    <w:p w14:paraId="17A25825" w14:textId="77777777" w:rsidR="002B61C0" w:rsidRPr="002B61C0" w:rsidRDefault="002B61C0" w:rsidP="002B61C0">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B61C0">
        <w:rPr>
          <w:rFonts w:ascii="Verdana" w:eastAsia="Century Gothic" w:hAnsi="Verdana" w:cs="Century Gothic"/>
          <w:b/>
          <w:bCs/>
          <w:lang w:val="es-ES"/>
        </w:rPr>
        <w:t>Doctrina de la Agencia Nacional de Contratación Pública:</w:t>
      </w:r>
    </w:p>
    <w:p w14:paraId="4A1C4D05" w14:textId="77777777" w:rsidR="002B61C0" w:rsidRPr="002B61C0" w:rsidRDefault="002B61C0" w:rsidP="002B61C0">
      <w:pPr>
        <w:widowControl w:val="0"/>
        <w:autoSpaceDE w:val="0"/>
        <w:autoSpaceDN w:val="0"/>
        <w:spacing w:after="0" w:line="276" w:lineRule="auto"/>
        <w:jc w:val="both"/>
        <w:rPr>
          <w:rFonts w:ascii="Verdana" w:hAnsi="Verdana" w:cs="Arial"/>
        </w:rPr>
      </w:pPr>
    </w:p>
    <w:p w14:paraId="3AC3A0E4" w14:textId="77777777" w:rsidR="002B61C0" w:rsidRPr="002B61C0" w:rsidRDefault="002B61C0" w:rsidP="002B61C0">
      <w:pPr>
        <w:widowControl w:val="0"/>
        <w:autoSpaceDE w:val="0"/>
        <w:autoSpaceDN w:val="0"/>
        <w:spacing w:after="0" w:line="276" w:lineRule="auto"/>
        <w:jc w:val="both"/>
        <w:rPr>
          <w:rFonts w:ascii="Verdana" w:hAnsi="Verdana" w:cs="Arial"/>
          <w:color w:val="FF0000"/>
          <w:shd w:val="clear" w:color="auto" w:fill="FFFFFF"/>
          <w:lang w:val="es-ES"/>
        </w:rPr>
      </w:pPr>
      <w:r w:rsidRPr="002B61C0">
        <w:rPr>
          <w:rFonts w:ascii="Verdana" w:hAnsi="Verdana" w:cs="Arial"/>
          <w:shd w:val="clear" w:color="auto" w:fill="FFFFFF"/>
          <w:lang w:val="es-ES"/>
        </w:rPr>
        <w:t>Esta Subdirección se ha pronunciado sobre la capacidad jurídica de los consorcios y las uniones temporales en los conceptos</w:t>
      </w:r>
      <w:r w:rsidRPr="002B61C0">
        <w:rPr>
          <w:rFonts w:ascii="Verdana" w:hAnsi="Verdana" w:cs="Calibri"/>
          <w:shd w:val="clear" w:color="auto" w:fill="FFFFFF"/>
        </w:rPr>
        <w:t xml:space="preserve"> </w:t>
      </w:r>
      <w:r w:rsidRPr="002B61C0">
        <w:rPr>
          <w:rFonts w:ascii="Verdana" w:hAnsi="Verdana" w:cs="Arial"/>
          <w:shd w:val="clear" w:color="auto" w:fill="FFFFFF"/>
          <w:lang w:val="es-ES"/>
        </w:rPr>
        <w:t>4201913000007643 del 26 de diciembre de 2019, C-343 del 17 de junio de 2020, C-518 del 9 de septiembre de 2020, C-614 del 5 de octubre de 2022, C-882 del 21 de diciembre de 2022, C-172 del 6 de junio de 2023, C-032 del 16 de abril de 2024, C-100 del 12 de junio de 2024, C-238 del 9 de julio de 2024 y C-1109 del 24 de agosto de 2025. Es</w:t>
      </w:r>
      <w:r w:rsidRPr="002B61C0">
        <w:rPr>
          <w:rFonts w:ascii="Verdana" w:hAnsi="Verdana"/>
        </w:rPr>
        <w:t>tos y otros se encuentran disponibles para consulta en el Sistema de relatoría de la Agencia, al cual puede accederse a través del siguiente enlace:</w:t>
      </w:r>
      <w:r w:rsidRPr="002B61C0">
        <w:rPr>
          <w:rFonts w:ascii="Verdana" w:hAnsi="Verdana" w:cs="Arial"/>
          <w:shd w:val="clear" w:color="auto" w:fill="FFFFFF"/>
          <w:lang w:val="es-ES"/>
        </w:rPr>
        <w:t xml:space="preserve"> </w:t>
      </w:r>
      <w:hyperlink r:id="rId12" w:history="1">
        <w:r w:rsidRPr="002B61C0">
          <w:rPr>
            <w:rFonts w:ascii="Verdana" w:hAnsi="Verdana" w:cs="Arial"/>
            <w:color w:val="0563C1" w:themeColor="hyperlink"/>
            <w:u w:val="single"/>
            <w:shd w:val="clear" w:color="auto" w:fill="FFFFFF"/>
            <w:lang w:val="es-ES"/>
          </w:rPr>
          <w:t>https://relatoria.colombiacompra.gov.co/busqueda/conceptos</w:t>
        </w:r>
      </w:hyperlink>
      <w:r w:rsidRPr="002B61C0">
        <w:rPr>
          <w:rFonts w:ascii="Verdana" w:hAnsi="Verdana" w:cs="Arial"/>
          <w:color w:val="FF0000"/>
          <w:shd w:val="clear" w:color="auto" w:fill="FFFFFF"/>
          <w:lang w:val="es-ES"/>
        </w:rPr>
        <w:t xml:space="preserve"> </w:t>
      </w:r>
    </w:p>
    <w:p w14:paraId="7E003021" w14:textId="77777777" w:rsidR="002B61C0" w:rsidRPr="002B61C0" w:rsidRDefault="002B61C0" w:rsidP="002B61C0">
      <w:pPr>
        <w:widowControl w:val="0"/>
        <w:autoSpaceDE w:val="0"/>
        <w:autoSpaceDN w:val="0"/>
        <w:spacing w:after="0" w:line="276" w:lineRule="auto"/>
        <w:jc w:val="both"/>
        <w:rPr>
          <w:rFonts w:ascii="Verdana" w:hAnsi="Verdana" w:cs="Arial"/>
          <w:color w:val="FF0000"/>
          <w:shd w:val="clear" w:color="auto" w:fill="FFFFFF"/>
          <w:lang w:val="es-ES"/>
        </w:rPr>
      </w:pPr>
    </w:p>
    <w:p w14:paraId="68435201" w14:textId="77777777" w:rsidR="002B61C0" w:rsidRPr="002B61C0" w:rsidRDefault="002B61C0" w:rsidP="002B61C0">
      <w:pPr>
        <w:widowControl w:val="0"/>
        <w:autoSpaceDE w:val="0"/>
        <w:autoSpaceDN w:val="0"/>
        <w:spacing w:after="0" w:line="276" w:lineRule="auto"/>
        <w:jc w:val="both"/>
        <w:rPr>
          <w:rFonts w:ascii="Verdana" w:hAnsi="Verdana" w:cs="Arial"/>
          <w:color w:val="000000" w:themeColor="text1"/>
          <w:shd w:val="clear" w:color="auto" w:fill="FFFFFF"/>
        </w:rPr>
      </w:pPr>
      <w:r w:rsidRPr="002B61C0">
        <w:rPr>
          <w:rFonts w:ascii="Verdana" w:hAnsi="Verdana" w:cs="Arial"/>
          <w:color w:val="000000" w:themeColor="text1"/>
          <w:shd w:val="clear" w:color="auto" w:fill="FFFFFF"/>
        </w:rPr>
        <w:t>También le contamos que ya se encuentra disponible la </w:t>
      </w:r>
      <w:r w:rsidRPr="002B61C0">
        <w:rPr>
          <w:rFonts w:ascii="Verdana" w:hAnsi="Verdana" w:cs="Arial"/>
          <w:b/>
          <w:bCs/>
          <w:color w:val="000000" w:themeColor="text1"/>
          <w:shd w:val="clear" w:color="auto" w:fill="FFFFFF"/>
        </w:rPr>
        <w:t>Guía de lineamientos de transparencia y selección objetiva para el departamento de La Guajira – Objetivo sexto constitucional de la Sentencia T-302 del 2017. </w:t>
      </w:r>
      <w:r w:rsidRPr="002B61C0">
        <w:rPr>
          <w:rFonts w:ascii="Verdana" w:hAnsi="Verdana" w:cs="Arial"/>
          <w:color w:val="000000" w:themeColor="text1"/>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B61C0">
        <w:rPr>
          <w:rFonts w:ascii="Verdana" w:hAnsi="Verdana" w:cs="Arial"/>
          <w:color w:val="000000" w:themeColor="text1"/>
          <w:shd w:val="clear" w:color="auto" w:fill="FFFFFF"/>
        </w:rPr>
        <w:t>Wayúu</w:t>
      </w:r>
      <w:proofErr w:type="spellEnd"/>
      <w:r w:rsidRPr="002B61C0">
        <w:rPr>
          <w:rFonts w:ascii="Verdana" w:hAnsi="Verdana" w:cs="Arial"/>
          <w:color w:val="000000" w:themeColor="text1"/>
          <w:shd w:val="clear" w:color="auto" w:fill="FFFFFF"/>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2B61C0">
          <w:rPr>
            <w:rFonts w:ascii="Verdana" w:hAnsi="Verdana" w:cs="Arial"/>
            <w:color w:val="0563C1" w:themeColor="hyperlink"/>
            <w:u w:val="single"/>
            <w:shd w:val="clear" w:color="auto" w:fill="FFFFFF"/>
          </w:rPr>
          <w:t>Guía de lineamientos de transparencia y selección objetiva para el departamento de La Guajira – Objetivo sexto constitucional de la Sentencia T-302 del 2017</w:t>
        </w:r>
      </w:hyperlink>
    </w:p>
    <w:p w14:paraId="79ADDF7B" w14:textId="77777777" w:rsidR="002B61C0" w:rsidRPr="002B61C0" w:rsidRDefault="002B61C0" w:rsidP="002B61C0">
      <w:pPr>
        <w:widowControl w:val="0"/>
        <w:autoSpaceDE w:val="0"/>
        <w:autoSpaceDN w:val="0"/>
        <w:spacing w:after="0" w:line="276" w:lineRule="auto"/>
        <w:jc w:val="both"/>
        <w:rPr>
          <w:rFonts w:ascii="Verdana" w:hAnsi="Verdana" w:cs="Arial"/>
          <w:color w:val="000000" w:themeColor="text1"/>
          <w:shd w:val="clear" w:color="auto" w:fill="FFFFFF"/>
        </w:rPr>
      </w:pPr>
    </w:p>
    <w:p w14:paraId="1E6359D6" w14:textId="77777777" w:rsidR="002B61C0" w:rsidRPr="002B61C0" w:rsidRDefault="002B61C0" w:rsidP="002B61C0">
      <w:pPr>
        <w:widowControl w:val="0"/>
        <w:autoSpaceDE w:val="0"/>
        <w:autoSpaceDN w:val="0"/>
        <w:spacing w:after="0" w:line="276" w:lineRule="auto"/>
        <w:jc w:val="both"/>
        <w:rPr>
          <w:rFonts w:ascii="Verdana" w:hAnsi="Verdana" w:cs="Arial"/>
          <w:color w:val="000000" w:themeColor="text1"/>
          <w:shd w:val="clear" w:color="auto" w:fill="FFFFFF"/>
        </w:rPr>
      </w:pPr>
      <w:r w:rsidRPr="002B61C0">
        <w:rPr>
          <w:rFonts w:ascii="Verdana" w:hAnsi="Verdana" w:cs="Arial"/>
          <w:color w:val="000000" w:themeColor="text1"/>
          <w:shd w:val="clear" w:color="auto" w:fill="FFFFFF"/>
        </w:rPr>
        <w:t xml:space="preserve">Por último, lo invitamos a seguirnos en las redes sociales en las cuales se difunde información institucional: </w:t>
      </w:r>
    </w:p>
    <w:p w14:paraId="647A2CCC" w14:textId="77777777" w:rsidR="002B61C0" w:rsidRPr="002B61C0" w:rsidRDefault="002B61C0" w:rsidP="002B61C0">
      <w:pPr>
        <w:widowControl w:val="0"/>
        <w:autoSpaceDE w:val="0"/>
        <w:autoSpaceDN w:val="0"/>
        <w:spacing w:after="0" w:line="276" w:lineRule="auto"/>
        <w:jc w:val="both"/>
        <w:rPr>
          <w:rFonts w:ascii="Verdana" w:hAnsi="Verdana" w:cs="Arial"/>
          <w:color w:val="000000" w:themeColor="text1"/>
          <w:shd w:val="clear" w:color="auto" w:fill="FFFFFF"/>
        </w:rPr>
      </w:pPr>
    </w:p>
    <w:p w14:paraId="3E1587F1" w14:textId="77777777" w:rsidR="002B61C0" w:rsidRPr="002B61C0" w:rsidRDefault="002B61C0" w:rsidP="002B61C0">
      <w:pPr>
        <w:widowControl w:val="0"/>
        <w:autoSpaceDE w:val="0"/>
        <w:autoSpaceDN w:val="0"/>
        <w:spacing w:after="0" w:line="276" w:lineRule="auto"/>
        <w:jc w:val="both"/>
        <w:rPr>
          <w:rFonts w:ascii="Verdana" w:hAnsi="Verdana" w:cs="Arial"/>
          <w:color w:val="000000" w:themeColor="text1"/>
          <w:shd w:val="clear" w:color="auto" w:fill="FFFFFF"/>
        </w:rPr>
      </w:pPr>
      <w:r w:rsidRPr="002B61C0">
        <w:rPr>
          <w:rFonts w:ascii="Verdana" w:hAnsi="Verdana" w:cs="Arial"/>
          <w:color w:val="000000" w:themeColor="text1"/>
          <w:shd w:val="clear" w:color="auto" w:fill="FFFFFF"/>
        </w:rPr>
        <w:t xml:space="preserve">Twitter: </w:t>
      </w:r>
      <w:r w:rsidRPr="002B61C0">
        <w:rPr>
          <w:rFonts w:ascii="Verdana" w:hAnsi="Verdana" w:cs="Arial"/>
          <w:color w:val="000000" w:themeColor="text1"/>
          <w:u w:val="single"/>
          <w:shd w:val="clear" w:color="auto" w:fill="FFFFFF"/>
        </w:rPr>
        <w:t>@colombiacompra</w:t>
      </w:r>
      <w:r w:rsidRPr="002B61C0">
        <w:rPr>
          <w:rFonts w:ascii="Verdana" w:hAnsi="Verdana" w:cs="Arial"/>
          <w:color w:val="000000" w:themeColor="text1"/>
          <w:shd w:val="clear" w:color="auto" w:fill="FFFFFF"/>
        </w:rPr>
        <w:t xml:space="preserve"> </w:t>
      </w:r>
    </w:p>
    <w:p w14:paraId="5B0D0FBA" w14:textId="77777777" w:rsidR="002B61C0" w:rsidRPr="002B61C0" w:rsidRDefault="002B61C0" w:rsidP="002B61C0">
      <w:pPr>
        <w:widowControl w:val="0"/>
        <w:autoSpaceDE w:val="0"/>
        <w:autoSpaceDN w:val="0"/>
        <w:spacing w:after="0" w:line="276" w:lineRule="auto"/>
        <w:jc w:val="both"/>
        <w:rPr>
          <w:rFonts w:ascii="Verdana" w:hAnsi="Verdana" w:cs="Arial"/>
          <w:color w:val="000000" w:themeColor="text1"/>
          <w:shd w:val="clear" w:color="auto" w:fill="FFFFFF"/>
        </w:rPr>
      </w:pPr>
      <w:r w:rsidRPr="002B61C0">
        <w:rPr>
          <w:rFonts w:ascii="Verdana" w:hAnsi="Verdana" w:cs="Arial"/>
          <w:color w:val="000000" w:themeColor="text1"/>
          <w:shd w:val="clear" w:color="auto" w:fill="FFFFFF"/>
        </w:rPr>
        <w:t xml:space="preserve">Facebook: </w:t>
      </w:r>
      <w:proofErr w:type="spellStart"/>
      <w:r w:rsidRPr="002B61C0">
        <w:rPr>
          <w:rFonts w:ascii="Verdana" w:hAnsi="Verdana" w:cs="Arial"/>
          <w:color w:val="000000" w:themeColor="text1"/>
          <w:u w:val="single"/>
          <w:shd w:val="clear" w:color="auto" w:fill="FFFFFF"/>
        </w:rPr>
        <w:t>ColombiaCompraEficiente</w:t>
      </w:r>
      <w:proofErr w:type="spellEnd"/>
    </w:p>
    <w:p w14:paraId="1F2130FB" w14:textId="77777777" w:rsidR="002B61C0" w:rsidRPr="002B61C0" w:rsidRDefault="002B61C0" w:rsidP="002B61C0">
      <w:pPr>
        <w:widowControl w:val="0"/>
        <w:autoSpaceDE w:val="0"/>
        <w:autoSpaceDN w:val="0"/>
        <w:spacing w:after="0" w:line="276" w:lineRule="auto"/>
        <w:jc w:val="both"/>
        <w:rPr>
          <w:rFonts w:ascii="Verdana" w:hAnsi="Verdana" w:cs="Arial"/>
          <w:color w:val="000000" w:themeColor="text1"/>
          <w:shd w:val="clear" w:color="auto" w:fill="FFFFFF"/>
        </w:rPr>
      </w:pPr>
      <w:r w:rsidRPr="002B61C0">
        <w:rPr>
          <w:rFonts w:ascii="Verdana" w:hAnsi="Verdana" w:cs="Arial"/>
          <w:color w:val="000000" w:themeColor="text1"/>
          <w:shd w:val="clear" w:color="auto" w:fill="FFFFFF"/>
        </w:rPr>
        <w:t xml:space="preserve">LinkedIn: </w:t>
      </w:r>
      <w:r w:rsidRPr="002B61C0">
        <w:rPr>
          <w:rFonts w:ascii="Verdana" w:hAnsi="Verdana" w:cs="Arial"/>
          <w:color w:val="000000" w:themeColor="text1"/>
          <w:u w:val="single"/>
          <w:shd w:val="clear" w:color="auto" w:fill="FFFFFF"/>
        </w:rPr>
        <w:t>Agencia Nacional de Contratación Pública - Colombia Compra Eficiente</w:t>
      </w:r>
      <w:r w:rsidRPr="002B61C0">
        <w:rPr>
          <w:rFonts w:ascii="Verdana" w:hAnsi="Verdana" w:cs="Arial"/>
          <w:color w:val="000000" w:themeColor="text1"/>
          <w:shd w:val="clear" w:color="auto" w:fill="FFFFFF"/>
        </w:rPr>
        <w:t xml:space="preserve"> Instagram: </w:t>
      </w:r>
      <w:r w:rsidRPr="002B61C0">
        <w:rPr>
          <w:rFonts w:ascii="Verdana" w:hAnsi="Verdana" w:cs="Arial"/>
          <w:color w:val="000000" w:themeColor="text1"/>
          <w:u w:val="single"/>
          <w:shd w:val="clear" w:color="auto" w:fill="FFFFFF"/>
        </w:rPr>
        <w:t>@colombiacompraeficiente_cce</w:t>
      </w:r>
    </w:p>
    <w:p w14:paraId="5760E1ED" w14:textId="77777777" w:rsidR="002B61C0" w:rsidRPr="002B61C0" w:rsidRDefault="002B61C0" w:rsidP="002B61C0">
      <w:pPr>
        <w:widowControl w:val="0"/>
        <w:autoSpaceDE w:val="0"/>
        <w:autoSpaceDN w:val="0"/>
        <w:spacing w:after="0" w:line="276" w:lineRule="auto"/>
        <w:jc w:val="both"/>
        <w:rPr>
          <w:rFonts w:ascii="Verdana" w:hAnsi="Verdana" w:cs="Arial"/>
        </w:rPr>
      </w:pPr>
    </w:p>
    <w:p w14:paraId="3AC82BA5" w14:textId="77777777" w:rsidR="002B61C0" w:rsidRPr="002B61C0" w:rsidRDefault="002B61C0" w:rsidP="002B61C0">
      <w:pPr>
        <w:widowControl w:val="0"/>
        <w:autoSpaceDE w:val="0"/>
        <w:autoSpaceDN w:val="0"/>
        <w:spacing w:after="0" w:line="276" w:lineRule="auto"/>
        <w:jc w:val="both"/>
        <w:rPr>
          <w:rFonts w:ascii="Verdana" w:hAnsi="Verdana" w:cs="Arial"/>
          <w:lang w:val="es-ES_tradnl"/>
        </w:rPr>
      </w:pPr>
      <w:r w:rsidRPr="002B61C0">
        <w:rPr>
          <w:rFonts w:ascii="Verdana" w:hAnsi="Verdana" w:cs="Arial"/>
        </w:rPr>
        <w:t xml:space="preserve">Este concepto tiene el alcance previsto en el artículo 28 del Código de Procedimiento Administrativo y de lo Contencioso Administrativo </w:t>
      </w:r>
      <w:r w:rsidRPr="002B61C0">
        <w:rPr>
          <w:rFonts w:ascii="Verdana" w:hAnsi="Verdana" w:cs="Arial"/>
          <w:lang w:val="es-ES_tradnl"/>
        </w:rPr>
        <w:t>y las expresiones aquí utilizadas con mayúscula inicial deben ser entendidas con el significado que les otorga el artículo 2.2.1.1.1.3.1. del Decreto 1082 de 2015.</w:t>
      </w:r>
    </w:p>
    <w:p w14:paraId="2C3F3E05" w14:textId="77777777" w:rsidR="002B61C0" w:rsidRPr="002B61C0" w:rsidRDefault="002B61C0" w:rsidP="002B61C0">
      <w:pPr>
        <w:widowControl w:val="0"/>
        <w:autoSpaceDE w:val="0"/>
        <w:autoSpaceDN w:val="0"/>
        <w:spacing w:after="0" w:line="276" w:lineRule="auto"/>
        <w:jc w:val="both"/>
        <w:rPr>
          <w:rFonts w:ascii="Verdana" w:hAnsi="Verdana" w:cs="Arial"/>
        </w:rPr>
      </w:pPr>
    </w:p>
    <w:p w14:paraId="113B20EF" w14:textId="77777777" w:rsidR="002B61C0" w:rsidRPr="002B61C0" w:rsidRDefault="002B61C0" w:rsidP="002B61C0">
      <w:pPr>
        <w:spacing w:after="0" w:line="240" w:lineRule="auto"/>
        <w:rPr>
          <w:rFonts w:ascii="Verdana" w:hAnsi="Verdana" w:cs="Arial"/>
          <w:lang w:eastAsia="es-CO"/>
        </w:rPr>
      </w:pPr>
      <w:r w:rsidRPr="002B61C0">
        <w:rPr>
          <w:rFonts w:ascii="Verdana" w:eastAsia="Times New Roman" w:hAnsi="Verdana" w:cs="Arial"/>
          <w:lang w:eastAsia="es-CO"/>
        </w:rPr>
        <w:t>Atentamente,</w:t>
      </w:r>
      <w:r w:rsidRPr="002B61C0">
        <w:rPr>
          <w:rFonts w:ascii="Verdana" w:hAnsi="Verdana" w:cs="Arial"/>
          <w:lang w:eastAsia="es-CO"/>
        </w:rPr>
        <w:t xml:space="preserve"> </w:t>
      </w:r>
    </w:p>
    <w:p w14:paraId="246B1F82" w14:textId="4DACA705" w:rsidR="002B61C0" w:rsidRPr="002B61C0" w:rsidRDefault="00964B40" w:rsidP="002B61C0">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73904C4C" wp14:editId="01CBE58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B61C0" w:rsidRPr="002B61C0" w14:paraId="375214F2" w14:textId="77777777" w:rsidTr="008A71F9">
        <w:trPr>
          <w:trHeight w:val="315"/>
        </w:trPr>
        <w:tc>
          <w:tcPr>
            <w:tcW w:w="893" w:type="dxa"/>
            <w:vAlign w:val="center"/>
            <w:hideMark/>
          </w:tcPr>
          <w:p w14:paraId="3CA477EC" w14:textId="77777777" w:rsidR="002B61C0" w:rsidRPr="002B61C0" w:rsidRDefault="002B61C0" w:rsidP="002B61C0">
            <w:pPr>
              <w:contextualSpacing/>
              <w:rPr>
                <w:rFonts w:ascii="Verdana" w:hAnsi="Verdana" w:cs="Arial"/>
                <w:sz w:val="16"/>
                <w:szCs w:val="16"/>
                <w:lang w:val="es-ES" w:eastAsia="es-ES"/>
              </w:rPr>
            </w:pPr>
            <w:r w:rsidRPr="002B61C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C996D55" w14:textId="77777777" w:rsidR="002B61C0" w:rsidRPr="002B61C0" w:rsidRDefault="002B61C0" w:rsidP="002B61C0">
            <w:pPr>
              <w:spacing w:before="100" w:beforeAutospacing="1" w:afterAutospacing="1"/>
              <w:contextualSpacing/>
              <w:textAlignment w:val="baseline"/>
              <w:rPr>
                <w:rFonts w:ascii="Verdana" w:eastAsia="Times New Roman" w:hAnsi="Verdana" w:cs="Arial"/>
                <w:sz w:val="16"/>
                <w:szCs w:val="16"/>
                <w:lang w:val="es-ES" w:eastAsia="es-ES_tradnl"/>
              </w:rPr>
            </w:pPr>
            <w:r w:rsidRPr="002B61C0">
              <w:rPr>
                <w:rFonts w:ascii="Verdana" w:eastAsia="Times New Roman" w:hAnsi="Verdana" w:cs="Arial"/>
                <w:sz w:val="16"/>
                <w:szCs w:val="16"/>
                <w:lang w:val="es-ES" w:eastAsia="es-ES_tradnl"/>
              </w:rPr>
              <w:t>Ximena Ríos López</w:t>
            </w:r>
          </w:p>
          <w:p w14:paraId="75040C20" w14:textId="77777777" w:rsidR="002B61C0" w:rsidRPr="002B61C0" w:rsidRDefault="002B61C0" w:rsidP="002B61C0">
            <w:pPr>
              <w:spacing w:before="100" w:beforeAutospacing="1" w:afterAutospacing="1"/>
              <w:contextualSpacing/>
              <w:textAlignment w:val="baseline"/>
              <w:rPr>
                <w:rFonts w:ascii="Verdana" w:eastAsia="Arial" w:hAnsi="Verdana" w:cs="Arial"/>
                <w:sz w:val="16"/>
                <w:szCs w:val="16"/>
                <w:lang w:eastAsia="es-ES_tradnl"/>
              </w:rPr>
            </w:pPr>
            <w:r w:rsidRPr="002B61C0">
              <w:rPr>
                <w:rFonts w:ascii="Verdana" w:eastAsia="Times New Roman" w:hAnsi="Verdana" w:cs="Arial"/>
                <w:sz w:val="16"/>
                <w:szCs w:val="16"/>
                <w:lang w:val="es-ES" w:eastAsia="es-ES_tradnl"/>
              </w:rPr>
              <w:t xml:space="preserve">Gestor T1 ‒ 11 </w:t>
            </w:r>
            <w:r w:rsidRPr="002B61C0">
              <w:rPr>
                <w:rFonts w:ascii="Verdana" w:eastAsia="Times New Roman" w:hAnsi="Verdana" w:cs="Times New Roman"/>
                <w:sz w:val="16"/>
                <w:szCs w:val="16"/>
                <w:lang w:eastAsia="es-ES_tradnl"/>
              </w:rPr>
              <w:t>de la Subdirección de Gestión Contractual</w:t>
            </w:r>
          </w:p>
        </w:tc>
      </w:tr>
      <w:tr w:rsidR="002B61C0" w:rsidRPr="002B61C0" w14:paraId="19E56DFF" w14:textId="77777777" w:rsidTr="008A71F9">
        <w:trPr>
          <w:trHeight w:val="330"/>
        </w:trPr>
        <w:tc>
          <w:tcPr>
            <w:tcW w:w="893" w:type="dxa"/>
            <w:vAlign w:val="center"/>
            <w:hideMark/>
          </w:tcPr>
          <w:p w14:paraId="62FA625A" w14:textId="77777777" w:rsidR="002B61C0" w:rsidRPr="002B61C0" w:rsidRDefault="002B61C0" w:rsidP="002B61C0">
            <w:pPr>
              <w:contextualSpacing/>
              <w:rPr>
                <w:rFonts w:ascii="Verdana" w:hAnsi="Verdana" w:cs="Arial"/>
                <w:sz w:val="16"/>
                <w:szCs w:val="16"/>
                <w:lang w:val="es-ES" w:eastAsia="es-ES"/>
              </w:rPr>
            </w:pPr>
            <w:r w:rsidRPr="002B61C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A9BF9C0" w14:textId="33E624C6" w:rsidR="002B61C0" w:rsidRPr="002B61C0" w:rsidRDefault="002B61C0" w:rsidP="002B61C0">
            <w:pPr>
              <w:spacing w:before="100" w:beforeAutospacing="1" w:afterAutospacing="1"/>
              <w:contextualSpacing/>
              <w:textAlignment w:val="baseline"/>
              <w:rPr>
                <w:rFonts w:ascii="Verdana" w:eastAsia="Times New Roman" w:hAnsi="Verdana" w:cs="Arial"/>
                <w:sz w:val="16"/>
                <w:szCs w:val="16"/>
                <w:lang w:val="es-ES" w:eastAsia="es-ES"/>
              </w:rPr>
            </w:pPr>
            <w:r w:rsidRPr="63ABDD13">
              <w:rPr>
                <w:rFonts w:ascii="Verdana" w:eastAsia="Times New Roman" w:hAnsi="Verdana" w:cs="Arial"/>
                <w:sz w:val="16"/>
                <w:szCs w:val="16"/>
                <w:lang w:val="es-ES" w:eastAsia="es-ES"/>
              </w:rPr>
              <w:t xml:space="preserve">Juan Carlos </w:t>
            </w:r>
            <w:r w:rsidR="4264F3F5" w:rsidRPr="63ABDD13">
              <w:rPr>
                <w:rFonts w:ascii="Verdana" w:eastAsia="Times New Roman" w:hAnsi="Verdana" w:cs="Arial"/>
                <w:sz w:val="16"/>
                <w:szCs w:val="16"/>
                <w:lang w:val="es-ES" w:eastAsia="es-ES"/>
              </w:rPr>
              <w:t>González Vásquez</w:t>
            </w:r>
          </w:p>
          <w:p w14:paraId="0CC9198A" w14:textId="77777777" w:rsidR="002B61C0" w:rsidRPr="002B61C0" w:rsidRDefault="002B61C0" w:rsidP="002B61C0">
            <w:pPr>
              <w:contextualSpacing/>
              <w:textAlignment w:val="baseline"/>
              <w:rPr>
                <w:rFonts w:ascii="Verdana" w:eastAsia="Times New Roman" w:hAnsi="Verdana" w:cs="Segoe UI"/>
                <w:sz w:val="16"/>
                <w:szCs w:val="16"/>
                <w:lang w:eastAsia="es-ES_tradnl"/>
              </w:rPr>
            </w:pPr>
            <w:r w:rsidRPr="002B61C0">
              <w:rPr>
                <w:rFonts w:ascii="Verdana" w:eastAsia="Times New Roman" w:hAnsi="Verdana" w:cs="Arial"/>
                <w:sz w:val="16"/>
                <w:szCs w:val="16"/>
                <w:lang w:val="es-ES" w:eastAsia="es-ES_tradnl"/>
              </w:rPr>
              <w:t>Contratista de la Subdirección de Gestión Contractual</w:t>
            </w:r>
            <w:r w:rsidRPr="002B61C0">
              <w:rPr>
                <w:rFonts w:ascii="Verdana" w:eastAsia="Times New Roman" w:hAnsi="Verdana" w:cs="Arial"/>
                <w:sz w:val="16"/>
                <w:szCs w:val="16"/>
                <w:lang w:eastAsia="es-ES_tradnl"/>
              </w:rPr>
              <w:t> </w:t>
            </w:r>
          </w:p>
        </w:tc>
      </w:tr>
      <w:tr w:rsidR="002B61C0" w:rsidRPr="002B61C0" w14:paraId="5EA2289F" w14:textId="77777777" w:rsidTr="008A71F9">
        <w:trPr>
          <w:trHeight w:val="300"/>
        </w:trPr>
        <w:tc>
          <w:tcPr>
            <w:tcW w:w="893" w:type="dxa"/>
            <w:vAlign w:val="center"/>
          </w:tcPr>
          <w:p w14:paraId="11B97F38" w14:textId="77777777" w:rsidR="002B61C0" w:rsidRPr="002B61C0" w:rsidRDefault="002B61C0" w:rsidP="002B61C0">
            <w:pPr>
              <w:contextualSpacing/>
              <w:rPr>
                <w:rFonts w:ascii="Verdana" w:hAnsi="Verdana" w:cs="Arial"/>
                <w:sz w:val="16"/>
                <w:szCs w:val="16"/>
                <w:lang w:val="es-ES" w:eastAsia="es-ES"/>
              </w:rPr>
            </w:pPr>
            <w:r w:rsidRPr="002B61C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5247EF" w14:textId="77777777" w:rsidR="002B61C0" w:rsidRPr="002B61C0" w:rsidRDefault="002B61C0" w:rsidP="002B61C0">
            <w:pPr>
              <w:contextualSpacing/>
              <w:rPr>
                <w:rFonts w:ascii="Verdana" w:eastAsia="Calibri" w:hAnsi="Verdana" w:cs="Arial"/>
                <w:sz w:val="16"/>
                <w:szCs w:val="16"/>
                <w:lang w:val="pt-BR" w:eastAsia="es-ES"/>
              </w:rPr>
            </w:pPr>
            <w:r w:rsidRPr="002B61C0">
              <w:rPr>
                <w:rFonts w:ascii="Verdana" w:eastAsia="Calibri" w:hAnsi="Verdana" w:cs="Arial"/>
                <w:sz w:val="16"/>
                <w:szCs w:val="16"/>
                <w:lang w:val="pt-BR" w:eastAsia="es-ES"/>
              </w:rPr>
              <w:t xml:space="preserve">Carolina Quintero </w:t>
            </w:r>
            <w:proofErr w:type="spellStart"/>
            <w:r w:rsidRPr="002B61C0">
              <w:rPr>
                <w:rFonts w:ascii="Verdana" w:eastAsia="Calibri" w:hAnsi="Verdana" w:cs="Arial"/>
                <w:sz w:val="16"/>
                <w:szCs w:val="16"/>
                <w:lang w:val="pt-BR" w:eastAsia="es-ES"/>
              </w:rPr>
              <w:t>Gacharná</w:t>
            </w:r>
            <w:proofErr w:type="spellEnd"/>
          </w:p>
          <w:p w14:paraId="339E6554" w14:textId="77777777" w:rsidR="002B61C0" w:rsidRPr="002B61C0" w:rsidRDefault="002B61C0" w:rsidP="002B61C0">
            <w:pPr>
              <w:contextualSpacing/>
              <w:rPr>
                <w:rFonts w:ascii="Verdana" w:eastAsia="Calibri" w:hAnsi="Verdana" w:cs="Arial"/>
                <w:sz w:val="16"/>
                <w:szCs w:val="16"/>
                <w:lang w:val="pt-BR" w:eastAsia="es-ES"/>
              </w:rPr>
            </w:pPr>
            <w:r w:rsidRPr="002B61C0">
              <w:rPr>
                <w:rFonts w:ascii="Verdana" w:eastAsia="Calibri" w:hAnsi="Verdana" w:cs="Arial"/>
                <w:sz w:val="16"/>
                <w:szCs w:val="16"/>
                <w:lang w:eastAsia="es-ES"/>
              </w:rPr>
              <w:t>Subdirectora</w:t>
            </w:r>
            <w:r w:rsidRPr="002B61C0">
              <w:rPr>
                <w:rFonts w:ascii="Verdana" w:eastAsia="Calibri" w:hAnsi="Verdana" w:cs="Arial"/>
                <w:sz w:val="16"/>
                <w:szCs w:val="16"/>
                <w:lang w:val="pt-BR" w:eastAsia="es-ES"/>
              </w:rPr>
              <w:t xml:space="preserve"> de Gestión </w:t>
            </w:r>
            <w:proofErr w:type="spellStart"/>
            <w:r w:rsidRPr="002B61C0">
              <w:rPr>
                <w:rFonts w:ascii="Verdana" w:eastAsia="Calibri" w:hAnsi="Verdana" w:cs="Arial"/>
                <w:sz w:val="16"/>
                <w:szCs w:val="16"/>
                <w:lang w:val="pt-BR" w:eastAsia="es-ES"/>
              </w:rPr>
              <w:t>Contractual</w:t>
            </w:r>
            <w:proofErr w:type="spellEnd"/>
            <w:r w:rsidRPr="002B61C0">
              <w:rPr>
                <w:rFonts w:ascii="Verdana" w:eastAsia="Calibri" w:hAnsi="Verdana" w:cs="Arial"/>
                <w:sz w:val="16"/>
                <w:szCs w:val="16"/>
                <w:lang w:val="pt-BR" w:eastAsia="es-ES"/>
              </w:rPr>
              <w:t xml:space="preserve"> ANCP – CCE</w:t>
            </w:r>
          </w:p>
        </w:tc>
      </w:tr>
    </w:tbl>
    <w:p w14:paraId="0DFD4530" w14:textId="77777777" w:rsidR="002B61C0" w:rsidRPr="002B61C0" w:rsidRDefault="002B61C0" w:rsidP="002B61C0">
      <w:pPr>
        <w:spacing w:after="0" w:line="240" w:lineRule="auto"/>
        <w:rPr>
          <w:rFonts w:ascii="Verdana" w:eastAsia="Times New Roman" w:hAnsi="Verdana" w:cs="Arial"/>
          <w:sz w:val="24"/>
          <w:szCs w:val="24"/>
          <w:lang w:eastAsia="es-ES"/>
        </w:rPr>
      </w:pPr>
    </w:p>
    <w:p w14:paraId="48540BB8" w14:textId="77777777" w:rsidR="002B61C0" w:rsidRPr="002B61C0" w:rsidRDefault="002B61C0" w:rsidP="002B61C0">
      <w:r w:rsidRPr="002B61C0">
        <w:t xml:space="preserve"> </w:t>
      </w:r>
    </w:p>
    <w:p w14:paraId="0F293BF4" w14:textId="00BB4EAF" w:rsidR="00127233" w:rsidRPr="002B61C0" w:rsidRDefault="00127233" w:rsidP="002B61C0"/>
    <w:sectPr w:rsidR="00127233" w:rsidRPr="002B61C0"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3E151" w14:textId="77777777" w:rsidR="00D33E93" w:rsidRDefault="00D33E93" w:rsidP="004A1847">
      <w:pPr>
        <w:spacing w:after="0" w:line="240" w:lineRule="auto"/>
      </w:pPr>
      <w:r>
        <w:separator/>
      </w:r>
    </w:p>
  </w:endnote>
  <w:endnote w:type="continuationSeparator" w:id="0">
    <w:p w14:paraId="757E381F" w14:textId="77777777" w:rsidR="00D33E93" w:rsidRDefault="00D33E9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9810FB" w14:textId="77777777" w:rsidR="00D33E93" w:rsidRDefault="00D33E93" w:rsidP="004A1847">
      <w:pPr>
        <w:spacing w:after="0" w:line="240" w:lineRule="auto"/>
      </w:pPr>
      <w:r>
        <w:separator/>
      </w:r>
    </w:p>
  </w:footnote>
  <w:footnote w:type="continuationSeparator" w:id="0">
    <w:p w14:paraId="18A0B59B" w14:textId="77777777" w:rsidR="00D33E93" w:rsidRDefault="00D33E93" w:rsidP="004A1847">
      <w:pPr>
        <w:spacing w:after="0" w:line="240" w:lineRule="auto"/>
      </w:pPr>
      <w:r>
        <w:continuationSeparator/>
      </w:r>
    </w:p>
  </w:footnote>
  <w:footnote w:id="1">
    <w:p w14:paraId="3F8D042D" w14:textId="77777777" w:rsidR="002B61C0" w:rsidRPr="00D9788E" w:rsidRDefault="002B61C0" w:rsidP="002B61C0">
      <w:pPr>
        <w:pStyle w:val="Textonotapie"/>
        <w:ind w:firstLine="708"/>
        <w:jc w:val="both"/>
        <w:rPr>
          <w:rFonts w:ascii="Verdana" w:hAnsi="Verdana"/>
          <w:sz w:val="16"/>
          <w:szCs w:val="16"/>
          <w:lang w:val="es-CO"/>
        </w:rPr>
      </w:pPr>
      <w:r w:rsidRPr="00D9788E">
        <w:rPr>
          <w:rStyle w:val="Refdenotaalpie"/>
          <w:rFonts w:ascii="Verdana" w:hAnsi="Verdana"/>
          <w:sz w:val="16"/>
          <w:szCs w:val="16"/>
        </w:rPr>
        <w:footnoteRef/>
      </w:r>
      <w:r w:rsidRPr="00D9788E">
        <w:rPr>
          <w:rFonts w:ascii="Verdana" w:hAnsi="Verdana"/>
          <w:sz w:val="16"/>
          <w:szCs w:val="16"/>
        </w:rPr>
        <w:t xml:space="preserve"> Ver Consejo de Estado, Sala de Consulta y Servicio Civil, radicado interno 2513 del 13 de diciembre de 2023, </w:t>
      </w:r>
      <w:proofErr w:type="gramStart"/>
      <w:r w:rsidRPr="00D9788E">
        <w:rPr>
          <w:rFonts w:ascii="Verdana" w:hAnsi="Verdana"/>
          <w:sz w:val="16"/>
          <w:szCs w:val="16"/>
        </w:rPr>
        <w:t>Consejero</w:t>
      </w:r>
      <w:proofErr w:type="gramEnd"/>
      <w:r w:rsidRPr="00D9788E">
        <w:rPr>
          <w:rFonts w:ascii="Verdana" w:hAnsi="Verdana"/>
          <w:sz w:val="16"/>
          <w:szCs w:val="16"/>
        </w:rPr>
        <w:t xml:space="preserve"> ponente: Oscar Darío Amaya Navas (E), Sala de lo Contencioso Administrativo, Sección tercera, Subsección B, radicado 52.300 del 7 de septiembre de 2023, </w:t>
      </w:r>
      <w:proofErr w:type="gramStart"/>
      <w:r w:rsidRPr="00D9788E">
        <w:rPr>
          <w:rFonts w:ascii="Verdana" w:hAnsi="Verdana"/>
          <w:sz w:val="16"/>
          <w:szCs w:val="16"/>
        </w:rPr>
        <w:t>Consejero</w:t>
      </w:r>
      <w:proofErr w:type="gramEnd"/>
      <w:r w:rsidRPr="00D9788E">
        <w:rPr>
          <w:rFonts w:ascii="Verdana" w:hAnsi="Verdana"/>
          <w:sz w:val="16"/>
          <w:szCs w:val="16"/>
        </w:rPr>
        <w:t xml:space="preserve"> ponente: Fredy Ibarra Martínez, Sala de lo Contencioso Administrativo, Sección tercera, Subsección A, radicado 64.073 del 20 de enero de 2021, </w:t>
      </w:r>
      <w:proofErr w:type="gramStart"/>
      <w:r w:rsidRPr="00D9788E">
        <w:rPr>
          <w:rFonts w:ascii="Verdana" w:hAnsi="Verdana"/>
          <w:sz w:val="16"/>
          <w:szCs w:val="16"/>
        </w:rPr>
        <w:t>Consejera</w:t>
      </w:r>
      <w:proofErr w:type="gramEnd"/>
      <w:r w:rsidRPr="00D9788E">
        <w:rPr>
          <w:rFonts w:ascii="Verdana" w:hAnsi="Verdana"/>
          <w:sz w:val="16"/>
          <w:szCs w:val="16"/>
        </w:rPr>
        <w:t xml:space="preserve"> ponente: María Adriana Marín, entre otras.</w:t>
      </w:r>
    </w:p>
  </w:footnote>
  <w:footnote w:id="2">
    <w:p w14:paraId="1FE6091F" w14:textId="77777777" w:rsidR="002B61C0" w:rsidRPr="00D9788E" w:rsidRDefault="002B61C0" w:rsidP="002B61C0">
      <w:pPr>
        <w:pStyle w:val="Textonotapie"/>
        <w:ind w:firstLine="708"/>
        <w:jc w:val="both"/>
        <w:rPr>
          <w:rFonts w:ascii="Verdana" w:hAnsi="Verdana"/>
          <w:sz w:val="16"/>
          <w:szCs w:val="16"/>
          <w:lang w:val="es-CO"/>
        </w:rPr>
      </w:pPr>
      <w:r w:rsidRPr="00D9788E">
        <w:rPr>
          <w:rStyle w:val="Refdenotaalpie"/>
          <w:rFonts w:ascii="Verdana" w:hAnsi="Verdana"/>
          <w:sz w:val="16"/>
          <w:szCs w:val="16"/>
        </w:rPr>
        <w:footnoteRef/>
      </w:r>
      <w:r w:rsidRPr="00D9788E">
        <w:rPr>
          <w:rFonts w:ascii="Verdana" w:hAnsi="Verdana"/>
          <w:sz w:val="16"/>
          <w:szCs w:val="16"/>
        </w:rPr>
        <w:t xml:space="preserve"> Ver Consejo de Estado, Sala de Consulta y Servicio Civil, radicado interno 2513 del 13 de diciembre de 2023, </w:t>
      </w:r>
      <w:proofErr w:type="gramStart"/>
      <w:r w:rsidRPr="00D9788E">
        <w:rPr>
          <w:rFonts w:ascii="Verdana" w:hAnsi="Verdana"/>
          <w:sz w:val="16"/>
          <w:szCs w:val="16"/>
        </w:rPr>
        <w:t>Consejero</w:t>
      </w:r>
      <w:proofErr w:type="gramEnd"/>
      <w:r w:rsidRPr="00D9788E">
        <w:rPr>
          <w:rFonts w:ascii="Verdana" w:hAnsi="Verdana"/>
          <w:sz w:val="16"/>
          <w:szCs w:val="16"/>
        </w:rPr>
        <w:t xml:space="preserve"> ponente: Oscar Darío Amaya Navas (E), Sala de lo Contencioso Administrativo, Sección tercera, Subsección B, radicado 52.300 del 7 de septiembre de 2023, </w:t>
      </w:r>
      <w:proofErr w:type="gramStart"/>
      <w:r w:rsidRPr="00D9788E">
        <w:rPr>
          <w:rFonts w:ascii="Verdana" w:hAnsi="Verdana"/>
          <w:sz w:val="16"/>
          <w:szCs w:val="16"/>
        </w:rPr>
        <w:t>Consejero</w:t>
      </w:r>
      <w:proofErr w:type="gramEnd"/>
      <w:r w:rsidRPr="00D9788E">
        <w:rPr>
          <w:rFonts w:ascii="Verdana" w:hAnsi="Verdana"/>
          <w:sz w:val="16"/>
          <w:szCs w:val="16"/>
        </w:rPr>
        <w:t xml:space="preserve"> ponente: Fredy Ibarra Martínez, Sala de lo Contencioso Administrativo, Sección tercera, Subsección A, radicado 64.073 del 20 de enero de 2021, </w:t>
      </w:r>
      <w:proofErr w:type="gramStart"/>
      <w:r w:rsidRPr="00D9788E">
        <w:rPr>
          <w:rFonts w:ascii="Verdana" w:hAnsi="Verdana"/>
          <w:sz w:val="16"/>
          <w:szCs w:val="16"/>
        </w:rPr>
        <w:t>Consejera</w:t>
      </w:r>
      <w:proofErr w:type="gramEnd"/>
      <w:r w:rsidRPr="00D9788E">
        <w:rPr>
          <w:rFonts w:ascii="Verdana" w:hAnsi="Verdana"/>
          <w:sz w:val="16"/>
          <w:szCs w:val="16"/>
        </w:rPr>
        <w:t xml:space="preserve"> ponente: María Adriana Marín, entre otras.</w:t>
      </w:r>
    </w:p>
  </w:footnote>
  <w:footnote w:id="3">
    <w:p w14:paraId="56F89B6A" w14:textId="77777777" w:rsidR="002B61C0" w:rsidRPr="00D9788E" w:rsidRDefault="002B61C0" w:rsidP="002B61C0">
      <w:pPr>
        <w:pStyle w:val="Textonotapie"/>
        <w:ind w:firstLine="720"/>
        <w:jc w:val="both"/>
        <w:rPr>
          <w:rFonts w:ascii="Verdana" w:hAnsi="Verdana" w:cs="Arial"/>
          <w:sz w:val="16"/>
          <w:szCs w:val="16"/>
        </w:rPr>
      </w:pPr>
      <w:r w:rsidRPr="00D9788E">
        <w:rPr>
          <w:rStyle w:val="Refdenotaalpie"/>
          <w:rFonts w:ascii="Verdana" w:hAnsi="Verdana" w:cs="Arial"/>
          <w:sz w:val="16"/>
          <w:szCs w:val="16"/>
        </w:rPr>
        <w:footnoteRef/>
      </w:r>
      <w:r w:rsidRPr="00D9788E">
        <w:rPr>
          <w:rFonts w:ascii="Verdana" w:hAnsi="Verdana" w:cs="Arial"/>
          <w:sz w:val="16"/>
          <w:szCs w:val="16"/>
        </w:rPr>
        <w:t xml:space="preserve"> CORTE CONSTITUCIONAL. Sentencia C-949 del 5 de septiembre de 2001. M.P. Clara Inés Vargas Hernández.  </w:t>
      </w:r>
    </w:p>
  </w:footnote>
  <w:footnote w:id="4">
    <w:p w14:paraId="1A6F1158" w14:textId="77777777" w:rsidR="002B61C0" w:rsidRPr="00D9788E" w:rsidRDefault="002B61C0" w:rsidP="002B61C0">
      <w:pPr>
        <w:pStyle w:val="Textonotapie"/>
        <w:ind w:firstLine="708"/>
        <w:jc w:val="both"/>
        <w:rPr>
          <w:rFonts w:ascii="Verdana" w:hAnsi="Verdana"/>
          <w:sz w:val="16"/>
          <w:szCs w:val="16"/>
          <w:lang w:val="es-CO"/>
        </w:rPr>
      </w:pPr>
      <w:r w:rsidRPr="00D9788E">
        <w:rPr>
          <w:rStyle w:val="Refdenotaalpie"/>
          <w:rFonts w:ascii="Verdana" w:hAnsi="Verdana"/>
          <w:sz w:val="16"/>
          <w:szCs w:val="16"/>
        </w:rPr>
        <w:footnoteRef/>
      </w:r>
      <w:r w:rsidRPr="00D9788E">
        <w:rPr>
          <w:rFonts w:ascii="Verdana" w:hAnsi="Verdana"/>
          <w:sz w:val="16"/>
          <w:szCs w:val="16"/>
        </w:rPr>
        <w:t xml:space="preserve"> Ver Consejo de Estado, Sala de Consulta y Servicio Civil, radicado interno 2513 del 13 de diciembre de 2023, </w:t>
      </w:r>
      <w:proofErr w:type="gramStart"/>
      <w:r w:rsidRPr="00D9788E">
        <w:rPr>
          <w:rFonts w:ascii="Verdana" w:hAnsi="Verdana"/>
          <w:sz w:val="16"/>
          <w:szCs w:val="16"/>
        </w:rPr>
        <w:t>Consejero</w:t>
      </w:r>
      <w:proofErr w:type="gramEnd"/>
      <w:r w:rsidRPr="00D9788E">
        <w:rPr>
          <w:rFonts w:ascii="Verdana" w:hAnsi="Verdana"/>
          <w:sz w:val="16"/>
          <w:szCs w:val="16"/>
        </w:rPr>
        <w:t xml:space="preserve"> ponente: Oscar Darío Amaya Navas (E), Sala de lo Contencioso Administrativo, Sección tercera, Subsección B, radicado 52.300 del 7 de septiembre de 2023, </w:t>
      </w:r>
      <w:proofErr w:type="gramStart"/>
      <w:r w:rsidRPr="00D9788E">
        <w:rPr>
          <w:rFonts w:ascii="Verdana" w:hAnsi="Verdana"/>
          <w:sz w:val="16"/>
          <w:szCs w:val="16"/>
        </w:rPr>
        <w:t>Consejero</w:t>
      </w:r>
      <w:proofErr w:type="gramEnd"/>
      <w:r w:rsidRPr="00D9788E">
        <w:rPr>
          <w:rFonts w:ascii="Verdana" w:hAnsi="Verdana"/>
          <w:sz w:val="16"/>
          <w:szCs w:val="16"/>
        </w:rPr>
        <w:t xml:space="preserve"> ponente: Fredy Ibarra Martínez, Sala de lo Contencioso Administrativo, Sección tercera, Subsección A, radicado 64.073 del 20 de enero de 2021, </w:t>
      </w:r>
      <w:proofErr w:type="gramStart"/>
      <w:r w:rsidRPr="00D9788E">
        <w:rPr>
          <w:rFonts w:ascii="Verdana" w:hAnsi="Verdana"/>
          <w:sz w:val="16"/>
          <w:szCs w:val="16"/>
        </w:rPr>
        <w:t>Consejera</w:t>
      </w:r>
      <w:proofErr w:type="gramEnd"/>
      <w:r w:rsidRPr="00D9788E">
        <w:rPr>
          <w:rFonts w:ascii="Verdana" w:hAnsi="Verdana"/>
          <w:sz w:val="16"/>
          <w:szCs w:val="16"/>
        </w:rPr>
        <w:t xml:space="preserve"> ponente: María Adriana Marín, entre otras.</w:t>
      </w:r>
    </w:p>
  </w:footnote>
  <w:footnote w:id="5">
    <w:p w14:paraId="31F91CA9" w14:textId="77777777" w:rsidR="002B61C0" w:rsidRPr="00D9788E" w:rsidRDefault="002B61C0" w:rsidP="002B61C0">
      <w:pPr>
        <w:pStyle w:val="Textonotapie"/>
        <w:ind w:firstLine="708"/>
        <w:jc w:val="both"/>
        <w:rPr>
          <w:rFonts w:ascii="Verdana" w:hAnsi="Verdana"/>
          <w:sz w:val="16"/>
          <w:szCs w:val="16"/>
          <w:lang w:val="es-CO"/>
        </w:rPr>
      </w:pPr>
      <w:r w:rsidRPr="00D9788E">
        <w:rPr>
          <w:rStyle w:val="Refdenotaalpie"/>
          <w:rFonts w:ascii="Verdana" w:hAnsi="Verdana"/>
          <w:sz w:val="16"/>
          <w:szCs w:val="16"/>
        </w:rPr>
        <w:footnoteRef/>
      </w:r>
      <w:r w:rsidRPr="00D9788E">
        <w:rPr>
          <w:rFonts w:ascii="Verdana" w:hAnsi="Verdana"/>
          <w:sz w:val="16"/>
          <w:szCs w:val="16"/>
        </w:rPr>
        <w:t xml:space="preserve"> Consejo de Estado, Sala de lo Contencioso Administrativo, Sección tercera, Sala plena, radicado 19.933 del 25 de septiembre de 2013, </w:t>
      </w:r>
      <w:proofErr w:type="gramStart"/>
      <w:r w:rsidRPr="00D9788E">
        <w:rPr>
          <w:rFonts w:ascii="Verdana" w:hAnsi="Verdana"/>
          <w:sz w:val="16"/>
          <w:szCs w:val="16"/>
        </w:rPr>
        <w:t>Consejero</w:t>
      </w:r>
      <w:proofErr w:type="gramEnd"/>
      <w:r w:rsidRPr="00D9788E">
        <w:rPr>
          <w:rFonts w:ascii="Verdana" w:hAnsi="Verdana"/>
          <w:sz w:val="16"/>
          <w:szCs w:val="16"/>
        </w:rPr>
        <w:t xml:space="preserve"> ponente: Mauricio Fajardo </w:t>
      </w:r>
      <w:proofErr w:type="spellStart"/>
      <w:r w:rsidRPr="00D9788E">
        <w:rPr>
          <w:rFonts w:ascii="Verdana" w:hAnsi="Verdana"/>
          <w:sz w:val="16"/>
          <w:szCs w:val="16"/>
        </w:rPr>
        <w:t>Gomez</w:t>
      </w:r>
      <w:proofErr w:type="spellEnd"/>
      <w:r w:rsidRPr="00D9788E">
        <w:rPr>
          <w:rFonts w:ascii="Verdana" w:hAnsi="Verdana"/>
          <w:sz w:val="16"/>
          <w:szCs w:val="16"/>
        </w:rPr>
        <w:t>.</w:t>
      </w:r>
    </w:p>
  </w:footnote>
  <w:footnote w:id="6">
    <w:p w14:paraId="3CCD4202" w14:textId="77777777" w:rsidR="002B61C0" w:rsidRPr="00D9788E" w:rsidRDefault="002B61C0" w:rsidP="002B61C0">
      <w:pPr>
        <w:pStyle w:val="Textonotapie"/>
        <w:ind w:firstLine="708"/>
        <w:rPr>
          <w:lang w:val="es-CO"/>
        </w:rPr>
      </w:pPr>
      <w:r>
        <w:rPr>
          <w:rStyle w:val="Refdenotaalpie"/>
        </w:rPr>
        <w:footnoteRef/>
      </w:r>
      <w:r w:rsidRPr="00D9788E">
        <w:rPr>
          <w:rFonts w:ascii="Verdana" w:hAnsi="Verdana"/>
          <w:sz w:val="16"/>
          <w:szCs w:val="16"/>
        </w:rPr>
        <w:t xml:space="preserve"> 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07C315A"/>
    <w:multiLevelType w:val="hybridMultilevel"/>
    <w:tmpl w:val="CCB272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C64D05"/>
    <w:multiLevelType w:val="hybridMultilevel"/>
    <w:tmpl w:val="A8C629B6"/>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2"/>
  </w:num>
  <w:num w:numId="13" w16cid:durableId="1512908409">
    <w:abstractNumId w:val="4"/>
  </w:num>
  <w:num w:numId="14" w16cid:durableId="895897244">
    <w:abstractNumId w:val="15"/>
  </w:num>
  <w:num w:numId="15" w16cid:durableId="390349800">
    <w:abstractNumId w:val="11"/>
  </w:num>
  <w:num w:numId="16" w16cid:durableId="1330140246">
    <w:abstractNumId w:val="1"/>
  </w:num>
  <w:num w:numId="17" w16cid:durableId="679089576">
    <w:abstractNumId w:val="10"/>
  </w:num>
  <w:num w:numId="18" w16cid:durableId="1833911880">
    <w:abstractNumId w:val="0"/>
  </w:num>
  <w:num w:numId="19" w16cid:durableId="8010768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E4177"/>
    <w:rsid w:val="001F7DC6"/>
    <w:rsid w:val="002421BB"/>
    <w:rsid w:val="0025796E"/>
    <w:rsid w:val="002707A2"/>
    <w:rsid w:val="00283A74"/>
    <w:rsid w:val="002951A0"/>
    <w:rsid w:val="002962BC"/>
    <w:rsid w:val="002A093D"/>
    <w:rsid w:val="002A0DD0"/>
    <w:rsid w:val="002A49AC"/>
    <w:rsid w:val="002A64FD"/>
    <w:rsid w:val="002B61C0"/>
    <w:rsid w:val="002C7A84"/>
    <w:rsid w:val="002E4FD9"/>
    <w:rsid w:val="00322A85"/>
    <w:rsid w:val="00324168"/>
    <w:rsid w:val="00332883"/>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B7031"/>
    <w:rsid w:val="004D7CFB"/>
    <w:rsid w:val="004F21C4"/>
    <w:rsid w:val="004F685F"/>
    <w:rsid w:val="005566E8"/>
    <w:rsid w:val="00574867"/>
    <w:rsid w:val="00591460"/>
    <w:rsid w:val="005C3777"/>
    <w:rsid w:val="005C5CDC"/>
    <w:rsid w:val="005D476C"/>
    <w:rsid w:val="005E359A"/>
    <w:rsid w:val="006219F8"/>
    <w:rsid w:val="006302F7"/>
    <w:rsid w:val="00652D91"/>
    <w:rsid w:val="00665D70"/>
    <w:rsid w:val="006846A7"/>
    <w:rsid w:val="006900D9"/>
    <w:rsid w:val="006A760C"/>
    <w:rsid w:val="006E2099"/>
    <w:rsid w:val="00706C16"/>
    <w:rsid w:val="00756841"/>
    <w:rsid w:val="007649AB"/>
    <w:rsid w:val="00771D0C"/>
    <w:rsid w:val="007833AC"/>
    <w:rsid w:val="007B268C"/>
    <w:rsid w:val="007B7171"/>
    <w:rsid w:val="007C0C0F"/>
    <w:rsid w:val="007C3DC2"/>
    <w:rsid w:val="007E5497"/>
    <w:rsid w:val="00806F5F"/>
    <w:rsid w:val="00820278"/>
    <w:rsid w:val="00826AAF"/>
    <w:rsid w:val="00867F95"/>
    <w:rsid w:val="008843B6"/>
    <w:rsid w:val="00891928"/>
    <w:rsid w:val="00897A3A"/>
    <w:rsid w:val="008A446D"/>
    <w:rsid w:val="008D180B"/>
    <w:rsid w:val="008F0EA7"/>
    <w:rsid w:val="00923EEF"/>
    <w:rsid w:val="009419F9"/>
    <w:rsid w:val="0095685E"/>
    <w:rsid w:val="00961B09"/>
    <w:rsid w:val="00964B40"/>
    <w:rsid w:val="00965334"/>
    <w:rsid w:val="0097093E"/>
    <w:rsid w:val="0098735D"/>
    <w:rsid w:val="00992015"/>
    <w:rsid w:val="009A0DFA"/>
    <w:rsid w:val="009B25A8"/>
    <w:rsid w:val="009B2D26"/>
    <w:rsid w:val="009C71FA"/>
    <w:rsid w:val="009C72E7"/>
    <w:rsid w:val="009D3058"/>
    <w:rsid w:val="009F3A13"/>
    <w:rsid w:val="00A122D3"/>
    <w:rsid w:val="00A17F13"/>
    <w:rsid w:val="00A20739"/>
    <w:rsid w:val="00A33C78"/>
    <w:rsid w:val="00A5146A"/>
    <w:rsid w:val="00AB0ADB"/>
    <w:rsid w:val="00AB5343"/>
    <w:rsid w:val="00B00C0E"/>
    <w:rsid w:val="00B01B1A"/>
    <w:rsid w:val="00B44A47"/>
    <w:rsid w:val="00B72CD3"/>
    <w:rsid w:val="00B72FFF"/>
    <w:rsid w:val="00BC3D36"/>
    <w:rsid w:val="00BD7F72"/>
    <w:rsid w:val="00C04FB3"/>
    <w:rsid w:val="00C330EB"/>
    <w:rsid w:val="00C754BE"/>
    <w:rsid w:val="00C76B1C"/>
    <w:rsid w:val="00CB6357"/>
    <w:rsid w:val="00CC1B26"/>
    <w:rsid w:val="00D33E93"/>
    <w:rsid w:val="00D35E81"/>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C4E"/>
    <w:rsid w:val="00E90F6B"/>
    <w:rsid w:val="00E92C27"/>
    <w:rsid w:val="00EA0E3D"/>
    <w:rsid w:val="00EC38A7"/>
    <w:rsid w:val="00EC4D4C"/>
    <w:rsid w:val="00EE1AA8"/>
    <w:rsid w:val="00F31EDC"/>
    <w:rsid w:val="00F462B3"/>
    <w:rsid w:val="00F5664F"/>
    <w:rsid w:val="00F666C4"/>
    <w:rsid w:val="00F76AFC"/>
    <w:rsid w:val="00FA47C0"/>
    <w:rsid w:val="00FB5DD1"/>
    <w:rsid w:val="00FC2B5D"/>
    <w:rsid w:val="00FF1449"/>
    <w:rsid w:val="01F1D7B1"/>
    <w:rsid w:val="06256AE5"/>
    <w:rsid w:val="152E15EC"/>
    <w:rsid w:val="15C35434"/>
    <w:rsid w:val="1B077BCC"/>
    <w:rsid w:val="2A33A943"/>
    <w:rsid w:val="2A3CD8F9"/>
    <w:rsid w:val="2E16EBCD"/>
    <w:rsid w:val="3023C26B"/>
    <w:rsid w:val="30F7B535"/>
    <w:rsid w:val="34D61ED8"/>
    <w:rsid w:val="34D8B9CF"/>
    <w:rsid w:val="3ACADBD6"/>
    <w:rsid w:val="3AFB609D"/>
    <w:rsid w:val="4264F3F5"/>
    <w:rsid w:val="4376A77C"/>
    <w:rsid w:val="47E93C35"/>
    <w:rsid w:val="4D755A34"/>
    <w:rsid w:val="4DD8A622"/>
    <w:rsid w:val="4E0F0744"/>
    <w:rsid w:val="510DB66A"/>
    <w:rsid w:val="54AC39A9"/>
    <w:rsid w:val="5AB88118"/>
    <w:rsid w:val="5BEC36BC"/>
    <w:rsid w:val="604E51D3"/>
    <w:rsid w:val="62818842"/>
    <w:rsid w:val="6351BED5"/>
    <w:rsid w:val="63ABDD13"/>
    <w:rsid w:val="6DF70841"/>
    <w:rsid w:val="73238BF9"/>
    <w:rsid w:val="74E314E6"/>
    <w:rsid w:val="7A1E450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B61C0"/>
    <w:pPr>
      <w:spacing w:line="240" w:lineRule="exact"/>
    </w:pPr>
    <w:rPr>
      <w:vertAlign w:val="superscript"/>
    </w:rPr>
  </w:style>
  <w:style w:type="paragraph" w:styleId="Textocomentario">
    <w:name w:val="annotation text"/>
    <w:basedOn w:val="Normal"/>
    <w:link w:val="TextocomentarioCar"/>
    <w:uiPriority w:val="99"/>
    <w:unhideWhenUsed/>
    <w:rsid w:val="006E2099"/>
    <w:pPr>
      <w:spacing w:line="240" w:lineRule="auto"/>
    </w:pPr>
    <w:rPr>
      <w:sz w:val="20"/>
      <w:szCs w:val="20"/>
    </w:rPr>
  </w:style>
  <w:style w:type="character" w:customStyle="1" w:styleId="TextocomentarioCar">
    <w:name w:val="Texto comentario Car"/>
    <w:basedOn w:val="Fuentedeprrafopredeter"/>
    <w:link w:val="Textocomentario"/>
    <w:uiPriority w:val="99"/>
    <w:rsid w:val="006E2099"/>
    <w:rPr>
      <w:sz w:val="20"/>
      <w:szCs w:val="20"/>
    </w:rPr>
  </w:style>
  <w:style w:type="character" w:styleId="Refdecomentario">
    <w:name w:val="annotation reference"/>
    <w:basedOn w:val="Fuentedeprrafopredeter"/>
    <w:uiPriority w:val="99"/>
    <w:semiHidden/>
    <w:unhideWhenUsed/>
    <w:rsid w:val="006E2099"/>
    <w:rPr>
      <w:sz w:val="16"/>
      <w:szCs w:val="16"/>
    </w:rPr>
  </w:style>
  <w:style w:type="paragraph" w:styleId="Asuntodelcomentario">
    <w:name w:val="annotation subject"/>
    <w:basedOn w:val="Textocomentario"/>
    <w:next w:val="Textocomentario"/>
    <w:link w:val="AsuntodelcomentarioCar"/>
    <w:uiPriority w:val="99"/>
    <w:semiHidden/>
    <w:unhideWhenUsed/>
    <w:rsid w:val="00283A74"/>
    <w:rPr>
      <w:b/>
      <w:bCs/>
    </w:rPr>
  </w:style>
  <w:style w:type="character" w:customStyle="1" w:styleId="AsuntodelcomentarioCar">
    <w:name w:val="Asunto del comentario Car"/>
    <w:basedOn w:val="TextocomentarioCar"/>
    <w:link w:val="Asuntodelcomentario"/>
    <w:uiPriority w:val="99"/>
    <w:semiHidden/>
    <w:rsid w:val="00283A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rteconstitucional.gov./relatoria/"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9d85dbaf-23eb-4e57-a637-93dcacc8b1a1"/>
    <ds:schemaRef ds:uri="http://purl.org/dc/dcmitype/"/>
    <ds:schemaRef ds:uri="http://schemas.microsoft.com/office/infopath/2007/PartnerControls"/>
    <ds:schemaRef ds:uri="http://purl.org/dc/elements/1.1/"/>
    <ds:schemaRef ds:uri="http://schemas.microsoft.com/office/2006/metadata/properties"/>
    <ds:schemaRef ds:uri="a6cb9e4b-f1d1-4245-83ec-6cad768d538a"/>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978D0793-BD34-4CFC-AEB2-FC7B559AB0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16</Pages>
  <Words>5436</Words>
  <Characters>29901</Characters>
  <Application>Microsoft Office Word</Application>
  <DocSecurity>0</DocSecurity>
  <Lines>610</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2025-10-28T02:42:00Z</dcterms:created>
  <dcterms:modified xsi:type="dcterms:W3CDTF">2025-10-28T02:42:00Z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