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0F065" w14:textId="77777777" w:rsidR="00C920B0" w:rsidRDefault="00C920B0" w:rsidP="00C920B0">
      <w:pPr>
        <w:tabs>
          <w:tab w:val="left" w:pos="1332"/>
        </w:tabs>
        <w:spacing w:after="120"/>
        <w:ind w:right="899"/>
        <w:jc w:val="both"/>
        <w:rPr>
          <w:rFonts w:ascii="Verdana" w:eastAsia="Verdana" w:hAnsi="Verdana" w:cs="Verdana"/>
          <w:b/>
          <w:bCs/>
          <w:spacing w:val="2"/>
          <w:lang w:val="es-ES"/>
        </w:rPr>
      </w:pPr>
      <w:bookmarkStart w:id="0" w:name="_Hlk212192256"/>
      <w:r w:rsidRPr="00C920B0">
        <w:rPr>
          <w:rFonts w:ascii="Verdana" w:eastAsia="Verdana" w:hAnsi="Verdana" w:cs="Verdana"/>
          <w:b/>
          <w:bCs/>
          <w:spacing w:val="2"/>
          <w:lang w:val="es-ES"/>
        </w:rPr>
        <w:t>GARANTÍA DE ÚNICA DE CUMPLIMIENTO – Definición – Fundamento normativo -Vigencia</w:t>
      </w:r>
    </w:p>
    <w:p w14:paraId="31B98372" w14:textId="77777777" w:rsidR="00C920B0" w:rsidRPr="00E03546" w:rsidRDefault="00C920B0" w:rsidP="00C920B0">
      <w:pPr>
        <w:spacing w:after="120" w:line="276" w:lineRule="auto"/>
        <w:jc w:val="both"/>
        <w:rPr>
          <w:rFonts w:ascii="Verdana" w:eastAsia="Calibri" w:hAnsi="Verdana" w:cs="Arial"/>
        </w:rPr>
      </w:pPr>
      <w:r w:rsidRPr="00E03546">
        <w:rPr>
          <w:rFonts w:ascii="Verdana" w:eastAsia="Calibri" w:hAnsi="Verdana" w:cs="Arial"/>
        </w:rPr>
        <w:t>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sidRPr="00E03546">
        <w:rPr>
          <w:rFonts w:ascii="Verdana" w:eastAsia="Calibri" w:hAnsi="Verdana" w:cs="Arial"/>
          <w:spacing w:val="-4"/>
        </w:rPr>
        <w:t xml:space="preserve"> </w:t>
      </w:r>
      <w:r w:rsidRPr="00E03546">
        <w:rPr>
          <w:rFonts w:ascii="Verdana" w:eastAsia="Calibri" w:hAnsi="Verdana" w:cs="Arial"/>
        </w:rPr>
        <w:t>regula</w:t>
      </w:r>
      <w:r w:rsidRPr="00E03546">
        <w:rPr>
          <w:rFonts w:ascii="Verdana" w:eastAsia="Calibri" w:hAnsi="Verdana" w:cs="Arial"/>
          <w:spacing w:val="-4"/>
        </w:rPr>
        <w:t xml:space="preserve"> </w:t>
      </w:r>
      <w:r w:rsidRPr="00E03546">
        <w:rPr>
          <w:rFonts w:ascii="Verdana" w:eastAsia="Calibri" w:hAnsi="Verdana" w:cs="Arial"/>
        </w:rPr>
        <w:t>la</w:t>
      </w:r>
      <w:r w:rsidRPr="00E03546">
        <w:rPr>
          <w:rFonts w:ascii="Verdana" w:eastAsia="Calibri" w:hAnsi="Verdana" w:cs="Arial"/>
          <w:spacing w:val="-5"/>
        </w:rPr>
        <w:t xml:space="preserve"> </w:t>
      </w:r>
      <w:r w:rsidRPr="00E03546">
        <w:rPr>
          <w:rFonts w:ascii="Verdana" w:eastAsia="Calibri" w:hAnsi="Verdana" w:cs="Arial"/>
        </w:rPr>
        <w:t>suficiencia</w:t>
      </w:r>
      <w:r w:rsidRPr="00E03546">
        <w:rPr>
          <w:rFonts w:ascii="Verdana" w:eastAsia="Calibri" w:hAnsi="Verdana" w:cs="Arial"/>
          <w:spacing w:val="-2"/>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 xml:space="preserve">la garantía de cumplimiento. Esta debe tener una vigencia mínima hasta la liquidación y, por regla general un valor de por lo menos el diez por ciento (10%) del total del contrato, siempre que este sea inferior a un millón (1.000.000) de </w:t>
      </w:r>
      <w:proofErr w:type="spellStart"/>
      <w:r w:rsidRPr="00E03546">
        <w:rPr>
          <w:rFonts w:ascii="Verdana" w:eastAsia="Calibri" w:hAnsi="Verdana" w:cs="Arial"/>
        </w:rPr>
        <w:t>smmlv</w:t>
      </w:r>
      <w:proofErr w:type="spellEnd"/>
      <w:r w:rsidRPr="00E03546">
        <w:rPr>
          <w:rFonts w:ascii="Verdana" w:eastAsia="Calibri" w:hAnsi="Verdana" w:cs="Arial"/>
        </w:rPr>
        <w:t xml:space="preserve">. Conforme la norma citada, el amparo cubre tanto el </w:t>
      </w:r>
      <w:r w:rsidRPr="00E03546">
        <w:rPr>
          <w:rFonts w:ascii="Verdana" w:eastAsia="Calibri" w:hAnsi="Verdana" w:cs="Arial"/>
          <w:i/>
        </w:rPr>
        <w:t xml:space="preserve">plazo de ejecución </w:t>
      </w:r>
      <w:r w:rsidRPr="00E03546">
        <w:rPr>
          <w:rFonts w:ascii="Verdana" w:eastAsia="Calibri" w:hAnsi="Verdana" w:cs="Arial"/>
        </w:rPr>
        <w:t xml:space="preserve">como el </w:t>
      </w:r>
      <w:r w:rsidRPr="00E03546">
        <w:rPr>
          <w:rFonts w:ascii="Verdana" w:eastAsia="Calibri" w:hAnsi="Verdana" w:cs="Arial"/>
          <w:i/>
        </w:rPr>
        <w:t xml:space="preserve">plazo de vigencia </w:t>
      </w:r>
      <w:r w:rsidRPr="00E03546">
        <w:rPr>
          <w:rFonts w:ascii="Verdana" w:eastAsia="Calibri" w:hAnsi="Verdana" w:cs="Arial"/>
        </w:rPr>
        <w:t>del contrato.</w:t>
      </w:r>
    </w:p>
    <w:p w14:paraId="34F476BE" w14:textId="77777777" w:rsidR="00C920B0" w:rsidRDefault="00C920B0" w:rsidP="00C920B0">
      <w:pPr>
        <w:spacing w:after="120" w:line="276" w:lineRule="auto"/>
        <w:jc w:val="both"/>
        <w:rPr>
          <w:rFonts w:ascii="Verdana" w:eastAsia="Times New Roman" w:hAnsi="Verdana" w:cs="Arial"/>
          <w:color w:val="000000"/>
          <w:lang w:eastAsia="es-CO"/>
        </w:rPr>
      </w:pPr>
      <w:r w:rsidRPr="00E03546">
        <w:rPr>
          <w:rFonts w:ascii="Verdana" w:eastAsia="Calibri" w:hAnsi="Verdana" w:cs="Arial"/>
        </w:rPr>
        <w:t>Así,</w:t>
      </w:r>
      <w:r w:rsidRPr="00E03546">
        <w:rPr>
          <w:rFonts w:ascii="Verdana" w:eastAsia="Calibri" w:hAnsi="Verdana" w:cs="Arial"/>
          <w:spacing w:val="-5"/>
        </w:rPr>
        <w:t xml:space="preserve"> </w:t>
      </w:r>
      <w:r w:rsidRPr="00E03546">
        <w:rPr>
          <w:rFonts w:ascii="Verdana" w:eastAsia="Calibri" w:hAnsi="Verdana" w:cs="Arial"/>
        </w:rPr>
        <w:t>la</w:t>
      </w:r>
      <w:r w:rsidRPr="00E03546">
        <w:rPr>
          <w:rFonts w:ascii="Verdana" w:eastAsia="Calibri" w:hAnsi="Verdana" w:cs="Arial"/>
          <w:spacing w:val="-6"/>
        </w:rPr>
        <w:t xml:space="preserve"> </w:t>
      </w:r>
      <w:r w:rsidRPr="00E03546">
        <w:rPr>
          <w:rFonts w:ascii="Verdana" w:eastAsia="Calibri" w:hAnsi="Verdana" w:cs="Arial"/>
        </w:rPr>
        <w:t>cobertura</w:t>
      </w:r>
      <w:r w:rsidRPr="00E03546">
        <w:rPr>
          <w:rFonts w:ascii="Verdana" w:eastAsia="Calibri" w:hAnsi="Verdana" w:cs="Arial"/>
          <w:spacing w:val="-4"/>
        </w:rPr>
        <w:t xml:space="preserve"> </w:t>
      </w:r>
      <w:r w:rsidRPr="00E03546">
        <w:rPr>
          <w:rFonts w:ascii="Verdana" w:eastAsia="Calibri" w:hAnsi="Verdana" w:cs="Arial"/>
        </w:rPr>
        <w:t>mínima</w:t>
      </w:r>
      <w:r w:rsidRPr="00E03546">
        <w:rPr>
          <w:rFonts w:ascii="Verdana" w:eastAsia="Calibri" w:hAnsi="Verdana" w:cs="Arial"/>
          <w:spacing w:val="-5"/>
        </w:rPr>
        <w:t xml:space="preserve"> </w:t>
      </w:r>
      <w:r w:rsidRPr="00E03546">
        <w:rPr>
          <w:rFonts w:ascii="Verdana" w:eastAsia="Calibri" w:hAnsi="Verdana" w:cs="Arial"/>
        </w:rPr>
        <w:t>del</w:t>
      </w:r>
      <w:r w:rsidRPr="00E03546">
        <w:rPr>
          <w:rFonts w:ascii="Verdana" w:eastAsia="Calibri" w:hAnsi="Verdana" w:cs="Arial"/>
          <w:spacing w:val="-6"/>
        </w:rPr>
        <w:t xml:space="preserve"> </w:t>
      </w:r>
      <w:r w:rsidRPr="00E03546">
        <w:rPr>
          <w:rFonts w:ascii="Verdana" w:eastAsia="Calibri" w:hAnsi="Verdana" w:cs="Arial"/>
        </w:rPr>
        <w:t>amparo</w:t>
      </w:r>
      <w:r w:rsidRPr="00E03546">
        <w:rPr>
          <w:rFonts w:ascii="Verdana" w:eastAsia="Calibri" w:hAnsi="Verdana" w:cs="Arial"/>
          <w:spacing w:val="-5"/>
        </w:rPr>
        <w:t xml:space="preserve"> </w:t>
      </w:r>
      <w:r w:rsidRPr="00E03546">
        <w:rPr>
          <w:rFonts w:ascii="Verdana" w:eastAsia="Calibri" w:hAnsi="Verdana" w:cs="Arial"/>
        </w:rPr>
        <w:t>de</w:t>
      </w:r>
      <w:r w:rsidRPr="00E03546">
        <w:rPr>
          <w:rFonts w:ascii="Verdana" w:eastAsia="Calibri" w:hAnsi="Verdana" w:cs="Arial"/>
          <w:spacing w:val="-6"/>
        </w:rPr>
        <w:t xml:space="preserve"> </w:t>
      </w:r>
      <w:r w:rsidRPr="00E03546">
        <w:rPr>
          <w:rFonts w:ascii="Verdana" w:eastAsia="Calibri" w:hAnsi="Verdana" w:cs="Arial"/>
        </w:rPr>
        <w:t>cumplimiento</w:t>
      </w:r>
      <w:r w:rsidRPr="00E03546">
        <w:rPr>
          <w:rFonts w:ascii="Verdana" w:eastAsia="Calibri" w:hAnsi="Verdana" w:cs="Arial"/>
          <w:spacing w:val="-2"/>
        </w:rPr>
        <w:t xml:space="preserve"> </w:t>
      </w:r>
      <w:r w:rsidRPr="00E03546">
        <w:rPr>
          <w:rFonts w:ascii="Verdana" w:eastAsia="Calibri" w:hAnsi="Verdana" w:cs="Arial"/>
        </w:rPr>
        <w:t>cubre</w:t>
      </w:r>
      <w:r w:rsidRPr="00E03546">
        <w:rPr>
          <w:rFonts w:ascii="Verdana" w:eastAsia="Calibri" w:hAnsi="Verdana" w:cs="Arial"/>
          <w:spacing w:val="-5"/>
        </w:rPr>
        <w:t xml:space="preserve"> </w:t>
      </w:r>
      <w:r w:rsidRPr="00E03546">
        <w:rPr>
          <w:rFonts w:ascii="Verdana" w:eastAsia="Calibri" w:hAnsi="Verdana" w:cs="Arial"/>
        </w:rPr>
        <w:t>el</w:t>
      </w:r>
      <w:r w:rsidRPr="00E03546">
        <w:rPr>
          <w:rFonts w:ascii="Verdana" w:eastAsia="Calibri" w:hAnsi="Verdana" w:cs="Arial"/>
          <w:spacing w:val="-6"/>
        </w:rPr>
        <w:t xml:space="preserve"> </w:t>
      </w:r>
      <w:r w:rsidRPr="00E03546">
        <w:rPr>
          <w:rFonts w:ascii="Verdana" w:eastAsia="Calibri" w:hAnsi="Verdana" w:cs="Arial"/>
          <w:i/>
        </w:rPr>
        <w:t>plazo</w:t>
      </w:r>
      <w:r w:rsidRPr="00E03546">
        <w:rPr>
          <w:rFonts w:ascii="Verdana" w:eastAsia="Calibri" w:hAnsi="Verdana" w:cs="Arial"/>
          <w:i/>
          <w:spacing w:val="-5"/>
        </w:rPr>
        <w:t xml:space="preserve"> </w:t>
      </w:r>
      <w:r w:rsidRPr="00E03546">
        <w:rPr>
          <w:rFonts w:ascii="Verdana" w:eastAsia="Calibri" w:hAnsi="Verdana" w:cs="Arial"/>
          <w:i/>
        </w:rPr>
        <w:t>de ejecución</w:t>
      </w:r>
      <w:r w:rsidRPr="00E03546">
        <w:rPr>
          <w:rFonts w:ascii="Verdana" w:eastAsia="Calibri" w:hAnsi="Verdana" w:cs="Arial"/>
          <w:i/>
          <w:spacing w:val="-5"/>
        </w:rPr>
        <w:t xml:space="preserve"> </w:t>
      </w:r>
      <w:r w:rsidRPr="00E03546">
        <w:rPr>
          <w:rFonts w:ascii="Verdana" w:eastAsia="Calibri" w:hAnsi="Verdana" w:cs="Arial"/>
        </w:rPr>
        <w:t>y</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i/>
        </w:rPr>
        <w:t>plazo</w:t>
      </w:r>
      <w:r w:rsidRPr="00E03546">
        <w:rPr>
          <w:rFonts w:ascii="Verdana" w:eastAsia="Calibri" w:hAnsi="Verdana" w:cs="Arial"/>
          <w:i/>
          <w:spacing w:val="-7"/>
        </w:rPr>
        <w:t xml:space="preserve"> </w:t>
      </w:r>
      <w:r w:rsidRPr="00E03546">
        <w:rPr>
          <w:rFonts w:ascii="Verdana" w:eastAsia="Calibri" w:hAnsi="Verdana" w:cs="Arial"/>
          <w:i/>
        </w:rPr>
        <w:t>de</w:t>
      </w:r>
      <w:r w:rsidRPr="00E03546">
        <w:rPr>
          <w:rFonts w:ascii="Verdana" w:eastAsia="Calibri" w:hAnsi="Verdana" w:cs="Arial"/>
          <w:i/>
          <w:spacing w:val="-8"/>
        </w:rPr>
        <w:t xml:space="preserve"> </w:t>
      </w:r>
      <w:r w:rsidRPr="00E03546">
        <w:rPr>
          <w:rFonts w:ascii="Verdana" w:eastAsia="Calibri" w:hAnsi="Verdana" w:cs="Arial"/>
          <w:i/>
        </w:rPr>
        <w:t>vigencia</w:t>
      </w:r>
      <w:r w:rsidRPr="00E03546">
        <w:rPr>
          <w:rFonts w:ascii="Verdana" w:eastAsia="Calibri" w:hAnsi="Verdana" w:cs="Arial"/>
        </w:rPr>
        <w:t>,</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rPr>
        <w:t>cual</w:t>
      </w:r>
      <w:r w:rsidRPr="00E03546">
        <w:rPr>
          <w:rFonts w:ascii="Verdana" w:eastAsia="Calibri" w:hAnsi="Verdana" w:cs="Arial"/>
          <w:spacing w:val="-7"/>
        </w:rPr>
        <w:t xml:space="preserve"> </w:t>
      </w:r>
      <w:r w:rsidRPr="00E03546">
        <w:rPr>
          <w:rFonts w:ascii="Verdana" w:eastAsia="Calibri" w:hAnsi="Verdana" w:cs="Arial"/>
        </w:rPr>
        <w:t>finaliza</w:t>
      </w:r>
      <w:r w:rsidRPr="00E03546">
        <w:rPr>
          <w:rFonts w:ascii="Verdana" w:eastAsia="Calibri" w:hAnsi="Verdana" w:cs="Arial"/>
          <w:spacing w:val="-6"/>
        </w:rPr>
        <w:t xml:space="preserve"> </w:t>
      </w:r>
      <w:r w:rsidRPr="00E03546">
        <w:rPr>
          <w:rFonts w:ascii="Verdana" w:eastAsia="Calibri" w:hAnsi="Verdana" w:cs="Arial"/>
        </w:rPr>
        <w:t>con</w:t>
      </w:r>
      <w:r w:rsidRPr="00E03546">
        <w:rPr>
          <w:rFonts w:ascii="Verdana" w:eastAsia="Calibri" w:hAnsi="Verdana" w:cs="Arial"/>
          <w:spacing w:val="-8"/>
        </w:rPr>
        <w:t xml:space="preserve"> </w:t>
      </w:r>
      <w:r w:rsidRPr="00E03546">
        <w:rPr>
          <w:rFonts w:ascii="Verdana" w:eastAsia="Calibri" w:hAnsi="Verdana" w:cs="Arial"/>
        </w:rPr>
        <w:t>la</w:t>
      </w:r>
      <w:r w:rsidRPr="00E03546">
        <w:rPr>
          <w:rFonts w:ascii="Verdana" w:eastAsia="Calibri" w:hAnsi="Verdana" w:cs="Arial"/>
          <w:spacing w:val="-8"/>
        </w:rPr>
        <w:t xml:space="preserve"> </w:t>
      </w:r>
      <w:r w:rsidRPr="00E03546">
        <w:rPr>
          <w:rFonts w:ascii="Verdana" w:eastAsia="Calibri" w:hAnsi="Verdana" w:cs="Arial"/>
        </w:rPr>
        <w:t>liquidación.</w:t>
      </w:r>
      <w:r w:rsidRPr="00E03546">
        <w:rPr>
          <w:rFonts w:ascii="Verdana" w:eastAsia="Calibri" w:hAnsi="Verdana" w:cs="Arial"/>
          <w:spacing w:val="-5"/>
        </w:rPr>
        <w:t xml:space="preserve"> </w:t>
      </w:r>
      <w:r w:rsidRPr="00E03546">
        <w:rPr>
          <w:rFonts w:ascii="Verdana" w:eastAsia="Calibri" w:hAnsi="Verdana" w:cs="Arial"/>
        </w:rPr>
        <w:t>En</w:t>
      </w:r>
      <w:r w:rsidRPr="00E03546">
        <w:rPr>
          <w:rFonts w:ascii="Verdana" w:eastAsia="Calibri" w:hAnsi="Verdana" w:cs="Arial"/>
          <w:spacing w:val="-8"/>
        </w:rPr>
        <w:t xml:space="preserve"> </w:t>
      </w:r>
      <w:r w:rsidRPr="00E03546">
        <w:rPr>
          <w:rFonts w:ascii="Verdana" w:eastAsia="Calibri" w:hAnsi="Verdana" w:cs="Arial"/>
        </w:rPr>
        <w:t>palabras de la doctrina, “[…] el contratista deberá otorgarla con una vigencia igual al plazo</w:t>
      </w:r>
      <w:r w:rsidRPr="00E03546">
        <w:rPr>
          <w:rFonts w:ascii="Verdana" w:eastAsia="Calibri" w:hAnsi="Verdana" w:cs="Arial"/>
          <w:spacing w:val="63"/>
        </w:rPr>
        <w:t xml:space="preserve"> </w:t>
      </w:r>
      <w:r w:rsidRPr="00E03546">
        <w:rPr>
          <w:rFonts w:ascii="Verdana" w:eastAsia="Calibri" w:hAnsi="Verdana" w:cs="Arial"/>
        </w:rPr>
        <w:t>del</w:t>
      </w:r>
      <w:r w:rsidRPr="00E03546">
        <w:rPr>
          <w:rFonts w:ascii="Verdana" w:eastAsia="Calibri" w:hAnsi="Verdana" w:cs="Arial"/>
          <w:spacing w:val="62"/>
        </w:rPr>
        <w:t xml:space="preserve"> </w:t>
      </w:r>
      <w:r w:rsidRPr="00E03546">
        <w:rPr>
          <w:rFonts w:ascii="Verdana" w:eastAsia="Calibri" w:hAnsi="Verdana" w:cs="Arial"/>
        </w:rPr>
        <w:t>contrato</w:t>
      </w:r>
      <w:r w:rsidRPr="00E03546">
        <w:rPr>
          <w:rFonts w:ascii="Verdana" w:eastAsia="Calibri" w:hAnsi="Verdana" w:cs="Arial"/>
          <w:spacing w:val="64"/>
        </w:rPr>
        <w:t xml:space="preserve"> </w:t>
      </w:r>
      <w:r w:rsidRPr="00E03546">
        <w:rPr>
          <w:rFonts w:ascii="Verdana" w:eastAsia="Calibri" w:hAnsi="Verdana" w:cs="Arial"/>
        </w:rPr>
        <w:t>garantizado</w:t>
      </w:r>
      <w:r w:rsidRPr="00E03546">
        <w:rPr>
          <w:rFonts w:ascii="Verdana" w:eastAsia="Calibri" w:hAnsi="Verdana" w:cs="Arial"/>
          <w:spacing w:val="65"/>
        </w:rPr>
        <w:t xml:space="preserve"> </w:t>
      </w:r>
      <w:r w:rsidRPr="00E03546">
        <w:rPr>
          <w:rFonts w:ascii="Verdana" w:eastAsia="Calibri" w:hAnsi="Verdana" w:cs="Arial"/>
        </w:rPr>
        <w:t>más</w:t>
      </w:r>
      <w:r w:rsidRPr="00E03546">
        <w:rPr>
          <w:rFonts w:ascii="Verdana" w:eastAsia="Calibri" w:hAnsi="Verdana" w:cs="Arial"/>
          <w:spacing w:val="62"/>
        </w:rPr>
        <w:t xml:space="preserve"> </w:t>
      </w:r>
      <w:r w:rsidRPr="00E03546">
        <w:rPr>
          <w:rFonts w:ascii="Verdana" w:eastAsia="Calibri" w:hAnsi="Verdana" w:cs="Arial"/>
        </w:rPr>
        <w:t>el</w:t>
      </w:r>
      <w:r w:rsidRPr="00E03546">
        <w:rPr>
          <w:rFonts w:ascii="Verdana" w:eastAsia="Calibri" w:hAnsi="Verdana" w:cs="Arial"/>
          <w:spacing w:val="62"/>
        </w:rPr>
        <w:t xml:space="preserve"> </w:t>
      </w:r>
      <w:r w:rsidRPr="00E03546">
        <w:rPr>
          <w:rFonts w:ascii="Verdana" w:eastAsia="Calibri" w:hAnsi="Verdana" w:cs="Arial"/>
        </w:rPr>
        <w:t>plazo</w:t>
      </w:r>
      <w:r w:rsidRPr="00E03546">
        <w:rPr>
          <w:rFonts w:ascii="Verdana" w:eastAsia="Calibri" w:hAnsi="Verdana" w:cs="Arial"/>
          <w:spacing w:val="63"/>
        </w:rPr>
        <w:t xml:space="preserve"> </w:t>
      </w:r>
      <w:r w:rsidRPr="00E03546">
        <w:rPr>
          <w:rFonts w:ascii="Verdana" w:eastAsia="Calibri" w:hAnsi="Verdana" w:cs="Arial"/>
        </w:rPr>
        <w:t>contractual</w:t>
      </w:r>
      <w:r w:rsidRPr="00E03546">
        <w:rPr>
          <w:rFonts w:ascii="Verdana" w:eastAsia="Calibri" w:hAnsi="Verdana" w:cs="Arial"/>
          <w:spacing w:val="65"/>
        </w:rPr>
        <w:t xml:space="preserve"> </w:t>
      </w:r>
      <w:r w:rsidRPr="00E03546">
        <w:rPr>
          <w:rFonts w:ascii="Verdana" w:eastAsia="Calibri" w:hAnsi="Verdana" w:cs="Arial"/>
        </w:rPr>
        <w:t>previsto</w:t>
      </w:r>
      <w:r w:rsidRPr="00E03546">
        <w:rPr>
          <w:rFonts w:ascii="Verdana" w:eastAsia="Calibri" w:hAnsi="Verdana" w:cs="Arial"/>
          <w:spacing w:val="64"/>
        </w:rPr>
        <w:t xml:space="preserve"> </w:t>
      </w:r>
      <w:r w:rsidRPr="00E03546">
        <w:rPr>
          <w:rFonts w:ascii="Verdana" w:eastAsia="Calibri" w:hAnsi="Verdana" w:cs="Arial"/>
        </w:rPr>
        <w:t>para</w:t>
      </w:r>
      <w:r w:rsidRPr="00E03546">
        <w:rPr>
          <w:rFonts w:ascii="Verdana" w:eastAsia="Calibri" w:hAnsi="Verdana" w:cs="Arial"/>
          <w:spacing w:val="63"/>
        </w:rPr>
        <w:t xml:space="preserve"> </w:t>
      </w:r>
      <w:r w:rsidRPr="00E03546">
        <w:rPr>
          <w:rFonts w:ascii="Verdana" w:eastAsia="Calibri" w:hAnsi="Verdana" w:cs="Arial"/>
        </w:rPr>
        <w:t>la liquidación de aquel. En caso de no haberse convenido por las partes un término para la liquidación del contrato, la garantía deberá mantenerse vigente por el término legal previsto para este efecto […]”.</w:t>
      </w:r>
      <w:r w:rsidRPr="00E03546">
        <w:rPr>
          <w:rFonts w:ascii="Verdana" w:eastAsia="Times New Roman" w:hAnsi="Verdana" w:cs="Arial"/>
          <w:color w:val="000000"/>
          <w:lang w:eastAsia="es-CO"/>
        </w:rPr>
        <w:t xml:space="preserve"> Teniendo en cuenta lo anterior, corresponde analizar los plazos para liquidar los contratos estatales</w:t>
      </w:r>
      <w:r>
        <w:rPr>
          <w:rFonts w:ascii="Verdana" w:eastAsia="Times New Roman" w:hAnsi="Verdana" w:cs="Arial"/>
          <w:color w:val="000000"/>
          <w:lang w:eastAsia="es-CO"/>
        </w:rPr>
        <w:t xml:space="preserve">. En ese sentido, si no se ha efectuado la liquidación del contrato, el contratista deberá ampliar la cobertura, so pena de incumplimiento. </w:t>
      </w:r>
    </w:p>
    <w:p w14:paraId="1DD5E4DC" w14:textId="77777777" w:rsidR="00C920B0" w:rsidRPr="00C920B0" w:rsidRDefault="00C920B0" w:rsidP="00C920B0">
      <w:pPr>
        <w:tabs>
          <w:tab w:val="left" w:pos="1332"/>
        </w:tabs>
        <w:spacing w:after="120"/>
        <w:ind w:right="899"/>
        <w:jc w:val="both"/>
        <w:rPr>
          <w:rFonts w:ascii="Verdana" w:eastAsia="Verdana" w:hAnsi="Verdana" w:cs="Verdana"/>
          <w:b/>
          <w:bCs/>
          <w:spacing w:val="2"/>
        </w:rPr>
      </w:pPr>
    </w:p>
    <w:p w14:paraId="6A54BF6F" w14:textId="77777777" w:rsidR="00C920B0" w:rsidRPr="00C920B0" w:rsidRDefault="00C920B0" w:rsidP="00E76ED5">
      <w:pPr>
        <w:rPr>
          <w:rFonts w:ascii="Verdana" w:eastAsia="Times New Roman" w:hAnsi="Verdana" w:cs="Arial"/>
          <w:lang w:val="es-ES" w:eastAsia="es-ES_tradnl"/>
        </w:rPr>
      </w:pPr>
    </w:p>
    <w:p w14:paraId="357F538B" w14:textId="77777777" w:rsidR="00C920B0" w:rsidRDefault="00C920B0" w:rsidP="00E76ED5">
      <w:pPr>
        <w:rPr>
          <w:rFonts w:ascii="Verdana" w:eastAsia="Times New Roman" w:hAnsi="Verdana" w:cs="Arial"/>
          <w:lang w:eastAsia="es-ES_tradnl"/>
        </w:rPr>
      </w:pPr>
    </w:p>
    <w:p w14:paraId="628BEB61" w14:textId="77777777" w:rsidR="00C920B0" w:rsidRDefault="00C920B0" w:rsidP="00E76ED5">
      <w:pPr>
        <w:rPr>
          <w:rFonts w:ascii="Verdana" w:eastAsia="Times New Roman" w:hAnsi="Verdana" w:cs="Arial"/>
          <w:lang w:eastAsia="es-ES_tradnl"/>
        </w:rPr>
      </w:pPr>
    </w:p>
    <w:p w14:paraId="0AC694A0" w14:textId="77777777" w:rsidR="00C920B0" w:rsidRDefault="00C920B0" w:rsidP="00E76ED5">
      <w:pPr>
        <w:rPr>
          <w:rFonts w:ascii="Verdana" w:eastAsia="Times New Roman" w:hAnsi="Verdana" w:cs="Arial"/>
          <w:lang w:eastAsia="es-ES_tradnl"/>
        </w:rPr>
      </w:pPr>
    </w:p>
    <w:p w14:paraId="65953B27" w14:textId="77777777" w:rsidR="00C920B0" w:rsidRDefault="00C920B0" w:rsidP="00E76ED5">
      <w:pPr>
        <w:rPr>
          <w:rFonts w:ascii="Verdana" w:eastAsia="Times New Roman" w:hAnsi="Verdana" w:cs="Arial"/>
          <w:lang w:eastAsia="es-ES_tradnl"/>
        </w:rPr>
      </w:pPr>
    </w:p>
    <w:p w14:paraId="2B71163A" w14:textId="77777777" w:rsidR="00C920B0" w:rsidRDefault="00C920B0" w:rsidP="00E76ED5">
      <w:pPr>
        <w:rPr>
          <w:rFonts w:ascii="Verdana" w:eastAsia="Times New Roman" w:hAnsi="Verdana" w:cs="Arial"/>
          <w:lang w:eastAsia="es-ES_tradnl"/>
        </w:rPr>
      </w:pPr>
    </w:p>
    <w:p w14:paraId="25C0F8C0" w14:textId="77777777" w:rsidR="00C920B0" w:rsidRDefault="00C920B0" w:rsidP="00E76ED5">
      <w:pPr>
        <w:rPr>
          <w:rFonts w:ascii="Verdana" w:eastAsia="Times New Roman" w:hAnsi="Verdana" w:cs="Arial"/>
          <w:lang w:eastAsia="es-ES_tradnl"/>
        </w:rPr>
      </w:pPr>
    </w:p>
    <w:p w14:paraId="4A3D701D" w14:textId="77777777" w:rsidR="00C920B0" w:rsidRDefault="00C920B0" w:rsidP="00E76ED5">
      <w:pPr>
        <w:rPr>
          <w:rFonts w:ascii="Verdana" w:eastAsia="Times New Roman" w:hAnsi="Verdana" w:cs="Arial"/>
          <w:lang w:eastAsia="es-ES_tradnl"/>
        </w:rPr>
      </w:pPr>
    </w:p>
    <w:p w14:paraId="3482453D" w14:textId="77777777" w:rsidR="00C920B0" w:rsidRDefault="00C920B0" w:rsidP="00E76ED5">
      <w:pPr>
        <w:rPr>
          <w:rFonts w:ascii="Verdana" w:eastAsia="Times New Roman" w:hAnsi="Verdana" w:cs="Arial"/>
          <w:lang w:eastAsia="es-ES_tradnl"/>
        </w:rPr>
      </w:pPr>
    </w:p>
    <w:p w14:paraId="13AD3614" w14:textId="77777777" w:rsidR="00C920B0" w:rsidRDefault="00C920B0" w:rsidP="00E76ED5">
      <w:pPr>
        <w:rPr>
          <w:rFonts w:ascii="Verdana" w:eastAsia="Times New Roman" w:hAnsi="Verdana" w:cs="Arial"/>
          <w:lang w:eastAsia="es-ES_tradnl"/>
        </w:rPr>
      </w:pPr>
    </w:p>
    <w:p w14:paraId="6248D924" w14:textId="77777777" w:rsidR="00C920B0" w:rsidRDefault="00C920B0" w:rsidP="00E76ED5">
      <w:pPr>
        <w:rPr>
          <w:rFonts w:ascii="Verdana" w:eastAsia="Times New Roman" w:hAnsi="Verdana" w:cs="Arial"/>
          <w:lang w:eastAsia="es-ES_tradnl"/>
        </w:rPr>
      </w:pPr>
    </w:p>
    <w:p w14:paraId="0476C17D" w14:textId="77777777" w:rsidR="00C920B0" w:rsidRDefault="00C920B0" w:rsidP="00E76ED5">
      <w:pPr>
        <w:rPr>
          <w:rFonts w:ascii="Verdana" w:eastAsia="Times New Roman" w:hAnsi="Verdana" w:cs="Arial"/>
          <w:lang w:eastAsia="es-ES_tradnl"/>
        </w:rPr>
      </w:pPr>
    </w:p>
    <w:p w14:paraId="56EC5248" w14:textId="01E3AB98" w:rsidR="00E76ED5" w:rsidRPr="006F44C3" w:rsidRDefault="00E76ED5" w:rsidP="00E76ED5">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C920B0">
        <w:rPr>
          <w:rFonts w:ascii="Verdana" w:eastAsia="Times New Roman" w:hAnsi="Verdana" w:cs="Arial"/>
          <w:lang w:eastAsia="es-ES_tradnl"/>
        </w:rPr>
        <w:t>24</w:t>
      </w:r>
      <w:r w:rsidRPr="00093B55">
        <w:rPr>
          <w:rFonts w:ascii="Verdana" w:eastAsia="Times New Roman" w:hAnsi="Verdana" w:cs="Arial"/>
          <w:lang w:eastAsia="es-ES_tradnl"/>
        </w:rPr>
        <w:t xml:space="preserve"> de</w:t>
      </w:r>
      <w:r w:rsidR="00C920B0">
        <w:rPr>
          <w:rFonts w:ascii="Verdana" w:eastAsia="Times New Roman" w:hAnsi="Verdana" w:cs="Arial"/>
          <w:lang w:eastAsia="es-ES_tradnl"/>
        </w:rPr>
        <w:t xml:space="preserve"> octubre</w:t>
      </w:r>
      <w:r w:rsidRPr="00093B55">
        <w:rPr>
          <w:rFonts w:ascii="Verdana" w:eastAsia="Times New Roman" w:hAnsi="Verdana" w:cs="Arial"/>
          <w:lang w:eastAsia="es-ES_tradnl"/>
        </w:rPr>
        <w:t xml:space="preserve"> de </w:t>
      </w:r>
      <w:r w:rsidR="00C920B0">
        <w:rPr>
          <w:rFonts w:ascii="Verdana" w:eastAsia="Times New Roman" w:hAnsi="Verdana" w:cs="Arial"/>
          <w:lang w:eastAsia="es-ES_tradnl"/>
        </w:rPr>
        <w:t>2025</w:t>
      </w:r>
    </w:p>
    <w:p w14:paraId="431D77D0" w14:textId="32A7B16F" w:rsidR="00E76ED5" w:rsidRPr="00093B55" w:rsidRDefault="00C920B0" w:rsidP="00C920B0">
      <w:pPr>
        <w:spacing w:after="0" w:line="276" w:lineRule="auto"/>
        <w:ind w:left="4956"/>
        <w:jc w:val="center"/>
        <w:rPr>
          <w:rFonts w:ascii="Verdana" w:eastAsia="Times New Roman" w:hAnsi="Verdana" w:cs="Arial"/>
          <w:lang w:eastAsia="es-ES_tradnl"/>
        </w:rPr>
      </w:pPr>
      <w:r w:rsidRPr="00C920B0">
        <w:rPr>
          <w:rFonts w:ascii="Verdana" w:eastAsia="Times New Roman" w:hAnsi="Verdana" w:cs="Arial"/>
          <w:noProof/>
          <w:lang w:eastAsia="es-ES_tradnl"/>
        </w:rPr>
        <w:drawing>
          <wp:inline distT="0" distB="0" distL="0" distR="0" wp14:anchorId="664ECF88" wp14:editId="2EA1FC8A">
            <wp:extent cx="2857500" cy="904875"/>
            <wp:effectExtent l="0" t="0" r="0" b="9525"/>
            <wp:docPr id="19783840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384042" name=""/>
                    <pic:cNvPicPr/>
                  </pic:nvPicPr>
                  <pic:blipFill>
                    <a:blip r:embed="rId11"/>
                    <a:stretch>
                      <a:fillRect/>
                    </a:stretch>
                  </pic:blipFill>
                  <pic:spPr>
                    <a:xfrm>
                      <a:off x="0" y="0"/>
                      <a:ext cx="2857898" cy="905001"/>
                    </a:xfrm>
                    <a:prstGeom prst="rect">
                      <a:avLst/>
                    </a:prstGeom>
                  </pic:spPr>
                </pic:pic>
              </a:graphicData>
            </a:graphic>
          </wp:inline>
        </w:drawing>
      </w:r>
    </w:p>
    <w:p w14:paraId="5C8A305E" w14:textId="77777777" w:rsidR="00E76ED5" w:rsidRPr="00F96E03" w:rsidRDefault="00E76ED5" w:rsidP="00E76ED5">
      <w:pPr>
        <w:spacing w:after="0" w:line="276" w:lineRule="auto"/>
        <w:jc w:val="both"/>
        <w:rPr>
          <w:rFonts w:ascii="Verdana" w:eastAsia="Calibri" w:hAnsi="Verdana" w:cs="Arial"/>
          <w:lang w:eastAsia="es-ES_tradnl"/>
        </w:rPr>
      </w:pPr>
      <w:r w:rsidRPr="00F96E03">
        <w:rPr>
          <w:rFonts w:ascii="Verdana" w:eastAsia="Calibri" w:hAnsi="Verdana" w:cs="Arial"/>
          <w:lang w:eastAsia="es-ES_tradnl"/>
        </w:rPr>
        <w:t>Señora</w:t>
      </w:r>
    </w:p>
    <w:p w14:paraId="3C6E5CC4" w14:textId="1BE52D8C" w:rsidR="00E76ED5" w:rsidRPr="00F96E03" w:rsidRDefault="00E76ED5" w:rsidP="00E76ED5">
      <w:pPr>
        <w:spacing w:after="0" w:line="276" w:lineRule="auto"/>
        <w:rPr>
          <w:rFonts w:ascii="Verdana" w:eastAsia="Calibri" w:hAnsi="Verdana" w:cs="Arial"/>
          <w:b/>
          <w:bCs/>
          <w:lang w:eastAsia="es-ES_tradnl"/>
        </w:rPr>
      </w:pPr>
      <w:r w:rsidRPr="00F96E03">
        <w:rPr>
          <w:rFonts w:ascii="Verdana" w:eastAsia="Calibri" w:hAnsi="Verdana" w:cs="Arial"/>
          <w:b/>
          <w:bCs/>
          <w:lang w:eastAsia="es-ES_tradnl"/>
        </w:rPr>
        <w:t>Lu</w:t>
      </w:r>
      <w:r>
        <w:rPr>
          <w:rFonts w:ascii="Verdana" w:eastAsia="Calibri" w:hAnsi="Verdana" w:cs="Arial"/>
          <w:b/>
          <w:bCs/>
          <w:lang w:eastAsia="es-ES_tradnl"/>
        </w:rPr>
        <w:t>isa María Bolaños Gómez</w:t>
      </w:r>
    </w:p>
    <w:p w14:paraId="70E9A424" w14:textId="77777777" w:rsidR="00E76ED5" w:rsidRPr="00F96E03" w:rsidRDefault="000D5687" w:rsidP="00E76ED5">
      <w:pPr>
        <w:spacing w:after="0" w:line="276" w:lineRule="auto"/>
        <w:rPr>
          <w:rFonts w:ascii="Verdana" w:eastAsia="Calibri" w:hAnsi="Verdana" w:cs="Arial"/>
          <w:b/>
          <w:bCs/>
          <w:lang w:eastAsia="es-ES_tradnl"/>
        </w:rPr>
      </w:pPr>
      <w:hyperlink r:id="rId12" w:history="1">
        <w:r w:rsidR="00E76ED5" w:rsidRPr="00F96E03">
          <w:rPr>
            <w:rStyle w:val="Hipervnculo"/>
            <w:rFonts w:ascii="Verdana" w:hAnsi="Verdana"/>
          </w:rPr>
          <w:t>luissamaaria@outlook.com</w:t>
        </w:r>
      </w:hyperlink>
      <w:r w:rsidR="00E76ED5" w:rsidRPr="00F96E03">
        <w:rPr>
          <w:rFonts w:ascii="Verdana" w:eastAsia="Calibri" w:hAnsi="Verdana" w:cs="Arial"/>
          <w:u w:val="single"/>
          <w:lang w:eastAsia="es-ES_tradnl"/>
        </w:rPr>
        <w:t xml:space="preserve">;  </w:t>
      </w:r>
    </w:p>
    <w:p w14:paraId="4E4AEA38" w14:textId="77777777" w:rsidR="00E76ED5" w:rsidRDefault="00E76ED5" w:rsidP="00E76ED5">
      <w:pPr>
        <w:spacing w:after="0" w:line="276" w:lineRule="auto"/>
        <w:rPr>
          <w:rFonts w:ascii="Verdana" w:eastAsia="Calibri" w:hAnsi="Verdana" w:cs="Arial"/>
          <w:lang w:eastAsia="es-ES_tradnl"/>
        </w:rPr>
      </w:pPr>
      <w:r>
        <w:rPr>
          <w:rFonts w:ascii="Verdana" w:eastAsia="Calibri" w:hAnsi="Verdana" w:cs="Arial"/>
          <w:lang w:eastAsia="es-ES_tradnl"/>
        </w:rPr>
        <w:t xml:space="preserve">Ciudad, </w:t>
      </w:r>
    </w:p>
    <w:p w14:paraId="78310A1F" w14:textId="77777777" w:rsidR="00E76ED5" w:rsidRPr="00E03546" w:rsidRDefault="00E76ED5" w:rsidP="00E76ED5">
      <w:pPr>
        <w:spacing w:after="0" w:line="276" w:lineRule="auto"/>
        <w:rPr>
          <w:rFonts w:ascii="Verdana" w:eastAsia="Calibri" w:hAnsi="Verdana" w:cs="Arial"/>
          <w:lang w:val="fr-FR" w:eastAsia="es-ES_tradnl"/>
        </w:rPr>
      </w:pPr>
    </w:p>
    <w:p w14:paraId="0C5E3509" w14:textId="77777777" w:rsidR="00E76ED5" w:rsidRPr="00E03546" w:rsidRDefault="00E76ED5" w:rsidP="00E76ED5">
      <w:pPr>
        <w:spacing w:after="0" w:line="276" w:lineRule="auto"/>
        <w:rPr>
          <w:rFonts w:ascii="Verdana" w:eastAsia="Calibri" w:hAnsi="Verdana" w:cs="Arial"/>
          <w:b/>
          <w:bCs/>
          <w:lang w:val="fr-FR" w:eastAsia="es-ES_tradnl"/>
        </w:rPr>
      </w:pPr>
      <w:r w:rsidRPr="00E03546">
        <w:rPr>
          <w:rFonts w:ascii="Verdana" w:eastAsia="Calibri" w:hAnsi="Verdana" w:cs="Arial"/>
          <w:lang w:val="fr-FR" w:eastAsia="es-ES_tradnl"/>
        </w:rPr>
        <w:tab/>
      </w:r>
      <w:r w:rsidRPr="00E03546">
        <w:rPr>
          <w:rFonts w:ascii="Verdana" w:eastAsia="Calibri" w:hAnsi="Verdana" w:cs="Arial"/>
          <w:lang w:val="fr-FR" w:eastAsia="es-ES_tradnl"/>
        </w:rPr>
        <w:tab/>
      </w:r>
      <w:r w:rsidRPr="00E03546">
        <w:rPr>
          <w:rFonts w:ascii="Verdana" w:eastAsia="Calibri" w:hAnsi="Verdana" w:cs="Arial"/>
          <w:lang w:val="fr-FR" w:eastAsia="es-ES_tradnl"/>
        </w:rPr>
        <w:tab/>
      </w:r>
      <w:r w:rsidRPr="00E03546">
        <w:rPr>
          <w:rFonts w:ascii="Verdana" w:eastAsia="Calibri" w:hAnsi="Verdana" w:cs="Arial"/>
          <w:lang w:val="fr-FR" w:eastAsia="es-ES_tradnl"/>
        </w:rPr>
        <w:tab/>
        <w:t xml:space="preserve">    </w:t>
      </w:r>
      <w:proofErr w:type="spellStart"/>
      <w:r w:rsidRPr="00E03546">
        <w:rPr>
          <w:rFonts w:ascii="Verdana" w:eastAsia="Calibri" w:hAnsi="Verdana" w:cs="Arial"/>
          <w:b/>
          <w:bCs/>
          <w:lang w:val="fr-FR" w:eastAsia="es-ES_tradnl"/>
        </w:rPr>
        <w:t>Concepto</w:t>
      </w:r>
      <w:proofErr w:type="spellEnd"/>
      <w:r w:rsidRPr="00E03546">
        <w:rPr>
          <w:rFonts w:ascii="Verdana" w:eastAsia="Calibri" w:hAnsi="Verdana" w:cs="Arial"/>
          <w:b/>
          <w:bCs/>
          <w:lang w:val="fr-FR" w:eastAsia="es-ES_tradnl"/>
        </w:rPr>
        <w:t xml:space="preserve"> </w:t>
      </w:r>
      <w:r w:rsidRPr="006F44C3">
        <w:rPr>
          <w:rFonts w:ascii="Verdana" w:eastAsia="Calibri" w:hAnsi="Verdana" w:cs="Arial"/>
          <w:b/>
          <w:bCs/>
          <w:lang w:val="fr-FR" w:eastAsia="es-ES_tradnl"/>
        </w:rPr>
        <w:t>C-</w:t>
      </w:r>
      <w:r>
        <w:rPr>
          <w:rFonts w:ascii="Verdana" w:eastAsia="Calibri" w:hAnsi="Verdana" w:cs="Arial"/>
          <w:b/>
          <w:bCs/>
          <w:lang w:val="fr-FR" w:eastAsia="es-ES_tradnl"/>
        </w:rPr>
        <w:t xml:space="preserve">1332 de </w:t>
      </w:r>
      <w:r w:rsidRPr="00E03546">
        <w:rPr>
          <w:rFonts w:ascii="Verdana" w:eastAsia="Calibri" w:hAnsi="Verdana" w:cs="Arial"/>
          <w:b/>
          <w:bCs/>
          <w:lang w:val="fr-FR" w:eastAsia="es-ES_tradnl"/>
        </w:rPr>
        <w:t>2025</w:t>
      </w:r>
    </w:p>
    <w:p w14:paraId="152551CB" w14:textId="77777777" w:rsidR="00E76ED5" w:rsidRPr="00E03546" w:rsidRDefault="00E76ED5" w:rsidP="00E76ED5">
      <w:pPr>
        <w:spacing w:after="0" w:line="276" w:lineRule="auto"/>
        <w:jc w:val="both"/>
        <w:rPr>
          <w:rFonts w:ascii="Verdana" w:eastAsia="Calibri" w:hAnsi="Verdana" w:cs="Arial"/>
          <w:lang w:val="fr-FR" w:eastAsia="es-ES_tradnl"/>
        </w:rPr>
      </w:pPr>
    </w:p>
    <w:tbl>
      <w:tblPr>
        <w:tblStyle w:val="Tablaconcuadrcula"/>
        <w:tblW w:w="8788"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8"/>
        <w:gridCol w:w="6100"/>
      </w:tblGrid>
      <w:tr w:rsidR="00E76ED5" w:rsidRPr="00E03546" w14:paraId="72670F84" w14:textId="77777777" w:rsidTr="00021898">
        <w:trPr>
          <w:trHeight w:val="661"/>
          <w:jc w:val="right"/>
        </w:trPr>
        <w:tc>
          <w:tcPr>
            <w:tcW w:w="2688" w:type="dxa"/>
          </w:tcPr>
          <w:p w14:paraId="53BFA313" w14:textId="77777777" w:rsidR="00E76ED5" w:rsidRPr="00E03546" w:rsidRDefault="00E76ED5" w:rsidP="00021898">
            <w:pPr>
              <w:spacing w:line="276" w:lineRule="auto"/>
              <w:rPr>
                <w:rFonts w:ascii="Verdana" w:eastAsia="Calibri" w:hAnsi="Verdana" w:cs="Arial"/>
                <w:b/>
                <w:bCs/>
                <w:lang w:eastAsia="es-ES_tradnl"/>
              </w:rPr>
            </w:pPr>
            <w:r w:rsidRPr="00E03546">
              <w:rPr>
                <w:rFonts w:ascii="Verdana" w:eastAsia="Calibri" w:hAnsi="Verdana" w:cs="Arial"/>
                <w:lang w:eastAsia="es-ES_tradnl"/>
              </w:rPr>
              <w:t xml:space="preserve">        </w:t>
            </w:r>
            <w:r w:rsidRPr="00E03546">
              <w:rPr>
                <w:rFonts w:ascii="Verdana" w:eastAsia="Calibri" w:hAnsi="Verdana" w:cs="Arial"/>
                <w:b/>
                <w:bCs/>
                <w:lang w:eastAsia="es-ES_tradnl"/>
              </w:rPr>
              <w:t>Temas:</w:t>
            </w:r>
          </w:p>
        </w:tc>
        <w:tc>
          <w:tcPr>
            <w:tcW w:w="6100" w:type="dxa"/>
          </w:tcPr>
          <w:p w14:paraId="1F2AE348" w14:textId="36D00029" w:rsidR="00E76ED5" w:rsidRPr="00E76ED5" w:rsidRDefault="00E76ED5" w:rsidP="00E76ED5">
            <w:pPr>
              <w:tabs>
                <w:tab w:val="left" w:pos="1332"/>
              </w:tabs>
              <w:spacing w:after="120"/>
              <w:ind w:left="429" w:right="899"/>
              <w:jc w:val="both"/>
              <w:rPr>
                <w:rFonts w:ascii="Verdana" w:eastAsia="Verdana" w:hAnsi="Verdana" w:cs="Verdana"/>
                <w:spacing w:val="2"/>
                <w:lang w:val="es-ES"/>
              </w:rPr>
            </w:pPr>
            <w:bookmarkStart w:id="1" w:name="_Hlk178601733"/>
            <w:r w:rsidRPr="0052250B">
              <w:rPr>
                <w:rFonts w:ascii="Verdana" w:eastAsia="Verdana" w:hAnsi="Verdana" w:cs="Verdana"/>
                <w:spacing w:val="2"/>
                <w:lang w:val="es-ES"/>
              </w:rPr>
              <w:t xml:space="preserve">GARANTÍA DE ÚNICA DE CUMPLIMIENTO – Definición – Fundamento normativo </w:t>
            </w:r>
            <w:r>
              <w:rPr>
                <w:rFonts w:ascii="Verdana" w:eastAsia="Verdana" w:hAnsi="Verdana" w:cs="Verdana"/>
                <w:spacing w:val="2"/>
                <w:lang w:val="es-ES"/>
              </w:rPr>
              <w:t>-Vigencia</w:t>
            </w:r>
            <w:bookmarkEnd w:id="1"/>
          </w:p>
          <w:p w14:paraId="4B5E0EB5" w14:textId="77777777" w:rsidR="00E76ED5" w:rsidRPr="00E03546" w:rsidRDefault="00E76ED5" w:rsidP="00021898">
            <w:pPr>
              <w:tabs>
                <w:tab w:val="left" w:pos="5193"/>
              </w:tabs>
              <w:spacing w:line="276" w:lineRule="auto"/>
              <w:jc w:val="both"/>
              <w:rPr>
                <w:rFonts w:ascii="Verdana" w:eastAsia="Calibri" w:hAnsi="Verdana" w:cs="Arial"/>
                <w:lang w:val="es-MX" w:eastAsia="es-ES_tradnl"/>
              </w:rPr>
            </w:pPr>
          </w:p>
        </w:tc>
      </w:tr>
      <w:tr w:rsidR="00E76ED5" w:rsidRPr="00E03546" w14:paraId="0D5DD951" w14:textId="77777777" w:rsidTr="00021898">
        <w:trPr>
          <w:trHeight w:val="83"/>
          <w:jc w:val="right"/>
        </w:trPr>
        <w:tc>
          <w:tcPr>
            <w:tcW w:w="2688" w:type="dxa"/>
          </w:tcPr>
          <w:p w14:paraId="76CB2C04" w14:textId="77777777" w:rsidR="00E76ED5" w:rsidRPr="00E03546" w:rsidRDefault="00E76ED5" w:rsidP="00021898">
            <w:pPr>
              <w:spacing w:line="276" w:lineRule="auto"/>
              <w:jc w:val="center"/>
              <w:rPr>
                <w:rFonts w:ascii="Verdana" w:eastAsia="Calibri" w:hAnsi="Verdana" w:cs="Arial"/>
                <w:b/>
                <w:lang w:eastAsia="es-ES_tradnl"/>
              </w:rPr>
            </w:pPr>
            <w:r w:rsidRPr="00E03546">
              <w:rPr>
                <w:rFonts w:ascii="Verdana" w:eastAsia="Calibri" w:hAnsi="Verdana" w:cs="Arial"/>
                <w:b/>
                <w:lang w:eastAsia="es-ES_tradnl"/>
              </w:rPr>
              <w:t>Radicación:</w:t>
            </w:r>
          </w:p>
        </w:tc>
        <w:tc>
          <w:tcPr>
            <w:tcW w:w="6100" w:type="dxa"/>
          </w:tcPr>
          <w:p w14:paraId="6B649966" w14:textId="77777777" w:rsidR="00E76ED5" w:rsidRPr="00E03546" w:rsidRDefault="00E76ED5" w:rsidP="00021898">
            <w:pPr>
              <w:tabs>
                <w:tab w:val="left" w:pos="6092"/>
              </w:tabs>
              <w:spacing w:line="276" w:lineRule="auto"/>
              <w:ind w:left="429"/>
              <w:jc w:val="both"/>
              <w:rPr>
                <w:rFonts w:ascii="Verdana" w:eastAsia="Calibri" w:hAnsi="Verdana" w:cs="Arial"/>
                <w:lang w:eastAsia="es-ES_tradnl"/>
              </w:rPr>
            </w:pPr>
            <w:r w:rsidRPr="00E03546">
              <w:rPr>
                <w:rFonts w:ascii="Verdana" w:eastAsia="Calibri" w:hAnsi="Verdana" w:cs="Arial"/>
                <w:lang w:eastAsia="es-ES_tradnl"/>
              </w:rPr>
              <w:t>Respuesta de consulta</w:t>
            </w:r>
            <w:r>
              <w:rPr>
                <w:rFonts w:ascii="Verdana" w:eastAsia="Calibri" w:hAnsi="Verdana" w:cs="Arial"/>
                <w:lang w:eastAsia="es-ES_tradnl"/>
              </w:rPr>
              <w:t xml:space="preserve">s acumuladas </w:t>
            </w:r>
            <w:proofErr w:type="gramStart"/>
            <w:r w:rsidRPr="00E03546">
              <w:rPr>
                <w:rFonts w:ascii="Verdana" w:eastAsia="Calibri" w:hAnsi="Verdana" w:cs="Arial"/>
                <w:lang w:eastAsia="es-ES_tradnl"/>
              </w:rPr>
              <w:t xml:space="preserve">No.  </w:t>
            </w:r>
            <w:r w:rsidRPr="00F96E03">
              <w:rPr>
                <w:rFonts w:ascii="Verdana" w:eastAsia="Calibri" w:hAnsi="Verdana" w:cs="Arial"/>
                <w:lang w:eastAsia="es-ES_tradnl"/>
              </w:rPr>
              <w:t>1</w:t>
            </w:r>
            <w:proofErr w:type="gramEnd"/>
            <w:r w:rsidRPr="00F96E03">
              <w:rPr>
                <w:rFonts w:ascii="Verdana" w:eastAsia="Calibri" w:hAnsi="Verdana" w:cs="Arial"/>
                <w:lang w:eastAsia="es-ES_tradnl"/>
              </w:rPr>
              <w:t>_2025_09_17_010202</w:t>
            </w:r>
            <w:r>
              <w:rPr>
                <w:rFonts w:ascii="Verdana" w:eastAsia="Calibri" w:hAnsi="Verdana" w:cs="Arial"/>
                <w:lang w:eastAsia="es-ES_tradnl"/>
              </w:rPr>
              <w:t xml:space="preserve"> y </w:t>
            </w:r>
            <w:r w:rsidRPr="000A73EE">
              <w:rPr>
                <w:rFonts w:ascii="Verdana" w:eastAsia="Calibri" w:hAnsi="Verdana" w:cs="Arial"/>
                <w:lang w:eastAsia="es-ES_tradnl"/>
              </w:rPr>
              <w:t>1_2025_09_18_010265</w:t>
            </w:r>
          </w:p>
        </w:tc>
      </w:tr>
    </w:tbl>
    <w:p w14:paraId="6466A442" w14:textId="77777777" w:rsidR="00E76ED5" w:rsidRPr="00E03546" w:rsidRDefault="00E76ED5" w:rsidP="00E76ED5">
      <w:pPr>
        <w:spacing w:after="0" w:line="276" w:lineRule="auto"/>
        <w:jc w:val="both"/>
        <w:rPr>
          <w:rFonts w:ascii="Verdana" w:eastAsia="Calibri" w:hAnsi="Verdana" w:cs="Arial"/>
          <w:lang w:eastAsia="es-ES_tradnl"/>
        </w:rPr>
      </w:pPr>
    </w:p>
    <w:p w14:paraId="50B85BC8" w14:textId="77777777" w:rsidR="00E76ED5" w:rsidRPr="00E03546" w:rsidRDefault="00E76ED5" w:rsidP="00E76ED5">
      <w:pPr>
        <w:spacing w:after="0" w:line="276" w:lineRule="auto"/>
        <w:jc w:val="both"/>
        <w:rPr>
          <w:rFonts w:ascii="Verdana" w:eastAsia="Calibri" w:hAnsi="Verdana" w:cs="Arial"/>
          <w:lang w:eastAsia="es-ES_tradnl"/>
        </w:rPr>
      </w:pPr>
    </w:p>
    <w:p w14:paraId="4BA5DF66" w14:textId="77777777" w:rsidR="00E76ED5" w:rsidRPr="00E03546" w:rsidRDefault="00E76ED5" w:rsidP="00E76ED5">
      <w:pPr>
        <w:spacing w:after="0" w:line="276" w:lineRule="auto"/>
        <w:contextualSpacing/>
        <w:jc w:val="both"/>
        <w:rPr>
          <w:rFonts w:ascii="Verdana" w:eastAsia="Calibri" w:hAnsi="Verdana" w:cs="Arial"/>
          <w:bCs/>
          <w:lang w:eastAsia="es-ES_tradnl"/>
        </w:rPr>
      </w:pPr>
      <w:r w:rsidRPr="00E03546">
        <w:rPr>
          <w:rFonts w:ascii="Verdana" w:eastAsia="Calibri" w:hAnsi="Verdana" w:cs="Arial"/>
          <w:lang w:eastAsia="es-ES_tradnl"/>
        </w:rPr>
        <w:t xml:space="preserve">Estimada </w:t>
      </w:r>
      <w:r>
        <w:rPr>
          <w:rFonts w:ascii="Verdana" w:eastAsia="Calibri" w:hAnsi="Verdana" w:cs="Arial"/>
          <w:lang w:eastAsia="es-ES_tradnl"/>
        </w:rPr>
        <w:t>señora Bolaños</w:t>
      </w:r>
      <w:r w:rsidRPr="00E03546">
        <w:rPr>
          <w:rFonts w:ascii="Verdana" w:eastAsia="Calibri" w:hAnsi="Verdana" w:cs="Arial"/>
          <w:lang w:eastAsia="es-ES_tradnl"/>
        </w:rPr>
        <w:t>,</w:t>
      </w:r>
    </w:p>
    <w:p w14:paraId="35781A6E" w14:textId="77777777" w:rsidR="00E76ED5" w:rsidRPr="00E03546" w:rsidRDefault="00E76ED5" w:rsidP="00E76ED5">
      <w:pPr>
        <w:spacing w:after="0" w:line="276" w:lineRule="auto"/>
        <w:contextualSpacing/>
        <w:jc w:val="both"/>
        <w:rPr>
          <w:rFonts w:ascii="Verdana" w:eastAsia="Calibri" w:hAnsi="Verdana" w:cs="Arial"/>
          <w:lang w:eastAsia="es-ES_tradnl"/>
        </w:rPr>
      </w:pPr>
    </w:p>
    <w:p w14:paraId="5B9AC7A6" w14:textId="77777777" w:rsidR="00E76ED5" w:rsidRPr="00E03546" w:rsidRDefault="00E76ED5" w:rsidP="003B40E8">
      <w:pPr>
        <w:spacing w:after="120" w:line="276" w:lineRule="auto"/>
        <w:jc w:val="both"/>
        <w:rPr>
          <w:rFonts w:ascii="Verdana" w:eastAsia="Calibri" w:hAnsi="Verdana" w:cs="Arial"/>
          <w:lang w:eastAsia="es-ES_tradnl"/>
        </w:rPr>
      </w:pPr>
      <w:r w:rsidRPr="00E03546">
        <w:rPr>
          <w:rFonts w:ascii="Verdana" w:eastAsia="Calibri" w:hAnsi="Verdana" w:cs="Arial"/>
          <w:lang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 responde su</w:t>
      </w:r>
      <w:r>
        <w:rPr>
          <w:rFonts w:ascii="Verdana" w:eastAsia="Calibri" w:hAnsi="Verdana" w:cs="Arial"/>
          <w:lang w:eastAsia="es-ES_tradnl"/>
        </w:rPr>
        <w:t>s</w:t>
      </w:r>
      <w:r w:rsidRPr="00E03546">
        <w:rPr>
          <w:rFonts w:ascii="Verdana" w:eastAsia="Calibri" w:hAnsi="Verdana" w:cs="Arial"/>
          <w:lang w:eastAsia="es-ES_tradnl"/>
        </w:rPr>
        <w:t xml:space="preserve"> solicitud</w:t>
      </w:r>
      <w:r>
        <w:rPr>
          <w:rFonts w:ascii="Verdana" w:eastAsia="Calibri" w:hAnsi="Verdana" w:cs="Arial"/>
          <w:lang w:eastAsia="es-ES_tradnl"/>
        </w:rPr>
        <w:t>es</w:t>
      </w:r>
      <w:r w:rsidRPr="00E03546">
        <w:rPr>
          <w:rFonts w:ascii="Verdana" w:eastAsia="Calibri" w:hAnsi="Verdana" w:cs="Arial"/>
          <w:lang w:eastAsia="es-ES_tradnl"/>
        </w:rPr>
        <w:t xml:space="preserve"> de consulta de fecha </w:t>
      </w:r>
      <w:r>
        <w:rPr>
          <w:rFonts w:ascii="Verdana" w:eastAsia="Calibri" w:hAnsi="Verdana" w:cs="Arial"/>
          <w:lang w:eastAsia="es-ES_tradnl"/>
        </w:rPr>
        <w:t xml:space="preserve">17 y 18 de septiembre </w:t>
      </w:r>
      <w:r w:rsidRPr="00E03546">
        <w:rPr>
          <w:rFonts w:ascii="Verdana" w:eastAsia="Calibri" w:hAnsi="Verdana" w:cs="Arial"/>
          <w:lang w:eastAsia="es-ES_tradnl"/>
        </w:rPr>
        <w:t>de 2025,</w:t>
      </w:r>
      <w:r>
        <w:rPr>
          <w:rFonts w:ascii="Verdana" w:eastAsia="Calibri" w:hAnsi="Verdana" w:cs="Arial"/>
          <w:lang w:eastAsia="es-ES_tradnl"/>
        </w:rPr>
        <w:t xml:space="preserve"> respectivamente, </w:t>
      </w:r>
      <w:r w:rsidRPr="00E03546">
        <w:rPr>
          <w:rFonts w:ascii="Verdana" w:eastAsia="Calibri" w:hAnsi="Verdana" w:cs="Arial"/>
          <w:lang w:eastAsia="es-ES_tradnl"/>
        </w:rPr>
        <w:t xml:space="preserve">en la cual consulta lo siguiente: </w:t>
      </w:r>
    </w:p>
    <w:p w14:paraId="3E43F20D" w14:textId="38DB50C0" w:rsidR="00E76ED5" w:rsidRPr="00DE093F" w:rsidRDefault="00E76ED5" w:rsidP="003B40E8">
      <w:pPr>
        <w:spacing w:after="120" w:line="276" w:lineRule="auto"/>
        <w:ind w:left="709" w:right="709"/>
        <w:jc w:val="both"/>
        <w:rPr>
          <w:rFonts w:ascii="Verdana" w:eastAsia="Times New Roman" w:hAnsi="Verdana" w:cs="Arial"/>
          <w:sz w:val="20"/>
          <w:szCs w:val="20"/>
          <w:lang w:eastAsia="es-ES_tradnl"/>
        </w:rPr>
      </w:pPr>
      <w:r w:rsidRPr="00DE093F">
        <w:rPr>
          <w:rFonts w:ascii="Verdana" w:eastAsia="Times New Roman" w:hAnsi="Verdana" w:cs="Arial"/>
          <w:sz w:val="20"/>
          <w:szCs w:val="20"/>
          <w:lang w:eastAsia="es-ES_tradnl"/>
        </w:rPr>
        <w:t xml:space="preserve">“[…] </w:t>
      </w:r>
      <w:r w:rsidRPr="00DE093F">
        <w:rPr>
          <w:rFonts w:ascii="Verdana" w:eastAsia="Times New Roman" w:hAnsi="Verdana" w:cs="Arial"/>
          <w:i/>
          <w:sz w:val="20"/>
          <w:szCs w:val="20"/>
          <w:lang w:eastAsia="es-ES_tradnl"/>
        </w:rPr>
        <w:t xml:space="preserve">¿La entidad estatal puede hacer efectiva una póliza, cuya vigencia de amparo de cumplimiento expiró durante un procedimiento administrativo sancionatorio, ya que el contrato no se ha liquidado o es posible hacerla efectiva en razón a que cuando se inició dicho proceso estaba </w:t>
      </w:r>
      <w:proofErr w:type="gramStart"/>
      <w:r w:rsidRPr="00DE093F">
        <w:rPr>
          <w:rFonts w:ascii="Verdana" w:eastAsia="Times New Roman" w:hAnsi="Verdana" w:cs="Arial"/>
          <w:i/>
          <w:sz w:val="20"/>
          <w:szCs w:val="20"/>
          <w:lang w:eastAsia="es-ES_tradnl"/>
        </w:rPr>
        <w:t>vigente?.</w:t>
      </w:r>
      <w:proofErr w:type="gramEnd"/>
      <w:r w:rsidRPr="00DE093F">
        <w:rPr>
          <w:rFonts w:ascii="Verdana" w:eastAsia="Times New Roman" w:hAnsi="Verdana" w:cs="Arial"/>
          <w:sz w:val="20"/>
          <w:szCs w:val="20"/>
          <w:lang w:eastAsia="es-ES_tradnl"/>
        </w:rPr>
        <w:t xml:space="preserve"> […]” (SIC).</w:t>
      </w:r>
    </w:p>
    <w:p w14:paraId="4FA9AA33" w14:textId="77777777" w:rsidR="00E76ED5" w:rsidRPr="00E03546" w:rsidRDefault="00E76ED5" w:rsidP="003B40E8">
      <w:pPr>
        <w:spacing w:after="120" w:line="276" w:lineRule="auto"/>
        <w:ind w:firstLine="709"/>
        <w:jc w:val="both"/>
        <w:rPr>
          <w:rFonts w:ascii="Verdana" w:eastAsia="Calibri" w:hAnsi="Verdana" w:cs="Arial"/>
          <w:color w:val="000000"/>
          <w:lang w:eastAsia="es-ES_tradnl"/>
        </w:rPr>
      </w:pPr>
      <w:r w:rsidRPr="00E0354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E03546">
        <w:rPr>
          <w:rFonts w:ascii="Verdana" w:eastAsia="Calibri" w:hAnsi="Verdana" w:cs="Arial"/>
          <w:color w:val="000000"/>
          <w:lang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ni para definir la modalidad de selección o la tipología del negocio jurídico que pretendan adelantar las entidades estatales en su actividad contractual.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03546">
        <w:rPr>
          <w:rFonts w:ascii="Verdana" w:eastAsia="Calibri" w:hAnsi="Verdana" w:cs="Arial"/>
          <w:color w:val="000000"/>
          <w:lang w:eastAsia="es-ES_tradnl"/>
        </w:rPr>
        <w:tab/>
      </w:r>
    </w:p>
    <w:p w14:paraId="3AF33953" w14:textId="77777777" w:rsidR="00E76ED5" w:rsidRPr="00E03546" w:rsidRDefault="00E76ED5" w:rsidP="003B40E8">
      <w:pPr>
        <w:spacing w:after="120" w:line="276" w:lineRule="auto"/>
        <w:ind w:firstLine="709"/>
        <w:jc w:val="both"/>
        <w:rPr>
          <w:rFonts w:ascii="Verdana" w:eastAsia="Calibri" w:hAnsi="Verdana" w:cs="Arial"/>
          <w:lang w:eastAsia="es-ES"/>
        </w:rPr>
      </w:pPr>
      <w:r w:rsidRPr="00E03546">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exponiendo algunas consideraciones sobre las normas generales relacionadas con el problema jurídico de su consulta. </w:t>
      </w:r>
    </w:p>
    <w:p w14:paraId="1FEAF3FB" w14:textId="77777777" w:rsidR="00E76ED5" w:rsidRPr="00E03546" w:rsidRDefault="00E76ED5" w:rsidP="00E76ED5">
      <w:pPr>
        <w:spacing w:after="0" w:line="276" w:lineRule="auto"/>
        <w:ind w:firstLine="709"/>
        <w:jc w:val="both"/>
        <w:rPr>
          <w:rFonts w:ascii="Verdana" w:eastAsia="Times New Roman" w:hAnsi="Verdana" w:cs="Arial"/>
          <w:lang w:eastAsia="es-ES_tradnl"/>
        </w:rPr>
      </w:pPr>
    </w:p>
    <w:p w14:paraId="139E9AF6" w14:textId="77777777" w:rsidR="00E76ED5" w:rsidRPr="00E03546" w:rsidRDefault="00E76ED5" w:rsidP="00E76ED5">
      <w:pPr>
        <w:tabs>
          <w:tab w:val="left" w:pos="0"/>
          <w:tab w:val="left" w:pos="284"/>
        </w:tabs>
        <w:spacing w:after="0" w:line="276" w:lineRule="auto"/>
        <w:contextualSpacing/>
        <w:jc w:val="both"/>
        <w:rPr>
          <w:rFonts w:ascii="Verdana" w:eastAsia="Calibri" w:hAnsi="Verdana" w:cs="Arial"/>
          <w:b/>
        </w:rPr>
      </w:pPr>
      <w:r w:rsidRPr="00E03546">
        <w:rPr>
          <w:rFonts w:ascii="Verdana" w:eastAsia="Calibri" w:hAnsi="Verdana" w:cs="Arial"/>
          <w:b/>
        </w:rPr>
        <w:t>1. Problema planteado:</w:t>
      </w:r>
    </w:p>
    <w:p w14:paraId="46AB7A60" w14:textId="77777777" w:rsidR="00E76ED5" w:rsidRPr="00E03546" w:rsidRDefault="00E76ED5" w:rsidP="00E76ED5">
      <w:pPr>
        <w:spacing w:after="0" w:line="276" w:lineRule="auto"/>
        <w:jc w:val="both"/>
        <w:rPr>
          <w:rFonts w:ascii="Verdana" w:eastAsia="Century Gothic" w:hAnsi="Verdana" w:cs="Century Gothic"/>
        </w:rPr>
      </w:pPr>
    </w:p>
    <w:p w14:paraId="3B8298C1" w14:textId="5407F0B8" w:rsidR="00E76ED5" w:rsidRPr="00126A32" w:rsidRDefault="00E76ED5" w:rsidP="00E76ED5">
      <w:pPr>
        <w:spacing w:after="0" w:line="276" w:lineRule="auto"/>
        <w:jc w:val="both"/>
        <w:rPr>
          <w:rFonts w:ascii="Verdana" w:eastAsia="Verdana" w:hAnsi="Verdana" w:cs="Verdana"/>
        </w:rPr>
      </w:pPr>
      <w:r w:rsidRPr="00E03546">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E03546">
        <w:rPr>
          <w:rFonts w:ascii="Verdana" w:eastAsia="Century Gothic" w:hAnsi="Verdana" w:cs="Century Gothic"/>
        </w:rPr>
        <w:t xml:space="preserve"> siguiente</w:t>
      </w:r>
      <w:r>
        <w:rPr>
          <w:rFonts w:ascii="Verdana" w:eastAsia="Century Gothic" w:hAnsi="Verdana" w:cs="Century Gothic"/>
        </w:rPr>
        <w:t xml:space="preserve">s </w:t>
      </w:r>
      <w:r w:rsidRPr="00E03546">
        <w:rPr>
          <w:rFonts w:ascii="Verdana" w:eastAsia="Century Gothic" w:hAnsi="Verdana" w:cs="Century Gothic"/>
        </w:rPr>
        <w:t>problema</w:t>
      </w:r>
      <w:r>
        <w:rPr>
          <w:rFonts w:ascii="Verdana" w:eastAsia="Century Gothic" w:hAnsi="Verdana" w:cs="Century Gothic"/>
        </w:rPr>
        <w:t>s</w:t>
      </w:r>
      <w:r w:rsidRPr="00E03546">
        <w:rPr>
          <w:rFonts w:ascii="Verdana" w:eastAsia="Century Gothic" w:hAnsi="Verdana" w:cs="Century Gothic"/>
        </w:rPr>
        <w:t xml:space="preserve"> jurídico</w:t>
      </w:r>
      <w:r>
        <w:rPr>
          <w:rFonts w:ascii="Verdana" w:eastAsia="Century Gothic" w:hAnsi="Verdana" w:cs="Century Gothic"/>
        </w:rPr>
        <w:t>s</w:t>
      </w:r>
      <w:r w:rsidRPr="00E03546">
        <w:rPr>
          <w:rFonts w:ascii="Verdana" w:eastAsia="Century Gothic" w:hAnsi="Verdana" w:cs="Century Gothic"/>
        </w:rPr>
        <w:t xml:space="preserve">: </w:t>
      </w:r>
      <w:r w:rsidRPr="00317E04">
        <w:rPr>
          <w:rFonts w:ascii="Verdana" w:eastAsia="Century Gothic" w:hAnsi="Verdana" w:cs="Century Gothic"/>
        </w:rPr>
        <w:t xml:space="preserve">i) </w:t>
      </w:r>
      <w:proofErr w:type="gramStart"/>
      <w:r w:rsidRPr="00317E04">
        <w:rPr>
          <w:rFonts w:ascii="Verdana" w:eastAsia="Verdana" w:hAnsi="Verdana" w:cs="Verdana"/>
          <w:lang w:val="es-ES"/>
        </w:rPr>
        <w:t>¿</w:t>
      </w:r>
      <w:r w:rsidRPr="00317E04">
        <w:rPr>
          <w:rFonts w:ascii="Verdana" w:eastAsia="Calibri" w:hAnsi="Verdana" w:cs="Arial"/>
        </w:rPr>
        <w:t>De acuerdo con el</w:t>
      </w:r>
      <w:r w:rsidRPr="00317E04">
        <w:rPr>
          <w:rFonts w:ascii="Verdana" w:eastAsia="Calibri" w:hAnsi="Verdana" w:cs="Arial"/>
          <w:spacing w:val="-5"/>
        </w:rPr>
        <w:t xml:space="preserve"> </w:t>
      </w:r>
      <w:r w:rsidRPr="00317E04">
        <w:rPr>
          <w:rFonts w:ascii="Verdana" w:eastAsia="Calibri" w:hAnsi="Verdana" w:cs="Arial"/>
        </w:rPr>
        <w:t>artículo</w:t>
      </w:r>
      <w:r w:rsidRPr="00317E04">
        <w:rPr>
          <w:rFonts w:ascii="Verdana" w:eastAsia="Calibri" w:hAnsi="Verdana" w:cs="Arial"/>
          <w:spacing w:val="-3"/>
        </w:rPr>
        <w:t xml:space="preserve"> </w:t>
      </w:r>
      <w:r w:rsidRPr="00317E04">
        <w:rPr>
          <w:rFonts w:ascii="Verdana" w:eastAsia="Calibri" w:hAnsi="Verdana" w:cs="Arial"/>
        </w:rPr>
        <w:t>2.</w:t>
      </w:r>
      <w:proofErr w:type="gramEnd"/>
      <w:r w:rsidRPr="00317E04">
        <w:rPr>
          <w:rFonts w:ascii="Verdana" w:eastAsia="Calibri" w:hAnsi="Verdana" w:cs="Arial"/>
        </w:rPr>
        <w:t>2.1.2.3.1.12 del</w:t>
      </w:r>
      <w:r w:rsidRPr="00317E04">
        <w:rPr>
          <w:rFonts w:ascii="Verdana" w:eastAsia="Calibri" w:hAnsi="Verdana" w:cs="Arial"/>
          <w:spacing w:val="-5"/>
        </w:rPr>
        <w:t xml:space="preserve"> </w:t>
      </w:r>
      <w:r w:rsidRPr="00317E04">
        <w:rPr>
          <w:rFonts w:ascii="Verdana" w:eastAsia="Calibri" w:hAnsi="Verdana" w:cs="Arial"/>
        </w:rPr>
        <w:t>Decreto</w:t>
      </w:r>
      <w:r w:rsidRPr="00317E04">
        <w:rPr>
          <w:rFonts w:ascii="Verdana" w:eastAsia="Calibri" w:hAnsi="Verdana" w:cs="Arial"/>
          <w:spacing w:val="-3"/>
        </w:rPr>
        <w:t xml:space="preserve"> </w:t>
      </w:r>
      <w:r w:rsidRPr="00317E04">
        <w:rPr>
          <w:rFonts w:ascii="Verdana" w:eastAsia="Calibri" w:hAnsi="Verdana" w:cs="Arial"/>
        </w:rPr>
        <w:t>1082</w:t>
      </w:r>
      <w:r w:rsidRPr="00317E04">
        <w:rPr>
          <w:rFonts w:ascii="Verdana" w:eastAsia="Calibri" w:hAnsi="Verdana" w:cs="Arial"/>
          <w:spacing w:val="-4"/>
        </w:rPr>
        <w:t xml:space="preserve"> </w:t>
      </w:r>
      <w:r w:rsidRPr="00317E04">
        <w:rPr>
          <w:rFonts w:ascii="Verdana" w:eastAsia="Calibri" w:hAnsi="Verdana" w:cs="Arial"/>
        </w:rPr>
        <w:t>de</w:t>
      </w:r>
      <w:r w:rsidRPr="00317E04">
        <w:rPr>
          <w:rFonts w:ascii="Verdana" w:eastAsia="Calibri" w:hAnsi="Verdana" w:cs="Arial"/>
          <w:spacing w:val="-5"/>
        </w:rPr>
        <w:t xml:space="preserve"> </w:t>
      </w:r>
      <w:r w:rsidRPr="00317E04">
        <w:rPr>
          <w:rFonts w:ascii="Verdana" w:eastAsia="Calibri" w:hAnsi="Verdana" w:cs="Arial"/>
        </w:rPr>
        <w:t>2015</w:t>
      </w:r>
      <w:r w:rsidRPr="00317E04">
        <w:rPr>
          <w:rFonts w:ascii="Verdana" w:eastAsia="Calibri" w:hAnsi="Verdana" w:cs="Arial"/>
          <w:spacing w:val="-4"/>
        </w:rPr>
        <w:t xml:space="preserve"> </w:t>
      </w:r>
      <w:r w:rsidRPr="00317E04">
        <w:rPr>
          <w:rFonts w:ascii="Verdana" w:eastAsia="Calibri" w:hAnsi="Verdana" w:cs="Arial"/>
        </w:rPr>
        <w:t>cual debe ser la vigencia mínima de la garantía de cumplimiento?</w:t>
      </w:r>
      <w:r w:rsidRPr="00317E04">
        <w:rPr>
          <w:rFonts w:ascii="Verdana" w:eastAsia="Century Gothic" w:hAnsi="Verdana" w:cs="Century Gothic"/>
        </w:rPr>
        <w:t xml:space="preserve"> </w:t>
      </w:r>
      <w:r w:rsidR="0041209D">
        <w:rPr>
          <w:rFonts w:ascii="Verdana" w:eastAsia="Century Gothic" w:hAnsi="Verdana" w:cs="Century Gothic"/>
        </w:rPr>
        <w:t xml:space="preserve">y </w:t>
      </w:r>
      <w:proofErr w:type="spellStart"/>
      <w:r w:rsidR="0041209D" w:rsidRPr="00317E04">
        <w:rPr>
          <w:rFonts w:ascii="Verdana" w:eastAsia="Century Gothic" w:hAnsi="Verdana" w:cs="Century Gothic"/>
        </w:rPr>
        <w:t>ii</w:t>
      </w:r>
      <w:proofErr w:type="spellEnd"/>
      <w:r w:rsidR="0041209D" w:rsidRPr="00317E04">
        <w:rPr>
          <w:rFonts w:ascii="Verdana" w:eastAsia="Century Gothic" w:hAnsi="Verdana" w:cs="Century Gothic"/>
        </w:rPr>
        <w:t>)</w:t>
      </w:r>
      <w:r w:rsidR="0041209D" w:rsidRPr="00D8432E">
        <w:rPr>
          <w:rFonts w:ascii="Verdana" w:eastAsia="Verdana" w:hAnsi="Verdana" w:cs="Verdana"/>
        </w:rPr>
        <w:t xml:space="preserve"> ¿</w:t>
      </w:r>
      <w:r w:rsidR="00D8432E" w:rsidRPr="00D8432E">
        <w:rPr>
          <w:rFonts w:ascii="Verdana" w:eastAsia="Verdana" w:hAnsi="Verdana" w:cs="Verdana"/>
        </w:rPr>
        <w:t xml:space="preserve">Es procedente declarar el siniestro de un contrato derivado de un incumplimiento y afectar la póliza </w:t>
      </w:r>
      <w:r w:rsidR="00404570" w:rsidRPr="00D8432E">
        <w:rPr>
          <w:rFonts w:ascii="Verdana" w:eastAsia="Verdana" w:hAnsi="Verdana" w:cs="Verdana"/>
        </w:rPr>
        <w:t>a pesar de que</w:t>
      </w:r>
      <w:r w:rsidR="00D8432E" w:rsidRPr="00D8432E">
        <w:rPr>
          <w:rFonts w:ascii="Verdana" w:eastAsia="Verdana" w:hAnsi="Verdana" w:cs="Verdana"/>
        </w:rPr>
        <w:t xml:space="preserve"> la cobertura del amparo de cumplimiento ya culminó?</w:t>
      </w:r>
    </w:p>
    <w:p w14:paraId="1C2B02D3" w14:textId="77777777" w:rsidR="00E76ED5" w:rsidRPr="00E03546" w:rsidRDefault="00E76ED5" w:rsidP="00E76ED5">
      <w:pPr>
        <w:spacing w:after="0" w:line="276" w:lineRule="auto"/>
        <w:jc w:val="both"/>
        <w:rPr>
          <w:rFonts w:ascii="Verdana" w:eastAsia="Century Gothic" w:hAnsi="Verdana" w:cs="Century Gothic"/>
          <w:color w:val="7030A0"/>
        </w:rPr>
      </w:pPr>
    </w:p>
    <w:p w14:paraId="391822E8" w14:textId="77777777" w:rsidR="00E76ED5" w:rsidRDefault="00E76ED5" w:rsidP="00E76ED5">
      <w:pPr>
        <w:tabs>
          <w:tab w:val="left" w:pos="0"/>
          <w:tab w:val="left" w:pos="284"/>
        </w:tabs>
        <w:spacing w:after="0" w:line="276" w:lineRule="auto"/>
        <w:contextualSpacing/>
        <w:jc w:val="both"/>
        <w:rPr>
          <w:rFonts w:ascii="Verdana" w:eastAsia="Calibri" w:hAnsi="Verdana" w:cs="Arial"/>
          <w:b/>
        </w:rPr>
      </w:pPr>
      <w:r w:rsidRPr="00E03546">
        <w:rPr>
          <w:rFonts w:ascii="Verdana" w:eastAsia="Calibri" w:hAnsi="Verdana" w:cs="Arial"/>
          <w:b/>
        </w:rPr>
        <w:t>2. Respuesta:</w:t>
      </w:r>
    </w:p>
    <w:p w14:paraId="78A4D838" w14:textId="77777777" w:rsidR="005176C9" w:rsidRDefault="005176C9" w:rsidP="005176C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176C9" w:rsidRPr="00DE5508" w14:paraId="6AEDE586" w14:textId="77777777" w:rsidTr="00550364">
        <w:tc>
          <w:tcPr>
            <w:tcW w:w="8828" w:type="dxa"/>
            <w:tcBorders>
              <w:top w:val="dotted" w:sz="4" w:space="0" w:color="auto"/>
              <w:left w:val="dotted" w:sz="4" w:space="0" w:color="auto"/>
              <w:bottom w:val="dotted" w:sz="4" w:space="0" w:color="auto"/>
              <w:right w:val="dotted" w:sz="4" w:space="0" w:color="auto"/>
            </w:tcBorders>
          </w:tcPr>
          <w:p w14:paraId="38E3AA88" w14:textId="77777777" w:rsidR="005176C9" w:rsidRPr="00E03546" w:rsidRDefault="005176C9" w:rsidP="003A5748">
            <w:pPr>
              <w:spacing w:after="120" w:line="276" w:lineRule="auto"/>
              <w:jc w:val="both"/>
              <w:rPr>
                <w:rFonts w:ascii="Verdana" w:eastAsia="Calibri" w:hAnsi="Verdana" w:cs="Arial"/>
              </w:rPr>
            </w:pPr>
            <w:r>
              <w:rPr>
                <w:rFonts w:ascii="Verdana" w:eastAsia="Calibri" w:hAnsi="Verdana" w:cs="Arial"/>
              </w:rPr>
              <w:t xml:space="preserve">i) </w:t>
            </w:r>
            <w:r w:rsidRPr="00E03546">
              <w:rPr>
                <w:rFonts w:ascii="Verdana" w:eastAsia="Calibri" w:hAnsi="Verdana" w:cs="Arial"/>
              </w:rPr>
              <w:t>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sidRPr="00E03546">
              <w:rPr>
                <w:rFonts w:ascii="Verdana" w:eastAsia="Calibri" w:hAnsi="Verdana" w:cs="Arial"/>
                <w:spacing w:val="-4"/>
              </w:rPr>
              <w:t xml:space="preserve"> </w:t>
            </w:r>
            <w:r w:rsidRPr="00E03546">
              <w:rPr>
                <w:rFonts w:ascii="Verdana" w:eastAsia="Calibri" w:hAnsi="Verdana" w:cs="Arial"/>
              </w:rPr>
              <w:t>regula</w:t>
            </w:r>
            <w:r w:rsidRPr="00E03546">
              <w:rPr>
                <w:rFonts w:ascii="Verdana" w:eastAsia="Calibri" w:hAnsi="Verdana" w:cs="Arial"/>
                <w:spacing w:val="-4"/>
              </w:rPr>
              <w:t xml:space="preserve"> </w:t>
            </w:r>
            <w:r w:rsidRPr="00E03546">
              <w:rPr>
                <w:rFonts w:ascii="Verdana" w:eastAsia="Calibri" w:hAnsi="Verdana" w:cs="Arial"/>
              </w:rPr>
              <w:t>la</w:t>
            </w:r>
            <w:r w:rsidRPr="00E03546">
              <w:rPr>
                <w:rFonts w:ascii="Verdana" w:eastAsia="Calibri" w:hAnsi="Verdana" w:cs="Arial"/>
                <w:spacing w:val="-5"/>
              </w:rPr>
              <w:t xml:space="preserve"> </w:t>
            </w:r>
            <w:r w:rsidRPr="00E03546">
              <w:rPr>
                <w:rFonts w:ascii="Verdana" w:eastAsia="Calibri" w:hAnsi="Verdana" w:cs="Arial"/>
              </w:rPr>
              <w:t>suficiencia</w:t>
            </w:r>
            <w:r w:rsidRPr="00E03546">
              <w:rPr>
                <w:rFonts w:ascii="Verdana" w:eastAsia="Calibri" w:hAnsi="Verdana" w:cs="Arial"/>
                <w:spacing w:val="-2"/>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 xml:space="preserve">la garantía de cumplimiento. Esta debe tener una vigencia mínima hasta la liquidación y, por regla general un valor de por lo menos el diez por ciento (10%) del total del contrato, siempre que este sea inferior a un millón (1.000.000) de </w:t>
            </w:r>
            <w:proofErr w:type="spellStart"/>
            <w:r w:rsidRPr="00E03546">
              <w:rPr>
                <w:rFonts w:ascii="Verdana" w:eastAsia="Calibri" w:hAnsi="Verdana" w:cs="Arial"/>
              </w:rPr>
              <w:t>smmlv</w:t>
            </w:r>
            <w:proofErr w:type="spellEnd"/>
            <w:r w:rsidRPr="00E03546">
              <w:rPr>
                <w:rFonts w:ascii="Verdana" w:eastAsia="Calibri" w:hAnsi="Verdana" w:cs="Arial"/>
              </w:rPr>
              <w:t xml:space="preserve">. Conforme la norma citada, el amparo cubre tanto el </w:t>
            </w:r>
            <w:r w:rsidRPr="00E03546">
              <w:rPr>
                <w:rFonts w:ascii="Verdana" w:eastAsia="Calibri" w:hAnsi="Verdana" w:cs="Arial"/>
                <w:i/>
              </w:rPr>
              <w:t xml:space="preserve">plazo de ejecución </w:t>
            </w:r>
            <w:r w:rsidRPr="00E03546">
              <w:rPr>
                <w:rFonts w:ascii="Verdana" w:eastAsia="Calibri" w:hAnsi="Verdana" w:cs="Arial"/>
              </w:rPr>
              <w:t xml:space="preserve">como el </w:t>
            </w:r>
            <w:r w:rsidRPr="00E03546">
              <w:rPr>
                <w:rFonts w:ascii="Verdana" w:eastAsia="Calibri" w:hAnsi="Verdana" w:cs="Arial"/>
                <w:i/>
              </w:rPr>
              <w:t xml:space="preserve">plazo de vigencia </w:t>
            </w:r>
            <w:r w:rsidRPr="00E03546">
              <w:rPr>
                <w:rFonts w:ascii="Verdana" w:eastAsia="Calibri" w:hAnsi="Verdana" w:cs="Arial"/>
              </w:rPr>
              <w:t>del contrato.</w:t>
            </w:r>
          </w:p>
          <w:p w14:paraId="55A399C9" w14:textId="37149A69" w:rsidR="00A34A9D" w:rsidRDefault="005176C9" w:rsidP="00A34A9D">
            <w:pPr>
              <w:spacing w:after="120" w:line="276" w:lineRule="auto"/>
              <w:ind w:firstLine="709"/>
              <w:jc w:val="both"/>
              <w:rPr>
                <w:rFonts w:ascii="Verdana" w:eastAsia="Times New Roman" w:hAnsi="Verdana" w:cs="Arial"/>
                <w:color w:val="000000"/>
                <w:lang w:eastAsia="es-CO"/>
              </w:rPr>
            </w:pPr>
            <w:r w:rsidRPr="00E03546">
              <w:rPr>
                <w:rFonts w:ascii="Verdana" w:eastAsia="Calibri" w:hAnsi="Verdana" w:cs="Arial"/>
              </w:rPr>
              <w:t>Así,</w:t>
            </w:r>
            <w:r w:rsidRPr="00E03546">
              <w:rPr>
                <w:rFonts w:ascii="Verdana" w:eastAsia="Calibri" w:hAnsi="Verdana" w:cs="Arial"/>
                <w:spacing w:val="-5"/>
              </w:rPr>
              <w:t xml:space="preserve"> </w:t>
            </w:r>
            <w:r w:rsidRPr="00E03546">
              <w:rPr>
                <w:rFonts w:ascii="Verdana" w:eastAsia="Calibri" w:hAnsi="Verdana" w:cs="Arial"/>
              </w:rPr>
              <w:t>la</w:t>
            </w:r>
            <w:r w:rsidRPr="00E03546">
              <w:rPr>
                <w:rFonts w:ascii="Verdana" w:eastAsia="Calibri" w:hAnsi="Verdana" w:cs="Arial"/>
                <w:spacing w:val="-6"/>
              </w:rPr>
              <w:t xml:space="preserve"> </w:t>
            </w:r>
            <w:r w:rsidRPr="00E03546">
              <w:rPr>
                <w:rFonts w:ascii="Verdana" w:eastAsia="Calibri" w:hAnsi="Verdana" w:cs="Arial"/>
              </w:rPr>
              <w:t>cobertura</w:t>
            </w:r>
            <w:r w:rsidRPr="00E03546">
              <w:rPr>
                <w:rFonts w:ascii="Verdana" w:eastAsia="Calibri" w:hAnsi="Verdana" w:cs="Arial"/>
                <w:spacing w:val="-4"/>
              </w:rPr>
              <w:t xml:space="preserve"> </w:t>
            </w:r>
            <w:r w:rsidRPr="00E03546">
              <w:rPr>
                <w:rFonts w:ascii="Verdana" w:eastAsia="Calibri" w:hAnsi="Verdana" w:cs="Arial"/>
              </w:rPr>
              <w:t>mínima</w:t>
            </w:r>
            <w:r w:rsidRPr="00E03546">
              <w:rPr>
                <w:rFonts w:ascii="Verdana" w:eastAsia="Calibri" w:hAnsi="Verdana" w:cs="Arial"/>
                <w:spacing w:val="-5"/>
              </w:rPr>
              <w:t xml:space="preserve"> </w:t>
            </w:r>
            <w:r w:rsidRPr="00E03546">
              <w:rPr>
                <w:rFonts w:ascii="Verdana" w:eastAsia="Calibri" w:hAnsi="Verdana" w:cs="Arial"/>
              </w:rPr>
              <w:t>del</w:t>
            </w:r>
            <w:r w:rsidRPr="00E03546">
              <w:rPr>
                <w:rFonts w:ascii="Verdana" w:eastAsia="Calibri" w:hAnsi="Verdana" w:cs="Arial"/>
                <w:spacing w:val="-6"/>
              </w:rPr>
              <w:t xml:space="preserve"> </w:t>
            </w:r>
            <w:r w:rsidRPr="00E03546">
              <w:rPr>
                <w:rFonts w:ascii="Verdana" w:eastAsia="Calibri" w:hAnsi="Verdana" w:cs="Arial"/>
              </w:rPr>
              <w:t>amparo</w:t>
            </w:r>
            <w:r w:rsidRPr="00E03546">
              <w:rPr>
                <w:rFonts w:ascii="Verdana" w:eastAsia="Calibri" w:hAnsi="Verdana" w:cs="Arial"/>
                <w:spacing w:val="-5"/>
              </w:rPr>
              <w:t xml:space="preserve"> </w:t>
            </w:r>
            <w:r w:rsidRPr="00E03546">
              <w:rPr>
                <w:rFonts w:ascii="Verdana" w:eastAsia="Calibri" w:hAnsi="Verdana" w:cs="Arial"/>
              </w:rPr>
              <w:t>de</w:t>
            </w:r>
            <w:r w:rsidRPr="00E03546">
              <w:rPr>
                <w:rFonts w:ascii="Verdana" w:eastAsia="Calibri" w:hAnsi="Verdana" w:cs="Arial"/>
                <w:spacing w:val="-6"/>
              </w:rPr>
              <w:t xml:space="preserve"> </w:t>
            </w:r>
            <w:r w:rsidRPr="00E03546">
              <w:rPr>
                <w:rFonts w:ascii="Verdana" w:eastAsia="Calibri" w:hAnsi="Verdana" w:cs="Arial"/>
              </w:rPr>
              <w:t>cumplimiento</w:t>
            </w:r>
            <w:r w:rsidRPr="00E03546">
              <w:rPr>
                <w:rFonts w:ascii="Verdana" w:eastAsia="Calibri" w:hAnsi="Verdana" w:cs="Arial"/>
                <w:spacing w:val="-2"/>
              </w:rPr>
              <w:t xml:space="preserve"> </w:t>
            </w:r>
            <w:r w:rsidRPr="00E03546">
              <w:rPr>
                <w:rFonts w:ascii="Verdana" w:eastAsia="Calibri" w:hAnsi="Verdana" w:cs="Arial"/>
              </w:rPr>
              <w:t>cubre</w:t>
            </w:r>
            <w:r w:rsidRPr="00E03546">
              <w:rPr>
                <w:rFonts w:ascii="Verdana" w:eastAsia="Calibri" w:hAnsi="Verdana" w:cs="Arial"/>
                <w:spacing w:val="-5"/>
              </w:rPr>
              <w:t xml:space="preserve"> </w:t>
            </w:r>
            <w:r w:rsidRPr="00E03546">
              <w:rPr>
                <w:rFonts w:ascii="Verdana" w:eastAsia="Calibri" w:hAnsi="Verdana" w:cs="Arial"/>
              </w:rPr>
              <w:t>el</w:t>
            </w:r>
            <w:r w:rsidRPr="00E03546">
              <w:rPr>
                <w:rFonts w:ascii="Verdana" w:eastAsia="Calibri" w:hAnsi="Verdana" w:cs="Arial"/>
                <w:spacing w:val="-6"/>
              </w:rPr>
              <w:t xml:space="preserve"> </w:t>
            </w:r>
            <w:r w:rsidRPr="00E03546">
              <w:rPr>
                <w:rFonts w:ascii="Verdana" w:eastAsia="Calibri" w:hAnsi="Verdana" w:cs="Arial"/>
                <w:i/>
              </w:rPr>
              <w:t>plazo</w:t>
            </w:r>
            <w:r w:rsidRPr="00E03546">
              <w:rPr>
                <w:rFonts w:ascii="Verdana" w:eastAsia="Calibri" w:hAnsi="Verdana" w:cs="Arial"/>
                <w:i/>
                <w:spacing w:val="-5"/>
              </w:rPr>
              <w:t xml:space="preserve"> </w:t>
            </w:r>
            <w:r w:rsidRPr="00E03546">
              <w:rPr>
                <w:rFonts w:ascii="Verdana" w:eastAsia="Calibri" w:hAnsi="Verdana" w:cs="Arial"/>
                <w:i/>
              </w:rPr>
              <w:t>de ejecución</w:t>
            </w:r>
            <w:r w:rsidRPr="00E03546">
              <w:rPr>
                <w:rFonts w:ascii="Verdana" w:eastAsia="Calibri" w:hAnsi="Verdana" w:cs="Arial"/>
                <w:i/>
                <w:spacing w:val="-5"/>
              </w:rPr>
              <w:t xml:space="preserve"> </w:t>
            </w:r>
            <w:r w:rsidRPr="00E03546">
              <w:rPr>
                <w:rFonts w:ascii="Verdana" w:eastAsia="Calibri" w:hAnsi="Verdana" w:cs="Arial"/>
              </w:rPr>
              <w:t>y</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i/>
              </w:rPr>
              <w:t>plazo</w:t>
            </w:r>
            <w:r w:rsidRPr="00E03546">
              <w:rPr>
                <w:rFonts w:ascii="Verdana" w:eastAsia="Calibri" w:hAnsi="Verdana" w:cs="Arial"/>
                <w:i/>
                <w:spacing w:val="-7"/>
              </w:rPr>
              <w:t xml:space="preserve"> </w:t>
            </w:r>
            <w:r w:rsidRPr="00E03546">
              <w:rPr>
                <w:rFonts w:ascii="Verdana" w:eastAsia="Calibri" w:hAnsi="Verdana" w:cs="Arial"/>
                <w:i/>
              </w:rPr>
              <w:t>de</w:t>
            </w:r>
            <w:r w:rsidRPr="00E03546">
              <w:rPr>
                <w:rFonts w:ascii="Verdana" w:eastAsia="Calibri" w:hAnsi="Verdana" w:cs="Arial"/>
                <w:i/>
                <w:spacing w:val="-8"/>
              </w:rPr>
              <w:t xml:space="preserve"> </w:t>
            </w:r>
            <w:r w:rsidRPr="00E03546">
              <w:rPr>
                <w:rFonts w:ascii="Verdana" w:eastAsia="Calibri" w:hAnsi="Verdana" w:cs="Arial"/>
                <w:i/>
              </w:rPr>
              <w:t>vigencia</w:t>
            </w:r>
            <w:r w:rsidRPr="00E03546">
              <w:rPr>
                <w:rFonts w:ascii="Verdana" w:eastAsia="Calibri" w:hAnsi="Verdana" w:cs="Arial"/>
              </w:rPr>
              <w:t>,</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rPr>
              <w:t>cual</w:t>
            </w:r>
            <w:r w:rsidRPr="00E03546">
              <w:rPr>
                <w:rFonts w:ascii="Verdana" w:eastAsia="Calibri" w:hAnsi="Verdana" w:cs="Arial"/>
                <w:spacing w:val="-7"/>
              </w:rPr>
              <w:t xml:space="preserve"> </w:t>
            </w:r>
            <w:r w:rsidRPr="00E03546">
              <w:rPr>
                <w:rFonts w:ascii="Verdana" w:eastAsia="Calibri" w:hAnsi="Verdana" w:cs="Arial"/>
              </w:rPr>
              <w:t>finaliza</w:t>
            </w:r>
            <w:r w:rsidRPr="00E03546">
              <w:rPr>
                <w:rFonts w:ascii="Verdana" w:eastAsia="Calibri" w:hAnsi="Verdana" w:cs="Arial"/>
                <w:spacing w:val="-6"/>
              </w:rPr>
              <w:t xml:space="preserve"> </w:t>
            </w:r>
            <w:r w:rsidRPr="00E03546">
              <w:rPr>
                <w:rFonts w:ascii="Verdana" w:eastAsia="Calibri" w:hAnsi="Verdana" w:cs="Arial"/>
              </w:rPr>
              <w:t>con</w:t>
            </w:r>
            <w:r w:rsidRPr="00E03546">
              <w:rPr>
                <w:rFonts w:ascii="Verdana" w:eastAsia="Calibri" w:hAnsi="Verdana" w:cs="Arial"/>
                <w:spacing w:val="-8"/>
              </w:rPr>
              <w:t xml:space="preserve"> </w:t>
            </w:r>
            <w:r w:rsidRPr="00E03546">
              <w:rPr>
                <w:rFonts w:ascii="Verdana" w:eastAsia="Calibri" w:hAnsi="Verdana" w:cs="Arial"/>
              </w:rPr>
              <w:t>la</w:t>
            </w:r>
            <w:r w:rsidRPr="00E03546">
              <w:rPr>
                <w:rFonts w:ascii="Verdana" w:eastAsia="Calibri" w:hAnsi="Verdana" w:cs="Arial"/>
                <w:spacing w:val="-8"/>
              </w:rPr>
              <w:t xml:space="preserve"> </w:t>
            </w:r>
            <w:r w:rsidRPr="00E03546">
              <w:rPr>
                <w:rFonts w:ascii="Verdana" w:eastAsia="Calibri" w:hAnsi="Verdana" w:cs="Arial"/>
              </w:rPr>
              <w:t>liquidación.</w:t>
            </w:r>
            <w:r w:rsidRPr="00E03546">
              <w:rPr>
                <w:rFonts w:ascii="Verdana" w:eastAsia="Calibri" w:hAnsi="Verdana" w:cs="Arial"/>
                <w:spacing w:val="-5"/>
              </w:rPr>
              <w:t xml:space="preserve"> </w:t>
            </w:r>
            <w:r w:rsidRPr="00E03546">
              <w:rPr>
                <w:rFonts w:ascii="Verdana" w:eastAsia="Calibri" w:hAnsi="Verdana" w:cs="Arial"/>
              </w:rPr>
              <w:t>En</w:t>
            </w:r>
            <w:r w:rsidRPr="00E03546">
              <w:rPr>
                <w:rFonts w:ascii="Verdana" w:eastAsia="Calibri" w:hAnsi="Verdana" w:cs="Arial"/>
                <w:spacing w:val="-8"/>
              </w:rPr>
              <w:t xml:space="preserve"> </w:t>
            </w:r>
            <w:r w:rsidRPr="00E03546">
              <w:rPr>
                <w:rFonts w:ascii="Verdana" w:eastAsia="Calibri" w:hAnsi="Verdana" w:cs="Arial"/>
              </w:rPr>
              <w:t xml:space="preserve">palabras </w:t>
            </w:r>
            <w:r w:rsidRPr="00E03546">
              <w:rPr>
                <w:rFonts w:ascii="Verdana" w:eastAsia="Calibri" w:hAnsi="Verdana" w:cs="Arial"/>
              </w:rPr>
              <w:lastRenderedPageBreak/>
              <w:t>de la doctrina, “[…] el contratista deberá otorgarla con una vigencia igual al plazo</w:t>
            </w:r>
            <w:r w:rsidRPr="00E03546">
              <w:rPr>
                <w:rFonts w:ascii="Verdana" w:eastAsia="Calibri" w:hAnsi="Verdana" w:cs="Arial"/>
                <w:spacing w:val="63"/>
              </w:rPr>
              <w:t xml:space="preserve"> </w:t>
            </w:r>
            <w:r w:rsidRPr="00E03546">
              <w:rPr>
                <w:rFonts w:ascii="Verdana" w:eastAsia="Calibri" w:hAnsi="Verdana" w:cs="Arial"/>
              </w:rPr>
              <w:t>del</w:t>
            </w:r>
            <w:r w:rsidRPr="00E03546">
              <w:rPr>
                <w:rFonts w:ascii="Verdana" w:eastAsia="Calibri" w:hAnsi="Verdana" w:cs="Arial"/>
                <w:spacing w:val="62"/>
              </w:rPr>
              <w:t xml:space="preserve"> </w:t>
            </w:r>
            <w:r w:rsidRPr="00E03546">
              <w:rPr>
                <w:rFonts w:ascii="Verdana" w:eastAsia="Calibri" w:hAnsi="Verdana" w:cs="Arial"/>
              </w:rPr>
              <w:t>contrato</w:t>
            </w:r>
            <w:r w:rsidRPr="00E03546">
              <w:rPr>
                <w:rFonts w:ascii="Verdana" w:eastAsia="Calibri" w:hAnsi="Verdana" w:cs="Arial"/>
                <w:spacing w:val="64"/>
              </w:rPr>
              <w:t xml:space="preserve"> </w:t>
            </w:r>
            <w:r w:rsidRPr="00E03546">
              <w:rPr>
                <w:rFonts w:ascii="Verdana" w:eastAsia="Calibri" w:hAnsi="Verdana" w:cs="Arial"/>
              </w:rPr>
              <w:t>garantizado</w:t>
            </w:r>
            <w:r w:rsidRPr="00E03546">
              <w:rPr>
                <w:rFonts w:ascii="Verdana" w:eastAsia="Calibri" w:hAnsi="Verdana" w:cs="Arial"/>
                <w:spacing w:val="65"/>
              </w:rPr>
              <w:t xml:space="preserve"> </w:t>
            </w:r>
            <w:r w:rsidRPr="00E03546">
              <w:rPr>
                <w:rFonts w:ascii="Verdana" w:eastAsia="Calibri" w:hAnsi="Verdana" w:cs="Arial"/>
              </w:rPr>
              <w:t>más</w:t>
            </w:r>
            <w:r w:rsidRPr="00E03546">
              <w:rPr>
                <w:rFonts w:ascii="Verdana" w:eastAsia="Calibri" w:hAnsi="Verdana" w:cs="Arial"/>
                <w:spacing w:val="62"/>
              </w:rPr>
              <w:t xml:space="preserve"> </w:t>
            </w:r>
            <w:r w:rsidRPr="00E03546">
              <w:rPr>
                <w:rFonts w:ascii="Verdana" w:eastAsia="Calibri" w:hAnsi="Verdana" w:cs="Arial"/>
              </w:rPr>
              <w:t>el</w:t>
            </w:r>
            <w:r w:rsidRPr="00E03546">
              <w:rPr>
                <w:rFonts w:ascii="Verdana" w:eastAsia="Calibri" w:hAnsi="Verdana" w:cs="Arial"/>
                <w:spacing w:val="62"/>
              </w:rPr>
              <w:t xml:space="preserve"> </w:t>
            </w:r>
            <w:r w:rsidRPr="00E03546">
              <w:rPr>
                <w:rFonts w:ascii="Verdana" w:eastAsia="Calibri" w:hAnsi="Verdana" w:cs="Arial"/>
              </w:rPr>
              <w:t>plazo</w:t>
            </w:r>
            <w:r w:rsidRPr="00E03546">
              <w:rPr>
                <w:rFonts w:ascii="Verdana" w:eastAsia="Calibri" w:hAnsi="Verdana" w:cs="Arial"/>
                <w:spacing w:val="63"/>
              </w:rPr>
              <w:t xml:space="preserve"> </w:t>
            </w:r>
            <w:r w:rsidRPr="00E03546">
              <w:rPr>
                <w:rFonts w:ascii="Verdana" w:eastAsia="Calibri" w:hAnsi="Verdana" w:cs="Arial"/>
              </w:rPr>
              <w:t>contractual</w:t>
            </w:r>
            <w:r w:rsidRPr="00E03546">
              <w:rPr>
                <w:rFonts w:ascii="Verdana" w:eastAsia="Calibri" w:hAnsi="Verdana" w:cs="Arial"/>
                <w:spacing w:val="65"/>
              </w:rPr>
              <w:t xml:space="preserve"> </w:t>
            </w:r>
            <w:r w:rsidRPr="00E03546">
              <w:rPr>
                <w:rFonts w:ascii="Verdana" w:eastAsia="Calibri" w:hAnsi="Verdana" w:cs="Arial"/>
              </w:rPr>
              <w:t>previsto</w:t>
            </w:r>
            <w:r w:rsidRPr="00E03546">
              <w:rPr>
                <w:rFonts w:ascii="Verdana" w:eastAsia="Calibri" w:hAnsi="Verdana" w:cs="Arial"/>
                <w:spacing w:val="64"/>
              </w:rPr>
              <w:t xml:space="preserve"> </w:t>
            </w:r>
            <w:r w:rsidRPr="00E03546">
              <w:rPr>
                <w:rFonts w:ascii="Verdana" w:eastAsia="Calibri" w:hAnsi="Verdana" w:cs="Arial"/>
              </w:rPr>
              <w:t>para</w:t>
            </w:r>
            <w:r w:rsidRPr="00E03546">
              <w:rPr>
                <w:rFonts w:ascii="Verdana" w:eastAsia="Calibri" w:hAnsi="Verdana" w:cs="Arial"/>
                <w:spacing w:val="63"/>
              </w:rPr>
              <w:t xml:space="preserve"> </w:t>
            </w:r>
            <w:r w:rsidRPr="00E03546">
              <w:rPr>
                <w:rFonts w:ascii="Verdana" w:eastAsia="Calibri" w:hAnsi="Verdana" w:cs="Arial"/>
              </w:rPr>
              <w:t>la liquidación de aquel. En caso de no haberse convenido por las partes un término para la liquidación del contrato, la garantía deberá mantenerse vigente por el término legal previsto para este efecto […]</w:t>
            </w:r>
            <w:r w:rsidR="001454A4" w:rsidRPr="00E03546">
              <w:rPr>
                <w:rFonts w:ascii="Verdana" w:eastAsia="Calibri" w:hAnsi="Verdana" w:cs="Arial"/>
              </w:rPr>
              <w:t>”.</w:t>
            </w:r>
            <w:r w:rsidR="001454A4" w:rsidRPr="00E03546">
              <w:rPr>
                <w:rFonts w:ascii="Verdana" w:eastAsia="Times New Roman" w:hAnsi="Verdana" w:cs="Arial"/>
                <w:color w:val="000000"/>
                <w:lang w:eastAsia="es-CO"/>
              </w:rPr>
              <w:t xml:space="preserve"> Teniendo</w:t>
            </w:r>
            <w:r w:rsidR="00A34A9D" w:rsidRPr="00E03546">
              <w:rPr>
                <w:rFonts w:ascii="Verdana" w:eastAsia="Times New Roman" w:hAnsi="Verdana" w:cs="Arial"/>
                <w:color w:val="000000"/>
                <w:lang w:eastAsia="es-CO"/>
              </w:rPr>
              <w:t xml:space="preserve"> en cuenta lo anterior, corresponde analizar los plazos para liquidar los contratos estatales</w:t>
            </w:r>
            <w:r w:rsidR="00A34A9D">
              <w:rPr>
                <w:rFonts w:ascii="Verdana" w:eastAsia="Times New Roman" w:hAnsi="Verdana" w:cs="Arial"/>
                <w:color w:val="000000"/>
                <w:lang w:eastAsia="es-CO"/>
              </w:rPr>
              <w:t xml:space="preserve">. En ese sentido, si no se ha efectuado la liquidación del contrato, el contratista deberá ampliar la cobertura, so pena de incumplimiento. </w:t>
            </w:r>
          </w:p>
          <w:p w14:paraId="004F9D39" w14:textId="77777777" w:rsidR="00A34A9D" w:rsidRDefault="00A34A9D" w:rsidP="00A34A9D">
            <w:pPr>
              <w:spacing w:after="120" w:line="276" w:lineRule="auto"/>
              <w:ind w:firstLine="708"/>
              <w:jc w:val="both"/>
              <w:rPr>
                <w:rFonts w:ascii="Verdana" w:eastAsia="Times New Roman" w:hAnsi="Verdana" w:cs="Arial"/>
                <w:color w:val="000000"/>
                <w:lang w:eastAsia="es-CO"/>
              </w:rPr>
            </w:pPr>
            <w:r w:rsidRPr="00FB4811">
              <w:rPr>
                <w:rFonts w:ascii="Verdana" w:eastAsia="Times New Roman" w:hAnsi="Verdana" w:cs="Arial"/>
                <w:color w:val="000000"/>
                <w:lang w:eastAsia="es-CO"/>
              </w:rPr>
              <w:t>Asimismo, cuando se evidencie que el contratista no está cumpliendo con las obligaciones pactadas, la entidad puede acudir a las herramientas jurídicas establecidas en el artículo 86 de la Ley 1474 de 2011, que le permite declarar el incumplimiento, hacer efectivas las garantías y adoptar las acciones necesarias para proteger el patrimonio público. Una vez cumplido el objeto contractual y si las partes están a paz y salvo en todos los aspectos, debe procederse a la liquidación del contrato, conforme a lo establecido en el artículo 11 de la Ley 1150 de 2007, lo cual permite cerrar formalmente la relación contractual y delimitar las responsabilidades de las partes.</w:t>
            </w:r>
          </w:p>
          <w:p w14:paraId="111201BF" w14:textId="2716DE92" w:rsidR="005176C9" w:rsidRPr="00CC5100" w:rsidRDefault="00A34A9D" w:rsidP="00CC5100">
            <w:pPr>
              <w:spacing w:after="120" w:line="276" w:lineRule="auto"/>
              <w:ind w:firstLine="708"/>
              <w:jc w:val="both"/>
              <w:rPr>
                <w:rFonts w:ascii="Verdana" w:eastAsia="Times New Roman" w:hAnsi="Verdana" w:cs="Arial"/>
                <w:color w:val="000000"/>
                <w:lang w:eastAsia="es-CO"/>
              </w:rPr>
            </w:pPr>
            <w:r w:rsidRPr="00FB4811">
              <w:rPr>
                <w:rFonts w:ascii="Verdana" w:eastAsia="Times New Roman" w:hAnsi="Verdana" w:cs="Arial"/>
                <w:color w:val="000000"/>
                <w:lang w:eastAsia="es-CO"/>
              </w:rPr>
              <w:t xml:space="preserve">No obstante, es importante advertir que la vigencia de los amparos, especialmente el de cumplimiento, debe evaluarse cuidadosamente en cada caso concreto, dado que una garantía vencida podría dejar sin respaldo a la entidad ante eventuales incumplimientos posteriores. </w:t>
            </w:r>
          </w:p>
          <w:p w14:paraId="021B4FD3" w14:textId="025812F5" w:rsidR="005176C9" w:rsidRDefault="005176C9" w:rsidP="003A5748">
            <w:pPr>
              <w:spacing w:after="120" w:line="276" w:lineRule="auto"/>
              <w:ind w:firstLine="709"/>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w:t>
            </w:r>
            <w:r w:rsidR="003D4377">
              <w:rPr>
                <w:rFonts w:ascii="Verdana" w:eastAsia="Calibri" w:hAnsi="Verdana" w:cs="Arial"/>
              </w:rPr>
              <w:t xml:space="preserve"> </w:t>
            </w:r>
            <w:r w:rsidR="00553ADF">
              <w:rPr>
                <w:rFonts w:ascii="Verdana" w:eastAsia="Calibri" w:hAnsi="Verdana" w:cs="Arial"/>
              </w:rPr>
              <w:t>En el caso de que n</w:t>
            </w:r>
            <w:r w:rsidR="002F62CD">
              <w:rPr>
                <w:rFonts w:ascii="Verdana" w:eastAsia="Calibri" w:hAnsi="Verdana" w:cs="Arial"/>
              </w:rPr>
              <w:t xml:space="preserve">o se amplie la garantía de cumplimiento hasta el plazo de liquidación del contrato, </w:t>
            </w:r>
            <w:r w:rsidRPr="00082033">
              <w:rPr>
                <w:rFonts w:ascii="Verdana" w:eastAsia="Calibri" w:hAnsi="Verdana" w:cs="Arial"/>
              </w:rPr>
              <w:t>la entidad estatal pierde la protección que le brinda la garantía de cumplimiento</w:t>
            </w:r>
            <w:r w:rsidR="00B817F1">
              <w:rPr>
                <w:rFonts w:ascii="Verdana" w:eastAsia="Calibri" w:hAnsi="Verdana" w:cs="Arial"/>
              </w:rPr>
              <w:t xml:space="preserve"> para esta etapa</w:t>
            </w:r>
            <w:r w:rsidRPr="00082033">
              <w:rPr>
                <w:rFonts w:ascii="Verdana" w:eastAsia="Calibri" w:hAnsi="Verdana" w:cs="Arial"/>
              </w:rPr>
              <w:t>, y con ello se expone a que no se proteja el patrimonio público frente a un incumplimiento del contratista.</w:t>
            </w:r>
            <w:r w:rsidR="00B817F1">
              <w:rPr>
                <w:rFonts w:ascii="Verdana" w:eastAsia="Calibri" w:hAnsi="Verdana" w:cs="Arial"/>
              </w:rPr>
              <w:t xml:space="preserve"> </w:t>
            </w:r>
            <w:r w:rsidRPr="00082033">
              <w:rPr>
                <w:rFonts w:ascii="Verdana" w:eastAsia="Calibri" w:hAnsi="Verdana" w:cs="Arial"/>
              </w:rPr>
              <w:t>En este sentido, es indispensable que la vigencia de la garantía sea al menos hasta la liquidación contractual</w:t>
            </w:r>
            <w:r>
              <w:rPr>
                <w:rFonts w:ascii="Verdana" w:eastAsia="Calibri" w:hAnsi="Verdana" w:cs="Arial"/>
              </w:rPr>
              <w:t>, como se mencionó en el primer problema jurídico</w:t>
            </w:r>
            <w:r w:rsidR="00A1445E">
              <w:rPr>
                <w:rFonts w:ascii="Verdana" w:eastAsia="Calibri" w:hAnsi="Verdana" w:cs="Arial"/>
              </w:rPr>
              <w:t xml:space="preserve">. </w:t>
            </w:r>
            <w:r>
              <w:rPr>
                <w:rFonts w:ascii="Verdana" w:eastAsia="Calibri" w:hAnsi="Verdana" w:cs="Arial"/>
              </w:rPr>
              <w:t>Ahora bien, l</w:t>
            </w:r>
            <w:r w:rsidRPr="00B82EC3">
              <w:rPr>
                <w:rFonts w:ascii="Verdana" w:eastAsia="Calibri" w:hAnsi="Verdana" w:cs="Arial"/>
              </w:rPr>
              <w:t xml:space="preserve">a Entidad Estatal </w:t>
            </w:r>
            <w:r>
              <w:rPr>
                <w:rFonts w:ascii="Verdana" w:eastAsia="Calibri" w:hAnsi="Verdana" w:cs="Arial"/>
              </w:rPr>
              <w:t xml:space="preserve">deberá en aras de salvaguardar el principio de responsabilidad, en caso de </w:t>
            </w:r>
            <w:r w:rsidR="00A1445E">
              <w:rPr>
                <w:rFonts w:ascii="Verdana" w:eastAsia="Calibri" w:hAnsi="Verdana" w:cs="Arial"/>
              </w:rPr>
              <w:t xml:space="preserve">que no se constituya </w:t>
            </w:r>
            <w:r>
              <w:rPr>
                <w:rFonts w:ascii="Verdana" w:eastAsia="Calibri" w:hAnsi="Verdana" w:cs="Arial"/>
              </w:rPr>
              <w:t>garantía</w:t>
            </w:r>
            <w:r w:rsidR="00A1445E">
              <w:rPr>
                <w:rFonts w:ascii="Verdana" w:eastAsia="Calibri" w:hAnsi="Verdana" w:cs="Arial"/>
              </w:rPr>
              <w:t xml:space="preserve"> que cubra hasta la liquidación del contrato</w:t>
            </w:r>
            <w:r>
              <w:rPr>
                <w:rFonts w:ascii="Verdana" w:eastAsia="Calibri" w:hAnsi="Verdana" w:cs="Arial"/>
              </w:rPr>
              <w:t>,</w:t>
            </w:r>
            <w:r w:rsidR="00A1445E">
              <w:rPr>
                <w:rFonts w:ascii="Verdana" w:eastAsia="Calibri" w:hAnsi="Verdana" w:cs="Arial"/>
              </w:rPr>
              <w:t xml:space="preserve"> debe</w:t>
            </w:r>
            <w:r w:rsidRPr="00B82EC3">
              <w:rPr>
                <w:rFonts w:ascii="Verdana" w:eastAsia="Calibri" w:hAnsi="Verdana" w:cs="Arial"/>
              </w:rPr>
              <w:t xml:space="preserve"> exigir al contratista la extensión o ampliación, si es del caso, de la garantía del contrato para los amparos de cumplimiento, buen manejo e inversión del anticipo o pago anticipado y calidad del bien o servicio.</w:t>
            </w:r>
            <w:r w:rsidR="009F6FCD">
              <w:rPr>
                <w:rFonts w:ascii="Verdana" w:eastAsia="Calibri" w:hAnsi="Verdana" w:cs="Arial"/>
              </w:rPr>
              <w:t xml:space="preserve"> </w:t>
            </w:r>
            <w:r>
              <w:rPr>
                <w:rFonts w:ascii="Verdana" w:eastAsia="Calibri" w:hAnsi="Verdana" w:cs="Arial"/>
              </w:rPr>
              <w:t xml:space="preserve">Adicionalmente, si la entidad considera que no se está cumpliendo lo pactado en el contrato puede acudir a lo dispuesto en el artículo 86 de la Ley 1474 de 2011. </w:t>
            </w:r>
          </w:p>
          <w:p w14:paraId="28015355" w14:textId="4A3BEDA6" w:rsidR="00651CC5" w:rsidRDefault="00651CC5" w:rsidP="003A5748">
            <w:pPr>
              <w:spacing w:after="120" w:line="276" w:lineRule="auto"/>
              <w:ind w:firstLine="709"/>
              <w:jc w:val="both"/>
              <w:rPr>
                <w:rFonts w:ascii="Verdana" w:eastAsia="Times New Roman" w:hAnsi="Verdana" w:cs="Arial"/>
                <w:color w:val="000000"/>
                <w:lang w:eastAsia="es-CO"/>
              </w:rPr>
            </w:pPr>
            <w:r w:rsidRPr="0098414F">
              <w:rPr>
                <w:rFonts w:ascii="Verdana" w:eastAsia="Calibri" w:hAnsi="Verdana" w:cs="Arial"/>
                <w:color w:val="000000" w:themeColor="text1"/>
                <w:lang w:val="es-ES"/>
              </w:rPr>
              <w:lastRenderedPageBreak/>
              <w:t xml:space="preserve">En lo que respecta a la </w:t>
            </w:r>
            <w:r w:rsidRPr="0098414F">
              <w:rPr>
                <w:rFonts w:ascii="Verdana" w:eastAsia="Calibri" w:hAnsi="Verdana" w:cs="Arial"/>
                <w:i/>
                <w:iCs/>
                <w:color w:val="000000" w:themeColor="text1"/>
                <w:lang w:val="es-ES"/>
              </w:rPr>
              <w:t>competencia temporal</w:t>
            </w:r>
            <w:r>
              <w:rPr>
                <w:rFonts w:ascii="Verdana" w:eastAsia="Calibri" w:hAnsi="Verdana" w:cs="Arial"/>
                <w:i/>
                <w:iCs/>
                <w:color w:val="000000" w:themeColor="text1"/>
                <w:lang w:val="es-ES"/>
              </w:rPr>
              <w:t xml:space="preserve"> para declarar el</w:t>
            </w:r>
            <w:r w:rsidR="008E5CB3">
              <w:rPr>
                <w:rFonts w:ascii="Verdana" w:eastAsia="Calibri" w:hAnsi="Verdana" w:cs="Arial"/>
                <w:i/>
                <w:iCs/>
                <w:color w:val="000000" w:themeColor="text1"/>
                <w:lang w:val="es-ES"/>
              </w:rPr>
              <w:t xml:space="preserve"> </w:t>
            </w:r>
            <w:proofErr w:type="gramStart"/>
            <w:r w:rsidR="008E5CB3">
              <w:rPr>
                <w:rFonts w:ascii="Verdana" w:eastAsia="Calibri" w:hAnsi="Verdana" w:cs="Arial"/>
                <w:i/>
                <w:iCs/>
                <w:color w:val="000000" w:themeColor="text1"/>
                <w:lang w:val="es-ES"/>
              </w:rPr>
              <w:t>siniestro</w:t>
            </w:r>
            <w:r>
              <w:rPr>
                <w:rFonts w:ascii="Verdana" w:eastAsia="Calibri" w:hAnsi="Verdana" w:cs="Arial"/>
                <w:i/>
                <w:iCs/>
                <w:color w:val="000000" w:themeColor="text1"/>
                <w:lang w:val="es-ES"/>
              </w:rPr>
              <w:t xml:space="preserve"> </w:t>
            </w:r>
            <w:r w:rsidRPr="0098414F">
              <w:rPr>
                <w:rFonts w:ascii="Verdana" w:eastAsia="Calibri" w:hAnsi="Verdana" w:cs="Arial"/>
                <w:color w:val="000000" w:themeColor="text1"/>
                <w:lang w:val="es-ES"/>
              </w:rPr>
              <w:t>,</w:t>
            </w:r>
            <w:proofErr w:type="gramEnd"/>
            <w:r w:rsidRPr="0098414F">
              <w:rPr>
                <w:rFonts w:ascii="Verdana" w:eastAsia="Calibri" w:hAnsi="Verdana" w:cs="Arial"/>
                <w:color w:val="000000" w:themeColor="text1"/>
                <w:lang w:val="es-ES"/>
              </w:rPr>
              <w:t xml:space="preserve"> podría pensarse que tanto el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siniestro</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xml:space="preserve"> como la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declaratoria</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xml:space="preserve"> deben ocurrir dentro del mismo plazo. Sin embargo, esta impresión es equivocada, en la medida que el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siniestro</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entendido como la realización del riesgo asegurado, es el único que se debe dar dentro de dicha vigencia. Mientras tanto, el acto administrativo que declara su ocurrencia debe expedirse antes de la prescripción del contrato de seguro</w:t>
            </w:r>
            <w:r w:rsidRPr="0098414F">
              <w:rPr>
                <w:rStyle w:val="Refdenotaalpie"/>
                <w:rFonts w:ascii="Verdana" w:eastAsia="Calibri" w:hAnsi="Verdana" w:cs="Arial"/>
                <w:color w:val="000000" w:themeColor="text1"/>
                <w:lang w:val="es-ES"/>
              </w:rPr>
              <w:footnoteReference w:id="1"/>
            </w:r>
            <w:r w:rsidRPr="0098414F">
              <w:rPr>
                <w:rFonts w:ascii="Verdana" w:eastAsia="Calibri" w:hAnsi="Verdana" w:cs="Arial"/>
                <w:color w:val="000000" w:themeColor="text1"/>
                <w:lang w:val="es-ES"/>
              </w:rPr>
              <w:t xml:space="preserve">. Así las cosas, el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siniestro</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xml:space="preserve"> debe ocurrir durante la vigencia del seguro, aunque su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declaratoria</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xml:space="preserve"> se produzca después del vencimiento de la garantía.</w:t>
            </w:r>
          </w:p>
          <w:p w14:paraId="6CD2111D" w14:textId="223E0E37" w:rsidR="005176C9" w:rsidRDefault="00651CC5" w:rsidP="003A5748">
            <w:pPr>
              <w:spacing w:after="120" w:line="276" w:lineRule="auto"/>
              <w:ind w:firstLine="709"/>
              <w:jc w:val="both"/>
              <w:rPr>
                <w:rFonts w:ascii="Verdana" w:eastAsia="Calibri" w:hAnsi="Verdana" w:cs="Arial"/>
              </w:rPr>
            </w:pPr>
            <w:r>
              <w:rPr>
                <w:rFonts w:ascii="Verdana" w:eastAsia="Calibri" w:hAnsi="Verdana" w:cs="Arial"/>
              </w:rPr>
              <w:t>Finalmente</w:t>
            </w:r>
            <w:r w:rsidR="005176C9" w:rsidRPr="00E03546">
              <w:rPr>
                <w:rFonts w:ascii="Verdana" w:eastAsia="Calibri" w:hAnsi="Verdana" w:cs="Arial"/>
              </w:rPr>
              <w:t>,</w:t>
            </w:r>
            <w:r w:rsidR="005176C9">
              <w:rPr>
                <w:rFonts w:ascii="Verdana" w:eastAsia="Calibri" w:hAnsi="Verdana" w:cs="Arial"/>
              </w:rPr>
              <w:t xml:space="preserve"> es deber de</w:t>
            </w:r>
            <w:r w:rsidR="005176C9" w:rsidRPr="00E03546">
              <w:rPr>
                <w:rFonts w:ascii="Verdana" w:eastAsia="Calibri" w:hAnsi="Verdana" w:cs="Arial"/>
              </w:rPr>
              <w:t xml:space="preserve"> </w:t>
            </w:r>
            <w:r w:rsidR="005176C9" w:rsidRPr="00FB49A3">
              <w:rPr>
                <w:rFonts w:ascii="Verdana" w:eastAsia="Calibri" w:hAnsi="Verdana" w:cs="Arial"/>
              </w:rPr>
              <w:t xml:space="preserve">los interesados adoptará las medidas que estimen pertinentes respecto a la </w:t>
            </w:r>
            <w:r>
              <w:rPr>
                <w:rFonts w:ascii="Verdana" w:eastAsia="Calibri" w:hAnsi="Verdana" w:cs="Arial"/>
              </w:rPr>
              <w:t xml:space="preserve">cobertura </w:t>
            </w:r>
            <w:r w:rsidR="005176C9" w:rsidRPr="00FB49A3">
              <w:rPr>
                <w:rFonts w:ascii="Verdana" w:eastAsia="Calibri" w:hAnsi="Verdana" w:cs="Arial"/>
              </w:rPr>
              <w:t xml:space="preserve">del amparo de cumplimiento. </w:t>
            </w:r>
            <w:r>
              <w:rPr>
                <w:rFonts w:ascii="Verdana" w:eastAsia="Calibri" w:hAnsi="Verdana" w:cs="Arial"/>
              </w:rPr>
              <w:t>A</w:t>
            </w:r>
            <w:r w:rsidR="005176C9" w:rsidRPr="00FB49A3">
              <w:rPr>
                <w:rFonts w:ascii="Verdana" w:eastAsia="Calibri" w:hAnsi="Verdana" w:cs="Arial"/>
              </w:rPr>
              <w:t>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r w:rsidR="005176C9">
              <w:rPr>
                <w:rFonts w:ascii="Verdana" w:eastAsia="Calibri" w:hAnsi="Verdana" w:cs="Arial"/>
              </w:rPr>
              <w:t>.</w:t>
            </w:r>
          </w:p>
          <w:p w14:paraId="4E9CA835" w14:textId="470687AB" w:rsidR="005176C9" w:rsidRPr="005176C9" w:rsidRDefault="005176C9" w:rsidP="003A5748">
            <w:pPr>
              <w:spacing w:after="120" w:line="276" w:lineRule="auto"/>
              <w:ind w:firstLine="709"/>
              <w:jc w:val="both"/>
              <w:rPr>
                <w:rFonts w:ascii="Verdana" w:eastAsia="Calibri" w:hAnsi="Verdana" w:cs="Arial"/>
              </w:rPr>
            </w:pPr>
            <w:r w:rsidRPr="00A550FA">
              <w:rPr>
                <w:rFonts w:ascii="Verdana" w:eastAsia="Calibri" w:hAnsi="Verdana" w:cs="Arial"/>
                <w:bCs/>
              </w:rPr>
              <w:t xml:space="preserve">En este contexto, corresponde a cada entidad contratante, con base en su autonomía y en el análisis técnico y jurídico que realicen sus asesores, definir en cada caso concreto la forma en que desarrollará su gestión contractual respecto </w:t>
            </w:r>
            <w:r>
              <w:rPr>
                <w:rFonts w:ascii="Verdana" w:eastAsia="Calibri" w:hAnsi="Verdana" w:cs="Arial"/>
                <w:bCs/>
              </w:rPr>
              <w:t>a la vigencia de las garantías</w:t>
            </w:r>
            <w:r w:rsidRPr="00A550FA">
              <w:rPr>
                <w:rFonts w:ascii="Verdana" w:eastAsia="Calibri" w:hAnsi="Verdana" w:cs="Arial"/>
                <w:bCs/>
              </w:rPr>
              <w:t xml:space="preserve">, lo cual debe reflejarse expresamente en </w:t>
            </w:r>
            <w:r>
              <w:rPr>
                <w:rFonts w:ascii="Verdana" w:eastAsia="Calibri" w:hAnsi="Verdana" w:cs="Arial"/>
                <w:bCs/>
              </w:rPr>
              <w:t>clausulado del mismo</w:t>
            </w:r>
            <w:r w:rsidRPr="00A550FA">
              <w:rPr>
                <w:rFonts w:ascii="Verdana" w:eastAsia="Calibri" w:hAnsi="Verdana" w:cs="Arial"/>
                <w:bCs/>
              </w:rPr>
              <w:t>. Esta determinación debe adoptarse con observancia del principio de juridicidad y atendiendo la normativa vigente al momento de su aplicación.</w:t>
            </w:r>
          </w:p>
        </w:tc>
      </w:tr>
    </w:tbl>
    <w:p w14:paraId="1B8CCB64" w14:textId="77777777" w:rsidR="00783B42" w:rsidRPr="00E03546" w:rsidRDefault="00783B42" w:rsidP="00E76ED5">
      <w:pPr>
        <w:tabs>
          <w:tab w:val="left" w:pos="0"/>
          <w:tab w:val="left" w:pos="284"/>
        </w:tabs>
        <w:spacing w:after="0" w:line="276" w:lineRule="auto"/>
        <w:contextualSpacing/>
        <w:jc w:val="both"/>
        <w:rPr>
          <w:rFonts w:ascii="Verdana" w:eastAsia="Calibri" w:hAnsi="Verdana" w:cs="Arial"/>
          <w:b/>
        </w:rPr>
      </w:pPr>
    </w:p>
    <w:p w14:paraId="3333FA09" w14:textId="39D26B9C" w:rsidR="00E76ED5" w:rsidRDefault="00E76ED5" w:rsidP="0041209D">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3. Razones de la respuesta:</w:t>
      </w:r>
      <w:bookmarkStart w:id="2" w:name="_Hlk36018082"/>
    </w:p>
    <w:p w14:paraId="696E670A" w14:textId="77777777" w:rsidR="0041209D" w:rsidRPr="0041209D" w:rsidRDefault="0041209D" w:rsidP="0041209D">
      <w:pPr>
        <w:tabs>
          <w:tab w:val="left" w:pos="142"/>
          <w:tab w:val="left" w:pos="284"/>
        </w:tabs>
        <w:spacing w:after="0" w:line="276" w:lineRule="auto"/>
        <w:jc w:val="both"/>
        <w:rPr>
          <w:rFonts w:ascii="Verdana" w:eastAsia="Century Gothic" w:hAnsi="Verdana" w:cs="Century Gothic"/>
          <w:b/>
          <w:bCs/>
        </w:rPr>
      </w:pPr>
    </w:p>
    <w:p w14:paraId="6C0C0781" w14:textId="77777777" w:rsidR="00E76ED5" w:rsidRPr="00E03546" w:rsidRDefault="00E76ED5" w:rsidP="0080454C">
      <w:pPr>
        <w:spacing w:after="0" w:line="276" w:lineRule="auto"/>
        <w:jc w:val="both"/>
        <w:rPr>
          <w:rFonts w:ascii="Verdana" w:eastAsia="Calibri" w:hAnsi="Verdana" w:cs="Arial"/>
        </w:rPr>
      </w:pPr>
      <w:r w:rsidRPr="00E03546">
        <w:rPr>
          <w:rFonts w:ascii="Verdana" w:eastAsia="Calibri" w:hAnsi="Verdana" w:cs="Arial"/>
        </w:rPr>
        <w:t xml:space="preserve">Lo anterior se sustenta en las siguientes consideraciones: </w:t>
      </w:r>
    </w:p>
    <w:bookmarkEnd w:id="2"/>
    <w:p w14:paraId="22C8C849" w14:textId="77777777" w:rsidR="00E0195F" w:rsidRPr="00E03546" w:rsidRDefault="00E0195F" w:rsidP="006C6956">
      <w:pPr>
        <w:spacing w:after="0" w:line="276" w:lineRule="auto"/>
        <w:jc w:val="both"/>
        <w:rPr>
          <w:rFonts w:ascii="Verdana" w:eastAsia="Calibri" w:hAnsi="Verdana" w:cs="Arial"/>
        </w:rPr>
      </w:pPr>
    </w:p>
    <w:p w14:paraId="18E3950A" w14:textId="75D4BE6B" w:rsidR="00927E5D" w:rsidRDefault="00CC093A" w:rsidP="0080454C">
      <w:pPr>
        <w:spacing w:after="0" w:line="276" w:lineRule="auto"/>
        <w:jc w:val="both"/>
        <w:rPr>
          <w:rFonts w:ascii="Verdana" w:eastAsia="Times New Roman" w:hAnsi="Verdana" w:cs="Arial"/>
          <w:color w:val="000000"/>
          <w:lang w:eastAsia="es-CO"/>
        </w:rPr>
      </w:pPr>
      <w:r w:rsidRPr="00CC093A">
        <w:rPr>
          <w:rFonts w:ascii="Verdana" w:eastAsia="Times New Roman" w:hAnsi="Verdana" w:cs="Arial"/>
          <w:color w:val="000000"/>
          <w:lang w:eastAsia="es-CO"/>
        </w:rPr>
        <w:t>El Estatuto General de Contratación de la Administración Pública – en adelante EGCAP – exige, por regla general, en los procesos de contratación pública la constitución de garantías ya sea en</w:t>
      </w:r>
      <w:r w:rsidR="00927E5D">
        <w:rPr>
          <w:rFonts w:ascii="Verdana" w:eastAsia="Times New Roman" w:hAnsi="Verdana" w:cs="Arial"/>
          <w:color w:val="000000"/>
          <w:lang w:eastAsia="es-CO"/>
        </w:rPr>
        <w:t xml:space="preserve"> </w:t>
      </w:r>
      <w:r w:rsidR="00927E5D" w:rsidRPr="00927E5D">
        <w:rPr>
          <w:rFonts w:ascii="Verdana" w:eastAsia="Times New Roman" w:hAnsi="Verdana" w:cs="Arial"/>
          <w:color w:val="000000"/>
          <w:lang w:eastAsia="es-CO"/>
        </w:rPr>
        <w:t xml:space="preserve">la etapa precontractual, contractual o </w:t>
      </w:r>
      <w:proofErr w:type="spellStart"/>
      <w:r w:rsidR="00927E5D" w:rsidRPr="00927E5D">
        <w:rPr>
          <w:rFonts w:ascii="Verdana" w:eastAsia="Times New Roman" w:hAnsi="Verdana" w:cs="Arial"/>
          <w:color w:val="000000"/>
          <w:lang w:eastAsia="es-CO"/>
        </w:rPr>
        <w:t>postcontractual</w:t>
      </w:r>
      <w:proofErr w:type="spellEnd"/>
      <w:r w:rsidR="00927E5D" w:rsidRPr="00927E5D">
        <w:rPr>
          <w:rFonts w:ascii="Verdana" w:eastAsia="Times New Roman" w:hAnsi="Verdana" w:cs="Arial"/>
          <w:color w:val="000000"/>
          <w:lang w:eastAsia="es-CO"/>
        </w:rPr>
        <w:t>, con el fin de evitar o mitigar posibles riesgos.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La citada norma dispone:</w:t>
      </w:r>
    </w:p>
    <w:p w14:paraId="434DD257" w14:textId="77777777" w:rsidR="0080454C" w:rsidRDefault="0080454C" w:rsidP="006C6956">
      <w:pPr>
        <w:spacing w:after="0" w:line="276" w:lineRule="auto"/>
        <w:jc w:val="both"/>
        <w:rPr>
          <w:rFonts w:ascii="Verdana" w:eastAsia="Times New Roman" w:hAnsi="Verdana" w:cs="Arial"/>
          <w:color w:val="000000"/>
          <w:lang w:eastAsia="es-CO"/>
        </w:rPr>
      </w:pPr>
    </w:p>
    <w:p w14:paraId="4856A6FF" w14:textId="0B13A1EE" w:rsidR="00927E5D" w:rsidRPr="00927E5D" w:rsidRDefault="00927E5D" w:rsidP="004277B7">
      <w:pPr>
        <w:spacing w:after="0" w:line="240" w:lineRule="auto"/>
        <w:ind w:left="709" w:right="709"/>
        <w:jc w:val="both"/>
        <w:rPr>
          <w:rFonts w:ascii="Verdana" w:eastAsia="Times New Roman" w:hAnsi="Verdana" w:cs="Arial"/>
          <w:color w:val="000000"/>
          <w:sz w:val="20"/>
          <w:szCs w:val="20"/>
          <w:lang w:eastAsia="es-CO"/>
        </w:rPr>
      </w:pPr>
      <w:r w:rsidRPr="00927E5D">
        <w:rPr>
          <w:rFonts w:ascii="Verdana" w:eastAsia="Times New Roman" w:hAnsi="Verdana" w:cs="Arial"/>
          <w:color w:val="000000"/>
          <w:sz w:val="20"/>
          <w:szCs w:val="20"/>
          <w:lang w:eastAsia="es-CO"/>
        </w:rPr>
        <w:t xml:space="preserve">“Artículo 7. Los contratistas prestarán garantía única para el cumplimiento de las obligaciones surgidas del contrato. Los proponentes prestarán garantía de seriedad de los ofrecimientos hechos. 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El Gobierno Nacional señalará los criterios que seguirán las entidades para la exigencia de garantías, las clases y niveles de amparo de los riesgos de los contratos, así como los casos en </w:t>
      </w:r>
      <w:proofErr w:type="gramStart"/>
      <w:r w:rsidRPr="00927E5D">
        <w:rPr>
          <w:rFonts w:ascii="Verdana" w:eastAsia="Times New Roman" w:hAnsi="Verdana" w:cs="Arial"/>
          <w:color w:val="000000"/>
          <w:sz w:val="20"/>
          <w:szCs w:val="20"/>
          <w:lang w:eastAsia="es-CO"/>
        </w:rPr>
        <w:t>que</w:t>
      </w:r>
      <w:proofErr w:type="gramEnd"/>
      <w:r w:rsidRPr="00927E5D">
        <w:rPr>
          <w:rFonts w:ascii="Verdana" w:eastAsia="Times New Roman" w:hAnsi="Verdana" w:cs="Arial"/>
          <w:color w:val="000000"/>
          <w:sz w:val="20"/>
          <w:szCs w:val="20"/>
          <w:lang w:eastAsia="es-CO"/>
        </w:rPr>
        <w:t xml:space="preserve"> por las características y complejidad del contrato a celebrar, la garantía pueda ser dividida teniendo en cuenta las etapas o riesgos relativos a la ejecución del respectivo contrato. El acaecimiento del siniestro que amparan las garantías será comunicado por la entidad pública al respectivo asegurador mediante la notificación del acto administrativo que así lo declare. 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0419405E" w14:textId="77777777" w:rsidR="004277B7" w:rsidRPr="00927E5D" w:rsidRDefault="004277B7" w:rsidP="006C6956">
      <w:pPr>
        <w:spacing w:after="0" w:line="240" w:lineRule="auto"/>
        <w:ind w:left="709" w:right="709"/>
        <w:jc w:val="both"/>
        <w:rPr>
          <w:rFonts w:ascii="Verdana" w:eastAsia="Times New Roman" w:hAnsi="Verdana" w:cs="Arial"/>
          <w:color w:val="000000"/>
          <w:sz w:val="20"/>
          <w:szCs w:val="20"/>
          <w:lang w:eastAsia="es-CO"/>
        </w:rPr>
      </w:pPr>
    </w:p>
    <w:p w14:paraId="550A519E" w14:textId="77777777" w:rsidR="00695540" w:rsidRDefault="00255B91" w:rsidP="00A74486">
      <w:pPr>
        <w:spacing w:after="120" w:line="276" w:lineRule="auto"/>
        <w:ind w:firstLine="708"/>
        <w:jc w:val="both"/>
        <w:rPr>
          <w:rFonts w:ascii="Verdana" w:eastAsia="Times New Roman" w:hAnsi="Verdana" w:cs="Arial"/>
          <w:color w:val="000000"/>
          <w:lang w:eastAsia="es-CO"/>
        </w:rPr>
      </w:pPr>
      <w:r w:rsidRPr="00255B91">
        <w:rPr>
          <w:rFonts w:ascii="Verdana" w:eastAsia="Times New Roman" w:hAnsi="Verdana" w:cs="Arial"/>
          <w:color w:val="000000"/>
          <w:lang w:eastAsia="es-CO"/>
        </w:rPr>
        <w:t xml:space="preserve">Las condiciones en las que debe cumplirse esta obligación fueron reglamentadas por el Decreto 1082 de 2015, el cual entre sus artículos 2.2.1.2.3.1.1. y 2.2.1.2.3.1.19 se refiere a asuntos como las clases de garantías permitidas, la indivisibilidad de estas, los diferentes riesgos que deben ser objeto de cobertura, la vigencia y valores mínimos que deben cubrir los amparos, entre </w:t>
      </w:r>
      <w:r w:rsidRPr="00255B91">
        <w:rPr>
          <w:rFonts w:ascii="Verdana" w:eastAsia="Times New Roman" w:hAnsi="Verdana" w:cs="Arial"/>
          <w:color w:val="000000"/>
          <w:lang w:eastAsia="es-CO"/>
        </w:rPr>
        <w:lastRenderedPageBreak/>
        <w:t>otros aspectos que debe cumplir las garantías constituidas por los contratistas ya sea a través de pólizas de seguro, garantías bancarías o patrimonios autónomos.</w:t>
      </w:r>
    </w:p>
    <w:p w14:paraId="106D574C" w14:textId="74EA213F" w:rsidR="00695540" w:rsidRDefault="00152E8B" w:rsidP="00695540">
      <w:pPr>
        <w:spacing w:after="120" w:line="276" w:lineRule="auto"/>
        <w:ind w:firstLine="709"/>
        <w:jc w:val="both"/>
        <w:rPr>
          <w:rFonts w:ascii="Verdana" w:eastAsia="Times New Roman" w:hAnsi="Verdana" w:cs="Arial"/>
          <w:color w:val="000000"/>
          <w:lang w:eastAsia="es-CO"/>
        </w:rPr>
      </w:pPr>
      <w:r w:rsidRPr="00152E8B">
        <w:rPr>
          <w:rFonts w:ascii="Verdana" w:eastAsia="Times New Roman" w:hAnsi="Verdana" w:cs="Arial"/>
          <w:color w:val="000000"/>
          <w:lang w:eastAsia="es-CO"/>
        </w:rPr>
        <w:t xml:space="preserve">De acuerdo a lo expresado anteriormente, los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para amparar los riesgos contractuales; </w:t>
      </w:r>
      <w:proofErr w:type="spellStart"/>
      <w:r w:rsidRPr="00152E8B">
        <w:rPr>
          <w:rFonts w:ascii="Verdana" w:eastAsia="Times New Roman" w:hAnsi="Verdana" w:cs="Arial"/>
          <w:color w:val="000000"/>
          <w:lang w:eastAsia="es-CO"/>
        </w:rPr>
        <w:t>ii</w:t>
      </w:r>
      <w:proofErr w:type="spellEnd"/>
      <w:r w:rsidRPr="00152E8B">
        <w:rPr>
          <w:rFonts w:ascii="Verdana" w:eastAsia="Times New Roman" w:hAnsi="Verdana" w:cs="Arial"/>
          <w:color w:val="000000"/>
          <w:lang w:eastAsia="es-CO"/>
        </w:rPr>
        <w:t>)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Pr>
          <w:rStyle w:val="Refdenotaalpie"/>
          <w:rFonts w:ascii="Verdana" w:eastAsia="Times New Roman" w:hAnsi="Verdana" w:cs="Arial"/>
          <w:color w:val="000000"/>
          <w:lang w:eastAsia="es-CO"/>
        </w:rPr>
        <w:footnoteReference w:id="2"/>
      </w:r>
      <w:r w:rsidRPr="00152E8B">
        <w:rPr>
          <w:rFonts w:ascii="Verdana" w:eastAsia="Times New Roman" w:hAnsi="Verdana" w:cs="Arial"/>
          <w:color w:val="000000"/>
          <w:lang w:eastAsia="es-CO"/>
        </w:rPr>
        <w:t xml:space="preserve"> ; </w:t>
      </w:r>
      <w:proofErr w:type="spellStart"/>
      <w:r w:rsidRPr="00152E8B">
        <w:rPr>
          <w:rFonts w:ascii="Verdana" w:eastAsia="Times New Roman" w:hAnsi="Verdana" w:cs="Arial"/>
          <w:color w:val="000000"/>
          <w:lang w:eastAsia="es-CO"/>
        </w:rPr>
        <w:t>iii</w:t>
      </w:r>
      <w:proofErr w:type="spellEnd"/>
      <w:r w:rsidRPr="00152E8B">
        <w:rPr>
          <w:rFonts w:ascii="Verdana" w:eastAsia="Times New Roman" w:hAnsi="Verdana" w:cs="Arial"/>
          <w:color w:val="000000"/>
          <w:lang w:eastAsia="es-CO"/>
        </w:rPr>
        <w:t xml:space="preserve">) garantías bancarias o cartas de crédito stand </w:t>
      </w:r>
      <w:proofErr w:type="spellStart"/>
      <w:r w:rsidRPr="00152E8B">
        <w:rPr>
          <w:rFonts w:ascii="Verdana" w:eastAsia="Times New Roman" w:hAnsi="Verdana" w:cs="Arial"/>
          <w:color w:val="000000"/>
          <w:lang w:eastAsia="es-CO"/>
        </w:rPr>
        <w:t>by</w:t>
      </w:r>
      <w:proofErr w:type="spellEnd"/>
      <w:r w:rsidRPr="00152E8B">
        <w:rPr>
          <w:rFonts w:ascii="Verdana" w:eastAsia="Times New Roman" w:hAnsi="Verdana" w:cs="Arial"/>
          <w:color w:val="000000"/>
          <w:lang w:eastAsia="es-CO"/>
        </w:rPr>
        <w:t>, que consisten en compromisos irrevocables o incondicionales asumidos por una entidad financiera de pagar una suma determinada de dinero</w:t>
      </w:r>
      <w:r w:rsidR="003E2F72">
        <w:rPr>
          <w:rStyle w:val="Refdenotaalpie"/>
          <w:rFonts w:ascii="Verdana" w:eastAsia="Times New Roman" w:hAnsi="Verdana" w:cs="Arial"/>
          <w:color w:val="000000"/>
          <w:lang w:eastAsia="es-CO"/>
        </w:rPr>
        <w:footnoteReference w:id="3"/>
      </w:r>
      <w:r w:rsidRPr="00152E8B">
        <w:rPr>
          <w:rFonts w:ascii="Verdana" w:eastAsia="Times New Roman" w:hAnsi="Verdana" w:cs="Arial"/>
          <w:color w:val="000000"/>
          <w:lang w:eastAsia="es-CO"/>
        </w:rPr>
        <w:t xml:space="preserve"> . La suficiencia y la vigencia de las garantías deben ser las reguladas en los artículos 2.2.1.2.3.1.9 a 2.2.1.2.3.1.16 del Decreto 1082 de 2015</w:t>
      </w:r>
      <w:r w:rsidR="003E2F72">
        <w:rPr>
          <w:rFonts w:ascii="Verdana" w:eastAsia="Times New Roman" w:hAnsi="Verdana" w:cs="Arial"/>
          <w:color w:val="000000"/>
          <w:lang w:eastAsia="es-CO"/>
        </w:rPr>
        <w:t>.</w:t>
      </w:r>
    </w:p>
    <w:p w14:paraId="6D859956" w14:textId="4830BA71" w:rsidR="00E3670F" w:rsidRDefault="006E12D0" w:rsidP="00695540">
      <w:pPr>
        <w:spacing w:after="120" w:line="276" w:lineRule="auto"/>
        <w:ind w:firstLine="709"/>
        <w:jc w:val="both"/>
        <w:rPr>
          <w:rFonts w:ascii="Verdana" w:eastAsia="Times New Roman" w:hAnsi="Verdana" w:cs="Arial"/>
          <w:color w:val="000000"/>
          <w:lang w:eastAsia="es-CO"/>
        </w:rPr>
      </w:pPr>
      <w:r w:rsidRPr="006E12D0">
        <w:rPr>
          <w:rFonts w:ascii="Verdana" w:eastAsia="Times New Roman" w:hAnsi="Verdana" w:cs="Arial"/>
          <w:color w:val="000000"/>
          <w:lang w:eastAsia="es-CO"/>
        </w:rPr>
        <w:t>A partir de las fases del Proceso de Contratación, la “Guía de Garantías en los Procesos de Contratación” expedida por la Agencia Nacional de Contratación Pública – Colombia Compra Eficiente expone los riesgos que deben cubrirse mediante las garantías:</w:t>
      </w:r>
    </w:p>
    <w:p w14:paraId="0084E6B5" w14:textId="77777777" w:rsidR="00E3670F" w:rsidRDefault="006E12D0" w:rsidP="00695540">
      <w:pPr>
        <w:pStyle w:val="Prrafodelista"/>
        <w:numPr>
          <w:ilvl w:val="0"/>
          <w:numId w:val="17"/>
        </w:numPr>
        <w:spacing w:after="120" w:line="276" w:lineRule="auto"/>
        <w:ind w:left="567" w:hanging="283"/>
        <w:jc w:val="both"/>
        <w:rPr>
          <w:rFonts w:ascii="Verdana" w:eastAsia="Times New Roman" w:hAnsi="Verdana" w:cs="Arial"/>
          <w:color w:val="000000"/>
          <w:lang w:eastAsia="es-CO"/>
        </w:rPr>
      </w:pPr>
      <w:r w:rsidRPr="00261D9C">
        <w:rPr>
          <w:rFonts w:ascii="Verdana" w:eastAsia="Times New Roman" w:hAnsi="Verdana" w:cs="Arial"/>
          <w:b/>
          <w:bCs/>
          <w:color w:val="000000"/>
          <w:lang w:eastAsia="es-CO"/>
        </w:rPr>
        <w:t>Selección o etapa previa</w:t>
      </w:r>
      <w:r w:rsidRPr="00E3670F">
        <w:rPr>
          <w:rFonts w:ascii="Verdana" w:eastAsia="Times New Roman" w:hAnsi="Verdana" w:cs="Arial"/>
          <w:color w:val="000000"/>
          <w:lang w:eastAsia="es-CO"/>
        </w:rPr>
        <w:t xml:space="preserve">: el proponente debe otorgar garantía de seriedad de la oferta amparando los siguientes eventos: la no ampliación de la vigencia de la garantía cuando el plazo para la adjudicación o suscripción del contrato sea prorrogado, siempre que esa prórroga no exceda de tres (3) meses; retiro de la oferta después de vencido el plazo para su presentación; la no suscripción del contrato sin justa causa por parte del adjudicatario y; la no constitución de la garantía de cumplimiento del contrato por parte del adjudicatario. </w:t>
      </w:r>
    </w:p>
    <w:p w14:paraId="00B8751D" w14:textId="77777777" w:rsidR="00E3670F" w:rsidRDefault="006E12D0" w:rsidP="00695540">
      <w:pPr>
        <w:pStyle w:val="Prrafodelista"/>
        <w:numPr>
          <w:ilvl w:val="0"/>
          <w:numId w:val="17"/>
        </w:numPr>
        <w:spacing w:after="120" w:line="276" w:lineRule="auto"/>
        <w:ind w:left="567" w:hanging="283"/>
        <w:jc w:val="both"/>
        <w:rPr>
          <w:rFonts w:ascii="Verdana" w:eastAsia="Times New Roman" w:hAnsi="Verdana" w:cs="Arial"/>
          <w:color w:val="000000"/>
          <w:lang w:eastAsia="es-CO"/>
        </w:rPr>
      </w:pPr>
      <w:r w:rsidRPr="00261D9C">
        <w:rPr>
          <w:rFonts w:ascii="Verdana" w:eastAsia="Times New Roman" w:hAnsi="Verdana" w:cs="Arial"/>
          <w:b/>
          <w:bCs/>
          <w:color w:val="000000"/>
          <w:lang w:eastAsia="es-CO"/>
        </w:rPr>
        <w:t>Contratación y ejecución:</w:t>
      </w:r>
      <w:r w:rsidRPr="00E3670F">
        <w:rPr>
          <w:rFonts w:ascii="Verdana" w:eastAsia="Times New Roman" w:hAnsi="Verdana" w:cs="Arial"/>
          <w:color w:val="000000"/>
          <w:lang w:eastAsia="es-CO"/>
        </w:rPr>
        <w:t xml:space="preserve"> en esta fase la garantía debe cubrir los riesgos derivados del incumplimiento del contrato. Esta garantía puede cubrir todos </w:t>
      </w:r>
      <w:r w:rsidRPr="00E3670F">
        <w:rPr>
          <w:rFonts w:ascii="Verdana" w:eastAsia="Times New Roman" w:hAnsi="Verdana" w:cs="Arial"/>
          <w:color w:val="000000"/>
          <w:lang w:eastAsia="es-CO"/>
        </w:rPr>
        <w:lastRenderedPageBreak/>
        <w:t xml:space="preserve">o algunos de los siguientes amparos, de acuerdo a las condiciones del contrato: buen manejo y correcta inversión del anticipo, devolución del pago anticipado, cumplimiento del contrato, pago de salarios, prestaciones sociales legales e indemnizaciones laborales. En adición a la garantía de cumplimiento, la Entidad Estatal puede solicitar un seguro de responsabilidad civil extracontractual para aquellos contratos en los que el desarrollo del objeto implica un riesgo de daños a terceros. En cuanto al amparo de pago de obligaciones laborales, el garante está obligado a pagar las obligaciones laborales y salariales que puedan presentarse por el incumplimiento del deber del pago por parte del contratista. </w:t>
      </w:r>
    </w:p>
    <w:p w14:paraId="78D65490" w14:textId="77777777" w:rsidR="00695540" w:rsidRDefault="006E12D0" w:rsidP="00695540">
      <w:pPr>
        <w:pStyle w:val="Prrafodelista"/>
        <w:numPr>
          <w:ilvl w:val="0"/>
          <w:numId w:val="17"/>
        </w:numPr>
        <w:spacing w:after="120" w:line="276" w:lineRule="auto"/>
        <w:ind w:left="567" w:hanging="283"/>
        <w:jc w:val="both"/>
        <w:rPr>
          <w:rFonts w:ascii="Verdana" w:eastAsia="Times New Roman" w:hAnsi="Verdana" w:cs="Arial"/>
          <w:color w:val="000000"/>
          <w:lang w:eastAsia="es-CO"/>
        </w:rPr>
      </w:pPr>
      <w:r w:rsidRPr="00E3670F">
        <w:rPr>
          <w:rFonts w:ascii="Verdana" w:eastAsia="Times New Roman" w:hAnsi="Verdana" w:cs="Arial"/>
          <w:color w:val="000000"/>
          <w:lang w:eastAsia="es-CO"/>
        </w:rPr>
        <w:t xml:space="preserve"> </w:t>
      </w:r>
      <w:r w:rsidRPr="00261D9C">
        <w:rPr>
          <w:rFonts w:ascii="Verdana" w:eastAsia="Times New Roman" w:hAnsi="Verdana" w:cs="Arial"/>
          <w:b/>
          <w:bCs/>
          <w:color w:val="000000"/>
          <w:lang w:eastAsia="es-CO"/>
        </w:rPr>
        <w:t>Garantías posteriores a la ejecución:</w:t>
      </w:r>
      <w:r w:rsidRPr="00E3670F">
        <w:rPr>
          <w:rFonts w:ascii="Verdana" w:eastAsia="Times New Roman" w:hAnsi="Verdana" w:cs="Arial"/>
          <w:color w:val="000000"/>
          <w:lang w:eastAsia="es-CO"/>
        </w:rPr>
        <w:t xml:space="preserve"> cubren los riesgos que se presenten con posterioridad a la terminación del contrato y sus amparos pueden ser: estabilidad y calidad de la obra; calidad del servicio; y calidad y correcto funcionamiento de los bienes</w:t>
      </w:r>
      <w:r w:rsidR="00261D9C">
        <w:rPr>
          <w:rFonts w:ascii="Verdana" w:eastAsia="Times New Roman" w:hAnsi="Verdana" w:cs="Arial"/>
          <w:color w:val="000000"/>
          <w:lang w:eastAsia="es-CO"/>
        </w:rPr>
        <w:t>.</w:t>
      </w:r>
    </w:p>
    <w:p w14:paraId="1454EE00" w14:textId="7F97AD0A" w:rsidR="00695540" w:rsidRPr="00695540" w:rsidRDefault="00EB2DC2" w:rsidP="006C6956">
      <w:pPr>
        <w:spacing w:after="120" w:line="276" w:lineRule="auto"/>
        <w:ind w:firstLine="567"/>
        <w:jc w:val="both"/>
        <w:rPr>
          <w:rFonts w:ascii="Verdana" w:eastAsia="Times New Roman" w:hAnsi="Verdana" w:cs="Arial"/>
          <w:color w:val="000000"/>
          <w:lang w:eastAsia="es-CO"/>
        </w:rPr>
      </w:pPr>
      <w:r w:rsidRPr="00695540">
        <w:rPr>
          <w:rFonts w:ascii="Verdana" w:eastAsia="Times New Roman" w:hAnsi="Verdana" w:cs="Arial"/>
          <w:color w:val="000000"/>
          <w:lang w:eastAsia="es-CO"/>
        </w:rPr>
        <w:t>En cada caso, la obligatoriedad de exigir garantías depende de los tipos contractuales y de las modalidades de selección que deban aplicarse, de acuerdo con el objeto contenido en los procesos de contratación. Asimismo, los amparos que estarán inmersos en cada garantía dependerán de los riesgos que son propios de cada tipo contractual.</w:t>
      </w:r>
    </w:p>
    <w:p w14:paraId="2A56BCB6" w14:textId="38F508B4" w:rsidR="00253F3D" w:rsidRPr="00CA6FDA" w:rsidRDefault="00D518B6" w:rsidP="00253F3D">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Ahora bien, </w:t>
      </w:r>
      <w:r w:rsidR="00253F3D" w:rsidRPr="00CA6FDA">
        <w:rPr>
          <w:rFonts w:ascii="Verdana" w:eastAsia="Calibri" w:hAnsi="Verdana" w:cs="Arial"/>
          <w:color w:val="000000" w:themeColor="text1"/>
          <w:lang w:val="es-ES"/>
        </w:rPr>
        <w:t xml:space="preserve">mediante la </w:t>
      </w:r>
      <w:r w:rsidR="00253F3D" w:rsidRPr="00CA6FDA">
        <w:rPr>
          <w:rFonts w:ascii="Verdana" w:eastAsia="Calibri" w:hAnsi="Verdana" w:cs="Arial"/>
          <w:i/>
          <w:iCs/>
          <w:color w:val="000000" w:themeColor="text1"/>
          <w:lang w:val="es-ES"/>
        </w:rPr>
        <w:t>garantía de única de cumplimiento</w:t>
      </w:r>
      <w:r w:rsidR="00253F3D" w:rsidRPr="00CA6FDA">
        <w:rPr>
          <w:rFonts w:ascii="Verdana" w:eastAsia="Calibri" w:hAnsi="Verdana" w:cs="Arial"/>
          <w:color w:val="000000" w:themeColor="text1"/>
          <w:lang w:val="es-ES"/>
        </w:rPr>
        <w:t>, el contratista ampara los perjuicios que le pueda generar a la entidad el incumplimiento de las obligaciones derivadas del contrato</w:t>
      </w:r>
      <w:r w:rsidR="00253F3D" w:rsidRPr="00CA6FDA">
        <w:rPr>
          <w:rStyle w:val="Refdenotaalpie"/>
          <w:rFonts w:ascii="Verdana" w:eastAsia="Calibri" w:hAnsi="Verdana" w:cs="Arial"/>
          <w:color w:val="000000" w:themeColor="text1"/>
        </w:rPr>
        <w:footnoteReference w:id="4"/>
      </w:r>
      <w:r w:rsidR="00253F3D" w:rsidRPr="00CA6FDA">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00253F3D" w:rsidRPr="00CA6FDA">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00253F3D" w:rsidRPr="00CA6FDA">
        <w:rPr>
          <w:rStyle w:val="Refdenotaalpie"/>
          <w:rFonts w:ascii="Verdana" w:hAnsi="Verdana" w:cs="Arial"/>
          <w:color w:val="000000" w:themeColor="text1"/>
          <w:lang w:val="es-ES_tradnl"/>
        </w:rPr>
        <w:footnoteReference w:id="5"/>
      </w:r>
      <w:r w:rsidR="00253F3D" w:rsidRPr="00CA6FDA">
        <w:rPr>
          <w:rFonts w:ascii="Verdana" w:hAnsi="Verdana" w:cs="Arial"/>
          <w:color w:val="000000" w:themeColor="text1"/>
          <w:lang w:val="es-ES_tradnl"/>
        </w:rPr>
        <w:t xml:space="preserve">.    </w:t>
      </w:r>
    </w:p>
    <w:p w14:paraId="4140B60F" w14:textId="77777777" w:rsidR="00AD414D" w:rsidRDefault="00AD414D" w:rsidP="0024436B">
      <w:pPr>
        <w:spacing w:after="0" w:line="276" w:lineRule="auto"/>
        <w:ind w:firstLine="708"/>
        <w:jc w:val="both"/>
        <w:rPr>
          <w:rFonts w:ascii="Verdana" w:eastAsia="Calibri" w:hAnsi="Verdana" w:cs="Arial"/>
        </w:rPr>
      </w:pPr>
      <w:r>
        <w:rPr>
          <w:rFonts w:ascii="Verdana" w:eastAsia="Times New Roman" w:hAnsi="Verdana" w:cs="Arial"/>
          <w:color w:val="000000"/>
          <w:lang w:eastAsia="es-CO"/>
        </w:rPr>
        <w:t>E</w:t>
      </w:r>
      <w:r w:rsidRPr="00E03546">
        <w:rPr>
          <w:rFonts w:ascii="Verdana" w:eastAsia="Times New Roman" w:hAnsi="Verdana" w:cs="Arial"/>
          <w:color w:val="000000"/>
          <w:lang w:eastAsia="es-CO"/>
        </w:rPr>
        <w:t xml:space="preserve">l artículo 2.2.1.2.3.1.12 regula la suficiencia de la garantía de cumplimiento. Esta debe tener una vigencia mínima hasta la liquidación y, por </w:t>
      </w:r>
      <w:r w:rsidRPr="00E03546">
        <w:rPr>
          <w:rFonts w:ascii="Verdana" w:eastAsia="Times New Roman" w:hAnsi="Verdana" w:cs="Arial"/>
          <w:color w:val="000000"/>
          <w:lang w:eastAsia="es-CO"/>
        </w:rPr>
        <w:lastRenderedPageBreak/>
        <w:t xml:space="preserve">regla general un valor de por lo menos el diez por ciento (10%) del total del contrato, siempre que este sea inferior a un millón (1.000.000) de </w:t>
      </w:r>
      <w:proofErr w:type="spellStart"/>
      <w:r w:rsidRPr="00E03546">
        <w:rPr>
          <w:rFonts w:ascii="Verdana" w:eastAsia="Times New Roman" w:hAnsi="Verdana" w:cs="Arial"/>
          <w:color w:val="000000"/>
          <w:lang w:eastAsia="es-CO"/>
        </w:rPr>
        <w:t>smmlv</w:t>
      </w:r>
      <w:proofErr w:type="spellEnd"/>
      <w:r w:rsidRPr="00E03546">
        <w:rPr>
          <w:rFonts w:ascii="Verdana" w:eastAsia="Times New Roman" w:hAnsi="Verdana" w:cs="Arial"/>
          <w:color w:val="000000"/>
          <w:vertAlign w:val="superscript"/>
          <w:lang w:eastAsia="es-CO"/>
        </w:rPr>
        <w:footnoteReference w:id="6"/>
      </w:r>
      <w:r w:rsidRPr="00E03546">
        <w:rPr>
          <w:rFonts w:ascii="Verdana" w:eastAsia="Times New Roman" w:hAnsi="Verdana" w:cs="Arial"/>
          <w:color w:val="000000"/>
          <w:lang w:eastAsia="es-CO"/>
        </w:rPr>
        <w:t xml:space="preserve">. Conforme la norma citada, el amparo cubre tanto el </w:t>
      </w:r>
      <w:r w:rsidRPr="00E03546">
        <w:rPr>
          <w:rFonts w:ascii="Verdana" w:eastAsia="Times New Roman" w:hAnsi="Verdana" w:cs="Arial"/>
          <w:i/>
          <w:iCs/>
          <w:color w:val="000000"/>
          <w:lang w:eastAsia="es-CO"/>
        </w:rPr>
        <w:t>plazo de ejecución</w:t>
      </w:r>
      <w:r w:rsidRPr="00E03546">
        <w:rPr>
          <w:rFonts w:ascii="Verdana" w:eastAsia="Times New Roman" w:hAnsi="Verdana" w:cs="Arial"/>
          <w:color w:val="000000"/>
          <w:lang w:eastAsia="es-CO"/>
        </w:rPr>
        <w:t xml:space="preserve"> como el </w:t>
      </w:r>
      <w:r w:rsidRPr="00E03546">
        <w:rPr>
          <w:rFonts w:ascii="Verdana" w:eastAsia="Times New Roman" w:hAnsi="Verdana" w:cs="Arial"/>
          <w:i/>
          <w:iCs/>
          <w:color w:val="000000"/>
          <w:lang w:eastAsia="es-CO"/>
        </w:rPr>
        <w:t>plazo de vigencia</w:t>
      </w:r>
      <w:r w:rsidRPr="00E03546">
        <w:rPr>
          <w:rFonts w:ascii="Verdana" w:eastAsia="Times New Roman" w:hAnsi="Verdana" w:cs="Arial"/>
          <w:color w:val="000000"/>
          <w:lang w:eastAsia="es-CO"/>
        </w:rPr>
        <w:t xml:space="preserve"> del contrato. </w:t>
      </w:r>
      <w:r w:rsidRPr="00E03546">
        <w:rPr>
          <w:rFonts w:ascii="Verdana" w:eastAsia="Calibri" w:hAnsi="Verdana" w:cs="Arial"/>
        </w:rPr>
        <w:t xml:space="preserve">Al respecto, la jurisprudencia define el </w:t>
      </w:r>
      <w:r w:rsidRPr="00E03546">
        <w:rPr>
          <w:rFonts w:ascii="Verdana" w:eastAsia="Calibri" w:hAnsi="Verdana" w:cs="Arial"/>
          <w:i/>
          <w:iCs/>
        </w:rPr>
        <w:t>plazo de ejecución</w:t>
      </w:r>
      <w:r w:rsidRPr="00E03546">
        <w:rPr>
          <w:rFonts w:ascii="Verdana" w:eastAsia="Calibri" w:hAnsi="Verdana" w:cs="Arial"/>
        </w:rPr>
        <w:t xml:space="preserve"> como el establecido para la realización de las prestaciones contractuales y, de igual forma, considera que el </w:t>
      </w:r>
      <w:r w:rsidRPr="00E03546">
        <w:rPr>
          <w:rFonts w:ascii="Verdana" w:eastAsia="Calibri" w:hAnsi="Verdana" w:cs="Arial"/>
          <w:i/>
          <w:iCs/>
        </w:rPr>
        <w:t>plazo de vigencia</w:t>
      </w:r>
      <w:r w:rsidRPr="00E03546">
        <w:rPr>
          <w:rFonts w:ascii="Verdana" w:eastAsia="Calibri" w:hAnsi="Verdana" w:cs="Arial"/>
        </w:rPr>
        <w:t xml:space="preserve"> de este no ha finalizado mientras subsista la obligación para las partes de liquidar el contrato</w:t>
      </w:r>
      <w:r w:rsidRPr="00E03546">
        <w:rPr>
          <w:rFonts w:ascii="Verdana" w:eastAsia="Calibri" w:hAnsi="Verdana" w:cs="Arial"/>
          <w:vertAlign w:val="superscript"/>
        </w:rPr>
        <w:footnoteReference w:id="7"/>
      </w:r>
      <w:r w:rsidRPr="00E03546">
        <w:rPr>
          <w:rFonts w:ascii="Verdana" w:eastAsia="Calibri" w:hAnsi="Verdana" w:cs="Arial"/>
        </w:rPr>
        <w:t>. Por ello, explica lo siguiente:</w:t>
      </w:r>
    </w:p>
    <w:p w14:paraId="4713652A" w14:textId="77777777" w:rsidR="0024436B" w:rsidRPr="00E03546" w:rsidRDefault="0024436B" w:rsidP="006C6956">
      <w:pPr>
        <w:spacing w:after="0" w:line="276" w:lineRule="auto"/>
        <w:ind w:firstLine="708"/>
        <w:jc w:val="both"/>
        <w:rPr>
          <w:rFonts w:ascii="Verdana" w:eastAsia="Calibri" w:hAnsi="Verdana" w:cs="Arial"/>
        </w:rPr>
      </w:pPr>
    </w:p>
    <w:p w14:paraId="6A95350A" w14:textId="77777777" w:rsidR="00AD414D" w:rsidRDefault="00AD414D" w:rsidP="0024436B">
      <w:pPr>
        <w:spacing w:after="0" w:line="276" w:lineRule="auto"/>
        <w:ind w:left="709" w:right="709"/>
        <w:jc w:val="both"/>
        <w:rPr>
          <w:rFonts w:ascii="Verdana" w:eastAsia="Times New Roman" w:hAnsi="Verdana" w:cs="Arial"/>
          <w:color w:val="000000"/>
          <w:sz w:val="20"/>
          <w:szCs w:val="20"/>
          <w:lang w:eastAsia="es-CO"/>
        </w:rPr>
      </w:pPr>
      <w:r w:rsidRPr="00E03546">
        <w:rPr>
          <w:rFonts w:ascii="Verdana" w:eastAsia="Times New Roman" w:hAnsi="Verdana" w:cs="Arial"/>
          <w:color w:val="000000"/>
          <w:sz w:val="20"/>
          <w:szCs w:val="20"/>
          <w:lang w:eastAsia="es-CO"/>
        </w:rPr>
        <w:t>“[…]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obligaciones a cargo del contratista y es la que le pone término a la vinculación de las partes”</w:t>
      </w:r>
      <w:r w:rsidRPr="00E03546">
        <w:rPr>
          <w:rFonts w:ascii="Verdana" w:eastAsia="Times New Roman" w:hAnsi="Verdana" w:cs="Arial"/>
          <w:color w:val="000000"/>
          <w:sz w:val="20"/>
          <w:szCs w:val="20"/>
          <w:vertAlign w:val="superscript"/>
          <w:lang w:eastAsia="es-CO"/>
        </w:rPr>
        <w:footnoteReference w:id="8"/>
      </w:r>
      <w:r w:rsidRPr="00E03546">
        <w:rPr>
          <w:rFonts w:ascii="Verdana" w:eastAsia="Times New Roman" w:hAnsi="Verdana" w:cs="Arial"/>
          <w:color w:val="000000"/>
          <w:sz w:val="20"/>
          <w:szCs w:val="20"/>
          <w:lang w:eastAsia="es-CO"/>
        </w:rPr>
        <w:t>.</w:t>
      </w:r>
    </w:p>
    <w:p w14:paraId="390D5D56" w14:textId="77777777" w:rsidR="0024436B" w:rsidRPr="00A74486" w:rsidRDefault="0024436B" w:rsidP="006C6956">
      <w:pPr>
        <w:spacing w:after="0" w:line="276" w:lineRule="auto"/>
        <w:ind w:left="709" w:right="709"/>
        <w:jc w:val="both"/>
        <w:rPr>
          <w:rFonts w:ascii="Verdana" w:eastAsia="Times New Roman" w:hAnsi="Verdana" w:cs="Arial"/>
          <w:color w:val="000000"/>
          <w:sz w:val="20"/>
          <w:szCs w:val="20"/>
          <w:lang w:eastAsia="es-CO"/>
        </w:rPr>
      </w:pPr>
    </w:p>
    <w:p w14:paraId="5E353389" w14:textId="6E99D249" w:rsidR="00695540" w:rsidRDefault="00AD414D" w:rsidP="006C6956">
      <w:pPr>
        <w:spacing w:after="120" w:line="276" w:lineRule="auto"/>
        <w:ind w:firstLine="709"/>
        <w:jc w:val="both"/>
        <w:rPr>
          <w:rFonts w:ascii="Verdana" w:eastAsia="Times New Roman" w:hAnsi="Verdana" w:cs="Arial"/>
          <w:color w:val="000000"/>
          <w:lang w:eastAsia="es-CO"/>
        </w:rPr>
      </w:pPr>
      <w:r w:rsidRPr="00E03546">
        <w:rPr>
          <w:rFonts w:ascii="Verdana" w:eastAsia="Times New Roman" w:hAnsi="Verdana" w:cs="Arial"/>
          <w:color w:val="000000"/>
          <w:lang w:eastAsia="es-CO"/>
        </w:rPr>
        <w:t xml:space="preserve">Así, la cobertura mínima del amparo de cumplimiento cubre el </w:t>
      </w:r>
      <w:r w:rsidRPr="00E03546">
        <w:rPr>
          <w:rFonts w:ascii="Verdana" w:eastAsia="Times New Roman" w:hAnsi="Verdana" w:cs="Arial"/>
          <w:i/>
          <w:iCs/>
          <w:color w:val="000000"/>
          <w:lang w:eastAsia="es-CO"/>
        </w:rPr>
        <w:t>plazo de ejecución</w:t>
      </w:r>
      <w:r w:rsidRPr="00E03546">
        <w:rPr>
          <w:rFonts w:ascii="Verdana" w:eastAsia="Times New Roman" w:hAnsi="Verdana" w:cs="Arial"/>
          <w:color w:val="000000"/>
          <w:lang w:eastAsia="es-CO"/>
        </w:rPr>
        <w:t xml:space="preserve"> y el </w:t>
      </w:r>
      <w:r w:rsidRPr="00E03546">
        <w:rPr>
          <w:rFonts w:ascii="Verdana" w:eastAsia="Times New Roman" w:hAnsi="Verdana" w:cs="Arial"/>
          <w:i/>
          <w:iCs/>
          <w:color w:val="000000"/>
          <w:lang w:eastAsia="es-CO"/>
        </w:rPr>
        <w:t>plazo de vigencia</w:t>
      </w:r>
      <w:r w:rsidRPr="00E03546">
        <w:rPr>
          <w:rFonts w:ascii="Verdana" w:eastAsia="Times New Roman" w:hAnsi="Verdana" w:cs="Arial"/>
          <w:color w:val="000000"/>
          <w:lang w:eastAsia="es-CO"/>
        </w:rPr>
        <w:t xml:space="preserve">, el cual finaliza con la liquidación. En palabras de la doctrina, “[…] el contratista deberá otorgarla con una vigencia igual al plazo del contrato garantizado más el plazo contractual previsto para la liquidación de </w:t>
      </w:r>
      <w:r w:rsidRPr="00E03546">
        <w:rPr>
          <w:rFonts w:ascii="Verdana" w:eastAsia="Times New Roman" w:hAnsi="Verdana" w:cs="Arial"/>
          <w:color w:val="000000"/>
          <w:lang w:eastAsia="es-CO"/>
        </w:rPr>
        <w:lastRenderedPageBreak/>
        <w:t>aquel. En caso de no haberse convenido por las partes un término para la liquidación del contrato, la garantía deberá mantenerse vigente por el término legal previsto para este efecto […]”</w:t>
      </w:r>
      <w:r w:rsidRPr="00E03546">
        <w:rPr>
          <w:rFonts w:ascii="Verdana" w:eastAsia="Times New Roman" w:hAnsi="Verdana" w:cs="Arial"/>
          <w:color w:val="000000"/>
          <w:vertAlign w:val="superscript"/>
          <w:lang w:eastAsia="es-CO"/>
        </w:rPr>
        <w:footnoteReference w:id="9"/>
      </w:r>
      <w:r w:rsidRPr="00E03546">
        <w:rPr>
          <w:rFonts w:ascii="Verdana" w:eastAsia="Times New Roman" w:hAnsi="Verdana" w:cs="Arial"/>
          <w:color w:val="000000"/>
          <w:lang w:eastAsia="es-CO"/>
        </w:rPr>
        <w:t>. Teniendo en cuenta lo anterior, corresponde analizar los plazos para liquidar los contratos estatales</w:t>
      </w:r>
      <w:r w:rsidR="00760BE5">
        <w:rPr>
          <w:rFonts w:ascii="Verdana" w:eastAsia="Times New Roman" w:hAnsi="Verdana" w:cs="Arial"/>
          <w:color w:val="000000"/>
          <w:lang w:eastAsia="es-CO"/>
        </w:rPr>
        <w:t>.</w:t>
      </w:r>
      <w:r w:rsidR="00C14111">
        <w:rPr>
          <w:rFonts w:ascii="Verdana" w:eastAsia="Times New Roman" w:hAnsi="Verdana" w:cs="Arial"/>
          <w:color w:val="000000"/>
          <w:lang w:eastAsia="es-CO"/>
        </w:rPr>
        <w:t xml:space="preserve"> En ese sentido, si no se ha efectuado la liquidación del contrato</w:t>
      </w:r>
      <w:r w:rsidR="00C25261">
        <w:rPr>
          <w:rFonts w:ascii="Verdana" w:eastAsia="Times New Roman" w:hAnsi="Verdana" w:cs="Arial"/>
          <w:color w:val="000000"/>
          <w:lang w:eastAsia="es-CO"/>
        </w:rPr>
        <w:t xml:space="preserve">, el contratista deberá </w:t>
      </w:r>
      <w:r w:rsidR="009C07AC">
        <w:rPr>
          <w:rFonts w:ascii="Verdana" w:eastAsia="Times New Roman" w:hAnsi="Verdana" w:cs="Arial"/>
          <w:color w:val="000000"/>
          <w:lang w:eastAsia="es-CO"/>
        </w:rPr>
        <w:t xml:space="preserve">ampliar la cobertura, so pena de incumplimiento. </w:t>
      </w:r>
    </w:p>
    <w:p w14:paraId="3465CDF1" w14:textId="77777777" w:rsidR="00A74486" w:rsidRDefault="00E76ED5" w:rsidP="00A428CD">
      <w:pPr>
        <w:spacing w:after="120" w:line="276" w:lineRule="auto"/>
        <w:ind w:firstLine="708"/>
        <w:jc w:val="both"/>
        <w:rPr>
          <w:rFonts w:ascii="Verdana" w:eastAsia="Times New Roman" w:hAnsi="Verdana" w:cs="Arial"/>
          <w:color w:val="000000"/>
          <w:lang w:eastAsia="es-CO"/>
        </w:rPr>
      </w:pPr>
      <w:r w:rsidRPr="00FB4811">
        <w:rPr>
          <w:rFonts w:ascii="Verdana" w:eastAsia="Times New Roman" w:hAnsi="Verdana" w:cs="Arial"/>
          <w:color w:val="000000"/>
          <w:lang w:eastAsia="es-CO"/>
        </w:rPr>
        <w:t>Asimismo, cuando se evidencie que el contratista no está cumpliendo con las obligaciones pactadas, la entidad puede acudir a las herramientas jurídicas establecidas en el artículo 86 de la Ley 1474 de 2011, que le permite declarar el incumplimiento, hacer efectivas las garantías y adoptar las acciones necesarias para proteger el patrimonio público. Una vez cumplido el objeto contractual y si las partes están a paz y salvo en todos los aspectos, debe procederse a la liquidación del contrato, conforme a lo establecido en el artículo 11 de la Ley 1150 de 2007, lo cual permite cerrar formalmente la relación contractual y delimitar las responsabilidades de las partes.</w:t>
      </w:r>
    </w:p>
    <w:p w14:paraId="255E10FE" w14:textId="4B59B833" w:rsidR="00B55640" w:rsidRDefault="00E76ED5" w:rsidP="006C6956">
      <w:pPr>
        <w:spacing w:after="120" w:line="276" w:lineRule="auto"/>
        <w:ind w:firstLine="708"/>
        <w:jc w:val="both"/>
        <w:rPr>
          <w:rFonts w:ascii="Verdana" w:eastAsia="Times New Roman" w:hAnsi="Verdana" w:cs="Arial"/>
          <w:color w:val="000000"/>
          <w:lang w:eastAsia="es-CO"/>
        </w:rPr>
      </w:pPr>
      <w:r w:rsidRPr="00FB4811">
        <w:rPr>
          <w:rFonts w:ascii="Verdana" w:eastAsia="Times New Roman" w:hAnsi="Verdana" w:cs="Arial"/>
          <w:color w:val="000000"/>
          <w:lang w:eastAsia="es-CO"/>
        </w:rPr>
        <w:t xml:space="preserve">No obstante, es importante advertir que la vigencia de los amparos, especialmente el de cumplimiento, debe evaluarse cuidadosamente en cada caso concreto, dado que una garantía vencida podría dejar sin respaldo a la entidad ante eventuales incumplimientos posteriores. </w:t>
      </w:r>
    </w:p>
    <w:p w14:paraId="123C993A" w14:textId="28595FB0" w:rsidR="00B55640" w:rsidRDefault="00B55640" w:rsidP="006C6956">
      <w:pPr>
        <w:spacing w:after="120" w:line="276" w:lineRule="auto"/>
        <w:ind w:firstLine="708"/>
        <w:jc w:val="both"/>
        <w:rPr>
          <w:rFonts w:ascii="Verdana" w:eastAsia="Times New Roman" w:hAnsi="Verdana" w:cs="Arial"/>
          <w:color w:val="000000"/>
          <w:lang w:eastAsia="es-CO"/>
        </w:rPr>
      </w:pPr>
      <w:r w:rsidRPr="0098414F">
        <w:rPr>
          <w:rFonts w:ascii="Verdana" w:eastAsia="Calibri" w:hAnsi="Verdana" w:cs="Arial"/>
          <w:color w:val="000000" w:themeColor="text1"/>
          <w:lang w:val="es-ES"/>
        </w:rPr>
        <w:t xml:space="preserve">En lo que respecta a la </w:t>
      </w:r>
      <w:r w:rsidRPr="0098414F">
        <w:rPr>
          <w:rFonts w:ascii="Verdana" w:eastAsia="Calibri" w:hAnsi="Verdana" w:cs="Arial"/>
          <w:i/>
          <w:iCs/>
          <w:color w:val="000000" w:themeColor="text1"/>
          <w:lang w:val="es-ES"/>
        </w:rPr>
        <w:t>competencia temporal</w:t>
      </w:r>
      <w:r w:rsidR="00B917E7">
        <w:rPr>
          <w:rFonts w:ascii="Verdana" w:eastAsia="Calibri" w:hAnsi="Verdana" w:cs="Arial"/>
          <w:i/>
          <w:iCs/>
          <w:color w:val="000000" w:themeColor="text1"/>
          <w:lang w:val="es-ES"/>
        </w:rPr>
        <w:t xml:space="preserve"> para declarar </w:t>
      </w:r>
      <w:proofErr w:type="gramStart"/>
      <w:r w:rsidR="00B917E7">
        <w:rPr>
          <w:rFonts w:ascii="Verdana" w:eastAsia="Calibri" w:hAnsi="Verdana" w:cs="Arial"/>
          <w:i/>
          <w:iCs/>
          <w:color w:val="000000" w:themeColor="text1"/>
          <w:lang w:val="es-ES"/>
        </w:rPr>
        <w:t xml:space="preserve">el </w:t>
      </w:r>
      <w:r w:rsidRPr="0098414F">
        <w:rPr>
          <w:rFonts w:ascii="Verdana" w:eastAsia="Calibri" w:hAnsi="Verdana" w:cs="Arial"/>
          <w:color w:val="000000" w:themeColor="text1"/>
          <w:lang w:val="es-ES"/>
        </w:rPr>
        <w:t>,</w:t>
      </w:r>
      <w:proofErr w:type="gramEnd"/>
      <w:r w:rsidRPr="0098414F">
        <w:rPr>
          <w:rFonts w:ascii="Verdana" w:eastAsia="Calibri" w:hAnsi="Verdana" w:cs="Arial"/>
          <w:color w:val="000000" w:themeColor="text1"/>
          <w:lang w:val="es-ES"/>
        </w:rPr>
        <w:t xml:space="preserve"> </w:t>
      </w:r>
      <w:bookmarkStart w:id="3" w:name="_Hlk37703948"/>
      <w:r w:rsidRPr="0098414F">
        <w:rPr>
          <w:rFonts w:ascii="Verdana" w:eastAsia="Calibri" w:hAnsi="Verdana" w:cs="Arial"/>
          <w:color w:val="000000" w:themeColor="text1"/>
          <w:lang w:val="es-ES"/>
        </w:rPr>
        <w:t xml:space="preserve">podría pensarse que tanto el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siniestro</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xml:space="preserve"> como la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declaratoria</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xml:space="preserve"> deben ocurrir dentro del mismo plazo. Sin embargo, esta impresión es equivocada, en la medida que el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siniestro</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entendido como la realización del riesgo asegurado, es el único que se debe dar dentro de dicha vigencia. Mientras tanto, el acto administrativo que declara su ocurrencia debe expedirse antes de la prescripción del contrato de seguro</w:t>
      </w:r>
      <w:r w:rsidRPr="0098414F">
        <w:rPr>
          <w:rStyle w:val="Refdenotaalpie"/>
          <w:rFonts w:ascii="Verdana" w:eastAsia="Calibri" w:hAnsi="Verdana" w:cs="Arial"/>
          <w:color w:val="000000" w:themeColor="text1"/>
          <w:lang w:val="es-ES"/>
        </w:rPr>
        <w:footnoteReference w:id="10"/>
      </w:r>
      <w:r w:rsidRPr="0098414F">
        <w:rPr>
          <w:rFonts w:ascii="Verdana" w:eastAsia="Calibri" w:hAnsi="Verdana" w:cs="Arial"/>
          <w:color w:val="000000" w:themeColor="text1"/>
          <w:lang w:val="es-ES"/>
        </w:rPr>
        <w:t xml:space="preserve">. </w:t>
      </w:r>
      <w:bookmarkEnd w:id="3"/>
      <w:r w:rsidRPr="0098414F">
        <w:rPr>
          <w:rFonts w:ascii="Verdana" w:eastAsia="Calibri" w:hAnsi="Verdana" w:cs="Arial"/>
          <w:color w:val="000000" w:themeColor="text1"/>
          <w:lang w:val="es-ES"/>
        </w:rPr>
        <w:t xml:space="preserve">Así las cosas, el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siniestro</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xml:space="preserve"> debe ocurrir durante la vigencia del seguro, aunque su </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declaratoria</w:t>
      </w:r>
      <w:r>
        <w:rPr>
          <w:rFonts w:ascii="Verdana" w:eastAsia="Calibri" w:hAnsi="Verdana" w:cs="Arial"/>
          <w:color w:val="000000" w:themeColor="text1"/>
          <w:lang w:val="es-ES"/>
        </w:rPr>
        <w:t>”</w:t>
      </w:r>
      <w:r w:rsidRPr="0098414F">
        <w:rPr>
          <w:rFonts w:ascii="Verdana" w:eastAsia="Calibri" w:hAnsi="Verdana" w:cs="Arial"/>
          <w:color w:val="000000" w:themeColor="text1"/>
          <w:lang w:val="es-ES"/>
        </w:rPr>
        <w:t xml:space="preserve"> se produzca después del vencimiento de la garantía.</w:t>
      </w:r>
    </w:p>
    <w:p w14:paraId="4FF87826" w14:textId="116CB3DB" w:rsidR="00A74486" w:rsidRDefault="00E76ED5" w:rsidP="006C6956">
      <w:pPr>
        <w:spacing w:after="120" w:line="276" w:lineRule="auto"/>
        <w:ind w:firstLine="708"/>
        <w:jc w:val="both"/>
        <w:rPr>
          <w:rFonts w:ascii="Verdana" w:eastAsia="Times New Roman" w:hAnsi="Verdana" w:cs="Arial"/>
          <w:color w:val="000000"/>
          <w:lang w:eastAsia="es-CO"/>
        </w:rPr>
      </w:pPr>
      <w:r w:rsidRPr="00FB4811">
        <w:rPr>
          <w:rFonts w:ascii="Verdana" w:eastAsia="Times New Roman" w:hAnsi="Verdana" w:cs="Arial"/>
          <w:color w:val="000000"/>
          <w:lang w:eastAsia="es-CO"/>
        </w:rPr>
        <w:lastRenderedPageBreak/>
        <w:t>En este contexto, Colombia Compra Eficiente ha manifestado que no tiene competencia para definir criterios absolutos o universales sobre la forma en que deben adoptarse las decisiones relacionadas con las garantías. Su rol se limita a emitir orientaciones de carácter general, en concordancia con el principio de juridicidad, para que cada entidad, con base en su autonomía y análisis técnico-jurídico, determine la manera de proceder. Es decir, cada entidad estatal es responsable de establecer en el clausulado contractual las condiciones específicas sobre la vigencia de las garantías, y debe hacerlo en coherencia con el marco normativo vigente y las características del contrato.</w:t>
      </w:r>
    </w:p>
    <w:p w14:paraId="78578EE9" w14:textId="355D1B98" w:rsidR="00E76ED5" w:rsidRPr="00E03546" w:rsidRDefault="00E76ED5" w:rsidP="006C6956">
      <w:pPr>
        <w:spacing w:after="120" w:line="276" w:lineRule="auto"/>
        <w:ind w:firstLine="708"/>
        <w:jc w:val="both"/>
        <w:rPr>
          <w:rFonts w:ascii="Verdana" w:eastAsia="Times New Roman" w:hAnsi="Verdana" w:cs="Arial"/>
          <w:color w:val="000000"/>
          <w:lang w:eastAsia="es-CO"/>
        </w:rPr>
      </w:pPr>
      <w:r w:rsidRPr="00FB4811">
        <w:rPr>
          <w:rFonts w:ascii="Verdana" w:eastAsia="Times New Roman" w:hAnsi="Verdana" w:cs="Arial"/>
          <w:color w:val="000000"/>
          <w:lang w:eastAsia="es-CO"/>
        </w:rPr>
        <w:t>Finalmente, se debe reiterar que la interpretación o validación de actuaciones específicas corresponde exclusivamente a los órganos de control o jurisdiccionales, según el caso, y no a entidades administrativas como Colombia Compra Eficiente. Esto garantiza el respeto al debido proceso, la separación de funciones y el equilibrio de poderes dentro del sistema de contratación pública</w:t>
      </w:r>
      <w:r>
        <w:rPr>
          <w:rFonts w:ascii="Verdana" w:eastAsia="Times New Roman" w:hAnsi="Verdana" w:cs="Arial"/>
          <w:color w:val="000000"/>
          <w:lang w:eastAsia="es-CO"/>
        </w:rPr>
        <w:t>.</w:t>
      </w:r>
    </w:p>
    <w:p w14:paraId="52127C20" w14:textId="77777777" w:rsidR="00E76ED5" w:rsidRPr="00E03546" w:rsidRDefault="00E76ED5" w:rsidP="00E76ED5">
      <w:pPr>
        <w:spacing w:after="0" w:line="276" w:lineRule="auto"/>
        <w:jc w:val="both"/>
        <w:rPr>
          <w:rFonts w:ascii="Verdana" w:eastAsia="Calibri" w:hAnsi="Verdana" w:cs="Arial"/>
        </w:rPr>
      </w:pPr>
    </w:p>
    <w:p w14:paraId="2A30BEA7" w14:textId="77777777" w:rsidR="00E76ED5" w:rsidRPr="00E03546" w:rsidRDefault="00E76ED5" w:rsidP="00E76ED5">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4. Referencias normativas, jurisprudenciales y otras fuentes:</w:t>
      </w:r>
    </w:p>
    <w:p w14:paraId="2B0EDD24" w14:textId="77777777" w:rsidR="00E76ED5" w:rsidRPr="00E03546" w:rsidRDefault="00E76ED5" w:rsidP="00E76ED5">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76ED5" w:rsidRPr="00E03546" w14:paraId="085D06F1" w14:textId="77777777" w:rsidTr="00021898">
        <w:trPr>
          <w:trHeight w:val="359"/>
        </w:trPr>
        <w:tc>
          <w:tcPr>
            <w:tcW w:w="8647" w:type="dxa"/>
          </w:tcPr>
          <w:p w14:paraId="67A0E20F" w14:textId="77777777" w:rsidR="00C35A8B" w:rsidRPr="00C35A8B" w:rsidRDefault="00C35A8B" w:rsidP="006C6956">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C35A8B">
              <w:rPr>
                <w:rFonts w:ascii="Verdana" w:eastAsia="Calibri" w:hAnsi="Verdana" w:cs="Arial"/>
              </w:rPr>
              <w:t xml:space="preserve">Código de Comercio, artículo 1048. Disponible en: </w:t>
            </w:r>
            <w:hyperlink r:id="rId13" w:history="1">
              <w:r w:rsidRPr="00C35A8B">
                <w:rPr>
                  <w:rFonts w:ascii="Verdana" w:eastAsia="Calibri" w:hAnsi="Verdana" w:cs="Arial"/>
                  <w:color w:val="0000FF"/>
                  <w:u w:val="single"/>
                </w:rPr>
                <w:t>https://relatoria.colombiacompra.gov.co/normativa/codigo-de-comercio-decreto-410-de-1971/</w:t>
              </w:r>
            </w:hyperlink>
          </w:p>
          <w:p w14:paraId="6FA56999" w14:textId="77777777" w:rsidR="00C35A8B" w:rsidRPr="00C35A8B" w:rsidRDefault="00C35A8B" w:rsidP="006C6956">
            <w:pPr>
              <w:widowControl w:val="0"/>
              <w:autoSpaceDE w:val="0"/>
              <w:autoSpaceDN w:val="0"/>
              <w:spacing w:after="120" w:line="276" w:lineRule="auto"/>
              <w:ind w:left="360"/>
              <w:contextualSpacing/>
              <w:jc w:val="both"/>
              <w:rPr>
                <w:rFonts w:ascii="Verdana" w:eastAsia="Calibri" w:hAnsi="Verdana" w:cs="Arial"/>
              </w:rPr>
            </w:pPr>
          </w:p>
          <w:p w14:paraId="74468B10" w14:textId="06CFDEDD" w:rsidR="00E76ED5" w:rsidRPr="00E03546" w:rsidRDefault="00E76ED5" w:rsidP="006C6956">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 xml:space="preserve">Ley 80 de 1993, artículo 60. Disponible en: </w:t>
            </w:r>
            <w:hyperlink r:id="rId14" w:history="1">
              <w:r w:rsidRPr="00E03546">
                <w:rPr>
                  <w:rFonts w:ascii="Verdana" w:eastAsia="Calibri" w:hAnsi="Verdana" w:cs="Arial"/>
                  <w:color w:val="0000FF"/>
                  <w:u w:val="single"/>
                </w:rPr>
                <w:t>https://relatoria.colombiacompra.gov.co/normativa/ley-80-de-1993/</w:t>
              </w:r>
            </w:hyperlink>
          </w:p>
          <w:p w14:paraId="5151CE9C" w14:textId="77777777" w:rsidR="00E76ED5" w:rsidRPr="00E03546" w:rsidRDefault="00E76ED5" w:rsidP="006C6956">
            <w:pPr>
              <w:widowControl w:val="0"/>
              <w:autoSpaceDE w:val="0"/>
              <w:autoSpaceDN w:val="0"/>
              <w:spacing w:after="120" w:line="276" w:lineRule="auto"/>
              <w:ind w:left="360"/>
              <w:contextualSpacing/>
              <w:jc w:val="both"/>
              <w:rPr>
                <w:rFonts w:ascii="Verdana" w:eastAsia="Calibri" w:hAnsi="Verdana" w:cs="Arial"/>
              </w:rPr>
            </w:pPr>
          </w:p>
          <w:p w14:paraId="4A7022CB" w14:textId="77777777" w:rsidR="00E76ED5" w:rsidRPr="00E03546" w:rsidRDefault="00E76ED5" w:rsidP="006C6956">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 xml:space="preserve">Ley 1150 de 2007, artículo 11. Disponible en: </w:t>
            </w:r>
            <w:hyperlink r:id="rId15" w:history="1">
              <w:r w:rsidRPr="00E03546">
                <w:rPr>
                  <w:rFonts w:ascii="Verdana" w:eastAsia="Calibri" w:hAnsi="Verdana" w:cs="Arial"/>
                  <w:color w:val="0000FF"/>
                  <w:u w:val="single"/>
                </w:rPr>
                <w:t>https://relatoria.colombiacompra.gov.co/normativa/ley-1150-de-2007/</w:t>
              </w:r>
            </w:hyperlink>
          </w:p>
          <w:p w14:paraId="7FDC280C" w14:textId="77777777" w:rsidR="00E76ED5" w:rsidRPr="00E03546" w:rsidRDefault="00E76ED5" w:rsidP="00BA2D0B">
            <w:pPr>
              <w:widowControl w:val="0"/>
              <w:autoSpaceDE w:val="0"/>
              <w:autoSpaceDN w:val="0"/>
              <w:spacing w:after="120" w:line="276" w:lineRule="auto"/>
              <w:contextualSpacing/>
              <w:jc w:val="both"/>
              <w:rPr>
                <w:rFonts w:ascii="Verdana" w:eastAsia="Calibri" w:hAnsi="Verdana" w:cs="Arial"/>
              </w:rPr>
            </w:pPr>
          </w:p>
          <w:p w14:paraId="3BF957A2" w14:textId="77777777" w:rsidR="00E76ED5" w:rsidRPr="00E03546" w:rsidRDefault="00E76ED5" w:rsidP="00BA2D0B">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Decreto</w:t>
            </w:r>
            <w:r w:rsidRPr="00E03546">
              <w:rPr>
                <w:rFonts w:ascii="Verdana" w:eastAsia="Calibri" w:hAnsi="Verdana" w:cs="Arial"/>
              </w:rPr>
              <w:tab/>
              <w:t>1082</w:t>
            </w:r>
            <w:r w:rsidRPr="00E03546">
              <w:rPr>
                <w:rFonts w:ascii="Verdana" w:eastAsia="Calibri" w:hAnsi="Verdana" w:cs="Arial"/>
              </w:rPr>
              <w:tab/>
              <w:t>de</w:t>
            </w:r>
            <w:r w:rsidRPr="00E03546">
              <w:rPr>
                <w:rFonts w:ascii="Verdana" w:eastAsia="Calibri" w:hAnsi="Verdana" w:cs="Arial"/>
              </w:rPr>
              <w:tab/>
              <w:t>2015,</w:t>
            </w:r>
            <w:r w:rsidRPr="00E03546">
              <w:rPr>
                <w:rFonts w:ascii="Verdana" w:eastAsia="Calibri" w:hAnsi="Verdana" w:cs="Arial"/>
              </w:rPr>
              <w:tab/>
              <w:t>artículos</w:t>
            </w:r>
            <w:r w:rsidRPr="00E03546">
              <w:rPr>
                <w:rFonts w:ascii="Verdana" w:eastAsia="Calibri" w:hAnsi="Verdana" w:cs="Arial"/>
              </w:rPr>
              <w:tab/>
              <w:t>2.2.1.2.3.1.3,</w:t>
            </w:r>
            <w:r w:rsidRPr="00E03546">
              <w:rPr>
                <w:rFonts w:ascii="Verdana" w:eastAsia="Calibri" w:hAnsi="Verdana" w:cs="Arial"/>
              </w:rPr>
              <w:tab/>
              <w:t xml:space="preserve">2.2.1.2.3.1.7, 2.2.1.2.3.1.12. Disponible en: </w:t>
            </w:r>
            <w:hyperlink r:id="rId16" w:history="1">
              <w:r w:rsidRPr="00E03546">
                <w:rPr>
                  <w:rFonts w:ascii="Verdana" w:eastAsia="Calibri" w:hAnsi="Verdana" w:cs="Arial"/>
                  <w:color w:val="0000FF"/>
                  <w:u w:val="single"/>
                </w:rPr>
                <w:t>https://relatoria.colombiacompra.gov.co/normativa/decreto-1082-de-2015/</w:t>
              </w:r>
            </w:hyperlink>
          </w:p>
          <w:p w14:paraId="67A3C4AE" w14:textId="77777777" w:rsidR="00E76ED5" w:rsidRPr="00E03546" w:rsidRDefault="00E76ED5" w:rsidP="00BA2D0B">
            <w:pPr>
              <w:widowControl w:val="0"/>
              <w:autoSpaceDE w:val="0"/>
              <w:autoSpaceDN w:val="0"/>
              <w:spacing w:after="120" w:line="276" w:lineRule="auto"/>
              <w:ind w:left="360"/>
              <w:contextualSpacing/>
              <w:jc w:val="both"/>
              <w:rPr>
                <w:rFonts w:ascii="Verdana" w:eastAsia="Calibri" w:hAnsi="Verdana" w:cs="Arial"/>
              </w:rPr>
            </w:pPr>
          </w:p>
          <w:p w14:paraId="10BD3775" w14:textId="77777777" w:rsidR="00E76ED5" w:rsidRPr="00E03546" w:rsidRDefault="00E76ED5" w:rsidP="00BA2D0B">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 xml:space="preserve">CONSEJO DE ESTADO. Sección Tercera. Subsección A. Sentencia del 12 de febrero de 2015. </w:t>
            </w:r>
            <w:proofErr w:type="spellStart"/>
            <w:r w:rsidRPr="00E03546">
              <w:rPr>
                <w:rFonts w:ascii="Verdana" w:eastAsia="Calibri" w:hAnsi="Verdana" w:cs="Arial"/>
              </w:rPr>
              <w:t>Exp</w:t>
            </w:r>
            <w:proofErr w:type="spellEnd"/>
            <w:r w:rsidRPr="00E03546">
              <w:rPr>
                <w:rFonts w:ascii="Verdana" w:eastAsia="Calibri" w:hAnsi="Verdana" w:cs="Arial"/>
              </w:rPr>
              <w:t xml:space="preserve">. 28278. C.P. Carlos Alberto Zambrano Barrera. Disponible: </w:t>
            </w:r>
            <w:hyperlink r:id="rId17" w:history="1">
              <w:r w:rsidRPr="00E03546">
                <w:rPr>
                  <w:rFonts w:ascii="Verdana" w:eastAsia="Calibri" w:hAnsi="Verdana" w:cs="Arial"/>
                  <w:color w:val="0000FF"/>
                  <w:u w:val="single"/>
                </w:rPr>
                <w:t>https://relatoria.colombiacompra.gov.co/providencias/25000-23-26-</w:t>
              </w:r>
              <w:r w:rsidRPr="00E03546">
                <w:rPr>
                  <w:rFonts w:ascii="Verdana" w:eastAsia="Calibri" w:hAnsi="Verdana" w:cs="Arial"/>
                  <w:color w:val="0000FF"/>
                  <w:u w:val="single"/>
                </w:rPr>
                <w:lastRenderedPageBreak/>
                <w:t>000-2003-00874-01_28278/</w:t>
              </w:r>
            </w:hyperlink>
          </w:p>
          <w:p w14:paraId="46053ABA" w14:textId="77777777" w:rsidR="00E76ED5" w:rsidRPr="00E03546" w:rsidRDefault="00E76ED5" w:rsidP="00BA2D0B">
            <w:pPr>
              <w:widowControl w:val="0"/>
              <w:autoSpaceDE w:val="0"/>
              <w:autoSpaceDN w:val="0"/>
              <w:spacing w:after="120" w:line="276" w:lineRule="auto"/>
              <w:ind w:left="360"/>
              <w:contextualSpacing/>
              <w:jc w:val="both"/>
              <w:rPr>
                <w:rFonts w:ascii="Verdana" w:eastAsia="Calibri" w:hAnsi="Verdana" w:cs="Arial"/>
              </w:rPr>
            </w:pPr>
          </w:p>
          <w:p w14:paraId="51AAC663" w14:textId="77777777" w:rsidR="00E76ED5" w:rsidRPr="00E03546" w:rsidRDefault="00E76ED5" w:rsidP="00BA2D0B">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 xml:space="preserve">CONSEJO DE ESTADO. Sección Tercera. Sentencia del 29 de julio de 2015. </w:t>
            </w:r>
            <w:proofErr w:type="spellStart"/>
            <w:r w:rsidRPr="00E03546">
              <w:rPr>
                <w:rFonts w:ascii="Verdana" w:eastAsia="Calibri" w:hAnsi="Verdana" w:cs="Arial"/>
              </w:rPr>
              <w:t>Exp</w:t>
            </w:r>
            <w:proofErr w:type="spellEnd"/>
            <w:r w:rsidRPr="00E03546">
              <w:rPr>
                <w:rFonts w:ascii="Verdana" w:eastAsia="Calibri" w:hAnsi="Verdana" w:cs="Arial"/>
              </w:rPr>
              <w:t xml:space="preserve">. 42.494. C.P. Jaime Orlando Santofimio Gamboa. Disponible en: </w:t>
            </w:r>
            <w:hyperlink r:id="rId18" w:history="1">
              <w:r w:rsidRPr="00E03546">
                <w:rPr>
                  <w:rFonts w:ascii="Verdana" w:eastAsia="Calibri" w:hAnsi="Verdana" w:cs="Arial"/>
                  <w:color w:val="0000FF"/>
                  <w:u w:val="single"/>
                </w:rPr>
                <w:t>https://relatoria.colombiacompra.gov.co/providencias/25000-23-26-000-2007-00108-01_42494/</w:t>
              </w:r>
            </w:hyperlink>
          </w:p>
          <w:p w14:paraId="1F89B57C" w14:textId="77777777" w:rsidR="00E76ED5" w:rsidRPr="00E03546" w:rsidRDefault="00E76ED5" w:rsidP="00BA2D0B">
            <w:pPr>
              <w:widowControl w:val="0"/>
              <w:autoSpaceDE w:val="0"/>
              <w:autoSpaceDN w:val="0"/>
              <w:spacing w:after="120" w:line="276" w:lineRule="auto"/>
              <w:ind w:left="360"/>
              <w:contextualSpacing/>
              <w:jc w:val="both"/>
              <w:rPr>
                <w:rFonts w:ascii="Verdana" w:eastAsia="Calibri" w:hAnsi="Verdana" w:cs="Arial"/>
              </w:rPr>
            </w:pPr>
          </w:p>
          <w:p w14:paraId="010410A5" w14:textId="77777777" w:rsidR="00E76ED5" w:rsidRPr="00E03546" w:rsidRDefault="00E76ED5" w:rsidP="00BA2D0B">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CONSEJO DE ESTADO. Sección Tercera. Subsección C. Radicado No. 05001-23-31-000-1998-00038-01. Número Interno 27.777. M.P.</w:t>
            </w:r>
          </w:p>
          <w:p w14:paraId="13FF3F12" w14:textId="77777777" w:rsidR="00E76ED5" w:rsidRPr="00E03546" w:rsidRDefault="00E76ED5" w:rsidP="00BA2D0B">
            <w:pPr>
              <w:widowControl w:val="0"/>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Enrique Gil Botero</w:t>
            </w:r>
          </w:p>
          <w:p w14:paraId="422340B3" w14:textId="77777777" w:rsidR="00E76ED5" w:rsidRPr="00E03546" w:rsidRDefault="00E76ED5" w:rsidP="00BA2D0B">
            <w:pPr>
              <w:widowControl w:val="0"/>
              <w:autoSpaceDE w:val="0"/>
              <w:autoSpaceDN w:val="0"/>
              <w:spacing w:after="120" w:line="276" w:lineRule="auto"/>
              <w:jc w:val="both"/>
              <w:rPr>
                <w:rFonts w:ascii="Verdana" w:eastAsia="Calibri" w:hAnsi="Verdana" w:cs="Arial"/>
              </w:rPr>
            </w:pPr>
          </w:p>
          <w:p w14:paraId="5D75E9FB" w14:textId="77777777" w:rsidR="00E76ED5" w:rsidRPr="00E03546" w:rsidRDefault="00E76ED5" w:rsidP="00BA2D0B">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 xml:space="preserve">CONSEJO DE ESTADO. Sección Tercera. Sentencia del 13 de septiembre de 1999. </w:t>
            </w:r>
            <w:proofErr w:type="spellStart"/>
            <w:r w:rsidRPr="00E03546">
              <w:rPr>
                <w:rFonts w:ascii="Verdana" w:eastAsia="Calibri" w:hAnsi="Verdana" w:cs="Arial"/>
              </w:rPr>
              <w:t>Exp</w:t>
            </w:r>
            <w:proofErr w:type="spellEnd"/>
            <w:r w:rsidRPr="00E03546">
              <w:rPr>
                <w:rFonts w:ascii="Verdana" w:eastAsia="Calibri" w:hAnsi="Verdana" w:cs="Arial"/>
              </w:rPr>
              <w:t>. 10.264. C.P. Ricardo Hoyos Duque.</w:t>
            </w:r>
          </w:p>
          <w:p w14:paraId="0F9E2757" w14:textId="77777777" w:rsidR="00E76ED5" w:rsidRPr="00E03546" w:rsidRDefault="00E76ED5" w:rsidP="00BA2D0B">
            <w:pPr>
              <w:widowControl w:val="0"/>
              <w:autoSpaceDE w:val="0"/>
              <w:autoSpaceDN w:val="0"/>
              <w:spacing w:after="120" w:line="276" w:lineRule="auto"/>
              <w:ind w:left="360"/>
              <w:contextualSpacing/>
              <w:jc w:val="both"/>
              <w:rPr>
                <w:rFonts w:ascii="Verdana" w:eastAsia="Calibri" w:hAnsi="Verdana" w:cs="Arial"/>
              </w:rPr>
            </w:pPr>
          </w:p>
          <w:p w14:paraId="4157F053" w14:textId="2B0C3372" w:rsidR="00E76ED5" w:rsidRPr="00E03546" w:rsidRDefault="00E76ED5" w:rsidP="00BA2D0B">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 xml:space="preserve">CONSEJO DE ESTADO. Sala de Consulta y Servicio Civil. Concepto de 28 de junio de 2016. Radicación: 2253. C.P. Álvaro </w:t>
            </w:r>
            <w:proofErr w:type="spellStart"/>
            <w:r w:rsidRPr="00E03546">
              <w:rPr>
                <w:rFonts w:ascii="Verdana" w:eastAsia="Calibri" w:hAnsi="Verdana" w:cs="Arial"/>
              </w:rPr>
              <w:t>Namén</w:t>
            </w:r>
            <w:proofErr w:type="spellEnd"/>
            <w:r w:rsidRPr="00E03546">
              <w:rPr>
                <w:rFonts w:ascii="Verdana" w:eastAsia="Calibri" w:hAnsi="Verdana" w:cs="Arial"/>
              </w:rPr>
              <w:t xml:space="preserve"> Vargas</w:t>
            </w:r>
            <w:r w:rsidR="00C35A8B" w:rsidRPr="00C35A8B">
              <w:rPr>
                <w:rFonts w:ascii="Verdana" w:eastAsia="Calibri" w:hAnsi="Verdana" w:cs="Arial"/>
              </w:rPr>
              <w:t>.</w:t>
            </w:r>
          </w:p>
          <w:p w14:paraId="21D96D8D" w14:textId="77777777" w:rsidR="00C35A8B" w:rsidRPr="00C35A8B" w:rsidRDefault="00C35A8B" w:rsidP="00BA2D0B">
            <w:pPr>
              <w:widowControl w:val="0"/>
              <w:autoSpaceDE w:val="0"/>
              <w:autoSpaceDN w:val="0"/>
              <w:spacing w:after="120" w:line="276" w:lineRule="auto"/>
              <w:contextualSpacing/>
              <w:jc w:val="both"/>
              <w:rPr>
                <w:rFonts w:ascii="Verdana" w:eastAsia="Calibri" w:hAnsi="Verdana" w:cs="Arial"/>
              </w:rPr>
            </w:pPr>
          </w:p>
          <w:p w14:paraId="65AB7113" w14:textId="15B76FBF" w:rsidR="00E76ED5" w:rsidRPr="00E03546" w:rsidRDefault="00E76ED5" w:rsidP="00BA2D0B">
            <w:pPr>
              <w:widowControl w:val="0"/>
              <w:numPr>
                <w:ilvl w:val="0"/>
                <w:numId w:val="16"/>
              </w:numPr>
              <w:autoSpaceDE w:val="0"/>
              <w:autoSpaceDN w:val="0"/>
              <w:spacing w:after="120" w:line="276" w:lineRule="auto"/>
              <w:ind w:left="360"/>
              <w:contextualSpacing/>
              <w:jc w:val="both"/>
              <w:rPr>
                <w:rFonts w:ascii="Verdana" w:eastAsia="Calibri" w:hAnsi="Verdana" w:cs="Arial"/>
              </w:rPr>
            </w:pPr>
            <w:r w:rsidRPr="00E03546">
              <w:rPr>
                <w:rFonts w:ascii="Verdana" w:eastAsia="Calibri" w:hAnsi="Verdana" w:cs="Arial"/>
              </w:rPr>
              <w:t xml:space="preserve">CONSEJO DE ESTADO. Sección Tercera. </w:t>
            </w:r>
            <w:r w:rsidRPr="006F44C3">
              <w:rPr>
                <w:rFonts w:ascii="Verdana" w:eastAsia="Calibri" w:hAnsi="Verdana" w:cs="Arial"/>
                <w:lang w:val="pt-PT"/>
              </w:rPr>
              <w:t xml:space="preserve">Sala Plena. Auto de 1 de agosto de 2019. </w:t>
            </w:r>
            <w:proofErr w:type="spellStart"/>
            <w:r w:rsidRPr="00E03546">
              <w:rPr>
                <w:rFonts w:ascii="Verdana" w:eastAsia="Calibri" w:hAnsi="Verdana" w:cs="Arial"/>
              </w:rPr>
              <w:t>Exp</w:t>
            </w:r>
            <w:proofErr w:type="spellEnd"/>
            <w:r w:rsidRPr="00E03546">
              <w:rPr>
                <w:rFonts w:ascii="Verdana" w:eastAsia="Calibri" w:hAnsi="Verdana" w:cs="Arial"/>
              </w:rPr>
              <w:t xml:space="preserve">. 62009. C.P. Jaime Enrique Rodríguez Navas. Disponible en: </w:t>
            </w:r>
            <w:hyperlink r:id="rId19" w:history="1">
              <w:r w:rsidRPr="00E03546">
                <w:rPr>
                  <w:rFonts w:ascii="Verdana" w:eastAsia="Calibri" w:hAnsi="Verdana" w:cs="Arial"/>
                  <w:color w:val="0000FF"/>
                  <w:u w:val="single"/>
                </w:rPr>
                <w:t>https://relatoria.colombiacompra.gov.co/providencias/2019_05001-23-33-000-2018-00342-01_62009/</w:t>
              </w:r>
            </w:hyperlink>
          </w:p>
          <w:p w14:paraId="35B5C595" w14:textId="77777777" w:rsidR="00E76ED5" w:rsidRPr="00E03546" w:rsidRDefault="00E76ED5" w:rsidP="00BA2D0B">
            <w:pPr>
              <w:widowControl w:val="0"/>
              <w:autoSpaceDE w:val="0"/>
              <w:autoSpaceDN w:val="0"/>
              <w:spacing w:after="120" w:line="276" w:lineRule="auto"/>
              <w:ind w:left="360"/>
              <w:contextualSpacing/>
              <w:jc w:val="both"/>
              <w:rPr>
                <w:rFonts w:ascii="Verdana" w:eastAsia="Calibri" w:hAnsi="Verdana" w:cs="Arial"/>
              </w:rPr>
            </w:pPr>
          </w:p>
          <w:p w14:paraId="1969BBF9" w14:textId="77777777" w:rsidR="00E76ED5" w:rsidRPr="00E03546" w:rsidRDefault="00E76ED5" w:rsidP="00BA2D0B">
            <w:pPr>
              <w:numPr>
                <w:ilvl w:val="0"/>
                <w:numId w:val="16"/>
              </w:numPr>
              <w:spacing w:after="120" w:line="276" w:lineRule="auto"/>
              <w:ind w:left="360"/>
              <w:contextualSpacing/>
              <w:jc w:val="both"/>
              <w:rPr>
                <w:rFonts w:ascii="Verdana" w:eastAsia="Calibri" w:hAnsi="Verdana" w:cs="Arial"/>
              </w:rPr>
            </w:pPr>
            <w:r w:rsidRPr="00E03546">
              <w:rPr>
                <w:rFonts w:ascii="Verdana" w:eastAsia="Calibri" w:hAnsi="Verdana" w:cs="Arial"/>
              </w:rPr>
              <w:t>PALACIO HINCAPIÉ, Juan Ángel. La contratación de las entidades estatales. Octava edición. Medellín: Librería Jurídica Sánchez R. SAS, 2020.</w:t>
            </w:r>
          </w:p>
        </w:tc>
      </w:tr>
    </w:tbl>
    <w:p w14:paraId="73E009F7" w14:textId="77777777" w:rsidR="00E76ED5" w:rsidRPr="00E03546" w:rsidRDefault="00E76ED5" w:rsidP="00E76ED5">
      <w:pPr>
        <w:tabs>
          <w:tab w:val="left" w:pos="142"/>
          <w:tab w:val="left" w:pos="284"/>
        </w:tabs>
        <w:spacing w:after="0" w:line="276" w:lineRule="auto"/>
        <w:jc w:val="both"/>
        <w:rPr>
          <w:rFonts w:ascii="Verdana" w:eastAsia="Century Gothic" w:hAnsi="Verdana" w:cs="Century Gothic"/>
          <w:b/>
          <w:bCs/>
        </w:rPr>
      </w:pPr>
    </w:p>
    <w:p w14:paraId="74EB2E55" w14:textId="77777777" w:rsidR="00E76ED5" w:rsidRPr="00E03546" w:rsidRDefault="00E76ED5" w:rsidP="00E76ED5">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5. Doctrina de la Agencia Nacional de Contratación Pública:</w:t>
      </w:r>
    </w:p>
    <w:p w14:paraId="7D5D5867" w14:textId="77777777" w:rsidR="00E76ED5" w:rsidRPr="00E03546" w:rsidRDefault="00E76ED5" w:rsidP="00E76ED5">
      <w:pPr>
        <w:spacing w:after="0" w:line="276" w:lineRule="auto"/>
        <w:ind w:firstLine="709"/>
        <w:jc w:val="both"/>
        <w:rPr>
          <w:rFonts w:ascii="Verdana" w:eastAsia="Times New Roman" w:hAnsi="Verdana" w:cs="Arial"/>
          <w:lang w:eastAsia="es-ES_tradnl"/>
        </w:rPr>
      </w:pPr>
    </w:p>
    <w:p w14:paraId="01156C6B" w14:textId="77777777" w:rsidR="00E76ED5" w:rsidRPr="00E03546" w:rsidRDefault="00E76ED5" w:rsidP="00C35A8B">
      <w:pPr>
        <w:widowControl w:val="0"/>
        <w:autoSpaceDE w:val="0"/>
        <w:autoSpaceDN w:val="0"/>
        <w:spacing w:after="0" w:line="276" w:lineRule="auto"/>
        <w:jc w:val="both"/>
        <w:rPr>
          <w:rFonts w:ascii="Verdana" w:eastAsia="Calibri" w:hAnsi="Verdana" w:cs="Arial"/>
          <w:lang w:eastAsia="es-ES_tradnl"/>
        </w:rPr>
      </w:pPr>
      <w:r w:rsidRPr="00E03546">
        <w:rPr>
          <w:rFonts w:ascii="Verdana" w:eastAsia="Calibri" w:hAnsi="Verdana" w:cs="Arial"/>
          <w:lang w:val="es-ES_tradnl" w:eastAsia="es-ES_tradnl"/>
        </w:rPr>
        <w:t>La Agencia Nacional de Contratación Pública – Colombia Compra Eficiente se ha pronunciado s</w:t>
      </w:r>
      <w:r w:rsidRPr="00E03546">
        <w:rPr>
          <w:rFonts w:ascii="Verdana" w:eastAsia="Calibri" w:hAnsi="Verdana" w:cs="Arial"/>
          <w:color w:val="000000"/>
          <w:shd w:val="clear" w:color="auto" w:fill="FFFFFF"/>
          <w:lang w:val="es-ES"/>
        </w:rPr>
        <w:t>obre las garantías en la contratación estatal en los conceptos 2201913000009075 del 9 de diciembre de 2019, C-080 del 8 de abril de 2021, C-525 del 24 de septiembre de 2021, C-584 del 26 de septiembre de 2022 y C-066 del 21 de abril de 2024, entre otros</w:t>
      </w:r>
      <w:r w:rsidRPr="00E03546">
        <w:rPr>
          <w:rFonts w:ascii="Verdana" w:eastAsia="Calibri" w:hAnsi="Verdana" w:cs="Arial"/>
          <w:lang w:val="es-ES" w:eastAsia="es-ES_tradnl"/>
        </w:rPr>
        <w:t>.</w:t>
      </w:r>
      <w:r w:rsidRPr="00E03546">
        <w:rPr>
          <w:rFonts w:ascii="Verdana" w:eastAsia="Calibri" w:hAnsi="Verdana" w:cs="Arial"/>
          <w:lang w:eastAsia="es-ES_tradnl"/>
        </w:rPr>
        <w:t xml:space="preserve"> </w:t>
      </w:r>
      <w:r w:rsidRPr="00E03546">
        <w:rPr>
          <w:rFonts w:ascii="Verdana" w:eastAsia="Calibri" w:hAnsi="Verdana" w:cs="Arial"/>
          <w:shd w:val="clear" w:color="auto" w:fill="FFFFFF"/>
        </w:rPr>
        <w:t xml:space="preserve">Estos y otros conceptos los podrá consultar en el siguiente enlace: </w:t>
      </w:r>
      <w:hyperlink r:id="rId20" w:tooltip="Dirección URL original: https://relatoria.colombiacompra.gov.co/. Haga clic o pulse si confía en este vínculo." w:history="1">
        <w:r w:rsidRPr="00E03546">
          <w:rPr>
            <w:rFonts w:ascii="Verdana" w:eastAsia="Calibri" w:hAnsi="Verdana" w:cs="Arial"/>
            <w:color w:val="0000FF"/>
            <w:u w:val="single"/>
            <w:lang w:eastAsia="es-ES_tradnl"/>
          </w:rPr>
          <w:t>https://relatoria.colombiacompra.gov.co/</w:t>
        </w:r>
      </w:hyperlink>
      <w:r w:rsidRPr="00E03546">
        <w:rPr>
          <w:rFonts w:ascii="Verdana" w:eastAsia="Calibri" w:hAnsi="Verdana" w:cs="Arial"/>
          <w:lang w:eastAsia="es-ES_tradnl"/>
        </w:rPr>
        <w:t> </w:t>
      </w:r>
    </w:p>
    <w:p w14:paraId="71942643" w14:textId="77777777" w:rsidR="00C35A8B" w:rsidRPr="00C35A8B" w:rsidRDefault="00C35A8B" w:rsidP="00BA2D0B">
      <w:pPr>
        <w:widowControl w:val="0"/>
        <w:autoSpaceDE w:val="0"/>
        <w:autoSpaceDN w:val="0"/>
        <w:spacing w:after="0" w:line="276" w:lineRule="auto"/>
        <w:jc w:val="both"/>
        <w:rPr>
          <w:rFonts w:ascii="Verdana" w:eastAsia="Calibri" w:hAnsi="Verdana" w:cs="Arial"/>
          <w:lang w:eastAsia="es-ES_tradnl"/>
        </w:rPr>
      </w:pPr>
    </w:p>
    <w:p w14:paraId="7961A496" w14:textId="77777777" w:rsidR="00E76ED5" w:rsidRDefault="00E76ED5" w:rsidP="00C35A8B">
      <w:pPr>
        <w:spacing w:after="0" w:line="276" w:lineRule="auto"/>
        <w:jc w:val="both"/>
        <w:rPr>
          <w:rFonts w:ascii="Verdana" w:hAnsi="Verdana"/>
        </w:rPr>
      </w:pPr>
      <w:r w:rsidRPr="00E03546">
        <w:rPr>
          <w:rFonts w:ascii="Verdana" w:eastAsia="Calibri" w:hAnsi="Verdana" w:cs="Arial"/>
        </w:rPr>
        <w:t>Te informamos que ya se encuentra disponible la </w:t>
      </w:r>
      <w:r w:rsidRPr="00E03546">
        <w:rPr>
          <w:rFonts w:ascii="Verdana" w:eastAsia="Calibri" w:hAnsi="Verdana" w:cs="Arial"/>
          <w:b/>
          <w:bCs/>
        </w:rPr>
        <w:t xml:space="preserve">Cartilla para incentivar y fortalecer el acceso a las compras y contratación pública de los pueblos </w:t>
      </w:r>
      <w:r w:rsidRPr="00E03546">
        <w:rPr>
          <w:rFonts w:ascii="Verdana" w:eastAsia="Calibri" w:hAnsi="Verdana" w:cs="Arial"/>
          <w:b/>
          <w:bCs/>
        </w:rPr>
        <w:lastRenderedPageBreak/>
        <w:t>y comunidades étnicas en Colombia.</w:t>
      </w:r>
      <w:r w:rsidRPr="00E03546">
        <w:rPr>
          <w:rFonts w:ascii="Verdana" w:eastAsia="Calibri" w:hAnsi="Verdana" w:cs="Arial"/>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21" w:tgtFrame="_blank" w:tooltip="Dirección URL original: https://www.colombiacompra.gov.co/manuales-guias-y-pliegos-tipo/manuales-y-guias/cartilla-para-incentivar-y-fortalecer-el-acceso-las. Haga clic o pulse si confía en este vínculo." w:history="1">
        <w:r w:rsidRPr="00E03546">
          <w:rPr>
            <w:rFonts w:ascii="Verdana" w:eastAsia="Calibri" w:hAnsi="Verdana" w:cs="Arial"/>
            <w:color w:val="0000FF"/>
            <w:u w:val="single"/>
          </w:rPr>
          <w:t>Cartilla para incentivar y fortalecer el acceso a las compras y contratación pública de los pueblos y comunidades étnicas en Colombia | Colombia Compra Eficiente | Agencia Nacional de Contratación Pública</w:t>
        </w:r>
      </w:hyperlink>
    </w:p>
    <w:p w14:paraId="32A555AD" w14:textId="77777777" w:rsidR="00C35A8B" w:rsidRPr="00C35A8B" w:rsidRDefault="00C35A8B" w:rsidP="00BA2D0B">
      <w:pPr>
        <w:spacing w:after="0" w:line="276" w:lineRule="auto"/>
        <w:jc w:val="both"/>
        <w:rPr>
          <w:rFonts w:ascii="Verdana" w:eastAsia="Calibri" w:hAnsi="Verdana" w:cs="Arial"/>
        </w:rPr>
      </w:pPr>
    </w:p>
    <w:p w14:paraId="21F85987" w14:textId="77777777" w:rsidR="00E76ED5" w:rsidRPr="00E03546" w:rsidRDefault="00E76ED5" w:rsidP="00BA2D0B">
      <w:pPr>
        <w:spacing w:after="0" w:line="276" w:lineRule="auto"/>
        <w:jc w:val="both"/>
        <w:rPr>
          <w:rFonts w:ascii="Verdana" w:eastAsia="Calibri" w:hAnsi="Verdana" w:cs="Arial"/>
        </w:rPr>
      </w:pPr>
      <w:r w:rsidRPr="00E03546">
        <w:rPr>
          <w:rFonts w:ascii="Verdana" w:eastAsia="Calibri" w:hAnsi="Verdana" w:cs="Arial"/>
        </w:rPr>
        <w:t xml:space="preserve">Por último, lo invitamos a seguirnos en las redes sociales en las cuales se difunde información institucional: </w:t>
      </w:r>
    </w:p>
    <w:p w14:paraId="48C19899" w14:textId="77777777" w:rsidR="00E76ED5" w:rsidRPr="00E03546" w:rsidRDefault="00E76ED5" w:rsidP="00783B42">
      <w:pPr>
        <w:spacing w:after="0" w:line="276" w:lineRule="auto"/>
        <w:jc w:val="both"/>
        <w:rPr>
          <w:rFonts w:ascii="Verdana" w:eastAsia="Calibri" w:hAnsi="Verdana" w:cs="Arial"/>
        </w:rPr>
      </w:pPr>
      <w:r w:rsidRPr="00E03546">
        <w:rPr>
          <w:rFonts w:ascii="Verdana" w:eastAsia="Calibri" w:hAnsi="Verdana" w:cs="Arial"/>
        </w:rPr>
        <w:t xml:space="preserve">Twitter: </w:t>
      </w:r>
      <w:r w:rsidRPr="00E03546">
        <w:rPr>
          <w:rFonts w:ascii="Verdana" w:eastAsia="Calibri" w:hAnsi="Verdana" w:cs="Arial"/>
          <w:color w:val="4472C4"/>
          <w:u w:val="single"/>
        </w:rPr>
        <w:t>@colombiacompra</w:t>
      </w:r>
      <w:r w:rsidRPr="00E03546">
        <w:rPr>
          <w:rFonts w:ascii="Verdana" w:eastAsia="Calibri" w:hAnsi="Verdana" w:cs="Arial"/>
          <w:color w:val="4472C4"/>
        </w:rPr>
        <w:t xml:space="preserve"> </w:t>
      </w:r>
    </w:p>
    <w:p w14:paraId="4607F59B" w14:textId="77777777" w:rsidR="00E76ED5" w:rsidRPr="00E03546" w:rsidRDefault="00E76ED5" w:rsidP="00783B42">
      <w:pPr>
        <w:spacing w:after="0" w:line="276" w:lineRule="auto"/>
        <w:jc w:val="both"/>
        <w:rPr>
          <w:rFonts w:ascii="Verdana" w:eastAsia="Calibri" w:hAnsi="Verdana" w:cs="Arial"/>
        </w:rPr>
      </w:pPr>
      <w:r w:rsidRPr="00E03546">
        <w:rPr>
          <w:rFonts w:ascii="Verdana" w:eastAsia="Calibri" w:hAnsi="Verdana" w:cs="Arial"/>
        </w:rPr>
        <w:t xml:space="preserve">Facebook: </w:t>
      </w:r>
      <w:proofErr w:type="spellStart"/>
      <w:r w:rsidRPr="00E03546">
        <w:rPr>
          <w:rFonts w:ascii="Verdana" w:eastAsia="Calibri" w:hAnsi="Verdana" w:cs="Arial"/>
          <w:color w:val="4472C4"/>
          <w:u w:val="single"/>
        </w:rPr>
        <w:t>ColombiaCompraEficiente</w:t>
      </w:r>
      <w:proofErr w:type="spellEnd"/>
    </w:p>
    <w:p w14:paraId="3A6614D9" w14:textId="77777777" w:rsidR="00E76ED5" w:rsidRDefault="00E76ED5" w:rsidP="00783B42">
      <w:pPr>
        <w:spacing w:after="0" w:line="276" w:lineRule="auto"/>
        <w:jc w:val="both"/>
        <w:rPr>
          <w:rFonts w:ascii="Verdana" w:eastAsia="Calibri" w:hAnsi="Verdana" w:cs="Arial"/>
          <w:color w:val="4472C4"/>
          <w:u w:val="single"/>
        </w:rPr>
      </w:pPr>
      <w:r w:rsidRPr="00E03546">
        <w:rPr>
          <w:rFonts w:ascii="Verdana" w:eastAsia="Calibri" w:hAnsi="Verdana" w:cs="Arial"/>
        </w:rPr>
        <w:t xml:space="preserve">LinkedIn: </w:t>
      </w:r>
      <w:r w:rsidRPr="00E03546">
        <w:rPr>
          <w:rFonts w:ascii="Verdana" w:eastAsia="Calibri" w:hAnsi="Verdana" w:cs="Arial"/>
          <w:color w:val="4472C4"/>
          <w:u w:val="single"/>
        </w:rPr>
        <w:t>Agencia Nacional de Contratación Pública - Colombia Compra Eficiente</w:t>
      </w:r>
      <w:r w:rsidRPr="00E03546">
        <w:rPr>
          <w:rFonts w:ascii="Verdana" w:eastAsia="Calibri" w:hAnsi="Verdana" w:cs="Arial"/>
          <w:color w:val="4472C4"/>
        </w:rPr>
        <w:t xml:space="preserve"> </w:t>
      </w:r>
      <w:r w:rsidRPr="00E03546">
        <w:rPr>
          <w:rFonts w:ascii="Verdana" w:eastAsia="Calibri" w:hAnsi="Verdana" w:cs="Arial"/>
        </w:rPr>
        <w:t xml:space="preserve">Instagram: </w:t>
      </w:r>
      <w:r w:rsidRPr="00E03546">
        <w:rPr>
          <w:rFonts w:ascii="Verdana" w:eastAsia="Calibri" w:hAnsi="Verdana" w:cs="Arial"/>
          <w:color w:val="4472C4"/>
          <w:u w:val="single"/>
        </w:rPr>
        <w:t>@colombiacompraeficiente_cce</w:t>
      </w:r>
    </w:p>
    <w:p w14:paraId="4D2D64BB" w14:textId="77777777" w:rsidR="00783B42" w:rsidRPr="00E03546" w:rsidRDefault="00783B42" w:rsidP="00783B42">
      <w:pPr>
        <w:spacing w:after="0" w:line="276" w:lineRule="auto"/>
        <w:jc w:val="both"/>
        <w:rPr>
          <w:rFonts w:ascii="Verdana" w:eastAsia="Calibri" w:hAnsi="Verdana" w:cs="Arial"/>
        </w:rPr>
      </w:pPr>
    </w:p>
    <w:p w14:paraId="59D88E25" w14:textId="77777777" w:rsidR="00E76ED5" w:rsidRPr="00E03546" w:rsidRDefault="00E76ED5" w:rsidP="00BA2D0B">
      <w:pPr>
        <w:widowControl w:val="0"/>
        <w:autoSpaceDE w:val="0"/>
        <w:autoSpaceDN w:val="0"/>
        <w:spacing w:after="0" w:line="276" w:lineRule="auto"/>
        <w:jc w:val="both"/>
        <w:rPr>
          <w:rFonts w:ascii="Verdana" w:eastAsia="Calibri" w:hAnsi="Verdana" w:cs="Arial"/>
        </w:rPr>
      </w:pPr>
      <w:r w:rsidRPr="00E03546">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3D2149B" w14:textId="77777777" w:rsidR="00E76ED5" w:rsidRPr="00E03546" w:rsidRDefault="00E76ED5" w:rsidP="00E76ED5">
      <w:pPr>
        <w:spacing w:after="0" w:line="276" w:lineRule="auto"/>
        <w:ind w:firstLine="709"/>
        <w:jc w:val="both"/>
        <w:rPr>
          <w:rFonts w:ascii="Verdana" w:eastAsia="Times New Roman" w:hAnsi="Verdana" w:cs="Arial"/>
          <w:lang w:eastAsia="es-ES_tradnl"/>
        </w:rPr>
      </w:pPr>
    </w:p>
    <w:p w14:paraId="0D6D5F1F" w14:textId="77777777" w:rsidR="00E76ED5" w:rsidRPr="00E03546" w:rsidRDefault="00E76ED5" w:rsidP="00E76ED5">
      <w:pPr>
        <w:spacing w:after="0" w:line="276" w:lineRule="auto"/>
        <w:jc w:val="both"/>
        <w:rPr>
          <w:rFonts w:ascii="Verdana" w:eastAsia="Times New Roman" w:hAnsi="Verdana" w:cs="Arial"/>
          <w:lang w:eastAsia="es-CO"/>
        </w:rPr>
      </w:pPr>
      <w:bookmarkStart w:id="4" w:name="_Hlk117695077"/>
      <w:r w:rsidRPr="00E03546">
        <w:rPr>
          <w:rFonts w:ascii="Verdana" w:eastAsia="Times New Roman" w:hAnsi="Verdana" w:cs="Arial"/>
          <w:lang w:eastAsia="es-CO"/>
        </w:rPr>
        <w:t>Atentamente,</w:t>
      </w:r>
    </w:p>
    <w:bookmarkEnd w:id="4"/>
    <w:p w14:paraId="37E6CF73" w14:textId="593E07D3" w:rsidR="00E76ED5" w:rsidRDefault="00C920B0" w:rsidP="00E76ED5">
      <w:pPr>
        <w:spacing w:after="18" w:line="276" w:lineRule="auto"/>
        <w:jc w:val="center"/>
        <w:rPr>
          <w:rFonts w:ascii="Verdana" w:eastAsia="Times New Roman" w:hAnsi="Verdana" w:cs="Arial"/>
          <w:lang w:eastAsia="es-CO"/>
        </w:rPr>
      </w:pPr>
      <w:r w:rsidRPr="002C3AD6">
        <w:rPr>
          <w:rFonts w:ascii="Century Gothic" w:hAnsi="Century Gothic"/>
          <w:noProof/>
        </w:rPr>
        <w:drawing>
          <wp:inline distT="0" distB="0" distL="0" distR="0" wp14:anchorId="3BBF2236" wp14:editId="2E90556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772426" cy="1400370"/>
                    </a:xfrm>
                    <a:prstGeom prst="rect">
                      <a:avLst/>
                    </a:prstGeom>
                  </pic:spPr>
                </pic:pic>
              </a:graphicData>
            </a:graphic>
          </wp:inline>
        </w:drawing>
      </w:r>
    </w:p>
    <w:p w14:paraId="2CB1488B" w14:textId="77777777" w:rsidR="00E76ED5" w:rsidRPr="005176C9" w:rsidRDefault="00E76ED5" w:rsidP="00E76ED5">
      <w:pPr>
        <w:spacing w:after="18" w:line="276" w:lineRule="auto"/>
        <w:jc w:val="center"/>
        <w:rPr>
          <w:rFonts w:ascii="Verdana" w:eastAsia="Times New Roman" w:hAnsi="Verdana" w:cs="Arial"/>
          <w:sz w:val="14"/>
          <w:szCs w:val="14"/>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2"/>
        <w:gridCol w:w="5182"/>
      </w:tblGrid>
      <w:tr w:rsidR="00E76ED5" w:rsidRPr="005176C9" w14:paraId="1D675253" w14:textId="77777777" w:rsidTr="00021898">
        <w:trPr>
          <w:trHeight w:val="292"/>
        </w:trPr>
        <w:tc>
          <w:tcPr>
            <w:tcW w:w="1112" w:type="dxa"/>
            <w:vAlign w:val="center"/>
            <w:hideMark/>
          </w:tcPr>
          <w:p w14:paraId="2838C734" w14:textId="77777777" w:rsidR="00E76ED5" w:rsidRPr="005176C9" w:rsidRDefault="00E76ED5" w:rsidP="00021898">
            <w:pPr>
              <w:rPr>
                <w:rFonts w:ascii="Verdana" w:eastAsia="Times New Roman" w:hAnsi="Verdana" w:cs="Arial"/>
                <w:sz w:val="14"/>
                <w:szCs w:val="14"/>
                <w:lang w:eastAsia="es-ES"/>
              </w:rPr>
            </w:pPr>
            <w:r w:rsidRPr="005176C9">
              <w:rPr>
                <w:rFonts w:ascii="Verdana" w:eastAsia="Times New Roman" w:hAnsi="Verdana" w:cs="Arial"/>
                <w:sz w:val="14"/>
                <w:szCs w:val="14"/>
                <w:lang w:eastAsia="es-ES"/>
              </w:rPr>
              <w:t>Elaboró:</w:t>
            </w:r>
          </w:p>
        </w:tc>
        <w:tc>
          <w:tcPr>
            <w:tcW w:w="5182" w:type="dxa"/>
            <w:tcBorders>
              <w:top w:val="nil"/>
              <w:left w:val="nil"/>
              <w:bottom w:val="dotted" w:sz="4" w:space="0" w:color="7F7F7F" w:themeColor="text1" w:themeTint="80"/>
              <w:right w:val="nil"/>
            </w:tcBorders>
            <w:vAlign w:val="center"/>
            <w:hideMark/>
          </w:tcPr>
          <w:p w14:paraId="253ECD0A" w14:textId="77777777" w:rsidR="00E76ED5" w:rsidRPr="005176C9" w:rsidRDefault="00E76ED5" w:rsidP="00021898">
            <w:pPr>
              <w:rPr>
                <w:rFonts w:ascii="Verdana" w:eastAsia="Times New Roman" w:hAnsi="Verdana" w:cs="Arial"/>
                <w:sz w:val="14"/>
                <w:szCs w:val="14"/>
                <w:lang w:eastAsia="es-ES"/>
              </w:rPr>
            </w:pPr>
            <w:r w:rsidRPr="005176C9">
              <w:rPr>
                <w:rFonts w:ascii="Verdana" w:eastAsia="Times New Roman" w:hAnsi="Verdana" w:cs="Arial"/>
                <w:sz w:val="14"/>
                <w:szCs w:val="14"/>
                <w:lang w:eastAsia="es-ES"/>
              </w:rPr>
              <w:t xml:space="preserve">Richard Andrés Montenegro </w:t>
            </w:r>
            <w:proofErr w:type="spellStart"/>
            <w:r w:rsidRPr="005176C9">
              <w:rPr>
                <w:rFonts w:ascii="Verdana" w:eastAsia="Times New Roman" w:hAnsi="Verdana" w:cs="Arial"/>
                <w:sz w:val="14"/>
                <w:szCs w:val="14"/>
                <w:lang w:eastAsia="es-ES"/>
              </w:rPr>
              <w:t>Siefken</w:t>
            </w:r>
            <w:proofErr w:type="spellEnd"/>
            <w:r w:rsidRPr="005176C9">
              <w:rPr>
                <w:rFonts w:ascii="Verdana" w:eastAsia="Times New Roman" w:hAnsi="Verdana" w:cs="Arial"/>
                <w:sz w:val="14"/>
                <w:szCs w:val="14"/>
                <w:lang w:eastAsia="es-ES"/>
              </w:rPr>
              <w:t xml:space="preserve"> </w:t>
            </w:r>
          </w:p>
          <w:p w14:paraId="754CC67B" w14:textId="77777777" w:rsidR="00E76ED5" w:rsidRPr="005176C9" w:rsidRDefault="00E76ED5" w:rsidP="00021898">
            <w:pPr>
              <w:rPr>
                <w:rFonts w:ascii="Verdana" w:eastAsia="Times New Roman" w:hAnsi="Verdana" w:cs="Arial"/>
                <w:sz w:val="14"/>
                <w:szCs w:val="14"/>
                <w:lang w:eastAsia="es-ES"/>
              </w:rPr>
            </w:pPr>
            <w:r w:rsidRPr="005176C9">
              <w:rPr>
                <w:rFonts w:ascii="Verdana" w:eastAsia="Times New Roman" w:hAnsi="Verdana" w:cs="Arial"/>
                <w:sz w:val="14"/>
                <w:szCs w:val="14"/>
                <w:lang w:eastAsia="es-ES"/>
              </w:rPr>
              <w:t>Contratista de la Subdirección de Gestión Contractual</w:t>
            </w:r>
          </w:p>
        </w:tc>
      </w:tr>
      <w:tr w:rsidR="00E76ED5" w:rsidRPr="005176C9" w14:paraId="6DF87A66" w14:textId="77777777" w:rsidTr="00021898">
        <w:trPr>
          <w:trHeight w:val="305"/>
        </w:trPr>
        <w:tc>
          <w:tcPr>
            <w:tcW w:w="1112" w:type="dxa"/>
            <w:vAlign w:val="center"/>
            <w:hideMark/>
          </w:tcPr>
          <w:p w14:paraId="1FCDF486" w14:textId="77777777" w:rsidR="00E76ED5" w:rsidRPr="005176C9" w:rsidRDefault="00E76ED5" w:rsidP="00021898">
            <w:pPr>
              <w:rPr>
                <w:rFonts w:ascii="Verdana" w:eastAsia="Times New Roman" w:hAnsi="Verdana" w:cs="Arial"/>
                <w:sz w:val="14"/>
                <w:szCs w:val="14"/>
                <w:lang w:eastAsia="es-ES"/>
              </w:rPr>
            </w:pPr>
            <w:r w:rsidRPr="005176C9">
              <w:rPr>
                <w:rFonts w:ascii="Verdana" w:eastAsia="Times New Roman" w:hAnsi="Verdana" w:cs="Arial"/>
                <w:sz w:val="14"/>
                <w:szCs w:val="14"/>
                <w:lang w:eastAsia="es-ES"/>
              </w:rPr>
              <w:t>Revisó:</w:t>
            </w:r>
          </w:p>
        </w:tc>
        <w:tc>
          <w:tcPr>
            <w:tcW w:w="5182" w:type="dxa"/>
            <w:tcBorders>
              <w:top w:val="dotted" w:sz="4" w:space="0" w:color="7F7F7F" w:themeColor="text1" w:themeTint="80"/>
              <w:left w:val="nil"/>
              <w:bottom w:val="dotted" w:sz="4" w:space="0" w:color="7F7F7F" w:themeColor="text1" w:themeTint="80"/>
              <w:right w:val="nil"/>
            </w:tcBorders>
            <w:vAlign w:val="center"/>
            <w:hideMark/>
          </w:tcPr>
          <w:p w14:paraId="3B2A7F43" w14:textId="77777777" w:rsidR="00E76ED5" w:rsidRPr="005176C9" w:rsidRDefault="00E76ED5" w:rsidP="00021898">
            <w:pPr>
              <w:rPr>
                <w:rFonts w:ascii="Verdana" w:eastAsia="Times New Roman" w:hAnsi="Verdana" w:cs="Arial"/>
                <w:sz w:val="14"/>
                <w:szCs w:val="14"/>
                <w:lang w:eastAsia="es-ES"/>
              </w:rPr>
            </w:pPr>
            <w:r w:rsidRPr="005176C9">
              <w:rPr>
                <w:rFonts w:ascii="Verdana" w:eastAsia="Times New Roman" w:hAnsi="Verdana" w:cs="Arial"/>
                <w:sz w:val="14"/>
                <w:szCs w:val="14"/>
                <w:lang w:eastAsia="es-ES"/>
              </w:rPr>
              <w:t>Diana Lucia Saavedra Castañeda</w:t>
            </w:r>
          </w:p>
          <w:p w14:paraId="68610B39" w14:textId="77777777" w:rsidR="00E76ED5" w:rsidRPr="005176C9" w:rsidRDefault="00E76ED5" w:rsidP="00021898">
            <w:pPr>
              <w:rPr>
                <w:rFonts w:ascii="Verdana" w:eastAsia="Times New Roman" w:hAnsi="Verdana" w:cs="Arial"/>
                <w:sz w:val="14"/>
                <w:szCs w:val="14"/>
                <w:lang w:eastAsia="es-ES"/>
              </w:rPr>
            </w:pPr>
            <w:r w:rsidRPr="005176C9">
              <w:rPr>
                <w:rFonts w:ascii="Verdana" w:eastAsia="Times New Roman" w:hAnsi="Verdana" w:cs="Arial"/>
                <w:sz w:val="14"/>
                <w:szCs w:val="14"/>
                <w:lang w:eastAsia="es-ES"/>
              </w:rPr>
              <w:t>Contratista de la Subdirección de Gestión Contractual</w:t>
            </w:r>
          </w:p>
        </w:tc>
      </w:tr>
      <w:tr w:rsidR="00E76ED5" w:rsidRPr="005176C9" w14:paraId="0394C961" w14:textId="77777777" w:rsidTr="00021898">
        <w:trPr>
          <w:trHeight w:val="278"/>
        </w:trPr>
        <w:tc>
          <w:tcPr>
            <w:tcW w:w="1112" w:type="dxa"/>
            <w:vAlign w:val="center"/>
            <w:hideMark/>
          </w:tcPr>
          <w:p w14:paraId="707C7C16" w14:textId="77777777" w:rsidR="00E76ED5" w:rsidRPr="005176C9" w:rsidRDefault="00E76ED5" w:rsidP="00021898">
            <w:pPr>
              <w:rPr>
                <w:rFonts w:ascii="Verdana" w:eastAsia="Times New Roman" w:hAnsi="Verdana" w:cs="Arial"/>
                <w:sz w:val="14"/>
                <w:szCs w:val="14"/>
                <w:lang w:eastAsia="es-ES"/>
              </w:rPr>
            </w:pPr>
            <w:r w:rsidRPr="005176C9">
              <w:rPr>
                <w:rFonts w:ascii="Verdana" w:eastAsia="Times New Roman" w:hAnsi="Verdana" w:cs="Arial"/>
                <w:sz w:val="14"/>
                <w:szCs w:val="14"/>
                <w:lang w:eastAsia="es-ES"/>
              </w:rPr>
              <w:t>Aprobó:</w:t>
            </w:r>
          </w:p>
        </w:tc>
        <w:tc>
          <w:tcPr>
            <w:tcW w:w="5182" w:type="dxa"/>
            <w:tcBorders>
              <w:top w:val="dotted" w:sz="4" w:space="0" w:color="7F7F7F" w:themeColor="text1" w:themeTint="80"/>
              <w:left w:val="nil"/>
              <w:bottom w:val="dotted" w:sz="4" w:space="0" w:color="7F7F7F" w:themeColor="text1" w:themeTint="80"/>
              <w:right w:val="nil"/>
            </w:tcBorders>
            <w:vAlign w:val="center"/>
            <w:hideMark/>
          </w:tcPr>
          <w:p w14:paraId="72B13A85" w14:textId="77777777" w:rsidR="00E76ED5" w:rsidRPr="005176C9" w:rsidRDefault="00E76ED5" w:rsidP="00021898">
            <w:pPr>
              <w:rPr>
                <w:rFonts w:ascii="Verdana" w:eastAsia="Times New Roman" w:hAnsi="Verdana" w:cs="Arial"/>
                <w:sz w:val="14"/>
                <w:szCs w:val="14"/>
                <w:lang w:eastAsia="es-ES"/>
              </w:rPr>
            </w:pPr>
            <w:r w:rsidRPr="005176C9">
              <w:rPr>
                <w:rFonts w:ascii="Verdana" w:eastAsia="Times New Roman" w:hAnsi="Verdana" w:cs="Arial"/>
                <w:sz w:val="14"/>
                <w:szCs w:val="14"/>
                <w:lang w:eastAsia="es-ES"/>
              </w:rPr>
              <w:t xml:space="preserve">Carolina Quintero </w:t>
            </w:r>
            <w:proofErr w:type="spellStart"/>
            <w:r w:rsidRPr="005176C9">
              <w:rPr>
                <w:rFonts w:ascii="Verdana" w:eastAsia="Times New Roman" w:hAnsi="Verdana" w:cs="Arial"/>
                <w:sz w:val="14"/>
                <w:szCs w:val="14"/>
                <w:lang w:eastAsia="es-ES"/>
              </w:rPr>
              <w:t>Gacharná</w:t>
            </w:r>
            <w:proofErr w:type="spellEnd"/>
          </w:p>
          <w:p w14:paraId="141EFB20" w14:textId="77777777" w:rsidR="00E76ED5" w:rsidRPr="005176C9" w:rsidRDefault="00E76ED5" w:rsidP="00021898">
            <w:pPr>
              <w:rPr>
                <w:rFonts w:ascii="Verdana" w:eastAsia="Times New Roman" w:hAnsi="Verdana" w:cs="Arial"/>
                <w:sz w:val="14"/>
                <w:szCs w:val="14"/>
                <w:lang w:eastAsia="es-ES"/>
              </w:rPr>
            </w:pPr>
            <w:r w:rsidRPr="005176C9">
              <w:rPr>
                <w:rFonts w:ascii="Verdana" w:eastAsia="Times New Roman" w:hAnsi="Verdana" w:cs="Arial"/>
                <w:sz w:val="14"/>
                <w:szCs w:val="14"/>
                <w:lang w:eastAsia="es-ES"/>
              </w:rPr>
              <w:t>Subdirectora de Gestión Contractual ANCP – CCE</w:t>
            </w:r>
          </w:p>
        </w:tc>
      </w:tr>
    </w:tbl>
    <w:p w14:paraId="7DFE3E0A" w14:textId="77777777" w:rsidR="00E76ED5" w:rsidRDefault="00E76ED5" w:rsidP="00E76ED5">
      <w:pPr>
        <w:spacing w:after="0" w:line="276" w:lineRule="auto"/>
        <w:jc w:val="both"/>
        <w:rPr>
          <w:rFonts w:ascii="Verdana" w:eastAsia="Times New Roman" w:hAnsi="Verdana" w:cs="Arial"/>
        </w:rPr>
      </w:pPr>
    </w:p>
    <w:p w14:paraId="1D9F017E" w14:textId="77777777" w:rsidR="00E76ED5" w:rsidRPr="00E03546" w:rsidRDefault="00E76ED5" w:rsidP="00E76ED5">
      <w:pPr>
        <w:spacing w:after="0" w:line="276" w:lineRule="auto"/>
        <w:jc w:val="both"/>
        <w:rPr>
          <w:rFonts w:ascii="Verdana" w:eastAsia="Times New Roman" w:hAnsi="Verdana" w:cs="Arial"/>
        </w:rPr>
      </w:pPr>
    </w:p>
    <w:p w14:paraId="7808FBFD" w14:textId="77777777" w:rsidR="00E76ED5" w:rsidRPr="00E03546" w:rsidRDefault="00E76ED5" w:rsidP="00E76ED5">
      <w:pPr>
        <w:spacing w:line="276" w:lineRule="auto"/>
        <w:rPr>
          <w:rFonts w:ascii="Verdana" w:eastAsia="Calibri" w:hAnsi="Verdana" w:cs="Arial"/>
        </w:rPr>
      </w:pPr>
    </w:p>
    <w:p w14:paraId="0BB8021D" w14:textId="77777777" w:rsidR="00E76ED5" w:rsidRPr="003652B5" w:rsidRDefault="00E76ED5" w:rsidP="00E76ED5"/>
    <w:bookmarkEnd w:id="0"/>
    <w:p w14:paraId="0F293BF4" w14:textId="20CC970A" w:rsidR="00127233" w:rsidRPr="00FF3248" w:rsidRDefault="00127233" w:rsidP="00FF3248"/>
    <w:sectPr w:rsidR="00127233" w:rsidRPr="00FF3248"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93C16" w14:textId="77777777" w:rsidR="000D58FD" w:rsidRDefault="000D58FD" w:rsidP="004A1847">
      <w:pPr>
        <w:spacing w:after="0" w:line="240" w:lineRule="auto"/>
      </w:pPr>
      <w:r>
        <w:separator/>
      </w:r>
    </w:p>
  </w:endnote>
  <w:endnote w:type="continuationSeparator" w:id="0">
    <w:p w14:paraId="65C3006C" w14:textId="77777777" w:rsidR="000D58FD" w:rsidRDefault="000D58F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BCDHEE+Verdana">
    <w:altName w:val="Verdana"/>
    <w:panose1 w:val="00000000000000000000"/>
    <w:charset w:val="00"/>
    <w:family w:val="swiss"/>
    <w:notTrueType/>
    <w:pitch w:val="default"/>
    <w:sig w:usb0="00000003" w:usb1="00000000"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Light"/>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09516" w14:textId="77777777" w:rsidR="000D58FD" w:rsidRDefault="000D58FD" w:rsidP="004A1847">
      <w:pPr>
        <w:spacing w:after="0" w:line="240" w:lineRule="auto"/>
      </w:pPr>
      <w:r>
        <w:separator/>
      </w:r>
    </w:p>
  </w:footnote>
  <w:footnote w:type="continuationSeparator" w:id="0">
    <w:p w14:paraId="7034C457" w14:textId="77777777" w:rsidR="000D58FD" w:rsidRDefault="000D58FD" w:rsidP="004A1847">
      <w:pPr>
        <w:spacing w:after="0" w:line="240" w:lineRule="auto"/>
      </w:pPr>
      <w:r>
        <w:continuationSeparator/>
      </w:r>
    </w:p>
  </w:footnote>
  <w:footnote w:id="1">
    <w:p w14:paraId="55E6AD3C" w14:textId="77777777" w:rsidR="00651CC5" w:rsidRPr="0098414F" w:rsidRDefault="00651CC5" w:rsidP="00651CC5">
      <w:pPr>
        <w:pStyle w:val="Textonotapie"/>
        <w:ind w:firstLine="709"/>
        <w:jc w:val="both"/>
        <w:rPr>
          <w:rFonts w:ascii="Verdana" w:eastAsia="Calibri" w:hAnsi="Verdana" w:cs="Arial"/>
          <w:color w:val="000000" w:themeColor="text1"/>
          <w:sz w:val="16"/>
          <w:szCs w:val="16"/>
          <w:lang w:val="es-ES_tradnl"/>
        </w:rPr>
      </w:pPr>
      <w:r w:rsidRPr="0098414F">
        <w:rPr>
          <w:rStyle w:val="Refdenotaalpie"/>
          <w:rFonts w:ascii="Verdana" w:hAnsi="Verdana" w:cs="Arial"/>
          <w:color w:val="000000" w:themeColor="text1"/>
          <w:sz w:val="16"/>
          <w:szCs w:val="16"/>
        </w:rPr>
        <w:footnoteRef/>
      </w:r>
      <w:r w:rsidRPr="0098414F">
        <w:rPr>
          <w:rFonts w:ascii="Verdana" w:hAnsi="Verdana" w:cs="Arial"/>
          <w:color w:val="000000" w:themeColor="text1"/>
          <w:sz w:val="16"/>
          <w:szCs w:val="16"/>
        </w:rPr>
        <w:t xml:space="preserve"> </w:t>
      </w:r>
      <w:r w:rsidRPr="0098414F">
        <w:rPr>
          <w:rFonts w:ascii="Verdana" w:eastAsia="Calibri" w:hAnsi="Verdana" w:cs="Arial"/>
          <w:color w:val="000000" w:themeColor="text1"/>
          <w:sz w:val="16"/>
          <w:szCs w:val="16"/>
          <w:lang w:val="es-ES_tradnl"/>
        </w:rPr>
        <w:t xml:space="preserve">Para estos efectos, el artículo 1081 del Código de Comercio dispone que </w:t>
      </w:r>
      <w:r>
        <w:rPr>
          <w:rFonts w:ascii="Verdana" w:eastAsia="Calibri" w:hAnsi="Verdana" w:cs="Arial"/>
          <w:color w:val="000000" w:themeColor="text1"/>
          <w:sz w:val="16"/>
          <w:szCs w:val="16"/>
          <w:lang w:val="es-ES_tradnl"/>
        </w:rPr>
        <w:t>“</w:t>
      </w:r>
      <w:r w:rsidRPr="0098414F">
        <w:rPr>
          <w:rFonts w:ascii="Verdana" w:eastAsia="Calibri" w:hAnsi="Verdana" w:cs="Arial"/>
          <w:color w:val="000000" w:themeColor="text1"/>
          <w:sz w:val="16"/>
          <w:szCs w:val="16"/>
          <w:lang w:val="es-ES_tradnl"/>
        </w:rPr>
        <w:t>La prescripción de las acciones que se derivan del contrato de seguro o de las disposiciones que lo rigen podrá ser ordinaria o extraordinaria.</w:t>
      </w:r>
    </w:p>
    <w:p w14:paraId="0D90A9F8" w14:textId="77777777" w:rsidR="00651CC5" w:rsidRPr="0098414F" w:rsidRDefault="00651CC5" w:rsidP="00651CC5">
      <w:pPr>
        <w:pStyle w:val="Textonotapie"/>
        <w:ind w:firstLine="709"/>
        <w:jc w:val="both"/>
        <w:rPr>
          <w:rFonts w:ascii="Verdana" w:eastAsia="Calibri" w:hAnsi="Verdana" w:cs="Arial"/>
          <w:color w:val="000000" w:themeColor="text1"/>
          <w:sz w:val="16"/>
          <w:szCs w:val="16"/>
          <w:lang w:val="es-ES_tradnl"/>
        </w:rPr>
      </w:pPr>
      <w:r w:rsidRPr="0098414F">
        <w:rPr>
          <w:rFonts w:ascii="Verdana" w:eastAsia="Calibri" w:hAnsi="Verdana" w:cs="Arial"/>
          <w:color w:val="000000" w:themeColor="text1"/>
          <w:sz w:val="16"/>
          <w:szCs w:val="16"/>
          <w:lang w:val="es-ES_tradnl"/>
        </w:rPr>
        <w:t>La prescripción ordinaria será de dos años y empezará a correr desde el momento en que el interesado haya tenido o debido tener conocimiento del hecho que da base a la acción.</w:t>
      </w:r>
    </w:p>
    <w:p w14:paraId="01D55A67" w14:textId="77777777" w:rsidR="00651CC5" w:rsidRPr="0098414F" w:rsidRDefault="00651CC5" w:rsidP="00651CC5">
      <w:pPr>
        <w:pStyle w:val="Textonotapie"/>
        <w:ind w:firstLine="709"/>
        <w:jc w:val="both"/>
        <w:rPr>
          <w:rFonts w:ascii="Verdana" w:eastAsia="Calibri" w:hAnsi="Verdana" w:cs="Arial"/>
          <w:color w:val="000000" w:themeColor="text1"/>
          <w:sz w:val="16"/>
          <w:szCs w:val="16"/>
          <w:lang w:val="es-ES_tradnl"/>
        </w:rPr>
      </w:pPr>
      <w:r w:rsidRPr="0098414F">
        <w:rPr>
          <w:rFonts w:ascii="Verdana" w:eastAsia="Calibri" w:hAnsi="Verdana" w:cs="Arial"/>
          <w:color w:val="000000" w:themeColor="text1"/>
          <w:sz w:val="16"/>
          <w:szCs w:val="16"/>
          <w:lang w:val="es-ES_tradnl"/>
        </w:rPr>
        <w:t>La prescripción extraordinaria será de cinco años, correrá contra toda clase de personas y empezará a contarse desde el momento en que nace el respectivo derecho.</w:t>
      </w:r>
    </w:p>
    <w:p w14:paraId="70F9C395" w14:textId="77777777" w:rsidR="00651CC5" w:rsidRPr="0098414F" w:rsidRDefault="00651CC5" w:rsidP="00651CC5">
      <w:pPr>
        <w:pStyle w:val="Textonotapie"/>
        <w:ind w:firstLine="709"/>
        <w:jc w:val="both"/>
        <w:rPr>
          <w:rFonts w:ascii="Verdana" w:eastAsia="Calibri" w:hAnsi="Verdana" w:cs="Arial"/>
          <w:color w:val="000000" w:themeColor="text1"/>
          <w:sz w:val="16"/>
          <w:szCs w:val="16"/>
          <w:lang w:val="es-ES_tradnl"/>
        </w:rPr>
      </w:pPr>
      <w:r w:rsidRPr="0098414F">
        <w:rPr>
          <w:rFonts w:ascii="Verdana" w:eastAsia="Calibri" w:hAnsi="Verdana" w:cs="Arial"/>
          <w:color w:val="000000" w:themeColor="text1"/>
          <w:sz w:val="16"/>
          <w:szCs w:val="16"/>
          <w:lang w:val="es-ES_tradnl"/>
        </w:rPr>
        <w:t>Estos términos no pueden ser modificados por las partes</w:t>
      </w:r>
      <w:r>
        <w:rPr>
          <w:rFonts w:ascii="Verdana" w:eastAsia="Calibri" w:hAnsi="Verdana" w:cs="Arial"/>
          <w:color w:val="000000" w:themeColor="text1"/>
          <w:sz w:val="16"/>
          <w:szCs w:val="16"/>
          <w:lang w:val="es-ES_tradnl"/>
        </w:rPr>
        <w:t>”</w:t>
      </w:r>
      <w:r w:rsidRPr="0098414F">
        <w:rPr>
          <w:rFonts w:ascii="Verdana" w:eastAsia="Calibri" w:hAnsi="Verdana" w:cs="Arial"/>
          <w:color w:val="000000" w:themeColor="text1"/>
          <w:sz w:val="16"/>
          <w:szCs w:val="16"/>
          <w:lang w:val="es-ES_tradnl"/>
        </w:rPr>
        <w:t>.</w:t>
      </w:r>
    </w:p>
  </w:footnote>
  <w:footnote w:id="2">
    <w:p w14:paraId="4D659D4E" w14:textId="71016800" w:rsidR="00152E8B" w:rsidRPr="00986DDF" w:rsidRDefault="00152E8B" w:rsidP="003E2F72">
      <w:pPr>
        <w:pStyle w:val="Textonotapie"/>
        <w:jc w:val="both"/>
        <w:rPr>
          <w:rFonts w:ascii="Verdana" w:hAnsi="Verdana"/>
          <w:sz w:val="16"/>
          <w:szCs w:val="16"/>
          <w:lang w:val="es-CO"/>
        </w:rPr>
      </w:pPr>
      <w:r w:rsidRPr="00986DDF">
        <w:rPr>
          <w:rStyle w:val="Refdenotaalpie"/>
          <w:rFonts w:ascii="Verdana" w:hAnsi="Verdana"/>
        </w:rPr>
        <w:footnoteRef/>
      </w:r>
      <w:r w:rsidRPr="00986DDF">
        <w:rPr>
          <w:rFonts w:ascii="Verdana" w:hAnsi="Verdana"/>
        </w:rPr>
        <w:t xml:space="preserve"> </w:t>
      </w:r>
      <w:r w:rsidR="00986DDF" w:rsidRPr="00986DDF">
        <w:rPr>
          <w:rFonts w:ascii="Verdana" w:hAnsi="Verdana"/>
          <w:lang w:val="es-CO"/>
        </w:rPr>
        <w:t xml:space="preserve"> </w:t>
      </w:r>
      <w:r w:rsidR="00986DDF" w:rsidRPr="00986DDF">
        <w:rPr>
          <w:rFonts w:ascii="Verdana" w:hAnsi="Verdana"/>
          <w:sz w:val="16"/>
          <w:szCs w:val="16"/>
          <w:lang w:val="es-CO"/>
        </w:rPr>
        <w:t xml:space="preserve">Colombia Compra Eficiente. Guía de garantías en procesos de contratación. Página. 12. Disponible en: </w:t>
      </w:r>
      <w:hyperlink r:id="rId1" w:history="1">
        <w:r w:rsidR="00986DDF" w:rsidRPr="007766C4">
          <w:rPr>
            <w:rStyle w:val="Hipervnculo"/>
            <w:rFonts w:ascii="Verdana" w:hAnsi="Verdana"/>
            <w:sz w:val="16"/>
            <w:szCs w:val="16"/>
            <w:lang w:val="es-CO"/>
          </w:rPr>
          <w:t>https://www.colombiacompra.gov.co/manuales-guias-y-pliegos-tipo/manuales-y-guias</w:t>
        </w:r>
      </w:hyperlink>
      <w:r w:rsidR="00986DDF">
        <w:rPr>
          <w:rFonts w:ascii="Verdana" w:hAnsi="Verdana"/>
          <w:sz w:val="16"/>
          <w:szCs w:val="16"/>
          <w:lang w:val="es-CO"/>
        </w:rPr>
        <w:t xml:space="preserve">; </w:t>
      </w:r>
    </w:p>
  </w:footnote>
  <w:footnote w:id="3">
    <w:p w14:paraId="1CB71FD1" w14:textId="0AED0A84" w:rsidR="003E2F72" w:rsidRPr="003E2F72" w:rsidRDefault="003E2F72" w:rsidP="003E2F72">
      <w:pPr>
        <w:pStyle w:val="Textonotapie"/>
        <w:jc w:val="both"/>
        <w:rPr>
          <w:lang w:val="es-CO"/>
        </w:rPr>
      </w:pPr>
      <w:r>
        <w:rPr>
          <w:rStyle w:val="Refdenotaalpie"/>
        </w:rPr>
        <w:footnoteRef/>
      </w:r>
      <w:r>
        <w:t xml:space="preserve"> </w:t>
      </w:r>
      <w:r w:rsidRPr="003E2F72">
        <w:rPr>
          <w:rFonts w:ascii="Verdana" w:hAnsi="Verdana"/>
          <w:sz w:val="10"/>
          <w:szCs w:val="10"/>
          <w:lang w:val="es-CO"/>
        </w:rPr>
        <w:t>Ibidem. Página.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 w:id="4">
    <w:p w14:paraId="5C925254" w14:textId="77777777" w:rsidR="00253F3D" w:rsidRPr="00B365C1" w:rsidRDefault="00253F3D" w:rsidP="00253F3D">
      <w:pPr>
        <w:pStyle w:val="Textonotapie"/>
        <w:ind w:firstLine="708"/>
        <w:jc w:val="both"/>
        <w:rPr>
          <w:rFonts w:ascii="Verdana" w:hAnsi="Verdana" w:cs="Arial"/>
          <w:sz w:val="16"/>
          <w:szCs w:val="16"/>
        </w:rPr>
      </w:pPr>
      <w:r w:rsidRPr="00B365C1">
        <w:rPr>
          <w:rStyle w:val="Refdenotaalpie"/>
          <w:rFonts w:ascii="Verdana" w:hAnsi="Verdana" w:cs="Arial"/>
          <w:sz w:val="16"/>
          <w:szCs w:val="16"/>
        </w:rPr>
        <w:footnoteRef/>
      </w:r>
      <w:r w:rsidRPr="00B365C1">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5">
    <w:p w14:paraId="746D53E7" w14:textId="77777777" w:rsidR="00253F3D" w:rsidRPr="00B365C1" w:rsidRDefault="00253F3D" w:rsidP="00253F3D">
      <w:pPr>
        <w:pStyle w:val="Textonotapie"/>
        <w:ind w:firstLine="709"/>
        <w:jc w:val="both"/>
        <w:rPr>
          <w:rFonts w:ascii="Verdana" w:hAnsi="Verdana" w:cs="Arial"/>
          <w:color w:val="000000" w:themeColor="text1"/>
          <w:sz w:val="16"/>
          <w:szCs w:val="16"/>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6">
    <w:p w14:paraId="2555BA0A" w14:textId="77777777" w:rsidR="00AD414D" w:rsidRPr="00404570" w:rsidRDefault="00AD414D" w:rsidP="00AD414D">
      <w:pPr>
        <w:pStyle w:val="Textonotapie"/>
        <w:ind w:firstLine="708"/>
        <w:jc w:val="both"/>
        <w:rPr>
          <w:rFonts w:ascii="Verdana" w:hAnsi="Verdana" w:cs="Arial"/>
          <w:color w:val="000000"/>
          <w:sz w:val="16"/>
          <w:szCs w:val="16"/>
        </w:rPr>
      </w:pPr>
      <w:r w:rsidRPr="00404570">
        <w:rPr>
          <w:rStyle w:val="Refdenotaalpie"/>
          <w:rFonts w:ascii="Verdana" w:hAnsi="Verdana" w:cs="Arial"/>
          <w:color w:val="000000"/>
          <w:sz w:val="16"/>
          <w:szCs w:val="16"/>
        </w:rPr>
        <w:footnoteRef/>
      </w:r>
      <w:r w:rsidRPr="00404570">
        <w:rPr>
          <w:rFonts w:ascii="Verdana" w:hAnsi="Verdana" w:cs="Arial"/>
          <w:color w:val="000000"/>
          <w:sz w:val="16"/>
          <w:szCs w:val="16"/>
        </w:rPr>
        <w:t xml:space="preserve"> “Artículo 2.2.1.2.3.1.12. Suficiencia de la garantía de cumplimiento. La garantía de cumplimiento del contrato debe tener una vigencia mínima hasta la liquidación del contrato. El valor de esta garantía debe ser de por lo menos el diez por ciento (10%) del valor del contrato a menos que el valor del contrato sea superior a un millón (1.000.000) de smmlv, caso en el cual la Entidad Estatal aplicará las siguientes reglas: </w:t>
      </w:r>
    </w:p>
    <w:p w14:paraId="64CEDAFC" w14:textId="77777777" w:rsidR="00AD414D" w:rsidRPr="00404570" w:rsidRDefault="00AD414D" w:rsidP="00AD414D">
      <w:pPr>
        <w:pStyle w:val="Textonotapie"/>
        <w:ind w:firstLine="708"/>
        <w:jc w:val="both"/>
        <w:rPr>
          <w:rFonts w:ascii="Verdana" w:hAnsi="Verdana" w:cs="Arial"/>
          <w:color w:val="000000"/>
          <w:sz w:val="16"/>
          <w:szCs w:val="16"/>
        </w:rPr>
      </w:pPr>
      <w:r w:rsidRPr="00404570">
        <w:rPr>
          <w:rFonts w:ascii="Verdana" w:hAnsi="Verdana" w:cs="Arial"/>
          <w:color w:val="000000"/>
          <w:sz w:val="16"/>
          <w:szCs w:val="16"/>
        </w:rPr>
        <w:t xml:space="preserve">1. Si el valor del contrato es superior a un millón (1.000.000) de smmlv y hasta cinco millones (5.000.000) de smmlv, la Entidad Estatal puede aceptar garantías que cubran al menos el dos punto cinco por ciento (2,5%) del valor del contrato. </w:t>
      </w:r>
    </w:p>
    <w:p w14:paraId="6EB3EF14" w14:textId="77777777" w:rsidR="00AD414D" w:rsidRPr="00404570" w:rsidRDefault="00AD414D" w:rsidP="00AD414D">
      <w:pPr>
        <w:pStyle w:val="Textonotapie"/>
        <w:ind w:firstLine="708"/>
        <w:jc w:val="both"/>
        <w:rPr>
          <w:rFonts w:ascii="Verdana" w:hAnsi="Verdana" w:cs="Arial"/>
          <w:color w:val="000000"/>
          <w:sz w:val="16"/>
          <w:szCs w:val="16"/>
        </w:rPr>
      </w:pPr>
      <w:r w:rsidRPr="00404570">
        <w:rPr>
          <w:rFonts w:ascii="Verdana" w:hAnsi="Verdana" w:cs="Arial"/>
          <w:color w:val="000000"/>
          <w:sz w:val="16"/>
          <w:szCs w:val="16"/>
        </w:rPr>
        <w:t xml:space="preserve">2. Si el valor del contrato es superior a cinco millones (5.000.000) de smmlv y hasta diez millones (10.000.000) de smmlv, la Entidad Estatal puede aceptar garantías que cubran al menos el uno por ciento (1%) del valor del contrato. </w:t>
      </w:r>
    </w:p>
    <w:p w14:paraId="07E7C3F0" w14:textId="77777777" w:rsidR="00AD414D" w:rsidRPr="00404570" w:rsidRDefault="00AD414D" w:rsidP="00AD414D">
      <w:pPr>
        <w:pStyle w:val="Textonotapie"/>
        <w:ind w:firstLine="708"/>
        <w:jc w:val="both"/>
        <w:rPr>
          <w:rFonts w:ascii="Verdana" w:hAnsi="Verdana" w:cs="Arial"/>
          <w:color w:val="000000"/>
          <w:sz w:val="16"/>
          <w:szCs w:val="16"/>
        </w:rPr>
      </w:pPr>
      <w:r w:rsidRPr="00404570">
        <w:rPr>
          <w:rFonts w:ascii="Verdana" w:hAnsi="Verdana" w:cs="Arial"/>
          <w:color w:val="000000"/>
          <w:sz w:val="16"/>
          <w:szCs w:val="16"/>
        </w:rPr>
        <w:t>3. Si el valor del contrato es superior a diez millones (10.000.000) de smmlv, la Entidad Estatal puede aceptar garantías que cubran al menos el cero punto cinco por ciento (0,5%) del valor del contrato.</w:t>
      </w:r>
    </w:p>
    <w:p w14:paraId="6154706E" w14:textId="77777777" w:rsidR="00AD414D" w:rsidRPr="00404570" w:rsidRDefault="00AD414D" w:rsidP="00AD414D">
      <w:pPr>
        <w:pStyle w:val="Textonotapie"/>
        <w:ind w:firstLine="708"/>
        <w:jc w:val="both"/>
        <w:rPr>
          <w:rFonts w:ascii="Verdana" w:hAnsi="Verdana" w:cs="Arial"/>
          <w:color w:val="000000"/>
          <w:sz w:val="16"/>
          <w:szCs w:val="16"/>
        </w:rPr>
      </w:pPr>
      <w:r w:rsidRPr="00404570">
        <w:rPr>
          <w:rFonts w:ascii="Verdana" w:hAnsi="Verdana" w:cs="Arial"/>
          <w:color w:val="000000"/>
          <w:sz w:val="16"/>
          <w:szCs w:val="16"/>
        </w:rPr>
        <w:t>4. Colombia Compra Eficiente debe determinar el valor de la garantía única de cumplimiento del Acuerdo Marco de Precios de acuerdo con el objeto, el valor, la naturaleza y las obligaciones contenidas en este”.</w:t>
      </w:r>
    </w:p>
  </w:footnote>
  <w:footnote w:id="7">
    <w:p w14:paraId="7F6A062C" w14:textId="77777777" w:rsidR="00AD414D" w:rsidRPr="006F44C3" w:rsidRDefault="00AD414D" w:rsidP="00AD414D">
      <w:pPr>
        <w:pStyle w:val="Textonotapie"/>
        <w:ind w:firstLine="709"/>
        <w:jc w:val="both"/>
        <w:rPr>
          <w:rFonts w:ascii="Century Gothic" w:hAnsi="Century Gothic" w:cs="Arial"/>
          <w:sz w:val="16"/>
          <w:szCs w:val="16"/>
          <w:lang w:val="pt-PT"/>
        </w:rPr>
      </w:pPr>
      <w:r w:rsidRPr="00404570">
        <w:rPr>
          <w:rStyle w:val="Refdenotaalpie"/>
          <w:rFonts w:ascii="Verdana" w:hAnsi="Verdana" w:cs="Arial"/>
          <w:sz w:val="16"/>
          <w:szCs w:val="16"/>
        </w:rPr>
        <w:footnoteRef/>
      </w:r>
      <w:r w:rsidRPr="00404570">
        <w:rPr>
          <w:rFonts w:ascii="Verdana" w:hAnsi="Verdana" w:cs="Arial"/>
          <w:sz w:val="16"/>
          <w:szCs w:val="16"/>
        </w:rPr>
        <w:t xml:space="preserve"> CONSEJO DE ESTADO. Sección Tercera. Sentencia del 29 de julio de 2015. </w:t>
      </w:r>
      <w:r w:rsidRPr="00404570">
        <w:rPr>
          <w:rFonts w:ascii="Verdana" w:hAnsi="Verdana" w:cs="Arial"/>
          <w:sz w:val="16"/>
          <w:szCs w:val="16"/>
          <w:lang w:val="pt-PT"/>
        </w:rPr>
        <w:t>Exp. 42.494. C.P. Jaime Orlando Santofimio Gamboa.</w:t>
      </w:r>
    </w:p>
  </w:footnote>
  <w:footnote w:id="8">
    <w:p w14:paraId="217BBA80" w14:textId="77777777" w:rsidR="00AD414D" w:rsidRPr="00737703" w:rsidRDefault="00AD414D" w:rsidP="00AD414D">
      <w:pPr>
        <w:pStyle w:val="Textonotapie"/>
        <w:ind w:firstLine="708"/>
        <w:jc w:val="both"/>
        <w:rPr>
          <w:rFonts w:ascii="Verdana" w:hAnsi="Verdana" w:cs="Arial"/>
          <w:sz w:val="16"/>
          <w:szCs w:val="16"/>
        </w:rPr>
      </w:pPr>
      <w:r w:rsidRPr="00737703">
        <w:rPr>
          <w:rStyle w:val="Refdenotaalpie"/>
          <w:rFonts w:ascii="Verdana" w:hAnsi="Verdana" w:cs="Arial"/>
          <w:sz w:val="16"/>
          <w:szCs w:val="16"/>
        </w:rPr>
        <w:footnoteRef/>
      </w:r>
      <w:r w:rsidRPr="00737703">
        <w:rPr>
          <w:rFonts w:ascii="Verdana" w:hAnsi="Verdana" w:cs="Arial"/>
          <w:sz w:val="16"/>
          <w:szCs w:val="16"/>
          <w:lang w:val="pt-PT"/>
        </w:rPr>
        <w:t xml:space="preserve"> CONSEJO DE ESTADO. </w:t>
      </w:r>
      <w:r w:rsidRPr="00737703">
        <w:rPr>
          <w:rFonts w:ascii="Verdana" w:hAnsi="Verdana" w:cs="Arial"/>
          <w:sz w:val="16"/>
          <w:szCs w:val="16"/>
        </w:rPr>
        <w:t>Sección Tercera. Sentencia del 13 de septiembre de 1999. Exp. 10.264. C.P. Ricardo Hoyos Duque.</w:t>
      </w:r>
    </w:p>
  </w:footnote>
  <w:footnote w:id="9">
    <w:p w14:paraId="22AE855C" w14:textId="77777777" w:rsidR="00AD414D" w:rsidRPr="00411232" w:rsidRDefault="00AD414D" w:rsidP="00AD414D">
      <w:pPr>
        <w:pStyle w:val="Textonotapie"/>
        <w:ind w:firstLine="708"/>
        <w:jc w:val="both"/>
        <w:rPr>
          <w:rFonts w:ascii="Century Gothic" w:hAnsi="Century Gothic" w:cs="Arial"/>
          <w:sz w:val="16"/>
          <w:szCs w:val="16"/>
          <w:lang w:val="es-ES"/>
        </w:rPr>
      </w:pPr>
      <w:r w:rsidRPr="00737703">
        <w:rPr>
          <w:rStyle w:val="Refdenotaalpie"/>
          <w:rFonts w:ascii="Verdana" w:hAnsi="Verdana" w:cs="Arial"/>
          <w:sz w:val="16"/>
          <w:szCs w:val="16"/>
        </w:rPr>
        <w:footnoteRef/>
      </w:r>
      <w:r w:rsidRPr="00737703">
        <w:rPr>
          <w:rFonts w:ascii="Verdana" w:hAnsi="Verdana" w:cs="Arial"/>
          <w:sz w:val="16"/>
          <w:szCs w:val="16"/>
        </w:rPr>
        <w:t xml:space="preserve"> PALACIO HINCAPIÉ, Juan Ángel. La contratación de las entidades estatales. Octava edición. Medellín: Librería Jurídica Sánchez R. SAS, 2020. p. 659.</w:t>
      </w:r>
    </w:p>
  </w:footnote>
  <w:footnote w:id="10">
    <w:p w14:paraId="77137364" w14:textId="77777777" w:rsidR="00B55640" w:rsidRPr="0098414F" w:rsidRDefault="00B55640" w:rsidP="00B55640">
      <w:pPr>
        <w:pStyle w:val="Textonotapie"/>
        <w:ind w:firstLine="709"/>
        <w:jc w:val="both"/>
        <w:rPr>
          <w:rFonts w:ascii="Verdana" w:eastAsia="Calibri" w:hAnsi="Verdana" w:cs="Arial"/>
          <w:color w:val="000000" w:themeColor="text1"/>
          <w:sz w:val="16"/>
          <w:szCs w:val="16"/>
          <w:lang w:val="es-ES_tradnl"/>
        </w:rPr>
      </w:pPr>
      <w:r w:rsidRPr="0098414F">
        <w:rPr>
          <w:rStyle w:val="Refdenotaalpie"/>
          <w:rFonts w:ascii="Verdana" w:hAnsi="Verdana" w:cs="Arial"/>
          <w:color w:val="000000" w:themeColor="text1"/>
          <w:sz w:val="16"/>
          <w:szCs w:val="16"/>
        </w:rPr>
        <w:footnoteRef/>
      </w:r>
      <w:r w:rsidRPr="0098414F">
        <w:rPr>
          <w:rFonts w:ascii="Verdana" w:hAnsi="Verdana" w:cs="Arial"/>
          <w:color w:val="000000" w:themeColor="text1"/>
          <w:sz w:val="16"/>
          <w:szCs w:val="16"/>
        </w:rPr>
        <w:t xml:space="preserve"> </w:t>
      </w:r>
      <w:r w:rsidRPr="0098414F">
        <w:rPr>
          <w:rFonts w:ascii="Verdana" w:eastAsia="Calibri" w:hAnsi="Verdana" w:cs="Arial"/>
          <w:color w:val="000000" w:themeColor="text1"/>
          <w:sz w:val="16"/>
          <w:szCs w:val="16"/>
          <w:lang w:val="es-ES_tradnl"/>
        </w:rPr>
        <w:t xml:space="preserve">Para estos efectos, el artículo 1081 del Código de Comercio dispone que </w:t>
      </w:r>
      <w:r>
        <w:rPr>
          <w:rFonts w:ascii="Verdana" w:eastAsia="Calibri" w:hAnsi="Verdana" w:cs="Arial"/>
          <w:color w:val="000000" w:themeColor="text1"/>
          <w:sz w:val="16"/>
          <w:szCs w:val="16"/>
          <w:lang w:val="es-ES_tradnl"/>
        </w:rPr>
        <w:t>“</w:t>
      </w:r>
      <w:r w:rsidRPr="0098414F">
        <w:rPr>
          <w:rFonts w:ascii="Verdana" w:eastAsia="Calibri" w:hAnsi="Verdana" w:cs="Arial"/>
          <w:color w:val="000000" w:themeColor="text1"/>
          <w:sz w:val="16"/>
          <w:szCs w:val="16"/>
          <w:lang w:val="es-ES_tradnl"/>
        </w:rPr>
        <w:t>La prescripción de las acciones que se derivan del contrato de seguro o de las disposiciones que lo rigen podrá ser ordinaria o extraordinaria.</w:t>
      </w:r>
    </w:p>
    <w:p w14:paraId="403EB0E0" w14:textId="77777777" w:rsidR="00B55640" w:rsidRPr="0098414F" w:rsidRDefault="00B55640" w:rsidP="00B55640">
      <w:pPr>
        <w:pStyle w:val="Textonotapie"/>
        <w:ind w:firstLine="709"/>
        <w:jc w:val="both"/>
        <w:rPr>
          <w:rFonts w:ascii="Verdana" w:eastAsia="Calibri" w:hAnsi="Verdana" w:cs="Arial"/>
          <w:color w:val="000000" w:themeColor="text1"/>
          <w:sz w:val="16"/>
          <w:szCs w:val="16"/>
          <w:lang w:val="es-ES_tradnl"/>
        </w:rPr>
      </w:pPr>
      <w:r w:rsidRPr="0098414F">
        <w:rPr>
          <w:rFonts w:ascii="Verdana" w:eastAsia="Calibri" w:hAnsi="Verdana" w:cs="Arial"/>
          <w:color w:val="000000" w:themeColor="text1"/>
          <w:sz w:val="16"/>
          <w:szCs w:val="16"/>
          <w:lang w:val="es-ES_tradnl"/>
        </w:rPr>
        <w:t>La prescripción ordinaria será de dos años y empezará a correr desde el momento en que el interesado haya tenido o debido tener conocimiento del hecho que da base a la acción.</w:t>
      </w:r>
    </w:p>
    <w:p w14:paraId="40144A6E" w14:textId="77777777" w:rsidR="00B55640" w:rsidRPr="0098414F" w:rsidRDefault="00B55640" w:rsidP="00B55640">
      <w:pPr>
        <w:pStyle w:val="Textonotapie"/>
        <w:ind w:firstLine="709"/>
        <w:jc w:val="both"/>
        <w:rPr>
          <w:rFonts w:ascii="Verdana" w:eastAsia="Calibri" w:hAnsi="Verdana" w:cs="Arial"/>
          <w:color w:val="000000" w:themeColor="text1"/>
          <w:sz w:val="16"/>
          <w:szCs w:val="16"/>
          <w:lang w:val="es-ES_tradnl"/>
        </w:rPr>
      </w:pPr>
      <w:r w:rsidRPr="0098414F">
        <w:rPr>
          <w:rFonts w:ascii="Verdana" w:eastAsia="Calibri" w:hAnsi="Verdana" w:cs="Arial"/>
          <w:color w:val="000000" w:themeColor="text1"/>
          <w:sz w:val="16"/>
          <w:szCs w:val="16"/>
          <w:lang w:val="es-ES_tradnl"/>
        </w:rPr>
        <w:t>La prescripción extraordinaria será de cinco años, correrá contra toda clase de personas y empezará a contarse desde el momento en que nace el respectivo derecho.</w:t>
      </w:r>
    </w:p>
    <w:p w14:paraId="65783B9F" w14:textId="77777777" w:rsidR="00B55640" w:rsidRPr="0098414F" w:rsidRDefault="00B55640" w:rsidP="00B55640">
      <w:pPr>
        <w:pStyle w:val="Textonotapie"/>
        <w:ind w:firstLine="709"/>
        <w:jc w:val="both"/>
        <w:rPr>
          <w:rFonts w:ascii="Verdana" w:eastAsia="Calibri" w:hAnsi="Verdana" w:cs="Arial"/>
          <w:color w:val="000000" w:themeColor="text1"/>
          <w:sz w:val="16"/>
          <w:szCs w:val="16"/>
          <w:lang w:val="es-ES_tradnl"/>
        </w:rPr>
      </w:pPr>
      <w:r w:rsidRPr="0098414F">
        <w:rPr>
          <w:rFonts w:ascii="Verdana" w:eastAsia="Calibri" w:hAnsi="Verdana" w:cs="Arial"/>
          <w:color w:val="000000" w:themeColor="text1"/>
          <w:sz w:val="16"/>
          <w:szCs w:val="16"/>
          <w:lang w:val="es-ES_tradnl"/>
        </w:rPr>
        <w:t>Estos términos no pueden ser modificados por las partes</w:t>
      </w:r>
      <w:r>
        <w:rPr>
          <w:rFonts w:ascii="Verdana" w:eastAsia="Calibri" w:hAnsi="Verdana" w:cs="Arial"/>
          <w:color w:val="000000" w:themeColor="text1"/>
          <w:sz w:val="16"/>
          <w:szCs w:val="16"/>
          <w:lang w:val="es-ES_tradnl"/>
        </w:rPr>
        <w:t>”</w:t>
      </w:r>
      <w:r w:rsidRPr="0098414F">
        <w:rPr>
          <w:rFonts w:ascii="Verdana" w:eastAsia="Calibri" w:hAnsi="Verdana" w:cs="Arial"/>
          <w:color w:val="000000" w:themeColor="text1"/>
          <w:sz w:val="16"/>
          <w:szCs w:val="16"/>
          <w:lang w:val="es-ES_tradn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8646723"/>
    <w:multiLevelType w:val="hybridMultilevel"/>
    <w:tmpl w:val="9FDEB43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4440F7"/>
    <w:multiLevelType w:val="hybridMultilevel"/>
    <w:tmpl w:val="A8762E0C"/>
    <w:lvl w:ilvl="0" w:tplc="2F8C5B94">
      <w:start w:val="2"/>
      <w:numFmt w:val="bullet"/>
      <w:lvlText w:val="-"/>
      <w:lvlJc w:val="left"/>
      <w:pPr>
        <w:ind w:left="1080" w:hanging="360"/>
      </w:pPr>
      <w:rPr>
        <w:rFonts w:ascii="Verdana" w:eastAsiaTheme="minorHAnsi" w:hAnsi="Verdana" w:cs="BCDHEE+Verdana"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62726AA5"/>
    <w:multiLevelType w:val="hybridMultilevel"/>
    <w:tmpl w:val="851852FA"/>
    <w:lvl w:ilvl="0" w:tplc="D67ABAB0">
      <w:start w:val="1"/>
      <w:numFmt w:val="lowerRoman"/>
      <w:lvlText w:val="%1)"/>
      <w:lvlJc w:val="left"/>
      <w:pPr>
        <w:ind w:left="1504" w:hanging="720"/>
      </w:pPr>
      <w:rPr>
        <w:rFonts w:ascii="Verdana" w:eastAsia="Times New Roman" w:hAnsi="Verdana" w:cs="Arial"/>
      </w:rPr>
    </w:lvl>
    <w:lvl w:ilvl="1" w:tplc="240A0019" w:tentative="1">
      <w:start w:val="1"/>
      <w:numFmt w:val="lowerLetter"/>
      <w:lvlText w:val="%2."/>
      <w:lvlJc w:val="left"/>
      <w:pPr>
        <w:ind w:left="1864" w:hanging="360"/>
      </w:pPr>
    </w:lvl>
    <w:lvl w:ilvl="2" w:tplc="240A001B" w:tentative="1">
      <w:start w:val="1"/>
      <w:numFmt w:val="lowerRoman"/>
      <w:lvlText w:val="%3."/>
      <w:lvlJc w:val="right"/>
      <w:pPr>
        <w:ind w:left="2584" w:hanging="180"/>
      </w:pPr>
    </w:lvl>
    <w:lvl w:ilvl="3" w:tplc="240A000F" w:tentative="1">
      <w:start w:val="1"/>
      <w:numFmt w:val="decimal"/>
      <w:lvlText w:val="%4."/>
      <w:lvlJc w:val="left"/>
      <w:pPr>
        <w:ind w:left="3304" w:hanging="360"/>
      </w:pPr>
    </w:lvl>
    <w:lvl w:ilvl="4" w:tplc="240A0019" w:tentative="1">
      <w:start w:val="1"/>
      <w:numFmt w:val="lowerLetter"/>
      <w:lvlText w:val="%5."/>
      <w:lvlJc w:val="left"/>
      <w:pPr>
        <w:ind w:left="4024" w:hanging="360"/>
      </w:pPr>
    </w:lvl>
    <w:lvl w:ilvl="5" w:tplc="240A001B" w:tentative="1">
      <w:start w:val="1"/>
      <w:numFmt w:val="lowerRoman"/>
      <w:lvlText w:val="%6."/>
      <w:lvlJc w:val="right"/>
      <w:pPr>
        <w:ind w:left="4744" w:hanging="180"/>
      </w:pPr>
    </w:lvl>
    <w:lvl w:ilvl="6" w:tplc="240A000F" w:tentative="1">
      <w:start w:val="1"/>
      <w:numFmt w:val="decimal"/>
      <w:lvlText w:val="%7."/>
      <w:lvlJc w:val="left"/>
      <w:pPr>
        <w:ind w:left="5464" w:hanging="360"/>
      </w:pPr>
    </w:lvl>
    <w:lvl w:ilvl="7" w:tplc="240A0019" w:tentative="1">
      <w:start w:val="1"/>
      <w:numFmt w:val="lowerLetter"/>
      <w:lvlText w:val="%8."/>
      <w:lvlJc w:val="left"/>
      <w:pPr>
        <w:ind w:left="6184" w:hanging="360"/>
      </w:pPr>
    </w:lvl>
    <w:lvl w:ilvl="8" w:tplc="240A001B" w:tentative="1">
      <w:start w:val="1"/>
      <w:numFmt w:val="lowerRoman"/>
      <w:lvlText w:val="%9."/>
      <w:lvlJc w:val="right"/>
      <w:pPr>
        <w:ind w:left="6904"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9796081"/>
    <w:multiLevelType w:val="hybridMultilevel"/>
    <w:tmpl w:val="20DAD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4"/>
  </w:num>
  <w:num w:numId="7">
    <w:abstractNumId w:val="5"/>
  </w:num>
  <w:num w:numId="8">
    <w:abstractNumId w:val="13"/>
  </w:num>
  <w:num w:numId="9">
    <w:abstractNumId w:val="7"/>
  </w:num>
  <w:num w:numId="10">
    <w:abstractNumId w:val="12"/>
  </w:num>
  <w:num w:numId="11">
    <w:abstractNumId w:val="8"/>
  </w:num>
  <w:num w:numId="12">
    <w:abstractNumId w:val="0"/>
  </w:num>
  <w:num w:numId="13">
    <w:abstractNumId w:val="3"/>
  </w:num>
  <w:num w:numId="14">
    <w:abstractNumId w:val="15"/>
  </w:num>
  <w:num w:numId="15">
    <w:abstractNumId w:val="11"/>
  </w:num>
  <w:num w:numId="16">
    <w:abstractNumId w:val="16"/>
  </w:num>
  <w:num w:numId="17">
    <w:abstractNumId w:val="10"/>
  </w:num>
  <w:num w:numId="18">
    <w:abstractNumId w:val="2"/>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87C"/>
    <w:rsid w:val="000117B2"/>
    <w:rsid w:val="00016F78"/>
    <w:rsid w:val="00046945"/>
    <w:rsid w:val="00061B2A"/>
    <w:rsid w:val="00082033"/>
    <w:rsid w:val="00082362"/>
    <w:rsid w:val="0009483F"/>
    <w:rsid w:val="000A297A"/>
    <w:rsid w:val="000A683E"/>
    <w:rsid w:val="000B19B9"/>
    <w:rsid w:val="000C00B6"/>
    <w:rsid w:val="000D0334"/>
    <w:rsid w:val="000D58FD"/>
    <w:rsid w:val="000E3225"/>
    <w:rsid w:val="000F6486"/>
    <w:rsid w:val="00125105"/>
    <w:rsid w:val="00127233"/>
    <w:rsid w:val="00137279"/>
    <w:rsid w:val="00141AE8"/>
    <w:rsid w:val="001454A4"/>
    <w:rsid w:val="00152E8B"/>
    <w:rsid w:val="00174EF3"/>
    <w:rsid w:val="001A3CC3"/>
    <w:rsid w:val="001E4177"/>
    <w:rsid w:val="001F7DC6"/>
    <w:rsid w:val="00220EF0"/>
    <w:rsid w:val="00232575"/>
    <w:rsid w:val="002421BB"/>
    <w:rsid w:val="0024436B"/>
    <w:rsid w:val="00253F3D"/>
    <w:rsid w:val="00255B91"/>
    <w:rsid w:val="0025796E"/>
    <w:rsid w:val="00261D9C"/>
    <w:rsid w:val="002707A2"/>
    <w:rsid w:val="002951A0"/>
    <w:rsid w:val="002962BC"/>
    <w:rsid w:val="002A093D"/>
    <w:rsid w:val="002A0DD0"/>
    <w:rsid w:val="002A49AC"/>
    <w:rsid w:val="002A64FD"/>
    <w:rsid w:val="002C7A84"/>
    <w:rsid w:val="002E3738"/>
    <w:rsid w:val="002E4FD9"/>
    <w:rsid w:val="002F62CD"/>
    <w:rsid w:val="00322A85"/>
    <w:rsid w:val="00324168"/>
    <w:rsid w:val="00331DB8"/>
    <w:rsid w:val="003448F4"/>
    <w:rsid w:val="003548C3"/>
    <w:rsid w:val="00374F5E"/>
    <w:rsid w:val="00377E3E"/>
    <w:rsid w:val="003A5748"/>
    <w:rsid w:val="003A779E"/>
    <w:rsid w:val="003B284B"/>
    <w:rsid w:val="003B40E8"/>
    <w:rsid w:val="003C38C0"/>
    <w:rsid w:val="003D0F4D"/>
    <w:rsid w:val="003D4377"/>
    <w:rsid w:val="003D5B0D"/>
    <w:rsid w:val="003E0499"/>
    <w:rsid w:val="003E2F72"/>
    <w:rsid w:val="003F3941"/>
    <w:rsid w:val="003F75C9"/>
    <w:rsid w:val="00404570"/>
    <w:rsid w:val="00406575"/>
    <w:rsid w:val="0041209D"/>
    <w:rsid w:val="00414731"/>
    <w:rsid w:val="00414C74"/>
    <w:rsid w:val="0042722E"/>
    <w:rsid w:val="004277B7"/>
    <w:rsid w:val="0044528D"/>
    <w:rsid w:val="004A1847"/>
    <w:rsid w:val="004A305D"/>
    <w:rsid w:val="004F21C4"/>
    <w:rsid w:val="004F685F"/>
    <w:rsid w:val="005176C9"/>
    <w:rsid w:val="00553ADF"/>
    <w:rsid w:val="005566E8"/>
    <w:rsid w:val="005575AC"/>
    <w:rsid w:val="00574867"/>
    <w:rsid w:val="00591460"/>
    <w:rsid w:val="005C3777"/>
    <w:rsid w:val="005C5CDC"/>
    <w:rsid w:val="005D476C"/>
    <w:rsid w:val="006219F8"/>
    <w:rsid w:val="006302F7"/>
    <w:rsid w:val="00651CC5"/>
    <w:rsid w:val="00665D70"/>
    <w:rsid w:val="006900D9"/>
    <w:rsid w:val="00695540"/>
    <w:rsid w:val="006A760C"/>
    <w:rsid w:val="006C5926"/>
    <w:rsid w:val="006C6956"/>
    <w:rsid w:val="006E12D0"/>
    <w:rsid w:val="00706C16"/>
    <w:rsid w:val="00737703"/>
    <w:rsid w:val="00756841"/>
    <w:rsid w:val="00760BE5"/>
    <w:rsid w:val="007649AB"/>
    <w:rsid w:val="00771D0C"/>
    <w:rsid w:val="007828B1"/>
    <w:rsid w:val="007833AC"/>
    <w:rsid w:val="00783B42"/>
    <w:rsid w:val="007A7DB8"/>
    <w:rsid w:val="007B268C"/>
    <w:rsid w:val="007B7171"/>
    <w:rsid w:val="007C0C0F"/>
    <w:rsid w:val="007C3DC2"/>
    <w:rsid w:val="007E5497"/>
    <w:rsid w:val="0080454C"/>
    <w:rsid w:val="00806F5F"/>
    <w:rsid w:val="00820278"/>
    <w:rsid w:val="00867F95"/>
    <w:rsid w:val="008843B6"/>
    <w:rsid w:val="00891928"/>
    <w:rsid w:val="00897A3A"/>
    <w:rsid w:val="008A446D"/>
    <w:rsid w:val="008C2459"/>
    <w:rsid w:val="008D180B"/>
    <w:rsid w:val="008E2AF8"/>
    <w:rsid w:val="008E5CB3"/>
    <w:rsid w:val="008F0EA7"/>
    <w:rsid w:val="00923EEF"/>
    <w:rsid w:val="00927E5D"/>
    <w:rsid w:val="009419F9"/>
    <w:rsid w:val="0095685E"/>
    <w:rsid w:val="00961B09"/>
    <w:rsid w:val="00965334"/>
    <w:rsid w:val="0097093E"/>
    <w:rsid w:val="0098535E"/>
    <w:rsid w:val="00986DDF"/>
    <w:rsid w:val="009A0DFA"/>
    <w:rsid w:val="009A3FBA"/>
    <w:rsid w:val="009B25A8"/>
    <w:rsid w:val="009B2D26"/>
    <w:rsid w:val="009C07AC"/>
    <w:rsid w:val="009C71FA"/>
    <w:rsid w:val="009C72E7"/>
    <w:rsid w:val="009D3058"/>
    <w:rsid w:val="009D593E"/>
    <w:rsid w:val="009F3A13"/>
    <w:rsid w:val="009F6FCD"/>
    <w:rsid w:val="00A000D9"/>
    <w:rsid w:val="00A122D3"/>
    <w:rsid w:val="00A14426"/>
    <w:rsid w:val="00A1445E"/>
    <w:rsid w:val="00A17F13"/>
    <w:rsid w:val="00A20739"/>
    <w:rsid w:val="00A32B5D"/>
    <w:rsid w:val="00A33C78"/>
    <w:rsid w:val="00A34A9D"/>
    <w:rsid w:val="00A428CD"/>
    <w:rsid w:val="00A74005"/>
    <w:rsid w:val="00A74486"/>
    <w:rsid w:val="00AB0ADB"/>
    <w:rsid w:val="00AD414D"/>
    <w:rsid w:val="00AD53F1"/>
    <w:rsid w:val="00B00C0E"/>
    <w:rsid w:val="00B01B1A"/>
    <w:rsid w:val="00B26F12"/>
    <w:rsid w:val="00B34F8B"/>
    <w:rsid w:val="00B44A47"/>
    <w:rsid w:val="00B55640"/>
    <w:rsid w:val="00B72CD3"/>
    <w:rsid w:val="00B72FFF"/>
    <w:rsid w:val="00B817F1"/>
    <w:rsid w:val="00B917E7"/>
    <w:rsid w:val="00B95A35"/>
    <w:rsid w:val="00BA2D0B"/>
    <w:rsid w:val="00BC3D36"/>
    <w:rsid w:val="00BD1D80"/>
    <w:rsid w:val="00BD7F72"/>
    <w:rsid w:val="00C00B02"/>
    <w:rsid w:val="00C01D94"/>
    <w:rsid w:val="00C04FB3"/>
    <w:rsid w:val="00C14111"/>
    <w:rsid w:val="00C25261"/>
    <w:rsid w:val="00C330EB"/>
    <w:rsid w:val="00C35A8B"/>
    <w:rsid w:val="00C4735B"/>
    <w:rsid w:val="00C754BE"/>
    <w:rsid w:val="00C76B1C"/>
    <w:rsid w:val="00C920B0"/>
    <w:rsid w:val="00CB5C09"/>
    <w:rsid w:val="00CB6357"/>
    <w:rsid w:val="00CC093A"/>
    <w:rsid w:val="00CC1B26"/>
    <w:rsid w:val="00CC36DD"/>
    <w:rsid w:val="00CC5100"/>
    <w:rsid w:val="00D423A2"/>
    <w:rsid w:val="00D518B6"/>
    <w:rsid w:val="00D520D8"/>
    <w:rsid w:val="00D6197C"/>
    <w:rsid w:val="00D62E1B"/>
    <w:rsid w:val="00D63AC2"/>
    <w:rsid w:val="00D7383B"/>
    <w:rsid w:val="00D8432E"/>
    <w:rsid w:val="00D95238"/>
    <w:rsid w:val="00DA231B"/>
    <w:rsid w:val="00DC39FC"/>
    <w:rsid w:val="00DE093F"/>
    <w:rsid w:val="00DE4BD5"/>
    <w:rsid w:val="00DE5FF3"/>
    <w:rsid w:val="00DF5254"/>
    <w:rsid w:val="00E0195F"/>
    <w:rsid w:val="00E16408"/>
    <w:rsid w:val="00E20894"/>
    <w:rsid w:val="00E245AB"/>
    <w:rsid w:val="00E2764C"/>
    <w:rsid w:val="00E27F2E"/>
    <w:rsid w:val="00E3670F"/>
    <w:rsid w:val="00E36A57"/>
    <w:rsid w:val="00E50AFE"/>
    <w:rsid w:val="00E534C4"/>
    <w:rsid w:val="00E75C92"/>
    <w:rsid w:val="00E76ED5"/>
    <w:rsid w:val="00E771DC"/>
    <w:rsid w:val="00E8772A"/>
    <w:rsid w:val="00E90F6B"/>
    <w:rsid w:val="00E92C27"/>
    <w:rsid w:val="00E94F7F"/>
    <w:rsid w:val="00EA0E3D"/>
    <w:rsid w:val="00EA779A"/>
    <w:rsid w:val="00EB2DC2"/>
    <w:rsid w:val="00EC38A7"/>
    <w:rsid w:val="00EE1AA8"/>
    <w:rsid w:val="00F31EDC"/>
    <w:rsid w:val="00F462B3"/>
    <w:rsid w:val="00F5664F"/>
    <w:rsid w:val="00F666C4"/>
    <w:rsid w:val="00F76AFC"/>
    <w:rsid w:val="00FA47C0"/>
    <w:rsid w:val="00FB5DD1"/>
    <w:rsid w:val="00FC2B5D"/>
    <w:rsid w:val="00FF1449"/>
    <w:rsid w:val="00FF32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E76ED5"/>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76ED5"/>
    <w:pPr>
      <w:spacing w:line="240" w:lineRule="exact"/>
    </w:pPr>
    <w:rPr>
      <w:vertAlign w:val="superscript"/>
    </w:rPr>
  </w:style>
  <w:style w:type="character" w:styleId="Refdecomentario">
    <w:name w:val="annotation reference"/>
    <w:basedOn w:val="Fuentedeprrafopredeter"/>
    <w:uiPriority w:val="99"/>
    <w:semiHidden/>
    <w:unhideWhenUsed/>
    <w:rsid w:val="001A3CC3"/>
    <w:rPr>
      <w:sz w:val="16"/>
      <w:szCs w:val="16"/>
    </w:rPr>
  </w:style>
  <w:style w:type="paragraph" w:styleId="Textocomentario">
    <w:name w:val="annotation text"/>
    <w:basedOn w:val="Normal"/>
    <w:link w:val="TextocomentarioCar"/>
    <w:uiPriority w:val="99"/>
    <w:unhideWhenUsed/>
    <w:rsid w:val="001A3CC3"/>
    <w:pPr>
      <w:spacing w:line="240" w:lineRule="auto"/>
    </w:pPr>
    <w:rPr>
      <w:sz w:val="20"/>
      <w:szCs w:val="20"/>
    </w:rPr>
  </w:style>
  <w:style w:type="character" w:customStyle="1" w:styleId="TextocomentarioCar">
    <w:name w:val="Texto comentario Car"/>
    <w:basedOn w:val="Fuentedeprrafopredeter"/>
    <w:link w:val="Textocomentario"/>
    <w:uiPriority w:val="99"/>
    <w:rsid w:val="001A3CC3"/>
    <w:rPr>
      <w:sz w:val="20"/>
      <w:szCs w:val="20"/>
    </w:rPr>
  </w:style>
  <w:style w:type="paragraph" w:styleId="Asuntodelcomentario">
    <w:name w:val="annotation subject"/>
    <w:basedOn w:val="Textocomentario"/>
    <w:next w:val="Textocomentario"/>
    <w:link w:val="AsuntodelcomentarioCar"/>
    <w:uiPriority w:val="99"/>
    <w:semiHidden/>
    <w:unhideWhenUsed/>
    <w:rsid w:val="001A3CC3"/>
    <w:rPr>
      <w:b/>
      <w:bCs/>
    </w:rPr>
  </w:style>
  <w:style w:type="character" w:customStyle="1" w:styleId="AsuntodelcomentarioCar">
    <w:name w:val="Asunto del comentario Car"/>
    <w:basedOn w:val="TextocomentarioCar"/>
    <w:link w:val="Asuntodelcomentario"/>
    <w:uiPriority w:val="99"/>
    <w:semiHidden/>
    <w:rsid w:val="001A3CC3"/>
    <w:rPr>
      <w:b/>
      <w:bCs/>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176C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codigo-de-comercio-decreto-410-de-1971/" TargetMode="External"/><Relationship Id="rId18" Type="http://schemas.openxmlformats.org/officeDocument/2006/relationships/hyperlink" Target="https://relatoria.colombiacompra.gov.co/providencias/25000-23-26-000-2007-00108-01_42494/"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manuales-guias-y-pliegos-tipo%2Fmanuales-y-guias%2Fcartilla-para-incentivar-y-fortalecer-el-acceso-las&amp;data=05%7C02%7Cmartha.romero%40colombiacompra.gov.co%7Ceb0fd05604104aa4d3bc08dd4c4ad35e%7C7b09041e245149d08cb179d5e3d8c1be%7C0%7C0%7C638750606448637423%7CUnknown%7CTWFpbGZsb3d8eyJFbXB0eU1hcGkiOnRydWUsIlYiOiIwLjAuMDAwMCIsIlAiOiJXaW4zMiIsIkFOIjoiTWFpbCIsIldUIjoyfQ%3D%3D%7C0%7C%7C%7C&amp;sdata=A3YK7jNEkvtbDxh5nXtXi%2FZkzWcbC7%2FsT8xKSXACzv4%3D&amp;reserved=0" TargetMode="External"/><Relationship Id="rId7" Type="http://schemas.openxmlformats.org/officeDocument/2006/relationships/settings" Target="settings.xml"/><Relationship Id="rId12" Type="http://schemas.openxmlformats.org/officeDocument/2006/relationships/hyperlink" Target="mailto:luissamaaria@outlook.com" TargetMode="External"/><Relationship Id="rId17" Type="http://schemas.openxmlformats.org/officeDocument/2006/relationships/hyperlink" Target="https://relatoria.colombiacompra.gov.co/providencias/25000-23-26-000-2003-00874-01_28278/"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relatoria.colombiacompra.gov.co/normativa/decreto-1082-de-2015/" TargetMode="External"/><Relationship Id="rId20"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normativa/ley-1150-de-2007/"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relatoria.colombiacompra.gov.co/providencias/2019_05001-23-33-000-2018-00342-01_6200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80-de-1993/" TargetMode="External"/><Relationship Id="rId22"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CAA29C-16BB-4E6A-A1A0-69C1FEB15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83DDA3-8DAC-4BD8-80ED-1773AC418955}">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www.w3.org/XML/1998/namespace"/>
    <ds:schemaRef ds:uri="9d85dbaf-23eb-4e57-a637-93dcacc8b1a1"/>
    <ds:schemaRef ds:uri="a6cb9e4b-f1d1-4245-83ec-6cad768d538a"/>
    <ds:schemaRef ds:uri="http://purl.org/dc/terms/"/>
    <ds:schemaRef ds:uri="http://schemas.microsoft.com/office/infopath/2007/PartnerControls"/>
    <ds:schemaRef ds:uri="http://purl.org/dc/dcmitype/"/>
    <ds:schemaRef ds:uri="http://purl.org/dc/elements/1.1/"/>
    <ds:schemaRef ds:uri="http://schemas.microsoft.com/office/2006/documentManagement/types"/>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13</Pages>
  <Words>4186</Words>
  <Characters>23029</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2025-10-27T21:33:00Z</dcterms:created>
  <dcterms:modified xsi:type="dcterms:W3CDTF">2025-10-27T21:33:00Z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