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9B0F41" w14:textId="77777777" w:rsidR="00C50A90" w:rsidRPr="00073A28" w:rsidRDefault="00C50A90" w:rsidP="00C50A90">
      <w:pPr>
        <w:jc w:val="both"/>
        <w:rPr>
          <w:rFonts w:ascii="Verdana" w:eastAsia="Geomanist Light" w:hAnsi="Verdana" w:cs="Arial"/>
          <w:b/>
          <w:bCs/>
        </w:rPr>
      </w:pPr>
      <w:r w:rsidRPr="00073A28">
        <w:rPr>
          <w:rFonts w:ascii="Verdana" w:eastAsia="Geomanist Light" w:hAnsi="Verdana" w:cs="Arial"/>
          <w:b/>
          <w:bCs/>
        </w:rPr>
        <w:t>INTERVENTORÍA – Características</w:t>
      </w:r>
    </w:p>
    <w:p w14:paraId="7BCA850E" w14:textId="7AC19926" w:rsidR="00C50A90" w:rsidRPr="00301457" w:rsidRDefault="00C50A90" w:rsidP="00C50A90">
      <w:pPr>
        <w:jc w:val="both"/>
        <w:rPr>
          <w:rFonts w:ascii="Verdana" w:eastAsia="Geomanist Light" w:hAnsi="Verdana" w:cs="Arial"/>
          <w:sz w:val="20"/>
          <w:szCs w:val="20"/>
        </w:rPr>
      </w:pPr>
      <w:r w:rsidRPr="00301457">
        <w:rPr>
          <w:rFonts w:ascii="Verdana" w:eastAsia="Geomanist Light" w:hAnsi="Verdana" w:cs="Arial"/>
          <w:sz w:val="20"/>
          <w:szCs w:val="20"/>
        </w:rPr>
        <w:t xml:space="preserve">La interventoría: i) será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w:t>
      </w:r>
      <w:proofErr w:type="gramStart"/>
      <w:r w:rsidRPr="00301457">
        <w:rPr>
          <w:rFonts w:ascii="Verdana" w:eastAsia="Geomanist Light" w:hAnsi="Verdana" w:cs="Arial"/>
          <w:sz w:val="20"/>
          <w:szCs w:val="20"/>
        </w:rPr>
        <w:t>del mismo</w:t>
      </w:r>
      <w:proofErr w:type="gramEnd"/>
      <w:r w:rsidRPr="00301457">
        <w:rPr>
          <w:rFonts w:ascii="Verdana" w:eastAsia="Geomanist Light" w:hAnsi="Verdana" w:cs="Arial"/>
          <w:sz w:val="20"/>
          <w:szCs w:val="20"/>
        </w:rPr>
        <w:t xml:space="preserve"> lo justifiquen” ‒art. 83, Ley 1474 de 2011‒. </w:t>
      </w:r>
      <w:proofErr w:type="spellStart"/>
      <w:r w:rsidRPr="00301457">
        <w:rPr>
          <w:rFonts w:ascii="Verdana" w:eastAsia="Geomanist Light" w:hAnsi="Verdana" w:cs="Arial"/>
          <w:sz w:val="20"/>
          <w:szCs w:val="20"/>
        </w:rPr>
        <w:t>ii</w:t>
      </w:r>
      <w:proofErr w:type="spellEnd"/>
      <w:r w:rsidRPr="00301457">
        <w:rPr>
          <w:rFonts w:ascii="Verdana" w:eastAsia="Geomanist Light" w:hAnsi="Verdana" w:cs="Arial"/>
          <w:sz w:val="20"/>
          <w:szCs w:val="20"/>
        </w:rPr>
        <w:t xml:space="preserve">) Este mecanismo de vigilancia exige, en su ejecución, la utilización de conocimientos especializados. </w:t>
      </w:r>
      <w:proofErr w:type="spellStart"/>
      <w:r w:rsidRPr="00301457">
        <w:rPr>
          <w:rFonts w:ascii="Verdana" w:eastAsia="Geomanist Light" w:hAnsi="Verdana" w:cs="Arial"/>
          <w:sz w:val="20"/>
          <w:szCs w:val="20"/>
        </w:rPr>
        <w:t>iii</w:t>
      </w:r>
      <w:proofErr w:type="spellEnd"/>
      <w:r w:rsidRPr="00301457">
        <w:rPr>
          <w:rFonts w:ascii="Verdana" w:eastAsia="Geomanist Light" w:hAnsi="Verdana" w:cs="Arial"/>
          <w:sz w:val="20"/>
          <w:szCs w:val="20"/>
        </w:rPr>
        <w:t xml:space="preserve">) Por lo anterior, la entidad contrata un experto a través de un concurso de méritos, al tratarse la interventoría de una especie del contrato de consultoría ‒art. 32, numeral 2, inciso 2, Ley 80 de 1993 ‒, de manera que la interventoría es realizada por una “persona natural o jurídica contratada para tal fin por la Entidad Estatal” ‒art. 83, Ley 1474‒. </w:t>
      </w:r>
      <w:proofErr w:type="spellStart"/>
      <w:r w:rsidRPr="00301457">
        <w:rPr>
          <w:rFonts w:ascii="Verdana" w:eastAsia="Geomanist Light" w:hAnsi="Verdana" w:cs="Arial"/>
          <w:sz w:val="20"/>
          <w:szCs w:val="20"/>
        </w:rPr>
        <w:t>iv</w:t>
      </w:r>
      <w:proofErr w:type="spellEnd"/>
      <w:r w:rsidRPr="00301457">
        <w:rPr>
          <w:rFonts w:ascii="Verdana" w:eastAsia="Geomanist Light" w:hAnsi="Verdana" w:cs="Arial"/>
          <w:sz w:val="20"/>
          <w:szCs w:val="20"/>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3‒. Finalmente, vi) el contrato de interventoría será supervisado directamente por la entidad ‒art. 83, inciso 4‒.</w:t>
      </w:r>
    </w:p>
    <w:p w14:paraId="235F56BC" w14:textId="73BCD03E" w:rsidR="00C50A90" w:rsidRDefault="00C50A90" w:rsidP="00C50A90">
      <w:pPr>
        <w:jc w:val="both"/>
        <w:rPr>
          <w:rFonts w:ascii="Verdana" w:eastAsia="Geomanist Light" w:hAnsi="Verdana" w:cs="Arial"/>
          <w:b/>
          <w:bCs/>
        </w:rPr>
      </w:pPr>
      <w:r>
        <w:rPr>
          <w:rFonts w:ascii="Verdana" w:eastAsia="Geomanist Light" w:hAnsi="Verdana" w:cs="Arial"/>
          <w:b/>
          <w:bCs/>
        </w:rPr>
        <w:t>PLAZO DEL CONTRATO DE INTERVENTORÍA</w:t>
      </w:r>
      <w:r w:rsidR="00301457">
        <w:rPr>
          <w:rFonts w:ascii="Verdana" w:eastAsia="Geomanist Light" w:hAnsi="Verdana" w:cs="Arial"/>
          <w:b/>
          <w:bCs/>
        </w:rPr>
        <w:t xml:space="preserve"> </w:t>
      </w:r>
      <w:r w:rsidR="00301457" w:rsidRPr="00301457">
        <w:rPr>
          <w:rFonts w:ascii="Verdana" w:eastAsia="Geomanist Light" w:hAnsi="Verdana" w:cs="Arial"/>
          <w:b/>
          <w:bCs/>
          <w:lang w:val="es-ES"/>
        </w:rPr>
        <w:t>–</w:t>
      </w:r>
      <w:r>
        <w:rPr>
          <w:rFonts w:ascii="Verdana" w:eastAsia="Geomanist Light" w:hAnsi="Verdana" w:cs="Arial"/>
          <w:b/>
          <w:bCs/>
        </w:rPr>
        <w:t xml:space="preserve"> Duración del término del Contrato de obra</w:t>
      </w:r>
    </w:p>
    <w:p w14:paraId="1B8F2C76" w14:textId="77777777" w:rsidR="00C50A90" w:rsidRPr="00301457" w:rsidRDefault="00C50A90" w:rsidP="00C50A90">
      <w:pPr>
        <w:spacing w:after="0" w:line="276" w:lineRule="auto"/>
        <w:jc w:val="both"/>
        <w:rPr>
          <w:rFonts w:ascii="Verdana" w:hAnsi="Verdana" w:cs="Arial"/>
          <w:color w:val="000000" w:themeColor="text1"/>
          <w:sz w:val="20"/>
          <w:szCs w:val="20"/>
          <w:lang w:val="es-ES"/>
        </w:rPr>
      </w:pPr>
      <w:r w:rsidRPr="00301457">
        <w:rPr>
          <w:rFonts w:ascii="Verdana" w:hAnsi="Verdana" w:cs="Arial"/>
          <w:color w:val="000000" w:themeColor="text1"/>
          <w:sz w:val="20"/>
          <w:szCs w:val="20"/>
          <w:lang w:val="es-ES"/>
        </w:rPr>
        <w:t>En este contexto, la Ley 1474 de 2011, en concordancia con los artículos 32 y 53 de la Ley 80 de 1993, dispone que la interventoría debe mantenerse durante toda la ejecución del contrato de obra, de modo que el control técnico, financiero, administrativo y jurídico del proyecto se ejerza hasta la culminación total del objeto contractual.</w:t>
      </w:r>
    </w:p>
    <w:p w14:paraId="5EA96D41" w14:textId="77777777" w:rsidR="00C50A90" w:rsidRPr="00301457" w:rsidRDefault="00C50A90" w:rsidP="00C50A90">
      <w:pPr>
        <w:spacing w:after="0" w:line="276" w:lineRule="auto"/>
        <w:ind w:firstLine="709"/>
        <w:jc w:val="both"/>
        <w:rPr>
          <w:rFonts w:ascii="Verdana" w:hAnsi="Verdana" w:cs="Arial"/>
          <w:color w:val="000000" w:themeColor="text1"/>
          <w:sz w:val="20"/>
          <w:szCs w:val="20"/>
          <w:lang w:val="es-ES"/>
        </w:rPr>
      </w:pPr>
    </w:p>
    <w:p w14:paraId="24D12DE8" w14:textId="77777777" w:rsidR="00C50A90" w:rsidRPr="00301457" w:rsidRDefault="00C50A90" w:rsidP="00C50A90">
      <w:pPr>
        <w:spacing w:after="0" w:line="276" w:lineRule="auto"/>
        <w:jc w:val="both"/>
        <w:rPr>
          <w:rFonts w:ascii="Verdana" w:hAnsi="Verdana" w:cs="Arial"/>
          <w:color w:val="000000" w:themeColor="text1"/>
          <w:sz w:val="20"/>
          <w:szCs w:val="20"/>
          <w:lang w:val="es-ES"/>
        </w:rPr>
      </w:pPr>
      <w:r w:rsidRPr="00301457">
        <w:rPr>
          <w:rFonts w:ascii="Verdana" w:hAnsi="Verdana" w:cs="Arial"/>
          <w:color w:val="000000" w:themeColor="text1"/>
          <w:sz w:val="20"/>
          <w:szCs w:val="20"/>
          <w:lang w:val="es-ES"/>
        </w:rPr>
        <w:t>Por tanto, no debería liquidarse el contrato de interventoría antes de la finalización del contrato de obra, dado que ello contravendría la obligación legal de mantener la interventoría durante toda la ejecución del contrato estatal, como garantía del principio de transparencia, del cumplimiento de los fines de la contratación y de la prevención del detrimento patrimonial.</w:t>
      </w:r>
    </w:p>
    <w:p w14:paraId="740B2BAB" w14:textId="299E9910" w:rsidR="00C50A90" w:rsidRDefault="00C50A90" w:rsidP="00301457">
      <w:pPr>
        <w:spacing w:after="0" w:line="276" w:lineRule="auto"/>
        <w:jc w:val="both"/>
        <w:rPr>
          <w:rFonts w:ascii="Verdana" w:hAnsi="Verdana" w:cs="Arial"/>
          <w:color w:val="000000" w:themeColor="text1"/>
          <w:sz w:val="20"/>
          <w:szCs w:val="20"/>
          <w:lang w:val="es-ES"/>
        </w:rPr>
      </w:pPr>
      <w:r w:rsidRPr="00301457">
        <w:rPr>
          <w:rFonts w:ascii="Verdana" w:hAnsi="Verdana" w:cs="Arial"/>
          <w:color w:val="000000" w:themeColor="text1"/>
          <w:sz w:val="20"/>
          <w:szCs w:val="20"/>
          <w:lang w:val="es-ES"/>
        </w:rPr>
        <w:t>En consecuencia, cualquier decisión administrativa que implique la terminación o liquidación de la interventoría con anterioridad a la finalización del contrato de obra deberá ajustarse a las disposiciones legales vigentes y prever las medidas necesarias para asegurar el cumplimiento efectivo del deber de vigilancia permanente que la ley impone a las entidades estatales.</w:t>
      </w:r>
    </w:p>
    <w:p w14:paraId="1CA1F212" w14:textId="77777777" w:rsidR="00301457" w:rsidRPr="00301457" w:rsidRDefault="00301457" w:rsidP="00301457">
      <w:pPr>
        <w:spacing w:after="0" w:line="276" w:lineRule="auto"/>
        <w:jc w:val="both"/>
        <w:rPr>
          <w:rFonts w:ascii="Verdana" w:hAnsi="Verdana" w:cs="Arial"/>
          <w:color w:val="000000" w:themeColor="text1"/>
          <w:sz w:val="20"/>
          <w:szCs w:val="20"/>
          <w:lang w:val="es-ES"/>
        </w:rPr>
      </w:pPr>
    </w:p>
    <w:p w14:paraId="6B9726F8" w14:textId="77777777" w:rsidR="00C50A90" w:rsidRPr="00073A28" w:rsidRDefault="00C50A90" w:rsidP="00C50A90">
      <w:pPr>
        <w:jc w:val="both"/>
        <w:rPr>
          <w:rFonts w:ascii="Verdana" w:eastAsia="Geomanist Light" w:hAnsi="Verdana" w:cs="Arial"/>
          <w:b/>
          <w:bCs/>
        </w:rPr>
      </w:pPr>
      <w:r w:rsidRPr="00073A28">
        <w:rPr>
          <w:rFonts w:ascii="Verdana" w:eastAsia="Geomanist Light" w:hAnsi="Verdana" w:cs="Arial"/>
          <w:b/>
          <w:bCs/>
        </w:rPr>
        <w:t xml:space="preserve">LIQUIDACIÓN DEL CONTRATO – Definición – Objetivo </w:t>
      </w:r>
    </w:p>
    <w:p w14:paraId="20BEEF02" w14:textId="77777777" w:rsidR="00C50A90" w:rsidRPr="00301457" w:rsidRDefault="00C50A90" w:rsidP="00C50A90">
      <w:pPr>
        <w:jc w:val="both"/>
        <w:rPr>
          <w:rFonts w:ascii="Verdana" w:eastAsia="Geomanist Light" w:hAnsi="Verdana" w:cs="Arial"/>
          <w:sz w:val="20"/>
          <w:szCs w:val="20"/>
        </w:rPr>
      </w:pPr>
      <w:r w:rsidRPr="00301457">
        <w:rPr>
          <w:rFonts w:ascii="Verdana" w:eastAsia="Geomanist Light" w:hAnsi="Verdana" w:cs="Arial"/>
          <w:sz w:val="20"/>
          <w:szCs w:val="20"/>
        </w:rPr>
        <w:lastRenderedPageBreak/>
        <w:t xml:space="preserve">La liquidación es el momento en el cual, una vez concluido el contrato estatal, las partes cruzan cuentas respecto de sus obligaciones. El objetivo de la liquidación es determinar si las partes pueden declararse a paz y salvo mutuo, o si existen obligaciones por cumplir, y con ocasión de aquella se puede acordar la forma en que deben ser cumplidas. </w:t>
      </w:r>
    </w:p>
    <w:p w14:paraId="57E3DD64" w14:textId="77777777" w:rsidR="00C50A90" w:rsidRPr="00D376F1" w:rsidRDefault="00C50A90" w:rsidP="00C50A90">
      <w:pPr>
        <w:jc w:val="both"/>
        <w:rPr>
          <w:rFonts w:ascii="Verdana" w:eastAsia="Geomanist Light" w:hAnsi="Verdana" w:cs="Arial"/>
          <w:b/>
          <w:bCs/>
        </w:rPr>
      </w:pPr>
    </w:p>
    <w:p w14:paraId="5BB131F9" w14:textId="77777777" w:rsidR="00C50A90" w:rsidRPr="00073A28" w:rsidRDefault="00C50A90" w:rsidP="00C50A90">
      <w:pPr>
        <w:jc w:val="both"/>
        <w:rPr>
          <w:rFonts w:ascii="Verdana" w:eastAsia="Geomanist Light" w:hAnsi="Verdana" w:cs="Arial"/>
        </w:rPr>
      </w:pPr>
    </w:p>
    <w:p w14:paraId="37D705D5" w14:textId="77777777" w:rsidR="00C50A90" w:rsidRPr="00073A28" w:rsidRDefault="00C50A90" w:rsidP="00C50A90">
      <w:pPr>
        <w:jc w:val="both"/>
        <w:rPr>
          <w:rFonts w:ascii="Verdana" w:eastAsia="Geomanist Light" w:hAnsi="Verdana" w:cs="Arial"/>
        </w:rPr>
      </w:pPr>
    </w:p>
    <w:p w14:paraId="4F079731" w14:textId="77777777" w:rsidR="00C50A90" w:rsidRPr="00073A28" w:rsidRDefault="00C50A90" w:rsidP="00C50A90">
      <w:pPr>
        <w:jc w:val="both"/>
        <w:rPr>
          <w:rFonts w:ascii="Verdana" w:eastAsia="Geomanist Light" w:hAnsi="Verdana" w:cs="Arial"/>
        </w:rPr>
      </w:pPr>
    </w:p>
    <w:p w14:paraId="71401255" w14:textId="77777777" w:rsidR="00C50A90" w:rsidRDefault="00C50A90" w:rsidP="00C50A90">
      <w:pPr>
        <w:jc w:val="both"/>
        <w:rPr>
          <w:rFonts w:ascii="Verdana" w:eastAsia="Geomanist Light" w:hAnsi="Verdana" w:cs="Arial"/>
        </w:rPr>
      </w:pPr>
    </w:p>
    <w:p w14:paraId="420C376C" w14:textId="77777777" w:rsidR="00C50A90" w:rsidRDefault="00C50A90" w:rsidP="00C50A90">
      <w:pPr>
        <w:jc w:val="both"/>
        <w:rPr>
          <w:rFonts w:ascii="Verdana" w:eastAsia="Geomanist Light" w:hAnsi="Verdana" w:cs="Arial"/>
        </w:rPr>
      </w:pPr>
    </w:p>
    <w:p w14:paraId="69B6FD7A" w14:textId="77777777" w:rsidR="00C50A90" w:rsidRDefault="00C50A90" w:rsidP="00C50A90">
      <w:pPr>
        <w:jc w:val="both"/>
        <w:rPr>
          <w:rFonts w:ascii="Verdana" w:eastAsia="Geomanist Light" w:hAnsi="Verdana" w:cs="Arial"/>
        </w:rPr>
      </w:pPr>
    </w:p>
    <w:p w14:paraId="2C2729F5" w14:textId="77777777" w:rsidR="00C50A90" w:rsidRDefault="00C50A90" w:rsidP="00C50A90">
      <w:pPr>
        <w:jc w:val="both"/>
        <w:rPr>
          <w:rFonts w:ascii="Verdana" w:eastAsia="Geomanist Light" w:hAnsi="Verdana" w:cs="Arial"/>
        </w:rPr>
      </w:pPr>
    </w:p>
    <w:p w14:paraId="75816069" w14:textId="77777777" w:rsidR="00C50A90" w:rsidRDefault="00C50A90" w:rsidP="00C50A90">
      <w:pPr>
        <w:jc w:val="both"/>
        <w:rPr>
          <w:rFonts w:ascii="Verdana" w:eastAsia="Geomanist Light" w:hAnsi="Verdana" w:cs="Arial"/>
        </w:rPr>
      </w:pPr>
    </w:p>
    <w:p w14:paraId="7F5C9620" w14:textId="77777777" w:rsidR="00C50A90" w:rsidRDefault="00C50A90" w:rsidP="00C50A90">
      <w:pPr>
        <w:jc w:val="both"/>
        <w:rPr>
          <w:rFonts w:ascii="Verdana" w:eastAsia="Geomanist Light" w:hAnsi="Verdana" w:cs="Arial"/>
        </w:rPr>
      </w:pPr>
    </w:p>
    <w:p w14:paraId="1DF83EBE" w14:textId="77777777" w:rsidR="00C50A90" w:rsidRDefault="00C50A90" w:rsidP="00C50A90">
      <w:pPr>
        <w:jc w:val="both"/>
        <w:rPr>
          <w:rFonts w:ascii="Verdana" w:eastAsia="Geomanist Light" w:hAnsi="Verdana" w:cs="Arial"/>
        </w:rPr>
      </w:pPr>
    </w:p>
    <w:p w14:paraId="578BAEE7" w14:textId="77777777" w:rsidR="00C50A90" w:rsidRDefault="00C50A90" w:rsidP="00C50A90">
      <w:pPr>
        <w:jc w:val="both"/>
        <w:rPr>
          <w:rFonts w:ascii="Verdana" w:eastAsia="Geomanist Light" w:hAnsi="Verdana" w:cs="Arial"/>
        </w:rPr>
      </w:pPr>
    </w:p>
    <w:p w14:paraId="24C1B062" w14:textId="77777777" w:rsidR="00C50A90" w:rsidRDefault="00C50A90" w:rsidP="00C50A90">
      <w:pPr>
        <w:jc w:val="both"/>
        <w:rPr>
          <w:rFonts w:ascii="Verdana" w:eastAsia="Geomanist Light" w:hAnsi="Verdana" w:cs="Arial"/>
        </w:rPr>
      </w:pPr>
    </w:p>
    <w:p w14:paraId="3598589F" w14:textId="77777777" w:rsidR="00C50A90" w:rsidRDefault="00C50A90" w:rsidP="00C50A90">
      <w:pPr>
        <w:jc w:val="both"/>
        <w:rPr>
          <w:rFonts w:ascii="Verdana" w:eastAsia="Geomanist Light" w:hAnsi="Verdana" w:cs="Arial"/>
        </w:rPr>
      </w:pPr>
    </w:p>
    <w:p w14:paraId="308CAE5E" w14:textId="77777777" w:rsidR="00C50A90" w:rsidRDefault="00C50A90" w:rsidP="00C50A90">
      <w:pPr>
        <w:jc w:val="both"/>
        <w:rPr>
          <w:rFonts w:ascii="Verdana" w:eastAsia="Geomanist Light" w:hAnsi="Verdana" w:cs="Arial"/>
        </w:rPr>
      </w:pPr>
    </w:p>
    <w:p w14:paraId="200A277D" w14:textId="77777777" w:rsidR="00C50A90" w:rsidRDefault="00C50A90" w:rsidP="00C50A90">
      <w:pPr>
        <w:jc w:val="both"/>
        <w:rPr>
          <w:rFonts w:ascii="Verdana" w:eastAsia="Geomanist Light" w:hAnsi="Verdana" w:cs="Arial"/>
        </w:rPr>
      </w:pPr>
    </w:p>
    <w:p w14:paraId="4099A9FF" w14:textId="77777777" w:rsidR="00C50A90" w:rsidRPr="00073A28" w:rsidRDefault="00C50A90" w:rsidP="00C50A90">
      <w:pPr>
        <w:jc w:val="both"/>
        <w:rPr>
          <w:rFonts w:ascii="Verdana" w:eastAsia="Geomanist Light" w:hAnsi="Verdana" w:cs="Arial"/>
        </w:rPr>
      </w:pPr>
    </w:p>
    <w:p w14:paraId="51CE38CC" w14:textId="77777777" w:rsidR="00301457" w:rsidRDefault="00301457" w:rsidP="00C50A90">
      <w:pPr>
        <w:jc w:val="both"/>
        <w:rPr>
          <w:rFonts w:ascii="Verdana" w:eastAsia="Geomanist Light" w:hAnsi="Verdana" w:cs="Arial"/>
        </w:rPr>
      </w:pPr>
    </w:p>
    <w:p w14:paraId="2E6B8F54" w14:textId="77777777" w:rsidR="00301457" w:rsidRDefault="00301457" w:rsidP="00C50A90">
      <w:pPr>
        <w:jc w:val="both"/>
        <w:rPr>
          <w:rFonts w:ascii="Verdana" w:eastAsia="Geomanist Light" w:hAnsi="Verdana" w:cs="Arial"/>
        </w:rPr>
      </w:pPr>
    </w:p>
    <w:p w14:paraId="45E76CC4" w14:textId="77777777" w:rsidR="00301457" w:rsidRDefault="00301457" w:rsidP="00C50A90">
      <w:pPr>
        <w:jc w:val="both"/>
        <w:rPr>
          <w:rFonts w:ascii="Verdana" w:eastAsia="Geomanist Light" w:hAnsi="Verdana" w:cs="Arial"/>
        </w:rPr>
      </w:pPr>
    </w:p>
    <w:p w14:paraId="0E708280" w14:textId="77777777" w:rsidR="00301457" w:rsidRDefault="00301457" w:rsidP="00C50A90">
      <w:pPr>
        <w:jc w:val="both"/>
        <w:rPr>
          <w:rFonts w:ascii="Verdana" w:eastAsia="Geomanist Light" w:hAnsi="Verdana" w:cs="Arial"/>
        </w:rPr>
      </w:pPr>
    </w:p>
    <w:p w14:paraId="51FF49FE" w14:textId="77777777" w:rsidR="00301457" w:rsidRDefault="00301457" w:rsidP="00C50A90">
      <w:pPr>
        <w:jc w:val="both"/>
        <w:rPr>
          <w:rFonts w:ascii="Verdana" w:eastAsia="Geomanist Light" w:hAnsi="Verdana" w:cs="Arial"/>
        </w:rPr>
      </w:pPr>
    </w:p>
    <w:p w14:paraId="5BCCC6C7" w14:textId="77777777" w:rsidR="00301457" w:rsidRDefault="00301457" w:rsidP="00C50A90">
      <w:pPr>
        <w:jc w:val="both"/>
        <w:rPr>
          <w:rFonts w:ascii="Verdana" w:eastAsia="Geomanist Light" w:hAnsi="Verdana" w:cs="Arial"/>
        </w:rPr>
      </w:pPr>
    </w:p>
    <w:p w14:paraId="5896F0A1" w14:textId="49C66991" w:rsidR="00C50A90" w:rsidRPr="00073A28" w:rsidRDefault="00C50A90" w:rsidP="00C50A90">
      <w:pPr>
        <w:jc w:val="both"/>
        <w:rPr>
          <w:rFonts w:ascii="Verdana" w:eastAsia="Calibri" w:hAnsi="Verdana" w:cs="Arial"/>
          <w:lang w:eastAsia="es-ES"/>
        </w:rPr>
      </w:pPr>
      <w:r w:rsidRPr="00073A28">
        <w:rPr>
          <w:rFonts w:ascii="Verdana" w:eastAsia="Geomanist Light" w:hAnsi="Verdana" w:cs="Arial"/>
        </w:rPr>
        <w:lastRenderedPageBreak/>
        <w:t>Bogotá D.C., [Día] de [</w:t>
      </w:r>
      <w:proofErr w:type="spellStart"/>
      <w:r w:rsidRPr="00073A28">
        <w:rPr>
          <w:rFonts w:ascii="Verdana" w:eastAsia="Geomanist Light" w:hAnsi="Verdana" w:cs="Arial"/>
        </w:rPr>
        <w:t>Mes.NombreCapitalizado</w:t>
      </w:r>
      <w:proofErr w:type="spellEnd"/>
      <w:r w:rsidRPr="00073A28">
        <w:rPr>
          <w:rFonts w:ascii="Verdana" w:eastAsia="Geomanist Light" w:hAnsi="Verdana" w:cs="Arial"/>
        </w:rPr>
        <w:t>] de [Año]</w:t>
      </w:r>
    </w:p>
    <w:p w14:paraId="319A265B" w14:textId="2B5DBDA2" w:rsidR="00C50A90" w:rsidRPr="00073A28" w:rsidRDefault="00C50A90" w:rsidP="00C50A90">
      <w:pPr>
        <w:spacing w:after="0" w:line="240" w:lineRule="auto"/>
        <w:jc w:val="both"/>
        <w:rPr>
          <w:rFonts w:ascii="Verdana" w:eastAsia="Calibri" w:hAnsi="Verdana" w:cs="Arial"/>
        </w:rPr>
      </w:pPr>
    </w:p>
    <w:p w14:paraId="01BE510C" w14:textId="25A8BAE6" w:rsidR="00C50A90" w:rsidRPr="00073A28" w:rsidRDefault="00301457" w:rsidP="00C50A90">
      <w:pPr>
        <w:spacing w:after="0" w:line="240" w:lineRule="auto"/>
        <w:jc w:val="both"/>
        <w:rPr>
          <w:rFonts w:ascii="Verdana" w:eastAsia="Calibri" w:hAnsi="Verdana" w:cs="Arial"/>
          <w:lang w:eastAsia="es-ES"/>
        </w:rPr>
      </w:pPr>
      <w:r w:rsidRPr="00076626">
        <w:rPr>
          <w:rFonts w:ascii="Verdana" w:eastAsia="Calibri" w:hAnsi="Verdana" w:cs="Arial"/>
          <w:noProof/>
          <w:lang w:eastAsia="es-ES"/>
        </w:rPr>
        <w:drawing>
          <wp:anchor distT="0" distB="0" distL="114300" distR="114300" simplePos="0" relativeHeight="251657216" behindDoc="1" locked="0" layoutInCell="1" allowOverlap="1" wp14:anchorId="3B89F9A7" wp14:editId="302ADB9F">
            <wp:simplePos x="0" y="0"/>
            <wp:positionH relativeFrom="margin">
              <wp:align>right</wp:align>
            </wp:positionH>
            <wp:positionV relativeFrom="paragraph">
              <wp:posOffset>5080</wp:posOffset>
            </wp:positionV>
            <wp:extent cx="2891155" cy="1049020"/>
            <wp:effectExtent l="0" t="0" r="4445" b="0"/>
            <wp:wrapSquare wrapText="bothSides"/>
            <wp:docPr id="16772802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280237" name=""/>
                    <pic:cNvPicPr/>
                  </pic:nvPicPr>
                  <pic:blipFill>
                    <a:blip r:embed="rId10">
                      <a:extLst>
                        <a:ext uri="{28A0092B-C50C-407E-A947-70E740481C1C}">
                          <a14:useLocalDpi xmlns:a14="http://schemas.microsoft.com/office/drawing/2010/main" val="0"/>
                        </a:ext>
                      </a:extLst>
                    </a:blip>
                    <a:stretch>
                      <a:fillRect/>
                    </a:stretch>
                  </pic:blipFill>
                  <pic:spPr>
                    <a:xfrm>
                      <a:off x="0" y="0"/>
                      <a:ext cx="2891155" cy="1049020"/>
                    </a:xfrm>
                    <a:prstGeom prst="rect">
                      <a:avLst/>
                    </a:prstGeom>
                  </pic:spPr>
                </pic:pic>
              </a:graphicData>
            </a:graphic>
            <wp14:sizeRelH relativeFrom="page">
              <wp14:pctWidth>0</wp14:pctWidth>
            </wp14:sizeRelH>
            <wp14:sizeRelV relativeFrom="page">
              <wp14:pctHeight>0</wp14:pctHeight>
            </wp14:sizeRelV>
          </wp:anchor>
        </w:drawing>
      </w:r>
      <w:r w:rsidR="00C50A90" w:rsidRPr="00073A28">
        <w:rPr>
          <w:rFonts w:ascii="Verdana" w:eastAsia="Calibri" w:hAnsi="Verdana" w:cs="Arial"/>
          <w:lang w:eastAsia="es-ES"/>
        </w:rPr>
        <w:t>Señor</w:t>
      </w:r>
    </w:p>
    <w:p w14:paraId="7D37E09E" w14:textId="25180C63" w:rsidR="00C50A90" w:rsidRPr="00073A28" w:rsidRDefault="00C50A90" w:rsidP="00C50A90">
      <w:pPr>
        <w:spacing w:after="0" w:line="240" w:lineRule="auto"/>
        <w:jc w:val="both"/>
        <w:rPr>
          <w:rFonts w:ascii="Verdana" w:eastAsia="Calibri" w:hAnsi="Verdana" w:cs="Arial"/>
          <w:b/>
          <w:bCs/>
          <w:lang w:eastAsia="es-ES"/>
        </w:rPr>
      </w:pPr>
      <w:r w:rsidRPr="00073A28">
        <w:rPr>
          <w:rFonts w:ascii="Verdana" w:eastAsia="Calibri" w:hAnsi="Verdana" w:cs="Arial"/>
          <w:b/>
          <w:bCs/>
          <w:lang w:eastAsia="es-ES"/>
        </w:rPr>
        <w:t xml:space="preserve">Carlos Alberto </w:t>
      </w:r>
      <w:proofErr w:type="spellStart"/>
      <w:r w:rsidRPr="00073A28">
        <w:rPr>
          <w:rFonts w:ascii="Verdana" w:eastAsia="Calibri" w:hAnsi="Verdana" w:cs="Arial"/>
          <w:b/>
          <w:bCs/>
          <w:lang w:eastAsia="es-ES"/>
        </w:rPr>
        <w:t>Banguero</w:t>
      </w:r>
      <w:proofErr w:type="spellEnd"/>
      <w:r w:rsidRPr="00073A28">
        <w:rPr>
          <w:rFonts w:ascii="Verdana" w:eastAsia="Calibri" w:hAnsi="Verdana" w:cs="Arial"/>
          <w:b/>
          <w:bCs/>
          <w:lang w:eastAsia="es-ES"/>
        </w:rPr>
        <w:t xml:space="preserve"> Moreno</w:t>
      </w:r>
    </w:p>
    <w:p w14:paraId="63B1147F" w14:textId="50679B46" w:rsidR="00C50A90" w:rsidRPr="00073A28" w:rsidRDefault="00C50A90" w:rsidP="00C50A90">
      <w:pPr>
        <w:spacing w:after="0" w:line="240" w:lineRule="auto"/>
        <w:jc w:val="both"/>
        <w:rPr>
          <w:rFonts w:ascii="Verdana" w:eastAsia="Calibri" w:hAnsi="Verdana" w:cs="Arial"/>
          <w:lang w:eastAsia="es-ES"/>
        </w:rPr>
      </w:pPr>
      <w:r w:rsidRPr="00073A28">
        <w:rPr>
          <w:rFonts w:ascii="Verdana" w:eastAsia="Calibri" w:hAnsi="Verdana" w:cs="Arial"/>
          <w:lang w:eastAsia="es-ES"/>
        </w:rPr>
        <w:t>Representante Legal</w:t>
      </w:r>
    </w:p>
    <w:p w14:paraId="1B6C29BA" w14:textId="191ED7E4" w:rsidR="00C50A90" w:rsidRPr="00073A28" w:rsidRDefault="00C50A90" w:rsidP="00C50A90">
      <w:pPr>
        <w:spacing w:after="0" w:line="240" w:lineRule="auto"/>
        <w:jc w:val="both"/>
        <w:rPr>
          <w:rFonts w:ascii="Verdana" w:eastAsia="Calibri" w:hAnsi="Verdana" w:cs="Arial"/>
          <w:lang w:eastAsia="es-ES"/>
        </w:rPr>
      </w:pPr>
      <w:r w:rsidRPr="00073A28">
        <w:rPr>
          <w:rFonts w:ascii="Verdana" w:eastAsia="Calibri" w:hAnsi="Verdana" w:cs="Arial"/>
          <w:lang w:eastAsia="es-ES"/>
        </w:rPr>
        <w:t>ASOMURA</w:t>
      </w:r>
    </w:p>
    <w:p w14:paraId="1F897307" w14:textId="77777777" w:rsidR="00C50A90" w:rsidRPr="00073A28" w:rsidRDefault="00C50A90" w:rsidP="00C50A90">
      <w:pPr>
        <w:spacing w:after="0" w:line="240" w:lineRule="auto"/>
        <w:jc w:val="both"/>
        <w:rPr>
          <w:rFonts w:ascii="Verdana" w:eastAsia="Calibri" w:hAnsi="Verdana" w:cs="Arial"/>
          <w:lang w:eastAsia="es-ES"/>
        </w:rPr>
      </w:pPr>
      <w:r w:rsidRPr="00073A28">
        <w:rPr>
          <w:rFonts w:ascii="Verdana" w:eastAsia="Calibri" w:hAnsi="Verdana" w:cs="Arial"/>
          <w:lang w:eastAsia="es-ES"/>
        </w:rPr>
        <w:t>contactenos@asomura.gov.co</w:t>
      </w:r>
    </w:p>
    <w:p w14:paraId="770E9EB1" w14:textId="77777777" w:rsidR="00C50A90" w:rsidRPr="00073A28" w:rsidRDefault="00C50A90" w:rsidP="00C50A90">
      <w:pPr>
        <w:spacing w:after="0" w:line="240" w:lineRule="auto"/>
        <w:jc w:val="both"/>
        <w:rPr>
          <w:rFonts w:ascii="Verdana" w:eastAsia="Calibri" w:hAnsi="Verdana" w:cs="Arial"/>
          <w:b/>
          <w:bCs/>
          <w:lang w:eastAsia="es-ES"/>
        </w:rPr>
      </w:pPr>
      <w:r w:rsidRPr="00073A28">
        <w:rPr>
          <w:rFonts w:ascii="Verdana" w:eastAsia="Calibri" w:hAnsi="Verdana" w:cs="Arial"/>
          <w:lang w:eastAsia="es-ES"/>
        </w:rPr>
        <w:t>Bogotá, Cundinamarca</w:t>
      </w:r>
    </w:p>
    <w:p w14:paraId="06EAF3A0" w14:textId="77777777" w:rsidR="00C50A90" w:rsidRPr="00073A28" w:rsidRDefault="00C50A90" w:rsidP="00C50A90">
      <w:pPr>
        <w:spacing w:after="0" w:line="240" w:lineRule="auto"/>
        <w:jc w:val="both"/>
        <w:rPr>
          <w:rFonts w:ascii="Verdana" w:eastAsia="Calibri" w:hAnsi="Verdana" w:cs="Arial"/>
          <w:b/>
          <w:lang w:eastAsia="es-ES"/>
        </w:rPr>
      </w:pPr>
    </w:p>
    <w:p w14:paraId="7E90F665" w14:textId="77777777" w:rsidR="00C50A90" w:rsidRPr="00073A28" w:rsidRDefault="00C50A90" w:rsidP="00C50A90">
      <w:pPr>
        <w:spacing w:after="0" w:line="240" w:lineRule="auto"/>
        <w:jc w:val="both"/>
        <w:rPr>
          <w:rFonts w:ascii="Verdana" w:eastAsia="Calibri" w:hAnsi="Verdana" w:cs="Arial"/>
          <w:b/>
          <w:lang w:eastAsia="es-ES"/>
        </w:rPr>
      </w:pPr>
    </w:p>
    <w:tbl>
      <w:tblPr>
        <w:tblStyle w:val="Tablaconcuadrcula"/>
        <w:tblW w:w="8789" w:type="dxa"/>
        <w:tblCellMar>
          <w:left w:w="0" w:type="dxa"/>
          <w:right w:w="0" w:type="dxa"/>
        </w:tblCellMar>
        <w:tblLook w:val="04A0" w:firstRow="1" w:lastRow="0" w:firstColumn="1" w:lastColumn="0" w:noHBand="0" w:noVBand="1"/>
      </w:tblPr>
      <w:tblGrid>
        <w:gridCol w:w="2689"/>
        <w:gridCol w:w="6100"/>
      </w:tblGrid>
      <w:tr w:rsidR="00C50A90" w:rsidRPr="00073A28" w14:paraId="12F6FB11" w14:textId="77777777" w:rsidTr="05FE03FA">
        <w:trPr>
          <w:trHeight w:val="300"/>
        </w:trPr>
        <w:tc>
          <w:tcPr>
            <w:tcW w:w="2689" w:type="dxa"/>
          </w:tcPr>
          <w:p w14:paraId="1A498684" w14:textId="77777777" w:rsidR="00C50A90" w:rsidRPr="00073A28" w:rsidRDefault="00C50A90" w:rsidP="00ED5A4A">
            <w:pPr>
              <w:jc w:val="both"/>
              <w:rPr>
                <w:rFonts w:ascii="Verdana" w:eastAsia="Calibri" w:hAnsi="Verdana" w:cs="Arial"/>
                <w:b/>
                <w:lang w:eastAsia="es-ES"/>
              </w:rPr>
            </w:pPr>
          </w:p>
        </w:tc>
        <w:tc>
          <w:tcPr>
            <w:tcW w:w="6100" w:type="dxa"/>
          </w:tcPr>
          <w:p w14:paraId="11BA3951" w14:textId="77777777" w:rsidR="00C50A90" w:rsidRPr="00073A28" w:rsidRDefault="00C50A90" w:rsidP="00ED5A4A">
            <w:pPr>
              <w:jc w:val="both"/>
              <w:rPr>
                <w:rFonts w:ascii="Verdana" w:eastAsia="Calibri" w:hAnsi="Verdana" w:cs="Arial"/>
                <w:b/>
                <w:bCs/>
                <w:lang w:eastAsia="es-ES"/>
              </w:rPr>
            </w:pPr>
            <w:r w:rsidRPr="00073A28">
              <w:rPr>
                <w:rFonts w:ascii="Verdana" w:eastAsia="Calibri" w:hAnsi="Verdana" w:cs="Arial"/>
                <w:b/>
                <w:bCs/>
                <w:lang w:eastAsia="es-ES"/>
              </w:rPr>
              <w:t>Concepto C- 1338 de 2025</w:t>
            </w:r>
          </w:p>
          <w:p w14:paraId="30359738" w14:textId="77777777" w:rsidR="00C50A90" w:rsidRPr="00073A28" w:rsidRDefault="00C50A90" w:rsidP="00ED5A4A">
            <w:pPr>
              <w:jc w:val="both"/>
              <w:rPr>
                <w:rFonts w:ascii="Verdana" w:eastAsia="Calibri" w:hAnsi="Verdana" w:cs="Arial"/>
                <w:b/>
                <w:bCs/>
                <w:lang w:eastAsia="es-ES"/>
              </w:rPr>
            </w:pPr>
          </w:p>
        </w:tc>
      </w:tr>
      <w:tr w:rsidR="00C50A90" w:rsidRPr="00073A28" w14:paraId="3EF9B921" w14:textId="77777777" w:rsidTr="05FE03FA">
        <w:trPr>
          <w:trHeight w:val="300"/>
        </w:trPr>
        <w:tc>
          <w:tcPr>
            <w:tcW w:w="2689" w:type="dxa"/>
          </w:tcPr>
          <w:p w14:paraId="280A65BD" w14:textId="452BE816" w:rsidR="00C50A90" w:rsidRPr="00073A28" w:rsidRDefault="00C50A90" w:rsidP="00ED5A4A">
            <w:pPr>
              <w:jc w:val="both"/>
              <w:rPr>
                <w:rFonts w:ascii="Verdana" w:eastAsia="Calibri" w:hAnsi="Verdana" w:cs="Arial"/>
                <w:lang w:eastAsia="es-ES"/>
              </w:rPr>
            </w:pPr>
            <w:r w:rsidRPr="05FE03FA">
              <w:rPr>
                <w:rFonts w:ascii="Verdana" w:eastAsia="Calibri" w:hAnsi="Verdana" w:cs="Arial"/>
                <w:b/>
                <w:lang w:eastAsia="es-ES"/>
              </w:rPr>
              <w:t>Te</w:t>
            </w:r>
            <w:r w:rsidR="00076626">
              <w:rPr>
                <w:rFonts w:ascii="Verdana" w:eastAsia="Calibri" w:hAnsi="Verdana" w:cs="Arial"/>
                <w:b/>
                <w:lang w:eastAsia="es-ES"/>
              </w:rPr>
              <w:t>m</w:t>
            </w:r>
            <w:r w:rsidRPr="05FE03FA">
              <w:rPr>
                <w:rFonts w:ascii="Verdana" w:eastAsia="Calibri" w:hAnsi="Verdana" w:cs="Arial"/>
                <w:b/>
                <w:lang w:eastAsia="es-ES"/>
              </w:rPr>
              <w:t>as:</w:t>
            </w:r>
            <w:r w:rsidRPr="05FE03FA">
              <w:rPr>
                <w:rFonts w:ascii="Verdana" w:eastAsia="Calibri" w:hAnsi="Verdana" w:cs="Arial"/>
                <w:lang w:eastAsia="es-ES"/>
              </w:rPr>
              <w:t xml:space="preserve">                   </w:t>
            </w:r>
          </w:p>
        </w:tc>
        <w:tc>
          <w:tcPr>
            <w:tcW w:w="6100" w:type="dxa"/>
          </w:tcPr>
          <w:p w14:paraId="31EDBDBB" w14:textId="77777777" w:rsidR="00C50A90" w:rsidRPr="00A921B8" w:rsidRDefault="00C50A90" w:rsidP="00ED5A4A">
            <w:pPr>
              <w:jc w:val="both"/>
              <w:rPr>
                <w:rFonts w:ascii="Verdana" w:eastAsia="Geomanist Light" w:hAnsi="Verdana" w:cs="Arial"/>
              </w:rPr>
            </w:pPr>
            <w:r w:rsidRPr="00A921B8">
              <w:rPr>
                <w:rFonts w:ascii="Verdana" w:eastAsia="Geomanist Light" w:hAnsi="Verdana" w:cs="Arial"/>
              </w:rPr>
              <w:t xml:space="preserve">INTERVENTORÍA – Características/ PLAZO DEL CONTRATO DE INTERVENTORÍA- Duración del término del Contrato de obra/LIQUIDACIÓN DEL CONTRATO – Definición – Objetivo </w:t>
            </w:r>
          </w:p>
          <w:p w14:paraId="43FF94BC" w14:textId="77777777" w:rsidR="00C50A90" w:rsidRPr="00073A28" w:rsidRDefault="00C50A90" w:rsidP="00ED5A4A">
            <w:pPr>
              <w:spacing w:line="276" w:lineRule="auto"/>
              <w:jc w:val="both"/>
              <w:rPr>
                <w:rFonts w:ascii="Verdana" w:eastAsia="Calibri" w:hAnsi="Verdana" w:cs="Arial"/>
                <w:lang w:eastAsia="es-ES"/>
              </w:rPr>
            </w:pPr>
          </w:p>
        </w:tc>
      </w:tr>
      <w:tr w:rsidR="00C50A90" w:rsidRPr="00073A28" w14:paraId="09276842" w14:textId="77777777" w:rsidTr="05FE03FA">
        <w:trPr>
          <w:trHeight w:val="300"/>
        </w:trPr>
        <w:tc>
          <w:tcPr>
            <w:tcW w:w="2689" w:type="dxa"/>
          </w:tcPr>
          <w:p w14:paraId="0D3FEFBF" w14:textId="77777777" w:rsidR="00C50A90" w:rsidRPr="00073A28" w:rsidRDefault="00C50A90" w:rsidP="00ED5A4A">
            <w:pPr>
              <w:jc w:val="both"/>
              <w:rPr>
                <w:rFonts w:ascii="Verdana" w:eastAsia="Calibri" w:hAnsi="Verdana" w:cs="Arial"/>
                <w:b/>
                <w:lang w:eastAsia="es-ES"/>
              </w:rPr>
            </w:pPr>
            <w:r w:rsidRPr="05FE03FA">
              <w:rPr>
                <w:rFonts w:ascii="Verdana" w:eastAsia="Calibri" w:hAnsi="Verdana" w:cs="Arial"/>
                <w:b/>
                <w:lang w:eastAsia="es-ES"/>
              </w:rPr>
              <w:t>Radicación:</w:t>
            </w:r>
            <w:r w:rsidRPr="05FE03FA">
              <w:rPr>
                <w:rFonts w:ascii="Verdana" w:eastAsia="Calibri" w:hAnsi="Verdana" w:cs="Arial"/>
                <w:lang w:eastAsia="es-ES"/>
              </w:rPr>
              <w:t xml:space="preserve">               </w:t>
            </w:r>
          </w:p>
        </w:tc>
        <w:tc>
          <w:tcPr>
            <w:tcW w:w="6100" w:type="dxa"/>
          </w:tcPr>
          <w:p w14:paraId="68DD342C" w14:textId="77777777" w:rsidR="00C50A90" w:rsidRPr="00073A28" w:rsidRDefault="00C50A90" w:rsidP="00ED5A4A">
            <w:pPr>
              <w:jc w:val="both"/>
              <w:rPr>
                <w:rFonts w:ascii="Verdana" w:eastAsia="Calibri" w:hAnsi="Verdana" w:cs="Arial"/>
                <w:lang w:eastAsia="es-ES"/>
              </w:rPr>
            </w:pPr>
            <w:r w:rsidRPr="05FE03FA">
              <w:rPr>
                <w:rFonts w:ascii="Verdana" w:eastAsia="Calibri" w:hAnsi="Verdana" w:cs="Arial"/>
                <w:lang w:eastAsia="es-ES"/>
              </w:rPr>
              <w:t>Respuesta a consulta con radicado No. 1_2025_09_18_010253</w:t>
            </w:r>
          </w:p>
        </w:tc>
      </w:tr>
    </w:tbl>
    <w:p w14:paraId="47D77183" w14:textId="77777777" w:rsidR="00C50A90" w:rsidRPr="00073A28" w:rsidRDefault="00C50A90" w:rsidP="00C50A90">
      <w:pPr>
        <w:spacing w:after="0" w:line="240" w:lineRule="auto"/>
        <w:jc w:val="both"/>
        <w:rPr>
          <w:rFonts w:ascii="Verdana" w:eastAsia="Calibri" w:hAnsi="Verdana" w:cs="Arial"/>
          <w:lang w:eastAsia="es-ES"/>
        </w:rPr>
      </w:pPr>
    </w:p>
    <w:p w14:paraId="2F2A77A5" w14:textId="77777777" w:rsidR="00C50A90" w:rsidRPr="00073A28" w:rsidRDefault="00C50A90" w:rsidP="00C50A90">
      <w:pPr>
        <w:spacing w:after="0" w:line="240" w:lineRule="auto"/>
        <w:jc w:val="both"/>
        <w:rPr>
          <w:rFonts w:ascii="Verdana" w:eastAsia="Calibri" w:hAnsi="Verdana" w:cs="Arial"/>
          <w:lang w:eastAsia="es-ES"/>
        </w:rPr>
      </w:pPr>
    </w:p>
    <w:p w14:paraId="0B3CD29B" w14:textId="77777777" w:rsidR="00C50A90" w:rsidRPr="00073A28" w:rsidRDefault="00C50A90" w:rsidP="00C50A90">
      <w:pPr>
        <w:spacing w:after="0" w:line="276" w:lineRule="auto"/>
        <w:jc w:val="both"/>
        <w:rPr>
          <w:rFonts w:ascii="Verdana" w:eastAsia="Calibri" w:hAnsi="Verdana" w:cs="Arial"/>
          <w:lang w:eastAsia="es-ES"/>
        </w:rPr>
      </w:pPr>
      <w:r w:rsidRPr="00073A28">
        <w:rPr>
          <w:rFonts w:ascii="Verdana" w:eastAsia="Calibri" w:hAnsi="Verdana" w:cs="Arial"/>
          <w:lang w:eastAsia="es-ES"/>
        </w:rPr>
        <w:t>Estimad</w:t>
      </w:r>
      <w:r>
        <w:rPr>
          <w:rFonts w:ascii="Verdana" w:eastAsia="Calibri" w:hAnsi="Verdana" w:cs="Arial"/>
          <w:lang w:eastAsia="es-ES"/>
        </w:rPr>
        <w:t>o</w:t>
      </w:r>
      <w:r w:rsidRPr="00073A28">
        <w:rPr>
          <w:rFonts w:ascii="Verdana" w:eastAsia="Calibri" w:hAnsi="Verdana" w:cs="Arial"/>
          <w:lang w:eastAsia="es-ES"/>
        </w:rPr>
        <w:t xml:space="preserve"> señor </w:t>
      </w:r>
      <w:proofErr w:type="spellStart"/>
      <w:r>
        <w:rPr>
          <w:rFonts w:ascii="Verdana" w:eastAsia="Calibri" w:hAnsi="Verdana" w:cs="Arial"/>
          <w:lang w:eastAsia="es-ES"/>
        </w:rPr>
        <w:t>Banguero</w:t>
      </w:r>
      <w:proofErr w:type="spellEnd"/>
      <w:r w:rsidRPr="00073A28">
        <w:rPr>
          <w:rFonts w:ascii="Verdana" w:eastAsia="Calibri" w:hAnsi="Verdana" w:cs="Arial"/>
          <w:lang w:eastAsia="es-ES"/>
        </w:rPr>
        <w:t xml:space="preserve">: </w:t>
      </w:r>
    </w:p>
    <w:p w14:paraId="376839BC" w14:textId="77777777" w:rsidR="00C50A90" w:rsidRPr="00073A28" w:rsidRDefault="00C50A90" w:rsidP="00C50A90">
      <w:pPr>
        <w:tabs>
          <w:tab w:val="left" w:pos="3768"/>
        </w:tabs>
        <w:spacing w:after="0" w:line="276" w:lineRule="auto"/>
        <w:jc w:val="both"/>
        <w:rPr>
          <w:rFonts w:ascii="Verdana" w:eastAsia="Calibri" w:hAnsi="Verdana" w:cs="Arial"/>
          <w:lang w:eastAsia="es-ES"/>
        </w:rPr>
      </w:pPr>
    </w:p>
    <w:p w14:paraId="347BA854" w14:textId="77777777" w:rsidR="00C50A90" w:rsidRPr="00245F51" w:rsidRDefault="00C50A90" w:rsidP="00C50A90">
      <w:pPr>
        <w:spacing w:after="0" w:line="276" w:lineRule="auto"/>
        <w:jc w:val="both"/>
        <w:rPr>
          <w:rFonts w:ascii="Verdana" w:eastAsia="Calibri" w:hAnsi="Verdana" w:cs="Arial"/>
          <w:sz w:val="20"/>
          <w:szCs w:val="20"/>
          <w:lang w:eastAsia="es-ES"/>
        </w:rPr>
      </w:pPr>
      <w:r w:rsidRPr="00073A28">
        <w:rPr>
          <w:rFonts w:ascii="Verdana" w:eastAsia="Calibri" w:hAnsi="Verdana" w:cs="Arial"/>
          <w:lang w:eastAsia="es-ES"/>
        </w:rPr>
        <w:t>En ejercicio de la competencia otorgada por los artículos 3, numeral 5º, y 11, numeral 8º, del Decreto Ley 4170 de 2011,</w:t>
      </w:r>
      <w:r w:rsidRPr="00073A28">
        <w:rPr>
          <w:rFonts w:ascii="Verdana" w:eastAsia="Arial MT" w:hAnsi="Verdana" w:cs="Arial MT"/>
          <w:lang w:eastAsia="es-ES"/>
        </w:rPr>
        <w:t xml:space="preserve"> </w:t>
      </w:r>
      <w:r w:rsidRPr="00073A28">
        <w:rPr>
          <w:rFonts w:ascii="Verdana" w:hAnsi="Verdana" w:cs="Arial"/>
        </w:rPr>
        <w:t xml:space="preserve">así como lo establecido en el artículo 4 de la Resolución 1707 de 2018 expedida por esta Entidad, </w:t>
      </w:r>
      <w:r w:rsidRPr="00073A28">
        <w:rPr>
          <w:rFonts w:ascii="Verdana" w:eastAsia="Calibri" w:hAnsi="Verdana" w:cs="Arial"/>
          <w:lang w:eastAsia="es-ES"/>
        </w:rPr>
        <w:t xml:space="preserve">la Agencia Nacional de Contratación Pública – Colombia Compra Eficiente– responde su solicitud de consulta de fecha del 18 de septiembre de 2025, en la cual manifiesta lo siguiente: </w:t>
      </w:r>
    </w:p>
    <w:p w14:paraId="06F57FDA" w14:textId="77777777" w:rsidR="00C50A90" w:rsidRPr="00245F51" w:rsidRDefault="00C50A90" w:rsidP="00C50A90">
      <w:pPr>
        <w:spacing w:after="0" w:line="276" w:lineRule="auto"/>
        <w:jc w:val="both"/>
        <w:rPr>
          <w:rFonts w:ascii="Verdana" w:eastAsia="Calibri" w:hAnsi="Verdana" w:cs="Arial"/>
          <w:sz w:val="20"/>
          <w:szCs w:val="20"/>
          <w:lang w:eastAsia="es-ES"/>
        </w:rPr>
      </w:pPr>
    </w:p>
    <w:p w14:paraId="13367FCD" w14:textId="77777777" w:rsidR="00C50A90" w:rsidRPr="00245F51" w:rsidRDefault="00C50A90" w:rsidP="00C50A90">
      <w:pPr>
        <w:spacing w:after="0" w:line="240" w:lineRule="auto"/>
        <w:ind w:left="709" w:right="709"/>
        <w:jc w:val="both"/>
        <w:rPr>
          <w:rFonts w:ascii="Verdana" w:eastAsia="Calibri" w:hAnsi="Verdana" w:cs="Arial"/>
          <w:sz w:val="20"/>
          <w:szCs w:val="20"/>
          <w:lang w:eastAsia="es-ES"/>
        </w:rPr>
      </w:pPr>
      <w:r w:rsidRPr="00245F51">
        <w:rPr>
          <w:rFonts w:ascii="Verdana" w:eastAsia="Calibri" w:hAnsi="Verdana" w:cs="Arial"/>
          <w:sz w:val="20"/>
          <w:szCs w:val="20"/>
          <w:lang w:eastAsia="es-ES"/>
        </w:rPr>
        <w:t xml:space="preserve">“…1. Es procedente que la instancia pública designada para la contratación de la interventoría (Gobernación de Antioquia) liquide la interventoría antes de la finalización del contrato de obra, teniendo en cuenta que la Ley 1474 de 2011 establece la obligatoriedad de contar con interventoría durante toda la ejecución de proyectos de obra financiados con recursos </w:t>
      </w:r>
      <w:proofErr w:type="gramStart"/>
      <w:r w:rsidRPr="00245F51">
        <w:rPr>
          <w:rFonts w:ascii="Verdana" w:eastAsia="Calibri" w:hAnsi="Verdana" w:cs="Arial"/>
          <w:sz w:val="20"/>
          <w:szCs w:val="20"/>
          <w:lang w:eastAsia="es-ES"/>
        </w:rPr>
        <w:t>públicos?.</w:t>
      </w:r>
      <w:proofErr w:type="gramEnd"/>
    </w:p>
    <w:p w14:paraId="2CD19864" w14:textId="77777777" w:rsidR="00C50A90" w:rsidRPr="00245F51" w:rsidRDefault="00C50A90" w:rsidP="00C50A90">
      <w:pPr>
        <w:spacing w:after="0" w:line="240" w:lineRule="auto"/>
        <w:ind w:left="709" w:right="709"/>
        <w:jc w:val="both"/>
        <w:rPr>
          <w:rFonts w:ascii="Verdana" w:eastAsia="Calibri" w:hAnsi="Verdana" w:cs="Arial"/>
          <w:sz w:val="20"/>
          <w:szCs w:val="20"/>
          <w:lang w:eastAsia="es-ES"/>
        </w:rPr>
      </w:pPr>
      <w:r w:rsidRPr="00245F51">
        <w:rPr>
          <w:rFonts w:ascii="Verdana" w:eastAsia="Calibri" w:hAnsi="Verdana" w:cs="Arial"/>
          <w:sz w:val="20"/>
          <w:szCs w:val="20"/>
          <w:lang w:eastAsia="es-ES"/>
        </w:rPr>
        <w:t xml:space="preserve">2.En caso de liquidar la interventoría dado que la entidad ejecutora es diferente (ASOMURA), ¿qué mecanismos alternativos de seguimiento </w:t>
      </w:r>
      <w:proofErr w:type="gramStart"/>
      <w:r w:rsidRPr="00245F51">
        <w:rPr>
          <w:rFonts w:ascii="Verdana" w:eastAsia="Calibri" w:hAnsi="Verdana" w:cs="Arial"/>
          <w:sz w:val="20"/>
          <w:szCs w:val="20"/>
          <w:lang w:eastAsia="es-ES"/>
        </w:rPr>
        <w:t>podrían  implementarse</w:t>
      </w:r>
      <w:proofErr w:type="gramEnd"/>
      <w:r w:rsidRPr="00245F51">
        <w:rPr>
          <w:rFonts w:ascii="Verdana" w:eastAsia="Calibri" w:hAnsi="Verdana" w:cs="Arial"/>
          <w:sz w:val="20"/>
          <w:szCs w:val="20"/>
          <w:lang w:eastAsia="es-ES"/>
        </w:rPr>
        <w:t xml:space="preserve"> para garantizar el control técnico, financiero y administrativo del porcentaje restante de ejecución del proyecto, evitando riesgos de pérdida, detrimento patrimonial </w:t>
      </w:r>
      <w:proofErr w:type="gramStart"/>
      <w:r w:rsidRPr="00245F51">
        <w:rPr>
          <w:rFonts w:ascii="Verdana" w:eastAsia="Calibri" w:hAnsi="Verdana" w:cs="Arial"/>
          <w:sz w:val="20"/>
          <w:szCs w:val="20"/>
          <w:lang w:eastAsia="es-ES"/>
        </w:rPr>
        <w:t>o  hallazgos</w:t>
      </w:r>
      <w:proofErr w:type="gramEnd"/>
      <w:r w:rsidRPr="00245F51">
        <w:rPr>
          <w:rFonts w:ascii="Verdana" w:eastAsia="Calibri" w:hAnsi="Verdana" w:cs="Arial"/>
          <w:sz w:val="20"/>
          <w:szCs w:val="20"/>
          <w:lang w:eastAsia="es-ES"/>
        </w:rPr>
        <w:t xml:space="preserve"> fiscales frente a los recursos del Sistema General de Regalías?</w:t>
      </w:r>
    </w:p>
    <w:p w14:paraId="7FD001A7" w14:textId="77777777" w:rsidR="00C50A90" w:rsidRPr="00245F51" w:rsidRDefault="00C50A90" w:rsidP="00C50A90">
      <w:pPr>
        <w:spacing w:after="0" w:line="240" w:lineRule="auto"/>
        <w:ind w:left="709" w:right="709"/>
        <w:jc w:val="both"/>
        <w:rPr>
          <w:rFonts w:ascii="Verdana" w:eastAsia="Calibri" w:hAnsi="Verdana" w:cs="Arial"/>
          <w:sz w:val="20"/>
          <w:szCs w:val="20"/>
          <w:lang w:eastAsia="es-ES"/>
        </w:rPr>
      </w:pPr>
      <w:r w:rsidRPr="00245F51">
        <w:rPr>
          <w:rFonts w:ascii="Verdana" w:eastAsia="Calibri" w:hAnsi="Verdana" w:cs="Arial"/>
          <w:sz w:val="20"/>
          <w:szCs w:val="20"/>
          <w:lang w:eastAsia="es-ES"/>
        </w:rPr>
        <w:lastRenderedPageBreak/>
        <w:t>3. ¿Qué efectos tendría para el proceso de cierre del proyecto regional, tanto en el registro de las diferentes plataformas como SUIFP y GESPROY como en la auditoría de la Contraloría General de la República, que la interventoría termine antes de la obra?</w:t>
      </w:r>
    </w:p>
    <w:p w14:paraId="69DC4EE3" w14:textId="77777777" w:rsidR="00C50A90" w:rsidRPr="00245F51" w:rsidRDefault="00C50A90" w:rsidP="00C50A90">
      <w:pPr>
        <w:spacing w:after="0" w:line="240" w:lineRule="auto"/>
        <w:ind w:left="709" w:right="709"/>
        <w:jc w:val="both"/>
        <w:rPr>
          <w:rFonts w:ascii="Verdana" w:eastAsia="Calibri" w:hAnsi="Verdana" w:cs="Arial"/>
          <w:sz w:val="20"/>
          <w:szCs w:val="20"/>
          <w:lang w:eastAsia="es-ES"/>
        </w:rPr>
      </w:pPr>
      <w:r w:rsidRPr="00245F51">
        <w:rPr>
          <w:rFonts w:ascii="Verdana" w:eastAsia="Calibri" w:hAnsi="Verdana" w:cs="Arial"/>
          <w:sz w:val="20"/>
          <w:szCs w:val="20"/>
          <w:lang w:eastAsia="es-ES"/>
        </w:rPr>
        <w:t>4. Dado que la entidad ejecutora (ASOMURA) cuenta con la disposición y los recursos para concluir a satisfacción la ejecución del proyecto, en el evento de persistir la decisión de liquidar la interventoría antes de la culminación del contrato de obra, ¿existe la responsabilidad por la entidad ejecutora por no terminar el proyecto al 100% cuando las razones no recaen sobre este?</w:t>
      </w:r>
    </w:p>
    <w:p w14:paraId="43CB57F8" w14:textId="77777777" w:rsidR="00C50A90" w:rsidRPr="00245F51" w:rsidRDefault="00C50A90" w:rsidP="00C50A90">
      <w:pPr>
        <w:spacing w:after="0" w:line="240" w:lineRule="auto"/>
        <w:ind w:left="709" w:right="709"/>
        <w:jc w:val="both"/>
        <w:rPr>
          <w:rFonts w:ascii="Verdana" w:eastAsia="Calibri" w:hAnsi="Verdana" w:cs="Arial"/>
          <w:sz w:val="20"/>
          <w:szCs w:val="20"/>
          <w:lang w:eastAsia="es-ES"/>
        </w:rPr>
      </w:pPr>
      <w:r w:rsidRPr="00245F51">
        <w:rPr>
          <w:rFonts w:ascii="Verdana" w:eastAsia="Calibri" w:hAnsi="Verdana" w:cs="Arial"/>
          <w:sz w:val="20"/>
          <w:szCs w:val="20"/>
          <w:lang w:eastAsia="es-ES"/>
        </w:rPr>
        <w:t>5. ¿Es posible que se cambie la instancia designada para contratar la interventoría al mismo ejecutor?, de ser posible, ¿cuál es el proceso que se debe realizar para tal situación?”.</w:t>
      </w:r>
    </w:p>
    <w:p w14:paraId="6AFAA872" w14:textId="77777777" w:rsidR="00C50A90" w:rsidRPr="00245F51" w:rsidRDefault="00C50A90" w:rsidP="00C50A90">
      <w:pPr>
        <w:spacing w:after="0" w:line="240" w:lineRule="auto"/>
        <w:ind w:left="709" w:right="709"/>
        <w:jc w:val="both"/>
        <w:rPr>
          <w:rFonts w:ascii="Verdana" w:eastAsia="Calibri" w:hAnsi="Verdana" w:cs="Arial"/>
          <w:sz w:val="20"/>
          <w:szCs w:val="20"/>
          <w:lang w:eastAsia="es-ES"/>
        </w:rPr>
      </w:pPr>
    </w:p>
    <w:p w14:paraId="2D1D1813" w14:textId="77777777" w:rsidR="00C50A90" w:rsidRPr="00073A28" w:rsidRDefault="00C50A90" w:rsidP="00C50A90">
      <w:pPr>
        <w:spacing w:after="12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14:paraId="503151B7" w14:textId="77777777" w:rsidR="00C50A90" w:rsidRPr="00073A28" w:rsidRDefault="00C50A90" w:rsidP="00C50A90">
      <w:pPr>
        <w:spacing w:after="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F18B7E5" w14:textId="77777777" w:rsidR="00C50A90" w:rsidRDefault="00C50A90" w:rsidP="00C50A90">
      <w:pPr>
        <w:spacing w:after="0" w:line="276" w:lineRule="auto"/>
        <w:ind w:firstLine="709"/>
        <w:jc w:val="both"/>
        <w:rPr>
          <w:rFonts w:ascii="Verdana" w:eastAsia="Calibri" w:hAnsi="Verdana" w:cs="Arial"/>
          <w:lang w:eastAsia="es-ES"/>
        </w:rPr>
      </w:pPr>
    </w:p>
    <w:p w14:paraId="17921D97" w14:textId="77777777" w:rsidR="00C50A90" w:rsidRPr="00073A28" w:rsidRDefault="00C50A90" w:rsidP="00076626">
      <w:pPr>
        <w:spacing w:after="0" w:line="276" w:lineRule="auto"/>
        <w:jc w:val="both"/>
        <w:rPr>
          <w:rFonts w:ascii="Verdana" w:eastAsia="Calibri" w:hAnsi="Verdana" w:cs="Arial"/>
          <w:lang w:eastAsia="es-ES"/>
        </w:rPr>
      </w:pPr>
    </w:p>
    <w:p w14:paraId="5B85E892" w14:textId="77777777" w:rsidR="00C50A90" w:rsidRPr="00073A28" w:rsidRDefault="00C50A90" w:rsidP="05FE03F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lang w:val="es-CO"/>
        </w:rPr>
      </w:pPr>
      <w:r w:rsidRPr="00073A28">
        <w:rPr>
          <w:rFonts w:ascii="Verdana" w:eastAsia="Century Gothic" w:hAnsi="Verdana" w:cs="Century Gothic"/>
          <w:b/>
          <w:bCs/>
          <w:lang w:val="es-CO"/>
        </w:rPr>
        <w:t>Problema planteado:</w:t>
      </w:r>
    </w:p>
    <w:p w14:paraId="3B380427" w14:textId="77777777" w:rsidR="00C50A90" w:rsidRPr="00073A28" w:rsidRDefault="00C50A90" w:rsidP="00C50A90">
      <w:pPr>
        <w:tabs>
          <w:tab w:val="left" w:pos="426"/>
        </w:tabs>
        <w:spacing w:after="0" w:line="276" w:lineRule="auto"/>
        <w:jc w:val="both"/>
        <w:rPr>
          <w:rFonts w:ascii="Verdana" w:eastAsia="Century Gothic" w:hAnsi="Verdana" w:cs="Century Gothic"/>
        </w:rPr>
      </w:pPr>
    </w:p>
    <w:p w14:paraId="6F042136" w14:textId="0A2DB63E" w:rsidR="00C50A90" w:rsidRPr="00073A28" w:rsidRDefault="00C50A90" w:rsidP="00C50A90">
      <w:pPr>
        <w:spacing w:after="0" w:line="276" w:lineRule="auto"/>
        <w:jc w:val="both"/>
        <w:rPr>
          <w:rFonts w:ascii="Verdana" w:eastAsia="Century Gothic" w:hAnsi="Verdana" w:cs="Century Gothic"/>
        </w:rPr>
      </w:pPr>
      <w:r w:rsidRPr="1F539949">
        <w:rPr>
          <w:rFonts w:ascii="Verdana" w:eastAsia="Century Gothic" w:hAnsi="Verdana" w:cs="Century Gothic"/>
        </w:rPr>
        <w:t>De acuerdo con el contenido de su solicitud, esta Agencia resolverá el siguiente problema jurídico: ¿(i) ¿Es viable jurídicamente suscribir</w:t>
      </w:r>
      <w:r w:rsidRPr="1F539949" w:rsidDel="003D5708">
        <w:rPr>
          <w:rFonts w:ascii="Verdana" w:eastAsia="Century Gothic" w:hAnsi="Verdana" w:cs="Century Gothic"/>
        </w:rPr>
        <w:t xml:space="preserve"> </w:t>
      </w:r>
      <w:r w:rsidRPr="1F539949">
        <w:rPr>
          <w:rFonts w:ascii="Verdana" w:eastAsia="Century Gothic" w:hAnsi="Verdana" w:cs="Century Gothic"/>
        </w:rPr>
        <w:t xml:space="preserve">la liquidación de un contrato de interventoría antes de la finalización del contrato de obra objeto de vigilancia y </w:t>
      </w:r>
      <w:r w:rsidRPr="05FE03FA">
        <w:rPr>
          <w:rFonts w:ascii="Verdana" w:eastAsia="Century Gothic" w:hAnsi="Verdana" w:cs="Century Gothic"/>
        </w:rPr>
        <w:t>control</w:t>
      </w:r>
      <w:r w:rsidRPr="1F539949">
        <w:rPr>
          <w:rFonts w:ascii="Verdana" w:eastAsia="Century Gothic" w:hAnsi="Verdana" w:cs="Century Gothic"/>
        </w:rPr>
        <w:t>?</w:t>
      </w:r>
    </w:p>
    <w:p w14:paraId="0C7AF4AE" w14:textId="77777777" w:rsidR="00C50A90" w:rsidRPr="00073A28" w:rsidRDefault="00C50A90" w:rsidP="00C50A90">
      <w:pPr>
        <w:spacing w:after="0" w:line="276" w:lineRule="auto"/>
        <w:jc w:val="both"/>
        <w:rPr>
          <w:rFonts w:ascii="Verdana" w:eastAsia="Century Gothic" w:hAnsi="Verdana" w:cs="Century Gothic"/>
        </w:rPr>
      </w:pPr>
      <w:r w:rsidRPr="000A1391">
        <w:rPr>
          <w:rFonts w:ascii="Verdana" w:eastAsia="Century Gothic" w:hAnsi="Verdana" w:cs="Century Gothic"/>
        </w:rPr>
        <w:lastRenderedPageBreak/>
        <w:t>(</w:t>
      </w:r>
      <w:proofErr w:type="spellStart"/>
      <w:r w:rsidRPr="000A1391">
        <w:rPr>
          <w:rFonts w:ascii="Verdana" w:eastAsia="Century Gothic" w:hAnsi="Verdana" w:cs="Century Gothic"/>
        </w:rPr>
        <w:t>ii</w:t>
      </w:r>
      <w:proofErr w:type="spellEnd"/>
      <w:r w:rsidRPr="000A1391">
        <w:rPr>
          <w:rFonts w:ascii="Verdana" w:eastAsia="Century Gothic" w:hAnsi="Verdana" w:cs="Century Gothic"/>
        </w:rPr>
        <w:t>)</w:t>
      </w:r>
      <w:r w:rsidRPr="00073A28">
        <w:rPr>
          <w:rFonts w:ascii="Verdana" w:eastAsia="Century Gothic" w:hAnsi="Verdana" w:cs="Century Gothic"/>
        </w:rPr>
        <w:t xml:space="preserve"> En caso de que el contrato de interventoría sea liquidado sin que haya finalizado el contrato de obra, ¿qué mecanismos alternativos podrían implementarse para garantizar el seguimiento técnico, financiero y administrativo del proyecto y prevenir riesgos de pérdida, detrimento patrimonial o hallazgos fiscales?</w:t>
      </w:r>
    </w:p>
    <w:p w14:paraId="64096597" w14:textId="77777777" w:rsidR="00C50A90" w:rsidRPr="00073A28" w:rsidRDefault="00C50A90" w:rsidP="00C50A90">
      <w:pPr>
        <w:spacing w:after="0" w:line="276" w:lineRule="auto"/>
        <w:jc w:val="both"/>
        <w:rPr>
          <w:rFonts w:ascii="Verdana" w:eastAsia="Century Gothic" w:hAnsi="Verdana" w:cs="Century Gothic"/>
        </w:rPr>
      </w:pPr>
    </w:p>
    <w:p w14:paraId="578B3C67" w14:textId="77777777" w:rsidR="00C50A90" w:rsidRDefault="00C50A90" w:rsidP="05FE03F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lang w:val="es-CO"/>
        </w:rPr>
      </w:pPr>
      <w:r w:rsidRPr="00073A28">
        <w:rPr>
          <w:rFonts w:ascii="Verdana" w:eastAsia="Century Gothic" w:hAnsi="Verdana" w:cs="Century Gothic"/>
          <w:b/>
          <w:bCs/>
          <w:lang w:val="es-CO"/>
        </w:rPr>
        <w:t>Respuesta:</w:t>
      </w:r>
    </w:p>
    <w:p w14:paraId="13992080" w14:textId="77777777" w:rsidR="00C50A90" w:rsidRPr="00116DEE" w:rsidRDefault="00C50A90" w:rsidP="05FE03FA">
      <w:pPr>
        <w:pStyle w:val="Prrafodelista"/>
        <w:tabs>
          <w:tab w:val="left" w:pos="142"/>
          <w:tab w:val="left" w:pos="284"/>
        </w:tabs>
        <w:spacing w:after="0" w:line="276" w:lineRule="auto"/>
        <w:ind w:left="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50A90" w:rsidRPr="00073A28" w14:paraId="4B8E1F38" w14:textId="77777777" w:rsidTr="565EF9E2">
        <w:trPr>
          <w:trHeight w:val="300"/>
        </w:trPr>
        <w:tc>
          <w:tcPr>
            <w:tcW w:w="8828" w:type="dxa"/>
          </w:tcPr>
          <w:p w14:paraId="7480833F" w14:textId="77777777" w:rsidR="00C50A90" w:rsidRPr="00073A28" w:rsidRDefault="00C50A90" w:rsidP="00ED5A4A">
            <w:pPr>
              <w:spacing w:line="276" w:lineRule="auto"/>
              <w:ind w:firstLine="709"/>
              <w:jc w:val="both"/>
              <w:rPr>
                <w:rFonts w:ascii="Verdana" w:eastAsia="Calibri" w:hAnsi="Verdana" w:cs="Arial"/>
              </w:rPr>
            </w:pPr>
            <w:r w:rsidRPr="00073A28">
              <w:rPr>
                <w:rFonts w:ascii="Verdana" w:eastAsia="Calibri" w:hAnsi="Verdana" w:cs="Arial"/>
              </w:rPr>
              <w:t>(i)De conformidad con el artículo 32 de la Ley 80 de 1993, los contratos de interventoría constituyen una modalidad de contrato de consultoría, cuyo objeto consiste en realizar el seguimiento técnico, administrativo, financiero, contable y jurídico de la ejecución de un contrato estatal. A su vez, el artículo 83 de la Ley 1474 de 2011 dispone que las entidades públicas están obligadas a vigilar permanentemente la correcta ejecución del objeto contratado, y que dicha vigilancia deberá ejercerse mediante supervisión o interventoría, según corresponda.</w:t>
            </w:r>
          </w:p>
          <w:p w14:paraId="0138034C" w14:textId="77777777" w:rsidR="00C50A90" w:rsidRPr="00073A28" w:rsidRDefault="00C50A90" w:rsidP="00ED5A4A">
            <w:pPr>
              <w:spacing w:line="276" w:lineRule="auto"/>
              <w:ind w:firstLine="709"/>
              <w:jc w:val="both"/>
              <w:rPr>
                <w:rFonts w:ascii="Verdana" w:eastAsia="Calibri" w:hAnsi="Verdana" w:cs="Arial"/>
              </w:rPr>
            </w:pPr>
          </w:p>
          <w:p w14:paraId="5CE33461" w14:textId="4270562C" w:rsidR="00C50A90" w:rsidRDefault="00C50A90" w:rsidP="00ED5A4A">
            <w:pPr>
              <w:spacing w:line="276" w:lineRule="auto"/>
              <w:ind w:firstLine="709"/>
              <w:jc w:val="both"/>
              <w:rPr>
                <w:rFonts w:ascii="Verdana" w:eastAsia="Calibri" w:hAnsi="Verdana" w:cs="Arial"/>
              </w:rPr>
            </w:pPr>
            <w:r w:rsidRPr="005B3ACE">
              <w:rPr>
                <w:rFonts w:ascii="Verdana" w:eastAsia="Calibri" w:hAnsi="Verdana" w:cs="Arial"/>
              </w:rPr>
              <w:t xml:space="preserve">Por su parte, el artículo 53 de la Ley 80 de 1993 dispone que los consultores, asesores e interventores responderán civil, fiscal y penalmente por los hechos y omisiones que les sean imputables. Esta disposición delimita con claridad que el deber de vigilancia y control se ejerce </w:t>
            </w:r>
            <w:r w:rsidRPr="565EF9E2">
              <w:rPr>
                <w:rFonts w:ascii="Verdana" w:eastAsia="Calibri" w:hAnsi="Verdana" w:cs="Arial"/>
              </w:rPr>
              <w:t>durante la ejecución del contrato objeto de interventoría</w:t>
            </w:r>
            <w:r w:rsidRPr="005B3ACE">
              <w:rPr>
                <w:rFonts w:ascii="Verdana" w:eastAsia="Calibri" w:hAnsi="Verdana" w:cs="Arial"/>
              </w:rPr>
              <w:t>, es decir, mientras el contrato principal se encuentra en curso.</w:t>
            </w:r>
          </w:p>
          <w:p w14:paraId="135D48CE" w14:textId="77777777" w:rsidR="00C50A90" w:rsidRPr="00073A28" w:rsidRDefault="00C50A90" w:rsidP="00ED5A4A">
            <w:pPr>
              <w:spacing w:line="276" w:lineRule="auto"/>
              <w:ind w:firstLine="709"/>
              <w:jc w:val="both"/>
              <w:rPr>
                <w:rFonts w:ascii="Verdana" w:eastAsia="Calibri" w:hAnsi="Verdana" w:cs="Arial"/>
              </w:rPr>
            </w:pPr>
          </w:p>
          <w:p w14:paraId="54A68A68" w14:textId="6AA6B36B" w:rsidR="00C50A90" w:rsidRPr="009D6BC0" w:rsidRDefault="00C50A90" w:rsidP="05FE03FA">
            <w:pPr>
              <w:spacing w:line="276" w:lineRule="auto"/>
              <w:ind w:firstLine="709"/>
              <w:jc w:val="both"/>
              <w:rPr>
                <w:rFonts w:ascii="Verdana" w:eastAsia="Calibri" w:hAnsi="Verdana" w:cs="Arial"/>
              </w:rPr>
            </w:pPr>
            <w:r w:rsidRPr="00A22F7B">
              <w:rPr>
                <w:rFonts w:ascii="Verdana" w:eastAsia="Calibri" w:hAnsi="Verdana" w:cs="Arial"/>
              </w:rPr>
              <w:t xml:space="preserve">En consecuencia, </w:t>
            </w:r>
            <w:r>
              <w:rPr>
                <w:rFonts w:ascii="Verdana" w:eastAsia="Calibri" w:hAnsi="Verdana" w:cs="Arial"/>
              </w:rPr>
              <w:t xml:space="preserve">no se precisa que la interventoría se </w:t>
            </w:r>
            <w:proofErr w:type="gramStart"/>
            <w:r>
              <w:rPr>
                <w:rFonts w:ascii="Verdana" w:eastAsia="Calibri" w:hAnsi="Verdana" w:cs="Arial"/>
              </w:rPr>
              <w:t xml:space="preserve">extienda </w:t>
            </w:r>
            <w:r w:rsidRPr="565EF9E2">
              <w:rPr>
                <w:rFonts w:ascii="Verdana" w:eastAsia="Calibri" w:hAnsi="Verdana" w:cs="Arial"/>
              </w:rPr>
              <w:t xml:space="preserve"> más</w:t>
            </w:r>
            <w:proofErr w:type="gramEnd"/>
            <w:r w:rsidRPr="565EF9E2">
              <w:rPr>
                <w:rFonts w:ascii="Verdana" w:eastAsia="Calibri" w:hAnsi="Verdana" w:cs="Arial"/>
              </w:rPr>
              <w:t xml:space="preserve"> allá del período de ejecución del contrato de obra</w:t>
            </w:r>
            <w:r w:rsidRPr="00F807FB">
              <w:rPr>
                <w:rFonts w:ascii="Verdana" w:eastAsia="Calibri" w:hAnsi="Verdana" w:cs="Arial"/>
              </w:rPr>
              <w:t xml:space="preserve">, por cuanto la ley delimita su objeto y alcance a la vigilancia durante la ejecución contractual. En efecto, el artículo 32 de la </w:t>
            </w:r>
            <w:r w:rsidRPr="565EF9E2">
              <w:rPr>
                <w:rFonts w:ascii="Verdana" w:eastAsia="Calibri" w:hAnsi="Verdana" w:cs="Arial"/>
              </w:rPr>
              <w:t>Ley 80 de 1993</w:t>
            </w:r>
            <w:r w:rsidRPr="009D6BC0">
              <w:rPr>
                <w:rFonts w:ascii="Verdana" w:eastAsia="Calibri" w:hAnsi="Verdana" w:cs="Arial"/>
              </w:rPr>
              <w:t xml:space="preserve"> define la interventoría como una modalidad de consultoría orientada al seguimiento técnico, administrativo, financiero, contable y jurídico </w:t>
            </w:r>
            <w:r w:rsidRPr="565EF9E2">
              <w:rPr>
                <w:rFonts w:ascii="Verdana" w:eastAsia="Calibri" w:hAnsi="Verdana" w:cs="Arial"/>
              </w:rPr>
              <w:t>de la ejecución del contrato estatal</w:t>
            </w:r>
            <w:r w:rsidR="02AC86EC" w:rsidRPr="565EF9E2">
              <w:rPr>
                <w:rFonts w:ascii="Verdana" w:eastAsia="Calibri" w:hAnsi="Verdana" w:cs="Arial"/>
              </w:rPr>
              <w:t>.</w:t>
            </w:r>
          </w:p>
          <w:p w14:paraId="141896B8" w14:textId="2A623ADB" w:rsidR="00C50A90" w:rsidRPr="00073A28" w:rsidRDefault="00C50A90" w:rsidP="00ED5A4A">
            <w:pPr>
              <w:spacing w:line="276" w:lineRule="auto"/>
              <w:ind w:firstLine="709"/>
              <w:jc w:val="both"/>
              <w:rPr>
                <w:rFonts w:ascii="Verdana" w:eastAsia="Calibri" w:hAnsi="Verdana" w:cs="Arial"/>
              </w:rPr>
            </w:pPr>
            <w:r w:rsidRPr="1F539949">
              <w:rPr>
                <w:rFonts w:ascii="Verdana" w:eastAsia="Calibri" w:hAnsi="Verdana" w:cs="Arial"/>
              </w:rPr>
              <w:t>(</w:t>
            </w:r>
            <w:proofErr w:type="spellStart"/>
            <w:r w:rsidRPr="1F539949">
              <w:rPr>
                <w:rFonts w:ascii="Verdana" w:eastAsia="Calibri" w:hAnsi="Verdana" w:cs="Arial"/>
              </w:rPr>
              <w:t>ii</w:t>
            </w:r>
            <w:proofErr w:type="spellEnd"/>
            <w:r w:rsidRPr="1F539949">
              <w:rPr>
                <w:rFonts w:ascii="Verdana" w:eastAsia="Calibri" w:hAnsi="Verdana" w:cs="Arial"/>
              </w:rPr>
              <w:t>)</w:t>
            </w:r>
            <w:r w:rsidRPr="1F539949">
              <w:rPr>
                <w:rFonts w:ascii="Verdana" w:hAnsi="Verdana"/>
              </w:rPr>
              <w:t xml:space="preserve"> </w:t>
            </w:r>
            <w:r w:rsidRPr="1F539949">
              <w:rPr>
                <w:rFonts w:ascii="Verdana" w:eastAsia="Calibri" w:hAnsi="Verdana" w:cs="Arial"/>
              </w:rPr>
              <w:t xml:space="preserve">En el evento en que, </w:t>
            </w:r>
            <w:r>
              <w:rPr>
                <w:rFonts w:ascii="Verdana" w:eastAsia="Calibri" w:hAnsi="Verdana" w:cs="Arial"/>
              </w:rPr>
              <w:t xml:space="preserve">se presente la liquidación del </w:t>
            </w:r>
            <w:r w:rsidRPr="1F539949">
              <w:rPr>
                <w:rFonts w:ascii="Verdana" w:eastAsia="Calibri" w:hAnsi="Verdana" w:cs="Arial"/>
              </w:rPr>
              <w:t xml:space="preserve"> contrato de interventoría sin haberse </w:t>
            </w:r>
            <w:r w:rsidR="7AF1F56B" w:rsidRPr="565EF9E2">
              <w:rPr>
                <w:rFonts w:ascii="Verdana" w:eastAsia="Calibri" w:hAnsi="Verdana" w:cs="Arial"/>
              </w:rPr>
              <w:t xml:space="preserve">logrado la liquidación </w:t>
            </w:r>
            <w:r>
              <w:rPr>
                <w:rFonts w:ascii="Verdana" w:eastAsia="Calibri" w:hAnsi="Verdana" w:cs="Arial"/>
              </w:rPr>
              <w:t>d</w:t>
            </w:r>
            <w:r w:rsidRPr="1F539949">
              <w:rPr>
                <w:rFonts w:ascii="Verdana" w:eastAsia="Calibri" w:hAnsi="Verdana" w:cs="Arial"/>
              </w:rPr>
              <w:t xml:space="preserve">el contrato de obra, corresponderá a la entidad estatal determinar, conforme a las particularidades del caso concreto y a los principios de planeación y responsabilidad, los mecanismos alternativos que permitan garantizar el cumplimiento del deber legal de vigilancia y control </w:t>
            </w:r>
            <w:r w:rsidR="5D4765D7" w:rsidRPr="565EF9E2">
              <w:rPr>
                <w:rFonts w:ascii="Verdana" w:eastAsia="Calibri" w:hAnsi="Verdana" w:cs="Arial"/>
              </w:rPr>
              <w:t>para garantizar la liquidación del contrato vigilado</w:t>
            </w:r>
            <w:r w:rsidRPr="1F539949">
              <w:rPr>
                <w:rFonts w:ascii="Verdana" w:eastAsia="Calibri" w:hAnsi="Verdana" w:cs="Arial"/>
              </w:rPr>
              <w:t xml:space="preserve">, bien sea a </w:t>
            </w:r>
            <w:r w:rsidR="004E2DA5" w:rsidRPr="1F539949">
              <w:rPr>
                <w:rFonts w:ascii="Verdana" w:eastAsia="Calibri" w:hAnsi="Verdana" w:cs="Arial"/>
              </w:rPr>
              <w:t>través</w:t>
            </w:r>
            <w:r w:rsidRPr="1F539949">
              <w:rPr>
                <w:rFonts w:ascii="Verdana" w:eastAsia="Calibri" w:hAnsi="Verdana" w:cs="Arial"/>
              </w:rPr>
              <w:t xml:space="preserve"> de un supervisor designado para tal efecto.</w:t>
            </w:r>
          </w:p>
          <w:p w14:paraId="0E5AC9A5" w14:textId="77777777" w:rsidR="00C50A90" w:rsidRPr="00073A28" w:rsidRDefault="00C50A90" w:rsidP="00ED5A4A">
            <w:pPr>
              <w:spacing w:line="276" w:lineRule="auto"/>
              <w:ind w:firstLine="709"/>
              <w:jc w:val="both"/>
              <w:rPr>
                <w:rFonts w:ascii="Verdana" w:eastAsia="Calibri" w:hAnsi="Verdana" w:cs="Arial"/>
              </w:rPr>
            </w:pPr>
          </w:p>
          <w:p w14:paraId="4BF66647" w14:textId="715BD8DB" w:rsidR="00C50A90" w:rsidRPr="00073A28" w:rsidRDefault="00C50A90" w:rsidP="00ED5A4A">
            <w:pPr>
              <w:spacing w:line="276" w:lineRule="auto"/>
              <w:ind w:firstLine="709"/>
              <w:jc w:val="both"/>
              <w:rPr>
                <w:rFonts w:ascii="Verdana" w:eastAsia="Calibri" w:hAnsi="Verdana" w:cs="Arial"/>
              </w:rPr>
            </w:pPr>
            <w:r w:rsidRPr="1F539949">
              <w:rPr>
                <w:rFonts w:ascii="Verdana" w:eastAsia="Calibri" w:hAnsi="Verdana" w:cs="Arial"/>
              </w:rPr>
              <w:t xml:space="preserve">En todo </w:t>
            </w:r>
            <w:r w:rsidRPr="565EF9E2">
              <w:rPr>
                <w:rFonts w:ascii="Verdana" w:eastAsia="Calibri" w:hAnsi="Verdana" w:cs="Arial"/>
              </w:rPr>
              <w:t>caso</w:t>
            </w:r>
            <w:r w:rsidRPr="1F539949">
              <w:rPr>
                <w:rFonts w:ascii="Verdana" w:eastAsia="Calibri" w:hAnsi="Verdana" w:cs="Arial"/>
              </w:rPr>
              <w:t>, debe recordarse que todo contrato de interventoría cuenta con un supervisor designado por la entidad, quien, en virtud de lo dispuesto en el artículo 83 de la Ley 1474 de 2011, es responsable de ejercer el seguimiento de ley sobre dicho</w:t>
            </w:r>
            <w:r w:rsidRPr="1F539949" w:rsidDel="003D5708">
              <w:rPr>
                <w:rFonts w:ascii="Verdana" w:eastAsia="Calibri" w:hAnsi="Verdana" w:cs="Arial"/>
              </w:rPr>
              <w:t xml:space="preserve"> </w:t>
            </w:r>
            <w:r w:rsidRPr="1F539949">
              <w:rPr>
                <w:rFonts w:ascii="Verdana" w:eastAsia="Calibri" w:hAnsi="Verdana" w:cs="Arial"/>
              </w:rPr>
              <w:t>contrato y velar porque se mantenga el control técnico, financiero y administrativo que exige la normativa.</w:t>
            </w:r>
          </w:p>
          <w:p w14:paraId="46BE997E" w14:textId="77777777" w:rsidR="00C50A90" w:rsidRPr="00073A28" w:rsidRDefault="00C50A90" w:rsidP="00ED5A4A">
            <w:pPr>
              <w:spacing w:line="276" w:lineRule="auto"/>
              <w:ind w:firstLine="709"/>
              <w:jc w:val="both"/>
              <w:rPr>
                <w:rFonts w:ascii="Verdana" w:eastAsia="Calibri" w:hAnsi="Verdana" w:cs="Arial"/>
              </w:rPr>
            </w:pPr>
          </w:p>
          <w:p w14:paraId="25A87B47" w14:textId="40737373" w:rsidR="00C50A90" w:rsidRPr="00073A28" w:rsidRDefault="00C50A90" w:rsidP="00076626">
            <w:pPr>
              <w:spacing w:line="276" w:lineRule="auto"/>
              <w:ind w:firstLine="709"/>
              <w:jc w:val="both"/>
              <w:rPr>
                <w:rFonts w:ascii="Verdana" w:eastAsia="Calibri" w:hAnsi="Verdana" w:cs="Arial"/>
              </w:rPr>
            </w:pPr>
            <w:r w:rsidRPr="00073A28">
              <w:rPr>
                <w:rFonts w:ascii="Verdana" w:eastAsia="Calibri" w:hAnsi="Verdana" w:cs="Arial"/>
              </w:rPr>
              <w:t>En consecuencia, será responsabilidad de la entidad estatal adoptar las medidas necesarias para cumplir las disposiciones legales que ordenan mantener la vigilancia permanente sobre la ejecución del contrato de obra, evitando vacíos en el control contractual y posibles riesgos de detrimento patrimonial o hallazgos fiscales.</w:t>
            </w:r>
          </w:p>
        </w:tc>
      </w:tr>
    </w:tbl>
    <w:p w14:paraId="26508BAD" w14:textId="77777777" w:rsidR="00C50A90" w:rsidRPr="00073A28" w:rsidRDefault="00C50A90" w:rsidP="00C50A90">
      <w:pPr>
        <w:tabs>
          <w:tab w:val="left" w:pos="142"/>
          <w:tab w:val="left" w:pos="284"/>
        </w:tabs>
        <w:spacing w:after="0" w:line="276" w:lineRule="auto"/>
        <w:jc w:val="both"/>
        <w:rPr>
          <w:rFonts w:ascii="Verdana" w:eastAsia="Century Gothic" w:hAnsi="Verdana" w:cs="Century Gothic"/>
          <w:b/>
          <w:bCs/>
        </w:rPr>
      </w:pPr>
    </w:p>
    <w:p w14:paraId="7B0B27A3" w14:textId="77777777" w:rsidR="00C50A90" w:rsidRPr="00073A28" w:rsidRDefault="00C50A90" w:rsidP="05FE03F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lang w:val="es-CO"/>
        </w:rPr>
      </w:pPr>
      <w:r w:rsidRPr="00073A28">
        <w:rPr>
          <w:rFonts w:ascii="Verdana" w:eastAsia="Century Gothic" w:hAnsi="Verdana" w:cs="Century Gothic"/>
          <w:b/>
          <w:bCs/>
          <w:lang w:val="es-CO"/>
        </w:rPr>
        <w:t>Razones de la respuesta:</w:t>
      </w:r>
    </w:p>
    <w:p w14:paraId="75FC9677" w14:textId="77777777" w:rsidR="00C50A90" w:rsidRPr="00073A28" w:rsidRDefault="00C50A90" w:rsidP="00C50A90">
      <w:pPr>
        <w:spacing w:after="0" w:line="276" w:lineRule="auto"/>
        <w:jc w:val="both"/>
        <w:rPr>
          <w:rFonts w:ascii="Verdana" w:eastAsia="Calibri" w:hAnsi="Verdana" w:cs="Arial"/>
        </w:rPr>
      </w:pPr>
    </w:p>
    <w:p w14:paraId="762555FA" w14:textId="77777777" w:rsidR="00C50A90" w:rsidRPr="00073A28" w:rsidRDefault="00C50A90" w:rsidP="00C50A90">
      <w:pPr>
        <w:spacing w:after="0" w:line="276" w:lineRule="auto"/>
        <w:jc w:val="both"/>
        <w:rPr>
          <w:rFonts w:ascii="Verdana" w:eastAsia="Calibri" w:hAnsi="Verdana" w:cs="Arial"/>
        </w:rPr>
      </w:pPr>
      <w:r w:rsidRPr="00073A28">
        <w:rPr>
          <w:rFonts w:ascii="Verdana" w:eastAsia="Calibri" w:hAnsi="Verdana" w:cs="Arial"/>
        </w:rPr>
        <w:t xml:space="preserve">Lo anterior se sustenta en las siguientes consideraciones: </w:t>
      </w:r>
    </w:p>
    <w:p w14:paraId="116056AD" w14:textId="77777777" w:rsidR="00C50A90" w:rsidRPr="00073A28" w:rsidRDefault="00C50A90" w:rsidP="00C50A90">
      <w:pPr>
        <w:spacing w:after="0" w:line="276" w:lineRule="auto"/>
        <w:jc w:val="both"/>
        <w:rPr>
          <w:rFonts w:ascii="Verdana" w:eastAsia="Calibri" w:hAnsi="Verdana" w:cs="Arial"/>
        </w:rPr>
      </w:pPr>
    </w:p>
    <w:p w14:paraId="37E9F241" w14:textId="77777777" w:rsidR="00C50A90" w:rsidRPr="00073A28" w:rsidRDefault="00C50A90" w:rsidP="00C50A90">
      <w:pPr>
        <w:spacing w:after="0" w:line="276" w:lineRule="auto"/>
        <w:jc w:val="both"/>
        <w:rPr>
          <w:rFonts w:ascii="Verdana" w:eastAsia="Calibri" w:hAnsi="Verdana" w:cs="Arial"/>
          <w:lang w:val="es-MX"/>
        </w:rPr>
      </w:pPr>
      <w:r>
        <w:rPr>
          <w:rFonts w:ascii="Verdana" w:eastAsia="Calibri" w:hAnsi="Verdana" w:cs="Arial"/>
          <w:lang w:val="es-MX"/>
        </w:rPr>
        <w:t xml:space="preserve">(i) </w:t>
      </w:r>
      <w:r w:rsidRPr="00073A28">
        <w:rPr>
          <w:rFonts w:ascii="Verdana" w:eastAsia="Calibri" w:hAnsi="Verdana" w:cs="Arial"/>
          <w:lang w:val="es-MX"/>
        </w:rPr>
        <w:t xml:space="preserve">La Ley 1474 de 2011 enmarcó el seguimiento, control y vigilancia de la ejecución del contrato estatal dentro del principio de moralidad administrativa. El artículo 83 </w:t>
      </w:r>
      <w:r w:rsidRPr="00073A28">
        <w:rPr>
          <w:rFonts w:ascii="Verdana" w:eastAsia="Calibri" w:hAnsi="Verdana" w:cs="Arial"/>
          <w:i/>
          <w:lang w:val="es-MX"/>
        </w:rPr>
        <w:t xml:space="preserve">ibidem </w:t>
      </w:r>
      <w:r w:rsidRPr="00073A28">
        <w:rPr>
          <w:rFonts w:ascii="Verdana" w:eastAsia="Calibri" w:hAnsi="Verdana" w:cs="Arial"/>
          <w:lang w:val="es-MX"/>
        </w:rPr>
        <w:t xml:space="preserve">prescribe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Además, el legislador, en el mismo artículo, definió las nociones de </w:t>
      </w:r>
      <w:r w:rsidRPr="00073A28">
        <w:rPr>
          <w:rFonts w:ascii="Verdana" w:eastAsia="Calibri" w:hAnsi="Verdana" w:cs="Arial"/>
          <w:i/>
          <w:lang w:val="es-MX"/>
        </w:rPr>
        <w:t>supervisión</w:t>
      </w:r>
      <w:r w:rsidRPr="00073A28">
        <w:rPr>
          <w:rFonts w:ascii="Verdana" w:eastAsia="Calibri" w:hAnsi="Verdana" w:cs="Arial"/>
          <w:lang w:val="es-MX"/>
        </w:rPr>
        <w:t xml:space="preserve"> e </w:t>
      </w:r>
      <w:r w:rsidRPr="00073A28">
        <w:rPr>
          <w:rFonts w:ascii="Verdana" w:eastAsia="Calibri" w:hAnsi="Verdana" w:cs="Arial"/>
          <w:i/>
          <w:lang w:val="es-MX"/>
        </w:rPr>
        <w:t>interventoría</w:t>
      </w:r>
      <w:r w:rsidRPr="00073A28">
        <w:rPr>
          <w:rFonts w:ascii="Verdana" w:eastAsia="Calibri" w:hAnsi="Verdana" w:cs="Arial"/>
          <w:lang w:val="es-MX"/>
        </w:rPr>
        <w:t xml:space="preserve">, como mecanismos que pueden usar las entidades estatales para vigilar el contrato, en estos términos: </w:t>
      </w:r>
    </w:p>
    <w:p w14:paraId="24FF856D" w14:textId="77777777" w:rsidR="00C50A90" w:rsidRPr="00073A28" w:rsidRDefault="00C50A90" w:rsidP="00C50A90">
      <w:pPr>
        <w:spacing w:after="0" w:line="276" w:lineRule="auto"/>
        <w:jc w:val="both"/>
        <w:rPr>
          <w:rFonts w:ascii="Verdana" w:eastAsia="Calibri" w:hAnsi="Verdana" w:cs="Arial"/>
          <w:lang w:val="es-MX"/>
        </w:rPr>
      </w:pPr>
    </w:p>
    <w:p w14:paraId="79AE69F4" w14:textId="77777777" w:rsidR="00C50A90" w:rsidRPr="00073A28" w:rsidRDefault="00C50A90" w:rsidP="00C50A90">
      <w:pPr>
        <w:spacing w:after="120" w:line="240" w:lineRule="auto"/>
        <w:ind w:left="709"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supervisión consistirá en el seguimiento técnico, administrativo, financiero, contable, y jurídico </w:t>
      </w:r>
      <w:proofErr w:type="gramStart"/>
      <w:r w:rsidRPr="00073A28">
        <w:rPr>
          <w:rFonts w:ascii="Verdana" w:eastAsia="Calibri" w:hAnsi="Verdana" w:cs="Arial"/>
          <w:sz w:val="20"/>
          <w:szCs w:val="20"/>
          <w:lang w:val="es-MX"/>
        </w:rPr>
        <w:t>que</w:t>
      </w:r>
      <w:proofErr w:type="gramEnd"/>
      <w:r w:rsidRPr="00073A28">
        <w:rPr>
          <w:rFonts w:ascii="Verdana" w:eastAsia="Calibri" w:hAnsi="Verdana" w:cs="Arial"/>
          <w:sz w:val="20"/>
          <w:szCs w:val="20"/>
          <w:lang w:val="es-MX"/>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3323C129" w14:textId="77777777" w:rsidR="00C50A90" w:rsidRPr="00073A28" w:rsidRDefault="00C50A90" w:rsidP="00C50A90">
      <w:pPr>
        <w:spacing w:after="0" w:line="240" w:lineRule="auto"/>
        <w:ind w:left="709"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073A28">
        <w:rPr>
          <w:rFonts w:ascii="Verdana" w:eastAsia="Calibri" w:hAnsi="Verdana" w:cs="Arial"/>
          <w:sz w:val="20"/>
          <w:szCs w:val="20"/>
          <w:lang w:val="es-MX"/>
        </w:rPr>
        <w:t>del mismo</w:t>
      </w:r>
      <w:proofErr w:type="gramEnd"/>
      <w:r w:rsidRPr="00073A28">
        <w:rPr>
          <w:rFonts w:ascii="Verdana" w:eastAsia="Calibri" w:hAnsi="Verdana" w:cs="Arial"/>
          <w:sz w:val="20"/>
          <w:szCs w:val="20"/>
          <w:lang w:val="es-MX"/>
        </w:rPr>
        <w:t xml:space="preserve"> lo justifiquen. No obstante, lo </w:t>
      </w:r>
      <w:r w:rsidRPr="00073A28">
        <w:rPr>
          <w:rFonts w:ascii="Verdana" w:eastAsia="Calibri" w:hAnsi="Verdana" w:cs="Arial"/>
          <w:sz w:val="20"/>
          <w:szCs w:val="20"/>
          <w:lang w:val="es-MX"/>
        </w:rPr>
        <w:lastRenderedPageBreak/>
        <w:t>anterior cuando la entidad lo encuentre justificado y acorde a la naturaleza del contrato principal, podrá contratar el seguimiento administrativo, técnico, financiero, contable, jurídico del objeto o contrato dentro de la interventoría”.</w:t>
      </w:r>
    </w:p>
    <w:p w14:paraId="7DB5FDC2" w14:textId="77777777" w:rsidR="00C50A90" w:rsidRPr="00073A28" w:rsidRDefault="00C50A90" w:rsidP="00C50A90">
      <w:pPr>
        <w:spacing w:after="0" w:line="276" w:lineRule="auto"/>
        <w:jc w:val="both"/>
        <w:rPr>
          <w:rFonts w:ascii="Verdana" w:eastAsia="Calibri" w:hAnsi="Verdana" w:cs="Arial"/>
          <w:sz w:val="20"/>
          <w:szCs w:val="20"/>
          <w:lang w:val="es-ES"/>
        </w:rPr>
      </w:pPr>
    </w:p>
    <w:p w14:paraId="49D500B3" w14:textId="77777777" w:rsidR="00C50A90" w:rsidRPr="00073A28" w:rsidRDefault="00C50A90" w:rsidP="00C50A90">
      <w:pPr>
        <w:spacing w:after="0" w:line="276" w:lineRule="auto"/>
        <w:ind w:firstLine="709"/>
        <w:jc w:val="both"/>
        <w:rPr>
          <w:rFonts w:ascii="Verdana" w:eastAsia="Calibri" w:hAnsi="Verdana" w:cs="Arial"/>
          <w:lang w:val="es-MX"/>
        </w:rPr>
      </w:pPr>
      <w:r w:rsidRPr="00073A28">
        <w:rPr>
          <w:rFonts w:ascii="Verdana" w:eastAsia="Calibri" w:hAnsi="Verdana" w:cs="Arial"/>
          <w:lang w:val="es-MX"/>
        </w:rPr>
        <w:t xml:space="preserve">De este modo, la interventoría: i) será un mecanismo de vigilancia contingente en la medida que en principio y de acuerdo con la norma, es obligatorio para el seguimiento de los contratos de obra adjudicados por licitación pública ‒art. 32, numeral 1‒; en los demás casos se requerirá cuando “el seguimiento del contrato suponga conocimiento especializado en la materia, o cuando la complejidad o la extensión </w:t>
      </w:r>
      <w:proofErr w:type="gramStart"/>
      <w:r w:rsidRPr="00073A28">
        <w:rPr>
          <w:rFonts w:ascii="Verdana" w:eastAsia="Calibri" w:hAnsi="Verdana" w:cs="Arial"/>
          <w:lang w:val="es-MX"/>
        </w:rPr>
        <w:t>del mismo</w:t>
      </w:r>
      <w:proofErr w:type="gramEnd"/>
      <w:r w:rsidRPr="00073A28">
        <w:rPr>
          <w:rFonts w:ascii="Verdana" w:eastAsia="Calibri" w:hAnsi="Verdana" w:cs="Arial"/>
          <w:lang w:val="es-MX"/>
        </w:rPr>
        <w:t xml:space="preserve"> lo justifiquen” ‒art. 83, Ley 1474 de 2011‒. </w:t>
      </w:r>
      <w:proofErr w:type="spellStart"/>
      <w:r w:rsidRPr="00073A28">
        <w:rPr>
          <w:rFonts w:ascii="Verdana" w:eastAsia="Calibri" w:hAnsi="Verdana" w:cs="Arial"/>
          <w:lang w:val="es-MX"/>
        </w:rPr>
        <w:t>ii</w:t>
      </w:r>
      <w:proofErr w:type="spellEnd"/>
      <w:r w:rsidRPr="00073A28">
        <w:rPr>
          <w:rFonts w:ascii="Verdana" w:eastAsia="Calibri" w:hAnsi="Verdana" w:cs="Arial"/>
          <w:lang w:val="es-MX"/>
        </w:rPr>
        <w:t xml:space="preserve">) Este mecanismo de vigilancia exige, en su ejecución, la utilización de conocimientos especializados. </w:t>
      </w:r>
      <w:proofErr w:type="spellStart"/>
      <w:r w:rsidRPr="00073A28">
        <w:rPr>
          <w:rFonts w:ascii="Verdana" w:eastAsia="Calibri" w:hAnsi="Verdana" w:cs="Arial"/>
          <w:lang w:val="es-MX"/>
        </w:rPr>
        <w:t>iii</w:t>
      </w:r>
      <w:proofErr w:type="spellEnd"/>
      <w:r w:rsidRPr="00073A28">
        <w:rPr>
          <w:rFonts w:ascii="Verdana" w:eastAsia="Calibri" w:hAnsi="Verdana" w:cs="Arial"/>
          <w:lang w:val="es-MX"/>
        </w:rPr>
        <w:t>) Por lo anterior, la entidad contrata un experto a través de un concurso de méritos, al tratarse la interventoría de una especie del contrato de consultoría ‒art. 32, numeral 2, inciso 2, Ley 80 de 1993</w:t>
      </w:r>
      <w:r w:rsidRPr="00073A28">
        <w:rPr>
          <w:rFonts w:ascii="Verdana" w:eastAsia="Calibri" w:hAnsi="Verdana" w:cs="Arial"/>
          <w:vertAlign w:val="superscript"/>
          <w:lang w:val="es-MX"/>
        </w:rPr>
        <w:footnoteReference w:id="2"/>
      </w:r>
      <w:r w:rsidRPr="00073A28">
        <w:rPr>
          <w:rFonts w:ascii="Verdana" w:eastAsia="Calibri" w:hAnsi="Verdana" w:cs="Arial"/>
          <w:lang w:val="es-MX"/>
        </w:rPr>
        <w:t xml:space="preserve">‒, de manera que la interventoría es realizada por una “persona natural o jurídica contratada para tal fin por la Entidad Estatal” ‒art. 83, Ley 1474‒. </w:t>
      </w:r>
      <w:proofErr w:type="spellStart"/>
      <w:r w:rsidRPr="00073A28">
        <w:rPr>
          <w:rFonts w:ascii="Verdana" w:eastAsia="Calibri" w:hAnsi="Verdana" w:cs="Arial"/>
          <w:lang w:val="es-MX"/>
        </w:rPr>
        <w:t>iv</w:t>
      </w:r>
      <w:proofErr w:type="spellEnd"/>
      <w:r w:rsidRPr="00073A28">
        <w:rPr>
          <w:rFonts w:ascii="Verdana" w:eastAsia="Calibri" w:hAnsi="Verdana" w:cs="Arial"/>
          <w:lang w:val="es-MX"/>
        </w:rPr>
        <w:t xml:space="preserve">) </w:t>
      </w:r>
      <w:bookmarkStart w:id="0" w:name="_Hlk212212977"/>
      <w:r w:rsidRPr="000D2D14">
        <w:rPr>
          <w:rFonts w:ascii="Verdana" w:eastAsia="Calibri" w:hAnsi="Verdana" w:cs="Arial"/>
        </w:rPr>
        <w:t>a la interventoría le es inherente el seguimiento técnico respecto de la correcta ejecución del contrato vigilado. No obstante, el artículo 83 de la Ley 1474 de 2011 faculta a las entidades estatales para que, cuando lo consideren justificado y acorde con la naturaleza del contrato principal, puedan contratar la interventoría o el seguimiento que incluya también componentes administrativos, financieros, contables o jurídicos, con el fin de garantizar una vigilancia integral sobre la ejecución contra</w:t>
      </w:r>
      <w:bookmarkEnd w:id="0"/>
      <w:r w:rsidRPr="000D2D14">
        <w:rPr>
          <w:rFonts w:ascii="Verdana" w:eastAsia="Calibri" w:hAnsi="Verdana" w:cs="Arial"/>
        </w:rPr>
        <w:t>ctual</w:t>
      </w:r>
      <w:r w:rsidRPr="00073A28" w:rsidDel="00392967">
        <w:rPr>
          <w:rFonts w:ascii="Verdana" w:eastAsia="Calibri" w:hAnsi="Verdana" w:cs="Arial"/>
          <w:lang w:val="es-MX"/>
        </w:rPr>
        <w:t>.</w:t>
      </w:r>
      <w:r w:rsidRPr="00073A28">
        <w:rPr>
          <w:rFonts w:ascii="Verdana" w:eastAsia="Calibri" w:hAnsi="Verdana" w:cs="Arial"/>
          <w:lang w:val="es-MX"/>
        </w:rPr>
        <w:t xml:space="preserve"> v) En caso de que no se encomiende al interventor el seguimiento total del contrato, en el contrato de interventoría “se deberán indicar las actividades técnicas a cargo del interventor y las demás quedarán a cargo de la Entidad a través del supervisor” ‒art. 83, inciso 3‒. Finalmente, vi) el contrato de interventoría será supervisado directamente por la entidad ‒art. 83, inciso 4‒.</w:t>
      </w:r>
    </w:p>
    <w:p w14:paraId="0B88AB5F" w14:textId="249A1384" w:rsidR="00C50A90" w:rsidRPr="00073A28" w:rsidRDefault="00C50A90" w:rsidP="00C50A90">
      <w:pPr>
        <w:spacing w:before="120" w:after="0" w:line="276" w:lineRule="auto"/>
        <w:ind w:firstLine="709"/>
        <w:jc w:val="both"/>
        <w:rPr>
          <w:rFonts w:ascii="Verdana" w:eastAsia="Calibri" w:hAnsi="Verdana" w:cs="Arial"/>
          <w:lang w:val="es-MX"/>
        </w:rPr>
      </w:pPr>
      <w:r w:rsidRPr="1F539949">
        <w:rPr>
          <w:rFonts w:ascii="Verdana" w:eastAsia="Calibri" w:hAnsi="Verdana" w:cs="Arial"/>
          <w:lang w:val="es-MX"/>
        </w:rPr>
        <w:t xml:space="preserve">De lo anterior se desprende que el interventor es un contratista externo a la entidad estatal y al contratista vigilado, de manera que es seleccionado por la entidad estatal mediante los procedimientos del artículo 2 de la Ley 1150 de 2007, en principio, a través del concurso de méritos. Lo anterior, sin perjuicio de que eventualmente aplique alguna causal especial que permita la celebración </w:t>
      </w:r>
      <w:r w:rsidRPr="1F539949">
        <w:rPr>
          <w:rFonts w:ascii="Verdana" w:eastAsia="Calibri" w:hAnsi="Verdana" w:cs="Arial"/>
          <w:lang w:val="es-MX"/>
        </w:rPr>
        <w:lastRenderedPageBreak/>
        <w:t>de este tipo de contratos mediante una modalidad diferente, como podría suceder frente a la posibilidad de realizar, por ejemplo, una contratación de mínima cuantía</w:t>
      </w:r>
      <w:r>
        <w:rPr>
          <w:rFonts w:ascii="Verdana" w:eastAsia="Calibri" w:hAnsi="Verdana" w:cs="Arial"/>
          <w:lang w:val="es-MX"/>
        </w:rPr>
        <w:t xml:space="preserve">. </w:t>
      </w:r>
    </w:p>
    <w:p w14:paraId="152314E9" w14:textId="470A9ED6" w:rsidR="00C50A90" w:rsidRPr="00073A28" w:rsidRDefault="00C50A90" w:rsidP="00C50A90">
      <w:pPr>
        <w:spacing w:before="120" w:after="0" w:line="276" w:lineRule="auto"/>
        <w:ind w:firstLine="709"/>
        <w:jc w:val="both"/>
        <w:rPr>
          <w:rFonts w:ascii="Verdana" w:eastAsia="Calibri" w:hAnsi="Verdana" w:cs="Arial"/>
          <w:color w:val="000000"/>
          <w:lang w:val="es-MX"/>
        </w:rPr>
      </w:pPr>
      <w:r w:rsidRPr="1F539949">
        <w:rPr>
          <w:rFonts w:ascii="Verdana" w:eastAsia="Calibri" w:hAnsi="Verdana" w:cs="Arial"/>
          <w:color w:val="000000" w:themeColor="text1"/>
          <w:lang w:val="es-MX"/>
        </w:rPr>
        <w:t>El interventor contratado usará las facultades previstas en el artículo 84 de la Ley 1474 de 2011 para hacer el seguimiento al cumplimiento obligacional del contrato y estará sometido a los deberes y responsabilidades que implica el ejercicio de dicha actividad. De esta forma, aun cuando el contrato de interventoría se celebra con un tercero a quien se le confía la labor de vigilar la ejecución idónea de otro contrato, por lo general a un contrato de obra pública,</w:t>
      </w:r>
      <w:r>
        <w:rPr>
          <w:rFonts w:ascii="Verdana" w:eastAsia="Calibri" w:hAnsi="Verdana" w:cs="Arial"/>
          <w:color w:val="000000" w:themeColor="text1"/>
          <w:lang w:val="es-MX"/>
        </w:rPr>
        <w:t xml:space="preserve"> ello no exime a la entidad de su deber de supervisión de cada contrato celebrado.</w:t>
      </w:r>
      <w:r w:rsidRPr="1F539949">
        <w:rPr>
          <w:rFonts w:ascii="Verdana" w:eastAsia="Calibri" w:hAnsi="Verdana" w:cs="Arial"/>
          <w:color w:val="000000" w:themeColor="text1"/>
          <w:lang w:val="es-MX"/>
        </w:rPr>
        <w:t xml:space="preserve"> Lo anterior en la medida que ambos son mecanismos a través de los cuales las entidades cumplen el deber de vigilar la correcta ejecución de los contratos</w:t>
      </w:r>
      <w:r w:rsidRPr="565EF9E2">
        <w:rPr>
          <w:rFonts w:ascii="Verdana" w:eastAsia="Calibri" w:hAnsi="Verdana" w:cs="Arial"/>
          <w:color w:val="000000" w:themeColor="text1"/>
          <w:lang w:val="es-MX"/>
        </w:rPr>
        <w:t>.</w:t>
      </w:r>
    </w:p>
    <w:p w14:paraId="5EA5EE8F" w14:textId="6A733A76" w:rsidR="00C50A90" w:rsidRPr="00073A28" w:rsidRDefault="00C50A90" w:rsidP="00076626">
      <w:pPr>
        <w:spacing w:before="120" w:after="0" w:line="276" w:lineRule="auto"/>
        <w:ind w:firstLine="708"/>
        <w:jc w:val="both"/>
        <w:rPr>
          <w:rFonts w:ascii="Verdana" w:eastAsia="Calibri" w:hAnsi="Verdana" w:cs="Arial"/>
          <w:color w:val="000000"/>
          <w:lang w:val="es-MX"/>
        </w:rPr>
      </w:pPr>
      <w:r w:rsidRPr="00073A28">
        <w:rPr>
          <w:rFonts w:ascii="Verdana" w:eastAsia="Calibri" w:hAnsi="Verdana" w:cs="Arial"/>
          <w:color w:val="000000"/>
          <w:lang w:val="es-MX"/>
        </w:rPr>
        <w:t>Ahora bien, el contrato de interventoría supone la existencia de otro contrato –es decir, el contrato vigilado–, y por eso la jurisprudencia ha caracterizado la interventoría como un negocio jurídico íntimamente relacionado en su objeto con el contrato respecto del que ejerce las actividades del interventor</w:t>
      </w:r>
      <w:r w:rsidRPr="00073A28">
        <w:rPr>
          <w:rFonts w:ascii="Verdana" w:eastAsia="Calibri" w:hAnsi="Verdana" w:cs="Arial"/>
          <w:color w:val="000000"/>
          <w:vertAlign w:val="superscript"/>
          <w:lang w:val="es-MX"/>
        </w:rPr>
        <w:footnoteReference w:id="3"/>
      </w:r>
      <w:r w:rsidRPr="00073A28">
        <w:rPr>
          <w:rFonts w:ascii="Verdana" w:eastAsia="Calibri" w:hAnsi="Verdana" w:cs="Arial"/>
          <w:color w:val="000000"/>
          <w:lang w:val="es-MX"/>
        </w:rPr>
        <w:t>.</w:t>
      </w:r>
      <w:proofErr w:type="spellStart"/>
      <w:r>
        <w:rPr>
          <w:rFonts w:ascii="Verdana" w:eastAsia="Calibri" w:hAnsi="Verdana" w:cs="Arial"/>
          <w:color w:val="000000"/>
        </w:rPr>
        <w:t>El</w:t>
      </w:r>
      <w:r w:rsidRPr="00650BF3">
        <w:rPr>
          <w:rFonts w:ascii="Verdana" w:eastAsia="Calibri" w:hAnsi="Verdana" w:cs="Arial"/>
          <w:color w:val="000000"/>
        </w:rPr>
        <w:t>contrato</w:t>
      </w:r>
      <w:proofErr w:type="spellEnd"/>
      <w:r w:rsidRPr="00650BF3">
        <w:rPr>
          <w:rFonts w:ascii="Verdana" w:eastAsia="Calibri" w:hAnsi="Verdana" w:cs="Arial"/>
          <w:color w:val="000000"/>
        </w:rPr>
        <w:t xml:space="preserve"> de interventoría conserva su independencia respecto del contrato principal en determinados aspectos, como el incumplimiento contractual. En efecto, el incumplimiento del contrato vigilado, por ejemplo</w:t>
      </w:r>
      <w:r>
        <w:rPr>
          <w:rFonts w:ascii="Verdana" w:eastAsia="Calibri" w:hAnsi="Verdana" w:cs="Arial"/>
          <w:color w:val="000000"/>
        </w:rPr>
        <w:t>,</w:t>
      </w:r>
      <w:r w:rsidRPr="00650BF3">
        <w:rPr>
          <w:rFonts w:ascii="Verdana" w:eastAsia="Calibri" w:hAnsi="Verdana" w:cs="Arial"/>
          <w:color w:val="000000"/>
        </w:rPr>
        <w:t xml:space="preserve"> el de obra, no implica automáticamente el incumplimiento del contrato de interventoría.</w:t>
      </w:r>
      <w:r>
        <w:rPr>
          <w:rFonts w:ascii="Verdana" w:eastAsia="Calibri" w:hAnsi="Verdana" w:cs="Arial"/>
          <w:color w:val="000000"/>
        </w:rPr>
        <w:t xml:space="preserve"> </w:t>
      </w:r>
      <w:r w:rsidRPr="00650BF3">
        <w:rPr>
          <w:rFonts w:ascii="Verdana" w:eastAsia="Calibri" w:hAnsi="Verdana" w:cs="Arial"/>
          <w:color w:val="000000"/>
        </w:rPr>
        <w:t xml:space="preserve">Sin embargo, dicha autonomía no es absoluta. En lo relativo a la prórroga, </w:t>
      </w:r>
      <w:r>
        <w:rPr>
          <w:rFonts w:ascii="Verdana" w:eastAsia="Calibri" w:hAnsi="Verdana" w:cs="Arial"/>
          <w:color w:val="000000"/>
        </w:rPr>
        <w:t xml:space="preserve">el artículo 85 de </w:t>
      </w:r>
      <w:r w:rsidRPr="00650BF3">
        <w:rPr>
          <w:rFonts w:ascii="Verdana" w:eastAsia="Calibri" w:hAnsi="Verdana" w:cs="Arial"/>
          <w:color w:val="000000"/>
        </w:rPr>
        <w:t>la Ley 1474 de 2011</w:t>
      </w:r>
      <w:r>
        <w:rPr>
          <w:rFonts w:ascii="Verdana" w:eastAsia="Calibri" w:hAnsi="Verdana" w:cs="Arial"/>
          <w:color w:val="000000"/>
        </w:rPr>
        <w:t xml:space="preserve">, </w:t>
      </w:r>
      <w:r w:rsidRPr="00650BF3">
        <w:rPr>
          <w:rFonts w:ascii="Verdana" w:eastAsia="Calibri" w:hAnsi="Verdana" w:cs="Arial"/>
          <w:color w:val="000000"/>
        </w:rPr>
        <w:t>contempla la posibilidad de que, cuando se prorrogue el contrato principal, también se amplíe la interventoría, incluso en un porcentaje superior al cincuenta por ciento (50%) de su valor inicial, siempre que ello resulte necesario para garantizar la continuidad de la supervisión y se cumplan las exigencias legales aplicables</w:t>
      </w:r>
      <w:r>
        <w:rPr>
          <w:rFonts w:ascii="Verdana" w:eastAsia="Calibri" w:hAnsi="Verdana" w:cs="Arial"/>
          <w:color w:val="000000"/>
        </w:rPr>
        <w:t>.</w:t>
      </w:r>
    </w:p>
    <w:p w14:paraId="725A26B4" w14:textId="2820EC5A" w:rsidR="00C50A90" w:rsidRPr="00076626" w:rsidRDefault="00C50A90" w:rsidP="00076626">
      <w:pPr>
        <w:spacing w:before="120" w:after="120" w:line="276" w:lineRule="auto"/>
        <w:ind w:firstLine="709"/>
        <w:jc w:val="both"/>
        <w:rPr>
          <w:rFonts w:ascii="Verdana" w:eastAsia="Calibri" w:hAnsi="Verdana" w:cs="Arial"/>
          <w:color w:val="000000"/>
        </w:rPr>
      </w:pPr>
      <w:r w:rsidRPr="05FE03FA">
        <w:rPr>
          <w:rFonts w:ascii="Verdana" w:eastAsia="Calibri" w:hAnsi="Verdana" w:cs="Arial"/>
          <w:color w:val="000000" w:themeColor="text1"/>
          <w:lang w:val="es-MX"/>
        </w:rPr>
        <w:t xml:space="preserve">El contrato de interventoría es un contrato bilateral, conmutativo y oneroso, por lo que crea obligaciones tanto para la entidad contratante como para el contratista interventor. Asimismo, este contrato es de ejecución sucesiva, toda vez que, las prestaciones se prologan en el tiempo, es decir, la satisfacción de las prestaciones no se da con la prestación de un solo servicio, sino que se requiere el desarrollo de dicha actividad durante un periodo de tiempo. </w:t>
      </w:r>
      <w:r w:rsidRPr="05FE03FA">
        <w:rPr>
          <w:rFonts w:ascii="Verdana" w:eastAsia="Calibri" w:hAnsi="Verdana" w:cs="Arial"/>
          <w:color w:val="000000" w:themeColor="text1"/>
        </w:rPr>
        <w:t xml:space="preserve">No obstante, la interventoría también puede ser de ejecución inmediata </w:t>
      </w:r>
      <w:r w:rsidRPr="05FE03FA">
        <w:rPr>
          <w:rFonts w:ascii="Verdana" w:eastAsia="Calibri" w:hAnsi="Verdana" w:cs="Arial"/>
          <w:color w:val="000000" w:themeColor="text1"/>
        </w:rPr>
        <w:lastRenderedPageBreak/>
        <w:t>cuando su objeto recae sobre obligaciones que deben cumplirse en un solo acto o dentro de un periodo breve. En esos casos, si el contrato principal es de ejecución instantánea, por ejemplo, la entrega de un bien o la realización de una actividad puntual, la interventoría puede compartir esa misma naturaleza, limitándose al seguimiento y verificación de dichas obligaciones específicas, sin que ello implique que sea de ejecución sucesiva.</w:t>
      </w:r>
    </w:p>
    <w:p w14:paraId="1813285E" w14:textId="12180FEA" w:rsidR="00C50A90" w:rsidRDefault="00C50A90" w:rsidP="00C50A90">
      <w:pPr>
        <w:spacing w:before="120" w:after="120" w:line="276" w:lineRule="auto"/>
        <w:ind w:firstLine="709"/>
        <w:jc w:val="both"/>
        <w:rPr>
          <w:rFonts w:ascii="Verdana" w:hAnsi="Verdana" w:cs="Arial"/>
          <w:color w:val="000000" w:themeColor="text1"/>
          <w:kern w:val="2"/>
          <w14:ligatures w14:val="standardContextual"/>
        </w:rPr>
      </w:pPr>
      <w:r w:rsidRPr="1F539949">
        <w:rPr>
          <w:rFonts w:ascii="Verdana" w:hAnsi="Verdana" w:cs="Arial"/>
          <w:color w:val="000000" w:themeColor="text1"/>
          <w:kern w:val="2"/>
          <w:lang w:val="es-ES"/>
          <w14:ligatures w14:val="standardContextual"/>
        </w:rPr>
        <w:t xml:space="preserve">Ahora bien, como se explicó previamente, las obligaciones del interventor se derivan de dos fuentes: i) las disposiciones normativas de carácter legal o reglamentario y </w:t>
      </w:r>
      <w:proofErr w:type="spellStart"/>
      <w:r w:rsidRPr="05FE03FA">
        <w:rPr>
          <w:rFonts w:ascii="Verdana" w:hAnsi="Verdana" w:cs="Arial"/>
          <w:color w:val="000000" w:themeColor="text1"/>
          <w:lang w:val="es-ES"/>
        </w:rPr>
        <w:t>ii</w:t>
      </w:r>
      <w:proofErr w:type="spellEnd"/>
      <w:r w:rsidRPr="05FE03FA">
        <w:rPr>
          <w:rFonts w:ascii="Verdana" w:hAnsi="Verdana" w:cs="Arial"/>
          <w:color w:val="000000" w:themeColor="text1"/>
          <w:lang w:val="es-ES"/>
        </w:rPr>
        <w:t>) el contrato –lo que incluye no solo la minuta, sino también el pliego de condiciones, o el documento equivalente, y sus anexos–. En efecto, la Ley 1474 de 2011 es el principal cuerpo normativo en el que se encuentran consagrados los deberes de los interventores. Estas obligaciones, con fundamento en los artículos 83 –inciso 3– y 84 de dicha Ley, se sintetizan en el ejercicio de una adecuada inspección del cumplimiento del contrato objeto de interventoría. Por ello, como indica el referido artículo 84, “Los interventores y supervisores están facultados para solicitar informes, aclaraciones y explicaciones sobre el desarrollo de la ejecución contractual, y serán responsables por mantener informada a la entidad contratante de los hechos o circunstancias que puedan constituir actos de corrupción tipificados como conductas punibles, o que puedan poner o pongan en riesgo el cumplimiento del contrato, o cuando tal incumplimiento se presente”. Esto no obsta para que las partes, en ejercicio de su autonomía de la voluntad, puedan estipular en el contrato –con la debida justificación– obligaciones conexas, que el interventor también deberá cumplir, e incluso contemplar que el plazo de ejecución del contrato de interventoría.</w:t>
      </w:r>
    </w:p>
    <w:p w14:paraId="32004ACF" w14:textId="77777777" w:rsidR="00C50A90" w:rsidRDefault="00C50A90" w:rsidP="00C50A90">
      <w:pPr>
        <w:spacing w:after="0" w:line="276" w:lineRule="auto"/>
        <w:ind w:firstLine="709"/>
        <w:jc w:val="both"/>
        <w:rPr>
          <w:rFonts w:ascii="Verdana" w:hAnsi="Verdana" w:cs="Arial"/>
          <w:color w:val="000000" w:themeColor="text1"/>
          <w:kern w:val="2"/>
          <w:lang w:val="es-ES"/>
          <w14:ligatures w14:val="standardContextual"/>
        </w:rPr>
      </w:pPr>
    </w:p>
    <w:p w14:paraId="2AB35146" w14:textId="6ABF77A8" w:rsidR="00C50A90" w:rsidRPr="00073A28" w:rsidRDefault="00C50A90" w:rsidP="00C50A90">
      <w:pPr>
        <w:spacing w:after="0" w:line="276" w:lineRule="auto"/>
        <w:jc w:val="both"/>
        <w:rPr>
          <w:rFonts w:ascii="Verdana" w:hAnsi="Verdana" w:cs="Arial"/>
          <w:color w:val="000000" w:themeColor="text1"/>
          <w:lang w:val="es-ES"/>
        </w:rPr>
      </w:pPr>
      <w:r w:rsidRPr="1F539949">
        <w:rPr>
          <w:rFonts w:ascii="Verdana" w:hAnsi="Verdana" w:cs="Arial"/>
          <w:color w:val="000000" w:themeColor="text1"/>
          <w:kern w:val="2"/>
          <w:lang w:val="es-ES"/>
          <w14:ligatures w14:val="standardContextual"/>
        </w:rPr>
        <w:t xml:space="preserve"> </w:t>
      </w:r>
      <w:r w:rsidRPr="1F539949">
        <w:rPr>
          <w:rFonts w:ascii="Verdana" w:hAnsi="Verdana" w:cs="Arial"/>
          <w:color w:val="000000" w:themeColor="text1"/>
          <w:lang w:val="es-ES"/>
        </w:rPr>
        <w:t>De otra parte, resulta importante señalar que la liquidación es el momento en el cual, una vez concluido el plazo de ejecución de un</w:t>
      </w:r>
      <w:r>
        <w:rPr>
          <w:rFonts w:ascii="Verdana" w:hAnsi="Verdana" w:cs="Arial"/>
          <w:color w:val="000000" w:themeColor="text1"/>
          <w:lang w:val="es-ES"/>
        </w:rPr>
        <w:t xml:space="preserve"> </w:t>
      </w:r>
      <w:r w:rsidRPr="1F539949">
        <w:rPr>
          <w:rFonts w:ascii="Verdana" w:hAnsi="Verdana" w:cs="Arial"/>
          <w:color w:val="000000" w:themeColor="text1"/>
          <w:lang w:val="es-ES"/>
        </w:rPr>
        <w:t>contrato estatal, las partes cruzan cuentas respecto de sus obligaciones, por tanto, su objetivo es determinar si pueden declararse a paz y salvo mutuo o si, por el contrario, existen aún obligaciones por cumplir, para acordar la forma en que deben ser cumplidas</w:t>
      </w:r>
      <w:r w:rsidRPr="1F539949">
        <w:rPr>
          <w:rFonts w:ascii="Verdana" w:hAnsi="Verdana" w:cs="Arial"/>
          <w:color w:val="000000" w:themeColor="text1"/>
          <w:vertAlign w:val="superscript"/>
          <w:lang w:val="es-ES"/>
        </w:rPr>
        <w:footnoteReference w:id="4"/>
      </w:r>
      <w:r w:rsidRPr="1F539949">
        <w:rPr>
          <w:rFonts w:ascii="Verdana" w:hAnsi="Verdana" w:cs="Arial"/>
          <w:color w:val="000000" w:themeColor="text1"/>
          <w:lang w:val="es-ES"/>
        </w:rPr>
        <w:t>. En armonía con lo anterior, la doctrina ha definido la liquidación de la siguiente manera:</w:t>
      </w:r>
    </w:p>
    <w:p w14:paraId="3C41C3BF" w14:textId="77777777" w:rsidR="00C50A90" w:rsidRPr="00073A28" w:rsidRDefault="00C50A90" w:rsidP="00C50A90">
      <w:pPr>
        <w:spacing w:after="0" w:line="276" w:lineRule="auto"/>
        <w:jc w:val="both"/>
        <w:rPr>
          <w:rFonts w:ascii="Verdana" w:hAnsi="Verdana" w:cs="Arial"/>
          <w:color w:val="000000" w:themeColor="text1"/>
          <w:lang w:val="es-ES"/>
        </w:rPr>
      </w:pPr>
    </w:p>
    <w:p w14:paraId="41FF3DA5" w14:textId="77777777" w:rsidR="00C50A90" w:rsidRPr="00C40679" w:rsidRDefault="00C50A90" w:rsidP="00C50A90">
      <w:pPr>
        <w:spacing w:after="0" w:line="240" w:lineRule="auto"/>
        <w:ind w:left="709" w:right="758"/>
        <w:jc w:val="both"/>
        <w:rPr>
          <w:rFonts w:ascii="Verdana" w:hAnsi="Verdana" w:cs="Arial"/>
          <w:sz w:val="20"/>
          <w:szCs w:val="20"/>
          <w:lang w:val="es-MX"/>
        </w:rPr>
      </w:pPr>
      <w:r w:rsidRPr="05FE03FA">
        <w:rPr>
          <w:rFonts w:ascii="Verdana" w:hAnsi="Verdana" w:cs="Arial"/>
          <w:i/>
          <w:color w:val="000000" w:themeColor="text1"/>
          <w:sz w:val="20"/>
          <w:szCs w:val="20"/>
          <w:lang w:val="es-ES"/>
        </w:rPr>
        <w:t>“</w:t>
      </w:r>
      <w:r w:rsidRPr="00C40679">
        <w:rPr>
          <w:rFonts w:ascii="Verdana" w:hAnsi="Verdana" w:cs="Arial"/>
          <w:sz w:val="20"/>
          <w:szCs w:val="20"/>
          <w:lang w:val="es-MX"/>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C40679">
        <w:rPr>
          <w:rFonts w:ascii="Verdana" w:hAnsi="Verdana" w:cs="Arial"/>
          <w:sz w:val="20"/>
          <w:szCs w:val="20"/>
          <w:lang w:val="es-MX"/>
        </w:rPr>
        <w:t>ii</w:t>
      </w:r>
      <w:proofErr w:type="spellEnd"/>
      <w:r w:rsidRPr="00C40679">
        <w:rPr>
          <w:rFonts w:ascii="Verdana" w:hAnsi="Verdana" w:cs="Arial"/>
          <w:sz w:val="20"/>
          <w:szCs w:val="20"/>
          <w:lang w:val="es-MX"/>
        </w:rPr>
        <w:t>) definir la situación jurídica de las partes, estableciendo si pueden constituirse o no a paz y salvo; lo que exige, en la práctica, que los negociantes dialoguen e intenten ponerse de acuerdo (aspecto subjetivo)”</w:t>
      </w:r>
      <w:r w:rsidRPr="00C40679">
        <w:rPr>
          <w:rFonts w:ascii="Verdana" w:hAnsi="Verdana" w:cs="Arial"/>
          <w:sz w:val="20"/>
          <w:szCs w:val="20"/>
          <w:vertAlign w:val="superscript"/>
          <w:lang w:val="es-MX"/>
        </w:rPr>
        <w:footnoteReference w:id="5"/>
      </w:r>
      <w:r w:rsidRPr="00C40679">
        <w:rPr>
          <w:rFonts w:ascii="Verdana" w:hAnsi="Verdana" w:cs="Arial"/>
          <w:sz w:val="20"/>
          <w:szCs w:val="20"/>
          <w:lang w:val="es-MX"/>
        </w:rPr>
        <w:t xml:space="preserve">. </w:t>
      </w:r>
    </w:p>
    <w:p w14:paraId="77ECB2D0" w14:textId="77777777" w:rsidR="00C50A90" w:rsidRPr="00073A28" w:rsidRDefault="00C50A90" w:rsidP="00C50A90">
      <w:pPr>
        <w:spacing w:after="0" w:line="240" w:lineRule="auto"/>
        <w:ind w:left="709" w:right="758"/>
        <w:jc w:val="both"/>
        <w:rPr>
          <w:rFonts w:ascii="Verdana" w:hAnsi="Verdana" w:cs="Arial"/>
          <w:lang w:val="es-MX"/>
        </w:rPr>
      </w:pPr>
    </w:p>
    <w:p w14:paraId="3CB76A86" w14:textId="402747F8" w:rsidR="00C50A90" w:rsidRPr="00C40679" w:rsidRDefault="00C50A90" w:rsidP="00076626">
      <w:pPr>
        <w:spacing w:after="0" w:line="276" w:lineRule="auto"/>
        <w:ind w:firstLine="709"/>
        <w:jc w:val="both"/>
        <w:rPr>
          <w:rFonts w:ascii="Verdana" w:hAnsi="Verdana" w:cs="Arial"/>
          <w:color w:val="000000" w:themeColor="text1"/>
          <w:lang w:val="es-ES"/>
        </w:rPr>
      </w:pPr>
      <w:r w:rsidRPr="05FE03FA">
        <w:rPr>
          <w:rFonts w:ascii="Verdana" w:hAnsi="Verdana" w:cs="Arial"/>
          <w:color w:val="000000" w:themeColor="text1"/>
          <w:lang w:val="es-ES"/>
        </w:rPr>
        <w:t>De lo expuesto se concluye que la interventoría constituye un mecanismo legal de vigilancia y control previsto por el legislador para garantizar la correcta ejecución del objeto contractual, enmarcado dentro del principio de moralidad administrativa consagrado en el artículo 83 de la Ley 1474 de 2011. Dicho precepto impone a las entidades públicas la obligación de ejercer vigilancia permanente sobre los contratos estatales, a través de supervisión o interventoría, según corresponda.</w:t>
      </w:r>
    </w:p>
    <w:p w14:paraId="637E6068" w14:textId="43C06BEE" w:rsidR="00C50A90" w:rsidRPr="00C40679" w:rsidRDefault="00C50A90" w:rsidP="00C50A90">
      <w:pPr>
        <w:spacing w:after="0" w:line="276" w:lineRule="auto"/>
        <w:ind w:firstLine="709"/>
        <w:jc w:val="both"/>
        <w:rPr>
          <w:rFonts w:ascii="Verdana" w:hAnsi="Verdana" w:cs="Arial"/>
          <w:color w:val="000000" w:themeColor="text1"/>
          <w:lang w:val="es-ES"/>
        </w:rPr>
      </w:pPr>
      <w:r w:rsidRPr="1F539949">
        <w:rPr>
          <w:rFonts w:ascii="Verdana" w:hAnsi="Verdana" w:cs="Arial"/>
          <w:color w:val="000000" w:themeColor="text1"/>
          <w:lang w:val="es-ES"/>
        </w:rPr>
        <w:t>En este contexto, la Ley 1474 de 2011, en concordancia con los artículos 32 y 53 de la Ley 80 de 1993, dispone que la interventoría debe mantenerse durante toda la ejecución del contrato de obra, de modo que el control técnico, financiero, administrativo y jurídico del proyecto se ejerza hasta la culminación del objeto contractual.</w:t>
      </w:r>
    </w:p>
    <w:p w14:paraId="73DEE4F2" w14:textId="68D3FE0B" w:rsidR="00C50A90" w:rsidRPr="00073A28" w:rsidRDefault="00C50A90" w:rsidP="00076626">
      <w:pPr>
        <w:spacing w:after="0" w:line="276" w:lineRule="auto"/>
        <w:ind w:firstLine="708"/>
        <w:jc w:val="both"/>
        <w:rPr>
          <w:rFonts w:ascii="Verdana" w:hAnsi="Verdana" w:cs="Arial"/>
          <w:color w:val="000000" w:themeColor="text1"/>
          <w:lang w:val="es-ES"/>
        </w:rPr>
      </w:pPr>
      <w:r w:rsidRPr="1F539949">
        <w:rPr>
          <w:rFonts w:ascii="Verdana" w:hAnsi="Verdana" w:cs="Arial"/>
          <w:color w:val="000000" w:themeColor="text1"/>
          <w:lang w:val="es-ES"/>
        </w:rPr>
        <w:lastRenderedPageBreak/>
        <w:t xml:space="preserve">En consecuencia, cualquier decisión </w:t>
      </w:r>
      <w:r w:rsidRPr="565EF9E2">
        <w:rPr>
          <w:rFonts w:ascii="Verdana" w:hAnsi="Verdana" w:cs="Arial"/>
          <w:color w:val="000000" w:themeColor="text1"/>
          <w:lang w:val="es-ES"/>
        </w:rPr>
        <w:t>contractual</w:t>
      </w:r>
      <w:r w:rsidRPr="1F539949">
        <w:rPr>
          <w:rFonts w:ascii="Verdana" w:hAnsi="Verdana" w:cs="Arial"/>
          <w:color w:val="000000" w:themeColor="text1"/>
          <w:lang w:val="es-ES"/>
        </w:rPr>
        <w:t xml:space="preserve"> que implique la terminación o liquidación de la interventoría con anterioridad a la </w:t>
      </w:r>
      <w:r w:rsidR="2C4C21A0" w:rsidRPr="565EF9E2">
        <w:rPr>
          <w:rFonts w:ascii="Verdana" w:hAnsi="Verdana" w:cs="Arial"/>
          <w:color w:val="000000" w:themeColor="text1"/>
          <w:lang w:val="es-ES"/>
        </w:rPr>
        <w:t xml:space="preserve">liquidación </w:t>
      </w:r>
      <w:r>
        <w:rPr>
          <w:rFonts w:ascii="Verdana" w:hAnsi="Verdana" w:cs="Arial"/>
          <w:color w:val="000000" w:themeColor="text1"/>
          <w:lang w:val="es-ES"/>
        </w:rPr>
        <w:t>del</w:t>
      </w:r>
      <w:r w:rsidRPr="1F539949">
        <w:rPr>
          <w:rFonts w:ascii="Verdana" w:hAnsi="Verdana" w:cs="Arial"/>
          <w:color w:val="000000" w:themeColor="text1"/>
          <w:lang w:val="es-ES"/>
        </w:rPr>
        <w:t xml:space="preserve"> contrato de obra deberá ajustarse a las disposiciones legales vigentes y prever las medidas necesarias para asegurar el cumplimiento efectivo del deber de vigilancia permanente que la ley impone a las entidades estatales.</w:t>
      </w:r>
    </w:p>
    <w:p w14:paraId="4902138C" w14:textId="77777777" w:rsidR="00C50A90" w:rsidRDefault="00C50A90" w:rsidP="00C50A90">
      <w:pPr>
        <w:spacing w:after="0" w:line="276" w:lineRule="auto"/>
        <w:ind w:firstLine="708"/>
        <w:jc w:val="both"/>
        <w:rPr>
          <w:rFonts w:ascii="Verdana" w:hAnsi="Verdana" w:cs="Arial"/>
          <w:color w:val="000000" w:themeColor="text1"/>
          <w:lang w:val="es-ES"/>
        </w:rPr>
      </w:pPr>
    </w:p>
    <w:p w14:paraId="6FB4B09B" w14:textId="77777777" w:rsidR="00C50A90" w:rsidRPr="000D1DE6" w:rsidRDefault="00C50A90" w:rsidP="00C50A90">
      <w:pPr>
        <w:spacing w:after="0" w:line="276" w:lineRule="auto"/>
        <w:ind w:firstLine="708"/>
        <w:jc w:val="both"/>
        <w:rPr>
          <w:rFonts w:ascii="Verdana" w:hAnsi="Verdana" w:cs="Arial"/>
          <w:color w:val="000000" w:themeColor="text1"/>
          <w:lang w:val="es-ES"/>
        </w:rPr>
      </w:pPr>
      <w:r w:rsidRPr="1F539949">
        <w:rPr>
          <w:rFonts w:ascii="Verdana" w:hAnsi="Verdana" w:cs="Arial"/>
          <w:color w:val="000000" w:themeColor="text1"/>
          <w:lang w:val="es-ES"/>
        </w:rPr>
        <w:t>(</w:t>
      </w:r>
      <w:proofErr w:type="spellStart"/>
      <w:r w:rsidRPr="1F539949">
        <w:rPr>
          <w:rFonts w:ascii="Verdana" w:hAnsi="Verdana" w:cs="Arial"/>
          <w:color w:val="000000" w:themeColor="text1"/>
          <w:lang w:val="es-ES"/>
        </w:rPr>
        <w:t>ii</w:t>
      </w:r>
      <w:proofErr w:type="spellEnd"/>
      <w:r w:rsidRPr="1F539949">
        <w:rPr>
          <w:rFonts w:ascii="Verdana" w:hAnsi="Verdana" w:cs="Arial"/>
          <w:color w:val="000000" w:themeColor="text1"/>
          <w:lang w:val="es-ES"/>
        </w:rPr>
        <w:t>) La Ley 80 de 1993 y la Ley 1474 de 2011 establecen que la vigilancia de los contratos estatales constituye una obligación legal e ineludible de las entidades públicas, enmarcada en el principio de moralidad administrativa y orientada a garantizar la correcta ejecución del objeto contractual. En particular, el artículo 83 de la Ley 1474 de 2011 dispone que las entidades están obligadas a vigilar permanentemente la ejecución del contrato, a través de la figura de la supervisión o de la interventoría, según la naturaleza y complejidad del contrato.</w:t>
      </w:r>
    </w:p>
    <w:p w14:paraId="01E826D8" w14:textId="77777777" w:rsidR="00C50A90" w:rsidRPr="000D1DE6" w:rsidRDefault="00C50A90" w:rsidP="00C50A90">
      <w:pPr>
        <w:spacing w:after="0" w:line="276" w:lineRule="auto"/>
        <w:ind w:firstLine="708"/>
        <w:jc w:val="both"/>
        <w:rPr>
          <w:rFonts w:ascii="Verdana" w:hAnsi="Verdana" w:cs="Arial"/>
          <w:color w:val="000000" w:themeColor="text1"/>
          <w:lang w:val="es-ES"/>
        </w:rPr>
      </w:pPr>
    </w:p>
    <w:p w14:paraId="4226DBC0" w14:textId="77777777" w:rsidR="00C50A90" w:rsidRDefault="00C50A90" w:rsidP="00C50A90">
      <w:pPr>
        <w:spacing w:after="0" w:line="276" w:lineRule="auto"/>
        <w:ind w:firstLine="708"/>
        <w:jc w:val="both"/>
        <w:rPr>
          <w:rFonts w:ascii="Verdana" w:hAnsi="Verdana" w:cs="Arial"/>
          <w:color w:val="000000" w:themeColor="text1"/>
          <w:lang w:val="es-ES"/>
        </w:rPr>
      </w:pPr>
      <w:r w:rsidRPr="05FE03FA">
        <w:rPr>
          <w:rFonts w:ascii="Verdana" w:hAnsi="Verdana" w:cs="Arial"/>
          <w:color w:val="000000" w:themeColor="text1"/>
          <w:lang w:val="es-ES"/>
        </w:rPr>
        <w:t>Conforme a la Guía para el ejercicio de las funciones de supervisión e interventoría elaborada por Colombia Compra Eficiente</w:t>
      </w:r>
      <w:r>
        <w:rPr>
          <w:rStyle w:val="Refdenotaalpie"/>
          <w:rFonts w:ascii="Verdana" w:hAnsi="Verdana" w:cs="Arial"/>
          <w:color w:val="000000" w:themeColor="text1"/>
          <w:lang w:val="es-ES_tradnl"/>
        </w:rPr>
        <w:footnoteReference w:id="6"/>
      </w:r>
      <w:r w:rsidRPr="05FE03FA">
        <w:rPr>
          <w:rFonts w:ascii="Verdana" w:hAnsi="Verdana" w:cs="Arial"/>
          <w:color w:val="000000" w:themeColor="text1"/>
          <w:lang w:val="es-ES"/>
        </w:rPr>
        <w:t>, la vigilancia contractual comprende un conjunto de actividades interdisciplinarias, técnicas, financieras, administrativas, contables y jurídicas, orientadas a asegurar el cumplimiento integral de las obligaciones del contrato y la correcta administración de los recursos públicos.</w:t>
      </w:r>
    </w:p>
    <w:p w14:paraId="67C91FD4" w14:textId="77777777" w:rsidR="00C50A90" w:rsidRPr="000D1DE6" w:rsidRDefault="00C50A90" w:rsidP="00C50A90">
      <w:pPr>
        <w:spacing w:after="0" w:line="276" w:lineRule="auto"/>
        <w:jc w:val="both"/>
        <w:rPr>
          <w:rFonts w:ascii="Verdana" w:hAnsi="Verdana" w:cs="Arial"/>
          <w:color w:val="000000" w:themeColor="text1"/>
          <w:lang w:val="es-ES"/>
        </w:rPr>
      </w:pPr>
    </w:p>
    <w:p w14:paraId="29D6F902" w14:textId="77777777" w:rsidR="00C50A90" w:rsidRPr="000D1DE6" w:rsidRDefault="00C50A90" w:rsidP="00C50A90">
      <w:pPr>
        <w:spacing w:after="0" w:line="276" w:lineRule="auto"/>
        <w:ind w:firstLine="708"/>
        <w:jc w:val="both"/>
        <w:rPr>
          <w:rFonts w:ascii="Verdana" w:hAnsi="Verdana" w:cs="Arial"/>
          <w:color w:val="000000" w:themeColor="text1"/>
          <w:lang w:val="es-ES"/>
        </w:rPr>
      </w:pPr>
      <w:r w:rsidRPr="05FE03FA">
        <w:rPr>
          <w:rFonts w:ascii="Verdana" w:hAnsi="Verdana" w:cs="Arial"/>
          <w:color w:val="000000" w:themeColor="text1"/>
          <w:lang w:val="es-ES"/>
        </w:rPr>
        <w:t>El interventor se encuentra sujeto a los deberes y responsabilidades previstos en los artículos 83 y 84 de la Ley 1474 de 2011, entre ellos la obligación de informar oportunamente a la entidad sobre hechos que puedan constituir incumplimientos, riesgos de detrimento patrimonial o posibles actos de corrupción. Además, el interventor debe mantener informada a la entidad y entregar los informes de seguimiento requeridos, bajo la supervisión directa de un servidor público designado por la entidad estatal</w:t>
      </w:r>
    </w:p>
    <w:p w14:paraId="371B9845" w14:textId="77777777" w:rsidR="00C50A90" w:rsidRPr="000D1DE6" w:rsidRDefault="00C50A90" w:rsidP="00C50A90">
      <w:pPr>
        <w:spacing w:after="0" w:line="276" w:lineRule="auto"/>
        <w:jc w:val="both"/>
        <w:rPr>
          <w:rFonts w:ascii="Verdana" w:hAnsi="Verdana" w:cs="Arial"/>
          <w:color w:val="000000" w:themeColor="text1"/>
          <w:lang w:val="es-ES"/>
        </w:rPr>
      </w:pPr>
    </w:p>
    <w:p w14:paraId="38AD610A" w14:textId="77777777" w:rsidR="00C50A90" w:rsidRPr="000D1DE6" w:rsidRDefault="00C50A90" w:rsidP="00C50A90">
      <w:pPr>
        <w:spacing w:after="0" w:line="276" w:lineRule="auto"/>
        <w:ind w:firstLine="708"/>
        <w:jc w:val="both"/>
        <w:rPr>
          <w:rFonts w:ascii="Verdana" w:hAnsi="Verdana" w:cs="Arial"/>
          <w:color w:val="000000" w:themeColor="text1"/>
          <w:lang w:val="es-ES"/>
        </w:rPr>
      </w:pPr>
      <w:r w:rsidRPr="05FE03FA">
        <w:rPr>
          <w:rFonts w:ascii="Verdana" w:hAnsi="Verdana" w:cs="Arial"/>
          <w:color w:val="000000" w:themeColor="text1"/>
          <w:lang w:val="es-ES"/>
        </w:rPr>
        <w:t xml:space="preserve">Por su parte, la Guía de Colombia Compra Eficiente resalta que la entidad contratante debe designar un supervisor para el contrato de interventoría, quien será responsable de verificar el cumplimiento de las obligaciones del interventor y de asegurar la adecuada coordinación entre los plazos de la interventoría y del </w:t>
      </w:r>
      <w:r w:rsidRPr="05FE03FA">
        <w:rPr>
          <w:rFonts w:ascii="Verdana" w:hAnsi="Verdana" w:cs="Arial"/>
          <w:color w:val="000000" w:themeColor="text1"/>
          <w:lang w:val="es-ES"/>
        </w:rPr>
        <w:lastRenderedPageBreak/>
        <w:t>contrato de obra. Así, la Guía enfatiza que los plazos de ambos contratos deben planearse y armonizarse para garantizar la existencia continua de la interventoría durante toda la ejecución del contrato principal y hasta la finalización de sus obligaciones.</w:t>
      </w:r>
    </w:p>
    <w:p w14:paraId="6E708B88" w14:textId="77777777" w:rsidR="00C50A90" w:rsidRPr="000D1DE6" w:rsidRDefault="00C50A90" w:rsidP="00C50A90">
      <w:pPr>
        <w:spacing w:after="0" w:line="276" w:lineRule="auto"/>
        <w:ind w:firstLine="708"/>
        <w:jc w:val="both"/>
        <w:rPr>
          <w:rFonts w:ascii="Verdana" w:hAnsi="Verdana" w:cs="Arial"/>
          <w:color w:val="000000" w:themeColor="text1"/>
          <w:lang w:val="es-ES"/>
        </w:rPr>
      </w:pPr>
    </w:p>
    <w:p w14:paraId="6EA5C482" w14:textId="36BB9949" w:rsidR="00C50A90" w:rsidRPr="000D1DE6" w:rsidRDefault="00C50A90" w:rsidP="00C50A90">
      <w:pPr>
        <w:spacing w:after="0" w:line="276" w:lineRule="auto"/>
        <w:ind w:firstLine="708"/>
        <w:jc w:val="both"/>
        <w:rPr>
          <w:rFonts w:ascii="Verdana" w:hAnsi="Verdana" w:cs="Arial"/>
          <w:color w:val="000000" w:themeColor="text1"/>
          <w:lang w:val="es-ES"/>
        </w:rPr>
      </w:pPr>
      <w:r w:rsidRPr="1F539949">
        <w:rPr>
          <w:rFonts w:ascii="Verdana" w:hAnsi="Verdana" w:cs="Arial"/>
          <w:color w:val="000000" w:themeColor="text1"/>
          <w:lang w:val="es-ES"/>
        </w:rPr>
        <w:t xml:space="preserve">En consecuencia, si por razones excepcionales la interventoría fuera liquidada sin haberse </w:t>
      </w:r>
      <w:r w:rsidR="70BC6579" w:rsidRPr="565EF9E2">
        <w:rPr>
          <w:rFonts w:ascii="Verdana" w:hAnsi="Verdana" w:cs="Arial"/>
          <w:color w:val="000000" w:themeColor="text1"/>
          <w:lang w:val="es-ES"/>
        </w:rPr>
        <w:t>liquidado</w:t>
      </w:r>
      <w:r w:rsidRPr="1F539949">
        <w:rPr>
          <w:rFonts w:ascii="Verdana" w:hAnsi="Verdana" w:cs="Arial"/>
          <w:color w:val="000000" w:themeColor="text1"/>
          <w:lang w:val="es-ES"/>
        </w:rPr>
        <w:t xml:space="preserve"> el contrato de obra, corresponderá a la entidad estatal, de acuerdo con las circunstancias del caso concreto, determinar los mecanismos que aseguren el cumplimiento del deber legal de vigilancia. La elección de tales mecanismos debe atender los principios de planeación, eficiencia y responsabilidad, se sugiere </w:t>
      </w:r>
      <w:r w:rsidR="13D40A5A" w:rsidRPr="565EF9E2">
        <w:rPr>
          <w:rFonts w:ascii="Verdana" w:hAnsi="Verdana" w:cs="Arial"/>
          <w:color w:val="000000" w:themeColor="text1"/>
          <w:lang w:val="es-ES"/>
        </w:rPr>
        <w:t>en caso de ser viable,</w:t>
      </w:r>
      <w:r w:rsidR="4EA3B69E" w:rsidRPr="565EF9E2">
        <w:rPr>
          <w:rFonts w:ascii="Verdana" w:hAnsi="Verdana" w:cs="Arial"/>
          <w:color w:val="000000" w:themeColor="text1"/>
          <w:lang w:val="es-ES"/>
        </w:rPr>
        <w:t xml:space="preserve"> desgignar un supervisor para</w:t>
      </w:r>
      <w:r w:rsidR="13D40A5A" w:rsidRPr="565EF9E2">
        <w:rPr>
          <w:rFonts w:ascii="Verdana" w:hAnsi="Verdana" w:cs="Arial"/>
          <w:color w:val="000000" w:themeColor="text1"/>
          <w:lang w:val="es-ES"/>
        </w:rPr>
        <w:t xml:space="preserve"> </w:t>
      </w:r>
      <w:r w:rsidRPr="1F539949">
        <w:rPr>
          <w:rFonts w:ascii="Verdana" w:hAnsi="Verdana" w:cs="Arial"/>
          <w:color w:val="000000" w:themeColor="text1"/>
          <w:lang w:val="es-ES"/>
        </w:rPr>
        <w:t xml:space="preserve">que sea quien </w:t>
      </w:r>
      <w:r w:rsidR="73A0DFAC" w:rsidRPr="565EF9E2">
        <w:rPr>
          <w:rFonts w:ascii="Verdana" w:hAnsi="Verdana" w:cs="Arial"/>
          <w:color w:val="000000" w:themeColor="text1"/>
          <w:lang w:val="es-ES"/>
        </w:rPr>
        <w:t>continue</w:t>
      </w:r>
      <w:r w:rsidRPr="1F539949">
        <w:rPr>
          <w:rFonts w:ascii="Verdana" w:hAnsi="Verdana" w:cs="Arial"/>
          <w:color w:val="000000" w:themeColor="text1"/>
          <w:lang w:val="es-ES"/>
        </w:rPr>
        <w:t xml:space="preserve"> ejerciendo las funciones de seguimiento, control y </w:t>
      </w:r>
      <w:r w:rsidRPr="565EF9E2">
        <w:rPr>
          <w:rFonts w:ascii="Verdana" w:hAnsi="Verdana" w:cs="Arial"/>
          <w:color w:val="000000" w:themeColor="text1"/>
          <w:lang w:val="es-ES"/>
        </w:rPr>
        <w:t>vigilancia</w:t>
      </w:r>
      <w:r w:rsidRPr="1F539949">
        <w:rPr>
          <w:rFonts w:ascii="Verdana" w:hAnsi="Verdana" w:cs="Arial"/>
          <w:color w:val="000000" w:themeColor="text1"/>
          <w:lang w:val="es-ES"/>
        </w:rPr>
        <w:t xml:space="preserve"> previstas en la normativa aplicable, conforme al artículo 83 de la Ley 1474 de 2011 y la Guía institucional sobre supervisión e interventoría.</w:t>
      </w:r>
    </w:p>
    <w:p w14:paraId="6870A2D7" w14:textId="77777777" w:rsidR="00C50A90" w:rsidRPr="000D1DE6" w:rsidRDefault="00C50A90" w:rsidP="00C50A90">
      <w:pPr>
        <w:spacing w:after="0" w:line="276" w:lineRule="auto"/>
        <w:ind w:firstLine="708"/>
        <w:jc w:val="both"/>
        <w:rPr>
          <w:rFonts w:ascii="Verdana" w:hAnsi="Verdana" w:cs="Arial"/>
          <w:color w:val="000000" w:themeColor="text1"/>
          <w:lang w:val="es-ES"/>
        </w:rPr>
      </w:pPr>
    </w:p>
    <w:p w14:paraId="4423F66F" w14:textId="1B59F9D4" w:rsidR="00C50A90" w:rsidRPr="000D1DE6" w:rsidRDefault="00C50A90" w:rsidP="00C50A90">
      <w:pPr>
        <w:spacing w:after="0" w:line="276" w:lineRule="auto"/>
        <w:ind w:firstLine="708"/>
        <w:jc w:val="both"/>
        <w:rPr>
          <w:rFonts w:ascii="Verdana" w:hAnsi="Verdana" w:cs="Arial"/>
          <w:color w:val="000000" w:themeColor="text1"/>
          <w:lang w:val="es-ES"/>
        </w:rPr>
      </w:pPr>
      <w:r w:rsidRPr="565EF9E2">
        <w:rPr>
          <w:rFonts w:ascii="Verdana" w:hAnsi="Verdana" w:cs="Arial"/>
          <w:color w:val="000000" w:themeColor="text1"/>
          <w:lang w:val="es-ES"/>
        </w:rPr>
        <w:t xml:space="preserve">Por tanto, será decisión de la entidad estatal definir las acciones administrativas y contractuales necesarias para garantizar la continuidad del control </w:t>
      </w:r>
      <w:r w:rsidR="4F4CE450" w:rsidRPr="565EF9E2">
        <w:rPr>
          <w:rFonts w:ascii="Verdana" w:hAnsi="Verdana" w:cs="Arial"/>
          <w:color w:val="000000" w:themeColor="text1"/>
          <w:lang w:val="es-ES"/>
        </w:rPr>
        <w:t xml:space="preserve">hasta la liquidación </w:t>
      </w:r>
      <w:r w:rsidRPr="565EF9E2">
        <w:rPr>
          <w:rFonts w:ascii="Verdana" w:hAnsi="Verdana" w:cs="Arial"/>
          <w:color w:val="000000" w:themeColor="text1"/>
          <w:lang w:val="es-ES"/>
        </w:rPr>
        <w:t>del contrato de obra, sin perjuicio de la obligación de ajustar sus actuaciones a las disposiciones legales que ordenan mantener una vigilancia permanente durante toda la ejecución del contrato.</w:t>
      </w:r>
    </w:p>
    <w:p w14:paraId="32B1E27B" w14:textId="77777777" w:rsidR="00C50A90" w:rsidRPr="000D1DE6" w:rsidRDefault="00C50A90" w:rsidP="00C50A90">
      <w:pPr>
        <w:spacing w:after="0" w:line="276" w:lineRule="auto"/>
        <w:ind w:firstLine="708"/>
        <w:jc w:val="both"/>
        <w:rPr>
          <w:rFonts w:ascii="Verdana" w:hAnsi="Verdana" w:cs="Arial"/>
          <w:color w:val="000000" w:themeColor="text1"/>
          <w:lang w:val="es-ES"/>
        </w:rPr>
      </w:pPr>
    </w:p>
    <w:p w14:paraId="6D4A6092" w14:textId="65D1FE80" w:rsidR="00C50A90" w:rsidRPr="00116DEE" w:rsidRDefault="00C50A90" w:rsidP="00C50A90">
      <w:pPr>
        <w:spacing w:after="0" w:line="276" w:lineRule="auto"/>
        <w:ind w:firstLine="708"/>
        <w:jc w:val="both"/>
        <w:rPr>
          <w:rFonts w:ascii="Verdana" w:hAnsi="Verdana" w:cs="Arial"/>
          <w:color w:val="000000" w:themeColor="text1"/>
          <w:lang w:val="es-ES"/>
        </w:rPr>
      </w:pPr>
      <w:r w:rsidRPr="1F539949">
        <w:rPr>
          <w:rFonts w:ascii="Verdana" w:hAnsi="Verdana" w:cs="Arial"/>
          <w:color w:val="000000" w:themeColor="text1"/>
          <w:lang w:val="es-ES"/>
        </w:rPr>
        <w:t xml:space="preserve">Conforme a lo indicado, y en virtud de los artículos 32 y 53 de la Ley 80 de 1993, y 83 y 84 de la Ley 1474 de 2011, así como de las directrices contenidas en la Guía para el ejercicio de las funciones de supervisión e interventoría de los contratos suscritos por las Entidades Estatales, no debería </w:t>
      </w:r>
      <w:r>
        <w:rPr>
          <w:rFonts w:ascii="Verdana" w:hAnsi="Verdana" w:cs="Arial"/>
          <w:color w:val="000000" w:themeColor="text1"/>
          <w:lang w:val="es-ES"/>
        </w:rPr>
        <w:t xml:space="preserve">terminar el plazo del </w:t>
      </w:r>
      <w:r w:rsidRPr="565EF9E2">
        <w:rPr>
          <w:rFonts w:ascii="Verdana" w:hAnsi="Verdana" w:cs="Arial"/>
          <w:color w:val="000000" w:themeColor="text1"/>
          <w:lang w:val="es-ES"/>
        </w:rPr>
        <w:t>contrato</w:t>
      </w:r>
      <w:r w:rsidRPr="1F539949">
        <w:rPr>
          <w:rFonts w:ascii="Verdana" w:hAnsi="Verdana" w:cs="Arial"/>
          <w:color w:val="000000" w:themeColor="text1"/>
          <w:lang w:val="es-ES"/>
        </w:rPr>
        <w:t xml:space="preserve"> de interventoría antes de la finalización del</w:t>
      </w:r>
      <w:r>
        <w:rPr>
          <w:rFonts w:ascii="Verdana" w:hAnsi="Verdana" w:cs="Arial"/>
          <w:color w:val="000000" w:themeColor="text1"/>
          <w:lang w:val="es-ES"/>
        </w:rPr>
        <w:t xml:space="preserve"> plazo de ejecución </w:t>
      </w:r>
      <w:r w:rsidRPr="1F539949">
        <w:rPr>
          <w:rFonts w:ascii="Verdana" w:hAnsi="Verdana" w:cs="Arial"/>
          <w:color w:val="000000" w:themeColor="text1"/>
          <w:lang w:val="es-ES"/>
        </w:rPr>
        <w:t xml:space="preserve"> </w:t>
      </w:r>
      <w:r>
        <w:rPr>
          <w:rFonts w:ascii="Verdana" w:hAnsi="Verdana" w:cs="Arial"/>
          <w:color w:val="000000" w:themeColor="text1"/>
          <w:lang w:val="es-ES"/>
        </w:rPr>
        <w:t xml:space="preserve">del </w:t>
      </w:r>
      <w:r w:rsidRPr="1F539949">
        <w:rPr>
          <w:rFonts w:ascii="Verdana" w:hAnsi="Verdana" w:cs="Arial"/>
          <w:color w:val="000000" w:themeColor="text1"/>
          <w:lang w:val="es-ES"/>
        </w:rPr>
        <w:t>contrato de obra, dado que ello contravendría la obligación legal de mantener la vigilancia y el control técnico, administrativo y financiero durante toda la ejecución contractual. En caso de</w:t>
      </w:r>
      <w:r>
        <w:rPr>
          <w:rFonts w:ascii="Verdana" w:hAnsi="Verdana" w:cs="Arial"/>
          <w:color w:val="000000" w:themeColor="text1"/>
          <w:lang w:val="es-ES"/>
        </w:rPr>
        <w:t xml:space="preserve"> que se presente su liquidación</w:t>
      </w:r>
      <w:r w:rsidRPr="1F539949">
        <w:rPr>
          <w:rFonts w:ascii="Verdana" w:hAnsi="Verdana" w:cs="Arial"/>
          <w:color w:val="000000" w:themeColor="text1"/>
          <w:lang w:val="es-ES"/>
        </w:rPr>
        <w:t>, la entidad deberá definir, conforme a su competencia y al caso concreto, los mecanismos que aseguren la continuidad del deber de vigilancia, garantizando el cumplimiento de los fines de la contratación pública y la protección de los recursos del Estado.</w:t>
      </w:r>
    </w:p>
    <w:p w14:paraId="5967C3B6" w14:textId="77777777" w:rsidR="00C50A90" w:rsidRPr="00073A28" w:rsidRDefault="00C50A90" w:rsidP="00C50A90">
      <w:pPr>
        <w:pStyle w:val="Prrafodelista"/>
        <w:spacing w:line="276" w:lineRule="auto"/>
        <w:jc w:val="both"/>
        <w:rPr>
          <w:rFonts w:ascii="Verdana" w:hAnsi="Verdana" w:cs="Arial"/>
          <w:b/>
        </w:rPr>
      </w:pPr>
    </w:p>
    <w:p w14:paraId="7CCC14ED" w14:textId="77777777" w:rsidR="00C50A90" w:rsidRDefault="00C50A90" w:rsidP="05FE03F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A28">
        <w:rPr>
          <w:rFonts w:ascii="Verdana" w:eastAsia="Century Gothic" w:hAnsi="Verdana" w:cs="Century Gothic"/>
          <w:b/>
          <w:bCs/>
        </w:rPr>
        <w:t>Referencias normativas, jurisprudenciales y otras fuentes:</w:t>
      </w:r>
    </w:p>
    <w:p w14:paraId="3C4BB2F2" w14:textId="77777777" w:rsidR="00C50A90" w:rsidRPr="00116DEE" w:rsidRDefault="00C50A90" w:rsidP="05FE03FA">
      <w:pPr>
        <w:pStyle w:val="Prrafodelista"/>
        <w:tabs>
          <w:tab w:val="left" w:pos="142"/>
          <w:tab w:val="left" w:pos="284"/>
        </w:tabs>
        <w:spacing w:after="0" w:line="276" w:lineRule="auto"/>
        <w:ind w:left="0"/>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50A90" w:rsidRPr="00073A28" w14:paraId="102D5C1A" w14:textId="77777777" w:rsidTr="05FE03FA">
        <w:trPr>
          <w:trHeight w:val="300"/>
        </w:trPr>
        <w:tc>
          <w:tcPr>
            <w:tcW w:w="8647" w:type="dxa"/>
          </w:tcPr>
          <w:p w14:paraId="3F1CC8A7" w14:textId="77777777" w:rsidR="00C50A90" w:rsidRPr="004B0DF3" w:rsidRDefault="00C50A90" w:rsidP="00ED5A4A">
            <w:pPr>
              <w:pStyle w:val="Prrafodelista"/>
              <w:numPr>
                <w:ilvl w:val="0"/>
                <w:numId w:val="17"/>
              </w:numPr>
              <w:spacing w:line="278" w:lineRule="auto"/>
              <w:jc w:val="both"/>
              <w:rPr>
                <w:rFonts w:ascii="Verdana" w:hAnsi="Verdana"/>
              </w:rPr>
            </w:pPr>
            <w:r w:rsidRPr="004B0DF3">
              <w:rPr>
                <w:rFonts w:ascii="Verdana" w:eastAsia="Arial" w:hAnsi="Verdana" w:cs="Arial"/>
              </w:rPr>
              <w:t>Ley 80 de 1993, artículos 32, 53 y 60</w:t>
            </w:r>
          </w:p>
          <w:p w14:paraId="4E4A873C" w14:textId="77777777" w:rsidR="00C50A90" w:rsidRPr="004B0DF3" w:rsidRDefault="00C50A90" w:rsidP="00ED5A4A">
            <w:pPr>
              <w:pStyle w:val="Prrafodelista"/>
              <w:numPr>
                <w:ilvl w:val="0"/>
                <w:numId w:val="17"/>
              </w:numPr>
              <w:spacing w:line="278" w:lineRule="auto"/>
              <w:jc w:val="both"/>
              <w:rPr>
                <w:rFonts w:ascii="Verdana" w:hAnsi="Verdana"/>
              </w:rPr>
            </w:pPr>
            <w:r w:rsidRPr="004B0DF3">
              <w:rPr>
                <w:rFonts w:ascii="Verdana" w:eastAsia="Arial" w:hAnsi="Verdana" w:cs="Arial"/>
              </w:rPr>
              <w:lastRenderedPageBreak/>
              <w:t>Ley 1150 de 2007, artículo 2 y artículo 11 (liquidación contractual)</w:t>
            </w:r>
          </w:p>
          <w:p w14:paraId="1C32D719" w14:textId="77777777" w:rsidR="00C50A90" w:rsidRPr="004B0DF3" w:rsidRDefault="00C50A90" w:rsidP="00ED5A4A">
            <w:pPr>
              <w:pStyle w:val="Prrafodelista"/>
              <w:numPr>
                <w:ilvl w:val="0"/>
                <w:numId w:val="17"/>
              </w:numPr>
              <w:spacing w:line="278" w:lineRule="auto"/>
              <w:jc w:val="both"/>
              <w:rPr>
                <w:rFonts w:ascii="Verdana" w:eastAsia="Arial" w:hAnsi="Verdana" w:cs="Arial"/>
                <w:lang w:val="es-CO"/>
              </w:rPr>
            </w:pPr>
            <w:r w:rsidRPr="004B0DF3">
              <w:rPr>
                <w:rFonts w:ascii="Verdana" w:eastAsia="Arial" w:hAnsi="Verdana" w:cs="Arial"/>
              </w:rPr>
              <w:t>Ley 1474 de 2011, artículos 83 y 84</w:t>
            </w:r>
            <w:r w:rsidRPr="004B0DF3">
              <w:rPr>
                <w:rFonts w:ascii="Verdana" w:eastAsia="Arial" w:hAnsi="Verdana" w:cs="Arial"/>
                <w:lang w:val="es-CO"/>
              </w:rPr>
              <w:t>.</w:t>
            </w:r>
          </w:p>
          <w:p w14:paraId="6572ACCD" w14:textId="77777777" w:rsidR="00C50A90" w:rsidRPr="004B0DF3" w:rsidRDefault="00C50A90" w:rsidP="00ED5A4A">
            <w:pPr>
              <w:pStyle w:val="Prrafodelista"/>
              <w:numPr>
                <w:ilvl w:val="0"/>
                <w:numId w:val="17"/>
              </w:numPr>
              <w:spacing w:line="278" w:lineRule="auto"/>
              <w:jc w:val="both"/>
              <w:rPr>
                <w:rFonts w:ascii="Verdana" w:eastAsia="Arial" w:hAnsi="Verdana" w:cs="Arial"/>
                <w:lang w:val="es-CO"/>
              </w:rPr>
            </w:pPr>
            <w:r w:rsidRPr="004B0DF3">
              <w:rPr>
                <w:rFonts w:ascii="Verdana" w:eastAsia="Arial" w:hAnsi="Verdana" w:cs="Arial"/>
                <w:lang w:val="es-CO"/>
              </w:rPr>
              <w:t>Decreto 019 de 2012, artículo 217.</w:t>
            </w:r>
          </w:p>
          <w:p w14:paraId="7B5C22B0" w14:textId="77777777" w:rsidR="00C50A90" w:rsidRPr="004B0DF3" w:rsidRDefault="00C50A90" w:rsidP="00ED5A4A">
            <w:pPr>
              <w:pStyle w:val="Prrafodelista"/>
              <w:numPr>
                <w:ilvl w:val="0"/>
                <w:numId w:val="17"/>
              </w:numPr>
              <w:spacing w:line="278" w:lineRule="auto"/>
              <w:jc w:val="both"/>
              <w:rPr>
                <w:rFonts w:ascii="Verdana" w:eastAsia="Arial" w:hAnsi="Verdana" w:cs="Arial"/>
              </w:rPr>
            </w:pPr>
            <w:r w:rsidRPr="004B0DF3">
              <w:rPr>
                <w:rFonts w:ascii="Verdana" w:eastAsia="Arial" w:hAnsi="Verdana" w:cs="Arial"/>
              </w:rPr>
              <w:t>Consejo de Estado, Sección Tercera, sentencia del 20 de octubre de 2014, sobre la naturaleza y finalidad de la liquidación contractual</w:t>
            </w:r>
            <w:r>
              <w:rPr>
                <w:rFonts w:ascii="Verdana" w:eastAsia="Arial" w:hAnsi="Verdana" w:cs="Arial"/>
              </w:rPr>
              <w:t>.</w:t>
            </w:r>
          </w:p>
          <w:p w14:paraId="18ABC18F" w14:textId="77777777" w:rsidR="00C50A90" w:rsidRPr="004B0DF3" w:rsidRDefault="00C50A90" w:rsidP="00ED5A4A">
            <w:pPr>
              <w:pStyle w:val="Prrafodelista"/>
              <w:numPr>
                <w:ilvl w:val="0"/>
                <w:numId w:val="17"/>
              </w:numPr>
              <w:spacing w:line="278" w:lineRule="auto"/>
              <w:jc w:val="both"/>
              <w:rPr>
                <w:rFonts w:ascii="Verdana" w:eastAsia="Arial" w:hAnsi="Verdana" w:cs="Arial"/>
              </w:rPr>
            </w:pPr>
            <w:r w:rsidRPr="004B0DF3">
              <w:rPr>
                <w:rFonts w:ascii="Verdana" w:eastAsia="Arial" w:hAnsi="Verdana" w:cs="Arial"/>
              </w:rPr>
              <w:t>Agencia Nacional de Contratación Pública – Colombia Compra Eficiente, Guía para el ejercicio de las funciones de supervisión e interventoría de los contratos suscritos por las Entidades Estatales.</w:t>
            </w:r>
          </w:p>
        </w:tc>
      </w:tr>
    </w:tbl>
    <w:p w14:paraId="3732FA0F" w14:textId="77777777" w:rsidR="00C50A90" w:rsidRDefault="00C50A90" w:rsidP="00C50A90">
      <w:pPr>
        <w:widowControl w:val="0"/>
        <w:autoSpaceDE w:val="0"/>
        <w:autoSpaceDN w:val="0"/>
        <w:spacing w:after="0" w:line="276" w:lineRule="auto"/>
        <w:jc w:val="both"/>
        <w:rPr>
          <w:rFonts w:ascii="Verdana" w:hAnsi="Verdana" w:cs="Arial"/>
        </w:rPr>
      </w:pPr>
    </w:p>
    <w:p w14:paraId="39AFD629" w14:textId="77777777" w:rsidR="00C50A90" w:rsidRPr="00073A28" w:rsidRDefault="00C50A90" w:rsidP="00C50A90">
      <w:pPr>
        <w:widowControl w:val="0"/>
        <w:autoSpaceDE w:val="0"/>
        <w:autoSpaceDN w:val="0"/>
        <w:spacing w:after="0" w:line="276" w:lineRule="auto"/>
        <w:jc w:val="both"/>
        <w:rPr>
          <w:rFonts w:ascii="Verdana" w:hAnsi="Verdana" w:cs="Arial"/>
        </w:rPr>
      </w:pPr>
    </w:p>
    <w:p w14:paraId="29B7AC07" w14:textId="77777777" w:rsidR="00C50A90" w:rsidRDefault="00C50A90" w:rsidP="05FE03F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A28">
        <w:rPr>
          <w:rFonts w:ascii="Verdana" w:eastAsia="Century Gothic" w:hAnsi="Verdana" w:cs="Century Gothic"/>
          <w:b/>
          <w:bCs/>
        </w:rPr>
        <w:t>Doctrina de la Agencia Nacional de Contratación Pública:</w:t>
      </w:r>
    </w:p>
    <w:p w14:paraId="064F46D0" w14:textId="77777777" w:rsidR="00C50A90" w:rsidRPr="00116DEE" w:rsidRDefault="00C50A90" w:rsidP="05FE03FA">
      <w:pPr>
        <w:pStyle w:val="Prrafodelista"/>
        <w:tabs>
          <w:tab w:val="left" w:pos="142"/>
          <w:tab w:val="left" w:pos="284"/>
        </w:tabs>
        <w:spacing w:after="0" w:line="276" w:lineRule="auto"/>
        <w:ind w:left="0"/>
        <w:jc w:val="both"/>
        <w:rPr>
          <w:rFonts w:ascii="Verdana" w:eastAsia="Century Gothic" w:hAnsi="Verdana" w:cs="Century Gothic"/>
          <w:b/>
          <w:bCs/>
        </w:rPr>
      </w:pPr>
    </w:p>
    <w:p w14:paraId="2A5C4ADE" w14:textId="77777777" w:rsidR="00C50A90" w:rsidRDefault="00C50A90" w:rsidP="00C50A90">
      <w:pPr>
        <w:widowControl w:val="0"/>
        <w:autoSpaceDE w:val="0"/>
        <w:autoSpaceDN w:val="0"/>
        <w:spacing w:after="0" w:line="276" w:lineRule="auto"/>
        <w:jc w:val="both"/>
        <w:rPr>
          <w:rFonts w:ascii="Verdana" w:eastAsia="Calibri" w:hAnsi="Verdana" w:cs="Arial"/>
          <w:shd w:val="clear" w:color="auto" w:fill="FFFFFF"/>
        </w:rPr>
      </w:pPr>
      <w:r w:rsidRPr="00283CFD">
        <w:rPr>
          <w:rFonts w:ascii="Verdana" w:hAnsi="Verdana" w:cs="Arial"/>
          <w:color w:val="000000" w:themeColor="text1"/>
          <w:shd w:val="clear" w:color="auto" w:fill="FFFFFF"/>
          <w:lang w:val="es-ES"/>
        </w:rPr>
        <w:t xml:space="preserve">Sobre la obligación de controlar y vigilar la ejecución de los contratos estatales, esta Subdirección se ha referido en los Conceptos </w:t>
      </w:r>
      <w:r w:rsidRPr="05FE03FA">
        <w:rPr>
          <w:rFonts w:ascii="Verdana" w:hAnsi="Verdana" w:cs="Arial"/>
          <w:color w:val="000000" w:themeColor="text1"/>
          <w:shd w:val="clear" w:color="auto" w:fill="FFFFFF"/>
          <w:lang w:val="es-ES"/>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283CFD">
        <w:rPr>
          <w:rFonts w:ascii="Verdana" w:hAnsi="Verdana" w:cs="Arial"/>
          <w:color w:val="000000" w:themeColor="text1"/>
          <w:shd w:val="clear" w:color="auto" w:fill="FFFFFF"/>
          <w:lang w:val="es-ES"/>
        </w:rPr>
        <w:t xml:space="preserve">,C-600 del 7 de octubre de 2024, C-882 del 14 de agosto de 2025, </w:t>
      </w:r>
      <w:r>
        <w:rPr>
          <w:rFonts w:ascii="Verdana" w:hAnsi="Verdana" w:cs="Arial"/>
          <w:color w:val="000000" w:themeColor="text1"/>
          <w:shd w:val="clear" w:color="auto" w:fill="FFFFFF"/>
          <w:lang w:val="es-ES"/>
        </w:rPr>
        <w:t xml:space="preserve">C-1007 del  29 de agosto 2025, </w:t>
      </w:r>
      <w:r w:rsidRPr="00283CFD">
        <w:rPr>
          <w:rFonts w:ascii="Verdana" w:hAnsi="Verdana" w:cs="Arial"/>
          <w:color w:val="000000" w:themeColor="text1"/>
          <w:shd w:val="clear" w:color="auto" w:fill="FFFFFF"/>
          <w:lang w:val="es-ES"/>
        </w:rPr>
        <w:t>entre otros</w:t>
      </w:r>
      <w:r>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p>
    <w:p w14:paraId="31B0EE0E" w14:textId="77777777" w:rsidR="00C50A90" w:rsidRDefault="00C50A90" w:rsidP="00C50A90">
      <w:pPr>
        <w:widowControl w:val="0"/>
        <w:autoSpaceDE w:val="0"/>
        <w:autoSpaceDN w:val="0"/>
        <w:spacing w:after="0" w:line="276" w:lineRule="auto"/>
        <w:jc w:val="both"/>
        <w:rPr>
          <w:rFonts w:ascii="Verdana" w:eastAsia="Calibri" w:hAnsi="Verdana" w:cs="Arial"/>
          <w:shd w:val="clear" w:color="auto" w:fill="FFFFFF"/>
        </w:rPr>
      </w:pPr>
    </w:p>
    <w:p w14:paraId="6BA96CE5" w14:textId="77777777" w:rsidR="00C50A90" w:rsidRPr="00AE7E03" w:rsidRDefault="00C50A90" w:rsidP="00C50A90">
      <w:pPr>
        <w:widowControl w:val="0"/>
        <w:autoSpaceDE w:val="0"/>
        <w:autoSpaceDN w:val="0"/>
        <w:spacing w:after="0" w:line="276" w:lineRule="auto"/>
        <w:jc w:val="both"/>
        <w:rPr>
          <w:rFonts w:ascii="Verdana" w:eastAsia="Arial" w:hAnsi="Verdana" w:cs="Arial"/>
          <w:lang w:val="es-MX" w:eastAsia="es-ES"/>
        </w:rPr>
      </w:pP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DC376EA" w14:textId="77777777" w:rsidR="00C50A90" w:rsidRPr="0065720B" w:rsidRDefault="00C50A90" w:rsidP="00C50A90">
      <w:pPr>
        <w:widowControl w:val="0"/>
        <w:autoSpaceDE w:val="0"/>
        <w:autoSpaceDN w:val="0"/>
        <w:spacing w:after="0" w:line="276" w:lineRule="auto"/>
        <w:jc w:val="both"/>
        <w:rPr>
          <w:rStyle w:val="normaltextrun"/>
          <w:rFonts w:ascii="Verdana" w:eastAsia="Calibri" w:hAnsi="Verdana" w:cs="Arial"/>
          <w:lang w:val="es-ES" w:eastAsia="en-GB"/>
        </w:rPr>
      </w:pPr>
      <w:hyperlink r:id="rId11">
        <w:r w:rsidRPr="05FE03FA">
          <w:rPr>
            <w:rStyle w:val="Hipervnculo"/>
            <w:rFonts w:ascii="Verdana" w:eastAsia="Calibri" w:hAnsi="Verdana" w:cs="Times New Roman"/>
            <w:lang w:val="es-ES"/>
          </w:rPr>
          <w:t>https://relatoria.colombiacompra.gov.co/busqueda/conceptos</w:t>
        </w:r>
      </w:hyperlink>
      <w:r w:rsidRPr="05FE03FA">
        <w:rPr>
          <w:rFonts w:ascii="Verdana" w:eastAsia="Calibri" w:hAnsi="Verdana" w:cs="Times New Roman"/>
        </w:rPr>
        <w:t>.</w:t>
      </w:r>
    </w:p>
    <w:p w14:paraId="2EB5D43D" w14:textId="77777777" w:rsidR="00C50A90" w:rsidRPr="00073A28" w:rsidRDefault="00C50A90" w:rsidP="00C50A90">
      <w:pPr>
        <w:widowControl w:val="0"/>
        <w:autoSpaceDE w:val="0"/>
        <w:autoSpaceDN w:val="0"/>
        <w:spacing w:after="0" w:line="276" w:lineRule="auto"/>
        <w:jc w:val="both"/>
        <w:rPr>
          <w:rFonts w:ascii="Verdana" w:eastAsia="Arial" w:hAnsi="Verdana" w:cs="Arial"/>
          <w:lang w:val="es-ES"/>
        </w:rPr>
      </w:pPr>
    </w:p>
    <w:p w14:paraId="109BEAD9" w14:textId="77777777" w:rsidR="00C50A90" w:rsidRPr="00073A28" w:rsidRDefault="00C50A90" w:rsidP="00C50A90">
      <w:pPr>
        <w:widowControl w:val="0"/>
        <w:autoSpaceDE w:val="0"/>
        <w:autoSpaceDN w:val="0"/>
        <w:spacing w:after="0" w:line="276" w:lineRule="auto"/>
        <w:jc w:val="both"/>
        <w:rPr>
          <w:rFonts w:ascii="Verdana" w:hAnsi="Verdana" w:cs="Arial"/>
        </w:rPr>
      </w:pPr>
      <w:r w:rsidRPr="00073A28">
        <w:rPr>
          <w:rFonts w:ascii="Verdana" w:eastAsia="Arial" w:hAnsi="Verdana" w:cs="Arial"/>
          <w:lang w:val="es-ES"/>
        </w:rPr>
        <w:t>Estos y otros conceptos se encuentran disponibles para consulta en el Sistema de Relatoría de la Agencia, en el c</w:t>
      </w:r>
      <w:proofErr w:type="spellStart"/>
      <w:r w:rsidRPr="00073A28">
        <w:rPr>
          <w:rFonts w:ascii="Verdana" w:hAnsi="Verdana" w:cs="Arial"/>
        </w:rPr>
        <w:t>ual</w:t>
      </w:r>
      <w:proofErr w:type="spellEnd"/>
      <w:r w:rsidRPr="00073A28">
        <w:rPr>
          <w:rFonts w:ascii="Verdana" w:hAnsi="Verdana" w:cs="Arial"/>
        </w:rPr>
        <w:t xml:space="preserve"> también podrás encontrar jurisprudencia </w:t>
      </w:r>
      <w:r w:rsidRPr="00073A28">
        <w:rPr>
          <w:rFonts w:ascii="Verdana" w:hAnsi="Verdana" w:cs="Arial"/>
        </w:rPr>
        <w:lastRenderedPageBreak/>
        <w:t>del Consejo de Estado, laudos arbitrales y la normativa de la contratación concordada con la doctrina de la Subdirección de Gestión Contractual. Accede a través del siguiente enlace: </w:t>
      </w:r>
      <w:hyperlink r:id="rId12">
        <w:r w:rsidRPr="05FE03FA">
          <w:rPr>
            <w:rFonts w:ascii="Verdana" w:hAnsi="Verdana" w:cs="Arial"/>
            <w:color w:val="0563C1"/>
            <w:u w:val="single"/>
          </w:rPr>
          <w:t>https://relatoria.colombiacompra.gov.co/</w:t>
        </w:r>
      </w:hyperlink>
      <w:r w:rsidRPr="05FE03FA">
        <w:rPr>
          <w:rFonts w:ascii="Verdana" w:hAnsi="Verdana" w:cs="Arial"/>
        </w:rPr>
        <w:t> . Te invitamos también a revisar la tercera edición del  Boletín de Relatoría de 2024 en el cual podrás consultar en detalle el marco normativo de documentos tipo: </w:t>
      </w:r>
      <w:hyperlink r:id="rId13">
        <w:r w:rsidRPr="05FE03FA">
          <w:rPr>
            <w:rFonts w:ascii="Verdana" w:hAnsi="Verdana" w:cs="Arial"/>
            <w:color w:val="0563C1"/>
            <w:u w:val="single"/>
          </w:rPr>
          <w:t>https://www.colombiacompra.gov.co/sites/cce_public/files/files_2020/boletin_de_realtoria_iii.pdf</w:t>
        </w:r>
      </w:hyperlink>
      <w:r w:rsidRPr="05FE03FA">
        <w:rPr>
          <w:rFonts w:ascii="Verdana" w:hAnsi="Verdana" w:cs="Arial"/>
        </w:rPr>
        <w:t>.</w:t>
      </w:r>
    </w:p>
    <w:p w14:paraId="488D53A2" w14:textId="77777777" w:rsidR="00C50A90" w:rsidRPr="00073A28" w:rsidRDefault="00C50A90" w:rsidP="00C50A90">
      <w:pPr>
        <w:widowControl w:val="0"/>
        <w:autoSpaceDE w:val="0"/>
        <w:autoSpaceDN w:val="0"/>
        <w:spacing w:after="0" w:line="276" w:lineRule="auto"/>
        <w:jc w:val="both"/>
        <w:rPr>
          <w:rFonts w:ascii="Verdana" w:hAnsi="Verdana" w:cs="Arial"/>
          <w:color w:val="000000" w:themeColor="text1"/>
          <w:shd w:val="clear" w:color="auto" w:fill="FFFFFF"/>
        </w:rPr>
      </w:pPr>
    </w:p>
    <w:p w14:paraId="70CE4EA8" w14:textId="77777777" w:rsidR="00C50A90" w:rsidRPr="00073A28" w:rsidRDefault="00C50A90" w:rsidP="00C50A90">
      <w:pPr>
        <w:widowControl w:val="0"/>
        <w:autoSpaceDE w:val="0"/>
        <w:autoSpaceDN w:val="0"/>
        <w:spacing w:after="0" w:line="276" w:lineRule="auto"/>
        <w:jc w:val="both"/>
        <w:rPr>
          <w:rFonts w:ascii="Verdana" w:hAnsi="Verdana"/>
        </w:rPr>
      </w:pPr>
      <w:r w:rsidRPr="00073A28">
        <w:rPr>
          <w:rFonts w:ascii="Verdana" w:hAnsi="Verdana" w:cs="Arial"/>
          <w:color w:val="000000" w:themeColor="text1"/>
          <w:shd w:val="clear" w:color="auto" w:fill="FFFFFF"/>
        </w:rPr>
        <w:t xml:space="preserve">También, te contamos que ya publicamos la nueva </w:t>
      </w:r>
      <w:r w:rsidRPr="00073A28">
        <w:rPr>
          <w:rFonts w:ascii="Verdana" w:hAnsi="Verdana" w:cs="Arial"/>
          <w:b/>
          <w:bCs/>
          <w:color w:val="000000" w:themeColor="text1"/>
          <w:shd w:val="clear" w:color="auto" w:fill="FFFFFF"/>
        </w:rPr>
        <w:t>Guía de Contratación Pública Sostenible y Socialmente Responsable</w:t>
      </w:r>
      <w:r w:rsidRPr="00073A28">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073A28">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073A28">
        <w:rPr>
          <w:rFonts w:ascii="Verdana" w:hAnsi="Verdana"/>
        </w:rPr>
        <w:t>.</w:t>
      </w:r>
    </w:p>
    <w:p w14:paraId="35AC76F2" w14:textId="77777777" w:rsidR="00C50A90" w:rsidRPr="00073A28" w:rsidRDefault="00C50A90" w:rsidP="00C50A90">
      <w:pPr>
        <w:widowControl w:val="0"/>
        <w:autoSpaceDE w:val="0"/>
        <w:autoSpaceDN w:val="0"/>
        <w:spacing w:after="0" w:line="276" w:lineRule="auto"/>
        <w:jc w:val="both"/>
        <w:rPr>
          <w:rFonts w:ascii="Verdana" w:hAnsi="Verdana"/>
        </w:rPr>
      </w:pPr>
    </w:p>
    <w:p w14:paraId="345BFBC1" w14:textId="77777777" w:rsidR="00C50A90" w:rsidRPr="00073A28" w:rsidRDefault="00C50A90" w:rsidP="00C50A90">
      <w:pPr>
        <w:widowControl w:val="0"/>
        <w:autoSpaceDE w:val="0"/>
        <w:autoSpaceDN w:val="0"/>
        <w:spacing w:after="0" w:line="276" w:lineRule="auto"/>
        <w:jc w:val="both"/>
        <w:rPr>
          <w:rFonts w:ascii="Verdana" w:hAnsi="Verdana" w:cs="Arial"/>
          <w:lang w:val="es-ES"/>
        </w:rPr>
      </w:pPr>
      <w:r w:rsidRPr="00073A28">
        <w:rPr>
          <w:rFonts w:ascii="Verdana" w:hAnsi="Verdana" w:cs="Arial"/>
        </w:rPr>
        <w:t xml:space="preserve">Este concepto tiene el alcance previsto en el artículo 28 del Código de Procedimiento Administrativo y de lo Contencioso Administrativo </w:t>
      </w:r>
      <w:r w:rsidRPr="05FE03FA">
        <w:rPr>
          <w:rFonts w:ascii="Verdana" w:hAnsi="Verdana" w:cs="Arial"/>
          <w:lang w:val="es-ES"/>
        </w:rPr>
        <w:t>y las expresiones aquí utilizadas con mayúscula inicial deben ser entendidas con el significado que les otorga el artículo 2.2.1.1.1.3.1. del Decreto 1082 de 2015.</w:t>
      </w:r>
    </w:p>
    <w:p w14:paraId="47D5ECC9" w14:textId="77777777" w:rsidR="00C50A90" w:rsidRPr="00073A28" w:rsidRDefault="00C50A90" w:rsidP="00C50A90">
      <w:pPr>
        <w:spacing w:after="0" w:line="276" w:lineRule="auto"/>
        <w:jc w:val="both"/>
        <w:rPr>
          <w:rFonts w:ascii="Verdana" w:eastAsia="Times New Roman" w:hAnsi="Verdana" w:cs="Arial"/>
          <w:lang w:eastAsia="es-CO"/>
        </w:rPr>
      </w:pPr>
    </w:p>
    <w:p w14:paraId="74E9B468" w14:textId="77777777" w:rsidR="00C50A90" w:rsidRPr="00073A28" w:rsidRDefault="00C50A90" w:rsidP="00C50A90">
      <w:pPr>
        <w:spacing w:after="0" w:line="276" w:lineRule="auto"/>
        <w:jc w:val="both"/>
        <w:rPr>
          <w:rFonts w:ascii="Verdana" w:hAnsi="Verdana"/>
          <w:noProof/>
        </w:rPr>
      </w:pPr>
      <w:r w:rsidRPr="00073A28">
        <w:rPr>
          <w:rFonts w:ascii="Verdana" w:eastAsia="Times New Roman" w:hAnsi="Verdana" w:cs="Arial"/>
          <w:lang w:eastAsia="es-CO"/>
        </w:rPr>
        <w:t>Atentamente,</w:t>
      </w:r>
      <w:r w:rsidRPr="00073A28">
        <w:rPr>
          <w:rFonts w:ascii="Verdana" w:hAnsi="Verdana" w:cs="Arial"/>
          <w:lang w:eastAsia="es-CO"/>
        </w:rPr>
        <w:t xml:space="preserve"> </w:t>
      </w:r>
    </w:p>
    <w:p w14:paraId="44BAEE5F" w14:textId="4F314D12" w:rsidR="00C50A90" w:rsidRPr="00073A28" w:rsidRDefault="00D34B80" w:rsidP="00C50A90">
      <w:pPr>
        <w:spacing w:line="276" w:lineRule="auto"/>
        <w:jc w:val="center"/>
        <w:rPr>
          <w:rFonts w:ascii="Verdana" w:hAnsi="Verdana"/>
        </w:rPr>
      </w:pPr>
      <w:r>
        <w:rPr>
          <w:rFonts w:ascii="Verdana" w:hAnsi="Verdana"/>
          <w:noProof/>
        </w:rPr>
        <w:drawing>
          <wp:inline distT="0" distB="0" distL="0" distR="0" wp14:anchorId="31667D96" wp14:editId="6B8FDE67">
            <wp:extent cx="3639058" cy="1343212"/>
            <wp:effectExtent l="0" t="0" r="0" b="0"/>
            <wp:docPr id="7747165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716583" name="Imagen 774716583"/>
                    <pic:cNvPicPr/>
                  </pic:nvPicPr>
                  <pic:blipFill>
                    <a:blip r:embed="rId15">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C50A90" w:rsidRPr="004B0DF3" w14:paraId="51AC633D" w14:textId="77777777" w:rsidTr="05FE03FA">
        <w:trPr>
          <w:trHeight w:val="300"/>
        </w:trPr>
        <w:tc>
          <w:tcPr>
            <w:tcW w:w="893" w:type="dxa"/>
            <w:vAlign w:val="center"/>
            <w:hideMark/>
          </w:tcPr>
          <w:p w14:paraId="52577E43" w14:textId="77777777" w:rsidR="00C50A90" w:rsidRPr="004B0DF3" w:rsidRDefault="00C50A90" w:rsidP="00ED5A4A">
            <w:pPr>
              <w:contextualSpacing/>
              <w:jc w:val="both"/>
              <w:rPr>
                <w:rFonts w:ascii="Verdana" w:hAnsi="Verdana" w:cs="Arial"/>
                <w:sz w:val="16"/>
                <w:szCs w:val="16"/>
                <w:lang w:eastAsia="es-ES"/>
              </w:rPr>
            </w:pPr>
            <w:bookmarkStart w:id="1" w:name="_Hlk210670112"/>
            <w:r w:rsidRPr="004B0DF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193C2AF" w14:textId="77777777" w:rsidR="00C50A90" w:rsidRPr="004B0DF3" w:rsidRDefault="00C50A90" w:rsidP="00ED5A4A">
            <w:pPr>
              <w:contextualSpacing/>
              <w:jc w:val="both"/>
              <w:rPr>
                <w:rFonts w:ascii="Verdana" w:hAnsi="Verdana"/>
                <w:sz w:val="16"/>
                <w:szCs w:val="16"/>
              </w:rPr>
            </w:pPr>
            <w:r w:rsidRPr="004B0DF3">
              <w:rPr>
                <w:rFonts w:ascii="Verdana" w:hAnsi="Verdana"/>
                <w:sz w:val="16"/>
                <w:szCs w:val="16"/>
              </w:rPr>
              <w:t>Gloria Elizabeth Arango Builes</w:t>
            </w:r>
          </w:p>
          <w:p w14:paraId="1CA06E19" w14:textId="77777777" w:rsidR="00C50A90" w:rsidRPr="004B0DF3" w:rsidRDefault="00C50A90" w:rsidP="00ED5A4A">
            <w:pPr>
              <w:contextualSpacing/>
              <w:jc w:val="both"/>
              <w:rPr>
                <w:rFonts w:ascii="Verdana" w:eastAsia="Arial" w:hAnsi="Verdana" w:cs="Arial"/>
                <w:sz w:val="16"/>
                <w:szCs w:val="16"/>
              </w:rPr>
            </w:pPr>
            <w:r w:rsidRPr="004B0DF3">
              <w:rPr>
                <w:rFonts w:ascii="Verdana" w:hAnsi="Verdana"/>
                <w:sz w:val="16"/>
                <w:szCs w:val="16"/>
              </w:rPr>
              <w:t>Contratista de la Subdirección de Gestión Contractual</w:t>
            </w:r>
          </w:p>
        </w:tc>
      </w:tr>
      <w:tr w:rsidR="00C50A90" w:rsidRPr="004B0DF3" w14:paraId="0850C565" w14:textId="77777777" w:rsidTr="05FE03FA">
        <w:trPr>
          <w:trHeight w:val="300"/>
        </w:trPr>
        <w:tc>
          <w:tcPr>
            <w:tcW w:w="893" w:type="dxa"/>
            <w:vAlign w:val="center"/>
            <w:hideMark/>
          </w:tcPr>
          <w:p w14:paraId="5D67FC4E" w14:textId="77777777" w:rsidR="00C50A90" w:rsidRPr="004B0DF3" w:rsidRDefault="00C50A90" w:rsidP="00ED5A4A">
            <w:pPr>
              <w:contextualSpacing/>
              <w:jc w:val="both"/>
              <w:rPr>
                <w:rFonts w:ascii="Verdana" w:hAnsi="Verdana" w:cs="Arial"/>
                <w:sz w:val="16"/>
                <w:szCs w:val="16"/>
                <w:lang w:eastAsia="es-ES"/>
              </w:rPr>
            </w:pPr>
            <w:r w:rsidRPr="004B0DF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9471619" w14:textId="77777777" w:rsidR="00C50A90" w:rsidRPr="004B0DF3" w:rsidRDefault="00C50A90" w:rsidP="00ED5A4A">
            <w:pPr>
              <w:spacing w:line="276" w:lineRule="auto"/>
              <w:contextualSpacing/>
              <w:jc w:val="both"/>
              <w:rPr>
                <w:rFonts w:ascii="Verdana" w:hAnsi="Verdana"/>
                <w:sz w:val="16"/>
                <w:szCs w:val="16"/>
              </w:rPr>
            </w:pPr>
            <w:r>
              <w:rPr>
                <w:rFonts w:ascii="Verdana" w:hAnsi="Verdana"/>
                <w:sz w:val="16"/>
                <w:szCs w:val="16"/>
              </w:rPr>
              <w:t>Juan Carlos González Vásquez</w:t>
            </w:r>
          </w:p>
          <w:p w14:paraId="3727AE26" w14:textId="77777777" w:rsidR="00C50A90" w:rsidRPr="004B0DF3" w:rsidRDefault="00C50A90" w:rsidP="00ED5A4A">
            <w:pPr>
              <w:spacing w:line="276" w:lineRule="auto"/>
              <w:contextualSpacing/>
              <w:jc w:val="both"/>
              <w:rPr>
                <w:rFonts w:ascii="Verdana" w:hAnsi="Verdana"/>
                <w:sz w:val="16"/>
                <w:szCs w:val="16"/>
              </w:rPr>
            </w:pPr>
            <w:r w:rsidRPr="004B0DF3">
              <w:rPr>
                <w:rStyle w:val="normaltextrun"/>
                <w:rFonts w:ascii="Verdana" w:eastAsia="Arial" w:hAnsi="Verdana"/>
                <w:sz w:val="16"/>
                <w:szCs w:val="16"/>
              </w:rPr>
              <w:t>Contratita de la</w:t>
            </w:r>
            <w:r w:rsidRPr="004B0DF3">
              <w:rPr>
                <w:rStyle w:val="normaltextrun"/>
                <w:rFonts w:ascii="Verdana" w:eastAsia="Arial" w:hAnsi="Verdana" w:cs="Arial"/>
                <w:sz w:val="16"/>
                <w:szCs w:val="16"/>
              </w:rPr>
              <w:t xml:space="preserve"> Subdirección de Gestión Contractual</w:t>
            </w:r>
          </w:p>
        </w:tc>
      </w:tr>
      <w:tr w:rsidR="00C50A90" w:rsidRPr="004B0DF3" w14:paraId="32B5D9DB" w14:textId="77777777" w:rsidTr="05FE03FA">
        <w:trPr>
          <w:trHeight w:val="300"/>
        </w:trPr>
        <w:tc>
          <w:tcPr>
            <w:tcW w:w="893" w:type="dxa"/>
            <w:vAlign w:val="center"/>
          </w:tcPr>
          <w:p w14:paraId="1DB16226" w14:textId="77777777" w:rsidR="00C50A90" w:rsidRPr="004B0DF3" w:rsidRDefault="00C50A90" w:rsidP="00ED5A4A">
            <w:pPr>
              <w:contextualSpacing/>
              <w:jc w:val="both"/>
              <w:rPr>
                <w:rFonts w:ascii="Verdana" w:hAnsi="Verdana" w:cs="Arial"/>
                <w:sz w:val="16"/>
                <w:szCs w:val="16"/>
                <w:lang w:eastAsia="es-ES"/>
              </w:rPr>
            </w:pPr>
            <w:r w:rsidRPr="004B0DF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90F16F5" w14:textId="77777777" w:rsidR="00C50A90" w:rsidRPr="004B0DF3" w:rsidRDefault="00C50A90" w:rsidP="00ED5A4A">
            <w:pPr>
              <w:contextualSpacing/>
              <w:jc w:val="both"/>
              <w:rPr>
                <w:rFonts w:ascii="Verdana" w:eastAsia="Calibri" w:hAnsi="Verdana" w:cs="Arial"/>
                <w:sz w:val="16"/>
                <w:szCs w:val="16"/>
                <w:lang w:eastAsia="es-ES"/>
              </w:rPr>
            </w:pPr>
            <w:r w:rsidRPr="004B0DF3">
              <w:rPr>
                <w:rFonts w:ascii="Verdana" w:eastAsia="Calibri" w:hAnsi="Verdana" w:cs="Arial"/>
                <w:sz w:val="16"/>
                <w:szCs w:val="16"/>
                <w:lang w:eastAsia="es-ES"/>
              </w:rPr>
              <w:t xml:space="preserve">Carolina Quintero </w:t>
            </w:r>
            <w:proofErr w:type="spellStart"/>
            <w:r w:rsidRPr="004B0DF3">
              <w:rPr>
                <w:rFonts w:ascii="Verdana" w:eastAsia="Calibri" w:hAnsi="Verdana" w:cs="Arial"/>
                <w:sz w:val="16"/>
                <w:szCs w:val="16"/>
                <w:lang w:eastAsia="es-ES"/>
              </w:rPr>
              <w:t>Gacharná</w:t>
            </w:r>
            <w:proofErr w:type="spellEnd"/>
          </w:p>
          <w:p w14:paraId="12F095F7" w14:textId="77777777" w:rsidR="00C50A90" w:rsidRPr="004B0DF3" w:rsidRDefault="00C50A90" w:rsidP="00ED5A4A">
            <w:pPr>
              <w:spacing w:line="276" w:lineRule="auto"/>
              <w:contextualSpacing/>
              <w:jc w:val="both"/>
              <w:rPr>
                <w:rFonts w:ascii="Verdana" w:hAnsi="Verdana"/>
                <w:sz w:val="16"/>
                <w:szCs w:val="16"/>
              </w:rPr>
            </w:pPr>
            <w:r w:rsidRPr="004B0DF3">
              <w:rPr>
                <w:rFonts w:ascii="Verdana" w:eastAsia="Calibri" w:hAnsi="Verdana" w:cs="Arial"/>
                <w:sz w:val="16"/>
                <w:szCs w:val="16"/>
                <w:lang w:eastAsia="es-ES"/>
              </w:rPr>
              <w:t xml:space="preserve">Subdirectora de Gestión </w:t>
            </w:r>
            <w:proofErr w:type="spellStart"/>
            <w:r w:rsidRPr="004B0DF3">
              <w:rPr>
                <w:rFonts w:ascii="Verdana" w:eastAsia="Calibri" w:hAnsi="Verdana" w:cs="Arial"/>
                <w:sz w:val="16"/>
                <w:szCs w:val="16"/>
                <w:lang w:eastAsia="es-ES"/>
              </w:rPr>
              <w:t>Contratual</w:t>
            </w:r>
            <w:proofErr w:type="spellEnd"/>
            <w:r w:rsidRPr="004B0DF3">
              <w:rPr>
                <w:rFonts w:ascii="Verdana" w:eastAsia="Calibri" w:hAnsi="Verdana" w:cs="Arial"/>
                <w:sz w:val="16"/>
                <w:szCs w:val="16"/>
                <w:lang w:eastAsia="es-ES"/>
              </w:rPr>
              <w:t xml:space="preserve"> - ANCP – CCE</w:t>
            </w:r>
          </w:p>
        </w:tc>
      </w:tr>
      <w:bookmarkEnd w:id="1"/>
    </w:tbl>
    <w:p w14:paraId="05737816" w14:textId="77777777" w:rsidR="00C50A90" w:rsidRPr="00073A28" w:rsidRDefault="00C50A90" w:rsidP="00C50A90">
      <w:pPr>
        <w:jc w:val="both"/>
        <w:rPr>
          <w:rFonts w:ascii="Verdana" w:hAnsi="Verdana"/>
        </w:rPr>
      </w:pPr>
    </w:p>
    <w:p w14:paraId="39D28915" w14:textId="77777777" w:rsidR="00C50A90" w:rsidRPr="00073A28" w:rsidRDefault="00C50A90" w:rsidP="00C50A90">
      <w:pPr>
        <w:jc w:val="both"/>
        <w:rPr>
          <w:rFonts w:ascii="Verdana" w:hAnsi="Verdana"/>
        </w:rPr>
      </w:pPr>
    </w:p>
    <w:p w14:paraId="0F293BF4" w14:textId="0D178DE1" w:rsidR="00127233" w:rsidRPr="000D4511" w:rsidRDefault="00127233" w:rsidP="000D4511"/>
    <w:sectPr w:rsidR="00127233" w:rsidRPr="000D4511"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58818" w14:textId="77777777" w:rsidR="004D67FB" w:rsidRDefault="004D67FB" w:rsidP="004A1847">
      <w:pPr>
        <w:spacing w:after="0" w:line="240" w:lineRule="auto"/>
      </w:pPr>
      <w:r>
        <w:separator/>
      </w:r>
    </w:p>
  </w:endnote>
  <w:endnote w:type="continuationSeparator" w:id="0">
    <w:p w14:paraId="1D19C490" w14:textId="77777777" w:rsidR="004D67FB" w:rsidRDefault="004D67FB" w:rsidP="004A1847">
      <w:pPr>
        <w:spacing w:after="0" w:line="240" w:lineRule="auto"/>
      </w:pPr>
      <w:r>
        <w:continuationSeparator/>
      </w:r>
    </w:p>
  </w:endnote>
  <w:endnote w:type="continuationNotice" w:id="1">
    <w:p w14:paraId="28E3DCE0" w14:textId="77777777" w:rsidR="004D67FB" w:rsidRDefault="004D67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altName w:val="游明朝"/>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0ECD6" w14:textId="77777777" w:rsidR="004D67FB" w:rsidRDefault="004D67FB" w:rsidP="004A1847">
      <w:pPr>
        <w:spacing w:after="0" w:line="240" w:lineRule="auto"/>
      </w:pPr>
      <w:r>
        <w:separator/>
      </w:r>
    </w:p>
  </w:footnote>
  <w:footnote w:type="continuationSeparator" w:id="0">
    <w:p w14:paraId="0584CBB0" w14:textId="77777777" w:rsidR="004D67FB" w:rsidRDefault="004D67FB" w:rsidP="004A1847">
      <w:pPr>
        <w:spacing w:after="0" w:line="240" w:lineRule="auto"/>
      </w:pPr>
      <w:r>
        <w:continuationSeparator/>
      </w:r>
    </w:p>
  </w:footnote>
  <w:footnote w:type="continuationNotice" w:id="1">
    <w:p w14:paraId="1A2BD3B5" w14:textId="77777777" w:rsidR="004D67FB" w:rsidRDefault="004D67FB">
      <w:pPr>
        <w:spacing w:after="0" w:line="240" w:lineRule="auto"/>
      </w:pPr>
    </w:p>
  </w:footnote>
  <w:footnote w:id="2">
    <w:p w14:paraId="3405F3CE" w14:textId="77777777" w:rsidR="00C50A90" w:rsidRPr="00073A28" w:rsidRDefault="00C50A90" w:rsidP="00C50A90">
      <w:pPr>
        <w:pStyle w:val="Textonotapie"/>
        <w:spacing w:before="120" w:after="120"/>
        <w:ind w:firstLine="708"/>
        <w:rPr>
          <w:rFonts w:ascii="Verdana" w:hAnsi="Verdana" w:cs="Arial"/>
          <w:color w:val="161616"/>
          <w:sz w:val="16"/>
          <w:szCs w:val="16"/>
        </w:rPr>
      </w:pPr>
      <w:r w:rsidRPr="00073A28">
        <w:rPr>
          <w:rStyle w:val="Refdenotaalpie"/>
          <w:rFonts w:ascii="Verdana" w:hAnsi="Verdana" w:cs="Arial"/>
          <w:color w:val="161616"/>
          <w:sz w:val="16"/>
          <w:szCs w:val="16"/>
        </w:rPr>
        <w:footnoteRef/>
      </w:r>
      <w:r w:rsidRPr="00073A28">
        <w:rPr>
          <w:rFonts w:ascii="Verdana" w:hAnsi="Verdana" w:cs="Arial"/>
          <w:color w:val="161616"/>
          <w:sz w:val="16"/>
          <w:szCs w:val="16"/>
        </w:rPr>
        <w:t xml:space="preserve"> “Son también contratos de consultoría los que tienen por objeto la interventoría […]”.</w:t>
      </w:r>
    </w:p>
    <w:p w14:paraId="6366E7B2" w14:textId="77777777" w:rsidR="00C50A90" w:rsidRPr="00361FEA" w:rsidRDefault="00C50A90" w:rsidP="00C50A90">
      <w:pPr>
        <w:pStyle w:val="Textonotapie"/>
        <w:spacing w:before="120" w:after="120"/>
        <w:ind w:firstLine="708"/>
        <w:rPr>
          <w:rFonts w:ascii="Arial" w:hAnsi="Arial" w:cs="Arial"/>
          <w:color w:val="161616"/>
          <w:sz w:val="18"/>
          <w:szCs w:val="18"/>
          <w:lang w:val="es-CO"/>
        </w:rPr>
      </w:pPr>
    </w:p>
  </w:footnote>
  <w:footnote w:id="3">
    <w:p w14:paraId="7DD38AE6" w14:textId="77777777" w:rsidR="00C50A90" w:rsidRPr="00D60EBF" w:rsidRDefault="00C50A90" w:rsidP="00C50A90">
      <w:pPr>
        <w:pStyle w:val="Textonotapie"/>
        <w:spacing w:before="120" w:after="120"/>
        <w:ind w:firstLine="708"/>
        <w:jc w:val="both"/>
        <w:rPr>
          <w:rFonts w:ascii="Arial" w:hAnsi="Arial" w:cs="Arial"/>
          <w:color w:val="161616"/>
          <w:sz w:val="18"/>
          <w:szCs w:val="18"/>
        </w:rPr>
      </w:pPr>
      <w:r w:rsidRPr="00361FEA">
        <w:rPr>
          <w:rStyle w:val="Refdenotaalpie"/>
          <w:rFonts w:ascii="Arial" w:hAnsi="Arial" w:cs="Arial"/>
          <w:sz w:val="18"/>
          <w:szCs w:val="18"/>
        </w:rPr>
        <w:footnoteRef/>
      </w:r>
      <w:r w:rsidRPr="00361FEA">
        <w:rPr>
          <w:rFonts w:ascii="Arial" w:hAnsi="Arial" w:cs="Arial"/>
          <w:sz w:val="18"/>
          <w:szCs w:val="18"/>
        </w:rPr>
        <w:t xml:space="preserve"> </w:t>
      </w:r>
      <w:r w:rsidRPr="00361FEA">
        <w:rPr>
          <w:rFonts w:ascii="Arial" w:hAnsi="Arial" w:cs="Arial"/>
          <w:color w:val="161616"/>
          <w:sz w:val="18"/>
          <w:szCs w:val="18"/>
        </w:rPr>
        <w:t>Consejo de Estado. Sección Tercera. Sentencia del 28 de febrero de 2013. Exp. 24.266 M.P. Danilo Rojas Betancourth.</w:t>
      </w:r>
    </w:p>
  </w:footnote>
  <w:footnote w:id="4">
    <w:p w14:paraId="735F4FBA" w14:textId="77777777" w:rsidR="00C50A90" w:rsidRPr="00C40679" w:rsidRDefault="00C50A90" w:rsidP="00C50A90">
      <w:pPr>
        <w:pStyle w:val="Textonotapie"/>
        <w:spacing w:before="120" w:after="120"/>
        <w:ind w:firstLine="708"/>
        <w:jc w:val="both"/>
        <w:rPr>
          <w:rFonts w:ascii="Verdana" w:hAnsi="Verdana" w:cs="Arial"/>
          <w:color w:val="000000" w:themeColor="text1"/>
          <w:sz w:val="16"/>
          <w:szCs w:val="16"/>
        </w:rPr>
      </w:pPr>
      <w:r w:rsidRPr="00361FEA">
        <w:rPr>
          <w:rStyle w:val="Refdenotaalpie"/>
          <w:rFonts w:ascii="Arial" w:hAnsi="Arial" w:cs="Arial"/>
          <w:color w:val="000000" w:themeColor="text1"/>
          <w:sz w:val="18"/>
          <w:szCs w:val="18"/>
        </w:rPr>
        <w:footnoteRef/>
      </w:r>
      <w:r w:rsidRPr="00361FEA">
        <w:rPr>
          <w:rFonts w:ascii="Arial" w:hAnsi="Arial" w:cs="Arial"/>
          <w:color w:val="000000" w:themeColor="text1"/>
          <w:sz w:val="18"/>
          <w:szCs w:val="18"/>
        </w:rPr>
        <w:t xml:space="preserve"> </w:t>
      </w:r>
      <w:r w:rsidRPr="00C40679">
        <w:rPr>
          <w:rFonts w:ascii="Verdana" w:hAnsi="Verdana" w:cs="Arial"/>
          <w:color w:val="000000" w:themeColor="text1"/>
          <w:sz w:val="16"/>
          <w:szCs w:val="16"/>
        </w:rPr>
        <w:t>“La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C40679">
        <w:rPr>
          <w:rFonts w:ascii="Verdana" w:hAnsi="Verdana" w:cs="Arial"/>
          <w:color w:val="000000" w:themeColor="text1"/>
          <w:sz w:val="16"/>
          <w:szCs w:val="16"/>
          <w:shd w:val="clear" w:color="auto" w:fill="FFFFFF"/>
        </w:rPr>
        <w:t>”</w:t>
      </w:r>
      <w:r w:rsidRPr="00C40679">
        <w:rPr>
          <w:rFonts w:ascii="Verdana" w:hAnsi="Verdana" w:cs="Arial"/>
          <w:color w:val="000000" w:themeColor="text1"/>
          <w:sz w:val="16"/>
          <w:szCs w:val="16"/>
        </w:rPr>
        <w:t xml:space="preserve"> EXPOSITO, Juan Carlos. Forma y contenido del contrato estatal. Bogotá: Universidad Externado de Colombia, p. 89 y 90. </w:t>
      </w:r>
    </w:p>
  </w:footnote>
  <w:footnote w:id="5">
    <w:p w14:paraId="2A827BFF" w14:textId="77777777" w:rsidR="00C50A90" w:rsidRPr="00C40679" w:rsidRDefault="00C50A90" w:rsidP="00C50A90">
      <w:pPr>
        <w:pStyle w:val="Textonotapie"/>
        <w:spacing w:before="120" w:after="120"/>
        <w:ind w:firstLine="708"/>
        <w:jc w:val="both"/>
        <w:rPr>
          <w:rFonts w:ascii="Verdana" w:hAnsi="Verdana" w:cs="Arial"/>
          <w:color w:val="000000" w:themeColor="text1"/>
          <w:sz w:val="16"/>
          <w:szCs w:val="16"/>
          <w:lang w:val="es-CO"/>
        </w:rPr>
      </w:pPr>
      <w:r w:rsidRPr="00C40679">
        <w:rPr>
          <w:rStyle w:val="Refdenotaalpie"/>
          <w:rFonts w:ascii="Verdana" w:hAnsi="Verdana" w:cs="Arial"/>
          <w:color w:val="000000" w:themeColor="text1"/>
          <w:sz w:val="16"/>
          <w:szCs w:val="16"/>
        </w:rPr>
        <w:footnoteRef/>
      </w:r>
      <w:r w:rsidRPr="00C40679">
        <w:rPr>
          <w:rFonts w:ascii="Verdana" w:hAnsi="Verdana" w:cs="Arial"/>
          <w:color w:val="000000" w:themeColor="text1"/>
          <w:sz w:val="16"/>
          <w:szCs w:val="16"/>
        </w:rPr>
        <w:t xml:space="preserve"> DÍAZ DÍEZ, Cristian Andrés. La liquidación. Serie: Las Cláusulas del Contrato Estatal. Medellín: Librería Jurídica Sánchez y Centro de Estudios de Derecho Administrativo –CEDA–, 2013, pp. 53-54.</w:t>
      </w:r>
    </w:p>
  </w:footnote>
  <w:footnote w:id="6">
    <w:p w14:paraId="6ADBAEFD" w14:textId="77777777" w:rsidR="00C50A90" w:rsidRPr="000D1DE6" w:rsidRDefault="00C50A90" w:rsidP="00C50A90">
      <w:pPr>
        <w:pStyle w:val="Textonotapie"/>
        <w:jc w:val="both"/>
        <w:rPr>
          <w:rFonts w:ascii="Verdana" w:hAnsi="Verdana"/>
          <w:sz w:val="16"/>
          <w:szCs w:val="16"/>
          <w:lang w:val="es-CO"/>
        </w:rPr>
      </w:pPr>
      <w:r w:rsidRPr="000D1DE6">
        <w:rPr>
          <w:rStyle w:val="Refdenotaalpie"/>
          <w:rFonts w:ascii="Verdana" w:hAnsi="Verdana"/>
          <w:sz w:val="16"/>
          <w:szCs w:val="16"/>
        </w:rPr>
        <w:footnoteRef/>
      </w:r>
      <w:r w:rsidRPr="000D1DE6">
        <w:rPr>
          <w:rFonts w:ascii="Verdana" w:hAnsi="Verdana"/>
          <w:sz w:val="16"/>
          <w:szCs w:val="16"/>
        </w:rPr>
        <w:t xml:space="preserve"> </w:t>
      </w:r>
      <w:r w:rsidRPr="000D1DE6">
        <w:rPr>
          <w:rFonts w:ascii="Verdana" w:hAnsi="Verdana"/>
          <w:sz w:val="16"/>
          <w:szCs w:val="16"/>
          <w:lang w:val="es-CO"/>
        </w:rPr>
        <w:t xml:space="preserve">Colombia Compra Eficiente, Guía para el ejercicio de las funciones de supervisión e interventoría de los contratos suscritos por las Entidades Estatales, G-EFSICE-02, 2018 </w:t>
      </w:r>
      <w:hyperlink r:id="rId1" w:history="1">
        <w:r w:rsidRPr="000D1DE6">
          <w:rPr>
            <w:rStyle w:val="Hipervnculo"/>
            <w:rFonts w:ascii="Verdana" w:hAnsi="Verdana"/>
            <w:sz w:val="16"/>
            <w:szCs w:val="16"/>
            <w:lang w:val="es-CO"/>
          </w:rPr>
          <w:t>https://www.colombiacompra.gov.co/wp-content/uploads/2024/08/2018-Guia-para-el-ejercicio-de-las-funciones-de-supervision-e-interventoria-de-los-contratos-suscritos-por-las-Entidades-Estatales-G-EFSICE-02.pdf</w:t>
        </w:r>
      </w:hyperlink>
    </w:p>
    <w:p w14:paraId="08D51973" w14:textId="77777777" w:rsidR="00C50A90" w:rsidRPr="000D1DE6" w:rsidRDefault="00C50A90" w:rsidP="00C50A90">
      <w:pPr>
        <w:pStyle w:val="Textonotapie"/>
        <w:rPr>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2282686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2F4A"/>
    <w:rsid w:val="0003039E"/>
    <w:rsid w:val="00046945"/>
    <w:rsid w:val="00054DD1"/>
    <w:rsid w:val="00061B2A"/>
    <w:rsid w:val="00071EF4"/>
    <w:rsid w:val="00076626"/>
    <w:rsid w:val="00082362"/>
    <w:rsid w:val="000A1992"/>
    <w:rsid w:val="000A683E"/>
    <w:rsid w:val="000B19B9"/>
    <w:rsid w:val="000B474B"/>
    <w:rsid w:val="000B7326"/>
    <w:rsid w:val="000D0334"/>
    <w:rsid w:val="000D4511"/>
    <w:rsid w:val="000F6486"/>
    <w:rsid w:val="001056CA"/>
    <w:rsid w:val="0011633D"/>
    <w:rsid w:val="00116DEE"/>
    <w:rsid w:val="00125105"/>
    <w:rsid w:val="00127233"/>
    <w:rsid w:val="00162F7B"/>
    <w:rsid w:val="0018013F"/>
    <w:rsid w:val="00194F8B"/>
    <w:rsid w:val="001E4177"/>
    <w:rsid w:val="001F7DC6"/>
    <w:rsid w:val="002421BB"/>
    <w:rsid w:val="002430EB"/>
    <w:rsid w:val="0025796E"/>
    <w:rsid w:val="002707A2"/>
    <w:rsid w:val="002951A0"/>
    <w:rsid w:val="002962BC"/>
    <w:rsid w:val="00297C99"/>
    <w:rsid w:val="002A093D"/>
    <w:rsid w:val="002A0DD0"/>
    <w:rsid w:val="002A49AC"/>
    <w:rsid w:val="002A64FD"/>
    <w:rsid w:val="002C7A84"/>
    <w:rsid w:val="002E1849"/>
    <w:rsid w:val="002E4FD9"/>
    <w:rsid w:val="00301457"/>
    <w:rsid w:val="00322A85"/>
    <w:rsid w:val="00324168"/>
    <w:rsid w:val="003438C1"/>
    <w:rsid w:val="003448F4"/>
    <w:rsid w:val="00374F5E"/>
    <w:rsid w:val="00377E3E"/>
    <w:rsid w:val="003A568D"/>
    <w:rsid w:val="003A779E"/>
    <w:rsid w:val="003D0F4D"/>
    <w:rsid w:val="003D5708"/>
    <w:rsid w:val="003D5B0D"/>
    <w:rsid w:val="003E0499"/>
    <w:rsid w:val="003F3941"/>
    <w:rsid w:val="00404011"/>
    <w:rsid w:val="00406575"/>
    <w:rsid w:val="00414C74"/>
    <w:rsid w:val="0042722E"/>
    <w:rsid w:val="0044528D"/>
    <w:rsid w:val="00462A07"/>
    <w:rsid w:val="004A1847"/>
    <w:rsid w:val="004A305D"/>
    <w:rsid w:val="004A4CC3"/>
    <w:rsid w:val="004C23C5"/>
    <w:rsid w:val="004C5289"/>
    <w:rsid w:val="004D67FB"/>
    <w:rsid w:val="004E2DA5"/>
    <w:rsid w:val="004F1F8E"/>
    <w:rsid w:val="004F21C4"/>
    <w:rsid w:val="004F685F"/>
    <w:rsid w:val="005557BD"/>
    <w:rsid w:val="005566E8"/>
    <w:rsid w:val="00572070"/>
    <w:rsid w:val="00574867"/>
    <w:rsid w:val="00583F33"/>
    <w:rsid w:val="00591460"/>
    <w:rsid w:val="005B3ACE"/>
    <w:rsid w:val="005B3DCD"/>
    <w:rsid w:val="005C3777"/>
    <w:rsid w:val="005C5CDC"/>
    <w:rsid w:val="005D476C"/>
    <w:rsid w:val="005E75DB"/>
    <w:rsid w:val="006057E2"/>
    <w:rsid w:val="006219F8"/>
    <w:rsid w:val="006302F7"/>
    <w:rsid w:val="006448A0"/>
    <w:rsid w:val="00664219"/>
    <w:rsid w:val="00665D70"/>
    <w:rsid w:val="006758BF"/>
    <w:rsid w:val="006900D9"/>
    <w:rsid w:val="006A460E"/>
    <w:rsid w:val="006A760C"/>
    <w:rsid w:val="007022A0"/>
    <w:rsid w:val="00706C16"/>
    <w:rsid w:val="00756841"/>
    <w:rsid w:val="007649AB"/>
    <w:rsid w:val="00771D0C"/>
    <w:rsid w:val="00776F5C"/>
    <w:rsid w:val="007833AC"/>
    <w:rsid w:val="007A1A8D"/>
    <w:rsid w:val="007B268C"/>
    <w:rsid w:val="007B7171"/>
    <w:rsid w:val="007C0C0F"/>
    <w:rsid w:val="007C3DC2"/>
    <w:rsid w:val="007E5497"/>
    <w:rsid w:val="007F060A"/>
    <w:rsid w:val="008032AF"/>
    <w:rsid w:val="00806F5F"/>
    <w:rsid w:val="00816F3E"/>
    <w:rsid w:val="00820278"/>
    <w:rsid w:val="00821E83"/>
    <w:rsid w:val="00857BDA"/>
    <w:rsid w:val="00867F95"/>
    <w:rsid w:val="00873968"/>
    <w:rsid w:val="008843B6"/>
    <w:rsid w:val="00891928"/>
    <w:rsid w:val="00897A3A"/>
    <w:rsid w:val="008A446D"/>
    <w:rsid w:val="008D180B"/>
    <w:rsid w:val="008F0EA7"/>
    <w:rsid w:val="00904D8E"/>
    <w:rsid w:val="00923EEF"/>
    <w:rsid w:val="009419F9"/>
    <w:rsid w:val="0095685E"/>
    <w:rsid w:val="00961B09"/>
    <w:rsid w:val="00965334"/>
    <w:rsid w:val="00965848"/>
    <w:rsid w:val="0097093E"/>
    <w:rsid w:val="009A0DFA"/>
    <w:rsid w:val="009B25A8"/>
    <w:rsid w:val="009B2D26"/>
    <w:rsid w:val="009C71FA"/>
    <w:rsid w:val="009C72E7"/>
    <w:rsid w:val="009D3058"/>
    <w:rsid w:val="009F3A13"/>
    <w:rsid w:val="00A122D3"/>
    <w:rsid w:val="00A17F13"/>
    <w:rsid w:val="00A20739"/>
    <w:rsid w:val="00A33C78"/>
    <w:rsid w:val="00A503CB"/>
    <w:rsid w:val="00A5082C"/>
    <w:rsid w:val="00AB0ADB"/>
    <w:rsid w:val="00B00C0E"/>
    <w:rsid w:val="00B01B1A"/>
    <w:rsid w:val="00B2241B"/>
    <w:rsid w:val="00B36559"/>
    <w:rsid w:val="00B44A47"/>
    <w:rsid w:val="00B72CD3"/>
    <w:rsid w:val="00B72FFF"/>
    <w:rsid w:val="00BC3D36"/>
    <w:rsid w:val="00BD7F72"/>
    <w:rsid w:val="00BF1380"/>
    <w:rsid w:val="00BF1E8A"/>
    <w:rsid w:val="00C04FB3"/>
    <w:rsid w:val="00C31780"/>
    <w:rsid w:val="00C330EB"/>
    <w:rsid w:val="00C50A90"/>
    <w:rsid w:val="00C57660"/>
    <w:rsid w:val="00C754BE"/>
    <w:rsid w:val="00C76B1C"/>
    <w:rsid w:val="00CB6357"/>
    <w:rsid w:val="00CC1B26"/>
    <w:rsid w:val="00D23019"/>
    <w:rsid w:val="00D34B80"/>
    <w:rsid w:val="00D423A2"/>
    <w:rsid w:val="00D520D8"/>
    <w:rsid w:val="00D63AC2"/>
    <w:rsid w:val="00D7383B"/>
    <w:rsid w:val="00D87759"/>
    <w:rsid w:val="00DA231B"/>
    <w:rsid w:val="00DA3BB1"/>
    <w:rsid w:val="00DA5047"/>
    <w:rsid w:val="00DC39FC"/>
    <w:rsid w:val="00DF2479"/>
    <w:rsid w:val="00DF5254"/>
    <w:rsid w:val="00E0759C"/>
    <w:rsid w:val="00E119FB"/>
    <w:rsid w:val="00E16408"/>
    <w:rsid w:val="00E20894"/>
    <w:rsid w:val="00E20C86"/>
    <w:rsid w:val="00E245AB"/>
    <w:rsid w:val="00E2764C"/>
    <w:rsid w:val="00E27F2E"/>
    <w:rsid w:val="00E47FE3"/>
    <w:rsid w:val="00E50AFE"/>
    <w:rsid w:val="00E568D2"/>
    <w:rsid w:val="00E75C92"/>
    <w:rsid w:val="00E771DC"/>
    <w:rsid w:val="00E84065"/>
    <w:rsid w:val="00E8772A"/>
    <w:rsid w:val="00E90F6B"/>
    <w:rsid w:val="00E92C27"/>
    <w:rsid w:val="00EA0E3D"/>
    <w:rsid w:val="00EA1DF0"/>
    <w:rsid w:val="00EC38A7"/>
    <w:rsid w:val="00ED5A4A"/>
    <w:rsid w:val="00EE1AA8"/>
    <w:rsid w:val="00F31EDC"/>
    <w:rsid w:val="00F462B3"/>
    <w:rsid w:val="00F5664F"/>
    <w:rsid w:val="00F666C4"/>
    <w:rsid w:val="00F76AFC"/>
    <w:rsid w:val="00F807FB"/>
    <w:rsid w:val="00FA47C0"/>
    <w:rsid w:val="00FB5DD1"/>
    <w:rsid w:val="00FC2B5D"/>
    <w:rsid w:val="00FD0910"/>
    <w:rsid w:val="00FE0C9D"/>
    <w:rsid w:val="00FF1449"/>
    <w:rsid w:val="022EDFE0"/>
    <w:rsid w:val="02AC86EC"/>
    <w:rsid w:val="05FE03FA"/>
    <w:rsid w:val="06801A7A"/>
    <w:rsid w:val="0CE67E55"/>
    <w:rsid w:val="0D454EE2"/>
    <w:rsid w:val="11AA0340"/>
    <w:rsid w:val="11B5E00B"/>
    <w:rsid w:val="12A669AB"/>
    <w:rsid w:val="12E43AF6"/>
    <w:rsid w:val="13D40A5A"/>
    <w:rsid w:val="157E648E"/>
    <w:rsid w:val="195B5A66"/>
    <w:rsid w:val="1D53B077"/>
    <w:rsid w:val="1F539949"/>
    <w:rsid w:val="211E53BD"/>
    <w:rsid w:val="272CF469"/>
    <w:rsid w:val="288BD594"/>
    <w:rsid w:val="2961A68A"/>
    <w:rsid w:val="2A44DE7E"/>
    <w:rsid w:val="2C4C21A0"/>
    <w:rsid w:val="2F2E2E40"/>
    <w:rsid w:val="3138EE6D"/>
    <w:rsid w:val="32344613"/>
    <w:rsid w:val="328C09F0"/>
    <w:rsid w:val="3295701A"/>
    <w:rsid w:val="35A89CA1"/>
    <w:rsid w:val="364F27C0"/>
    <w:rsid w:val="365B15A5"/>
    <w:rsid w:val="36E9FA5A"/>
    <w:rsid w:val="381D7D8D"/>
    <w:rsid w:val="3871EC22"/>
    <w:rsid w:val="40146DF8"/>
    <w:rsid w:val="4346C644"/>
    <w:rsid w:val="4EA23671"/>
    <w:rsid w:val="4EA3B69E"/>
    <w:rsid w:val="4F4CE450"/>
    <w:rsid w:val="55E7691D"/>
    <w:rsid w:val="565EF9E2"/>
    <w:rsid w:val="56FD751E"/>
    <w:rsid w:val="5817C5D7"/>
    <w:rsid w:val="5AAF3DEA"/>
    <w:rsid w:val="5CCC2C94"/>
    <w:rsid w:val="5D4765D7"/>
    <w:rsid w:val="61BD2477"/>
    <w:rsid w:val="66050C59"/>
    <w:rsid w:val="683348E1"/>
    <w:rsid w:val="69004F3A"/>
    <w:rsid w:val="697E33B4"/>
    <w:rsid w:val="6DBB4F82"/>
    <w:rsid w:val="6DEA0582"/>
    <w:rsid w:val="70BC6579"/>
    <w:rsid w:val="70EEC03E"/>
    <w:rsid w:val="71DFA6DA"/>
    <w:rsid w:val="736B9633"/>
    <w:rsid w:val="73A0DFAC"/>
    <w:rsid w:val="73C50097"/>
    <w:rsid w:val="7407881F"/>
    <w:rsid w:val="742A2D41"/>
    <w:rsid w:val="74352D58"/>
    <w:rsid w:val="746C710C"/>
    <w:rsid w:val="79EA30E7"/>
    <w:rsid w:val="79FF9291"/>
    <w:rsid w:val="7AF1F56B"/>
    <w:rsid w:val="7D3EF4C0"/>
    <w:rsid w:val="7D6C60BF"/>
    <w:rsid w:val="7E1302E0"/>
    <w:rsid w:val="7EA06472"/>
    <w:rsid w:val="7EC9930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3BC4DC25-5C29-4527-B284-BF2E5F62A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D570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D5708"/>
    <w:rPr>
      <w:rFonts w:ascii="Geomanist Light" w:hAnsi="Geomanist Light"/>
      <w:lang w:val="es-ES"/>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6160507">
      <w:bodyDiv w:val="1"/>
      <w:marLeft w:val="0"/>
      <w:marRight w:val="0"/>
      <w:marTop w:val="0"/>
      <w:marBottom w:val="0"/>
      <w:divBdr>
        <w:top w:val="none" w:sz="0" w:space="0" w:color="auto"/>
        <w:left w:val="none" w:sz="0" w:space="0" w:color="auto"/>
        <w:bottom w:val="none" w:sz="0" w:space="0" w:color="auto"/>
        <w:right w:val="none" w:sz="0" w:space="0" w:color="auto"/>
      </w:divBdr>
    </w:div>
    <w:div w:id="61193659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76268129">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096708045">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sites%2Fcce_public%2Ffiles%2Ffiles_2020%2Fboletin_de_realtoria_iii.pdf&amp;data=05%7C02%7Cdiana.blanco%40colombiacompra.gov.co%7C5aad36a736844ec87b2108dcc1fa4639%7C7b09041e245149d08cb179d5e3d8c1be%7C0%7C0%7C638598527917605093%7CUnknown%7CTWFpbGZsb3d8eyJWIjoiMC4wLjAwMDAiLCJQIjoiV2luMzIiLCJBTiI6Ik1haWwiLCJXVCI6Mn0%3D%7C0%7C%7C%7C&amp;sdata=GC1x4nLNGPX5zoV2M4K11reL8XIUFpjc0LcVId%2FHtgY%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diana.blanco%40colombiacompra.gov.co%7C5aad36a736844ec87b2108dcc1fa4639%7C7b09041e245149d08cb179d5e3d8c1be%7C0%7C0%7C638598527917590308%7CUnknown%7CTWFpbGZsb3d8eyJWIjoiMC4wLjAwMDAiLCJQIjoiV2luMzIiLCJBTiI6Ik1haWwiLCJXVCI6Mn0%3D%7C0%7C%7C%7C&amp;sdata=20bTO%2BV9qR58r83wa63pBfbKVVpQa4CxfO3WRNMrKeM%3D&amp;reserved=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2018-Guia-para-el-ejercicio-de-las-funciones-de-supervision-e-interventoria-de-los-contratos-suscritos-por-las-Entidades-Estatales-G-EFSICE-0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a6cb9e4b-f1d1-4245-83ec-6cad768d538a"/>
    <ds:schemaRef ds:uri="http://schemas.microsoft.com/office/2006/documentManagement/types"/>
    <ds:schemaRef ds:uri="http://schemas.microsoft.com/office/2006/metadata/properties"/>
    <ds:schemaRef ds:uri="9d85dbaf-23eb-4e57-a637-93dcacc8b1a1"/>
    <ds:schemaRef ds:uri="http://schemas.openxmlformats.org/package/2006/metadata/core-properties"/>
    <ds:schemaRef ds:uri="http://purl.org/dc/terms/"/>
    <ds:schemaRef ds:uri="http://schemas.microsoft.com/office/infopath/2007/PartnerControls"/>
    <ds:schemaRef ds:uri="http://purl.org/dc/dcmitype/"/>
    <ds:schemaRef ds:uri="http://www.w3.org/XML/1998/namespace"/>
    <ds:schemaRef ds:uri="http://purl.org/dc/elements/1.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54BF1E8A-6EE5-4C8D-9347-F069F30635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15</Pages>
  <Words>4893</Words>
  <Characters>26718</Characters>
  <Application>Microsoft Office Word</Application>
  <DocSecurity>0</DocSecurity>
  <Lines>545</Lines>
  <Paragraphs>108</Paragraphs>
  <ScaleCrop>false</ScaleCrop>
  <Company/>
  <LinksUpToDate>false</LinksUpToDate>
  <CharactersWithSpaces>31503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2025-10-28T21:13:00Z</dcterms:created>
  <dcterms:modified xsi:type="dcterms:W3CDTF">2025-10-28T21:13:00Z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