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17CEF7" w14:textId="77777777" w:rsidR="00F94D22" w:rsidRDefault="00F94D22" w:rsidP="00C40D52">
      <w:pPr>
        <w:spacing w:line="240" w:lineRule="auto"/>
        <w:rPr>
          <w:rFonts w:ascii="Verdana" w:eastAsia="Times New Roman" w:hAnsi="Verdana" w:cs="Arial"/>
          <w:lang w:eastAsia="es-ES_tradnl"/>
        </w:rPr>
      </w:pPr>
      <w:bookmarkStart w:id="0" w:name="_Hlk143780582"/>
    </w:p>
    <w:p w14:paraId="50985C19" w14:textId="77777777" w:rsidR="00F94D22" w:rsidRDefault="00F94D22" w:rsidP="00F94D22">
      <w:pPr>
        <w:rPr>
          <w:rFonts w:ascii="Verdana" w:hAnsi="Verdana" w:cs="Arial"/>
          <w:b/>
          <w:color w:val="000000" w:themeColor="text1"/>
          <w:lang w:val="es-ES_tradnl"/>
        </w:rPr>
      </w:pPr>
      <w:r w:rsidRPr="009F7B50">
        <w:rPr>
          <w:rFonts w:ascii="Verdana" w:hAnsi="Verdana" w:cs="Arial"/>
          <w:b/>
          <w:color w:val="000000" w:themeColor="text1"/>
          <w:lang w:val="es-ES_tradnl"/>
        </w:rPr>
        <w:t>LEY DE GARANTÍAS ELECTORALES ‒ Finalidad</w:t>
      </w:r>
    </w:p>
    <w:p w14:paraId="00120167" w14:textId="77777777" w:rsidR="00F94D22" w:rsidRDefault="00F94D22" w:rsidP="00F94D22">
      <w:pPr>
        <w:jc w:val="both"/>
        <w:rPr>
          <w:rFonts w:ascii="Verdana" w:hAnsi="Verdana" w:cs="Arial"/>
          <w:b/>
          <w:color w:val="000000" w:themeColor="text1"/>
          <w:lang w:val="es-ES_tradnl"/>
        </w:rPr>
      </w:pPr>
      <w:r>
        <w:rPr>
          <w:rFonts w:ascii="Verdana" w:eastAsia="Times New Roman" w:hAnsi="Verdana" w:cs="Arial"/>
          <w:lang w:val="es-MX" w:eastAsia="es-CO"/>
        </w:rPr>
        <w:t>L</w:t>
      </w:r>
      <w:r w:rsidRPr="00E2397D">
        <w:rPr>
          <w:rFonts w:ascii="Verdana" w:eastAsia="Times New Roman" w:hAnsi="Verdana" w:cs="Arial"/>
          <w:lang w:val="es-MX" w:eastAsia="es-CO"/>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1"/>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p>
    <w:p w14:paraId="4DCC897C" w14:textId="77777777" w:rsidR="00F94D22" w:rsidRDefault="00F94D22" w:rsidP="00F94D22">
      <w:pPr>
        <w:jc w:val="both"/>
        <w:rPr>
          <w:rFonts w:ascii="Verdana" w:hAnsi="Verdana" w:cs="Arial"/>
          <w:b/>
          <w:color w:val="000000" w:themeColor="text1"/>
          <w:lang w:val="es-ES_tradnl"/>
        </w:rPr>
      </w:pPr>
      <w:r w:rsidRPr="009F7B50">
        <w:rPr>
          <w:rFonts w:ascii="Verdana" w:hAnsi="Verdana" w:cs="Arial"/>
          <w:b/>
          <w:color w:val="000000" w:themeColor="text1"/>
          <w:lang w:val="es-ES_tradnl"/>
        </w:rPr>
        <w:t xml:space="preserve">LEY DE GARANTÍAS ELECTORALES ‒ Tipos de restricciones – Articulo 38 – Contrato de Prestación de Servicios </w:t>
      </w:r>
      <w:r>
        <w:rPr>
          <w:rFonts w:ascii="Verdana" w:hAnsi="Verdana" w:cs="Arial"/>
          <w:b/>
          <w:color w:val="000000" w:themeColor="text1"/>
          <w:lang w:val="es-ES_tradnl"/>
        </w:rPr>
        <w:t>–</w:t>
      </w:r>
      <w:r w:rsidRPr="009F7B50">
        <w:rPr>
          <w:rFonts w:ascii="Verdana" w:hAnsi="Verdana" w:cs="Arial"/>
          <w:b/>
          <w:color w:val="000000" w:themeColor="text1"/>
          <w:lang w:val="es-ES_tradnl"/>
        </w:rPr>
        <w:t xml:space="preserve"> Aplicación</w:t>
      </w:r>
    </w:p>
    <w:p w14:paraId="3AC33550" w14:textId="77777777" w:rsidR="00F94D22" w:rsidRPr="009F7B50" w:rsidRDefault="00F94D22" w:rsidP="00F94D22">
      <w:pPr>
        <w:widowControl w:val="0"/>
        <w:autoSpaceDE w:val="0"/>
        <w:autoSpaceDN w:val="0"/>
        <w:spacing w:line="276" w:lineRule="auto"/>
        <w:ind w:right="176"/>
        <w:jc w:val="both"/>
        <w:rPr>
          <w:rFonts w:ascii="Verdana" w:hAnsi="Verdana"/>
        </w:rPr>
      </w:pPr>
      <w:r w:rsidRPr="009F7B50">
        <w:rPr>
          <w:rFonts w:ascii="Verdana" w:hAnsi="Verdana"/>
        </w:rPr>
        <w:t>El parágrafo del artículo 38 de la Ley 996 de 2005 establece de manera expresa y taxativa que, durante los cuatro (4) meses anteriores a las elecciones, los gobernadores, alcaldes municipales o distritales, secretarios, gerentes y directores de entidades descentralizadas del orden municipal, departamental o distrital, tienen prohibido celebrar convenios y contratos interadministrativos para la ejecución de recursos públicos.</w:t>
      </w:r>
    </w:p>
    <w:p w14:paraId="6DE10850" w14:textId="77777777" w:rsidR="00F94D22" w:rsidRPr="009F7B50" w:rsidRDefault="00F94D22" w:rsidP="00F94D22">
      <w:pPr>
        <w:widowControl w:val="0"/>
        <w:autoSpaceDE w:val="0"/>
        <w:autoSpaceDN w:val="0"/>
        <w:spacing w:line="276" w:lineRule="auto"/>
        <w:ind w:right="176"/>
        <w:jc w:val="both"/>
        <w:rPr>
          <w:rFonts w:ascii="Verdana" w:hAnsi="Verdana"/>
        </w:rPr>
      </w:pPr>
      <w:r w:rsidRPr="009F7B50">
        <w:rPr>
          <w:rFonts w:ascii="Verdana" w:hAnsi="Verdana"/>
        </w:rPr>
        <w:t>Dado el carácter restrictivo y excepcional de esta limitación, conforme al principio de interpretación estricta de las normas que establecen prohibiciones o limitaciones al ejercicio de funciones administrativas, su alcance debe ceñirse exclusivamente a la tipología contractual expresamente señalada en la norma. En consecuencia, la prohibición contenida en el artículo 38 no se extiende a otros tipos contractuales, incluso si estos se celebren bajo la modalidad de selección directa, como sucede con los contratos de prestación de servicios, de suministro u otros, siempre que no configuren convenios interadministrativos.</w:t>
      </w:r>
    </w:p>
    <w:p w14:paraId="6D08E57D" w14:textId="77777777" w:rsidR="00F94D22" w:rsidRPr="009F7B50" w:rsidRDefault="00F94D22" w:rsidP="00F94D22">
      <w:pPr>
        <w:jc w:val="both"/>
        <w:rPr>
          <w:rFonts w:ascii="Verdana" w:hAnsi="Verdana" w:cs="Arial"/>
          <w:b/>
          <w:color w:val="000000" w:themeColor="text1"/>
        </w:rPr>
      </w:pPr>
    </w:p>
    <w:p w14:paraId="0958D324" w14:textId="77777777" w:rsidR="00F94D22" w:rsidRPr="009F7B50" w:rsidRDefault="00F94D22" w:rsidP="00F94D22">
      <w:pPr>
        <w:rPr>
          <w:rFonts w:ascii="Verdana" w:eastAsia="Times New Roman" w:hAnsi="Verdana" w:cs="Arial"/>
          <w:b/>
          <w:lang w:eastAsia="es-ES_tradnl"/>
        </w:rPr>
      </w:pPr>
    </w:p>
    <w:p w14:paraId="2FA8C0C1" w14:textId="77777777" w:rsidR="00F94D22" w:rsidRDefault="00F94D22" w:rsidP="00F94D22">
      <w:pPr>
        <w:rPr>
          <w:rFonts w:ascii="Verdana" w:eastAsia="Times New Roman" w:hAnsi="Verdana" w:cs="Arial"/>
          <w:lang w:eastAsia="es-ES_tradnl"/>
        </w:rPr>
      </w:pPr>
    </w:p>
    <w:p w14:paraId="302073C5" w14:textId="77777777" w:rsidR="00F94D22" w:rsidRDefault="00F94D22" w:rsidP="00F94D22">
      <w:pPr>
        <w:rPr>
          <w:rFonts w:ascii="Verdana" w:eastAsia="Times New Roman" w:hAnsi="Verdana" w:cs="Arial"/>
          <w:lang w:eastAsia="es-ES_tradnl"/>
        </w:rPr>
      </w:pPr>
    </w:p>
    <w:p w14:paraId="4DC5C36B" w14:textId="77777777" w:rsidR="00F94D22" w:rsidRDefault="00F94D22" w:rsidP="00F94D22">
      <w:pPr>
        <w:rPr>
          <w:rFonts w:ascii="Verdana" w:eastAsia="Times New Roman" w:hAnsi="Verdana" w:cs="Arial"/>
          <w:lang w:eastAsia="es-ES_tradnl"/>
        </w:rPr>
      </w:pPr>
    </w:p>
    <w:p w14:paraId="4FD365BB" w14:textId="77777777" w:rsidR="00F94D22" w:rsidRDefault="00F94D22" w:rsidP="00F94D22">
      <w:pPr>
        <w:rPr>
          <w:rFonts w:ascii="Verdana" w:eastAsia="Times New Roman" w:hAnsi="Verdana" w:cs="Arial"/>
          <w:lang w:eastAsia="es-ES_tradnl"/>
        </w:rPr>
      </w:pPr>
    </w:p>
    <w:p w14:paraId="1420FD0B" w14:textId="77777777" w:rsidR="00F94D22" w:rsidRDefault="00F94D22" w:rsidP="00C40D52">
      <w:pPr>
        <w:spacing w:line="240" w:lineRule="auto"/>
        <w:rPr>
          <w:rFonts w:ascii="Verdana" w:eastAsia="Times New Roman" w:hAnsi="Verdana" w:cs="Arial"/>
          <w:lang w:eastAsia="es-ES_tradnl"/>
        </w:rPr>
      </w:pPr>
    </w:p>
    <w:p w14:paraId="5EB0AF69" w14:textId="2E5F2BD3" w:rsidR="00C57DF7" w:rsidRPr="006249C6" w:rsidRDefault="00C57DF7" w:rsidP="00C40D52">
      <w:pPr>
        <w:spacing w:line="240" w:lineRule="auto"/>
        <w:rPr>
          <w:rFonts w:ascii="Verdana" w:eastAsia="Times New Roman" w:hAnsi="Verdana" w:cs="Times New Roman"/>
          <w:lang w:eastAsia="es-ES"/>
        </w:rPr>
      </w:pPr>
      <w:r w:rsidRPr="006249C6">
        <w:rPr>
          <w:rFonts w:ascii="Verdana" w:eastAsia="Times New Roman" w:hAnsi="Verdana" w:cs="Arial"/>
          <w:lang w:eastAsia="es-ES_tradnl"/>
        </w:rPr>
        <w:t>Bogotá D.C.</w:t>
      </w:r>
      <w:r w:rsidR="00F94D22" w:rsidRPr="006249C6">
        <w:rPr>
          <w:rFonts w:ascii="Verdana" w:eastAsia="Times New Roman" w:hAnsi="Verdana" w:cs="Arial"/>
          <w:lang w:eastAsia="es-ES_tradnl"/>
        </w:rPr>
        <w:t>, 27</w:t>
      </w:r>
      <w:r w:rsidR="00F94D22">
        <w:rPr>
          <w:rFonts w:ascii="Verdana" w:eastAsia="Times New Roman" w:hAnsi="Verdana" w:cs="Arial"/>
          <w:lang w:eastAsia="es-ES_tradnl"/>
        </w:rPr>
        <w:t xml:space="preserve"> </w:t>
      </w:r>
      <w:r w:rsidRPr="006249C6">
        <w:rPr>
          <w:rFonts w:ascii="Verdana" w:eastAsia="Times New Roman" w:hAnsi="Verdana" w:cs="Arial"/>
          <w:lang w:eastAsia="es-ES_tradnl"/>
        </w:rPr>
        <w:t>de octubre de 2025</w:t>
      </w:r>
    </w:p>
    <w:p w14:paraId="3B464B00" w14:textId="12D27B71" w:rsidR="00C57DF7" w:rsidRPr="006249C6" w:rsidRDefault="00F94D22" w:rsidP="00F94D22">
      <w:pPr>
        <w:spacing w:after="0" w:line="240" w:lineRule="auto"/>
        <w:ind w:left="5664"/>
        <w:rPr>
          <w:rFonts w:ascii="Verdana" w:hAnsi="Verdana"/>
        </w:rPr>
      </w:pPr>
      <w:r>
        <w:rPr>
          <w:noProof/>
        </w:rPr>
        <w:drawing>
          <wp:inline distT="0" distB="0" distL="0" distR="0" wp14:anchorId="2FD65739" wp14:editId="4CDCEFE3">
            <wp:extent cx="2428875" cy="676275"/>
            <wp:effectExtent l="0" t="0" r="9525" b="9525"/>
            <wp:docPr id="116998220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9982204" name=""/>
                    <pic:cNvPicPr/>
                  </pic:nvPicPr>
                  <pic:blipFill>
                    <a:blip r:embed="rId10"/>
                    <a:stretch>
                      <a:fillRect/>
                    </a:stretch>
                  </pic:blipFill>
                  <pic:spPr>
                    <a:xfrm>
                      <a:off x="0" y="0"/>
                      <a:ext cx="2428875" cy="676275"/>
                    </a:xfrm>
                    <a:prstGeom prst="rect">
                      <a:avLst/>
                    </a:prstGeom>
                  </pic:spPr>
                </pic:pic>
              </a:graphicData>
            </a:graphic>
          </wp:inline>
        </w:drawing>
      </w:r>
    </w:p>
    <w:p w14:paraId="12B82282" w14:textId="1AB7EFEC" w:rsidR="00C57DF7" w:rsidRPr="006249C6" w:rsidRDefault="00B240A5" w:rsidP="006249C6">
      <w:pPr>
        <w:spacing w:after="0" w:line="240" w:lineRule="auto"/>
        <w:jc w:val="both"/>
        <w:rPr>
          <w:rFonts w:ascii="Verdana" w:eastAsia="Calibri" w:hAnsi="Verdana" w:cs="Arial"/>
          <w:lang w:eastAsia="es-ES"/>
        </w:rPr>
      </w:pPr>
      <w:r w:rsidRPr="006249C6">
        <w:rPr>
          <w:rFonts w:ascii="Verdana" w:eastAsia="Calibri" w:hAnsi="Verdana" w:cs="Arial"/>
          <w:lang w:eastAsia="es-ES"/>
        </w:rPr>
        <w:t>Señora</w:t>
      </w:r>
    </w:p>
    <w:p w14:paraId="3D109118" w14:textId="5BFE1EBD" w:rsidR="00C57DF7" w:rsidRPr="006249C6" w:rsidRDefault="00151FF5" w:rsidP="006249C6">
      <w:pPr>
        <w:spacing w:after="0" w:line="240" w:lineRule="auto"/>
        <w:rPr>
          <w:rFonts w:ascii="Verdana" w:eastAsia="Calibri" w:hAnsi="Verdana" w:cs="Arial"/>
          <w:b/>
          <w:bCs/>
          <w:lang w:eastAsia="es-ES"/>
        </w:rPr>
      </w:pPr>
      <w:proofErr w:type="spellStart"/>
      <w:r w:rsidRPr="006249C6">
        <w:rPr>
          <w:rFonts w:ascii="Verdana" w:eastAsia="Calibri" w:hAnsi="Verdana" w:cs="Arial"/>
          <w:b/>
          <w:bCs/>
          <w:lang w:eastAsia="es-ES"/>
        </w:rPr>
        <w:t>Yuretsy</w:t>
      </w:r>
      <w:proofErr w:type="spellEnd"/>
      <w:r w:rsidRPr="006249C6">
        <w:rPr>
          <w:rFonts w:ascii="Verdana" w:eastAsia="Calibri" w:hAnsi="Verdana" w:cs="Arial"/>
          <w:b/>
          <w:bCs/>
          <w:lang w:eastAsia="es-ES"/>
        </w:rPr>
        <w:t xml:space="preserve"> Liliana Bolívar Gutiérrez</w:t>
      </w:r>
    </w:p>
    <w:p w14:paraId="3F9B2494" w14:textId="45DB89AA" w:rsidR="00C57DF7" w:rsidRPr="006249C6" w:rsidRDefault="00B240A5" w:rsidP="006249C6">
      <w:pPr>
        <w:spacing w:after="0" w:line="240" w:lineRule="auto"/>
        <w:rPr>
          <w:rFonts w:ascii="Verdana" w:hAnsi="Verdana"/>
        </w:rPr>
      </w:pPr>
      <w:r w:rsidRPr="006249C6">
        <w:rPr>
          <w:rFonts w:ascii="Verdana" w:hAnsi="Verdana"/>
        </w:rPr>
        <w:t>yuretsybolivar@gmail.com</w:t>
      </w:r>
      <w:r w:rsidR="00C57DF7" w:rsidRPr="006249C6">
        <w:rPr>
          <w:rFonts w:ascii="Verdana" w:hAnsi="Verdana"/>
        </w:rPr>
        <w:t xml:space="preserve">; </w:t>
      </w:r>
    </w:p>
    <w:p w14:paraId="3DD719F5" w14:textId="5C62B88C" w:rsidR="00C57DF7" w:rsidRPr="006249C6" w:rsidRDefault="0027095D" w:rsidP="006249C6">
      <w:pPr>
        <w:spacing w:after="0" w:line="240" w:lineRule="auto"/>
        <w:rPr>
          <w:rFonts w:ascii="Verdana" w:hAnsi="Verdana" w:cs="ArialMT"/>
          <w:lang w:val="pt-PT"/>
        </w:rPr>
      </w:pPr>
      <w:r w:rsidRPr="006249C6">
        <w:rPr>
          <w:rFonts w:ascii="Verdana" w:eastAsia="Calibri" w:hAnsi="Verdana" w:cs="Arial"/>
          <w:lang w:val="pt-PT" w:eastAsia="es-ES"/>
        </w:rPr>
        <w:t>Cucuca, Norte de Santander</w:t>
      </w:r>
      <w:r w:rsidR="00C57DF7" w:rsidRPr="006249C6">
        <w:rPr>
          <w:rFonts w:ascii="Verdana" w:eastAsia="Calibri" w:hAnsi="Verdana" w:cs="Arial"/>
          <w:lang w:val="pt-PT" w:eastAsia="es-ES"/>
        </w:rPr>
        <w:t xml:space="preserve">. </w:t>
      </w:r>
    </w:p>
    <w:p w14:paraId="000B9DD4" w14:textId="77777777" w:rsidR="00C57DF7" w:rsidRPr="006249C6" w:rsidRDefault="00C57DF7" w:rsidP="006249C6">
      <w:pPr>
        <w:spacing w:after="0" w:line="240" w:lineRule="auto"/>
        <w:rPr>
          <w:rFonts w:ascii="Verdana" w:eastAsia="Calibri" w:hAnsi="Verdana" w:cs="Arial"/>
          <w:b/>
          <w:bCs/>
          <w:color w:val="000000"/>
          <w:lang w:val="pt-PT"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175"/>
        <w:gridCol w:w="6614"/>
      </w:tblGrid>
      <w:tr w:rsidR="00C57DF7" w:rsidRPr="006249C6" w14:paraId="518A3FC3" w14:textId="77777777" w:rsidTr="00333300">
        <w:trPr>
          <w:trHeight w:val="218"/>
        </w:trPr>
        <w:tc>
          <w:tcPr>
            <w:tcW w:w="2175" w:type="dxa"/>
          </w:tcPr>
          <w:p w14:paraId="5523F92B" w14:textId="77777777" w:rsidR="00C57DF7" w:rsidRPr="006249C6" w:rsidRDefault="00C57DF7" w:rsidP="006249C6">
            <w:pPr>
              <w:jc w:val="both"/>
              <w:rPr>
                <w:rFonts w:ascii="Verdana" w:eastAsia="Calibri" w:hAnsi="Verdana" w:cs="Arial"/>
                <w:b/>
                <w:bCs/>
                <w:color w:val="7030A0"/>
                <w:lang w:val="pt-PT" w:eastAsia="es-ES_tradnl"/>
              </w:rPr>
            </w:pPr>
          </w:p>
        </w:tc>
        <w:tc>
          <w:tcPr>
            <w:tcW w:w="6614" w:type="dxa"/>
            <w:hideMark/>
          </w:tcPr>
          <w:p w14:paraId="601AC0C2" w14:textId="59E7A9F6" w:rsidR="00C57DF7" w:rsidRPr="006249C6" w:rsidRDefault="00C57DF7" w:rsidP="006249C6">
            <w:pPr>
              <w:jc w:val="both"/>
              <w:rPr>
                <w:rFonts w:ascii="Verdana" w:eastAsia="Calibri" w:hAnsi="Verdana" w:cs="Arial"/>
                <w:b/>
                <w:bCs/>
                <w:lang w:val="es-ES" w:eastAsia="es-ES"/>
              </w:rPr>
            </w:pPr>
          </w:p>
          <w:p w14:paraId="2A106F16" w14:textId="26AFE8D3" w:rsidR="00C57DF7" w:rsidRPr="006249C6" w:rsidRDefault="00C57DF7" w:rsidP="006249C6">
            <w:pPr>
              <w:jc w:val="both"/>
              <w:rPr>
                <w:rFonts w:ascii="Verdana" w:eastAsia="Calibri" w:hAnsi="Verdana" w:cs="Arial"/>
                <w:b/>
                <w:bCs/>
                <w:lang w:val="es-ES" w:eastAsia="es-ES"/>
              </w:rPr>
            </w:pPr>
            <w:r w:rsidRPr="006249C6">
              <w:rPr>
                <w:rFonts w:ascii="Verdana" w:eastAsia="Calibri" w:hAnsi="Verdana" w:cs="Arial"/>
                <w:b/>
                <w:bCs/>
                <w:lang w:val="es-ES" w:eastAsia="es-ES"/>
              </w:rPr>
              <w:t>Concepto C- 13</w:t>
            </w:r>
            <w:r w:rsidR="00CB733C" w:rsidRPr="006249C6">
              <w:rPr>
                <w:rFonts w:ascii="Verdana" w:eastAsia="Calibri" w:hAnsi="Verdana" w:cs="Arial"/>
                <w:b/>
                <w:bCs/>
                <w:lang w:val="es-ES" w:eastAsia="es-ES"/>
              </w:rPr>
              <w:t>39</w:t>
            </w:r>
            <w:r w:rsidRPr="006249C6">
              <w:rPr>
                <w:rFonts w:ascii="Verdana" w:eastAsia="Calibri" w:hAnsi="Verdana" w:cs="Arial"/>
                <w:b/>
                <w:bCs/>
                <w:lang w:val="es-ES" w:eastAsia="es-ES"/>
              </w:rPr>
              <w:t xml:space="preserve"> de 2025</w:t>
            </w:r>
          </w:p>
          <w:p w14:paraId="4DE12661" w14:textId="77777777" w:rsidR="00C57DF7" w:rsidRPr="006249C6" w:rsidRDefault="00C57DF7" w:rsidP="006249C6">
            <w:pPr>
              <w:jc w:val="both"/>
              <w:rPr>
                <w:rFonts w:ascii="Verdana" w:eastAsia="Calibri" w:hAnsi="Verdana" w:cs="Arial"/>
                <w:b/>
                <w:bCs/>
                <w:lang w:val="es-ES" w:eastAsia="es-ES"/>
              </w:rPr>
            </w:pPr>
          </w:p>
        </w:tc>
      </w:tr>
      <w:tr w:rsidR="00C57DF7" w:rsidRPr="006249C6" w14:paraId="34394E2F" w14:textId="77777777" w:rsidTr="00333300">
        <w:trPr>
          <w:trHeight w:val="884"/>
        </w:trPr>
        <w:tc>
          <w:tcPr>
            <w:tcW w:w="2175" w:type="dxa"/>
            <w:hideMark/>
          </w:tcPr>
          <w:p w14:paraId="3FBD0497" w14:textId="77777777" w:rsidR="00C57DF7" w:rsidRPr="006249C6" w:rsidRDefault="00C57DF7" w:rsidP="006249C6">
            <w:pPr>
              <w:jc w:val="both"/>
              <w:rPr>
                <w:rFonts w:ascii="Verdana" w:eastAsia="Calibri" w:hAnsi="Verdana" w:cs="Arial"/>
                <w:color w:val="000000"/>
                <w:lang w:val="es-ES_tradnl" w:eastAsia="es-ES_tradnl"/>
              </w:rPr>
            </w:pPr>
            <w:r w:rsidRPr="006249C6">
              <w:rPr>
                <w:rFonts w:ascii="Verdana" w:eastAsia="Calibri" w:hAnsi="Verdana" w:cs="Arial"/>
                <w:b/>
                <w:color w:val="000000"/>
                <w:lang w:val="es-ES_tradnl" w:eastAsia="es-ES_tradnl"/>
              </w:rPr>
              <w:t>Temas:</w:t>
            </w:r>
            <w:r w:rsidRPr="006249C6">
              <w:rPr>
                <w:rFonts w:ascii="Verdana" w:eastAsia="Calibri" w:hAnsi="Verdana" w:cs="Arial"/>
                <w:color w:val="000000"/>
                <w:lang w:val="es-ES_tradnl" w:eastAsia="es-ES_tradnl"/>
              </w:rPr>
              <w:t xml:space="preserve">                   </w:t>
            </w:r>
          </w:p>
        </w:tc>
        <w:tc>
          <w:tcPr>
            <w:tcW w:w="6614" w:type="dxa"/>
            <w:hideMark/>
          </w:tcPr>
          <w:p w14:paraId="2D485260" w14:textId="77777777" w:rsidR="006249C6" w:rsidRPr="00C40D52" w:rsidRDefault="006249C6" w:rsidP="006249C6">
            <w:pPr>
              <w:jc w:val="both"/>
              <w:rPr>
                <w:rFonts w:ascii="Verdana" w:eastAsia="Times New Roman" w:hAnsi="Verdana" w:cs="Arial"/>
                <w:lang w:val="es-ES_tradnl" w:eastAsia="es-CO"/>
              </w:rPr>
            </w:pPr>
            <w:r w:rsidRPr="00C40D52">
              <w:rPr>
                <w:rFonts w:ascii="Verdana" w:eastAsia="Calibri" w:hAnsi="Verdana" w:cs="Arial"/>
                <w:lang w:val="es-ES_tradnl"/>
              </w:rPr>
              <w:t xml:space="preserve">SOCIEDADES DE ECONOMÍA MIXTA – Concepto – Naturaleza jurídica / LEY DE GARANTÍAS ELECTORALES ─ Prohibición ‒ Contratación directa ‒ Alcance – </w:t>
            </w:r>
            <w:r w:rsidRPr="00C40D52">
              <w:rPr>
                <w:rFonts w:ascii="Verdana" w:eastAsia="Times New Roman" w:hAnsi="Verdana" w:cs="Arial"/>
                <w:lang w:val="es-ES_tradnl" w:eastAsia="es-CO"/>
              </w:rPr>
              <w:t>Excepciones</w:t>
            </w:r>
          </w:p>
          <w:p w14:paraId="4E2138BC" w14:textId="77777777" w:rsidR="00C57DF7" w:rsidRPr="006249C6" w:rsidRDefault="00C57DF7" w:rsidP="006249C6">
            <w:pPr>
              <w:jc w:val="both"/>
              <w:rPr>
                <w:rFonts w:ascii="Verdana" w:hAnsi="Verdana" w:cs="Arial"/>
                <w:bCs/>
                <w:color w:val="000000" w:themeColor="text1"/>
                <w:lang w:val="es-ES_tradnl"/>
              </w:rPr>
            </w:pPr>
          </w:p>
          <w:p w14:paraId="6B8A5059" w14:textId="77777777" w:rsidR="00C57DF7" w:rsidRPr="006249C6" w:rsidRDefault="00C57DF7" w:rsidP="006249C6">
            <w:pPr>
              <w:jc w:val="both"/>
              <w:rPr>
                <w:rFonts w:ascii="Verdana" w:eastAsia="Calibri" w:hAnsi="Verdana" w:cs="Arial"/>
                <w:lang w:val="es-ES" w:eastAsia="es-ES"/>
              </w:rPr>
            </w:pPr>
          </w:p>
        </w:tc>
      </w:tr>
      <w:tr w:rsidR="00C57DF7" w:rsidRPr="006249C6" w14:paraId="65795907" w14:textId="77777777" w:rsidTr="00333300">
        <w:tc>
          <w:tcPr>
            <w:tcW w:w="2175" w:type="dxa"/>
            <w:hideMark/>
          </w:tcPr>
          <w:p w14:paraId="157931A0" w14:textId="77777777" w:rsidR="00C57DF7" w:rsidRPr="006249C6" w:rsidRDefault="00C57DF7" w:rsidP="006249C6">
            <w:pPr>
              <w:jc w:val="both"/>
              <w:rPr>
                <w:rFonts w:ascii="Verdana" w:eastAsia="Calibri" w:hAnsi="Verdana" w:cs="Arial"/>
                <w:b/>
                <w:color w:val="7030A0"/>
                <w:lang w:val="es-ES_tradnl" w:eastAsia="es-ES_tradnl"/>
              </w:rPr>
            </w:pPr>
            <w:r w:rsidRPr="006249C6">
              <w:rPr>
                <w:rFonts w:ascii="Verdana" w:eastAsia="Calibri" w:hAnsi="Verdana" w:cs="Arial"/>
                <w:b/>
                <w:lang w:val="es-ES_tradnl" w:eastAsia="es-ES_tradnl"/>
              </w:rPr>
              <w:t>Radicación:</w:t>
            </w:r>
            <w:r w:rsidRPr="006249C6">
              <w:rPr>
                <w:rFonts w:ascii="Verdana" w:eastAsia="Calibri" w:hAnsi="Verdana" w:cs="Arial"/>
                <w:lang w:val="es-ES_tradnl" w:eastAsia="es-ES_tradnl"/>
              </w:rPr>
              <w:t xml:space="preserve">               </w:t>
            </w:r>
          </w:p>
        </w:tc>
        <w:tc>
          <w:tcPr>
            <w:tcW w:w="6614" w:type="dxa"/>
          </w:tcPr>
          <w:p w14:paraId="657184B7" w14:textId="281C455C" w:rsidR="00C57DF7" w:rsidRPr="006249C6" w:rsidRDefault="00C57DF7" w:rsidP="006249C6">
            <w:pPr>
              <w:jc w:val="both"/>
              <w:rPr>
                <w:rFonts w:ascii="Verdana" w:eastAsia="Calibri" w:hAnsi="Verdana" w:cs="Arial"/>
                <w:lang w:val="es-ES_tradnl" w:eastAsia="es-ES_tradnl"/>
              </w:rPr>
            </w:pPr>
            <w:r w:rsidRPr="006249C6">
              <w:rPr>
                <w:rFonts w:ascii="Verdana" w:eastAsia="Calibri" w:hAnsi="Verdana" w:cs="Arial"/>
                <w:lang w:val="es-ES_tradnl" w:eastAsia="es-ES_tradnl"/>
              </w:rPr>
              <w:t xml:space="preserve">Respuesta a consulta con radicado No. </w:t>
            </w:r>
            <w:r w:rsidR="00C66F5A" w:rsidRPr="006249C6">
              <w:rPr>
                <w:rFonts w:ascii="Verdana" w:eastAsia="Calibri" w:hAnsi="Verdana" w:cs="Arial"/>
                <w:lang w:val="es-ES_tradnl" w:eastAsia="es-ES_tradnl"/>
              </w:rPr>
              <w:t>1_2025_09_18_010254.</w:t>
            </w:r>
          </w:p>
          <w:p w14:paraId="4EFD4628" w14:textId="77777777" w:rsidR="00C57DF7" w:rsidRPr="006249C6" w:rsidRDefault="00C57DF7" w:rsidP="006249C6">
            <w:pPr>
              <w:jc w:val="both"/>
              <w:rPr>
                <w:rFonts w:ascii="Verdana" w:eastAsia="Calibri" w:hAnsi="Verdana" w:cs="Arial"/>
                <w:lang w:val="es-ES_tradnl" w:eastAsia="es-ES_tradnl"/>
              </w:rPr>
            </w:pPr>
          </w:p>
        </w:tc>
      </w:tr>
    </w:tbl>
    <w:p w14:paraId="3530DA51" w14:textId="77777777" w:rsidR="00B240A5" w:rsidRPr="006249C6" w:rsidRDefault="00B240A5" w:rsidP="00C40D52">
      <w:pPr>
        <w:spacing w:after="0" w:line="240" w:lineRule="auto"/>
        <w:jc w:val="both"/>
        <w:rPr>
          <w:rFonts w:ascii="Verdana" w:eastAsia="Calibri" w:hAnsi="Verdana" w:cs="Arial"/>
          <w:color w:val="000000" w:themeColor="text1"/>
          <w:lang w:val="es-ES" w:eastAsia="es-ES"/>
        </w:rPr>
      </w:pPr>
    </w:p>
    <w:p w14:paraId="7B593BFA" w14:textId="1D7BE5F0" w:rsidR="00C57DF7" w:rsidRDefault="00C57DF7" w:rsidP="00C57DF7">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Estimada </w:t>
      </w:r>
      <w:r w:rsidR="00B240A5">
        <w:rPr>
          <w:rFonts w:ascii="Verdana" w:eastAsia="Calibri" w:hAnsi="Verdana" w:cs="Arial"/>
          <w:color w:val="000000" w:themeColor="text1"/>
          <w:lang w:val="es-ES" w:eastAsia="es-ES"/>
        </w:rPr>
        <w:t>señora</w:t>
      </w:r>
      <w:r>
        <w:rPr>
          <w:rFonts w:ascii="Verdana" w:eastAsia="Calibri" w:hAnsi="Verdana" w:cs="Arial"/>
          <w:color w:val="000000" w:themeColor="text1"/>
          <w:lang w:val="es-ES" w:eastAsia="es-ES"/>
        </w:rPr>
        <w:t xml:space="preserve"> </w:t>
      </w:r>
      <w:r w:rsidR="00B240A5" w:rsidRPr="00B240A5">
        <w:rPr>
          <w:rFonts w:ascii="Verdana" w:eastAsia="Calibri" w:hAnsi="Verdana" w:cs="Arial"/>
          <w:color w:val="000000" w:themeColor="text1"/>
          <w:lang w:val="es-ES" w:eastAsia="es-ES"/>
        </w:rPr>
        <w:t>Bolívar Gutiérrez</w:t>
      </w:r>
      <w:r>
        <w:rPr>
          <w:rFonts w:ascii="Verdana" w:eastAsia="Calibri" w:hAnsi="Verdana" w:cs="Arial"/>
          <w:color w:val="000000" w:themeColor="text1"/>
          <w:lang w:val="es-ES" w:eastAsia="es-ES"/>
        </w:rPr>
        <w:t>,</w:t>
      </w:r>
    </w:p>
    <w:p w14:paraId="295EEF3E" w14:textId="77777777" w:rsidR="00C57DF7" w:rsidRDefault="00C57DF7" w:rsidP="00C57DF7">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A0CD618" w14:textId="31057B36" w:rsidR="00C57DF7" w:rsidRDefault="00C57DF7" w:rsidP="00C57DF7">
      <w:pPr>
        <w:spacing w:after="0" w:line="276" w:lineRule="auto"/>
        <w:jc w:val="both"/>
        <w:rPr>
          <w:rFonts w:ascii="Verdana" w:eastAsia="Calibri" w:hAnsi="Verdana" w:cs="Arial"/>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la Agencia Nacional de Contratación Pública – Colombia Compra Eficiente– responde su solicitud de consulta del 1</w:t>
      </w:r>
      <w:r w:rsidR="00DE50AF">
        <w:rPr>
          <w:rFonts w:ascii="Verdana" w:eastAsia="Calibri" w:hAnsi="Verdana" w:cs="Arial"/>
          <w:lang w:val="es-ES" w:eastAsia="es-ES"/>
        </w:rPr>
        <w:t>8</w:t>
      </w:r>
      <w:r>
        <w:rPr>
          <w:rFonts w:ascii="Verdana" w:eastAsia="Calibri" w:hAnsi="Verdana" w:cs="Arial"/>
          <w:lang w:val="es-ES" w:eastAsia="es-ES"/>
        </w:rPr>
        <w:t xml:space="preserve"> de septiembre de 2025, en la cual manifiesta lo siguiente: </w:t>
      </w:r>
    </w:p>
    <w:p w14:paraId="197E35E1" w14:textId="77777777" w:rsidR="00C57DF7" w:rsidRPr="004A2E18" w:rsidRDefault="00C57DF7" w:rsidP="00C57DF7">
      <w:pPr>
        <w:spacing w:after="0" w:line="276" w:lineRule="auto"/>
        <w:jc w:val="both"/>
        <w:rPr>
          <w:rFonts w:ascii="Verdana" w:eastAsia="Calibri" w:hAnsi="Verdana" w:cs="Arial"/>
          <w:i/>
          <w:iCs/>
          <w:sz w:val="21"/>
          <w:szCs w:val="21"/>
          <w:lang w:val="es-ES" w:eastAsia="es-ES"/>
        </w:rPr>
      </w:pPr>
    </w:p>
    <w:p w14:paraId="418C691D" w14:textId="22F353A0" w:rsidR="00FB1C17" w:rsidRPr="00FB1C17" w:rsidRDefault="00FB1C17" w:rsidP="00FB1C17">
      <w:pPr>
        <w:spacing w:after="0" w:line="240" w:lineRule="auto"/>
        <w:ind w:left="709" w:right="709"/>
        <w:contextualSpacing/>
        <w:jc w:val="both"/>
        <w:rPr>
          <w:rFonts w:ascii="Verdana" w:eastAsia="Times New Roman" w:hAnsi="Verdana" w:cs="Arial"/>
          <w:sz w:val="20"/>
          <w:szCs w:val="20"/>
          <w:lang w:eastAsia="es-ES_tradnl"/>
        </w:rPr>
      </w:pPr>
      <w:r>
        <w:rPr>
          <w:rFonts w:ascii="Verdana" w:eastAsia="Times New Roman" w:hAnsi="Verdana" w:cs="Arial"/>
          <w:sz w:val="20"/>
          <w:szCs w:val="20"/>
          <w:lang w:eastAsia="es-ES_tradnl"/>
        </w:rPr>
        <w:t>“</w:t>
      </w:r>
      <w:r w:rsidR="0020501F" w:rsidRPr="00FB1C17">
        <w:rPr>
          <w:rFonts w:ascii="Verdana" w:eastAsia="Times New Roman" w:hAnsi="Verdana" w:cs="Arial"/>
          <w:sz w:val="20"/>
          <w:szCs w:val="20"/>
          <w:lang w:eastAsia="es-ES_tradnl"/>
        </w:rPr>
        <w:t xml:space="preserve">Se aproximas las elecciones al Congreso y a la Presidencia de la República (año 2026). ¿La Ley de garantías (Ley 996 de 2005) y demás normas complementarias aplica a las sociedades de economía mixta con participación del 51% del sector público de orden Departamental, de naturaleza comercial en los procesos contractuales internos para el cumplimiento de su objeto misional? ¿Se podría contratar al personal y la provisión de insumos para el funcionamiento de la empresa en enero del año </w:t>
      </w:r>
      <w:r w:rsidRPr="00FB1C17">
        <w:rPr>
          <w:rFonts w:ascii="Verdana" w:eastAsia="Times New Roman" w:hAnsi="Verdana" w:cs="Arial"/>
          <w:sz w:val="20"/>
          <w:szCs w:val="20"/>
          <w:lang w:eastAsia="es-ES_tradnl"/>
        </w:rPr>
        <w:t>2026?” [sic]</w:t>
      </w:r>
    </w:p>
    <w:p w14:paraId="73C0C41B" w14:textId="77777777" w:rsidR="00FB1C17" w:rsidRDefault="00FB1C17" w:rsidP="00FB1C17">
      <w:pPr>
        <w:spacing w:after="0" w:line="276" w:lineRule="auto"/>
        <w:jc w:val="both"/>
        <w:rPr>
          <w:rFonts w:ascii="Verdana" w:eastAsia="Calibri" w:hAnsi="Verdana" w:cs="Arial"/>
          <w:color w:val="000000"/>
          <w:lang w:val="es-ES" w:eastAsia="es-ES"/>
        </w:rPr>
      </w:pPr>
    </w:p>
    <w:p w14:paraId="4DDF37A4" w14:textId="42A94B76" w:rsidR="00C57DF7" w:rsidRDefault="00C57DF7" w:rsidP="00FB1C17">
      <w:pPr>
        <w:spacing w:after="0" w:line="276" w:lineRule="auto"/>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Pr>
          <w:rFonts w:ascii="Verdana" w:eastAsia="Calibri" w:hAnsi="Verdana" w:cs="Arial"/>
          <w:color w:val="000000"/>
          <w:lang w:val="es-ES" w:eastAsia="es-ES"/>
        </w:rPr>
        <w:lastRenderedPageBreak/>
        <w:t xml:space="preserve">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582DB46A" w14:textId="77777777" w:rsidR="00FB1C17" w:rsidRPr="00FB1C17" w:rsidRDefault="00FB1C17" w:rsidP="00FB1C17">
      <w:pPr>
        <w:spacing w:after="0" w:line="276" w:lineRule="auto"/>
        <w:jc w:val="both"/>
        <w:rPr>
          <w:rFonts w:ascii="Verdana" w:eastAsia="Calibri" w:hAnsi="Verdana" w:cs="Arial"/>
          <w:color w:val="000000"/>
          <w:lang w:val="es-ES" w:eastAsia="es-ES"/>
        </w:rPr>
      </w:pPr>
    </w:p>
    <w:p w14:paraId="07667BC1" w14:textId="77777777" w:rsidR="00C57DF7" w:rsidRDefault="00C57DF7" w:rsidP="00C57DF7">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01A6412E" w14:textId="77777777" w:rsidR="00C57DF7" w:rsidRDefault="00C57DF7" w:rsidP="00C57DF7">
      <w:pPr>
        <w:spacing w:after="0" w:line="276" w:lineRule="auto"/>
        <w:ind w:firstLine="709"/>
        <w:jc w:val="both"/>
        <w:rPr>
          <w:rFonts w:ascii="Verdana" w:eastAsia="Calibri" w:hAnsi="Verdana" w:cs="Arial"/>
          <w:color w:val="000000"/>
          <w:lang w:val="es-ES" w:eastAsia="es-ES"/>
        </w:rPr>
      </w:pPr>
    </w:p>
    <w:p w14:paraId="621F3FAD" w14:textId="77777777" w:rsidR="00C57DF7" w:rsidRDefault="00C57DF7" w:rsidP="00C57DF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63DAB201" w14:textId="77777777" w:rsidR="00C57DF7" w:rsidRDefault="00C57DF7" w:rsidP="00C57DF7">
      <w:pPr>
        <w:tabs>
          <w:tab w:val="left" w:pos="426"/>
        </w:tabs>
        <w:spacing w:after="0" w:line="276" w:lineRule="auto"/>
        <w:jc w:val="both"/>
        <w:rPr>
          <w:rFonts w:ascii="Verdana" w:eastAsia="Century Gothic" w:hAnsi="Verdana" w:cs="Century Gothic"/>
          <w:lang w:val="es-ES"/>
        </w:rPr>
      </w:pPr>
    </w:p>
    <w:p w14:paraId="57EBB3B8" w14:textId="623E9E9E" w:rsidR="00C57DF7" w:rsidRPr="008B4B83" w:rsidRDefault="00C57DF7" w:rsidP="00C57DF7">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los siguientes problemas jurídicos: </w:t>
      </w:r>
      <w:r w:rsidRPr="008B4B83">
        <w:rPr>
          <w:rFonts w:ascii="Verdana" w:eastAsia="Century Gothic" w:hAnsi="Verdana" w:cs="Century Gothic"/>
        </w:rPr>
        <w:t>En el marco de las próximas elecciones 1. ¿cuáles son las restricciones de la Ley de Garantías Electorales en materia de contratación para las Entidades Estatales</w:t>
      </w:r>
      <w:r>
        <w:rPr>
          <w:rFonts w:ascii="Verdana" w:eastAsia="Century Gothic" w:hAnsi="Verdana" w:cs="Century Gothic"/>
        </w:rPr>
        <w:t xml:space="preserve"> 2. </w:t>
      </w:r>
      <w:r w:rsidR="00A043FE" w:rsidRPr="000159F4">
        <w:rPr>
          <w:rFonts w:ascii="Verdana" w:eastAsia="Century Gothic" w:hAnsi="Verdana" w:cs="Century Gothic"/>
        </w:rPr>
        <w:t>¿</w:t>
      </w:r>
      <w:r w:rsidR="006C614B">
        <w:rPr>
          <w:rFonts w:ascii="Verdana" w:eastAsia="Century Gothic" w:hAnsi="Verdana" w:cs="Century Gothic"/>
        </w:rPr>
        <w:t>Las restricciones consagradas en la Ley de Garantías Electorales aplican a las sociedades de economía mixta</w:t>
      </w:r>
      <w:r w:rsidR="00A043FE">
        <w:rPr>
          <w:rFonts w:ascii="Verdana" w:eastAsia="Century Gothic" w:hAnsi="Verdana" w:cs="Century Gothic"/>
        </w:rPr>
        <w:t>?</w:t>
      </w:r>
      <w:r>
        <w:rPr>
          <w:rFonts w:ascii="Verdana" w:eastAsia="Century Gothic" w:hAnsi="Verdana" w:cs="Century Gothic"/>
        </w:rPr>
        <w:t xml:space="preserve"> </w:t>
      </w:r>
    </w:p>
    <w:p w14:paraId="085A6E24" w14:textId="77777777" w:rsidR="00C57DF7" w:rsidRDefault="00C57DF7" w:rsidP="00C57DF7">
      <w:pPr>
        <w:spacing w:after="0" w:line="276" w:lineRule="auto"/>
        <w:jc w:val="both"/>
        <w:rPr>
          <w:rFonts w:ascii="Verdana" w:eastAsia="Calibri" w:hAnsi="Verdana" w:cs="Arial"/>
          <w:color w:val="7030A0"/>
          <w:lang w:val="es-ES"/>
        </w:rPr>
      </w:pPr>
    </w:p>
    <w:p w14:paraId="10401BD2" w14:textId="77777777" w:rsidR="00C57DF7" w:rsidRDefault="00C57DF7" w:rsidP="00C57DF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0677F85F" w14:textId="77777777" w:rsidR="00C57DF7" w:rsidRDefault="00C57DF7" w:rsidP="00C57DF7">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57DF7" w:rsidRPr="00DE5508" w14:paraId="73702A4B" w14:textId="77777777" w:rsidTr="23D8F5BD">
        <w:tc>
          <w:tcPr>
            <w:tcW w:w="8828" w:type="dxa"/>
            <w:tcBorders>
              <w:top w:val="dotted" w:sz="4" w:space="0" w:color="auto"/>
              <w:left w:val="dotted" w:sz="4" w:space="0" w:color="auto"/>
              <w:bottom w:val="dotted" w:sz="4" w:space="0" w:color="auto"/>
              <w:right w:val="dotted" w:sz="4" w:space="0" w:color="auto"/>
            </w:tcBorders>
          </w:tcPr>
          <w:p w14:paraId="26D2DA87" w14:textId="77777777" w:rsidR="008C5CED" w:rsidRPr="00C40D52" w:rsidRDefault="008C5CED" w:rsidP="008C5CED">
            <w:pPr>
              <w:spacing w:after="120" w:line="276" w:lineRule="auto"/>
              <w:jc w:val="both"/>
              <w:rPr>
                <w:rFonts w:ascii="Verdana" w:eastAsia="Calibri" w:hAnsi="Verdana" w:cs="Arial"/>
                <w:lang w:val="es-ES_tradnl"/>
              </w:rPr>
            </w:pPr>
            <w:r w:rsidRPr="00C40D52">
              <w:rPr>
                <w:rFonts w:ascii="Verdana" w:eastAsia="Calibri" w:hAnsi="Verdana" w:cs="Arial"/>
                <w:lang w:val="es-ES_tradnl"/>
              </w:rPr>
              <w:t>El artículo 33 de la Ley 996 de 2005 establece una restricción en atención a la cual,</w:t>
            </w:r>
            <w:r w:rsidRPr="00C40D52">
              <w:rPr>
                <w:rFonts w:ascii="Verdana" w:eastAsia="Calibri" w:hAnsi="Verdana" w:cs="Arial"/>
                <w:sz w:val="25"/>
                <w:szCs w:val="25"/>
                <w:shd w:val="clear" w:color="auto" w:fill="FFFFFF"/>
                <w:lang w:val="es-ES_tradnl"/>
              </w:rPr>
              <w:t xml:space="preserve"> </w:t>
            </w:r>
            <w:r w:rsidRPr="00C40D52">
              <w:rPr>
                <w:rFonts w:ascii="Verdana" w:eastAsia="Calibri" w:hAnsi="Verdana" w:cs="Arial"/>
                <w:lang w:val="es-ES_tradnl"/>
              </w:rPr>
              <w:t>durante los cuatro meses anteriores a la elección presidencial y hasta la realización de la elección en la segunda vuelta, si fuere el caso, está prohibida la contratación directa por parte de todos los entes del Estado. Esto implica que la celebración de contratos, cuya selección del contratista se realice de manera directa está prohibida durante el período de aplicación de esta restricción, en los términos explicados en las consideraciones.</w:t>
            </w:r>
          </w:p>
          <w:p w14:paraId="02162E16" w14:textId="77777777" w:rsidR="008C5CED" w:rsidRPr="00C40D52" w:rsidRDefault="008C5CED" w:rsidP="00C40D52">
            <w:pPr>
              <w:spacing w:after="120" w:line="276" w:lineRule="auto"/>
              <w:ind w:firstLine="709"/>
              <w:jc w:val="both"/>
              <w:rPr>
                <w:rFonts w:ascii="Verdana" w:eastAsia="Times New Roman" w:hAnsi="Verdana" w:cs="Arial"/>
                <w:lang w:val="es-ES" w:eastAsia="es-CO"/>
              </w:rPr>
            </w:pPr>
            <w:r w:rsidRPr="00C40D52">
              <w:rPr>
                <w:rFonts w:ascii="Verdana" w:eastAsia="Times New Roman" w:hAnsi="Verdana" w:cs="Arial"/>
                <w:lang w:val="es-ES"/>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en el inciso final del citado artículo 33 de la Ley 996 de 2005 en lo referente a: i) la defensa y seguridad del Estado; </w:t>
            </w:r>
            <w:proofErr w:type="spellStart"/>
            <w:r w:rsidRPr="00C40D52">
              <w:rPr>
                <w:rFonts w:ascii="Verdana" w:eastAsia="Times New Roman" w:hAnsi="Verdana" w:cs="Arial"/>
                <w:lang w:val="es-ES"/>
              </w:rPr>
              <w:t>ii</w:t>
            </w:r>
            <w:proofErr w:type="spellEnd"/>
            <w:r w:rsidRPr="00C40D52">
              <w:rPr>
                <w:rFonts w:ascii="Verdana" w:eastAsia="Times New Roman" w:hAnsi="Verdana" w:cs="Arial"/>
                <w:lang w:val="es-ES"/>
              </w:rPr>
              <w:t xml:space="preserve">) los contratos de crédito público; </w:t>
            </w:r>
            <w:proofErr w:type="spellStart"/>
            <w:r w:rsidRPr="00C40D52">
              <w:rPr>
                <w:rFonts w:ascii="Verdana" w:eastAsia="Times New Roman" w:hAnsi="Verdana" w:cs="Arial"/>
                <w:lang w:val="es-ES"/>
              </w:rPr>
              <w:t>iii</w:t>
            </w:r>
            <w:proofErr w:type="spellEnd"/>
            <w:r w:rsidRPr="00C40D52">
              <w:rPr>
                <w:rFonts w:ascii="Verdana" w:eastAsia="Times New Roman" w:hAnsi="Verdana" w:cs="Arial"/>
                <w:lang w:val="es-ES"/>
              </w:rPr>
              <w:t xml:space="preserve">) los requeridos </w:t>
            </w:r>
            <w:r w:rsidRPr="00C40D52">
              <w:rPr>
                <w:rFonts w:ascii="Verdana" w:eastAsia="Times New Roman" w:hAnsi="Verdana" w:cs="Arial"/>
                <w:lang w:val="es-ES"/>
              </w:rPr>
              <w:lastRenderedPageBreak/>
              <w:t xml:space="preserve">para cubrir las emergencias educativas, sanitarias y desastres; </w:t>
            </w:r>
            <w:proofErr w:type="spellStart"/>
            <w:r w:rsidRPr="00C40D52">
              <w:rPr>
                <w:rFonts w:ascii="Verdana" w:eastAsia="Times New Roman" w:hAnsi="Verdana" w:cs="Arial"/>
                <w:lang w:val="es-ES"/>
              </w:rPr>
              <w:t>iv</w:t>
            </w:r>
            <w:proofErr w:type="spellEnd"/>
            <w:r w:rsidRPr="00C40D52">
              <w:rPr>
                <w:rFonts w:ascii="Verdana" w:eastAsia="Times New Roman" w:hAnsi="Verdana" w:cs="Arial"/>
                <w:lang w:val="es-ES"/>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C40D52">
              <w:rPr>
                <w:rFonts w:ascii="Verdana" w:eastAsia="Times New Roman" w:hAnsi="Verdana" w:cs="Arial"/>
                <w:lang w:val="es-ES" w:eastAsia="es-CO"/>
              </w:rPr>
              <w:t xml:space="preserve"> Por ello,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27F2A895" w14:textId="77777777" w:rsidR="008C5CED" w:rsidRPr="00C40D52" w:rsidRDefault="008C5CED" w:rsidP="00C40D52">
            <w:pPr>
              <w:spacing w:after="120" w:line="276" w:lineRule="auto"/>
              <w:ind w:firstLine="709"/>
              <w:jc w:val="both"/>
              <w:rPr>
                <w:rFonts w:ascii="Verdana" w:eastAsia="Times New Roman" w:hAnsi="Verdana" w:cs="Arial"/>
                <w:bCs/>
                <w:lang w:val="es-ES_tradnl" w:eastAsia="x-none"/>
              </w:rPr>
            </w:pPr>
            <w:r w:rsidRPr="00C40D52">
              <w:rPr>
                <w:rFonts w:ascii="Verdana" w:eastAsia="Times New Roman" w:hAnsi="Verdana" w:cs="Arial"/>
                <w:bCs/>
                <w:lang w:val="es-ES_tradnl" w:eastAsia="x-none"/>
              </w:rPr>
              <w:t>Por otra parte, el artículo 33 de la Ley 996 de 2005 señala expresamente a los destinatarios de la prohibición, en el sentido de que son «todos los entes del Estado». Esto, de conformidad con lo expuesto, involucra a todas las entidades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233A2484" w14:textId="77777777" w:rsidR="008C5CED" w:rsidRPr="00C40D52" w:rsidRDefault="008C5CED" w:rsidP="00C40D52">
            <w:pPr>
              <w:spacing w:after="120" w:line="276" w:lineRule="auto"/>
              <w:ind w:firstLine="709"/>
              <w:jc w:val="both"/>
              <w:rPr>
                <w:rFonts w:ascii="Verdana" w:eastAsia="Times New Roman" w:hAnsi="Verdana" w:cs="Arial"/>
                <w:lang w:val="es-ES"/>
              </w:rPr>
            </w:pPr>
            <w:r w:rsidRPr="00C40D52">
              <w:rPr>
                <w:rFonts w:ascii="Verdana" w:eastAsia="Times New Roman" w:hAnsi="Verdana" w:cs="Arial"/>
                <w:lang w:val="es-ES"/>
              </w:rPr>
              <w:t>En consecuencia, las restricciones a la contratación contenidas en la Ley de Garantías Electorales son aplicables a entidades descentralizadas como las sociedades de economía mixta. Por lo tanto, la celebración de cualquier contrato de forma directa, esto es, sin que exista un proceso abierto y competitivo, también se encuentra restringida para este tipo de entidades, sin perjuicio de las excepciones expresamente previstas en el inciso final del artículo 33 de dicha norma.</w:t>
            </w:r>
          </w:p>
          <w:p w14:paraId="56897C3E" w14:textId="0BC03367" w:rsidR="00C57DF7" w:rsidRPr="00987A47" w:rsidRDefault="008C5CED" w:rsidP="00C40D52">
            <w:pPr>
              <w:spacing w:after="120" w:line="276" w:lineRule="auto"/>
              <w:ind w:firstLine="709"/>
              <w:jc w:val="both"/>
            </w:pPr>
            <w:r w:rsidRPr="00C40D52">
              <w:rPr>
                <w:rFonts w:ascii="Verdana" w:eastAsia="Times New Roman" w:hAnsi="Verdana" w:cs="Arial"/>
                <w:bCs/>
                <w:lang w:val="es-ES_tradnl" w:eastAsia="x-none"/>
              </w:rPr>
              <w:t xml:space="preserve">Finalmente, es importante reiterar lo explicado en las consideraciones, en el sentido de que </w:t>
            </w:r>
            <w:r w:rsidRPr="00C40D52">
              <w:rPr>
                <w:rFonts w:ascii="Verdana" w:hAnsi="Verdana" w:cs="Arial"/>
                <w:bCs/>
                <w:lang w:val="es-ES_tradnl" w:eastAsia="es-CO"/>
              </w:rPr>
              <w:t xml:space="preserve">el parágrafo del artículo 38 de la Ley 996 de 2005 prohíbe a los alcaldes, gobernadores, secretarios, gerentes y directores de las entidades del orden municipal, departamental o distrital celebrar convenios y contratos interadministrativos para la ejecución de recursos públicos dentro de los cuatro (4) meses anteriores a las elecciones, lo que incluye las elecciones al Congreso de la República que se realizarán el próximo 13 de marzo de 2022. Así las cosas, si una o ambas partes de la relación contractual es una entidad de aquellas descritas en el parágrafo </w:t>
            </w:r>
            <w:r w:rsidRPr="00C40D52">
              <w:rPr>
                <w:rFonts w:ascii="Verdana" w:hAnsi="Verdana" w:cs="Arial"/>
                <w:bCs/>
                <w:i/>
                <w:iCs/>
                <w:lang w:val="es-ES_tradnl" w:eastAsia="es-CO"/>
              </w:rPr>
              <w:t>ibidem</w:t>
            </w:r>
            <w:r w:rsidRPr="00C40D52">
              <w:rPr>
                <w:rFonts w:ascii="Verdana" w:hAnsi="Verdana" w:cs="Arial"/>
                <w:bCs/>
                <w:lang w:val="es-ES_tradnl" w:eastAsia="es-CO"/>
              </w:rPr>
              <w:t xml:space="preserve">, no podrá celebrar tales convenios o contratos interadministrativos durante el ámbito temporal de esta prohibición, toda vez que la citada disposición hace referencia a dicha tipología contractual sin que el legislador hubiere contemplado excepción alguna frente a la modalidad de selección o naturaleza de su objeto. Por tanto, de acuerdo con el marco jurídico expuesto le corresponderá a cada entidad </w:t>
            </w:r>
            <w:r w:rsidRPr="00C40D52">
              <w:rPr>
                <w:rFonts w:ascii="Verdana" w:hAnsi="Verdana" w:cs="Arial"/>
                <w:bCs/>
                <w:lang w:val="es-ES_tradnl" w:eastAsia="es-CO"/>
              </w:rPr>
              <w:lastRenderedPageBreak/>
              <w:t>estatal definir la forma como adelanta su actividad contractual, de manera que resulte armónica con las prohibiciones establecidas en la Ley 996 de 2005.</w:t>
            </w:r>
          </w:p>
        </w:tc>
      </w:tr>
    </w:tbl>
    <w:p w14:paraId="4356955E" w14:textId="77777777" w:rsidR="00C763FF" w:rsidRDefault="00C763FF" w:rsidP="00C40D52">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1136766" w14:textId="4622E276" w:rsidR="00C57DF7" w:rsidRDefault="00C57DF7" w:rsidP="00C763F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50727A1D" w14:textId="77777777" w:rsidR="00C57DF7" w:rsidRDefault="00C57DF7" w:rsidP="00C763FF">
      <w:pPr>
        <w:spacing w:after="0" w:line="276" w:lineRule="auto"/>
        <w:jc w:val="both"/>
        <w:rPr>
          <w:rFonts w:ascii="Verdana" w:eastAsia="Calibri" w:hAnsi="Verdana" w:cs="Arial"/>
          <w:color w:val="7030A0"/>
          <w:lang w:val="es-ES"/>
        </w:rPr>
      </w:pPr>
    </w:p>
    <w:p w14:paraId="52C37E01" w14:textId="77777777" w:rsidR="00C57DF7" w:rsidRDefault="00C57DF7" w:rsidP="00C763FF">
      <w:pPr>
        <w:spacing w:after="0" w:line="276" w:lineRule="auto"/>
        <w:jc w:val="both"/>
        <w:rPr>
          <w:rFonts w:ascii="Verdana" w:eastAsia="Calibri" w:hAnsi="Verdana" w:cs="Arial"/>
          <w:lang w:val="es-ES"/>
        </w:rPr>
      </w:pPr>
      <w:r>
        <w:rPr>
          <w:rFonts w:ascii="Verdana" w:eastAsia="Calibri" w:hAnsi="Verdana" w:cs="Arial"/>
          <w:lang w:val="es-ES"/>
        </w:rPr>
        <w:t xml:space="preserve">Lo anterior se sustenta en las siguientes consideraciones: </w:t>
      </w:r>
    </w:p>
    <w:p w14:paraId="30C5D38A" w14:textId="77777777" w:rsidR="00C57DF7" w:rsidRDefault="00C57DF7" w:rsidP="00C763FF">
      <w:pPr>
        <w:widowControl w:val="0"/>
        <w:autoSpaceDE w:val="0"/>
        <w:autoSpaceDN w:val="0"/>
        <w:spacing w:after="0" w:line="276" w:lineRule="auto"/>
        <w:ind w:right="176"/>
        <w:jc w:val="both"/>
        <w:rPr>
          <w:rFonts w:ascii="Verdana" w:eastAsia="Calibri" w:hAnsi="Verdana" w:cs="Arial"/>
          <w:lang w:val="es-ES"/>
        </w:rPr>
      </w:pPr>
    </w:p>
    <w:p w14:paraId="0B657413" w14:textId="238BEAE2" w:rsidR="00C763FF" w:rsidRPr="00C40D52" w:rsidRDefault="00C763FF" w:rsidP="00C763FF">
      <w:pPr>
        <w:autoSpaceDE w:val="0"/>
        <w:autoSpaceDN w:val="0"/>
        <w:adjustRightInd w:val="0"/>
        <w:spacing w:after="120" w:line="276" w:lineRule="auto"/>
        <w:jc w:val="both"/>
        <w:rPr>
          <w:rFonts w:ascii="Verdana" w:hAnsi="Verdana" w:cs="Arial"/>
          <w:lang w:val="es-ES_tradnl"/>
        </w:rPr>
      </w:pPr>
      <w:r w:rsidRPr="00C40D52">
        <w:rPr>
          <w:rFonts w:ascii="Verdana" w:hAnsi="Verdana" w:cs="Arial"/>
          <w:color w:val="000000" w:themeColor="text1"/>
          <w:lang w:val="es-ES_tradnl"/>
        </w:rPr>
        <w:t>i) En nuestro ordenamiento jurídico, el</w:t>
      </w:r>
      <w:r w:rsidRPr="00C40D52">
        <w:rPr>
          <w:rFonts w:ascii="Verdana" w:hAnsi="Verdana" w:cs="Arial"/>
          <w:lang w:val="es-ES_tradnl"/>
        </w:rPr>
        <w:t xml:space="preserve"> artículo 97 de la Ley 489 de 1998 define a las sociedades de economía mixta como organismos autorizados por la ley, constituidos como sociedades comerciales, con aportes de capital público y privado, que desarrollan actividades de naturaleza industrial o comercial conforme a las reglas del derecho privado, salvo las excepciones que consagra la ley.</w:t>
      </w:r>
    </w:p>
    <w:p w14:paraId="4E22B03A" w14:textId="77777777" w:rsidR="00C763FF" w:rsidRPr="00C40D52" w:rsidRDefault="00C763FF" w:rsidP="23D8F5BD">
      <w:pPr>
        <w:spacing w:after="120" w:line="276" w:lineRule="auto"/>
        <w:ind w:firstLine="709"/>
        <w:jc w:val="both"/>
        <w:textAlignment w:val="baseline"/>
        <w:rPr>
          <w:rFonts w:ascii="Verdana" w:eastAsia="Times New Roman" w:hAnsi="Verdana" w:cs="Arial"/>
          <w:lang w:val="es-ES" w:eastAsia="es-MX"/>
        </w:rPr>
      </w:pPr>
      <w:r w:rsidRPr="00C40D52">
        <w:rPr>
          <w:rFonts w:ascii="Verdana" w:eastAsia="Times New Roman" w:hAnsi="Verdana" w:cs="Arial"/>
          <w:lang w:val="es-ES" w:eastAsia="es-MX"/>
        </w:rPr>
        <w:t>En este sentido, la misma Ley, en los artículos 38 y 68, clasifica a las sociedades de economía mixta como entidades descentralizadas por servicios, con personería jurídica, autonomía administrativa y patrimonio propio</w:t>
      </w:r>
      <w:r w:rsidRPr="00C40D52">
        <w:rPr>
          <w:rStyle w:val="Refdenotaalpie"/>
          <w:rFonts w:ascii="Verdana" w:eastAsia="Times New Roman" w:hAnsi="Verdana" w:cs="Arial"/>
          <w:lang w:val="es-ES_tradnl" w:eastAsia="es-MX"/>
        </w:rPr>
        <w:footnoteReference w:id="2"/>
      </w:r>
      <w:r w:rsidRPr="00C40D52">
        <w:rPr>
          <w:rFonts w:ascii="Verdana" w:eastAsia="Times New Roman" w:hAnsi="Verdana" w:cs="Arial"/>
          <w:lang w:val="es-ES" w:eastAsia="es-MX"/>
        </w:rPr>
        <w:t>, que pueden ser del orden nacional, departamental o municipal, según su órgano de creación</w:t>
      </w:r>
      <w:r w:rsidRPr="00C40D52">
        <w:rPr>
          <w:rStyle w:val="Refdenotaalpie"/>
          <w:rFonts w:ascii="Verdana" w:eastAsia="Times New Roman" w:hAnsi="Verdana" w:cs="Arial"/>
          <w:lang w:val="es-ES_tradnl" w:eastAsia="es-MX"/>
        </w:rPr>
        <w:footnoteReference w:id="3"/>
      </w:r>
      <w:r w:rsidRPr="00C40D52">
        <w:rPr>
          <w:rFonts w:ascii="Verdana" w:eastAsia="Times New Roman" w:hAnsi="Verdana" w:cs="Arial"/>
          <w:lang w:val="es-ES" w:eastAsia="es-MX"/>
        </w:rPr>
        <w:t xml:space="preserve">. Al respecto, la Corte Constitucional, en sentencias C-736 del 19 de septiembre de 2007, C-118 del 14 de noviembre de 2018 y C-306 del 10 de julio de 2019, ha considerado que las sociedades estudiadas, desde una perspectiva constitucional, se caracterizan por los siguientes aspectos: i) pertenecen a la rama ejecutiva del poder público, como manifestación de la descentralización por servicios. Así mismo, </w:t>
      </w:r>
      <w:proofErr w:type="spellStart"/>
      <w:r w:rsidRPr="00C40D52">
        <w:rPr>
          <w:rFonts w:ascii="Verdana" w:eastAsia="Times New Roman" w:hAnsi="Verdana" w:cs="Arial"/>
          <w:lang w:val="es-ES" w:eastAsia="es-MX"/>
        </w:rPr>
        <w:t>ii</w:t>
      </w:r>
      <w:proofErr w:type="spellEnd"/>
      <w:r w:rsidRPr="00C40D52">
        <w:rPr>
          <w:rFonts w:ascii="Verdana" w:eastAsia="Times New Roman" w:hAnsi="Verdana" w:cs="Arial"/>
          <w:lang w:val="es-ES" w:eastAsia="es-MX"/>
        </w:rPr>
        <w:t xml:space="preserve">) están sujetas al control fiscal, financiero, de gestión y de resultados en cabeza de la Contraloría General de la República. Por otra parte, </w:t>
      </w:r>
      <w:proofErr w:type="spellStart"/>
      <w:r w:rsidRPr="00C40D52">
        <w:rPr>
          <w:rFonts w:ascii="Verdana" w:eastAsia="Times New Roman" w:hAnsi="Verdana" w:cs="Arial"/>
          <w:lang w:val="es-ES" w:eastAsia="es-MX"/>
        </w:rPr>
        <w:t>iii</w:t>
      </w:r>
      <w:proofErr w:type="spellEnd"/>
      <w:r w:rsidRPr="00C40D52">
        <w:rPr>
          <w:rFonts w:ascii="Verdana" w:eastAsia="Times New Roman" w:hAnsi="Verdana" w:cs="Arial"/>
          <w:lang w:val="es-ES" w:eastAsia="es-MX"/>
        </w:rPr>
        <w:t xml:space="preserve">) se someten al control político, que ejerce directamente el Congreso de la República. Además, </w:t>
      </w:r>
      <w:proofErr w:type="spellStart"/>
      <w:r w:rsidRPr="00C40D52">
        <w:rPr>
          <w:rFonts w:ascii="Verdana" w:eastAsia="Times New Roman" w:hAnsi="Verdana" w:cs="Arial"/>
          <w:lang w:val="es-ES" w:eastAsia="es-MX"/>
        </w:rPr>
        <w:t>iv</w:t>
      </w:r>
      <w:proofErr w:type="spellEnd"/>
      <w:r w:rsidRPr="00C40D52">
        <w:rPr>
          <w:rFonts w:ascii="Verdana" w:eastAsia="Times New Roman" w:hAnsi="Verdana" w:cs="Arial"/>
          <w:lang w:val="es-ES" w:eastAsia="es-MX"/>
        </w:rPr>
        <w:t xml:space="preserve">) en el caso de las sociedades de economía mixta del orden nacional, le corresponde al Congreso de la República su creación o </w:t>
      </w:r>
      <w:r w:rsidRPr="00C40D52">
        <w:rPr>
          <w:rFonts w:ascii="Verdana" w:eastAsia="Times New Roman" w:hAnsi="Verdana" w:cs="Arial"/>
          <w:lang w:val="es-ES" w:eastAsia="es-MX"/>
        </w:rPr>
        <w:lastRenderedPageBreak/>
        <w:t xml:space="preserve">autorización mediante ley. En cambio, v) en el caso de los órdenes departamental y municipal, esta misma facultad se les reconoce a las asambleas y concejos. Adicionalmente, vi) a todas las sociedades de economía mixta les son aplicables las inhabilidades para la integración de órganos directivos a que aluden los artículos 180- 3, 292 y 323 de la Constitución Política. A lo anterior debe agregarse que, </w:t>
      </w:r>
      <w:proofErr w:type="spellStart"/>
      <w:r w:rsidRPr="00C40D52">
        <w:rPr>
          <w:rFonts w:ascii="Verdana" w:eastAsia="Times New Roman" w:hAnsi="Verdana" w:cs="Arial"/>
          <w:lang w:val="es-ES" w:eastAsia="es-MX"/>
        </w:rPr>
        <w:t>vii</w:t>
      </w:r>
      <w:proofErr w:type="spellEnd"/>
      <w:r w:rsidRPr="00C40D52">
        <w:rPr>
          <w:rFonts w:ascii="Verdana" w:eastAsia="Times New Roman" w:hAnsi="Verdana" w:cs="Arial"/>
          <w:lang w:val="es-ES" w:eastAsia="es-MX"/>
        </w:rPr>
        <w:t xml:space="preserve">) en materia presupuestal, las sociedades de economía mixta quedan sujetas a las reglas de la ley orgánica del presupuesto. De otro lado, </w:t>
      </w:r>
      <w:proofErr w:type="spellStart"/>
      <w:r w:rsidRPr="00C40D52">
        <w:rPr>
          <w:rFonts w:ascii="Verdana" w:eastAsia="Times New Roman" w:hAnsi="Verdana" w:cs="Arial"/>
          <w:lang w:val="es-ES" w:eastAsia="es-MX"/>
        </w:rPr>
        <w:t>viii</w:t>
      </w:r>
      <w:proofErr w:type="spellEnd"/>
      <w:r w:rsidRPr="00C40D52">
        <w:rPr>
          <w:rFonts w:ascii="Verdana" w:eastAsia="Times New Roman" w:hAnsi="Verdana" w:cs="Arial"/>
          <w:lang w:val="es-ES" w:eastAsia="es-MX"/>
        </w:rPr>
        <w:t xml:space="preserve">) en materia contable, quedan vinculadas a las reglas de contabilidad oficial. Además, </w:t>
      </w:r>
      <w:proofErr w:type="spellStart"/>
      <w:r w:rsidRPr="00C40D52">
        <w:rPr>
          <w:rFonts w:ascii="Verdana" w:eastAsia="Times New Roman" w:hAnsi="Verdana" w:cs="Arial"/>
          <w:lang w:val="es-ES" w:eastAsia="es-MX"/>
        </w:rPr>
        <w:t>ix</w:t>
      </w:r>
      <w:proofErr w:type="spellEnd"/>
      <w:r w:rsidRPr="00C40D52">
        <w:rPr>
          <w:rFonts w:ascii="Verdana" w:eastAsia="Times New Roman" w:hAnsi="Verdana" w:cs="Arial"/>
          <w:lang w:val="es-ES" w:eastAsia="es-MX"/>
        </w:rPr>
        <w:t>) se rigen por el derecho privado, en virtud de la naturaleza de las actividades que desarrollan.  </w:t>
      </w:r>
    </w:p>
    <w:p w14:paraId="23CF8B2C" w14:textId="77777777" w:rsidR="00C763FF" w:rsidRPr="00C40D52" w:rsidRDefault="00C763FF" w:rsidP="00C763FF">
      <w:pPr>
        <w:spacing w:after="120" w:line="276" w:lineRule="auto"/>
        <w:ind w:firstLine="709"/>
        <w:jc w:val="both"/>
        <w:textAlignment w:val="baseline"/>
        <w:rPr>
          <w:rFonts w:ascii="Verdana" w:eastAsia="Times New Roman" w:hAnsi="Verdana" w:cs="Arial"/>
          <w:lang w:val="es-ES_tradnl" w:eastAsia="es-MX"/>
        </w:rPr>
      </w:pPr>
      <w:r w:rsidRPr="00C40D52">
        <w:rPr>
          <w:rFonts w:ascii="Verdana" w:eastAsia="Times New Roman" w:hAnsi="Verdana" w:cs="Arial"/>
          <w:lang w:val="es-ES_tradnl" w:eastAsia="es-MX"/>
        </w:rPr>
        <w:t>Sin embargo, este Alto Tribunal, en sentencia C-529 del 12 de julio de 2006, hizo énfasis en que, a pesar del sometimiento al régimen jurídico de derecho privado para el desarrollo de sus actividades, las sociedades de economía mixta no pierden su carácter de expresión organizacional de la actividad estatal</w:t>
      </w:r>
      <w:r w:rsidRPr="00C40D52">
        <w:rPr>
          <w:rStyle w:val="Refdenotaalpie"/>
          <w:rFonts w:ascii="Verdana" w:eastAsia="Times New Roman" w:hAnsi="Verdana" w:cs="Arial"/>
          <w:lang w:val="es-ES_tradnl" w:eastAsia="es-MX"/>
        </w:rPr>
        <w:footnoteReference w:id="4"/>
      </w:r>
      <w:r w:rsidRPr="00C40D52">
        <w:rPr>
          <w:rFonts w:ascii="Verdana" w:eastAsia="Times New Roman" w:hAnsi="Verdana" w:cs="Arial"/>
          <w:lang w:val="es-ES_tradnl" w:eastAsia="es-MX"/>
        </w:rPr>
        <w:t>, más precisamente de la función administrativa</w:t>
      </w:r>
      <w:r w:rsidRPr="00C40D52">
        <w:rPr>
          <w:rStyle w:val="Refdenotaalpie"/>
          <w:rFonts w:ascii="Verdana" w:eastAsia="Times New Roman" w:hAnsi="Verdana" w:cs="Arial"/>
          <w:lang w:val="es-ES_tradnl" w:eastAsia="es-MX"/>
        </w:rPr>
        <w:footnoteReference w:id="5"/>
      </w:r>
      <w:r w:rsidRPr="00C40D52">
        <w:rPr>
          <w:rFonts w:ascii="Verdana" w:eastAsia="Times New Roman" w:hAnsi="Verdana" w:cs="Arial"/>
          <w:lang w:val="es-ES_tradnl" w:eastAsia="es-MX"/>
        </w:rPr>
        <w:t>, en virtud del aporte público en la constitución del capital social y la consiguiente pertenencia a la administración pública, en la condición de entidades descentralizadas.</w:t>
      </w:r>
    </w:p>
    <w:p w14:paraId="6C1AD240" w14:textId="77777777" w:rsidR="00C763FF" w:rsidRPr="00C40D52" w:rsidRDefault="00C763FF" w:rsidP="23D8F5BD">
      <w:pPr>
        <w:spacing w:after="0" w:line="276" w:lineRule="auto"/>
        <w:ind w:firstLine="709"/>
        <w:jc w:val="both"/>
        <w:textAlignment w:val="baseline"/>
        <w:rPr>
          <w:rFonts w:ascii="Verdana" w:eastAsia="Times New Roman" w:hAnsi="Verdana" w:cs="Arial"/>
          <w:lang w:val="es-ES" w:eastAsia="es-MX"/>
        </w:rPr>
      </w:pPr>
      <w:r w:rsidRPr="00C40D52">
        <w:rPr>
          <w:rFonts w:ascii="Verdana" w:eastAsia="Times New Roman" w:hAnsi="Verdana" w:cs="Arial"/>
          <w:lang w:val="es-ES" w:eastAsia="es-MX"/>
        </w:rPr>
        <w:t xml:space="preserve">Así las cosas, resulta importante resaltar que, en nuestro ordenamiento jurídico, las sociedades de economía mixta están sometidas a un régimen jurídico compuesto por un conjunto normativo de derecho público y de derecho privado; el primero, derivado directamente de la Constitución Política y referido a aspectos como su creación, autorización, organización y funcionamiento internos. Y el segundo destinado a regir el desarrollo de la actividad económica de cada sociedad. Ahora bien, también resulta importante señalar que el artículo 14 de la Ley 1150 de 2007 –modificado por el artículo 93 de la Ley 1474 de 2011– establece el régimen contractual de las sociedades de economía mixta, </w:t>
      </w:r>
      <w:r w:rsidRPr="00C40D52">
        <w:rPr>
          <w:rFonts w:ascii="Verdana" w:eastAsia="Times New Roman" w:hAnsi="Verdana" w:cs="Arial"/>
          <w:lang w:val="es-ES" w:eastAsia="es-MX"/>
        </w:rPr>
        <w:lastRenderedPageBreak/>
        <w:t xml:space="preserve">en las que el Estado tenga participación superior al cincuenta por ciento, señalando que: </w:t>
      </w:r>
    </w:p>
    <w:p w14:paraId="5C00D516" w14:textId="77777777" w:rsidR="00C763FF" w:rsidRPr="00C40D52" w:rsidRDefault="00C763FF" w:rsidP="00C763FF">
      <w:pPr>
        <w:spacing w:after="0" w:line="276" w:lineRule="auto"/>
        <w:ind w:firstLine="709"/>
        <w:jc w:val="both"/>
        <w:textAlignment w:val="baseline"/>
        <w:rPr>
          <w:rFonts w:ascii="Verdana" w:eastAsia="Times New Roman" w:hAnsi="Verdana" w:cs="Arial"/>
          <w:lang w:val="es-ES_tradnl" w:eastAsia="es-MX"/>
        </w:rPr>
      </w:pPr>
    </w:p>
    <w:p w14:paraId="26FBA64E" w14:textId="77777777" w:rsidR="00C763FF" w:rsidRPr="00C40D52" w:rsidRDefault="00C763FF" w:rsidP="00C763FF">
      <w:pPr>
        <w:spacing w:after="0" w:line="240" w:lineRule="auto"/>
        <w:ind w:left="709" w:right="709"/>
        <w:jc w:val="both"/>
        <w:textAlignment w:val="baseline"/>
        <w:rPr>
          <w:rFonts w:ascii="Verdana" w:eastAsia="Times New Roman" w:hAnsi="Verdana" w:cs="Arial"/>
          <w:sz w:val="20"/>
          <w:szCs w:val="20"/>
          <w:lang w:val="es-ES_tradnl" w:eastAsia="es-MX"/>
        </w:rPr>
      </w:pPr>
      <w:r w:rsidRPr="00C40D52">
        <w:rPr>
          <w:rFonts w:ascii="Verdana" w:eastAsia="Times New Roman" w:hAnsi="Verdana" w:cs="Arial"/>
          <w:sz w:val="20"/>
          <w:szCs w:val="20"/>
          <w:lang w:val="es-ES_tradnl" w:eastAsia="es-MX"/>
        </w:rPr>
        <w:t>Artículo 14. DEL RÉGIMEN CONTRACTUAL DE LAS EMPRESAS INDUSTRIALES Y COMERCIALES DEL ESTADO, LAS SOCIEDADES DE ECONOMÍA MIXTA, SUS FILIALES Y EMPRESAS CON PARTICIPACIÓN MAYORITARIA DEL ESTADO. &lt;Artículo modificado por el artículo 93 de la Ley 1474 de 2011. El nuevo texto es el siguiente:&gt; 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estarán sometidas al Estatuto General de Contratación de la Administración Pública, con excepción de aquellas que desarrollen actividades comerciales en competencia con el sector privado y/o público, nacional o internacional o en mercados regulados, caso en el cual se regirán por las disposiciones legales y reglamentarias aplicables a sus actividades económicas y comerciales, sin perjuicio de lo previsto en el artículo 13 de la presente ley. Se exceptúan los contratos de ciencia y tecnología, que se regirán por la Ley 29 de 1990 y las disposiciones normativas existentes.</w:t>
      </w:r>
    </w:p>
    <w:p w14:paraId="1F27B4BC" w14:textId="77777777" w:rsidR="00C763FF" w:rsidRPr="00C40D52" w:rsidRDefault="00C763FF" w:rsidP="00C40D52">
      <w:pPr>
        <w:spacing w:after="0" w:line="240" w:lineRule="auto"/>
        <w:ind w:left="709" w:right="709" w:firstLine="709"/>
        <w:jc w:val="both"/>
        <w:textAlignment w:val="baseline"/>
        <w:rPr>
          <w:rFonts w:ascii="Verdana" w:eastAsia="Times New Roman" w:hAnsi="Verdana" w:cs="Arial"/>
          <w:sz w:val="20"/>
          <w:szCs w:val="20"/>
          <w:lang w:val="es-ES_tradnl" w:eastAsia="es-MX"/>
        </w:rPr>
      </w:pPr>
    </w:p>
    <w:p w14:paraId="514D6531" w14:textId="3679E55A" w:rsidR="00C763FF" w:rsidRPr="00C40D52" w:rsidRDefault="00C763FF" w:rsidP="23D8F5BD">
      <w:pPr>
        <w:spacing w:after="0" w:line="276" w:lineRule="auto"/>
        <w:ind w:firstLine="709"/>
        <w:jc w:val="both"/>
        <w:textAlignment w:val="baseline"/>
        <w:rPr>
          <w:rFonts w:ascii="Verdana" w:eastAsia="Times New Roman" w:hAnsi="Verdana" w:cs="Arial"/>
          <w:lang w:val="es-ES" w:eastAsia="es-MX"/>
        </w:rPr>
      </w:pPr>
      <w:r w:rsidRPr="00C40D52">
        <w:rPr>
          <w:rFonts w:ascii="Verdana" w:eastAsia="Times New Roman" w:hAnsi="Verdana" w:cs="Arial"/>
          <w:lang w:val="es-ES" w:eastAsia="es-MX"/>
        </w:rPr>
        <w:t xml:space="preserve">Teniendo en cuenta el contexto anterior, atendiendo a que las preguntas están relacionadas con el alcance de las prohibiciones en materia contractual establecidas en la ley 996 de 2005 –Ley de Garantías Electorales–, a </w:t>
      </w:r>
      <w:r w:rsidRPr="23D8F5BD">
        <w:rPr>
          <w:rFonts w:ascii="Verdana" w:eastAsia="Times New Roman" w:hAnsi="Verdana" w:cs="Arial"/>
          <w:lang w:val="es-ES" w:eastAsia="es-MX"/>
        </w:rPr>
        <w:t>continuación,</w:t>
      </w:r>
      <w:r w:rsidRPr="00C40D52">
        <w:rPr>
          <w:rFonts w:ascii="Verdana" w:eastAsia="Times New Roman" w:hAnsi="Verdana" w:cs="Arial"/>
          <w:lang w:val="es-ES" w:eastAsia="es-MX"/>
        </w:rPr>
        <w:t xml:space="preserve"> se analizará el alcance de las restricciones establecidas en el artículo 33 y el parágrafo del artículo 38. </w:t>
      </w:r>
    </w:p>
    <w:p w14:paraId="7EB4EC82" w14:textId="77777777" w:rsidR="008C70EE" w:rsidRDefault="008C70EE" w:rsidP="00C40D52">
      <w:pPr>
        <w:tabs>
          <w:tab w:val="left" w:pos="426"/>
        </w:tabs>
        <w:spacing w:after="0" w:line="276" w:lineRule="auto"/>
        <w:jc w:val="both"/>
        <w:rPr>
          <w:rFonts w:ascii="Verdana" w:eastAsia="Times New Roman" w:hAnsi="Verdana" w:cs="Arial"/>
          <w:lang w:val="es-MX" w:eastAsia="es-CO"/>
        </w:rPr>
      </w:pPr>
    </w:p>
    <w:p w14:paraId="3051338B" w14:textId="3F1F5EA0" w:rsidR="00C57DF7" w:rsidRDefault="008C70EE" w:rsidP="00C57DF7">
      <w:pPr>
        <w:tabs>
          <w:tab w:val="left" w:pos="426"/>
        </w:tabs>
        <w:spacing w:after="120" w:line="276" w:lineRule="auto"/>
        <w:jc w:val="both"/>
        <w:rPr>
          <w:rFonts w:ascii="Verdana" w:eastAsia="Calibri" w:hAnsi="Verdana" w:cs="Arial"/>
          <w:lang w:val="es-ES_tradnl"/>
        </w:rPr>
      </w:pPr>
      <w:proofErr w:type="spellStart"/>
      <w:r>
        <w:rPr>
          <w:rFonts w:ascii="Verdana" w:eastAsia="Times New Roman" w:hAnsi="Verdana" w:cs="Arial"/>
          <w:lang w:val="es-MX" w:eastAsia="es-CO"/>
        </w:rPr>
        <w:t>ii</w:t>
      </w:r>
      <w:proofErr w:type="spellEnd"/>
      <w:r>
        <w:rPr>
          <w:rFonts w:ascii="Verdana" w:eastAsia="Times New Roman" w:hAnsi="Verdana" w:cs="Arial"/>
          <w:lang w:val="es-MX" w:eastAsia="es-CO"/>
        </w:rPr>
        <w:t xml:space="preserve">) </w:t>
      </w:r>
      <w:r w:rsidR="00C57DF7">
        <w:rPr>
          <w:rFonts w:ascii="Verdana" w:eastAsia="Times New Roman" w:hAnsi="Verdana" w:cs="Arial"/>
          <w:lang w:val="es-MX" w:eastAsia="es-CO"/>
        </w:rPr>
        <w:t>L</w:t>
      </w:r>
      <w:r w:rsidR="00C57DF7" w:rsidRPr="00E2397D">
        <w:rPr>
          <w:rFonts w:ascii="Verdana" w:eastAsia="Times New Roman" w:hAnsi="Verdana" w:cs="Arial"/>
          <w:lang w:val="es-MX" w:eastAsia="es-CO"/>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00C57DF7" w:rsidRPr="00E2397D">
        <w:rPr>
          <w:rFonts w:ascii="Verdana" w:eastAsia="Times New Roman" w:hAnsi="Verdana" w:cs="Arial"/>
          <w:vertAlign w:val="superscript"/>
          <w:lang w:val="es-MX" w:eastAsia="es-CO"/>
        </w:rPr>
        <w:footnoteReference w:id="6"/>
      </w:r>
      <w:r w:rsidR="00C57DF7"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00C57DF7" w:rsidRPr="00E2397D">
        <w:rPr>
          <w:rFonts w:ascii="Verdana" w:eastAsia="Calibri" w:hAnsi="Verdana" w:cs="Arial"/>
          <w:lang w:val="es-ES_tradnl"/>
        </w:rPr>
        <w:t xml:space="preserve"> </w:t>
      </w:r>
    </w:p>
    <w:p w14:paraId="3633303E" w14:textId="77777777" w:rsidR="00C57DF7" w:rsidRPr="006B14B5" w:rsidRDefault="00C57DF7" w:rsidP="00C57DF7">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64CE7EB5" w14:textId="77777777" w:rsidR="00C57DF7" w:rsidRPr="00E2397D" w:rsidRDefault="00C57DF7" w:rsidP="00C57DF7">
      <w:pPr>
        <w:spacing w:after="0" w:line="276" w:lineRule="auto"/>
        <w:ind w:right="709"/>
        <w:contextualSpacing/>
        <w:jc w:val="both"/>
        <w:rPr>
          <w:rFonts w:ascii="Verdana" w:eastAsia="Times New Roman" w:hAnsi="Verdana" w:cs="Arial"/>
          <w:lang w:val="es-ES" w:eastAsia="es-CO"/>
        </w:rPr>
      </w:pPr>
    </w:p>
    <w:p w14:paraId="60DFCAD5" w14:textId="77777777" w:rsidR="00C57DF7" w:rsidRPr="00E2397D" w:rsidRDefault="00C57DF7" w:rsidP="00C57DF7">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0475287F" w14:textId="77777777" w:rsidR="00C57DF7" w:rsidRPr="00E2397D" w:rsidRDefault="00C57DF7" w:rsidP="00C57DF7">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1D9F3ED2" w14:textId="77777777" w:rsidR="00C57DF7" w:rsidRPr="00E2397D" w:rsidRDefault="00C57DF7" w:rsidP="00C57DF7">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7"/>
      </w:r>
    </w:p>
    <w:p w14:paraId="0139B7FD" w14:textId="77777777" w:rsidR="00C57DF7" w:rsidRPr="00E2397D" w:rsidRDefault="00C57DF7" w:rsidP="00C57DF7">
      <w:pPr>
        <w:spacing w:after="0" w:line="276" w:lineRule="auto"/>
        <w:ind w:firstLine="709"/>
        <w:jc w:val="both"/>
        <w:rPr>
          <w:rFonts w:ascii="Verdana" w:eastAsia="Times New Roman" w:hAnsi="Verdana" w:cs="Arial"/>
          <w:lang w:val="es-MX" w:eastAsia="es-CO"/>
        </w:rPr>
      </w:pPr>
    </w:p>
    <w:p w14:paraId="1E541325" w14:textId="77777777" w:rsidR="00C57DF7" w:rsidRPr="00E2397D" w:rsidRDefault="00C57DF7" w:rsidP="00C57DF7">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1A6F28B1" w14:textId="77777777" w:rsidR="00C57DF7" w:rsidRPr="00886C02" w:rsidRDefault="00C57DF7" w:rsidP="00C57DF7">
      <w:pPr>
        <w:spacing w:after="0" w:line="276" w:lineRule="auto"/>
        <w:ind w:firstLine="709"/>
        <w:jc w:val="both"/>
        <w:rPr>
          <w:rFonts w:ascii="Verdana" w:eastAsia="Times New Roman" w:hAnsi="Verdana" w:cs="Arial"/>
          <w:lang w:val="es-MX" w:eastAsia="es-CO"/>
        </w:rPr>
      </w:pPr>
    </w:p>
    <w:p w14:paraId="3578E0C3" w14:textId="77777777" w:rsidR="00C57DF7" w:rsidRPr="00E2397D" w:rsidRDefault="00C57DF7" w:rsidP="00C57DF7">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2397D">
        <w:rPr>
          <w:rFonts w:ascii="Verdana" w:eastAsia="Times New Roman" w:hAnsi="Verdana" w:cs="Arial"/>
          <w:sz w:val="20"/>
          <w:szCs w:val="20"/>
          <w:lang w:val="es-MX" w:eastAsia="es-CO"/>
        </w:rPr>
        <w:t>legis</w:t>
      </w:r>
      <w:proofErr w:type="spellEnd"/>
      <w:r w:rsidRPr="00E2397D">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79535B7C" w14:textId="77777777" w:rsidR="00C57DF7" w:rsidRPr="00E2397D" w:rsidRDefault="00C57DF7" w:rsidP="00C57DF7">
      <w:pPr>
        <w:spacing w:after="0" w:line="240" w:lineRule="auto"/>
        <w:ind w:right="709"/>
        <w:contextualSpacing/>
        <w:jc w:val="both"/>
        <w:rPr>
          <w:rFonts w:ascii="Verdana" w:eastAsia="Times New Roman" w:hAnsi="Verdana" w:cs="Arial"/>
          <w:lang w:val="es-MX" w:eastAsia="es-CO"/>
        </w:rPr>
      </w:pPr>
    </w:p>
    <w:p w14:paraId="0DE9A6E0" w14:textId="77777777" w:rsidR="00C57DF7" w:rsidRPr="00E2397D" w:rsidRDefault="00C57DF7" w:rsidP="00C57DF7">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8"/>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9"/>
      </w:r>
      <w:r w:rsidRPr="00E2397D">
        <w:rPr>
          <w:rFonts w:ascii="Verdana" w:eastAsia="Times New Roman" w:hAnsi="Verdana" w:cs="Arial"/>
          <w:sz w:val="20"/>
          <w:szCs w:val="20"/>
          <w:lang w:val="es-MX" w:eastAsia="es-CO"/>
        </w:rPr>
        <w:t xml:space="preserve">, coinciden en que las normas que establecen prohibiciones deben estar de </w:t>
      </w:r>
      <w:r w:rsidRPr="00E2397D">
        <w:rPr>
          <w:rFonts w:ascii="Verdana" w:eastAsia="Times New Roman" w:hAnsi="Verdana" w:cs="Arial"/>
          <w:sz w:val="20"/>
          <w:szCs w:val="20"/>
          <w:lang w:val="es-MX" w:eastAsia="es-CO"/>
        </w:rPr>
        <w:lastRenderedPageBreak/>
        <w:t>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10"/>
      </w:r>
      <w:r w:rsidRPr="00E2397D">
        <w:rPr>
          <w:rFonts w:ascii="Verdana" w:eastAsia="Times New Roman" w:hAnsi="Verdana" w:cs="Arial"/>
          <w:sz w:val="20"/>
          <w:szCs w:val="20"/>
          <w:lang w:val="es-MX" w:eastAsia="es-CO"/>
        </w:rPr>
        <w:t>.</w:t>
      </w:r>
    </w:p>
    <w:p w14:paraId="57B3988B" w14:textId="77777777" w:rsidR="00C57DF7" w:rsidRPr="00E2397D" w:rsidRDefault="00C57DF7" w:rsidP="00C57DF7">
      <w:pPr>
        <w:spacing w:after="0" w:line="276" w:lineRule="auto"/>
        <w:jc w:val="both"/>
        <w:rPr>
          <w:rFonts w:ascii="Verdana" w:eastAsia="Calibri" w:hAnsi="Verdana" w:cs="Arial"/>
          <w:bCs/>
          <w:lang w:val="es-ES_tradnl"/>
        </w:rPr>
      </w:pPr>
    </w:p>
    <w:p w14:paraId="1FEFFD0A" w14:textId="77777777" w:rsidR="00C57DF7" w:rsidRPr="00B3605D" w:rsidRDefault="00C57DF7" w:rsidP="00C57DF7">
      <w:pPr>
        <w:spacing w:after="120" w:line="276" w:lineRule="auto"/>
        <w:ind w:firstLine="709"/>
        <w:jc w:val="both"/>
        <w:rPr>
          <w:rFonts w:ascii="Verdana" w:eastAsia="Arial" w:hAnsi="Verdana" w:cs="Arial"/>
          <w:lang w:val="es-ES" w:eastAsia="es-ES" w:bidi="es-ES"/>
        </w:rPr>
      </w:pPr>
      <w:r w:rsidRPr="00B3605D">
        <w:rPr>
          <w:rFonts w:ascii="Verdana" w:eastAsia="Times New Roman" w:hAnsi="Verdana" w:cs="Arial"/>
          <w:lang w:val="es-MX" w:eastAsia="es-CO"/>
        </w:rPr>
        <w:t>De</w:t>
      </w:r>
      <w:r w:rsidRPr="00B3605D">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54CB3BBA" w14:textId="77777777" w:rsidR="00C57DF7" w:rsidRDefault="00C57DF7" w:rsidP="00C57DF7">
      <w:pPr>
        <w:spacing w:after="0" w:line="276" w:lineRule="auto"/>
        <w:ind w:firstLine="709"/>
        <w:jc w:val="both"/>
        <w:rPr>
          <w:rFonts w:ascii="Verdana" w:eastAsia="Arial" w:hAnsi="Verdana" w:cs="Arial"/>
          <w:lang w:val="es-ES" w:eastAsia="es-ES" w:bidi="es-ES"/>
        </w:rPr>
      </w:pPr>
      <w:r w:rsidRPr="00B3605D">
        <w:rPr>
          <w:rFonts w:ascii="Verdana" w:eastAsia="Calibri" w:hAnsi="Verdana" w:cs="Arial"/>
          <w:lang w:val="es-ES"/>
        </w:rPr>
        <w:t xml:space="preserve">Las restricciones consagradas en la mencionada Ley se dirigen a dos tipos de campañas electorales: </w:t>
      </w:r>
      <w:r w:rsidRPr="00B3605D">
        <w:rPr>
          <w:rFonts w:ascii="Verdana" w:eastAsia="Arial" w:hAnsi="Verdana" w:cs="Arial"/>
          <w:lang w:val="es-ES" w:eastAsia="es-ES" w:bidi="es-ES"/>
        </w:rPr>
        <w:t>las presidenciales y las demás que se adelanten para la elección de los demás cargos de elección popular, tanto a nivel nacional como territorial:</w:t>
      </w:r>
    </w:p>
    <w:p w14:paraId="13BF3945" w14:textId="77777777" w:rsidR="00C57DF7" w:rsidRDefault="00C57DF7" w:rsidP="00C57DF7">
      <w:pPr>
        <w:spacing w:after="0" w:line="276" w:lineRule="auto"/>
        <w:ind w:firstLine="709"/>
        <w:jc w:val="both"/>
        <w:rPr>
          <w:rFonts w:ascii="Verdana" w:eastAsia="Arial" w:hAnsi="Verdana" w:cs="Arial"/>
          <w:lang w:val="es-ES" w:eastAsia="es-ES" w:bidi="es-ES"/>
        </w:rPr>
      </w:pPr>
    </w:p>
    <w:p w14:paraId="2A04D8B8" w14:textId="7E4CD2A9" w:rsidR="00C57DF7" w:rsidRPr="00C40D52" w:rsidRDefault="00C57DF7" w:rsidP="00C40D52">
      <w:pPr>
        <w:pStyle w:val="Prrafodelista"/>
        <w:numPr>
          <w:ilvl w:val="0"/>
          <w:numId w:val="23"/>
        </w:numPr>
        <w:spacing w:after="0" w:line="276" w:lineRule="auto"/>
        <w:jc w:val="both"/>
        <w:rPr>
          <w:rFonts w:ascii="Verdana" w:eastAsia="Arial" w:hAnsi="Verdana" w:cs="Arial"/>
          <w:b/>
          <w:bCs/>
          <w:i/>
          <w:iCs/>
          <w:lang w:eastAsia="es-ES" w:bidi="es-ES"/>
        </w:rPr>
      </w:pPr>
      <w:r w:rsidRPr="00C40D52">
        <w:rPr>
          <w:rFonts w:ascii="Verdana" w:eastAsia="Arial" w:hAnsi="Verdana" w:cs="Arial"/>
          <w:b/>
          <w:bCs/>
          <w:i/>
          <w:iCs/>
          <w:lang w:eastAsia="es-ES" w:bidi="es-ES"/>
        </w:rPr>
        <w:t xml:space="preserve">Restricciones elecciones presidenciales </w:t>
      </w:r>
    </w:p>
    <w:p w14:paraId="16FADDB8" w14:textId="77777777" w:rsidR="00C57DF7" w:rsidRPr="00A545DE" w:rsidRDefault="00C57DF7" w:rsidP="00C57DF7">
      <w:pPr>
        <w:pStyle w:val="Prrafodelista"/>
        <w:spacing w:after="0" w:line="276" w:lineRule="auto"/>
        <w:ind w:left="1080"/>
        <w:jc w:val="both"/>
        <w:rPr>
          <w:rFonts w:ascii="Verdana" w:eastAsia="Arial" w:hAnsi="Verdana" w:cs="Arial"/>
          <w:lang w:eastAsia="es-ES" w:bidi="es-ES"/>
        </w:rPr>
      </w:pPr>
    </w:p>
    <w:p w14:paraId="31188B46" w14:textId="77777777" w:rsidR="00C57DF7" w:rsidRPr="00FC54ED" w:rsidRDefault="00C57DF7" w:rsidP="00C57DF7">
      <w:pPr>
        <w:spacing w:after="0" w:line="240" w:lineRule="auto"/>
        <w:ind w:left="708" w:right="703"/>
        <w:jc w:val="both"/>
        <w:rPr>
          <w:rFonts w:ascii="Verdana" w:eastAsia="Times New Roman" w:hAnsi="Verdana" w:cs="Open Sans"/>
          <w:sz w:val="20"/>
          <w:szCs w:val="20"/>
          <w:lang w:eastAsia="es-CO"/>
        </w:rPr>
      </w:pPr>
      <w:bookmarkStart w:id="1" w:name="33"/>
      <w:r>
        <w:rPr>
          <w:rFonts w:ascii="Verdana" w:eastAsia="Times New Roman" w:hAnsi="Verdana" w:cs="Open Sans"/>
          <w:b/>
          <w:bCs/>
          <w:sz w:val="20"/>
          <w:szCs w:val="20"/>
          <w:lang w:eastAsia="es-CO"/>
        </w:rPr>
        <w:t>“</w:t>
      </w:r>
      <w:r w:rsidRPr="00FC54ED">
        <w:rPr>
          <w:rFonts w:ascii="Verdana" w:eastAsia="Times New Roman" w:hAnsi="Verdana" w:cs="Open Sans"/>
          <w:b/>
          <w:bCs/>
          <w:sz w:val="20"/>
          <w:szCs w:val="20"/>
          <w:lang w:eastAsia="es-CO"/>
        </w:rPr>
        <w:t>ARTÍCULO 33. RESTRICCIONES A LA CONTRATACIÓN PÚBLICA.</w:t>
      </w:r>
      <w:bookmarkEnd w:id="1"/>
      <w:r w:rsidRPr="00FC54ED">
        <w:rPr>
          <w:rFonts w:ascii="Verdana" w:eastAsia="Times New Roman" w:hAnsi="Verdana" w:cs="Open Sans"/>
          <w:sz w:val="20"/>
          <w:szCs w:val="20"/>
          <w:lang w:eastAsia="es-CO"/>
        </w:rPr>
        <w:t>  Durante los cuatro (4) meses anteriores a la elección presidencial y hasta la realización de la elección en la segunda vuelta, si fuere el caso, queda prohibida la contratación directa por parte de todos los entes del Estado.</w:t>
      </w:r>
    </w:p>
    <w:p w14:paraId="15A3D573" w14:textId="77777777" w:rsidR="00C57DF7" w:rsidRPr="00FC54ED" w:rsidRDefault="00C57DF7" w:rsidP="00C57DF7">
      <w:pPr>
        <w:spacing w:after="0" w:line="240" w:lineRule="auto"/>
        <w:ind w:left="708" w:right="703"/>
        <w:jc w:val="both"/>
        <w:rPr>
          <w:rFonts w:ascii="Verdana" w:eastAsia="Times New Roman" w:hAnsi="Verdana" w:cs="Open Sans"/>
          <w:sz w:val="20"/>
          <w:szCs w:val="20"/>
          <w:lang w:eastAsia="es-CO"/>
        </w:rPr>
      </w:pPr>
    </w:p>
    <w:p w14:paraId="49404829" w14:textId="77777777" w:rsidR="00C57DF7" w:rsidRPr="00B3605D" w:rsidRDefault="00C57DF7" w:rsidP="00C57DF7">
      <w:pPr>
        <w:spacing w:after="0" w:line="240" w:lineRule="auto"/>
        <w:ind w:left="708" w:right="703"/>
        <w:jc w:val="both"/>
        <w:rPr>
          <w:rFonts w:ascii="Verdana" w:eastAsia="Times New Roman" w:hAnsi="Verdana" w:cs="Open Sans"/>
          <w:sz w:val="20"/>
          <w:szCs w:val="20"/>
          <w:lang w:eastAsia="es-CO"/>
        </w:rPr>
      </w:pPr>
      <w:r w:rsidRPr="00FC54ED">
        <w:rPr>
          <w:rFonts w:ascii="Verdana" w:eastAsia="Times New Roman" w:hAnsi="Verdana" w:cs="Open Sans"/>
          <w:sz w:val="20"/>
          <w:szCs w:val="20"/>
          <w:lang w:eastAsia="es-CO"/>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Times New Roman" w:hAnsi="Verdana" w:cs="Open Sans"/>
          <w:sz w:val="20"/>
          <w:szCs w:val="20"/>
          <w:lang w:eastAsia="es-CO"/>
        </w:rPr>
        <w:t>”</w:t>
      </w:r>
      <w:r w:rsidRPr="00FC54ED">
        <w:rPr>
          <w:rFonts w:ascii="Verdana" w:eastAsia="Times New Roman" w:hAnsi="Verdana" w:cs="Open Sans"/>
          <w:sz w:val="20"/>
          <w:szCs w:val="20"/>
          <w:lang w:eastAsia="es-CO"/>
        </w:rPr>
        <w:t>.</w:t>
      </w:r>
    </w:p>
    <w:p w14:paraId="421D2D41" w14:textId="77777777" w:rsidR="00C57DF7" w:rsidRDefault="00C57DF7" w:rsidP="00C57DF7">
      <w:pPr>
        <w:spacing w:after="0" w:line="276" w:lineRule="auto"/>
        <w:ind w:right="618" w:firstLine="708"/>
        <w:jc w:val="both"/>
        <w:rPr>
          <w:rFonts w:ascii="Verdana" w:eastAsia="Times New Roman" w:hAnsi="Verdana" w:cs="Open Sans"/>
          <w:lang w:eastAsia="es-CO"/>
        </w:rPr>
      </w:pPr>
    </w:p>
    <w:p w14:paraId="745DE0B7" w14:textId="77777777" w:rsidR="00C57DF7" w:rsidRDefault="00C57DF7" w:rsidP="00C57DF7">
      <w:pPr>
        <w:spacing w:after="120" w:line="276" w:lineRule="auto"/>
        <w:ind w:firstLine="708"/>
        <w:jc w:val="both"/>
        <w:rPr>
          <w:rFonts w:ascii="Verdana" w:eastAsia="Times New Roman" w:hAnsi="Verdana" w:cs="Open Sans"/>
          <w:lang w:eastAsia="es-CO"/>
        </w:rPr>
      </w:pPr>
      <w:r w:rsidRPr="00B3605D">
        <w:rPr>
          <w:rFonts w:ascii="Verdana" w:eastAsia="Times New Roman" w:hAnsi="Verdana" w:cs="Open Sans"/>
          <w:lang w:eastAsia="es-CO"/>
        </w:rPr>
        <w:t xml:space="preserve">Como se puede observar, el artículo 33 de la Ley 996 de 2005 prohíbe la contratación directa por parte de todos los entes estatales durante los cuatro </w:t>
      </w:r>
      <w:r>
        <w:rPr>
          <w:rFonts w:ascii="Verdana" w:eastAsia="Times New Roman" w:hAnsi="Verdana" w:cs="Open Sans"/>
          <w:lang w:eastAsia="es-CO"/>
        </w:rPr>
        <w:t>(4)</w:t>
      </w:r>
      <w:r w:rsidRPr="00B3605D">
        <w:rPr>
          <w:rFonts w:ascii="Verdana" w:eastAsia="Times New Roman" w:hAnsi="Verdana" w:cs="Open Sans"/>
          <w:lang w:eastAsia="es-CO"/>
        </w:rPr>
        <w:t xml:space="preserve"> meses anteriores a las elecciones presidenciales y dispone las excepciones a dicha prohibición. </w:t>
      </w:r>
      <w:r>
        <w:rPr>
          <w:rFonts w:ascii="Verdana" w:eastAsia="Times New Roman" w:hAnsi="Verdana" w:cs="Open Sans"/>
          <w:lang w:eastAsia="es-CO"/>
        </w:rPr>
        <w:t xml:space="preserve">Así, su ámbito de prohibición está delimitado por la expresión </w:t>
      </w:r>
      <w:r>
        <w:rPr>
          <w:rFonts w:ascii="Verdana" w:eastAsia="Times New Roman" w:hAnsi="Verdana" w:cs="Open Sans"/>
          <w:lang w:eastAsia="es-CO"/>
        </w:rPr>
        <w:lastRenderedPageBreak/>
        <w:t>“</w:t>
      </w:r>
      <w:r w:rsidRPr="006A640E">
        <w:rPr>
          <w:rFonts w:ascii="Verdana" w:eastAsia="Times New Roman" w:hAnsi="Verdana" w:cs="Open Sans"/>
          <w:lang w:eastAsia="es-CO"/>
        </w:rPr>
        <w:t>queda prohibida la contratación directa</w:t>
      </w:r>
      <w:r>
        <w:rPr>
          <w:rFonts w:ascii="Verdana" w:eastAsia="Times New Roman" w:hAnsi="Verdana" w:cs="Open Sans"/>
          <w:lang w:eastAsia="es-CO"/>
        </w:rPr>
        <w:t xml:space="preserve">” y </w:t>
      </w:r>
      <w:r w:rsidRPr="006A640E">
        <w:rPr>
          <w:rFonts w:ascii="Verdana" w:eastAsia="Times New Roman" w:hAnsi="Verdana" w:cs="Open Sans"/>
          <w:lang w:eastAsia="es-CO"/>
        </w:rPr>
        <w:t>para los efectos de la Ley de Garantías</w:t>
      </w:r>
      <w:r>
        <w:rPr>
          <w:rFonts w:ascii="Verdana" w:eastAsia="Times New Roman" w:hAnsi="Verdana" w:cs="Open Sans"/>
          <w:lang w:eastAsia="es-CO"/>
        </w:rPr>
        <w:t xml:space="preserve"> </w:t>
      </w:r>
      <w:r w:rsidRPr="006A640E">
        <w:rPr>
          <w:rFonts w:ascii="Verdana" w:eastAsia="Times New Roman" w:hAnsi="Verdana" w:cs="Open Sans"/>
          <w:lang w:eastAsia="es-CO"/>
        </w:rPr>
        <w:t>Electorales y, en particular, para la prohibición o restricción temporal contenida en su</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artículo 33, </w:t>
      </w:r>
      <w:r>
        <w:rPr>
          <w:rFonts w:ascii="Verdana" w:eastAsia="Times New Roman" w:hAnsi="Verdana" w:cs="Open Sans"/>
          <w:lang w:eastAsia="es-CO"/>
        </w:rPr>
        <w:t>“</w:t>
      </w:r>
      <w:r w:rsidRPr="006A640E">
        <w:rPr>
          <w:rFonts w:ascii="Verdana" w:eastAsia="Times New Roman" w:hAnsi="Verdana" w:cs="Open Sans"/>
          <w:lang w:eastAsia="es-CO"/>
        </w:rPr>
        <w:t>contratación directa</w:t>
      </w:r>
      <w:r>
        <w:rPr>
          <w:rFonts w:ascii="Verdana" w:eastAsia="Times New Roman" w:hAnsi="Verdana" w:cs="Open Sans"/>
          <w:lang w:eastAsia="es-CO"/>
        </w:rPr>
        <w:t>”</w:t>
      </w:r>
      <w:r w:rsidRPr="006A640E">
        <w:rPr>
          <w:rFonts w:ascii="Verdana" w:eastAsia="Times New Roman" w:hAnsi="Verdana" w:cs="Open Sans"/>
          <w:lang w:eastAsia="es-CO"/>
        </w:rPr>
        <w:t xml:space="preserve"> es cualquier sistema de selección o procedimiento</w:t>
      </w:r>
      <w:r>
        <w:rPr>
          <w:rFonts w:ascii="Verdana" w:eastAsia="Times New Roman" w:hAnsi="Verdana" w:cs="Open Sans"/>
          <w:lang w:eastAsia="es-CO"/>
        </w:rPr>
        <w:t xml:space="preserve"> </w:t>
      </w:r>
      <w:r w:rsidRPr="006A640E">
        <w:rPr>
          <w:rFonts w:ascii="Verdana" w:eastAsia="Times New Roman" w:hAnsi="Verdana" w:cs="Open Sans"/>
          <w:lang w:eastAsia="es-CO"/>
        </w:rPr>
        <w:t>de contratación utilizado por las entidades estatales que no incluya la convocatoria</w:t>
      </w:r>
      <w:r>
        <w:rPr>
          <w:rFonts w:ascii="Verdana" w:eastAsia="Times New Roman" w:hAnsi="Verdana" w:cs="Open Sans"/>
          <w:lang w:eastAsia="es-CO"/>
        </w:rPr>
        <w:t xml:space="preserve"> </w:t>
      </w:r>
      <w:r w:rsidRPr="006A640E">
        <w:rPr>
          <w:rFonts w:ascii="Verdana" w:eastAsia="Times New Roman" w:hAnsi="Verdana" w:cs="Open Sans"/>
          <w:lang w:eastAsia="es-CO"/>
        </w:rPr>
        <w:t>pública en alguna de sus etapas, ni permita la participación de una pluralidad de</w:t>
      </w:r>
      <w:r>
        <w:rPr>
          <w:rFonts w:ascii="Verdana" w:eastAsia="Times New Roman" w:hAnsi="Verdana" w:cs="Open Sans"/>
          <w:lang w:eastAsia="es-CO"/>
        </w:rPr>
        <w:t xml:space="preserve"> </w:t>
      </w:r>
      <w:r w:rsidRPr="006A640E">
        <w:rPr>
          <w:rFonts w:ascii="Verdana" w:eastAsia="Times New Roman" w:hAnsi="Verdana" w:cs="Open Sans"/>
          <w:lang w:eastAsia="es-CO"/>
        </w:rPr>
        <w:t>oferentes</w:t>
      </w:r>
      <w:r>
        <w:rPr>
          <w:rStyle w:val="Refdenotaalpie"/>
          <w:rFonts w:ascii="Verdana" w:eastAsia="Times New Roman" w:hAnsi="Verdana" w:cs="Open Sans"/>
          <w:lang w:eastAsia="es-CO"/>
        </w:rPr>
        <w:footnoteReference w:id="11"/>
      </w:r>
      <w:r>
        <w:rPr>
          <w:rFonts w:ascii="Verdana" w:eastAsia="Times New Roman" w:hAnsi="Verdana" w:cs="Open Sans"/>
          <w:lang w:eastAsia="es-CO"/>
        </w:rPr>
        <w:t>.</w:t>
      </w:r>
    </w:p>
    <w:p w14:paraId="5082BEF8" w14:textId="77777777" w:rsidR="00C57DF7" w:rsidRDefault="00C57DF7" w:rsidP="00C57DF7">
      <w:pPr>
        <w:spacing w:after="120" w:line="276" w:lineRule="auto"/>
        <w:ind w:firstLine="708"/>
        <w:jc w:val="both"/>
        <w:rPr>
          <w:rFonts w:ascii="Verdana" w:hAnsi="Verdana"/>
        </w:rPr>
      </w:pPr>
      <w:r>
        <w:rPr>
          <w:rFonts w:ascii="Verdana" w:eastAsia="Times New Roman" w:hAnsi="Verdana" w:cs="Open Sans"/>
          <w:lang w:eastAsia="es-CO"/>
        </w:rPr>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42E51EEA" w14:textId="77777777" w:rsidR="00C57DF7" w:rsidRDefault="00C57DF7" w:rsidP="00C57DF7">
      <w:pPr>
        <w:spacing w:after="120" w:line="276" w:lineRule="auto"/>
        <w:ind w:firstLine="708"/>
        <w:jc w:val="both"/>
        <w:rPr>
          <w:rFonts w:ascii="Verdana" w:eastAsia="Times New Roman" w:hAnsi="Verdana" w:cs="Open Sans"/>
          <w:lang w:eastAsia="es-CO"/>
        </w:rPr>
      </w:pPr>
      <w:r w:rsidRPr="00A545DE">
        <w:rPr>
          <w:rFonts w:ascii="Verdana" w:eastAsia="Times New Roman" w:hAnsi="Verdana" w:cs="Open Sans"/>
          <w:lang w:eastAsia="es-CO"/>
        </w:rPr>
        <w:t>De lo anterior se desprende que la restricción aplica, sin perjuicio de las excepciones establecidas en la misma ley, para celebrar cualquier contrato de</w:t>
      </w:r>
      <w:r w:rsidRPr="006A640E">
        <w:rPr>
          <w:rFonts w:ascii="Verdana" w:eastAsia="Times New Roman" w:hAnsi="Verdana" w:cs="Open Sans"/>
          <w:lang w:eastAsia="es-CO"/>
        </w:rPr>
        <w:t xml:space="preserve"> forma</w:t>
      </w:r>
      <w:r>
        <w:rPr>
          <w:rFonts w:ascii="Verdana" w:eastAsia="Times New Roman" w:hAnsi="Verdana" w:cs="Open Sans"/>
          <w:lang w:eastAsia="es-CO"/>
        </w:rPr>
        <w:t xml:space="preserve"> </w:t>
      </w:r>
      <w:r w:rsidRPr="006A640E">
        <w:rPr>
          <w:rFonts w:ascii="Verdana" w:eastAsia="Times New Roman" w:hAnsi="Verdana" w:cs="Open Sans"/>
          <w:lang w:eastAsia="es-CO"/>
        </w:rPr>
        <w:t>directa</w:t>
      </w:r>
      <w:r>
        <w:rPr>
          <w:rFonts w:ascii="Verdana" w:eastAsia="Times New Roman" w:hAnsi="Verdana" w:cs="Open Sans"/>
          <w:lang w:eastAsia="es-CO"/>
        </w:rPr>
        <w:t xml:space="preserve">, esto es, </w:t>
      </w:r>
      <w:r w:rsidRPr="006A640E">
        <w:rPr>
          <w:rFonts w:ascii="Verdana" w:eastAsia="Times New Roman" w:hAnsi="Verdana" w:cs="Open Sans"/>
          <w:lang w:eastAsia="es-CO"/>
        </w:rPr>
        <w:t>sin que exista un proceso abierto y competitivo. Por tanto, no son</w:t>
      </w:r>
      <w:r>
        <w:rPr>
          <w:rFonts w:ascii="Verdana" w:eastAsia="Times New Roman" w:hAnsi="Verdana" w:cs="Open Sans"/>
          <w:lang w:eastAsia="es-CO"/>
        </w:rPr>
        <w:t xml:space="preserve"> </w:t>
      </w:r>
      <w:r w:rsidRPr="006A640E">
        <w:rPr>
          <w:rFonts w:ascii="Verdana" w:eastAsia="Times New Roman" w:hAnsi="Verdana" w:cs="Open Sans"/>
          <w:lang w:eastAsia="es-CO"/>
        </w:rPr>
        <w:t>materia de la prohibición las demás modalidades de selección previstas en la Ley</w:t>
      </w:r>
      <w:r>
        <w:rPr>
          <w:rFonts w:ascii="Verdana" w:eastAsia="Times New Roman" w:hAnsi="Verdana" w:cs="Open Sans"/>
          <w:lang w:eastAsia="es-CO"/>
        </w:rPr>
        <w:t xml:space="preserve"> </w:t>
      </w:r>
      <w:r w:rsidRPr="006A640E">
        <w:rPr>
          <w:rFonts w:ascii="Verdana" w:eastAsia="Times New Roman" w:hAnsi="Verdana" w:cs="Open Sans"/>
          <w:lang w:eastAsia="es-CO"/>
        </w:rPr>
        <w:t>1150 de 2007, es decir, la licitación pública, el concurso de méritos, la selección</w:t>
      </w:r>
      <w:r>
        <w:rPr>
          <w:rFonts w:ascii="Verdana" w:eastAsia="Times New Roman" w:hAnsi="Verdana" w:cs="Open Sans"/>
          <w:lang w:eastAsia="es-CO"/>
        </w:rPr>
        <w:t xml:space="preserve"> </w:t>
      </w:r>
      <w:r w:rsidRPr="006A640E">
        <w:rPr>
          <w:rFonts w:ascii="Verdana" w:eastAsia="Times New Roman" w:hAnsi="Verdana" w:cs="Open Sans"/>
          <w:lang w:eastAsia="es-CO"/>
        </w:rPr>
        <w:t>abreviada y la contratación de mínima cuantía, razón por la cual en el período</w:t>
      </w:r>
      <w:r>
        <w:rPr>
          <w:rFonts w:ascii="Verdana" w:eastAsia="Times New Roman" w:hAnsi="Verdana" w:cs="Open Sans"/>
          <w:lang w:eastAsia="es-CO"/>
        </w:rPr>
        <w:t xml:space="preserve"> </w:t>
      </w:r>
      <w:r w:rsidRPr="006A640E">
        <w:rPr>
          <w:rFonts w:ascii="Verdana" w:eastAsia="Times New Roman" w:hAnsi="Verdana" w:cs="Open Sans"/>
          <w:lang w:eastAsia="es-CO"/>
        </w:rPr>
        <w:t>preelectoral de que trata la disposición las entidades públicas pueden seguir</w:t>
      </w:r>
      <w:r>
        <w:rPr>
          <w:rFonts w:ascii="Verdana" w:eastAsia="Times New Roman" w:hAnsi="Verdana" w:cs="Open Sans"/>
          <w:lang w:eastAsia="es-CO"/>
        </w:rPr>
        <w:t xml:space="preserve"> </w:t>
      </w:r>
      <w:r w:rsidRPr="006A640E">
        <w:rPr>
          <w:rFonts w:ascii="Verdana" w:eastAsia="Times New Roman" w:hAnsi="Verdana" w:cs="Open Sans"/>
          <w:lang w:eastAsia="es-CO"/>
        </w:rPr>
        <w:t>contratando bajo estos sistemas.</w:t>
      </w:r>
    </w:p>
    <w:p w14:paraId="6ADFC348" w14:textId="77777777" w:rsidR="00C57DF7" w:rsidRDefault="00C57DF7" w:rsidP="00C57DF7">
      <w:pPr>
        <w:spacing w:after="0" w:line="276" w:lineRule="auto"/>
        <w:ind w:firstLine="708"/>
        <w:jc w:val="both"/>
        <w:rPr>
          <w:rFonts w:ascii="Verdana" w:hAnsi="Verdana"/>
        </w:rPr>
      </w:pPr>
      <w:r w:rsidRPr="006A640E">
        <w:rPr>
          <w:rFonts w:ascii="Verdana" w:hAnsi="Verdana"/>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6A640E">
        <w:rPr>
          <w:rFonts w:ascii="Verdana" w:hAnsi="Verdana"/>
        </w:rPr>
        <w:t>ii</w:t>
      </w:r>
      <w:proofErr w:type="spellEnd"/>
      <w:r w:rsidRPr="006A640E">
        <w:rPr>
          <w:rFonts w:ascii="Verdana" w:hAnsi="Verdana"/>
        </w:rPr>
        <w:t xml:space="preserve">) los contratos de crédito público; </w:t>
      </w:r>
      <w:proofErr w:type="spellStart"/>
      <w:r w:rsidRPr="006A640E">
        <w:rPr>
          <w:rFonts w:ascii="Verdana" w:hAnsi="Verdana"/>
        </w:rPr>
        <w:t>iii</w:t>
      </w:r>
      <w:proofErr w:type="spellEnd"/>
      <w:r w:rsidRPr="006A640E">
        <w:rPr>
          <w:rFonts w:ascii="Verdana" w:hAnsi="Verdana"/>
        </w:rPr>
        <w:t xml:space="preserve">) los requeridos para cubrir las emergencias educativas, sanitarias y desastres; </w:t>
      </w:r>
      <w:proofErr w:type="spellStart"/>
      <w:r w:rsidRPr="006A640E">
        <w:rPr>
          <w:rFonts w:ascii="Verdana" w:hAnsi="Verdana"/>
        </w:rPr>
        <w:t>iv</w:t>
      </w:r>
      <w:proofErr w:type="spellEnd"/>
      <w:r w:rsidRPr="006A640E">
        <w:rPr>
          <w:rFonts w:ascii="Verdana" w:hAnsi="Verdana"/>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w:t>
      </w:r>
      <w:r w:rsidRPr="006A640E">
        <w:rPr>
          <w:rFonts w:ascii="Verdana" w:hAnsi="Verdana"/>
        </w:rPr>
        <w:lastRenderedPageBreak/>
        <w:t>adelanta y determinar si las mismas se enmarcan en alguna de las mencionadas excepciones, de manera que se le permita realizar la contratación que necesite en forma directa.</w:t>
      </w:r>
    </w:p>
    <w:p w14:paraId="25539DEA" w14:textId="77777777" w:rsidR="00C57DF7" w:rsidRDefault="00C57DF7" w:rsidP="00C57DF7">
      <w:pPr>
        <w:spacing w:after="0" w:line="276" w:lineRule="auto"/>
        <w:ind w:firstLine="708"/>
        <w:jc w:val="both"/>
        <w:rPr>
          <w:rFonts w:ascii="Verdana" w:hAnsi="Verdana"/>
        </w:rPr>
      </w:pPr>
    </w:p>
    <w:p w14:paraId="13DDDE1F" w14:textId="77777777" w:rsidR="00C57DF7" w:rsidRPr="00C40D52" w:rsidRDefault="00C57DF7" w:rsidP="00C40D52">
      <w:pPr>
        <w:pStyle w:val="Prrafodelista"/>
        <w:numPr>
          <w:ilvl w:val="0"/>
          <w:numId w:val="23"/>
        </w:numPr>
        <w:spacing w:after="0" w:line="276" w:lineRule="auto"/>
        <w:jc w:val="both"/>
        <w:rPr>
          <w:rFonts w:ascii="Verdana" w:eastAsia="Arial" w:hAnsi="Verdana" w:cs="Arial"/>
          <w:b/>
          <w:bCs/>
          <w:i/>
          <w:iCs/>
          <w:lang w:eastAsia="es-ES" w:bidi="es-ES"/>
        </w:rPr>
      </w:pPr>
      <w:r w:rsidRPr="00C40D52">
        <w:rPr>
          <w:rFonts w:ascii="Verdana" w:eastAsia="Arial" w:hAnsi="Verdana" w:cs="Arial"/>
          <w:b/>
          <w:bCs/>
          <w:i/>
          <w:iCs/>
          <w:lang w:eastAsia="es-ES" w:bidi="es-ES"/>
        </w:rPr>
        <w:t xml:space="preserve">Restricciones demás elecciones </w:t>
      </w:r>
    </w:p>
    <w:p w14:paraId="419F0302" w14:textId="77777777" w:rsidR="00C57DF7" w:rsidRDefault="00C57DF7" w:rsidP="00C57DF7">
      <w:pPr>
        <w:spacing w:after="0" w:line="270" w:lineRule="atLeast"/>
        <w:jc w:val="both"/>
        <w:rPr>
          <w:rFonts w:ascii="Verdana" w:eastAsia="Times New Roman" w:hAnsi="Verdana" w:cs="Open Sans"/>
          <w:lang w:eastAsia="es-CO"/>
        </w:rPr>
      </w:pPr>
    </w:p>
    <w:p w14:paraId="0C4342F7" w14:textId="77777777" w:rsidR="00C57DF7" w:rsidRPr="00D61E29" w:rsidRDefault="00C57DF7" w:rsidP="00C57DF7">
      <w:pPr>
        <w:spacing w:after="0" w:line="270" w:lineRule="atLeast"/>
        <w:jc w:val="both"/>
        <w:rPr>
          <w:rFonts w:ascii="Verdana" w:eastAsia="Times New Roman" w:hAnsi="Verdana" w:cs="Open Sans"/>
          <w:lang w:eastAsia="es-CO"/>
        </w:rPr>
      </w:pPr>
      <w:r w:rsidRPr="00D61E29">
        <w:rPr>
          <w:rFonts w:ascii="Verdana" w:eastAsia="Times New Roman" w:hAnsi="Verdana" w:cs="Open Sans"/>
          <w:lang w:eastAsia="es-CO"/>
        </w:rPr>
        <w:t xml:space="preserve">Adicionalmente, el parágrafo del artículo 38 </w:t>
      </w:r>
      <w:r w:rsidRPr="00D61E29">
        <w:rPr>
          <w:rFonts w:ascii="Verdana" w:eastAsia="Calibri" w:hAnsi="Verdana" w:cs="Arial"/>
        </w:rPr>
        <w:t>prevé una restricción, aplicable respecto de cualquier tipo de contienda electoral, como sigue:</w:t>
      </w:r>
    </w:p>
    <w:p w14:paraId="0B6CAC0A" w14:textId="77777777" w:rsidR="00C57DF7" w:rsidRDefault="00C57DF7" w:rsidP="00C57DF7">
      <w:pPr>
        <w:pStyle w:val="NormalWeb"/>
        <w:spacing w:before="0" w:beforeAutospacing="0" w:after="0" w:afterAutospacing="0" w:line="270" w:lineRule="atLeast"/>
        <w:ind w:left="709" w:right="616"/>
        <w:jc w:val="both"/>
        <w:rPr>
          <w:rStyle w:val="baj"/>
          <w:rFonts w:ascii="Verdana" w:hAnsi="Verdana" w:cs="Open Sans"/>
          <w:b/>
          <w:bCs/>
          <w:sz w:val="20"/>
          <w:szCs w:val="20"/>
        </w:rPr>
      </w:pPr>
    </w:p>
    <w:p w14:paraId="6310B8D9" w14:textId="77777777" w:rsidR="00C57DF7" w:rsidRPr="00D61E29" w:rsidRDefault="00C57DF7" w:rsidP="00C57DF7">
      <w:pPr>
        <w:pStyle w:val="NormalWeb"/>
        <w:spacing w:before="0" w:beforeAutospacing="0" w:after="0" w:afterAutospacing="0"/>
        <w:ind w:left="709" w:right="709"/>
        <w:jc w:val="both"/>
        <w:rPr>
          <w:rFonts w:ascii="Verdana" w:hAnsi="Verdana" w:cs="Open Sans"/>
          <w:sz w:val="20"/>
          <w:szCs w:val="20"/>
        </w:rPr>
      </w:pPr>
      <w:r>
        <w:rPr>
          <w:rStyle w:val="baj"/>
          <w:rFonts w:ascii="Verdana" w:hAnsi="Verdana" w:cs="Open Sans"/>
          <w:b/>
          <w:bCs/>
          <w:sz w:val="20"/>
          <w:szCs w:val="20"/>
        </w:rPr>
        <w:t>“</w:t>
      </w:r>
      <w:r w:rsidRPr="00D61E29">
        <w:rPr>
          <w:rStyle w:val="baj"/>
          <w:rFonts w:ascii="Verdana" w:hAnsi="Verdana" w:cs="Open Sans"/>
          <w:b/>
          <w:bCs/>
          <w:sz w:val="20"/>
          <w:szCs w:val="20"/>
        </w:rPr>
        <w:t>PARÁGRAFO.</w:t>
      </w:r>
      <w:r w:rsidRPr="00D61E29">
        <w:rPr>
          <w:rFonts w:ascii="Verdana" w:hAnsi="Verdana" w:cs="Open Sans"/>
          <w:sz w:val="20"/>
          <w:szCs w:val="20"/>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13904609" w14:textId="77777777" w:rsidR="00C57DF7" w:rsidRPr="00D61E29" w:rsidRDefault="00C57DF7" w:rsidP="00C57DF7">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Tampoco podrán inaugurar obras públicas o dar inicio a programas de carácter social en reuniones o eventos en los que participen candidatos a la Presidencia y Vicepresidencia de la República, el Congreso de la República, gobernaciones departamentales, asambleas departamentales, alcaldías y concejos municipales o distritales. Tampoco podrán hacerlo cuando participen voceros de los candidatos.</w:t>
      </w:r>
    </w:p>
    <w:p w14:paraId="20DB7BA6" w14:textId="77777777" w:rsidR="00C57DF7" w:rsidRPr="00D61E29" w:rsidRDefault="00C57DF7" w:rsidP="00C57DF7">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No podrán autorizar la utilización de inmuebles o bienes muebles de carácter público para actividades proselitistas, ni para facilitar el alojamiento, ni el transporte de electores de candidatos a cargos de elección popular. Tampoco podrán hacerlo cuando participen voceros de los candidatos.</w:t>
      </w:r>
    </w:p>
    <w:p w14:paraId="1F234182" w14:textId="77777777" w:rsidR="00C57DF7" w:rsidRPr="00D61E29" w:rsidRDefault="00C57DF7" w:rsidP="00C57DF7">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La nómina del respectivo ente territorial o entidad no se podrá modificar dentro de los cuatro (4) meses anteriores a las elecciones a cargos de elección popular, salvo que se trate de provisión de cargos por faltas definitivas, con ocasión de muerte o renuncia irrevocable del cargo correspondiente debidamente aceptada, y en los casos de aplicación de las normas de carrera administrativa.</w:t>
      </w:r>
    </w:p>
    <w:p w14:paraId="2694E687" w14:textId="77777777" w:rsidR="00C57DF7" w:rsidRDefault="00C57DF7" w:rsidP="00C57DF7">
      <w:pPr>
        <w:widowControl w:val="0"/>
        <w:autoSpaceDE w:val="0"/>
        <w:autoSpaceDN w:val="0"/>
        <w:spacing w:after="0" w:line="276" w:lineRule="auto"/>
        <w:ind w:right="113"/>
        <w:contextualSpacing/>
        <w:jc w:val="both"/>
      </w:pPr>
    </w:p>
    <w:p w14:paraId="395C9BC4" w14:textId="77777777" w:rsidR="00C57DF7" w:rsidRPr="00775AB1" w:rsidRDefault="00C57DF7" w:rsidP="00C57DF7">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proofErr w:type="spellStart"/>
      <w:r w:rsidRPr="00E2397D">
        <w:rPr>
          <w:rFonts w:ascii="Verdana" w:eastAsia="Times New Roman" w:hAnsi="Verdana" w:cs="Arial"/>
          <w:lang w:eastAsia="es-CO"/>
        </w:rPr>
        <w:t>e</w:t>
      </w:r>
      <w:proofErr w:type="spellEnd"/>
      <w:r w:rsidRPr="00E2397D">
        <w:rPr>
          <w:rFonts w:ascii="Verdana" w:eastAsia="Times New Roman" w:hAnsi="Verdana" w:cs="Arial"/>
          <w:lang w:eastAsia="es-CO"/>
        </w:rPr>
        <w:t xml:space="preserve"> observa entonces </w:t>
      </w:r>
      <w:bookmarkStart w:id="2" w:name="_Hlk207205098"/>
      <w:r w:rsidRPr="00E2397D">
        <w:rPr>
          <w:rFonts w:ascii="Verdana" w:eastAsia="Times New Roman" w:hAnsi="Verdana" w:cs="Arial"/>
          <w:lang w:eastAsia="es-CO"/>
        </w:rPr>
        <w:t xml:space="preserve">que </w:t>
      </w:r>
      <w:r w:rsidRPr="00E2397D">
        <w:rPr>
          <w:rFonts w:ascii="Verdana" w:eastAsia="Times New Roman" w:hAnsi="Verdana" w:cs="Arial"/>
          <w:lang w:val="es-MX" w:eastAsia="es-CO"/>
        </w:rPr>
        <w:t xml:space="preserve">el parágrafo del artículo 38 de la Ley 996 de 2005 prohíbe a los </w:t>
      </w:r>
      <w:proofErr w:type="gramStart"/>
      <w:r w:rsidRPr="00E2397D">
        <w:rPr>
          <w:rFonts w:ascii="Verdana" w:eastAsia="Times New Roman" w:hAnsi="Verdana" w:cs="Arial"/>
          <w:lang w:val="es-MX" w:eastAsia="es-CO"/>
        </w:rPr>
        <w:t>Alcaldes</w:t>
      </w:r>
      <w:proofErr w:type="gramEnd"/>
      <w:r w:rsidRPr="00E2397D">
        <w:rPr>
          <w:rFonts w:ascii="Verdana" w:eastAsia="Times New Roman" w:hAnsi="Verdana" w:cs="Arial"/>
          <w:lang w:val="es-MX" w:eastAsia="es-CO"/>
        </w:rPr>
        <w:t xml:space="preserve">, Gobernadores, Secretarios, Gerentes y Directores de las entidades </w:t>
      </w:r>
      <w:r>
        <w:rPr>
          <w:rFonts w:ascii="Verdana" w:eastAsia="Times New Roman" w:hAnsi="Verdana" w:cs="Arial"/>
          <w:lang w:val="es-MX" w:eastAsia="es-CO"/>
        </w:rPr>
        <w:t xml:space="preserve">descentralizadas </w:t>
      </w:r>
      <w:r w:rsidRPr="00E2397D">
        <w:rPr>
          <w:rFonts w:ascii="Verdana" w:eastAsia="Times New Roman" w:hAnsi="Verdana" w:cs="Arial"/>
          <w:lang w:val="es-MX" w:eastAsia="es-CO"/>
        </w:rPr>
        <w:t xml:space="preserve">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bookmarkEnd w:id="2"/>
    </w:p>
    <w:p w14:paraId="30D07610" w14:textId="77777777" w:rsidR="00C57DF7" w:rsidRPr="00D61E29" w:rsidRDefault="00C57DF7" w:rsidP="00C57DF7">
      <w:pPr>
        <w:widowControl w:val="0"/>
        <w:autoSpaceDE w:val="0"/>
        <w:autoSpaceDN w:val="0"/>
        <w:spacing w:after="0" w:line="276" w:lineRule="auto"/>
        <w:ind w:firstLine="708"/>
        <w:contextualSpacing/>
        <w:jc w:val="both"/>
        <w:rPr>
          <w:rFonts w:ascii="Verdana" w:eastAsia="Arial" w:hAnsi="Verdana" w:cs="Arial"/>
          <w:lang w:val="es-ES" w:eastAsia="es-ES" w:bidi="es-ES"/>
        </w:rPr>
      </w:pPr>
      <w:r w:rsidRPr="00D61E29">
        <w:rPr>
          <w:rFonts w:ascii="Verdana" w:eastAsia="Arial" w:hAnsi="Verdana" w:cs="Arial"/>
          <w:lang w:val="es-ES" w:eastAsia="es-ES" w:bidi="es-ES"/>
        </w:rPr>
        <w:lastRenderedPageBreak/>
        <w:t>La Sala de Consulta y Servicio Civil del Consejo de Estado ha aclarado la distinción en la aplicación de las prohibiciones de la Ley 996 de 2005, dependiendo del tipo de elección que se trate. Al respecto, considera:</w:t>
      </w:r>
    </w:p>
    <w:p w14:paraId="484DFEB5" w14:textId="77777777" w:rsidR="00C57DF7" w:rsidRPr="00D61E29" w:rsidRDefault="00C57DF7" w:rsidP="00C57DF7">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733136C0" w14:textId="77777777" w:rsidR="00C57DF7" w:rsidRPr="00D61E29" w:rsidRDefault="00C57DF7" w:rsidP="00C57DF7">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D61E29">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D61E29">
        <w:rPr>
          <w:rFonts w:ascii="Verdana" w:eastAsia="Arial" w:hAnsi="Verdana" w:cs="Arial"/>
          <w:sz w:val="20"/>
          <w:szCs w:val="20"/>
          <w:lang w:eastAsia="es-ES" w:bidi="es-ES"/>
        </w:rPr>
        <w:t>Presidente</w:t>
      </w:r>
      <w:proofErr w:type="gramEnd"/>
      <w:r w:rsidRPr="00D61E29">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D61E29">
        <w:rPr>
          <w:rFonts w:ascii="Verdana" w:eastAsia="Arial" w:hAnsi="Verdana" w:cs="Arial"/>
          <w:sz w:val="20"/>
          <w:szCs w:val="20"/>
          <w:vertAlign w:val="superscript"/>
          <w:lang w:eastAsia="es-ES" w:bidi="es-ES"/>
        </w:rPr>
        <w:footnoteReference w:id="12"/>
      </w:r>
    </w:p>
    <w:p w14:paraId="420E4B27" w14:textId="77777777" w:rsidR="00C57DF7" w:rsidRPr="00D61E29" w:rsidRDefault="00C57DF7" w:rsidP="00C57DF7">
      <w:pPr>
        <w:widowControl w:val="0"/>
        <w:autoSpaceDE w:val="0"/>
        <w:autoSpaceDN w:val="0"/>
        <w:spacing w:after="0" w:line="240" w:lineRule="auto"/>
        <w:ind w:left="709" w:right="709"/>
        <w:jc w:val="both"/>
        <w:rPr>
          <w:rFonts w:ascii="Verdana" w:eastAsia="Arial" w:hAnsi="Verdana" w:cs="Arial"/>
          <w:sz w:val="20"/>
          <w:szCs w:val="20"/>
          <w:lang w:eastAsia="es-ES" w:bidi="es-ES"/>
        </w:rPr>
      </w:pPr>
    </w:p>
    <w:p w14:paraId="0A76B7C9" w14:textId="00385912" w:rsidR="009E6A2A" w:rsidRPr="00C40D52" w:rsidRDefault="009E6A2A" w:rsidP="009E6A2A">
      <w:pPr>
        <w:spacing w:after="120" w:line="276" w:lineRule="auto"/>
        <w:jc w:val="both"/>
        <w:rPr>
          <w:rFonts w:ascii="Verdana" w:eastAsia="Calibri" w:hAnsi="Verdana" w:cs="Arial"/>
          <w:lang w:val="es-ES_tradnl"/>
        </w:rPr>
      </w:pPr>
      <w:r>
        <w:rPr>
          <w:rFonts w:ascii="Verdana" w:hAnsi="Verdana" w:cs="BCDHEE+Verdana"/>
          <w:color w:val="000000"/>
        </w:rPr>
        <w:tab/>
      </w:r>
      <w:r w:rsidR="00D770A5" w:rsidRPr="003217D8">
        <w:rPr>
          <w:rFonts w:ascii="Verdana" w:hAnsi="Verdana" w:cs="Arial"/>
        </w:rPr>
        <w:t xml:space="preserve">Conforme lo expuesto, debe señalarse que, </w:t>
      </w:r>
      <w:r w:rsidR="00F91BD8" w:rsidRPr="003217D8">
        <w:rPr>
          <w:rFonts w:ascii="Verdana" w:hAnsi="Verdana" w:cs="Arial"/>
        </w:rPr>
        <w:t>e</w:t>
      </w:r>
      <w:r w:rsidRPr="00C40D52">
        <w:rPr>
          <w:rFonts w:ascii="Verdana" w:eastAsia="Calibri" w:hAnsi="Verdana" w:cs="Arial"/>
          <w:lang w:val="es-ES_tradnl"/>
        </w:rPr>
        <w:t>l artículo 33 de la Ley 996 de 2005 establece una restricción en atención a la cual,</w:t>
      </w:r>
      <w:r w:rsidRPr="00C40D52">
        <w:rPr>
          <w:rFonts w:ascii="Verdana" w:eastAsia="Calibri" w:hAnsi="Verdana" w:cs="Arial"/>
          <w:sz w:val="25"/>
          <w:szCs w:val="25"/>
          <w:shd w:val="clear" w:color="auto" w:fill="FFFFFF"/>
          <w:lang w:val="es-ES_tradnl"/>
        </w:rPr>
        <w:t xml:space="preserve"> </w:t>
      </w:r>
      <w:r w:rsidRPr="00C40D52">
        <w:rPr>
          <w:rFonts w:ascii="Verdana" w:eastAsia="Calibri" w:hAnsi="Verdana" w:cs="Arial"/>
          <w:lang w:val="es-ES_tradnl"/>
        </w:rPr>
        <w:t>durante los cuatro meses anteriores a la elección presidencial y hasta la realización de la elección en la segunda vuelta, si fuere el caso, está prohibida la contratación directa por parte de todos los entes del Estado. Esto implica que la celebración de contratos, cuya selección del contratista se realice de manera directa está prohibida durante el período de aplicación de esta restricción, en los términos explicados en las consideraciones.</w:t>
      </w:r>
    </w:p>
    <w:p w14:paraId="07754E9F" w14:textId="77777777" w:rsidR="009E6A2A" w:rsidRPr="00C40D52" w:rsidRDefault="009E6A2A" w:rsidP="23D8F5BD">
      <w:pPr>
        <w:spacing w:after="120" w:line="276" w:lineRule="auto"/>
        <w:ind w:firstLine="708"/>
        <w:jc w:val="both"/>
        <w:rPr>
          <w:rFonts w:ascii="Verdana" w:eastAsia="Times New Roman" w:hAnsi="Verdana" w:cs="Arial"/>
          <w:lang w:val="es-ES" w:eastAsia="es-CO"/>
        </w:rPr>
      </w:pPr>
      <w:r w:rsidRPr="00C40D52">
        <w:rPr>
          <w:rFonts w:ascii="Verdana" w:eastAsia="Times New Roman" w:hAnsi="Verdana" w:cs="Arial"/>
          <w:lang w:val="es-ES"/>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en el inciso final del citado artículo 33 de la Ley 996 de 2005 en lo referente a: i) la defensa y seguridad del Estado; </w:t>
      </w:r>
      <w:proofErr w:type="spellStart"/>
      <w:r w:rsidRPr="00C40D52">
        <w:rPr>
          <w:rFonts w:ascii="Verdana" w:eastAsia="Times New Roman" w:hAnsi="Verdana" w:cs="Arial"/>
          <w:lang w:val="es-ES"/>
        </w:rPr>
        <w:t>ii</w:t>
      </w:r>
      <w:proofErr w:type="spellEnd"/>
      <w:r w:rsidRPr="00C40D52">
        <w:rPr>
          <w:rFonts w:ascii="Verdana" w:eastAsia="Times New Roman" w:hAnsi="Verdana" w:cs="Arial"/>
          <w:lang w:val="es-ES"/>
        </w:rPr>
        <w:t xml:space="preserve">) los contratos de crédito público; </w:t>
      </w:r>
      <w:proofErr w:type="spellStart"/>
      <w:r w:rsidRPr="00C40D52">
        <w:rPr>
          <w:rFonts w:ascii="Verdana" w:eastAsia="Times New Roman" w:hAnsi="Verdana" w:cs="Arial"/>
          <w:lang w:val="es-ES"/>
        </w:rPr>
        <w:t>iii</w:t>
      </w:r>
      <w:proofErr w:type="spellEnd"/>
      <w:r w:rsidRPr="00C40D52">
        <w:rPr>
          <w:rFonts w:ascii="Verdana" w:eastAsia="Times New Roman" w:hAnsi="Verdana" w:cs="Arial"/>
          <w:lang w:val="es-ES"/>
        </w:rPr>
        <w:t xml:space="preserve">) los requeridos para cubrir las emergencias educativas, sanitarias y desastres; </w:t>
      </w:r>
      <w:proofErr w:type="spellStart"/>
      <w:r w:rsidRPr="00C40D52">
        <w:rPr>
          <w:rFonts w:ascii="Verdana" w:eastAsia="Times New Roman" w:hAnsi="Verdana" w:cs="Arial"/>
          <w:lang w:val="es-ES"/>
        </w:rPr>
        <w:t>iv</w:t>
      </w:r>
      <w:proofErr w:type="spellEnd"/>
      <w:r w:rsidRPr="00C40D52">
        <w:rPr>
          <w:rFonts w:ascii="Verdana" w:eastAsia="Times New Roman" w:hAnsi="Verdana" w:cs="Arial"/>
          <w:lang w:val="es-ES"/>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C40D52">
        <w:rPr>
          <w:rFonts w:ascii="Verdana" w:eastAsia="Times New Roman" w:hAnsi="Verdana" w:cs="Arial"/>
          <w:lang w:val="es-ES" w:eastAsia="es-CO"/>
        </w:rPr>
        <w:t xml:space="preserve"> Por ello, es responsabilidad del respectivo ente del </w:t>
      </w:r>
      <w:r w:rsidRPr="00C40D52">
        <w:rPr>
          <w:rFonts w:ascii="Verdana" w:eastAsia="Times New Roman" w:hAnsi="Verdana" w:cs="Arial"/>
          <w:lang w:val="es-ES" w:eastAsia="es-CO"/>
        </w:rPr>
        <w:lastRenderedPageBreak/>
        <w:t>Estado, examinar en cada caso la naturaleza de las actividades que adelanta y determinar si las mismas se enmarcan en alguna de las mencionadas excepciones, de manera que se le permita realizar la contratación que necesite en forma directa.</w:t>
      </w:r>
    </w:p>
    <w:p w14:paraId="3A55F0DF" w14:textId="2CAEB8DB" w:rsidR="009E6A2A" w:rsidRPr="00C40D52" w:rsidRDefault="009E6A2A" w:rsidP="009E6A2A">
      <w:pPr>
        <w:spacing w:after="120" w:line="276" w:lineRule="auto"/>
        <w:ind w:firstLine="708"/>
        <w:jc w:val="both"/>
        <w:rPr>
          <w:rFonts w:ascii="Verdana" w:eastAsia="Times New Roman" w:hAnsi="Verdana" w:cs="Arial"/>
          <w:bCs/>
          <w:lang w:val="es-ES_tradnl" w:eastAsia="x-none"/>
        </w:rPr>
      </w:pPr>
      <w:r w:rsidRPr="00C40D52">
        <w:rPr>
          <w:rFonts w:ascii="Verdana" w:eastAsia="Times New Roman" w:hAnsi="Verdana" w:cs="Arial"/>
          <w:bCs/>
          <w:lang w:val="es-ES_tradnl" w:eastAsia="x-none"/>
        </w:rPr>
        <w:t xml:space="preserve">Por otra parte, el artículo 33 de la Ley 996 de 2005 señala expresamente a los destinatarios de la prohibición, en el sentido de que son </w:t>
      </w:r>
      <w:r w:rsidR="00F91BD8" w:rsidRPr="00C40D52">
        <w:rPr>
          <w:rFonts w:ascii="Verdana" w:eastAsia="Times New Roman" w:hAnsi="Verdana" w:cs="Arial"/>
          <w:bCs/>
          <w:lang w:val="es-ES_tradnl" w:eastAsia="x-none"/>
        </w:rPr>
        <w:t>“</w:t>
      </w:r>
      <w:r w:rsidRPr="00C40D52">
        <w:rPr>
          <w:rFonts w:ascii="Verdana" w:eastAsia="Times New Roman" w:hAnsi="Verdana" w:cs="Arial"/>
          <w:bCs/>
          <w:lang w:val="es-ES_tradnl" w:eastAsia="x-none"/>
        </w:rPr>
        <w:t>todos los entes del Estado</w:t>
      </w:r>
      <w:r w:rsidR="00F91BD8" w:rsidRPr="00C40D52">
        <w:rPr>
          <w:rFonts w:ascii="Verdana" w:eastAsia="Times New Roman" w:hAnsi="Verdana" w:cs="Arial"/>
          <w:bCs/>
          <w:lang w:val="es-ES_tradnl" w:eastAsia="x-none"/>
        </w:rPr>
        <w:t>”</w:t>
      </w:r>
      <w:r w:rsidRPr="00C40D52">
        <w:rPr>
          <w:rFonts w:ascii="Verdana" w:eastAsia="Times New Roman" w:hAnsi="Verdana" w:cs="Arial"/>
          <w:bCs/>
          <w:lang w:val="es-ES_tradnl" w:eastAsia="x-none"/>
        </w:rPr>
        <w:t>. Esto, de conformidad con lo expuesto, involucra a todas las entidades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0E065CF4" w14:textId="77777777" w:rsidR="009E6A2A" w:rsidRPr="00C40D52" w:rsidRDefault="009E6A2A" w:rsidP="23D8F5BD">
      <w:pPr>
        <w:spacing w:after="120" w:line="276" w:lineRule="auto"/>
        <w:ind w:firstLine="708"/>
        <w:jc w:val="both"/>
        <w:rPr>
          <w:rFonts w:ascii="Verdana" w:eastAsia="Times New Roman" w:hAnsi="Verdana" w:cs="Arial"/>
          <w:lang w:val="es-ES"/>
        </w:rPr>
      </w:pPr>
      <w:r w:rsidRPr="00C40D52">
        <w:rPr>
          <w:rFonts w:ascii="Verdana" w:eastAsia="Times New Roman" w:hAnsi="Verdana" w:cs="Arial"/>
          <w:lang w:val="es-ES"/>
        </w:rPr>
        <w:t>En consecuencia, las restricciones a la contratación contenidas en la Ley de Garantías Electorales son aplicables a entidades descentralizadas como las sociedades de economía mixta. Por lo tanto, la celebración de cualquier contrato de forma directa, esto es, sin que exista un proceso abierto y competitivo, también se encuentra restringida para este tipo de entidades, sin perjuicio de las excepciones expresamente previstas en el inciso final del artículo 33 de dicha norma.</w:t>
      </w:r>
    </w:p>
    <w:p w14:paraId="2528AA20" w14:textId="2D022835" w:rsidR="009E6A2A" w:rsidRPr="00C40D52" w:rsidRDefault="009E6A2A" w:rsidP="00C40D52">
      <w:pPr>
        <w:spacing w:after="0" w:line="276" w:lineRule="auto"/>
        <w:ind w:firstLine="708"/>
        <w:jc w:val="both"/>
        <w:rPr>
          <w:rFonts w:ascii="Verdana" w:eastAsia="Times New Roman" w:hAnsi="Verdana" w:cs="Arial"/>
          <w:lang w:val="es-ES" w:eastAsia="es-CO"/>
        </w:rPr>
      </w:pPr>
      <w:r w:rsidRPr="00C40D52">
        <w:rPr>
          <w:rFonts w:ascii="Verdana" w:eastAsia="Times New Roman" w:hAnsi="Verdana" w:cs="Arial"/>
          <w:lang w:val="es-ES"/>
        </w:rPr>
        <w:t xml:space="preserve">Finalmente, es importante reiterar lo explicado en las consideraciones, en el sentido de que </w:t>
      </w:r>
      <w:r w:rsidRPr="00C40D52">
        <w:rPr>
          <w:rFonts w:ascii="Verdana" w:hAnsi="Verdana" w:cs="Arial"/>
          <w:lang w:val="es-ES" w:eastAsia="es-CO"/>
        </w:rPr>
        <w:t xml:space="preserve">el parágrafo del artículo 38 de la Ley 996 de 2005 prohíbe a los alcaldes, gobernadores, secretarios, gerentes y directores de las entidades del orden municipal, departamental o distrital celebrar convenios y contratos interadministrativos para la ejecución de recursos públicos dentro de los cuatro (4) meses anteriores a las elecciones, lo que incluye las elecciones al Congreso de la República que se realizarán el próximo </w:t>
      </w:r>
      <w:r w:rsidR="003217D8" w:rsidRPr="00C40D52">
        <w:rPr>
          <w:rFonts w:ascii="Verdana" w:hAnsi="Verdana" w:cs="Arial"/>
          <w:lang w:val="es-ES" w:eastAsia="es-CO"/>
        </w:rPr>
        <w:t>año</w:t>
      </w:r>
      <w:r w:rsidRPr="00C40D52">
        <w:rPr>
          <w:rFonts w:ascii="Verdana" w:hAnsi="Verdana" w:cs="Arial"/>
          <w:lang w:val="es-ES" w:eastAsia="es-CO"/>
        </w:rPr>
        <w:t xml:space="preserve">. Así las cosas, si una o ambas partes de la relación contractual es una entidad de aquellas descritas en el parágrafo </w:t>
      </w:r>
      <w:r w:rsidRPr="00C40D52">
        <w:rPr>
          <w:rFonts w:ascii="Verdana" w:hAnsi="Verdana" w:cs="Arial"/>
          <w:i/>
          <w:iCs/>
          <w:lang w:val="es-ES" w:eastAsia="es-CO"/>
        </w:rPr>
        <w:t>ibidem</w:t>
      </w:r>
      <w:r w:rsidRPr="00C40D52">
        <w:rPr>
          <w:rFonts w:ascii="Verdana" w:hAnsi="Verdana" w:cs="Arial"/>
          <w:lang w:val="es-ES" w:eastAsia="es-CO"/>
        </w:rPr>
        <w:t>, no podrá celebrar tales convenios o contratos interadministrativos durante el ámbito temporal de esta prohibición, toda vez que la citada disposición hace referencia a dicha tipología contractual sin que el legislador hubiere contemplado excepción alguna frente a la modalidad de selección o naturaleza de su objeto. Por tanto, de acuerdo con el marco jurídico expuesto le corresponderá a cada entidad estatal definir la forma como adelanta su actividad contractual, de manera que resulte armónica con las prohibiciones establecidas en la Ley 996 de 2005.</w:t>
      </w:r>
    </w:p>
    <w:p w14:paraId="5B49B353" w14:textId="77777777" w:rsidR="00082C51" w:rsidRDefault="00082C51" w:rsidP="00C40D52">
      <w:pPr>
        <w:autoSpaceDE w:val="0"/>
        <w:autoSpaceDN w:val="0"/>
        <w:adjustRightInd w:val="0"/>
        <w:spacing w:after="0" w:line="240" w:lineRule="auto"/>
        <w:ind w:firstLine="708"/>
        <w:jc w:val="both"/>
        <w:rPr>
          <w:rFonts w:ascii="Verdana" w:hAnsi="Verdana" w:cs="Arial"/>
        </w:rPr>
      </w:pPr>
    </w:p>
    <w:p w14:paraId="0A6097F4" w14:textId="77777777" w:rsidR="00C57DF7" w:rsidRDefault="00C57DF7" w:rsidP="00C57DF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36B216E0" w14:textId="77777777" w:rsidR="00C57DF7" w:rsidRDefault="00C57DF7" w:rsidP="00C57DF7">
      <w:pPr>
        <w:widowControl w:val="0"/>
        <w:autoSpaceDE w:val="0"/>
        <w:autoSpaceDN w:val="0"/>
        <w:spacing w:after="0" w:line="276" w:lineRule="auto"/>
        <w:jc w:val="both"/>
        <w:rPr>
          <w:rFonts w:ascii="Verdana" w:hAnsi="Verdana" w:cs="Arial"/>
        </w:rPr>
      </w:pPr>
    </w:p>
    <w:p w14:paraId="79B437FB" w14:textId="77777777" w:rsidR="00F94D22" w:rsidRDefault="00F94D22" w:rsidP="00C57DF7">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C57DF7" w14:paraId="77900C11" w14:textId="77777777" w:rsidTr="00333300">
        <w:trPr>
          <w:trHeight w:val="870"/>
        </w:trPr>
        <w:tc>
          <w:tcPr>
            <w:tcW w:w="8647" w:type="dxa"/>
            <w:tcBorders>
              <w:top w:val="dotted" w:sz="4" w:space="0" w:color="auto"/>
              <w:left w:val="dotted" w:sz="4" w:space="0" w:color="auto"/>
              <w:bottom w:val="dotted" w:sz="4" w:space="0" w:color="auto"/>
              <w:right w:val="dotted" w:sz="4" w:space="0" w:color="auto"/>
            </w:tcBorders>
            <w:hideMark/>
          </w:tcPr>
          <w:p w14:paraId="692461CB" w14:textId="77777777" w:rsidR="00C57DF7" w:rsidRPr="00B3605D" w:rsidRDefault="00C57DF7" w:rsidP="00333300">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DF1048">
              <w:rPr>
                <w:rFonts w:ascii="Verdana" w:eastAsia="Arial MT" w:hAnsi="Verdana" w:cs="Arial"/>
                <w:bCs/>
                <w:lang w:val="es-ES" w:eastAsia="es-ES" w:bidi="es-ES"/>
              </w:rPr>
              <w:t>Ley 996 de 2005: artículos 33 y 38 parágrafo.</w:t>
            </w:r>
          </w:p>
          <w:p w14:paraId="33C8A175" w14:textId="77777777" w:rsidR="00C57DF7" w:rsidRPr="00274DBA" w:rsidRDefault="00C57DF7" w:rsidP="00333300">
            <w:pPr>
              <w:widowControl w:val="0"/>
              <w:numPr>
                <w:ilvl w:val="0"/>
                <w:numId w:val="17"/>
              </w:numPr>
              <w:autoSpaceDE w:val="0"/>
              <w:autoSpaceDN w:val="0"/>
              <w:spacing w:after="120" w:line="276" w:lineRule="auto"/>
              <w:jc w:val="both"/>
              <w:rPr>
                <w:rFonts w:ascii="Verdana" w:eastAsia="Calibri" w:hAnsi="Verdana" w:cs="Arial"/>
                <w:lang w:val="es-ES"/>
              </w:rPr>
            </w:pPr>
            <w:r w:rsidRPr="00274DBA">
              <w:rPr>
                <w:rFonts w:ascii="Verdana" w:eastAsia="Calibri" w:hAnsi="Verdana" w:cs="Arial"/>
                <w:lang w:val="pt-BR"/>
              </w:rPr>
              <w:t xml:space="preserve">Corte Constitucional. Sentencia C -1153 de 2005. </w:t>
            </w:r>
            <w:r w:rsidRPr="00274DBA">
              <w:rPr>
                <w:rFonts w:ascii="Verdana" w:eastAsia="Calibri" w:hAnsi="Verdana" w:cs="Arial"/>
                <w:lang w:val="es-ES"/>
              </w:rPr>
              <w:t xml:space="preserve">M.P. Marco Gerardo Monroy Cabra. </w:t>
            </w:r>
          </w:p>
          <w:p w14:paraId="32E6D0E2" w14:textId="77777777" w:rsidR="00C57DF7" w:rsidRDefault="00C57DF7" w:rsidP="00333300">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B3605D">
              <w:rPr>
                <w:rFonts w:ascii="Verdana" w:eastAsia="Arial MT" w:hAnsi="Verdana" w:cs="Arial"/>
                <w:lang w:val="es-ES" w:eastAsia="es-ES" w:bidi="es-ES"/>
              </w:rPr>
              <w:t xml:space="preserve">Consejo de Estado, Sala de Consulta y Servicio Civil de fecha 24 de julio de 2013, Rad. 2166, C. P. Álvaro </w:t>
            </w:r>
            <w:proofErr w:type="spellStart"/>
            <w:r w:rsidRPr="00B3605D">
              <w:rPr>
                <w:rFonts w:ascii="Verdana" w:eastAsia="Arial MT" w:hAnsi="Verdana" w:cs="Arial"/>
                <w:lang w:val="es-ES" w:eastAsia="es-ES" w:bidi="es-ES"/>
              </w:rPr>
              <w:t>Namén</w:t>
            </w:r>
            <w:proofErr w:type="spellEnd"/>
            <w:r w:rsidRPr="00B3605D">
              <w:rPr>
                <w:rFonts w:ascii="Verdana" w:eastAsia="Arial MT" w:hAnsi="Verdana" w:cs="Arial"/>
                <w:lang w:val="es-ES" w:eastAsia="es-ES" w:bidi="es-ES"/>
              </w:rPr>
              <w:t xml:space="preserve"> Vargas.  </w:t>
            </w:r>
          </w:p>
          <w:p w14:paraId="5BE83D99" w14:textId="63F90E6E" w:rsidR="00C57DF7" w:rsidRPr="006A640E" w:rsidRDefault="00C57DF7" w:rsidP="00333300">
            <w:pPr>
              <w:widowControl w:val="0"/>
              <w:numPr>
                <w:ilvl w:val="0"/>
                <w:numId w:val="17"/>
              </w:numPr>
              <w:autoSpaceDE w:val="0"/>
              <w:autoSpaceDN w:val="0"/>
              <w:spacing w:after="120" w:line="276" w:lineRule="auto"/>
              <w:jc w:val="both"/>
              <w:rPr>
                <w:rFonts w:ascii="Verdana" w:eastAsia="Arial MT" w:hAnsi="Verdana" w:cs="Arial"/>
                <w:lang w:val="es-ES" w:eastAsia="es-ES" w:bidi="es-ES"/>
              </w:rPr>
            </w:pPr>
          </w:p>
        </w:tc>
      </w:tr>
    </w:tbl>
    <w:p w14:paraId="6C2BE12F" w14:textId="77777777" w:rsidR="00C57DF7" w:rsidRDefault="00C57DF7" w:rsidP="00C57DF7">
      <w:pPr>
        <w:widowControl w:val="0"/>
        <w:autoSpaceDE w:val="0"/>
        <w:autoSpaceDN w:val="0"/>
        <w:spacing w:after="0" w:line="276" w:lineRule="auto"/>
        <w:jc w:val="both"/>
        <w:rPr>
          <w:rFonts w:ascii="Verdana" w:hAnsi="Verdana" w:cs="Arial"/>
        </w:rPr>
      </w:pPr>
    </w:p>
    <w:p w14:paraId="6A6AAF66" w14:textId="77777777" w:rsidR="00C57DF7" w:rsidRDefault="00C57DF7" w:rsidP="00C57DF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19D7C87B" w14:textId="77777777" w:rsidR="00C57DF7" w:rsidRDefault="00C57DF7" w:rsidP="00C57DF7">
      <w:pPr>
        <w:widowControl w:val="0"/>
        <w:autoSpaceDE w:val="0"/>
        <w:autoSpaceDN w:val="0"/>
        <w:spacing w:after="0" w:line="276" w:lineRule="auto"/>
        <w:jc w:val="both"/>
        <w:rPr>
          <w:rFonts w:ascii="Verdana" w:hAnsi="Verdana" w:cs="Arial"/>
        </w:rPr>
      </w:pPr>
    </w:p>
    <w:p w14:paraId="0632C3CB" w14:textId="77777777" w:rsidR="00C57DF7" w:rsidRPr="00FE3C84" w:rsidRDefault="00C57DF7" w:rsidP="00C57DF7">
      <w:pPr>
        <w:widowControl w:val="0"/>
        <w:autoSpaceDE w:val="0"/>
        <w:autoSpaceDN w:val="0"/>
        <w:spacing w:after="0" w:line="276" w:lineRule="auto"/>
        <w:jc w:val="both"/>
        <w:rPr>
          <w:rStyle w:val="normaltextrun"/>
          <w:rFonts w:ascii="Verdana" w:hAnsi="Verdana"/>
          <w:color w:val="FF0000"/>
          <w:shd w:val="clear" w:color="auto" w:fill="FFFFFF"/>
          <w:lang w:val="es-ES"/>
        </w:rPr>
      </w:pPr>
      <w:r>
        <w:rPr>
          <w:rStyle w:val="normaltextrun"/>
          <w:rFonts w:ascii="Verdana" w:hAnsi="Verdana" w:cs="Arial"/>
          <w:shd w:val="clear" w:color="auto" w:fill="FFFFFF"/>
          <w:lang w:val="es-ES"/>
        </w:rPr>
        <w:t>Sobre la aplicación de la Ley de Garantías Electorales</w:t>
      </w:r>
      <w:r w:rsidRPr="00AD7D4E">
        <w:rPr>
          <w:rStyle w:val="normaltextrun"/>
          <w:rFonts w:ascii="Verdana" w:hAnsi="Verdana" w:cs="Arial"/>
          <w:shd w:val="clear" w:color="auto" w:fill="FFFFFF"/>
          <w:lang w:val="es-ES"/>
        </w:rPr>
        <w:t>, esta Subdirección se ha pronunciado en los conceptos</w:t>
      </w:r>
      <w:r>
        <w:rPr>
          <w:rStyle w:val="normaltextrun"/>
          <w:rFonts w:ascii="Verdana" w:hAnsi="Verdana" w:cs="Arial"/>
          <w:shd w:val="clear" w:color="auto" w:fill="FFFFFF"/>
          <w:lang w:val="es-ES"/>
        </w:rPr>
        <w:t xml:space="preserve"> </w:t>
      </w:r>
      <w:r w:rsidRPr="00CF7C16">
        <w:rPr>
          <w:rFonts w:ascii="Verdana" w:hAnsi="Verdana" w:cs="Arial"/>
          <w:shd w:val="clear" w:color="auto" w:fill="FFFFFF"/>
          <w:lang w:val="es-ES"/>
        </w:rPr>
        <w:t xml:space="preserve">C-636 del 16 de noviembre de 2021, 681 del 7 de diciembre de 2021, C-686 del 21 de diciembre de 2021, C-697 del 3 de enero de 2022, </w:t>
      </w:r>
      <w:r>
        <w:rPr>
          <w:rStyle w:val="normaltextrun"/>
          <w:rFonts w:ascii="Verdana" w:hAnsi="Verdana" w:cs="Arial"/>
          <w:shd w:val="clear" w:color="auto" w:fill="FFFFFF"/>
          <w:lang w:val="es-ES"/>
        </w:rPr>
        <w:t xml:space="preserve">C-329 del 24 de mayo de 2022, </w:t>
      </w:r>
      <w:r w:rsidRPr="00CF7C16">
        <w:rPr>
          <w:rFonts w:ascii="Verdana" w:hAnsi="Verdana" w:cs="Arial"/>
          <w:shd w:val="clear" w:color="auto" w:fill="FFFFFF"/>
          <w:lang w:val="es-ES"/>
        </w:rPr>
        <w:t>C-180 del 21 de marzo de 2025, C-317 del 25 de abril de 2025, C-510 del 4 de junio de 2025,</w:t>
      </w:r>
      <w:r>
        <w:rPr>
          <w:rFonts w:ascii="Verdana" w:hAnsi="Verdana" w:cs="Arial"/>
          <w:shd w:val="clear" w:color="auto" w:fill="FFFFFF"/>
          <w:lang w:val="es-ES"/>
        </w:rPr>
        <w:t xml:space="preserve"> C-856 del 11 de agosto de 2025,</w:t>
      </w:r>
      <w:r w:rsidRPr="00CF7C16">
        <w:rPr>
          <w:rFonts w:ascii="Verdana" w:hAnsi="Verdana" w:cs="Arial"/>
          <w:shd w:val="clear" w:color="auto" w:fill="FFFFFF"/>
          <w:lang w:val="es-ES"/>
        </w:rPr>
        <w:t xml:space="preserve"> entre otros.</w:t>
      </w:r>
      <w:r>
        <w:rPr>
          <w:rStyle w:val="normaltextrun"/>
          <w:rFonts w:ascii="Verdana" w:hAnsi="Verdana" w:cs="Arial"/>
          <w:shd w:val="clear" w:color="auto" w:fill="FFFFFF"/>
          <w:lang w:val="es-ES"/>
        </w:rPr>
        <w:t xml:space="preserve"> Es</w:t>
      </w:r>
      <w:r>
        <w:rPr>
          <w:rFonts w:ascii="Verdana" w:hAnsi="Verdana"/>
        </w:rPr>
        <w:t>tos y otros conceptos se encuentran 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1" w:history="1">
        <w:r w:rsidRPr="00B778BC">
          <w:rPr>
            <w:rStyle w:val="Hipervnculo"/>
            <w:rFonts w:ascii="Verdana" w:hAnsi="Verdana" w:cs="Arial"/>
            <w:shd w:val="clear" w:color="auto" w:fill="FFFFFF"/>
            <w:lang w:val="es-ES"/>
          </w:rPr>
          <w:t>https://relatoria.colombiacompra.gov.co/busqueda/conceptos</w:t>
        </w:r>
      </w:hyperlink>
      <w:r w:rsidRPr="00B778BC">
        <w:rPr>
          <w:rStyle w:val="normaltextrun"/>
          <w:rFonts w:ascii="Verdana" w:hAnsi="Verdana" w:cs="Arial"/>
          <w:color w:val="FF0000"/>
          <w:shd w:val="clear" w:color="auto" w:fill="FFFFFF"/>
          <w:lang w:val="es-ES"/>
        </w:rPr>
        <w:t xml:space="preserve">. </w:t>
      </w:r>
    </w:p>
    <w:p w14:paraId="372B635C" w14:textId="77777777" w:rsidR="00C57DF7" w:rsidRDefault="00C57DF7" w:rsidP="00C57DF7">
      <w:pPr>
        <w:spacing w:after="0" w:line="276" w:lineRule="auto"/>
        <w:jc w:val="both"/>
        <w:rPr>
          <w:rFonts w:ascii="Verdana" w:hAnsi="Verdana"/>
        </w:rPr>
      </w:pPr>
    </w:p>
    <w:p w14:paraId="168F952B" w14:textId="77777777" w:rsidR="00C57DF7" w:rsidRDefault="00C57DF7" w:rsidP="00C57DF7">
      <w:pPr>
        <w:spacing w:after="0" w:line="276" w:lineRule="auto"/>
        <w:jc w:val="both"/>
        <w:rPr>
          <w:rFonts w:ascii="Verdana" w:hAnsi="Verdana"/>
        </w:rPr>
      </w:pPr>
      <w:r>
        <w:rPr>
          <w:rFonts w:ascii="Verdana" w:hAnsi="Verdana"/>
        </w:rPr>
        <w:t xml:space="preserve">Por último, lo invitamos a seguirnos en las redes sociales en las cuales se difunde información institucional: </w:t>
      </w:r>
    </w:p>
    <w:p w14:paraId="1D5A56CF" w14:textId="77777777" w:rsidR="00C57DF7" w:rsidRDefault="00C57DF7" w:rsidP="00C57DF7">
      <w:pPr>
        <w:spacing w:after="0" w:line="276" w:lineRule="auto"/>
        <w:jc w:val="both"/>
        <w:rPr>
          <w:rFonts w:ascii="Verdana" w:hAnsi="Verdana"/>
        </w:rPr>
      </w:pPr>
    </w:p>
    <w:p w14:paraId="2DC101EA" w14:textId="77777777" w:rsidR="00C57DF7" w:rsidRDefault="00C57DF7" w:rsidP="00C57DF7">
      <w:pPr>
        <w:spacing w:after="0" w:line="276" w:lineRule="auto"/>
        <w:jc w:val="both"/>
        <w:rPr>
          <w:rFonts w:ascii="Verdana" w:hAnsi="Verdana"/>
        </w:rPr>
      </w:pPr>
      <w:r>
        <w:rPr>
          <w:rFonts w:ascii="Verdana" w:hAnsi="Verdana"/>
        </w:rPr>
        <w:t xml:space="preserve">Twitter: </w:t>
      </w:r>
      <w:r>
        <w:rPr>
          <w:rStyle w:val="Hipervnculo"/>
          <w:rFonts w:ascii="Verdana" w:hAnsi="Verdana"/>
          <w:color w:val="4472C4" w:themeColor="accent1"/>
        </w:rPr>
        <w:t>@colombiacompra</w:t>
      </w:r>
      <w:r>
        <w:rPr>
          <w:rFonts w:ascii="Verdana" w:hAnsi="Verdana"/>
          <w:color w:val="4472C4" w:themeColor="accent1"/>
        </w:rPr>
        <w:t xml:space="preserve"> </w:t>
      </w:r>
    </w:p>
    <w:p w14:paraId="6073491E" w14:textId="77777777" w:rsidR="00C57DF7" w:rsidRDefault="00C57DF7" w:rsidP="00C57DF7">
      <w:pPr>
        <w:spacing w:after="0" w:line="276" w:lineRule="auto"/>
        <w:jc w:val="both"/>
        <w:rPr>
          <w:rFonts w:ascii="Verdana" w:hAnsi="Verdana"/>
        </w:rPr>
      </w:pPr>
      <w:r>
        <w:rPr>
          <w:rFonts w:ascii="Verdana" w:hAnsi="Verdana"/>
        </w:rPr>
        <w:t xml:space="preserve">Facebook: </w:t>
      </w:r>
      <w:proofErr w:type="spellStart"/>
      <w:r>
        <w:rPr>
          <w:rStyle w:val="Hipervnculo"/>
          <w:rFonts w:ascii="Verdana" w:hAnsi="Verdana"/>
          <w:color w:val="4472C4" w:themeColor="accent1"/>
        </w:rPr>
        <w:t>ColombiaCompraEficiente</w:t>
      </w:r>
      <w:proofErr w:type="spellEnd"/>
    </w:p>
    <w:p w14:paraId="56F73365" w14:textId="11D48D73" w:rsidR="00C57DF7" w:rsidRPr="00F94D22" w:rsidRDefault="00C57DF7" w:rsidP="00F94D22">
      <w:pPr>
        <w:spacing w:after="0" w:line="276" w:lineRule="auto"/>
        <w:jc w:val="both"/>
        <w:rPr>
          <w:rFonts w:ascii="Verdana" w:hAnsi="Verdana"/>
        </w:rPr>
      </w:pPr>
      <w:r>
        <w:rPr>
          <w:rFonts w:ascii="Verdana" w:hAnsi="Verdana"/>
        </w:rPr>
        <w:t xml:space="preserve">LinkedIn: </w:t>
      </w:r>
      <w:r>
        <w:rPr>
          <w:rStyle w:val="Hipervnculo"/>
          <w:rFonts w:ascii="Verdana" w:hAnsi="Verdana"/>
          <w:color w:val="4472C4" w:themeColor="accent1"/>
        </w:rPr>
        <w:t>Agencia Nacional de Contratación Pública - Colombia Compra Eficiente</w:t>
      </w:r>
      <w:r>
        <w:rPr>
          <w:rFonts w:ascii="Verdana" w:hAnsi="Verdana"/>
          <w:color w:val="4472C4" w:themeColor="accent1"/>
        </w:rPr>
        <w:t xml:space="preserve"> </w:t>
      </w:r>
      <w:r>
        <w:rPr>
          <w:rFonts w:ascii="Verdana" w:hAnsi="Verdana"/>
        </w:rPr>
        <w:t xml:space="preserve">Instagram: </w:t>
      </w:r>
      <w:r>
        <w:rPr>
          <w:rStyle w:val="Hipervnculo"/>
          <w:rFonts w:ascii="Verdana" w:hAnsi="Verdana"/>
          <w:color w:val="4472C4" w:themeColor="accent1"/>
        </w:rPr>
        <w:t>@colombiacompraeficiente_cce</w:t>
      </w:r>
    </w:p>
    <w:p w14:paraId="26CDA964" w14:textId="77777777" w:rsidR="00F94D22" w:rsidRDefault="00F94D22" w:rsidP="00C57DF7">
      <w:pPr>
        <w:widowControl w:val="0"/>
        <w:autoSpaceDE w:val="0"/>
        <w:autoSpaceDN w:val="0"/>
        <w:spacing w:after="0" w:line="276" w:lineRule="auto"/>
        <w:jc w:val="both"/>
        <w:rPr>
          <w:rFonts w:ascii="Verdana" w:hAnsi="Verdana" w:cs="Arial"/>
        </w:rPr>
      </w:pPr>
    </w:p>
    <w:p w14:paraId="647B7E49" w14:textId="77777777" w:rsidR="00C57DF7" w:rsidRDefault="00C57DF7" w:rsidP="00C57DF7">
      <w:pPr>
        <w:widowControl w:val="0"/>
        <w:autoSpaceDE w:val="0"/>
        <w:autoSpaceDN w:val="0"/>
        <w:spacing w:after="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y las expresiones aquí utilizadas con mayúscula inicial deben ser entendidas con el significado que les otorga el artículo 2.2.1.1.1.3.1. del Decreto 1082 de 2015.</w:t>
      </w:r>
    </w:p>
    <w:p w14:paraId="70A89321" w14:textId="77777777" w:rsidR="00C57DF7" w:rsidRDefault="00C57DF7" w:rsidP="00C57DF7">
      <w:pPr>
        <w:widowControl w:val="0"/>
        <w:autoSpaceDE w:val="0"/>
        <w:autoSpaceDN w:val="0"/>
        <w:spacing w:after="0" w:line="276" w:lineRule="auto"/>
        <w:jc w:val="both"/>
        <w:rPr>
          <w:rFonts w:ascii="Verdana" w:hAnsi="Verdana" w:cs="Arial"/>
        </w:rPr>
      </w:pPr>
    </w:p>
    <w:p w14:paraId="0E214650" w14:textId="77777777" w:rsidR="00C57DF7" w:rsidRDefault="00C57DF7" w:rsidP="00C57DF7">
      <w:pPr>
        <w:spacing w:after="0" w:line="276" w:lineRule="auto"/>
        <w:jc w:val="both"/>
        <w:rPr>
          <w:rFonts w:ascii="Verdana" w:eastAsia="Calibri" w:hAnsi="Verdana" w:cs="Arial"/>
          <w:color w:val="7030A0"/>
          <w:lang w:val="es-ES"/>
        </w:rPr>
      </w:pPr>
      <w:r>
        <w:rPr>
          <w:rFonts w:ascii="Verdana" w:eastAsia="Times New Roman" w:hAnsi="Verdana" w:cs="Arial"/>
          <w:lang w:eastAsia="es-CO"/>
        </w:rPr>
        <w:t>Atentamente,</w:t>
      </w:r>
    </w:p>
    <w:p w14:paraId="2D931F24" w14:textId="77777777" w:rsidR="00C57DF7" w:rsidRDefault="00C57DF7" w:rsidP="00C57DF7">
      <w:pPr>
        <w:spacing w:after="0" w:line="276" w:lineRule="auto"/>
        <w:jc w:val="center"/>
        <w:rPr>
          <w:rFonts w:ascii="Verdana" w:hAnsi="Verdana"/>
          <w:lang w:val="es-ES_tradnl"/>
        </w:rPr>
      </w:pPr>
    </w:p>
    <w:p w14:paraId="001E64C6" w14:textId="13EFB2B5" w:rsidR="00C57DF7" w:rsidRDefault="00F94D22" w:rsidP="00C57DF7">
      <w:pPr>
        <w:spacing w:after="0" w:line="276" w:lineRule="auto"/>
        <w:jc w:val="center"/>
        <w:rPr>
          <w:rFonts w:ascii="Verdana" w:hAnsi="Verdana"/>
          <w:lang w:val="es-ES_tradnl"/>
        </w:rPr>
      </w:pPr>
      <w:r>
        <w:rPr>
          <w:rFonts w:ascii="Verdana" w:hAnsi="Verdana"/>
          <w:noProof/>
          <w:lang w:val="es-ES_tradnl"/>
        </w:rPr>
        <w:lastRenderedPageBreak/>
        <w:drawing>
          <wp:inline distT="0" distB="0" distL="0" distR="0" wp14:anchorId="6DA797D4" wp14:editId="16806BC0">
            <wp:extent cx="3783195" cy="1626628"/>
            <wp:effectExtent l="0" t="0" r="8255" b="0"/>
            <wp:docPr id="104518126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181267" name="Imagen 1045181267"/>
                    <pic:cNvPicPr/>
                  </pic:nvPicPr>
                  <pic:blipFill>
                    <a:blip r:embed="rId12">
                      <a:extLst>
                        <a:ext uri="{28A0092B-C50C-407E-A947-70E740481C1C}">
                          <a14:useLocalDpi xmlns:a14="http://schemas.microsoft.com/office/drawing/2010/main" val="0"/>
                        </a:ext>
                      </a:extLst>
                    </a:blip>
                    <a:stretch>
                      <a:fillRect/>
                    </a:stretch>
                  </pic:blipFill>
                  <pic:spPr>
                    <a:xfrm>
                      <a:off x="0" y="0"/>
                      <a:ext cx="3797123" cy="1632616"/>
                    </a:xfrm>
                    <a:prstGeom prst="rect">
                      <a:avLst/>
                    </a:prstGeom>
                  </pic:spPr>
                </pic:pic>
              </a:graphicData>
            </a:graphic>
          </wp:inline>
        </w:drawing>
      </w:r>
    </w:p>
    <w:p w14:paraId="290CB85A" w14:textId="77777777" w:rsidR="00C57DF7" w:rsidRPr="00D53651" w:rsidRDefault="00C57DF7" w:rsidP="00C57DF7">
      <w:pPr>
        <w:spacing w:after="0" w:line="276" w:lineRule="auto"/>
        <w:jc w:val="center"/>
        <w:rPr>
          <w:rFonts w:ascii="Verdana" w:hAnsi="Verdana"/>
          <w:lang w:val="es-ES_tradn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57DF7" w14:paraId="0B288FF8" w14:textId="77777777" w:rsidTr="00333300">
        <w:trPr>
          <w:trHeight w:val="315"/>
        </w:trPr>
        <w:tc>
          <w:tcPr>
            <w:tcW w:w="893" w:type="dxa"/>
            <w:vAlign w:val="center"/>
            <w:hideMark/>
          </w:tcPr>
          <w:p w14:paraId="680925EB" w14:textId="77777777" w:rsidR="00C57DF7" w:rsidRDefault="00C57DF7" w:rsidP="00333300">
            <w:pPr>
              <w:spacing w:after="255"/>
              <w:contextualSpacing/>
              <w:rPr>
                <w:rFonts w:ascii="Verdana" w:hAnsi="Verdana" w:cs="Arial"/>
                <w:sz w:val="16"/>
                <w:szCs w:val="16"/>
                <w:lang w:val="es-ES" w:eastAsia="es-ES"/>
              </w:rPr>
            </w:pPr>
            <w:r>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2008CB3" w14:textId="6375A4EC" w:rsidR="00C57DF7" w:rsidRPr="00D53651" w:rsidRDefault="00207DB8" w:rsidP="00333300">
            <w:pPr>
              <w:spacing w:line="276" w:lineRule="auto"/>
              <w:jc w:val="both"/>
              <w:rPr>
                <w:rFonts w:ascii="Verdana" w:hAnsi="Verdana"/>
                <w:sz w:val="16"/>
                <w:szCs w:val="16"/>
              </w:rPr>
            </w:pPr>
            <w:r>
              <w:rPr>
                <w:rFonts w:ascii="Verdana" w:hAnsi="Verdana"/>
                <w:sz w:val="16"/>
                <w:szCs w:val="16"/>
              </w:rPr>
              <w:t xml:space="preserve">Karol </w:t>
            </w:r>
            <w:r w:rsidR="00CB733C">
              <w:rPr>
                <w:rFonts w:ascii="Verdana" w:hAnsi="Verdana"/>
                <w:sz w:val="16"/>
                <w:szCs w:val="16"/>
              </w:rPr>
              <w:t>Andrea Gonzalez Marin</w:t>
            </w:r>
          </w:p>
          <w:p w14:paraId="2A22912F" w14:textId="77777777" w:rsidR="00C57DF7" w:rsidRDefault="00C57DF7" w:rsidP="00333300">
            <w:pPr>
              <w:spacing w:after="255"/>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C57DF7" w14:paraId="0512B526" w14:textId="77777777" w:rsidTr="00333300">
        <w:trPr>
          <w:trHeight w:val="330"/>
        </w:trPr>
        <w:tc>
          <w:tcPr>
            <w:tcW w:w="893" w:type="dxa"/>
            <w:vAlign w:val="center"/>
            <w:hideMark/>
          </w:tcPr>
          <w:p w14:paraId="2E27D30B" w14:textId="77777777" w:rsidR="00C57DF7" w:rsidRDefault="00C57DF7" w:rsidP="00333300">
            <w:pPr>
              <w:spacing w:after="255"/>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8D81E71" w14:textId="77777777" w:rsidR="00C57DF7" w:rsidRDefault="00C57DF7" w:rsidP="00333300">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Diana Lucia Saavedra Castañeda</w:t>
            </w:r>
          </w:p>
          <w:p w14:paraId="2614BFE7" w14:textId="77777777" w:rsidR="00C57DF7" w:rsidRDefault="00C57DF7" w:rsidP="00333300">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C57DF7" w14:paraId="4496A1FF" w14:textId="77777777" w:rsidTr="00333300">
        <w:trPr>
          <w:trHeight w:val="300"/>
        </w:trPr>
        <w:tc>
          <w:tcPr>
            <w:tcW w:w="893" w:type="dxa"/>
            <w:vAlign w:val="center"/>
            <w:hideMark/>
          </w:tcPr>
          <w:p w14:paraId="39BC1712" w14:textId="77777777" w:rsidR="00C57DF7" w:rsidRDefault="00C57DF7" w:rsidP="00333300">
            <w:pPr>
              <w:spacing w:after="255"/>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FCDE414" w14:textId="77777777" w:rsidR="00C57DF7" w:rsidRDefault="00C57DF7" w:rsidP="00333300">
            <w:pPr>
              <w:spacing w:after="255"/>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Gacharná</w:t>
            </w:r>
            <w:proofErr w:type="spellEnd"/>
          </w:p>
          <w:p w14:paraId="18B3CB9A" w14:textId="77777777" w:rsidR="00C57DF7" w:rsidRDefault="00C57DF7" w:rsidP="00333300">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w:t>
            </w:r>
            <w:proofErr w:type="spellStart"/>
            <w:r>
              <w:rPr>
                <w:rFonts w:ascii="Verdana" w:eastAsia="Calibri" w:hAnsi="Verdana" w:cs="Arial"/>
                <w:sz w:val="16"/>
                <w:szCs w:val="16"/>
                <w:lang w:val="pt-BR" w:eastAsia="es-ES"/>
              </w:rPr>
              <w:t>Gestión</w:t>
            </w:r>
            <w:proofErr w:type="spellEnd"/>
            <w:r>
              <w:rPr>
                <w:rFonts w:ascii="Verdana" w:eastAsia="Calibri" w:hAnsi="Verdana" w:cs="Arial"/>
                <w:sz w:val="16"/>
                <w:szCs w:val="16"/>
                <w:lang w:val="pt-BR" w:eastAsia="es-ES"/>
              </w:rPr>
              <w:t xml:space="preserve"> </w:t>
            </w:r>
            <w:proofErr w:type="spellStart"/>
            <w:r>
              <w:rPr>
                <w:rFonts w:ascii="Verdana" w:eastAsia="Calibri" w:hAnsi="Verdana" w:cs="Arial"/>
                <w:sz w:val="16"/>
                <w:szCs w:val="16"/>
                <w:lang w:val="pt-BR" w:eastAsia="es-ES"/>
              </w:rPr>
              <w:t>Contractual</w:t>
            </w:r>
            <w:proofErr w:type="spellEnd"/>
            <w:r>
              <w:rPr>
                <w:rFonts w:ascii="Verdana" w:eastAsia="Calibri" w:hAnsi="Verdana" w:cs="Arial"/>
                <w:sz w:val="16"/>
                <w:szCs w:val="16"/>
                <w:lang w:val="pt-BR" w:eastAsia="es-ES"/>
              </w:rPr>
              <w:t xml:space="preserve"> ANCP – CCE</w:t>
            </w:r>
          </w:p>
        </w:tc>
      </w:tr>
      <w:bookmarkEnd w:id="0"/>
    </w:tbl>
    <w:p w14:paraId="3D0E0B6F" w14:textId="77777777" w:rsidR="00C57DF7" w:rsidRPr="0044528D" w:rsidRDefault="00C57DF7" w:rsidP="00C57DF7">
      <w:pPr>
        <w:spacing w:after="0"/>
        <w:rPr>
          <w:rFonts w:ascii="Verdana" w:hAnsi="Verdana"/>
        </w:rPr>
      </w:pPr>
    </w:p>
    <w:p w14:paraId="0F293BF4" w14:textId="637042E1" w:rsidR="00127233" w:rsidRPr="006926DC" w:rsidRDefault="00322A85" w:rsidP="006926DC">
      <w:pPr>
        <w:spacing w:after="0" w:line="240" w:lineRule="auto"/>
        <w:textAlignment w:val="baseline"/>
        <w:rPr>
          <w:rFonts w:ascii="Verdana" w:eastAsia="Times New Roman" w:hAnsi="Verdana" w:cs="Segoe UI"/>
          <w:sz w:val="18"/>
          <w:szCs w:val="18"/>
          <w:lang w:eastAsia="es-CO"/>
        </w:rPr>
      </w:pPr>
      <w:r w:rsidRPr="0044528D">
        <w:rPr>
          <w:rFonts w:ascii="Verdana" w:eastAsia="Times New Roman" w:hAnsi="Verdana" w:cs="Segoe UI"/>
          <w:color w:val="404040"/>
          <w:lang w:eastAsia="es-CO"/>
        </w:rPr>
        <w:t> </w:t>
      </w:r>
    </w:p>
    <w:sectPr w:rsidR="00127233" w:rsidRPr="006926DC" w:rsidSect="007C0C0F">
      <w:headerReference w:type="default" r:id="rId13"/>
      <w:footerReference w:type="default" r:id="rId1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988B61" w14:textId="77777777" w:rsidR="001A69DD" w:rsidRDefault="001A69DD" w:rsidP="004A1847">
      <w:pPr>
        <w:spacing w:after="0" w:line="240" w:lineRule="auto"/>
      </w:pPr>
      <w:r>
        <w:separator/>
      </w:r>
    </w:p>
  </w:endnote>
  <w:endnote w:type="continuationSeparator" w:id="0">
    <w:p w14:paraId="5B92538B" w14:textId="77777777" w:rsidR="001A69DD" w:rsidRDefault="001A69D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BCDHEE+Verdana">
    <w:altName w:val="Verdana"/>
    <w:panose1 w:val="00000000000000000000"/>
    <w:charset w:val="00"/>
    <w:family w:val="swiss"/>
    <w:notTrueType/>
    <w:pitch w:val="default"/>
    <w:sig w:usb0="00000003" w:usb1="00000000" w:usb2="00000000" w:usb3="00000000" w:csb0="00000001"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8B5559" w14:textId="77777777" w:rsidR="001A69DD" w:rsidRDefault="001A69DD" w:rsidP="004A1847">
      <w:pPr>
        <w:spacing w:after="0" w:line="240" w:lineRule="auto"/>
      </w:pPr>
      <w:r>
        <w:separator/>
      </w:r>
    </w:p>
  </w:footnote>
  <w:footnote w:type="continuationSeparator" w:id="0">
    <w:p w14:paraId="3E875A89" w14:textId="77777777" w:rsidR="001A69DD" w:rsidRDefault="001A69DD" w:rsidP="004A1847">
      <w:pPr>
        <w:spacing w:after="0" w:line="240" w:lineRule="auto"/>
      </w:pPr>
      <w:r>
        <w:continuationSeparator/>
      </w:r>
    </w:p>
  </w:footnote>
  <w:footnote w:id="1">
    <w:p w14:paraId="58EEECB1" w14:textId="77777777" w:rsidR="00F94D22" w:rsidRPr="00C05384" w:rsidRDefault="00F94D22" w:rsidP="00F94D22">
      <w:pPr>
        <w:pStyle w:val="Textonotapie"/>
        <w:ind w:firstLine="709"/>
        <w:jc w:val="both"/>
        <w:rPr>
          <w:rFonts w:ascii="Verdana" w:hAnsi="Verdana" w:cs="Arial"/>
          <w:sz w:val="16"/>
          <w:szCs w:val="16"/>
        </w:rPr>
      </w:pPr>
    </w:p>
  </w:footnote>
  <w:footnote w:id="2">
    <w:p w14:paraId="212FDAED" w14:textId="77777777" w:rsidR="00C763FF" w:rsidRPr="006A0190" w:rsidRDefault="00C763FF" w:rsidP="00C763FF">
      <w:pPr>
        <w:pStyle w:val="paragraph"/>
        <w:spacing w:before="0" w:beforeAutospacing="0" w:after="0" w:afterAutospacing="0"/>
        <w:ind w:firstLine="709"/>
        <w:jc w:val="both"/>
        <w:textAlignment w:val="baseline"/>
        <w:rPr>
          <w:rFonts w:ascii="Arial" w:hAnsi="Arial" w:cs="Arial"/>
          <w:color w:val="000000" w:themeColor="text1"/>
          <w:sz w:val="19"/>
          <w:szCs w:val="19"/>
        </w:rPr>
      </w:pPr>
      <w:r w:rsidRPr="006A0190">
        <w:rPr>
          <w:rStyle w:val="Refdenotaalpie"/>
          <w:rFonts w:ascii="Arial" w:hAnsi="Arial" w:cs="Arial"/>
          <w:color w:val="000000" w:themeColor="text1"/>
          <w:sz w:val="19"/>
          <w:szCs w:val="19"/>
        </w:rPr>
        <w:footnoteRef/>
      </w:r>
      <w:r w:rsidRPr="006A0190">
        <w:rPr>
          <w:rFonts w:ascii="Arial" w:hAnsi="Arial" w:cs="Arial"/>
          <w:color w:val="000000" w:themeColor="text1"/>
          <w:sz w:val="19"/>
          <w:szCs w:val="19"/>
        </w:rPr>
        <w:t xml:space="preserve"> </w:t>
      </w:r>
      <w:r w:rsidRPr="006A0190">
        <w:rPr>
          <w:rFonts w:ascii="Arial" w:hAnsi="Arial" w:cs="Arial"/>
          <w:color w:val="000000" w:themeColor="text1"/>
          <w:sz w:val="19"/>
          <w:szCs w:val="19"/>
          <w:lang w:val="es-ES"/>
        </w:rPr>
        <w:t>Ley 489 de 1998, artículo 38, numeral 2, literal f, y artículo 68, numeral 2: «Son entidades descentralizadas del orden nacional, los establecimientos públicos, las empresas industriales y comerciales del Estado, las sociedades públicas y las sociedades de economía mixta, las superintendencias y las unidades administrativas especiales con personería jurídica, las empresas sociales del Estado, las empresas oficiales de servicios públicos y las demás entidades creadas por la ley o con su autorización, cuyo objeto principal sea el ejercicio de funciones administrativas, la prestación de servicios públicos o la realización de actividades industriales o comerciales con personería jurídica, autonomía administrativa y patrimonio propio. Como órganos del Estado aun cuando gozan de autonomía administrativa están sujetas al control político y a la suprema dirección del órgano de la administración al cual están adscritas».</w:t>
      </w:r>
      <w:r w:rsidRPr="006A0190">
        <w:rPr>
          <w:rFonts w:ascii="Arial" w:hAnsi="Arial" w:cs="Arial"/>
          <w:color w:val="000000" w:themeColor="text1"/>
          <w:sz w:val="19"/>
          <w:szCs w:val="19"/>
        </w:rPr>
        <w:t>  </w:t>
      </w:r>
    </w:p>
    <w:p w14:paraId="43EE6C92" w14:textId="77777777" w:rsidR="00C763FF" w:rsidRPr="006A0190" w:rsidRDefault="00C763FF" w:rsidP="00C763FF">
      <w:pPr>
        <w:pStyle w:val="paragraph"/>
        <w:spacing w:before="0" w:beforeAutospacing="0" w:after="0" w:afterAutospacing="0"/>
        <w:ind w:firstLine="709"/>
        <w:jc w:val="both"/>
        <w:textAlignment w:val="baseline"/>
        <w:rPr>
          <w:rFonts w:ascii="Arial" w:hAnsi="Arial" w:cs="Arial"/>
          <w:color w:val="000000" w:themeColor="text1"/>
          <w:sz w:val="19"/>
          <w:szCs w:val="19"/>
        </w:rPr>
      </w:pPr>
    </w:p>
  </w:footnote>
  <w:footnote w:id="3">
    <w:p w14:paraId="2CC7F8E7" w14:textId="77777777" w:rsidR="00C763FF" w:rsidRPr="006A0190" w:rsidRDefault="00C763FF" w:rsidP="00C763FF">
      <w:pPr>
        <w:spacing w:after="0" w:line="240" w:lineRule="auto"/>
        <w:ind w:firstLine="709"/>
        <w:jc w:val="both"/>
        <w:rPr>
          <w:rFonts w:ascii="Arial" w:eastAsia="Times New Roman" w:hAnsi="Arial" w:cs="Arial"/>
          <w:color w:val="000000" w:themeColor="text1"/>
          <w:sz w:val="19"/>
          <w:szCs w:val="19"/>
          <w:lang w:eastAsia="es-MX"/>
        </w:rPr>
      </w:pPr>
      <w:r w:rsidRPr="006A0190">
        <w:rPr>
          <w:rFonts w:ascii="Arial" w:eastAsia="Times New Roman" w:hAnsi="Arial" w:cs="Arial"/>
          <w:color w:val="000000" w:themeColor="text1"/>
          <w:sz w:val="19"/>
          <w:szCs w:val="19"/>
          <w:lang w:val="es-ES" w:eastAsia="es-MX"/>
        </w:rPr>
        <w:t xml:space="preserve"> </w:t>
      </w:r>
      <w:r w:rsidRPr="006A0190">
        <w:rPr>
          <w:rStyle w:val="Refdenotaalpie"/>
          <w:rFonts w:ascii="Arial" w:hAnsi="Arial" w:cs="Arial"/>
          <w:color w:val="000000" w:themeColor="text1"/>
          <w:sz w:val="19"/>
          <w:szCs w:val="19"/>
        </w:rPr>
        <w:footnoteRef/>
      </w:r>
      <w:r w:rsidRPr="006A0190">
        <w:rPr>
          <w:rFonts w:ascii="Arial" w:eastAsia="Times New Roman" w:hAnsi="Arial" w:cs="Arial"/>
          <w:color w:val="000000" w:themeColor="text1"/>
          <w:sz w:val="19"/>
          <w:szCs w:val="19"/>
          <w:lang w:val="es-ES" w:eastAsia="es-MX"/>
        </w:rPr>
        <w:t xml:space="preserve"> Así lo establece la Constitución Política, en el artículo 150, numeral 7, así como en el artículo 300, numeral 7 y en el artículo 313, numeral 6.</w:t>
      </w:r>
    </w:p>
    <w:p w14:paraId="0EA483EC" w14:textId="77777777" w:rsidR="00C763FF" w:rsidRPr="006A0190" w:rsidRDefault="00C763FF" w:rsidP="00C763FF">
      <w:pPr>
        <w:pStyle w:val="Textonotapie"/>
        <w:ind w:firstLine="709"/>
        <w:rPr>
          <w:rFonts w:ascii="Arial" w:hAnsi="Arial" w:cs="Arial"/>
          <w:sz w:val="19"/>
          <w:szCs w:val="19"/>
          <w:lang w:val="es-ES"/>
        </w:rPr>
      </w:pPr>
    </w:p>
  </w:footnote>
  <w:footnote w:id="4">
    <w:p w14:paraId="5865AB95" w14:textId="77777777" w:rsidR="00C763FF" w:rsidRPr="006A0190" w:rsidRDefault="00C763FF" w:rsidP="00C763FF">
      <w:pPr>
        <w:pStyle w:val="Textonotapie"/>
        <w:ind w:firstLine="709"/>
        <w:rPr>
          <w:rFonts w:ascii="Arial" w:hAnsi="Arial" w:cs="Arial"/>
          <w:sz w:val="19"/>
          <w:szCs w:val="19"/>
        </w:rPr>
      </w:pPr>
      <w:r w:rsidRPr="006A0190">
        <w:rPr>
          <w:rStyle w:val="Refdenotaalpie"/>
          <w:rFonts w:ascii="Arial" w:hAnsi="Arial" w:cs="Arial"/>
          <w:sz w:val="19"/>
          <w:szCs w:val="19"/>
        </w:rPr>
        <w:footnoteRef/>
      </w:r>
      <w:r w:rsidRPr="006A0190">
        <w:rPr>
          <w:rFonts w:ascii="Arial" w:hAnsi="Arial" w:cs="Arial"/>
          <w:sz w:val="19"/>
          <w:szCs w:val="19"/>
        </w:rPr>
        <w:t xml:space="preserve"> Las sociedades de economía mixta son una clara manifestación organizacional de la función administrativa. Al respecto, la doctrina colombiana ha considerado que «la organización debe ocupar un lugar central en el estudio del derecho administrativo, sobre todo si se tiene en cuenta que lo estructural es consustancial a la actividad administrativa. De hecho, podemos afirmar que se trata de una verdadera dialéctica en la que se presenta una relación de medio a fin, ya que su objeto es precisamente el diseño y puesta en funcionamiento de las maneras o formas de gestión de potestades, atribuciones y competencias administrativas» (RINCÓN CÓRDOBA, Jorge Iván. Teoría de la organización administrativa en Colombia, Bogotá: Universidad Externado de Colombia, 2019, pp. 31-32). </w:t>
      </w:r>
    </w:p>
    <w:p w14:paraId="4F744B78" w14:textId="77777777" w:rsidR="00C763FF" w:rsidRPr="006A0190" w:rsidRDefault="00C763FF" w:rsidP="00C763FF">
      <w:pPr>
        <w:pStyle w:val="Textonotapie"/>
        <w:ind w:firstLine="709"/>
        <w:rPr>
          <w:rFonts w:ascii="Arial" w:hAnsi="Arial" w:cs="Arial"/>
          <w:sz w:val="19"/>
          <w:szCs w:val="19"/>
        </w:rPr>
      </w:pPr>
    </w:p>
  </w:footnote>
  <w:footnote w:id="5">
    <w:p w14:paraId="3B801A5A" w14:textId="77777777" w:rsidR="00C763FF" w:rsidRPr="006A0190" w:rsidRDefault="00C763FF" w:rsidP="00C763FF">
      <w:pPr>
        <w:pStyle w:val="Textonotapie"/>
        <w:ind w:firstLine="709"/>
        <w:rPr>
          <w:rFonts w:ascii="Arial" w:hAnsi="Arial" w:cs="Arial"/>
          <w:sz w:val="19"/>
          <w:szCs w:val="19"/>
          <w:lang w:val="es-CO"/>
        </w:rPr>
      </w:pPr>
      <w:r w:rsidRPr="006A0190">
        <w:rPr>
          <w:rStyle w:val="Refdenotaalpie"/>
          <w:rFonts w:ascii="Arial" w:hAnsi="Arial" w:cs="Arial"/>
          <w:sz w:val="19"/>
          <w:szCs w:val="19"/>
        </w:rPr>
        <w:footnoteRef/>
      </w:r>
      <w:r w:rsidRPr="006A0190">
        <w:rPr>
          <w:rFonts w:ascii="Arial" w:hAnsi="Arial" w:cs="Arial"/>
          <w:sz w:val="19"/>
          <w:szCs w:val="19"/>
        </w:rPr>
        <w:t xml:space="preserve"> «Una función administrativa entendida entonces, como un conjunto de actividades particulares, disimiles entre sí, pero diversas de aquellas generales de Estado y particulares propias de la función judicial y legislativa, que dan desarrollo directo a las finalidades del estado, consagradas de manera positiva en la Constitución Política, que pueden ser desarrolladas por distintos sujetos de derecho, habilitados para ello, con el respeto y cumplimiento del ordenamiento jurídico superior» (MONTAÑA PLATA, Alberto. Fundamentos de derecho administrativo. Bogotá: Universidad Externado de Colombia, 2010, p. 124).</w:t>
      </w:r>
    </w:p>
  </w:footnote>
  <w:footnote w:id="6">
    <w:p w14:paraId="6736C3F2" w14:textId="77777777" w:rsidR="00C57DF7" w:rsidRPr="00C05384" w:rsidRDefault="00C57DF7" w:rsidP="00C57DF7">
      <w:pPr>
        <w:pStyle w:val="Textonotapie"/>
        <w:ind w:firstLine="709"/>
        <w:jc w:val="both"/>
        <w:rPr>
          <w:rFonts w:ascii="Verdana" w:hAnsi="Verdana" w:cs="Arial"/>
          <w:sz w:val="16"/>
          <w:szCs w:val="16"/>
        </w:rPr>
      </w:pPr>
    </w:p>
    <w:p w14:paraId="3B08065D" w14:textId="77777777" w:rsidR="00C57DF7" w:rsidRPr="00C05384" w:rsidRDefault="00C57DF7" w:rsidP="00C57DF7">
      <w:pPr>
        <w:pStyle w:val="Textonotapie"/>
        <w:ind w:firstLine="709"/>
        <w:jc w:val="both"/>
        <w:rPr>
          <w:rFonts w:ascii="Verdana" w:hAnsi="Verdana" w:cs="Arial"/>
          <w:sz w:val="16"/>
          <w:szCs w:val="16"/>
        </w:rPr>
      </w:pPr>
      <w:r w:rsidRPr="00C05384">
        <w:rPr>
          <w:rStyle w:val="Refdenotaalpie"/>
          <w:rFonts w:ascii="Verdana" w:hAnsi="Verdana" w:cs="Arial"/>
          <w:sz w:val="16"/>
          <w:szCs w:val="16"/>
        </w:rPr>
        <w:footnoteRef/>
      </w:r>
      <w:r w:rsidRPr="00C05384">
        <w:rPr>
          <w:rFonts w:ascii="Verdana" w:hAnsi="Verdana" w:cs="Arial"/>
          <w:sz w:val="16"/>
          <w:szCs w:val="16"/>
        </w:rPr>
        <w:t xml:space="preserve"> Gaceta del Congreso de la República No. 71 del 2005.</w:t>
      </w:r>
    </w:p>
    <w:p w14:paraId="3DE8E365" w14:textId="77777777" w:rsidR="00C57DF7" w:rsidRPr="00C05384" w:rsidRDefault="00C57DF7" w:rsidP="00C57DF7">
      <w:pPr>
        <w:pStyle w:val="Textonotapie"/>
        <w:ind w:firstLine="709"/>
        <w:jc w:val="both"/>
        <w:rPr>
          <w:rFonts w:ascii="Verdana" w:hAnsi="Verdana" w:cs="Arial"/>
          <w:sz w:val="16"/>
          <w:szCs w:val="16"/>
        </w:rPr>
      </w:pPr>
    </w:p>
  </w:footnote>
  <w:footnote w:id="7">
    <w:p w14:paraId="2A6869B7" w14:textId="77777777" w:rsidR="00C57DF7" w:rsidRPr="00C05384" w:rsidRDefault="00C57DF7" w:rsidP="00C57DF7">
      <w:pPr>
        <w:pStyle w:val="Textonotapie"/>
        <w:ind w:firstLine="709"/>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 C- 1153 de 2005, M.P. Marco Gerardo </w:t>
      </w:r>
      <w:proofErr w:type="spellStart"/>
      <w:r w:rsidRPr="00C05384">
        <w:rPr>
          <w:rFonts w:ascii="Verdana" w:hAnsi="Verdana" w:cs="Arial"/>
          <w:sz w:val="16"/>
          <w:szCs w:val="16"/>
          <w:lang w:val="pt-BR"/>
        </w:rPr>
        <w:t>Monroy</w:t>
      </w:r>
      <w:proofErr w:type="spellEnd"/>
      <w:r w:rsidRPr="00C05384">
        <w:rPr>
          <w:rFonts w:ascii="Verdana" w:hAnsi="Verdana" w:cs="Arial"/>
          <w:sz w:val="16"/>
          <w:szCs w:val="16"/>
          <w:lang w:val="pt-BR"/>
        </w:rPr>
        <w:t xml:space="preserve"> Cabra.</w:t>
      </w:r>
    </w:p>
  </w:footnote>
  <w:footnote w:id="8">
    <w:p w14:paraId="02AC6B06" w14:textId="77777777" w:rsidR="00C57DF7" w:rsidRPr="00C05384" w:rsidRDefault="00C57DF7" w:rsidP="00C57DF7">
      <w:pPr>
        <w:pStyle w:val="Textonotapie"/>
        <w:ind w:firstLine="709"/>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Sentencias: C-233 de 4 de abril de 2002, expediente: D-3704; C-551 de 9 de </w:t>
      </w:r>
      <w:proofErr w:type="spellStart"/>
      <w:r w:rsidRPr="00C05384">
        <w:rPr>
          <w:rFonts w:ascii="Verdana" w:hAnsi="Verdana" w:cs="Arial"/>
          <w:sz w:val="16"/>
          <w:szCs w:val="16"/>
          <w:lang w:val="pt-BR"/>
        </w:rPr>
        <w:t>julio</w:t>
      </w:r>
      <w:proofErr w:type="spellEnd"/>
      <w:r w:rsidRPr="00C05384">
        <w:rPr>
          <w:rFonts w:ascii="Verdana" w:hAnsi="Verdana" w:cs="Arial"/>
          <w:sz w:val="16"/>
          <w:szCs w:val="16"/>
          <w:lang w:val="pt-BR"/>
        </w:rPr>
        <w:t xml:space="preserve"> de 2003, expediente: CRF-001 de 9 de </w:t>
      </w:r>
      <w:proofErr w:type="spellStart"/>
      <w:r w:rsidRPr="00C05384">
        <w:rPr>
          <w:rFonts w:ascii="Verdana" w:hAnsi="Verdana" w:cs="Arial"/>
          <w:sz w:val="16"/>
          <w:szCs w:val="16"/>
          <w:lang w:val="pt-BR"/>
        </w:rPr>
        <w:t>julio</w:t>
      </w:r>
      <w:proofErr w:type="spellEnd"/>
      <w:r w:rsidRPr="00C05384">
        <w:rPr>
          <w:rFonts w:ascii="Verdana" w:hAnsi="Verdana" w:cs="Arial"/>
          <w:sz w:val="16"/>
          <w:szCs w:val="16"/>
          <w:lang w:val="pt-BR"/>
        </w:rPr>
        <w:t xml:space="preserve"> de 2003; C-652 de 5 de agosto de 2003, expediente: D-4330; C-353 de 20 de </w:t>
      </w:r>
      <w:proofErr w:type="spellStart"/>
      <w:r w:rsidRPr="00C05384">
        <w:rPr>
          <w:rFonts w:ascii="Verdana" w:hAnsi="Verdana" w:cs="Arial"/>
          <w:sz w:val="16"/>
          <w:szCs w:val="16"/>
          <w:lang w:val="pt-BR"/>
        </w:rPr>
        <w:t>mayo</w:t>
      </w:r>
      <w:proofErr w:type="spellEnd"/>
      <w:r w:rsidRPr="00C05384">
        <w:rPr>
          <w:rFonts w:ascii="Verdana" w:hAnsi="Verdana" w:cs="Arial"/>
          <w:sz w:val="16"/>
          <w:szCs w:val="16"/>
          <w:lang w:val="pt-BR"/>
        </w:rPr>
        <w:t xml:space="preserve"> de 2009, expediente: D-7518, C-541 de 30 de </w:t>
      </w:r>
      <w:proofErr w:type="spellStart"/>
      <w:r w:rsidRPr="00C05384">
        <w:rPr>
          <w:rFonts w:ascii="Verdana" w:hAnsi="Verdana" w:cs="Arial"/>
          <w:sz w:val="16"/>
          <w:szCs w:val="16"/>
          <w:lang w:val="pt-BR"/>
        </w:rPr>
        <w:t>junio</w:t>
      </w:r>
      <w:proofErr w:type="spellEnd"/>
      <w:r w:rsidRPr="00C05384">
        <w:rPr>
          <w:rFonts w:ascii="Verdana" w:hAnsi="Verdana" w:cs="Arial"/>
          <w:sz w:val="16"/>
          <w:szCs w:val="16"/>
          <w:lang w:val="pt-BR"/>
        </w:rPr>
        <w:t xml:space="preserve"> de 2010, expediente: DD7966; entre </w:t>
      </w:r>
      <w:proofErr w:type="spellStart"/>
      <w:r w:rsidRPr="00C05384">
        <w:rPr>
          <w:rFonts w:ascii="Verdana" w:hAnsi="Verdana" w:cs="Arial"/>
          <w:sz w:val="16"/>
          <w:szCs w:val="16"/>
          <w:lang w:val="pt-BR"/>
        </w:rPr>
        <w:t>otras</w:t>
      </w:r>
      <w:proofErr w:type="spellEnd"/>
      <w:r w:rsidRPr="00C05384">
        <w:rPr>
          <w:rFonts w:ascii="Verdana" w:hAnsi="Verdana" w:cs="Arial"/>
          <w:sz w:val="16"/>
          <w:szCs w:val="16"/>
          <w:lang w:val="pt-BR"/>
        </w:rPr>
        <w:t>.</w:t>
      </w:r>
    </w:p>
  </w:footnote>
  <w:footnote w:id="9">
    <w:p w14:paraId="2B927AFB" w14:textId="77777777" w:rsidR="00C57DF7" w:rsidRPr="00C05384" w:rsidRDefault="00C57DF7" w:rsidP="00C57DF7">
      <w:pPr>
        <w:pStyle w:val="Textonotapie"/>
        <w:ind w:firstLine="709"/>
        <w:jc w:val="both"/>
        <w:rPr>
          <w:rFonts w:ascii="Verdana" w:hAnsi="Verdana" w:cs="Arial"/>
          <w:sz w:val="16"/>
          <w:szCs w:val="16"/>
          <w:lang w:val="es-CO"/>
        </w:rPr>
      </w:pPr>
      <w:r w:rsidRPr="00C05384">
        <w:rPr>
          <w:rStyle w:val="Refdenotaalpie"/>
          <w:rFonts w:ascii="Verdana" w:hAnsi="Verdana" w:cs="Arial"/>
          <w:sz w:val="16"/>
          <w:szCs w:val="16"/>
        </w:rPr>
        <w:footnoteRef/>
      </w:r>
      <w:r w:rsidRPr="00C05384">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10">
    <w:p w14:paraId="2D84B2B3" w14:textId="77777777" w:rsidR="00C57DF7" w:rsidRPr="00C05384" w:rsidRDefault="00C57DF7" w:rsidP="00C57DF7">
      <w:pPr>
        <w:pStyle w:val="Textonotapie"/>
        <w:ind w:firstLine="709"/>
        <w:jc w:val="both"/>
        <w:rPr>
          <w:rFonts w:ascii="Verdana" w:hAnsi="Verdana" w:cs="Arial"/>
          <w:sz w:val="16"/>
          <w:szCs w:val="16"/>
        </w:rPr>
      </w:pPr>
      <w:r w:rsidRPr="00C05384">
        <w:rPr>
          <w:rStyle w:val="Refdenotaalpie"/>
          <w:rFonts w:ascii="Verdana" w:hAnsi="Verdana" w:cs="Arial"/>
          <w:sz w:val="16"/>
          <w:szCs w:val="16"/>
        </w:rPr>
        <w:footnoteRef/>
      </w:r>
      <w:r w:rsidRPr="00C05384">
        <w:rPr>
          <w:rFonts w:ascii="Verdana" w:hAnsi="Verdana" w:cs="Arial"/>
          <w:sz w:val="16"/>
          <w:szCs w:val="16"/>
        </w:rPr>
        <w:t xml:space="preserve"> Consejo de Estado, Sala de Consulta y Servicio Civil de fecha 24 de julio de 2013, Rad. 2166, C. P. Álvaro </w:t>
      </w:r>
      <w:proofErr w:type="spellStart"/>
      <w:r w:rsidRPr="00C05384">
        <w:rPr>
          <w:rFonts w:ascii="Verdana" w:hAnsi="Verdana" w:cs="Arial"/>
          <w:sz w:val="16"/>
          <w:szCs w:val="16"/>
        </w:rPr>
        <w:t>Namén</w:t>
      </w:r>
      <w:proofErr w:type="spellEnd"/>
      <w:r w:rsidRPr="00C05384">
        <w:rPr>
          <w:rFonts w:ascii="Verdana" w:hAnsi="Verdana" w:cs="Arial"/>
          <w:sz w:val="16"/>
          <w:szCs w:val="16"/>
        </w:rPr>
        <w:t xml:space="preserve"> Vargas.  </w:t>
      </w:r>
    </w:p>
  </w:footnote>
  <w:footnote w:id="11">
    <w:p w14:paraId="56C83A64" w14:textId="77777777" w:rsidR="00C57DF7" w:rsidRPr="00C05384" w:rsidRDefault="00C57DF7" w:rsidP="00C57DF7">
      <w:pPr>
        <w:pStyle w:val="Textonotapie"/>
        <w:ind w:firstLine="709"/>
        <w:jc w:val="both"/>
        <w:rPr>
          <w:rFonts w:ascii="Verdana" w:hAnsi="Verdana"/>
          <w:sz w:val="16"/>
          <w:szCs w:val="16"/>
          <w:lang w:val="es-ES"/>
        </w:rPr>
      </w:pPr>
      <w:r w:rsidRPr="00C05384">
        <w:rPr>
          <w:rStyle w:val="Refdenotaalpie"/>
          <w:rFonts w:ascii="Verdana" w:hAnsi="Verdana"/>
          <w:sz w:val="16"/>
          <w:szCs w:val="16"/>
        </w:rPr>
        <w:footnoteRef/>
      </w:r>
      <w:r w:rsidRPr="00C05384">
        <w:rPr>
          <w:rFonts w:ascii="Verdana" w:hAnsi="Verdana"/>
          <w:sz w:val="16"/>
          <w:szCs w:val="16"/>
        </w:rPr>
        <w:t xml:space="preserve"> Consejo de Estado. Sala de Consulta y Servicio Civil. Concepto del 08 de mayo de 2018. </w:t>
      </w:r>
      <w:proofErr w:type="spellStart"/>
      <w:r w:rsidRPr="00C05384">
        <w:rPr>
          <w:rFonts w:ascii="Verdana" w:hAnsi="Verdana"/>
          <w:sz w:val="16"/>
          <w:szCs w:val="16"/>
        </w:rPr>
        <w:t>Exp</w:t>
      </w:r>
      <w:proofErr w:type="spellEnd"/>
      <w:r w:rsidRPr="00C05384">
        <w:rPr>
          <w:rFonts w:ascii="Verdana" w:hAnsi="Verdana"/>
          <w:sz w:val="16"/>
          <w:szCs w:val="16"/>
        </w:rPr>
        <w:t xml:space="preserve">. 2.382. C.P. Álvaro </w:t>
      </w:r>
      <w:proofErr w:type="spellStart"/>
      <w:r w:rsidRPr="00C05384">
        <w:rPr>
          <w:rFonts w:ascii="Verdana" w:hAnsi="Verdana"/>
          <w:sz w:val="16"/>
          <w:szCs w:val="16"/>
        </w:rPr>
        <w:t>Namén</w:t>
      </w:r>
      <w:proofErr w:type="spellEnd"/>
      <w:r w:rsidRPr="00C05384">
        <w:rPr>
          <w:rFonts w:ascii="Verdana" w:hAnsi="Verdana"/>
          <w:sz w:val="16"/>
          <w:szCs w:val="16"/>
        </w:rPr>
        <w:t xml:space="preserve"> Vargas.</w:t>
      </w:r>
    </w:p>
  </w:footnote>
  <w:footnote w:id="12">
    <w:p w14:paraId="5A750576" w14:textId="77777777" w:rsidR="00C57DF7" w:rsidRPr="00C05384" w:rsidRDefault="00C57DF7" w:rsidP="00C57DF7">
      <w:pPr>
        <w:spacing w:after="0" w:line="240" w:lineRule="auto"/>
        <w:ind w:left="100" w:right="244" w:firstLine="709"/>
        <w:jc w:val="both"/>
        <w:rPr>
          <w:rFonts w:ascii="Verdana" w:hAnsi="Verdana" w:cs="Arial"/>
          <w:sz w:val="16"/>
          <w:szCs w:val="16"/>
          <w:lang w:val="es-ES"/>
        </w:rPr>
      </w:pPr>
      <w:r w:rsidRPr="00C05384">
        <w:rPr>
          <w:rStyle w:val="Refdenotaalpie"/>
          <w:rFonts w:ascii="Verdana" w:hAnsi="Verdana" w:cs="Arial"/>
          <w:sz w:val="16"/>
          <w:szCs w:val="16"/>
        </w:rPr>
        <w:footnoteRef/>
      </w:r>
      <w:r w:rsidRPr="00C05384">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65pt;height:11.6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18646723"/>
    <w:multiLevelType w:val="hybridMultilevel"/>
    <w:tmpl w:val="9FDEB434"/>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9A97A1B"/>
    <w:multiLevelType w:val="hybridMultilevel"/>
    <w:tmpl w:val="D86679FA"/>
    <w:lvl w:ilvl="0" w:tplc="CBCE3364">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2C474DF6"/>
    <w:multiLevelType w:val="hybridMultilevel"/>
    <w:tmpl w:val="ABC2A66A"/>
    <w:lvl w:ilvl="0" w:tplc="240A000F">
      <w:start w:val="1"/>
      <w:numFmt w:val="decimal"/>
      <w:lvlText w:val="%1."/>
      <w:lvlJc w:val="left"/>
      <w:pPr>
        <w:ind w:left="720" w:hanging="360"/>
      </w:pPr>
      <w:rPr>
        <w:rFonts w:hint="default"/>
        <w:color w:val="aut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04440F7"/>
    <w:multiLevelType w:val="hybridMultilevel"/>
    <w:tmpl w:val="A8762E0C"/>
    <w:lvl w:ilvl="0" w:tplc="2F8C5B94">
      <w:start w:val="2"/>
      <w:numFmt w:val="bullet"/>
      <w:lvlText w:val="-"/>
      <w:lvlJc w:val="left"/>
      <w:pPr>
        <w:ind w:left="1080" w:hanging="360"/>
      </w:pPr>
      <w:rPr>
        <w:rFonts w:ascii="Verdana" w:eastAsiaTheme="minorHAnsi" w:hAnsi="Verdana" w:cs="BCDHEE+Verdana"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4" w15:restartNumberingAfterBreak="0">
    <w:nsid w:val="46AE4259"/>
    <w:multiLevelType w:val="hybridMultilevel"/>
    <w:tmpl w:val="87BCDB0A"/>
    <w:lvl w:ilvl="0" w:tplc="DFE0476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58FA49CB"/>
    <w:multiLevelType w:val="hybridMultilevel"/>
    <w:tmpl w:val="8D1AC98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7"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0"/>
  </w:num>
  <w:num w:numId="2">
    <w:abstractNumId w:val="2"/>
  </w:num>
  <w:num w:numId="3">
    <w:abstractNumId w:val="8"/>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9"/>
  </w:num>
  <w:num w:numId="7">
    <w:abstractNumId w:val="9"/>
  </w:num>
  <w:num w:numId="8">
    <w:abstractNumId w:val="18"/>
  </w:num>
  <w:num w:numId="9">
    <w:abstractNumId w:val="11"/>
  </w:num>
  <w:num w:numId="10">
    <w:abstractNumId w:val="17"/>
  </w:num>
  <w:num w:numId="11">
    <w:abstractNumId w:val="12"/>
  </w:num>
  <w:num w:numId="12">
    <w:abstractNumId w:val="1"/>
  </w:num>
  <w:num w:numId="13">
    <w:abstractNumId w:val="5"/>
  </w:num>
  <w:num w:numId="14">
    <w:abstractNumId w:val="20"/>
  </w:num>
  <w:num w:numId="15">
    <w:abstractNumId w:val="16"/>
  </w:num>
  <w:num w:numId="1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14"/>
  </w:num>
  <w:num w:numId="19">
    <w:abstractNumId w:val="4"/>
  </w:num>
  <w:num w:numId="20">
    <w:abstractNumId w:val="7"/>
  </w:num>
  <w:num w:numId="21">
    <w:abstractNumId w:val="13"/>
  </w:num>
  <w:num w:numId="22">
    <w:abstractNumId w:val="6"/>
  </w:num>
  <w:num w:numId="2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2C51"/>
    <w:rsid w:val="000A683E"/>
    <w:rsid w:val="000B19B9"/>
    <w:rsid w:val="000D0334"/>
    <w:rsid w:val="000F6486"/>
    <w:rsid w:val="000F751B"/>
    <w:rsid w:val="00125105"/>
    <w:rsid w:val="00127233"/>
    <w:rsid w:val="00151FF5"/>
    <w:rsid w:val="001A69DD"/>
    <w:rsid w:val="001E4177"/>
    <w:rsid w:val="001F7DC6"/>
    <w:rsid w:val="0020501F"/>
    <w:rsid w:val="00207DB8"/>
    <w:rsid w:val="002421BB"/>
    <w:rsid w:val="0025796E"/>
    <w:rsid w:val="002707A2"/>
    <w:rsid w:val="0027095D"/>
    <w:rsid w:val="002951A0"/>
    <w:rsid w:val="002962BC"/>
    <w:rsid w:val="002A093D"/>
    <w:rsid w:val="002A0DD0"/>
    <w:rsid w:val="002A49AC"/>
    <w:rsid w:val="002A64FD"/>
    <w:rsid w:val="002C7A84"/>
    <w:rsid w:val="002E4FD9"/>
    <w:rsid w:val="003217D8"/>
    <w:rsid w:val="00322A85"/>
    <w:rsid w:val="00324168"/>
    <w:rsid w:val="003448F4"/>
    <w:rsid w:val="003670EA"/>
    <w:rsid w:val="00374F5E"/>
    <w:rsid w:val="00377E3E"/>
    <w:rsid w:val="003A779E"/>
    <w:rsid w:val="003D0F4D"/>
    <w:rsid w:val="003D5B0D"/>
    <w:rsid w:val="003E0499"/>
    <w:rsid w:val="003E5475"/>
    <w:rsid w:val="003F3941"/>
    <w:rsid w:val="00406575"/>
    <w:rsid w:val="00414C74"/>
    <w:rsid w:val="0042722E"/>
    <w:rsid w:val="0044528D"/>
    <w:rsid w:val="00460B4B"/>
    <w:rsid w:val="004A1847"/>
    <w:rsid w:val="004A305D"/>
    <w:rsid w:val="004F21C4"/>
    <w:rsid w:val="004F685F"/>
    <w:rsid w:val="00546375"/>
    <w:rsid w:val="005566E8"/>
    <w:rsid w:val="00574867"/>
    <w:rsid w:val="00584F6B"/>
    <w:rsid w:val="00591460"/>
    <w:rsid w:val="005C3777"/>
    <w:rsid w:val="005C5CDC"/>
    <w:rsid w:val="005D476C"/>
    <w:rsid w:val="006219F8"/>
    <w:rsid w:val="006249C6"/>
    <w:rsid w:val="006302F7"/>
    <w:rsid w:val="00656335"/>
    <w:rsid w:val="006614A5"/>
    <w:rsid w:val="00665D70"/>
    <w:rsid w:val="00683F51"/>
    <w:rsid w:val="006900D9"/>
    <w:rsid w:val="006926DC"/>
    <w:rsid w:val="006A760C"/>
    <w:rsid w:val="006C39BF"/>
    <w:rsid w:val="006C614B"/>
    <w:rsid w:val="00706C16"/>
    <w:rsid w:val="00756841"/>
    <w:rsid w:val="007649AB"/>
    <w:rsid w:val="00771D0C"/>
    <w:rsid w:val="007833AC"/>
    <w:rsid w:val="007B268C"/>
    <w:rsid w:val="007B7171"/>
    <w:rsid w:val="007C0C0F"/>
    <w:rsid w:val="007C3DC2"/>
    <w:rsid w:val="007E5497"/>
    <w:rsid w:val="00806F5F"/>
    <w:rsid w:val="00820278"/>
    <w:rsid w:val="00867F95"/>
    <w:rsid w:val="008843B6"/>
    <w:rsid w:val="00891928"/>
    <w:rsid w:val="00897A3A"/>
    <w:rsid w:val="008A446D"/>
    <w:rsid w:val="008C5CED"/>
    <w:rsid w:val="008C70EE"/>
    <w:rsid w:val="008D180B"/>
    <w:rsid w:val="008F0EA7"/>
    <w:rsid w:val="00923EEF"/>
    <w:rsid w:val="00924F17"/>
    <w:rsid w:val="009419F9"/>
    <w:rsid w:val="0095685E"/>
    <w:rsid w:val="00961B09"/>
    <w:rsid w:val="00962132"/>
    <w:rsid w:val="00965334"/>
    <w:rsid w:val="0097093E"/>
    <w:rsid w:val="009A0DFA"/>
    <w:rsid w:val="009B25A8"/>
    <w:rsid w:val="009B2D26"/>
    <w:rsid w:val="009C71FA"/>
    <w:rsid w:val="009C72E7"/>
    <w:rsid w:val="009D3058"/>
    <w:rsid w:val="009E6A2A"/>
    <w:rsid w:val="009F3A13"/>
    <w:rsid w:val="00A043FE"/>
    <w:rsid w:val="00A122D3"/>
    <w:rsid w:val="00A17F13"/>
    <w:rsid w:val="00A20739"/>
    <w:rsid w:val="00A33C78"/>
    <w:rsid w:val="00A872DF"/>
    <w:rsid w:val="00AB0ADB"/>
    <w:rsid w:val="00B00C0E"/>
    <w:rsid w:val="00B01B1A"/>
    <w:rsid w:val="00B05FF6"/>
    <w:rsid w:val="00B240A5"/>
    <w:rsid w:val="00B44A47"/>
    <w:rsid w:val="00B72CD3"/>
    <w:rsid w:val="00B72FFF"/>
    <w:rsid w:val="00BC3D36"/>
    <w:rsid w:val="00BD7F72"/>
    <w:rsid w:val="00C04FB3"/>
    <w:rsid w:val="00C330EB"/>
    <w:rsid w:val="00C40D52"/>
    <w:rsid w:val="00C57DF7"/>
    <w:rsid w:val="00C66F5A"/>
    <w:rsid w:val="00C754BE"/>
    <w:rsid w:val="00C763FF"/>
    <w:rsid w:val="00C76B1C"/>
    <w:rsid w:val="00CB6357"/>
    <w:rsid w:val="00CB733C"/>
    <w:rsid w:val="00CC1B26"/>
    <w:rsid w:val="00CE22C8"/>
    <w:rsid w:val="00D13B32"/>
    <w:rsid w:val="00D423A2"/>
    <w:rsid w:val="00D520D8"/>
    <w:rsid w:val="00D63AC2"/>
    <w:rsid w:val="00D7383B"/>
    <w:rsid w:val="00D770A5"/>
    <w:rsid w:val="00DA231B"/>
    <w:rsid w:val="00DC39FC"/>
    <w:rsid w:val="00DE50AF"/>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31EDC"/>
    <w:rsid w:val="00F462B3"/>
    <w:rsid w:val="00F471C6"/>
    <w:rsid w:val="00F5664F"/>
    <w:rsid w:val="00F666C4"/>
    <w:rsid w:val="00F76AFC"/>
    <w:rsid w:val="00F91BD8"/>
    <w:rsid w:val="00F94D22"/>
    <w:rsid w:val="00FA47C0"/>
    <w:rsid w:val="00FB1C17"/>
    <w:rsid w:val="00FB5DD1"/>
    <w:rsid w:val="00FC132A"/>
    <w:rsid w:val="00FC2B5D"/>
    <w:rsid w:val="00FF1449"/>
    <w:rsid w:val="23D8F5B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57DF7"/>
    <w:rPr>
      <w:rFonts w:ascii="Geomanist Light" w:hAnsi="Geomanist Light"/>
      <w:lang w:val="es-ES"/>
    </w:rPr>
  </w:style>
  <w:style w:type="paragraph" w:customStyle="1" w:styleId="Appelnotedebasde">
    <w:name w:val="Appel note de bas de..."/>
    <w:basedOn w:val="Normal"/>
    <w:link w:val="Refdenotaalpie"/>
    <w:uiPriority w:val="99"/>
    <w:rsid w:val="00C57DF7"/>
    <w:pPr>
      <w:spacing w:line="240" w:lineRule="exact"/>
    </w:pPr>
    <w:rPr>
      <w:vertAlign w:val="superscript"/>
    </w:rPr>
  </w:style>
  <w:style w:type="character" w:customStyle="1" w:styleId="baj">
    <w:name w:val="b_aj"/>
    <w:basedOn w:val="Fuentedeprrafopredeter"/>
    <w:rsid w:val="00C57D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a6cb9e4b-f1d1-4245-83ec-6cad768d538a"/>
    <ds:schemaRef ds:uri="http://purl.org/dc/dcmitype/"/>
    <ds:schemaRef ds:uri="http://purl.org/dc/elements/1.1/"/>
    <ds:schemaRef ds:uri="http://schemas.microsoft.com/office/2006/documentManagement/types"/>
    <ds:schemaRef ds:uri="http://www.w3.org/XML/1998/namespace"/>
    <ds:schemaRef ds:uri="http://schemas.openxmlformats.org/package/2006/metadata/core-properties"/>
    <ds:schemaRef ds:uri="http://purl.org/dc/terms/"/>
    <ds:schemaRef ds:uri="http://schemas.microsoft.com/office/infopath/2007/PartnerControls"/>
    <ds:schemaRef ds:uri="9d85dbaf-23eb-4e57-a637-93dcacc8b1a1"/>
  </ds:schemaRefs>
</ds:datastoreItem>
</file>

<file path=customXml/itemProps3.xml><?xml version="1.0" encoding="utf-8"?>
<ds:datastoreItem xmlns:ds="http://schemas.openxmlformats.org/officeDocument/2006/customXml" ds:itemID="{34DE1032-3486-49F7-BB45-C44727E0D7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15</Pages>
  <Words>4962</Words>
  <Characters>27291</Characters>
  <Application>Microsoft Office Word</Application>
  <DocSecurity>0</DocSecurity>
  <Lines>227</Lines>
  <Paragraphs>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2025-10-30T13:33:00Z</dcterms:created>
  <dcterms:modified xsi:type="dcterms:W3CDTF">2025-10-30T13:33:00Z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