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9AA9A" w14:textId="4929F02B" w:rsidR="00DF3203" w:rsidRPr="00DF3203" w:rsidRDefault="00167D37" w:rsidP="00DF3203">
      <w:pPr>
        <w:jc w:val="both"/>
        <w:rPr>
          <w:rFonts w:ascii="Verdana" w:eastAsia="Times New Roman" w:hAnsi="Verdana"/>
          <w:b/>
          <w:bCs/>
          <w:sz w:val="20"/>
          <w:szCs w:val="20"/>
          <w:lang w:eastAsia="es-ES_tradnl"/>
        </w:rPr>
      </w:pPr>
      <w:r w:rsidRPr="00DF3203">
        <w:rPr>
          <w:rFonts w:ascii="Verdana" w:eastAsia="Times New Roman" w:hAnsi="Verdana"/>
          <w:b/>
          <w:bCs/>
          <w:sz w:val="20"/>
          <w:szCs w:val="20"/>
          <w:lang w:val="es-ES_tradnl" w:eastAsia="es-ES_tradnl"/>
        </w:rPr>
        <w:t>CONVENIOS INTERADMINISTRATIVOS –</w:t>
      </w:r>
      <w:r w:rsidRPr="00DF3203">
        <w:rPr>
          <w:rFonts w:ascii="Verdana" w:eastAsia="Times New Roman" w:hAnsi="Verdana"/>
          <w:b/>
          <w:bCs/>
          <w:sz w:val="20"/>
          <w:szCs w:val="20"/>
          <w:lang w:eastAsia="es-ES_tradnl"/>
        </w:rPr>
        <w:t xml:space="preserve"> Noción y Características </w:t>
      </w:r>
    </w:p>
    <w:p w14:paraId="0B585C61" w14:textId="57DCB573" w:rsidR="00DF3203" w:rsidRDefault="00167D37" w:rsidP="00DF3203">
      <w:pPr>
        <w:jc w:val="both"/>
        <w:rPr>
          <w:rFonts w:ascii="Verdana" w:eastAsia="Times New Roman" w:hAnsi="Verdana" w:cs="Arial"/>
          <w:sz w:val="20"/>
          <w:szCs w:val="20"/>
          <w:lang w:val="es-ES" w:eastAsia="es-ES_tradnl"/>
        </w:rPr>
      </w:pPr>
      <w:r w:rsidRPr="00DF3203">
        <w:rPr>
          <w:rFonts w:ascii="Verdana" w:eastAsia="Times New Roman" w:hAnsi="Verdana" w:cs="Arial"/>
          <w:sz w:val="20"/>
          <w:szCs w:val="20"/>
          <w:lang w:val="es-ES" w:eastAsia="es-ES_tradnl"/>
        </w:rPr>
        <w:t xml:space="preserve">De conformidad con lo previsto en el artículo 95 de la Ley 489 de 1998 y el alcance que la jurisprudencia y conceptos del Consejo de Estado  y la doctrina le han conferido al tema de la regulación de los contratos y convenios interadministrativos, esta última tipología presenta las siguientes características: </w:t>
      </w:r>
      <w:r w:rsidRPr="00DF3203">
        <w:rPr>
          <w:rFonts w:ascii="Verdana" w:eastAsia="Times New Roman" w:hAnsi="Verdana" w:cs="Arial"/>
          <w:i/>
          <w:iCs/>
          <w:sz w:val="20"/>
          <w:szCs w:val="20"/>
          <w:lang w:val="es-ES" w:eastAsia="es-ES_tradnl"/>
        </w:rPr>
        <w:t>(i)</w:t>
      </w:r>
      <w:r w:rsidRPr="00DF3203">
        <w:rPr>
          <w:rFonts w:ascii="Verdana" w:eastAsia="Times New Roman" w:hAnsi="Verdana" w:cs="Arial"/>
          <w:sz w:val="20"/>
          <w:szCs w:val="20"/>
          <w:lang w:val="es-ES" w:eastAsia="es-ES_tradnl"/>
        </w:rPr>
        <w:t xml:space="preserve"> se celebra entre dos entidades públicas que se encuentran en pie de igualdad con el objeto de cumplir competencias de ambas entidades dirigidas a un propósito común; </w:t>
      </w:r>
      <w:r w:rsidRPr="00DF3203">
        <w:rPr>
          <w:rFonts w:ascii="Verdana" w:eastAsia="Times New Roman" w:hAnsi="Verdana" w:cs="Arial"/>
          <w:i/>
          <w:iCs/>
          <w:sz w:val="20"/>
          <w:szCs w:val="20"/>
          <w:lang w:val="es-ES" w:eastAsia="es-ES_tradnl"/>
        </w:rPr>
        <w:t>(</w:t>
      </w:r>
      <w:proofErr w:type="spellStart"/>
      <w:r w:rsidRPr="00DF3203">
        <w:rPr>
          <w:rFonts w:ascii="Verdana" w:eastAsia="Times New Roman" w:hAnsi="Verdana" w:cs="Arial"/>
          <w:i/>
          <w:iCs/>
          <w:sz w:val="20"/>
          <w:szCs w:val="20"/>
          <w:lang w:val="es-ES" w:eastAsia="es-ES_tradnl"/>
        </w:rPr>
        <w:t>ii</w:t>
      </w:r>
      <w:proofErr w:type="spellEnd"/>
      <w:r w:rsidRPr="00DF3203">
        <w:rPr>
          <w:rFonts w:ascii="Verdana" w:eastAsia="Times New Roman" w:hAnsi="Verdana" w:cs="Arial"/>
          <w:i/>
          <w:iCs/>
          <w:sz w:val="20"/>
          <w:szCs w:val="20"/>
          <w:lang w:val="es-ES" w:eastAsia="es-ES_tradnl"/>
        </w:rPr>
        <w:t>)</w:t>
      </w:r>
      <w:r w:rsidRPr="00DF3203">
        <w:rPr>
          <w:rFonts w:ascii="Verdana" w:eastAsia="Times New Roman" w:hAnsi="Verdana" w:cs="Arial"/>
          <w:sz w:val="20"/>
          <w:szCs w:val="20"/>
          <w:lang w:val="es-ES" w:eastAsia="es-ES_tradnl"/>
        </w:rPr>
        <w:t xml:space="preserve"> la modalidad para su celebración es la contratación directa; </w:t>
      </w:r>
      <w:r w:rsidRPr="00DF3203">
        <w:rPr>
          <w:rFonts w:ascii="Verdana" w:eastAsia="Times New Roman" w:hAnsi="Verdana" w:cs="Arial"/>
          <w:i/>
          <w:iCs/>
          <w:sz w:val="20"/>
          <w:szCs w:val="20"/>
          <w:lang w:val="es-ES" w:eastAsia="es-ES_tradnl"/>
        </w:rPr>
        <w:t>(</w:t>
      </w:r>
      <w:proofErr w:type="spellStart"/>
      <w:r w:rsidRPr="00DF3203">
        <w:rPr>
          <w:rFonts w:ascii="Verdana" w:eastAsia="Times New Roman" w:hAnsi="Verdana" w:cs="Arial"/>
          <w:i/>
          <w:iCs/>
          <w:sz w:val="20"/>
          <w:szCs w:val="20"/>
          <w:lang w:val="es-ES" w:eastAsia="es-ES_tradnl"/>
        </w:rPr>
        <w:t>iii</w:t>
      </w:r>
      <w:proofErr w:type="spellEnd"/>
      <w:r w:rsidRPr="00DF3203">
        <w:rPr>
          <w:rFonts w:ascii="Verdana" w:eastAsia="Times New Roman" w:hAnsi="Verdana" w:cs="Arial"/>
          <w:i/>
          <w:iCs/>
          <w:sz w:val="20"/>
          <w:szCs w:val="20"/>
          <w:lang w:val="es-ES" w:eastAsia="es-ES_tradnl"/>
        </w:rPr>
        <w:t>)</w:t>
      </w:r>
      <w:r w:rsidRPr="00DF3203">
        <w:rPr>
          <w:rFonts w:ascii="Verdana" w:eastAsia="Times New Roman" w:hAnsi="Verdana" w:cs="Arial"/>
          <w:sz w:val="20"/>
          <w:szCs w:val="20"/>
          <w:lang w:val="es-ES" w:eastAsia="es-ES_tradnl"/>
        </w:rPr>
        <w:t xml:space="preserve"> los convenios interadministrativos pueden suponer el compromiso de recursos públicos y, por consiguiente, la realización de aportes financieros. Ello, sin embargo, no supone la posibilidad de que en este tipo de relaciones jurídicas exista una remuneración en favor de uno de los </w:t>
      </w:r>
      <w:proofErr w:type="spellStart"/>
      <w:r w:rsidRPr="00DF3203">
        <w:rPr>
          <w:rFonts w:ascii="Verdana" w:eastAsia="Times New Roman" w:hAnsi="Verdana" w:cs="Arial"/>
          <w:sz w:val="20"/>
          <w:szCs w:val="20"/>
          <w:lang w:val="es-ES" w:eastAsia="es-ES_tradnl"/>
        </w:rPr>
        <w:t>co-contratantes</w:t>
      </w:r>
      <w:proofErr w:type="spellEnd"/>
      <w:r w:rsidRPr="00DF3203">
        <w:rPr>
          <w:rFonts w:ascii="Verdana" w:eastAsia="Times New Roman" w:hAnsi="Verdana" w:cs="Arial"/>
          <w:sz w:val="20"/>
          <w:szCs w:val="20"/>
          <w:lang w:val="es-ES" w:eastAsia="es-ES_tradnl"/>
        </w:rPr>
        <w:t xml:space="preserve"> y a cargo de otro u otros.</w:t>
      </w:r>
    </w:p>
    <w:p w14:paraId="7817ADE9" w14:textId="77777777" w:rsidR="00DF3203" w:rsidRPr="00DF3203" w:rsidRDefault="00DF3203" w:rsidP="00DF3203">
      <w:pPr>
        <w:spacing w:after="0" w:line="240" w:lineRule="auto"/>
        <w:jc w:val="both"/>
        <w:rPr>
          <w:rFonts w:ascii="Verdana" w:eastAsia="Times New Roman" w:hAnsi="Verdana" w:cs="Arial"/>
          <w:sz w:val="20"/>
          <w:szCs w:val="20"/>
          <w:lang w:val="es-ES" w:eastAsia="es-ES_tradnl"/>
        </w:rPr>
      </w:pPr>
    </w:p>
    <w:p w14:paraId="44CDC1A5" w14:textId="248AB1D5" w:rsidR="00DF3203" w:rsidRPr="00DF3203" w:rsidRDefault="00167D37" w:rsidP="00DF3203">
      <w:pPr>
        <w:jc w:val="both"/>
        <w:rPr>
          <w:rFonts w:ascii="Verdana" w:eastAsia="Times New Roman" w:hAnsi="Verdana"/>
          <w:b/>
          <w:bCs/>
          <w:sz w:val="20"/>
          <w:szCs w:val="20"/>
          <w:lang w:val="es-ES_tradnl" w:eastAsia="es-ES_tradnl"/>
        </w:rPr>
      </w:pPr>
      <w:r w:rsidRPr="00DF3203">
        <w:rPr>
          <w:rFonts w:ascii="Verdana" w:eastAsia="Calibri" w:hAnsi="Verdana" w:cs="Arial"/>
          <w:b/>
          <w:bCs/>
          <w:sz w:val="20"/>
          <w:szCs w:val="20"/>
          <w:lang w:val="es-ES" w:eastAsia="es-ES"/>
        </w:rPr>
        <w:t>CONVENIO MARCO – Contratación estatal – Convenios interadministrativos – Contratos derivados</w:t>
      </w:r>
      <w:r w:rsidRPr="00DF3203">
        <w:rPr>
          <w:rFonts w:ascii="Verdana" w:eastAsia="Times New Roman" w:hAnsi="Verdana"/>
          <w:b/>
          <w:bCs/>
          <w:sz w:val="20"/>
          <w:szCs w:val="20"/>
          <w:lang w:val="es-ES_tradnl" w:eastAsia="es-ES_tradnl"/>
        </w:rPr>
        <w:t xml:space="preserve"> </w:t>
      </w:r>
    </w:p>
    <w:p w14:paraId="335AB21B" w14:textId="396F8648" w:rsidR="00DF3203" w:rsidRDefault="00DF3203" w:rsidP="00DF3203">
      <w:pPr>
        <w:jc w:val="both"/>
        <w:rPr>
          <w:rFonts w:ascii="Verdana" w:eastAsia="Arial" w:hAnsi="Verdana" w:cs="Arial"/>
          <w:bCs/>
          <w:sz w:val="20"/>
          <w:szCs w:val="20"/>
          <w:lang w:eastAsia="es-ES" w:bidi="es-ES"/>
        </w:rPr>
      </w:pPr>
      <w:r>
        <w:rPr>
          <w:rFonts w:ascii="Verdana" w:eastAsia="Calibri" w:hAnsi="Verdana" w:cs="Arial"/>
          <w:bCs/>
          <w:color w:val="000000" w:themeColor="text1"/>
          <w:sz w:val="20"/>
          <w:szCs w:val="20"/>
          <w:lang w:eastAsia="es-ES_tradnl" w:bidi="es-ES"/>
        </w:rPr>
        <w:t>E</w:t>
      </w:r>
      <w:r w:rsidR="00167D37" w:rsidRPr="00DF3203">
        <w:rPr>
          <w:rFonts w:ascii="Verdana" w:eastAsia="Calibri" w:hAnsi="Verdana" w:cs="Arial"/>
          <w:bCs/>
          <w:color w:val="000000" w:themeColor="text1"/>
          <w:sz w:val="20"/>
          <w:szCs w:val="20"/>
          <w:lang w:eastAsia="es-ES_tradnl" w:bidi="es-ES"/>
        </w:rPr>
        <w:t xml:space="preserve">n el marco de la celebración de un convenio interadministrativo puede suceder que en estos </w:t>
      </w:r>
      <w:r w:rsidR="00167D37" w:rsidRPr="00DF3203">
        <w:rPr>
          <w:rFonts w:ascii="Verdana" w:eastAsia="Arial" w:hAnsi="Verdana" w:cs="Arial"/>
          <w:bCs/>
          <w:sz w:val="20"/>
          <w:szCs w:val="20"/>
          <w:lang w:eastAsia="es-ES" w:bidi="es-ES"/>
        </w:rPr>
        <w:t>se pacten compromisos generales entre las partes para el cumplimiento de un fin común, que serán concretados en uno o más convenios o contratos derivados que se suscribirán a futuro. En estos casos los convenios interadministrativos son también denominados “convenios marcos”. Estos convenios son comunes en la práctica administrativa de las entidades públicas cuando estas requieren celebrar acuerdos entre sí, con compromisos recíprocos e intenciones generales, con la finalidad de cumplir los fines estatales, que posteriormente podrán concretarse en convenios o acuerdos específicos y, tienen como característica principal que no generan erogación presupuestal por sí mismos</w:t>
      </w:r>
      <w:r>
        <w:rPr>
          <w:rFonts w:ascii="Verdana" w:eastAsia="Arial" w:hAnsi="Verdana" w:cs="Arial"/>
          <w:bCs/>
          <w:sz w:val="20"/>
          <w:szCs w:val="20"/>
          <w:lang w:eastAsia="es-ES" w:bidi="es-ES"/>
        </w:rPr>
        <w:t>.</w:t>
      </w:r>
    </w:p>
    <w:p w14:paraId="71BAE0E7" w14:textId="77777777" w:rsidR="00DF3203" w:rsidRPr="00DF3203" w:rsidRDefault="00DF3203" w:rsidP="00DF3203">
      <w:pPr>
        <w:spacing w:after="0" w:line="240" w:lineRule="auto"/>
        <w:jc w:val="both"/>
        <w:rPr>
          <w:rFonts w:ascii="Verdana" w:eastAsia="Arial" w:hAnsi="Verdana" w:cs="Arial"/>
          <w:bCs/>
          <w:sz w:val="20"/>
          <w:szCs w:val="20"/>
          <w:lang w:eastAsia="es-ES" w:bidi="es-ES"/>
        </w:rPr>
      </w:pPr>
    </w:p>
    <w:p w14:paraId="5DF22FE0" w14:textId="2F23907F" w:rsidR="00DF3203" w:rsidRPr="00DF3203" w:rsidRDefault="00167D37" w:rsidP="00DF3203">
      <w:pPr>
        <w:jc w:val="both"/>
        <w:rPr>
          <w:rFonts w:ascii="Verdana" w:eastAsia="Calibri" w:hAnsi="Verdana" w:cs="Arial"/>
          <w:b/>
          <w:bCs/>
          <w:sz w:val="20"/>
          <w:szCs w:val="20"/>
          <w:lang w:val="es-ES" w:eastAsia="es-ES"/>
        </w:rPr>
      </w:pPr>
      <w:r w:rsidRPr="00DF3203">
        <w:rPr>
          <w:rFonts w:ascii="Verdana" w:eastAsia="Calibri" w:hAnsi="Verdana" w:cs="Arial"/>
          <w:b/>
          <w:bCs/>
          <w:sz w:val="20"/>
          <w:szCs w:val="20"/>
          <w:lang w:val="es-ES" w:eastAsia="es-ES"/>
        </w:rPr>
        <w:t xml:space="preserve">CONVENIO MARCO – Lineamientos – Acuerdos específicos – Contratos derivados </w:t>
      </w:r>
    </w:p>
    <w:p w14:paraId="5BB17F50" w14:textId="3FC3D7A3" w:rsidR="00167D37" w:rsidRPr="00DF3203" w:rsidRDefault="00DF3203" w:rsidP="00DF3203">
      <w:pPr>
        <w:widowControl w:val="0"/>
        <w:autoSpaceDE w:val="0"/>
        <w:autoSpaceDN w:val="0"/>
        <w:spacing w:after="0" w:line="240" w:lineRule="auto"/>
        <w:jc w:val="both"/>
        <w:rPr>
          <w:rFonts w:ascii="Verdana" w:eastAsia="Arial" w:hAnsi="Verdana" w:cs="Arial"/>
          <w:bCs/>
          <w:sz w:val="20"/>
          <w:szCs w:val="20"/>
          <w:lang w:eastAsia="es-ES" w:bidi="es-ES"/>
        </w:rPr>
      </w:pPr>
      <w:r>
        <w:rPr>
          <w:rFonts w:ascii="Verdana" w:hAnsi="Verdana"/>
          <w:sz w:val="20"/>
          <w:szCs w:val="20"/>
        </w:rPr>
        <w:t>L</w:t>
      </w:r>
      <w:r w:rsidR="00167D37" w:rsidRPr="00DF3203">
        <w:rPr>
          <w:rFonts w:ascii="Verdana" w:hAnsi="Verdana"/>
          <w:sz w:val="20"/>
          <w:szCs w:val="20"/>
        </w:rPr>
        <w:t>a finalidad de estos convenios es</w:t>
      </w:r>
      <w:r w:rsidR="00167D37" w:rsidRPr="00DF3203">
        <w:rPr>
          <w:rFonts w:ascii="Verdana" w:eastAsia="Arial" w:hAnsi="Verdana" w:cs="Arial"/>
          <w:bCs/>
          <w:sz w:val="20"/>
          <w:szCs w:val="20"/>
          <w:lang w:eastAsia="es-ES" w:bidi="es-ES"/>
        </w:rPr>
        <w:t xml:space="preserve"> regular el contenido mínimo de las relaciones contractuales de las partes bajo un esquema general, que luego se concretarán en futuros acuerdo o contratos en los cuales es obligatorio el contenido preestablecido. Por tanto, en el convenio marco se acuerda de manera general y preliminar algunos aspectos de los futuros contratos, los cuales quedan subordinados a su específica determinación una vez se precise el alcance y valoración de las actividades, bienes o servicios que se requieran en el curso de su vigencia.</w:t>
      </w:r>
    </w:p>
    <w:p w14:paraId="11A22DBE" w14:textId="77777777" w:rsidR="00DF3203" w:rsidRDefault="00DF3203" w:rsidP="00DF3203">
      <w:pPr>
        <w:widowControl w:val="0"/>
        <w:autoSpaceDE w:val="0"/>
        <w:autoSpaceDN w:val="0"/>
        <w:spacing w:after="0" w:line="240" w:lineRule="auto"/>
        <w:jc w:val="both"/>
        <w:rPr>
          <w:rFonts w:ascii="Verdana" w:hAnsi="Verdana"/>
          <w:sz w:val="20"/>
          <w:szCs w:val="20"/>
        </w:rPr>
      </w:pPr>
    </w:p>
    <w:p w14:paraId="436E1793" w14:textId="57346F64" w:rsidR="00167D37" w:rsidRPr="00DF3203" w:rsidRDefault="00167D37" w:rsidP="00DF3203">
      <w:pPr>
        <w:widowControl w:val="0"/>
        <w:autoSpaceDE w:val="0"/>
        <w:autoSpaceDN w:val="0"/>
        <w:spacing w:after="0" w:line="240" w:lineRule="auto"/>
        <w:jc w:val="both"/>
        <w:rPr>
          <w:rFonts w:ascii="Verdana" w:hAnsi="Verdana"/>
          <w:sz w:val="20"/>
          <w:szCs w:val="20"/>
        </w:rPr>
      </w:pPr>
      <w:r w:rsidRPr="00DF3203">
        <w:rPr>
          <w:rFonts w:ascii="Verdana" w:hAnsi="Verdana"/>
          <w:sz w:val="20"/>
          <w:szCs w:val="20"/>
        </w:rPr>
        <w:t>Bajo esta perspectiva, los contratos que se deriven del convenio marco mantienen una relación de subordinación respecto del instrumento principal. No obstante, dado que el contenido y alcance del convenio marco suelen tener un carácter general, abstracto e indeterminado, su concreción se produce con la suscripción de los acuerdos o contratos específicos que lo desarrollan.</w:t>
      </w:r>
    </w:p>
    <w:p w14:paraId="3B67D9F7" w14:textId="77777777" w:rsidR="00DF3203" w:rsidRDefault="00167D37" w:rsidP="00DF3203">
      <w:pPr>
        <w:jc w:val="both"/>
        <w:rPr>
          <w:rFonts w:ascii="Verdana" w:hAnsi="Verdana"/>
          <w:sz w:val="20"/>
          <w:szCs w:val="20"/>
        </w:rPr>
      </w:pPr>
      <w:r w:rsidRPr="00DF3203">
        <w:rPr>
          <w:rFonts w:ascii="Verdana" w:hAnsi="Verdana"/>
          <w:sz w:val="20"/>
          <w:szCs w:val="20"/>
        </w:rPr>
        <w:t xml:space="preserve"> </w:t>
      </w:r>
    </w:p>
    <w:p w14:paraId="0EA38431" w14:textId="15C18068" w:rsidR="00167D37" w:rsidRDefault="00167D37" w:rsidP="00DF3203">
      <w:pPr>
        <w:jc w:val="both"/>
        <w:rPr>
          <w:rFonts w:ascii="Verdana" w:hAnsi="Verdana"/>
          <w:sz w:val="20"/>
          <w:szCs w:val="20"/>
        </w:rPr>
      </w:pPr>
      <w:r w:rsidRPr="00DF3203">
        <w:rPr>
          <w:rFonts w:ascii="Verdana" w:hAnsi="Verdana"/>
          <w:sz w:val="20"/>
          <w:szCs w:val="20"/>
        </w:rPr>
        <w:lastRenderedPageBreak/>
        <w:t>Así las cosas, aunque los contratos derivados deben ajustarse a los lineamientos técnicos, jurídicos, financieros y administrativos definidos en el convenio marco, es posible que, durante la definición concreta de las actividades en los acuerdos específicos, surja la necesidad de precisar o complementar aspectos que no fueron establecidos de manera detallada en el instrumento principal o inclusive a replantearlos con la justificación técnica debida. Esta situación se sustenta en que el convenio marco tiene una naturaleza preliminar y de orientación general, que se concreta progresivamente a través de los contratos específicos. De esta manera, el convenio marco no implica necesariamente la entrega de productos determinados, ya que la definición concreta de estos puede establecerse en los contratos o acuerdos específicos que se suscriban en su desarrollo, instrumentos en los cuales se precisan las actividades y los resultados particulares.</w:t>
      </w:r>
    </w:p>
    <w:p w14:paraId="1B7B8951" w14:textId="77777777" w:rsidR="00DF3203" w:rsidRPr="00DF3203" w:rsidRDefault="00DF3203" w:rsidP="00DF3203">
      <w:pPr>
        <w:spacing w:after="0" w:line="240" w:lineRule="auto"/>
        <w:jc w:val="both"/>
        <w:rPr>
          <w:rFonts w:ascii="Verdana" w:eastAsia="Calibri" w:hAnsi="Verdana" w:cs="Arial"/>
          <w:b/>
          <w:bCs/>
          <w:sz w:val="20"/>
          <w:szCs w:val="20"/>
          <w:lang w:val="es-ES" w:eastAsia="es-ES"/>
        </w:rPr>
      </w:pPr>
    </w:p>
    <w:p w14:paraId="4DC23940" w14:textId="77777777" w:rsidR="00167D37" w:rsidRDefault="00167D37" w:rsidP="00DF3203">
      <w:pPr>
        <w:jc w:val="both"/>
        <w:rPr>
          <w:rFonts w:ascii="Verdana" w:eastAsia="Calibri" w:hAnsi="Verdana" w:cs="Arial"/>
          <w:b/>
          <w:bCs/>
          <w:sz w:val="20"/>
          <w:szCs w:val="20"/>
          <w:lang w:val="es-ES" w:eastAsia="es-ES"/>
        </w:rPr>
      </w:pPr>
      <w:r w:rsidRPr="00DF3203">
        <w:rPr>
          <w:rFonts w:ascii="Verdana" w:eastAsia="Calibri" w:hAnsi="Verdana" w:cs="Arial"/>
          <w:b/>
          <w:bCs/>
          <w:sz w:val="20"/>
          <w:szCs w:val="20"/>
          <w:lang w:val="es-ES" w:eastAsia="es-ES"/>
        </w:rPr>
        <w:t xml:space="preserve">VIGILANCIA DE LOS CONTRATOS ESTATALES – Marco jurídico – Obligación de la entidad – Objetivo </w:t>
      </w:r>
    </w:p>
    <w:p w14:paraId="2164C6DE" w14:textId="77777777" w:rsidR="00DF3203" w:rsidRPr="00DF3203" w:rsidRDefault="00DF3203" w:rsidP="00DF3203">
      <w:pPr>
        <w:spacing w:after="0" w:line="240" w:lineRule="auto"/>
        <w:jc w:val="both"/>
        <w:rPr>
          <w:rFonts w:ascii="Verdana" w:eastAsia="Calibri" w:hAnsi="Verdana" w:cs="Arial"/>
          <w:b/>
          <w:bCs/>
          <w:sz w:val="20"/>
          <w:szCs w:val="20"/>
          <w:lang w:val="es-ES" w:eastAsia="es-ES"/>
        </w:rPr>
      </w:pPr>
    </w:p>
    <w:p w14:paraId="72F33F3C" w14:textId="58B579CF" w:rsidR="00167D37" w:rsidRDefault="00167D37" w:rsidP="00DF3203">
      <w:pPr>
        <w:spacing w:after="0" w:line="240" w:lineRule="auto"/>
        <w:jc w:val="both"/>
        <w:rPr>
          <w:rFonts w:ascii="Verdana" w:eastAsia="Times New Roman" w:hAnsi="Verdana" w:cs="Arial"/>
          <w:sz w:val="20"/>
          <w:szCs w:val="20"/>
          <w:shd w:val="clear" w:color="auto" w:fill="FFFFFF"/>
          <w:lang w:val="es-ES"/>
        </w:rPr>
      </w:pPr>
      <w:r w:rsidRPr="00DF3203">
        <w:rPr>
          <w:rFonts w:ascii="Verdana" w:eastAsia="Times New Roman" w:hAnsi="Verdana" w:cs="Arial"/>
          <w:sz w:val="20"/>
          <w:szCs w:val="20"/>
          <w:shd w:val="clear" w:color="auto" w:fill="FFFFFF"/>
          <w:lang w:val="es-ES"/>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2ADE71E1" w14:textId="77777777" w:rsidR="00DF3203" w:rsidRPr="00DF3203" w:rsidRDefault="00DF3203" w:rsidP="00DF3203">
      <w:pPr>
        <w:spacing w:after="0" w:line="240" w:lineRule="auto"/>
        <w:jc w:val="both"/>
        <w:rPr>
          <w:rFonts w:ascii="Verdana" w:eastAsia="Calibri" w:hAnsi="Verdana" w:cs="Arial"/>
          <w:bCs/>
          <w:sz w:val="20"/>
          <w:szCs w:val="20"/>
          <w:lang w:val="es-ES_tradnl"/>
        </w:rPr>
      </w:pPr>
    </w:p>
    <w:p w14:paraId="47B80F62" w14:textId="77777777" w:rsidR="00167D37" w:rsidRPr="00DF3203" w:rsidRDefault="00167D37" w:rsidP="00DF3203">
      <w:pPr>
        <w:spacing w:after="0" w:line="240" w:lineRule="auto"/>
        <w:jc w:val="both"/>
        <w:rPr>
          <w:rFonts w:ascii="Verdana" w:eastAsia="Calibri" w:hAnsi="Verdana" w:cs="Arial"/>
          <w:b/>
          <w:bCs/>
          <w:sz w:val="20"/>
          <w:szCs w:val="20"/>
          <w:lang w:val="es-ES" w:eastAsia="es-ES"/>
        </w:rPr>
      </w:pPr>
      <w:r w:rsidRPr="00DF3203">
        <w:rPr>
          <w:rFonts w:ascii="Verdana" w:eastAsia="Calibri" w:hAnsi="Verdana" w:cs="Arial"/>
          <w:b/>
          <w:bCs/>
          <w:sz w:val="20"/>
          <w:szCs w:val="20"/>
          <w:lang w:val="es-ES" w:eastAsia="es-ES"/>
        </w:rPr>
        <w:t xml:space="preserve">SUPERVISIÓN– Marco jurídico – Finalidad </w:t>
      </w:r>
    </w:p>
    <w:p w14:paraId="00E7D7E5" w14:textId="77777777" w:rsidR="00DF3203" w:rsidRDefault="00DF3203" w:rsidP="00DF3203">
      <w:pPr>
        <w:spacing w:after="0" w:line="240" w:lineRule="auto"/>
        <w:jc w:val="both"/>
        <w:rPr>
          <w:rFonts w:ascii="Verdana" w:eastAsia="Times New Roman" w:hAnsi="Verdana" w:cs="Arial"/>
          <w:bCs/>
          <w:sz w:val="20"/>
          <w:szCs w:val="20"/>
          <w:lang w:val="es-ES"/>
        </w:rPr>
      </w:pPr>
    </w:p>
    <w:p w14:paraId="6872CC91" w14:textId="2554DECD" w:rsidR="00167D37" w:rsidRDefault="00DF3203" w:rsidP="00DF3203">
      <w:pPr>
        <w:spacing w:after="0" w:line="240" w:lineRule="auto"/>
        <w:jc w:val="both"/>
        <w:rPr>
          <w:rFonts w:ascii="Verdana" w:eastAsia="Times New Roman" w:hAnsi="Verdana" w:cs="Arial"/>
          <w:bCs/>
          <w:sz w:val="20"/>
          <w:szCs w:val="20"/>
          <w:lang w:val="es-ES"/>
        </w:rPr>
      </w:pPr>
      <w:r>
        <w:rPr>
          <w:rFonts w:ascii="Verdana" w:eastAsia="Times New Roman" w:hAnsi="Verdana" w:cs="Arial"/>
          <w:bCs/>
          <w:sz w:val="20"/>
          <w:szCs w:val="20"/>
          <w:lang w:val="es-ES"/>
        </w:rPr>
        <w:t>S</w:t>
      </w:r>
      <w:r w:rsidR="00167D37" w:rsidRPr="00DF3203">
        <w:rPr>
          <w:rFonts w:ascii="Verdana" w:eastAsia="Times New Roman" w:hAnsi="Verdana" w:cs="Arial"/>
          <w:bCs/>
          <w:sz w:val="20"/>
          <w:szCs w:val="20"/>
          <w:lang w:val="es-ES"/>
        </w:rPr>
        <w:t xml:space="preserve">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w:t>
      </w:r>
      <w:proofErr w:type="spellStart"/>
      <w:r w:rsidR="00167D37" w:rsidRPr="00DF3203">
        <w:rPr>
          <w:rFonts w:ascii="Verdana" w:eastAsia="Times New Roman" w:hAnsi="Verdana" w:cs="Arial"/>
          <w:bCs/>
          <w:sz w:val="20"/>
          <w:szCs w:val="20"/>
          <w:lang w:val="es-ES"/>
        </w:rPr>
        <w:t>ii</w:t>
      </w:r>
      <w:proofErr w:type="spellEnd"/>
      <w:r w:rsidR="00167D37" w:rsidRPr="00DF3203">
        <w:rPr>
          <w:rFonts w:ascii="Verdana" w:eastAsia="Times New Roman" w:hAnsi="Verdana" w:cs="Arial"/>
          <w:bCs/>
          <w:sz w:val="20"/>
          <w:szCs w:val="20"/>
          <w:lang w:val="es-ES"/>
        </w:rPr>
        <w:t xml:space="preserve">) no requiere conocimientos tan especializados como la interventoría; </w:t>
      </w:r>
      <w:proofErr w:type="spellStart"/>
      <w:r w:rsidR="00167D37" w:rsidRPr="00DF3203">
        <w:rPr>
          <w:rFonts w:ascii="Verdana" w:eastAsia="Times New Roman" w:hAnsi="Verdana" w:cs="Arial"/>
          <w:bCs/>
          <w:sz w:val="20"/>
          <w:szCs w:val="20"/>
          <w:lang w:val="es-ES"/>
        </w:rPr>
        <w:t>iii</w:t>
      </w:r>
      <w:proofErr w:type="spellEnd"/>
      <w:r w:rsidR="00167D37" w:rsidRPr="00DF3203">
        <w:rPr>
          <w:rFonts w:ascii="Verdana" w:eastAsia="Times New Roman" w:hAnsi="Verdana" w:cs="Arial"/>
          <w:bCs/>
          <w:sz w:val="20"/>
          <w:szCs w:val="20"/>
          <w:lang w:val="es-ES"/>
        </w:rPr>
        <w:t xml:space="preserve">) se ejerce por la Entidad Estatal por conducto de la designación de servidores públicos idóneos para cumplir la función; </w:t>
      </w:r>
      <w:proofErr w:type="spellStart"/>
      <w:r w:rsidR="00167D37" w:rsidRPr="00DF3203">
        <w:rPr>
          <w:rFonts w:ascii="Verdana" w:eastAsia="Times New Roman" w:hAnsi="Verdana" w:cs="Arial"/>
          <w:bCs/>
          <w:sz w:val="20"/>
          <w:szCs w:val="20"/>
          <w:lang w:val="es-ES"/>
        </w:rPr>
        <w:t>iv</w:t>
      </w:r>
      <w:proofErr w:type="spellEnd"/>
      <w:r w:rsidR="00167D37" w:rsidRPr="00DF3203">
        <w:rPr>
          <w:rFonts w:ascii="Verdana" w:eastAsia="Times New Roman" w:hAnsi="Verdana" w:cs="Arial"/>
          <w:bCs/>
          <w:sz w:val="20"/>
          <w:szCs w:val="20"/>
          <w:lang w:val="es-ES"/>
        </w:rPr>
        <w:t>) puede recibir apoyo de personal contratado para tal fin mediante contratos de prestación de servicios; y v) le es inseparable el seguimiento técnico, administrativo, financiero, contable y jurídico del contrato vigilado.</w:t>
      </w:r>
    </w:p>
    <w:p w14:paraId="3BC15563" w14:textId="77777777" w:rsidR="00DF3203" w:rsidRPr="00DF3203" w:rsidRDefault="00DF3203" w:rsidP="00DF3203">
      <w:pPr>
        <w:spacing w:after="0" w:line="240" w:lineRule="auto"/>
        <w:jc w:val="both"/>
        <w:rPr>
          <w:rFonts w:ascii="Verdana" w:eastAsia="Times New Roman" w:hAnsi="Verdana" w:cs="Arial"/>
          <w:sz w:val="20"/>
          <w:szCs w:val="20"/>
          <w:shd w:val="clear" w:color="auto" w:fill="FFFFFF"/>
          <w:lang w:val="es-ES"/>
        </w:rPr>
      </w:pPr>
    </w:p>
    <w:p w14:paraId="64A659B7" w14:textId="6E6468B6" w:rsidR="00167D37" w:rsidRDefault="00167D37" w:rsidP="00DF3203">
      <w:pPr>
        <w:jc w:val="both"/>
        <w:rPr>
          <w:rFonts w:ascii="Verdana" w:eastAsia="Times New Roman" w:hAnsi="Verdana"/>
          <w:b/>
          <w:bCs/>
          <w:sz w:val="20"/>
          <w:szCs w:val="20"/>
          <w:lang w:val="es-ES_tradnl" w:eastAsia="es-ES_tradnl"/>
        </w:rPr>
      </w:pPr>
      <w:r w:rsidRPr="00DF3203">
        <w:rPr>
          <w:rFonts w:ascii="Verdana" w:eastAsia="Times New Roman" w:hAnsi="Verdana"/>
          <w:b/>
          <w:bCs/>
          <w:sz w:val="20"/>
          <w:szCs w:val="20"/>
          <w:lang w:val="es-ES_tradnl" w:eastAsia="es-ES_tradnl"/>
        </w:rPr>
        <w:t xml:space="preserve">SUPERVISIÓN – Convenios Interadministrativos </w:t>
      </w:r>
    </w:p>
    <w:p w14:paraId="571CDFA8" w14:textId="5A24BCDF" w:rsidR="00167D37" w:rsidRDefault="00DF3203" w:rsidP="00DF3203">
      <w:pPr>
        <w:spacing w:after="0" w:line="240" w:lineRule="auto"/>
        <w:jc w:val="both"/>
        <w:rPr>
          <w:rFonts w:ascii="Verdana" w:hAnsi="Verdana"/>
          <w:sz w:val="20"/>
          <w:szCs w:val="20"/>
        </w:rPr>
      </w:pPr>
      <w:r>
        <w:rPr>
          <w:rFonts w:ascii="Verdana" w:eastAsia="Times New Roman" w:hAnsi="Verdana" w:cs="Arial"/>
          <w:bCs/>
          <w:sz w:val="20"/>
          <w:szCs w:val="20"/>
          <w:shd w:val="clear" w:color="auto" w:fill="FFFFFF"/>
          <w:lang w:val="es-ES_tradnl"/>
        </w:rPr>
        <w:t>F</w:t>
      </w:r>
      <w:r w:rsidR="00167D37" w:rsidRPr="00DF3203">
        <w:rPr>
          <w:rFonts w:ascii="Verdana" w:eastAsia="Times New Roman" w:hAnsi="Verdana" w:cs="Arial"/>
          <w:bCs/>
          <w:sz w:val="20"/>
          <w:szCs w:val="20"/>
          <w:shd w:val="clear" w:color="auto" w:fill="FFFFFF"/>
          <w:lang w:val="es-ES_tradnl"/>
        </w:rPr>
        <w:t xml:space="preserve">rente a </w:t>
      </w:r>
      <w:r w:rsidR="00167D37" w:rsidRPr="00DF3203">
        <w:rPr>
          <w:rFonts w:ascii="Verdana" w:hAnsi="Verdana"/>
          <w:sz w:val="20"/>
          <w:szCs w:val="20"/>
        </w:rPr>
        <w:t xml:space="preserve">la supervisión de los convenios interadministrativos, es importante reiterar que una de sus características principales es que tienen como fuente la autonomía contractual. En particular, los convenios interadministrativos tienen un grado de </w:t>
      </w:r>
      <w:r w:rsidR="00167D37" w:rsidRPr="00DF3203">
        <w:rPr>
          <w:rFonts w:ascii="Verdana" w:hAnsi="Verdana"/>
          <w:sz w:val="20"/>
          <w:szCs w:val="20"/>
        </w:rPr>
        <w:lastRenderedPageBreak/>
        <w:t>excepcionalidad frente a las demás tipologías contractuales y se caracterizan por la autorregulación de sus propias estipulaciones, sin que pueda predicarse la aplicación automática de la generalidad de las normas del EGCAP, incluyendo aquellas referidas en el artículo 83 y siguientes de la Ley 1474 de 2011 en materia de supervisión contractua</w:t>
      </w:r>
      <w:r w:rsidR="005D5576">
        <w:rPr>
          <w:rFonts w:ascii="Verdana" w:hAnsi="Verdana"/>
          <w:sz w:val="20"/>
          <w:szCs w:val="20"/>
        </w:rPr>
        <w:t>l</w:t>
      </w:r>
      <w:r w:rsidR="00167D37" w:rsidRPr="00DF3203">
        <w:rPr>
          <w:rFonts w:ascii="Verdana" w:hAnsi="Verdana"/>
          <w:sz w:val="20"/>
          <w:szCs w:val="20"/>
        </w:rPr>
        <w:t xml:space="preserve">, pueste este régimen será de aplicación supletoria. </w:t>
      </w:r>
    </w:p>
    <w:p w14:paraId="07F68B35" w14:textId="77777777" w:rsidR="00DF3203" w:rsidRPr="00DF3203" w:rsidRDefault="00DF3203" w:rsidP="00DF3203">
      <w:pPr>
        <w:spacing w:after="0" w:line="240" w:lineRule="auto"/>
        <w:jc w:val="both"/>
        <w:rPr>
          <w:rFonts w:ascii="Verdana" w:eastAsia="Times New Roman" w:hAnsi="Verdana" w:cs="Arial"/>
          <w:bCs/>
          <w:sz w:val="20"/>
          <w:szCs w:val="20"/>
          <w:shd w:val="clear" w:color="auto" w:fill="FFFFFF"/>
          <w:lang w:val="es-ES_tradnl"/>
        </w:rPr>
      </w:pPr>
    </w:p>
    <w:p w14:paraId="7DD07BFB" w14:textId="423139F4" w:rsidR="00DF3203" w:rsidRPr="00DF3203" w:rsidRDefault="00167D37" w:rsidP="00DF3203">
      <w:pPr>
        <w:jc w:val="both"/>
        <w:rPr>
          <w:rFonts w:ascii="Verdana" w:eastAsia="Times New Roman" w:hAnsi="Verdana"/>
          <w:b/>
          <w:bCs/>
          <w:sz w:val="20"/>
          <w:szCs w:val="20"/>
          <w:lang w:val="es-ES_tradnl" w:eastAsia="es-ES_tradnl"/>
        </w:rPr>
      </w:pPr>
      <w:r w:rsidRPr="00DF3203">
        <w:rPr>
          <w:rFonts w:ascii="Verdana" w:eastAsia="Times New Roman" w:hAnsi="Verdana"/>
          <w:b/>
          <w:bCs/>
          <w:sz w:val="20"/>
          <w:szCs w:val="20"/>
          <w:lang w:val="es-ES_tradnl" w:eastAsia="es-ES_tradnl"/>
        </w:rPr>
        <w:t>LEY 1474 DE 2011 – Supervisión contractual</w:t>
      </w:r>
    </w:p>
    <w:p w14:paraId="23A38778" w14:textId="2AECDBF4" w:rsidR="00167D37" w:rsidRPr="00DF3203" w:rsidRDefault="00DF3203" w:rsidP="00DF3203">
      <w:pPr>
        <w:spacing w:after="0" w:line="240" w:lineRule="auto"/>
        <w:rPr>
          <w:rFonts w:ascii="Verdana" w:eastAsia="Geomanist Light" w:hAnsi="Verdana" w:cs="Arial"/>
          <w:color w:val="000000" w:themeColor="text1"/>
          <w:sz w:val="20"/>
          <w:szCs w:val="20"/>
        </w:rPr>
      </w:pPr>
      <w:r>
        <w:rPr>
          <w:rFonts w:ascii="Verdana" w:eastAsia="Geomanist Light" w:hAnsi="Verdana" w:cs="Arial"/>
          <w:color w:val="000000" w:themeColor="text1"/>
          <w:sz w:val="20"/>
          <w:szCs w:val="20"/>
        </w:rPr>
        <w:t>E</w:t>
      </w:r>
      <w:r w:rsidR="00167D37" w:rsidRPr="00DF3203">
        <w:rPr>
          <w:rFonts w:ascii="Verdana" w:eastAsia="Geomanist Light" w:hAnsi="Verdana" w:cs="Arial"/>
          <w:color w:val="000000" w:themeColor="text1"/>
          <w:sz w:val="20"/>
          <w:szCs w:val="20"/>
        </w:rPr>
        <w:t>l artículo 84 de la Ley 1174 de 2011 en relación con las facultades de los supervisores establece que “implica el seguimiento al ejercicio del cumplimiento obligacional por la entidad contratante sobre las obligaciones a cargo del contratista”; estando facultados para solicitar aclaraciones, explicaciones e informes sobre la ejecución contractual.</w:t>
      </w:r>
    </w:p>
    <w:p w14:paraId="73364B16" w14:textId="77777777" w:rsidR="00167D37" w:rsidRDefault="00167D37" w:rsidP="00542A9A">
      <w:pPr>
        <w:spacing w:after="0" w:line="240" w:lineRule="auto"/>
        <w:rPr>
          <w:rFonts w:ascii="Verdana" w:eastAsia="Geomanist Light" w:hAnsi="Verdana" w:cs="Arial"/>
          <w:color w:val="000000" w:themeColor="text1"/>
        </w:rPr>
      </w:pPr>
    </w:p>
    <w:p w14:paraId="6DDDB499" w14:textId="77777777" w:rsidR="00DF3203" w:rsidRDefault="00DF3203" w:rsidP="00542A9A">
      <w:pPr>
        <w:spacing w:after="0" w:line="240" w:lineRule="auto"/>
        <w:rPr>
          <w:rFonts w:ascii="Verdana" w:eastAsia="Geomanist Light" w:hAnsi="Verdana" w:cs="Arial"/>
          <w:color w:val="000000" w:themeColor="text1"/>
        </w:rPr>
      </w:pPr>
    </w:p>
    <w:p w14:paraId="07541541" w14:textId="77777777" w:rsidR="00DF3203" w:rsidRDefault="00DF3203" w:rsidP="00542A9A">
      <w:pPr>
        <w:spacing w:after="0" w:line="240" w:lineRule="auto"/>
        <w:rPr>
          <w:rFonts w:ascii="Verdana" w:eastAsia="Geomanist Light" w:hAnsi="Verdana" w:cs="Arial"/>
          <w:color w:val="000000" w:themeColor="text1"/>
        </w:rPr>
      </w:pPr>
    </w:p>
    <w:p w14:paraId="4557DB7A" w14:textId="77777777" w:rsidR="00DF3203" w:rsidRDefault="00DF3203" w:rsidP="00542A9A">
      <w:pPr>
        <w:spacing w:after="0" w:line="240" w:lineRule="auto"/>
        <w:rPr>
          <w:rFonts w:ascii="Verdana" w:eastAsia="Geomanist Light" w:hAnsi="Verdana" w:cs="Arial"/>
          <w:color w:val="000000" w:themeColor="text1"/>
        </w:rPr>
      </w:pPr>
    </w:p>
    <w:p w14:paraId="4903F8F6" w14:textId="77777777" w:rsidR="00DF3203" w:rsidRDefault="00DF3203" w:rsidP="00542A9A">
      <w:pPr>
        <w:spacing w:after="0" w:line="240" w:lineRule="auto"/>
        <w:rPr>
          <w:rFonts w:ascii="Verdana" w:eastAsia="Geomanist Light" w:hAnsi="Verdana" w:cs="Arial"/>
          <w:color w:val="000000" w:themeColor="text1"/>
        </w:rPr>
      </w:pPr>
    </w:p>
    <w:p w14:paraId="288C6A08" w14:textId="77777777" w:rsidR="00DF3203" w:rsidRDefault="00DF3203" w:rsidP="00542A9A">
      <w:pPr>
        <w:spacing w:after="0" w:line="240" w:lineRule="auto"/>
        <w:rPr>
          <w:rFonts w:ascii="Verdana" w:eastAsia="Geomanist Light" w:hAnsi="Verdana" w:cs="Arial"/>
          <w:color w:val="000000" w:themeColor="text1"/>
        </w:rPr>
      </w:pPr>
    </w:p>
    <w:p w14:paraId="1668824B" w14:textId="77777777" w:rsidR="00DF3203" w:rsidRDefault="00DF3203" w:rsidP="00542A9A">
      <w:pPr>
        <w:spacing w:after="0" w:line="240" w:lineRule="auto"/>
        <w:rPr>
          <w:rFonts w:ascii="Verdana" w:eastAsia="Geomanist Light" w:hAnsi="Verdana" w:cs="Arial"/>
          <w:color w:val="000000" w:themeColor="text1"/>
        </w:rPr>
      </w:pPr>
    </w:p>
    <w:p w14:paraId="3F96C077" w14:textId="77777777" w:rsidR="00DF3203" w:rsidRDefault="00DF3203" w:rsidP="00542A9A">
      <w:pPr>
        <w:spacing w:after="0" w:line="240" w:lineRule="auto"/>
        <w:rPr>
          <w:rFonts w:ascii="Verdana" w:eastAsia="Geomanist Light" w:hAnsi="Verdana" w:cs="Arial"/>
          <w:color w:val="000000" w:themeColor="text1"/>
        </w:rPr>
      </w:pPr>
    </w:p>
    <w:p w14:paraId="7A6EACAD" w14:textId="77777777" w:rsidR="00DF3203" w:rsidRDefault="00DF3203" w:rsidP="00542A9A">
      <w:pPr>
        <w:spacing w:after="0" w:line="240" w:lineRule="auto"/>
        <w:rPr>
          <w:rFonts w:ascii="Verdana" w:eastAsia="Geomanist Light" w:hAnsi="Verdana" w:cs="Arial"/>
          <w:color w:val="000000" w:themeColor="text1"/>
        </w:rPr>
      </w:pPr>
    </w:p>
    <w:p w14:paraId="6839755E" w14:textId="77777777" w:rsidR="00DF3203" w:rsidRDefault="00DF3203" w:rsidP="00542A9A">
      <w:pPr>
        <w:spacing w:after="0" w:line="240" w:lineRule="auto"/>
        <w:rPr>
          <w:rFonts w:ascii="Verdana" w:eastAsia="Geomanist Light" w:hAnsi="Verdana" w:cs="Arial"/>
          <w:color w:val="000000" w:themeColor="text1"/>
        </w:rPr>
      </w:pPr>
    </w:p>
    <w:p w14:paraId="7F411F17" w14:textId="77777777" w:rsidR="00DF3203" w:rsidRDefault="00DF3203" w:rsidP="00542A9A">
      <w:pPr>
        <w:spacing w:after="0" w:line="240" w:lineRule="auto"/>
        <w:rPr>
          <w:rFonts w:ascii="Verdana" w:eastAsia="Geomanist Light" w:hAnsi="Verdana" w:cs="Arial"/>
          <w:color w:val="000000" w:themeColor="text1"/>
        </w:rPr>
      </w:pPr>
    </w:p>
    <w:p w14:paraId="7F318A85" w14:textId="77777777" w:rsidR="00DF3203" w:rsidRDefault="00DF3203" w:rsidP="00542A9A">
      <w:pPr>
        <w:spacing w:after="0" w:line="240" w:lineRule="auto"/>
        <w:rPr>
          <w:rFonts w:ascii="Verdana" w:eastAsia="Geomanist Light" w:hAnsi="Verdana" w:cs="Arial"/>
          <w:color w:val="000000" w:themeColor="text1"/>
        </w:rPr>
      </w:pPr>
    </w:p>
    <w:p w14:paraId="421E2843" w14:textId="77777777" w:rsidR="00DF3203" w:rsidRDefault="00DF3203" w:rsidP="00542A9A">
      <w:pPr>
        <w:spacing w:after="0" w:line="240" w:lineRule="auto"/>
        <w:rPr>
          <w:rFonts w:ascii="Verdana" w:eastAsia="Geomanist Light" w:hAnsi="Verdana" w:cs="Arial"/>
          <w:color w:val="000000" w:themeColor="text1"/>
        </w:rPr>
      </w:pPr>
    </w:p>
    <w:p w14:paraId="5A8973E0" w14:textId="77777777" w:rsidR="00DF3203" w:rsidRDefault="00DF3203" w:rsidP="00542A9A">
      <w:pPr>
        <w:spacing w:after="0" w:line="240" w:lineRule="auto"/>
        <w:rPr>
          <w:rFonts w:ascii="Verdana" w:eastAsia="Geomanist Light" w:hAnsi="Verdana" w:cs="Arial"/>
          <w:color w:val="000000" w:themeColor="text1"/>
        </w:rPr>
      </w:pPr>
    </w:p>
    <w:p w14:paraId="404F23FB" w14:textId="77777777" w:rsidR="00DF3203" w:rsidRDefault="00DF3203" w:rsidP="00542A9A">
      <w:pPr>
        <w:spacing w:after="0" w:line="240" w:lineRule="auto"/>
        <w:rPr>
          <w:rFonts w:ascii="Verdana" w:eastAsia="Geomanist Light" w:hAnsi="Verdana" w:cs="Arial"/>
          <w:color w:val="000000" w:themeColor="text1"/>
        </w:rPr>
      </w:pPr>
    </w:p>
    <w:p w14:paraId="045F32D4" w14:textId="77777777" w:rsidR="00DF3203" w:rsidRDefault="00DF3203" w:rsidP="00542A9A">
      <w:pPr>
        <w:spacing w:after="0" w:line="240" w:lineRule="auto"/>
        <w:rPr>
          <w:rFonts w:ascii="Verdana" w:eastAsia="Geomanist Light" w:hAnsi="Verdana" w:cs="Arial"/>
          <w:color w:val="000000" w:themeColor="text1"/>
        </w:rPr>
      </w:pPr>
    </w:p>
    <w:p w14:paraId="16164C19" w14:textId="77777777" w:rsidR="00DF3203" w:rsidRDefault="00DF3203" w:rsidP="00542A9A">
      <w:pPr>
        <w:spacing w:after="0" w:line="240" w:lineRule="auto"/>
        <w:rPr>
          <w:rFonts w:ascii="Verdana" w:eastAsia="Geomanist Light" w:hAnsi="Verdana" w:cs="Arial"/>
          <w:color w:val="000000" w:themeColor="text1"/>
        </w:rPr>
      </w:pPr>
    </w:p>
    <w:p w14:paraId="65379801" w14:textId="77777777" w:rsidR="00DF3203" w:rsidRDefault="00DF3203" w:rsidP="00542A9A">
      <w:pPr>
        <w:spacing w:after="0" w:line="240" w:lineRule="auto"/>
        <w:rPr>
          <w:rFonts w:ascii="Verdana" w:eastAsia="Geomanist Light" w:hAnsi="Verdana" w:cs="Arial"/>
          <w:color w:val="000000" w:themeColor="text1"/>
        </w:rPr>
      </w:pPr>
    </w:p>
    <w:p w14:paraId="4AEADAB2" w14:textId="77777777" w:rsidR="00DF3203" w:rsidRDefault="00DF3203" w:rsidP="00542A9A">
      <w:pPr>
        <w:spacing w:after="0" w:line="240" w:lineRule="auto"/>
        <w:rPr>
          <w:rFonts w:ascii="Verdana" w:eastAsia="Geomanist Light" w:hAnsi="Verdana" w:cs="Arial"/>
          <w:color w:val="000000" w:themeColor="text1"/>
        </w:rPr>
      </w:pPr>
    </w:p>
    <w:p w14:paraId="349C9D2C" w14:textId="77777777" w:rsidR="00DF3203" w:rsidRDefault="00DF3203" w:rsidP="00542A9A">
      <w:pPr>
        <w:spacing w:after="0" w:line="240" w:lineRule="auto"/>
        <w:rPr>
          <w:rFonts w:ascii="Verdana" w:eastAsia="Geomanist Light" w:hAnsi="Verdana" w:cs="Arial"/>
          <w:color w:val="000000" w:themeColor="text1"/>
        </w:rPr>
      </w:pPr>
    </w:p>
    <w:p w14:paraId="61B5726F" w14:textId="77777777" w:rsidR="00DF3203" w:rsidRDefault="00DF3203" w:rsidP="00542A9A">
      <w:pPr>
        <w:spacing w:after="0" w:line="240" w:lineRule="auto"/>
        <w:rPr>
          <w:rFonts w:ascii="Verdana" w:eastAsia="Geomanist Light" w:hAnsi="Verdana" w:cs="Arial"/>
          <w:color w:val="000000" w:themeColor="text1"/>
        </w:rPr>
      </w:pPr>
    </w:p>
    <w:p w14:paraId="0F8CAE09" w14:textId="77777777" w:rsidR="00DF3203" w:rsidRDefault="00DF3203" w:rsidP="00542A9A">
      <w:pPr>
        <w:spacing w:after="0" w:line="240" w:lineRule="auto"/>
        <w:rPr>
          <w:rFonts w:ascii="Verdana" w:eastAsia="Geomanist Light" w:hAnsi="Verdana" w:cs="Arial"/>
          <w:color w:val="000000" w:themeColor="text1"/>
        </w:rPr>
      </w:pPr>
    </w:p>
    <w:p w14:paraId="6C38058D" w14:textId="77777777" w:rsidR="00DF3203" w:rsidRDefault="00DF3203" w:rsidP="00542A9A">
      <w:pPr>
        <w:spacing w:after="0" w:line="240" w:lineRule="auto"/>
        <w:rPr>
          <w:rFonts w:ascii="Verdana" w:eastAsia="Geomanist Light" w:hAnsi="Verdana" w:cs="Arial"/>
          <w:color w:val="000000" w:themeColor="text1"/>
        </w:rPr>
      </w:pPr>
    </w:p>
    <w:p w14:paraId="15249C36" w14:textId="77777777" w:rsidR="00DF3203" w:rsidRDefault="00DF3203" w:rsidP="00542A9A">
      <w:pPr>
        <w:spacing w:after="0" w:line="240" w:lineRule="auto"/>
        <w:rPr>
          <w:rFonts w:ascii="Verdana" w:eastAsia="Geomanist Light" w:hAnsi="Verdana" w:cs="Arial"/>
          <w:color w:val="000000" w:themeColor="text1"/>
        </w:rPr>
      </w:pPr>
    </w:p>
    <w:p w14:paraId="0DC73897" w14:textId="77777777" w:rsidR="00DF3203" w:rsidRDefault="00DF3203" w:rsidP="00542A9A">
      <w:pPr>
        <w:spacing w:after="0" w:line="240" w:lineRule="auto"/>
        <w:rPr>
          <w:rFonts w:ascii="Verdana" w:eastAsia="Geomanist Light" w:hAnsi="Verdana" w:cs="Arial"/>
          <w:color w:val="000000" w:themeColor="text1"/>
        </w:rPr>
      </w:pPr>
    </w:p>
    <w:p w14:paraId="65325324" w14:textId="77777777" w:rsidR="00DF3203" w:rsidRDefault="00DF3203" w:rsidP="00542A9A">
      <w:pPr>
        <w:spacing w:after="0" w:line="240" w:lineRule="auto"/>
        <w:rPr>
          <w:rFonts w:ascii="Verdana" w:eastAsia="Geomanist Light" w:hAnsi="Verdana" w:cs="Arial"/>
          <w:color w:val="000000" w:themeColor="text1"/>
        </w:rPr>
      </w:pPr>
    </w:p>
    <w:p w14:paraId="31F0B5F6" w14:textId="77777777" w:rsidR="00DF3203" w:rsidRDefault="00DF3203" w:rsidP="00542A9A">
      <w:pPr>
        <w:spacing w:after="0" w:line="240" w:lineRule="auto"/>
        <w:rPr>
          <w:rFonts w:ascii="Verdana" w:eastAsia="Geomanist Light" w:hAnsi="Verdana" w:cs="Arial"/>
          <w:color w:val="000000" w:themeColor="text1"/>
        </w:rPr>
      </w:pPr>
    </w:p>
    <w:p w14:paraId="0B865BC3" w14:textId="77777777" w:rsidR="00DF3203" w:rsidRDefault="00DF3203" w:rsidP="00542A9A">
      <w:pPr>
        <w:spacing w:after="0" w:line="240" w:lineRule="auto"/>
        <w:rPr>
          <w:rFonts w:ascii="Verdana" w:eastAsia="Geomanist Light" w:hAnsi="Verdana" w:cs="Arial"/>
          <w:color w:val="000000" w:themeColor="text1"/>
        </w:rPr>
      </w:pPr>
    </w:p>
    <w:p w14:paraId="04053DDF" w14:textId="77777777" w:rsidR="005D5576" w:rsidRDefault="005D5576" w:rsidP="00542A9A">
      <w:pPr>
        <w:spacing w:after="0" w:line="240" w:lineRule="auto"/>
        <w:rPr>
          <w:rFonts w:ascii="Verdana" w:eastAsia="Geomanist Light" w:hAnsi="Verdana" w:cs="Arial"/>
          <w:color w:val="000000" w:themeColor="text1"/>
        </w:rPr>
      </w:pPr>
    </w:p>
    <w:p w14:paraId="59C2B761" w14:textId="77777777" w:rsidR="005D5576" w:rsidRDefault="005D5576" w:rsidP="00542A9A">
      <w:pPr>
        <w:spacing w:after="0" w:line="240" w:lineRule="auto"/>
        <w:rPr>
          <w:rFonts w:ascii="Verdana" w:eastAsia="Geomanist Light" w:hAnsi="Verdana" w:cs="Arial"/>
          <w:color w:val="000000" w:themeColor="text1"/>
        </w:rPr>
      </w:pPr>
    </w:p>
    <w:p w14:paraId="489A77F9" w14:textId="77777777" w:rsidR="005D5576" w:rsidRDefault="005D5576" w:rsidP="00542A9A">
      <w:pPr>
        <w:spacing w:after="0" w:line="240" w:lineRule="auto"/>
        <w:rPr>
          <w:rFonts w:ascii="Verdana" w:eastAsia="Geomanist Light" w:hAnsi="Verdana" w:cs="Arial"/>
          <w:color w:val="000000" w:themeColor="text1"/>
        </w:rPr>
      </w:pPr>
    </w:p>
    <w:p w14:paraId="41CFB05E" w14:textId="77777777" w:rsidR="005D5576" w:rsidRDefault="005D5576" w:rsidP="00542A9A">
      <w:pPr>
        <w:spacing w:after="0" w:line="240" w:lineRule="auto"/>
        <w:rPr>
          <w:rFonts w:ascii="Verdana" w:eastAsia="Geomanist Light" w:hAnsi="Verdana" w:cs="Arial"/>
          <w:color w:val="000000" w:themeColor="text1"/>
        </w:rPr>
      </w:pPr>
    </w:p>
    <w:p w14:paraId="46932645" w14:textId="77777777" w:rsidR="005D5576" w:rsidRDefault="005D5576" w:rsidP="00542A9A">
      <w:pPr>
        <w:spacing w:after="0" w:line="240" w:lineRule="auto"/>
        <w:rPr>
          <w:rFonts w:ascii="Verdana" w:eastAsia="Geomanist Light" w:hAnsi="Verdana" w:cs="Arial"/>
          <w:color w:val="000000" w:themeColor="text1"/>
        </w:rPr>
      </w:pPr>
    </w:p>
    <w:p w14:paraId="0926AAA0" w14:textId="57ADEE13" w:rsidR="00542A9A" w:rsidRPr="00AD4F6A" w:rsidRDefault="00542A9A" w:rsidP="00542A9A">
      <w:pPr>
        <w:spacing w:after="0" w:line="240" w:lineRule="auto"/>
        <w:rPr>
          <w:rFonts w:ascii="Verdana" w:eastAsia="Geomanist Light" w:hAnsi="Verdana" w:cs="Arial"/>
          <w:color w:val="201F1E"/>
        </w:rPr>
      </w:pPr>
      <w:r w:rsidRPr="00AD4F6A">
        <w:rPr>
          <w:rFonts w:ascii="Verdana" w:eastAsia="Geomanist Light" w:hAnsi="Verdana" w:cs="Arial"/>
          <w:color w:val="000000" w:themeColor="text1"/>
        </w:rPr>
        <w:t>Bogotá D.C.,</w:t>
      </w:r>
      <w:r w:rsidR="00083359">
        <w:rPr>
          <w:rFonts w:ascii="Verdana" w:eastAsia="Geomanist Light" w:hAnsi="Verdana" w:cs="Arial"/>
          <w:color w:val="000000" w:themeColor="text1"/>
        </w:rPr>
        <w:t xml:space="preserve"> 27 de octubre de 2025</w:t>
      </w:r>
    </w:p>
    <w:p w14:paraId="2B6C6304" w14:textId="77777777" w:rsidR="00542A9A" w:rsidRDefault="00542A9A" w:rsidP="00542A9A">
      <w:pPr>
        <w:spacing w:after="0" w:line="240" w:lineRule="auto"/>
        <w:jc w:val="right"/>
        <w:rPr>
          <w:rFonts w:ascii="Verdana" w:eastAsia="Calibri" w:hAnsi="Verdana" w:cs="Arial"/>
          <w:color w:val="000000"/>
          <w:lang w:val="es-ES"/>
        </w:rPr>
      </w:pPr>
    </w:p>
    <w:p w14:paraId="781F4E57" w14:textId="24F0F025" w:rsidR="00542A9A" w:rsidRDefault="00083359" w:rsidP="00083359">
      <w:pPr>
        <w:spacing w:after="0" w:line="240" w:lineRule="auto"/>
        <w:jc w:val="right"/>
        <w:rPr>
          <w:rFonts w:ascii="Verdana" w:eastAsia="Calibri" w:hAnsi="Verdana" w:cs="Arial"/>
          <w:color w:val="000000"/>
          <w:lang w:val="es-ES"/>
        </w:rPr>
      </w:pPr>
      <w:r w:rsidRPr="00083359">
        <w:rPr>
          <w:rFonts w:ascii="Verdana" w:eastAsia="Calibri" w:hAnsi="Verdana" w:cs="Arial"/>
          <w:noProof/>
          <w:color w:val="000000"/>
          <w:lang w:val="es-ES"/>
        </w:rPr>
        <w:drawing>
          <wp:anchor distT="0" distB="0" distL="114300" distR="114300" simplePos="0" relativeHeight="251658240" behindDoc="0" locked="0" layoutInCell="1" allowOverlap="1" wp14:anchorId="75B64030" wp14:editId="66498333">
            <wp:simplePos x="0" y="0"/>
            <wp:positionH relativeFrom="margin">
              <wp:align>right</wp:align>
            </wp:positionH>
            <wp:positionV relativeFrom="paragraph">
              <wp:posOffset>6350</wp:posOffset>
            </wp:positionV>
            <wp:extent cx="3154680" cy="960120"/>
            <wp:effectExtent l="0" t="0" r="7620" b="0"/>
            <wp:wrapSquare wrapText="bothSides"/>
            <wp:docPr id="3151628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54680" cy="960120"/>
                    </a:xfrm>
                    <a:prstGeom prst="rect">
                      <a:avLst/>
                    </a:prstGeom>
                    <a:noFill/>
                    <a:ln>
                      <a:noFill/>
                    </a:ln>
                  </pic:spPr>
                </pic:pic>
              </a:graphicData>
            </a:graphic>
            <wp14:sizeRelH relativeFrom="margin">
              <wp14:pctWidth>0</wp14:pctWidth>
            </wp14:sizeRelH>
          </wp:anchor>
        </w:drawing>
      </w:r>
    </w:p>
    <w:p w14:paraId="241C3C50" w14:textId="77777777" w:rsidR="00083359" w:rsidRPr="00593A5F" w:rsidRDefault="00083359" w:rsidP="00542A9A">
      <w:pPr>
        <w:spacing w:after="0" w:line="240" w:lineRule="auto"/>
        <w:jc w:val="both"/>
        <w:rPr>
          <w:rFonts w:ascii="Verdana" w:eastAsia="Calibri" w:hAnsi="Verdana" w:cs="Arial"/>
          <w:color w:val="000000"/>
          <w:lang w:val="es-ES"/>
        </w:rPr>
      </w:pPr>
    </w:p>
    <w:p w14:paraId="640D6128" w14:textId="77777777" w:rsidR="00542A9A" w:rsidRPr="000C555D" w:rsidRDefault="00542A9A" w:rsidP="00542A9A">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7055179E" w14:textId="77777777" w:rsidR="00542A9A" w:rsidRDefault="00542A9A" w:rsidP="00542A9A">
      <w:pPr>
        <w:spacing w:after="0" w:line="240" w:lineRule="auto"/>
        <w:rPr>
          <w:rFonts w:ascii="Verdana" w:eastAsia="Calibri" w:hAnsi="Verdana" w:cs="Arial"/>
          <w:b/>
          <w:lang w:val="es-ES" w:eastAsia="es-ES"/>
        </w:rPr>
      </w:pPr>
      <w:proofErr w:type="spellStart"/>
      <w:r>
        <w:rPr>
          <w:rFonts w:ascii="Verdana" w:eastAsia="Calibri" w:hAnsi="Verdana" w:cs="Arial"/>
          <w:b/>
          <w:lang w:val="es-ES" w:eastAsia="es-ES"/>
        </w:rPr>
        <w:t>Jhon</w:t>
      </w:r>
      <w:proofErr w:type="spellEnd"/>
      <w:r>
        <w:rPr>
          <w:rFonts w:ascii="Verdana" w:eastAsia="Calibri" w:hAnsi="Verdana" w:cs="Arial"/>
          <w:b/>
          <w:lang w:val="es-ES" w:eastAsia="es-ES"/>
        </w:rPr>
        <w:t xml:space="preserve"> Carlo Buitrago Burgos </w:t>
      </w:r>
    </w:p>
    <w:p w14:paraId="0B77EB4F" w14:textId="77777777" w:rsidR="00542A9A" w:rsidRPr="00D3034E" w:rsidRDefault="00542A9A" w:rsidP="00542A9A">
      <w:pPr>
        <w:spacing w:after="0" w:line="240" w:lineRule="auto"/>
        <w:rPr>
          <w:rFonts w:ascii="Verdana" w:hAnsi="Verdana"/>
        </w:rPr>
      </w:pPr>
      <w:hyperlink r:id="rId12" w:history="1">
        <w:r w:rsidRPr="00D3034E">
          <w:rPr>
            <w:rStyle w:val="Hipervnculo"/>
            <w:rFonts w:ascii="Verdana" w:hAnsi="Verdana"/>
          </w:rPr>
          <w:t>john0626@hotmail.com</w:t>
        </w:r>
      </w:hyperlink>
      <w:r w:rsidRPr="00D3034E">
        <w:rPr>
          <w:rFonts w:ascii="Verdana" w:hAnsi="Verdana"/>
        </w:rPr>
        <w:t xml:space="preserve">  </w:t>
      </w:r>
    </w:p>
    <w:p w14:paraId="128AE030" w14:textId="77777777" w:rsidR="00542A9A" w:rsidRPr="00977377" w:rsidRDefault="00542A9A" w:rsidP="00542A9A">
      <w:pPr>
        <w:spacing w:after="0" w:line="240" w:lineRule="auto"/>
        <w:rPr>
          <w:rFonts w:ascii="Verdana" w:eastAsia="Calibri" w:hAnsi="Verdana" w:cs="Arial"/>
          <w:lang w:val="pt-BR" w:eastAsia="es-ES"/>
        </w:rPr>
      </w:pPr>
      <w:r w:rsidRPr="00977377">
        <w:rPr>
          <w:rFonts w:ascii="Verdana" w:eastAsia="Calibri" w:hAnsi="Verdana" w:cs="Arial"/>
          <w:lang w:val="pt-BR" w:eastAsia="es-ES"/>
        </w:rPr>
        <w:t>Bogotá</w:t>
      </w:r>
    </w:p>
    <w:p w14:paraId="74C74489" w14:textId="77777777" w:rsidR="00542A9A" w:rsidRDefault="00542A9A" w:rsidP="00542A9A">
      <w:pPr>
        <w:spacing w:after="0" w:line="240" w:lineRule="auto"/>
        <w:rPr>
          <w:rFonts w:ascii="Verdana" w:eastAsia="Calibri" w:hAnsi="Verdana" w:cs="Arial"/>
          <w:lang w:val="pt-BR" w:eastAsia="es-ES"/>
        </w:rPr>
      </w:pPr>
    </w:p>
    <w:p w14:paraId="1B9D3754" w14:textId="77777777" w:rsidR="00542A9A" w:rsidRPr="0071281B" w:rsidRDefault="00542A9A" w:rsidP="00542A9A">
      <w:pPr>
        <w:ind w:left="3"/>
        <w:jc w:val="center"/>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1341</w:t>
      </w:r>
      <w:r w:rsidRPr="00FC6F34">
        <w:rPr>
          <w:rFonts w:ascii="Verdana" w:eastAsia="Calibri" w:hAnsi="Verdana" w:cs="Arial"/>
          <w:b/>
          <w:bCs/>
          <w:color w:val="000000" w:themeColor="text1"/>
          <w:lang w:val="es-ES" w:eastAsia="es-ES"/>
        </w:rPr>
        <w:t xml:space="preserve"> de 2025</w:t>
      </w:r>
    </w:p>
    <w:p w14:paraId="79605938" w14:textId="77777777" w:rsidR="00542A9A" w:rsidRPr="00977377" w:rsidRDefault="00542A9A" w:rsidP="00542A9A">
      <w:pPr>
        <w:spacing w:after="0" w:line="240" w:lineRule="auto"/>
        <w:rPr>
          <w:rFonts w:ascii="Verdana" w:eastAsia="Calibri" w:hAnsi="Verdana" w:cs="Arial"/>
          <w:b/>
          <w:bCs/>
          <w:color w:val="000000"/>
          <w:lang w:val="pt-BR"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42A9A" w:rsidRPr="00593A5F" w14:paraId="60120814" w14:textId="77777777" w:rsidTr="00BE3615">
        <w:trPr>
          <w:trHeight w:val="884"/>
        </w:trPr>
        <w:tc>
          <w:tcPr>
            <w:tcW w:w="2689" w:type="dxa"/>
          </w:tcPr>
          <w:p w14:paraId="004BB308" w14:textId="77777777" w:rsidR="00542A9A" w:rsidRPr="00593A5F" w:rsidRDefault="00542A9A" w:rsidP="00BE3615">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31FECC8" w14:textId="75375E6A" w:rsidR="00542A9A" w:rsidRPr="009E4BF7" w:rsidRDefault="00542A9A" w:rsidP="00BE3615">
            <w:pPr>
              <w:spacing w:line="276" w:lineRule="auto"/>
              <w:jc w:val="both"/>
              <w:rPr>
                <w:rFonts w:ascii="Verdana" w:eastAsia="Calibri" w:hAnsi="Verdana" w:cs="Arial"/>
                <w:lang w:val="es-ES" w:eastAsia="es-ES"/>
              </w:rPr>
            </w:pPr>
            <w:r w:rsidRPr="002C675F">
              <w:rPr>
                <w:rFonts w:ascii="Verdana" w:eastAsia="Times New Roman" w:hAnsi="Verdana"/>
                <w:lang w:val="es-ES_tradnl" w:eastAsia="es-ES_tradnl"/>
              </w:rPr>
              <w:t>CONVENIOS</w:t>
            </w:r>
            <w:r>
              <w:rPr>
                <w:rFonts w:ascii="Verdana" w:eastAsia="Times New Roman" w:hAnsi="Verdana"/>
                <w:lang w:val="es-ES_tradnl" w:eastAsia="es-ES_tradnl"/>
              </w:rPr>
              <w:t xml:space="preserve"> I</w:t>
            </w:r>
            <w:r w:rsidRPr="002C675F">
              <w:rPr>
                <w:rFonts w:ascii="Verdana" w:eastAsia="Times New Roman" w:hAnsi="Verdana"/>
                <w:lang w:val="es-ES_tradnl" w:eastAsia="es-ES_tradnl"/>
              </w:rPr>
              <w:t>NTERADMINISTRATIVOS –</w:t>
            </w:r>
            <w:r w:rsidRPr="002C675F">
              <w:rPr>
                <w:rFonts w:ascii="Verdana" w:eastAsia="Times New Roman" w:hAnsi="Verdana"/>
                <w:lang w:eastAsia="es-ES_tradnl"/>
              </w:rPr>
              <w:t xml:space="preserve"> Noción y Características </w:t>
            </w:r>
            <w:r>
              <w:rPr>
                <w:rFonts w:ascii="Verdana" w:eastAsia="Times New Roman" w:hAnsi="Verdana"/>
                <w:lang w:eastAsia="es-ES_tradnl"/>
              </w:rPr>
              <w:t xml:space="preserve">/ </w:t>
            </w:r>
            <w:r w:rsidRPr="007E04E9">
              <w:rPr>
                <w:rFonts w:ascii="Verdana" w:eastAsia="Calibri" w:hAnsi="Verdana" w:cs="Arial"/>
                <w:lang w:val="es-ES" w:eastAsia="es-ES"/>
              </w:rPr>
              <w:t>CONVENIO MARCO – Contratación estatal – Convenios interadministrativos</w:t>
            </w:r>
            <w:r>
              <w:rPr>
                <w:rFonts w:ascii="Verdana" w:eastAsia="Calibri" w:hAnsi="Verdana" w:cs="Arial"/>
                <w:lang w:val="es-ES" w:eastAsia="es-ES"/>
              </w:rPr>
              <w:t xml:space="preserve"> </w:t>
            </w:r>
            <w:r w:rsidRPr="007E04E9">
              <w:rPr>
                <w:rFonts w:ascii="Verdana" w:eastAsia="Calibri" w:hAnsi="Verdana" w:cs="Arial"/>
                <w:lang w:val="es-ES" w:eastAsia="es-ES"/>
              </w:rPr>
              <w:t>–</w:t>
            </w:r>
            <w:r>
              <w:rPr>
                <w:rFonts w:ascii="Verdana" w:eastAsia="Calibri" w:hAnsi="Verdana" w:cs="Arial"/>
                <w:lang w:val="es-ES" w:eastAsia="es-ES"/>
              </w:rPr>
              <w:t xml:space="preserve"> Contratos derivados</w:t>
            </w:r>
            <w:r>
              <w:rPr>
                <w:rFonts w:ascii="Verdana" w:eastAsia="Times New Roman" w:hAnsi="Verdana"/>
                <w:lang w:val="es-ES_tradnl" w:eastAsia="es-ES_tradnl"/>
              </w:rPr>
              <w:t xml:space="preserve"> / </w:t>
            </w:r>
            <w:r w:rsidRPr="007E04E9">
              <w:rPr>
                <w:rFonts w:ascii="Verdana" w:eastAsia="Calibri" w:hAnsi="Verdana" w:cs="Arial"/>
                <w:lang w:val="es-ES" w:eastAsia="es-ES"/>
              </w:rPr>
              <w:t xml:space="preserve">CONVENIO MARCO – </w:t>
            </w:r>
            <w:r>
              <w:rPr>
                <w:rFonts w:ascii="Verdana" w:eastAsia="Calibri" w:hAnsi="Verdana" w:cs="Arial"/>
                <w:lang w:val="es-ES" w:eastAsia="es-ES"/>
              </w:rPr>
              <w:t xml:space="preserve">Lineamientos </w:t>
            </w:r>
            <w:r w:rsidRPr="007E04E9">
              <w:rPr>
                <w:rFonts w:ascii="Verdana" w:eastAsia="Calibri" w:hAnsi="Verdana" w:cs="Arial"/>
                <w:lang w:val="es-ES" w:eastAsia="es-ES"/>
              </w:rPr>
              <w:t xml:space="preserve">– </w:t>
            </w:r>
            <w:r>
              <w:rPr>
                <w:rFonts w:ascii="Verdana" w:eastAsia="Calibri" w:hAnsi="Verdana" w:cs="Arial"/>
                <w:lang w:val="es-ES" w:eastAsia="es-ES"/>
              </w:rPr>
              <w:t xml:space="preserve">Acuerdos específicos </w:t>
            </w:r>
            <w:r w:rsidRPr="007E04E9">
              <w:rPr>
                <w:rFonts w:ascii="Verdana" w:eastAsia="Calibri" w:hAnsi="Verdana" w:cs="Arial"/>
                <w:lang w:val="es-ES" w:eastAsia="es-ES"/>
              </w:rPr>
              <w:t>–</w:t>
            </w:r>
            <w:r>
              <w:rPr>
                <w:rFonts w:ascii="Verdana" w:eastAsia="Calibri" w:hAnsi="Verdana" w:cs="Arial"/>
                <w:lang w:val="es-ES" w:eastAsia="es-ES"/>
              </w:rPr>
              <w:t xml:space="preserve"> Contratos derivados</w:t>
            </w:r>
            <w:r w:rsidRPr="00283CFD">
              <w:rPr>
                <w:rFonts w:ascii="Verdana" w:eastAsia="Calibri" w:hAnsi="Verdana" w:cs="Arial"/>
                <w:lang w:val="es-ES" w:eastAsia="es-ES"/>
              </w:rPr>
              <w:t xml:space="preserve"> VIGILANCIA DE LOS CONTRATOS ESTATALES – Marco jurídico – Obligación de la entidad – Objetivo / SUPERVISIÓN– Marco jurídico – Finalidad</w:t>
            </w:r>
            <w:r w:rsidR="00167D37">
              <w:rPr>
                <w:rFonts w:ascii="Verdana" w:eastAsia="Calibri" w:hAnsi="Verdana" w:cs="Arial"/>
                <w:lang w:val="es-ES" w:eastAsia="es-ES"/>
              </w:rPr>
              <w:t xml:space="preserve"> /</w:t>
            </w:r>
            <w:r w:rsidRPr="00283CFD">
              <w:rPr>
                <w:rFonts w:ascii="Verdana" w:eastAsia="Calibri" w:hAnsi="Verdana" w:cs="Arial"/>
                <w:lang w:val="es-ES" w:eastAsia="es-ES"/>
              </w:rPr>
              <w:t xml:space="preserve"> </w:t>
            </w:r>
            <w:r w:rsidRPr="009F2C84">
              <w:rPr>
                <w:rFonts w:ascii="Verdana" w:eastAsia="Times New Roman" w:hAnsi="Verdana"/>
                <w:bCs/>
                <w:lang w:val="es-ES_tradnl" w:eastAsia="es-ES_tradnl"/>
              </w:rPr>
              <w:t>SUPERVISIÓN – Convenios Interadministrativos / LEY 1474 DE 2011 – Supervisión contractual</w:t>
            </w:r>
          </w:p>
          <w:p w14:paraId="2ACB9B50" w14:textId="77777777" w:rsidR="00542A9A" w:rsidRPr="00593A5F" w:rsidRDefault="00542A9A" w:rsidP="00BE3615">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542A9A" w:rsidRPr="008E6AD9" w14:paraId="54E4C069" w14:textId="77777777" w:rsidTr="00BE3615">
        <w:tc>
          <w:tcPr>
            <w:tcW w:w="2689" w:type="dxa"/>
          </w:tcPr>
          <w:p w14:paraId="2ECCD410" w14:textId="77777777" w:rsidR="00542A9A" w:rsidRPr="008E6AD9" w:rsidRDefault="00542A9A" w:rsidP="00BE3615">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2F039C4" w14:textId="77777777" w:rsidR="00542A9A" w:rsidRPr="00B92340" w:rsidRDefault="00542A9A" w:rsidP="00BE3615">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Pr>
                <w:rFonts w:ascii="Verdana" w:eastAsia="Calibri" w:hAnsi="Verdana" w:cs="Arial"/>
                <w:lang w:val="es-ES_tradnl" w:eastAsia="es-ES_tradnl"/>
              </w:rPr>
              <w:t xml:space="preserve"> Nos. </w:t>
            </w:r>
            <w:r w:rsidRPr="006057DB">
              <w:rPr>
                <w:rFonts w:ascii="Verdana" w:eastAsia="Calibri" w:hAnsi="Verdana" w:cs="Arial"/>
                <w:lang w:val="es-ES_tradnl" w:eastAsia="es-ES_tradnl"/>
              </w:rPr>
              <w:t>1_2025_09_18_010250,</w:t>
            </w:r>
            <w:r>
              <w:rPr>
                <w:rFonts w:ascii="Verdana" w:eastAsia="Calibri" w:hAnsi="Verdana" w:cs="Arial"/>
                <w:lang w:val="es-ES_tradnl" w:eastAsia="es-ES_tradnl"/>
              </w:rPr>
              <w:t xml:space="preserve"> </w:t>
            </w:r>
            <w:r w:rsidRPr="006057DB">
              <w:rPr>
                <w:rFonts w:ascii="Verdana" w:eastAsia="Calibri" w:hAnsi="Verdana" w:cs="Arial"/>
                <w:lang w:val="es-ES_tradnl" w:eastAsia="es-ES_tradnl"/>
              </w:rPr>
              <w:t>1_2025_09_23_010454, 1_2025_09_23_010503</w:t>
            </w:r>
            <w:r>
              <w:rPr>
                <w:rFonts w:ascii="Verdana" w:eastAsia="Calibri" w:hAnsi="Verdana" w:cs="Arial"/>
                <w:lang w:val="es-ES_tradnl" w:eastAsia="es-ES_tradnl"/>
              </w:rPr>
              <w:t>,</w:t>
            </w:r>
            <w:r w:rsidRPr="006057DB">
              <w:rPr>
                <w:rFonts w:ascii="Verdana" w:eastAsia="Calibri" w:hAnsi="Verdana" w:cs="Arial"/>
                <w:lang w:val="es-ES_tradnl" w:eastAsia="es-ES_tradnl"/>
              </w:rPr>
              <w:t xml:space="preserve"> 1_2025_09_23_010454 1_2025_09_24_010513</w:t>
            </w:r>
            <w:r>
              <w:rPr>
                <w:rFonts w:ascii="Verdana" w:eastAsia="Calibri" w:hAnsi="Verdana" w:cs="Arial"/>
                <w:lang w:val="es-ES_tradnl" w:eastAsia="es-ES_tradnl"/>
              </w:rPr>
              <w:t xml:space="preserve"> y </w:t>
            </w:r>
            <w:r w:rsidRPr="006057DB">
              <w:rPr>
                <w:rFonts w:ascii="Verdana" w:eastAsia="Calibri" w:hAnsi="Verdana" w:cs="Arial"/>
                <w:lang w:val="es-ES_tradnl" w:eastAsia="es-ES_tradnl"/>
              </w:rPr>
              <w:t>1_2025_09_24_010517</w:t>
            </w:r>
            <w:r>
              <w:rPr>
                <w:rFonts w:ascii="Verdana" w:eastAsia="Calibri" w:hAnsi="Verdana" w:cs="Arial"/>
                <w:lang w:val="es-ES_tradnl" w:eastAsia="es-ES_tradnl"/>
              </w:rPr>
              <w:t xml:space="preserve"> -Acumulados</w:t>
            </w:r>
          </w:p>
        </w:tc>
      </w:tr>
    </w:tbl>
    <w:p w14:paraId="66B65C6D" w14:textId="77777777" w:rsidR="00542A9A" w:rsidRPr="00593A5F" w:rsidRDefault="00542A9A" w:rsidP="00542A9A">
      <w:pPr>
        <w:spacing w:after="0" w:line="240" w:lineRule="auto"/>
        <w:jc w:val="both"/>
        <w:rPr>
          <w:rFonts w:ascii="Verdana" w:eastAsia="Calibri" w:hAnsi="Verdana" w:cs="Arial"/>
          <w:color w:val="000000"/>
          <w:lang w:val="es-ES_tradnl" w:eastAsia="es-ES_tradnl"/>
        </w:rPr>
      </w:pPr>
    </w:p>
    <w:p w14:paraId="7D04C219" w14:textId="77777777" w:rsidR="00542A9A" w:rsidRPr="00593A5F" w:rsidRDefault="00542A9A" w:rsidP="00542A9A">
      <w:pPr>
        <w:spacing w:after="0" w:line="240" w:lineRule="auto"/>
        <w:jc w:val="both"/>
        <w:rPr>
          <w:rFonts w:ascii="Verdana" w:eastAsia="Calibri" w:hAnsi="Verdana" w:cs="Arial"/>
          <w:color w:val="000000"/>
          <w:lang w:val="es-ES_tradnl" w:eastAsia="es-ES_tradnl"/>
        </w:rPr>
      </w:pPr>
    </w:p>
    <w:p w14:paraId="3A9726A1" w14:textId="77777777" w:rsidR="00542A9A" w:rsidRPr="008E6AD9" w:rsidRDefault="00542A9A" w:rsidP="00542A9A">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señor Buitrago</w:t>
      </w:r>
      <w:r w:rsidRPr="008E6AD9">
        <w:rPr>
          <w:rFonts w:ascii="Verdana" w:eastAsia="Calibri" w:hAnsi="Verdana" w:cs="Arial"/>
          <w:lang w:val="es-ES" w:eastAsia="es-ES"/>
        </w:rPr>
        <w:t xml:space="preserve">: </w:t>
      </w:r>
    </w:p>
    <w:p w14:paraId="53B1B78B" w14:textId="77777777" w:rsidR="00542A9A" w:rsidRDefault="00542A9A" w:rsidP="00542A9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3DB2D28" w14:textId="77777777" w:rsidR="00542A9A" w:rsidRPr="00B26BAB" w:rsidRDefault="00542A9A" w:rsidP="00542A9A">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la </w:t>
      </w:r>
      <w:r w:rsidRPr="00A27102">
        <w:rPr>
          <w:rFonts w:ascii="Verdana" w:hAnsi="Verdana" w:cs="Arial"/>
        </w:rPr>
        <w:t>Resolución 469 de 2025 expedida por esta Entidad</w:t>
      </w:r>
      <w:r>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18 de septiembre de 2025, en la cual pregunta lo siguiente</w:t>
      </w:r>
      <w:r w:rsidRPr="008E6AD9">
        <w:rPr>
          <w:rFonts w:ascii="Verdana" w:eastAsia="Calibri" w:hAnsi="Verdana" w:cs="Arial"/>
          <w:lang w:val="es-ES" w:eastAsia="es-ES"/>
        </w:rPr>
        <w:t xml:space="preserve">: </w:t>
      </w:r>
    </w:p>
    <w:p w14:paraId="6A603351" w14:textId="77777777" w:rsidR="00542A9A" w:rsidRPr="00272A7B" w:rsidRDefault="00542A9A" w:rsidP="00542A9A">
      <w:pPr>
        <w:pStyle w:val="Prrafodelista"/>
        <w:tabs>
          <w:tab w:val="left" w:pos="142"/>
          <w:tab w:val="left" w:pos="284"/>
        </w:tabs>
        <w:spacing w:after="0" w:line="276" w:lineRule="auto"/>
        <w:ind w:left="0"/>
        <w:jc w:val="both"/>
        <w:rPr>
          <w:rFonts w:ascii="Verdana" w:eastAsia="Century Gothic" w:hAnsi="Verdana" w:cs="Century Gothic"/>
          <w:b/>
          <w:bCs/>
        </w:rPr>
      </w:pPr>
    </w:p>
    <w:p w14:paraId="079D97D3" w14:textId="77777777" w:rsidR="00542A9A" w:rsidRDefault="00542A9A" w:rsidP="00542A9A">
      <w:pPr>
        <w:spacing w:after="120" w:line="240" w:lineRule="auto"/>
        <w:ind w:left="709" w:right="709"/>
        <w:jc w:val="both"/>
        <w:rPr>
          <w:rFonts w:ascii="Verdana" w:eastAsia="Century Gothic" w:hAnsi="Verdana" w:cs="Century Gothic"/>
          <w:sz w:val="20"/>
          <w:szCs w:val="20"/>
        </w:rPr>
      </w:pPr>
      <w:bookmarkStart w:id="0" w:name="_Hlk95313578"/>
      <w:r w:rsidRPr="009715C6">
        <w:rPr>
          <w:rFonts w:ascii="Verdana" w:eastAsia="Century Gothic" w:hAnsi="Verdana" w:cs="Century Gothic"/>
          <w:sz w:val="20"/>
          <w:szCs w:val="20"/>
          <w:lang w:val="es-ES"/>
        </w:rPr>
        <w:lastRenderedPageBreak/>
        <w:t>“</w:t>
      </w:r>
      <w:bookmarkEnd w:id="0"/>
      <w:r w:rsidRPr="005435CD">
        <w:rPr>
          <w:rFonts w:ascii="Verdana" w:eastAsia="Century Gothic" w:hAnsi="Verdana" w:cs="Century Gothic"/>
          <w:sz w:val="20"/>
          <w:szCs w:val="20"/>
        </w:rPr>
        <w:t xml:space="preserve">Contexto: Dos entidades estatales suscriben un convenio interadministrativo. Un directivo de la entidad coadyuvante (aportante de recursos financieros) es designado como supervisor del citado convenio. </w:t>
      </w:r>
    </w:p>
    <w:p w14:paraId="43D6349F" w14:textId="77777777" w:rsidR="00542A9A" w:rsidRDefault="00542A9A" w:rsidP="00542A9A">
      <w:pPr>
        <w:spacing w:after="120" w:line="240" w:lineRule="auto"/>
        <w:ind w:left="709" w:right="709"/>
        <w:jc w:val="both"/>
        <w:rPr>
          <w:rFonts w:ascii="Verdana" w:eastAsia="Century Gothic" w:hAnsi="Verdana" w:cs="Century Gothic"/>
          <w:sz w:val="20"/>
          <w:szCs w:val="20"/>
        </w:rPr>
      </w:pPr>
      <w:r w:rsidRPr="007B049B">
        <w:rPr>
          <w:rFonts w:ascii="Verdana" w:eastAsia="Century Gothic" w:hAnsi="Verdana" w:cs="Century Gothic"/>
          <w:b/>
          <w:bCs/>
          <w:sz w:val="20"/>
          <w:szCs w:val="20"/>
        </w:rPr>
        <w:t>1. Procedimiento para Apoyo a la Supervisión:</w:t>
      </w:r>
      <w:r w:rsidRPr="005435CD">
        <w:rPr>
          <w:rFonts w:ascii="Verdana" w:eastAsia="Century Gothic" w:hAnsi="Verdana" w:cs="Century Gothic"/>
          <w:sz w:val="20"/>
          <w:szCs w:val="20"/>
        </w:rPr>
        <w:t xml:space="preserve"> En virtud del artículo 83 de la Ley 1174 de 2011, ¿cuál es el procedimiento formal que debe seguir el directivo supervisor para requerir y formalizar el uso de la figura de "apoyo a la supervisión" técnica, administrativa o jurídica del convenio? </w:t>
      </w:r>
    </w:p>
    <w:p w14:paraId="0BAD8FBB" w14:textId="77777777" w:rsidR="00542A9A" w:rsidRDefault="00542A9A" w:rsidP="00542A9A">
      <w:pPr>
        <w:spacing w:after="120" w:line="240" w:lineRule="auto"/>
        <w:ind w:left="709" w:right="709"/>
        <w:jc w:val="both"/>
        <w:rPr>
          <w:rFonts w:ascii="Verdana" w:eastAsia="Century Gothic" w:hAnsi="Verdana" w:cs="Century Gothic"/>
          <w:sz w:val="20"/>
          <w:szCs w:val="20"/>
        </w:rPr>
      </w:pPr>
      <w:r w:rsidRPr="007B049B">
        <w:rPr>
          <w:rFonts w:ascii="Verdana" w:eastAsia="Century Gothic" w:hAnsi="Verdana" w:cs="Century Gothic"/>
          <w:b/>
          <w:bCs/>
          <w:sz w:val="20"/>
          <w:szCs w:val="20"/>
        </w:rPr>
        <w:t>2. Designación Verbal de Personal de Planta:</w:t>
      </w:r>
      <w:r w:rsidRPr="005435CD">
        <w:rPr>
          <w:rFonts w:ascii="Verdana" w:eastAsia="Century Gothic" w:hAnsi="Verdana" w:cs="Century Gothic"/>
          <w:sz w:val="20"/>
          <w:szCs w:val="20"/>
        </w:rPr>
        <w:t xml:space="preserve"> ¿Se ajusta a los principios de legalidad, transparencia y debida formalización consagrados en la Ley 80 de 1993 y la Ley 1174 de 2011, que el directivo supervisor, dentro de su ámbito de competencia, asigne de manera verbal a un servidor público de planta para que funja como apoyo a la supervisión del convenio interadministrativo? </w:t>
      </w:r>
    </w:p>
    <w:p w14:paraId="1C6FB5DA" w14:textId="77777777" w:rsidR="00542A9A" w:rsidRDefault="00542A9A" w:rsidP="00542A9A">
      <w:pPr>
        <w:spacing w:after="120" w:line="240" w:lineRule="auto"/>
        <w:ind w:left="709" w:right="709"/>
        <w:jc w:val="both"/>
        <w:rPr>
          <w:rFonts w:ascii="Verdana" w:eastAsia="Century Gothic" w:hAnsi="Verdana" w:cs="Century Gothic"/>
          <w:sz w:val="20"/>
          <w:szCs w:val="20"/>
        </w:rPr>
      </w:pPr>
      <w:r w:rsidRPr="007B049B">
        <w:rPr>
          <w:rFonts w:ascii="Verdana" w:eastAsia="Century Gothic" w:hAnsi="Verdana" w:cs="Century Gothic"/>
          <w:b/>
          <w:bCs/>
          <w:sz w:val="20"/>
          <w:szCs w:val="20"/>
        </w:rPr>
        <w:t>3. Desviación de Lineamientos en Contratos Derivados:</w:t>
      </w:r>
      <w:r w:rsidRPr="005435CD">
        <w:rPr>
          <w:rFonts w:ascii="Verdana" w:eastAsia="Century Gothic" w:hAnsi="Verdana" w:cs="Century Gothic"/>
          <w:sz w:val="20"/>
          <w:szCs w:val="20"/>
        </w:rPr>
        <w:t xml:space="preserve"> ¿Cuáles son los riesgos jurídicos (v.g., nulidad absoluta o relativa del contrato), las implicaciones técnicas (afectación a la interventoría, programación de obra), operativas (ejecución presupuestal) y las consecuencias para la gestión contractual (v.g., incumplimiento del objeto del convenio), cuando los contratos derivados de un convenio interadministrativo se celebran y suscriben apartándose de los lineamientos técnicos, jurídicos y financieros establecidos en el convenio marco?. </w:t>
      </w:r>
    </w:p>
    <w:p w14:paraId="04A03986" w14:textId="77777777" w:rsidR="00542A9A" w:rsidRDefault="00542A9A" w:rsidP="00542A9A">
      <w:pPr>
        <w:spacing w:after="120" w:line="240" w:lineRule="auto"/>
        <w:ind w:left="709" w:right="709"/>
        <w:jc w:val="both"/>
        <w:rPr>
          <w:rFonts w:ascii="Verdana" w:eastAsia="Century Gothic" w:hAnsi="Verdana" w:cs="Century Gothic"/>
          <w:sz w:val="20"/>
          <w:szCs w:val="20"/>
        </w:rPr>
      </w:pPr>
      <w:r w:rsidRPr="007B049B">
        <w:rPr>
          <w:rFonts w:ascii="Verdana" w:eastAsia="Century Gothic" w:hAnsi="Verdana" w:cs="Century Gothic"/>
          <w:b/>
          <w:bCs/>
          <w:sz w:val="20"/>
          <w:szCs w:val="20"/>
        </w:rPr>
        <w:t>4. Obligaciones de Medio vs. Resultado y su Alcance:</w:t>
      </w:r>
      <w:r w:rsidRPr="005435CD">
        <w:rPr>
          <w:rFonts w:ascii="Verdana" w:eastAsia="Century Gothic" w:hAnsi="Verdana" w:cs="Century Gothic"/>
          <w:sz w:val="20"/>
          <w:szCs w:val="20"/>
        </w:rPr>
        <w:t xml:space="preserve"> ¿Es jurídicamente sostenible afirmar que no existen riesgos ni implicaciones si los contratos derivados se apartan de los lineamientos del convenio, amparándose en la figura de que las obligaciones del convenio interadministrativo son de medio y no de resultado? (Se solicita precisar el alcance de esta distinción en este contexto específico). </w:t>
      </w:r>
    </w:p>
    <w:p w14:paraId="11CB8E8B" w14:textId="77777777" w:rsidR="00542A9A" w:rsidRDefault="00542A9A" w:rsidP="00542A9A">
      <w:pPr>
        <w:spacing w:after="120" w:line="240" w:lineRule="auto"/>
        <w:ind w:left="709" w:right="709"/>
        <w:jc w:val="both"/>
        <w:rPr>
          <w:rFonts w:ascii="Verdana" w:eastAsia="Century Gothic" w:hAnsi="Verdana" w:cs="Century Gothic"/>
          <w:sz w:val="20"/>
          <w:szCs w:val="20"/>
          <w:lang w:val="es-ES"/>
        </w:rPr>
      </w:pPr>
      <w:r w:rsidRPr="007B049B">
        <w:rPr>
          <w:rFonts w:ascii="Verdana" w:eastAsia="Century Gothic" w:hAnsi="Verdana" w:cs="Century Gothic"/>
          <w:b/>
          <w:bCs/>
          <w:sz w:val="20"/>
          <w:szCs w:val="20"/>
        </w:rPr>
        <w:t>5. Plazos de Ejecución en Contratos Derivados</w:t>
      </w:r>
      <w:r w:rsidRPr="005435CD">
        <w:rPr>
          <w:rFonts w:ascii="Verdana" w:eastAsia="Century Gothic" w:hAnsi="Verdana" w:cs="Century Gothic"/>
          <w:sz w:val="20"/>
          <w:szCs w:val="20"/>
        </w:rPr>
        <w:t>: ¿Cuáles son las implicaciones jurídicas y contractuales, particularmente en lo concerniente al principio de congruencia contractual (Ley 80 de 1993, Art. 6º), si los contratos derivados establecen un plazo de ejecución superior al plazo estipulado en el convenio interadministrativo del cual emanan?</w:t>
      </w:r>
      <w:r w:rsidRPr="005435CD">
        <w:rPr>
          <w:rFonts w:ascii="Verdana" w:eastAsia="Century Gothic" w:hAnsi="Verdana" w:cs="Century Gothic"/>
          <w:sz w:val="20"/>
          <w:szCs w:val="20"/>
          <w:lang w:val="es-ES"/>
        </w:rPr>
        <w:t xml:space="preserve"> </w:t>
      </w:r>
    </w:p>
    <w:p w14:paraId="49281B33" w14:textId="77777777" w:rsidR="00542A9A" w:rsidRDefault="00542A9A" w:rsidP="00542A9A">
      <w:pPr>
        <w:spacing w:after="120" w:line="240" w:lineRule="auto"/>
        <w:ind w:left="709" w:right="709"/>
        <w:jc w:val="both"/>
        <w:rPr>
          <w:rFonts w:ascii="Verdana" w:eastAsia="Century Gothic" w:hAnsi="Verdana" w:cs="Century Gothic"/>
          <w:sz w:val="20"/>
          <w:szCs w:val="20"/>
        </w:rPr>
      </w:pPr>
      <w:r w:rsidRPr="007B049B">
        <w:rPr>
          <w:rFonts w:ascii="Verdana" w:eastAsia="Century Gothic" w:hAnsi="Verdana" w:cs="Century Gothic"/>
          <w:b/>
          <w:bCs/>
          <w:sz w:val="20"/>
          <w:szCs w:val="20"/>
        </w:rPr>
        <w:t>6. Responsabilidad del Supervisor por Omisión en la Información</w:t>
      </w:r>
      <w:r w:rsidRPr="007B049B">
        <w:rPr>
          <w:rFonts w:ascii="Verdana" w:eastAsia="Century Gothic" w:hAnsi="Verdana" w:cs="Century Gothic"/>
          <w:sz w:val="20"/>
          <w:szCs w:val="20"/>
        </w:rPr>
        <w:t xml:space="preserve">: Con fundamento en lo dispuesto en el Código Disciplinario Único (Ley 1952 de 2019), el Código Penal y la Ley 610 de 2000, ¿cuáles serían las implicaciones en materia de responsabilidad fiscal, penal, disciplinaria y/o civil en que podría incurrir el directivo supervisor por omitir informar de manera oportuna a la entidad contratante sobre hechos, omisiones o circunstancias que puedan configurar actos de corrupción, poner en riesgo el cumplimiento del objeto del convenio o constituir un incumplimiento del mismo? </w:t>
      </w:r>
    </w:p>
    <w:p w14:paraId="22A84FEB" w14:textId="77777777" w:rsidR="00542A9A" w:rsidRDefault="00542A9A" w:rsidP="00542A9A">
      <w:pPr>
        <w:spacing w:after="120" w:line="240" w:lineRule="auto"/>
        <w:ind w:left="709" w:right="709"/>
        <w:jc w:val="both"/>
        <w:rPr>
          <w:rFonts w:ascii="Verdana" w:eastAsia="Century Gothic" w:hAnsi="Verdana" w:cs="Century Gothic"/>
          <w:sz w:val="20"/>
          <w:szCs w:val="20"/>
        </w:rPr>
      </w:pPr>
      <w:r w:rsidRPr="007B049B">
        <w:rPr>
          <w:rFonts w:ascii="Verdana" w:eastAsia="Century Gothic" w:hAnsi="Verdana" w:cs="Century Gothic"/>
          <w:b/>
          <w:bCs/>
          <w:sz w:val="20"/>
          <w:szCs w:val="20"/>
        </w:rPr>
        <w:t>7. Incumplimiento de Programación y Plan Financiero:</w:t>
      </w:r>
      <w:r w:rsidRPr="007B049B">
        <w:rPr>
          <w:rFonts w:ascii="Verdana" w:eastAsia="Century Gothic" w:hAnsi="Verdana" w:cs="Century Gothic"/>
          <w:sz w:val="20"/>
          <w:szCs w:val="20"/>
        </w:rPr>
        <w:t xml:space="preserve"> ¿Cuáles son las implicaciones jurídicas (v.g., incumplimiento contractual), técnicas (v.g., afectación de la ruta crítica) y operativas (v.g., desfase </w:t>
      </w:r>
      <w:r w:rsidRPr="007B049B">
        <w:rPr>
          <w:rFonts w:ascii="Verdana" w:eastAsia="Century Gothic" w:hAnsi="Verdana" w:cs="Century Gothic"/>
          <w:sz w:val="20"/>
          <w:szCs w:val="20"/>
        </w:rPr>
        <w:lastRenderedPageBreak/>
        <w:t xml:space="preserve">presupuestal) que se generan si, durante la ejecución de los contratos derivados, no se da cumplimiento a la programación de obra y al plan financiero previamente establecidos y aprobados en el convenio interadministrativo? </w:t>
      </w:r>
    </w:p>
    <w:p w14:paraId="2E0E9C6D" w14:textId="77777777" w:rsidR="00542A9A" w:rsidRDefault="00542A9A" w:rsidP="00542A9A">
      <w:pPr>
        <w:spacing w:after="120" w:line="240" w:lineRule="auto"/>
        <w:ind w:left="709" w:right="709"/>
        <w:jc w:val="both"/>
        <w:rPr>
          <w:rFonts w:ascii="Verdana" w:eastAsia="Century Gothic" w:hAnsi="Verdana" w:cs="Century Gothic"/>
          <w:sz w:val="20"/>
          <w:szCs w:val="20"/>
        </w:rPr>
      </w:pPr>
      <w:r w:rsidRPr="007B049B">
        <w:rPr>
          <w:rFonts w:ascii="Verdana" w:eastAsia="Century Gothic" w:hAnsi="Verdana" w:cs="Century Gothic"/>
          <w:b/>
          <w:bCs/>
          <w:sz w:val="20"/>
          <w:szCs w:val="20"/>
        </w:rPr>
        <w:t>8. Alcance de la Responsabilidad del Supervisor del Convenio:</w:t>
      </w:r>
      <w:r w:rsidRPr="007B049B">
        <w:rPr>
          <w:rFonts w:ascii="Verdana" w:eastAsia="Century Gothic" w:hAnsi="Verdana" w:cs="Century Gothic"/>
          <w:sz w:val="20"/>
          <w:szCs w:val="20"/>
        </w:rPr>
        <w:t xml:space="preserve"> ¿Es correcto delimitar la responsabilidad del directivo supervisor únicamente al seguimiento macro del cumplimiento del convenio, eximiéndolo de toda responsabilidad sobre la supervisión y ejecución individual de cada uno de los contratos derivados que materializan el objeto de dicho convenio?</w:t>
      </w:r>
      <w:r>
        <w:rPr>
          <w:rFonts w:ascii="Verdana" w:eastAsia="Century Gothic" w:hAnsi="Verdana" w:cs="Century Gothic"/>
          <w:sz w:val="20"/>
          <w:szCs w:val="20"/>
        </w:rPr>
        <w:t>”.</w:t>
      </w:r>
    </w:p>
    <w:p w14:paraId="0193C1F7" w14:textId="77777777" w:rsidR="00542A9A" w:rsidRPr="007B049B" w:rsidRDefault="00542A9A" w:rsidP="00542A9A">
      <w:pPr>
        <w:spacing w:after="0" w:line="240" w:lineRule="auto"/>
        <w:ind w:left="709" w:right="709"/>
        <w:jc w:val="both"/>
        <w:rPr>
          <w:rFonts w:ascii="Verdana" w:eastAsia="Century Gothic" w:hAnsi="Verdana" w:cs="Century Gothic"/>
          <w:sz w:val="20"/>
          <w:szCs w:val="20"/>
          <w:lang w:val="es-ES"/>
        </w:rPr>
      </w:pPr>
    </w:p>
    <w:p w14:paraId="1C84D555" w14:textId="77777777" w:rsidR="00542A9A" w:rsidRPr="00A652FF" w:rsidRDefault="00542A9A" w:rsidP="00542A9A">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EF8E4FD" w14:textId="77777777" w:rsidR="00542A9A" w:rsidRDefault="00542A9A" w:rsidP="00542A9A">
      <w:pPr>
        <w:spacing w:after="0" w:line="276" w:lineRule="auto"/>
        <w:ind w:firstLine="709"/>
        <w:jc w:val="both"/>
        <w:rPr>
          <w:rFonts w:ascii="Verdana" w:eastAsia="Calibri" w:hAnsi="Verdana" w:cs="Arial"/>
          <w:color w:val="000000"/>
          <w:lang w:val="es-ES" w:eastAsia="es-ES"/>
        </w:rPr>
      </w:pPr>
      <w:r w:rsidRPr="01A889F5">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 problema jurídico de su consulta. </w:t>
      </w:r>
    </w:p>
    <w:p w14:paraId="1D758B5A" w14:textId="77777777" w:rsidR="00542A9A" w:rsidRPr="00593A5F" w:rsidRDefault="00542A9A" w:rsidP="00542A9A">
      <w:pPr>
        <w:spacing w:after="0" w:line="276" w:lineRule="auto"/>
        <w:ind w:firstLine="709"/>
        <w:jc w:val="both"/>
        <w:rPr>
          <w:rFonts w:ascii="Verdana" w:eastAsia="Calibri" w:hAnsi="Verdana" w:cs="Arial"/>
          <w:color w:val="000000"/>
          <w:lang w:val="es-ES" w:eastAsia="es-ES"/>
        </w:rPr>
      </w:pPr>
    </w:p>
    <w:p w14:paraId="416FB7D3" w14:textId="77777777" w:rsidR="00542A9A" w:rsidRPr="00593A5F" w:rsidRDefault="00542A9A" w:rsidP="00542A9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5EBFDB7" w14:textId="77777777" w:rsidR="00542A9A" w:rsidRPr="00593A5F" w:rsidRDefault="00542A9A" w:rsidP="00542A9A">
      <w:pPr>
        <w:tabs>
          <w:tab w:val="left" w:pos="426"/>
        </w:tabs>
        <w:spacing w:after="0" w:line="276" w:lineRule="auto"/>
        <w:jc w:val="both"/>
        <w:rPr>
          <w:rFonts w:ascii="Verdana" w:eastAsia="Century Gothic" w:hAnsi="Verdana" w:cs="Century Gothic"/>
          <w:lang w:val="es-ES"/>
        </w:rPr>
      </w:pPr>
    </w:p>
    <w:p w14:paraId="797158C0" w14:textId="77777777" w:rsidR="00542A9A" w:rsidRDefault="00542A9A" w:rsidP="00542A9A">
      <w:pPr>
        <w:spacing w:after="0" w:line="276" w:lineRule="auto"/>
        <w:jc w:val="both"/>
        <w:rPr>
          <w:rFonts w:ascii="Verdana" w:hAnsi="Verdana"/>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906BE9">
        <w:rPr>
          <w:rFonts w:ascii="Verdana" w:eastAsia="Century Gothic" w:hAnsi="Verdana" w:cs="Century Gothic"/>
        </w:rPr>
        <w:t xml:space="preserve"> siguiente</w:t>
      </w:r>
      <w:r>
        <w:rPr>
          <w:rFonts w:ascii="Verdana" w:eastAsia="Century Gothic" w:hAnsi="Verdana" w:cs="Century Gothic"/>
        </w:rPr>
        <w:t xml:space="preserve">s </w:t>
      </w:r>
      <w:r w:rsidRPr="00906BE9">
        <w:rPr>
          <w:rFonts w:ascii="Verdana" w:eastAsia="Century Gothic" w:hAnsi="Verdana" w:cs="Century Gothic"/>
        </w:rPr>
        <w:t>problema</w:t>
      </w:r>
      <w:r>
        <w:rPr>
          <w:rFonts w:ascii="Verdana" w:eastAsia="Century Gothic" w:hAnsi="Verdana" w:cs="Century Gothic"/>
        </w:rPr>
        <w:t>s</w:t>
      </w:r>
      <w:r w:rsidRPr="00906BE9">
        <w:rPr>
          <w:rFonts w:ascii="Verdana" w:eastAsia="Century Gothic" w:hAnsi="Verdana" w:cs="Century Gothic"/>
        </w:rPr>
        <w:t xml:space="preserve"> jurídico</w:t>
      </w:r>
      <w:r>
        <w:rPr>
          <w:rFonts w:ascii="Verdana" w:eastAsia="Century Gothic" w:hAnsi="Verdana" w:cs="Century Gothic"/>
        </w:rPr>
        <w:t>s</w:t>
      </w:r>
      <w:r w:rsidRPr="00906BE9">
        <w:rPr>
          <w:rFonts w:ascii="Verdana" w:eastAsia="Century Gothic" w:hAnsi="Verdana" w:cs="Century Gothic"/>
        </w:rPr>
        <w:t xml:space="preserve">: </w:t>
      </w:r>
      <w:r>
        <w:rPr>
          <w:rFonts w:ascii="Verdana" w:eastAsia="Century Gothic" w:hAnsi="Verdana" w:cs="Century Gothic"/>
          <w:color w:val="7030A0"/>
        </w:rPr>
        <w:t>¿</w:t>
      </w:r>
      <w:r w:rsidRPr="005F51EB">
        <w:rPr>
          <w:rFonts w:ascii="Verdana" w:hAnsi="Verdana"/>
        </w:rPr>
        <w:t>Cuál es</w:t>
      </w:r>
      <w:r>
        <w:rPr>
          <w:rFonts w:ascii="Verdana" w:hAnsi="Verdana"/>
        </w:rPr>
        <w:t xml:space="preserve"> el marco jurídico de los convenios interadministrativos marco y de los contratos específicos que se deriven de estos?, y </w:t>
      </w:r>
      <w:proofErr w:type="spellStart"/>
      <w:r>
        <w:rPr>
          <w:rFonts w:ascii="Verdana" w:hAnsi="Verdana"/>
        </w:rPr>
        <w:t>ii</w:t>
      </w:r>
      <w:proofErr w:type="spellEnd"/>
      <w:r>
        <w:rPr>
          <w:rFonts w:ascii="Verdana" w:hAnsi="Verdana"/>
        </w:rPr>
        <w:t>) ¿</w:t>
      </w:r>
      <w:r w:rsidRPr="00283CFD">
        <w:rPr>
          <w:rFonts w:ascii="Verdana" w:eastAsia="Century Gothic" w:hAnsi="Verdana" w:cs="Century Gothic"/>
        </w:rPr>
        <w:t>Cuál es el</w:t>
      </w:r>
      <w:r>
        <w:rPr>
          <w:rFonts w:ascii="Verdana" w:eastAsia="Century Gothic" w:hAnsi="Verdana" w:cs="Century Gothic"/>
        </w:rPr>
        <w:t xml:space="preserve"> procedimiento para designar supervisor y el apoyo a la supervisión y sus responsabilidades</w:t>
      </w:r>
      <w:r w:rsidRPr="00283CFD">
        <w:rPr>
          <w:rFonts w:ascii="Verdana" w:eastAsia="Century Gothic" w:hAnsi="Verdana" w:cs="Century Gothic"/>
        </w:rPr>
        <w:t>?</w:t>
      </w:r>
    </w:p>
    <w:p w14:paraId="0C66C6F2" w14:textId="77777777" w:rsidR="00542A9A" w:rsidRPr="008D7092" w:rsidRDefault="00542A9A" w:rsidP="00542A9A">
      <w:pPr>
        <w:spacing w:after="0" w:line="276" w:lineRule="auto"/>
        <w:jc w:val="both"/>
        <w:rPr>
          <w:rFonts w:ascii="Verdana" w:hAnsi="Verdana"/>
        </w:rPr>
      </w:pPr>
    </w:p>
    <w:p w14:paraId="5DEAFBDE" w14:textId="77777777" w:rsidR="00542A9A" w:rsidRPr="00593A5F" w:rsidRDefault="00542A9A" w:rsidP="00542A9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ACD5834" w14:textId="77777777" w:rsidR="00542A9A" w:rsidRPr="00593A5F" w:rsidRDefault="00542A9A" w:rsidP="00542A9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42A9A" w:rsidRPr="00593A5F" w14:paraId="1E23ECC5" w14:textId="77777777" w:rsidTr="00BE3615">
        <w:trPr>
          <w:jc w:val="center"/>
        </w:trPr>
        <w:tc>
          <w:tcPr>
            <w:tcW w:w="8828" w:type="dxa"/>
          </w:tcPr>
          <w:p w14:paraId="52BD9396" w14:textId="77777777" w:rsidR="00542A9A" w:rsidRDefault="00542A9A" w:rsidP="00BE3615">
            <w:pPr>
              <w:snapToGrid w:val="0"/>
              <w:spacing w:after="120" w:line="276" w:lineRule="auto"/>
              <w:jc w:val="both"/>
              <w:rPr>
                <w:rFonts w:ascii="Verdana" w:eastAsia="Arial" w:hAnsi="Verdana" w:cs="Arial"/>
                <w:bCs/>
                <w:lang w:eastAsia="es-ES" w:bidi="es-ES"/>
              </w:rPr>
            </w:pPr>
            <w:bookmarkStart w:id="1" w:name="_Hlk171694685"/>
            <w:r>
              <w:rPr>
                <w:rFonts w:ascii="Verdana" w:eastAsia="Calibri" w:hAnsi="Verdana" w:cs="Arial"/>
                <w:bCs/>
                <w:color w:val="000000" w:themeColor="text1"/>
                <w:lang w:eastAsia="es-ES_tradnl" w:bidi="es-ES"/>
              </w:rPr>
              <w:lastRenderedPageBreak/>
              <w:t xml:space="preserve">i. En el marco de la celebración de un convenio interadministrativo puede suceder que en estos </w:t>
            </w:r>
            <w:r w:rsidRPr="00825B70">
              <w:rPr>
                <w:rFonts w:ascii="Verdana" w:eastAsia="Arial" w:hAnsi="Verdana" w:cs="Arial"/>
                <w:bCs/>
                <w:lang w:eastAsia="es-ES" w:bidi="es-ES"/>
              </w:rPr>
              <w:t>se pact</w:t>
            </w:r>
            <w:r>
              <w:rPr>
                <w:rFonts w:ascii="Verdana" w:eastAsia="Arial" w:hAnsi="Verdana" w:cs="Arial"/>
                <w:bCs/>
                <w:lang w:eastAsia="es-ES" w:bidi="es-ES"/>
              </w:rPr>
              <w:t>e</w:t>
            </w:r>
            <w:r w:rsidRPr="00825B70">
              <w:rPr>
                <w:rFonts w:ascii="Verdana" w:eastAsia="Arial" w:hAnsi="Verdana" w:cs="Arial"/>
                <w:bCs/>
                <w:lang w:eastAsia="es-ES" w:bidi="es-ES"/>
              </w:rPr>
              <w:t>n compromisos generales entre las partes para el cumplimiento de un fin común, que serán concretados en uno o más convenios</w:t>
            </w:r>
            <w:r>
              <w:rPr>
                <w:rFonts w:ascii="Verdana" w:eastAsia="Arial" w:hAnsi="Verdana" w:cs="Arial"/>
                <w:bCs/>
                <w:lang w:eastAsia="es-ES" w:bidi="es-ES"/>
              </w:rPr>
              <w:t xml:space="preserve"> o contratos</w:t>
            </w:r>
            <w:r w:rsidRPr="00825B70">
              <w:rPr>
                <w:rFonts w:ascii="Verdana" w:eastAsia="Arial" w:hAnsi="Verdana" w:cs="Arial"/>
                <w:bCs/>
                <w:lang w:eastAsia="es-ES" w:bidi="es-ES"/>
              </w:rPr>
              <w:t xml:space="preserve"> derivados que se suscribirán a futuro</w:t>
            </w:r>
            <w:r>
              <w:rPr>
                <w:rFonts w:ascii="Verdana" w:eastAsia="Arial" w:hAnsi="Verdana" w:cs="Arial"/>
                <w:bCs/>
                <w:lang w:eastAsia="es-ES" w:bidi="es-ES"/>
              </w:rPr>
              <w:t>. En estos casos los convenios interadministrativos son también denominados “convenios marcos”. Estos convenios s</w:t>
            </w:r>
            <w:r w:rsidRPr="00825B70">
              <w:rPr>
                <w:rFonts w:ascii="Verdana" w:eastAsia="Arial" w:hAnsi="Verdana" w:cs="Arial"/>
                <w:bCs/>
                <w:lang w:eastAsia="es-ES" w:bidi="es-ES"/>
              </w:rPr>
              <w:t>on comunes en la práctica administrativa de las entidades públicas cuando estas requieren celebrar acuerdos entre sí, con compromisos recíprocos e intenciones generales, con la finalidad de cumplir los fines estatales, que posteriormente podrán concretarse en convenios o acuerdos específicos y, tienen como característica principal que no generan erogación presupuestal por sí mismos.</w:t>
            </w:r>
          </w:p>
          <w:p w14:paraId="4DD3D362" w14:textId="77777777" w:rsidR="00542A9A" w:rsidRDefault="00542A9A" w:rsidP="00BE3615">
            <w:pPr>
              <w:widowControl w:val="0"/>
              <w:autoSpaceDE w:val="0"/>
              <w:autoSpaceDN w:val="0"/>
              <w:spacing w:after="120" w:line="276" w:lineRule="auto"/>
              <w:ind w:firstLine="709"/>
              <w:jc w:val="both"/>
              <w:rPr>
                <w:rFonts w:ascii="Verdana" w:eastAsia="Arial" w:hAnsi="Verdana" w:cs="Arial"/>
                <w:bCs/>
                <w:lang w:eastAsia="es-ES" w:bidi="es-ES"/>
              </w:rPr>
            </w:pPr>
            <w:r>
              <w:rPr>
                <w:rFonts w:ascii="Verdana" w:eastAsia="Arial" w:hAnsi="Verdana" w:cs="Arial"/>
                <w:bCs/>
                <w:lang w:eastAsia="es-ES" w:bidi="es-ES"/>
              </w:rPr>
              <w:t xml:space="preserve">En este sentido, </w:t>
            </w:r>
            <w:r>
              <w:rPr>
                <w:rFonts w:ascii="Verdana" w:hAnsi="Verdana"/>
              </w:rPr>
              <w:t>la finalidad de estos convenios es</w:t>
            </w:r>
            <w:r w:rsidRPr="00B8733A">
              <w:rPr>
                <w:rFonts w:ascii="Verdana" w:eastAsia="Arial" w:hAnsi="Verdana" w:cs="Arial"/>
                <w:bCs/>
                <w:lang w:eastAsia="es-ES" w:bidi="es-ES"/>
              </w:rPr>
              <w:t xml:space="preserve"> </w:t>
            </w:r>
            <w:r w:rsidRPr="00825B70">
              <w:rPr>
                <w:rFonts w:ascii="Verdana" w:eastAsia="Arial" w:hAnsi="Verdana" w:cs="Arial"/>
                <w:bCs/>
                <w:lang w:eastAsia="es-ES" w:bidi="es-ES"/>
              </w:rPr>
              <w:t>regular el contenido mínimo de las relaciones contractuales de las partes bajo un esquema general, que luego se concretarán en futuros acuerdo o contratos en los cuales es obligatorio el contenido preestablecido.</w:t>
            </w:r>
            <w:r>
              <w:rPr>
                <w:rFonts w:ascii="Verdana" w:eastAsia="Arial" w:hAnsi="Verdana" w:cs="Arial"/>
                <w:bCs/>
                <w:lang w:eastAsia="es-ES" w:bidi="es-ES"/>
              </w:rPr>
              <w:t xml:space="preserve"> Por tanto, en el convenio marco se acuerda de manera general y preliminar algunos aspectos de los futuros contratos</w:t>
            </w:r>
            <w:r w:rsidRPr="00825B70">
              <w:rPr>
                <w:rFonts w:ascii="Verdana" w:eastAsia="Arial" w:hAnsi="Verdana" w:cs="Arial"/>
                <w:bCs/>
                <w:sz w:val="20"/>
                <w:szCs w:val="20"/>
                <w:lang w:eastAsia="es-ES" w:bidi="es-ES"/>
              </w:rPr>
              <w:t>,</w:t>
            </w:r>
            <w:r w:rsidRPr="00DE1268">
              <w:rPr>
                <w:rFonts w:ascii="Verdana" w:eastAsia="Arial" w:hAnsi="Verdana" w:cs="Arial"/>
                <w:bCs/>
                <w:lang w:eastAsia="es-ES" w:bidi="es-ES"/>
              </w:rPr>
              <w:t xml:space="preserve"> los cuales quedan subordinados a su específica determinación una vez se precise el alcance y valoración de las actividades, bienes o servicios que se requieran en el curso de su vigencia.</w:t>
            </w:r>
          </w:p>
          <w:p w14:paraId="52613409" w14:textId="77777777" w:rsidR="00542A9A" w:rsidRDefault="00542A9A" w:rsidP="00BE3615">
            <w:pPr>
              <w:widowControl w:val="0"/>
              <w:autoSpaceDE w:val="0"/>
              <w:autoSpaceDN w:val="0"/>
              <w:spacing w:after="120" w:line="276" w:lineRule="auto"/>
              <w:ind w:firstLine="709"/>
              <w:jc w:val="both"/>
              <w:rPr>
                <w:rFonts w:ascii="Verdana" w:hAnsi="Verdana"/>
              </w:rPr>
            </w:pPr>
            <w:r w:rsidRPr="00BD6CEC">
              <w:rPr>
                <w:rFonts w:ascii="Verdana" w:hAnsi="Verdana"/>
              </w:rPr>
              <w:t xml:space="preserve">Bajo esta perspectiva, los contratos que se deriven del convenio marco mantienen una relación de subordinación respecto del instrumento principal. No obstante, dado que el contenido y alcance del convenio marco suelen tener un carácter general, abstracto </w:t>
            </w:r>
            <w:r>
              <w:rPr>
                <w:rFonts w:ascii="Verdana" w:hAnsi="Verdana"/>
              </w:rPr>
              <w:t xml:space="preserve">e </w:t>
            </w:r>
            <w:r w:rsidRPr="00BD6CEC">
              <w:rPr>
                <w:rFonts w:ascii="Verdana" w:hAnsi="Verdana"/>
              </w:rPr>
              <w:t xml:space="preserve">indeterminado, su </w:t>
            </w:r>
            <w:r>
              <w:rPr>
                <w:rFonts w:ascii="Verdana" w:hAnsi="Verdana"/>
              </w:rPr>
              <w:t>concreción</w:t>
            </w:r>
            <w:r w:rsidRPr="00BD6CEC">
              <w:rPr>
                <w:rFonts w:ascii="Verdana" w:hAnsi="Verdana"/>
              </w:rPr>
              <w:t xml:space="preserve"> se produce con la suscripción de los acuerdos o contratos específicos que lo desarrollan.</w:t>
            </w:r>
          </w:p>
          <w:p w14:paraId="76162A83" w14:textId="77777777" w:rsidR="00542A9A" w:rsidRPr="00BD6CEC" w:rsidRDefault="00542A9A" w:rsidP="00BE3615">
            <w:pPr>
              <w:widowControl w:val="0"/>
              <w:autoSpaceDE w:val="0"/>
              <w:autoSpaceDN w:val="0"/>
              <w:spacing w:after="120" w:line="276" w:lineRule="auto"/>
              <w:ind w:firstLine="709"/>
              <w:jc w:val="both"/>
              <w:rPr>
                <w:rFonts w:ascii="Verdana" w:hAnsi="Verdana"/>
              </w:rPr>
            </w:pPr>
            <w:r>
              <w:rPr>
                <w:rFonts w:ascii="Verdana" w:hAnsi="Verdana"/>
              </w:rPr>
              <w:t xml:space="preserve"> Así las cosas</w:t>
            </w:r>
            <w:r w:rsidRPr="00BD6CEC">
              <w:rPr>
                <w:rFonts w:ascii="Verdana" w:hAnsi="Verdana"/>
              </w:rPr>
              <w:t>, aunque los contratos derivados deben ajustarse a los lineamientos técnicos, jurídicos, financieros y administrativos definidos en el convenio marco, es posible que, durante la definición concreta de las actividades en los acuerdos específicos, surja la necesidad de precisar o complementar aspectos que no fueron establecidos de manera detallada en el instrumento principal</w:t>
            </w:r>
            <w:r>
              <w:rPr>
                <w:rFonts w:ascii="Verdana" w:hAnsi="Verdana"/>
              </w:rPr>
              <w:t xml:space="preserve"> o inclusive a replantearlos con la justificación técnica debida</w:t>
            </w:r>
            <w:r w:rsidRPr="00BD6CEC">
              <w:rPr>
                <w:rFonts w:ascii="Verdana" w:hAnsi="Verdana"/>
              </w:rPr>
              <w:t xml:space="preserve">. Esta situación se </w:t>
            </w:r>
            <w:r>
              <w:rPr>
                <w:rFonts w:ascii="Verdana" w:hAnsi="Verdana"/>
              </w:rPr>
              <w:t>sustenta en que</w:t>
            </w:r>
            <w:r w:rsidRPr="00BD6CEC">
              <w:rPr>
                <w:rFonts w:ascii="Verdana" w:hAnsi="Verdana"/>
              </w:rPr>
              <w:t xml:space="preserve"> el convenio marco tiene una naturaleza preliminar y de orientación general, que se concreta progresivamente a través de los contratos específicos.</w:t>
            </w:r>
            <w:r>
              <w:rPr>
                <w:rFonts w:ascii="Verdana" w:hAnsi="Verdana"/>
              </w:rPr>
              <w:t xml:space="preserve"> De esta manera, </w:t>
            </w:r>
            <w:r w:rsidRPr="00577EF4">
              <w:rPr>
                <w:rFonts w:ascii="Verdana" w:hAnsi="Verdana"/>
              </w:rPr>
              <w:t xml:space="preserve">el convenio marco no implica necesariamente la entrega de productos determinados, ya que la definición concreta de estos puede </w:t>
            </w:r>
            <w:r>
              <w:rPr>
                <w:rFonts w:ascii="Verdana" w:hAnsi="Verdana"/>
              </w:rPr>
              <w:t>establecerse en</w:t>
            </w:r>
            <w:r w:rsidRPr="00577EF4">
              <w:rPr>
                <w:rFonts w:ascii="Verdana" w:hAnsi="Verdana"/>
              </w:rPr>
              <w:t xml:space="preserve"> los contratos o acuerdos específicos que se suscriban en su desarrollo, </w:t>
            </w:r>
            <w:r w:rsidRPr="00577EF4">
              <w:rPr>
                <w:rFonts w:ascii="Verdana" w:hAnsi="Verdana"/>
              </w:rPr>
              <w:lastRenderedPageBreak/>
              <w:t>instrumentos en los cuales se precisan las actividades y los resultados particulares</w:t>
            </w:r>
            <w:r w:rsidRPr="000F258F">
              <w:rPr>
                <w:rFonts w:ascii="Verdana" w:hAnsi="Verdana"/>
              </w:rPr>
              <w:t>.</w:t>
            </w:r>
            <w:r>
              <w:rPr>
                <w:rFonts w:ascii="Verdana" w:hAnsi="Verdana"/>
              </w:rPr>
              <w:t xml:space="preserve"> </w:t>
            </w:r>
          </w:p>
          <w:p w14:paraId="4B69DD59" w14:textId="77777777" w:rsidR="00542A9A" w:rsidRDefault="00542A9A" w:rsidP="00BE3615">
            <w:pPr>
              <w:snapToGrid w:val="0"/>
              <w:spacing w:after="120" w:line="276" w:lineRule="auto"/>
              <w:ind w:firstLine="709"/>
              <w:jc w:val="both"/>
              <w:rPr>
                <w:rFonts w:ascii="Verdana" w:hAnsi="Verdana"/>
              </w:rPr>
            </w:pPr>
            <w:r>
              <w:rPr>
                <w:rFonts w:ascii="Verdana" w:hAnsi="Verdana"/>
              </w:rPr>
              <w:t>En este contexto</w:t>
            </w:r>
            <w:r w:rsidRPr="00BD6CEC">
              <w:rPr>
                <w:rFonts w:ascii="Verdana" w:hAnsi="Verdana"/>
              </w:rPr>
              <w:t xml:space="preserve">, </w:t>
            </w:r>
            <w:r w:rsidRPr="00232901">
              <w:rPr>
                <w:rFonts w:ascii="Verdana" w:hAnsi="Verdana"/>
              </w:rPr>
              <w:t>la evaluación de los riesgos y de las consecuencias jurídicas derivadas de</w:t>
            </w:r>
            <w:r>
              <w:rPr>
                <w:rFonts w:ascii="Verdana" w:hAnsi="Verdana"/>
              </w:rPr>
              <w:t>l</w:t>
            </w:r>
            <w:r w:rsidRPr="00232901">
              <w:rPr>
                <w:rFonts w:ascii="Verdana" w:hAnsi="Verdana"/>
              </w:rPr>
              <w:t xml:space="preserve"> desconocimiento de los lineamientos del convenio marco debe </w:t>
            </w:r>
            <w:r>
              <w:rPr>
                <w:rFonts w:ascii="Verdana" w:hAnsi="Verdana"/>
              </w:rPr>
              <w:t>realizarse</w:t>
            </w:r>
            <w:r w:rsidRPr="00232901">
              <w:rPr>
                <w:rFonts w:ascii="Verdana" w:hAnsi="Verdana"/>
              </w:rPr>
              <w:t xml:space="preserve"> teniendo en cuenta tanto las disposiciones contenidas en dicho instrumento principal como las particularidades de cada contrato o acuerdo específico</w:t>
            </w:r>
            <w:r>
              <w:rPr>
                <w:rFonts w:ascii="Verdana" w:hAnsi="Verdana"/>
              </w:rPr>
              <w:t>.</w:t>
            </w:r>
            <w:r w:rsidRPr="00C70F89">
              <w:t xml:space="preserve"> </w:t>
            </w:r>
            <w:r w:rsidRPr="00C70F89">
              <w:rPr>
                <w:rFonts w:ascii="Verdana" w:hAnsi="Verdana"/>
              </w:rPr>
              <w:t>Asimismo, dicho análisis debe</w:t>
            </w:r>
            <w:r>
              <w:rPr>
                <w:rFonts w:ascii="Verdana" w:hAnsi="Verdana"/>
              </w:rPr>
              <w:t xml:space="preserve"> considerar</w:t>
            </w:r>
            <w:r w:rsidRPr="00C70F89">
              <w:rPr>
                <w:rFonts w:ascii="Verdana" w:hAnsi="Verdana"/>
              </w:rPr>
              <w:t xml:space="preserve"> la necesidad técnica, jurídica y administrativa de complementar o desarrollar aspectos que, por su naturaleza general o indeterminada, no fueron definidos en el convenio marco, pero resultan indispensables para la adecuada ejecución del objeto contractu</w:t>
            </w:r>
            <w:r>
              <w:rPr>
                <w:rFonts w:ascii="Verdana" w:hAnsi="Verdana"/>
              </w:rPr>
              <w:t xml:space="preserve">al. </w:t>
            </w:r>
          </w:p>
          <w:p w14:paraId="375D7F9E" w14:textId="77777777" w:rsidR="00542A9A" w:rsidRDefault="00542A9A" w:rsidP="00BE3615">
            <w:pPr>
              <w:snapToGrid w:val="0"/>
              <w:spacing w:after="120" w:line="276" w:lineRule="auto"/>
              <w:jc w:val="both"/>
              <w:rPr>
                <w:rFonts w:ascii="Verdana" w:hAnsi="Verdana" w:cs="Arial"/>
                <w:color w:val="000000"/>
              </w:rPr>
            </w:pPr>
            <w:proofErr w:type="spellStart"/>
            <w:r>
              <w:rPr>
                <w:rFonts w:ascii="Verdana" w:eastAsia="Arial" w:hAnsi="Verdana" w:cs="Arial"/>
                <w:bCs/>
                <w:lang w:eastAsia="es-ES" w:bidi="es-ES"/>
              </w:rPr>
              <w:t>ii</w:t>
            </w:r>
            <w:proofErr w:type="spellEnd"/>
            <w:r>
              <w:rPr>
                <w:rFonts w:ascii="Verdana" w:eastAsia="Arial" w:hAnsi="Verdana" w:cs="Arial"/>
                <w:bCs/>
                <w:lang w:eastAsia="es-ES" w:bidi="es-ES"/>
              </w:rPr>
              <w:t>.</w:t>
            </w:r>
            <w:r w:rsidRPr="6A6F9816">
              <w:rPr>
                <w:rFonts w:ascii="Verdana" w:eastAsia="Calibri" w:hAnsi="Verdana" w:cs="Arial"/>
                <w:lang w:val="es-ES"/>
              </w:rPr>
              <w:t xml:space="preserve"> La supervisión de los contratos estatales se encuentra regulada en la Ley 1474 de 2011, que </w:t>
            </w:r>
            <w:r w:rsidRPr="003A0096">
              <w:rPr>
                <w:rFonts w:ascii="Verdana" w:eastAsia="Times New Roman" w:hAnsi="Verdana" w:cs="Arial"/>
                <w:lang w:val="es-ES" w:eastAsia="es-MX"/>
              </w:rPr>
              <w:t>enmarcó el seguimiento, control y vigilancia de la ejecución del contrato estatal dentro del principio de moralidad administrativa.</w:t>
            </w:r>
            <w:r>
              <w:rPr>
                <w:rFonts w:ascii="Verdana" w:eastAsia="Times New Roman" w:hAnsi="Verdana" w:cs="Arial"/>
                <w:lang w:val="es-ES" w:eastAsia="es-MX"/>
              </w:rPr>
              <w:t xml:space="preserve"> En este marco, l</w:t>
            </w:r>
            <w:r>
              <w:rPr>
                <w:rFonts w:ascii="Verdana" w:hAnsi="Verdana" w:cs="Arial"/>
                <w:color w:val="000000"/>
              </w:rPr>
              <w:t xml:space="preserve">a supervisión debe ser realizada por funcionarios públicos de la entidad, quienes pueden recibir apoyo de contratistas o personal especializado para tareas técnicas, pero siempre bajo su dirección y control. </w:t>
            </w:r>
          </w:p>
          <w:p w14:paraId="18F59389" w14:textId="77777777" w:rsidR="00542A9A" w:rsidRDefault="00542A9A" w:rsidP="00BE3615">
            <w:pPr>
              <w:snapToGrid w:val="0"/>
              <w:spacing w:after="120" w:line="276" w:lineRule="auto"/>
              <w:ind w:firstLine="743"/>
              <w:jc w:val="both"/>
              <w:rPr>
                <w:rFonts w:ascii="Verdana" w:eastAsia="Times New Roman" w:hAnsi="Verdana" w:cs="Arial"/>
                <w:shd w:val="clear" w:color="auto" w:fill="FFFFFF"/>
                <w:lang w:val="es-ES"/>
              </w:rPr>
            </w:pPr>
            <w:r>
              <w:rPr>
                <w:rFonts w:ascii="Verdana" w:hAnsi="Verdana" w:cs="Arial"/>
                <w:color w:val="000000"/>
              </w:rPr>
              <w:t xml:space="preserve">Al respecto, </w:t>
            </w:r>
            <w:r>
              <w:rPr>
                <w:rFonts w:ascii="Verdana" w:eastAsia="Times New Roman" w:hAnsi="Verdana" w:cs="Arial"/>
                <w:shd w:val="clear" w:color="auto" w:fill="FFFFFF"/>
                <w:lang w:val="es-ES"/>
              </w:rPr>
              <w:t>la</w:t>
            </w:r>
            <w:r w:rsidRPr="003A0096">
              <w:rPr>
                <w:rFonts w:ascii="Verdana" w:eastAsia="Times New Roman" w:hAnsi="Verdana" w:cs="Arial"/>
                <w:shd w:val="clear" w:color="auto" w:fill="FFFFFF"/>
                <w:lang w:val="es-ES"/>
              </w:rPr>
              <w:t xml:space="preserve"> </w:t>
            </w:r>
            <w:r w:rsidRPr="00283CFD">
              <w:rPr>
                <w:rFonts w:ascii="Verdana" w:eastAsia="Calibri" w:hAnsi="Verdana" w:cs="Arial"/>
              </w:rPr>
              <w:t>“Guía para el ejercicio de las funciones de supervisión e interventoría de los contratos del Estado”</w:t>
            </w:r>
            <w:r w:rsidRPr="003A0096">
              <w:rPr>
                <w:rFonts w:ascii="Verdana" w:eastAsia="Times New Roman" w:hAnsi="Verdana" w:cs="Arial"/>
                <w:shd w:val="clear" w:color="auto" w:fill="FFFFFF"/>
                <w:lang w:val="es-ES"/>
              </w:rPr>
              <w:t xml:space="preserve"> </w:t>
            </w:r>
            <w:r>
              <w:rPr>
                <w:rFonts w:ascii="Verdana" w:eastAsia="Times New Roman" w:hAnsi="Verdana" w:cs="Arial"/>
                <w:shd w:val="clear" w:color="auto" w:fill="FFFFFF"/>
                <w:lang w:val="es-ES"/>
              </w:rPr>
              <w:t>señaló</w:t>
            </w:r>
            <w:r w:rsidRPr="003A0096">
              <w:rPr>
                <w:rFonts w:ascii="Verdana" w:eastAsia="Times New Roman" w:hAnsi="Verdana" w:cs="Arial"/>
                <w:shd w:val="clear" w:color="auto" w:fill="FFFFFF"/>
                <w:lang w:val="es-ES"/>
              </w:rPr>
              <w:t xml:space="preserve"> que las Entidades Estatales puedan celebrar contratos de prestación de servicios para apoyar las actividades de supervisión, consignando en ellos las actividades propias del apoyo a la supervisión. 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w:t>
            </w:r>
            <w:r>
              <w:rPr>
                <w:rFonts w:ascii="Verdana" w:eastAsia="Times New Roman" w:hAnsi="Verdana" w:cs="Arial"/>
                <w:shd w:val="clear" w:color="auto" w:fill="FFFFFF"/>
                <w:lang w:val="es-ES"/>
              </w:rPr>
              <w:t>. Asimismo, este apoyo a la supervisión puede ser realizado por funcionarios de planta cuya designación se encomendará acorde con los lineamientos internos de la entidad y teniendo en cuenta que las funciones asignadas a su cargo sean compatibles con el objeto contractual. En todo caso, es recomendable que el apoyo a la supervisión del funcionario se formalice por escrito, sin perjuicio de los lineamientos que determine la entidad sobre el particular.</w:t>
            </w:r>
          </w:p>
          <w:p w14:paraId="2029BF05" w14:textId="77777777" w:rsidR="00542A9A" w:rsidRDefault="00542A9A" w:rsidP="00BE3615">
            <w:pPr>
              <w:spacing w:after="120" w:line="276" w:lineRule="auto"/>
              <w:ind w:firstLine="709"/>
              <w:jc w:val="both"/>
              <w:rPr>
                <w:rFonts w:ascii="Verdana" w:eastAsia="Times New Roman" w:hAnsi="Verdana" w:cs="Arial"/>
                <w:bCs/>
                <w:shd w:val="clear" w:color="auto" w:fill="FFFFFF"/>
                <w:lang w:val="es-ES_tradnl"/>
              </w:rPr>
            </w:pPr>
            <w:r>
              <w:rPr>
                <w:rFonts w:ascii="Verdana" w:eastAsia="Times New Roman" w:hAnsi="Verdana" w:cs="Arial"/>
                <w:shd w:val="clear" w:color="auto" w:fill="FFFFFF"/>
                <w:lang w:val="es-MX"/>
              </w:rPr>
              <w:t xml:space="preserve">En este contexto, </w:t>
            </w:r>
            <w:r w:rsidRPr="00320658">
              <w:rPr>
                <w:rFonts w:ascii="Verdana" w:eastAsia="Times New Roman" w:hAnsi="Verdana" w:cs="Arial"/>
                <w:shd w:val="clear" w:color="auto" w:fill="FFFFFF"/>
                <w:lang w:val="es-MX"/>
              </w:rPr>
              <w:t xml:space="preserve">el ejercicio de la vigilancia de la ejecución del contrato estatal conlleva la tarea de velar por el cumplimiento de los plazos, calidades, </w:t>
            </w:r>
            <w:r w:rsidRPr="00320658">
              <w:rPr>
                <w:rFonts w:ascii="Verdana" w:eastAsia="Times New Roman" w:hAnsi="Verdana" w:cs="Arial"/>
                <w:shd w:val="clear" w:color="auto" w:fill="FFFFFF"/>
                <w:lang w:val="es-MX"/>
              </w:rPr>
              <w:lastRenderedPageBreak/>
              <w:t>cantidades y adecuada ejecución de los recursos del contrato.</w:t>
            </w:r>
            <w:r w:rsidRPr="00320658">
              <w:rPr>
                <w:rFonts w:ascii="Verdana" w:eastAsia="Times New Roman" w:hAnsi="Verdana" w:cs="Arial"/>
                <w:bCs/>
                <w:shd w:val="clear" w:color="auto" w:fill="FFFFFF"/>
                <w:lang w:val="es-ES_tradnl"/>
              </w:rPr>
              <w:t xml:space="preserve"> En ese sentido, </w:t>
            </w:r>
            <w:r>
              <w:rPr>
                <w:rFonts w:ascii="Verdana" w:eastAsia="Times New Roman" w:hAnsi="Verdana" w:cs="Arial"/>
                <w:bCs/>
                <w:shd w:val="clear" w:color="auto" w:fill="FFFFFF"/>
                <w:lang w:val="es-ES_tradnl"/>
              </w:rPr>
              <w:t>de acuerdo con lo expuesto en la guía, l</w:t>
            </w:r>
            <w:r w:rsidRPr="009A395C">
              <w:rPr>
                <w:rFonts w:ascii="Verdana" w:eastAsia="Times New Roman" w:hAnsi="Verdana" w:cs="Arial"/>
                <w:bCs/>
                <w:shd w:val="clear" w:color="auto" w:fill="FFFFFF"/>
              </w:rPr>
              <w:t>as Entidades Estatales, los servidores públicos, contratistas e interventores que intervienen en la celebración, ejecución y liquidación de los contratos son responsables por sus actuaciones y omisiones. En consecuencia, responden civil, fiscal, penal y disciplinariamente por las faltas que cometan en el ejercicio de sus funciones.</w:t>
            </w:r>
          </w:p>
          <w:p w14:paraId="7C91EAE5" w14:textId="77777777" w:rsidR="00542A9A" w:rsidRDefault="00542A9A" w:rsidP="00BE3615">
            <w:pPr>
              <w:snapToGrid w:val="0"/>
              <w:spacing w:after="120" w:line="276" w:lineRule="auto"/>
              <w:ind w:firstLine="743"/>
              <w:jc w:val="both"/>
              <w:rPr>
                <w:rFonts w:ascii="Verdana" w:eastAsia="Times New Roman" w:hAnsi="Verdana" w:cs="Arial"/>
                <w:bCs/>
                <w:shd w:val="clear" w:color="auto" w:fill="FFFFFF"/>
                <w:lang w:val="es-ES_tradnl"/>
              </w:rPr>
            </w:pPr>
            <w:r>
              <w:rPr>
                <w:rFonts w:ascii="Verdana" w:eastAsia="Times New Roman" w:hAnsi="Verdana" w:cs="Arial"/>
                <w:bCs/>
                <w:shd w:val="clear" w:color="auto" w:fill="FFFFFF"/>
                <w:lang w:val="es-ES_tradnl"/>
              </w:rPr>
              <w:t xml:space="preserve">Particularmente, </w:t>
            </w:r>
            <w:r w:rsidRPr="00320658">
              <w:rPr>
                <w:rFonts w:ascii="Verdana" w:eastAsia="Times New Roman" w:hAnsi="Verdana" w:cs="Arial"/>
                <w:bCs/>
                <w:shd w:val="clear" w:color="auto" w:fill="FFFFFF"/>
                <w:lang w:val="es-ES_tradnl"/>
              </w:rPr>
              <w:t xml:space="preserve">conforme </w:t>
            </w:r>
            <w:r>
              <w:rPr>
                <w:rFonts w:ascii="Verdana" w:eastAsia="Times New Roman" w:hAnsi="Verdana" w:cs="Arial"/>
                <w:bCs/>
                <w:shd w:val="clear" w:color="auto" w:fill="FFFFFF"/>
                <w:lang w:val="es-ES_tradnl"/>
              </w:rPr>
              <w:t>los</w:t>
            </w:r>
            <w:r w:rsidRPr="00320658">
              <w:rPr>
                <w:rFonts w:ascii="Verdana" w:eastAsia="Times New Roman" w:hAnsi="Verdana" w:cs="Arial"/>
                <w:bCs/>
                <w:shd w:val="clear" w:color="auto" w:fill="FFFFFF"/>
                <w:lang w:val="es-ES_tradnl"/>
              </w:rPr>
              <w:t xml:space="preserve"> numeral</w:t>
            </w:r>
            <w:r>
              <w:rPr>
                <w:rFonts w:ascii="Verdana" w:eastAsia="Times New Roman" w:hAnsi="Verdana" w:cs="Arial"/>
                <w:bCs/>
                <w:shd w:val="clear" w:color="auto" w:fill="FFFFFF"/>
                <w:lang w:val="es-ES_tradnl"/>
              </w:rPr>
              <w:t>es</w:t>
            </w:r>
            <w:r w:rsidRPr="00320658">
              <w:rPr>
                <w:rFonts w:ascii="Verdana" w:eastAsia="Times New Roman" w:hAnsi="Verdana" w:cs="Arial"/>
                <w:bCs/>
                <w:shd w:val="clear" w:color="auto" w:fill="FFFFFF"/>
                <w:lang w:val="es-ES_tradnl"/>
              </w:rPr>
              <w:t xml:space="preserve"> 6</w:t>
            </w:r>
            <w:r>
              <w:rPr>
                <w:rFonts w:ascii="Verdana" w:eastAsia="Times New Roman" w:hAnsi="Verdana" w:cs="Arial"/>
                <w:bCs/>
                <w:shd w:val="clear" w:color="auto" w:fill="FFFFFF"/>
                <w:lang w:val="es-ES_tradnl"/>
              </w:rPr>
              <w:t xml:space="preserve"> y 7</w:t>
            </w:r>
            <w:r w:rsidRPr="00320658">
              <w:rPr>
                <w:rFonts w:ascii="Verdana" w:eastAsia="Times New Roman" w:hAnsi="Verdana" w:cs="Arial"/>
                <w:bCs/>
                <w:shd w:val="clear" w:color="auto" w:fill="FFFFFF"/>
                <w:lang w:val="es-ES_tradnl"/>
              </w:rPr>
              <w:t xml:space="preserve"> del artículo 54 de la Ley 1952 de 2019, el supervisor del contrato será responsable por omisión de sus funciones legales</w:t>
            </w:r>
            <w:r>
              <w:rPr>
                <w:rFonts w:ascii="Verdana" w:eastAsia="Times New Roman" w:hAnsi="Verdana" w:cs="Arial"/>
                <w:bCs/>
                <w:shd w:val="clear" w:color="auto" w:fill="FFFFFF"/>
                <w:lang w:val="es-ES_tradnl"/>
              </w:rPr>
              <w:t xml:space="preserve">, particularmente por </w:t>
            </w:r>
            <w:r>
              <w:rPr>
                <w:rFonts w:ascii="Verdana" w:eastAsia="Times New Roman" w:hAnsi="Verdana" w:cs="Arial"/>
                <w:bCs/>
                <w:shd w:val="clear" w:color="auto" w:fill="FFFFFF"/>
              </w:rPr>
              <w:t>n</w:t>
            </w:r>
            <w:r w:rsidRPr="00793B98">
              <w:rPr>
                <w:rFonts w:ascii="Verdana" w:eastAsia="Times New Roman" w:hAnsi="Verdana" w:cs="Arial"/>
                <w:bCs/>
                <w:shd w:val="clear" w:color="auto" w:fill="FFFFFF"/>
              </w:rPr>
              <w:t>o exigir, la calidad de los bienes y servicios adquiridos por la entidad estatal</w:t>
            </w:r>
            <w:r>
              <w:rPr>
                <w:rFonts w:ascii="Verdana" w:eastAsia="Times New Roman" w:hAnsi="Verdana" w:cs="Arial"/>
                <w:bCs/>
                <w:shd w:val="clear" w:color="auto" w:fill="FFFFFF"/>
              </w:rPr>
              <w:t xml:space="preserve"> y por</w:t>
            </w:r>
            <w:r w:rsidRPr="00DB6D06">
              <w:rPr>
                <w:rFonts w:ascii="Open Sans" w:hAnsi="Open Sans" w:cs="Open Sans"/>
                <w:color w:val="4B4949"/>
                <w:sz w:val="18"/>
                <w:szCs w:val="18"/>
              </w:rPr>
              <w:t xml:space="preserve"> </w:t>
            </w:r>
            <w:r w:rsidRPr="00DB6D06">
              <w:rPr>
                <w:rFonts w:ascii="Verdana" w:eastAsia="Times New Roman" w:hAnsi="Verdana" w:cs="Arial"/>
                <w:bCs/>
                <w:shd w:val="clear" w:color="auto" w:fill="FFFFFF"/>
              </w:rPr>
              <w:t> </w:t>
            </w:r>
            <w:r>
              <w:rPr>
                <w:rFonts w:ascii="Verdana" w:eastAsia="Times New Roman" w:hAnsi="Verdana" w:cs="Arial"/>
                <w:bCs/>
                <w:shd w:val="clear" w:color="auto" w:fill="FFFFFF"/>
              </w:rPr>
              <w:t>o</w:t>
            </w:r>
            <w:r w:rsidRPr="00DB6D06">
              <w:rPr>
                <w:rFonts w:ascii="Verdana" w:eastAsia="Times New Roman" w:hAnsi="Verdana" w:cs="Arial"/>
                <w:bCs/>
                <w:shd w:val="clear" w:color="auto" w:fill="FFFFFF"/>
              </w:rPr>
              <w:t>mitir</w:t>
            </w:r>
            <w:r>
              <w:rPr>
                <w:rFonts w:ascii="Verdana" w:eastAsia="Times New Roman" w:hAnsi="Verdana" w:cs="Arial"/>
                <w:bCs/>
                <w:shd w:val="clear" w:color="auto" w:fill="FFFFFF"/>
              </w:rPr>
              <w:t xml:space="preserve"> </w:t>
            </w:r>
            <w:r w:rsidRPr="00DB6D06">
              <w:rPr>
                <w:rFonts w:ascii="Verdana" w:eastAsia="Times New Roman" w:hAnsi="Verdana" w:cs="Arial"/>
                <w:bCs/>
                <w:shd w:val="clear" w:color="auto" w:fill="FFFFFF"/>
              </w:rPr>
              <w:t>el deber de informar a la entidad contratante los hechos o circunstancias que puedan constituir actos de corrupción tipificados como conductas punibles, o que puedan poner o pongan en riesgo el cumplimiento del contrato, o cuando se presente el incumplimiento</w:t>
            </w:r>
            <w:r w:rsidRPr="00320658">
              <w:rPr>
                <w:rFonts w:ascii="Verdana" w:eastAsia="Times New Roman" w:hAnsi="Verdana" w:cs="Arial"/>
                <w:bCs/>
                <w:shd w:val="clear" w:color="auto" w:fill="FFFFFF"/>
                <w:lang w:val="es-ES_tradnl"/>
              </w:rPr>
              <w:t>.</w:t>
            </w:r>
          </w:p>
          <w:p w14:paraId="04ED495B" w14:textId="77777777" w:rsidR="00542A9A" w:rsidRPr="00E86D1C" w:rsidRDefault="00542A9A" w:rsidP="00BE3615">
            <w:pPr>
              <w:snapToGrid w:val="0"/>
              <w:spacing w:after="120" w:line="276" w:lineRule="auto"/>
              <w:ind w:firstLine="743"/>
              <w:jc w:val="both"/>
              <w:rPr>
                <w:rFonts w:ascii="Verdana" w:eastAsia="Times New Roman" w:hAnsi="Verdana" w:cs="Arial"/>
                <w:shd w:val="clear" w:color="auto" w:fill="FFFFFF"/>
                <w:lang w:val="es-ES"/>
              </w:rPr>
            </w:pPr>
            <w:r>
              <w:rPr>
                <w:rFonts w:ascii="Verdana" w:eastAsia="Times New Roman" w:hAnsi="Verdana" w:cs="Arial"/>
                <w:bCs/>
                <w:shd w:val="clear" w:color="auto" w:fill="FFFFFF"/>
                <w:lang w:val="es-ES_tradnl"/>
              </w:rPr>
              <w:t xml:space="preserve">Respecto de </w:t>
            </w:r>
            <w:r w:rsidRPr="00320658">
              <w:rPr>
                <w:rFonts w:ascii="Verdana" w:eastAsia="Times New Roman" w:hAnsi="Verdana" w:cs="Arial"/>
                <w:bCs/>
                <w:shd w:val="clear" w:color="auto" w:fill="FFFFFF"/>
                <w:lang w:val="es-ES_tradnl"/>
              </w:rPr>
              <w:t xml:space="preserve">los contratos de derivados de un convenio </w:t>
            </w:r>
            <w:r>
              <w:rPr>
                <w:rFonts w:ascii="Verdana" w:eastAsia="Times New Roman" w:hAnsi="Verdana" w:cs="Arial"/>
                <w:bCs/>
                <w:shd w:val="clear" w:color="auto" w:fill="FFFFFF"/>
                <w:lang w:val="es-ES_tradnl"/>
              </w:rPr>
              <w:t>marco</w:t>
            </w:r>
            <w:r w:rsidRPr="00320658">
              <w:rPr>
                <w:rFonts w:ascii="Verdana" w:eastAsia="Times New Roman" w:hAnsi="Verdana" w:cs="Arial"/>
                <w:bCs/>
                <w:shd w:val="clear" w:color="auto" w:fill="FFFFFF"/>
                <w:lang w:val="es-ES_tradnl"/>
              </w:rPr>
              <w:t>, debe resaltarse que estos deben contar con su propio supervisor e interventor</w:t>
            </w:r>
            <w:r>
              <w:rPr>
                <w:rFonts w:ascii="Verdana" w:eastAsia="Times New Roman" w:hAnsi="Verdana" w:cs="Arial"/>
                <w:bCs/>
                <w:shd w:val="clear" w:color="auto" w:fill="FFFFFF"/>
                <w:lang w:val="es-ES_tradnl"/>
              </w:rPr>
              <w:t>, si es del caso,</w:t>
            </w:r>
            <w:r w:rsidRPr="00320658">
              <w:rPr>
                <w:rFonts w:ascii="Verdana" w:eastAsia="Times New Roman" w:hAnsi="Verdana" w:cs="Arial"/>
                <w:bCs/>
                <w:shd w:val="clear" w:color="auto" w:fill="FFFFFF"/>
                <w:lang w:val="es-ES_tradnl"/>
              </w:rPr>
              <w:t xml:space="preserve"> conforme lo establece el numeral 1 del artículo 32 de la Ley 80 de 1993 y el artículo 83 de la Ley 1474 de 2011, además del supervisor del contrato o convenio interadministrativo principal cuyas obligaciones de seguimiento, vigilancia y control son más generales.</w:t>
            </w:r>
          </w:p>
        </w:tc>
      </w:tr>
    </w:tbl>
    <w:p w14:paraId="633F0AB2" w14:textId="77777777" w:rsidR="00542A9A" w:rsidRPr="00593A5F" w:rsidRDefault="00542A9A" w:rsidP="00542A9A">
      <w:pPr>
        <w:tabs>
          <w:tab w:val="left" w:pos="142"/>
          <w:tab w:val="left" w:pos="284"/>
        </w:tabs>
        <w:spacing w:after="0" w:line="276" w:lineRule="auto"/>
        <w:jc w:val="both"/>
        <w:rPr>
          <w:rFonts w:ascii="Verdana" w:eastAsia="Century Gothic" w:hAnsi="Verdana" w:cs="Century Gothic"/>
          <w:b/>
          <w:bCs/>
          <w:lang w:val="es-ES"/>
        </w:rPr>
      </w:pPr>
    </w:p>
    <w:bookmarkEnd w:id="1"/>
    <w:p w14:paraId="048A334C" w14:textId="77777777" w:rsidR="00542A9A" w:rsidRPr="00593A5F" w:rsidRDefault="00542A9A" w:rsidP="00542A9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4DE9BEA" w14:textId="77777777" w:rsidR="00542A9A" w:rsidRPr="00593A5F" w:rsidRDefault="00542A9A" w:rsidP="00542A9A">
      <w:pPr>
        <w:spacing w:after="0" w:line="276" w:lineRule="auto"/>
        <w:jc w:val="both"/>
        <w:rPr>
          <w:rFonts w:ascii="Verdana" w:eastAsia="Calibri" w:hAnsi="Verdana" w:cs="Arial"/>
          <w:color w:val="7030A0"/>
          <w:lang w:val="es-ES"/>
        </w:rPr>
      </w:pPr>
    </w:p>
    <w:p w14:paraId="2B10276B" w14:textId="77777777" w:rsidR="00542A9A" w:rsidRDefault="00542A9A" w:rsidP="00542A9A">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5C4EB52" w14:textId="77777777" w:rsidR="00542A9A" w:rsidRDefault="00542A9A" w:rsidP="00542A9A">
      <w:pPr>
        <w:spacing w:after="0" w:line="276" w:lineRule="auto"/>
        <w:jc w:val="both"/>
        <w:rPr>
          <w:rFonts w:ascii="Verdana" w:eastAsia="Arial MT" w:hAnsi="Verdana" w:cs="Arial"/>
          <w:lang w:val="es-ES" w:eastAsia="es-ES" w:bidi="es-ES"/>
        </w:rPr>
      </w:pPr>
    </w:p>
    <w:p w14:paraId="0E846C27" w14:textId="77777777" w:rsidR="00542A9A" w:rsidRPr="00F97442" w:rsidRDefault="00542A9A" w:rsidP="00542A9A">
      <w:pPr>
        <w:spacing w:after="120" w:line="276" w:lineRule="auto"/>
        <w:jc w:val="both"/>
        <w:rPr>
          <w:rFonts w:ascii="Verdana" w:eastAsia="Arial MT" w:hAnsi="Verdana" w:cs="Arial"/>
          <w:lang w:eastAsia="es-ES" w:bidi="es-ES"/>
        </w:rPr>
      </w:pPr>
      <w:r w:rsidRPr="00997A28">
        <w:rPr>
          <w:rFonts w:ascii="Verdana" w:eastAsia="Arial MT" w:hAnsi="Verdana" w:cs="Arial"/>
          <w:lang w:eastAsia="es-ES" w:bidi="es-ES"/>
        </w:rPr>
        <w:t>i.</w:t>
      </w:r>
      <w:r>
        <w:rPr>
          <w:rFonts w:ascii="Verdana" w:eastAsia="Arial MT" w:hAnsi="Verdana" w:cs="Arial"/>
          <w:lang w:eastAsia="es-ES" w:bidi="es-ES"/>
        </w:rPr>
        <w:t xml:space="preserve"> </w:t>
      </w:r>
      <w:r>
        <w:rPr>
          <w:rFonts w:ascii="Verdana" w:eastAsia="Times New Roman" w:hAnsi="Verdana" w:cs="Arial"/>
          <w:lang w:val="es-ES" w:eastAsia="es-ES_tradnl"/>
        </w:rPr>
        <w:t>E</w:t>
      </w:r>
      <w:r w:rsidRPr="002C675F">
        <w:rPr>
          <w:rFonts w:ascii="Verdana" w:eastAsia="Times New Roman" w:hAnsi="Verdana" w:cs="Arial"/>
          <w:lang w:val="es-ES" w:eastAsia="es-ES_tradnl"/>
        </w:rPr>
        <w:t>n consonancia con el artículo 209 de la Constitución Política</w:t>
      </w:r>
      <w:r w:rsidRPr="002C675F">
        <w:rPr>
          <w:rFonts w:ascii="Verdana" w:eastAsia="Times New Roman" w:hAnsi="Verdana" w:cs="Arial"/>
          <w:vertAlign w:val="superscript"/>
          <w:lang w:val="es-ES" w:eastAsia="es-ES_tradnl"/>
        </w:rPr>
        <w:footnoteReference w:id="2"/>
      </w:r>
      <w:r w:rsidRPr="002C675F">
        <w:rPr>
          <w:rFonts w:ascii="Verdana" w:eastAsia="Times New Roman" w:hAnsi="Verdana" w:cs="Arial"/>
          <w:lang w:val="es-ES" w:eastAsia="es-ES_tradnl"/>
        </w:rPr>
        <w:t>, del que se desprenden los deberes de coordinación y colaboración a cargo de todas las autoridades administrativas,</w:t>
      </w:r>
      <w:r w:rsidRPr="002C675F">
        <w:rPr>
          <w:rFonts w:ascii="Verdana" w:eastAsia="Calibri" w:hAnsi="Verdana" w:cs="Arial"/>
        </w:rPr>
        <w:t xml:space="preserve"> el artículo 95 de la Ley 489 de 1998</w:t>
      </w:r>
      <w:r w:rsidRPr="002C675F">
        <w:rPr>
          <w:rFonts w:ascii="Verdana" w:eastAsia="Calibri" w:hAnsi="Verdana" w:cs="Arial"/>
          <w:vertAlign w:val="superscript"/>
        </w:rPr>
        <w:footnoteReference w:id="3"/>
      </w:r>
      <w:r w:rsidRPr="002C675F">
        <w:rPr>
          <w:rFonts w:ascii="Verdana" w:eastAsia="Calibri" w:hAnsi="Verdana" w:cs="Arial"/>
        </w:rPr>
        <w:t xml:space="preserve"> dispone que “las entidades públicas podrán asociarse con el fin de cooperar en el cumplimiento de funciones administrativas o de prestar conjuntamente servicios que se hallen a su cargo mediante la celebración de convenios </w:t>
      </w:r>
      <w:r w:rsidRPr="002C675F">
        <w:rPr>
          <w:rFonts w:ascii="Verdana" w:eastAsia="Calibri" w:hAnsi="Verdana" w:cs="Arial"/>
        </w:rPr>
        <w:lastRenderedPageBreak/>
        <w:t>interadministrativos (…)”</w:t>
      </w:r>
      <w:r w:rsidRPr="002C675F">
        <w:rPr>
          <w:rFonts w:ascii="Verdana" w:eastAsia="Calibri" w:hAnsi="Verdana" w:cs="Arial"/>
          <w:vertAlign w:val="superscript"/>
        </w:rPr>
        <w:footnoteReference w:id="4"/>
      </w:r>
      <w:r w:rsidRPr="002C675F">
        <w:rPr>
          <w:rFonts w:ascii="Verdana" w:eastAsia="Calibri" w:hAnsi="Verdana" w:cs="Arial"/>
        </w:rPr>
        <w:t>. De tal suerte que, si bien la Ley 80 de 1993 faculta a las entidades estatales para celebrar cualquier acto jurídico generador de obligaciones, la norma en cita regula en forma particular la figura del convenio interadministrativo y define los elementos que caracterizan a este tipo de negocio jurídico.</w:t>
      </w:r>
    </w:p>
    <w:p w14:paraId="0935D2F6" w14:textId="77777777" w:rsidR="00542A9A" w:rsidRDefault="00542A9A" w:rsidP="00542A9A">
      <w:pPr>
        <w:spacing w:after="120" w:line="276" w:lineRule="auto"/>
        <w:ind w:firstLine="708"/>
        <w:jc w:val="both"/>
        <w:rPr>
          <w:rFonts w:ascii="Verdana" w:eastAsia="Calibri" w:hAnsi="Verdana" w:cs="Arial"/>
        </w:rPr>
      </w:pPr>
      <w:r w:rsidRPr="002C675F">
        <w:rPr>
          <w:rFonts w:ascii="Verdana" w:eastAsia="Calibri" w:hAnsi="Verdana" w:cs="Arial"/>
        </w:rPr>
        <w:t>Sobre el alcance de los convenios interadministrativos, el Consejo de Estado ha dejado en claro lo siguiente:</w:t>
      </w:r>
    </w:p>
    <w:p w14:paraId="70EAE315" w14:textId="77777777" w:rsidR="00542A9A" w:rsidRPr="002C675F" w:rsidRDefault="00542A9A" w:rsidP="00542A9A">
      <w:pPr>
        <w:spacing w:after="0" w:line="276" w:lineRule="auto"/>
        <w:ind w:firstLine="709"/>
        <w:jc w:val="both"/>
        <w:rPr>
          <w:rFonts w:ascii="Verdana" w:eastAsia="Calibri" w:hAnsi="Verdana" w:cs="Arial"/>
        </w:rPr>
      </w:pPr>
    </w:p>
    <w:p w14:paraId="7E1693E9" w14:textId="77777777" w:rsidR="00542A9A" w:rsidRPr="002C675F" w:rsidRDefault="00542A9A" w:rsidP="00542A9A">
      <w:pPr>
        <w:spacing w:after="0" w:line="240" w:lineRule="auto"/>
        <w:ind w:left="709" w:right="714"/>
        <w:jc w:val="both"/>
        <w:rPr>
          <w:rFonts w:ascii="Verdana" w:eastAsia="Calibri" w:hAnsi="Verdana" w:cs="Arial"/>
          <w:bCs/>
          <w:sz w:val="20"/>
          <w:szCs w:val="20"/>
          <w:lang w:val="es-ES_tradnl"/>
        </w:rPr>
      </w:pPr>
      <w:r w:rsidRPr="002C675F">
        <w:rPr>
          <w:rFonts w:ascii="Verdana" w:eastAsia="Calibri" w:hAnsi="Verdana" w:cs="Arial"/>
          <w:bCs/>
          <w:sz w:val="20"/>
          <w:szCs w:val="20"/>
          <w:lang w:eastAsia="es-ES_tradnl"/>
        </w:rPr>
        <w:t xml:space="preserve">“(…) </w:t>
      </w:r>
      <w:r w:rsidRPr="002C675F">
        <w:rPr>
          <w:rFonts w:ascii="Verdana" w:eastAsia="Calibri" w:hAnsi="Verdana" w:cs="Arial"/>
          <w:bCs/>
          <w:sz w:val="20"/>
          <w:szCs w:val="20"/>
          <w:lang w:val="es-ES_tradnl"/>
        </w:rPr>
        <w:t xml:space="preserve">i) Constituyen verdaderos contratos en los términos del Código de Comercio cuando su objeto lo constituyen obligaciones patrimoniales. </w:t>
      </w:r>
      <w:proofErr w:type="spellStart"/>
      <w:r w:rsidRPr="002C675F">
        <w:rPr>
          <w:rFonts w:ascii="Verdana" w:eastAsia="Calibri" w:hAnsi="Verdana" w:cs="Arial"/>
          <w:bCs/>
          <w:sz w:val="20"/>
          <w:szCs w:val="20"/>
          <w:lang w:val="es-ES_tradnl"/>
        </w:rPr>
        <w:t>ii</w:t>
      </w:r>
      <w:proofErr w:type="spellEnd"/>
      <w:r w:rsidRPr="002C675F">
        <w:rPr>
          <w:rFonts w:ascii="Verdana" w:eastAsia="Calibri" w:hAnsi="Verdana" w:cs="Arial"/>
          <w:bCs/>
          <w:sz w:val="20"/>
          <w:szCs w:val="20"/>
          <w:lang w:val="es-ES_tradnl"/>
        </w:rPr>
        <w:t xml:space="preserve">) Tienen como fuente la autonomía contractual. </w:t>
      </w:r>
      <w:proofErr w:type="spellStart"/>
      <w:r w:rsidRPr="002C675F">
        <w:rPr>
          <w:rFonts w:ascii="Verdana" w:eastAsia="Calibri" w:hAnsi="Verdana" w:cs="Arial"/>
          <w:bCs/>
          <w:sz w:val="20"/>
          <w:szCs w:val="20"/>
          <w:lang w:val="es-ES_tradnl"/>
        </w:rPr>
        <w:t>iii</w:t>
      </w:r>
      <w:proofErr w:type="spellEnd"/>
      <w:r w:rsidRPr="002C675F">
        <w:rPr>
          <w:rFonts w:ascii="Verdana" w:eastAsia="Calibri" w:hAnsi="Verdana" w:cs="Arial"/>
          <w:bCs/>
          <w:sz w:val="20"/>
          <w:szCs w:val="20"/>
          <w:lang w:val="es-ES_tradnl"/>
        </w:rPr>
        <w:t xml:space="preserve">) Son contratos nominados, puesto que están mencionados por la ley. </w:t>
      </w:r>
      <w:proofErr w:type="spellStart"/>
      <w:r w:rsidRPr="002C675F">
        <w:rPr>
          <w:rFonts w:ascii="Verdana" w:eastAsia="Calibri" w:hAnsi="Verdana" w:cs="Arial"/>
          <w:bCs/>
          <w:sz w:val="20"/>
          <w:szCs w:val="20"/>
          <w:lang w:val="es-ES_tradnl"/>
        </w:rPr>
        <w:t>iv</w:t>
      </w:r>
      <w:proofErr w:type="spellEnd"/>
      <w:r w:rsidRPr="002C675F">
        <w:rPr>
          <w:rFonts w:ascii="Verdana" w:eastAsia="Calibri" w:hAnsi="Verdana" w:cs="Arial"/>
          <w:bCs/>
          <w:sz w:val="20"/>
          <w:szCs w:val="20"/>
          <w:lang w:val="es-ES_tradnl"/>
        </w:rPr>
        <w:t xml:space="preserve">) Son contratos atípicos desde la perspectiva legal, dado que se advierte la ausencia de unas normas que de manera detallada los disciplinen, expliquen y desarrollen, como sí las tienen los contratos típicos, por ejemplo, compraventa, arrendamiento, mandato, etc. v) La normativa a la cual se encuentran sujetos en principio es la del Estatuto General de Contratación, en atención a que las partes que los celebran son entidades estatales y, por consiguiente, también se obligan a las disposiciones que resulten pertinentes del Código Civil y el Código de Comercio. vi) Dan lugar a la creación de obligaciones jurídicamente exigibles. </w:t>
      </w:r>
      <w:proofErr w:type="spellStart"/>
      <w:r w:rsidRPr="002C675F">
        <w:rPr>
          <w:rFonts w:ascii="Verdana" w:eastAsia="Calibri" w:hAnsi="Verdana" w:cs="Arial"/>
          <w:bCs/>
          <w:sz w:val="20"/>
          <w:szCs w:val="20"/>
          <w:lang w:val="es-ES_tradnl"/>
        </w:rPr>
        <w:t>vii</w:t>
      </w:r>
      <w:proofErr w:type="spellEnd"/>
      <w:r w:rsidRPr="002C675F">
        <w:rPr>
          <w:rFonts w:ascii="Verdana" w:eastAsia="Calibri" w:hAnsi="Verdana" w:cs="Arial"/>
          <w:bCs/>
          <w:sz w:val="20"/>
          <w:szCs w:val="20"/>
          <w:lang w:val="es-ES_tradnl"/>
        </w:rPr>
        <w:t xml:space="preserve">) Persiguen una finalidad común a través de la realización de intereses compartidos entre las entidades vinculadas. </w:t>
      </w:r>
      <w:proofErr w:type="spellStart"/>
      <w:r w:rsidRPr="002C675F">
        <w:rPr>
          <w:rFonts w:ascii="Verdana" w:eastAsia="Calibri" w:hAnsi="Verdana" w:cs="Arial"/>
          <w:bCs/>
          <w:sz w:val="20"/>
          <w:szCs w:val="20"/>
          <w:lang w:val="es-ES_tradnl"/>
        </w:rPr>
        <w:t>viii</w:t>
      </w:r>
      <w:proofErr w:type="spellEnd"/>
      <w:r w:rsidRPr="002C675F">
        <w:rPr>
          <w:rFonts w:ascii="Verdana" w:eastAsia="Calibri" w:hAnsi="Verdana" w:cs="Arial"/>
          <w:bCs/>
          <w:sz w:val="20"/>
          <w:szCs w:val="20"/>
          <w:lang w:val="es-ES_tradnl"/>
        </w:rPr>
        <w:t>) La acción mediante la cual se deben ventilar las diferencias que sobre el particular surjan es la de controversias contractuales”</w:t>
      </w:r>
      <w:r w:rsidRPr="002C675F">
        <w:rPr>
          <w:rFonts w:ascii="Verdana" w:eastAsia="Times New Roman" w:hAnsi="Verdana" w:cs="Arial"/>
          <w:sz w:val="20"/>
          <w:szCs w:val="20"/>
          <w:vertAlign w:val="superscript"/>
          <w:lang w:val="es-ES" w:eastAsia="es-ES_tradnl"/>
        </w:rPr>
        <w:footnoteReference w:id="5"/>
      </w:r>
      <w:r w:rsidRPr="002C675F">
        <w:rPr>
          <w:rFonts w:ascii="Verdana" w:eastAsia="Calibri" w:hAnsi="Verdana" w:cs="Arial"/>
          <w:bCs/>
          <w:sz w:val="20"/>
          <w:szCs w:val="20"/>
          <w:lang w:val="es-ES_tradnl"/>
        </w:rPr>
        <w:t>.</w:t>
      </w:r>
    </w:p>
    <w:p w14:paraId="43355871" w14:textId="77777777" w:rsidR="00542A9A" w:rsidRPr="002C675F" w:rsidRDefault="00542A9A" w:rsidP="00542A9A">
      <w:pPr>
        <w:spacing w:after="0" w:line="276" w:lineRule="auto"/>
        <w:ind w:right="713"/>
        <w:jc w:val="both"/>
        <w:rPr>
          <w:rFonts w:ascii="Verdana" w:eastAsia="Times New Roman" w:hAnsi="Verdana" w:cs="Arial"/>
          <w:lang w:val="es-ES" w:eastAsia="es-ES_tradnl"/>
        </w:rPr>
      </w:pPr>
    </w:p>
    <w:p w14:paraId="708EB832" w14:textId="77777777" w:rsidR="00542A9A" w:rsidRDefault="00542A9A" w:rsidP="00542A9A">
      <w:pPr>
        <w:spacing w:after="120" w:line="276" w:lineRule="auto"/>
        <w:ind w:firstLine="709"/>
        <w:jc w:val="both"/>
        <w:rPr>
          <w:rFonts w:ascii="Verdana" w:eastAsia="Times New Roman" w:hAnsi="Verdana" w:cs="Arial"/>
          <w:lang w:val="es-ES" w:eastAsia="es-ES_tradnl"/>
        </w:rPr>
      </w:pPr>
      <w:r w:rsidRPr="002C675F">
        <w:rPr>
          <w:rFonts w:ascii="Verdana" w:eastAsia="Times New Roman" w:hAnsi="Verdana" w:cs="Arial"/>
          <w:lang w:val="es-ES" w:eastAsia="es-ES_tradnl"/>
        </w:rPr>
        <w:t>A su turno, la doctrina especializada en la materia, a partir de la aplicación de un criterio material que envuelve la causa tenida en cuenta para contratar, ha dejado entrever que los convenios interadministrativos son una figura autónoma e independiente de la de los contratos interadministrativos</w:t>
      </w:r>
      <w:r w:rsidRPr="002C675F">
        <w:rPr>
          <w:rFonts w:ascii="Verdana" w:eastAsia="Times New Roman" w:hAnsi="Verdana" w:cs="Arial"/>
          <w:vertAlign w:val="superscript"/>
          <w:lang w:val="es-ES" w:eastAsia="es-ES_tradnl"/>
        </w:rPr>
        <w:footnoteReference w:id="6"/>
      </w:r>
      <w:r w:rsidRPr="002C675F">
        <w:rPr>
          <w:rFonts w:ascii="Verdana" w:eastAsia="Times New Roman" w:hAnsi="Verdana" w:cs="Arial"/>
          <w:lang w:val="es-ES" w:eastAsia="es-ES_tradnl"/>
        </w:rPr>
        <w:t xml:space="preserve">. Así “(…) es posible afirmar que el contrato es en efecto un acuerdo de voluntades que modifica las situaciones jurídicas subjetivas de las partes intervinientes, pero no se trata de cualquier clase de voluntades, sino únicamente de aquellas manifestadas por sujetos de derecho que tienen pretensiones o interés disímiles que se pueden ver como opuestos. En otras palabras, el contrato es un acuerdo de voluntades, en el cual cada uno de los participantes tiene finalidades </w:t>
      </w:r>
      <w:r w:rsidRPr="002C675F">
        <w:rPr>
          <w:rFonts w:ascii="Verdana" w:eastAsia="Times New Roman" w:hAnsi="Verdana" w:cs="Arial"/>
          <w:lang w:val="es-ES" w:eastAsia="es-ES_tradnl"/>
        </w:rPr>
        <w:lastRenderedPageBreak/>
        <w:t>opuestas”</w:t>
      </w:r>
      <w:r w:rsidRPr="002C675F">
        <w:rPr>
          <w:rFonts w:ascii="Verdana" w:eastAsia="Times New Roman" w:hAnsi="Verdana" w:cs="Arial"/>
          <w:vertAlign w:val="superscript"/>
          <w:lang w:val="es-ES" w:eastAsia="es-ES_tradnl"/>
        </w:rPr>
        <w:footnoteReference w:id="7"/>
      </w:r>
      <w:r w:rsidRPr="002C675F">
        <w:rPr>
          <w:rFonts w:ascii="Verdana" w:eastAsia="Times New Roman" w:hAnsi="Verdana" w:cs="Arial"/>
          <w:lang w:val="es-ES" w:eastAsia="es-ES_tradnl"/>
        </w:rPr>
        <w:t>. Con todo, según se advierte, “(…) basta agregar un ingrediente subjetivo para poder deducir la existencia del contrato de la administración, cual es la necesaria e imprescindible presencia de un sujeto especial de derecho llamado administración pública, lo cual implica que el contrato de la administración es un acuerdo de voluntades en el cual cada uno de los participantes pretende satisfacer necesidades o finalidades opuestas, donde necesariamente una de las partes tiene que ser una administración pública”</w:t>
      </w:r>
      <w:r w:rsidRPr="002C675F">
        <w:rPr>
          <w:rFonts w:ascii="Verdana" w:eastAsia="Times New Roman" w:hAnsi="Verdana" w:cs="Arial"/>
          <w:vertAlign w:val="superscript"/>
          <w:lang w:val="es-ES" w:eastAsia="es-ES_tradnl"/>
        </w:rPr>
        <w:footnoteReference w:id="8"/>
      </w:r>
      <w:r w:rsidRPr="002C675F">
        <w:rPr>
          <w:rFonts w:ascii="Verdana" w:eastAsia="Times New Roman" w:hAnsi="Verdana" w:cs="Arial"/>
          <w:lang w:val="es-ES" w:eastAsia="es-ES_tradnl"/>
        </w:rPr>
        <w:t>.</w:t>
      </w:r>
    </w:p>
    <w:p w14:paraId="2E3D4B81" w14:textId="77777777" w:rsidR="00542A9A" w:rsidRDefault="00542A9A" w:rsidP="00542A9A">
      <w:pPr>
        <w:spacing w:after="120" w:line="276" w:lineRule="auto"/>
        <w:ind w:firstLine="709"/>
        <w:jc w:val="both"/>
        <w:rPr>
          <w:rFonts w:ascii="Verdana" w:eastAsia="Calibri" w:hAnsi="Verdana" w:cs="Arial"/>
          <w:lang w:eastAsia="es-ES"/>
        </w:rPr>
      </w:pPr>
      <w:r>
        <w:rPr>
          <w:rFonts w:ascii="Verdana" w:eastAsia="Times New Roman" w:hAnsi="Verdana" w:cs="Arial"/>
          <w:lang w:val="es-ES" w:eastAsia="es-ES_tradnl"/>
        </w:rPr>
        <w:t xml:space="preserve">En este punto, debe precisar que </w:t>
      </w:r>
      <w:r w:rsidRPr="00823F19">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w:t>
      </w:r>
      <w:r>
        <w:rPr>
          <w:rFonts w:ascii="Verdana" w:eastAsia="Times New Roman" w:hAnsi="Verdana" w:cs="Arial"/>
          <w:color w:val="000000" w:themeColor="text1"/>
          <w:lang w:val="es-ES" w:eastAsia="es-CO"/>
        </w:rPr>
        <w:t>entidades públicas</w:t>
      </w:r>
      <w:r w:rsidRPr="00823F19">
        <w:rPr>
          <w:rFonts w:ascii="Verdana" w:eastAsia="Times New Roman" w:hAnsi="Verdana" w:cs="Arial"/>
          <w:color w:val="000000" w:themeColor="text1"/>
          <w:lang w:val="es-ES" w:eastAsia="es-CO"/>
        </w:rPr>
        <w:t xml:space="preserve">, </w:t>
      </w:r>
      <w:r>
        <w:rPr>
          <w:rFonts w:ascii="Verdana" w:eastAsia="Calibri" w:hAnsi="Verdana" w:cs="Arial"/>
          <w:lang w:eastAsia="es-ES"/>
        </w:rPr>
        <w:t xml:space="preserve">independientemente de </w:t>
      </w:r>
      <w:r w:rsidRPr="00823F19">
        <w:rPr>
          <w:rFonts w:ascii="Verdana" w:eastAsia="Calibri" w:hAnsi="Verdana" w:cs="Arial"/>
          <w:lang w:eastAsia="es-ES"/>
        </w:rPr>
        <w:t xml:space="preserve">las normas que regulan la relación contractual. </w:t>
      </w:r>
      <w:r>
        <w:rPr>
          <w:rFonts w:ascii="Verdana" w:eastAsia="Calibri" w:hAnsi="Verdana" w:cs="Arial"/>
          <w:lang w:eastAsia="es-ES"/>
        </w:rPr>
        <w:t>En este sentido, l</w:t>
      </w:r>
      <w:r w:rsidRPr="00917939">
        <w:rPr>
          <w:rFonts w:ascii="Verdana" w:eastAsia="Calibri" w:hAnsi="Verdana" w:cs="Arial"/>
          <w:lang w:eastAsia="es-ES"/>
        </w:rPr>
        <w:t>os convenios interadministrativos solo pueden ser celebrados entre entidades públicas, pues a éstas corresponde la realización de los fines y tareas que el legislador les ha asignado</w:t>
      </w:r>
      <w:r>
        <w:rPr>
          <w:rStyle w:val="Refdenotaalpie"/>
          <w:rFonts w:ascii="Verdana" w:eastAsia="Calibri" w:hAnsi="Verdana" w:cs="Arial"/>
          <w:lang w:eastAsia="es-ES"/>
        </w:rPr>
        <w:footnoteReference w:id="9"/>
      </w:r>
      <w:r w:rsidRPr="00917939">
        <w:rPr>
          <w:rFonts w:ascii="Verdana" w:eastAsia="Calibri" w:hAnsi="Verdana" w:cs="Arial"/>
          <w:lang w:eastAsia="es-ES"/>
        </w:rPr>
        <w:t>.</w:t>
      </w:r>
    </w:p>
    <w:p w14:paraId="008658BA" w14:textId="77777777" w:rsidR="00542A9A" w:rsidRPr="00917939" w:rsidRDefault="00542A9A" w:rsidP="00542A9A">
      <w:pPr>
        <w:spacing w:after="120" w:line="276" w:lineRule="auto"/>
        <w:ind w:firstLine="709"/>
        <w:jc w:val="both"/>
        <w:rPr>
          <w:rFonts w:ascii="Verdana" w:eastAsia="Calibri" w:hAnsi="Verdana" w:cs="Arial"/>
          <w:lang w:eastAsia="es-ES"/>
        </w:rPr>
      </w:pPr>
      <w:r>
        <w:rPr>
          <w:rFonts w:ascii="Verdana" w:eastAsia="Calibri" w:hAnsi="Verdana" w:cs="Arial"/>
          <w:lang w:val="es-ES"/>
        </w:rPr>
        <w:t xml:space="preserve">Frente a lo anterior, resulta necesario que la entidad estatal con la cual se suscribe el contrato o convenio interadministrativo </w:t>
      </w:r>
      <w:r w:rsidRPr="00823F19">
        <w:rPr>
          <w:rFonts w:ascii="Verdana" w:eastAsia="Calibri" w:hAnsi="Verdana" w:cs="Arial"/>
          <w:color w:val="000000" w:themeColor="text1"/>
          <w:lang w:val="es-ES_tradnl"/>
        </w:rPr>
        <w:t xml:space="preserve">cuenten con la capacidad jurídica para ejecutar lo pactado en el </w:t>
      </w:r>
      <w:r>
        <w:rPr>
          <w:rFonts w:ascii="Verdana" w:eastAsia="Calibri" w:hAnsi="Verdana" w:cs="Arial"/>
          <w:color w:val="000000" w:themeColor="text1"/>
          <w:lang w:val="es-ES_tradnl"/>
        </w:rPr>
        <w:t xml:space="preserve">mismo en los términos del </w:t>
      </w:r>
      <w:r w:rsidRPr="00823F19">
        <w:rPr>
          <w:rFonts w:ascii="Verdana" w:eastAsia="Calibri" w:hAnsi="Verdana" w:cs="Arial"/>
          <w:color w:val="000000" w:themeColor="text1"/>
        </w:rPr>
        <w:t>el literal c) del numeral 4 del artículo 2 de la</w:t>
      </w:r>
      <w:r>
        <w:rPr>
          <w:rFonts w:ascii="Verdana" w:eastAsia="Calibri" w:hAnsi="Verdana" w:cs="Arial"/>
          <w:color w:val="000000" w:themeColor="text1"/>
        </w:rPr>
        <w:t xml:space="preserve"> Ley 1150 de 2007</w:t>
      </w:r>
      <w:r w:rsidRPr="00823F19">
        <w:rPr>
          <w:rFonts w:ascii="Verdana" w:eastAsia="Calibri" w:hAnsi="Verdana" w:cs="Arial"/>
          <w:color w:val="000000" w:themeColor="text1"/>
        </w:rPr>
        <w:t>, modificado por el artículo 92 de la Ley 1474 de 2011</w:t>
      </w:r>
      <w:r>
        <w:rPr>
          <w:rFonts w:ascii="Verdana" w:eastAsia="Calibri" w:hAnsi="Verdana" w:cs="Arial"/>
          <w:color w:val="000000" w:themeColor="text1"/>
          <w:lang w:val="es-ES_tradnl"/>
        </w:rPr>
        <w:t>, de manera que su objeto social les permita la ejecución de las actividades acordadas</w:t>
      </w:r>
      <w:r w:rsidRPr="00823F19">
        <w:rPr>
          <w:rFonts w:ascii="Verdana" w:eastAsia="Calibri" w:hAnsi="Verdana" w:cs="Arial"/>
          <w:color w:val="000000" w:themeColor="text1"/>
          <w:lang w:val="es-ES_tradnl"/>
        </w:rPr>
        <w:t>.</w:t>
      </w:r>
    </w:p>
    <w:p w14:paraId="3D068846" w14:textId="77777777" w:rsidR="00542A9A" w:rsidRPr="002C675F" w:rsidRDefault="00542A9A" w:rsidP="00542A9A">
      <w:pPr>
        <w:spacing w:after="120" w:line="276" w:lineRule="auto"/>
        <w:ind w:firstLine="709"/>
        <w:jc w:val="both"/>
        <w:rPr>
          <w:rFonts w:ascii="Verdana" w:eastAsia="Calibri" w:hAnsi="Verdana" w:cs="Arial"/>
          <w:color w:val="000000" w:themeColor="text1"/>
          <w:lang w:val="es-ES_tradnl"/>
        </w:rPr>
      </w:pPr>
      <w:r w:rsidRPr="002C675F">
        <w:rPr>
          <w:rFonts w:ascii="Verdana" w:eastAsia="Calibri" w:hAnsi="Verdana" w:cs="Arial"/>
          <w:bCs/>
          <w:color w:val="000000" w:themeColor="text1"/>
          <w:lang w:eastAsia="es-ES_tradnl" w:bidi="es-ES"/>
        </w:rPr>
        <w:t xml:space="preserve">En relación con las diferencias entre los </w:t>
      </w:r>
      <w:proofErr w:type="gramStart"/>
      <w:r w:rsidRPr="002C675F">
        <w:rPr>
          <w:rFonts w:ascii="Verdana" w:eastAsia="Calibri" w:hAnsi="Verdana" w:cs="Arial"/>
          <w:bCs/>
          <w:color w:val="000000" w:themeColor="text1"/>
          <w:lang w:eastAsia="es-ES_tradnl" w:bidi="es-ES"/>
        </w:rPr>
        <w:t>contratos interadministrativos y los convenios interadministrativos</w:t>
      </w:r>
      <w:proofErr w:type="gramEnd"/>
      <w:r w:rsidRPr="002C675F">
        <w:rPr>
          <w:rFonts w:ascii="Verdana" w:eastAsia="Calibri" w:hAnsi="Verdana" w:cs="Arial"/>
          <w:bCs/>
          <w:color w:val="000000" w:themeColor="text1"/>
          <w:lang w:eastAsia="es-ES_tradnl" w:bidi="es-ES"/>
        </w:rPr>
        <w:t xml:space="preserve"> de que trata el artículo 95 de la Ley 489 de 1998, la Sala de Consulta y Servicio Civil del Consejo de Estado expresó lo siguiente: </w:t>
      </w:r>
    </w:p>
    <w:p w14:paraId="3EA6C1D1" w14:textId="77777777" w:rsidR="00542A9A" w:rsidRPr="002C675F" w:rsidRDefault="00542A9A" w:rsidP="00542A9A">
      <w:pPr>
        <w:spacing w:beforeLines="120" w:before="288" w:afterLines="120" w:after="288" w:line="276" w:lineRule="auto"/>
        <w:ind w:firstLine="709"/>
        <w:contextualSpacing/>
        <w:jc w:val="both"/>
        <w:rPr>
          <w:rFonts w:ascii="Verdana" w:eastAsia="Calibri" w:hAnsi="Verdana" w:cs="Arial"/>
          <w:bCs/>
          <w:color w:val="000000" w:themeColor="text1"/>
          <w:sz w:val="20"/>
          <w:szCs w:val="20"/>
          <w:lang w:eastAsia="es-ES_tradnl" w:bidi="es-ES"/>
        </w:rPr>
      </w:pPr>
    </w:p>
    <w:p w14:paraId="1E6652CF" w14:textId="77777777" w:rsidR="00542A9A" w:rsidRPr="002C675F" w:rsidRDefault="00542A9A" w:rsidP="00542A9A">
      <w:pPr>
        <w:spacing w:after="0" w:line="240" w:lineRule="auto"/>
        <w:ind w:left="709" w:right="709"/>
        <w:contextualSpacing/>
        <w:jc w:val="both"/>
        <w:rPr>
          <w:rFonts w:ascii="Verdana" w:eastAsia="Calibri" w:hAnsi="Verdana" w:cs="Arial"/>
          <w:bCs/>
          <w:color w:val="000000" w:themeColor="text1"/>
          <w:sz w:val="20"/>
          <w:szCs w:val="20"/>
          <w:lang w:eastAsia="es-ES_tradnl" w:bidi="es-ES"/>
        </w:rPr>
      </w:pPr>
      <w:r w:rsidRPr="002C675F">
        <w:rPr>
          <w:rFonts w:ascii="Verdana" w:eastAsia="Calibri" w:hAnsi="Verdana" w:cs="Arial"/>
          <w:bCs/>
          <w:color w:val="000000" w:themeColor="text1"/>
          <w:sz w:val="20"/>
          <w:szCs w:val="20"/>
          <w:lang w:eastAsia="es-ES_tradnl" w:bidi="es-ES"/>
        </w:rPr>
        <w:t xml:space="preserve">“La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w:t>
      </w:r>
      <w:r w:rsidRPr="002C675F">
        <w:rPr>
          <w:rFonts w:ascii="Verdana" w:eastAsia="Calibri" w:hAnsi="Verdana" w:cs="Arial"/>
          <w:bCs/>
          <w:color w:val="000000" w:themeColor="text1"/>
          <w:sz w:val="20"/>
          <w:szCs w:val="20"/>
          <w:lang w:eastAsia="es-ES_tradnl" w:bidi="es-ES"/>
        </w:rPr>
        <w:lastRenderedPageBreak/>
        <w:t>comunes para lograr una finalidad estatal impuesta por la Constitución o la ley a las mismas, sin que tengan un interés puramente económico (es decir, destinados a obtener una ganancia)”.</w:t>
      </w:r>
      <w:r w:rsidRPr="002C675F">
        <w:rPr>
          <w:rFonts w:ascii="Verdana" w:eastAsia="Calibri" w:hAnsi="Verdana" w:cs="Arial"/>
          <w:bCs/>
          <w:color w:val="000000" w:themeColor="text1"/>
          <w:sz w:val="20"/>
          <w:szCs w:val="20"/>
          <w:vertAlign w:val="superscript"/>
          <w:lang w:val="es-ES_tradnl" w:eastAsia="es-ES_tradnl" w:bidi="es-ES"/>
        </w:rPr>
        <w:t xml:space="preserve"> </w:t>
      </w:r>
      <w:r w:rsidRPr="002C675F">
        <w:rPr>
          <w:rFonts w:ascii="Verdana" w:eastAsia="Calibri" w:hAnsi="Verdana" w:cs="Arial"/>
          <w:bCs/>
          <w:color w:val="000000" w:themeColor="text1"/>
          <w:sz w:val="20"/>
          <w:szCs w:val="20"/>
          <w:vertAlign w:val="superscript"/>
          <w:lang w:val="es-ES_tradnl" w:eastAsia="es-ES_tradnl" w:bidi="es-ES"/>
        </w:rPr>
        <w:footnoteReference w:id="10"/>
      </w:r>
    </w:p>
    <w:p w14:paraId="5683878B" w14:textId="77777777" w:rsidR="00542A9A" w:rsidRPr="002C675F" w:rsidRDefault="00542A9A" w:rsidP="00542A9A">
      <w:pPr>
        <w:spacing w:beforeLines="120" w:before="288" w:afterLines="120" w:after="288" w:line="276" w:lineRule="auto"/>
        <w:ind w:firstLine="708"/>
        <w:contextualSpacing/>
        <w:jc w:val="both"/>
        <w:rPr>
          <w:rFonts w:ascii="Verdana" w:eastAsia="Calibri" w:hAnsi="Verdana" w:cs="Arial"/>
          <w:bCs/>
          <w:color w:val="000000" w:themeColor="text1"/>
          <w:sz w:val="20"/>
          <w:szCs w:val="20"/>
          <w:lang w:eastAsia="es-ES_tradnl" w:bidi="es-ES"/>
        </w:rPr>
      </w:pPr>
    </w:p>
    <w:p w14:paraId="0EF3D01E" w14:textId="77777777" w:rsidR="00542A9A" w:rsidRPr="002C675F" w:rsidRDefault="00542A9A" w:rsidP="00542A9A">
      <w:pPr>
        <w:spacing w:line="276" w:lineRule="auto"/>
        <w:ind w:firstLine="709"/>
        <w:contextualSpacing/>
        <w:jc w:val="both"/>
        <w:rPr>
          <w:rFonts w:ascii="Verdana" w:eastAsia="Calibri" w:hAnsi="Verdana" w:cs="Arial"/>
          <w:bCs/>
          <w:color w:val="000000" w:themeColor="text1"/>
          <w:lang w:eastAsia="es-ES_tradnl" w:bidi="es-ES"/>
        </w:rPr>
      </w:pPr>
      <w:r w:rsidRPr="002C675F">
        <w:rPr>
          <w:rFonts w:ascii="Verdana" w:eastAsia="Calibri" w:hAnsi="Verdana" w:cs="Arial"/>
          <w:bCs/>
          <w:color w:val="000000" w:themeColor="text1"/>
          <w:lang w:eastAsia="es-ES_tradnl" w:bidi="es-ES"/>
        </w:rPr>
        <w:t>En línea con lo anterior, la Sala Contenciosa Administrativa del Consejo de Estado en sentencia del 14 de junio de 2019 también señaló:</w:t>
      </w:r>
    </w:p>
    <w:p w14:paraId="3A83C29A" w14:textId="77777777" w:rsidR="00542A9A" w:rsidRPr="002C675F" w:rsidRDefault="00542A9A" w:rsidP="00542A9A">
      <w:pPr>
        <w:spacing w:beforeLines="120" w:before="288" w:afterLines="120" w:after="288" w:line="276" w:lineRule="auto"/>
        <w:contextualSpacing/>
        <w:rPr>
          <w:rFonts w:ascii="Verdana" w:eastAsia="Calibri" w:hAnsi="Verdana" w:cs="Arial"/>
          <w:bCs/>
          <w:color w:val="000000" w:themeColor="text1"/>
          <w:lang w:eastAsia="es-ES_tradnl" w:bidi="es-ES"/>
        </w:rPr>
      </w:pPr>
    </w:p>
    <w:p w14:paraId="6BCD4E28" w14:textId="77777777" w:rsidR="00542A9A" w:rsidRPr="002C675F" w:rsidRDefault="00542A9A" w:rsidP="00542A9A">
      <w:pPr>
        <w:spacing w:after="0" w:line="240" w:lineRule="auto"/>
        <w:ind w:left="709" w:right="709"/>
        <w:contextualSpacing/>
        <w:jc w:val="both"/>
        <w:rPr>
          <w:rFonts w:ascii="Verdana" w:eastAsia="Calibri" w:hAnsi="Verdana" w:cs="Arial"/>
          <w:bCs/>
          <w:color w:val="000000" w:themeColor="text1"/>
          <w:sz w:val="20"/>
          <w:szCs w:val="20"/>
          <w:lang w:val="es-ES_tradnl" w:eastAsia="es-ES_tradnl" w:bidi="es-ES"/>
        </w:rPr>
      </w:pPr>
      <w:r w:rsidRPr="002C675F">
        <w:rPr>
          <w:rFonts w:ascii="Verdana" w:eastAsia="Calibri" w:hAnsi="Verdana" w:cs="Arial"/>
          <w:bCs/>
          <w:color w:val="000000" w:themeColor="text1"/>
          <w:sz w:val="20"/>
          <w:szCs w:val="20"/>
          <w:lang w:val="es-ES_tradnl" w:eastAsia="es-ES_tradnl" w:bidi="es-ES"/>
        </w:rPr>
        <w:t>“La Sala de Consulta y Servicio Civil</w:t>
      </w:r>
      <w:r w:rsidRPr="002C675F">
        <w:rPr>
          <w:rFonts w:ascii="Verdana" w:eastAsia="Calibri" w:hAnsi="Verdana" w:cs="Arial"/>
          <w:bCs/>
          <w:color w:val="000000" w:themeColor="text1"/>
          <w:sz w:val="20"/>
          <w:szCs w:val="20"/>
          <w:vertAlign w:val="superscript"/>
          <w:lang w:val="es-ES_tradnl" w:eastAsia="es-ES_tradnl" w:bidi="es-ES"/>
        </w:rPr>
        <w:footnoteReference w:id="11"/>
      </w:r>
      <w:r w:rsidRPr="002C675F">
        <w:rPr>
          <w:rFonts w:ascii="Verdana" w:eastAsia="Calibri" w:hAnsi="Verdana" w:cs="Arial"/>
          <w:bCs/>
          <w:color w:val="000000" w:themeColor="text1"/>
          <w:sz w:val="20"/>
          <w:szCs w:val="20"/>
          <w:lang w:val="es-ES_tradnl" w:eastAsia="es-ES_tradnl" w:bidi="es-ES"/>
        </w:rPr>
        <w:t xml:space="preserve"> de esta Corporación se ha referido a los </w:t>
      </w:r>
      <w:r w:rsidRPr="002C675F">
        <w:rPr>
          <w:rFonts w:ascii="Verdana" w:eastAsia="Calibri" w:hAnsi="Verdana" w:cs="Arial"/>
          <w:bCs/>
          <w:i/>
          <w:color w:val="000000" w:themeColor="text1"/>
          <w:sz w:val="20"/>
          <w:szCs w:val="20"/>
          <w:lang w:val="es-ES_tradnl" w:eastAsia="es-ES_tradnl" w:bidi="es-ES"/>
        </w:rPr>
        <w:t>“convenios interadministrativos”</w:t>
      </w:r>
      <w:r w:rsidRPr="002C675F">
        <w:rPr>
          <w:rFonts w:ascii="Verdana" w:eastAsia="Calibri" w:hAnsi="Verdana" w:cs="Arial"/>
          <w:bCs/>
          <w:color w:val="000000" w:themeColor="text1"/>
          <w:sz w:val="20"/>
          <w:szCs w:val="20"/>
          <w:lang w:val="es-ES_tradnl" w:eastAsia="es-ES_tradnl" w:bidi="es-ES"/>
        </w:rPr>
        <w:t xml:space="preserve"> a los cuales alude el artículo 95 de la Ley 489 de 1998, calificándolos de </w:t>
      </w:r>
      <w:r w:rsidRPr="002C675F">
        <w:rPr>
          <w:rFonts w:ascii="Verdana" w:eastAsia="Calibri" w:hAnsi="Verdana" w:cs="Arial"/>
          <w:bCs/>
          <w:i/>
          <w:color w:val="000000" w:themeColor="text1"/>
          <w:sz w:val="20"/>
          <w:szCs w:val="20"/>
          <w:lang w:val="es-ES_tradnl" w:eastAsia="es-ES_tradnl" w:bidi="es-ES"/>
        </w:rPr>
        <w:t xml:space="preserve">“puros” </w:t>
      </w:r>
      <w:r w:rsidRPr="002C675F">
        <w:rPr>
          <w:rFonts w:ascii="Verdana" w:eastAsia="Calibri" w:hAnsi="Verdana" w:cs="Arial"/>
          <w:bCs/>
          <w:color w:val="000000" w:themeColor="text1"/>
          <w:sz w:val="20"/>
          <w:szCs w:val="20"/>
          <w:lang w:val="es-ES_tradnl" w:eastAsia="es-ES_tradnl" w:bidi="es-ES"/>
        </w:rPr>
        <w:t xml:space="preserve">y entendiendo que estos, además de perseguir la finalidad de cooperación antes indicada, no implican intereses contrapuestos ni tampoco se circunscriben a un </w:t>
      </w:r>
      <w:r w:rsidRPr="002C675F">
        <w:rPr>
          <w:rFonts w:ascii="Verdana" w:eastAsia="Calibri" w:hAnsi="Verdana" w:cs="Arial"/>
          <w:bCs/>
          <w:i/>
          <w:color w:val="000000" w:themeColor="text1"/>
          <w:sz w:val="20"/>
          <w:szCs w:val="20"/>
          <w:lang w:val="es-ES_tradnl" w:eastAsia="es-ES_tradnl" w:bidi="es-ES"/>
        </w:rPr>
        <w:t>“intercambio patrimonial”</w:t>
      </w:r>
      <w:r w:rsidRPr="002C675F">
        <w:rPr>
          <w:rFonts w:ascii="Verdana" w:eastAsia="Calibri" w:hAnsi="Verdana" w:cs="Arial"/>
          <w:bCs/>
          <w:color w:val="000000" w:themeColor="text1"/>
          <w:sz w:val="20"/>
          <w:szCs w:val="20"/>
          <w:lang w:val="es-ES_tradnl" w:eastAsia="es-ES_tradnl" w:bidi="es-ES"/>
        </w:rPr>
        <w:t>. Sin perjuicio de lo anterior, en otra oportunidad, la misma Sala</w:t>
      </w:r>
      <w:r w:rsidRPr="002C675F">
        <w:rPr>
          <w:rFonts w:ascii="Verdana" w:eastAsia="Calibri" w:hAnsi="Verdana" w:cs="Arial"/>
          <w:bCs/>
          <w:color w:val="000000" w:themeColor="text1"/>
          <w:sz w:val="20"/>
          <w:szCs w:val="20"/>
          <w:vertAlign w:val="superscript"/>
          <w:lang w:val="es-ES_tradnl" w:eastAsia="es-ES_tradnl" w:bidi="es-ES"/>
        </w:rPr>
        <w:footnoteReference w:id="12"/>
      </w:r>
      <w:r w:rsidRPr="002C675F">
        <w:rPr>
          <w:rFonts w:ascii="Verdana" w:eastAsia="Calibri" w:hAnsi="Verdana" w:cs="Arial"/>
          <w:bCs/>
          <w:color w:val="000000" w:themeColor="text1"/>
          <w:sz w:val="20"/>
          <w:szCs w:val="20"/>
          <w:lang w:val="es-ES_tradnl" w:eastAsia="es-ES_tradnl" w:bidi="es-ES"/>
        </w:rPr>
        <w:t xml:space="preserve"> había indicado que, si bien en dichos convenios no se daba un </w:t>
      </w:r>
      <w:r w:rsidRPr="002C675F">
        <w:rPr>
          <w:rFonts w:ascii="Verdana" w:eastAsia="Calibri" w:hAnsi="Verdana" w:cs="Arial"/>
          <w:bCs/>
          <w:i/>
          <w:color w:val="000000" w:themeColor="text1"/>
          <w:sz w:val="20"/>
          <w:szCs w:val="20"/>
          <w:lang w:val="es-ES_tradnl" w:eastAsia="es-ES_tradnl" w:bidi="es-ES"/>
        </w:rPr>
        <w:t>“verdadero intercambio de bienes o servicios (contrato conmutativo)”</w:t>
      </w:r>
      <w:r w:rsidRPr="002C675F">
        <w:rPr>
          <w:rFonts w:ascii="Verdana" w:eastAsia="Calibri" w:hAnsi="Verdana" w:cs="Arial"/>
          <w:bCs/>
          <w:color w:val="000000" w:themeColor="text1"/>
          <w:sz w:val="20"/>
          <w:szCs w:val="20"/>
          <w:lang w:val="es-ES_tradnl" w:eastAsia="es-ES_tradnl" w:bidi="es-ES"/>
        </w:rPr>
        <w:t>, ello no impedía que se conviniera una remuneración a cargo de alguna(s) entidad(es).</w:t>
      </w:r>
    </w:p>
    <w:p w14:paraId="3E3C47EC" w14:textId="77777777" w:rsidR="00542A9A" w:rsidRPr="002C675F" w:rsidRDefault="00542A9A" w:rsidP="00542A9A">
      <w:pPr>
        <w:spacing w:beforeLines="120" w:before="288" w:afterLines="120" w:after="288" w:line="276" w:lineRule="auto"/>
        <w:ind w:left="708" w:right="709" w:firstLine="708"/>
        <w:contextualSpacing/>
        <w:jc w:val="both"/>
        <w:rPr>
          <w:rFonts w:ascii="Verdana" w:eastAsia="Calibri" w:hAnsi="Verdana" w:cs="Arial"/>
          <w:bCs/>
          <w:color w:val="000000" w:themeColor="text1"/>
          <w:sz w:val="20"/>
          <w:szCs w:val="20"/>
          <w:lang w:val="es-ES_tradnl" w:eastAsia="es-ES_tradnl" w:bidi="es-ES"/>
        </w:rPr>
      </w:pPr>
    </w:p>
    <w:p w14:paraId="299FF816" w14:textId="77777777" w:rsidR="00542A9A" w:rsidRPr="002C675F" w:rsidRDefault="00542A9A" w:rsidP="00542A9A">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sidRPr="002C675F">
        <w:rPr>
          <w:rFonts w:ascii="Verdana" w:eastAsia="Calibri" w:hAnsi="Verdana" w:cs="Arial"/>
          <w:bCs/>
          <w:color w:val="000000" w:themeColor="text1"/>
          <w:sz w:val="20"/>
          <w:szCs w:val="20"/>
          <w:lang w:val="es-ES_tradnl" w:eastAsia="es-ES_tradnl" w:bidi="es-ES"/>
        </w:rPr>
        <w:t xml:space="preserve">Lo expuesto evidencia que, en general, las interpretaciones en torno a los </w:t>
      </w:r>
      <w:r w:rsidRPr="002C675F">
        <w:rPr>
          <w:rFonts w:ascii="Verdana" w:eastAsia="Calibri" w:hAnsi="Verdana" w:cs="Arial"/>
          <w:bCs/>
          <w:i/>
          <w:color w:val="000000" w:themeColor="text1"/>
          <w:sz w:val="20"/>
          <w:szCs w:val="20"/>
          <w:lang w:val="es-ES_tradnl" w:eastAsia="es-ES_tradnl" w:bidi="es-ES"/>
        </w:rPr>
        <w:t>“convenios interadministrativos”</w:t>
      </w:r>
      <w:r w:rsidRPr="002C675F">
        <w:rPr>
          <w:rFonts w:ascii="Verdana" w:eastAsia="Calibri" w:hAnsi="Verdana" w:cs="Arial"/>
          <w:bCs/>
          <w:color w:val="000000" w:themeColor="text1"/>
          <w:sz w:val="20"/>
          <w:szCs w:val="20"/>
          <w:lang w:val="es-ES_tradnl" w:eastAsia="es-ES_tradnl"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2C675F">
        <w:rPr>
          <w:rFonts w:ascii="Verdana" w:eastAsia="Calibri" w:hAnsi="Verdana" w:cs="Arial"/>
          <w:bCs/>
          <w:color w:val="000000" w:themeColor="text1"/>
          <w:sz w:val="20"/>
          <w:szCs w:val="20"/>
          <w:vertAlign w:val="superscript"/>
          <w:lang w:val="es-ES_tradnl" w:eastAsia="es-ES_tradnl" w:bidi="es-ES"/>
        </w:rPr>
        <w:footnoteReference w:id="13"/>
      </w:r>
      <w:r w:rsidRPr="002C675F">
        <w:rPr>
          <w:rFonts w:ascii="Verdana" w:eastAsia="Calibri" w:hAnsi="Verdana" w:cs="Arial"/>
          <w:bCs/>
          <w:color w:val="000000" w:themeColor="text1"/>
          <w:sz w:val="20"/>
          <w:szCs w:val="20"/>
          <w:lang w:val="es-ES_tradnl" w:eastAsia="es-ES_tradnl" w:bidi="es-ES"/>
        </w:rPr>
        <w:t>.</w:t>
      </w:r>
      <w:r w:rsidRPr="002C675F">
        <w:rPr>
          <w:rFonts w:ascii="Verdana" w:eastAsia="Calibri" w:hAnsi="Verdana" w:cs="Arial"/>
          <w:bCs/>
          <w:color w:val="000000" w:themeColor="text1"/>
          <w:sz w:val="20"/>
          <w:szCs w:val="20"/>
          <w:vertAlign w:val="superscript"/>
          <w:lang w:eastAsia="es-ES_tradnl" w:bidi="es-ES"/>
        </w:rPr>
        <w:footnoteReference w:id="14"/>
      </w:r>
      <w:r w:rsidRPr="002C675F">
        <w:rPr>
          <w:rFonts w:ascii="Verdana" w:eastAsia="Calibri" w:hAnsi="Verdana" w:cs="Arial"/>
          <w:bCs/>
          <w:color w:val="000000" w:themeColor="text1"/>
          <w:sz w:val="20"/>
          <w:szCs w:val="20"/>
          <w:lang w:val="es-ES_tradnl" w:eastAsia="es-ES_tradnl" w:bidi="es-ES"/>
        </w:rPr>
        <w:t xml:space="preserve"> </w:t>
      </w:r>
    </w:p>
    <w:p w14:paraId="78FD252D" w14:textId="77777777" w:rsidR="00542A9A" w:rsidRDefault="00542A9A" w:rsidP="00542A9A">
      <w:pPr>
        <w:snapToGrid w:val="0"/>
        <w:spacing w:after="0" w:line="276" w:lineRule="auto"/>
        <w:ind w:firstLine="709"/>
        <w:jc w:val="both"/>
        <w:rPr>
          <w:rFonts w:ascii="Verdana" w:eastAsia="Calibri" w:hAnsi="Verdana" w:cs="Arial"/>
          <w:bCs/>
          <w:color w:val="000000" w:themeColor="text1"/>
          <w:lang w:eastAsia="es-ES_tradnl" w:bidi="es-ES"/>
        </w:rPr>
      </w:pPr>
    </w:p>
    <w:p w14:paraId="2288309A" w14:textId="77777777" w:rsidR="00542A9A" w:rsidRPr="002C675F" w:rsidRDefault="00542A9A" w:rsidP="00542A9A">
      <w:pPr>
        <w:snapToGrid w:val="0"/>
        <w:spacing w:after="120" w:line="276" w:lineRule="auto"/>
        <w:ind w:firstLine="709"/>
        <w:jc w:val="both"/>
        <w:rPr>
          <w:rFonts w:ascii="Verdana" w:eastAsia="Calibri" w:hAnsi="Verdana" w:cs="Arial"/>
          <w:bCs/>
          <w:color w:val="000000" w:themeColor="text1"/>
          <w:lang w:eastAsia="es-ES_tradnl" w:bidi="es-ES"/>
        </w:rPr>
      </w:pPr>
      <w:r w:rsidRPr="002C675F">
        <w:rPr>
          <w:rFonts w:ascii="Verdana" w:eastAsia="Calibri" w:hAnsi="Verdana" w:cs="Arial"/>
          <w:bCs/>
          <w:color w:val="000000" w:themeColor="text1"/>
          <w:lang w:eastAsia="es-ES_tradnl" w:bidi="es-ES"/>
        </w:rPr>
        <w:t xml:space="preserve">En esta ocasión la referida corporación judicial resaltó la finalidad del acuerdo de voluntades como un factor de diferenciación entre las dos figuras. Si </w:t>
      </w:r>
      <w:r w:rsidRPr="002C675F">
        <w:rPr>
          <w:rFonts w:ascii="Verdana" w:eastAsia="Calibri" w:hAnsi="Verdana" w:cs="Arial"/>
          <w:bCs/>
          <w:color w:val="000000" w:themeColor="text1"/>
          <w:lang w:eastAsia="es-ES_tradnl" w:bidi="es-ES"/>
        </w:rPr>
        <w:lastRenderedPageBreak/>
        <w:t xml:space="preserve">bien estas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en una relación de carácter conmutativo, mientras que los convenios interadministrativos involucran la ejecución de actividades en función de un interés común para las partes; en esencia se pretende el cumplimiento de fines coincidentes entre quienes lo ejecutan. </w:t>
      </w:r>
    </w:p>
    <w:p w14:paraId="5DBD4428" w14:textId="77777777" w:rsidR="00542A9A" w:rsidRPr="002C675F" w:rsidRDefault="00542A9A" w:rsidP="00542A9A">
      <w:pPr>
        <w:snapToGrid w:val="0"/>
        <w:spacing w:after="120" w:line="276" w:lineRule="auto"/>
        <w:ind w:firstLine="709"/>
        <w:jc w:val="both"/>
        <w:rPr>
          <w:rFonts w:ascii="Verdana" w:eastAsia="Calibri" w:hAnsi="Verdana" w:cs="Arial"/>
          <w:bCs/>
          <w:color w:val="000000" w:themeColor="text1"/>
          <w:lang w:eastAsia="es-ES_tradnl" w:bidi="es-ES"/>
        </w:rPr>
      </w:pPr>
      <w:r w:rsidRPr="002C675F">
        <w:rPr>
          <w:rFonts w:ascii="Verdana" w:eastAsia="Calibri" w:hAnsi="Verdana" w:cs="Arial"/>
          <w:bCs/>
          <w:color w:val="000000" w:themeColor="text1"/>
          <w:lang w:eastAsia="es-ES_tradnl" w:bidi="es-ES"/>
        </w:rPr>
        <w:t>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y conmutativa, en la que existen unas exigencias y restricciones normativas adicionales, de manera que, en efecto, dista de la naturaleza y esencia del convenio interadministrativo.</w:t>
      </w:r>
    </w:p>
    <w:p w14:paraId="40ECA5EC" w14:textId="77777777" w:rsidR="00542A9A" w:rsidRPr="002C675F" w:rsidRDefault="00542A9A" w:rsidP="00542A9A">
      <w:pPr>
        <w:snapToGrid w:val="0"/>
        <w:spacing w:after="120" w:line="276" w:lineRule="auto"/>
        <w:ind w:firstLine="709"/>
        <w:jc w:val="both"/>
        <w:rPr>
          <w:rFonts w:ascii="Verdana" w:eastAsia="Calibri" w:hAnsi="Verdana" w:cs="Arial"/>
          <w:bCs/>
          <w:color w:val="000000" w:themeColor="text1"/>
          <w:lang w:eastAsia="es-ES_tradnl" w:bidi="es-ES"/>
        </w:rPr>
      </w:pPr>
      <w:r w:rsidRPr="002C675F">
        <w:rPr>
          <w:rFonts w:ascii="Verdana" w:eastAsia="Times New Roman" w:hAnsi="Verdana" w:cs="Arial"/>
          <w:lang w:val="es-ES" w:eastAsia="es-ES_tradnl"/>
        </w:rPr>
        <w:t xml:space="preserve">Visto lo anterior, de conformidad con lo previsto en el artículo 95 de la Ley 489 de 1998 y el alcance que la jurisprudencia y conceptos del Consejo de Estado  y la doctrina le han conferido al tema de la regulación de los contratos y convenios interadministrativos, esta última tipología presenta las siguientes características: </w:t>
      </w:r>
      <w:r w:rsidRPr="002C675F">
        <w:rPr>
          <w:rFonts w:ascii="Verdana" w:eastAsia="Times New Roman" w:hAnsi="Verdana" w:cs="Arial"/>
          <w:i/>
          <w:iCs/>
          <w:lang w:val="es-ES" w:eastAsia="es-ES_tradnl"/>
        </w:rPr>
        <w:t>(i)</w:t>
      </w:r>
      <w:r w:rsidRPr="002C675F">
        <w:rPr>
          <w:rFonts w:ascii="Verdana" w:eastAsia="Times New Roman" w:hAnsi="Verdana" w:cs="Arial"/>
          <w:lang w:val="es-ES" w:eastAsia="es-ES_tradnl"/>
        </w:rPr>
        <w:t xml:space="preserve"> se celebra entre dos entidades públicas que se encuentran en pie de igualdad con el objeto de cumplir competencias de ambas entidades dirigidas a un propósito común; </w:t>
      </w:r>
      <w:r w:rsidRPr="002C675F">
        <w:rPr>
          <w:rFonts w:ascii="Verdana" w:eastAsia="Times New Roman" w:hAnsi="Verdana" w:cs="Arial"/>
          <w:i/>
          <w:iCs/>
          <w:lang w:val="es-ES" w:eastAsia="es-ES_tradnl"/>
        </w:rPr>
        <w:t>(</w:t>
      </w:r>
      <w:proofErr w:type="spellStart"/>
      <w:r w:rsidRPr="002C675F">
        <w:rPr>
          <w:rFonts w:ascii="Verdana" w:eastAsia="Times New Roman" w:hAnsi="Verdana" w:cs="Arial"/>
          <w:i/>
          <w:iCs/>
          <w:lang w:val="es-ES" w:eastAsia="es-ES_tradnl"/>
        </w:rPr>
        <w:t>ii</w:t>
      </w:r>
      <w:proofErr w:type="spellEnd"/>
      <w:r w:rsidRPr="002C675F">
        <w:rPr>
          <w:rFonts w:ascii="Verdana" w:eastAsia="Times New Roman" w:hAnsi="Verdana" w:cs="Arial"/>
          <w:i/>
          <w:iCs/>
          <w:lang w:val="es-ES" w:eastAsia="es-ES_tradnl"/>
        </w:rPr>
        <w:t>)</w:t>
      </w:r>
      <w:r w:rsidRPr="002C675F">
        <w:rPr>
          <w:rFonts w:ascii="Verdana" w:eastAsia="Times New Roman" w:hAnsi="Verdana" w:cs="Arial"/>
          <w:lang w:val="es-ES" w:eastAsia="es-ES_tradnl"/>
        </w:rPr>
        <w:t xml:space="preserve"> la modalidad para su celebración es la contratación directa; </w:t>
      </w:r>
      <w:r w:rsidRPr="002C675F">
        <w:rPr>
          <w:rFonts w:ascii="Verdana" w:eastAsia="Times New Roman" w:hAnsi="Verdana" w:cs="Arial"/>
          <w:i/>
          <w:iCs/>
          <w:lang w:val="es-ES" w:eastAsia="es-ES_tradnl"/>
        </w:rPr>
        <w:t>(</w:t>
      </w:r>
      <w:proofErr w:type="spellStart"/>
      <w:r w:rsidRPr="002C675F">
        <w:rPr>
          <w:rFonts w:ascii="Verdana" w:eastAsia="Times New Roman" w:hAnsi="Verdana" w:cs="Arial"/>
          <w:i/>
          <w:iCs/>
          <w:lang w:val="es-ES" w:eastAsia="es-ES_tradnl"/>
        </w:rPr>
        <w:t>iii</w:t>
      </w:r>
      <w:proofErr w:type="spellEnd"/>
      <w:r w:rsidRPr="002C675F">
        <w:rPr>
          <w:rFonts w:ascii="Verdana" w:eastAsia="Times New Roman" w:hAnsi="Verdana" w:cs="Arial"/>
          <w:i/>
          <w:iCs/>
          <w:lang w:val="es-ES" w:eastAsia="es-ES_tradnl"/>
        </w:rPr>
        <w:t>)</w:t>
      </w:r>
      <w:r w:rsidRPr="002C675F">
        <w:rPr>
          <w:rFonts w:ascii="Verdana" w:eastAsia="Times New Roman" w:hAnsi="Verdana" w:cs="Arial"/>
          <w:lang w:val="es-ES" w:eastAsia="es-ES_tradnl"/>
        </w:rPr>
        <w:t xml:space="preserve"> los convenios interadministrativos pueden suponer el compromiso de recursos públicos y, por consiguiente, la realización de aportes financieros. Ello, sin embargo, no supone la posibilidad de que en este tipo de relaciones jurídicas exista una remuneración en favor de uno de los </w:t>
      </w:r>
      <w:proofErr w:type="spellStart"/>
      <w:r w:rsidRPr="002C675F">
        <w:rPr>
          <w:rFonts w:ascii="Verdana" w:eastAsia="Times New Roman" w:hAnsi="Verdana" w:cs="Arial"/>
          <w:lang w:val="es-ES" w:eastAsia="es-ES_tradnl"/>
        </w:rPr>
        <w:t>co-contratantes</w:t>
      </w:r>
      <w:proofErr w:type="spellEnd"/>
      <w:r w:rsidRPr="002C675F">
        <w:rPr>
          <w:rFonts w:ascii="Verdana" w:eastAsia="Times New Roman" w:hAnsi="Verdana" w:cs="Arial"/>
          <w:lang w:val="es-ES" w:eastAsia="es-ES_tradnl"/>
        </w:rPr>
        <w:t xml:space="preserve"> y a cargo de otro u otros.</w:t>
      </w:r>
    </w:p>
    <w:p w14:paraId="51A61E15" w14:textId="77777777" w:rsidR="00542A9A" w:rsidRDefault="00542A9A" w:rsidP="00542A9A">
      <w:pPr>
        <w:snapToGrid w:val="0"/>
        <w:spacing w:after="120" w:line="276" w:lineRule="auto"/>
        <w:ind w:firstLine="709"/>
        <w:jc w:val="both"/>
        <w:rPr>
          <w:rFonts w:ascii="Verdana" w:eastAsia="Calibri" w:hAnsi="Verdana" w:cs="Arial"/>
          <w:bCs/>
          <w:color w:val="000000" w:themeColor="text1"/>
          <w:lang w:eastAsia="es-ES_tradnl" w:bidi="es-ES"/>
        </w:rPr>
      </w:pPr>
      <w:r w:rsidRPr="002C675F">
        <w:rPr>
          <w:rFonts w:ascii="Verdana" w:eastAsia="Calibri" w:hAnsi="Verdana" w:cs="Arial"/>
          <w:bCs/>
          <w:color w:val="000000" w:themeColor="text1"/>
          <w:lang w:eastAsia="es-ES_tradnl" w:bidi="es-ES"/>
        </w:rPr>
        <w:t xml:space="preserve">En suma, el convenio interadministrativo es un negocio jurídico en el cual están presentes dos entidades públicas y cuyo objeto es coordinar, cooperar, colaborar o distribuir competencias en la realización de funciones administrativas de interés común y, por tanto, tienen intereses convergentes o coincidentes, sin que se reciba por alguna de ellas el pago de un precio o contraprestación; en tanto que el contrato interadministrativo, aunque es celebrado también entre dos  entidades públicas, es un negocio jurídico generador de obligaciones al cual acuden estas con diversidad de intereses y en ellos existe una contraprestación </w:t>
      </w:r>
      <w:r w:rsidRPr="002C675F">
        <w:rPr>
          <w:rFonts w:ascii="Verdana" w:eastAsia="Calibri" w:hAnsi="Verdana" w:cs="Arial"/>
          <w:bCs/>
          <w:color w:val="000000" w:themeColor="text1"/>
          <w:lang w:eastAsia="es-ES_tradnl" w:bidi="es-ES"/>
        </w:rPr>
        <w:lastRenderedPageBreak/>
        <w:t xml:space="preserve">directa a favor de la entidad contratista que ha entregado el bien o prestado el servicio o realizado la obra a favor de la entidad contratante. </w:t>
      </w:r>
    </w:p>
    <w:p w14:paraId="6CDCF32D" w14:textId="77777777" w:rsidR="00542A9A" w:rsidRDefault="00542A9A" w:rsidP="00542A9A">
      <w:pPr>
        <w:snapToGrid w:val="0"/>
        <w:spacing w:after="120" w:line="276" w:lineRule="auto"/>
        <w:ind w:firstLine="709"/>
        <w:jc w:val="both"/>
        <w:rPr>
          <w:rFonts w:ascii="Verdana" w:eastAsia="Arial" w:hAnsi="Verdana" w:cs="Arial"/>
          <w:bCs/>
          <w:lang w:eastAsia="es-ES" w:bidi="es-ES"/>
        </w:rPr>
      </w:pPr>
      <w:r>
        <w:rPr>
          <w:rFonts w:ascii="Verdana" w:eastAsia="Calibri" w:hAnsi="Verdana" w:cs="Arial"/>
          <w:bCs/>
          <w:color w:val="000000" w:themeColor="text1"/>
          <w:lang w:eastAsia="es-ES_tradnl" w:bidi="es-ES"/>
        </w:rPr>
        <w:t xml:space="preserve">Ahora bien, en el marco de la celebración de un convenio interadministrativo puede suceder que en estos </w:t>
      </w:r>
      <w:r w:rsidRPr="00825B70">
        <w:rPr>
          <w:rFonts w:ascii="Verdana" w:eastAsia="Arial" w:hAnsi="Verdana" w:cs="Arial"/>
          <w:bCs/>
          <w:lang w:eastAsia="es-ES" w:bidi="es-ES"/>
        </w:rPr>
        <w:t>se pact</w:t>
      </w:r>
      <w:r>
        <w:rPr>
          <w:rFonts w:ascii="Verdana" w:eastAsia="Arial" w:hAnsi="Verdana" w:cs="Arial"/>
          <w:bCs/>
          <w:lang w:eastAsia="es-ES" w:bidi="es-ES"/>
        </w:rPr>
        <w:t>e</w:t>
      </w:r>
      <w:r w:rsidRPr="00825B70">
        <w:rPr>
          <w:rFonts w:ascii="Verdana" w:eastAsia="Arial" w:hAnsi="Verdana" w:cs="Arial"/>
          <w:bCs/>
          <w:lang w:eastAsia="es-ES" w:bidi="es-ES"/>
        </w:rPr>
        <w:t>n compromisos generales entre las partes para el cumplimiento de un fin común, que serán concretados en uno o más convenios</w:t>
      </w:r>
      <w:r>
        <w:rPr>
          <w:rFonts w:ascii="Verdana" w:eastAsia="Arial" w:hAnsi="Verdana" w:cs="Arial"/>
          <w:bCs/>
          <w:lang w:eastAsia="es-ES" w:bidi="es-ES"/>
        </w:rPr>
        <w:t xml:space="preserve"> o contratos</w:t>
      </w:r>
      <w:r w:rsidRPr="00825B70">
        <w:rPr>
          <w:rFonts w:ascii="Verdana" w:eastAsia="Arial" w:hAnsi="Verdana" w:cs="Arial"/>
          <w:bCs/>
          <w:lang w:eastAsia="es-ES" w:bidi="es-ES"/>
        </w:rPr>
        <w:t xml:space="preserve"> derivados que se suscribirán a futuro</w:t>
      </w:r>
      <w:r>
        <w:rPr>
          <w:rFonts w:ascii="Verdana" w:eastAsia="Arial" w:hAnsi="Verdana" w:cs="Arial"/>
          <w:bCs/>
          <w:lang w:eastAsia="es-ES" w:bidi="es-ES"/>
        </w:rPr>
        <w:t>. En estos casos los convenios interadministrativos son también denominados “convenios marcos”. Estos convenios s</w:t>
      </w:r>
      <w:r w:rsidRPr="00825B70">
        <w:rPr>
          <w:rFonts w:ascii="Verdana" w:eastAsia="Arial" w:hAnsi="Verdana" w:cs="Arial"/>
          <w:bCs/>
          <w:lang w:eastAsia="es-ES" w:bidi="es-ES"/>
        </w:rPr>
        <w:t>on comunes en la práctica administrativa de las entidades públicas cuando estas requieren celebrar acuerdos entre sí, con compromisos recíprocos e intenciones generales, con la finalidad de cumplir los fines estatales, que posteriormente podrán concretarse en convenios o acuerdos específicos y, tienen como característica principal que no generan erogación presupuestal por sí mismos</w:t>
      </w:r>
      <w:r w:rsidRPr="00825B70">
        <w:rPr>
          <w:rFonts w:ascii="Verdana" w:eastAsia="Arial" w:hAnsi="Verdana" w:cs="Arial"/>
          <w:vertAlign w:val="superscript"/>
          <w:lang w:eastAsia="es-ES_tradnl"/>
        </w:rPr>
        <w:footnoteReference w:id="15"/>
      </w:r>
      <w:r w:rsidRPr="00825B70">
        <w:rPr>
          <w:rFonts w:ascii="Verdana" w:eastAsia="Arial" w:hAnsi="Verdana" w:cs="Arial"/>
          <w:bCs/>
          <w:lang w:eastAsia="es-ES" w:bidi="es-ES"/>
        </w:rPr>
        <w:t>.</w:t>
      </w:r>
    </w:p>
    <w:p w14:paraId="736A0699" w14:textId="77777777" w:rsidR="00542A9A" w:rsidRDefault="00542A9A" w:rsidP="00542A9A">
      <w:pPr>
        <w:widowControl w:val="0"/>
        <w:autoSpaceDE w:val="0"/>
        <w:autoSpaceDN w:val="0"/>
        <w:spacing w:after="120" w:line="276" w:lineRule="auto"/>
        <w:ind w:firstLine="709"/>
        <w:jc w:val="both"/>
        <w:rPr>
          <w:rFonts w:ascii="Verdana" w:eastAsia="Arial" w:hAnsi="Verdana" w:cs="Arial"/>
          <w:bCs/>
          <w:lang w:eastAsia="es-ES" w:bidi="es-ES"/>
        </w:rPr>
      </w:pPr>
      <w:r>
        <w:rPr>
          <w:rFonts w:ascii="Verdana" w:eastAsia="Arial" w:hAnsi="Verdana" w:cs="Arial"/>
          <w:bCs/>
          <w:lang w:eastAsia="es-ES" w:bidi="es-ES"/>
        </w:rPr>
        <w:t>Sobre el particular, en sentencia del 11 de julio del 2025 el Consejo de Estado se pronunció sobre los convenios marco e indicó que “</w:t>
      </w:r>
      <w:r w:rsidRPr="00C35F97">
        <w:rPr>
          <w:rFonts w:ascii="Verdana" w:eastAsia="Arial" w:hAnsi="Verdana" w:cs="Arial"/>
          <w:bCs/>
          <w:lang w:eastAsia="es-ES" w:bidi="es-ES"/>
        </w:rPr>
        <w:t>constituye un negocio jurídico atípico, en la medida en que no existe una regulación</w:t>
      </w:r>
      <w:r>
        <w:rPr>
          <w:rFonts w:ascii="Verdana" w:eastAsia="Arial" w:hAnsi="Verdana" w:cs="Arial"/>
          <w:bCs/>
          <w:lang w:eastAsia="es-ES" w:bidi="es-ES"/>
        </w:rPr>
        <w:t xml:space="preserve"> </w:t>
      </w:r>
      <w:r w:rsidRPr="00C35F97">
        <w:rPr>
          <w:rFonts w:ascii="Verdana" w:eastAsia="Arial" w:hAnsi="Verdana" w:cs="Arial"/>
          <w:bCs/>
          <w:lang w:eastAsia="es-ES" w:bidi="es-ES"/>
        </w:rPr>
        <w:t>legal específica que discipline su contenido. Su celebración respondió al ejercicio de</w:t>
      </w:r>
      <w:r>
        <w:rPr>
          <w:rFonts w:ascii="Verdana" w:eastAsia="Arial" w:hAnsi="Verdana" w:cs="Arial"/>
          <w:bCs/>
          <w:lang w:eastAsia="es-ES" w:bidi="es-ES"/>
        </w:rPr>
        <w:t xml:space="preserve"> </w:t>
      </w:r>
      <w:r w:rsidRPr="00C35F97">
        <w:rPr>
          <w:rFonts w:ascii="Verdana" w:eastAsia="Arial" w:hAnsi="Verdana" w:cs="Arial"/>
          <w:bCs/>
          <w:lang w:eastAsia="es-ES" w:bidi="es-ES"/>
        </w:rPr>
        <w:t>la autonomía de la voluntad y presenta los rasgos característicos de lo que se ha</w:t>
      </w:r>
      <w:r>
        <w:rPr>
          <w:rFonts w:ascii="Verdana" w:eastAsia="Arial" w:hAnsi="Verdana" w:cs="Arial"/>
          <w:bCs/>
          <w:lang w:eastAsia="es-ES" w:bidi="es-ES"/>
        </w:rPr>
        <w:t xml:space="preserve"> </w:t>
      </w:r>
      <w:r w:rsidRPr="00C35F97">
        <w:rPr>
          <w:rFonts w:ascii="Verdana" w:eastAsia="Arial" w:hAnsi="Verdana" w:cs="Arial"/>
          <w:bCs/>
          <w:lang w:eastAsia="es-ES" w:bidi="es-ES"/>
        </w:rPr>
        <w:t>denominado contrato marco: un acuerdo que no regula intereses actuales, sino que</w:t>
      </w:r>
      <w:r>
        <w:rPr>
          <w:rFonts w:ascii="Verdana" w:eastAsia="Arial" w:hAnsi="Verdana" w:cs="Arial"/>
          <w:bCs/>
          <w:lang w:eastAsia="es-ES" w:bidi="es-ES"/>
        </w:rPr>
        <w:t xml:space="preserve"> </w:t>
      </w:r>
      <w:r w:rsidRPr="00C35F97">
        <w:rPr>
          <w:rFonts w:ascii="Verdana" w:eastAsia="Arial" w:hAnsi="Verdana" w:cs="Arial"/>
          <w:bCs/>
          <w:lang w:eastAsia="es-ES" w:bidi="es-ES"/>
        </w:rPr>
        <w:t>establece los lineamientos generales para futuras relaciones jurídicas entre las partes</w:t>
      </w:r>
      <w:r>
        <w:rPr>
          <w:rFonts w:ascii="Verdana" w:eastAsia="Arial" w:hAnsi="Verdana" w:cs="Arial"/>
          <w:bCs/>
          <w:lang w:eastAsia="es-ES" w:bidi="es-ES"/>
        </w:rPr>
        <w:t>”</w:t>
      </w:r>
      <w:r w:rsidRPr="00C35F97">
        <w:rPr>
          <w:rFonts w:ascii="Verdana" w:eastAsia="Arial" w:hAnsi="Verdana" w:cs="Arial"/>
          <w:bCs/>
          <w:lang w:eastAsia="es-ES" w:bidi="es-ES"/>
        </w:rPr>
        <w:t>.</w:t>
      </w:r>
      <w:r>
        <w:rPr>
          <w:rFonts w:ascii="Verdana" w:eastAsia="Arial" w:hAnsi="Verdana" w:cs="Arial"/>
          <w:bCs/>
          <w:lang w:eastAsia="es-ES" w:bidi="es-ES"/>
        </w:rPr>
        <w:t xml:space="preserve"> Respecto de sus características principales señaló que e</w:t>
      </w:r>
      <w:r w:rsidRPr="00261BCA">
        <w:rPr>
          <w:rFonts w:ascii="Verdana" w:eastAsia="Arial" w:hAnsi="Verdana" w:cs="Arial"/>
          <w:bCs/>
          <w:lang w:eastAsia="es-ES" w:bidi="es-ES"/>
        </w:rPr>
        <w:t xml:space="preserve">sta clase de instrumentos negociales presenta los siguientes rasgos: </w:t>
      </w:r>
    </w:p>
    <w:p w14:paraId="458C0229" w14:textId="77777777" w:rsidR="00542A9A" w:rsidRDefault="00542A9A" w:rsidP="00542A9A">
      <w:pPr>
        <w:widowControl w:val="0"/>
        <w:autoSpaceDE w:val="0"/>
        <w:autoSpaceDN w:val="0"/>
        <w:spacing w:after="0" w:line="276" w:lineRule="auto"/>
        <w:ind w:firstLine="709"/>
        <w:jc w:val="both"/>
        <w:rPr>
          <w:rFonts w:ascii="Verdana" w:eastAsia="Arial" w:hAnsi="Verdana" w:cs="Arial"/>
          <w:bCs/>
          <w:lang w:eastAsia="es-ES" w:bidi="es-ES"/>
        </w:rPr>
      </w:pPr>
    </w:p>
    <w:p w14:paraId="273BABFF" w14:textId="77777777" w:rsidR="00542A9A" w:rsidRPr="00261BCA" w:rsidRDefault="00542A9A" w:rsidP="00542A9A">
      <w:pPr>
        <w:widowControl w:val="0"/>
        <w:autoSpaceDE w:val="0"/>
        <w:autoSpaceDN w:val="0"/>
        <w:spacing w:after="0" w:line="240" w:lineRule="auto"/>
        <w:ind w:left="709" w:right="760"/>
        <w:jc w:val="both"/>
        <w:rPr>
          <w:rFonts w:ascii="Verdana" w:eastAsia="Arial" w:hAnsi="Verdana" w:cs="Arial"/>
          <w:bCs/>
          <w:sz w:val="20"/>
          <w:szCs w:val="20"/>
          <w:lang w:eastAsia="es-ES" w:bidi="es-ES"/>
        </w:rPr>
      </w:pPr>
      <w:r w:rsidRPr="00261BCA">
        <w:rPr>
          <w:rFonts w:ascii="Verdana" w:eastAsia="Arial" w:hAnsi="Verdana" w:cs="Arial"/>
          <w:bCs/>
          <w:sz w:val="20"/>
          <w:szCs w:val="20"/>
          <w:lang w:eastAsia="es-ES" w:bidi="es-ES"/>
        </w:rPr>
        <w:t>“(i) su vocación de permanencia en el tiempo; (</w:t>
      </w:r>
      <w:proofErr w:type="spellStart"/>
      <w:r w:rsidRPr="00261BCA">
        <w:rPr>
          <w:rFonts w:ascii="Verdana" w:eastAsia="Arial" w:hAnsi="Verdana" w:cs="Arial"/>
          <w:bCs/>
          <w:sz w:val="20"/>
          <w:szCs w:val="20"/>
          <w:lang w:eastAsia="es-ES" w:bidi="es-ES"/>
        </w:rPr>
        <w:t>ii</w:t>
      </w:r>
      <w:proofErr w:type="spellEnd"/>
      <w:r w:rsidRPr="00261BCA">
        <w:rPr>
          <w:rFonts w:ascii="Verdana" w:eastAsia="Arial" w:hAnsi="Verdana" w:cs="Arial"/>
          <w:bCs/>
          <w:sz w:val="20"/>
          <w:szCs w:val="20"/>
          <w:lang w:eastAsia="es-ES" w:bidi="es-ES"/>
        </w:rPr>
        <w:t>) su carácter regulatorio de la relación entre las partes, lo cual permite simplificar la celebración de negocios subordinados o actos de ejecución; y (</w:t>
      </w:r>
      <w:proofErr w:type="spellStart"/>
      <w:r w:rsidRPr="00261BCA">
        <w:rPr>
          <w:rFonts w:ascii="Verdana" w:eastAsia="Arial" w:hAnsi="Verdana" w:cs="Arial"/>
          <w:bCs/>
          <w:sz w:val="20"/>
          <w:szCs w:val="20"/>
          <w:lang w:eastAsia="es-ES" w:bidi="es-ES"/>
        </w:rPr>
        <w:t>iii</w:t>
      </w:r>
      <w:proofErr w:type="spellEnd"/>
      <w:r w:rsidRPr="00261BCA">
        <w:rPr>
          <w:rFonts w:ascii="Verdana" w:eastAsia="Arial" w:hAnsi="Verdana" w:cs="Arial"/>
          <w:bCs/>
          <w:sz w:val="20"/>
          <w:szCs w:val="20"/>
          <w:lang w:eastAsia="es-ES" w:bidi="es-ES"/>
        </w:rPr>
        <w:t xml:space="preserve">) la circunstancia de que, al momento de su suscripción, el objeto contractual no se encuentra determinado con precisión, sino que su contenido y alcance solo se definen en desarrollos posteriores (órdenes de servicio, actas de ejecución, etc.). Esta modalidad contractual permite pactar anticipadamente, con efectos extensivos a los negocios futuros que se suscriban bajo su amparo, las estipulaciones comunes a todos ellos. Su función económica, por tanto, no consiste en viabilizar de forma inmediata un intercambio de bienes o servicios, sino en establecer un marco general de cooperación entre las partes, que reduce los costos de transacción y </w:t>
      </w:r>
      <w:r w:rsidRPr="00261BCA">
        <w:rPr>
          <w:rFonts w:ascii="Verdana" w:eastAsia="Arial" w:hAnsi="Verdana" w:cs="Arial"/>
          <w:bCs/>
          <w:sz w:val="20"/>
          <w:szCs w:val="20"/>
          <w:lang w:eastAsia="es-ES" w:bidi="es-ES"/>
        </w:rPr>
        <w:lastRenderedPageBreak/>
        <w:t>facilita la ejecución de negocios jurídicos posteriores</w:t>
      </w:r>
      <w:r>
        <w:rPr>
          <w:rStyle w:val="Refdenotaalpie"/>
          <w:rFonts w:ascii="Verdana" w:eastAsia="Arial" w:hAnsi="Verdana" w:cs="Arial"/>
          <w:bCs/>
          <w:sz w:val="20"/>
          <w:szCs w:val="20"/>
          <w:lang w:eastAsia="es-ES" w:bidi="es-ES"/>
        </w:rPr>
        <w:footnoteReference w:id="16"/>
      </w:r>
      <w:r w:rsidRPr="00261BCA">
        <w:rPr>
          <w:rFonts w:ascii="Verdana" w:eastAsia="Arial" w:hAnsi="Verdana" w:cs="Arial"/>
          <w:bCs/>
          <w:sz w:val="20"/>
          <w:szCs w:val="20"/>
          <w:lang w:eastAsia="es-ES" w:bidi="es-ES"/>
        </w:rPr>
        <w:t>”.</w:t>
      </w:r>
    </w:p>
    <w:p w14:paraId="37422BF4" w14:textId="77777777" w:rsidR="00542A9A" w:rsidRPr="00825B70" w:rsidRDefault="00542A9A" w:rsidP="00542A9A">
      <w:pPr>
        <w:widowControl w:val="0"/>
        <w:autoSpaceDE w:val="0"/>
        <w:autoSpaceDN w:val="0"/>
        <w:spacing w:after="0" w:line="276" w:lineRule="auto"/>
        <w:ind w:left="709" w:right="760"/>
        <w:jc w:val="both"/>
        <w:rPr>
          <w:rFonts w:ascii="Verdana" w:eastAsia="Arial" w:hAnsi="Verdana" w:cs="Arial"/>
          <w:bCs/>
          <w:lang w:eastAsia="es-ES" w:bidi="es-ES"/>
        </w:rPr>
      </w:pPr>
    </w:p>
    <w:p w14:paraId="009D1313" w14:textId="77777777" w:rsidR="00542A9A" w:rsidRDefault="00542A9A" w:rsidP="00542A9A">
      <w:pPr>
        <w:snapToGrid w:val="0"/>
        <w:spacing w:after="120" w:line="276" w:lineRule="auto"/>
        <w:ind w:firstLine="709"/>
        <w:jc w:val="both"/>
        <w:rPr>
          <w:rFonts w:ascii="Verdana" w:eastAsia="Arial" w:hAnsi="Verdana" w:cs="Arial"/>
          <w:bCs/>
          <w:lang w:eastAsia="es-ES" w:bidi="es-ES"/>
        </w:rPr>
      </w:pPr>
      <w:r w:rsidRPr="00C055BD">
        <w:rPr>
          <w:rFonts w:ascii="Verdana" w:eastAsia="Arial" w:hAnsi="Verdana" w:cs="Arial"/>
          <w:bCs/>
          <w:lang w:eastAsia="es-ES" w:bidi="es-ES"/>
        </w:rPr>
        <w:t>Teniendo en cuenta lo anterior, podemos destacar los siguientes aspectos de los convenios marco, sin limitarnos a estos</w:t>
      </w:r>
      <w:r>
        <w:rPr>
          <w:rFonts w:ascii="Verdana" w:eastAsia="Arial" w:hAnsi="Verdana" w:cs="Arial"/>
          <w:bCs/>
          <w:lang w:eastAsia="es-ES" w:bidi="es-ES"/>
        </w:rPr>
        <w:t>:</w:t>
      </w:r>
    </w:p>
    <w:p w14:paraId="24F174CE" w14:textId="77777777" w:rsidR="00542A9A" w:rsidRDefault="00542A9A" w:rsidP="00542A9A">
      <w:pPr>
        <w:widowControl w:val="0"/>
        <w:autoSpaceDE w:val="0"/>
        <w:autoSpaceDN w:val="0"/>
        <w:spacing w:after="120" w:line="276" w:lineRule="auto"/>
        <w:ind w:firstLine="709"/>
        <w:jc w:val="both"/>
        <w:rPr>
          <w:rFonts w:ascii="Verdana" w:eastAsia="Arial" w:hAnsi="Verdana" w:cs="Arial"/>
          <w:bCs/>
          <w:lang w:eastAsia="es-ES" w:bidi="es-ES"/>
        </w:rPr>
      </w:pPr>
      <w:r>
        <w:rPr>
          <w:rFonts w:ascii="Verdana" w:eastAsia="Arial" w:hAnsi="Verdana" w:cs="Arial"/>
          <w:bCs/>
          <w:lang w:eastAsia="es-ES" w:bidi="es-ES"/>
        </w:rPr>
        <w:t>a</w:t>
      </w:r>
      <w:r w:rsidRPr="00825B70">
        <w:rPr>
          <w:rFonts w:ascii="Verdana" w:eastAsia="Arial" w:hAnsi="Verdana" w:cs="Arial"/>
          <w:bCs/>
          <w:lang w:eastAsia="es-ES" w:bidi="es-ES"/>
        </w:rPr>
        <w:t>)  Pueden definirse como acuerdos de voluntades entre las entidades públicas que fijan compromisos generales para el cumplimiento de los fines estatales, que serán concretados en uno o más convenios</w:t>
      </w:r>
      <w:r>
        <w:rPr>
          <w:rFonts w:ascii="Verdana" w:eastAsia="Arial" w:hAnsi="Verdana" w:cs="Arial"/>
          <w:bCs/>
          <w:lang w:eastAsia="es-ES" w:bidi="es-ES"/>
        </w:rPr>
        <w:t xml:space="preserve"> o contratos</w:t>
      </w:r>
      <w:r w:rsidRPr="00825B70">
        <w:rPr>
          <w:rFonts w:ascii="Verdana" w:eastAsia="Arial" w:hAnsi="Verdana" w:cs="Arial"/>
          <w:bCs/>
          <w:lang w:eastAsia="es-ES" w:bidi="es-ES"/>
        </w:rPr>
        <w:t xml:space="preserve"> específicos o derivados en los que se determinan condiciones especiales de ejecución atendiendo a las actividades a desarrollar. </w:t>
      </w:r>
    </w:p>
    <w:p w14:paraId="5E1ABF74" w14:textId="77777777" w:rsidR="00542A9A" w:rsidRDefault="00542A9A" w:rsidP="00542A9A">
      <w:pPr>
        <w:widowControl w:val="0"/>
        <w:autoSpaceDE w:val="0"/>
        <w:autoSpaceDN w:val="0"/>
        <w:spacing w:after="120" w:line="276" w:lineRule="auto"/>
        <w:ind w:firstLine="709"/>
        <w:jc w:val="both"/>
        <w:rPr>
          <w:rFonts w:ascii="Verdana" w:eastAsia="Arial" w:hAnsi="Verdana" w:cs="Arial"/>
          <w:bCs/>
          <w:lang w:eastAsia="es-ES" w:bidi="es-ES"/>
        </w:rPr>
      </w:pPr>
      <w:r>
        <w:rPr>
          <w:rFonts w:ascii="Verdana" w:eastAsia="Arial" w:hAnsi="Verdana" w:cs="Arial"/>
          <w:bCs/>
          <w:lang w:eastAsia="es-ES" w:bidi="es-ES"/>
        </w:rPr>
        <w:t xml:space="preserve">En este sentido, </w:t>
      </w:r>
      <w:r>
        <w:rPr>
          <w:rFonts w:ascii="Verdana" w:hAnsi="Verdana"/>
        </w:rPr>
        <w:t>la finalidad de estos convenios es</w:t>
      </w:r>
      <w:r w:rsidRPr="00B8733A">
        <w:rPr>
          <w:rFonts w:ascii="Verdana" w:eastAsia="Arial" w:hAnsi="Verdana" w:cs="Arial"/>
          <w:bCs/>
          <w:lang w:eastAsia="es-ES" w:bidi="es-ES"/>
        </w:rPr>
        <w:t xml:space="preserve"> </w:t>
      </w:r>
      <w:r w:rsidRPr="00825B70">
        <w:rPr>
          <w:rFonts w:ascii="Verdana" w:eastAsia="Arial" w:hAnsi="Verdana" w:cs="Arial"/>
          <w:bCs/>
          <w:lang w:eastAsia="es-ES" w:bidi="es-ES"/>
        </w:rPr>
        <w:t>regular el contenido mínimo de las relaciones contractuales de las partes bajo un esquema general, que luego se concretarán en futuros acuerdo o contratos en los cuales es obligatorio el contenido preestablecido.</w:t>
      </w:r>
      <w:r>
        <w:rPr>
          <w:rFonts w:ascii="Verdana" w:eastAsia="Arial" w:hAnsi="Verdana" w:cs="Arial"/>
          <w:bCs/>
          <w:lang w:eastAsia="es-ES" w:bidi="es-ES"/>
        </w:rPr>
        <w:t xml:space="preserve"> Por tanto, en el convenio marco se acuerda de manera general y preliminar algunos aspectos de los futuros contratos</w:t>
      </w:r>
      <w:r w:rsidRPr="00825B70">
        <w:rPr>
          <w:rFonts w:ascii="Verdana" w:eastAsia="Arial" w:hAnsi="Verdana" w:cs="Arial"/>
          <w:bCs/>
          <w:sz w:val="20"/>
          <w:szCs w:val="20"/>
          <w:lang w:eastAsia="es-ES" w:bidi="es-ES"/>
        </w:rPr>
        <w:t>,</w:t>
      </w:r>
      <w:r w:rsidRPr="00DE1268">
        <w:rPr>
          <w:rFonts w:ascii="Verdana" w:eastAsia="Arial" w:hAnsi="Verdana" w:cs="Arial"/>
          <w:bCs/>
          <w:lang w:eastAsia="es-ES" w:bidi="es-ES"/>
        </w:rPr>
        <w:t xml:space="preserve"> los cuales quedan subordinados a su específica determinación una vez se precise el alcance y valoración de las actividades, bienes o servicios que se requieran en el curso de su vigencia</w:t>
      </w:r>
      <w:r w:rsidRPr="00DE1268">
        <w:rPr>
          <w:rFonts w:ascii="Verdana" w:eastAsia="Arial" w:hAnsi="Verdana" w:cs="Arial"/>
          <w:bCs/>
          <w:vertAlign w:val="superscript"/>
          <w:lang w:eastAsia="es-ES" w:bidi="es-ES"/>
        </w:rPr>
        <w:footnoteReference w:id="17"/>
      </w:r>
      <w:r w:rsidRPr="00DE1268">
        <w:rPr>
          <w:rFonts w:ascii="Verdana" w:eastAsia="Arial" w:hAnsi="Verdana" w:cs="Arial"/>
          <w:bCs/>
          <w:lang w:eastAsia="es-ES" w:bidi="es-ES"/>
        </w:rPr>
        <w:t>.</w:t>
      </w:r>
    </w:p>
    <w:p w14:paraId="432FA875" w14:textId="77777777" w:rsidR="00542A9A" w:rsidRDefault="00542A9A" w:rsidP="00542A9A">
      <w:pPr>
        <w:widowControl w:val="0"/>
        <w:autoSpaceDE w:val="0"/>
        <w:autoSpaceDN w:val="0"/>
        <w:spacing w:after="120" w:line="276" w:lineRule="auto"/>
        <w:ind w:firstLine="709"/>
        <w:jc w:val="both"/>
        <w:rPr>
          <w:rFonts w:ascii="Verdana" w:hAnsi="Verdana"/>
        </w:rPr>
      </w:pPr>
      <w:r w:rsidRPr="00BD6CEC">
        <w:rPr>
          <w:rFonts w:ascii="Verdana" w:hAnsi="Verdana"/>
        </w:rPr>
        <w:t xml:space="preserve">Bajo esta perspectiva, los contratos que se deriven del convenio marco mantienen una relación de subordinación respecto del instrumento principal. No obstante, dado que el contenido y alcance del convenio marco suelen tener un carácter general, abstracto </w:t>
      </w:r>
      <w:r>
        <w:rPr>
          <w:rFonts w:ascii="Verdana" w:hAnsi="Verdana"/>
        </w:rPr>
        <w:t xml:space="preserve">e </w:t>
      </w:r>
      <w:r w:rsidRPr="00BD6CEC">
        <w:rPr>
          <w:rFonts w:ascii="Verdana" w:hAnsi="Verdana"/>
        </w:rPr>
        <w:t xml:space="preserve">indeterminado, su </w:t>
      </w:r>
      <w:r>
        <w:rPr>
          <w:rFonts w:ascii="Verdana" w:hAnsi="Verdana"/>
        </w:rPr>
        <w:t>concreción</w:t>
      </w:r>
      <w:r w:rsidRPr="00BD6CEC">
        <w:rPr>
          <w:rFonts w:ascii="Verdana" w:hAnsi="Verdana"/>
        </w:rPr>
        <w:t xml:space="preserve"> se produce con la suscripción de los acuerdos o contratos específicos que lo desarrollan.</w:t>
      </w:r>
    </w:p>
    <w:p w14:paraId="165E7476" w14:textId="77777777" w:rsidR="00542A9A" w:rsidRPr="00BD6CEC" w:rsidRDefault="00542A9A" w:rsidP="00542A9A">
      <w:pPr>
        <w:widowControl w:val="0"/>
        <w:autoSpaceDE w:val="0"/>
        <w:autoSpaceDN w:val="0"/>
        <w:spacing w:after="120" w:line="276" w:lineRule="auto"/>
        <w:ind w:firstLine="709"/>
        <w:jc w:val="both"/>
        <w:rPr>
          <w:rFonts w:ascii="Verdana" w:hAnsi="Verdana"/>
        </w:rPr>
      </w:pPr>
      <w:r>
        <w:rPr>
          <w:rFonts w:ascii="Verdana" w:hAnsi="Verdana"/>
        </w:rPr>
        <w:t xml:space="preserve"> Así las cosas</w:t>
      </w:r>
      <w:r w:rsidRPr="00BD6CEC">
        <w:rPr>
          <w:rFonts w:ascii="Verdana" w:hAnsi="Verdana"/>
        </w:rPr>
        <w:t>, aunque los contratos derivados deben ajustarse a los lineamientos técnicos, jurídicos, financieros y administrativos definidos en el convenio marco, es posible que, durante la definición concreta de las actividades en los acuerdos específicos, surja la necesidad de precisar o complementar aspectos que no fueron establecidos de manera detallada en el instrumento principal</w:t>
      </w:r>
      <w:r>
        <w:rPr>
          <w:rFonts w:ascii="Verdana" w:hAnsi="Verdana"/>
        </w:rPr>
        <w:t xml:space="preserve"> o inclusive a replantearlos con la justificación técnica debida</w:t>
      </w:r>
      <w:r w:rsidRPr="00BD6CEC">
        <w:rPr>
          <w:rFonts w:ascii="Verdana" w:hAnsi="Verdana"/>
        </w:rPr>
        <w:t xml:space="preserve">. Esta situación se </w:t>
      </w:r>
      <w:r>
        <w:rPr>
          <w:rFonts w:ascii="Verdana" w:hAnsi="Verdana"/>
        </w:rPr>
        <w:t>sustenta en que</w:t>
      </w:r>
      <w:r w:rsidRPr="00BD6CEC">
        <w:rPr>
          <w:rFonts w:ascii="Verdana" w:hAnsi="Verdana"/>
        </w:rPr>
        <w:t xml:space="preserve"> el convenio marco tiene una naturaleza preliminar y de orientación general, que se concreta progresivamente a través de los contratos específicos.</w:t>
      </w:r>
      <w:r>
        <w:rPr>
          <w:rFonts w:ascii="Verdana" w:hAnsi="Verdana"/>
        </w:rPr>
        <w:t xml:space="preserve"> De esta manera, </w:t>
      </w:r>
      <w:r w:rsidRPr="00577EF4">
        <w:rPr>
          <w:rFonts w:ascii="Verdana" w:hAnsi="Verdana"/>
        </w:rPr>
        <w:t xml:space="preserve">el convenio marco no implica necesariamente la entrega de productos determinados, ya que la definición concreta de estos puede </w:t>
      </w:r>
      <w:r>
        <w:rPr>
          <w:rFonts w:ascii="Verdana" w:hAnsi="Verdana"/>
        </w:rPr>
        <w:t>establecerse en</w:t>
      </w:r>
      <w:r w:rsidRPr="00577EF4">
        <w:rPr>
          <w:rFonts w:ascii="Verdana" w:hAnsi="Verdana"/>
        </w:rPr>
        <w:t xml:space="preserve"> los contratos o acuerdos específicos </w:t>
      </w:r>
      <w:r w:rsidRPr="00577EF4">
        <w:rPr>
          <w:rFonts w:ascii="Verdana" w:hAnsi="Verdana"/>
        </w:rPr>
        <w:lastRenderedPageBreak/>
        <w:t>que se suscriban en su desarrollo, instrumentos en los cuales se precisan las actividades y los resultados particulares</w:t>
      </w:r>
      <w:r w:rsidRPr="000F258F">
        <w:rPr>
          <w:rFonts w:ascii="Verdana" w:hAnsi="Verdana"/>
        </w:rPr>
        <w:t>.</w:t>
      </w:r>
      <w:r>
        <w:rPr>
          <w:rFonts w:ascii="Verdana" w:hAnsi="Verdana"/>
        </w:rPr>
        <w:t xml:space="preserve"> </w:t>
      </w:r>
      <w:r w:rsidRPr="007A30F0">
        <w:rPr>
          <w:rFonts w:ascii="Verdana" w:eastAsia="Calibri" w:hAnsi="Verdana" w:cs="Arial"/>
          <w:b/>
          <w:bCs/>
          <w:lang w:val="es-ES_tradnl"/>
        </w:rPr>
        <w:t>(Respuestas la pregunta [4])</w:t>
      </w:r>
    </w:p>
    <w:p w14:paraId="40A6922F" w14:textId="77777777" w:rsidR="00542A9A" w:rsidRDefault="00542A9A" w:rsidP="00542A9A">
      <w:pPr>
        <w:widowControl w:val="0"/>
        <w:autoSpaceDE w:val="0"/>
        <w:autoSpaceDN w:val="0"/>
        <w:spacing w:after="120" w:line="276" w:lineRule="auto"/>
        <w:ind w:firstLine="709"/>
        <w:jc w:val="both"/>
        <w:rPr>
          <w:rFonts w:ascii="Verdana" w:hAnsi="Verdana"/>
        </w:rPr>
      </w:pPr>
      <w:r>
        <w:rPr>
          <w:rFonts w:ascii="Verdana" w:hAnsi="Verdana"/>
        </w:rPr>
        <w:t>En este contexto</w:t>
      </w:r>
      <w:r w:rsidRPr="00BD6CEC">
        <w:rPr>
          <w:rFonts w:ascii="Verdana" w:hAnsi="Verdana"/>
        </w:rPr>
        <w:t xml:space="preserve">, </w:t>
      </w:r>
      <w:r w:rsidRPr="00232901">
        <w:rPr>
          <w:rFonts w:ascii="Verdana" w:hAnsi="Verdana"/>
        </w:rPr>
        <w:t>la evaluación de los riesgos y de las consecuencias jurídicas derivadas de</w:t>
      </w:r>
      <w:r>
        <w:rPr>
          <w:rFonts w:ascii="Verdana" w:hAnsi="Verdana"/>
        </w:rPr>
        <w:t>l</w:t>
      </w:r>
      <w:r w:rsidRPr="00232901">
        <w:rPr>
          <w:rFonts w:ascii="Verdana" w:hAnsi="Verdana"/>
        </w:rPr>
        <w:t xml:space="preserve"> desconocimiento de los lineamientos del convenio marco debe </w:t>
      </w:r>
      <w:r>
        <w:rPr>
          <w:rFonts w:ascii="Verdana" w:hAnsi="Verdana"/>
        </w:rPr>
        <w:t>realizarse</w:t>
      </w:r>
      <w:r w:rsidRPr="00232901">
        <w:rPr>
          <w:rFonts w:ascii="Verdana" w:hAnsi="Verdana"/>
        </w:rPr>
        <w:t xml:space="preserve"> teniendo en cuenta tanto las disposiciones contenidas en dicho instrumento principal como las particularidades de cada contrato o acuerdo específico</w:t>
      </w:r>
      <w:r>
        <w:rPr>
          <w:rFonts w:ascii="Verdana" w:hAnsi="Verdana"/>
        </w:rPr>
        <w:t>.</w:t>
      </w:r>
      <w:r w:rsidRPr="00C70F89">
        <w:t xml:space="preserve"> </w:t>
      </w:r>
      <w:r w:rsidRPr="00C70F89">
        <w:rPr>
          <w:rFonts w:ascii="Verdana" w:hAnsi="Verdana"/>
        </w:rPr>
        <w:t>Asimismo, dicho análisis debe</w:t>
      </w:r>
      <w:r>
        <w:rPr>
          <w:rFonts w:ascii="Verdana" w:hAnsi="Verdana"/>
        </w:rPr>
        <w:t xml:space="preserve"> considerar</w:t>
      </w:r>
      <w:r w:rsidRPr="00C70F89">
        <w:rPr>
          <w:rFonts w:ascii="Verdana" w:hAnsi="Verdana"/>
        </w:rPr>
        <w:t xml:space="preserve"> la necesidad técnica, jurídica y administrativa de complementar o desarrollar aspectos que, por su naturaleza general o indeterminada, no fueron definidos en el convenio marco, pero resultan indispensables para la adecuada ejecución del objeto contractu</w:t>
      </w:r>
      <w:r>
        <w:rPr>
          <w:rFonts w:ascii="Verdana" w:hAnsi="Verdana"/>
        </w:rPr>
        <w:t>al.</w:t>
      </w:r>
    </w:p>
    <w:p w14:paraId="5142DB35" w14:textId="77777777" w:rsidR="00542A9A" w:rsidRDefault="00542A9A" w:rsidP="00542A9A">
      <w:pPr>
        <w:widowControl w:val="0"/>
        <w:autoSpaceDE w:val="0"/>
        <w:autoSpaceDN w:val="0"/>
        <w:spacing w:after="120" w:line="276" w:lineRule="auto"/>
        <w:ind w:firstLine="709"/>
        <w:jc w:val="both"/>
        <w:rPr>
          <w:rFonts w:ascii="Verdana" w:hAnsi="Verdana"/>
        </w:rPr>
      </w:pPr>
      <w:r>
        <w:rPr>
          <w:rFonts w:ascii="Verdana" w:hAnsi="Verdana"/>
        </w:rPr>
        <w:t>En todo caso, l</w:t>
      </w:r>
      <w:r w:rsidRPr="0048214D">
        <w:rPr>
          <w:rFonts w:ascii="Verdana" w:hAnsi="Verdana"/>
        </w:rPr>
        <w:t xml:space="preserve">a inobservancia de </w:t>
      </w:r>
      <w:r>
        <w:rPr>
          <w:rFonts w:ascii="Verdana" w:hAnsi="Verdana"/>
        </w:rPr>
        <w:t xml:space="preserve">los lineamientos del convenio marco sin una debida justificación </w:t>
      </w:r>
      <w:r w:rsidRPr="00BE5AC3">
        <w:rPr>
          <w:rFonts w:ascii="Verdana" w:hAnsi="Verdana"/>
        </w:rPr>
        <w:t>puede constituir un incumplimiento contractual y generar responsabilidades de tipo disciplinaria o fiscal, particularmente cuando se trate de convenios que impliquen aportes o traslados presupuestales destinados a proyectos específicos.</w:t>
      </w:r>
      <w:r>
        <w:rPr>
          <w:rFonts w:ascii="Verdana" w:hAnsi="Verdana"/>
        </w:rPr>
        <w:t xml:space="preserve"> Las consecuencias jurídicas como la nulidad absoluta o relativa, a las que se refiere en su consulta, deberán revisarse de cara al caso particular y teniendo en cuenta las causales específicas que establece el art. 44 de la Ley 80 de 1993</w:t>
      </w:r>
      <w:r>
        <w:rPr>
          <w:rStyle w:val="Refdenotaalpie"/>
          <w:rFonts w:ascii="Verdana" w:hAnsi="Verdana"/>
        </w:rPr>
        <w:footnoteReference w:id="18"/>
      </w:r>
      <w:r>
        <w:rPr>
          <w:rFonts w:ascii="Verdana" w:hAnsi="Verdana"/>
        </w:rPr>
        <w:t xml:space="preserve">. </w:t>
      </w:r>
      <w:r w:rsidRPr="007A30F0">
        <w:rPr>
          <w:rFonts w:ascii="Verdana" w:eastAsia="Calibri" w:hAnsi="Verdana" w:cs="Arial"/>
          <w:b/>
          <w:bCs/>
          <w:lang w:val="es-ES_tradnl"/>
        </w:rPr>
        <w:t>(Respuestas las preguntas [3] y [7])</w:t>
      </w:r>
    </w:p>
    <w:p w14:paraId="0CE05AB2" w14:textId="77777777" w:rsidR="00542A9A" w:rsidRDefault="00542A9A" w:rsidP="00542A9A">
      <w:pPr>
        <w:widowControl w:val="0"/>
        <w:autoSpaceDE w:val="0"/>
        <w:autoSpaceDN w:val="0"/>
        <w:spacing w:after="120" w:line="276" w:lineRule="auto"/>
        <w:ind w:firstLine="709"/>
        <w:jc w:val="both"/>
        <w:rPr>
          <w:rFonts w:ascii="Verdana" w:hAnsi="Verdana"/>
        </w:rPr>
      </w:pPr>
      <w:r>
        <w:rPr>
          <w:rFonts w:ascii="Verdana" w:hAnsi="Verdana"/>
        </w:rPr>
        <w:t xml:space="preserve">Por otro lado, en atención al carácter indeterminado del convenio marco, </w:t>
      </w:r>
      <w:r w:rsidRPr="004442D2">
        <w:rPr>
          <w:rFonts w:ascii="Verdana" w:hAnsi="Verdana"/>
        </w:rPr>
        <w:t xml:space="preserve">pueden presentarse situaciones en las cuales </w:t>
      </w:r>
      <w:r>
        <w:rPr>
          <w:rFonts w:ascii="Verdana" w:hAnsi="Verdana"/>
        </w:rPr>
        <w:t xml:space="preserve">los contratos específicos </w:t>
      </w:r>
      <w:r w:rsidRPr="004442D2">
        <w:rPr>
          <w:rFonts w:ascii="Verdana" w:hAnsi="Verdana"/>
        </w:rPr>
        <w:t>prevean un plazo de ejecución diferente al establecido en el convenio marco, cuando ello resulte necesario para atender circunstancias particulares que permitan el adecuado cumplimiento del objeto contractual.</w:t>
      </w:r>
      <w:r>
        <w:rPr>
          <w:rFonts w:ascii="Verdana" w:hAnsi="Verdana"/>
        </w:rPr>
        <w:t xml:space="preserve"> </w:t>
      </w:r>
    </w:p>
    <w:p w14:paraId="16041B5C" w14:textId="77777777" w:rsidR="00542A9A" w:rsidRPr="004442D2" w:rsidRDefault="00542A9A" w:rsidP="00542A9A">
      <w:pPr>
        <w:widowControl w:val="0"/>
        <w:autoSpaceDE w:val="0"/>
        <w:autoSpaceDN w:val="0"/>
        <w:spacing w:after="120" w:line="276" w:lineRule="auto"/>
        <w:ind w:firstLine="709"/>
        <w:jc w:val="both"/>
        <w:rPr>
          <w:rFonts w:ascii="Verdana" w:hAnsi="Verdana"/>
        </w:rPr>
      </w:pPr>
      <w:r>
        <w:rPr>
          <w:rFonts w:ascii="Verdana" w:hAnsi="Verdana"/>
        </w:rPr>
        <w:t xml:space="preserve">No obstante, </w:t>
      </w:r>
      <w:r w:rsidRPr="004442D2">
        <w:rPr>
          <w:rFonts w:ascii="Verdana" w:hAnsi="Verdana"/>
        </w:rPr>
        <w:t>resulta indispensable revisar las disposiciones del convenio marco relativas a la ejecución, terminación y liquidación de los contratos derivados, con el fin de asegurar la coherencia entre lo allí establecido y las condiciones previstas en los acuerdos específicos.</w:t>
      </w:r>
      <w:r>
        <w:rPr>
          <w:rFonts w:ascii="Verdana" w:hAnsi="Verdana"/>
        </w:rPr>
        <w:t xml:space="preserve"> </w:t>
      </w:r>
      <w:r w:rsidRPr="004442D2">
        <w:rPr>
          <w:rFonts w:ascii="Verdana" w:hAnsi="Verdana"/>
        </w:rPr>
        <w:t xml:space="preserve">En consecuencia, la sola existencia de una diferencia entre los plazos del convenio marco y los de un </w:t>
      </w:r>
      <w:r w:rsidRPr="004442D2">
        <w:rPr>
          <w:rFonts w:ascii="Verdana" w:hAnsi="Verdana"/>
        </w:rPr>
        <w:lastRenderedPageBreak/>
        <w:t xml:space="preserve">contrato derivado no genera, por sí misma, </w:t>
      </w:r>
      <w:r>
        <w:rPr>
          <w:rFonts w:ascii="Verdana" w:hAnsi="Verdana"/>
        </w:rPr>
        <w:t>consecuencias jurídicas o incumplimiento contractual. Para tales efectos,</w:t>
      </w:r>
      <w:r w:rsidRPr="004442D2">
        <w:rPr>
          <w:rFonts w:ascii="Verdana" w:hAnsi="Verdana"/>
        </w:rPr>
        <w:t xml:space="preserve"> será necesario analizar </w:t>
      </w:r>
      <w:r>
        <w:rPr>
          <w:rFonts w:ascii="Verdana" w:hAnsi="Verdana"/>
        </w:rPr>
        <w:t xml:space="preserve">en cada caso </w:t>
      </w:r>
      <w:r w:rsidRPr="004442D2">
        <w:rPr>
          <w:rFonts w:ascii="Verdana" w:hAnsi="Verdana"/>
        </w:rPr>
        <w:t xml:space="preserve">las cláusulas del convenio marco y las circunstancias particulares </w:t>
      </w:r>
      <w:r w:rsidRPr="00C648CD">
        <w:rPr>
          <w:rFonts w:ascii="Verdana" w:hAnsi="Verdana"/>
        </w:rPr>
        <w:t>que dieron lugar a dicha diferencia, con el fin de determinar las posibles implicaciones jurídicas o</w:t>
      </w:r>
      <w:r>
        <w:rPr>
          <w:rFonts w:ascii="Verdana" w:hAnsi="Verdana"/>
        </w:rPr>
        <w:t xml:space="preserve"> las</w:t>
      </w:r>
      <w:r w:rsidRPr="00C648CD">
        <w:rPr>
          <w:rFonts w:ascii="Verdana" w:hAnsi="Verdana"/>
        </w:rPr>
        <w:t xml:space="preserve"> responsabilidades que puedan derivarse</w:t>
      </w:r>
      <w:r>
        <w:rPr>
          <w:rFonts w:ascii="Verdana" w:hAnsi="Verdana"/>
        </w:rPr>
        <w:t>.</w:t>
      </w:r>
      <w:r w:rsidRPr="007A30F0">
        <w:rPr>
          <w:rFonts w:ascii="Verdana" w:hAnsi="Verdana"/>
          <w:b/>
          <w:bCs/>
        </w:rPr>
        <w:t xml:space="preserve"> </w:t>
      </w:r>
      <w:r w:rsidRPr="007A30F0">
        <w:rPr>
          <w:rFonts w:ascii="Verdana" w:eastAsia="Calibri" w:hAnsi="Verdana" w:cs="Arial"/>
          <w:b/>
          <w:bCs/>
          <w:lang w:val="es-ES_tradnl"/>
        </w:rPr>
        <w:t>(Respuesta a la pregunta [5])</w:t>
      </w:r>
    </w:p>
    <w:p w14:paraId="369A50D8" w14:textId="77777777" w:rsidR="00542A9A" w:rsidRPr="00825B70" w:rsidRDefault="00542A9A" w:rsidP="00542A9A">
      <w:pPr>
        <w:widowControl w:val="0"/>
        <w:autoSpaceDE w:val="0"/>
        <w:autoSpaceDN w:val="0"/>
        <w:spacing w:after="120" w:line="276" w:lineRule="auto"/>
        <w:ind w:firstLine="709"/>
        <w:jc w:val="both"/>
        <w:rPr>
          <w:rFonts w:ascii="Verdana" w:eastAsia="Arial" w:hAnsi="Verdana" w:cs="Arial"/>
          <w:bCs/>
          <w:lang w:eastAsia="es-ES" w:bidi="es-ES"/>
        </w:rPr>
      </w:pPr>
      <w:r>
        <w:rPr>
          <w:rFonts w:ascii="Verdana" w:eastAsia="Arial" w:hAnsi="Verdana" w:cs="Arial"/>
          <w:bCs/>
          <w:lang w:eastAsia="es-ES" w:bidi="es-ES"/>
        </w:rPr>
        <w:t>b</w:t>
      </w:r>
      <w:r w:rsidRPr="00825B70">
        <w:rPr>
          <w:rFonts w:ascii="Verdana" w:eastAsia="Arial" w:hAnsi="Verdana" w:cs="Arial"/>
          <w:bCs/>
          <w:lang w:eastAsia="es-ES" w:bidi="es-ES"/>
        </w:rPr>
        <w:t xml:space="preserve">) </w:t>
      </w:r>
      <w:r>
        <w:rPr>
          <w:rFonts w:ascii="Verdana" w:eastAsia="Arial" w:hAnsi="Verdana" w:cs="Arial"/>
          <w:bCs/>
          <w:lang w:eastAsia="es-ES" w:bidi="es-ES"/>
        </w:rPr>
        <w:t>S</w:t>
      </w:r>
      <w:r w:rsidRPr="00825B70">
        <w:rPr>
          <w:rFonts w:ascii="Verdana" w:eastAsia="Arial" w:hAnsi="Verdana" w:cs="Arial"/>
          <w:bCs/>
          <w:lang w:eastAsia="es-ES" w:bidi="es-ES"/>
        </w:rPr>
        <w:t>e trata de un convenio patrón que determina una modalidad específica de estructuración de l</w:t>
      </w:r>
      <w:r>
        <w:rPr>
          <w:rFonts w:ascii="Verdana" w:eastAsia="Arial" w:hAnsi="Verdana" w:cs="Arial"/>
          <w:bCs/>
          <w:lang w:eastAsia="es-ES" w:bidi="es-ES"/>
        </w:rPr>
        <w:t>os compromisos de las partes</w:t>
      </w:r>
      <w:r w:rsidRPr="00825B70">
        <w:rPr>
          <w:rFonts w:ascii="Verdana" w:eastAsia="Arial" w:hAnsi="Verdana" w:cs="Arial"/>
          <w:bCs/>
          <w:lang w:eastAsia="es-ES" w:bidi="es-ES"/>
        </w:rPr>
        <w:t xml:space="preserve">. En tal sentido, cuando son celebrados entre entidades públicas son verdaderos convenios interadministrativos y, por tanto, el régimen jurídico aplicable es el inherente a estos convenios, pues su denominación como </w:t>
      </w:r>
      <w:r>
        <w:rPr>
          <w:rFonts w:ascii="Verdana" w:eastAsia="Arial" w:hAnsi="Verdana" w:cs="Arial"/>
          <w:bCs/>
          <w:lang w:eastAsia="es-ES" w:bidi="es-ES"/>
        </w:rPr>
        <w:t>“</w:t>
      </w:r>
      <w:r w:rsidRPr="00825B70">
        <w:rPr>
          <w:rFonts w:ascii="Verdana" w:eastAsia="Arial" w:hAnsi="Verdana" w:cs="Arial"/>
          <w:bCs/>
          <w:lang w:eastAsia="es-ES" w:bidi="es-ES"/>
        </w:rPr>
        <w:t>convenios marco</w:t>
      </w:r>
      <w:r>
        <w:rPr>
          <w:rFonts w:ascii="Verdana" w:eastAsia="Arial" w:hAnsi="Verdana" w:cs="Arial"/>
          <w:bCs/>
          <w:lang w:eastAsia="es-ES" w:bidi="es-ES"/>
        </w:rPr>
        <w:t>”</w:t>
      </w:r>
      <w:r w:rsidRPr="00825B70">
        <w:rPr>
          <w:rFonts w:ascii="Verdana" w:eastAsia="Arial" w:hAnsi="Verdana" w:cs="Arial"/>
          <w:bCs/>
          <w:lang w:eastAsia="es-ES" w:bidi="es-ES"/>
        </w:rPr>
        <w:t xml:space="preserve">, no le extrae de su naturaleza jurídica. </w:t>
      </w:r>
    </w:p>
    <w:p w14:paraId="591C3FB1" w14:textId="77777777" w:rsidR="00542A9A" w:rsidRPr="00825B70" w:rsidRDefault="00542A9A" w:rsidP="00542A9A">
      <w:pPr>
        <w:widowControl w:val="0"/>
        <w:autoSpaceDE w:val="0"/>
        <w:autoSpaceDN w:val="0"/>
        <w:spacing w:after="120" w:line="276" w:lineRule="auto"/>
        <w:ind w:firstLine="709"/>
        <w:jc w:val="both"/>
        <w:rPr>
          <w:rFonts w:ascii="Verdana" w:eastAsia="Arial" w:hAnsi="Verdana" w:cs="Arial"/>
          <w:bCs/>
          <w:lang w:eastAsia="es-ES" w:bidi="es-ES"/>
        </w:rPr>
      </w:pPr>
      <w:r>
        <w:rPr>
          <w:rFonts w:ascii="Verdana" w:eastAsia="Arial" w:hAnsi="Verdana" w:cs="Arial"/>
          <w:bCs/>
          <w:lang w:eastAsia="es-ES" w:bidi="es-ES"/>
        </w:rPr>
        <w:t>c</w:t>
      </w:r>
      <w:r w:rsidRPr="00825B70">
        <w:rPr>
          <w:rFonts w:ascii="Verdana" w:eastAsia="Arial" w:hAnsi="Verdana" w:cs="Arial"/>
          <w:bCs/>
          <w:lang w:eastAsia="es-ES" w:bidi="es-ES"/>
        </w:rPr>
        <w:t xml:space="preserve">) Su fundamento jurídico se construye a partir de los artículos 13, 32 y 40 de la Ley 80 de 1993 y en el ordenamiento civil y comercial, en el que se conocen bajo la denominación de </w:t>
      </w:r>
      <w:r>
        <w:rPr>
          <w:rFonts w:ascii="Verdana" w:eastAsia="Arial" w:hAnsi="Verdana" w:cs="Arial"/>
          <w:bCs/>
          <w:lang w:eastAsia="es-ES" w:bidi="es-ES"/>
        </w:rPr>
        <w:t>“</w:t>
      </w:r>
      <w:r w:rsidRPr="00825B70">
        <w:rPr>
          <w:rFonts w:ascii="Verdana" w:eastAsia="Arial" w:hAnsi="Verdana" w:cs="Arial"/>
          <w:bCs/>
          <w:lang w:eastAsia="es-ES" w:bidi="es-ES"/>
        </w:rPr>
        <w:t>contrato marco o normativo</w:t>
      </w:r>
      <w:r>
        <w:rPr>
          <w:rFonts w:ascii="Verdana" w:eastAsia="Arial" w:hAnsi="Verdana" w:cs="Arial"/>
          <w:bCs/>
          <w:lang w:eastAsia="es-ES" w:bidi="es-ES"/>
        </w:rPr>
        <w:t>”</w:t>
      </w:r>
      <w:r w:rsidRPr="00825B70">
        <w:rPr>
          <w:rFonts w:ascii="Verdana" w:eastAsia="Arial" w:hAnsi="Verdana" w:cs="Arial"/>
          <w:bCs/>
          <w:lang w:eastAsia="es-ES" w:bidi="es-ES"/>
        </w:rPr>
        <w:t>.</w:t>
      </w:r>
    </w:p>
    <w:p w14:paraId="2BC43F3F" w14:textId="77777777" w:rsidR="00542A9A" w:rsidRPr="00825B70" w:rsidRDefault="00542A9A" w:rsidP="00542A9A">
      <w:pPr>
        <w:widowControl w:val="0"/>
        <w:autoSpaceDE w:val="0"/>
        <w:autoSpaceDN w:val="0"/>
        <w:spacing w:after="120" w:line="276" w:lineRule="auto"/>
        <w:ind w:firstLine="709"/>
        <w:jc w:val="both"/>
        <w:rPr>
          <w:rFonts w:ascii="Verdana" w:eastAsia="Arial" w:hAnsi="Verdana" w:cs="Arial"/>
          <w:bCs/>
          <w:lang w:eastAsia="es-ES" w:bidi="es-ES"/>
        </w:rPr>
      </w:pPr>
      <w:r>
        <w:rPr>
          <w:rFonts w:ascii="Verdana" w:eastAsia="Arial" w:hAnsi="Verdana" w:cs="Arial"/>
          <w:bCs/>
          <w:lang w:eastAsia="es-ES" w:bidi="es-ES"/>
        </w:rPr>
        <w:t>d</w:t>
      </w:r>
      <w:r w:rsidRPr="00825B70">
        <w:rPr>
          <w:rFonts w:ascii="Verdana" w:eastAsia="Arial" w:hAnsi="Verdana" w:cs="Arial"/>
          <w:bCs/>
          <w:lang w:eastAsia="es-ES" w:bidi="es-ES"/>
        </w:rPr>
        <w:t>) Por lo general no generan erogación presupuestal.</w:t>
      </w:r>
    </w:p>
    <w:p w14:paraId="22BB147A" w14:textId="77777777" w:rsidR="00542A9A" w:rsidRPr="00752A54" w:rsidRDefault="00542A9A" w:rsidP="00542A9A">
      <w:pPr>
        <w:widowControl w:val="0"/>
        <w:autoSpaceDE w:val="0"/>
        <w:autoSpaceDN w:val="0"/>
        <w:spacing w:after="120" w:line="276" w:lineRule="auto"/>
        <w:ind w:firstLine="709"/>
        <w:jc w:val="both"/>
        <w:rPr>
          <w:rFonts w:ascii="Verdana" w:eastAsia="Arial" w:hAnsi="Verdana" w:cs="Arial"/>
          <w:bCs/>
          <w:lang w:eastAsia="es-ES" w:bidi="es-ES"/>
        </w:rPr>
      </w:pPr>
      <w:r>
        <w:rPr>
          <w:rFonts w:ascii="Verdana" w:eastAsia="Arial" w:hAnsi="Verdana" w:cs="Arial"/>
          <w:bCs/>
          <w:lang w:eastAsia="es-ES" w:bidi="es-ES"/>
        </w:rPr>
        <w:t>e</w:t>
      </w:r>
      <w:r w:rsidRPr="00825B70">
        <w:rPr>
          <w:rFonts w:ascii="Verdana" w:eastAsia="Arial" w:hAnsi="Verdana" w:cs="Arial"/>
          <w:bCs/>
          <w:lang w:eastAsia="es-ES" w:bidi="es-ES"/>
        </w:rPr>
        <w:t>) Son vinculantes para las partes y producen los efectos jurídicos de cualquier convenio interadministrativo. Así mismo, los convenios o contratos específicos o derivados deberán cumplir las normas aplicables en la materia.</w:t>
      </w:r>
      <w:r>
        <w:rPr>
          <w:rFonts w:ascii="Verdana" w:eastAsia="Arial" w:hAnsi="Verdana" w:cs="Arial"/>
          <w:bCs/>
          <w:lang w:eastAsia="es-ES" w:bidi="es-ES"/>
        </w:rPr>
        <w:t xml:space="preserve"> </w:t>
      </w:r>
    </w:p>
    <w:p w14:paraId="7E0D55D2" w14:textId="77777777" w:rsidR="00542A9A" w:rsidRPr="003A0096" w:rsidRDefault="00542A9A" w:rsidP="00542A9A">
      <w:pPr>
        <w:spacing w:after="120" w:line="276" w:lineRule="auto"/>
        <w:jc w:val="both"/>
        <w:rPr>
          <w:rFonts w:ascii="Verdana" w:eastAsia="Calibri" w:hAnsi="Verdana" w:cs="Arial"/>
          <w:bCs/>
          <w:lang w:val="es-ES_tradnl"/>
        </w:rPr>
      </w:pPr>
      <w:proofErr w:type="spellStart"/>
      <w:r>
        <w:rPr>
          <w:rFonts w:ascii="Verdana" w:eastAsia="Arial MT" w:hAnsi="Verdana" w:cs="Arial"/>
          <w:lang w:eastAsia="es-ES" w:bidi="es-ES"/>
        </w:rPr>
        <w:t>ii</w:t>
      </w:r>
      <w:proofErr w:type="spellEnd"/>
      <w:r>
        <w:rPr>
          <w:rFonts w:ascii="Verdana" w:eastAsia="Arial MT" w:hAnsi="Verdana" w:cs="Arial"/>
          <w:lang w:eastAsia="es-ES" w:bidi="es-ES"/>
        </w:rPr>
        <w:t xml:space="preserve">. Ahora bien, para efectos de dar respuesta al segundo problema jurídico planteado conviene hacer algunas precisiones en torno a la supervisión de los contratos estatales. </w:t>
      </w:r>
      <w:r w:rsidRPr="003A0096">
        <w:rPr>
          <w:rFonts w:ascii="Verdana" w:eastAsia="Times New Roman" w:hAnsi="Verdana" w:cs="Arial"/>
          <w:shd w:val="clear" w:color="auto" w:fill="FFFFFF"/>
          <w:lang w:val="es-ES"/>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60A260C2" w14:textId="77777777" w:rsidR="00542A9A" w:rsidRPr="003A0096" w:rsidRDefault="00542A9A" w:rsidP="00542A9A">
      <w:pPr>
        <w:spacing w:after="0" w:line="276" w:lineRule="auto"/>
        <w:ind w:firstLine="709"/>
        <w:jc w:val="both"/>
        <w:rPr>
          <w:rFonts w:ascii="Verdana" w:eastAsia="Times New Roman" w:hAnsi="Verdana" w:cs="Arial"/>
          <w:lang w:val="es-ES" w:eastAsia="es-MX"/>
        </w:rPr>
      </w:pPr>
      <w:r w:rsidRPr="003A0096">
        <w:rPr>
          <w:rFonts w:ascii="Verdana" w:eastAsia="Times New Roman" w:hAnsi="Verdana" w:cs="Arial"/>
          <w:lang w:val="es-ES" w:eastAsia="es-MX"/>
        </w:rPr>
        <w:t xml:space="preserve">La jurisprudencia contencioso-administrativa, por su parte, ha considerado que la obligación de vigilar la correcta ejecución del objeto contractual es una función de la entidad contratante, en los siguientes términos: </w:t>
      </w:r>
    </w:p>
    <w:p w14:paraId="5066DBE6" w14:textId="77777777" w:rsidR="00542A9A" w:rsidRPr="003A0096" w:rsidRDefault="00542A9A" w:rsidP="00542A9A">
      <w:pPr>
        <w:spacing w:after="0" w:line="256" w:lineRule="auto"/>
        <w:ind w:left="709"/>
        <w:contextualSpacing/>
        <w:jc w:val="both"/>
        <w:rPr>
          <w:rFonts w:ascii="Verdana" w:eastAsia="Times New Roman" w:hAnsi="Verdana" w:cs="Arial"/>
          <w:lang w:val="es-ES_tradnl" w:eastAsia="es-MX"/>
        </w:rPr>
      </w:pPr>
    </w:p>
    <w:p w14:paraId="150EF633" w14:textId="77777777" w:rsidR="00542A9A" w:rsidRPr="003A0096" w:rsidRDefault="00542A9A" w:rsidP="00542A9A">
      <w:pPr>
        <w:spacing w:after="0" w:line="240" w:lineRule="auto"/>
        <w:ind w:left="709" w:right="709"/>
        <w:contextualSpacing/>
        <w:jc w:val="both"/>
        <w:rPr>
          <w:rFonts w:ascii="Verdana" w:eastAsia="Times New Roman" w:hAnsi="Verdana" w:cs="Arial"/>
          <w:sz w:val="20"/>
          <w:szCs w:val="20"/>
          <w:lang w:val="es-ES_tradnl" w:eastAsia="es-MX"/>
        </w:rPr>
      </w:pPr>
      <w:bookmarkStart w:id="3" w:name="_Hlk178671999"/>
      <w:r w:rsidRPr="003A0096">
        <w:rPr>
          <w:rFonts w:ascii="Verdana" w:eastAsia="Times New Roman" w:hAnsi="Verdana" w:cs="Arial"/>
          <w:sz w:val="20"/>
          <w:szCs w:val="20"/>
          <w:lang w:val="es-ES_tradnl" w:eastAsia="es-MX"/>
        </w:rPr>
        <w:lastRenderedPageBreak/>
        <w:t>“La función de vigilancia y control del contrato estatal supone el cuidado y la supervisión, de forma tal que en ejercicio de esa función</w:t>
      </w:r>
      <w:bookmarkEnd w:id="3"/>
      <w:r w:rsidRPr="003A0096">
        <w:rPr>
          <w:rFonts w:ascii="Verdana" w:eastAsia="Times New Roman"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3A0096">
        <w:rPr>
          <w:rFonts w:ascii="Verdana" w:eastAsia="Times New Roman" w:hAnsi="Verdana" w:cs="Arial"/>
          <w:sz w:val="20"/>
          <w:szCs w:val="20"/>
          <w:vertAlign w:val="superscript"/>
          <w:lang w:val="es-ES_tradnl" w:eastAsia="es-MX"/>
        </w:rPr>
        <w:footnoteReference w:id="19"/>
      </w:r>
      <w:r w:rsidRPr="003A0096">
        <w:rPr>
          <w:rFonts w:ascii="Verdana" w:eastAsia="Times New Roman" w:hAnsi="Verdana" w:cs="Arial"/>
          <w:sz w:val="20"/>
          <w:szCs w:val="20"/>
          <w:lang w:val="es-ES_tradnl" w:eastAsia="es-MX"/>
        </w:rPr>
        <w:t>.</w:t>
      </w:r>
    </w:p>
    <w:p w14:paraId="7A07CEBA" w14:textId="77777777" w:rsidR="00542A9A" w:rsidRPr="003A0096" w:rsidRDefault="00542A9A" w:rsidP="00542A9A">
      <w:pPr>
        <w:spacing w:after="0" w:line="276" w:lineRule="auto"/>
        <w:jc w:val="both"/>
        <w:rPr>
          <w:rFonts w:ascii="Verdana" w:eastAsia="Calibri" w:hAnsi="Verdana" w:cs="Arial"/>
          <w:bCs/>
          <w:lang w:val="es-ES_tradnl"/>
        </w:rPr>
      </w:pPr>
    </w:p>
    <w:p w14:paraId="1892AB5C" w14:textId="77777777" w:rsidR="00542A9A" w:rsidRPr="003A0096" w:rsidRDefault="00542A9A" w:rsidP="00542A9A">
      <w:pPr>
        <w:spacing w:after="0" w:line="276" w:lineRule="auto"/>
        <w:ind w:firstLine="708"/>
        <w:jc w:val="both"/>
        <w:rPr>
          <w:rFonts w:ascii="Verdana" w:eastAsia="Times New Roman" w:hAnsi="Verdana" w:cs="Arial"/>
          <w:lang w:val="es-ES" w:eastAsia="es-MX"/>
        </w:rPr>
      </w:pPr>
      <w:r w:rsidRPr="003A0096">
        <w:rPr>
          <w:rFonts w:ascii="Verdana" w:eastAsia="Calibri" w:hAnsi="Verdana" w:cs="Arial"/>
          <w:bCs/>
          <w:lang w:val="es-ES_tradnl"/>
        </w:rPr>
        <w:t xml:space="preserve">En específico, la supervisión de los contratos estatales se encuentra regulada en la Ley 1174 de 2011, que </w:t>
      </w:r>
      <w:r w:rsidRPr="003A0096">
        <w:rPr>
          <w:rFonts w:ascii="Verdana" w:eastAsia="Times New Roman" w:hAnsi="Verdana" w:cs="Arial"/>
          <w:lang w:val="es-ES" w:eastAsia="es-MX"/>
        </w:rPr>
        <w:t>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y definió la supervisión como:</w:t>
      </w:r>
    </w:p>
    <w:p w14:paraId="4DC4B094" w14:textId="77777777" w:rsidR="00542A9A" w:rsidRPr="003A0096" w:rsidRDefault="00542A9A" w:rsidP="00542A9A">
      <w:pPr>
        <w:spacing w:after="0" w:line="276" w:lineRule="auto"/>
        <w:ind w:firstLine="708"/>
        <w:jc w:val="both"/>
        <w:rPr>
          <w:rFonts w:ascii="Verdana" w:eastAsia="Times New Roman" w:hAnsi="Verdana" w:cs="Arial"/>
          <w:lang w:val="es-ES" w:eastAsia="es-MX"/>
        </w:rPr>
      </w:pPr>
    </w:p>
    <w:p w14:paraId="0DB6F489" w14:textId="77777777" w:rsidR="00542A9A" w:rsidRPr="003A0096" w:rsidRDefault="00542A9A" w:rsidP="00542A9A">
      <w:pPr>
        <w:spacing w:after="0" w:line="240" w:lineRule="auto"/>
        <w:ind w:left="709" w:right="709"/>
        <w:jc w:val="both"/>
        <w:textAlignment w:val="baseline"/>
        <w:rPr>
          <w:rFonts w:ascii="Verdana" w:eastAsia="Times New Roman" w:hAnsi="Verdana" w:cs="Arial"/>
          <w:sz w:val="20"/>
          <w:szCs w:val="20"/>
          <w:lang w:val="es-ES" w:eastAsia="es-MX"/>
        </w:rPr>
      </w:pPr>
      <w:r w:rsidRPr="003A0096">
        <w:rPr>
          <w:rFonts w:ascii="Verdana" w:eastAsia="Times New Roman"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especializados. Para la supervisión, la entidad estatal podrá contratar personal de apoyo, a través de los contratos de prestación de servicio que sean requeridos”.</w:t>
      </w:r>
    </w:p>
    <w:p w14:paraId="3ECFEC48" w14:textId="77777777" w:rsidR="00542A9A" w:rsidRPr="003A0096" w:rsidRDefault="00542A9A" w:rsidP="00542A9A">
      <w:pPr>
        <w:spacing w:after="0" w:line="276" w:lineRule="auto"/>
        <w:ind w:left="709" w:right="709"/>
        <w:jc w:val="both"/>
        <w:textAlignment w:val="baseline"/>
        <w:rPr>
          <w:rFonts w:ascii="Verdana" w:eastAsia="Times New Roman" w:hAnsi="Verdana" w:cs="Arial"/>
          <w:lang w:val="es-ES" w:eastAsia="es-MX"/>
        </w:rPr>
      </w:pPr>
    </w:p>
    <w:p w14:paraId="49A86F0E" w14:textId="77777777" w:rsidR="00542A9A" w:rsidRPr="003A0096" w:rsidRDefault="00542A9A" w:rsidP="00542A9A">
      <w:pPr>
        <w:spacing w:after="120" w:line="276" w:lineRule="auto"/>
        <w:ind w:firstLine="708"/>
        <w:jc w:val="both"/>
        <w:rPr>
          <w:rFonts w:ascii="Verdana" w:eastAsia="Times New Roman" w:hAnsi="Verdana" w:cs="Open Sans"/>
          <w:lang w:eastAsia="es-CO"/>
        </w:rPr>
      </w:pPr>
      <w:r w:rsidRPr="003A0096">
        <w:rPr>
          <w:rFonts w:ascii="Verdana" w:eastAsia="Times New Roman" w:hAnsi="Verdana" w:cs="Arial"/>
          <w:bCs/>
          <w:lang w:val="es-ES" w:eastAsia="es-CO"/>
        </w:rPr>
        <w:t>Adicionalmente, el artículo 84 de la Ley 1174 de 2011 en relación con las facultades de los supervisores establece que “</w:t>
      </w:r>
      <w:r w:rsidRPr="003A0096">
        <w:rPr>
          <w:rFonts w:ascii="Verdana" w:eastAsia="Times New Roman" w:hAnsi="Verdana" w:cs="Open Sans"/>
          <w:lang w:eastAsia="es-CO"/>
        </w:rPr>
        <w:t xml:space="preserve">implica el seguimiento al ejercicio del cumplimiento obligacional por la entidad contratante sobre las obligaciones a cargo del contratista”; estando facultados para solicitar aclaraciones, explicaciones e informes sobre la ejecución contractual. </w:t>
      </w:r>
    </w:p>
    <w:p w14:paraId="5DB95150" w14:textId="77777777" w:rsidR="00542A9A" w:rsidRPr="003A0096" w:rsidRDefault="00542A9A" w:rsidP="00542A9A">
      <w:pPr>
        <w:spacing w:after="120" w:line="276" w:lineRule="auto"/>
        <w:ind w:firstLine="708"/>
        <w:jc w:val="both"/>
        <w:rPr>
          <w:rFonts w:ascii="Verdana" w:eastAsia="Times New Roman" w:hAnsi="Verdana" w:cs="Arial"/>
          <w:shd w:val="clear" w:color="auto" w:fill="FFFFFF"/>
          <w:lang w:val="es-ES"/>
        </w:rPr>
      </w:pPr>
      <w:r w:rsidRPr="003A0096">
        <w:rPr>
          <w:rFonts w:ascii="Verdana" w:eastAsia="Times New Roman" w:hAnsi="Verdana" w:cs="Arial"/>
          <w:bCs/>
          <w:lang w:val="es-ES"/>
        </w:rPr>
        <w:t xml:space="preserve">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w:t>
      </w:r>
      <w:r w:rsidRPr="003A0096">
        <w:rPr>
          <w:rFonts w:ascii="Verdana" w:eastAsia="Times New Roman" w:hAnsi="Verdana" w:cs="Arial"/>
          <w:bCs/>
          <w:lang w:val="es-ES"/>
        </w:rPr>
        <w:lastRenderedPageBreak/>
        <w:t>interventoría que depende del análisis de su necesidad y extensión</w:t>
      </w:r>
      <w:r w:rsidRPr="003A0096">
        <w:rPr>
          <w:rFonts w:ascii="Verdana" w:eastAsia="Times New Roman" w:hAnsi="Verdana" w:cs="Arial"/>
          <w:bCs/>
          <w:vertAlign w:val="superscript"/>
          <w:lang w:val="es-ES"/>
        </w:rPr>
        <w:footnoteReference w:id="20"/>
      </w:r>
      <w:r w:rsidRPr="003A0096">
        <w:rPr>
          <w:rFonts w:ascii="Verdana" w:eastAsia="Times New Roman" w:hAnsi="Verdana" w:cs="Arial"/>
          <w:bCs/>
          <w:lang w:val="es-ES"/>
        </w:rPr>
        <w:t xml:space="preserve">–; </w:t>
      </w:r>
      <w:proofErr w:type="spellStart"/>
      <w:r w:rsidRPr="003A0096">
        <w:rPr>
          <w:rFonts w:ascii="Verdana" w:eastAsia="Times New Roman" w:hAnsi="Verdana" w:cs="Arial"/>
          <w:bCs/>
          <w:lang w:val="es-ES"/>
        </w:rPr>
        <w:t>ii</w:t>
      </w:r>
      <w:proofErr w:type="spellEnd"/>
      <w:r w:rsidRPr="003A0096">
        <w:rPr>
          <w:rFonts w:ascii="Verdana" w:eastAsia="Times New Roman" w:hAnsi="Verdana" w:cs="Arial"/>
          <w:bCs/>
          <w:lang w:val="es-ES"/>
        </w:rPr>
        <w:t xml:space="preserve">) no requiere conocimientos tan especializados como la interventoría; </w:t>
      </w:r>
      <w:proofErr w:type="spellStart"/>
      <w:r w:rsidRPr="003A0096">
        <w:rPr>
          <w:rFonts w:ascii="Verdana" w:eastAsia="Times New Roman" w:hAnsi="Verdana" w:cs="Arial"/>
          <w:bCs/>
          <w:lang w:val="es-ES"/>
        </w:rPr>
        <w:t>iii</w:t>
      </w:r>
      <w:proofErr w:type="spellEnd"/>
      <w:r w:rsidRPr="003A0096">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3A0096">
        <w:rPr>
          <w:rFonts w:ascii="Verdana" w:eastAsia="Times New Roman" w:hAnsi="Verdana" w:cs="Arial"/>
          <w:bCs/>
          <w:lang w:val="es-ES"/>
        </w:rPr>
        <w:t>iv</w:t>
      </w:r>
      <w:proofErr w:type="spellEnd"/>
      <w:r w:rsidRPr="003A0096">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2971531D" w14:textId="77777777" w:rsidR="00542A9A" w:rsidRDefault="00542A9A" w:rsidP="00542A9A">
      <w:pPr>
        <w:spacing w:after="120" w:line="276" w:lineRule="auto"/>
        <w:ind w:firstLine="709"/>
        <w:jc w:val="both"/>
        <w:rPr>
          <w:rFonts w:ascii="Verdana" w:eastAsia="Calibri" w:hAnsi="Verdana" w:cs="Arial"/>
        </w:rPr>
      </w:pPr>
      <w:bookmarkStart w:id="4" w:name="_Hlk204066195"/>
      <w:r w:rsidRPr="00283CFD">
        <w:rPr>
          <w:rFonts w:ascii="Verdana" w:eastAsia="Calibri" w:hAnsi="Verdana" w:cs="Arial"/>
          <w:bCs/>
        </w:rPr>
        <w:t>Ahora bien, e</w:t>
      </w:r>
      <w:r w:rsidRPr="00283CFD">
        <w:rPr>
          <w:rFonts w:ascii="Verdana" w:eastAsia="Calibri" w:hAnsi="Verdana" w:cs="Arial"/>
        </w:rPr>
        <w:t xml:space="preserve">n cuanto a la designación del supervisor, Colombia Compra Eficiente, en la “Guía para el ejercicio de las funciones de supervisión e interventoría de los contratos del Estado” recomienda que esta se haga en un funcionario que pueda actuar al menos como par del contratista y que tenga asignadas funciones relacionadas con el objeto contractual. Así mismo, allí se señala que la designación debe estar antecedida por un análisis de la carga operativa del funcionario al que se le asigna la función, para no incurrir en el riesgo de que el supervisor no pueda desempeñar la labor de manera adecuada. La designación, igualmente, se recomienda que se efectúe en la fecha en que se adjudique el contrato o cuando se suscriba, tratándose de contratación directa. El supervisor designado, además, debe ser comunicado de la labor encomendada y debe conocer las obligaciones del contrato para efectos de que pueda desempeñar su labor de manera idónea. </w:t>
      </w:r>
    </w:p>
    <w:p w14:paraId="7B8E4C55" w14:textId="77777777" w:rsidR="00542A9A" w:rsidRPr="007213CA" w:rsidRDefault="00542A9A" w:rsidP="00542A9A">
      <w:pPr>
        <w:spacing w:after="120" w:line="276" w:lineRule="auto"/>
        <w:ind w:firstLine="709"/>
        <w:jc w:val="both"/>
        <w:rPr>
          <w:rFonts w:ascii="Verdana" w:eastAsia="Calibri" w:hAnsi="Verdana" w:cs="Arial"/>
        </w:rPr>
      </w:pPr>
      <w:r>
        <w:rPr>
          <w:rFonts w:ascii="Verdana" w:eastAsia="Calibri" w:hAnsi="Verdana" w:cs="Arial"/>
          <w:lang w:val="es-MX"/>
        </w:rPr>
        <w:t xml:space="preserve">De esta manera, en todos los casos deberán informarse al funcionario designado como supervisor. La comunicación de la designación de un funcionario como supervisor siempre debe ser escrita, entendiéndose también como tal la que se hace a través de correo electrónico. En el evento en que la designación del supervisor se haga directamente en el contrato, debe enviarse copia </w:t>
      </w:r>
      <w:proofErr w:type="gramStart"/>
      <w:r>
        <w:rPr>
          <w:rFonts w:ascii="Verdana" w:eastAsia="Calibri" w:hAnsi="Verdana" w:cs="Arial"/>
          <w:lang w:val="es-MX"/>
        </w:rPr>
        <w:t>del mismo</w:t>
      </w:r>
      <w:proofErr w:type="gramEnd"/>
      <w:r>
        <w:rPr>
          <w:rFonts w:ascii="Verdana" w:eastAsia="Calibri" w:hAnsi="Verdana" w:cs="Arial"/>
          <w:lang w:val="es-MX"/>
        </w:rPr>
        <w:t xml:space="preserve"> al funcionario designado informando que va a ser el supervisor. Así mismo, en los procesos adelantados a través de la plataforma SECOP II se debe realizar la designación a través de </w:t>
      </w:r>
      <w:proofErr w:type="gramStart"/>
      <w:r>
        <w:rPr>
          <w:rFonts w:ascii="Verdana" w:eastAsia="Calibri" w:hAnsi="Verdana" w:cs="Arial"/>
          <w:lang w:val="es-MX"/>
        </w:rPr>
        <w:t>la misma</w:t>
      </w:r>
      <w:proofErr w:type="gramEnd"/>
      <w:r>
        <w:rPr>
          <w:rFonts w:ascii="Verdana" w:eastAsia="Calibri" w:hAnsi="Verdana" w:cs="Arial"/>
          <w:lang w:val="es-MX"/>
        </w:rPr>
        <w:t xml:space="preserve">.  </w:t>
      </w:r>
    </w:p>
    <w:p w14:paraId="1D13600D" w14:textId="77777777" w:rsidR="00542A9A" w:rsidRDefault="00542A9A" w:rsidP="00542A9A">
      <w:pPr>
        <w:spacing w:after="120" w:line="276" w:lineRule="auto"/>
        <w:ind w:firstLine="709"/>
        <w:jc w:val="both"/>
        <w:rPr>
          <w:rFonts w:ascii="Verdana" w:eastAsia="Calibri" w:hAnsi="Verdana" w:cs="Arial"/>
        </w:rPr>
      </w:pPr>
      <w:r w:rsidRPr="00283CFD">
        <w:rPr>
          <w:rFonts w:ascii="Verdana" w:eastAsia="Calibri" w:hAnsi="Verdana" w:cs="Arial"/>
        </w:rPr>
        <w:t xml:space="preserve">Si bien es cierto que para desarrollar la supervisión del contrato podrían no requerirse conocimientos técnicos especializados, también lo es que las funciones de seguimiento contractual abarcan varios campos, como, por ejemplo, aspectos técnicos, administrativos, financieros, contables y jurídicos. En tal sentido, resulta razonable y posible que la entidad contratante, al momento de analizar cómo ejercer las funciones de supervisión del contrato, </w:t>
      </w:r>
      <w:r w:rsidRPr="00283CFD">
        <w:rPr>
          <w:rFonts w:ascii="Verdana" w:eastAsia="Calibri" w:hAnsi="Verdana" w:cs="Arial"/>
        </w:rPr>
        <w:lastRenderedPageBreak/>
        <w:t xml:space="preserve">determine que estas deban realizarse por más de un funcionario, para lo que deberá tener en cuenta que las funciones propias de los cargos, y los perfiles, conocimientos y experiencia de los funcionarios designados, guarden relación directa con el objeto del contrato y los aspectos a supervisar. Lo anterior con la finalidad de que la vigilancia del contrato se realice de manera idónea y suficiente, con distribución equitativa de cargas y responsabilidades, en aplicación a los principios de coordinación y eficacia que rigen el ejercicio de la función administrativa, que son aplicables en la contratación estatal por disposición del artículo 23 de la Ley 80 de 1993. </w:t>
      </w:r>
    </w:p>
    <w:p w14:paraId="0B58A047" w14:textId="77777777" w:rsidR="00542A9A" w:rsidRPr="007A30F0" w:rsidRDefault="00542A9A" w:rsidP="00542A9A">
      <w:pPr>
        <w:spacing w:after="120" w:line="276" w:lineRule="auto"/>
        <w:ind w:firstLine="709"/>
        <w:jc w:val="both"/>
        <w:rPr>
          <w:rFonts w:ascii="Verdana" w:eastAsia="Calibri" w:hAnsi="Verdana" w:cs="Arial"/>
          <w:b/>
          <w:bCs/>
        </w:rPr>
      </w:pPr>
      <w:r>
        <w:rPr>
          <w:rFonts w:ascii="Verdana" w:hAnsi="Verdana" w:cs="Arial"/>
          <w:color w:val="000000"/>
        </w:rPr>
        <w:t xml:space="preserve">Así, la supervisión debe ser realizada por funcionarios públicos de la entidad, quienes pueden recibir apoyo de contratistas o personal especializado para tareas técnicas, pero siempre bajo su dirección y control. Al respecto, </w:t>
      </w:r>
      <w:r>
        <w:rPr>
          <w:rFonts w:ascii="Verdana" w:eastAsia="Times New Roman" w:hAnsi="Verdana" w:cs="Arial"/>
          <w:shd w:val="clear" w:color="auto" w:fill="FFFFFF"/>
          <w:lang w:val="es-ES"/>
        </w:rPr>
        <w:t>la</w:t>
      </w:r>
      <w:r w:rsidRPr="003A0096">
        <w:rPr>
          <w:rFonts w:ascii="Verdana" w:eastAsia="Times New Roman" w:hAnsi="Verdana" w:cs="Arial"/>
          <w:shd w:val="clear" w:color="auto" w:fill="FFFFFF"/>
          <w:lang w:val="es-ES"/>
        </w:rPr>
        <w:t xml:space="preserve"> </w:t>
      </w:r>
      <w:r w:rsidRPr="00283CFD">
        <w:rPr>
          <w:rFonts w:ascii="Verdana" w:eastAsia="Calibri" w:hAnsi="Verdana" w:cs="Arial"/>
        </w:rPr>
        <w:t>“Guía para el ejercicio de las funciones de supervisión e interventoría de los contratos del Estado”</w:t>
      </w:r>
      <w:r>
        <w:rPr>
          <w:rFonts w:ascii="Verdana" w:eastAsia="Calibri" w:hAnsi="Verdana" w:cs="Arial"/>
        </w:rPr>
        <w:t xml:space="preserve"> </w:t>
      </w:r>
      <w:r>
        <w:rPr>
          <w:rFonts w:ascii="Verdana" w:eastAsia="Times New Roman" w:hAnsi="Verdana" w:cs="Arial"/>
          <w:shd w:val="clear" w:color="auto" w:fill="FFFFFF"/>
          <w:lang w:val="es-ES"/>
        </w:rPr>
        <w:t>señaló</w:t>
      </w:r>
      <w:r w:rsidRPr="003A0096">
        <w:rPr>
          <w:rFonts w:ascii="Verdana" w:eastAsia="Times New Roman" w:hAnsi="Verdana" w:cs="Arial"/>
          <w:shd w:val="clear" w:color="auto" w:fill="FFFFFF"/>
          <w:lang w:val="es-ES"/>
        </w:rPr>
        <w:t xml:space="preserve"> que las Entidades Estatales puedan celebrar contratos de prestación de servicios para apoyar las actividades de supervisión, consignando en ellos las actividades propias del apoyo a la supervisión. 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w:t>
      </w:r>
      <w:r>
        <w:rPr>
          <w:rFonts w:ascii="Verdana" w:eastAsia="Times New Roman" w:hAnsi="Verdana" w:cs="Arial"/>
          <w:shd w:val="clear" w:color="auto" w:fill="FFFFFF"/>
          <w:lang w:val="es-ES"/>
        </w:rPr>
        <w:t xml:space="preserve">. Asimismo, este apoyo a la supervisión puede ser realizado por funcionarios de planta cuya designación se encomendará acorde con los lineamientos internos de la entidad y teniendo en cuenta que las funciones asignadas a su cargo sean compatibles con el objeto contractual. En todo caso, es recomendable que el apoyo a la supervisión del funcionario se formalice por escrito, sin perjuicio de los lineamientos que determine la entidad sobre el particular. </w:t>
      </w:r>
      <w:r w:rsidRPr="00343DF5">
        <w:rPr>
          <w:rFonts w:ascii="Verdana" w:eastAsia="Times New Roman" w:hAnsi="Verdana" w:cs="Arial"/>
          <w:b/>
          <w:bCs/>
          <w:shd w:val="clear" w:color="auto" w:fill="FFFFFF"/>
          <w:lang w:val="es-ES"/>
        </w:rPr>
        <w:t xml:space="preserve"> </w:t>
      </w:r>
      <w:r w:rsidRPr="007A30F0">
        <w:rPr>
          <w:rFonts w:ascii="Verdana" w:eastAsia="Calibri" w:hAnsi="Verdana" w:cs="Arial"/>
          <w:b/>
          <w:bCs/>
          <w:lang w:val="es-ES_tradnl"/>
        </w:rPr>
        <w:t>(Respuestas las preguntas [1] y [2]).</w:t>
      </w:r>
    </w:p>
    <w:p w14:paraId="62097731" w14:textId="77777777" w:rsidR="00542A9A" w:rsidRPr="00283CFD" w:rsidRDefault="00542A9A" w:rsidP="00542A9A">
      <w:pPr>
        <w:spacing w:after="120" w:line="276" w:lineRule="auto"/>
        <w:ind w:firstLine="709"/>
        <w:jc w:val="both"/>
        <w:rPr>
          <w:rFonts w:ascii="Verdana" w:eastAsia="Calibri" w:hAnsi="Verdana" w:cs="Arial"/>
        </w:rPr>
      </w:pPr>
      <w:r w:rsidRPr="00283CFD">
        <w:rPr>
          <w:rFonts w:ascii="Verdana" w:eastAsia="Calibri" w:hAnsi="Verdana" w:cs="Arial"/>
        </w:rPr>
        <w:t xml:space="preserve">En este contexto, la función de vigilancia y control del contrato estatal es responsabilidad de la entidad estatal, por tanto independientemente del funcionario que sea designado como supervisor, estos </w:t>
      </w:r>
      <w:r w:rsidRPr="00283CFD">
        <w:rPr>
          <w:rFonts w:ascii="Verdana" w:eastAsia="Times New Roman" w:hAnsi="Verdana" w:cs="Arial"/>
          <w:shd w:val="clear" w:color="auto" w:fill="FFFFFF"/>
          <w:lang w:val="es-ES"/>
        </w:rPr>
        <w:t xml:space="preserve">tienen la función general de ejercer el control y vigilancia sobre la ejecución contractual de los contratos. </w:t>
      </w:r>
    </w:p>
    <w:p w14:paraId="202E83DF" w14:textId="77777777" w:rsidR="00542A9A" w:rsidRPr="00283CFD" w:rsidRDefault="00542A9A" w:rsidP="00542A9A">
      <w:pPr>
        <w:spacing w:after="120" w:line="276" w:lineRule="auto"/>
        <w:ind w:firstLine="708"/>
        <w:contextualSpacing/>
        <w:jc w:val="both"/>
        <w:rPr>
          <w:rFonts w:ascii="Verdana" w:eastAsia="Times New Roman" w:hAnsi="Verdana" w:cs="Arial"/>
          <w:shd w:val="clear" w:color="auto" w:fill="FFFFFF"/>
          <w:lang w:val="es-ES"/>
        </w:rPr>
      </w:pPr>
      <w:r w:rsidRPr="00283CFD">
        <w:rPr>
          <w:rFonts w:ascii="Verdana" w:eastAsia="Times New Roman" w:hAnsi="Verdana" w:cs="Arial"/>
          <w:shd w:val="clear" w:color="auto" w:fill="FFFFFF"/>
          <w:lang w:val="es-ES"/>
        </w:rPr>
        <w:t xml:space="preserve">Sobre este aspecto, vale anotar que la “Guía para el ejercicio de las funciones de supervisión e interventoría de los contratos suscritos por las Entidades Estatales” señala que la labor de control y vigilancia ejercida por el supervisor debe ir dirigida a verificar el cumplimiento de las condiciones </w:t>
      </w:r>
      <w:r w:rsidRPr="00283CFD">
        <w:rPr>
          <w:rFonts w:ascii="Verdana" w:eastAsia="Times New Roman" w:hAnsi="Verdana" w:cs="Arial"/>
          <w:shd w:val="clear" w:color="auto" w:fill="FFFFFF"/>
          <w:lang w:val="es-ES"/>
        </w:rPr>
        <w:lastRenderedPageBreak/>
        <w:t xml:space="preserve">pactadas, por lo que están facultados para solicitar informes, aclaraciones y explicaciones sobre el desarrollo de la ejecución contractual, impartir instrucciones al contratista y hacer recomendaciones encaminadas a lograr la correcta ejecución del objeto contratado. De hecho, conforme a lo manifestado por esta Agencia en la mencionada Guía, los supervisores e intervenciones tienen funciones generales como: </w:t>
      </w:r>
    </w:p>
    <w:p w14:paraId="3385B929" w14:textId="77777777" w:rsidR="00542A9A" w:rsidRPr="00283CFD" w:rsidRDefault="00542A9A" w:rsidP="00542A9A">
      <w:pPr>
        <w:spacing w:after="120" w:line="276" w:lineRule="auto"/>
        <w:ind w:left="709" w:right="709"/>
        <w:jc w:val="both"/>
        <w:rPr>
          <w:rFonts w:ascii="Verdana" w:eastAsia="Times New Roman" w:hAnsi="Verdana" w:cs="Arial"/>
          <w:color w:val="000000"/>
          <w:sz w:val="20"/>
          <w:szCs w:val="20"/>
          <w:lang w:val="es-MX"/>
        </w:rPr>
      </w:pPr>
    </w:p>
    <w:p w14:paraId="2C1D27BF" w14:textId="77777777" w:rsidR="00542A9A" w:rsidRPr="009F42B2" w:rsidRDefault="00542A9A" w:rsidP="00542A9A">
      <w:pPr>
        <w:spacing w:after="0" w:line="240" w:lineRule="auto"/>
        <w:ind w:left="709" w:right="709"/>
        <w:jc w:val="both"/>
        <w:rPr>
          <w:rFonts w:ascii="Verdana" w:eastAsia="Times New Roman" w:hAnsi="Verdana" w:cs="Arial"/>
          <w:color w:val="000000"/>
          <w:sz w:val="20"/>
          <w:szCs w:val="20"/>
        </w:rPr>
      </w:pPr>
      <w:r w:rsidRPr="009F42B2">
        <w:rPr>
          <w:rFonts w:ascii="Verdana" w:eastAsia="Times New Roman" w:hAnsi="Verdana" w:cs="Arial"/>
          <w:color w:val="000000"/>
          <w:sz w:val="20"/>
          <w:szCs w:val="20"/>
          <w:lang w:val="es-MX"/>
        </w:rPr>
        <w:t>“</w:t>
      </w:r>
      <w:r w:rsidRPr="009F42B2">
        <w:rPr>
          <w:rFonts w:ascii="Verdana" w:eastAsia="Times New Roman" w:hAnsi="Verdana" w:cs="Arial"/>
          <w:color w:val="000000"/>
          <w:sz w:val="20"/>
          <w:szCs w:val="20"/>
        </w:rPr>
        <w:t xml:space="preserve">• Conocer y entender los términos y condiciones del contrato. </w:t>
      </w:r>
    </w:p>
    <w:p w14:paraId="758A99A8" w14:textId="77777777" w:rsidR="00542A9A" w:rsidRPr="009F42B2" w:rsidRDefault="00542A9A" w:rsidP="00542A9A">
      <w:pPr>
        <w:spacing w:after="0" w:line="240" w:lineRule="auto"/>
        <w:ind w:left="709" w:right="709"/>
        <w:jc w:val="both"/>
        <w:rPr>
          <w:rFonts w:ascii="Verdana" w:eastAsia="Times New Roman" w:hAnsi="Verdana" w:cs="Arial"/>
          <w:color w:val="000000"/>
          <w:sz w:val="20"/>
          <w:szCs w:val="20"/>
        </w:rPr>
      </w:pPr>
      <w:r w:rsidRPr="009F42B2">
        <w:rPr>
          <w:rFonts w:ascii="Verdana" w:eastAsia="Times New Roman" w:hAnsi="Verdana" w:cs="Arial"/>
          <w:color w:val="000000"/>
          <w:sz w:val="20"/>
          <w:szCs w:val="20"/>
        </w:rPr>
        <w:t xml:space="preserve">• Advertir oportunamente los Riesgos que puedan afectar la eficacia del contrato y tomar las medidas necesarias para mitigarlos de acuerdo con el ejercicio de la etapa de planeación de identificación de Riesgos y el manejo dado a ellos en los Documentos del Proceso. </w:t>
      </w:r>
    </w:p>
    <w:p w14:paraId="6135C8FA" w14:textId="77777777" w:rsidR="00542A9A" w:rsidRPr="009F42B2" w:rsidRDefault="00542A9A" w:rsidP="00542A9A">
      <w:pPr>
        <w:spacing w:after="0" w:line="240" w:lineRule="auto"/>
        <w:ind w:left="709" w:right="709"/>
        <w:jc w:val="both"/>
        <w:rPr>
          <w:rFonts w:ascii="Verdana" w:eastAsia="Times New Roman" w:hAnsi="Verdana" w:cs="Arial"/>
          <w:color w:val="000000"/>
          <w:sz w:val="20"/>
          <w:szCs w:val="20"/>
        </w:rPr>
      </w:pPr>
      <w:r w:rsidRPr="009F42B2">
        <w:rPr>
          <w:rFonts w:ascii="Verdana" w:eastAsia="Times New Roman" w:hAnsi="Verdana" w:cs="Arial"/>
          <w:color w:val="000000"/>
          <w:sz w:val="20"/>
          <w:szCs w:val="20"/>
        </w:rPr>
        <w:t xml:space="preserve">• Hacer seguimiento del cumplimiento del plazo del contrato y de los cronogramas previstos en el contrato. </w:t>
      </w:r>
    </w:p>
    <w:p w14:paraId="676BFDE7" w14:textId="77777777" w:rsidR="00542A9A" w:rsidRPr="009F42B2" w:rsidRDefault="00542A9A" w:rsidP="00542A9A">
      <w:pPr>
        <w:spacing w:after="0" w:line="240" w:lineRule="auto"/>
        <w:ind w:left="709" w:right="709"/>
        <w:jc w:val="both"/>
        <w:rPr>
          <w:rFonts w:ascii="Verdana" w:eastAsia="Times New Roman" w:hAnsi="Verdana" w:cs="Arial"/>
          <w:color w:val="000000"/>
          <w:sz w:val="20"/>
          <w:szCs w:val="20"/>
        </w:rPr>
      </w:pPr>
      <w:r w:rsidRPr="009F42B2">
        <w:rPr>
          <w:rFonts w:ascii="Verdana" w:eastAsia="Times New Roman" w:hAnsi="Verdana" w:cs="Arial"/>
          <w:color w:val="000000"/>
          <w:sz w:val="20"/>
          <w:szCs w:val="20"/>
        </w:rPr>
        <w:t xml:space="preserve">• Identificar las necesidades de cambio o ajuste </w:t>
      </w:r>
    </w:p>
    <w:p w14:paraId="34F87404" w14:textId="77777777" w:rsidR="00542A9A" w:rsidRPr="009F42B2" w:rsidRDefault="00542A9A" w:rsidP="00542A9A">
      <w:pPr>
        <w:spacing w:after="0" w:line="240" w:lineRule="auto"/>
        <w:ind w:left="709" w:right="709"/>
        <w:jc w:val="both"/>
        <w:rPr>
          <w:rFonts w:ascii="Verdana" w:eastAsia="Times New Roman" w:hAnsi="Verdana" w:cs="Arial"/>
          <w:color w:val="000000"/>
          <w:sz w:val="20"/>
          <w:szCs w:val="20"/>
        </w:rPr>
      </w:pPr>
      <w:r w:rsidRPr="009F42B2">
        <w:rPr>
          <w:rFonts w:ascii="Verdana" w:eastAsia="Times New Roman" w:hAnsi="Verdana" w:cs="Arial"/>
          <w:color w:val="000000"/>
          <w:sz w:val="20"/>
          <w:szCs w:val="20"/>
        </w:rPr>
        <w:t xml:space="preserve">• Manejar la relación con el proveedor o contratista. </w:t>
      </w:r>
    </w:p>
    <w:p w14:paraId="3A8782EA" w14:textId="77777777" w:rsidR="00542A9A" w:rsidRPr="009F42B2" w:rsidRDefault="00542A9A" w:rsidP="00542A9A">
      <w:pPr>
        <w:spacing w:after="0" w:line="240" w:lineRule="auto"/>
        <w:ind w:left="709" w:right="709"/>
        <w:jc w:val="both"/>
        <w:rPr>
          <w:rFonts w:ascii="Verdana" w:eastAsia="Times New Roman" w:hAnsi="Verdana" w:cs="Arial"/>
          <w:color w:val="000000"/>
          <w:sz w:val="20"/>
          <w:szCs w:val="20"/>
        </w:rPr>
      </w:pPr>
      <w:r w:rsidRPr="009F42B2">
        <w:rPr>
          <w:rFonts w:ascii="Verdana" w:eastAsia="Times New Roman" w:hAnsi="Verdana" w:cs="Arial"/>
          <w:color w:val="000000"/>
          <w:sz w:val="20"/>
          <w:szCs w:val="20"/>
        </w:rPr>
        <w:t xml:space="preserve">• Administrar e intentar solucionar las controversias entre las partes. </w:t>
      </w:r>
    </w:p>
    <w:p w14:paraId="7BB60D17" w14:textId="77777777" w:rsidR="00542A9A" w:rsidRPr="009F42B2" w:rsidRDefault="00542A9A" w:rsidP="00542A9A">
      <w:pPr>
        <w:spacing w:after="0" w:line="240" w:lineRule="auto"/>
        <w:ind w:left="709" w:right="709"/>
        <w:jc w:val="both"/>
        <w:rPr>
          <w:rFonts w:ascii="Verdana" w:eastAsia="Times New Roman" w:hAnsi="Verdana" w:cs="Arial"/>
          <w:color w:val="000000"/>
          <w:sz w:val="20"/>
          <w:szCs w:val="20"/>
        </w:rPr>
      </w:pPr>
      <w:r w:rsidRPr="009F42B2">
        <w:rPr>
          <w:rFonts w:ascii="Verdana" w:eastAsia="Times New Roman" w:hAnsi="Verdana" w:cs="Arial"/>
          <w:color w:val="000000"/>
          <w:sz w:val="20"/>
          <w:szCs w:val="20"/>
        </w:rPr>
        <w:t xml:space="preserve">• Organizar y administrar el recibo de bienes, obras o servicios, su cantidad, calidad, especificaciones y demás atributos establecidos en los Documentos del Proceso. </w:t>
      </w:r>
    </w:p>
    <w:p w14:paraId="12213381" w14:textId="77777777" w:rsidR="00542A9A" w:rsidRPr="009F42B2" w:rsidRDefault="00542A9A" w:rsidP="00542A9A">
      <w:pPr>
        <w:spacing w:after="0" w:line="240" w:lineRule="auto"/>
        <w:ind w:left="709" w:right="709"/>
        <w:jc w:val="both"/>
        <w:rPr>
          <w:rFonts w:ascii="Verdana" w:eastAsia="Times New Roman" w:hAnsi="Verdana" w:cs="Arial"/>
          <w:color w:val="000000"/>
          <w:sz w:val="20"/>
          <w:szCs w:val="20"/>
        </w:rPr>
      </w:pPr>
      <w:r w:rsidRPr="009F42B2">
        <w:rPr>
          <w:rFonts w:ascii="Verdana" w:eastAsia="Times New Roman" w:hAnsi="Verdana" w:cs="Arial"/>
          <w:color w:val="000000"/>
          <w:sz w:val="20"/>
          <w:szCs w:val="20"/>
        </w:rPr>
        <w:t xml:space="preserve">• Revisar si la ejecución del contrato cumple con los términos </w:t>
      </w:r>
      <w:proofErr w:type="gramStart"/>
      <w:r w:rsidRPr="009F42B2">
        <w:rPr>
          <w:rFonts w:ascii="Verdana" w:eastAsia="Times New Roman" w:hAnsi="Verdana" w:cs="Arial"/>
          <w:color w:val="000000"/>
          <w:sz w:val="20"/>
          <w:szCs w:val="20"/>
        </w:rPr>
        <w:t>del mismo</w:t>
      </w:r>
      <w:proofErr w:type="gramEnd"/>
      <w:r w:rsidRPr="009F42B2">
        <w:rPr>
          <w:rFonts w:ascii="Verdana" w:eastAsia="Times New Roman" w:hAnsi="Verdana" w:cs="Arial"/>
          <w:color w:val="000000"/>
          <w:sz w:val="20"/>
          <w:szCs w:val="20"/>
        </w:rPr>
        <w:t xml:space="preserve"> y las necesidades de la Entidad Estatal y actuar en consecuencia de acuerdo con lo establecido en el contrato. </w:t>
      </w:r>
    </w:p>
    <w:p w14:paraId="1EC190FD" w14:textId="77777777" w:rsidR="00542A9A" w:rsidRPr="009F42B2" w:rsidRDefault="00542A9A" w:rsidP="00542A9A">
      <w:pPr>
        <w:spacing w:after="0" w:line="240" w:lineRule="auto"/>
        <w:ind w:left="709" w:right="709"/>
        <w:jc w:val="both"/>
      </w:pPr>
      <w:r w:rsidRPr="009F42B2">
        <w:rPr>
          <w:rFonts w:ascii="Verdana" w:eastAsia="Times New Roman" w:hAnsi="Verdana" w:cs="Arial"/>
          <w:color w:val="000000"/>
          <w:sz w:val="20"/>
          <w:szCs w:val="20"/>
        </w:rPr>
        <w:t>• Aprobar o rechazar oportuna y de forma justificada el recibo de bienes y servicio de acuerdo con lo establecido en los Documentos del Proceso</w:t>
      </w:r>
      <w:r w:rsidRPr="009F42B2">
        <w:rPr>
          <w:rFonts w:ascii="Verdana" w:eastAsia="Times New Roman" w:hAnsi="Verdana" w:cs="Arial"/>
          <w:color w:val="000000"/>
          <w:sz w:val="20"/>
          <w:szCs w:val="20"/>
          <w:lang w:val="es-MX"/>
        </w:rPr>
        <w:t xml:space="preserve"> Apoyar el logro de los objetivos contractuales.</w:t>
      </w:r>
      <w:r w:rsidRPr="009F42B2">
        <w:t xml:space="preserve"> </w:t>
      </w:r>
    </w:p>
    <w:p w14:paraId="02E40B70" w14:textId="77777777" w:rsidR="00542A9A" w:rsidRPr="009F42B2" w:rsidRDefault="00542A9A" w:rsidP="00542A9A">
      <w:pPr>
        <w:spacing w:after="0" w:line="240" w:lineRule="auto"/>
        <w:ind w:left="709" w:right="709"/>
        <w:jc w:val="both"/>
        <w:rPr>
          <w:rFonts w:ascii="Verdana" w:eastAsia="Times New Roman" w:hAnsi="Verdana" w:cs="Arial"/>
          <w:color w:val="000000"/>
          <w:sz w:val="20"/>
          <w:szCs w:val="20"/>
        </w:rPr>
      </w:pPr>
      <w:r w:rsidRPr="009F42B2">
        <w:rPr>
          <w:rFonts w:ascii="Verdana" w:eastAsia="Times New Roman" w:hAnsi="Verdana" w:cs="Arial"/>
          <w:color w:val="000000"/>
          <w:sz w:val="20"/>
          <w:szCs w:val="20"/>
        </w:rPr>
        <w:t xml:space="preserve">• Informar a la Entidad Estatal de posibles incumplimientos del proveedor o contratista, elaborar y presentar los soportes correspondientes. </w:t>
      </w:r>
    </w:p>
    <w:p w14:paraId="01976CC8" w14:textId="77777777" w:rsidR="00542A9A" w:rsidRPr="009F42B2" w:rsidRDefault="00542A9A" w:rsidP="00542A9A">
      <w:pPr>
        <w:spacing w:after="0" w:line="240" w:lineRule="auto"/>
        <w:ind w:left="709" w:right="709"/>
        <w:jc w:val="both"/>
        <w:rPr>
          <w:rFonts w:ascii="Verdana" w:eastAsia="Times New Roman" w:hAnsi="Verdana" w:cs="Arial"/>
          <w:color w:val="000000"/>
          <w:sz w:val="20"/>
          <w:szCs w:val="20"/>
        </w:rPr>
      </w:pPr>
      <w:r w:rsidRPr="009F42B2">
        <w:rPr>
          <w:rFonts w:ascii="Verdana" w:eastAsia="Times New Roman" w:hAnsi="Verdana" w:cs="Arial"/>
          <w:color w:val="000000"/>
          <w:sz w:val="20"/>
          <w:szCs w:val="20"/>
        </w:rPr>
        <w:t xml:space="preserve">• Solicitar los informes necesarios y convocar a las reuniones requeridas para cumplir con su función. </w:t>
      </w:r>
    </w:p>
    <w:p w14:paraId="2934E4C4" w14:textId="77777777" w:rsidR="00542A9A" w:rsidRPr="009F42B2" w:rsidRDefault="00542A9A" w:rsidP="00542A9A">
      <w:pPr>
        <w:spacing w:after="0" w:line="240" w:lineRule="auto"/>
        <w:ind w:left="709" w:right="709"/>
        <w:jc w:val="both"/>
        <w:rPr>
          <w:rFonts w:ascii="Verdana" w:eastAsia="Times New Roman" w:hAnsi="Verdana" w:cs="Arial"/>
          <w:color w:val="000000"/>
          <w:sz w:val="20"/>
          <w:szCs w:val="20"/>
          <w:lang w:val="es-MX"/>
        </w:rPr>
      </w:pPr>
      <w:r w:rsidRPr="009F42B2">
        <w:rPr>
          <w:rFonts w:ascii="Verdana" w:eastAsia="Times New Roman" w:hAnsi="Verdana" w:cs="Arial"/>
          <w:color w:val="000000"/>
          <w:sz w:val="20"/>
          <w:szCs w:val="20"/>
        </w:rPr>
        <w:t>• Informar y denunciar a las autoridades competentes cualquier acto u omisión que afecte la moralidad pública con los soportes correspondientes. • Suscribir las actas generadas durante la ejecución del contrato para documentar las reuniones, acuerdos y controversias entre las partes, así como las actas parciales de avance, actas parciales de recibo y actas de recibo final</w:t>
      </w:r>
      <w:r w:rsidRPr="009F42B2">
        <w:rPr>
          <w:rFonts w:ascii="Verdana" w:eastAsia="Times New Roman" w:hAnsi="Verdana" w:cs="Arial"/>
          <w:color w:val="000000"/>
          <w:sz w:val="20"/>
          <w:szCs w:val="20"/>
          <w:lang w:val="es-MX"/>
        </w:rPr>
        <w:t xml:space="preserve">”. </w:t>
      </w:r>
    </w:p>
    <w:p w14:paraId="6D38EED6" w14:textId="77777777" w:rsidR="00542A9A" w:rsidRPr="00283CFD" w:rsidRDefault="00542A9A" w:rsidP="00542A9A">
      <w:pPr>
        <w:spacing w:after="0" w:line="240" w:lineRule="auto"/>
        <w:ind w:left="709" w:right="709"/>
        <w:jc w:val="both"/>
        <w:rPr>
          <w:rFonts w:ascii="Verdana" w:eastAsia="Times New Roman" w:hAnsi="Verdana" w:cs="Arial"/>
          <w:color w:val="000000"/>
          <w:sz w:val="20"/>
          <w:szCs w:val="20"/>
          <w:lang w:val="es-MX"/>
        </w:rPr>
      </w:pPr>
    </w:p>
    <w:p w14:paraId="3C2F8B48" w14:textId="77777777" w:rsidR="00542A9A" w:rsidRDefault="00542A9A" w:rsidP="00542A9A">
      <w:pPr>
        <w:spacing w:after="120" w:line="276" w:lineRule="auto"/>
        <w:ind w:firstLine="709"/>
        <w:jc w:val="both"/>
        <w:rPr>
          <w:rFonts w:ascii="Verdana" w:eastAsia="Times New Roman" w:hAnsi="Verdana" w:cs="Arial"/>
          <w:bCs/>
          <w:shd w:val="clear" w:color="auto" w:fill="FFFFFF"/>
          <w:lang w:val="es-ES_tradnl"/>
        </w:rPr>
      </w:pPr>
      <w:r w:rsidRPr="00320658">
        <w:rPr>
          <w:rFonts w:ascii="Verdana" w:eastAsia="Times New Roman" w:hAnsi="Verdana" w:cs="Arial"/>
          <w:shd w:val="clear" w:color="auto" w:fill="FFFFFF"/>
          <w:lang w:val="es-MX"/>
        </w:rPr>
        <w:t>Según se desprende del apartado en cita, el ejercicio de la vigilancia de la ejecución del contrato estatal conlleva la tarea de velar por el cumplimiento de los plazos, calidades, cantidades y adecuada ejecución de los recursos del contrato.</w:t>
      </w:r>
      <w:r w:rsidRPr="00320658">
        <w:rPr>
          <w:rFonts w:ascii="Verdana" w:eastAsia="Times New Roman" w:hAnsi="Verdana" w:cs="Arial"/>
          <w:bCs/>
          <w:shd w:val="clear" w:color="auto" w:fill="FFFFFF"/>
          <w:lang w:val="es-ES_tradnl"/>
        </w:rPr>
        <w:t xml:space="preserve"> En ese sentido, </w:t>
      </w:r>
      <w:r>
        <w:rPr>
          <w:rFonts w:ascii="Verdana" w:eastAsia="Times New Roman" w:hAnsi="Verdana" w:cs="Arial"/>
          <w:bCs/>
          <w:shd w:val="clear" w:color="auto" w:fill="FFFFFF"/>
          <w:lang w:val="es-ES_tradnl"/>
        </w:rPr>
        <w:t xml:space="preserve">de acuerdo con lo expuesto en la guía, </w:t>
      </w:r>
      <w:r>
        <w:rPr>
          <w:rFonts w:ascii="Verdana" w:eastAsia="Times New Roman" w:hAnsi="Verdana" w:cs="Arial"/>
          <w:bCs/>
          <w:shd w:val="clear" w:color="auto" w:fill="FFFFFF"/>
        </w:rPr>
        <w:t>l</w:t>
      </w:r>
      <w:r w:rsidRPr="009A395C">
        <w:rPr>
          <w:rFonts w:ascii="Verdana" w:eastAsia="Times New Roman" w:hAnsi="Verdana" w:cs="Arial"/>
          <w:bCs/>
          <w:shd w:val="clear" w:color="auto" w:fill="FFFFFF"/>
        </w:rPr>
        <w:t xml:space="preserve">as Entidades Estatales, los servidores públicos, contratistas e interventores que intervienen en la celebración, ejecución y liquidación de los contratos son responsables por </w:t>
      </w:r>
      <w:r w:rsidRPr="009A395C">
        <w:rPr>
          <w:rFonts w:ascii="Verdana" w:eastAsia="Times New Roman" w:hAnsi="Verdana" w:cs="Arial"/>
          <w:bCs/>
          <w:shd w:val="clear" w:color="auto" w:fill="FFFFFF"/>
        </w:rPr>
        <w:lastRenderedPageBreak/>
        <w:t>sus actuaciones y omisiones. En consecuencia, responden civil, fiscal, penal y disciplinariamente por las faltas que cometan en el ejercicio de sus funciones.</w:t>
      </w:r>
    </w:p>
    <w:p w14:paraId="06FF0ADF" w14:textId="77777777" w:rsidR="00542A9A" w:rsidRPr="007A30F0" w:rsidRDefault="00542A9A" w:rsidP="00542A9A">
      <w:pPr>
        <w:spacing w:after="120" w:line="276" w:lineRule="auto"/>
        <w:ind w:firstLine="709"/>
        <w:jc w:val="both"/>
        <w:rPr>
          <w:rFonts w:ascii="Verdana" w:eastAsia="Calibri" w:hAnsi="Verdana" w:cs="Arial"/>
          <w:lang w:val="es-ES_tradnl"/>
        </w:rPr>
      </w:pPr>
      <w:r>
        <w:rPr>
          <w:rFonts w:ascii="Verdana" w:eastAsia="Times New Roman" w:hAnsi="Verdana" w:cs="Arial"/>
          <w:bCs/>
          <w:shd w:val="clear" w:color="auto" w:fill="FFFFFF"/>
          <w:lang w:val="es-ES_tradnl"/>
        </w:rPr>
        <w:t xml:space="preserve">Particularmente, </w:t>
      </w:r>
      <w:r w:rsidRPr="00320658">
        <w:rPr>
          <w:rFonts w:ascii="Verdana" w:eastAsia="Times New Roman" w:hAnsi="Verdana" w:cs="Arial"/>
          <w:bCs/>
          <w:shd w:val="clear" w:color="auto" w:fill="FFFFFF"/>
          <w:lang w:val="es-ES_tradnl"/>
        </w:rPr>
        <w:t xml:space="preserve">conforme </w:t>
      </w:r>
      <w:r>
        <w:rPr>
          <w:rFonts w:ascii="Verdana" w:eastAsia="Times New Roman" w:hAnsi="Verdana" w:cs="Arial"/>
          <w:bCs/>
          <w:shd w:val="clear" w:color="auto" w:fill="FFFFFF"/>
          <w:lang w:val="es-ES_tradnl"/>
        </w:rPr>
        <w:t>los</w:t>
      </w:r>
      <w:r w:rsidRPr="00320658">
        <w:rPr>
          <w:rFonts w:ascii="Verdana" w:eastAsia="Times New Roman" w:hAnsi="Verdana" w:cs="Arial"/>
          <w:bCs/>
          <w:shd w:val="clear" w:color="auto" w:fill="FFFFFF"/>
          <w:lang w:val="es-ES_tradnl"/>
        </w:rPr>
        <w:t xml:space="preserve"> numeral</w:t>
      </w:r>
      <w:r>
        <w:rPr>
          <w:rFonts w:ascii="Verdana" w:eastAsia="Times New Roman" w:hAnsi="Verdana" w:cs="Arial"/>
          <w:bCs/>
          <w:shd w:val="clear" w:color="auto" w:fill="FFFFFF"/>
          <w:lang w:val="es-ES_tradnl"/>
        </w:rPr>
        <w:t>es</w:t>
      </w:r>
      <w:r w:rsidRPr="00320658">
        <w:rPr>
          <w:rFonts w:ascii="Verdana" w:eastAsia="Times New Roman" w:hAnsi="Verdana" w:cs="Arial"/>
          <w:bCs/>
          <w:shd w:val="clear" w:color="auto" w:fill="FFFFFF"/>
          <w:lang w:val="es-ES_tradnl"/>
        </w:rPr>
        <w:t xml:space="preserve"> 6</w:t>
      </w:r>
      <w:r>
        <w:rPr>
          <w:rFonts w:ascii="Verdana" w:eastAsia="Times New Roman" w:hAnsi="Verdana" w:cs="Arial"/>
          <w:bCs/>
          <w:shd w:val="clear" w:color="auto" w:fill="FFFFFF"/>
          <w:lang w:val="es-ES_tradnl"/>
        </w:rPr>
        <w:t xml:space="preserve"> y 7</w:t>
      </w:r>
      <w:r w:rsidRPr="00320658">
        <w:rPr>
          <w:rFonts w:ascii="Verdana" w:eastAsia="Times New Roman" w:hAnsi="Verdana" w:cs="Arial"/>
          <w:bCs/>
          <w:shd w:val="clear" w:color="auto" w:fill="FFFFFF"/>
          <w:lang w:val="es-ES_tradnl"/>
        </w:rPr>
        <w:t xml:space="preserve"> del artículo 54 de la Ley 1952 de 2019, el supervisor del contrato será responsable por omisión de sus funciones legales</w:t>
      </w:r>
      <w:r>
        <w:rPr>
          <w:rFonts w:ascii="Verdana" w:eastAsia="Times New Roman" w:hAnsi="Verdana" w:cs="Arial"/>
          <w:bCs/>
          <w:shd w:val="clear" w:color="auto" w:fill="FFFFFF"/>
          <w:lang w:val="es-ES_tradnl"/>
        </w:rPr>
        <w:t xml:space="preserve">, particularmente por </w:t>
      </w:r>
      <w:r>
        <w:rPr>
          <w:rFonts w:ascii="Verdana" w:eastAsia="Times New Roman" w:hAnsi="Verdana" w:cs="Arial"/>
          <w:bCs/>
          <w:shd w:val="clear" w:color="auto" w:fill="FFFFFF"/>
        </w:rPr>
        <w:t>n</w:t>
      </w:r>
      <w:r w:rsidRPr="00793B98">
        <w:rPr>
          <w:rFonts w:ascii="Verdana" w:eastAsia="Times New Roman" w:hAnsi="Verdana" w:cs="Arial"/>
          <w:bCs/>
          <w:shd w:val="clear" w:color="auto" w:fill="FFFFFF"/>
        </w:rPr>
        <w:t>o exigir, la calidad de los bienes y servicios adquiridos por la entidad estatal</w:t>
      </w:r>
      <w:r>
        <w:rPr>
          <w:rFonts w:ascii="Verdana" w:eastAsia="Times New Roman" w:hAnsi="Verdana" w:cs="Arial"/>
          <w:bCs/>
          <w:shd w:val="clear" w:color="auto" w:fill="FFFFFF"/>
        </w:rPr>
        <w:t xml:space="preserve"> y por</w:t>
      </w:r>
      <w:r w:rsidRPr="00DB6D06">
        <w:rPr>
          <w:rFonts w:ascii="Open Sans" w:hAnsi="Open Sans" w:cs="Open Sans"/>
          <w:color w:val="4B4949"/>
          <w:sz w:val="18"/>
          <w:szCs w:val="18"/>
        </w:rPr>
        <w:t xml:space="preserve"> </w:t>
      </w:r>
      <w:r w:rsidRPr="00DB6D06">
        <w:rPr>
          <w:rFonts w:ascii="Verdana" w:eastAsia="Times New Roman" w:hAnsi="Verdana" w:cs="Arial"/>
          <w:bCs/>
          <w:shd w:val="clear" w:color="auto" w:fill="FFFFFF"/>
        </w:rPr>
        <w:t> </w:t>
      </w:r>
      <w:r>
        <w:rPr>
          <w:rFonts w:ascii="Verdana" w:eastAsia="Times New Roman" w:hAnsi="Verdana" w:cs="Arial"/>
          <w:bCs/>
          <w:shd w:val="clear" w:color="auto" w:fill="FFFFFF"/>
        </w:rPr>
        <w:t>o</w:t>
      </w:r>
      <w:r w:rsidRPr="00DB6D06">
        <w:rPr>
          <w:rFonts w:ascii="Verdana" w:eastAsia="Times New Roman" w:hAnsi="Verdana" w:cs="Arial"/>
          <w:bCs/>
          <w:shd w:val="clear" w:color="auto" w:fill="FFFFFF"/>
        </w:rPr>
        <w:t>mitir</w:t>
      </w:r>
      <w:r>
        <w:rPr>
          <w:rFonts w:ascii="Verdana" w:eastAsia="Times New Roman" w:hAnsi="Verdana" w:cs="Arial"/>
          <w:bCs/>
          <w:shd w:val="clear" w:color="auto" w:fill="FFFFFF"/>
        </w:rPr>
        <w:t xml:space="preserve"> </w:t>
      </w:r>
      <w:r w:rsidRPr="00DB6D06">
        <w:rPr>
          <w:rFonts w:ascii="Verdana" w:eastAsia="Times New Roman" w:hAnsi="Verdana" w:cs="Arial"/>
          <w:bCs/>
          <w:shd w:val="clear" w:color="auto" w:fill="FFFFFF"/>
        </w:rPr>
        <w:t>el deber de informar a la entidad contratante los hechos o circunstancias que puedan constituir actos de corrupción tipificados como conductas punibles, o que puedan poner o pongan en riesgo el cumplimiento del contrato, o cuando se presente el incumplimiento</w:t>
      </w:r>
      <w:r w:rsidRPr="00320658">
        <w:rPr>
          <w:rFonts w:ascii="Verdana" w:eastAsia="Times New Roman" w:hAnsi="Verdana" w:cs="Arial"/>
          <w:bCs/>
          <w:shd w:val="clear" w:color="auto" w:fill="FFFFFF"/>
          <w:lang w:val="es-ES_tradnl"/>
        </w:rPr>
        <w:t>.</w:t>
      </w:r>
      <w:r>
        <w:rPr>
          <w:rFonts w:ascii="Verdana" w:eastAsia="Times New Roman" w:hAnsi="Verdana" w:cs="Arial"/>
          <w:bCs/>
          <w:shd w:val="clear" w:color="auto" w:fill="FFFFFF"/>
        </w:rPr>
        <w:t xml:space="preserve"> </w:t>
      </w:r>
      <w:r w:rsidRPr="007A30F0">
        <w:rPr>
          <w:rFonts w:ascii="Verdana" w:eastAsia="Calibri" w:hAnsi="Verdana" w:cs="Arial"/>
          <w:b/>
          <w:bCs/>
          <w:lang w:val="es-ES_tradnl"/>
        </w:rPr>
        <w:t>(Respuesta a la pregunta [6])</w:t>
      </w:r>
    </w:p>
    <w:p w14:paraId="0150CBF5" w14:textId="77777777" w:rsidR="00542A9A" w:rsidRPr="003A0096" w:rsidRDefault="00542A9A" w:rsidP="00542A9A">
      <w:pPr>
        <w:spacing w:after="120" w:line="276" w:lineRule="auto"/>
        <w:ind w:firstLine="709"/>
        <w:jc w:val="both"/>
        <w:rPr>
          <w:rFonts w:ascii="Verdana" w:eastAsia="Times New Roman" w:hAnsi="Verdana" w:cs="Arial"/>
          <w:bCs/>
          <w:shd w:val="clear" w:color="auto" w:fill="FFFFFF"/>
          <w:lang w:val="es-ES_tradnl"/>
        </w:rPr>
      </w:pPr>
      <w:r w:rsidRPr="00320658">
        <w:rPr>
          <w:rFonts w:ascii="Verdana" w:eastAsia="Times New Roman" w:hAnsi="Verdana" w:cs="Arial"/>
          <w:bCs/>
          <w:shd w:val="clear" w:color="auto" w:fill="FFFFFF"/>
          <w:lang w:val="es-ES_tradnl"/>
        </w:rPr>
        <w:t xml:space="preserve">Ahora bien, </w:t>
      </w:r>
      <w:bookmarkEnd w:id="4"/>
      <w:r>
        <w:rPr>
          <w:rFonts w:ascii="Verdana" w:eastAsia="Times New Roman" w:hAnsi="Verdana" w:cs="Arial"/>
          <w:bCs/>
          <w:shd w:val="clear" w:color="auto" w:fill="FFFFFF"/>
          <w:lang w:val="es-ES_tradnl"/>
        </w:rPr>
        <w:t xml:space="preserve">frente a </w:t>
      </w:r>
      <w:r w:rsidRPr="003A0096">
        <w:rPr>
          <w:rFonts w:ascii="Verdana" w:hAnsi="Verdana"/>
        </w:rPr>
        <w:t>la supervisión de los convenios interadministrativos, es importante reiterar que una de sus características principales es que tienen como fuente la autonomía contractual. En particular, los convenios interadministrativos tienen un grado de excepcionalidad frente a las demás tipologías contractuales y se caracterizan por la autorregulación de sus propias estipulaciones, sin que pueda predicarse la aplicación automática de la generalidad de las normas del EGCAP, incluyendo aquellas referidas en el artículo 83 y siguientes de la Ley 1474 de 2011 en materia de supervisión contractual</w:t>
      </w:r>
      <w:r w:rsidRPr="003A0096">
        <w:rPr>
          <w:rFonts w:ascii="Verdana" w:hAnsi="Verdana"/>
          <w:vertAlign w:val="superscript"/>
        </w:rPr>
        <w:footnoteReference w:id="21"/>
      </w:r>
      <w:r w:rsidRPr="003A0096">
        <w:rPr>
          <w:rFonts w:ascii="Verdana" w:hAnsi="Verdana"/>
        </w:rPr>
        <w:t xml:space="preserve">, pueste este régimen será de aplicación supletoria. </w:t>
      </w:r>
    </w:p>
    <w:p w14:paraId="13AD194C" w14:textId="77777777" w:rsidR="00542A9A" w:rsidRDefault="00542A9A" w:rsidP="00542A9A">
      <w:pPr>
        <w:spacing w:after="120" w:line="276" w:lineRule="auto"/>
        <w:ind w:firstLine="709"/>
        <w:jc w:val="both"/>
        <w:rPr>
          <w:rFonts w:ascii="Verdana" w:hAnsi="Verdana"/>
        </w:rPr>
      </w:pPr>
      <w:r w:rsidRPr="003A0096">
        <w:rPr>
          <w:rFonts w:ascii="Verdana" w:hAnsi="Verdana"/>
        </w:rPr>
        <w:t>En virtud de lo anterior, las partes del convenio interadministrativo deberán establecer las condiciones y medidas que emplearán para verificar el cumplimiento de las actividades pactadas y para realizar una supervisión adecuada durante su ejecución. De cualquier modo, estas estipulaciones deben cumplir con el principio de responsabilidad que rige la contratación estatal, según el cual las entidades públicas están obligadas a vigilar la correcta ejecución del objeto contratado y a proteger tanto los derechos de la propia entidad como los del contratista, ejecutor y terceros que puedan verse afectados por la ejecución del contrato</w:t>
      </w:r>
      <w:r w:rsidRPr="003A0096">
        <w:rPr>
          <w:rFonts w:ascii="Verdana" w:hAnsi="Verdana"/>
          <w:vertAlign w:val="superscript"/>
        </w:rPr>
        <w:footnoteReference w:id="22"/>
      </w:r>
      <w:r w:rsidRPr="003A0096">
        <w:rPr>
          <w:rFonts w:ascii="Verdana" w:hAnsi="Verdana"/>
        </w:rPr>
        <w:t xml:space="preserve">. </w:t>
      </w:r>
    </w:p>
    <w:p w14:paraId="72B0414A" w14:textId="77777777" w:rsidR="00542A9A" w:rsidRPr="002064A1" w:rsidRDefault="00542A9A" w:rsidP="00542A9A">
      <w:pPr>
        <w:spacing w:after="120" w:line="276" w:lineRule="auto"/>
        <w:ind w:firstLine="709"/>
        <w:jc w:val="both"/>
        <w:rPr>
          <w:rFonts w:ascii="Verdana" w:hAnsi="Verdana"/>
        </w:rPr>
      </w:pPr>
      <w:r>
        <w:rPr>
          <w:rFonts w:ascii="Verdana" w:eastAsia="Times New Roman" w:hAnsi="Verdana" w:cs="Arial"/>
          <w:bCs/>
          <w:shd w:val="clear" w:color="auto" w:fill="FFFFFF"/>
          <w:lang w:val="es-ES_tradnl"/>
        </w:rPr>
        <w:t xml:space="preserve">Respecto de </w:t>
      </w:r>
      <w:r w:rsidRPr="00320658">
        <w:rPr>
          <w:rFonts w:ascii="Verdana" w:eastAsia="Times New Roman" w:hAnsi="Verdana" w:cs="Arial"/>
          <w:bCs/>
          <w:shd w:val="clear" w:color="auto" w:fill="FFFFFF"/>
          <w:lang w:val="es-ES_tradnl"/>
        </w:rPr>
        <w:t xml:space="preserve">los contratos de derivados de un convenio </w:t>
      </w:r>
      <w:r>
        <w:rPr>
          <w:rFonts w:ascii="Verdana" w:eastAsia="Times New Roman" w:hAnsi="Verdana" w:cs="Arial"/>
          <w:bCs/>
          <w:shd w:val="clear" w:color="auto" w:fill="FFFFFF"/>
          <w:lang w:val="es-ES_tradnl"/>
        </w:rPr>
        <w:t>marco</w:t>
      </w:r>
      <w:r w:rsidRPr="00320658">
        <w:rPr>
          <w:rFonts w:ascii="Verdana" w:eastAsia="Times New Roman" w:hAnsi="Verdana" w:cs="Arial"/>
          <w:bCs/>
          <w:shd w:val="clear" w:color="auto" w:fill="FFFFFF"/>
          <w:lang w:val="es-ES_tradnl"/>
        </w:rPr>
        <w:t>, debe resaltarse que estos deben contar con su propio supervisor e interventor</w:t>
      </w:r>
      <w:r>
        <w:rPr>
          <w:rFonts w:ascii="Verdana" w:eastAsia="Times New Roman" w:hAnsi="Verdana" w:cs="Arial"/>
          <w:bCs/>
          <w:shd w:val="clear" w:color="auto" w:fill="FFFFFF"/>
          <w:lang w:val="es-ES_tradnl"/>
        </w:rPr>
        <w:t xml:space="preserve">, si es </w:t>
      </w:r>
      <w:r>
        <w:rPr>
          <w:rFonts w:ascii="Verdana" w:eastAsia="Times New Roman" w:hAnsi="Verdana" w:cs="Arial"/>
          <w:bCs/>
          <w:shd w:val="clear" w:color="auto" w:fill="FFFFFF"/>
          <w:lang w:val="es-ES_tradnl"/>
        </w:rPr>
        <w:lastRenderedPageBreak/>
        <w:t>del caso,</w:t>
      </w:r>
      <w:r w:rsidRPr="00320658">
        <w:rPr>
          <w:rFonts w:ascii="Verdana" w:eastAsia="Times New Roman" w:hAnsi="Verdana" w:cs="Arial"/>
          <w:bCs/>
          <w:shd w:val="clear" w:color="auto" w:fill="FFFFFF"/>
          <w:lang w:val="es-ES_tradnl"/>
        </w:rPr>
        <w:t xml:space="preserve"> conforme lo establece el numeral 1 del artículo 32 de la Ley 80 de 1993 y el artículo 83 de la Ley 1474 de 2011, además del supervisor del contrato o convenio interadministrativo principal cuyas obligaciones de seguimiento, vigilancia y control son más generales. </w:t>
      </w:r>
      <w:r w:rsidRPr="00D3705C">
        <w:rPr>
          <w:rFonts w:ascii="Verdana" w:eastAsia="Calibri" w:hAnsi="Verdana" w:cs="Arial"/>
          <w:b/>
          <w:bCs/>
          <w:lang w:val="es-ES_tradnl"/>
        </w:rPr>
        <w:t>(Respuestas a la pregunta [8])</w:t>
      </w:r>
    </w:p>
    <w:p w14:paraId="6EC5A090" w14:textId="77777777" w:rsidR="00542A9A" w:rsidRPr="003A0096" w:rsidRDefault="00542A9A" w:rsidP="00542A9A">
      <w:pPr>
        <w:widowControl w:val="0"/>
        <w:autoSpaceDE w:val="0"/>
        <w:autoSpaceDN w:val="0"/>
        <w:spacing w:after="120" w:line="276" w:lineRule="auto"/>
        <w:ind w:firstLine="708"/>
        <w:jc w:val="both"/>
        <w:rPr>
          <w:rFonts w:ascii="Verdana" w:hAnsi="Verdana"/>
        </w:rPr>
      </w:pPr>
      <w:r w:rsidRPr="003A0096">
        <w:rPr>
          <w:rFonts w:ascii="Verdana" w:hAnsi="Verdana"/>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EADB378" w14:textId="77777777" w:rsidR="00542A9A" w:rsidRPr="003A0096" w:rsidRDefault="00542A9A" w:rsidP="00542A9A">
      <w:pPr>
        <w:widowControl w:val="0"/>
        <w:autoSpaceDE w:val="0"/>
        <w:autoSpaceDN w:val="0"/>
        <w:spacing w:after="0" w:line="276" w:lineRule="auto"/>
        <w:ind w:right="176" w:firstLine="708"/>
        <w:jc w:val="both"/>
        <w:rPr>
          <w:rFonts w:ascii="Verdana" w:hAnsi="Verdana"/>
        </w:rPr>
      </w:pPr>
      <w:r w:rsidRPr="003A0096">
        <w:rPr>
          <w:rFonts w:ascii="Verdana" w:hAnsi="Verdana"/>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8CABF82" w14:textId="77777777" w:rsidR="00542A9A" w:rsidRPr="006B0E24" w:rsidRDefault="00542A9A" w:rsidP="00542A9A">
      <w:pPr>
        <w:snapToGrid w:val="0"/>
        <w:spacing w:after="120" w:line="276" w:lineRule="auto"/>
        <w:ind w:left="142" w:right="193" w:firstLine="567"/>
        <w:jc w:val="both"/>
        <w:rPr>
          <w:rFonts w:ascii="Verdana" w:eastAsia="Calibri" w:hAnsi="Verdana" w:cs="Arial"/>
          <w:bCs/>
          <w:color w:val="000000" w:themeColor="text1"/>
          <w:lang w:eastAsia="es-ES_tradnl" w:bidi="es-ES"/>
        </w:rPr>
      </w:pPr>
    </w:p>
    <w:p w14:paraId="7521D1EA" w14:textId="77777777" w:rsidR="00542A9A" w:rsidRPr="00593A5F" w:rsidRDefault="00542A9A" w:rsidP="00542A9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2D7EE93B" w14:textId="77777777" w:rsidR="00542A9A" w:rsidRPr="00593A5F" w:rsidRDefault="00542A9A" w:rsidP="00542A9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42A9A" w:rsidRPr="002407CE" w14:paraId="7349ADF1" w14:textId="77777777" w:rsidTr="00BE3615">
        <w:trPr>
          <w:trHeight w:val="870"/>
          <w:jc w:val="center"/>
        </w:trPr>
        <w:tc>
          <w:tcPr>
            <w:tcW w:w="8647" w:type="dxa"/>
          </w:tcPr>
          <w:p w14:paraId="78C65392" w14:textId="77777777" w:rsidR="00542A9A" w:rsidRPr="00A42BC7" w:rsidRDefault="00542A9A" w:rsidP="00542A9A">
            <w:pPr>
              <w:pStyle w:val="Prrafodelista"/>
              <w:numPr>
                <w:ilvl w:val="0"/>
                <w:numId w:val="20"/>
              </w:numPr>
              <w:ind w:left="318" w:hanging="284"/>
              <w:contextualSpacing w:val="0"/>
              <w:jc w:val="both"/>
              <w:rPr>
                <w:rFonts w:ascii="Verdana" w:hAnsi="Verdana" w:cs="Arial"/>
              </w:rPr>
            </w:pPr>
            <w:r w:rsidRPr="00825B70">
              <w:rPr>
                <w:rFonts w:ascii="Verdana" w:eastAsia="Arial" w:hAnsi="Verdana" w:cs="Arial"/>
                <w:bCs/>
                <w:lang w:eastAsia="es-ES" w:bidi="es-ES"/>
              </w:rPr>
              <w:t>Ley 80 de 1993</w:t>
            </w:r>
            <w:r>
              <w:rPr>
                <w:rFonts w:ascii="Verdana" w:eastAsia="Arial" w:hAnsi="Verdana" w:cs="Arial"/>
                <w:bCs/>
                <w:lang w:eastAsia="es-ES" w:bidi="es-ES"/>
              </w:rPr>
              <w:t xml:space="preserve">, artículos </w:t>
            </w:r>
            <w:r w:rsidRPr="00283CFD">
              <w:rPr>
                <w:rFonts w:ascii="Verdana" w:eastAsia="Calibri" w:hAnsi="Verdana" w:cs="Arial"/>
              </w:rPr>
              <w:t>4, 5, 12,</w:t>
            </w:r>
            <w:r>
              <w:rPr>
                <w:rFonts w:ascii="Verdana" w:eastAsia="Calibri" w:hAnsi="Verdana" w:cs="Arial"/>
              </w:rPr>
              <w:t>13,</w:t>
            </w:r>
            <w:r w:rsidRPr="00283CFD">
              <w:rPr>
                <w:rFonts w:ascii="Verdana" w:eastAsia="Calibri" w:hAnsi="Verdana" w:cs="Arial"/>
              </w:rPr>
              <w:t xml:space="preserve"> 14</w:t>
            </w:r>
            <w:r>
              <w:rPr>
                <w:rFonts w:ascii="Verdana" w:eastAsia="Calibri" w:hAnsi="Verdana" w:cs="Arial"/>
              </w:rPr>
              <w:t xml:space="preserve">, </w:t>
            </w:r>
            <w:r w:rsidRPr="00283CFD">
              <w:rPr>
                <w:rFonts w:ascii="Verdana" w:eastAsia="Calibri" w:hAnsi="Verdana" w:cs="Arial"/>
              </w:rPr>
              <w:t>26</w:t>
            </w:r>
            <w:r>
              <w:rPr>
                <w:rFonts w:ascii="Verdana" w:eastAsia="Calibri" w:hAnsi="Verdana" w:cs="Arial"/>
              </w:rPr>
              <w:t>, 32 y 40</w:t>
            </w:r>
            <w:r>
              <w:rPr>
                <w:rFonts w:ascii="Verdana" w:eastAsia="Arial" w:hAnsi="Verdana" w:cs="Arial"/>
                <w:bCs/>
                <w:lang w:eastAsia="es-ES" w:bidi="es-ES"/>
              </w:rPr>
              <w:t>.</w:t>
            </w:r>
          </w:p>
          <w:p w14:paraId="6B8111C1" w14:textId="77777777" w:rsidR="00542A9A" w:rsidRPr="00A42BC7" w:rsidRDefault="00542A9A" w:rsidP="00542A9A">
            <w:pPr>
              <w:pStyle w:val="Prrafodelista"/>
              <w:numPr>
                <w:ilvl w:val="0"/>
                <w:numId w:val="20"/>
              </w:numPr>
              <w:ind w:left="318" w:hanging="284"/>
              <w:contextualSpacing w:val="0"/>
              <w:jc w:val="both"/>
              <w:rPr>
                <w:rFonts w:ascii="Verdana" w:hAnsi="Verdana" w:cs="Arial"/>
              </w:rPr>
            </w:pPr>
            <w:r w:rsidRPr="00A42BC7">
              <w:rPr>
                <w:rFonts w:ascii="Verdana" w:hAnsi="Verdana" w:cs="Arial"/>
              </w:rPr>
              <w:t>Ley 1474 de 2011. Artículos 83 a 86</w:t>
            </w:r>
          </w:p>
          <w:p w14:paraId="519313EC" w14:textId="77777777" w:rsidR="00542A9A" w:rsidRPr="00A160F3" w:rsidRDefault="00542A9A" w:rsidP="00542A9A">
            <w:pPr>
              <w:pStyle w:val="Prrafodelista"/>
              <w:widowControl w:val="0"/>
              <w:numPr>
                <w:ilvl w:val="0"/>
                <w:numId w:val="17"/>
              </w:numPr>
              <w:autoSpaceDE w:val="0"/>
              <w:autoSpaceDN w:val="0"/>
              <w:spacing w:line="276" w:lineRule="auto"/>
              <w:ind w:left="318" w:hanging="284"/>
              <w:contextualSpacing w:val="0"/>
              <w:jc w:val="both"/>
              <w:rPr>
                <w:rFonts w:ascii="Verdana" w:hAnsi="Verdana" w:cs="Arial"/>
              </w:rPr>
            </w:pPr>
            <w:r w:rsidRPr="00A160F3">
              <w:rPr>
                <w:rFonts w:ascii="Verdana" w:hAnsi="Verdana" w:cs="Arial"/>
                <w:lang w:val="es-CO"/>
              </w:rPr>
              <w:t xml:space="preserve">Laudo arbitral del 8 de febrero de 2016. A.S. </w:t>
            </w:r>
            <w:proofErr w:type="spellStart"/>
            <w:r w:rsidRPr="00A160F3">
              <w:rPr>
                <w:rFonts w:ascii="Verdana" w:hAnsi="Verdana" w:cs="Arial"/>
                <w:lang w:val="es-CO"/>
              </w:rPr>
              <w:t>Ingenieria</w:t>
            </w:r>
            <w:proofErr w:type="spellEnd"/>
            <w:r w:rsidRPr="00A160F3">
              <w:rPr>
                <w:rFonts w:ascii="Verdana" w:hAnsi="Verdana" w:cs="Arial"/>
                <w:lang w:val="es-CO"/>
              </w:rPr>
              <w:t xml:space="preserve"> Puntual S.A.S. Vs. </w:t>
            </w:r>
            <w:proofErr w:type="spellStart"/>
            <w:r w:rsidRPr="00A160F3">
              <w:rPr>
                <w:rFonts w:ascii="Verdana" w:hAnsi="Verdana" w:cs="Arial"/>
                <w:lang w:val="es-CO"/>
              </w:rPr>
              <w:t>Perenco</w:t>
            </w:r>
            <w:proofErr w:type="spellEnd"/>
            <w:r w:rsidRPr="00A160F3">
              <w:rPr>
                <w:rFonts w:ascii="Verdana" w:hAnsi="Verdana" w:cs="Arial"/>
                <w:lang w:val="es-CO"/>
              </w:rPr>
              <w:t xml:space="preserve"> </w:t>
            </w:r>
            <w:proofErr w:type="spellStart"/>
            <w:r w:rsidRPr="00A160F3">
              <w:rPr>
                <w:rFonts w:ascii="Verdana" w:hAnsi="Verdana" w:cs="Arial"/>
                <w:lang w:val="es-CO"/>
              </w:rPr>
              <w:t>Oil</w:t>
            </w:r>
            <w:proofErr w:type="spellEnd"/>
            <w:r w:rsidRPr="00A160F3">
              <w:rPr>
                <w:rFonts w:ascii="Verdana" w:hAnsi="Verdana" w:cs="Arial"/>
                <w:lang w:val="es-CO"/>
              </w:rPr>
              <w:t xml:space="preserve"> And Gas Colombia </w:t>
            </w:r>
            <w:proofErr w:type="spellStart"/>
            <w:r w:rsidRPr="00A160F3">
              <w:rPr>
                <w:rFonts w:ascii="Verdana" w:hAnsi="Verdana" w:cs="Arial"/>
                <w:lang w:val="es-CO"/>
              </w:rPr>
              <w:t>Limited</w:t>
            </w:r>
            <w:proofErr w:type="spellEnd"/>
            <w:r w:rsidRPr="00A160F3">
              <w:rPr>
                <w:rFonts w:ascii="Verdana" w:hAnsi="Verdana" w:cs="Arial"/>
                <w:lang w:val="es-CO"/>
              </w:rPr>
              <w:t>.</w:t>
            </w:r>
          </w:p>
          <w:p w14:paraId="1270137D" w14:textId="77777777" w:rsidR="00542A9A" w:rsidRPr="008F2F51" w:rsidRDefault="00542A9A" w:rsidP="00542A9A">
            <w:pPr>
              <w:pStyle w:val="Prrafodelista"/>
              <w:widowControl w:val="0"/>
              <w:numPr>
                <w:ilvl w:val="0"/>
                <w:numId w:val="17"/>
              </w:numPr>
              <w:autoSpaceDE w:val="0"/>
              <w:autoSpaceDN w:val="0"/>
              <w:spacing w:line="276" w:lineRule="auto"/>
              <w:ind w:left="318" w:hanging="284"/>
              <w:contextualSpacing w:val="0"/>
              <w:jc w:val="both"/>
              <w:rPr>
                <w:rFonts w:ascii="Verdana" w:hAnsi="Verdana" w:cs="Arial"/>
              </w:rPr>
            </w:pPr>
            <w:r w:rsidRPr="008F2F51">
              <w:rPr>
                <w:rFonts w:ascii="Verdana" w:hAnsi="Verdana" w:cs="Arial"/>
                <w:lang w:val="es-CO"/>
              </w:rPr>
              <w:t xml:space="preserve">Consejo de Estado -Sección Tercera-. Sentencia del </w:t>
            </w:r>
            <w:r w:rsidRPr="008F2F51">
              <w:rPr>
                <w:rFonts w:ascii="Verdana" w:hAnsi="Verdana" w:cs="Arial"/>
                <w:bCs/>
                <w:iCs/>
                <w:lang w:val="es-CO"/>
              </w:rPr>
              <w:t>11 de julio de 2025. Radicación Número: 72.252. CP: José Roberto Sáchica Méndez.</w:t>
            </w:r>
          </w:p>
          <w:p w14:paraId="70A85236" w14:textId="77777777" w:rsidR="00542A9A" w:rsidRDefault="00542A9A" w:rsidP="00542A9A">
            <w:pPr>
              <w:pStyle w:val="Prrafodelista"/>
              <w:widowControl w:val="0"/>
              <w:numPr>
                <w:ilvl w:val="0"/>
                <w:numId w:val="17"/>
              </w:numPr>
              <w:autoSpaceDE w:val="0"/>
              <w:autoSpaceDN w:val="0"/>
              <w:spacing w:line="276" w:lineRule="auto"/>
              <w:ind w:left="318" w:hanging="284"/>
              <w:contextualSpacing w:val="0"/>
              <w:jc w:val="both"/>
              <w:rPr>
                <w:rFonts w:ascii="Verdana" w:hAnsi="Verdana" w:cs="Arial"/>
              </w:rPr>
            </w:pPr>
            <w:r w:rsidRPr="008F2F51">
              <w:rPr>
                <w:rFonts w:ascii="Verdana" w:hAnsi="Verdana" w:cs="Arial"/>
              </w:rPr>
              <w:t>Consejo de Estado -Sección Tercera-. Sentencia del 21 de febrero de 2025. Radicación Número: 68.280. CP: José Roberto Sáchica Méndez.</w:t>
            </w:r>
          </w:p>
          <w:p w14:paraId="0466DD7A" w14:textId="77777777" w:rsidR="00542A9A" w:rsidRDefault="00542A9A" w:rsidP="00542A9A">
            <w:pPr>
              <w:pStyle w:val="Prrafodelista"/>
              <w:widowControl w:val="0"/>
              <w:numPr>
                <w:ilvl w:val="0"/>
                <w:numId w:val="17"/>
              </w:numPr>
              <w:autoSpaceDE w:val="0"/>
              <w:autoSpaceDN w:val="0"/>
              <w:spacing w:line="276" w:lineRule="auto"/>
              <w:ind w:left="318" w:hanging="284"/>
              <w:contextualSpacing w:val="0"/>
              <w:jc w:val="both"/>
              <w:rPr>
                <w:rFonts w:ascii="Verdana" w:hAnsi="Verdana" w:cs="Arial"/>
              </w:rPr>
            </w:pPr>
            <w:r w:rsidRPr="008F2F51">
              <w:rPr>
                <w:rFonts w:ascii="Verdana" w:hAnsi="Verdana" w:cs="Arial"/>
              </w:rPr>
              <w:t>Consejo de Estado, Sala de lo Contencioso Administrativo, Sección Tercera, sentencia de 23 de junio de 2010, exp.17860.</w:t>
            </w:r>
          </w:p>
          <w:p w14:paraId="794B4E89" w14:textId="77777777" w:rsidR="00542A9A" w:rsidRPr="00503A90" w:rsidRDefault="00542A9A" w:rsidP="00542A9A">
            <w:pPr>
              <w:pStyle w:val="Prrafodelista"/>
              <w:widowControl w:val="0"/>
              <w:numPr>
                <w:ilvl w:val="0"/>
                <w:numId w:val="17"/>
              </w:numPr>
              <w:autoSpaceDE w:val="0"/>
              <w:autoSpaceDN w:val="0"/>
              <w:spacing w:line="276" w:lineRule="auto"/>
              <w:ind w:left="318" w:hanging="284"/>
              <w:contextualSpacing w:val="0"/>
              <w:jc w:val="both"/>
              <w:rPr>
                <w:rFonts w:ascii="Verdana" w:hAnsi="Verdana" w:cs="Arial"/>
              </w:rPr>
            </w:pPr>
            <w:r w:rsidRPr="00265822">
              <w:rPr>
                <w:rFonts w:ascii="Verdana" w:hAnsi="Verdana" w:cs="Arial"/>
                <w:lang w:val="es-CO"/>
              </w:rPr>
              <w:lastRenderedPageBreak/>
              <w:t xml:space="preserve">Consejo de Estado. Sala de Consulta y Servicio Civil. Concepto 26 de julio de 2016. </w:t>
            </w:r>
            <w:proofErr w:type="spellStart"/>
            <w:r w:rsidRPr="00265822">
              <w:rPr>
                <w:rFonts w:ascii="Verdana" w:hAnsi="Verdana" w:cs="Arial"/>
                <w:lang w:val="es-CO"/>
              </w:rPr>
              <w:t>Exp</w:t>
            </w:r>
            <w:proofErr w:type="spellEnd"/>
            <w:r w:rsidRPr="00265822">
              <w:rPr>
                <w:rFonts w:ascii="Verdana" w:hAnsi="Verdana" w:cs="Arial"/>
                <w:lang w:val="es-CO"/>
              </w:rPr>
              <w:t xml:space="preserve">. 2.257. C.P. Álvaro </w:t>
            </w:r>
            <w:proofErr w:type="spellStart"/>
            <w:r w:rsidRPr="00265822">
              <w:rPr>
                <w:rFonts w:ascii="Verdana" w:hAnsi="Verdana" w:cs="Arial"/>
                <w:lang w:val="es-CO"/>
              </w:rPr>
              <w:t>Namén</w:t>
            </w:r>
            <w:proofErr w:type="spellEnd"/>
            <w:r w:rsidRPr="00265822">
              <w:rPr>
                <w:rFonts w:ascii="Verdana" w:hAnsi="Verdana" w:cs="Arial"/>
                <w:lang w:val="es-CO"/>
              </w:rPr>
              <w:t xml:space="preserve"> Vargas.</w:t>
            </w:r>
          </w:p>
          <w:p w14:paraId="5910C6F8" w14:textId="77777777" w:rsidR="00542A9A" w:rsidRDefault="00542A9A" w:rsidP="00542A9A">
            <w:pPr>
              <w:pStyle w:val="Prrafodelista"/>
              <w:widowControl w:val="0"/>
              <w:numPr>
                <w:ilvl w:val="0"/>
                <w:numId w:val="17"/>
              </w:numPr>
              <w:autoSpaceDE w:val="0"/>
              <w:autoSpaceDN w:val="0"/>
              <w:spacing w:line="276" w:lineRule="auto"/>
              <w:ind w:left="318" w:hanging="284"/>
              <w:contextualSpacing w:val="0"/>
              <w:jc w:val="both"/>
              <w:rPr>
                <w:rFonts w:ascii="Verdana" w:hAnsi="Verdana" w:cs="Arial"/>
              </w:rPr>
            </w:pPr>
            <w:r w:rsidRPr="00503A90">
              <w:rPr>
                <w:rFonts w:ascii="Verdana" w:hAnsi="Verdana" w:cs="Arial"/>
              </w:rPr>
              <w:t xml:space="preserve">Colombia Compra Eficiente. Guía para el ejercicio de las funciones de Supervisión e Interventoría de los contratos suscritos por las Entidades Estatales, disponible </w:t>
            </w:r>
            <w:hyperlink r:id="rId13" w:history="1">
              <w:r w:rsidRPr="009B6121">
                <w:rPr>
                  <w:rStyle w:val="Hipervnculo"/>
                  <w:rFonts w:ascii="Verdana" w:hAnsi="Verdana" w:cs="Arial"/>
                  <w:lang w:val="es-CO"/>
                </w:rPr>
                <w:t>aquí</w:t>
              </w:r>
            </w:hyperlink>
          </w:p>
          <w:p w14:paraId="73ADF2D4" w14:textId="77777777" w:rsidR="00542A9A" w:rsidRPr="00503A90" w:rsidRDefault="00542A9A" w:rsidP="00542A9A">
            <w:pPr>
              <w:pStyle w:val="Prrafodelista"/>
              <w:widowControl w:val="0"/>
              <w:numPr>
                <w:ilvl w:val="0"/>
                <w:numId w:val="17"/>
              </w:numPr>
              <w:autoSpaceDE w:val="0"/>
              <w:autoSpaceDN w:val="0"/>
              <w:spacing w:line="276" w:lineRule="auto"/>
              <w:ind w:left="318" w:hanging="284"/>
              <w:contextualSpacing w:val="0"/>
              <w:jc w:val="both"/>
              <w:rPr>
                <w:rFonts w:ascii="Verdana" w:hAnsi="Verdana" w:cs="Arial"/>
              </w:rPr>
            </w:pPr>
            <w:r w:rsidRPr="00503A90">
              <w:rPr>
                <w:rFonts w:ascii="Verdana" w:hAnsi="Verdana" w:cs="Arial"/>
              </w:rPr>
              <w:t xml:space="preserve">Consejo de Estado. Sección 3ª. Sentencia del 27 de noviembre de 2017. M.P. Jaime Orlando Santofimio. </w:t>
            </w:r>
            <w:proofErr w:type="spellStart"/>
            <w:r w:rsidRPr="00503A90">
              <w:rPr>
                <w:rFonts w:ascii="Verdana" w:hAnsi="Verdana" w:cs="Arial"/>
              </w:rPr>
              <w:t>Exp</w:t>
            </w:r>
            <w:proofErr w:type="spellEnd"/>
            <w:r w:rsidRPr="00503A90">
              <w:rPr>
                <w:rFonts w:ascii="Verdana" w:hAnsi="Verdana" w:cs="Arial"/>
              </w:rPr>
              <w:t>. 51.802</w:t>
            </w:r>
          </w:p>
        </w:tc>
      </w:tr>
    </w:tbl>
    <w:p w14:paraId="6CA2EB5D" w14:textId="77777777" w:rsidR="00542A9A" w:rsidRPr="002407CE" w:rsidRDefault="00542A9A" w:rsidP="00542A9A">
      <w:pPr>
        <w:widowControl w:val="0"/>
        <w:autoSpaceDE w:val="0"/>
        <w:autoSpaceDN w:val="0"/>
        <w:spacing w:after="0" w:line="276" w:lineRule="auto"/>
        <w:jc w:val="both"/>
        <w:rPr>
          <w:rFonts w:ascii="Verdana" w:hAnsi="Verdana" w:cs="Arial"/>
        </w:rPr>
      </w:pPr>
    </w:p>
    <w:p w14:paraId="412C2F85" w14:textId="77777777" w:rsidR="00542A9A" w:rsidRPr="00593A5F" w:rsidRDefault="00542A9A" w:rsidP="00542A9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727C7F9" w14:textId="77777777" w:rsidR="00542A9A" w:rsidRPr="00593A5F" w:rsidRDefault="00542A9A" w:rsidP="00542A9A">
      <w:pPr>
        <w:widowControl w:val="0"/>
        <w:autoSpaceDE w:val="0"/>
        <w:autoSpaceDN w:val="0"/>
        <w:spacing w:after="0" w:line="276" w:lineRule="auto"/>
        <w:jc w:val="both"/>
        <w:rPr>
          <w:rFonts w:ascii="Verdana" w:hAnsi="Verdana" w:cs="Arial"/>
        </w:rPr>
      </w:pPr>
    </w:p>
    <w:p w14:paraId="2C2F8050" w14:textId="77777777" w:rsidR="00542A9A" w:rsidRPr="000A36D1" w:rsidRDefault="00542A9A" w:rsidP="00542A9A">
      <w:pPr>
        <w:widowControl w:val="0"/>
        <w:autoSpaceDE w:val="0"/>
        <w:autoSpaceDN w:val="0"/>
        <w:spacing w:after="0" w:line="276" w:lineRule="auto"/>
        <w:jc w:val="both"/>
        <w:rPr>
          <w:rStyle w:val="normaltextrun"/>
          <w:rFonts w:ascii="Verdana" w:eastAsia="Calibri" w:hAnsi="Verdana" w:cs="Arial"/>
          <w:color w:val="000000" w:themeColor="text1"/>
        </w:rPr>
      </w:pPr>
      <w:r w:rsidRPr="002C675F">
        <w:rPr>
          <w:rFonts w:ascii="Verdana" w:hAnsi="Verdana" w:cs="Arial"/>
          <w:lang w:eastAsia="es-ES_tradnl"/>
        </w:rPr>
        <w:t xml:space="preserve">La Agencia Nacional de Contratación Pública -Colombia Compra Eficiente- se ha referido previamente a la noción y características de los convenios y contratos interadministrativos en los conceptos </w:t>
      </w:r>
      <w:r w:rsidRPr="002C675F">
        <w:rPr>
          <w:rFonts w:ascii="Verdana" w:eastAsia="Calibri" w:hAnsi="Verdana" w:cs="Arial"/>
          <w:color w:val="000000"/>
          <w:lang w:eastAsia="es-ES_tradnl"/>
        </w:rPr>
        <w:t>4201913000004536 del 27 de julio del 2019, C-023 del 13 de febrero del 2020, C-220 del 13 de abril del 2020, C-681 del 19 de noviembre del 2020, C-552 del 5 de octubre del 2021, C-387 del 15 de junio de 2022, C-562 del 7 de septiembre del 2022</w:t>
      </w:r>
      <w:r w:rsidRPr="002C675F">
        <w:rPr>
          <w:rFonts w:ascii="Verdana" w:eastAsia="Calibri" w:hAnsi="Verdana" w:cs="Arial"/>
          <w:bCs/>
          <w:color w:val="000000"/>
          <w:lang w:eastAsia="es-ES_tradnl"/>
        </w:rPr>
        <w:t>, C-114 del 4 de mayo de 2023 y C-771 del 29 de diciembre de 2022</w:t>
      </w:r>
      <w:r>
        <w:rPr>
          <w:rFonts w:ascii="Verdana" w:eastAsia="Calibri" w:hAnsi="Verdana" w:cs="Arial"/>
          <w:color w:val="000000" w:themeColor="text1"/>
        </w:rPr>
        <w:t xml:space="preserve">. </w:t>
      </w:r>
      <w:r w:rsidRPr="00283CFD">
        <w:rPr>
          <w:rFonts w:ascii="Verdana" w:hAnsi="Verdana" w:cs="Arial"/>
          <w:color w:val="000000" w:themeColor="text1"/>
          <w:shd w:val="clear" w:color="auto" w:fill="FFFFFF"/>
          <w:lang w:val="es-ES"/>
        </w:rPr>
        <w:t xml:space="preserve">Sobre la obligación de controlar y vigilar la ejecución de los contratos estatales, esta Subdirección se ha referido en los Conceptos </w:t>
      </w:r>
      <w:r w:rsidRPr="00283CFD">
        <w:rPr>
          <w:rFonts w:ascii="Verdana" w:hAnsi="Verdana" w:cs="Arial"/>
          <w:color w:val="000000" w:themeColor="text1"/>
          <w:shd w:val="clear" w:color="auto" w:fill="FFFFFF"/>
          <w:lang w:val="es-ES_tradnl"/>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283CFD">
        <w:rPr>
          <w:rFonts w:ascii="Verdana" w:hAnsi="Verdana" w:cs="Arial"/>
          <w:color w:val="000000" w:themeColor="text1"/>
          <w:shd w:val="clear" w:color="auto" w:fill="FFFFFF"/>
          <w:lang w:val="es-ES"/>
        </w:rPr>
        <w:t xml:space="preserve">,C-600 del 7 de octubre de 2024, C-882 del 14 de agosto de 2025, entre otros. </w:t>
      </w:r>
      <w:r w:rsidRPr="00F6599C">
        <w:rPr>
          <w:rFonts w:ascii="Verdana" w:hAnsi="Verdana" w:cs="Arial"/>
          <w:shd w:val="clear" w:color="auto" w:fill="FFFFFF"/>
        </w:rPr>
        <w:t>Estos y otros se encuentran disponibles para consulta en el Sistema de relatoría de la Agencia, al cual puede accederse a través del siguiente enlace:</w:t>
      </w:r>
      <w:r>
        <w:rPr>
          <w:rStyle w:val="normaltextrun"/>
          <w:rFonts w:ascii="Verdana" w:hAnsi="Verdana" w:cs="Arial"/>
          <w:shd w:val="clear" w:color="auto" w:fill="FFFFFF"/>
        </w:rPr>
        <w:t xml:space="preserve"> </w:t>
      </w:r>
      <w:hyperlink r:id="rId14" w:history="1">
        <w:r w:rsidRPr="001F47FD">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55A4345" w14:textId="77777777" w:rsidR="00542A9A" w:rsidRPr="00096788" w:rsidRDefault="00542A9A" w:rsidP="00542A9A">
      <w:pPr>
        <w:widowControl w:val="0"/>
        <w:autoSpaceDE w:val="0"/>
        <w:autoSpaceDN w:val="0"/>
        <w:spacing w:after="0" w:line="276" w:lineRule="auto"/>
        <w:jc w:val="both"/>
        <w:rPr>
          <w:rFonts w:ascii="Verdana" w:hAnsi="Verdana" w:cs="Arial"/>
          <w:color w:val="000000" w:themeColor="text1"/>
          <w:shd w:val="clear" w:color="auto" w:fill="FFFFFF"/>
        </w:rPr>
      </w:pPr>
    </w:p>
    <w:p w14:paraId="62D38F79" w14:textId="77777777" w:rsidR="00542A9A" w:rsidRPr="00593A5F" w:rsidRDefault="00542A9A" w:rsidP="00542A9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 xml:space="preserve">y las </w:t>
      </w:r>
      <w:r w:rsidRPr="00593A5F">
        <w:rPr>
          <w:rFonts w:ascii="Verdana" w:hAnsi="Verdana" w:cs="Arial"/>
          <w:lang w:val="es-ES_tradnl"/>
        </w:rPr>
        <w:lastRenderedPageBreak/>
        <w:t>expresiones aquí utilizadas con mayúscula inicial deben ser entendidas con el significado que les otorga el artículo 2.2.1.1.1.3.1. del Decreto 1082 de 2015.</w:t>
      </w:r>
    </w:p>
    <w:p w14:paraId="6933F3E4" w14:textId="77777777" w:rsidR="00542A9A" w:rsidRPr="00593A5F" w:rsidRDefault="00542A9A" w:rsidP="00542A9A">
      <w:pPr>
        <w:widowControl w:val="0"/>
        <w:autoSpaceDE w:val="0"/>
        <w:autoSpaceDN w:val="0"/>
        <w:spacing w:after="0" w:line="276" w:lineRule="auto"/>
        <w:jc w:val="both"/>
        <w:rPr>
          <w:rFonts w:ascii="Verdana" w:hAnsi="Verdana" w:cs="Arial"/>
        </w:rPr>
      </w:pPr>
    </w:p>
    <w:p w14:paraId="092050FE" w14:textId="77777777" w:rsidR="00542A9A" w:rsidRPr="00593A5F" w:rsidRDefault="00542A9A" w:rsidP="00542A9A">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7CFC79D" w14:textId="77777777" w:rsidR="00542A9A" w:rsidRDefault="00542A9A" w:rsidP="00542A9A">
      <w:pPr>
        <w:rPr>
          <w:rFonts w:ascii="Verdana" w:hAnsi="Verdana" w:cs="Arial"/>
          <w:sz w:val="16"/>
          <w:szCs w:val="16"/>
          <w:lang w:val="es-ES" w:eastAsia="es-ES"/>
        </w:rPr>
      </w:pPr>
    </w:p>
    <w:p w14:paraId="39299360" w14:textId="79C1EFC1" w:rsidR="00542A9A" w:rsidRPr="00AD4F6A" w:rsidRDefault="00083359" w:rsidP="00542A9A">
      <w:pPr>
        <w:spacing w:line="276" w:lineRule="auto"/>
        <w:jc w:val="center"/>
        <w:rPr>
          <w:rFonts w:ascii="Verdana" w:hAnsi="Verdana" w:cs="Arial"/>
          <w:color w:val="000000"/>
          <w:lang w:eastAsia="es-CO"/>
        </w:rPr>
      </w:pPr>
      <w:r w:rsidRPr="002C3AD6">
        <w:rPr>
          <w:rFonts w:ascii="Century Gothic" w:hAnsi="Century Gothic"/>
          <w:noProof/>
          <w:lang w:val="en-US"/>
        </w:rPr>
        <w:drawing>
          <wp:inline distT="0" distB="0" distL="0" distR="0" wp14:anchorId="2017C9E2" wp14:editId="4BA8A5DD">
            <wp:extent cx="3670300" cy="1423554"/>
            <wp:effectExtent l="0" t="0" r="6350" b="571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891299" cy="15092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42A9A" w:rsidRPr="00AD4F6A" w14:paraId="040DA6EA" w14:textId="77777777" w:rsidTr="00BE3615">
        <w:trPr>
          <w:trHeight w:val="315"/>
        </w:trPr>
        <w:tc>
          <w:tcPr>
            <w:tcW w:w="893" w:type="dxa"/>
            <w:vAlign w:val="center"/>
            <w:hideMark/>
          </w:tcPr>
          <w:p w14:paraId="0B078C57" w14:textId="77777777" w:rsidR="00542A9A" w:rsidRPr="00AD4F6A" w:rsidRDefault="00542A9A" w:rsidP="00BE3615">
            <w:pPr>
              <w:contextualSpacing/>
              <w:rPr>
                <w:rFonts w:ascii="Verdana" w:hAnsi="Verdana" w:cs="Arial"/>
                <w:sz w:val="16"/>
                <w:szCs w:val="16"/>
                <w:lang w:eastAsia="es-ES"/>
              </w:rPr>
            </w:pPr>
            <w:r w:rsidRPr="00AD4F6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B9F9D81" w14:textId="77777777" w:rsidR="00542A9A" w:rsidRPr="00AD4F6A" w:rsidRDefault="00542A9A" w:rsidP="00BE3615">
            <w:pPr>
              <w:contextualSpacing/>
              <w:rPr>
                <w:rFonts w:ascii="Verdana" w:hAnsi="Verdana"/>
                <w:sz w:val="16"/>
                <w:szCs w:val="16"/>
              </w:rPr>
            </w:pPr>
            <w:r w:rsidRPr="00AD4F6A">
              <w:rPr>
                <w:rFonts w:ascii="Verdana" w:hAnsi="Verdana"/>
                <w:sz w:val="16"/>
                <w:szCs w:val="16"/>
              </w:rPr>
              <w:t>Tatiana Baquero Iguarán</w:t>
            </w:r>
          </w:p>
          <w:p w14:paraId="756A24AB" w14:textId="77777777" w:rsidR="00542A9A" w:rsidRPr="00AD4F6A" w:rsidRDefault="00542A9A" w:rsidP="00BE3615">
            <w:pPr>
              <w:contextualSpacing/>
              <w:rPr>
                <w:rFonts w:ascii="Verdana" w:eastAsia="Arial" w:hAnsi="Verdana" w:cs="Arial"/>
                <w:sz w:val="16"/>
                <w:szCs w:val="16"/>
              </w:rPr>
            </w:pPr>
            <w:r w:rsidRPr="00AD4F6A">
              <w:rPr>
                <w:rFonts w:ascii="Verdana" w:hAnsi="Verdana"/>
                <w:sz w:val="16"/>
                <w:szCs w:val="16"/>
              </w:rPr>
              <w:t>Contratista de la Subdirección de Gestión Contractual</w:t>
            </w:r>
          </w:p>
        </w:tc>
      </w:tr>
      <w:tr w:rsidR="00542A9A" w:rsidRPr="00AD4F6A" w14:paraId="4C7B5469" w14:textId="77777777" w:rsidTr="00BE3615">
        <w:trPr>
          <w:trHeight w:val="330"/>
        </w:trPr>
        <w:tc>
          <w:tcPr>
            <w:tcW w:w="893" w:type="dxa"/>
            <w:vAlign w:val="center"/>
            <w:hideMark/>
          </w:tcPr>
          <w:p w14:paraId="1AC91CFA" w14:textId="77777777" w:rsidR="00542A9A" w:rsidRPr="00AD4F6A" w:rsidRDefault="00542A9A" w:rsidP="00BE3615">
            <w:pPr>
              <w:contextualSpacing/>
              <w:rPr>
                <w:rFonts w:ascii="Verdana" w:hAnsi="Verdana" w:cs="Arial"/>
                <w:sz w:val="16"/>
                <w:szCs w:val="16"/>
                <w:lang w:eastAsia="es-ES"/>
              </w:rPr>
            </w:pPr>
            <w:r w:rsidRPr="00AD4F6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0695E9D" w14:textId="77777777" w:rsidR="00542A9A" w:rsidRPr="00AD4F6A" w:rsidRDefault="00542A9A" w:rsidP="00BE3615">
            <w:pPr>
              <w:textAlignment w:val="baseline"/>
              <w:rPr>
                <w:rFonts w:ascii="Verdana" w:eastAsia="Times New Roman" w:hAnsi="Verdana" w:cs="Arial"/>
                <w:sz w:val="16"/>
                <w:szCs w:val="16"/>
                <w:lang w:val="es-MX" w:eastAsia="es-CO"/>
              </w:rPr>
            </w:pPr>
            <w:r w:rsidRPr="00AD4F6A">
              <w:rPr>
                <w:rFonts w:ascii="Verdana" w:eastAsia="Times New Roman" w:hAnsi="Verdana" w:cs="Arial"/>
                <w:sz w:val="16"/>
                <w:szCs w:val="16"/>
                <w:lang w:val="es-MX" w:eastAsia="es-CO"/>
              </w:rPr>
              <w:t>Alejandro Raúl Sarmiento Cantillo</w:t>
            </w:r>
          </w:p>
          <w:p w14:paraId="555F84ED" w14:textId="77777777" w:rsidR="00542A9A" w:rsidRPr="00AD4F6A" w:rsidRDefault="00542A9A" w:rsidP="00BE3615">
            <w:pPr>
              <w:spacing w:before="100" w:beforeAutospacing="1" w:after="100" w:afterAutospacing="1"/>
              <w:contextualSpacing/>
              <w:textAlignment w:val="baseline"/>
              <w:rPr>
                <w:rFonts w:ascii="Verdana" w:eastAsia="Times New Roman" w:hAnsi="Verdana" w:cs="Segoe UI"/>
                <w:sz w:val="16"/>
                <w:szCs w:val="16"/>
                <w:lang w:eastAsia="es-ES_tradnl"/>
              </w:rPr>
            </w:pPr>
            <w:r w:rsidRPr="00AD4F6A">
              <w:rPr>
                <w:rFonts w:ascii="Verdana" w:eastAsia="Times New Roman" w:hAnsi="Verdana" w:cs="Arial"/>
                <w:sz w:val="16"/>
                <w:szCs w:val="16"/>
                <w:lang w:val="es-MX" w:eastAsia="es-CO"/>
              </w:rPr>
              <w:t>Gestor T1-15 de la Subdirección de Gestión Contractual</w:t>
            </w:r>
          </w:p>
        </w:tc>
      </w:tr>
      <w:tr w:rsidR="00542A9A" w:rsidRPr="00AD4F6A" w14:paraId="3FB586E3" w14:textId="77777777" w:rsidTr="00BE3615">
        <w:trPr>
          <w:trHeight w:val="300"/>
        </w:trPr>
        <w:tc>
          <w:tcPr>
            <w:tcW w:w="893" w:type="dxa"/>
            <w:vAlign w:val="center"/>
          </w:tcPr>
          <w:p w14:paraId="32621198" w14:textId="77777777" w:rsidR="00542A9A" w:rsidRPr="00AD4F6A" w:rsidRDefault="00542A9A" w:rsidP="00BE3615">
            <w:pPr>
              <w:contextualSpacing/>
              <w:rPr>
                <w:rFonts w:ascii="Verdana" w:hAnsi="Verdana" w:cs="Arial"/>
                <w:sz w:val="16"/>
                <w:szCs w:val="16"/>
                <w:lang w:eastAsia="es-ES"/>
              </w:rPr>
            </w:pPr>
            <w:r w:rsidRPr="00AD4F6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749B8B3" w14:textId="77777777" w:rsidR="00542A9A" w:rsidRPr="00AD4F6A" w:rsidRDefault="00542A9A" w:rsidP="00BE3615">
            <w:pPr>
              <w:contextualSpacing/>
              <w:rPr>
                <w:rFonts w:ascii="Verdana" w:eastAsia="Calibri" w:hAnsi="Verdana" w:cs="Arial"/>
                <w:sz w:val="16"/>
                <w:szCs w:val="16"/>
                <w:lang w:eastAsia="es-ES"/>
              </w:rPr>
            </w:pPr>
            <w:r w:rsidRPr="00AD4F6A">
              <w:rPr>
                <w:rFonts w:ascii="Verdana" w:eastAsia="Calibri" w:hAnsi="Verdana" w:cs="Arial"/>
                <w:sz w:val="16"/>
                <w:szCs w:val="16"/>
                <w:lang w:eastAsia="es-ES"/>
              </w:rPr>
              <w:t xml:space="preserve">Carolina Quintero </w:t>
            </w:r>
            <w:proofErr w:type="spellStart"/>
            <w:r w:rsidRPr="00AD4F6A">
              <w:rPr>
                <w:rFonts w:ascii="Verdana" w:eastAsia="Calibri" w:hAnsi="Verdana" w:cs="Arial"/>
                <w:sz w:val="16"/>
                <w:szCs w:val="16"/>
                <w:lang w:eastAsia="es-ES"/>
              </w:rPr>
              <w:t>Gacharná</w:t>
            </w:r>
            <w:proofErr w:type="spellEnd"/>
          </w:p>
          <w:p w14:paraId="623FABFA" w14:textId="77777777" w:rsidR="00542A9A" w:rsidRPr="00AD4F6A" w:rsidRDefault="00542A9A" w:rsidP="00BE3615">
            <w:pPr>
              <w:contextualSpacing/>
              <w:rPr>
                <w:rFonts w:ascii="Verdana" w:eastAsia="Calibri" w:hAnsi="Verdana" w:cs="Arial"/>
                <w:sz w:val="16"/>
                <w:szCs w:val="16"/>
                <w:lang w:eastAsia="es-ES"/>
              </w:rPr>
            </w:pPr>
            <w:r w:rsidRPr="00AD4F6A">
              <w:rPr>
                <w:rFonts w:ascii="Verdana" w:eastAsia="Calibri" w:hAnsi="Verdana" w:cs="Arial"/>
                <w:sz w:val="16"/>
                <w:szCs w:val="16"/>
                <w:lang w:eastAsia="es-ES"/>
              </w:rPr>
              <w:t>Subdirectora de Gestión Contractual ANCP – CCE</w:t>
            </w:r>
          </w:p>
        </w:tc>
      </w:tr>
    </w:tbl>
    <w:p w14:paraId="6A85FD13" w14:textId="77777777" w:rsidR="00D77742" w:rsidRPr="00542A9A" w:rsidRDefault="00D77742" w:rsidP="00542A9A"/>
    <w:sectPr w:rsidR="00D77742" w:rsidRPr="00542A9A"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732AAF" w14:textId="77777777" w:rsidR="0058573C" w:rsidRDefault="0058573C" w:rsidP="004A1847">
      <w:pPr>
        <w:spacing w:after="0" w:line="240" w:lineRule="auto"/>
      </w:pPr>
      <w:r>
        <w:separator/>
      </w:r>
    </w:p>
  </w:endnote>
  <w:endnote w:type="continuationSeparator" w:id="0">
    <w:p w14:paraId="3A32C4D4" w14:textId="77777777" w:rsidR="0058573C" w:rsidRDefault="0058573C" w:rsidP="004A1847">
      <w:pPr>
        <w:spacing w:after="0" w:line="240" w:lineRule="auto"/>
      </w:pPr>
      <w:r>
        <w:continuationSeparator/>
      </w:r>
    </w:p>
  </w:endnote>
  <w:endnote w:type="continuationNotice" w:id="1">
    <w:p w14:paraId="0252CE24" w14:textId="77777777" w:rsidR="0058573C" w:rsidRDefault="005857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40AED3" w14:textId="77777777" w:rsidR="0058573C" w:rsidRDefault="0058573C" w:rsidP="004A1847">
      <w:pPr>
        <w:spacing w:after="0" w:line="240" w:lineRule="auto"/>
      </w:pPr>
      <w:r>
        <w:separator/>
      </w:r>
    </w:p>
  </w:footnote>
  <w:footnote w:type="continuationSeparator" w:id="0">
    <w:p w14:paraId="73EDC00F" w14:textId="77777777" w:rsidR="0058573C" w:rsidRDefault="0058573C" w:rsidP="004A1847">
      <w:pPr>
        <w:spacing w:after="0" w:line="240" w:lineRule="auto"/>
      </w:pPr>
      <w:r>
        <w:continuationSeparator/>
      </w:r>
    </w:p>
  </w:footnote>
  <w:footnote w:type="continuationNotice" w:id="1">
    <w:p w14:paraId="7D3C5505" w14:textId="77777777" w:rsidR="0058573C" w:rsidRDefault="0058573C">
      <w:pPr>
        <w:spacing w:after="0" w:line="240" w:lineRule="auto"/>
      </w:pPr>
    </w:p>
  </w:footnote>
  <w:footnote w:id="2">
    <w:p w14:paraId="58F803B7" w14:textId="77777777" w:rsidR="00542A9A" w:rsidRPr="00383494" w:rsidRDefault="00542A9A" w:rsidP="00542A9A">
      <w:pPr>
        <w:pStyle w:val="Textonotapie"/>
        <w:ind w:firstLine="709"/>
        <w:jc w:val="both"/>
        <w:rPr>
          <w:rFonts w:ascii="Verdana" w:hAnsi="Verdana" w:cs="Arial"/>
          <w:sz w:val="14"/>
          <w:szCs w:val="14"/>
        </w:rPr>
      </w:pPr>
      <w:r w:rsidRPr="00383494">
        <w:rPr>
          <w:rStyle w:val="Refdenotaalpie"/>
          <w:rFonts w:ascii="Verdana" w:hAnsi="Verdana" w:cs="Arial"/>
          <w:sz w:val="14"/>
          <w:szCs w:val="14"/>
        </w:rPr>
        <w:footnoteRef/>
      </w:r>
      <w:r w:rsidRPr="00383494">
        <w:rPr>
          <w:rFonts w:ascii="Verdana" w:hAnsi="Verdana" w:cs="Arial"/>
          <w:sz w:val="14"/>
          <w:szCs w:val="14"/>
        </w:rPr>
        <w:t xml:space="preserve"> </w:t>
      </w:r>
      <w:r w:rsidRPr="00383494">
        <w:rPr>
          <w:rFonts w:ascii="Verdana" w:hAnsi="Verdana" w:cs="Arial"/>
          <w:i/>
          <w:iCs/>
          <w:sz w:val="14"/>
          <w:szCs w:val="14"/>
          <w:lang w:val="es-ES"/>
        </w:rPr>
        <w:t>“</w:t>
      </w:r>
      <w:r w:rsidRPr="00383494">
        <w:rPr>
          <w:rFonts w:ascii="Verdana" w:hAnsi="Verdana" w:cs="Arial"/>
          <w:bCs/>
          <w:i/>
          <w:iCs/>
          <w:sz w:val="14"/>
          <w:szCs w:val="14"/>
          <w:lang w:val="es-ES_tradnl"/>
        </w:rPr>
        <w:t>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 Las autoridades administrativas deben coordinar sus actuaciones para el adecuado cumplimiento de los fines del estado. La administración pública, en todos sus órdenes, tendrá un control interno que se ejercerá en los términos que señale la Ley”.</w:t>
      </w:r>
    </w:p>
  </w:footnote>
  <w:footnote w:id="3">
    <w:p w14:paraId="3DB3748C" w14:textId="77777777" w:rsidR="00542A9A" w:rsidRPr="00383494" w:rsidRDefault="00542A9A" w:rsidP="00542A9A">
      <w:pPr>
        <w:pStyle w:val="Textonotapie"/>
        <w:ind w:firstLine="709"/>
        <w:jc w:val="both"/>
        <w:rPr>
          <w:rFonts w:ascii="Verdana" w:hAnsi="Verdana" w:cs="Arial"/>
          <w:sz w:val="14"/>
          <w:szCs w:val="14"/>
        </w:rPr>
      </w:pPr>
      <w:r w:rsidRPr="00383494">
        <w:rPr>
          <w:rStyle w:val="Refdenotaalpie"/>
          <w:rFonts w:ascii="Verdana" w:hAnsi="Verdana" w:cs="Arial"/>
          <w:sz w:val="14"/>
          <w:szCs w:val="14"/>
        </w:rPr>
        <w:footnoteRef/>
      </w:r>
      <w:r w:rsidRPr="00383494">
        <w:rPr>
          <w:rFonts w:ascii="Verdana" w:hAnsi="Verdana" w:cs="Arial"/>
          <w:sz w:val="14"/>
          <w:szCs w:val="14"/>
        </w:rPr>
        <w:t xml:space="preserve"> </w:t>
      </w:r>
      <w:r w:rsidRPr="00383494">
        <w:rPr>
          <w:rFonts w:ascii="Verdana" w:hAnsi="Verdana" w:cs="Arial"/>
          <w:color w:val="000000" w:themeColor="text1"/>
          <w:sz w:val="14"/>
          <w:szCs w:val="14"/>
        </w:rPr>
        <w:t>“</w:t>
      </w:r>
      <w:r w:rsidRPr="00383494">
        <w:rPr>
          <w:rStyle w:val="nfasis"/>
          <w:rFonts w:ascii="Verdana" w:hAnsi="Verdana" w:cs="Arial"/>
          <w:color w:val="000000" w:themeColor="text1"/>
          <w:sz w:val="14"/>
          <w:szCs w:val="14"/>
          <w:shd w:val="clear" w:color="auto" w:fill="FFFFFF"/>
        </w:rPr>
        <w:t>Por la cual se dictan normas sobre la organización y funcionamiento de las entidades del orden nacional, se expiden las disposiciones, principios y reglas generales para el ejercicio de las atribuciones previstas en los numerales 15 y 16 del artículo 189 de la Constitución Política y se dictan otras disposiciones”.</w:t>
      </w:r>
    </w:p>
  </w:footnote>
  <w:footnote w:id="4">
    <w:p w14:paraId="288AFC5F" w14:textId="77777777" w:rsidR="00542A9A" w:rsidRPr="00383494" w:rsidRDefault="00542A9A" w:rsidP="00542A9A">
      <w:pPr>
        <w:pStyle w:val="Textonotapie"/>
        <w:ind w:firstLine="709"/>
        <w:jc w:val="both"/>
        <w:rPr>
          <w:rFonts w:ascii="Verdana" w:hAnsi="Verdana"/>
          <w:sz w:val="14"/>
          <w:szCs w:val="14"/>
        </w:rPr>
      </w:pPr>
      <w:r w:rsidRPr="00383494">
        <w:rPr>
          <w:rStyle w:val="Refdenotaalpie"/>
          <w:rFonts w:ascii="Verdana" w:hAnsi="Verdana" w:cs="Arial"/>
          <w:sz w:val="14"/>
          <w:szCs w:val="14"/>
        </w:rPr>
        <w:footnoteRef/>
      </w:r>
      <w:r w:rsidRPr="00383494">
        <w:rPr>
          <w:rFonts w:ascii="Verdana" w:hAnsi="Verdana" w:cs="Arial"/>
          <w:sz w:val="14"/>
          <w:szCs w:val="14"/>
        </w:rPr>
        <w:t xml:space="preserve"> Este artículo fue declarado exequible por la Corte Constitucional mediante la Sentencia C-671 de 1999, M.P. Alfredo Beltrán Sierra.</w:t>
      </w:r>
    </w:p>
  </w:footnote>
  <w:footnote w:id="5">
    <w:p w14:paraId="7700965C" w14:textId="77777777" w:rsidR="00542A9A" w:rsidRPr="00383494" w:rsidRDefault="00542A9A" w:rsidP="00542A9A">
      <w:pPr>
        <w:pStyle w:val="Textonotapie"/>
        <w:ind w:firstLine="709"/>
        <w:jc w:val="both"/>
        <w:rPr>
          <w:rFonts w:ascii="Verdana" w:hAnsi="Verdana" w:cs="Arial"/>
          <w:sz w:val="14"/>
          <w:szCs w:val="14"/>
        </w:rPr>
      </w:pPr>
      <w:r w:rsidRPr="00383494">
        <w:rPr>
          <w:rStyle w:val="Refdenotaalpie"/>
          <w:rFonts w:ascii="Verdana" w:hAnsi="Verdana" w:cs="Arial"/>
          <w:sz w:val="14"/>
          <w:szCs w:val="14"/>
        </w:rPr>
        <w:footnoteRef/>
      </w:r>
      <w:r w:rsidRPr="00383494">
        <w:rPr>
          <w:rFonts w:ascii="Verdana" w:hAnsi="Verdana" w:cs="Arial"/>
          <w:sz w:val="14"/>
          <w:szCs w:val="14"/>
        </w:rPr>
        <w:t xml:space="preserve"> Consejo de Estado, Sala de lo Contencioso Administrativo, Sección Tercera, sentencia de 23 de junio de 2010, exp.17860.</w:t>
      </w:r>
    </w:p>
  </w:footnote>
  <w:footnote w:id="6">
    <w:p w14:paraId="6C953D0F" w14:textId="77777777" w:rsidR="00542A9A" w:rsidRPr="00383494" w:rsidRDefault="00542A9A" w:rsidP="00542A9A">
      <w:pPr>
        <w:pStyle w:val="Textonotapie"/>
        <w:ind w:firstLine="709"/>
        <w:jc w:val="both"/>
        <w:rPr>
          <w:rFonts w:ascii="Verdana" w:hAnsi="Verdana" w:cs="Arial"/>
          <w:sz w:val="14"/>
          <w:szCs w:val="14"/>
        </w:rPr>
      </w:pPr>
      <w:r w:rsidRPr="00383494">
        <w:rPr>
          <w:rStyle w:val="Refdenotaalpie"/>
          <w:rFonts w:ascii="Verdana" w:hAnsi="Verdana" w:cs="Arial"/>
          <w:sz w:val="14"/>
          <w:szCs w:val="14"/>
        </w:rPr>
        <w:footnoteRef/>
      </w:r>
      <w:r w:rsidRPr="00383494">
        <w:rPr>
          <w:rFonts w:ascii="Verdana" w:hAnsi="Verdana" w:cs="Arial"/>
          <w:sz w:val="14"/>
          <w:szCs w:val="14"/>
        </w:rPr>
        <w:t xml:space="preserve"> Santos Rodríguez, Jorge Enrique. </w:t>
      </w:r>
      <w:r w:rsidRPr="00383494">
        <w:rPr>
          <w:rFonts w:ascii="Verdana" w:hAnsi="Verdana" w:cs="Arial"/>
          <w:i/>
          <w:iCs/>
          <w:sz w:val="14"/>
          <w:szCs w:val="14"/>
        </w:rPr>
        <w:t>“Consideraciones sobre los convenios y contratos interadministrativos”</w:t>
      </w:r>
      <w:r w:rsidRPr="00383494">
        <w:rPr>
          <w:rFonts w:ascii="Verdana" w:hAnsi="Verdana" w:cs="Arial"/>
          <w:sz w:val="14"/>
          <w:szCs w:val="14"/>
        </w:rPr>
        <w:t>. Universidad Externado de Colombia, Revista Digital de Derecho Administrativo, Bogotá 2009.</w:t>
      </w:r>
    </w:p>
  </w:footnote>
  <w:footnote w:id="7">
    <w:p w14:paraId="3454492F" w14:textId="77777777" w:rsidR="00542A9A" w:rsidRPr="00383494" w:rsidRDefault="00542A9A" w:rsidP="00542A9A">
      <w:pPr>
        <w:pStyle w:val="Textonotapie"/>
        <w:ind w:firstLine="709"/>
        <w:jc w:val="both"/>
        <w:rPr>
          <w:rFonts w:ascii="Verdana" w:hAnsi="Verdana" w:cs="Arial"/>
          <w:sz w:val="14"/>
          <w:szCs w:val="14"/>
        </w:rPr>
      </w:pPr>
      <w:r w:rsidRPr="00383494">
        <w:rPr>
          <w:rStyle w:val="Refdenotaalpie"/>
          <w:rFonts w:ascii="Verdana" w:hAnsi="Verdana" w:cs="Arial"/>
          <w:sz w:val="14"/>
          <w:szCs w:val="14"/>
        </w:rPr>
        <w:footnoteRef/>
      </w:r>
      <w:r w:rsidRPr="00383494">
        <w:rPr>
          <w:rFonts w:ascii="Verdana" w:hAnsi="Verdana" w:cs="Arial"/>
          <w:sz w:val="14"/>
          <w:szCs w:val="14"/>
        </w:rPr>
        <w:t xml:space="preserve"> Sobre el concepto causalista de contrato y sus efectos respecto de la actividad negocial de la administración, cfr. Augusto Ramón Chávez Marín Los convenios de la administración: entre la gestión pública y la actividad negocial, Bogotá, Universidad del Rosario, 2008, pp. 41 y ss.</w:t>
      </w:r>
    </w:p>
  </w:footnote>
  <w:footnote w:id="8">
    <w:p w14:paraId="208856BC" w14:textId="77777777" w:rsidR="00542A9A" w:rsidRPr="00383494" w:rsidRDefault="00542A9A" w:rsidP="00542A9A">
      <w:pPr>
        <w:pStyle w:val="Textonotapie"/>
        <w:ind w:firstLine="709"/>
        <w:jc w:val="both"/>
        <w:rPr>
          <w:rFonts w:ascii="Verdana" w:hAnsi="Verdana" w:cs="Arial"/>
          <w:sz w:val="14"/>
          <w:szCs w:val="14"/>
        </w:rPr>
      </w:pPr>
      <w:r w:rsidRPr="00383494">
        <w:rPr>
          <w:rStyle w:val="Refdenotaalpie"/>
          <w:rFonts w:ascii="Verdana" w:hAnsi="Verdana" w:cs="Arial"/>
          <w:sz w:val="14"/>
          <w:szCs w:val="14"/>
        </w:rPr>
        <w:footnoteRef/>
      </w:r>
      <w:r w:rsidRPr="00383494">
        <w:rPr>
          <w:rFonts w:ascii="Verdana" w:hAnsi="Verdana" w:cs="Arial"/>
          <w:sz w:val="14"/>
          <w:szCs w:val="14"/>
        </w:rPr>
        <w:t xml:space="preserve"> Expósito Vélez, Juan Carlos. </w:t>
      </w:r>
      <w:r w:rsidRPr="00383494">
        <w:rPr>
          <w:rFonts w:ascii="Verdana" w:hAnsi="Verdana" w:cs="Arial"/>
          <w:i/>
          <w:iCs/>
          <w:sz w:val="14"/>
          <w:szCs w:val="14"/>
        </w:rPr>
        <w:t>“La configuración del contrato de la administración pública en derecho colombiano y español”</w:t>
      </w:r>
      <w:r w:rsidRPr="00383494">
        <w:rPr>
          <w:rFonts w:ascii="Verdana" w:hAnsi="Verdana" w:cs="Arial"/>
          <w:sz w:val="14"/>
          <w:szCs w:val="14"/>
        </w:rPr>
        <w:t>. Bogotá, universidad Externado de Colombia, 2003, p. 25.</w:t>
      </w:r>
    </w:p>
  </w:footnote>
  <w:footnote w:id="9">
    <w:p w14:paraId="297428CA" w14:textId="77777777" w:rsidR="00542A9A" w:rsidRPr="00383494" w:rsidRDefault="00542A9A" w:rsidP="00542A9A">
      <w:pPr>
        <w:pStyle w:val="Textonotapie"/>
        <w:ind w:firstLine="709"/>
        <w:jc w:val="both"/>
        <w:rPr>
          <w:sz w:val="14"/>
          <w:szCs w:val="14"/>
          <w:lang w:val="es-CO"/>
        </w:rPr>
      </w:pPr>
      <w:r w:rsidRPr="00383494">
        <w:rPr>
          <w:rStyle w:val="Refdenotaalpie"/>
          <w:sz w:val="14"/>
          <w:szCs w:val="14"/>
        </w:rPr>
        <w:footnoteRef/>
      </w:r>
      <w:r w:rsidRPr="00383494">
        <w:rPr>
          <w:sz w:val="14"/>
          <w:szCs w:val="14"/>
        </w:rPr>
        <w:t xml:space="preserve"> </w:t>
      </w:r>
      <w:r w:rsidRPr="00383494">
        <w:rPr>
          <w:rFonts w:ascii="Verdana" w:hAnsi="Verdana" w:cs="Arial"/>
          <w:sz w:val="14"/>
          <w:szCs w:val="14"/>
        </w:rPr>
        <w:t xml:space="preserve">Consejo de Estado -Sección Tercera-. Sentencia del </w:t>
      </w:r>
      <w:r w:rsidRPr="00383494">
        <w:rPr>
          <w:rFonts w:ascii="Verdana" w:hAnsi="Verdana" w:cs="Arial"/>
          <w:bCs/>
          <w:iCs/>
          <w:sz w:val="14"/>
          <w:szCs w:val="14"/>
        </w:rPr>
        <w:t>21 de febrero de 2025. Radicación Número: 68.280. CP: José Roberto Sáchica Méndez.</w:t>
      </w:r>
    </w:p>
  </w:footnote>
  <w:footnote w:id="10">
    <w:p w14:paraId="684D9397" w14:textId="77777777" w:rsidR="00542A9A" w:rsidRPr="00383494" w:rsidRDefault="00542A9A" w:rsidP="00542A9A">
      <w:pPr>
        <w:ind w:firstLine="708"/>
        <w:jc w:val="both"/>
        <w:rPr>
          <w:rFonts w:ascii="Verdana" w:hAnsi="Verdana" w:cs="Arial"/>
          <w:sz w:val="14"/>
          <w:szCs w:val="14"/>
        </w:rPr>
      </w:pPr>
      <w:r w:rsidRPr="00383494">
        <w:rPr>
          <w:rStyle w:val="Refdenotaalpie"/>
          <w:rFonts w:ascii="Verdana" w:hAnsi="Verdana" w:cs="Arial"/>
          <w:sz w:val="14"/>
          <w:szCs w:val="14"/>
        </w:rPr>
        <w:footnoteRef/>
      </w:r>
      <w:r w:rsidRPr="00383494">
        <w:rPr>
          <w:rFonts w:ascii="Verdana" w:hAnsi="Verdana" w:cs="Arial"/>
          <w:sz w:val="14"/>
          <w:szCs w:val="14"/>
        </w:rPr>
        <w:t xml:space="preserve"> Consejo de Estado. Sala de Consulta y Servicio Civil. Concepto 26 de julio de 2016. </w:t>
      </w:r>
      <w:r w:rsidRPr="00383494">
        <w:rPr>
          <w:rFonts w:ascii="Verdana" w:hAnsi="Verdana" w:cs="Arial"/>
          <w:sz w:val="14"/>
          <w:szCs w:val="14"/>
        </w:rPr>
        <w:t>Exp. 2.257. C.P. Álvaro Namén Vargas.</w:t>
      </w:r>
    </w:p>
  </w:footnote>
  <w:footnote w:id="11">
    <w:p w14:paraId="0323E944" w14:textId="77777777" w:rsidR="00542A9A" w:rsidRPr="00383494" w:rsidRDefault="00542A9A" w:rsidP="00542A9A">
      <w:pPr>
        <w:ind w:firstLine="708"/>
        <w:contextualSpacing/>
        <w:jc w:val="both"/>
        <w:rPr>
          <w:rFonts w:ascii="Verdana" w:hAnsi="Verdana" w:cs="Arial"/>
          <w:sz w:val="14"/>
          <w:szCs w:val="14"/>
        </w:rPr>
      </w:pPr>
      <w:r w:rsidRPr="00383494">
        <w:rPr>
          <w:rStyle w:val="Refdenotaalpie"/>
          <w:rFonts w:ascii="Verdana" w:hAnsi="Verdana" w:cs="Arial"/>
          <w:sz w:val="14"/>
          <w:szCs w:val="14"/>
        </w:rPr>
        <w:footnoteRef/>
      </w:r>
      <w:r w:rsidRPr="00383494">
        <w:rPr>
          <w:rFonts w:ascii="Verdana" w:hAnsi="Verdana" w:cs="Arial"/>
          <w:sz w:val="14"/>
          <w:szCs w:val="14"/>
        </w:rPr>
        <w:t xml:space="preserve"> [Referencia propia de la cita] «CE. SCSC. Concepto de 1 de noviembre de 2016 [Rad. 11001-03-06-000-2016-00125-00(2305)]. MP. Germán Alberto Bula Escobar».</w:t>
      </w:r>
    </w:p>
  </w:footnote>
  <w:footnote w:id="12">
    <w:p w14:paraId="13B88E47" w14:textId="77777777" w:rsidR="00542A9A" w:rsidRPr="00383494" w:rsidRDefault="00542A9A" w:rsidP="00542A9A">
      <w:pPr>
        <w:ind w:firstLine="708"/>
        <w:contextualSpacing/>
        <w:jc w:val="both"/>
        <w:rPr>
          <w:rFonts w:ascii="Verdana" w:hAnsi="Verdana" w:cs="Arial"/>
          <w:sz w:val="14"/>
          <w:szCs w:val="14"/>
        </w:rPr>
      </w:pPr>
      <w:r w:rsidRPr="00383494">
        <w:rPr>
          <w:rStyle w:val="Refdenotaalpie"/>
          <w:rFonts w:ascii="Verdana" w:hAnsi="Verdana" w:cs="Arial"/>
          <w:sz w:val="14"/>
          <w:szCs w:val="14"/>
        </w:rPr>
        <w:footnoteRef/>
      </w:r>
      <w:r w:rsidRPr="00383494">
        <w:rPr>
          <w:rFonts w:ascii="Verdana" w:hAnsi="Verdana" w:cs="Arial"/>
          <w:sz w:val="14"/>
          <w:szCs w:val="14"/>
        </w:rPr>
        <w:t xml:space="preserve"> [Referencia propia de la cita] «CE. SCSC. Concepto de 30 de abril de 2008 [Rad. 11001-03-06-000-2008-00013-00(1881)]. MP. Enrique José Arboleda Perdomo. En esta oportunidad, la Sala indicó que el contenido </w:t>
      </w:r>
      <w:r w:rsidRPr="00383494">
        <w:rPr>
          <w:rFonts w:ascii="Verdana" w:hAnsi="Verdana" w:cs="Arial"/>
          <w:i/>
          <w:sz w:val="14"/>
          <w:szCs w:val="14"/>
        </w:rPr>
        <w:t>“obligacional”</w:t>
      </w:r>
      <w:r w:rsidRPr="00383494">
        <w:rPr>
          <w:rFonts w:ascii="Verdana" w:hAnsi="Verdana" w:cs="Arial"/>
          <w:sz w:val="14"/>
          <w:szCs w:val="14"/>
        </w:rPr>
        <w:t xml:space="preserve"> de los convenios se estructura definiendo el resultado querido por las partes y los medios que cada entidad despliega para la obtención del respectivo objeto».</w:t>
      </w:r>
    </w:p>
  </w:footnote>
  <w:footnote w:id="13">
    <w:p w14:paraId="2A36F298" w14:textId="77777777" w:rsidR="00542A9A" w:rsidRPr="00383494" w:rsidRDefault="00542A9A" w:rsidP="00542A9A">
      <w:pPr>
        <w:spacing w:line="240" w:lineRule="auto"/>
        <w:ind w:firstLine="709"/>
        <w:contextualSpacing/>
        <w:jc w:val="both"/>
        <w:rPr>
          <w:rFonts w:ascii="Verdana" w:hAnsi="Verdana" w:cs="Arial"/>
          <w:sz w:val="14"/>
          <w:szCs w:val="14"/>
        </w:rPr>
      </w:pPr>
      <w:r w:rsidRPr="00383494">
        <w:rPr>
          <w:rStyle w:val="Refdenotaalpie"/>
          <w:rFonts w:ascii="Verdana" w:hAnsi="Verdana" w:cs="Arial"/>
          <w:sz w:val="14"/>
          <w:szCs w:val="14"/>
        </w:rPr>
        <w:footnoteRef/>
      </w:r>
      <w:r w:rsidRPr="00383494">
        <w:rPr>
          <w:rFonts w:ascii="Verdana" w:hAnsi="Verdana" w:cs="Arial"/>
          <w:sz w:val="14"/>
          <w:szCs w:val="14"/>
        </w:rPr>
        <w:t xml:space="preserve"> [Referencia propia de la cita] «La normativa vigente del EGCAP </w:t>
      </w:r>
      <w:r w:rsidRPr="00383494">
        <w:rPr>
          <w:rFonts w:ascii="Verdana" w:hAnsi="Verdana" w:cs="Arial"/>
          <w:i/>
          <w:sz w:val="14"/>
          <w:szCs w:val="14"/>
        </w:rPr>
        <w:t>[literal c) del numeral 4. del artículo 2 de la Ley 1150/07]</w:t>
      </w:r>
      <w:r w:rsidRPr="00383494">
        <w:rPr>
          <w:rFonts w:ascii="Verdana" w:hAnsi="Verdana" w:cs="Arial"/>
          <w:sz w:val="14"/>
          <w:szCs w:val="14"/>
        </w:rPr>
        <w:t xml:space="preserve"> se refiere a </w:t>
      </w:r>
      <w:r w:rsidRPr="00383494">
        <w:rPr>
          <w:rFonts w:ascii="Verdana" w:hAnsi="Verdana" w:cs="Arial"/>
          <w:i/>
          <w:sz w:val="14"/>
          <w:szCs w:val="14"/>
        </w:rPr>
        <w:t>“contratos interadministrativos”</w:t>
      </w:r>
      <w:r w:rsidRPr="00383494">
        <w:rPr>
          <w:rFonts w:ascii="Verdana" w:hAnsi="Verdana" w:cs="Arial"/>
          <w:sz w:val="14"/>
          <w:szCs w:val="14"/>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footnote>
  <w:footnote w:id="14">
    <w:p w14:paraId="19056F90" w14:textId="77777777" w:rsidR="00542A9A" w:rsidRPr="00383494" w:rsidRDefault="00542A9A" w:rsidP="00542A9A">
      <w:pPr>
        <w:pStyle w:val="Textonotapie"/>
        <w:ind w:firstLine="709"/>
        <w:jc w:val="both"/>
        <w:rPr>
          <w:rFonts w:ascii="Verdana" w:hAnsi="Verdana" w:cs="Arial"/>
          <w:sz w:val="14"/>
          <w:szCs w:val="14"/>
          <w:lang w:val="es-ES"/>
        </w:rPr>
      </w:pPr>
      <w:r w:rsidRPr="00383494">
        <w:rPr>
          <w:rStyle w:val="Refdenotaalpie"/>
          <w:rFonts w:ascii="Verdana" w:hAnsi="Verdana" w:cs="Arial"/>
          <w:sz w:val="14"/>
          <w:szCs w:val="14"/>
        </w:rPr>
        <w:footnoteRef/>
      </w:r>
      <w:r w:rsidRPr="00383494">
        <w:rPr>
          <w:rFonts w:ascii="Verdana" w:hAnsi="Verdana" w:cs="Arial"/>
          <w:sz w:val="14"/>
          <w:szCs w:val="14"/>
        </w:rPr>
        <w:t xml:space="preserve"> En sentido similar </w:t>
      </w:r>
      <w:r w:rsidRPr="00383494">
        <w:rPr>
          <w:rFonts w:ascii="Verdana" w:hAnsi="Verdana" w:cs="Arial"/>
          <w:sz w:val="14"/>
          <w:szCs w:val="14"/>
          <w:lang w:val="es-ES"/>
        </w:rPr>
        <w:t xml:space="preserve">ver, entre otras, al Consejo de Estado, Sala de lo Contencioso Administrativo, Sección Tercera, sentencia del 22 de octubre de 2021, Rad. 65978, M.P. Martha Nubia Velásquez; Consejo de Estado, Sala de lo Contencioso Administrativo, Sección Tercera, Subsección A, Sentencia del 23 de abril de 2021, Rad. 49148, M.P. María Adriana Marín; Consejo de Estado, Sala de lo Contencioso Administrativo, Sección Tercera, Subsección A, Sentencia del 21 de mayo de 2021, Rad. 66756, M.P. José Roberto Sáchica Méndez; Consejo de Estado, Sala de lo Contencioso Administrativo, Sección Tercera, Subsección C, Auto del 30 de septiembre de 2020, Rad. 65358, M.P. Guillermo Sánchez Luque. </w:t>
      </w:r>
    </w:p>
    <w:p w14:paraId="00959F96" w14:textId="77777777" w:rsidR="00542A9A" w:rsidRPr="00383494" w:rsidRDefault="00542A9A" w:rsidP="00542A9A">
      <w:pPr>
        <w:pStyle w:val="Textonotapie"/>
        <w:ind w:firstLine="709"/>
        <w:jc w:val="both"/>
        <w:rPr>
          <w:rFonts w:ascii="Verdana" w:hAnsi="Verdana" w:cs="Arial"/>
          <w:sz w:val="14"/>
          <w:szCs w:val="14"/>
          <w:lang w:val="es-ES"/>
        </w:rPr>
      </w:pPr>
    </w:p>
  </w:footnote>
  <w:footnote w:id="15">
    <w:p w14:paraId="071800C8" w14:textId="77777777" w:rsidR="00542A9A" w:rsidRPr="00383494" w:rsidRDefault="00542A9A" w:rsidP="00542A9A">
      <w:pPr>
        <w:pStyle w:val="Textonotapie"/>
        <w:ind w:firstLine="709"/>
        <w:jc w:val="both"/>
        <w:rPr>
          <w:rFonts w:ascii="Verdana" w:eastAsia="Calibri" w:hAnsi="Verdana" w:cs="Arial"/>
          <w:bCs/>
          <w:color w:val="000000"/>
          <w:sz w:val="14"/>
          <w:szCs w:val="14"/>
          <w:lang w:val="es-CO"/>
        </w:rPr>
      </w:pPr>
      <w:r w:rsidRPr="00383494">
        <w:rPr>
          <w:rStyle w:val="Refdenotaalpie"/>
          <w:rFonts w:ascii="Verdana" w:hAnsi="Verdana"/>
          <w:sz w:val="14"/>
          <w:szCs w:val="14"/>
        </w:rPr>
        <w:footnoteRef/>
      </w:r>
      <w:r w:rsidRPr="00383494">
        <w:rPr>
          <w:rFonts w:ascii="Verdana" w:hAnsi="Verdana"/>
          <w:sz w:val="14"/>
          <w:szCs w:val="14"/>
        </w:rPr>
        <w:t xml:space="preserve"> </w:t>
      </w:r>
      <w:r w:rsidRPr="00383494">
        <w:rPr>
          <w:rFonts w:ascii="Verdana" w:hAnsi="Verdana"/>
          <w:bCs/>
          <w:color w:val="000000"/>
          <w:sz w:val="14"/>
          <w:szCs w:val="14"/>
          <w:lang w:val="es-CO"/>
        </w:rPr>
        <w:t>Es pertinente señalar que, aunque son más comunes en la contratación entre entidades</w:t>
      </w:r>
      <w:r w:rsidRPr="00383494">
        <w:rPr>
          <w:rFonts w:ascii="Verdana" w:hAnsi="Verdana"/>
          <w:bCs/>
          <w:strike/>
          <w:color w:val="000000"/>
          <w:sz w:val="14"/>
          <w:szCs w:val="14"/>
          <w:lang w:val="es-CO"/>
        </w:rPr>
        <w:t xml:space="preserve"> </w:t>
      </w:r>
      <w:r w:rsidRPr="00383494">
        <w:rPr>
          <w:rFonts w:ascii="Verdana" w:hAnsi="Verdana"/>
          <w:bCs/>
          <w:color w:val="000000"/>
          <w:sz w:val="14"/>
          <w:szCs w:val="14"/>
          <w:lang w:val="es-CO"/>
        </w:rPr>
        <w:t xml:space="preserve">públicas, no se descarta esta noción como aplicable a otros convenios que realice la entidad en el marco de sus atribuciones legales y de conformidad con lo establecido en la Ley. </w:t>
      </w:r>
    </w:p>
  </w:footnote>
  <w:footnote w:id="16">
    <w:p w14:paraId="3EE2B07B" w14:textId="77777777" w:rsidR="00542A9A" w:rsidRPr="00383494" w:rsidRDefault="00542A9A" w:rsidP="00542A9A">
      <w:pPr>
        <w:pStyle w:val="Textonotapie"/>
        <w:ind w:firstLine="709"/>
        <w:rPr>
          <w:sz w:val="14"/>
          <w:szCs w:val="14"/>
          <w:lang w:val="es-CO"/>
        </w:rPr>
      </w:pPr>
      <w:r w:rsidRPr="00383494">
        <w:rPr>
          <w:rStyle w:val="Refdenotaalpie"/>
          <w:sz w:val="14"/>
          <w:szCs w:val="14"/>
        </w:rPr>
        <w:footnoteRef/>
      </w:r>
      <w:r w:rsidRPr="00383494">
        <w:rPr>
          <w:sz w:val="14"/>
          <w:szCs w:val="14"/>
        </w:rPr>
        <w:t xml:space="preserve"> </w:t>
      </w:r>
      <w:r w:rsidRPr="00383494">
        <w:rPr>
          <w:rFonts w:ascii="Verdana" w:hAnsi="Verdana" w:cs="Arial"/>
          <w:sz w:val="14"/>
          <w:szCs w:val="14"/>
        </w:rPr>
        <w:t xml:space="preserve">Consejo de Estado -Sección Tercera-. Sentencia del </w:t>
      </w:r>
      <w:r w:rsidRPr="00383494">
        <w:rPr>
          <w:rFonts w:ascii="Verdana" w:hAnsi="Verdana" w:cs="Arial"/>
          <w:bCs/>
          <w:iCs/>
          <w:sz w:val="14"/>
          <w:szCs w:val="14"/>
        </w:rPr>
        <w:t>11 de julio de 2025. Radicación Número: 72.252. CP: José Roberto Sáchica Méndez.</w:t>
      </w:r>
    </w:p>
  </w:footnote>
  <w:footnote w:id="17">
    <w:p w14:paraId="19992A07" w14:textId="77777777" w:rsidR="00542A9A" w:rsidRPr="00383494" w:rsidRDefault="00542A9A" w:rsidP="00542A9A">
      <w:pPr>
        <w:pStyle w:val="Textonotapie"/>
        <w:ind w:firstLine="709"/>
        <w:jc w:val="both"/>
        <w:rPr>
          <w:rFonts w:ascii="Verdana" w:hAnsi="Verdana"/>
          <w:sz w:val="14"/>
          <w:szCs w:val="14"/>
          <w:lang w:val="es-CO"/>
        </w:rPr>
      </w:pPr>
      <w:r w:rsidRPr="00383494">
        <w:rPr>
          <w:rStyle w:val="Refdenotaalpie"/>
          <w:rFonts w:ascii="Verdana" w:hAnsi="Verdana"/>
          <w:sz w:val="14"/>
          <w:szCs w:val="14"/>
        </w:rPr>
        <w:footnoteRef/>
      </w:r>
      <w:r w:rsidRPr="00383494">
        <w:rPr>
          <w:rFonts w:ascii="Verdana" w:hAnsi="Verdana"/>
          <w:sz w:val="14"/>
          <w:szCs w:val="14"/>
        </w:rPr>
        <w:t xml:space="preserve"> </w:t>
      </w:r>
      <w:r w:rsidRPr="00383494">
        <w:rPr>
          <w:rFonts w:ascii="Verdana" w:hAnsi="Verdana"/>
          <w:sz w:val="14"/>
          <w:szCs w:val="14"/>
          <w:lang w:val="es-CO"/>
        </w:rPr>
        <w:t xml:space="preserve">Laudo arbitral del 8 de febrero de 2016. A.S. </w:t>
      </w:r>
      <w:r w:rsidRPr="00383494">
        <w:rPr>
          <w:rFonts w:ascii="Verdana" w:hAnsi="Verdana"/>
          <w:sz w:val="14"/>
          <w:szCs w:val="14"/>
          <w:lang w:val="es-CO"/>
        </w:rPr>
        <w:t>Ingenieria Puntual S.A.S. Vs. Perenco Oil And Gas Colombia Limited.</w:t>
      </w:r>
    </w:p>
    <w:p w14:paraId="23EE0757" w14:textId="77777777" w:rsidR="00542A9A" w:rsidRPr="00383494" w:rsidRDefault="00542A9A" w:rsidP="00542A9A">
      <w:pPr>
        <w:pStyle w:val="Textonotapie"/>
        <w:rPr>
          <w:rFonts w:ascii="Verdana" w:hAnsi="Verdana"/>
          <w:sz w:val="14"/>
          <w:szCs w:val="14"/>
          <w:lang w:val="es-CO"/>
        </w:rPr>
      </w:pPr>
    </w:p>
  </w:footnote>
  <w:footnote w:id="18">
    <w:p w14:paraId="7D9C624D" w14:textId="77777777" w:rsidR="00542A9A" w:rsidRPr="00383494" w:rsidRDefault="00542A9A" w:rsidP="00542A9A">
      <w:pPr>
        <w:pStyle w:val="Textonotapie"/>
        <w:ind w:firstLine="709"/>
        <w:jc w:val="both"/>
        <w:rPr>
          <w:rFonts w:ascii="Verdana" w:hAnsi="Verdana"/>
          <w:color w:val="000000" w:themeColor="text1"/>
          <w:sz w:val="14"/>
          <w:szCs w:val="14"/>
          <w:lang w:val="es-CO"/>
        </w:rPr>
      </w:pPr>
      <w:r w:rsidRPr="00383494">
        <w:rPr>
          <w:rStyle w:val="Refdenotaalpie"/>
          <w:sz w:val="14"/>
          <w:szCs w:val="14"/>
        </w:rPr>
        <w:footnoteRef/>
      </w:r>
      <w:r w:rsidRPr="00383494">
        <w:rPr>
          <w:sz w:val="14"/>
          <w:szCs w:val="14"/>
        </w:rPr>
        <w:t xml:space="preserve"> </w:t>
      </w:r>
      <w:bookmarkStart w:id="2" w:name="44"/>
      <w:r w:rsidRPr="00383494">
        <w:rPr>
          <w:rFonts w:ascii="Verdana" w:hAnsi="Verdana"/>
          <w:color w:val="000000" w:themeColor="text1"/>
          <w:sz w:val="14"/>
          <w:szCs w:val="14"/>
          <w:lang w:val="es-CO"/>
        </w:rPr>
        <w:t>ARTÍCULO 44. DE LAS CAUSALES DE NULIDAD ABSOLUTA.</w:t>
      </w:r>
      <w:bookmarkEnd w:id="2"/>
      <w:r w:rsidRPr="00383494">
        <w:rPr>
          <w:rFonts w:ascii="Verdana" w:hAnsi="Verdana"/>
          <w:color w:val="000000" w:themeColor="text1"/>
          <w:sz w:val="14"/>
          <w:szCs w:val="14"/>
          <w:lang w:val="es-CO"/>
        </w:rPr>
        <w:t> Los contratos del Estado son absolutamente nulos en los casos previstos en el derecho común y además cuando:</w:t>
      </w:r>
    </w:p>
    <w:p w14:paraId="73743209" w14:textId="77777777" w:rsidR="00542A9A" w:rsidRPr="00383494" w:rsidRDefault="00542A9A" w:rsidP="00542A9A">
      <w:pPr>
        <w:pStyle w:val="Textonotapie"/>
        <w:ind w:firstLine="709"/>
        <w:jc w:val="both"/>
        <w:rPr>
          <w:rFonts w:ascii="Verdana" w:hAnsi="Verdana"/>
          <w:color w:val="000000" w:themeColor="text1"/>
          <w:sz w:val="14"/>
          <w:szCs w:val="14"/>
          <w:lang w:val="es-CO"/>
        </w:rPr>
      </w:pPr>
      <w:r w:rsidRPr="00383494">
        <w:rPr>
          <w:rFonts w:ascii="Verdana" w:hAnsi="Verdana"/>
          <w:color w:val="000000" w:themeColor="text1"/>
          <w:sz w:val="14"/>
          <w:szCs w:val="14"/>
          <w:lang w:val="es-CO"/>
        </w:rPr>
        <w:t>1o. Se celebren con personas incursas en causales de inhabilidad o incompatibilidad previstas en la Constitución y la ley;</w:t>
      </w:r>
    </w:p>
    <w:p w14:paraId="4BB06C18" w14:textId="77777777" w:rsidR="00542A9A" w:rsidRPr="00383494" w:rsidRDefault="00542A9A" w:rsidP="00542A9A">
      <w:pPr>
        <w:pStyle w:val="Textonotapie"/>
        <w:ind w:firstLine="709"/>
        <w:jc w:val="both"/>
        <w:rPr>
          <w:rFonts w:ascii="Verdana" w:hAnsi="Verdana"/>
          <w:color w:val="000000" w:themeColor="text1"/>
          <w:sz w:val="14"/>
          <w:szCs w:val="14"/>
          <w:lang w:val="es-CO"/>
        </w:rPr>
      </w:pPr>
      <w:r w:rsidRPr="00383494">
        <w:rPr>
          <w:rFonts w:ascii="Verdana" w:hAnsi="Verdana"/>
          <w:color w:val="000000" w:themeColor="text1"/>
          <w:sz w:val="14"/>
          <w:szCs w:val="14"/>
          <w:lang w:val="es-CO"/>
        </w:rPr>
        <w:t>2o. Se celebren contra expresa prohibición constitucional o legal;</w:t>
      </w:r>
    </w:p>
    <w:p w14:paraId="4A2FB30E" w14:textId="77777777" w:rsidR="00542A9A" w:rsidRPr="00383494" w:rsidRDefault="00542A9A" w:rsidP="00542A9A">
      <w:pPr>
        <w:pStyle w:val="Textonotapie"/>
        <w:ind w:firstLine="709"/>
        <w:jc w:val="both"/>
        <w:rPr>
          <w:rFonts w:ascii="Verdana" w:hAnsi="Verdana"/>
          <w:color w:val="000000" w:themeColor="text1"/>
          <w:sz w:val="14"/>
          <w:szCs w:val="14"/>
          <w:lang w:val="es-CO"/>
        </w:rPr>
      </w:pPr>
      <w:r w:rsidRPr="00383494">
        <w:rPr>
          <w:rFonts w:ascii="Verdana" w:hAnsi="Verdana"/>
          <w:color w:val="000000" w:themeColor="text1"/>
          <w:sz w:val="14"/>
          <w:szCs w:val="14"/>
          <w:lang w:val="es-CO"/>
        </w:rPr>
        <w:t>3o. Se celebren con abuso o desviación de poder;</w:t>
      </w:r>
    </w:p>
    <w:p w14:paraId="22F4EDDD" w14:textId="77777777" w:rsidR="00542A9A" w:rsidRPr="00383494" w:rsidRDefault="00542A9A" w:rsidP="00542A9A">
      <w:pPr>
        <w:pStyle w:val="Textonotapie"/>
        <w:ind w:firstLine="709"/>
        <w:jc w:val="both"/>
        <w:rPr>
          <w:rFonts w:ascii="Verdana" w:hAnsi="Verdana"/>
          <w:color w:val="000000" w:themeColor="text1"/>
          <w:sz w:val="14"/>
          <w:szCs w:val="14"/>
          <w:lang w:val="es-CO"/>
        </w:rPr>
      </w:pPr>
      <w:r w:rsidRPr="00383494">
        <w:rPr>
          <w:rFonts w:ascii="Verdana" w:hAnsi="Verdana"/>
          <w:color w:val="000000" w:themeColor="text1"/>
          <w:sz w:val="14"/>
          <w:szCs w:val="14"/>
          <w:lang w:val="es-CO"/>
        </w:rPr>
        <w:t>4o. Se declaren nulos los actos administrativos en que se fundamenten; y</w:t>
      </w:r>
    </w:p>
    <w:p w14:paraId="2955FF98" w14:textId="77777777" w:rsidR="00542A9A" w:rsidRPr="00383494" w:rsidRDefault="00542A9A" w:rsidP="00542A9A">
      <w:pPr>
        <w:pStyle w:val="Textonotapie"/>
        <w:ind w:firstLine="709"/>
        <w:jc w:val="both"/>
        <w:rPr>
          <w:rFonts w:ascii="Verdana" w:hAnsi="Verdana"/>
          <w:color w:val="000000" w:themeColor="text1"/>
          <w:sz w:val="14"/>
          <w:szCs w:val="14"/>
          <w:lang w:val="es-CO"/>
        </w:rPr>
      </w:pPr>
      <w:r w:rsidRPr="00383494">
        <w:rPr>
          <w:rFonts w:ascii="Verdana" w:hAnsi="Verdana"/>
          <w:color w:val="000000" w:themeColor="text1"/>
          <w:sz w:val="14"/>
          <w:szCs w:val="14"/>
          <w:lang w:val="es-CO"/>
        </w:rPr>
        <w:t>5o. Se hubieren celebrado con desconocimiento de los criterios previstos en el artículo </w:t>
      </w:r>
      <w:hyperlink r:id="rId1" w:anchor="21" w:history="1">
        <w:r w:rsidRPr="00383494">
          <w:rPr>
            <w:rStyle w:val="Hipervnculo"/>
            <w:rFonts w:ascii="Verdana" w:hAnsi="Verdana"/>
            <w:color w:val="000000" w:themeColor="text1"/>
            <w:sz w:val="14"/>
            <w:szCs w:val="14"/>
            <w:u w:val="none"/>
            <w:lang w:val="es-CO"/>
          </w:rPr>
          <w:t>21</w:t>
        </w:r>
      </w:hyperlink>
      <w:r w:rsidRPr="00383494">
        <w:rPr>
          <w:rFonts w:ascii="Verdana" w:hAnsi="Verdana"/>
          <w:color w:val="000000" w:themeColor="text1"/>
          <w:sz w:val="14"/>
          <w:szCs w:val="14"/>
          <w:lang w:val="es-CO"/>
        </w:rPr>
        <w:t> sobre tratamiento de ofertas nacionales y extranjeras o con violación de la reciprocidad de que trata esta ley.</w:t>
      </w:r>
    </w:p>
    <w:p w14:paraId="633B288F" w14:textId="77777777" w:rsidR="00542A9A" w:rsidRPr="00383494" w:rsidRDefault="00542A9A" w:rsidP="00542A9A">
      <w:pPr>
        <w:pStyle w:val="Textonotapie"/>
        <w:rPr>
          <w:sz w:val="14"/>
          <w:szCs w:val="14"/>
          <w:lang w:val="es-CO"/>
        </w:rPr>
      </w:pPr>
    </w:p>
  </w:footnote>
  <w:footnote w:id="19">
    <w:p w14:paraId="6F8FD495" w14:textId="77777777" w:rsidR="00542A9A" w:rsidRPr="00383494" w:rsidRDefault="00542A9A" w:rsidP="00542A9A">
      <w:pPr>
        <w:pStyle w:val="Textonotapie"/>
        <w:ind w:firstLine="709"/>
        <w:jc w:val="both"/>
        <w:rPr>
          <w:rFonts w:ascii="Verdana" w:hAnsi="Verdana"/>
          <w:sz w:val="14"/>
          <w:szCs w:val="14"/>
        </w:rPr>
      </w:pPr>
      <w:r w:rsidRPr="00383494">
        <w:rPr>
          <w:rFonts w:ascii="Verdana" w:hAnsi="Verdana"/>
          <w:sz w:val="14"/>
          <w:szCs w:val="14"/>
          <w:vertAlign w:val="superscript"/>
        </w:rPr>
        <w:footnoteRef/>
      </w:r>
      <w:r w:rsidRPr="00383494">
        <w:rPr>
          <w:rFonts w:ascii="Verdana" w:hAnsi="Verdana"/>
          <w:sz w:val="14"/>
          <w:szCs w:val="14"/>
        </w:rPr>
        <w:t xml:space="preserve"> Consejo de Estado. Sección 3ª. Sentencia del 27 de noviembre de 2017. M.P. Jaime Orlando Santofimio. </w:t>
      </w:r>
      <w:r w:rsidRPr="00383494">
        <w:rPr>
          <w:rFonts w:ascii="Verdana" w:hAnsi="Verdana"/>
          <w:sz w:val="14"/>
          <w:szCs w:val="14"/>
        </w:rPr>
        <w:t>Exp. 51.802.</w:t>
      </w:r>
    </w:p>
  </w:footnote>
  <w:footnote w:id="20">
    <w:p w14:paraId="7BDB41C6" w14:textId="77777777" w:rsidR="00542A9A" w:rsidRPr="00383494" w:rsidRDefault="00542A9A" w:rsidP="00542A9A">
      <w:pPr>
        <w:pStyle w:val="Textonotapie"/>
        <w:ind w:firstLine="709"/>
        <w:jc w:val="both"/>
        <w:rPr>
          <w:rFonts w:ascii="Verdana" w:hAnsi="Verdana"/>
          <w:sz w:val="14"/>
          <w:szCs w:val="14"/>
        </w:rPr>
      </w:pPr>
      <w:r w:rsidRPr="00383494">
        <w:rPr>
          <w:rFonts w:ascii="Verdana" w:hAnsi="Verdana"/>
          <w:sz w:val="14"/>
          <w:szCs w:val="14"/>
          <w:vertAlign w:val="superscript"/>
        </w:rPr>
        <w:footnoteRef/>
      </w:r>
      <w:r w:rsidRPr="00383494">
        <w:rPr>
          <w:rFonts w:ascii="Verdana" w:hAnsi="Verdana"/>
          <w:sz w:val="14"/>
          <w:szCs w:val="14"/>
        </w:rPr>
        <w:t xml:space="preserve"> A excepción de la interventoría del contrato de obra adjudicado por licitación pública que es obligatoria según el numeral 1° del artículo 32 de la Ley 80 de 1993.</w:t>
      </w:r>
    </w:p>
  </w:footnote>
  <w:footnote w:id="21">
    <w:p w14:paraId="25774DA1" w14:textId="77777777" w:rsidR="00542A9A" w:rsidRPr="00383494" w:rsidRDefault="00542A9A" w:rsidP="00542A9A">
      <w:pPr>
        <w:pStyle w:val="Textonotapie"/>
        <w:ind w:firstLine="709"/>
        <w:jc w:val="both"/>
        <w:rPr>
          <w:rFonts w:ascii="Verdana" w:hAnsi="Verdana"/>
          <w:sz w:val="14"/>
          <w:szCs w:val="14"/>
        </w:rPr>
      </w:pPr>
      <w:r w:rsidRPr="00383494">
        <w:rPr>
          <w:rStyle w:val="Refdenotaalpie"/>
          <w:rFonts w:ascii="Verdana" w:hAnsi="Verdana"/>
          <w:sz w:val="14"/>
          <w:szCs w:val="14"/>
        </w:rPr>
        <w:footnoteRef/>
      </w:r>
      <w:r w:rsidRPr="00383494">
        <w:rPr>
          <w:rFonts w:ascii="Verdana" w:hAnsi="Verdana"/>
          <w:sz w:val="14"/>
          <w:szCs w:val="14"/>
        </w:rPr>
        <w:t xml:space="preserve"> </w:t>
      </w:r>
      <w:r w:rsidRPr="00383494">
        <w:rPr>
          <w:rFonts w:ascii="Verdana" w:hAnsi="Verdana"/>
          <w:sz w:val="14"/>
          <w:szCs w:val="14"/>
          <w:lang w:val="es-CO"/>
        </w:rPr>
        <w:t>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p>
  </w:footnote>
  <w:footnote w:id="22">
    <w:p w14:paraId="6CE9E756" w14:textId="77777777" w:rsidR="00542A9A" w:rsidRPr="00383494" w:rsidRDefault="00542A9A" w:rsidP="00542A9A">
      <w:pPr>
        <w:pStyle w:val="Textonotapie"/>
        <w:ind w:firstLine="709"/>
        <w:jc w:val="both"/>
        <w:rPr>
          <w:rFonts w:ascii="Verdana" w:hAnsi="Verdana"/>
          <w:sz w:val="14"/>
          <w:szCs w:val="14"/>
          <w:lang w:val="es-CO"/>
        </w:rPr>
      </w:pPr>
      <w:r w:rsidRPr="00383494">
        <w:rPr>
          <w:rStyle w:val="Refdenotaalpie"/>
          <w:rFonts w:ascii="Verdana" w:hAnsi="Verdana"/>
          <w:sz w:val="14"/>
          <w:szCs w:val="14"/>
        </w:rPr>
        <w:footnoteRef/>
      </w:r>
      <w:r w:rsidRPr="00383494">
        <w:rPr>
          <w:rFonts w:ascii="Verdana" w:hAnsi="Verdana"/>
          <w:sz w:val="14"/>
          <w:szCs w:val="14"/>
        </w:rPr>
        <w:t xml:space="preserve"> </w:t>
      </w:r>
      <w:r w:rsidRPr="00383494">
        <w:rPr>
          <w:rFonts w:ascii="Verdana" w:hAnsi="Verdana"/>
          <w:sz w:val="14"/>
          <w:szCs w:val="14"/>
          <w:lang w:val="es-CO"/>
        </w:rPr>
        <w:t xml:space="preserve">Ley 80 de 1993: “Artículo 26. Del principio de responsabilidad. En virtud de este principio: </w:t>
      </w:r>
    </w:p>
    <w:p w14:paraId="645CC3E1" w14:textId="77777777" w:rsidR="00542A9A" w:rsidRPr="00383494" w:rsidRDefault="00542A9A" w:rsidP="00542A9A">
      <w:pPr>
        <w:pStyle w:val="Textonotapie"/>
        <w:ind w:firstLine="709"/>
        <w:jc w:val="both"/>
        <w:rPr>
          <w:rFonts w:ascii="Verdana" w:hAnsi="Verdana"/>
          <w:sz w:val="14"/>
          <w:szCs w:val="14"/>
        </w:rPr>
      </w:pPr>
      <w:r w:rsidRPr="00383494">
        <w:rPr>
          <w:rFonts w:ascii="Verdana" w:hAnsi="Verdana"/>
          <w:sz w:val="14"/>
          <w:szCs w:val="14"/>
          <w:lang w:val="es-CO"/>
        </w:rPr>
        <w:t>“1. Los servidores públicos están obligados a buscar el cumplimiento de los fines de la contratación, a vigilar la correcta ejecución del objeto contratado y a proteger los derechos de la entidad, del contratista y de los terceros que puedan verse afectados por la ejecución del contrato”.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218512501"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925372208" name="Imagen 1925372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4pt;height:11.4pt;visibility:visible;mso-wrap-style:square" o:bullet="t">
        <v:imagedata r:id="rId1" o:title=""/>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8D4202D"/>
    <w:multiLevelType w:val="hybridMultilevel"/>
    <w:tmpl w:val="557A8FE0"/>
    <w:lvl w:ilvl="0" w:tplc="77D2444A">
      <w:start w:val="1"/>
      <w:numFmt w:val="lowerRoman"/>
      <w:lvlText w:val="%1."/>
      <w:lvlJc w:val="left"/>
      <w:pPr>
        <w:ind w:left="1080" w:hanging="720"/>
      </w:pPr>
      <w:rPr>
        <w:rFonts w:hint="default"/>
        <w:color w:val="000000" w:themeColor="text1"/>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2AD1188"/>
    <w:multiLevelType w:val="hybridMultilevel"/>
    <w:tmpl w:val="F35E0D28"/>
    <w:lvl w:ilvl="0" w:tplc="B91CD640">
      <w:start w:val="1"/>
      <w:numFmt w:val="lowerRoman"/>
      <w:lvlText w:val="%1."/>
      <w:lvlJc w:val="left"/>
      <w:pPr>
        <w:ind w:left="1080" w:hanging="720"/>
      </w:pPr>
      <w:rPr>
        <w:rFonts w:hint="default"/>
        <w:color w:val="000000" w:themeColor="text1"/>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FBB62E6"/>
    <w:multiLevelType w:val="hybridMultilevel"/>
    <w:tmpl w:val="2C507DCA"/>
    <w:lvl w:ilvl="0" w:tplc="B4FA6AE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54440795"/>
    <w:multiLevelType w:val="hybridMultilevel"/>
    <w:tmpl w:val="BDD2DCE4"/>
    <w:lvl w:ilvl="0" w:tplc="21C4D700">
      <w:start w:val="1"/>
      <w:numFmt w:val="lowerRoman"/>
      <w:lvlText w:val="%1."/>
      <w:lvlJc w:val="left"/>
      <w:pPr>
        <w:ind w:left="1080" w:hanging="720"/>
      </w:pPr>
      <w:rPr>
        <w:rFonts w:eastAsiaTheme="minorHAnsi" w:hint="default"/>
        <w:color w:val="201F1E"/>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E857FA7"/>
    <w:multiLevelType w:val="hybridMultilevel"/>
    <w:tmpl w:val="55089AC8"/>
    <w:lvl w:ilvl="0" w:tplc="2C342CFE">
      <w:start w:val="1"/>
      <w:numFmt w:val="lowerRoman"/>
      <w:lvlText w:val="%1."/>
      <w:lvlJc w:val="left"/>
      <w:pPr>
        <w:ind w:left="1080" w:hanging="720"/>
      </w:pPr>
      <w:rPr>
        <w:rFonts w:eastAsia="Arial MT"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948779781">
    <w:abstractNumId w:val="9"/>
  </w:num>
  <w:num w:numId="2" w16cid:durableId="19822139">
    <w:abstractNumId w:val="2"/>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8"/>
  </w:num>
  <w:num w:numId="7" w16cid:durableId="1946422806">
    <w:abstractNumId w:val="8"/>
  </w:num>
  <w:num w:numId="8" w16cid:durableId="152644682">
    <w:abstractNumId w:val="17"/>
  </w:num>
  <w:num w:numId="9" w16cid:durableId="1317221377">
    <w:abstractNumId w:val="10"/>
  </w:num>
  <w:num w:numId="10" w16cid:durableId="1471245386">
    <w:abstractNumId w:val="16"/>
  </w:num>
  <w:num w:numId="11" w16cid:durableId="289172385">
    <w:abstractNumId w:val="11"/>
  </w:num>
  <w:num w:numId="12" w16cid:durableId="1470781324">
    <w:abstractNumId w:val="1"/>
  </w:num>
  <w:num w:numId="13" w16cid:durableId="1512908409">
    <w:abstractNumId w:val="5"/>
  </w:num>
  <w:num w:numId="14" w16cid:durableId="895897244">
    <w:abstractNumId w:val="19"/>
  </w:num>
  <w:num w:numId="15" w16cid:durableId="390349800">
    <w:abstractNumId w:val="15"/>
  </w:num>
  <w:num w:numId="16" w16cid:durableId="1330140246">
    <w:abstractNumId w:val="0"/>
  </w:num>
  <w:num w:numId="17" w16cid:durableId="679089576">
    <w:abstractNumId w:val="12"/>
  </w:num>
  <w:num w:numId="18" w16cid:durableId="257060930">
    <w:abstractNumId w:val="4"/>
  </w:num>
  <w:num w:numId="19" w16cid:durableId="1941595604">
    <w:abstractNumId w:val="3"/>
  </w:num>
  <w:num w:numId="20" w16cid:durableId="153255849">
    <w:abstractNumId w:val="13"/>
  </w:num>
  <w:num w:numId="21" w16cid:durableId="1814255945">
    <w:abstractNumId w:val="20"/>
  </w:num>
  <w:num w:numId="22" w16cid:durableId="1318146081">
    <w:abstractNumId w:val="6"/>
  </w:num>
  <w:num w:numId="23" w16cid:durableId="8435942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D85"/>
    <w:rsid w:val="000078BA"/>
    <w:rsid w:val="00010080"/>
    <w:rsid w:val="00011349"/>
    <w:rsid w:val="00014A4E"/>
    <w:rsid w:val="00016F78"/>
    <w:rsid w:val="000213BA"/>
    <w:rsid w:val="00026A02"/>
    <w:rsid w:val="00030E0D"/>
    <w:rsid w:val="0003318F"/>
    <w:rsid w:val="00034C58"/>
    <w:rsid w:val="000359DE"/>
    <w:rsid w:val="00037C5B"/>
    <w:rsid w:val="00043DDF"/>
    <w:rsid w:val="00046945"/>
    <w:rsid w:val="0005258F"/>
    <w:rsid w:val="00053166"/>
    <w:rsid w:val="00055CB6"/>
    <w:rsid w:val="00056398"/>
    <w:rsid w:val="00060061"/>
    <w:rsid w:val="00061B2A"/>
    <w:rsid w:val="0006320D"/>
    <w:rsid w:val="00065F6E"/>
    <w:rsid w:val="00073D7F"/>
    <w:rsid w:val="0007571D"/>
    <w:rsid w:val="00082362"/>
    <w:rsid w:val="00083359"/>
    <w:rsid w:val="0008454F"/>
    <w:rsid w:val="00084E62"/>
    <w:rsid w:val="00087C27"/>
    <w:rsid w:val="00091CA1"/>
    <w:rsid w:val="00091F63"/>
    <w:rsid w:val="00093EC2"/>
    <w:rsid w:val="000942FA"/>
    <w:rsid w:val="000946A9"/>
    <w:rsid w:val="000966E4"/>
    <w:rsid w:val="000A36D1"/>
    <w:rsid w:val="000A5826"/>
    <w:rsid w:val="000A683E"/>
    <w:rsid w:val="000B19B9"/>
    <w:rsid w:val="000B47D5"/>
    <w:rsid w:val="000B5E8A"/>
    <w:rsid w:val="000B6022"/>
    <w:rsid w:val="000C568B"/>
    <w:rsid w:val="000D0334"/>
    <w:rsid w:val="000D07AF"/>
    <w:rsid w:val="000D65A7"/>
    <w:rsid w:val="000D7CCA"/>
    <w:rsid w:val="000D7E1C"/>
    <w:rsid w:val="000E1161"/>
    <w:rsid w:val="000E7E31"/>
    <w:rsid w:val="000F1A30"/>
    <w:rsid w:val="000F258F"/>
    <w:rsid w:val="000F3711"/>
    <w:rsid w:val="000F4322"/>
    <w:rsid w:val="000F5AF2"/>
    <w:rsid w:val="000F6486"/>
    <w:rsid w:val="000F6CFE"/>
    <w:rsid w:val="00100DDA"/>
    <w:rsid w:val="001068BD"/>
    <w:rsid w:val="0011065D"/>
    <w:rsid w:val="00113B01"/>
    <w:rsid w:val="00117B20"/>
    <w:rsid w:val="00120E91"/>
    <w:rsid w:val="0012115D"/>
    <w:rsid w:val="001214D5"/>
    <w:rsid w:val="00125105"/>
    <w:rsid w:val="00125524"/>
    <w:rsid w:val="00125870"/>
    <w:rsid w:val="00127233"/>
    <w:rsid w:val="00134FBE"/>
    <w:rsid w:val="0013550B"/>
    <w:rsid w:val="00135CAF"/>
    <w:rsid w:val="00141271"/>
    <w:rsid w:val="001511A0"/>
    <w:rsid w:val="001525A6"/>
    <w:rsid w:val="00160943"/>
    <w:rsid w:val="0016435F"/>
    <w:rsid w:val="00165111"/>
    <w:rsid w:val="00166F30"/>
    <w:rsid w:val="001673BE"/>
    <w:rsid w:val="00167CBB"/>
    <w:rsid w:val="00167D37"/>
    <w:rsid w:val="00172D92"/>
    <w:rsid w:val="00180ACE"/>
    <w:rsid w:val="0018161A"/>
    <w:rsid w:val="00186E20"/>
    <w:rsid w:val="001872CA"/>
    <w:rsid w:val="00187E50"/>
    <w:rsid w:val="0019179A"/>
    <w:rsid w:val="00196C57"/>
    <w:rsid w:val="00197017"/>
    <w:rsid w:val="001A04A6"/>
    <w:rsid w:val="001A24D3"/>
    <w:rsid w:val="001A42E6"/>
    <w:rsid w:val="001B1CD2"/>
    <w:rsid w:val="001B21B1"/>
    <w:rsid w:val="001B2966"/>
    <w:rsid w:val="001B5AFC"/>
    <w:rsid w:val="001B67A4"/>
    <w:rsid w:val="001C2DE1"/>
    <w:rsid w:val="001C37E1"/>
    <w:rsid w:val="001C3A39"/>
    <w:rsid w:val="001D11D1"/>
    <w:rsid w:val="001D1E1B"/>
    <w:rsid w:val="001E172F"/>
    <w:rsid w:val="001E3213"/>
    <w:rsid w:val="001E4177"/>
    <w:rsid w:val="001E5252"/>
    <w:rsid w:val="001E53EB"/>
    <w:rsid w:val="001F0AB4"/>
    <w:rsid w:val="001F0F8B"/>
    <w:rsid w:val="001F44FE"/>
    <w:rsid w:val="001F5886"/>
    <w:rsid w:val="001F6001"/>
    <w:rsid w:val="001F6D75"/>
    <w:rsid w:val="001F7DC6"/>
    <w:rsid w:val="002011C2"/>
    <w:rsid w:val="00201531"/>
    <w:rsid w:val="002018FB"/>
    <w:rsid w:val="00202317"/>
    <w:rsid w:val="002064A1"/>
    <w:rsid w:val="00210DD8"/>
    <w:rsid w:val="00211A6E"/>
    <w:rsid w:val="0021323F"/>
    <w:rsid w:val="00216BD7"/>
    <w:rsid w:val="00220EB2"/>
    <w:rsid w:val="002226B0"/>
    <w:rsid w:val="00225440"/>
    <w:rsid w:val="002255D4"/>
    <w:rsid w:val="00226323"/>
    <w:rsid w:val="00227D8E"/>
    <w:rsid w:val="00231F79"/>
    <w:rsid w:val="00232901"/>
    <w:rsid w:val="0024026B"/>
    <w:rsid w:val="002421BB"/>
    <w:rsid w:val="00246D00"/>
    <w:rsid w:val="00250450"/>
    <w:rsid w:val="002553AB"/>
    <w:rsid w:val="0025796E"/>
    <w:rsid w:val="00261BCA"/>
    <w:rsid w:val="00265822"/>
    <w:rsid w:val="00267489"/>
    <w:rsid w:val="00267989"/>
    <w:rsid w:val="00270213"/>
    <w:rsid w:val="002707A2"/>
    <w:rsid w:val="002754B5"/>
    <w:rsid w:val="0027636A"/>
    <w:rsid w:val="002774B3"/>
    <w:rsid w:val="00277711"/>
    <w:rsid w:val="0028021C"/>
    <w:rsid w:val="00284000"/>
    <w:rsid w:val="00286D11"/>
    <w:rsid w:val="0028780E"/>
    <w:rsid w:val="002951A0"/>
    <w:rsid w:val="002953E3"/>
    <w:rsid w:val="002962BB"/>
    <w:rsid w:val="002962BC"/>
    <w:rsid w:val="002A093D"/>
    <w:rsid w:val="002A0DD0"/>
    <w:rsid w:val="002A26B9"/>
    <w:rsid w:val="002A49AC"/>
    <w:rsid w:val="002A57AD"/>
    <w:rsid w:val="002A64FD"/>
    <w:rsid w:val="002B00F0"/>
    <w:rsid w:val="002B0C14"/>
    <w:rsid w:val="002B26AE"/>
    <w:rsid w:val="002B2900"/>
    <w:rsid w:val="002B521C"/>
    <w:rsid w:val="002B5851"/>
    <w:rsid w:val="002B5EEB"/>
    <w:rsid w:val="002B775C"/>
    <w:rsid w:val="002C106B"/>
    <w:rsid w:val="002C357E"/>
    <w:rsid w:val="002C59FD"/>
    <w:rsid w:val="002C7A84"/>
    <w:rsid w:val="002D6778"/>
    <w:rsid w:val="002E0991"/>
    <w:rsid w:val="002E39D3"/>
    <w:rsid w:val="002E4E18"/>
    <w:rsid w:val="002E4FD9"/>
    <w:rsid w:val="002F0025"/>
    <w:rsid w:val="002F02A8"/>
    <w:rsid w:val="002F113E"/>
    <w:rsid w:val="002F5E07"/>
    <w:rsid w:val="003038DC"/>
    <w:rsid w:val="0030407E"/>
    <w:rsid w:val="003060C8"/>
    <w:rsid w:val="00307FCA"/>
    <w:rsid w:val="003123DF"/>
    <w:rsid w:val="003143EE"/>
    <w:rsid w:val="00315F33"/>
    <w:rsid w:val="00320658"/>
    <w:rsid w:val="0032130D"/>
    <w:rsid w:val="00321594"/>
    <w:rsid w:val="00322A85"/>
    <w:rsid w:val="00324168"/>
    <w:rsid w:val="00325594"/>
    <w:rsid w:val="00331A29"/>
    <w:rsid w:val="00332394"/>
    <w:rsid w:val="00333282"/>
    <w:rsid w:val="0033549A"/>
    <w:rsid w:val="00340B6A"/>
    <w:rsid w:val="003415A5"/>
    <w:rsid w:val="00343DF5"/>
    <w:rsid w:val="003440FC"/>
    <w:rsid w:val="003448F4"/>
    <w:rsid w:val="00346F8B"/>
    <w:rsid w:val="00352033"/>
    <w:rsid w:val="00354584"/>
    <w:rsid w:val="00355FBF"/>
    <w:rsid w:val="00361B67"/>
    <w:rsid w:val="0036328F"/>
    <w:rsid w:val="00367129"/>
    <w:rsid w:val="0036719B"/>
    <w:rsid w:val="00367D94"/>
    <w:rsid w:val="003716D1"/>
    <w:rsid w:val="00373B43"/>
    <w:rsid w:val="003743E5"/>
    <w:rsid w:val="00374F5E"/>
    <w:rsid w:val="00377552"/>
    <w:rsid w:val="00377CD5"/>
    <w:rsid w:val="00377E3E"/>
    <w:rsid w:val="0038031B"/>
    <w:rsid w:val="003803D3"/>
    <w:rsid w:val="00380B40"/>
    <w:rsid w:val="00382524"/>
    <w:rsid w:val="00382F8A"/>
    <w:rsid w:val="00383494"/>
    <w:rsid w:val="00383D27"/>
    <w:rsid w:val="003845A9"/>
    <w:rsid w:val="00385F23"/>
    <w:rsid w:val="00387FF1"/>
    <w:rsid w:val="0039458D"/>
    <w:rsid w:val="00394890"/>
    <w:rsid w:val="00396327"/>
    <w:rsid w:val="003A0096"/>
    <w:rsid w:val="003A1985"/>
    <w:rsid w:val="003A50CC"/>
    <w:rsid w:val="003A779E"/>
    <w:rsid w:val="003B27DD"/>
    <w:rsid w:val="003C1E58"/>
    <w:rsid w:val="003C36C3"/>
    <w:rsid w:val="003C3C76"/>
    <w:rsid w:val="003C4AAA"/>
    <w:rsid w:val="003D0F4D"/>
    <w:rsid w:val="003D5B0D"/>
    <w:rsid w:val="003D6D87"/>
    <w:rsid w:val="003D6F14"/>
    <w:rsid w:val="003E0499"/>
    <w:rsid w:val="003E0F01"/>
    <w:rsid w:val="003E1A3B"/>
    <w:rsid w:val="003E260D"/>
    <w:rsid w:val="003E63A3"/>
    <w:rsid w:val="003F3941"/>
    <w:rsid w:val="003F736A"/>
    <w:rsid w:val="003F757A"/>
    <w:rsid w:val="00400B97"/>
    <w:rsid w:val="00402C44"/>
    <w:rsid w:val="00403A63"/>
    <w:rsid w:val="0040431C"/>
    <w:rsid w:val="0040512E"/>
    <w:rsid w:val="00406575"/>
    <w:rsid w:val="00407D8F"/>
    <w:rsid w:val="004115E1"/>
    <w:rsid w:val="00414604"/>
    <w:rsid w:val="00414C74"/>
    <w:rsid w:val="00414F45"/>
    <w:rsid w:val="00420E51"/>
    <w:rsid w:val="00422F5F"/>
    <w:rsid w:val="0042722E"/>
    <w:rsid w:val="004309DC"/>
    <w:rsid w:val="0043229F"/>
    <w:rsid w:val="00432A15"/>
    <w:rsid w:val="004415F1"/>
    <w:rsid w:val="00442788"/>
    <w:rsid w:val="004433B6"/>
    <w:rsid w:val="004442D2"/>
    <w:rsid w:val="0044528D"/>
    <w:rsid w:val="00453070"/>
    <w:rsid w:val="00454CCA"/>
    <w:rsid w:val="00456D1B"/>
    <w:rsid w:val="00460204"/>
    <w:rsid w:val="004630AE"/>
    <w:rsid w:val="00463596"/>
    <w:rsid w:val="004669D6"/>
    <w:rsid w:val="00470AB6"/>
    <w:rsid w:val="00472F0E"/>
    <w:rsid w:val="004752C5"/>
    <w:rsid w:val="00476AF9"/>
    <w:rsid w:val="0048214D"/>
    <w:rsid w:val="0048305B"/>
    <w:rsid w:val="00486C43"/>
    <w:rsid w:val="00492A6D"/>
    <w:rsid w:val="00492FFE"/>
    <w:rsid w:val="00494186"/>
    <w:rsid w:val="00496C6A"/>
    <w:rsid w:val="00497BB7"/>
    <w:rsid w:val="00497DF3"/>
    <w:rsid w:val="004A06AA"/>
    <w:rsid w:val="004A0B77"/>
    <w:rsid w:val="004A0BD2"/>
    <w:rsid w:val="004A1847"/>
    <w:rsid w:val="004A274C"/>
    <w:rsid w:val="004A305D"/>
    <w:rsid w:val="004A3D5C"/>
    <w:rsid w:val="004A6663"/>
    <w:rsid w:val="004A781E"/>
    <w:rsid w:val="004B0A34"/>
    <w:rsid w:val="004B1324"/>
    <w:rsid w:val="004B1B93"/>
    <w:rsid w:val="004B3393"/>
    <w:rsid w:val="004B4752"/>
    <w:rsid w:val="004C0D70"/>
    <w:rsid w:val="004C0F01"/>
    <w:rsid w:val="004C24ED"/>
    <w:rsid w:val="004C3FD5"/>
    <w:rsid w:val="004C4129"/>
    <w:rsid w:val="004C501C"/>
    <w:rsid w:val="004C5B58"/>
    <w:rsid w:val="004C5E8A"/>
    <w:rsid w:val="004D074C"/>
    <w:rsid w:val="004D0E73"/>
    <w:rsid w:val="004D1D87"/>
    <w:rsid w:val="004D3E81"/>
    <w:rsid w:val="004E12D7"/>
    <w:rsid w:val="004E1CC6"/>
    <w:rsid w:val="004E4200"/>
    <w:rsid w:val="004E740F"/>
    <w:rsid w:val="004E7BBA"/>
    <w:rsid w:val="004F21C4"/>
    <w:rsid w:val="004F39FC"/>
    <w:rsid w:val="004F5950"/>
    <w:rsid w:val="004F6418"/>
    <w:rsid w:val="004F685F"/>
    <w:rsid w:val="004F73C2"/>
    <w:rsid w:val="00501D4D"/>
    <w:rsid w:val="00502FED"/>
    <w:rsid w:val="00503A90"/>
    <w:rsid w:val="00512D75"/>
    <w:rsid w:val="0051328F"/>
    <w:rsid w:val="0051716D"/>
    <w:rsid w:val="005207AF"/>
    <w:rsid w:val="00522C46"/>
    <w:rsid w:val="00523079"/>
    <w:rsid w:val="00525886"/>
    <w:rsid w:val="0053303E"/>
    <w:rsid w:val="00542559"/>
    <w:rsid w:val="00542A9A"/>
    <w:rsid w:val="0054305D"/>
    <w:rsid w:val="00543064"/>
    <w:rsid w:val="005435CD"/>
    <w:rsid w:val="00545270"/>
    <w:rsid w:val="00546EB3"/>
    <w:rsid w:val="00555D4E"/>
    <w:rsid w:val="005566E8"/>
    <w:rsid w:val="00557B65"/>
    <w:rsid w:val="00561E28"/>
    <w:rsid w:val="00562CCD"/>
    <w:rsid w:val="005635DE"/>
    <w:rsid w:val="00572B7E"/>
    <w:rsid w:val="00574867"/>
    <w:rsid w:val="00576FE8"/>
    <w:rsid w:val="005775AB"/>
    <w:rsid w:val="00577EF4"/>
    <w:rsid w:val="0058263C"/>
    <w:rsid w:val="005831CD"/>
    <w:rsid w:val="00583EC1"/>
    <w:rsid w:val="00584F28"/>
    <w:rsid w:val="0058573C"/>
    <w:rsid w:val="00586289"/>
    <w:rsid w:val="00586625"/>
    <w:rsid w:val="00591460"/>
    <w:rsid w:val="00593A18"/>
    <w:rsid w:val="00594D0B"/>
    <w:rsid w:val="005960F0"/>
    <w:rsid w:val="005979F3"/>
    <w:rsid w:val="005A1A89"/>
    <w:rsid w:val="005A1B2D"/>
    <w:rsid w:val="005A6F04"/>
    <w:rsid w:val="005A7DEA"/>
    <w:rsid w:val="005B0472"/>
    <w:rsid w:val="005B1496"/>
    <w:rsid w:val="005B1DA8"/>
    <w:rsid w:val="005B3816"/>
    <w:rsid w:val="005B619D"/>
    <w:rsid w:val="005B6471"/>
    <w:rsid w:val="005B7AE7"/>
    <w:rsid w:val="005C1B82"/>
    <w:rsid w:val="005C3777"/>
    <w:rsid w:val="005C5CDC"/>
    <w:rsid w:val="005C72BF"/>
    <w:rsid w:val="005D26FB"/>
    <w:rsid w:val="005D2B01"/>
    <w:rsid w:val="005D476C"/>
    <w:rsid w:val="005D5576"/>
    <w:rsid w:val="005D56AE"/>
    <w:rsid w:val="005E2EDA"/>
    <w:rsid w:val="005F019E"/>
    <w:rsid w:val="005F05CA"/>
    <w:rsid w:val="005F0608"/>
    <w:rsid w:val="005F0660"/>
    <w:rsid w:val="005F0A4A"/>
    <w:rsid w:val="005F1597"/>
    <w:rsid w:val="005F21FC"/>
    <w:rsid w:val="00600C98"/>
    <w:rsid w:val="00602226"/>
    <w:rsid w:val="006057DB"/>
    <w:rsid w:val="00615233"/>
    <w:rsid w:val="00616B3B"/>
    <w:rsid w:val="0062174F"/>
    <w:rsid w:val="006219F8"/>
    <w:rsid w:val="00626F9C"/>
    <w:rsid w:val="0063028D"/>
    <w:rsid w:val="006328BE"/>
    <w:rsid w:val="00633647"/>
    <w:rsid w:val="006336C5"/>
    <w:rsid w:val="00634C22"/>
    <w:rsid w:val="006400E4"/>
    <w:rsid w:val="00652E20"/>
    <w:rsid w:val="00654086"/>
    <w:rsid w:val="006544FC"/>
    <w:rsid w:val="00657820"/>
    <w:rsid w:val="00665D70"/>
    <w:rsid w:val="00667048"/>
    <w:rsid w:val="00670AC8"/>
    <w:rsid w:val="00672767"/>
    <w:rsid w:val="006737B8"/>
    <w:rsid w:val="00673F88"/>
    <w:rsid w:val="0067427A"/>
    <w:rsid w:val="00680593"/>
    <w:rsid w:val="00680845"/>
    <w:rsid w:val="00681227"/>
    <w:rsid w:val="00682965"/>
    <w:rsid w:val="00684FA5"/>
    <w:rsid w:val="00685AB4"/>
    <w:rsid w:val="00686500"/>
    <w:rsid w:val="0068667B"/>
    <w:rsid w:val="006900D9"/>
    <w:rsid w:val="00690765"/>
    <w:rsid w:val="00690772"/>
    <w:rsid w:val="00691A81"/>
    <w:rsid w:val="00694CC9"/>
    <w:rsid w:val="00696A9F"/>
    <w:rsid w:val="006A166C"/>
    <w:rsid w:val="006A32B4"/>
    <w:rsid w:val="006A5C8C"/>
    <w:rsid w:val="006A6EE3"/>
    <w:rsid w:val="006B06FE"/>
    <w:rsid w:val="006B0E24"/>
    <w:rsid w:val="006B2B39"/>
    <w:rsid w:val="006B34A3"/>
    <w:rsid w:val="006B596D"/>
    <w:rsid w:val="006B7F36"/>
    <w:rsid w:val="006C345D"/>
    <w:rsid w:val="006C6022"/>
    <w:rsid w:val="006C6599"/>
    <w:rsid w:val="006C6D86"/>
    <w:rsid w:val="006D30D0"/>
    <w:rsid w:val="006D616C"/>
    <w:rsid w:val="006D72B8"/>
    <w:rsid w:val="006D7B77"/>
    <w:rsid w:val="006E03EB"/>
    <w:rsid w:val="006E73FF"/>
    <w:rsid w:val="006E79D3"/>
    <w:rsid w:val="006F0DC1"/>
    <w:rsid w:val="006F4803"/>
    <w:rsid w:val="006F503B"/>
    <w:rsid w:val="006F6A04"/>
    <w:rsid w:val="006F6FD1"/>
    <w:rsid w:val="00703506"/>
    <w:rsid w:val="00705143"/>
    <w:rsid w:val="00706C16"/>
    <w:rsid w:val="007106AC"/>
    <w:rsid w:val="00712017"/>
    <w:rsid w:val="0071281B"/>
    <w:rsid w:val="00712AA4"/>
    <w:rsid w:val="0071760D"/>
    <w:rsid w:val="007208A3"/>
    <w:rsid w:val="007213CA"/>
    <w:rsid w:val="007236CC"/>
    <w:rsid w:val="00724CC6"/>
    <w:rsid w:val="00726727"/>
    <w:rsid w:val="007309E8"/>
    <w:rsid w:val="00730C75"/>
    <w:rsid w:val="0073122C"/>
    <w:rsid w:val="00731A11"/>
    <w:rsid w:val="0073495C"/>
    <w:rsid w:val="007410F9"/>
    <w:rsid w:val="00741F35"/>
    <w:rsid w:val="0074292C"/>
    <w:rsid w:val="00743139"/>
    <w:rsid w:val="00745944"/>
    <w:rsid w:val="00746371"/>
    <w:rsid w:val="0075158F"/>
    <w:rsid w:val="00752A54"/>
    <w:rsid w:val="00755695"/>
    <w:rsid w:val="007558D2"/>
    <w:rsid w:val="00756841"/>
    <w:rsid w:val="0076120F"/>
    <w:rsid w:val="00761357"/>
    <w:rsid w:val="00762E8F"/>
    <w:rsid w:val="00763B16"/>
    <w:rsid w:val="007649AB"/>
    <w:rsid w:val="007655AB"/>
    <w:rsid w:val="00766628"/>
    <w:rsid w:val="00771D0C"/>
    <w:rsid w:val="00782D17"/>
    <w:rsid w:val="007833AC"/>
    <w:rsid w:val="007833BF"/>
    <w:rsid w:val="00787DAA"/>
    <w:rsid w:val="00787EC3"/>
    <w:rsid w:val="007915FD"/>
    <w:rsid w:val="00793B98"/>
    <w:rsid w:val="007A277B"/>
    <w:rsid w:val="007A281E"/>
    <w:rsid w:val="007A30F0"/>
    <w:rsid w:val="007B049B"/>
    <w:rsid w:val="007B0A9D"/>
    <w:rsid w:val="007B0DB8"/>
    <w:rsid w:val="007B1121"/>
    <w:rsid w:val="007B268C"/>
    <w:rsid w:val="007B4C9A"/>
    <w:rsid w:val="007B527A"/>
    <w:rsid w:val="007B7171"/>
    <w:rsid w:val="007C0C0F"/>
    <w:rsid w:val="007C3DC2"/>
    <w:rsid w:val="007C3F96"/>
    <w:rsid w:val="007C6C01"/>
    <w:rsid w:val="007D140A"/>
    <w:rsid w:val="007D2584"/>
    <w:rsid w:val="007D6FF5"/>
    <w:rsid w:val="007E04E9"/>
    <w:rsid w:val="007E0776"/>
    <w:rsid w:val="007E3FCB"/>
    <w:rsid w:val="007E46FF"/>
    <w:rsid w:val="007E5497"/>
    <w:rsid w:val="007E62D6"/>
    <w:rsid w:val="007F485C"/>
    <w:rsid w:val="007F4B16"/>
    <w:rsid w:val="007F7216"/>
    <w:rsid w:val="00802F73"/>
    <w:rsid w:val="00806F5F"/>
    <w:rsid w:val="00807F94"/>
    <w:rsid w:val="008106C6"/>
    <w:rsid w:val="0081227C"/>
    <w:rsid w:val="008138FA"/>
    <w:rsid w:val="008165C2"/>
    <w:rsid w:val="00817B2A"/>
    <w:rsid w:val="00820278"/>
    <w:rsid w:val="00821986"/>
    <w:rsid w:val="0082300E"/>
    <w:rsid w:val="008255C5"/>
    <w:rsid w:val="00825B70"/>
    <w:rsid w:val="00827D20"/>
    <w:rsid w:val="008307B6"/>
    <w:rsid w:val="008342C4"/>
    <w:rsid w:val="00834F9C"/>
    <w:rsid w:val="0083509D"/>
    <w:rsid w:val="008444EF"/>
    <w:rsid w:val="00847BB4"/>
    <w:rsid w:val="0086755E"/>
    <w:rsid w:val="00867BA8"/>
    <w:rsid w:val="00867F95"/>
    <w:rsid w:val="00873819"/>
    <w:rsid w:val="00873C56"/>
    <w:rsid w:val="0087723F"/>
    <w:rsid w:val="0088209A"/>
    <w:rsid w:val="008843B6"/>
    <w:rsid w:val="00890CCA"/>
    <w:rsid w:val="00891928"/>
    <w:rsid w:val="008960F7"/>
    <w:rsid w:val="008965AC"/>
    <w:rsid w:val="008A2E21"/>
    <w:rsid w:val="008A39C3"/>
    <w:rsid w:val="008A4229"/>
    <w:rsid w:val="008A446D"/>
    <w:rsid w:val="008A59A8"/>
    <w:rsid w:val="008A5B5E"/>
    <w:rsid w:val="008A6C85"/>
    <w:rsid w:val="008A7C7D"/>
    <w:rsid w:val="008B251A"/>
    <w:rsid w:val="008B31D9"/>
    <w:rsid w:val="008B7C96"/>
    <w:rsid w:val="008C315D"/>
    <w:rsid w:val="008C3F8D"/>
    <w:rsid w:val="008C6BFF"/>
    <w:rsid w:val="008C78E1"/>
    <w:rsid w:val="008D0AC1"/>
    <w:rsid w:val="008D180B"/>
    <w:rsid w:val="008D2724"/>
    <w:rsid w:val="008D7092"/>
    <w:rsid w:val="008D7FD9"/>
    <w:rsid w:val="008E0522"/>
    <w:rsid w:val="008E0FC9"/>
    <w:rsid w:val="008E563F"/>
    <w:rsid w:val="008F0EA7"/>
    <w:rsid w:val="008F2F51"/>
    <w:rsid w:val="009005E0"/>
    <w:rsid w:val="00901A89"/>
    <w:rsid w:val="0090452E"/>
    <w:rsid w:val="00906E6A"/>
    <w:rsid w:val="00912ED1"/>
    <w:rsid w:val="00913A6C"/>
    <w:rsid w:val="00914111"/>
    <w:rsid w:val="00914CC6"/>
    <w:rsid w:val="00916FB1"/>
    <w:rsid w:val="00917939"/>
    <w:rsid w:val="00917FE8"/>
    <w:rsid w:val="00923EEF"/>
    <w:rsid w:val="009265FA"/>
    <w:rsid w:val="00933A33"/>
    <w:rsid w:val="009419F9"/>
    <w:rsid w:val="00941C3E"/>
    <w:rsid w:val="00947AE6"/>
    <w:rsid w:val="00952EFE"/>
    <w:rsid w:val="00955969"/>
    <w:rsid w:val="0095685E"/>
    <w:rsid w:val="009579E6"/>
    <w:rsid w:val="00961B09"/>
    <w:rsid w:val="009622F2"/>
    <w:rsid w:val="009637C8"/>
    <w:rsid w:val="00964849"/>
    <w:rsid w:val="009648F6"/>
    <w:rsid w:val="00965334"/>
    <w:rsid w:val="009702AD"/>
    <w:rsid w:val="0097093E"/>
    <w:rsid w:val="00971463"/>
    <w:rsid w:val="009715C6"/>
    <w:rsid w:val="009743D0"/>
    <w:rsid w:val="00974406"/>
    <w:rsid w:val="009802F3"/>
    <w:rsid w:val="009822B4"/>
    <w:rsid w:val="009864AC"/>
    <w:rsid w:val="00986AC5"/>
    <w:rsid w:val="00990018"/>
    <w:rsid w:val="009912CB"/>
    <w:rsid w:val="009969DC"/>
    <w:rsid w:val="00997A28"/>
    <w:rsid w:val="009A09AB"/>
    <w:rsid w:val="009A0A10"/>
    <w:rsid w:val="009A0DFA"/>
    <w:rsid w:val="009A395C"/>
    <w:rsid w:val="009A5559"/>
    <w:rsid w:val="009A6512"/>
    <w:rsid w:val="009A72EC"/>
    <w:rsid w:val="009B2D26"/>
    <w:rsid w:val="009B6121"/>
    <w:rsid w:val="009C23B4"/>
    <w:rsid w:val="009C368D"/>
    <w:rsid w:val="009C6E09"/>
    <w:rsid w:val="009C71FA"/>
    <w:rsid w:val="009C72E7"/>
    <w:rsid w:val="009D239E"/>
    <w:rsid w:val="009D3058"/>
    <w:rsid w:val="009E291B"/>
    <w:rsid w:val="009E3024"/>
    <w:rsid w:val="009E4BF7"/>
    <w:rsid w:val="009E4DCC"/>
    <w:rsid w:val="009E551D"/>
    <w:rsid w:val="009E67FE"/>
    <w:rsid w:val="009F026A"/>
    <w:rsid w:val="009F0ECB"/>
    <w:rsid w:val="009F1166"/>
    <w:rsid w:val="009F2C84"/>
    <w:rsid w:val="009F3A13"/>
    <w:rsid w:val="009F42B2"/>
    <w:rsid w:val="009F6750"/>
    <w:rsid w:val="009F6CBF"/>
    <w:rsid w:val="00A00E21"/>
    <w:rsid w:val="00A01A59"/>
    <w:rsid w:val="00A050DE"/>
    <w:rsid w:val="00A063E0"/>
    <w:rsid w:val="00A06A81"/>
    <w:rsid w:val="00A06E64"/>
    <w:rsid w:val="00A10C8A"/>
    <w:rsid w:val="00A1226C"/>
    <w:rsid w:val="00A122D3"/>
    <w:rsid w:val="00A14A60"/>
    <w:rsid w:val="00A160F3"/>
    <w:rsid w:val="00A17F13"/>
    <w:rsid w:val="00A20739"/>
    <w:rsid w:val="00A20920"/>
    <w:rsid w:val="00A20C42"/>
    <w:rsid w:val="00A22165"/>
    <w:rsid w:val="00A2480D"/>
    <w:rsid w:val="00A2584F"/>
    <w:rsid w:val="00A27CF0"/>
    <w:rsid w:val="00A3149A"/>
    <w:rsid w:val="00A31D52"/>
    <w:rsid w:val="00A31E91"/>
    <w:rsid w:val="00A33C78"/>
    <w:rsid w:val="00A35E55"/>
    <w:rsid w:val="00A37890"/>
    <w:rsid w:val="00A42BC7"/>
    <w:rsid w:val="00A45674"/>
    <w:rsid w:val="00A54B54"/>
    <w:rsid w:val="00A55830"/>
    <w:rsid w:val="00A565B6"/>
    <w:rsid w:val="00A576FC"/>
    <w:rsid w:val="00A61153"/>
    <w:rsid w:val="00A61D48"/>
    <w:rsid w:val="00A65AAC"/>
    <w:rsid w:val="00A71050"/>
    <w:rsid w:val="00A72CF6"/>
    <w:rsid w:val="00A759FC"/>
    <w:rsid w:val="00A8370F"/>
    <w:rsid w:val="00A84AAE"/>
    <w:rsid w:val="00A86824"/>
    <w:rsid w:val="00A90CF1"/>
    <w:rsid w:val="00A92785"/>
    <w:rsid w:val="00A93985"/>
    <w:rsid w:val="00A95D28"/>
    <w:rsid w:val="00A97E09"/>
    <w:rsid w:val="00AA27FE"/>
    <w:rsid w:val="00AA3264"/>
    <w:rsid w:val="00AA3C6D"/>
    <w:rsid w:val="00AA5FF1"/>
    <w:rsid w:val="00AA6453"/>
    <w:rsid w:val="00AA6BFB"/>
    <w:rsid w:val="00AA732D"/>
    <w:rsid w:val="00AB0ADB"/>
    <w:rsid w:val="00AB3F48"/>
    <w:rsid w:val="00AB456A"/>
    <w:rsid w:val="00AB7109"/>
    <w:rsid w:val="00AC16A5"/>
    <w:rsid w:val="00AC32B9"/>
    <w:rsid w:val="00AC4C67"/>
    <w:rsid w:val="00AC53CD"/>
    <w:rsid w:val="00AC6195"/>
    <w:rsid w:val="00AC6BAE"/>
    <w:rsid w:val="00AC743F"/>
    <w:rsid w:val="00AC7669"/>
    <w:rsid w:val="00AE1DBE"/>
    <w:rsid w:val="00AE2A3A"/>
    <w:rsid w:val="00AE2C9E"/>
    <w:rsid w:val="00AF2378"/>
    <w:rsid w:val="00AF43E0"/>
    <w:rsid w:val="00AF7B15"/>
    <w:rsid w:val="00B0178B"/>
    <w:rsid w:val="00B01B1A"/>
    <w:rsid w:val="00B10FF1"/>
    <w:rsid w:val="00B11B67"/>
    <w:rsid w:val="00B13F40"/>
    <w:rsid w:val="00B15F8B"/>
    <w:rsid w:val="00B177C3"/>
    <w:rsid w:val="00B17883"/>
    <w:rsid w:val="00B21875"/>
    <w:rsid w:val="00B26BAB"/>
    <w:rsid w:val="00B305EA"/>
    <w:rsid w:val="00B33633"/>
    <w:rsid w:val="00B336DE"/>
    <w:rsid w:val="00B33E1D"/>
    <w:rsid w:val="00B34B18"/>
    <w:rsid w:val="00B367EE"/>
    <w:rsid w:val="00B37A2C"/>
    <w:rsid w:val="00B4208A"/>
    <w:rsid w:val="00B47D83"/>
    <w:rsid w:val="00B52702"/>
    <w:rsid w:val="00B52835"/>
    <w:rsid w:val="00B52E1C"/>
    <w:rsid w:val="00B54AF5"/>
    <w:rsid w:val="00B551CE"/>
    <w:rsid w:val="00B602CA"/>
    <w:rsid w:val="00B61513"/>
    <w:rsid w:val="00B622FA"/>
    <w:rsid w:val="00B630CA"/>
    <w:rsid w:val="00B6347E"/>
    <w:rsid w:val="00B65BC5"/>
    <w:rsid w:val="00B66319"/>
    <w:rsid w:val="00B66EB6"/>
    <w:rsid w:val="00B72CD3"/>
    <w:rsid w:val="00B72FFF"/>
    <w:rsid w:val="00B7463D"/>
    <w:rsid w:val="00B765B7"/>
    <w:rsid w:val="00B77F7A"/>
    <w:rsid w:val="00B800F7"/>
    <w:rsid w:val="00B8733A"/>
    <w:rsid w:val="00B87CF4"/>
    <w:rsid w:val="00B900A2"/>
    <w:rsid w:val="00B93206"/>
    <w:rsid w:val="00B93437"/>
    <w:rsid w:val="00B95940"/>
    <w:rsid w:val="00B96FF1"/>
    <w:rsid w:val="00B97060"/>
    <w:rsid w:val="00B9755A"/>
    <w:rsid w:val="00B97680"/>
    <w:rsid w:val="00BA200C"/>
    <w:rsid w:val="00BA69C6"/>
    <w:rsid w:val="00BB4029"/>
    <w:rsid w:val="00BB4C30"/>
    <w:rsid w:val="00BB53EA"/>
    <w:rsid w:val="00BB5BC7"/>
    <w:rsid w:val="00BC01B0"/>
    <w:rsid w:val="00BC1BFA"/>
    <w:rsid w:val="00BC3D36"/>
    <w:rsid w:val="00BC7A3E"/>
    <w:rsid w:val="00BD06E4"/>
    <w:rsid w:val="00BD60ED"/>
    <w:rsid w:val="00BD6CEC"/>
    <w:rsid w:val="00BD7F72"/>
    <w:rsid w:val="00BE13E1"/>
    <w:rsid w:val="00BE1769"/>
    <w:rsid w:val="00BE5AC3"/>
    <w:rsid w:val="00BF0084"/>
    <w:rsid w:val="00BF4CE8"/>
    <w:rsid w:val="00BF7577"/>
    <w:rsid w:val="00BF7E8D"/>
    <w:rsid w:val="00C00600"/>
    <w:rsid w:val="00C02218"/>
    <w:rsid w:val="00C02552"/>
    <w:rsid w:val="00C02B73"/>
    <w:rsid w:val="00C04C47"/>
    <w:rsid w:val="00C04FB3"/>
    <w:rsid w:val="00C055BD"/>
    <w:rsid w:val="00C06BB3"/>
    <w:rsid w:val="00C20404"/>
    <w:rsid w:val="00C22B83"/>
    <w:rsid w:val="00C2651C"/>
    <w:rsid w:val="00C31E58"/>
    <w:rsid w:val="00C330EB"/>
    <w:rsid w:val="00C33ABD"/>
    <w:rsid w:val="00C3464F"/>
    <w:rsid w:val="00C35B0F"/>
    <w:rsid w:val="00C35F97"/>
    <w:rsid w:val="00C36B83"/>
    <w:rsid w:val="00C41061"/>
    <w:rsid w:val="00C501C0"/>
    <w:rsid w:val="00C51094"/>
    <w:rsid w:val="00C515CA"/>
    <w:rsid w:val="00C51992"/>
    <w:rsid w:val="00C54756"/>
    <w:rsid w:val="00C60D6E"/>
    <w:rsid w:val="00C6229E"/>
    <w:rsid w:val="00C62C0B"/>
    <w:rsid w:val="00C648CD"/>
    <w:rsid w:val="00C70F89"/>
    <w:rsid w:val="00C71993"/>
    <w:rsid w:val="00C73E69"/>
    <w:rsid w:val="00C754BE"/>
    <w:rsid w:val="00C76B1C"/>
    <w:rsid w:val="00C77AC7"/>
    <w:rsid w:val="00C80D96"/>
    <w:rsid w:val="00C860C8"/>
    <w:rsid w:val="00C90917"/>
    <w:rsid w:val="00C919A5"/>
    <w:rsid w:val="00C93C99"/>
    <w:rsid w:val="00C96FD8"/>
    <w:rsid w:val="00CA2366"/>
    <w:rsid w:val="00CA263E"/>
    <w:rsid w:val="00CA39AD"/>
    <w:rsid w:val="00CA3D18"/>
    <w:rsid w:val="00CB01D1"/>
    <w:rsid w:val="00CB30FF"/>
    <w:rsid w:val="00CB5C2D"/>
    <w:rsid w:val="00CB6357"/>
    <w:rsid w:val="00CC11DE"/>
    <w:rsid w:val="00CC1B26"/>
    <w:rsid w:val="00CC269B"/>
    <w:rsid w:val="00CD064A"/>
    <w:rsid w:val="00CD266F"/>
    <w:rsid w:val="00CD4297"/>
    <w:rsid w:val="00CE2D31"/>
    <w:rsid w:val="00CE482A"/>
    <w:rsid w:val="00CE7ED0"/>
    <w:rsid w:val="00CF1337"/>
    <w:rsid w:val="00CF17CB"/>
    <w:rsid w:val="00CF1DA6"/>
    <w:rsid w:val="00CF222F"/>
    <w:rsid w:val="00D04370"/>
    <w:rsid w:val="00D051AC"/>
    <w:rsid w:val="00D05682"/>
    <w:rsid w:val="00D07CFD"/>
    <w:rsid w:val="00D13A78"/>
    <w:rsid w:val="00D1593E"/>
    <w:rsid w:val="00D2052E"/>
    <w:rsid w:val="00D2219F"/>
    <w:rsid w:val="00D232AB"/>
    <w:rsid w:val="00D253A7"/>
    <w:rsid w:val="00D268C2"/>
    <w:rsid w:val="00D27841"/>
    <w:rsid w:val="00D3034E"/>
    <w:rsid w:val="00D31B14"/>
    <w:rsid w:val="00D34D69"/>
    <w:rsid w:val="00D35971"/>
    <w:rsid w:val="00D36D65"/>
    <w:rsid w:val="00D3705C"/>
    <w:rsid w:val="00D40316"/>
    <w:rsid w:val="00D423A2"/>
    <w:rsid w:val="00D42B83"/>
    <w:rsid w:val="00D45DA8"/>
    <w:rsid w:val="00D46A30"/>
    <w:rsid w:val="00D471C5"/>
    <w:rsid w:val="00D50CE5"/>
    <w:rsid w:val="00D520D8"/>
    <w:rsid w:val="00D544C4"/>
    <w:rsid w:val="00D55BAB"/>
    <w:rsid w:val="00D55D1D"/>
    <w:rsid w:val="00D63645"/>
    <w:rsid w:val="00D63AC2"/>
    <w:rsid w:val="00D66AAF"/>
    <w:rsid w:val="00D67345"/>
    <w:rsid w:val="00D7383B"/>
    <w:rsid w:val="00D75427"/>
    <w:rsid w:val="00D76D51"/>
    <w:rsid w:val="00D77742"/>
    <w:rsid w:val="00D77AA1"/>
    <w:rsid w:val="00D77F9F"/>
    <w:rsid w:val="00D9096B"/>
    <w:rsid w:val="00DA0074"/>
    <w:rsid w:val="00DA09DC"/>
    <w:rsid w:val="00DA131F"/>
    <w:rsid w:val="00DA1D5A"/>
    <w:rsid w:val="00DA231B"/>
    <w:rsid w:val="00DA2B62"/>
    <w:rsid w:val="00DA40D6"/>
    <w:rsid w:val="00DB1D88"/>
    <w:rsid w:val="00DB62FA"/>
    <w:rsid w:val="00DB6D06"/>
    <w:rsid w:val="00DC39FC"/>
    <w:rsid w:val="00DC523B"/>
    <w:rsid w:val="00DC72C6"/>
    <w:rsid w:val="00DD1B19"/>
    <w:rsid w:val="00DD37BB"/>
    <w:rsid w:val="00DD39EC"/>
    <w:rsid w:val="00DD40BD"/>
    <w:rsid w:val="00DE1268"/>
    <w:rsid w:val="00DE2F2B"/>
    <w:rsid w:val="00DE4027"/>
    <w:rsid w:val="00DE4BAD"/>
    <w:rsid w:val="00DF3203"/>
    <w:rsid w:val="00DF434A"/>
    <w:rsid w:val="00DF5254"/>
    <w:rsid w:val="00DF653C"/>
    <w:rsid w:val="00DF69CD"/>
    <w:rsid w:val="00DF7E23"/>
    <w:rsid w:val="00E02832"/>
    <w:rsid w:val="00E02DA0"/>
    <w:rsid w:val="00E031A4"/>
    <w:rsid w:val="00E04BA6"/>
    <w:rsid w:val="00E108E9"/>
    <w:rsid w:val="00E10F85"/>
    <w:rsid w:val="00E11045"/>
    <w:rsid w:val="00E11B2A"/>
    <w:rsid w:val="00E16408"/>
    <w:rsid w:val="00E20894"/>
    <w:rsid w:val="00E23E59"/>
    <w:rsid w:val="00E245AB"/>
    <w:rsid w:val="00E26FB4"/>
    <w:rsid w:val="00E2764C"/>
    <w:rsid w:val="00E27F2E"/>
    <w:rsid w:val="00E32F01"/>
    <w:rsid w:val="00E36426"/>
    <w:rsid w:val="00E409D0"/>
    <w:rsid w:val="00E40F35"/>
    <w:rsid w:val="00E41077"/>
    <w:rsid w:val="00E41ADD"/>
    <w:rsid w:val="00E50AFE"/>
    <w:rsid w:val="00E5171C"/>
    <w:rsid w:val="00E5194D"/>
    <w:rsid w:val="00E520C1"/>
    <w:rsid w:val="00E52F02"/>
    <w:rsid w:val="00E5469F"/>
    <w:rsid w:val="00E60B92"/>
    <w:rsid w:val="00E66020"/>
    <w:rsid w:val="00E7586C"/>
    <w:rsid w:val="00E75C92"/>
    <w:rsid w:val="00E771DC"/>
    <w:rsid w:val="00E8019E"/>
    <w:rsid w:val="00E86A32"/>
    <w:rsid w:val="00E86D1C"/>
    <w:rsid w:val="00E8772A"/>
    <w:rsid w:val="00E90F6B"/>
    <w:rsid w:val="00E92083"/>
    <w:rsid w:val="00E92C27"/>
    <w:rsid w:val="00E95A1B"/>
    <w:rsid w:val="00E96089"/>
    <w:rsid w:val="00E966B1"/>
    <w:rsid w:val="00E97991"/>
    <w:rsid w:val="00EA0087"/>
    <w:rsid w:val="00EA0E3D"/>
    <w:rsid w:val="00EA14AA"/>
    <w:rsid w:val="00EA456C"/>
    <w:rsid w:val="00EA534F"/>
    <w:rsid w:val="00EA6AE1"/>
    <w:rsid w:val="00EB0F36"/>
    <w:rsid w:val="00EB18F4"/>
    <w:rsid w:val="00EB4F2C"/>
    <w:rsid w:val="00EC38A7"/>
    <w:rsid w:val="00EC3BA0"/>
    <w:rsid w:val="00EC55A9"/>
    <w:rsid w:val="00ED0F1D"/>
    <w:rsid w:val="00ED5382"/>
    <w:rsid w:val="00ED7384"/>
    <w:rsid w:val="00EE1AA8"/>
    <w:rsid w:val="00EE466C"/>
    <w:rsid w:val="00EE5591"/>
    <w:rsid w:val="00EE5A78"/>
    <w:rsid w:val="00EE7FC7"/>
    <w:rsid w:val="00EF03B1"/>
    <w:rsid w:val="00EF261D"/>
    <w:rsid w:val="00EF5ED0"/>
    <w:rsid w:val="00EF65C4"/>
    <w:rsid w:val="00EF6811"/>
    <w:rsid w:val="00F05337"/>
    <w:rsid w:val="00F1555A"/>
    <w:rsid w:val="00F25FC1"/>
    <w:rsid w:val="00F31EDC"/>
    <w:rsid w:val="00F3298D"/>
    <w:rsid w:val="00F36F1D"/>
    <w:rsid w:val="00F379A9"/>
    <w:rsid w:val="00F401BC"/>
    <w:rsid w:val="00F41A8C"/>
    <w:rsid w:val="00F4550A"/>
    <w:rsid w:val="00F462B3"/>
    <w:rsid w:val="00F47012"/>
    <w:rsid w:val="00F51D13"/>
    <w:rsid w:val="00F524E3"/>
    <w:rsid w:val="00F52F4E"/>
    <w:rsid w:val="00F55D00"/>
    <w:rsid w:val="00F5664F"/>
    <w:rsid w:val="00F61E10"/>
    <w:rsid w:val="00F621CD"/>
    <w:rsid w:val="00F628BB"/>
    <w:rsid w:val="00F666C4"/>
    <w:rsid w:val="00F76AFC"/>
    <w:rsid w:val="00F77A25"/>
    <w:rsid w:val="00F84995"/>
    <w:rsid w:val="00F923E5"/>
    <w:rsid w:val="00F924C6"/>
    <w:rsid w:val="00F945D2"/>
    <w:rsid w:val="00F97442"/>
    <w:rsid w:val="00FA2937"/>
    <w:rsid w:val="00FA47C0"/>
    <w:rsid w:val="00FB01E9"/>
    <w:rsid w:val="00FB0E5E"/>
    <w:rsid w:val="00FB2940"/>
    <w:rsid w:val="00FB3033"/>
    <w:rsid w:val="00FB3F2B"/>
    <w:rsid w:val="00FB5DD1"/>
    <w:rsid w:val="00FC16E7"/>
    <w:rsid w:val="00FC2B5D"/>
    <w:rsid w:val="00FC34C1"/>
    <w:rsid w:val="00FC3BD8"/>
    <w:rsid w:val="00FC4A2E"/>
    <w:rsid w:val="00FC6B1E"/>
    <w:rsid w:val="00FD0C62"/>
    <w:rsid w:val="00FD7ED5"/>
    <w:rsid w:val="00FE140C"/>
    <w:rsid w:val="00FE3F6B"/>
    <w:rsid w:val="00FE4633"/>
    <w:rsid w:val="00FE67E5"/>
    <w:rsid w:val="00FF06D4"/>
    <w:rsid w:val="00FF125E"/>
    <w:rsid w:val="00FF1449"/>
    <w:rsid w:val="00FF169D"/>
    <w:rsid w:val="00FF4667"/>
    <w:rsid w:val="00FF5790"/>
    <w:rsid w:val="00FF7040"/>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C3A3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C3A39"/>
    <w:rPr>
      <w:rFonts w:ascii="Geomanist Light" w:hAnsi="Geomanist Light"/>
      <w:lang w:val="es-ES"/>
    </w:rPr>
  </w:style>
  <w:style w:type="character" w:customStyle="1" w:styleId="s15">
    <w:name w:val="s15"/>
    <w:basedOn w:val="Fuentedeprrafopredeter"/>
    <w:rsid w:val="001C3A39"/>
  </w:style>
  <w:style w:type="character" w:customStyle="1" w:styleId="apple-converted-space">
    <w:name w:val="apple-converted-space"/>
    <w:basedOn w:val="Fuentedeprrafopredeter"/>
    <w:rsid w:val="001C3A39"/>
  </w:style>
  <w:style w:type="paragraph" w:customStyle="1" w:styleId="s16">
    <w:name w:val="s16"/>
    <w:basedOn w:val="Normal"/>
    <w:rsid w:val="001C3A39"/>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s17">
    <w:name w:val="s17"/>
    <w:basedOn w:val="Normal"/>
    <w:rsid w:val="001C3A39"/>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s18">
    <w:name w:val="s18"/>
    <w:basedOn w:val="Fuentedeprrafopredeter"/>
    <w:rsid w:val="001C3A39"/>
  </w:style>
  <w:style w:type="paragraph" w:styleId="Textoindependiente">
    <w:name w:val="Body Text"/>
    <w:basedOn w:val="Normal"/>
    <w:link w:val="TextoindependienteCar"/>
    <w:uiPriority w:val="1"/>
    <w:qFormat/>
    <w:rsid w:val="001C3A39"/>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1C3A39"/>
    <w:rPr>
      <w:rFonts w:ascii="Verdana" w:eastAsia="Verdana" w:hAnsi="Verdana" w:cs="Verdana"/>
      <w:lang w:val="es-ES"/>
    </w:rPr>
  </w:style>
  <w:style w:type="paragraph" w:styleId="Subttulo">
    <w:name w:val="Subtitle"/>
    <w:basedOn w:val="Normal"/>
    <w:next w:val="Normal"/>
    <w:link w:val="SubttuloCar"/>
    <w:uiPriority w:val="11"/>
    <w:qFormat/>
    <w:rsid w:val="0028021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8021C"/>
    <w:rPr>
      <w:rFonts w:eastAsiaTheme="majorEastAsia" w:cstheme="majorBidi"/>
      <w:color w:val="595959" w:themeColor="text1" w:themeTint="A6"/>
      <w:spacing w:val="15"/>
      <w:sz w:val="28"/>
      <w:szCs w:val="28"/>
    </w:rPr>
  </w:style>
  <w:style w:type="character" w:styleId="nfasis">
    <w:name w:val="Emphasis"/>
    <w:basedOn w:val="Fuentedeprrafopredeter"/>
    <w:uiPriority w:val="20"/>
    <w:qFormat/>
    <w:rsid w:val="009622F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6938126">
      <w:bodyDiv w:val="1"/>
      <w:marLeft w:val="0"/>
      <w:marRight w:val="0"/>
      <w:marTop w:val="0"/>
      <w:marBottom w:val="0"/>
      <w:divBdr>
        <w:top w:val="none" w:sz="0" w:space="0" w:color="auto"/>
        <w:left w:val="none" w:sz="0" w:space="0" w:color="auto"/>
        <w:bottom w:val="none" w:sz="0" w:space="0" w:color="auto"/>
        <w:right w:val="none" w:sz="0" w:space="0" w:color="auto"/>
      </w:divBdr>
    </w:div>
    <w:div w:id="353578686">
      <w:bodyDiv w:val="1"/>
      <w:marLeft w:val="0"/>
      <w:marRight w:val="0"/>
      <w:marTop w:val="0"/>
      <w:marBottom w:val="0"/>
      <w:divBdr>
        <w:top w:val="none" w:sz="0" w:space="0" w:color="auto"/>
        <w:left w:val="none" w:sz="0" w:space="0" w:color="auto"/>
        <w:bottom w:val="none" w:sz="0" w:space="0" w:color="auto"/>
        <w:right w:val="none" w:sz="0" w:space="0" w:color="auto"/>
      </w:divBdr>
    </w:div>
    <w:div w:id="356853343">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68556765">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82849329">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294336393">
      <w:bodyDiv w:val="1"/>
      <w:marLeft w:val="0"/>
      <w:marRight w:val="0"/>
      <w:marTop w:val="0"/>
      <w:marBottom w:val="0"/>
      <w:divBdr>
        <w:top w:val="none" w:sz="0" w:space="0" w:color="auto"/>
        <w:left w:val="none" w:sz="0" w:space="0" w:color="auto"/>
        <w:bottom w:val="none" w:sz="0" w:space="0" w:color="auto"/>
        <w:right w:val="none" w:sz="0" w:space="0" w:color="auto"/>
      </w:divBdr>
    </w:div>
    <w:div w:id="1457021816">
      <w:bodyDiv w:val="1"/>
      <w:marLeft w:val="0"/>
      <w:marRight w:val="0"/>
      <w:marTop w:val="0"/>
      <w:marBottom w:val="0"/>
      <w:divBdr>
        <w:top w:val="none" w:sz="0" w:space="0" w:color="auto"/>
        <w:left w:val="none" w:sz="0" w:space="0" w:color="auto"/>
        <w:bottom w:val="none" w:sz="0" w:space="0" w:color="auto"/>
        <w:right w:val="none" w:sz="0" w:space="0" w:color="auto"/>
      </w:divBdr>
    </w:div>
    <w:div w:id="1538859171">
      <w:bodyDiv w:val="1"/>
      <w:marLeft w:val="0"/>
      <w:marRight w:val="0"/>
      <w:marTop w:val="0"/>
      <w:marBottom w:val="0"/>
      <w:divBdr>
        <w:top w:val="none" w:sz="0" w:space="0" w:color="auto"/>
        <w:left w:val="none" w:sz="0" w:space="0" w:color="auto"/>
        <w:bottom w:val="none" w:sz="0" w:space="0" w:color="auto"/>
        <w:right w:val="none" w:sz="0" w:space="0" w:color="auto"/>
      </w:divBdr>
    </w:div>
    <w:div w:id="1719276472">
      <w:bodyDiv w:val="1"/>
      <w:marLeft w:val="0"/>
      <w:marRight w:val="0"/>
      <w:marTop w:val="0"/>
      <w:marBottom w:val="0"/>
      <w:divBdr>
        <w:top w:val="none" w:sz="0" w:space="0" w:color="auto"/>
        <w:left w:val="none" w:sz="0" w:space="0" w:color="auto"/>
        <w:bottom w:val="none" w:sz="0" w:space="0" w:color="auto"/>
        <w:right w:val="none" w:sz="0" w:space="0" w:color="auto"/>
      </w:divBdr>
    </w:div>
    <w:div w:id="1783259049">
      <w:bodyDiv w:val="1"/>
      <w:marLeft w:val="0"/>
      <w:marRight w:val="0"/>
      <w:marTop w:val="0"/>
      <w:marBottom w:val="0"/>
      <w:divBdr>
        <w:top w:val="none" w:sz="0" w:space="0" w:color="auto"/>
        <w:left w:val="none" w:sz="0" w:space="0" w:color="auto"/>
        <w:bottom w:val="none" w:sz="0" w:space="0" w:color="auto"/>
        <w:right w:val="none" w:sz="0" w:space="0" w:color="auto"/>
      </w:divBdr>
    </w:div>
    <w:div w:id="1839729930">
      <w:bodyDiv w:val="1"/>
      <w:marLeft w:val="0"/>
      <w:marRight w:val="0"/>
      <w:marTop w:val="0"/>
      <w:marBottom w:val="0"/>
      <w:divBdr>
        <w:top w:val="none" w:sz="0" w:space="0" w:color="auto"/>
        <w:left w:val="none" w:sz="0" w:space="0" w:color="auto"/>
        <w:bottom w:val="none" w:sz="0" w:space="0" w:color="auto"/>
        <w:right w:val="none" w:sz="0" w:space="0" w:color="auto"/>
      </w:divBdr>
    </w:div>
    <w:div w:id="1959411374">
      <w:bodyDiv w:val="1"/>
      <w:marLeft w:val="0"/>
      <w:marRight w:val="0"/>
      <w:marTop w:val="0"/>
      <w:marBottom w:val="0"/>
      <w:divBdr>
        <w:top w:val="none" w:sz="0" w:space="0" w:color="auto"/>
        <w:left w:val="none" w:sz="0" w:space="0" w:color="auto"/>
        <w:bottom w:val="none" w:sz="0" w:space="0" w:color="auto"/>
        <w:right w:val="none" w:sz="0" w:space="0" w:color="auto"/>
      </w:divBdr>
    </w:div>
    <w:div w:id="2039116365">
      <w:bodyDiv w:val="1"/>
      <w:marLeft w:val="0"/>
      <w:marRight w:val="0"/>
      <w:marTop w:val="0"/>
      <w:marBottom w:val="0"/>
      <w:divBdr>
        <w:top w:val="none" w:sz="0" w:space="0" w:color="auto"/>
        <w:left w:val="none" w:sz="0" w:space="0" w:color="auto"/>
        <w:bottom w:val="none" w:sz="0" w:space="0" w:color="auto"/>
        <w:right w:val="none" w:sz="0" w:space="0" w:color="auto"/>
      </w:divBdr>
      <w:divsChild>
        <w:div w:id="1457604271">
          <w:marLeft w:val="0"/>
          <w:marRight w:val="0"/>
          <w:marTop w:val="0"/>
          <w:marBottom w:val="0"/>
          <w:divBdr>
            <w:top w:val="none" w:sz="0" w:space="0" w:color="auto"/>
            <w:left w:val="none" w:sz="0" w:space="0" w:color="auto"/>
            <w:bottom w:val="none" w:sz="0" w:space="0" w:color="auto"/>
            <w:right w:val="none" w:sz="0" w:space="0" w:color="auto"/>
          </w:divBdr>
          <w:divsChild>
            <w:div w:id="2145079554">
              <w:marLeft w:val="0"/>
              <w:marRight w:val="0"/>
              <w:marTop w:val="0"/>
              <w:marBottom w:val="0"/>
              <w:divBdr>
                <w:top w:val="none" w:sz="0" w:space="0" w:color="auto"/>
                <w:left w:val="none" w:sz="0" w:space="0" w:color="auto"/>
                <w:bottom w:val="none" w:sz="0" w:space="0" w:color="auto"/>
                <w:right w:val="none" w:sz="0" w:space="0" w:color="auto"/>
              </w:divBdr>
              <w:divsChild>
                <w:div w:id="833954738">
                  <w:marLeft w:val="0"/>
                  <w:marRight w:val="0"/>
                  <w:marTop w:val="0"/>
                  <w:marBottom w:val="0"/>
                  <w:divBdr>
                    <w:top w:val="none" w:sz="0" w:space="0" w:color="auto"/>
                    <w:left w:val="none" w:sz="0" w:space="0" w:color="auto"/>
                    <w:bottom w:val="none" w:sz="0" w:space="0" w:color="auto"/>
                    <w:right w:val="none" w:sz="0" w:space="0" w:color="auto"/>
                  </w:divBdr>
                  <w:divsChild>
                    <w:div w:id="1473256124">
                      <w:marLeft w:val="0"/>
                      <w:marRight w:val="0"/>
                      <w:marTop w:val="0"/>
                      <w:marBottom w:val="0"/>
                      <w:divBdr>
                        <w:top w:val="none" w:sz="0" w:space="0" w:color="auto"/>
                        <w:left w:val="none" w:sz="0" w:space="0" w:color="auto"/>
                        <w:bottom w:val="none" w:sz="0" w:space="0" w:color="auto"/>
                        <w:right w:val="none" w:sz="0" w:space="0" w:color="auto"/>
                      </w:divBdr>
                      <w:divsChild>
                        <w:div w:id="633172552">
                          <w:marLeft w:val="0"/>
                          <w:marRight w:val="0"/>
                          <w:marTop w:val="0"/>
                          <w:marBottom w:val="0"/>
                          <w:divBdr>
                            <w:top w:val="none" w:sz="0" w:space="0" w:color="auto"/>
                            <w:left w:val="none" w:sz="0" w:space="0" w:color="auto"/>
                            <w:bottom w:val="none" w:sz="0" w:space="0" w:color="auto"/>
                            <w:right w:val="none" w:sz="0" w:space="0" w:color="auto"/>
                          </w:divBdr>
                          <w:divsChild>
                            <w:div w:id="1385442475">
                              <w:marLeft w:val="0"/>
                              <w:marRight w:val="0"/>
                              <w:marTop w:val="0"/>
                              <w:marBottom w:val="0"/>
                              <w:divBdr>
                                <w:top w:val="none" w:sz="0" w:space="0" w:color="auto"/>
                                <w:left w:val="none" w:sz="0" w:space="0" w:color="auto"/>
                                <w:bottom w:val="none" w:sz="0" w:space="0" w:color="auto"/>
                                <w:right w:val="none" w:sz="0" w:space="0" w:color="auto"/>
                              </w:divBdr>
                              <w:divsChild>
                                <w:div w:id="1150830155">
                                  <w:marLeft w:val="0"/>
                                  <w:marRight w:val="0"/>
                                  <w:marTop w:val="0"/>
                                  <w:marBottom w:val="0"/>
                                  <w:divBdr>
                                    <w:top w:val="none" w:sz="0" w:space="0" w:color="auto"/>
                                    <w:left w:val="none" w:sz="0" w:space="0" w:color="auto"/>
                                    <w:bottom w:val="none" w:sz="0" w:space="0" w:color="auto"/>
                                    <w:right w:val="none" w:sz="0" w:space="0" w:color="auto"/>
                                  </w:divBdr>
                                  <w:divsChild>
                                    <w:div w:id="660082529">
                                      <w:marLeft w:val="0"/>
                                      <w:marRight w:val="0"/>
                                      <w:marTop w:val="0"/>
                                      <w:marBottom w:val="0"/>
                                      <w:divBdr>
                                        <w:top w:val="none" w:sz="0" w:space="0" w:color="auto"/>
                                        <w:left w:val="none" w:sz="0" w:space="0" w:color="auto"/>
                                        <w:bottom w:val="none" w:sz="0" w:space="0" w:color="auto"/>
                                        <w:right w:val="none" w:sz="0" w:space="0" w:color="auto"/>
                                      </w:divBdr>
                                      <w:divsChild>
                                        <w:div w:id="14310894">
                                          <w:marLeft w:val="0"/>
                                          <w:marRight w:val="0"/>
                                          <w:marTop w:val="0"/>
                                          <w:marBottom w:val="0"/>
                                          <w:divBdr>
                                            <w:top w:val="none" w:sz="0" w:space="0" w:color="auto"/>
                                            <w:left w:val="none" w:sz="0" w:space="0" w:color="auto"/>
                                            <w:bottom w:val="none" w:sz="0" w:space="0" w:color="auto"/>
                                            <w:right w:val="none" w:sz="0" w:space="0" w:color="auto"/>
                                          </w:divBdr>
                                          <w:divsChild>
                                            <w:div w:id="1497308529">
                                              <w:marLeft w:val="0"/>
                                              <w:marRight w:val="0"/>
                                              <w:marTop w:val="0"/>
                                              <w:marBottom w:val="0"/>
                                              <w:divBdr>
                                                <w:top w:val="none" w:sz="0" w:space="0" w:color="auto"/>
                                                <w:left w:val="none" w:sz="0" w:space="0" w:color="auto"/>
                                                <w:bottom w:val="none" w:sz="0" w:space="0" w:color="auto"/>
                                                <w:right w:val="none" w:sz="0" w:space="0" w:color="auto"/>
                                              </w:divBdr>
                                              <w:divsChild>
                                                <w:div w:id="1981500670">
                                                  <w:marLeft w:val="0"/>
                                                  <w:marRight w:val="0"/>
                                                  <w:marTop w:val="0"/>
                                                  <w:marBottom w:val="0"/>
                                                  <w:divBdr>
                                                    <w:top w:val="none" w:sz="0" w:space="0" w:color="auto"/>
                                                    <w:left w:val="none" w:sz="0" w:space="0" w:color="auto"/>
                                                    <w:bottom w:val="none" w:sz="0" w:space="0" w:color="auto"/>
                                                    <w:right w:val="none" w:sz="0" w:space="0" w:color="auto"/>
                                                  </w:divBdr>
                                                  <w:divsChild>
                                                    <w:div w:id="1715735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6975284">
                                      <w:marLeft w:val="0"/>
                                      <w:marRight w:val="0"/>
                                      <w:marTop w:val="0"/>
                                      <w:marBottom w:val="0"/>
                                      <w:divBdr>
                                        <w:top w:val="none" w:sz="0" w:space="0" w:color="auto"/>
                                        <w:left w:val="none" w:sz="0" w:space="0" w:color="auto"/>
                                        <w:bottom w:val="none" w:sz="0" w:space="0" w:color="auto"/>
                                        <w:right w:val="none" w:sz="0" w:space="0" w:color="auto"/>
                                      </w:divBdr>
                                      <w:divsChild>
                                        <w:div w:id="212922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6534112">
          <w:marLeft w:val="0"/>
          <w:marRight w:val="0"/>
          <w:marTop w:val="0"/>
          <w:marBottom w:val="0"/>
          <w:divBdr>
            <w:top w:val="none" w:sz="0" w:space="0" w:color="auto"/>
            <w:left w:val="none" w:sz="0" w:space="0" w:color="auto"/>
            <w:bottom w:val="none" w:sz="0" w:space="0" w:color="auto"/>
            <w:right w:val="none" w:sz="0" w:space="0" w:color="auto"/>
          </w:divBdr>
          <w:divsChild>
            <w:div w:id="151262671">
              <w:marLeft w:val="0"/>
              <w:marRight w:val="0"/>
              <w:marTop w:val="0"/>
              <w:marBottom w:val="0"/>
              <w:divBdr>
                <w:top w:val="none" w:sz="0" w:space="0" w:color="auto"/>
                <w:left w:val="none" w:sz="0" w:space="0" w:color="auto"/>
                <w:bottom w:val="none" w:sz="0" w:space="0" w:color="auto"/>
                <w:right w:val="none" w:sz="0" w:space="0" w:color="auto"/>
              </w:divBdr>
              <w:divsChild>
                <w:div w:id="213008102">
                  <w:marLeft w:val="0"/>
                  <w:marRight w:val="0"/>
                  <w:marTop w:val="0"/>
                  <w:marBottom w:val="0"/>
                  <w:divBdr>
                    <w:top w:val="none" w:sz="0" w:space="0" w:color="auto"/>
                    <w:left w:val="none" w:sz="0" w:space="0" w:color="auto"/>
                    <w:bottom w:val="none" w:sz="0" w:space="0" w:color="auto"/>
                    <w:right w:val="none" w:sz="0" w:space="0" w:color="auto"/>
                  </w:divBdr>
                  <w:divsChild>
                    <w:div w:id="453254106">
                      <w:marLeft w:val="0"/>
                      <w:marRight w:val="0"/>
                      <w:marTop w:val="0"/>
                      <w:marBottom w:val="0"/>
                      <w:divBdr>
                        <w:top w:val="none" w:sz="0" w:space="0" w:color="auto"/>
                        <w:left w:val="none" w:sz="0" w:space="0" w:color="auto"/>
                        <w:bottom w:val="none" w:sz="0" w:space="0" w:color="auto"/>
                        <w:right w:val="none" w:sz="0" w:space="0" w:color="auto"/>
                      </w:divBdr>
                      <w:divsChild>
                        <w:div w:id="259261221">
                          <w:marLeft w:val="0"/>
                          <w:marRight w:val="0"/>
                          <w:marTop w:val="0"/>
                          <w:marBottom w:val="0"/>
                          <w:divBdr>
                            <w:top w:val="none" w:sz="0" w:space="0" w:color="auto"/>
                            <w:left w:val="none" w:sz="0" w:space="0" w:color="auto"/>
                            <w:bottom w:val="none" w:sz="0" w:space="0" w:color="auto"/>
                            <w:right w:val="none" w:sz="0" w:space="0" w:color="auto"/>
                          </w:divBdr>
                          <w:divsChild>
                            <w:div w:id="84763282">
                              <w:marLeft w:val="0"/>
                              <w:marRight w:val="0"/>
                              <w:marTop w:val="0"/>
                              <w:marBottom w:val="0"/>
                              <w:divBdr>
                                <w:top w:val="none" w:sz="0" w:space="0" w:color="auto"/>
                                <w:left w:val="none" w:sz="0" w:space="0" w:color="auto"/>
                                <w:bottom w:val="none" w:sz="0" w:space="0" w:color="auto"/>
                                <w:right w:val="none" w:sz="0" w:space="0" w:color="auto"/>
                              </w:divBdr>
                              <w:divsChild>
                                <w:div w:id="899973112">
                                  <w:marLeft w:val="0"/>
                                  <w:marRight w:val="0"/>
                                  <w:marTop w:val="0"/>
                                  <w:marBottom w:val="0"/>
                                  <w:divBdr>
                                    <w:top w:val="none" w:sz="0" w:space="0" w:color="auto"/>
                                    <w:left w:val="none" w:sz="0" w:space="0" w:color="auto"/>
                                    <w:bottom w:val="none" w:sz="0" w:space="0" w:color="auto"/>
                                    <w:right w:val="none" w:sz="0" w:space="0" w:color="auto"/>
                                  </w:divBdr>
                                  <w:divsChild>
                                    <w:div w:id="1856117550">
                                      <w:marLeft w:val="0"/>
                                      <w:marRight w:val="0"/>
                                      <w:marTop w:val="0"/>
                                      <w:marBottom w:val="0"/>
                                      <w:divBdr>
                                        <w:top w:val="none" w:sz="0" w:space="0" w:color="auto"/>
                                        <w:left w:val="none" w:sz="0" w:space="0" w:color="auto"/>
                                        <w:bottom w:val="none" w:sz="0" w:space="0" w:color="auto"/>
                                        <w:right w:val="none" w:sz="0" w:space="0" w:color="auto"/>
                                      </w:divBdr>
                                      <w:divsChild>
                                        <w:div w:id="2051570362">
                                          <w:marLeft w:val="0"/>
                                          <w:marRight w:val="0"/>
                                          <w:marTop w:val="0"/>
                                          <w:marBottom w:val="0"/>
                                          <w:divBdr>
                                            <w:top w:val="none" w:sz="0" w:space="0" w:color="auto"/>
                                            <w:left w:val="none" w:sz="0" w:space="0" w:color="auto"/>
                                            <w:bottom w:val="none" w:sz="0" w:space="0" w:color="auto"/>
                                            <w:right w:val="none" w:sz="0" w:space="0" w:color="auto"/>
                                          </w:divBdr>
                                          <w:divsChild>
                                            <w:div w:id="1191188778">
                                              <w:marLeft w:val="0"/>
                                              <w:marRight w:val="0"/>
                                              <w:marTop w:val="0"/>
                                              <w:marBottom w:val="0"/>
                                              <w:divBdr>
                                                <w:top w:val="none" w:sz="0" w:space="0" w:color="auto"/>
                                                <w:left w:val="none" w:sz="0" w:space="0" w:color="auto"/>
                                                <w:bottom w:val="none" w:sz="0" w:space="0" w:color="auto"/>
                                                <w:right w:val="none" w:sz="0" w:space="0" w:color="auto"/>
                                              </w:divBdr>
                                              <w:divsChild>
                                                <w:div w:id="62412744">
                                                  <w:marLeft w:val="0"/>
                                                  <w:marRight w:val="0"/>
                                                  <w:marTop w:val="0"/>
                                                  <w:marBottom w:val="0"/>
                                                  <w:divBdr>
                                                    <w:top w:val="none" w:sz="0" w:space="0" w:color="auto"/>
                                                    <w:left w:val="none" w:sz="0" w:space="0" w:color="auto"/>
                                                    <w:bottom w:val="none" w:sz="0" w:space="0" w:color="auto"/>
                                                    <w:right w:val="none" w:sz="0" w:space="0" w:color="auto"/>
                                                  </w:divBdr>
                                                  <w:divsChild>
                                                    <w:div w:id="1640839532">
                                                      <w:marLeft w:val="0"/>
                                                      <w:marRight w:val="0"/>
                                                      <w:marTop w:val="0"/>
                                                      <w:marBottom w:val="0"/>
                                                      <w:divBdr>
                                                        <w:top w:val="none" w:sz="0" w:space="0" w:color="auto"/>
                                                        <w:left w:val="none" w:sz="0" w:space="0" w:color="auto"/>
                                                        <w:bottom w:val="none" w:sz="0" w:space="0" w:color="auto"/>
                                                        <w:right w:val="none" w:sz="0" w:space="0" w:color="auto"/>
                                                      </w:divBdr>
                                                      <w:divsChild>
                                                        <w:div w:id="79447074">
                                                          <w:marLeft w:val="0"/>
                                                          <w:marRight w:val="0"/>
                                                          <w:marTop w:val="0"/>
                                                          <w:marBottom w:val="0"/>
                                                          <w:divBdr>
                                                            <w:top w:val="none" w:sz="0" w:space="0" w:color="auto"/>
                                                            <w:left w:val="none" w:sz="0" w:space="0" w:color="auto"/>
                                                            <w:bottom w:val="none" w:sz="0" w:space="0" w:color="auto"/>
                                                            <w:right w:val="none" w:sz="0" w:space="0" w:color="auto"/>
                                                          </w:divBdr>
                                                          <w:divsChild>
                                                            <w:div w:id="112984621">
                                                              <w:marLeft w:val="0"/>
                                                              <w:marRight w:val="0"/>
                                                              <w:marTop w:val="0"/>
                                                              <w:marBottom w:val="0"/>
                                                              <w:divBdr>
                                                                <w:top w:val="none" w:sz="0" w:space="0" w:color="auto"/>
                                                                <w:left w:val="none" w:sz="0" w:space="0" w:color="auto"/>
                                                                <w:bottom w:val="none" w:sz="0" w:space="0" w:color="auto"/>
                                                                <w:right w:val="none" w:sz="0" w:space="0" w:color="auto"/>
                                                              </w:divBdr>
                                                              <w:divsChild>
                                                                <w:div w:id="86201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4/08/2018-Guia-para-el-ejercicio-de-las-funciones-de-supervision-e-interventoria-de-los-contratos-suscritos-por-las-Entidades-Estatales-G-EFSICE-02.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ohn0626@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644DB9E2-6A3E-4A91-8B90-DE26896BA640}">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92874D5-1145-49BC-ACCE-ACA01B93EF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purl.org/dc/elements/1.1/"/>
    <ds:schemaRef ds:uri="http://schemas.microsoft.com/office/2006/metadata/properties"/>
    <ds:schemaRef ds:uri="http://schemas.microsoft.com/office/infopath/2007/PartnerControls"/>
    <ds:schemaRef ds:uri="9d85dbaf-23eb-4e57-a637-93dcacc8b1a1"/>
    <ds:schemaRef ds:uri="http://schemas.microsoft.com/office/2006/documentManagement/types"/>
    <ds:schemaRef ds:uri="http://schemas.openxmlformats.org/package/2006/metadata/core-properties"/>
    <ds:schemaRef ds:uri="http://www.w3.org/XML/1998/namespace"/>
    <ds:schemaRef ds:uri="http://purl.org/dc/dcmitype/"/>
    <ds:schemaRef ds:uri="a6cb9e4b-f1d1-4245-83ec-6cad768d538a"/>
    <ds:schemaRef ds:uri="http://purl.org/dc/te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25</Pages>
  <Words>8643</Words>
  <Characters>47540</Characters>
  <Application>Microsoft Office Word</Application>
  <DocSecurity>0</DocSecurity>
  <Lines>396</Lines>
  <Paragraphs>112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2025-10-29T17:51:00Z</dcterms:created>
  <dcterms:modified xsi:type="dcterms:W3CDTF">2025-10-29T17:51:00Z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