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512FA" w14:textId="77777777" w:rsidR="008E52B7" w:rsidRDefault="008E52B7" w:rsidP="008E52B7">
      <w:pPr>
        <w:spacing w:line="276" w:lineRule="auto"/>
        <w:jc w:val="both"/>
        <w:rPr>
          <w:rFonts w:ascii="Verdana" w:hAnsi="Verdana" w:cs="Arial"/>
          <w:b/>
          <w:bCs/>
          <w:color w:val="000000" w:themeColor="text1"/>
          <w:lang w:val="es-ES"/>
        </w:rPr>
      </w:pPr>
      <w:bookmarkStart w:id="0" w:name="_Hlk143780582"/>
      <w:bookmarkStart w:id="1" w:name="_Hlk202875225"/>
      <w:bookmarkStart w:id="2" w:name="_Hlk203032812"/>
      <w:bookmarkStart w:id="3" w:name="_Hlk204367265"/>
      <w:bookmarkStart w:id="4" w:name="_Hlk206116713"/>
      <w:bookmarkStart w:id="5" w:name="_Hlk212562617"/>
      <w:r w:rsidRPr="008E52B7">
        <w:rPr>
          <w:rFonts w:ascii="Verdana" w:hAnsi="Verdana" w:cs="Arial"/>
          <w:b/>
          <w:bCs/>
          <w:color w:val="000000" w:themeColor="text1"/>
          <w:lang w:val="es-ES"/>
        </w:rPr>
        <w:t xml:space="preserve">DEFECTOS O IRREGULARIDADES EN PROCEDIMIENTO - Artículo 49 Ley 80 de 1993- Requisitos </w:t>
      </w:r>
    </w:p>
    <w:p w14:paraId="2C6FE99F" w14:textId="77777777" w:rsidR="008E52B7" w:rsidRPr="005D6226" w:rsidRDefault="008E52B7" w:rsidP="005D6226">
      <w:pPr>
        <w:tabs>
          <w:tab w:val="left" w:pos="426"/>
        </w:tabs>
        <w:spacing w:after="0" w:line="240" w:lineRule="auto"/>
        <w:jc w:val="both"/>
        <w:rPr>
          <w:rFonts w:ascii="Verdana" w:hAnsi="Verdana" w:cs="Arial"/>
          <w:bCs/>
          <w:sz w:val="20"/>
          <w:szCs w:val="20"/>
        </w:rPr>
      </w:pPr>
      <w:r w:rsidRPr="005D6226">
        <w:rPr>
          <w:rFonts w:ascii="Verdana" w:hAnsi="Verdana" w:cs="Arial"/>
          <w:bCs/>
          <w:sz w:val="20"/>
          <w:szCs w:val="20"/>
        </w:rPr>
        <w:t>La Ley 80 de 1993 otorga una autorización a las entidades estatales para que remedien o corrijan aquellos defectos o irregularidades de procedimiento o de forma que no constituyen causales de nulidad del contrato. Para estos efectos el artículo 49 del EGCAP dispone que “</w:t>
      </w:r>
      <w:r w:rsidRPr="005D6226">
        <w:rPr>
          <w:rFonts w:ascii="Verdana" w:hAnsi="Verdana" w:cs="Arial"/>
          <w:sz w:val="20"/>
          <w:szCs w:val="20"/>
          <w:lang w:val="es-ES" w:eastAsia="es-CO"/>
        </w:rPr>
        <w:t>Ante la ocurrencia de vicios que no constituyan causales de nulidad y cuando las necesidades del servicio lo exijan o las reglas de la buena administración lo aconsejen, el jefe o representante legal de la entidad, en acto motivado, podrá sanear el correspondiente vicio”.</w:t>
      </w:r>
    </w:p>
    <w:p w14:paraId="0B220774" w14:textId="77777777" w:rsidR="005D6226" w:rsidRDefault="005D6226" w:rsidP="005D6226">
      <w:pPr>
        <w:pStyle w:val="Textoindependiente"/>
        <w:ind w:right="108"/>
        <w:jc w:val="both"/>
        <w:rPr>
          <w:rFonts w:ascii="Verdana" w:hAnsi="Verdana"/>
          <w:color w:val="000000" w:themeColor="text1"/>
          <w:sz w:val="20"/>
          <w:szCs w:val="20"/>
          <w:lang w:val="es-MX"/>
        </w:rPr>
      </w:pPr>
    </w:p>
    <w:p w14:paraId="122719E3" w14:textId="77777777" w:rsidR="005D6226" w:rsidRDefault="008E52B7" w:rsidP="005D6226">
      <w:pPr>
        <w:pStyle w:val="Textoindependiente"/>
        <w:ind w:right="108"/>
        <w:jc w:val="both"/>
        <w:rPr>
          <w:rFonts w:ascii="Verdana" w:eastAsia="Times New Roman" w:hAnsi="Verdana"/>
          <w:bCs/>
          <w:color w:val="000000" w:themeColor="text1"/>
          <w:sz w:val="20"/>
          <w:szCs w:val="20"/>
          <w:lang w:eastAsia="es-ES_tradnl"/>
        </w:rPr>
      </w:pPr>
      <w:r w:rsidRPr="005D6226">
        <w:rPr>
          <w:rFonts w:ascii="Verdana" w:hAnsi="Verdana"/>
          <w:color w:val="000000" w:themeColor="text1"/>
          <w:sz w:val="20"/>
          <w:szCs w:val="20"/>
          <w:lang w:val="es-MX"/>
        </w:rPr>
        <w:t xml:space="preserve">De la lectura de </w:t>
      </w:r>
      <w:r w:rsidRPr="005D6226">
        <w:rPr>
          <w:rFonts w:ascii="Verdana" w:hAnsi="Verdana"/>
          <w:color w:val="000000" w:themeColor="text1"/>
          <w:sz w:val="20"/>
          <w:szCs w:val="20"/>
        </w:rPr>
        <w:t xml:space="preserve">esta norma se puede apreciar que para su aplicación se requiere el cumplimiento de los siguientes requisitos: </w:t>
      </w:r>
      <w:r w:rsidRPr="005D6226">
        <w:rPr>
          <w:rFonts w:ascii="Verdana" w:eastAsia="Times New Roman" w:hAnsi="Verdana"/>
          <w:bCs/>
          <w:color w:val="000000" w:themeColor="text1"/>
          <w:sz w:val="20"/>
          <w:szCs w:val="20"/>
          <w:lang w:eastAsia="es-ES_tradnl"/>
        </w:rPr>
        <w:t xml:space="preserve">i) el vicio a sanear tiene de que ser de procedimiento o de forma, lo que significa que no es posible sanear a través de esta figura los vicios de fondo o sustanciales del acto o contrato, lo que lleva a que,  </w:t>
      </w:r>
      <w:proofErr w:type="spellStart"/>
      <w:r w:rsidRPr="005D6226">
        <w:rPr>
          <w:rFonts w:ascii="Verdana" w:eastAsia="Times New Roman" w:hAnsi="Verdana"/>
          <w:bCs/>
          <w:color w:val="000000" w:themeColor="text1"/>
          <w:sz w:val="20"/>
          <w:szCs w:val="20"/>
          <w:lang w:eastAsia="es-ES_tradnl"/>
        </w:rPr>
        <w:t>ii</w:t>
      </w:r>
      <w:proofErr w:type="spellEnd"/>
      <w:r w:rsidRPr="005D6226">
        <w:rPr>
          <w:rFonts w:ascii="Verdana" w:eastAsia="Times New Roman" w:hAnsi="Verdana"/>
          <w:bCs/>
          <w:color w:val="000000" w:themeColor="text1"/>
          <w:sz w:val="20"/>
          <w:szCs w:val="20"/>
          <w:lang w:eastAsia="es-ES_tradnl"/>
        </w:rPr>
        <w:t xml:space="preserve">) el vicio a sanear no puede corresponder a  ninguna de las causales de nulidad absoluta o relativa de los contratos estatales, </w:t>
      </w:r>
      <w:proofErr w:type="spellStart"/>
      <w:r w:rsidRPr="005D6226">
        <w:rPr>
          <w:rFonts w:ascii="Verdana" w:eastAsia="Times New Roman" w:hAnsi="Verdana"/>
          <w:bCs/>
          <w:color w:val="000000" w:themeColor="text1"/>
          <w:sz w:val="20"/>
          <w:szCs w:val="20"/>
          <w:lang w:eastAsia="es-ES_tradnl"/>
        </w:rPr>
        <w:t>iii</w:t>
      </w:r>
      <w:proofErr w:type="spellEnd"/>
      <w:r w:rsidRPr="005D6226">
        <w:rPr>
          <w:rFonts w:ascii="Verdana" w:eastAsia="Times New Roman" w:hAnsi="Verdana"/>
          <w:bCs/>
          <w:color w:val="000000" w:themeColor="text1"/>
          <w:sz w:val="20"/>
          <w:szCs w:val="20"/>
          <w:lang w:eastAsia="es-ES_tradnl"/>
        </w:rPr>
        <w:t xml:space="preserve">) debe hacerse mediante acto administrativo motivado, </w:t>
      </w:r>
      <w:proofErr w:type="spellStart"/>
      <w:r w:rsidRPr="005D6226">
        <w:rPr>
          <w:rFonts w:ascii="Verdana" w:eastAsia="Times New Roman" w:hAnsi="Verdana"/>
          <w:bCs/>
          <w:color w:val="000000" w:themeColor="text1"/>
          <w:sz w:val="20"/>
          <w:szCs w:val="20"/>
          <w:lang w:eastAsia="es-ES_tradnl"/>
        </w:rPr>
        <w:t>iv</w:t>
      </w:r>
      <w:proofErr w:type="spellEnd"/>
      <w:r w:rsidRPr="005D6226">
        <w:rPr>
          <w:rFonts w:ascii="Verdana" w:eastAsia="Times New Roman" w:hAnsi="Verdana"/>
          <w:bCs/>
          <w:color w:val="000000" w:themeColor="text1"/>
          <w:sz w:val="20"/>
          <w:szCs w:val="20"/>
          <w:lang w:eastAsia="es-ES_tradnl"/>
        </w:rPr>
        <w:t xml:space="preserve">) el funcionario competente es el jefe o representante legal de la entidad y v) el saneamiento debe ocurrir cuando las necesidades del servicio lo exijan o a las reglas de la buena administración lo aconsejen. </w:t>
      </w:r>
    </w:p>
    <w:p w14:paraId="314F9625" w14:textId="77777777" w:rsidR="005D6226" w:rsidRDefault="005D6226" w:rsidP="005D6226">
      <w:pPr>
        <w:pStyle w:val="Textoindependiente"/>
        <w:ind w:right="108"/>
        <w:jc w:val="both"/>
        <w:rPr>
          <w:rFonts w:ascii="Verdana" w:eastAsia="Times New Roman" w:hAnsi="Verdana"/>
          <w:bCs/>
          <w:color w:val="000000" w:themeColor="text1"/>
          <w:sz w:val="20"/>
          <w:szCs w:val="20"/>
          <w:lang w:eastAsia="es-ES_tradnl"/>
        </w:rPr>
      </w:pPr>
    </w:p>
    <w:p w14:paraId="244A001F" w14:textId="77777777" w:rsidR="005D6226" w:rsidRDefault="008E52B7" w:rsidP="005D6226">
      <w:pPr>
        <w:pStyle w:val="Textoindependiente"/>
        <w:ind w:right="108"/>
        <w:jc w:val="both"/>
        <w:rPr>
          <w:rFonts w:ascii="Verdana" w:hAnsi="Verdana"/>
          <w:b/>
          <w:bCs/>
          <w:color w:val="000000" w:themeColor="text1"/>
        </w:rPr>
      </w:pPr>
      <w:r w:rsidRPr="008E52B7">
        <w:rPr>
          <w:rFonts w:ascii="Verdana" w:hAnsi="Verdana"/>
          <w:b/>
          <w:bCs/>
          <w:color w:val="000000" w:themeColor="text1"/>
        </w:rPr>
        <w:t xml:space="preserve">DEFECTOS O IRREGULARIDADES EN PROCEDIMIENTO - Alcance </w:t>
      </w:r>
    </w:p>
    <w:p w14:paraId="25FEA10C" w14:textId="77777777" w:rsidR="005D6226" w:rsidRDefault="005D6226" w:rsidP="005D6226">
      <w:pPr>
        <w:pStyle w:val="Textoindependiente"/>
        <w:ind w:right="108"/>
        <w:jc w:val="both"/>
        <w:rPr>
          <w:rFonts w:ascii="Verdana" w:hAnsi="Verdana"/>
          <w:b/>
          <w:bCs/>
          <w:color w:val="000000" w:themeColor="text1"/>
        </w:rPr>
      </w:pPr>
    </w:p>
    <w:p w14:paraId="56144197" w14:textId="77777777" w:rsidR="00573419" w:rsidRDefault="005D6226" w:rsidP="00573419">
      <w:pPr>
        <w:pStyle w:val="Textoindependiente"/>
        <w:ind w:right="108"/>
        <w:jc w:val="both"/>
        <w:rPr>
          <w:rFonts w:ascii="Verdana" w:eastAsia="Calibri" w:hAnsi="Verdana"/>
          <w:color w:val="000000" w:themeColor="text1"/>
          <w:sz w:val="20"/>
          <w:szCs w:val="20"/>
          <w:lang w:val="es-ES_tradnl"/>
        </w:rPr>
      </w:pPr>
      <w:r w:rsidRPr="005D6226">
        <w:rPr>
          <w:rFonts w:ascii="Verdana" w:hAnsi="Verdana"/>
          <w:color w:val="000000" w:themeColor="text1"/>
          <w:sz w:val="20"/>
          <w:szCs w:val="20"/>
        </w:rPr>
        <w:t xml:space="preserve">[…] </w:t>
      </w:r>
      <w:r w:rsidRPr="005D6226">
        <w:rPr>
          <w:rFonts w:ascii="Verdana" w:eastAsia="Calibri" w:hAnsi="Verdana"/>
          <w:color w:val="000000" w:themeColor="text1"/>
          <w:sz w:val="20"/>
          <w:szCs w:val="20"/>
          <w:lang w:val="es-ES_tradnl"/>
        </w:rPr>
        <w:t>los vicios de procedimiento o de forma son aquellos que se presentan cuando la Administración no observa los requisitos previos y concomitantes a la expedición del acto administrativo, como la omisión de las etapas del proceso de selección o el desconocimiento del carácter preclusivo y perentorio de las mismas, lo que puede originar un vicio de nulidad de la adjudicación, pues las etapas previas a la expedición del acto administrativo constituyen formalidades que deben cumplirse, como elemento de validez de este</w:t>
      </w:r>
      <w:r>
        <w:rPr>
          <w:rFonts w:ascii="Verdana" w:eastAsia="Calibri" w:hAnsi="Verdana"/>
          <w:color w:val="000000" w:themeColor="text1"/>
          <w:sz w:val="20"/>
          <w:szCs w:val="20"/>
          <w:lang w:val="es-ES_tradnl"/>
        </w:rPr>
        <w:t>.</w:t>
      </w:r>
    </w:p>
    <w:p w14:paraId="3737B2C3" w14:textId="77777777" w:rsidR="00573419" w:rsidRDefault="00573419" w:rsidP="00573419">
      <w:pPr>
        <w:pStyle w:val="Textoindependiente"/>
        <w:ind w:right="108"/>
        <w:jc w:val="both"/>
        <w:rPr>
          <w:rFonts w:ascii="Verdana" w:hAnsi="Verdana"/>
          <w:b/>
          <w:bCs/>
          <w:color w:val="000000" w:themeColor="text1"/>
        </w:rPr>
      </w:pPr>
    </w:p>
    <w:p w14:paraId="5364026E" w14:textId="58FE84C1" w:rsidR="008E52B7" w:rsidRDefault="008E52B7" w:rsidP="00573419">
      <w:pPr>
        <w:pStyle w:val="Textoindependiente"/>
        <w:ind w:right="108"/>
        <w:jc w:val="both"/>
        <w:rPr>
          <w:rFonts w:ascii="Verdana" w:hAnsi="Verdana"/>
          <w:b/>
          <w:bCs/>
          <w:color w:val="000000" w:themeColor="text1"/>
        </w:rPr>
      </w:pPr>
      <w:r w:rsidRPr="008E52B7">
        <w:rPr>
          <w:rFonts w:ascii="Verdana" w:hAnsi="Verdana"/>
          <w:b/>
          <w:bCs/>
          <w:color w:val="000000" w:themeColor="text1"/>
        </w:rPr>
        <w:t xml:space="preserve">NULIDADES - Concepto </w:t>
      </w:r>
    </w:p>
    <w:p w14:paraId="479FD015" w14:textId="77777777" w:rsidR="00573419" w:rsidRPr="00573419" w:rsidRDefault="00573419" w:rsidP="00573419">
      <w:pPr>
        <w:pStyle w:val="Textoindependiente"/>
        <w:ind w:right="108"/>
        <w:jc w:val="both"/>
        <w:rPr>
          <w:rFonts w:ascii="Verdana" w:eastAsia="Times New Roman" w:hAnsi="Verdana"/>
          <w:bCs/>
          <w:color w:val="000000" w:themeColor="text1"/>
          <w:sz w:val="20"/>
          <w:szCs w:val="20"/>
          <w:lang w:eastAsia="es-ES_tradnl"/>
        </w:rPr>
      </w:pPr>
    </w:p>
    <w:p w14:paraId="6512FBBA" w14:textId="77777777" w:rsidR="00573419" w:rsidRDefault="00573419" w:rsidP="00573419">
      <w:pPr>
        <w:jc w:val="both"/>
        <w:rPr>
          <w:rFonts w:ascii="Verdana" w:hAnsi="Verdana" w:cs="Arial"/>
          <w:color w:val="000000" w:themeColor="text1"/>
          <w:sz w:val="20"/>
          <w:szCs w:val="20"/>
          <w:lang w:val="es-ES"/>
        </w:rPr>
      </w:pPr>
      <w:r w:rsidRPr="00573419">
        <w:rPr>
          <w:rFonts w:ascii="Verdana" w:hAnsi="Verdana" w:cs="Arial"/>
          <w:sz w:val="20"/>
          <w:szCs w:val="20"/>
        </w:rPr>
        <w:t>Las nulidades son</w:t>
      </w:r>
      <w:r w:rsidRPr="00573419">
        <w:rPr>
          <w:rFonts w:ascii="Verdana" w:hAnsi="Verdana" w:cs="Arial"/>
          <w:color w:val="000000" w:themeColor="text1"/>
          <w:sz w:val="20"/>
          <w:szCs w:val="20"/>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por criterios de orden su superior. Por ello, aunque el contrato sea ley obligatoria para los contratantes –art. 1602 del Código Civil–, no podrán derogarse por convenios particulares las leyes en cuya observancia están interesados el orden público y las buenas costumbres –art. 16 </w:t>
      </w:r>
      <w:r w:rsidRPr="00573419">
        <w:rPr>
          <w:rFonts w:ascii="Verdana" w:hAnsi="Verdana" w:cs="Arial"/>
          <w:i/>
          <w:iCs/>
          <w:color w:val="000000" w:themeColor="text1"/>
          <w:sz w:val="20"/>
          <w:szCs w:val="20"/>
        </w:rPr>
        <w:t>ibidem</w:t>
      </w:r>
      <w:r>
        <w:rPr>
          <w:rFonts w:ascii="Verdana" w:hAnsi="Verdana" w:cs="Arial"/>
          <w:i/>
          <w:iCs/>
          <w:color w:val="000000" w:themeColor="text1"/>
        </w:rPr>
        <w:t>.</w:t>
      </w:r>
    </w:p>
    <w:p w14:paraId="5E148480" w14:textId="66CD17B2" w:rsidR="008E52B7" w:rsidRDefault="008E52B7" w:rsidP="00573419">
      <w:pPr>
        <w:jc w:val="both"/>
        <w:rPr>
          <w:rFonts w:ascii="Verdana" w:hAnsi="Verdana" w:cs="Arial"/>
          <w:b/>
          <w:bCs/>
          <w:color w:val="000000" w:themeColor="text1"/>
          <w:lang w:val="es-ES"/>
        </w:rPr>
      </w:pPr>
      <w:r w:rsidRPr="008E52B7">
        <w:rPr>
          <w:rFonts w:ascii="Verdana" w:hAnsi="Verdana" w:cs="Arial"/>
          <w:b/>
          <w:bCs/>
          <w:color w:val="000000" w:themeColor="text1"/>
          <w:lang w:val="es-ES"/>
        </w:rPr>
        <w:t xml:space="preserve">NULIDADES DEL CONTRATO – Absolutas – Relativas </w:t>
      </w:r>
    </w:p>
    <w:p w14:paraId="2719BB6C" w14:textId="77777777" w:rsidR="00573419" w:rsidRDefault="00573419" w:rsidP="00573419">
      <w:pPr>
        <w:spacing w:after="0" w:line="240" w:lineRule="auto"/>
        <w:jc w:val="both"/>
        <w:rPr>
          <w:rFonts w:ascii="Verdana" w:eastAsia="Calibri" w:hAnsi="Verdana" w:cs="Arial"/>
          <w:sz w:val="20"/>
          <w:szCs w:val="20"/>
          <w:lang w:val="es-ES"/>
        </w:rPr>
      </w:pPr>
      <w:r w:rsidRPr="00573419">
        <w:rPr>
          <w:rFonts w:ascii="Verdana" w:eastAsia="Calibri" w:hAnsi="Verdana" w:cs="Arial"/>
          <w:sz w:val="20"/>
          <w:szCs w:val="20"/>
          <w:lang w:val="es-ES"/>
        </w:rPr>
        <w:t xml:space="preserve">De acuerdo con el artículo 1741 del Código Civil, “La nulidad producida por un objeto o causa ilícita, y la nulidad producida por la omisión de algún requisito o formalidad que </w:t>
      </w:r>
      <w:r w:rsidRPr="00573419">
        <w:rPr>
          <w:rFonts w:ascii="Verdana" w:eastAsia="Calibri" w:hAnsi="Verdana" w:cs="Arial"/>
          <w:sz w:val="20"/>
          <w:szCs w:val="20"/>
          <w:lang w:val="es-ES"/>
        </w:rPr>
        <w:lastRenderedPageBreak/>
        <w:t xml:space="preserve">las leyes prescriben para el valor de ciertos actos o contratos en consideración a la naturaleza de ellos, y no a la calidad o estado de las personas que los ejecutan o acuerdan, son nulidades absolutas. Hay así </w:t>
      </w:r>
      <w:proofErr w:type="gramStart"/>
      <w:r w:rsidRPr="00573419">
        <w:rPr>
          <w:rFonts w:ascii="Verdana" w:eastAsia="Calibri" w:hAnsi="Verdana" w:cs="Arial"/>
          <w:sz w:val="20"/>
          <w:szCs w:val="20"/>
          <w:lang w:val="es-ES"/>
        </w:rPr>
        <w:t>mismo nulidad absoluta</w:t>
      </w:r>
      <w:proofErr w:type="gramEnd"/>
      <w:r w:rsidRPr="00573419">
        <w:rPr>
          <w:rFonts w:ascii="Verdana" w:eastAsia="Calibri" w:hAnsi="Verdana" w:cs="Arial"/>
          <w:sz w:val="20"/>
          <w:szCs w:val="20"/>
          <w:lang w:val="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p>
    <w:p w14:paraId="7A576C87" w14:textId="77777777" w:rsidR="00573419" w:rsidRDefault="00573419" w:rsidP="00573419">
      <w:pPr>
        <w:spacing w:after="0" w:line="240" w:lineRule="auto"/>
        <w:jc w:val="both"/>
        <w:rPr>
          <w:rFonts w:ascii="Verdana" w:eastAsia="Calibri" w:hAnsi="Verdana" w:cs="Arial"/>
          <w:sz w:val="20"/>
          <w:szCs w:val="20"/>
          <w:lang w:val="es-ES"/>
        </w:rPr>
      </w:pPr>
    </w:p>
    <w:p w14:paraId="55292F7A" w14:textId="77777777" w:rsidR="00573419" w:rsidRDefault="00573419" w:rsidP="00573419">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 xml:space="preserve">[…] </w:t>
      </w:r>
    </w:p>
    <w:p w14:paraId="6A015CDE" w14:textId="77777777" w:rsidR="00573419" w:rsidRPr="00573419" w:rsidRDefault="00573419" w:rsidP="00573419">
      <w:pPr>
        <w:spacing w:after="0" w:line="240" w:lineRule="auto"/>
        <w:jc w:val="both"/>
        <w:rPr>
          <w:rFonts w:ascii="Verdana" w:eastAsia="Calibri" w:hAnsi="Verdana" w:cs="Arial"/>
          <w:sz w:val="20"/>
          <w:szCs w:val="20"/>
          <w:lang w:val="es-ES"/>
        </w:rPr>
      </w:pPr>
    </w:p>
    <w:p w14:paraId="5BE66F42" w14:textId="49209C87" w:rsidR="00573419" w:rsidRDefault="00573419" w:rsidP="00573419">
      <w:pPr>
        <w:spacing w:after="0" w:line="240" w:lineRule="auto"/>
        <w:jc w:val="both"/>
        <w:rPr>
          <w:rFonts w:ascii="Verdana" w:eastAsia="Calibri" w:hAnsi="Verdana" w:cs="Arial"/>
          <w:sz w:val="20"/>
          <w:szCs w:val="20"/>
          <w:lang w:val="es-ES"/>
        </w:rPr>
      </w:pPr>
      <w:r w:rsidRPr="00573419">
        <w:rPr>
          <w:rFonts w:ascii="Verdana" w:hAnsi="Verdana"/>
          <w:sz w:val="20"/>
          <w:szCs w:val="20"/>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573419">
        <w:rPr>
          <w:rFonts w:ascii="Verdana" w:hAnsi="Verdana"/>
          <w:sz w:val="20"/>
          <w:szCs w:val="20"/>
        </w:rPr>
        <w:t>ii</w:t>
      </w:r>
      <w:proofErr w:type="spellEnd"/>
      <w:r w:rsidRPr="00573419">
        <w:rPr>
          <w:rFonts w:ascii="Verdana" w:hAnsi="Verdana"/>
          <w:sz w:val="20"/>
          <w:szCs w:val="20"/>
        </w:rPr>
        <w:t xml:space="preserve">) se celebre contra expresa prohibición constitucional o legal, </w:t>
      </w:r>
      <w:proofErr w:type="spellStart"/>
      <w:r w:rsidRPr="00573419">
        <w:rPr>
          <w:rFonts w:ascii="Verdana" w:hAnsi="Verdana"/>
          <w:sz w:val="20"/>
          <w:szCs w:val="20"/>
        </w:rPr>
        <w:t>iii</w:t>
      </w:r>
      <w:proofErr w:type="spellEnd"/>
      <w:r w:rsidRPr="00573419">
        <w:rPr>
          <w:rFonts w:ascii="Verdana" w:hAnsi="Verdana"/>
          <w:sz w:val="20"/>
          <w:szCs w:val="20"/>
        </w:rPr>
        <w:t xml:space="preserve">) se celebre con abuso o desviación de poder, </w:t>
      </w:r>
      <w:proofErr w:type="spellStart"/>
      <w:r w:rsidRPr="00573419">
        <w:rPr>
          <w:rFonts w:ascii="Verdana" w:hAnsi="Verdana"/>
          <w:sz w:val="20"/>
          <w:szCs w:val="20"/>
        </w:rPr>
        <w:t>iv</w:t>
      </w:r>
      <w:proofErr w:type="spellEnd"/>
      <w:r w:rsidRPr="00573419">
        <w:rPr>
          <w:rFonts w:ascii="Verdana" w:hAnsi="Verdana"/>
          <w:sz w:val="20"/>
          <w:szCs w:val="20"/>
        </w:rPr>
        <w:t>) se declaren nulos los actos administrativos en que se fundamenten, v) se hubieren celebrado con desconocimiento de los criterios previstos para el tratamiento de ofertas nacionales y extranjeras o con violación de la reciprocidad</w:t>
      </w:r>
      <w:r w:rsidR="00E11BF6">
        <w:rPr>
          <w:rFonts w:ascii="Verdana" w:eastAsia="Calibri" w:hAnsi="Verdana" w:cs="Arial"/>
          <w:sz w:val="20"/>
          <w:szCs w:val="20"/>
          <w:lang w:val="es-ES"/>
        </w:rPr>
        <w:t>.</w:t>
      </w:r>
    </w:p>
    <w:p w14:paraId="2158D32B" w14:textId="77777777" w:rsidR="00E11BF6" w:rsidRDefault="00E11BF6" w:rsidP="00573419">
      <w:pPr>
        <w:spacing w:after="0" w:line="240" w:lineRule="auto"/>
        <w:jc w:val="both"/>
        <w:rPr>
          <w:rFonts w:ascii="Verdana" w:eastAsia="Calibri" w:hAnsi="Verdana" w:cs="Arial"/>
          <w:sz w:val="20"/>
          <w:szCs w:val="20"/>
          <w:lang w:val="es-ES"/>
        </w:rPr>
      </w:pPr>
    </w:p>
    <w:p w14:paraId="77ABB0E4" w14:textId="68C56B33" w:rsidR="00E11BF6" w:rsidRDefault="00E11BF6" w:rsidP="00573419">
      <w:pPr>
        <w:spacing w:after="0" w:line="240" w:lineRule="auto"/>
        <w:jc w:val="both"/>
        <w:rPr>
          <w:rFonts w:ascii="Verdana" w:eastAsia="Calibri" w:hAnsi="Verdana" w:cs="Arial"/>
          <w:sz w:val="20"/>
          <w:szCs w:val="20"/>
          <w:lang w:val="es-ES"/>
        </w:rPr>
      </w:pPr>
      <w:r w:rsidRPr="00E11BF6">
        <w:rPr>
          <w:rFonts w:ascii="Verdana" w:eastAsia="Calibri" w:hAnsi="Verdana" w:cs="Arial"/>
          <w:sz w:val="20"/>
          <w:szCs w:val="20"/>
          <w:lang w:val="es-ES"/>
        </w:rPr>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 vicio</w:t>
      </w:r>
      <w:r>
        <w:rPr>
          <w:rFonts w:ascii="Verdana" w:eastAsia="Calibri" w:hAnsi="Verdana" w:cs="Arial"/>
          <w:sz w:val="20"/>
          <w:szCs w:val="20"/>
          <w:lang w:val="es-ES"/>
        </w:rPr>
        <w:t>.</w:t>
      </w:r>
    </w:p>
    <w:p w14:paraId="3F8FDFAE" w14:textId="77777777" w:rsidR="00E11BF6" w:rsidRDefault="00E11BF6" w:rsidP="00573419">
      <w:pPr>
        <w:spacing w:after="0" w:line="240" w:lineRule="auto"/>
        <w:jc w:val="both"/>
        <w:rPr>
          <w:rFonts w:ascii="Verdana" w:eastAsia="Calibri" w:hAnsi="Verdana" w:cs="Arial"/>
          <w:sz w:val="20"/>
          <w:szCs w:val="20"/>
          <w:lang w:val="es-ES"/>
        </w:rPr>
      </w:pPr>
    </w:p>
    <w:p w14:paraId="2CCE443B" w14:textId="77777777" w:rsidR="008E52B7" w:rsidRDefault="008E52B7" w:rsidP="008E52B7">
      <w:pPr>
        <w:spacing w:line="276" w:lineRule="auto"/>
        <w:jc w:val="both"/>
        <w:rPr>
          <w:rFonts w:ascii="Verdana" w:hAnsi="Verdana" w:cs="Arial"/>
          <w:b/>
          <w:bCs/>
          <w:color w:val="000000" w:themeColor="text1"/>
          <w:lang w:val="es-ES"/>
        </w:rPr>
      </w:pPr>
      <w:r w:rsidRPr="008E52B7">
        <w:rPr>
          <w:rFonts w:ascii="Verdana" w:hAnsi="Verdana" w:cs="Arial"/>
          <w:b/>
          <w:bCs/>
          <w:color w:val="000000" w:themeColor="text1"/>
          <w:lang w:val="es-ES"/>
        </w:rPr>
        <w:t xml:space="preserve">SANEAMIENTO – Vicios – Procedimiento de forma – Requisitos </w:t>
      </w:r>
    </w:p>
    <w:p w14:paraId="7FD10EE6" w14:textId="77777777" w:rsidR="00E11BF6" w:rsidRPr="00E11BF6" w:rsidRDefault="00E11BF6" w:rsidP="00E11BF6">
      <w:pPr>
        <w:tabs>
          <w:tab w:val="left" w:pos="426"/>
        </w:tabs>
        <w:spacing w:after="0" w:line="240" w:lineRule="auto"/>
        <w:jc w:val="both"/>
        <w:rPr>
          <w:rFonts w:ascii="Verdana" w:eastAsia="Arial MT" w:hAnsi="Verdana" w:cs="Arial"/>
          <w:sz w:val="20"/>
          <w:szCs w:val="20"/>
          <w:lang w:eastAsia="es-ES" w:bidi="es-ES"/>
        </w:rPr>
      </w:pPr>
      <w:r w:rsidRPr="00E11BF6">
        <w:rPr>
          <w:rFonts w:ascii="Verdana" w:hAnsi="Verdana"/>
          <w:bCs/>
          <w:color w:val="000000" w:themeColor="text1"/>
          <w:sz w:val="20"/>
          <w:szCs w:val="20"/>
          <w:lang w:eastAsia="es-ES_tradnl"/>
        </w:rPr>
        <w:t xml:space="preserve">[…] </w:t>
      </w:r>
      <w:r w:rsidRPr="00E11BF6">
        <w:rPr>
          <w:rFonts w:ascii="Verdana" w:hAnsi="Verdana"/>
          <w:bCs/>
          <w:color w:val="000000" w:themeColor="text1"/>
          <w:sz w:val="20"/>
          <w:szCs w:val="20"/>
          <w:lang w:eastAsia="es-ES_tradnl"/>
        </w:rPr>
        <w:t xml:space="preserve">resulta necesario que las entidades estatales, dentro de su autonomía administrativa, analicen si determinada situación se trata de un vicio de procedimiento o de forma y que no constituya causal de nulidad, pues de lo contrario no resultaría aplicable el saneamiento del proceso con base en el artículo 49 de la Ley 80 de 1993. Teniendo en cuenta que son múltiples las situaciones que se pueden generar alrededor del caso expuesto en la consulta, esta Agencia no puede, </w:t>
      </w:r>
      <w:r w:rsidRPr="00E11BF6">
        <w:rPr>
          <w:rFonts w:ascii="Verdana" w:eastAsia="Arial MT" w:hAnsi="Verdana" w:cs="Arial"/>
          <w:sz w:val="20"/>
          <w:szCs w:val="20"/>
          <w:lang w:eastAsia="es-ES" w:bidi="es-ES"/>
        </w:rPr>
        <w:t>vía concepto, establecer criterios vinculantes sobre la aplicación de esta figura u otros procedimientos. Su función consultiva se limita a brindar orientaciones generales, de conformidad con el principio de juridicidad, para que las entidades del Sistema de Compras y Contratación Pública adopten las decisiones correspondientes en el marco de su gestión contractual.</w:t>
      </w:r>
    </w:p>
    <w:p w14:paraId="7B57DD52" w14:textId="77777777" w:rsidR="00EF3792" w:rsidRDefault="00EF3792" w:rsidP="00E11BF6">
      <w:pPr>
        <w:tabs>
          <w:tab w:val="left" w:pos="426"/>
        </w:tabs>
        <w:spacing w:after="0" w:line="240" w:lineRule="auto"/>
        <w:jc w:val="both"/>
        <w:rPr>
          <w:rFonts w:ascii="Verdana" w:hAnsi="Verdana"/>
          <w:bCs/>
          <w:color w:val="000000" w:themeColor="text1"/>
          <w:sz w:val="20"/>
          <w:szCs w:val="20"/>
          <w:lang w:eastAsia="es-ES_tradnl"/>
        </w:rPr>
      </w:pPr>
    </w:p>
    <w:p w14:paraId="6ADE26C9" w14:textId="18727DFC" w:rsidR="00E11BF6" w:rsidRDefault="00E11BF6" w:rsidP="00E11BF6">
      <w:pPr>
        <w:tabs>
          <w:tab w:val="left" w:pos="426"/>
        </w:tabs>
        <w:spacing w:after="0" w:line="240" w:lineRule="auto"/>
        <w:jc w:val="both"/>
        <w:rPr>
          <w:rFonts w:ascii="Verdana" w:hAnsi="Verdana"/>
          <w:bCs/>
          <w:color w:val="000000" w:themeColor="text1"/>
          <w:sz w:val="20"/>
          <w:szCs w:val="20"/>
          <w:lang w:eastAsia="es-ES_tradnl"/>
        </w:rPr>
      </w:pPr>
      <w:r w:rsidRPr="00E11BF6">
        <w:rPr>
          <w:rFonts w:ascii="Verdana" w:hAnsi="Verdana"/>
          <w:bCs/>
          <w:color w:val="000000" w:themeColor="text1"/>
          <w:sz w:val="20"/>
          <w:szCs w:val="20"/>
          <w:lang w:eastAsia="es-ES_tradnl"/>
        </w:rPr>
        <w:t xml:space="preserve">[…] </w:t>
      </w:r>
      <w:r w:rsidRPr="00E11BF6">
        <w:rPr>
          <w:rFonts w:ascii="Verdana" w:hAnsi="Verdana"/>
          <w:bCs/>
          <w:color w:val="000000" w:themeColor="text1"/>
          <w:sz w:val="20"/>
          <w:szCs w:val="20"/>
          <w:lang w:eastAsia="es-ES_tradnl"/>
        </w:rPr>
        <w:t xml:space="preserve">es fundamental que la entidad estatal garantice el principio de selección objetiva, de tal manera que aquellos eventos que impidan aplicar una escogencia objetiva, la entidad adopte las medidas correspondientes dentro del marco normativo vigente. Por tanto, la entidad podrá analizar la procedencia del artículo 49 de la Ley 80 de 1993 según lo expuesto en este concepto o considerar la expedición de actos administrativos que decidan sobre la continuidad del procedimiento de selección como consecuencia de la </w:t>
      </w:r>
      <w:r w:rsidRPr="00E11BF6">
        <w:rPr>
          <w:rFonts w:ascii="Verdana" w:hAnsi="Verdana"/>
          <w:bCs/>
          <w:color w:val="000000" w:themeColor="text1"/>
          <w:sz w:val="20"/>
          <w:szCs w:val="20"/>
          <w:lang w:eastAsia="es-ES_tradnl"/>
        </w:rPr>
        <w:lastRenderedPageBreak/>
        <w:t xml:space="preserve">imposibilidad de aplicar el principio de selección objetiva, en el marco de lo dispuesto en el artículo 25 </w:t>
      </w:r>
      <w:r w:rsidRPr="00E11BF6">
        <w:rPr>
          <w:rFonts w:ascii="Verdana" w:hAnsi="Verdana"/>
          <w:bCs/>
          <w:i/>
          <w:iCs/>
          <w:color w:val="000000" w:themeColor="text1"/>
          <w:sz w:val="20"/>
          <w:szCs w:val="20"/>
          <w:lang w:eastAsia="es-ES_tradnl"/>
        </w:rPr>
        <w:t>ibidem</w:t>
      </w:r>
      <w:r w:rsidRPr="00E11BF6">
        <w:rPr>
          <w:rFonts w:ascii="Verdana" w:hAnsi="Verdana"/>
          <w:bCs/>
          <w:color w:val="000000" w:themeColor="text1"/>
          <w:sz w:val="20"/>
          <w:szCs w:val="20"/>
          <w:lang w:eastAsia="es-ES_tradnl"/>
        </w:rPr>
        <w:t>, o en su defecto, adoptar cualquier otra actuación que permita el cumplimiento de los principios de la contratación estatal y los fines del estado, dentro del marco legal vigente. De todas formas, se recomienda que la entidad opte por la alternativa que represente el menor impacto posible tanto para la administración como para los derechos adquiridos que eventualmente puedan verse comprometidos.</w:t>
      </w:r>
    </w:p>
    <w:p w14:paraId="24469BDE" w14:textId="77777777" w:rsidR="00E11BF6" w:rsidRDefault="00E11BF6" w:rsidP="00E11BF6">
      <w:pPr>
        <w:tabs>
          <w:tab w:val="left" w:pos="426"/>
        </w:tabs>
        <w:spacing w:after="0" w:line="240" w:lineRule="auto"/>
        <w:jc w:val="both"/>
        <w:rPr>
          <w:rFonts w:ascii="Verdana" w:hAnsi="Verdana"/>
          <w:bCs/>
          <w:color w:val="000000" w:themeColor="text1"/>
          <w:sz w:val="20"/>
          <w:szCs w:val="20"/>
          <w:lang w:eastAsia="es-ES_tradnl"/>
        </w:rPr>
      </w:pPr>
    </w:p>
    <w:p w14:paraId="54CB410E" w14:textId="77777777" w:rsidR="00E11BF6" w:rsidRDefault="008E52B7" w:rsidP="00E11BF6">
      <w:pPr>
        <w:tabs>
          <w:tab w:val="left" w:pos="426"/>
        </w:tabs>
        <w:spacing w:after="0" w:line="240" w:lineRule="auto"/>
        <w:jc w:val="both"/>
        <w:rPr>
          <w:rFonts w:ascii="Verdana" w:hAnsi="Verdana"/>
          <w:bCs/>
          <w:color w:val="000000" w:themeColor="text1"/>
          <w:sz w:val="20"/>
          <w:szCs w:val="20"/>
          <w:lang w:val="es-ES" w:eastAsia="es-ES_tradnl"/>
        </w:rPr>
      </w:pPr>
      <w:r w:rsidRPr="008E52B7">
        <w:rPr>
          <w:rFonts w:ascii="Verdana" w:hAnsi="Verdana" w:cs="Arial"/>
          <w:b/>
          <w:bCs/>
          <w:color w:val="000000" w:themeColor="text1"/>
          <w:lang w:val="es-ES"/>
        </w:rPr>
        <w:t xml:space="preserve">ERRORES FORMALES – Corrección – Diferencias    </w:t>
      </w:r>
    </w:p>
    <w:p w14:paraId="4BB26B06" w14:textId="77777777" w:rsidR="00E11BF6" w:rsidRDefault="00E11BF6" w:rsidP="00E11BF6">
      <w:pPr>
        <w:tabs>
          <w:tab w:val="left" w:pos="426"/>
        </w:tabs>
        <w:spacing w:after="0" w:line="240" w:lineRule="auto"/>
        <w:jc w:val="both"/>
        <w:rPr>
          <w:rFonts w:ascii="Verdana" w:hAnsi="Verdana"/>
          <w:bCs/>
          <w:color w:val="000000" w:themeColor="text1"/>
          <w:sz w:val="20"/>
          <w:szCs w:val="20"/>
          <w:lang w:val="es-ES" w:eastAsia="es-ES_tradnl"/>
        </w:rPr>
      </w:pPr>
    </w:p>
    <w:p w14:paraId="2DCEA90E" w14:textId="77777777" w:rsidR="00E11BF6" w:rsidRPr="00E11BF6" w:rsidRDefault="00E11BF6" w:rsidP="00E11BF6">
      <w:pPr>
        <w:tabs>
          <w:tab w:val="left" w:pos="426"/>
        </w:tabs>
        <w:spacing w:after="0" w:line="240" w:lineRule="auto"/>
        <w:jc w:val="both"/>
        <w:rPr>
          <w:rFonts w:ascii="Verdana" w:hAnsi="Verdana"/>
          <w:bCs/>
          <w:color w:val="000000" w:themeColor="text1"/>
          <w:sz w:val="20"/>
          <w:szCs w:val="20"/>
          <w:lang w:eastAsia="es-ES_tradnl"/>
        </w:rPr>
      </w:pPr>
      <w:r w:rsidRPr="00E11BF6">
        <w:rPr>
          <w:rFonts w:ascii="Verdana" w:eastAsia="Times New Roman" w:hAnsi="Verdana"/>
          <w:bCs/>
          <w:color w:val="000000" w:themeColor="text1"/>
          <w:sz w:val="20"/>
          <w:szCs w:val="20"/>
          <w:lang w:eastAsia="es-ES_tradnl"/>
        </w:rPr>
        <w:t xml:space="preserve">[…] </w:t>
      </w:r>
      <w:r w:rsidRPr="00E11BF6">
        <w:rPr>
          <w:rFonts w:ascii="Verdana" w:eastAsia="Times New Roman" w:hAnsi="Verdana"/>
          <w:bCs/>
          <w:color w:val="000000" w:themeColor="text1"/>
          <w:sz w:val="20"/>
          <w:szCs w:val="20"/>
          <w:lang w:eastAsia="es-ES_tradnl"/>
        </w:rPr>
        <w:t xml:space="preserve">en las actuaciones administrativas contractuales también pueden presentarse situaciones que no necesariamente configuran un vicio de procedimiento o de forma, sino a un error simplemente formal como el aritmético o de digitación. </w:t>
      </w:r>
      <w:r w:rsidRPr="00E11BF6">
        <w:rPr>
          <w:rFonts w:ascii="Verdana" w:eastAsiaTheme="minorEastAsia" w:hAnsi="Verdana"/>
          <w:color w:val="000000" w:themeColor="text1"/>
          <w:sz w:val="20"/>
          <w:szCs w:val="20"/>
          <w:lang w:eastAsia="es-CO"/>
        </w:rPr>
        <w:t xml:space="preserve"> </w:t>
      </w:r>
    </w:p>
    <w:p w14:paraId="492D29C9" w14:textId="77777777" w:rsidR="00E11BF6" w:rsidRPr="00E11BF6" w:rsidRDefault="00E11BF6" w:rsidP="00E11BF6">
      <w:pPr>
        <w:tabs>
          <w:tab w:val="left" w:pos="426"/>
        </w:tabs>
        <w:spacing w:after="0" w:line="240" w:lineRule="auto"/>
        <w:jc w:val="both"/>
        <w:rPr>
          <w:rFonts w:ascii="Verdana" w:hAnsi="Verdana"/>
          <w:bCs/>
          <w:color w:val="000000" w:themeColor="text1"/>
          <w:sz w:val="20"/>
          <w:szCs w:val="20"/>
          <w:lang w:eastAsia="es-ES_tradnl"/>
        </w:rPr>
      </w:pPr>
    </w:p>
    <w:p w14:paraId="539697DA" w14:textId="63EDA86D" w:rsidR="00E11BF6" w:rsidRDefault="00E11BF6" w:rsidP="00E11BF6">
      <w:pPr>
        <w:tabs>
          <w:tab w:val="left" w:pos="426"/>
        </w:tabs>
        <w:spacing w:after="0" w:line="240" w:lineRule="auto"/>
        <w:jc w:val="both"/>
        <w:rPr>
          <w:rFonts w:ascii="Verdana" w:hAnsi="Verdana" w:cs="Arial"/>
          <w:color w:val="000000" w:themeColor="text1"/>
          <w:sz w:val="20"/>
          <w:szCs w:val="20"/>
        </w:rPr>
      </w:pPr>
      <w:r w:rsidRPr="00E11BF6">
        <w:rPr>
          <w:rFonts w:ascii="Verdana" w:eastAsiaTheme="minorEastAsia" w:hAnsi="Verdana"/>
          <w:color w:val="000000" w:themeColor="text1"/>
          <w:sz w:val="20"/>
          <w:szCs w:val="20"/>
          <w:lang w:eastAsia="es-CO"/>
        </w:rPr>
        <w:t xml:space="preserve">[…] </w:t>
      </w:r>
      <w:r w:rsidRPr="00E11BF6">
        <w:rPr>
          <w:rFonts w:ascii="Verdana" w:hAnsi="Verdana" w:cs="Arial"/>
          <w:color w:val="000000" w:themeColor="text1"/>
          <w:sz w:val="20"/>
          <w:szCs w:val="20"/>
          <w:lang w:val="es-ES"/>
        </w:rPr>
        <w:t xml:space="preserve">El </w:t>
      </w:r>
      <w:r w:rsidRPr="00E11BF6">
        <w:rPr>
          <w:rFonts w:ascii="Verdana" w:hAnsi="Verdana" w:cs="Arial"/>
          <w:color w:val="000000" w:themeColor="text1"/>
          <w:sz w:val="20"/>
          <w:szCs w:val="20"/>
        </w:rPr>
        <w:t>Código de Procedimiento Administrativo y de lo Contencioso Administrativo –CPACA–, en el artículo 45, permite la corrección de errores simplemente formales de los actos administrativos relacionados con errores aritméticos, de digitación, de transcripción o de omisión de palabras</w:t>
      </w:r>
      <w:r w:rsidR="002F0055">
        <w:rPr>
          <w:rFonts w:ascii="Verdana" w:hAnsi="Verdana" w:cs="Arial"/>
          <w:color w:val="000000" w:themeColor="text1"/>
          <w:sz w:val="20"/>
          <w:szCs w:val="20"/>
        </w:rPr>
        <w:t>.</w:t>
      </w:r>
    </w:p>
    <w:p w14:paraId="0C4CD59F" w14:textId="77777777" w:rsidR="002F0055" w:rsidRDefault="002F0055" w:rsidP="00E11BF6">
      <w:pPr>
        <w:tabs>
          <w:tab w:val="left" w:pos="426"/>
        </w:tabs>
        <w:spacing w:after="0" w:line="240" w:lineRule="auto"/>
        <w:jc w:val="both"/>
        <w:rPr>
          <w:rFonts w:ascii="Verdana" w:hAnsi="Verdana"/>
          <w:bCs/>
          <w:color w:val="000000" w:themeColor="text1"/>
          <w:sz w:val="20"/>
          <w:szCs w:val="20"/>
          <w:lang w:eastAsia="es-ES_tradnl"/>
        </w:rPr>
      </w:pPr>
    </w:p>
    <w:p w14:paraId="5460F28C" w14:textId="54790ED4" w:rsidR="002F0055" w:rsidRDefault="002F0055" w:rsidP="00E11BF6">
      <w:pPr>
        <w:tabs>
          <w:tab w:val="left" w:pos="426"/>
        </w:tabs>
        <w:spacing w:after="0" w:line="240" w:lineRule="auto"/>
        <w:jc w:val="both"/>
        <w:rPr>
          <w:rFonts w:ascii="Verdana" w:hAnsi="Verdana"/>
          <w:bCs/>
          <w:color w:val="000000" w:themeColor="text1"/>
          <w:sz w:val="20"/>
          <w:szCs w:val="20"/>
          <w:lang w:eastAsia="es-ES_tradnl"/>
        </w:rPr>
      </w:pPr>
      <w:r>
        <w:rPr>
          <w:rFonts w:ascii="Verdana" w:hAnsi="Verdana"/>
          <w:bCs/>
          <w:color w:val="000000" w:themeColor="text1"/>
          <w:sz w:val="20"/>
          <w:szCs w:val="20"/>
          <w:lang w:eastAsia="es-ES_tradnl"/>
        </w:rPr>
        <w:t>[…]</w:t>
      </w:r>
    </w:p>
    <w:p w14:paraId="3E30679E" w14:textId="77777777" w:rsidR="002F0055" w:rsidRDefault="002F0055" w:rsidP="00E11BF6">
      <w:pPr>
        <w:tabs>
          <w:tab w:val="left" w:pos="426"/>
        </w:tabs>
        <w:spacing w:after="0" w:line="240" w:lineRule="auto"/>
        <w:jc w:val="both"/>
        <w:rPr>
          <w:rFonts w:ascii="Verdana" w:hAnsi="Verdana"/>
          <w:bCs/>
          <w:color w:val="000000" w:themeColor="text1"/>
          <w:sz w:val="20"/>
          <w:szCs w:val="20"/>
          <w:lang w:eastAsia="es-ES_tradnl"/>
        </w:rPr>
      </w:pPr>
    </w:p>
    <w:p w14:paraId="4E39EB45" w14:textId="57755051" w:rsidR="002F0055" w:rsidRPr="00E11BF6" w:rsidRDefault="002F0055" w:rsidP="00E11BF6">
      <w:pPr>
        <w:tabs>
          <w:tab w:val="left" w:pos="426"/>
        </w:tabs>
        <w:spacing w:after="0" w:line="240" w:lineRule="auto"/>
        <w:jc w:val="both"/>
        <w:rPr>
          <w:rFonts w:ascii="Verdana" w:hAnsi="Verdana"/>
          <w:bCs/>
          <w:color w:val="000000" w:themeColor="text1"/>
          <w:sz w:val="20"/>
          <w:szCs w:val="20"/>
          <w:lang w:eastAsia="es-ES_tradnl"/>
        </w:rPr>
      </w:pPr>
      <w:r w:rsidRPr="002F0055">
        <w:rPr>
          <w:rFonts w:ascii="Verdana" w:hAnsi="Verdana"/>
          <w:bCs/>
          <w:color w:val="000000" w:themeColor="text1"/>
          <w:sz w:val="20"/>
          <w:szCs w:val="20"/>
          <w:lang w:eastAsia="es-ES_tradnl"/>
        </w:rPr>
        <w:t xml:space="preserve">De esta figura se pueden destacar las siguientes características: i) procede para corregir errores simplemente formales contenidos en los actos administrativos, ya sean aritméticos, de digitación, de transcripción o de omisión de palabras, </w:t>
      </w:r>
      <w:proofErr w:type="spellStart"/>
      <w:r w:rsidRPr="002F0055">
        <w:rPr>
          <w:rFonts w:ascii="Verdana" w:hAnsi="Verdana"/>
          <w:bCs/>
          <w:color w:val="000000" w:themeColor="text1"/>
          <w:sz w:val="20"/>
          <w:szCs w:val="20"/>
          <w:lang w:eastAsia="es-ES_tradnl"/>
        </w:rPr>
        <w:t>ii</w:t>
      </w:r>
      <w:proofErr w:type="spellEnd"/>
      <w:r w:rsidRPr="002F0055">
        <w:rPr>
          <w:rFonts w:ascii="Verdana" w:hAnsi="Verdana"/>
          <w:bCs/>
          <w:color w:val="000000" w:themeColor="text1"/>
          <w:sz w:val="20"/>
          <w:szCs w:val="20"/>
          <w:lang w:eastAsia="es-ES_tradnl"/>
        </w:rPr>
        <w:t xml:space="preserve">) no permite cambios sustanciales o materiales de la decisión, </w:t>
      </w:r>
      <w:proofErr w:type="spellStart"/>
      <w:r w:rsidRPr="002F0055">
        <w:rPr>
          <w:rFonts w:ascii="Verdana" w:hAnsi="Verdana"/>
          <w:bCs/>
          <w:color w:val="000000" w:themeColor="text1"/>
          <w:sz w:val="20"/>
          <w:szCs w:val="20"/>
          <w:lang w:eastAsia="es-ES_tradnl"/>
        </w:rPr>
        <w:t>iii</w:t>
      </w:r>
      <w:proofErr w:type="spellEnd"/>
      <w:r w:rsidRPr="002F0055">
        <w:rPr>
          <w:rFonts w:ascii="Verdana" w:hAnsi="Verdana"/>
          <w:bCs/>
          <w:color w:val="000000" w:themeColor="text1"/>
          <w:sz w:val="20"/>
          <w:szCs w:val="20"/>
          <w:lang w:eastAsia="es-ES_tradnl"/>
        </w:rPr>
        <w:t xml:space="preserve">) puede realizarse en cualquier tiempo, </w:t>
      </w:r>
      <w:proofErr w:type="spellStart"/>
      <w:r w:rsidRPr="002F0055">
        <w:rPr>
          <w:rFonts w:ascii="Verdana" w:hAnsi="Verdana"/>
          <w:bCs/>
          <w:color w:val="000000" w:themeColor="text1"/>
          <w:sz w:val="20"/>
          <w:szCs w:val="20"/>
          <w:lang w:eastAsia="es-ES_tradnl"/>
        </w:rPr>
        <w:t>iv</w:t>
      </w:r>
      <w:proofErr w:type="spellEnd"/>
      <w:r w:rsidRPr="002F0055">
        <w:rPr>
          <w:rFonts w:ascii="Verdana" w:hAnsi="Verdana"/>
          <w:bCs/>
          <w:color w:val="000000" w:themeColor="text1"/>
          <w:sz w:val="20"/>
          <w:szCs w:val="20"/>
          <w:lang w:eastAsia="es-ES_tradnl"/>
        </w:rPr>
        <w:t>) procede de oficio o a petición de parte, v) el acto administrativo de corrección no revive términos para demandar el acto corregido, vi) debe ser notificada o comunicada a los interesados</w:t>
      </w:r>
      <w:r>
        <w:rPr>
          <w:rFonts w:ascii="Verdana" w:hAnsi="Verdana"/>
          <w:bCs/>
          <w:color w:val="000000" w:themeColor="text1"/>
          <w:sz w:val="20"/>
          <w:szCs w:val="20"/>
          <w:lang w:eastAsia="es-ES_tradnl"/>
        </w:rPr>
        <w:t xml:space="preserve">. </w:t>
      </w:r>
    </w:p>
    <w:p w14:paraId="229735CB" w14:textId="77777777" w:rsidR="00E11BF6" w:rsidRPr="00E11BF6" w:rsidRDefault="00E11BF6" w:rsidP="00E11BF6">
      <w:pPr>
        <w:tabs>
          <w:tab w:val="left" w:pos="426"/>
        </w:tabs>
        <w:spacing w:after="0" w:line="240" w:lineRule="auto"/>
        <w:jc w:val="both"/>
        <w:rPr>
          <w:rFonts w:ascii="Verdana" w:hAnsi="Verdana" w:cs="Arial"/>
          <w:b/>
          <w:bCs/>
          <w:color w:val="000000" w:themeColor="text1"/>
        </w:rPr>
      </w:pPr>
    </w:p>
    <w:p w14:paraId="36F6B396" w14:textId="77777777" w:rsidR="00E11BF6" w:rsidRDefault="00E11BF6" w:rsidP="00E11BF6">
      <w:pPr>
        <w:tabs>
          <w:tab w:val="left" w:pos="426"/>
        </w:tabs>
        <w:spacing w:after="120" w:line="276" w:lineRule="auto"/>
        <w:jc w:val="both"/>
        <w:rPr>
          <w:rFonts w:ascii="Verdana" w:hAnsi="Verdana"/>
          <w:bCs/>
          <w:color w:val="000000" w:themeColor="text1"/>
          <w:lang w:eastAsia="es-ES_tradnl"/>
        </w:rPr>
      </w:pPr>
    </w:p>
    <w:p w14:paraId="1F5AC196" w14:textId="77777777" w:rsidR="002F0055" w:rsidRDefault="002F0055" w:rsidP="00E11BF6">
      <w:pPr>
        <w:tabs>
          <w:tab w:val="left" w:pos="426"/>
        </w:tabs>
        <w:spacing w:after="120" w:line="276" w:lineRule="auto"/>
        <w:jc w:val="both"/>
        <w:rPr>
          <w:rFonts w:ascii="Verdana" w:hAnsi="Verdana"/>
          <w:bCs/>
          <w:color w:val="000000" w:themeColor="text1"/>
          <w:lang w:eastAsia="es-ES_tradnl"/>
        </w:rPr>
      </w:pPr>
    </w:p>
    <w:p w14:paraId="4E3A9432" w14:textId="77777777" w:rsidR="002F0055" w:rsidRDefault="002F0055" w:rsidP="00E11BF6">
      <w:pPr>
        <w:tabs>
          <w:tab w:val="left" w:pos="426"/>
        </w:tabs>
        <w:spacing w:after="120" w:line="276" w:lineRule="auto"/>
        <w:jc w:val="both"/>
        <w:rPr>
          <w:rFonts w:ascii="Verdana" w:hAnsi="Verdana"/>
          <w:bCs/>
          <w:color w:val="000000" w:themeColor="text1"/>
          <w:lang w:eastAsia="es-ES_tradnl"/>
        </w:rPr>
      </w:pPr>
    </w:p>
    <w:p w14:paraId="0DFCA174" w14:textId="77777777" w:rsidR="002F0055" w:rsidRDefault="002F0055" w:rsidP="00E11BF6">
      <w:pPr>
        <w:tabs>
          <w:tab w:val="left" w:pos="426"/>
        </w:tabs>
        <w:spacing w:after="120" w:line="276" w:lineRule="auto"/>
        <w:jc w:val="both"/>
        <w:rPr>
          <w:rFonts w:ascii="Verdana" w:hAnsi="Verdana"/>
          <w:bCs/>
          <w:color w:val="000000" w:themeColor="text1"/>
          <w:lang w:eastAsia="es-ES_tradnl"/>
        </w:rPr>
      </w:pPr>
    </w:p>
    <w:p w14:paraId="087BD3AE" w14:textId="77777777" w:rsidR="002F0055" w:rsidRDefault="002F0055" w:rsidP="00E11BF6">
      <w:pPr>
        <w:tabs>
          <w:tab w:val="left" w:pos="426"/>
        </w:tabs>
        <w:spacing w:after="120" w:line="276" w:lineRule="auto"/>
        <w:jc w:val="both"/>
        <w:rPr>
          <w:rFonts w:ascii="Verdana" w:hAnsi="Verdana"/>
          <w:bCs/>
          <w:color w:val="000000" w:themeColor="text1"/>
          <w:lang w:eastAsia="es-ES_tradnl"/>
        </w:rPr>
      </w:pPr>
    </w:p>
    <w:p w14:paraId="3975D80F" w14:textId="77777777" w:rsidR="002F0055" w:rsidRDefault="002F0055" w:rsidP="00E11BF6">
      <w:pPr>
        <w:tabs>
          <w:tab w:val="left" w:pos="426"/>
        </w:tabs>
        <w:spacing w:after="120" w:line="276" w:lineRule="auto"/>
        <w:jc w:val="both"/>
        <w:rPr>
          <w:rFonts w:ascii="Verdana" w:hAnsi="Verdana"/>
          <w:bCs/>
          <w:color w:val="000000" w:themeColor="text1"/>
          <w:lang w:eastAsia="es-ES_tradnl"/>
        </w:rPr>
      </w:pPr>
    </w:p>
    <w:p w14:paraId="74344AF2" w14:textId="77777777" w:rsidR="002F0055" w:rsidRDefault="002F0055" w:rsidP="00E11BF6">
      <w:pPr>
        <w:tabs>
          <w:tab w:val="left" w:pos="426"/>
        </w:tabs>
        <w:spacing w:after="120" w:line="276" w:lineRule="auto"/>
        <w:jc w:val="both"/>
        <w:rPr>
          <w:rFonts w:ascii="Verdana" w:hAnsi="Verdana"/>
          <w:bCs/>
          <w:color w:val="000000" w:themeColor="text1"/>
          <w:lang w:eastAsia="es-ES_tradnl"/>
        </w:rPr>
      </w:pPr>
    </w:p>
    <w:p w14:paraId="5AC792BF" w14:textId="77777777" w:rsidR="002F0055" w:rsidRDefault="002F0055" w:rsidP="00E11BF6">
      <w:pPr>
        <w:tabs>
          <w:tab w:val="left" w:pos="426"/>
        </w:tabs>
        <w:spacing w:after="120" w:line="276" w:lineRule="auto"/>
        <w:jc w:val="both"/>
        <w:rPr>
          <w:rFonts w:ascii="Verdana" w:hAnsi="Verdana"/>
          <w:bCs/>
          <w:color w:val="000000" w:themeColor="text1"/>
          <w:lang w:eastAsia="es-ES_tradnl"/>
        </w:rPr>
      </w:pPr>
    </w:p>
    <w:p w14:paraId="2E3EA6BC" w14:textId="77777777" w:rsidR="002F0055" w:rsidRDefault="002F0055" w:rsidP="00E11BF6">
      <w:pPr>
        <w:tabs>
          <w:tab w:val="left" w:pos="426"/>
        </w:tabs>
        <w:spacing w:after="120" w:line="276" w:lineRule="auto"/>
        <w:jc w:val="both"/>
        <w:rPr>
          <w:rFonts w:ascii="Verdana" w:hAnsi="Verdana"/>
          <w:bCs/>
          <w:color w:val="000000" w:themeColor="text1"/>
          <w:lang w:eastAsia="es-ES_tradnl"/>
        </w:rPr>
      </w:pPr>
    </w:p>
    <w:p w14:paraId="74FE2989" w14:textId="77777777" w:rsidR="002F0055" w:rsidRDefault="002F0055" w:rsidP="00E11BF6">
      <w:pPr>
        <w:tabs>
          <w:tab w:val="left" w:pos="426"/>
        </w:tabs>
        <w:spacing w:after="120" w:line="276" w:lineRule="auto"/>
        <w:jc w:val="both"/>
        <w:rPr>
          <w:rFonts w:ascii="Verdana" w:hAnsi="Verdana"/>
          <w:bCs/>
          <w:color w:val="000000" w:themeColor="text1"/>
          <w:lang w:eastAsia="es-ES_tradnl"/>
        </w:rPr>
      </w:pPr>
    </w:p>
    <w:p w14:paraId="0809751A" w14:textId="77777777" w:rsidR="002F0055" w:rsidRPr="00E11BF6" w:rsidRDefault="002F0055" w:rsidP="00E11BF6">
      <w:pPr>
        <w:tabs>
          <w:tab w:val="left" w:pos="426"/>
        </w:tabs>
        <w:spacing w:after="120" w:line="276" w:lineRule="auto"/>
        <w:jc w:val="both"/>
        <w:rPr>
          <w:rFonts w:ascii="Verdana" w:hAnsi="Verdana"/>
          <w:bCs/>
          <w:color w:val="000000" w:themeColor="text1"/>
          <w:lang w:eastAsia="es-ES_tradnl"/>
        </w:rPr>
      </w:pPr>
    </w:p>
    <w:p w14:paraId="1676CF83" w14:textId="0FDE76ED" w:rsidR="002D7220" w:rsidRDefault="002D7220" w:rsidP="002D7220">
      <w:pPr>
        <w:spacing w:after="0" w:line="240" w:lineRule="auto"/>
        <w:jc w:val="both"/>
        <w:rPr>
          <w:rFonts w:ascii="Verdana" w:hAnsi="Verdana"/>
        </w:rPr>
      </w:pPr>
      <w:r w:rsidRPr="00FF007A">
        <w:rPr>
          <w:rFonts w:ascii="Verdana" w:hAnsi="Verdana"/>
        </w:rPr>
        <w:lastRenderedPageBreak/>
        <w:t xml:space="preserve">Bogotá D.C., </w:t>
      </w:r>
      <w:r w:rsidR="008E52B7">
        <w:rPr>
          <w:rFonts w:ascii="Verdana" w:hAnsi="Verdana"/>
        </w:rPr>
        <w:t>27 de octubre de 2025</w:t>
      </w:r>
    </w:p>
    <w:p w14:paraId="664907B9" w14:textId="77777777" w:rsidR="008E52B7" w:rsidRDefault="008E52B7" w:rsidP="002D7220">
      <w:pPr>
        <w:spacing w:after="0" w:line="240" w:lineRule="auto"/>
        <w:jc w:val="both"/>
        <w:rPr>
          <w:rFonts w:ascii="Verdana" w:hAnsi="Verdana"/>
        </w:rPr>
      </w:pPr>
    </w:p>
    <w:p w14:paraId="292A2E29" w14:textId="452F30F9" w:rsidR="008E52B7" w:rsidRPr="00FF007A" w:rsidRDefault="008E52B7" w:rsidP="008E52B7">
      <w:pPr>
        <w:spacing w:after="0" w:line="240" w:lineRule="auto"/>
        <w:jc w:val="right"/>
        <w:rPr>
          <w:rFonts w:ascii="Verdana" w:hAnsi="Verdana"/>
        </w:rPr>
      </w:pPr>
      <w:r w:rsidRPr="008E52B7">
        <w:rPr>
          <w:rFonts w:ascii="Verdana" w:hAnsi="Verdana"/>
        </w:rPr>
        <w:drawing>
          <wp:inline distT="0" distB="0" distL="0" distR="0" wp14:anchorId="3E768D55" wp14:editId="0BDEC731">
            <wp:extent cx="2156419" cy="673881"/>
            <wp:effectExtent l="0" t="0" r="0" b="0"/>
            <wp:docPr id="6887109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710977" name=""/>
                    <pic:cNvPicPr/>
                  </pic:nvPicPr>
                  <pic:blipFill>
                    <a:blip r:embed="rId10"/>
                    <a:stretch>
                      <a:fillRect/>
                    </a:stretch>
                  </pic:blipFill>
                  <pic:spPr>
                    <a:xfrm>
                      <a:off x="0" y="0"/>
                      <a:ext cx="2165253" cy="676642"/>
                    </a:xfrm>
                    <a:prstGeom prst="rect">
                      <a:avLst/>
                    </a:prstGeom>
                  </pic:spPr>
                </pic:pic>
              </a:graphicData>
            </a:graphic>
          </wp:inline>
        </w:drawing>
      </w:r>
    </w:p>
    <w:p w14:paraId="670392C7" w14:textId="77777777" w:rsidR="002D7220" w:rsidRPr="00FF007A" w:rsidRDefault="002D7220" w:rsidP="002D7220">
      <w:pPr>
        <w:spacing w:after="0" w:line="240" w:lineRule="auto"/>
        <w:jc w:val="both"/>
        <w:rPr>
          <w:rFonts w:ascii="Verdana" w:eastAsia="Calibri" w:hAnsi="Verdana" w:cs="Arial"/>
          <w:lang w:eastAsia="es-ES"/>
        </w:rPr>
      </w:pPr>
      <w:bookmarkStart w:id="6" w:name="_Hlk197462763"/>
      <w:bookmarkStart w:id="7" w:name="_Hlk197529996"/>
    </w:p>
    <w:p w14:paraId="0F22D35B" w14:textId="77777777" w:rsidR="002D7220" w:rsidRPr="00FF007A" w:rsidRDefault="002D7220" w:rsidP="002D7220">
      <w:pPr>
        <w:spacing w:after="0" w:line="240" w:lineRule="auto"/>
        <w:jc w:val="both"/>
        <w:rPr>
          <w:rFonts w:ascii="Verdana" w:eastAsia="Calibri" w:hAnsi="Verdana" w:cs="Arial"/>
          <w:lang w:eastAsia="es-ES"/>
        </w:rPr>
      </w:pPr>
      <w:r w:rsidRPr="00FF007A">
        <w:rPr>
          <w:rFonts w:ascii="Verdana" w:eastAsia="Calibri" w:hAnsi="Verdana" w:cs="Arial"/>
          <w:lang w:eastAsia="es-ES"/>
        </w:rPr>
        <w:t>Señor</w:t>
      </w:r>
    </w:p>
    <w:p w14:paraId="46131596" w14:textId="77777777" w:rsidR="002D7220" w:rsidRDefault="002D7220" w:rsidP="002D7220">
      <w:pPr>
        <w:spacing w:after="0" w:line="240" w:lineRule="auto"/>
        <w:jc w:val="both"/>
        <w:rPr>
          <w:rFonts w:ascii="Verdana" w:eastAsia="Calibri" w:hAnsi="Verdana" w:cs="Arial"/>
          <w:b/>
          <w:lang w:eastAsia="es-ES_tradnl"/>
        </w:rPr>
      </w:pPr>
      <w:r>
        <w:rPr>
          <w:rFonts w:ascii="Verdana" w:eastAsia="Calibri" w:hAnsi="Verdana" w:cs="Arial"/>
          <w:b/>
          <w:lang w:eastAsia="es-ES_tradnl"/>
        </w:rPr>
        <w:t xml:space="preserve">Iván Darío Gutiérrez Cardozo </w:t>
      </w:r>
    </w:p>
    <w:p w14:paraId="652FF8ED" w14:textId="77777777" w:rsidR="002D7220" w:rsidRPr="00D71AF0" w:rsidRDefault="002D7220" w:rsidP="002D7220">
      <w:pPr>
        <w:spacing w:after="0" w:line="240" w:lineRule="auto"/>
        <w:jc w:val="both"/>
        <w:rPr>
          <w:rFonts w:ascii="Verdana" w:hAnsi="Verdana"/>
          <w:b/>
          <w:bCs/>
        </w:rPr>
      </w:pPr>
      <w:hyperlink r:id="rId11" w:history="1">
        <w:r w:rsidRPr="00D71AF0">
          <w:rPr>
            <w:rStyle w:val="Hipervnculo"/>
            <w:rFonts w:ascii="Verdana" w:hAnsi="Verdana"/>
            <w:b/>
            <w:bCs/>
          </w:rPr>
          <w:t>ivandariog@hotmail.com</w:t>
        </w:r>
      </w:hyperlink>
    </w:p>
    <w:p w14:paraId="7C6D8957" w14:textId="77777777" w:rsidR="002D7220" w:rsidRDefault="002D7220" w:rsidP="002D7220">
      <w:pPr>
        <w:spacing w:after="0" w:line="240" w:lineRule="auto"/>
        <w:jc w:val="both"/>
        <w:rPr>
          <w:rFonts w:ascii="Verdana" w:hAnsi="Verdana"/>
        </w:rPr>
      </w:pPr>
      <w:r>
        <w:rPr>
          <w:rFonts w:ascii="Verdana" w:hAnsi="Verdana"/>
        </w:rPr>
        <w:t xml:space="preserve">Ciudad </w:t>
      </w:r>
    </w:p>
    <w:p w14:paraId="113AC85E" w14:textId="77777777" w:rsidR="002D7220" w:rsidRPr="00FF007A" w:rsidRDefault="002D7220" w:rsidP="002D7220">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D7220" w:rsidRPr="00FF007A" w14:paraId="4D30652A" w14:textId="77777777" w:rsidTr="00A2777E">
        <w:trPr>
          <w:trHeight w:val="162"/>
        </w:trPr>
        <w:tc>
          <w:tcPr>
            <w:tcW w:w="3119" w:type="dxa"/>
          </w:tcPr>
          <w:p w14:paraId="17257812" w14:textId="77777777" w:rsidR="002D7220" w:rsidRPr="00FF007A" w:rsidRDefault="002D7220" w:rsidP="00A2777E">
            <w:pPr>
              <w:jc w:val="both"/>
              <w:rPr>
                <w:rFonts w:ascii="Verdana" w:eastAsia="Calibri" w:hAnsi="Verdana" w:cs="Arial"/>
                <w:b/>
                <w:bCs/>
                <w:color w:val="7030A0"/>
                <w:lang w:eastAsia="es-ES_tradnl"/>
              </w:rPr>
            </w:pPr>
          </w:p>
        </w:tc>
        <w:tc>
          <w:tcPr>
            <w:tcW w:w="5670" w:type="dxa"/>
          </w:tcPr>
          <w:p w14:paraId="137C0DAE" w14:textId="77777777" w:rsidR="002D7220" w:rsidRPr="00FF007A" w:rsidRDefault="002D7220" w:rsidP="00A2777E">
            <w:pPr>
              <w:jc w:val="both"/>
              <w:rPr>
                <w:rFonts w:ascii="Verdana" w:eastAsia="Calibri" w:hAnsi="Verdana" w:cs="Arial"/>
                <w:b/>
                <w:bCs/>
                <w:lang w:eastAsia="es-ES"/>
              </w:rPr>
            </w:pPr>
            <w:r w:rsidRPr="00FF007A">
              <w:rPr>
                <w:rFonts w:ascii="Verdana" w:eastAsia="Calibri" w:hAnsi="Verdana" w:cs="Arial"/>
                <w:b/>
                <w:bCs/>
                <w:lang w:eastAsia="es-ES"/>
              </w:rPr>
              <w:t>Concepto C-1</w:t>
            </w:r>
            <w:r>
              <w:rPr>
                <w:rFonts w:ascii="Verdana" w:eastAsia="Calibri" w:hAnsi="Verdana" w:cs="Arial"/>
                <w:b/>
                <w:bCs/>
                <w:lang w:eastAsia="es-ES"/>
              </w:rPr>
              <w:t xml:space="preserve">344 </w:t>
            </w:r>
            <w:r w:rsidRPr="00FF007A">
              <w:rPr>
                <w:rFonts w:ascii="Verdana" w:eastAsia="Calibri" w:hAnsi="Verdana" w:cs="Arial"/>
                <w:b/>
                <w:bCs/>
                <w:lang w:eastAsia="es-ES"/>
              </w:rPr>
              <w:t>de 2025</w:t>
            </w:r>
          </w:p>
          <w:p w14:paraId="19257619" w14:textId="77777777" w:rsidR="002D7220" w:rsidRPr="00FF007A" w:rsidRDefault="002D7220" w:rsidP="00A2777E">
            <w:pPr>
              <w:jc w:val="both"/>
              <w:rPr>
                <w:rFonts w:ascii="Verdana" w:eastAsia="Calibri" w:hAnsi="Verdana" w:cs="Arial"/>
                <w:b/>
                <w:bCs/>
                <w:color w:val="7030A0"/>
                <w:lang w:eastAsia="es-ES"/>
              </w:rPr>
            </w:pPr>
          </w:p>
        </w:tc>
      </w:tr>
      <w:tr w:rsidR="002D7220" w:rsidRPr="00FF007A" w14:paraId="7556F6FD" w14:textId="77777777" w:rsidTr="00A2777E">
        <w:trPr>
          <w:trHeight w:val="884"/>
        </w:trPr>
        <w:tc>
          <w:tcPr>
            <w:tcW w:w="3119" w:type="dxa"/>
          </w:tcPr>
          <w:p w14:paraId="54A5CC0E" w14:textId="77777777" w:rsidR="002D7220" w:rsidRPr="00FF007A" w:rsidRDefault="002D7220" w:rsidP="00A2777E">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77922015" w14:textId="77777777" w:rsidR="002D7220" w:rsidRPr="005147C0" w:rsidRDefault="002D7220" w:rsidP="00A2777E">
            <w:pPr>
              <w:spacing w:line="276" w:lineRule="auto"/>
              <w:jc w:val="both"/>
              <w:rPr>
                <w:rFonts w:ascii="Verdana" w:hAnsi="Verdana" w:cs="Arial"/>
                <w:color w:val="000000" w:themeColor="text1"/>
                <w:lang w:val="es-ES"/>
              </w:rPr>
            </w:pPr>
            <w:r>
              <w:rPr>
                <w:rFonts w:ascii="Verdana" w:hAnsi="Verdana" w:cs="Arial"/>
                <w:color w:val="000000" w:themeColor="text1"/>
                <w:lang w:val="es-ES"/>
              </w:rPr>
              <w:t xml:space="preserve">DEFECTOS O IRREGULARIDADES EN PROCEDIMIENTO - Artículo 49 Ley 80 de 1993- Requisitos / DEFECTOS O IRREGULARIDADES EN PROCEDIMIENTO - Alcance / </w:t>
            </w:r>
            <w:r w:rsidRPr="005147C0">
              <w:rPr>
                <w:rFonts w:ascii="Verdana" w:hAnsi="Verdana" w:cs="Arial"/>
                <w:color w:val="000000" w:themeColor="text1"/>
                <w:lang w:val="es-ES"/>
              </w:rPr>
              <w:t>NULIDAD</w:t>
            </w:r>
            <w:r>
              <w:rPr>
                <w:rFonts w:ascii="Verdana" w:hAnsi="Verdana" w:cs="Arial"/>
                <w:color w:val="000000" w:themeColor="text1"/>
                <w:lang w:val="es-ES"/>
              </w:rPr>
              <w:t>ES - Concepto</w:t>
            </w:r>
            <w:r w:rsidRPr="005147C0">
              <w:rPr>
                <w:rFonts w:ascii="Verdana" w:hAnsi="Verdana" w:cs="Arial"/>
                <w:color w:val="000000" w:themeColor="text1"/>
                <w:lang w:val="es-ES"/>
              </w:rPr>
              <w:t xml:space="preserve"> </w:t>
            </w:r>
            <w:r>
              <w:rPr>
                <w:rFonts w:ascii="Verdana" w:hAnsi="Verdana" w:cs="Arial"/>
                <w:color w:val="000000" w:themeColor="text1"/>
                <w:lang w:val="es-ES"/>
              </w:rPr>
              <w:t xml:space="preserve">/ NULIDADES </w:t>
            </w:r>
            <w:r w:rsidRPr="005147C0">
              <w:rPr>
                <w:rFonts w:ascii="Verdana" w:hAnsi="Verdana" w:cs="Arial"/>
                <w:color w:val="000000" w:themeColor="text1"/>
                <w:lang w:val="es-ES"/>
              </w:rPr>
              <w:t xml:space="preserve">DEL CONTRATO – </w:t>
            </w:r>
            <w:r>
              <w:rPr>
                <w:rFonts w:ascii="Verdana" w:hAnsi="Verdana" w:cs="Arial"/>
                <w:color w:val="000000" w:themeColor="text1"/>
                <w:lang w:val="es-ES"/>
              </w:rPr>
              <w:t xml:space="preserve">Absolutas – Relativas </w:t>
            </w:r>
            <w:r w:rsidRPr="005147C0">
              <w:rPr>
                <w:rFonts w:ascii="Verdana" w:hAnsi="Verdana" w:cs="Arial"/>
                <w:color w:val="000000" w:themeColor="text1"/>
                <w:lang w:val="es-ES"/>
              </w:rPr>
              <w:t xml:space="preserve">/ SANEAMIENTO – Vicios – Procedimiento de forma – Requisitos / ERRORES FORMALES – Corrección – Diferencias    </w:t>
            </w:r>
          </w:p>
          <w:p w14:paraId="3BE5AE28" w14:textId="77777777" w:rsidR="002D7220" w:rsidRPr="005147C0" w:rsidRDefault="002D7220" w:rsidP="00A2777E">
            <w:pPr>
              <w:spacing w:line="276" w:lineRule="auto"/>
              <w:jc w:val="both"/>
              <w:rPr>
                <w:rFonts w:ascii="Verdana" w:hAnsi="Verdana" w:cs="Arial"/>
                <w:color w:val="000000" w:themeColor="text1"/>
                <w:lang w:val="es-ES"/>
              </w:rPr>
            </w:pPr>
          </w:p>
        </w:tc>
      </w:tr>
      <w:tr w:rsidR="002D7220" w:rsidRPr="00FF007A" w14:paraId="6B6BBBEE" w14:textId="77777777" w:rsidTr="00A2777E">
        <w:tc>
          <w:tcPr>
            <w:tcW w:w="3119" w:type="dxa"/>
          </w:tcPr>
          <w:p w14:paraId="244E4C89" w14:textId="77777777" w:rsidR="002D7220" w:rsidRPr="00FF007A" w:rsidRDefault="002D7220" w:rsidP="00A2777E">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6ADAEAB9" w14:textId="77777777" w:rsidR="002D7220" w:rsidRPr="00FF007A" w:rsidRDefault="002D7220" w:rsidP="00A2777E">
            <w:pPr>
              <w:jc w:val="both"/>
              <w:rPr>
                <w:rFonts w:ascii="Verdana" w:eastAsia="Calibri" w:hAnsi="Verdana" w:cs="Arial"/>
                <w:lang w:eastAsia="es-ES_tradnl"/>
              </w:rPr>
            </w:pPr>
            <w:r w:rsidRPr="00FF007A">
              <w:rPr>
                <w:rFonts w:ascii="Verdana" w:eastAsia="Calibri" w:hAnsi="Verdana" w:cs="Arial"/>
                <w:lang w:eastAsia="es-ES_tradnl"/>
              </w:rPr>
              <w:t xml:space="preserve">Respuesta a consulta con radicado </w:t>
            </w:r>
            <w:r w:rsidRPr="00D71AF0">
              <w:rPr>
                <w:rFonts w:ascii="Verdana" w:eastAsia="Calibri" w:hAnsi="Verdana" w:cs="Arial"/>
                <w:lang w:eastAsia="es-ES_tradnl"/>
              </w:rPr>
              <w:t>1_2025_09_18_010271</w:t>
            </w:r>
          </w:p>
        </w:tc>
      </w:tr>
    </w:tbl>
    <w:p w14:paraId="1F159C10" w14:textId="77777777" w:rsidR="002D7220" w:rsidRPr="00FF007A" w:rsidRDefault="002D7220" w:rsidP="002D7220">
      <w:pPr>
        <w:spacing w:after="0" w:line="276" w:lineRule="auto"/>
        <w:jc w:val="both"/>
        <w:rPr>
          <w:rFonts w:ascii="Verdana" w:eastAsia="Calibri" w:hAnsi="Verdana" w:cs="Arial"/>
          <w:lang w:eastAsia="es-ES_tradnl"/>
        </w:rPr>
      </w:pPr>
    </w:p>
    <w:p w14:paraId="1B10DC5E" w14:textId="77777777" w:rsidR="002D7220" w:rsidRDefault="002D7220" w:rsidP="002D7220">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Pr>
          <w:rFonts w:ascii="Verdana" w:eastAsia="Calibri" w:hAnsi="Verdana" w:cs="Arial"/>
          <w:lang w:eastAsia="es-ES"/>
        </w:rPr>
        <w:t>o señor Gutiérrez:</w:t>
      </w:r>
    </w:p>
    <w:p w14:paraId="70E2D1B8" w14:textId="77777777" w:rsidR="002D7220" w:rsidRPr="00FF007A" w:rsidRDefault="002D7220" w:rsidP="002D7220">
      <w:pPr>
        <w:spacing w:after="0" w:line="276" w:lineRule="auto"/>
        <w:jc w:val="both"/>
        <w:rPr>
          <w:rFonts w:ascii="Verdana" w:eastAsia="Calibri" w:hAnsi="Verdana" w:cs="Arial"/>
          <w:lang w:eastAsia="es-ES"/>
        </w:rPr>
      </w:pPr>
      <w:r>
        <w:rPr>
          <w:rFonts w:ascii="Verdana" w:eastAsia="Calibri" w:hAnsi="Verdana" w:cs="Arial"/>
          <w:lang w:eastAsia="es-ES"/>
        </w:rPr>
        <w:t xml:space="preserve"> </w:t>
      </w:r>
    </w:p>
    <w:p w14:paraId="48947C4D" w14:textId="77777777" w:rsidR="002D7220" w:rsidRPr="00E05649" w:rsidRDefault="002D7220" w:rsidP="002D7220">
      <w:pPr>
        <w:tabs>
          <w:tab w:val="left" w:pos="3768"/>
        </w:tabs>
        <w:spacing w:after="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 xml:space="preserve">18 de septiembre de 2025, </w:t>
      </w:r>
      <w:r w:rsidRPr="00E05649">
        <w:rPr>
          <w:rFonts w:ascii="Verdana" w:eastAsia="Calibri" w:hAnsi="Verdana" w:cs="Arial"/>
          <w:lang w:eastAsia="es-ES"/>
        </w:rPr>
        <w:t xml:space="preserve">en la cual manifiesta lo siguiente: </w:t>
      </w:r>
    </w:p>
    <w:p w14:paraId="03716494" w14:textId="77777777" w:rsidR="002D7220" w:rsidRPr="007C7B24" w:rsidRDefault="002D7220" w:rsidP="002D7220">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highlight w:val="yellow"/>
          <w:lang w:val="es-CO"/>
        </w:rPr>
      </w:pPr>
    </w:p>
    <w:p w14:paraId="302C23A2" w14:textId="77777777" w:rsidR="002D7220" w:rsidRPr="001D3DC8" w:rsidRDefault="002D7220" w:rsidP="002D7220">
      <w:pPr>
        <w:spacing w:after="0" w:line="240" w:lineRule="auto"/>
        <w:ind w:left="709" w:right="709"/>
        <w:jc w:val="both"/>
        <w:rPr>
          <w:rFonts w:ascii="Verdana" w:eastAsia="Century Gothic" w:hAnsi="Verdana" w:cs="Century Gothic"/>
          <w:sz w:val="20"/>
          <w:szCs w:val="20"/>
        </w:rPr>
      </w:pPr>
      <w:bookmarkStart w:id="8" w:name="_Hlk192699624"/>
      <w:bookmarkStart w:id="9" w:name="_Hlk199394899"/>
      <w:r w:rsidRPr="007C7B24">
        <w:rPr>
          <w:rFonts w:ascii="Verdana" w:eastAsia="Century Gothic" w:hAnsi="Verdana" w:cs="Century Gothic"/>
          <w:sz w:val="20"/>
          <w:szCs w:val="20"/>
        </w:rPr>
        <w:t xml:space="preserve">“(…) </w:t>
      </w:r>
      <w:bookmarkEnd w:id="8"/>
      <w:bookmarkEnd w:id="9"/>
      <w:r w:rsidRPr="001D3DC8">
        <w:rPr>
          <w:rFonts w:ascii="Verdana" w:eastAsia="Century Gothic" w:hAnsi="Verdana" w:cs="Century Gothic"/>
          <w:sz w:val="20"/>
          <w:szCs w:val="20"/>
        </w:rPr>
        <w:t xml:space="preserve">en el </w:t>
      </w:r>
      <w:proofErr w:type="spellStart"/>
      <w:r w:rsidRPr="001D3DC8">
        <w:rPr>
          <w:rFonts w:ascii="Verdana" w:eastAsia="Century Gothic" w:hAnsi="Verdana" w:cs="Century Gothic"/>
          <w:sz w:val="20"/>
          <w:szCs w:val="20"/>
        </w:rPr>
        <w:t>ambito</w:t>
      </w:r>
      <w:proofErr w:type="spellEnd"/>
      <w:r w:rsidRPr="001D3DC8">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1D3DC8">
        <w:rPr>
          <w:rFonts w:ascii="Verdana" w:eastAsia="Century Gothic" w:hAnsi="Verdana" w:cs="Century Gothic"/>
          <w:sz w:val="20"/>
          <w:szCs w:val="20"/>
        </w:rPr>
        <w:t xml:space="preserve">del derecho civil existen las nulidades </w:t>
      </w:r>
      <w:proofErr w:type="spellStart"/>
      <w:r w:rsidRPr="001D3DC8">
        <w:rPr>
          <w:rFonts w:ascii="Verdana" w:eastAsia="Century Gothic" w:hAnsi="Verdana" w:cs="Century Gothic"/>
          <w:sz w:val="20"/>
          <w:szCs w:val="20"/>
        </w:rPr>
        <w:t>saneables</w:t>
      </w:r>
      <w:proofErr w:type="spellEnd"/>
      <w:r w:rsidRPr="001D3DC8">
        <w:rPr>
          <w:rFonts w:ascii="Verdana" w:eastAsia="Century Gothic" w:hAnsi="Verdana" w:cs="Century Gothic"/>
          <w:sz w:val="20"/>
          <w:szCs w:val="20"/>
        </w:rPr>
        <w:t xml:space="preserve"> e </w:t>
      </w:r>
      <w:proofErr w:type="spellStart"/>
      <w:r w:rsidRPr="001D3DC8">
        <w:rPr>
          <w:rFonts w:ascii="Verdana" w:eastAsia="Century Gothic" w:hAnsi="Verdana" w:cs="Century Gothic"/>
          <w:sz w:val="20"/>
          <w:szCs w:val="20"/>
        </w:rPr>
        <w:t>insaneables</w:t>
      </w:r>
      <w:proofErr w:type="spellEnd"/>
      <w:r w:rsidRPr="001D3DC8">
        <w:rPr>
          <w:rFonts w:ascii="Verdana" w:eastAsia="Century Gothic" w:hAnsi="Verdana" w:cs="Century Gothic"/>
          <w:sz w:val="20"/>
          <w:szCs w:val="20"/>
        </w:rPr>
        <w:t xml:space="preserve">, derivados del error, fuerza, dolo, objeto y causa </w:t>
      </w:r>
      <w:proofErr w:type="spellStart"/>
      <w:r w:rsidRPr="001D3DC8">
        <w:rPr>
          <w:rFonts w:ascii="Verdana" w:eastAsia="Century Gothic" w:hAnsi="Verdana" w:cs="Century Gothic"/>
          <w:sz w:val="20"/>
          <w:szCs w:val="20"/>
        </w:rPr>
        <w:t>ilicita</w:t>
      </w:r>
      <w:proofErr w:type="spellEnd"/>
      <w:r w:rsidRPr="001D3DC8">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1D3DC8">
        <w:rPr>
          <w:rFonts w:ascii="Verdana" w:eastAsia="Century Gothic" w:hAnsi="Verdana" w:cs="Century Gothic"/>
          <w:sz w:val="20"/>
          <w:szCs w:val="20"/>
        </w:rPr>
        <w:t xml:space="preserve">sin embargo, en la </w:t>
      </w:r>
      <w:proofErr w:type="spellStart"/>
      <w:r w:rsidRPr="001D3DC8">
        <w:rPr>
          <w:rFonts w:ascii="Verdana" w:eastAsia="Century Gothic" w:hAnsi="Verdana" w:cs="Century Gothic"/>
          <w:sz w:val="20"/>
          <w:szCs w:val="20"/>
        </w:rPr>
        <w:t>orbita</w:t>
      </w:r>
      <w:proofErr w:type="spellEnd"/>
      <w:r w:rsidRPr="001D3DC8">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1D3DC8">
        <w:rPr>
          <w:rFonts w:ascii="Verdana" w:eastAsia="Century Gothic" w:hAnsi="Verdana" w:cs="Century Gothic"/>
          <w:sz w:val="20"/>
          <w:szCs w:val="20"/>
        </w:rPr>
        <w:t xml:space="preserve">del derecho administrativo, los vicios que se derivan de la ilicitud o ilegalidad de la </w:t>
      </w:r>
      <w:r>
        <w:rPr>
          <w:rFonts w:ascii="Verdana" w:eastAsia="Century Gothic" w:hAnsi="Verdana" w:cs="Century Gothic"/>
          <w:sz w:val="20"/>
          <w:szCs w:val="20"/>
        </w:rPr>
        <w:t xml:space="preserve">actuación (sic) </w:t>
      </w:r>
      <w:r w:rsidRPr="001D3DC8">
        <w:rPr>
          <w:rFonts w:ascii="Verdana" w:eastAsia="Century Gothic" w:hAnsi="Verdana" w:cs="Century Gothic"/>
          <w:sz w:val="20"/>
          <w:szCs w:val="20"/>
        </w:rPr>
        <w:t xml:space="preserve">contractual en el marco de la ley 80 de 1993, se asumen en ocasiones, por parte de las entidades estatales como cuestiones o yerros </w:t>
      </w:r>
      <w:proofErr w:type="spellStart"/>
      <w:r w:rsidRPr="001D3DC8">
        <w:rPr>
          <w:rFonts w:ascii="Verdana" w:eastAsia="Century Gothic" w:hAnsi="Verdana" w:cs="Century Gothic"/>
          <w:sz w:val="20"/>
          <w:szCs w:val="20"/>
        </w:rPr>
        <w:t>saneables</w:t>
      </w:r>
      <w:proofErr w:type="spellEnd"/>
      <w:r w:rsidRPr="001D3DC8">
        <w:rPr>
          <w:rFonts w:ascii="Verdana" w:eastAsia="Century Gothic" w:hAnsi="Verdana" w:cs="Century Gothic"/>
          <w:sz w:val="20"/>
          <w:szCs w:val="20"/>
        </w:rPr>
        <w:t xml:space="preserve"> de manera </w:t>
      </w:r>
      <w:r>
        <w:rPr>
          <w:rFonts w:ascii="Verdana" w:eastAsia="Century Gothic" w:hAnsi="Verdana" w:cs="Century Gothic"/>
          <w:sz w:val="20"/>
          <w:szCs w:val="20"/>
        </w:rPr>
        <w:t>genérica (sic)</w:t>
      </w:r>
      <w:r w:rsidRPr="001D3DC8">
        <w:rPr>
          <w:rFonts w:ascii="Verdana" w:eastAsia="Century Gothic" w:hAnsi="Verdana" w:cs="Century Gothic"/>
          <w:sz w:val="20"/>
          <w:szCs w:val="20"/>
        </w:rPr>
        <w:t xml:space="preserve">, expidiendo resoluciones que retrotraen procesos, por vicios </w:t>
      </w:r>
      <w:r w:rsidRPr="001D3DC8">
        <w:rPr>
          <w:rFonts w:ascii="Verdana" w:eastAsia="Century Gothic" w:hAnsi="Verdana" w:cs="Century Gothic"/>
          <w:sz w:val="20"/>
          <w:szCs w:val="20"/>
        </w:rPr>
        <w:lastRenderedPageBreak/>
        <w:t xml:space="preserve">la pregunta es ¿ </w:t>
      </w:r>
      <w:proofErr w:type="spellStart"/>
      <w:r w:rsidRPr="001D3DC8">
        <w:rPr>
          <w:rFonts w:ascii="Verdana" w:eastAsia="Century Gothic" w:hAnsi="Verdana" w:cs="Century Gothic"/>
          <w:sz w:val="20"/>
          <w:szCs w:val="20"/>
        </w:rPr>
        <w:t>cuales</w:t>
      </w:r>
      <w:proofErr w:type="spellEnd"/>
      <w:r w:rsidRPr="001D3DC8">
        <w:rPr>
          <w:rFonts w:ascii="Verdana" w:eastAsia="Century Gothic" w:hAnsi="Verdana" w:cs="Century Gothic"/>
          <w:sz w:val="20"/>
          <w:szCs w:val="20"/>
        </w:rPr>
        <w:t xml:space="preserve"> son las cuestiones </w:t>
      </w:r>
      <w:proofErr w:type="spellStart"/>
      <w:r w:rsidRPr="001D3DC8">
        <w:rPr>
          <w:rFonts w:ascii="Verdana" w:eastAsia="Century Gothic" w:hAnsi="Verdana" w:cs="Century Gothic"/>
          <w:sz w:val="20"/>
          <w:szCs w:val="20"/>
        </w:rPr>
        <w:t>saneables</w:t>
      </w:r>
      <w:proofErr w:type="spellEnd"/>
      <w:r w:rsidRPr="001D3DC8">
        <w:rPr>
          <w:rFonts w:ascii="Verdana" w:eastAsia="Century Gothic" w:hAnsi="Verdana" w:cs="Century Gothic"/>
          <w:sz w:val="20"/>
          <w:szCs w:val="20"/>
        </w:rPr>
        <w:t xml:space="preserve">, en los procesos de </w:t>
      </w:r>
      <w:proofErr w:type="spellStart"/>
      <w:r w:rsidRPr="001D3DC8">
        <w:rPr>
          <w:rFonts w:ascii="Verdana" w:eastAsia="Century Gothic" w:hAnsi="Verdana" w:cs="Century Gothic"/>
          <w:sz w:val="20"/>
          <w:szCs w:val="20"/>
        </w:rPr>
        <w:t>selecccion</w:t>
      </w:r>
      <w:proofErr w:type="spellEnd"/>
      <w:r>
        <w:rPr>
          <w:rFonts w:ascii="Verdana" w:eastAsia="Century Gothic" w:hAnsi="Verdana" w:cs="Century Gothic"/>
          <w:sz w:val="20"/>
          <w:szCs w:val="20"/>
        </w:rPr>
        <w:t xml:space="preserve"> (sic)</w:t>
      </w:r>
      <w:r w:rsidRPr="001D3DC8">
        <w:rPr>
          <w:rFonts w:ascii="Verdana" w:eastAsia="Century Gothic" w:hAnsi="Verdana" w:cs="Century Gothic"/>
          <w:sz w:val="20"/>
          <w:szCs w:val="20"/>
        </w:rPr>
        <w:t xml:space="preserve">? - ¿es posible retrotraer un informe de </w:t>
      </w:r>
      <w:proofErr w:type="spellStart"/>
      <w:r w:rsidRPr="001D3DC8">
        <w:rPr>
          <w:rFonts w:ascii="Verdana" w:eastAsia="Century Gothic" w:hAnsi="Verdana" w:cs="Century Gothic"/>
          <w:sz w:val="20"/>
          <w:szCs w:val="20"/>
        </w:rPr>
        <w:t>evalaucion</w:t>
      </w:r>
      <w:proofErr w:type="spellEnd"/>
      <w:r w:rsidRPr="001D3DC8">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1D3DC8">
        <w:rPr>
          <w:rFonts w:ascii="Verdana" w:eastAsia="Century Gothic" w:hAnsi="Verdana" w:cs="Century Gothic"/>
          <w:sz w:val="20"/>
          <w:szCs w:val="20"/>
        </w:rPr>
        <w:t xml:space="preserve">publicado? ¿la ilicitud proveniente de la </w:t>
      </w:r>
      <w:r>
        <w:rPr>
          <w:rFonts w:ascii="Verdana" w:eastAsia="Century Gothic" w:hAnsi="Verdana" w:cs="Century Gothic"/>
          <w:sz w:val="20"/>
          <w:szCs w:val="20"/>
        </w:rPr>
        <w:t xml:space="preserve">violación (sic) </w:t>
      </w:r>
      <w:r w:rsidRPr="001D3DC8">
        <w:rPr>
          <w:rFonts w:ascii="Verdana" w:eastAsia="Century Gothic" w:hAnsi="Verdana" w:cs="Century Gothic"/>
          <w:sz w:val="20"/>
          <w:szCs w:val="20"/>
        </w:rPr>
        <w:t xml:space="preserve">del debido proceso contractual es </w:t>
      </w:r>
      <w:proofErr w:type="spellStart"/>
      <w:r w:rsidRPr="001D3DC8">
        <w:rPr>
          <w:rFonts w:ascii="Verdana" w:eastAsia="Century Gothic" w:hAnsi="Verdana" w:cs="Century Gothic"/>
          <w:sz w:val="20"/>
          <w:szCs w:val="20"/>
        </w:rPr>
        <w:t>saneable</w:t>
      </w:r>
      <w:proofErr w:type="spellEnd"/>
      <w:r>
        <w:rPr>
          <w:rFonts w:ascii="Verdana" w:eastAsia="Century Gothic" w:hAnsi="Verdana" w:cs="Century Gothic"/>
          <w:sz w:val="20"/>
          <w:szCs w:val="20"/>
        </w:rPr>
        <w:t xml:space="preserve">? </w:t>
      </w:r>
      <w:r w:rsidRPr="001D3DC8">
        <w:rPr>
          <w:rFonts w:ascii="Verdana" w:eastAsia="Century Gothic" w:hAnsi="Verdana" w:cs="Century Gothic"/>
          <w:sz w:val="20"/>
          <w:szCs w:val="20"/>
        </w:rPr>
        <w:t xml:space="preserve">(…)”. </w:t>
      </w:r>
    </w:p>
    <w:p w14:paraId="285FDB97" w14:textId="77777777" w:rsidR="002D7220" w:rsidRPr="00302928" w:rsidRDefault="002D7220" w:rsidP="002D7220">
      <w:pPr>
        <w:pStyle w:val="Prrafodelista"/>
        <w:spacing w:after="0" w:line="240" w:lineRule="auto"/>
        <w:ind w:left="1429" w:right="709"/>
        <w:jc w:val="both"/>
        <w:rPr>
          <w:rFonts w:ascii="Verdana" w:eastAsia="Century Gothic" w:hAnsi="Verdana" w:cs="Century Gothic"/>
          <w:sz w:val="20"/>
          <w:szCs w:val="20"/>
        </w:rPr>
      </w:pPr>
    </w:p>
    <w:p w14:paraId="0077EC40" w14:textId="77777777" w:rsidR="002D7220" w:rsidRPr="00FF007A" w:rsidRDefault="002D7220" w:rsidP="002D7220">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3AF162A" w14:textId="77777777" w:rsidR="002D7220" w:rsidRPr="00AF06A2" w:rsidRDefault="002D7220" w:rsidP="002D7220">
      <w:pPr>
        <w:spacing w:after="120"/>
        <w:ind w:firstLine="709"/>
        <w:jc w:val="both"/>
        <w:rPr>
          <w:rFonts w:ascii="Verdana" w:eastAsia="Calibri" w:hAnsi="Verdana" w:cs="Arial"/>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Pr>
          <w:rFonts w:ascii="Verdana" w:eastAsia="Calibri" w:hAnsi="Verdana" w:cs="Arial"/>
          <w:color w:val="000000"/>
          <w:lang w:eastAsia="es-ES"/>
        </w:rPr>
        <w:t>con el problema jurídico</w:t>
      </w:r>
      <w:r w:rsidRPr="00AF06A2">
        <w:rPr>
          <w:rFonts w:ascii="Verdana" w:eastAsia="Calibri" w:hAnsi="Verdana" w:cs="Arial"/>
          <w:color w:val="EE0000"/>
          <w:lang w:eastAsia="es-ES"/>
        </w:rPr>
        <w:t xml:space="preserve"> </w:t>
      </w:r>
      <w:r w:rsidRPr="00AF06A2">
        <w:rPr>
          <w:rFonts w:ascii="Verdana" w:eastAsia="Calibri" w:hAnsi="Verdana" w:cs="Arial"/>
          <w:lang w:eastAsia="es-ES"/>
        </w:rPr>
        <w:t xml:space="preserve">de su consulta.  </w:t>
      </w:r>
    </w:p>
    <w:p w14:paraId="3EF2049A" w14:textId="77777777" w:rsidR="002D7220" w:rsidRPr="00AF06A2" w:rsidRDefault="002D7220" w:rsidP="002D722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AF06A2">
        <w:rPr>
          <w:rFonts w:ascii="Verdana" w:eastAsia="Century Gothic" w:hAnsi="Verdana" w:cs="Century Gothic"/>
          <w:b/>
          <w:bCs/>
          <w:lang w:val="es-CO"/>
        </w:rPr>
        <w:t>Problema planteado:</w:t>
      </w:r>
    </w:p>
    <w:p w14:paraId="65A767E4" w14:textId="77777777" w:rsidR="002D7220" w:rsidRPr="00AF06A2" w:rsidRDefault="002D7220" w:rsidP="002D7220">
      <w:pPr>
        <w:spacing w:after="0" w:line="240" w:lineRule="auto"/>
        <w:jc w:val="both"/>
        <w:rPr>
          <w:rFonts w:ascii="Verdana" w:eastAsia="Calibri" w:hAnsi="Verdana" w:cs="Arial"/>
          <w:lang w:eastAsia="es-ES"/>
        </w:rPr>
      </w:pPr>
    </w:p>
    <w:p w14:paraId="62497330" w14:textId="77777777" w:rsidR="002D7220" w:rsidRPr="005779FD" w:rsidRDefault="002D7220" w:rsidP="002D7220">
      <w:pPr>
        <w:spacing w:after="120"/>
        <w:jc w:val="both"/>
        <w:rPr>
          <w:rFonts w:ascii="Verdana" w:eastAsia="Calibri" w:hAnsi="Verdana" w:cs="Arial"/>
          <w:color w:val="000000"/>
          <w:lang w:eastAsia="es-ES"/>
        </w:rPr>
      </w:pPr>
      <w:r w:rsidRPr="006B2063">
        <w:rPr>
          <w:rFonts w:ascii="Verdana" w:eastAsia="Calibri" w:hAnsi="Verdana" w:cs="Arial"/>
          <w:color w:val="000000"/>
          <w:lang w:eastAsia="es-ES"/>
        </w:rPr>
        <w:t>De acuerdo con el contenido de su solicitud, esta Agencia resolverá el siguiente problema jurídico: ¿</w:t>
      </w:r>
      <w:r>
        <w:rPr>
          <w:rFonts w:ascii="Verdana" w:eastAsia="Century Gothic" w:hAnsi="Verdana" w:cs="Century Gothic"/>
        </w:rPr>
        <w:t>C</w:t>
      </w:r>
      <w:r w:rsidRPr="006B2063">
        <w:rPr>
          <w:rFonts w:ascii="Verdana" w:eastAsia="Century Gothic" w:hAnsi="Verdana" w:cs="Century Gothic"/>
        </w:rPr>
        <w:t>uál es el alcance y las limitaciones del artículo 49 de la Ley 80 de 1993 en lo que respecta al saneamiento de los procedimientos de selección?</w:t>
      </w:r>
    </w:p>
    <w:p w14:paraId="36D4DEB7" w14:textId="77777777" w:rsidR="002D7220" w:rsidRDefault="002D7220" w:rsidP="002D7220">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1F70EA00" w14:textId="77777777" w:rsidR="002D7220" w:rsidRPr="00FF007A" w:rsidRDefault="002D7220" w:rsidP="002D7220">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D7220" w:rsidRPr="00FF007A" w14:paraId="2339E15C" w14:textId="77777777" w:rsidTr="00A2777E">
        <w:tc>
          <w:tcPr>
            <w:tcW w:w="8828" w:type="dxa"/>
          </w:tcPr>
          <w:p w14:paraId="49CDBB78" w14:textId="77777777" w:rsidR="002D7220" w:rsidRPr="009E312D" w:rsidRDefault="002D7220" w:rsidP="00A2777E">
            <w:pPr>
              <w:tabs>
                <w:tab w:val="left" w:pos="426"/>
              </w:tabs>
              <w:spacing w:after="120" w:line="276" w:lineRule="auto"/>
              <w:jc w:val="both"/>
              <w:rPr>
                <w:rFonts w:ascii="Verdana" w:hAnsi="Verdana" w:cs="Arial"/>
                <w:bCs/>
              </w:rPr>
            </w:pPr>
            <w:r w:rsidRPr="009E312D">
              <w:rPr>
                <w:rFonts w:ascii="Verdana" w:hAnsi="Verdana" w:cs="Arial"/>
                <w:bCs/>
              </w:rPr>
              <w:t xml:space="preserve">La Ley 80 de 1993 otorga una autorización a las entidades estatales para que </w:t>
            </w:r>
            <w:r>
              <w:rPr>
                <w:rFonts w:ascii="Verdana" w:hAnsi="Verdana" w:cs="Arial"/>
                <w:bCs/>
              </w:rPr>
              <w:t>remedien o corrijan</w:t>
            </w:r>
            <w:r w:rsidRPr="009E312D">
              <w:rPr>
                <w:rFonts w:ascii="Verdana" w:hAnsi="Verdana" w:cs="Arial"/>
                <w:bCs/>
              </w:rPr>
              <w:t xml:space="preserve"> aquellos defectos o irregularidades de procedimiento o de forma que no constituyen causales de nulidad del contrato</w:t>
            </w:r>
            <w:r>
              <w:rPr>
                <w:rFonts w:ascii="Verdana" w:hAnsi="Verdana" w:cs="Arial"/>
                <w:bCs/>
              </w:rPr>
              <w:t>. Para estos efectos el artículo 49 del EGCAP dispone que “</w:t>
            </w:r>
            <w:r w:rsidRPr="009E312D">
              <w:rPr>
                <w:rFonts w:ascii="Verdana" w:hAnsi="Verdana" w:cs="Arial"/>
                <w:lang w:val="es-ES" w:eastAsia="es-CO"/>
              </w:rPr>
              <w:t>Ante la ocurrencia de vicios que no constituyan causales de nulidad y cuando las necesidades del servicio lo exijan o las reglas de la buena administración lo aconsejen, el jefe o representante legal de la entidad, en acto motivado, podrá sanear el correspondiente vicio</w:t>
            </w:r>
            <w:r>
              <w:rPr>
                <w:rFonts w:ascii="Verdana" w:hAnsi="Verdana" w:cs="Arial"/>
                <w:lang w:val="es-ES" w:eastAsia="es-CO"/>
              </w:rPr>
              <w:t>”</w:t>
            </w:r>
            <w:r w:rsidRPr="009E312D">
              <w:rPr>
                <w:rFonts w:ascii="Verdana" w:hAnsi="Verdana" w:cs="Arial"/>
                <w:lang w:val="es-ES" w:eastAsia="es-CO"/>
              </w:rPr>
              <w:t>.</w:t>
            </w:r>
          </w:p>
          <w:p w14:paraId="749DD0A5" w14:textId="77777777" w:rsidR="002D7220" w:rsidRPr="00E81D1F" w:rsidRDefault="002D7220" w:rsidP="00A2777E">
            <w:pPr>
              <w:spacing w:before="120" w:line="276" w:lineRule="auto"/>
              <w:ind w:firstLine="709"/>
              <w:jc w:val="both"/>
              <w:rPr>
                <w:rFonts w:ascii="Verdana" w:eastAsia="Aptos" w:hAnsi="Verdana" w:cs="Arial"/>
                <w:bCs/>
              </w:rPr>
            </w:pPr>
            <w:r w:rsidRPr="00E81D1F">
              <w:rPr>
                <w:rFonts w:ascii="Verdana" w:eastAsia="Aptos" w:hAnsi="Verdana" w:cs="Arial"/>
                <w:bCs/>
              </w:rPr>
              <w:lastRenderedPageBreak/>
              <w:t xml:space="preserve">De la lectura de esta norma se puede apreciar que para su aplicación se requiere el cumplimiento de los siguientes requisitos: i) el vicio a sanear tiene de que ser de procedimiento o de forma, lo que significa que no es posible sanear a través de esta figura los vicios de fondo o sustanciales del acto o contrato, lo que lleva a que,  </w:t>
            </w:r>
            <w:proofErr w:type="spellStart"/>
            <w:r w:rsidRPr="00E81D1F">
              <w:rPr>
                <w:rFonts w:ascii="Verdana" w:eastAsia="Aptos" w:hAnsi="Verdana" w:cs="Arial"/>
                <w:bCs/>
              </w:rPr>
              <w:t>ii</w:t>
            </w:r>
            <w:proofErr w:type="spellEnd"/>
            <w:r w:rsidRPr="00E81D1F">
              <w:rPr>
                <w:rFonts w:ascii="Verdana" w:eastAsia="Aptos" w:hAnsi="Verdana" w:cs="Arial"/>
                <w:bCs/>
              </w:rPr>
              <w:t xml:space="preserve">) el vicio a sanear no puede corresponder a  ninguna de las causales de nulidad absoluta o relativa de los contratos estatales, </w:t>
            </w:r>
            <w:proofErr w:type="spellStart"/>
            <w:r w:rsidRPr="00E81D1F">
              <w:rPr>
                <w:rFonts w:ascii="Verdana" w:eastAsia="Aptos" w:hAnsi="Verdana" w:cs="Arial"/>
                <w:bCs/>
              </w:rPr>
              <w:t>iii</w:t>
            </w:r>
            <w:proofErr w:type="spellEnd"/>
            <w:r w:rsidRPr="00E81D1F">
              <w:rPr>
                <w:rFonts w:ascii="Verdana" w:eastAsia="Aptos" w:hAnsi="Verdana" w:cs="Arial"/>
                <w:bCs/>
              </w:rPr>
              <w:t xml:space="preserve">) debe hacerse mediante acto administrativo motivado, </w:t>
            </w:r>
            <w:proofErr w:type="spellStart"/>
            <w:r w:rsidRPr="00E81D1F">
              <w:rPr>
                <w:rFonts w:ascii="Verdana" w:eastAsia="Aptos" w:hAnsi="Verdana" w:cs="Arial"/>
                <w:bCs/>
              </w:rPr>
              <w:t>iv</w:t>
            </w:r>
            <w:proofErr w:type="spellEnd"/>
            <w:r w:rsidRPr="00E81D1F">
              <w:rPr>
                <w:rFonts w:ascii="Verdana" w:eastAsia="Aptos" w:hAnsi="Verdana" w:cs="Arial"/>
                <w:bCs/>
              </w:rPr>
              <w:t>) el funcionario competente es el jefe o representante legal de la entidad y v) el saneamiento debe ocurrir cuando las necesidades del servicio lo exijan o a las reglas de la buena administración lo aconsejen.</w:t>
            </w:r>
          </w:p>
          <w:p w14:paraId="655A32EA" w14:textId="77777777" w:rsidR="002D7220" w:rsidRPr="00E81D1F" w:rsidRDefault="002D7220" w:rsidP="00A2777E">
            <w:pPr>
              <w:spacing w:before="120" w:line="276" w:lineRule="auto"/>
              <w:ind w:firstLine="709"/>
              <w:jc w:val="both"/>
              <w:rPr>
                <w:rFonts w:ascii="Verdana" w:eastAsia="Aptos" w:hAnsi="Verdana" w:cs="Arial"/>
                <w:bCs/>
              </w:rPr>
            </w:pPr>
            <w:r w:rsidRPr="00E81D1F">
              <w:rPr>
                <w:rFonts w:ascii="Verdana" w:eastAsia="Aptos" w:hAnsi="Verdana" w:cs="Arial"/>
                <w:bCs/>
              </w:rPr>
              <w:t xml:space="preserve">De esta manera, resulta necesario que las entidades estatales, dentro de su autonomía administrativa, analicen si determinada situación se trata de un vicio de procedimiento o de forma y que no constituya causal de nulidad, pues de lo contrario no resultaría aplicable el saneamiento del proceso con base en el artículo 49 de la Ley 80 de 1993. Teniendo en cuenta que son múltiples las situaciones que se pueden generar alrededor del caso expuesto en la consulta, esta Agencia no puede, </w:t>
            </w:r>
            <w:r w:rsidRPr="00E81D1F">
              <w:rPr>
                <w:rFonts w:ascii="Verdana" w:eastAsia="Aptos" w:hAnsi="Verdana" w:cs="Arial"/>
              </w:rPr>
              <w:t>vía concepto, establecer criterios vinculantes sobre la aplicación de esta figura u otros procedimientos. Su función consultiva se limita a brindar orientaciones generales, de conformidad con el principio de juridicidad, para que las entidades del Sistema de Compras y Contratación Pública adopten las decisiones correspondientes en el marco de su gestión contractual.</w:t>
            </w:r>
          </w:p>
          <w:p w14:paraId="50602747" w14:textId="77777777" w:rsidR="002D7220" w:rsidRPr="00E81D1F" w:rsidRDefault="002D7220" w:rsidP="00A2777E">
            <w:pPr>
              <w:spacing w:before="120" w:line="276" w:lineRule="auto"/>
              <w:ind w:firstLine="709"/>
              <w:jc w:val="both"/>
              <w:rPr>
                <w:rFonts w:ascii="Verdana" w:eastAsia="Aptos" w:hAnsi="Verdana" w:cs="Arial"/>
                <w:bCs/>
              </w:rPr>
            </w:pPr>
            <w:r w:rsidRPr="00E81D1F">
              <w:rPr>
                <w:rFonts w:ascii="Verdana" w:eastAsia="Aptos" w:hAnsi="Verdana" w:cs="Arial"/>
                <w:bCs/>
              </w:rPr>
              <w:t xml:space="preserve">En todo caso, es fundamental que la entidad estatal garantice el principio de selección objetiva, de tal manera que aquellos eventos que impidan aplicar una escogencia objetiva, la entidad adopte las medidas correspondientes dentro del marco normativo vigente. Por tanto, la entidad podrá analizar la procedencia del artículo 49 de la Ley 80 de 1993 según lo expuesto en este concepto o considerar la expedición de actos administrativos que decidan sobre la continuidad del procedimiento de selección como consecuencia de la imposibilidad de aplicar el principio de selección objetiva, en el marco de lo dispuesto en el artículo 25 </w:t>
            </w:r>
            <w:r w:rsidRPr="00E81D1F">
              <w:rPr>
                <w:rFonts w:ascii="Verdana" w:eastAsia="Aptos" w:hAnsi="Verdana" w:cs="Arial"/>
                <w:bCs/>
                <w:i/>
                <w:iCs/>
              </w:rPr>
              <w:t>ibidem</w:t>
            </w:r>
            <w:r w:rsidRPr="00E81D1F">
              <w:rPr>
                <w:rFonts w:ascii="Verdana" w:eastAsia="Aptos" w:hAnsi="Verdana" w:cs="Arial"/>
                <w:bCs/>
              </w:rPr>
              <w:t xml:space="preserve">, o en su defecto, adoptar cualquier otra actuación que permita el cumplimiento de los principios de la contratación estatal y los fines del estado, dentro del marco legal vigente. De todas formas, se recomienda que la entidad opte por la alternativa que represente el menor impacto posible tanto para la administración como para los derechos adquiridos que eventualmente puedan verse comprometidos. </w:t>
            </w:r>
          </w:p>
          <w:p w14:paraId="13CFBAB1" w14:textId="77777777" w:rsidR="002D7220" w:rsidRPr="00E862F3" w:rsidRDefault="002D7220" w:rsidP="00A2777E">
            <w:pPr>
              <w:spacing w:before="120" w:line="276" w:lineRule="auto"/>
              <w:ind w:firstLine="709"/>
              <w:jc w:val="both"/>
              <w:rPr>
                <w:rFonts w:ascii="Verdana" w:eastAsia="Aptos" w:hAnsi="Verdana" w:cs="Arial"/>
              </w:rPr>
            </w:pPr>
            <w:r w:rsidRPr="00725B84">
              <w:rPr>
                <w:rFonts w:ascii="Verdana" w:eastAsia="Aptos" w:hAnsi="Verdana" w:cs="Arial"/>
                <w:bCs/>
              </w:rPr>
              <w:lastRenderedPageBreak/>
              <w:t>Al margen de la explicación precedente debe advertirse que el análisis requerido para resolver problemas específicos en torno a la gestión contractual de las entidades públicas debe ser realizado por quienes tengan interés</w:t>
            </w:r>
            <w:r w:rsidRPr="00E81D1F">
              <w:rPr>
                <w:rFonts w:ascii="Verdana" w:eastAsia="Aptos" w:hAnsi="Verdana" w:cs="Arial"/>
                <w:bCs/>
              </w:rPr>
              <w:t xml:space="preserve">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E873DB7" w14:textId="77777777" w:rsidR="002D7220" w:rsidRPr="00FF007A" w:rsidRDefault="002D7220" w:rsidP="002D7220">
      <w:pPr>
        <w:tabs>
          <w:tab w:val="left" w:pos="142"/>
          <w:tab w:val="left" w:pos="284"/>
        </w:tabs>
        <w:spacing w:after="0" w:line="276" w:lineRule="auto"/>
        <w:jc w:val="both"/>
        <w:rPr>
          <w:rFonts w:ascii="Verdana" w:eastAsia="Century Gothic" w:hAnsi="Verdana" w:cs="Century Gothic"/>
          <w:b/>
          <w:bCs/>
        </w:rPr>
      </w:pPr>
    </w:p>
    <w:p w14:paraId="255797A2" w14:textId="77777777" w:rsidR="002D7220" w:rsidRPr="00FF007A" w:rsidRDefault="002D7220" w:rsidP="002D7220">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2C60E8F6" w14:textId="77777777" w:rsidR="002D7220" w:rsidRPr="00FF007A" w:rsidRDefault="002D7220" w:rsidP="002D7220">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1CD5E74E" w14:textId="77777777" w:rsidR="002D7220" w:rsidRDefault="002D7220" w:rsidP="002D7220">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55176F2E" w14:textId="77777777" w:rsidR="002D7220" w:rsidRDefault="002D7220" w:rsidP="002D7220">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7F111B5D" w14:textId="77777777" w:rsidR="002D7220" w:rsidRPr="009E312D" w:rsidRDefault="002D7220" w:rsidP="002D7220">
      <w:pPr>
        <w:tabs>
          <w:tab w:val="left" w:pos="426"/>
        </w:tabs>
        <w:spacing w:after="120" w:line="276" w:lineRule="auto"/>
        <w:jc w:val="both"/>
        <w:rPr>
          <w:rFonts w:ascii="Verdana" w:hAnsi="Verdana" w:cs="Arial"/>
          <w:bCs/>
        </w:rPr>
      </w:pPr>
      <w:r w:rsidRPr="009E312D">
        <w:rPr>
          <w:rFonts w:ascii="Verdana" w:hAnsi="Verdana" w:cs="Arial"/>
          <w:bCs/>
        </w:rPr>
        <w:t xml:space="preserve">La Ley 80 de 1993 otorga una autorización a las entidades estatales para que </w:t>
      </w:r>
      <w:r>
        <w:rPr>
          <w:rFonts w:ascii="Verdana" w:hAnsi="Verdana" w:cs="Arial"/>
          <w:bCs/>
        </w:rPr>
        <w:t>remedien o corrijan</w:t>
      </w:r>
      <w:r w:rsidRPr="009E312D">
        <w:rPr>
          <w:rFonts w:ascii="Verdana" w:hAnsi="Verdana" w:cs="Arial"/>
          <w:bCs/>
        </w:rPr>
        <w:t xml:space="preserve"> aquellos defectos o irregularidades de procedimiento o de forma que no constituyen causales de nulidad del contrato</w:t>
      </w:r>
      <w:r>
        <w:rPr>
          <w:rFonts w:ascii="Verdana" w:hAnsi="Verdana" w:cs="Arial"/>
          <w:bCs/>
        </w:rPr>
        <w:t>. Para estos efectos el artículo 49 del EGCAP dispone que “</w:t>
      </w:r>
      <w:r w:rsidRPr="009E312D">
        <w:rPr>
          <w:rFonts w:ascii="Verdana" w:hAnsi="Verdana" w:cs="Arial"/>
          <w:lang w:val="es-ES" w:eastAsia="es-CO"/>
        </w:rPr>
        <w:t>Ante la ocurrencia de vicios que no constituyan causales de nulidad y cuando las necesidades del servicio lo exijan o las reglas de la buena administración lo aconsejen, el jefe o representante legal de la entidad, en acto motivado, podrá sanear el correspondiente vicio</w:t>
      </w:r>
      <w:r>
        <w:rPr>
          <w:rFonts w:ascii="Verdana" w:hAnsi="Verdana" w:cs="Arial"/>
          <w:lang w:val="es-ES" w:eastAsia="es-CO"/>
        </w:rPr>
        <w:t>”</w:t>
      </w:r>
      <w:r w:rsidRPr="009E312D">
        <w:rPr>
          <w:rFonts w:ascii="Verdana" w:hAnsi="Verdana" w:cs="Arial"/>
          <w:lang w:val="es-ES" w:eastAsia="es-CO"/>
        </w:rPr>
        <w:t>.</w:t>
      </w:r>
    </w:p>
    <w:p w14:paraId="4E53AEF4" w14:textId="77777777" w:rsidR="002D7220" w:rsidRPr="009E312D" w:rsidRDefault="002D7220" w:rsidP="002D7220">
      <w:pPr>
        <w:pStyle w:val="Textoindependiente"/>
        <w:spacing w:after="120" w:line="259" w:lineRule="auto"/>
        <w:ind w:right="108" w:firstLine="709"/>
        <w:jc w:val="both"/>
        <w:rPr>
          <w:rFonts w:ascii="Verdana" w:eastAsia="Times New Roman" w:hAnsi="Verdana"/>
          <w:bCs/>
          <w:color w:val="000000" w:themeColor="text1"/>
          <w:lang w:eastAsia="es-ES_tradnl"/>
        </w:rPr>
      </w:pPr>
      <w:r w:rsidRPr="009E312D">
        <w:rPr>
          <w:rFonts w:ascii="Verdana" w:hAnsi="Verdana"/>
          <w:color w:val="000000" w:themeColor="text1"/>
          <w:lang w:val="es-MX"/>
        </w:rPr>
        <w:t xml:space="preserve">De la lectura de </w:t>
      </w:r>
      <w:r w:rsidRPr="009E312D">
        <w:rPr>
          <w:rFonts w:ascii="Verdana" w:hAnsi="Verdana"/>
          <w:color w:val="000000" w:themeColor="text1"/>
        </w:rPr>
        <w:t xml:space="preserve">esta norma se puede apreciar que para su aplicación se requiere el cumplimiento de los siguientes requisitos: </w:t>
      </w:r>
      <w:r w:rsidRPr="009E312D">
        <w:rPr>
          <w:rFonts w:ascii="Verdana" w:eastAsia="Times New Roman" w:hAnsi="Verdana"/>
          <w:bCs/>
          <w:color w:val="000000" w:themeColor="text1"/>
          <w:lang w:eastAsia="es-ES_tradnl"/>
        </w:rPr>
        <w:t xml:space="preserve">i) el vicio a sanear tiene de que ser de procedimiento o de forma, lo que significa que no es posible sanear a través de esta figura los vicios de fondo o sustanciales del acto o contrato, lo que lleva a que,  </w:t>
      </w:r>
      <w:proofErr w:type="spellStart"/>
      <w:r w:rsidRPr="009E312D">
        <w:rPr>
          <w:rFonts w:ascii="Verdana" w:eastAsia="Times New Roman" w:hAnsi="Verdana"/>
          <w:bCs/>
          <w:color w:val="000000" w:themeColor="text1"/>
          <w:lang w:eastAsia="es-ES_tradnl"/>
        </w:rPr>
        <w:t>ii</w:t>
      </w:r>
      <w:proofErr w:type="spellEnd"/>
      <w:r w:rsidRPr="009E312D">
        <w:rPr>
          <w:rFonts w:ascii="Verdana" w:eastAsia="Times New Roman" w:hAnsi="Verdana"/>
          <w:bCs/>
          <w:color w:val="000000" w:themeColor="text1"/>
          <w:lang w:eastAsia="es-ES_tradnl"/>
        </w:rPr>
        <w:t xml:space="preserve">) el vicio a sanear no puede corresponder a  ninguna de las causales de nulidad absoluta o relativa de los contratos estatales, </w:t>
      </w:r>
      <w:proofErr w:type="spellStart"/>
      <w:r w:rsidRPr="009E312D">
        <w:rPr>
          <w:rFonts w:ascii="Verdana" w:eastAsia="Times New Roman" w:hAnsi="Verdana"/>
          <w:bCs/>
          <w:color w:val="000000" w:themeColor="text1"/>
          <w:lang w:eastAsia="es-ES_tradnl"/>
        </w:rPr>
        <w:t>iii</w:t>
      </w:r>
      <w:proofErr w:type="spellEnd"/>
      <w:r w:rsidRPr="009E312D">
        <w:rPr>
          <w:rFonts w:ascii="Verdana" w:eastAsia="Times New Roman" w:hAnsi="Verdana"/>
          <w:bCs/>
          <w:color w:val="000000" w:themeColor="text1"/>
          <w:lang w:eastAsia="es-ES_tradnl"/>
        </w:rPr>
        <w:t xml:space="preserve">) debe hacerse mediante acto administrativo motivado, </w:t>
      </w:r>
      <w:proofErr w:type="spellStart"/>
      <w:r w:rsidRPr="009E312D">
        <w:rPr>
          <w:rFonts w:ascii="Verdana" w:eastAsia="Times New Roman" w:hAnsi="Verdana"/>
          <w:bCs/>
          <w:color w:val="000000" w:themeColor="text1"/>
          <w:lang w:eastAsia="es-ES_tradnl"/>
        </w:rPr>
        <w:t>iv</w:t>
      </w:r>
      <w:proofErr w:type="spellEnd"/>
      <w:r w:rsidRPr="009E312D">
        <w:rPr>
          <w:rFonts w:ascii="Verdana" w:eastAsia="Times New Roman" w:hAnsi="Verdana"/>
          <w:bCs/>
          <w:color w:val="000000" w:themeColor="text1"/>
          <w:lang w:eastAsia="es-ES_tradnl"/>
        </w:rPr>
        <w:t xml:space="preserve">) el funcionario competente es el jefe o representante legal de la entidad y v) el saneamiento debe ocurrir cuando las necesidades del servicio lo exijan o a las reglas de la buena administración lo aconsejen. </w:t>
      </w:r>
    </w:p>
    <w:p w14:paraId="7B6B9D54" w14:textId="77777777" w:rsidR="002D7220" w:rsidRPr="00370279" w:rsidRDefault="002D7220" w:rsidP="002D7220">
      <w:pPr>
        <w:tabs>
          <w:tab w:val="left" w:pos="426"/>
        </w:tabs>
        <w:spacing w:after="0" w:line="276" w:lineRule="auto"/>
        <w:ind w:firstLine="709"/>
        <w:jc w:val="both"/>
        <w:rPr>
          <w:rFonts w:ascii="Verdana" w:eastAsia="Calibri" w:hAnsi="Verdana" w:cs="Arial"/>
          <w:color w:val="000000" w:themeColor="text1"/>
          <w:lang w:val="es-ES_tradnl"/>
        </w:rPr>
      </w:pPr>
      <w:r w:rsidRPr="009E312D">
        <w:rPr>
          <w:rFonts w:ascii="Verdana" w:hAnsi="Verdana" w:cs="Arial"/>
          <w:color w:val="000000" w:themeColor="text1"/>
        </w:rPr>
        <w:t xml:space="preserve">De lo anterior, resulta relevante precisar, en primer lugar, que </w:t>
      </w:r>
      <w:r w:rsidRPr="009E312D">
        <w:rPr>
          <w:rFonts w:ascii="Verdana" w:eastAsia="Calibri" w:hAnsi="Verdana" w:cs="Arial"/>
          <w:color w:val="000000" w:themeColor="text1"/>
          <w:lang w:val="es-ES_tradnl"/>
        </w:rPr>
        <w:t xml:space="preserve">los vicios de procedimiento o de forma son aquellos que se presentan cuando la Administración no observa los requisitos previos y concomitantes a la expedición del acto administrativo, como la omisión de las etapas </w:t>
      </w:r>
      <w:r>
        <w:rPr>
          <w:rFonts w:ascii="Verdana" w:eastAsia="Calibri" w:hAnsi="Verdana" w:cs="Arial"/>
          <w:color w:val="000000" w:themeColor="text1"/>
          <w:lang w:val="es-ES_tradnl"/>
        </w:rPr>
        <w:t>del proceso de selección</w:t>
      </w:r>
      <w:r w:rsidRPr="009E312D">
        <w:rPr>
          <w:rFonts w:ascii="Verdana" w:eastAsia="Calibri" w:hAnsi="Verdana" w:cs="Arial"/>
          <w:color w:val="000000" w:themeColor="text1"/>
          <w:lang w:val="es-ES_tradnl"/>
        </w:rPr>
        <w:t xml:space="preserve"> o el desconocimiento del carácter preclusivo y perentorio de las mismas, lo que puede originar un vicio de nulidad de la adjudicación, pues las etapas previas a </w:t>
      </w:r>
      <w:r w:rsidRPr="009E312D">
        <w:rPr>
          <w:rFonts w:ascii="Verdana" w:eastAsia="Calibri" w:hAnsi="Verdana" w:cs="Arial"/>
          <w:color w:val="000000" w:themeColor="text1"/>
          <w:lang w:val="es-ES_tradnl"/>
        </w:rPr>
        <w:lastRenderedPageBreak/>
        <w:t>la expedición del acto administrativo constituyen formalidades que deben cumplirse, como elemento de validez de este. Como ha dicho la doctrina</w:t>
      </w:r>
      <w:r>
        <w:rPr>
          <w:rFonts w:ascii="Verdana" w:eastAsia="Calibri" w:hAnsi="Verdana" w:cs="Arial"/>
          <w:color w:val="000000" w:themeColor="text1"/>
          <w:lang w:val="es-ES_tradnl"/>
        </w:rPr>
        <w:t>,</w:t>
      </w:r>
      <w:r w:rsidRPr="009E312D">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w:t>
      </w:r>
      <w:r w:rsidRPr="009E312D">
        <w:rPr>
          <w:rFonts w:ascii="Verdana" w:eastAsia="Calibri" w:hAnsi="Verdana" w:cs="Arial"/>
          <w:color w:val="000000" w:themeColor="text1"/>
          <w:lang w:val="es-ES_tradnl"/>
        </w:rPr>
        <w:t xml:space="preserve"> la inobservancia de las </w:t>
      </w:r>
      <w:r>
        <w:rPr>
          <w:rFonts w:ascii="Verdana" w:eastAsia="Calibri" w:hAnsi="Verdana" w:cs="Arial"/>
          <w:color w:val="000000" w:themeColor="text1"/>
          <w:lang w:val="es-ES_tradnl"/>
        </w:rPr>
        <w:t>“</w:t>
      </w:r>
      <w:r w:rsidRPr="009E312D">
        <w:rPr>
          <w:rFonts w:ascii="Verdana" w:eastAsia="Calibri" w:hAnsi="Verdana" w:cs="Arial"/>
          <w:color w:val="000000" w:themeColor="text1"/>
          <w:lang w:val="es-ES_tradnl"/>
        </w:rPr>
        <w:t>formas</w:t>
      </w:r>
      <w:r>
        <w:rPr>
          <w:rFonts w:ascii="Verdana" w:eastAsia="Calibri" w:hAnsi="Verdana" w:cs="Arial"/>
          <w:color w:val="000000" w:themeColor="text1"/>
          <w:lang w:val="es-ES_tradnl"/>
        </w:rPr>
        <w:t>”</w:t>
      </w:r>
      <w:r w:rsidRPr="009E312D">
        <w:rPr>
          <w:rFonts w:ascii="Verdana" w:eastAsia="Calibri" w:hAnsi="Verdana" w:cs="Arial"/>
          <w:color w:val="000000" w:themeColor="text1"/>
          <w:lang w:val="es-ES_tradnl"/>
        </w:rPr>
        <w:t xml:space="preserve"> y requisitos del procedimiento administrativo se traduce en un defecto de preparación de la voluntad administrativa (así la defensa en juicio en el procedimiento administrativo; la licitación pública para las contrataciones; el concurso para la provisión de cargos) </w:t>
      </w:r>
      <w:r>
        <w:rPr>
          <w:rFonts w:ascii="Verdana" w:eastAsia="Calibri" w:hAnsi="Verdana" w:cs="Arial"/>
          <w:color w:val="000000" w:themeColor="text1"/>
          <w:lang w:val="es-ES_tradnl"/>
        </w:rPr>
        <w:t>(…)”</w:t>
      </w:r>
      <w:r w:rsidRPr="009E312D">
        <w:rPr>
          <w:rStyle w:val="Refdenotaalpie"/>
          <w:rFonts w:ascii="Verdana" w:eastAsia="Calibri" w:hAnsi="Verdana" w:cs="Arial"/>
          <w:color w:val="000000" w:themeColor="text1"/>
          <w:lang w:val="es-ES_tradnl"/>
        </w:rPr>
        <w:footnoteReference w:id="1"/>
      </w:r>
      <w:r w:rsidRPr="009E312D">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w:t>
      </w:r>
      <w:r w:rsidRPr="009E312D">
        <w:rPr>
          <w:rFonts w:ascii="Verdana" w:hAnsi="Verdana"/>
          <w:bCs/>
          <w:color w:val="000000" w:themeColor="text1"/>
          <w:lang w:eastAsia="es-ES_tradnl"/>
        </w:rPr>
        <w:t xml:space="preserve">El saneamiento de vicios, por su parte, ha sido definido </w:t>
      </w:r>
      <w:r w:rsidRPr="009E312D">
        <w:rPr>
          <w:rFonts w:ascii="Verdana" w:hAnsi="Verdana"/>
        </w:rPr>
        <w:t xml:space="preserve">por parte de la Sección Tercera del Consejo de Estado </w:t>
      </w:r>
      <w:r w:rsidRPr="009E312D">
        <w:rPr>
          <w:rFonts w:ascii="Verdana" w:hAnsi="Verdana"/>
          <w:bCs/>
          <w:color w:val="000000" w:themeColor="text1"/>
          <w:lang w:eastAsia="es-ES_tradnl"/>
        </w:rPr>
        <w:t xml:space="preserve">como </w:t>
      </w:r>
      <w:r w:rsidRPr="009E312D">
        <w:rPr>
          <w:rFonts w:ascii="Verdana" w:hAnsi="Verdana"/>
        </w:rPr>
        <w:t>la convalidación de los negocios que nacieron con un vicio de formación, de la siguiente manera:</w:t>
      </w:r>
    </w:p>
    <w:p w14:paraId="6A7FA5C9" w14:textId="77777777" w:rsidR="002D7220" w:rsidRPr="009E312D" w:rsidRDefault="002D7220" w:rsidP="002D7220">
      <w:pPr>
        <w:pStyle w:val="Textoindependiente"/>
        <w:ind w:right="108" w:firstLine="709"/>
        <w:jc w:val="both"/>
        <w:rPr>
          <w:rFonts w:ascii="Verdana" w:hAnsi="Verdana"/>
        </w:rPr>
      </w:pPr>
    </w:p>
    <w:p w14:paraId="3E07FD0A" w14:textId="77777777" w:rsidR="002D7220" w:rsidRPr="00F3724C" w:rsidRDefault="002D7220" w:rsidP="002D7220">
      <w:pPr>
        <w:spacing w:after="0" w:line="240" w:lineRule="auto"/>
        <w:ind w:left="709" w:right="616"/>
        <w:jc w:val="both"/>
        <w:rPr>
          <w:rFonts w:ascii="Verdana" w:hAnsi="Verdana" w:cs="Arial"/>
          <w:sz w:val="20"/>
          <w:szCs w:val="20"/>
          <w:lang w:val="es-ES" w:eastAsia="es-CO"/>
        </w:rPr>
      </w:pPr>
      <w:r w:rsidRPr="00F3724C">
        <w:rPr>
          <w:rFonts w:ascii="Verdana" w:hAnsi="Verdana" w:cs="Arial"/>
          <w:sz w:val="20"/>
          <w:szCs w:val="20"/>
          <w:lang w:val="es-ES" w:eastAsia="es-CO"/>
        </w:rPr>
        <w:t>“La doctrina define el saneamiento del contrato como ‘la remoción legal o voluntaria de la invalidez del acto’, que en caso de ser voluntaria se produce a través de la convalidación. […] Como se ha considerado por la Sección Tercera el saneamiento convalida los negocios que nacieron con un vicio en su formación, bien sea porque las partes satisfacen con posterioridad la deficiencia de la que adolecía el negocio o por el transcurso del tiempo necesario para que opere la prescripción extraordinaria (20 o 10 años según el caso). […] No obstante, el saneamiento por ratificación opera exclusivamente cuando sobre el contrato recae un vicio que lo afecta de nulidad relativa. Cuando la nulidad se genera por la existencia de objeto o causa ilícitos no es posible sanear tal vicio por convalidación de las partes, en virtud del mandato legal contenido en el artículo 1742 del Código Civil”</w:t>
      </w:r>
      <w:r w:rsidRPr="00F3724C">
        <w:rPr>
          <w:rStyle w:val="Refdenotaalpie"/>
          <w:rFonts w:ascii="Verdana" w:hAnsi="Verdana"/>
          <w:sz w:val="20"/>
          <w:szCs w:val="20"/>
        </w:rPr>
        <w:footnoteReference w:id="2"/>
      </w:r>
      <w:r w:rsidRPr="00F3724C">
        <w:rPr>
          <w:rFonts w:ascii="Verdana" w:hAnsi="Verdana" w:cs="Arial"/>
          <w:sz w:val="20"/>
          <w:szCs w:val="20"/>
          <w:lang w:val="es-ES" w:eastAsia="es-CO"/>
        </w:rPr>
        <w:t>.</w:t>
      </w:r>
    </w:p>
    <w:p w14:paraId="53834D7C" w14:textId="77777777" w:rsidR="002D7220" w:rsidRPr="009E312D" w:rsidRDefault="002D7220" w:rsidP="002D7220">
      <w:pPr>
        <w:spacing w:after="0" w:line="276" w:lineRule="auto"/>
        <w:ind w:left="709" w:right="709"/>
        <w:jc w:val="both"/>
        <w:rPr>
          <w:rFonts w:ascii="Verdana" w:hAnsi="Verdana" w:cs="Arial"/>
          <w:lang w:val="es-ES" w:eastAsia="es-CO"/>
        </w:rPr>
      </w:pPr>
    </w:p>
    <w:p w14:paraId="6F407A9E" w14:textId="77777777" w:rsidR="002D7220" w:rsidRDefault="002D7220" w:rsidP="002D7220">
      <w:pPr>
        <w:tabs>
          <w:tab w:val="left" w:pos="426"/>
        </w:tabs>
        <w:spacing w:after="120" w:line="276" w:lineRule="auto"/>
        <w:ind w:firstLine="709"/>
        <w:jc w:val="both"/>
        <w:rPr>
          <w:rFonts w:ascii="Verdana" w:hAnsi="Verdana" w:cs="Arial"/>
        </w:rPr>
      </w:pPr>
      <w:r>
        <w:rPr>
          <w:rFonts w:ascii="Verdana" w:eastAsia="Calibri" w:hAnsi="Verdana" w:cs="Arial"/>
          <w:color w:val="000000" w:themeColor="text1"/>
          <w:lang w:val="es-ES"/>
        </w:rPr>
        <w:t>E</w:t>
      </w:r>
      <w:r w:rsidRPr="009E312D">
        <w:rPr>
          <w:rFonts w:ascii="Verdana" w:eastAsia="Calibri" w:hAnsi="Verdana" w:cs="Arial"/>
          <w:color w:val="000000" w:themeColor="text1"/>
          <w:lang w:val="es-ES_tradnl"/>
        </w:rPr>
        <w:t xml:space="preserve">l artículo 49 de la Ley 80 de 1993 condiciona dicha facultad de saneamiento de los defectos formales a que los vicios </w:t>
      </w:r>
      <w:r>
        <w:rPr>
          <w:rFonts w:ascii="Verdana" w:eastAsia="Calibri" w:hAnsi="Verdana" w:cs="Arial"/>
          <w:color w:val="000000" w:themeColor="text1"/>
          <w:lang w:val="es-ES_tradnl"/>
        </w:rPr>
        <w:t>que “</w:t>
      </w:r>
      <w:r w:rsidRPr="009E312D">
        <w:rPr>
          <w:rFonts w:ascii="Verdana" w:eastAsia="Calibri" w:hAnsi="Verdana" w:cs="Arial"/>
          <w:color w:val="000000" w:themeColor="text1"/>
          <w:lang w:val="es-ES_tradnl"/>
        </w:rPr>
        <w:t>no constituyan causales de nulidad</w:t>
      </w:r>
      <w:r>
        <w:rPr>
          <w:rFonts w:ascii="Verdana" w:eastAsia="Calibri" w:hAnsi="Verdana" w:cs="Arial"/>
          <w:color w:val="000000" w:themeColor="text1"/>
          <w:lang w:val="es-ES_tradnl"/>
        </w:rPr>
        <w:t>”</w:t>
      </w:r>
      <w:r w:rsidRPr="009E312D">
        <w:rPr>
          <w:rFonts w:ascii="Verdana" w:eastAsia="Calibri" w:hAnsi="Verdana" w:cs="Arial"/>
          <w:color w:val="000000" w:themeColor="text1"/>
          <w:lang w:val="es-ES_tradnl"/>
        </w:rPr>
        <w:t xml:space="preserve">. </w:t>
      </w:r>
      <w:r w:rsidRPr="009E312D">
        <w:rPr>
          <w:rFonts w:ascii="Verdana" w:hAnsi="Verdana" w:cs="Arial"/>
          <w:color w:val="000000" w:themeColor="text1"/>
          <w:lang w:val="es-ES"/>
        </w:rPr>
        <w:t xml:space="preserve">En ese orden de ideas, conviene precisar que </w:t>
      </w:r>
      <w:bookmarkStart w:id="10" w:name="_Hlk36091744"/>
      <w:r w:rsidRPr="009E312D">
        <w:rPr>
          <w:rFonts w:ascii="Verdana" w:hAnsi="Verdana" w:cs="Arial"/>
          <w:color w:val="000000" w:themeColor="text1"/>
          <w:lang w:val="es-ES"/>
        </w:rPr>
        <w:t>e</w:t>
      </w:r>
      <w:r w:rsidRPr="009E312D">
        <w:rPr>
          <w:rFonts w:ascii="Verdana" w:hAnsi="Verdana" w:cs="Arial"/>
        </w:rPr>
        <w:t xml:space="preserve">l régimen de las nulidades de los contratos estatales está regulado en el EGCAP, donde se establecen sus causales. Sin embargo, </w:t>
      </w:r>
      <w:r>
        <w:rPr>
          <w:rFonts w:ascii="Verdana" w:hAnsi="Verdana" w:cs="Arial"/>
        </w:rPr>
        <w:t>é</w:t>
      </w:r>
      <w:r w:rsidRPr="009E312D">
        <w:rPr>
          <w:rFonts w:ascii="Verdana" w:hAnsi="Verdana" w:cs="Arial"/>
        </w:rPr>
        <w:t>ste integra, por remisión, las causales de nulidad del derecho civil y comercial</w:t>
      </w:r>
      <w:bookmarkEnd w:id="10"/>
      <w:r>
        <w:rPr>
          <w:rFonts w:ascii="Verdana" w:hAnsi="Verdana" w:cs="Arial"/>
        </w:rPr>
        <w:t xml:space="preserve"> conforme al artículo 44 </w:t>
      </w:r>
      <w:r w:rsidRPr="00370279">
        <w:rPr>
          <w:rFonts w:ascii="Verdana" w:hAnsi="Verdana" w:cs="Arial"/>
          <w:i/>
          <w:iCs/>
        </w:rPr>
        <w:t>ibidem</w:t>
      </w:r>
      <w:r w:rsidRPr="009E312D">
        <w:rPr>
          <w:rFonts w:ascii="Verdana" w:hAnsi="Verdana" w:cs="Arial"/>
        </w:rPr>
        <w:t xml:space="preserve">. </w:t>
      </w:r>
    </w:p>
    <w:p w14:paraId="17ACE0CF" w14:textId="77777777" w:rsidR="002D7220" w:rsidRPr="00370279" w:rsidRDefault="002D7220" w:rsidP="002D7220">
      <w:pPr>
        <w:tabs>
          <w:tab w:val="left" w:pos="426"/>
        </w:tabs>
        <w:spacing w:after="0" w:line="276" w:lineRule="auto"/>
        <w:ind w:firstLine="709"/>
        <w:jc w:val="both"/>
        <w:rPr>
          <w:rFonts w:ascii="Verdana" w:eastAsia="Calibri" w:hAnsi="Verdana" w:cs="Arial"/>
          <w:color w:val="000000" w:themeColor="text1"/>
          <w:lang w:val="es-ES_tradnl"/>
        </w:rPr>
      </w:pPr>
      <w:r>
        <w:rPr>
          <w:rFonts w:ascii="Verdana" w:hAnsi="Verdana" w:cs="Arial"/>
        </w:rPr>
        <w:t>Las nulidades son</w:t>
      </w:r>
      <w:r w:rsidRPr="006E45BA">
        <w:rPr>
          <w:rFonts w:ascii="Verdana" w:hAnsi="Verdana" w:cs="Arial"/>
          <w:color w:val="000000" w:themeColor="text1"/>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w:t>
      </w:r>
      <w:r w:rsidRPr="006E45BA">
        <w:rPr>
          <w:rFonts w:ascii="Verdana" w:hAnsi="Verdana" w:cs="Arial"/>
          <w:color w:val="000000" w:themeColor="text1"/>
        </w:rPr>
        <w:lastRenderedPageBreak/>
        <w:t>por criterios de orden su superior</w:t>
      </w:r>
      <w:r w:rsidRPr="006E45BA">
        <w:rPr>
          <w:rStyle w:val="Refdenotaalpie"/>
          <w:rFonts w:ascii="Verdana" w:hAnsi="Verdana" w:cs="Arial"/>
          <w:color w:val="000000" w:themeColor="text1"/>
        </w:rPr>
        <w:footnoteReference w:id="3"/>
      </w:r>
      <w:r w:rsidRPr="006E45BA">
        <w:rPr>
          <w:rFonts w:ascii="Verdana" w:hAnsi="Verdana" w:cs="Arial"/>
          <w:color w:val="000000" w:themeColor="text1"/>
        </w:rPr>
        <w:t xml:space="preserve">. Por ello, aunque el contrato sea ley obligatoria para los contratantes –art. 1602 del Código Civil–, no podrán derogarse por convenios particulares las leyes en cuya observancia están interesados el orden público y las buenas costumbres –art. 16 </w:t>
      </w:r>
      <w:r w:rsidRPr="006E45BA">
        <w:rPr>
          <w:rFonts w:ascii="Verdana" w:hAnsi="Verdana" w:cs="Arial"/>
          <w:i/>
          <w:iCs/>
          <w:color w:val="000000" w:themeColor="text1"/>
        </w:rPr>
        <w:t>ibidem</w:t>
      </w:r>
      <w:r w:rsidRPr="006E45BA">
        <w:rPr>
          <w:rFonts w:ascii="Verdana" w:hAnsi="Verdana" w:cs="Arial"/>
          <w:color w:val="000000" w:themeColor="text1"/>
        </w:rPr>
        <w:t>–. En este contexto:</w:t>
      </w:r>
    </w:p>
    <w:p w14:paraId="5E391DC5" w14:textId="77777777" w:rsidR="002D7220" w:rsidRPr="006E45BA" w:rsidRDefault="002D7220" w:rsidP="002D7220">
      <w:pPr>
        <w:spacing w:after="0" w:line="276" w:lineRule="auto"/>
        <w:ind w:firstLine="708"/>
        <w:jc w:val="both"/>
        <w:rPr>
          <w:rFonts w:ascii="Verdana" w:hAnsi="Verdana" w:cs="Arial"/>
          <w:color w:val="000000" w:themeColor="text1"/>
        </w:rPr>
      </w:pPr>
    </w:p>
    <w:p w14:paraId="5037EDBA" w14:textId="77777777" w:rsidR="002D7220" w:rsidRPr="001A780E" w:rsidRDefault="002D7220" w:rsidP="002D7220">
      <w:pPr>
        <w:spacing w:after="0" w:line="240" w:lineRule="auto"/>
        <w:ind w:left="709" w:right="709"/>
        <w:jc w:val="both"/>
        <w:rPr>
          <w:rFonts w:ascii="Verdana" w:eastAsia="Calibri" w:hAnsi="Verdana" w:cs="Arial"/>
          <w:sz w:val="21"/>
          <w:szCs w:val="21"/>
          <w:lang w:val="es-ES"/>
        </w:rPr>
      </w:pPr>
      <w:r w:rsidRPr="006E45BA">
        <w:rPr>
          <w:rFonts w:ascii="Verdana" w:eastAsia="Calibri" w:hAnsi="Verdana" w:cs="Arial"/>
          <w:sz w:val="21"/>
          <w:szCs w:val="21"/>
          <w:lang w:val="es-ES"/>
        </w:rPr>
        <w:t xml:space="preserve">“[…] La nulidad es una sanción que consiste en la privación al negocio de todos los efectos que está llamado a producir, mirando tanto al futuro como al pasado, </w:t>
      </w:r>
      <w:proofErr w:type="gramStart"/>
      <w:r w:rsidRPr="006E45BA">
        <w:rPr>
          <w:rFonts w:ascii="Verdana" w:eastAsia="Calibri" w:hAnsi="Verdana" w:cs="Arial"/>
          <w:sz w:val="21"/>
          <w:szCs w:val="21"/>
          <w:lang w:val="es-ES"/>
        </w:rPr>
        <w:t>en razón de</w:t>
      </w:r>
      <w:proofErr w:type="gramEnd"/>
      <w:r w:rsidRPr="006E45BA">
        <w:rPr>
          <w:rFonts w:ascii="Verdana" w:eastAsia="Calibri" w:hAnsi="Verdana" w:cs="Arial"/>
          <w:sz w:val="21"/>
          <w:szCs w:val="21"/>
          <w:lang w:val="es-ES"/>
        </w:rPr>
        <w:t xml:space="preserve"> que la disposición no reúne los requisitos considerados esenciales en general y específicamente para la figura correspondiente. El criterio político del ordenamiento, que ante todo refleja una experiencia antiquísima, en su ánimo de asegurar un nivel mínimo de legalidad y de moralidad del ejercicio de la autonomía privada, determina la privación de efectos de los negocios jurídicos desprovistos de los </w:t>
      </w:r>
      <w:proofErr w:type="spellStart"/>
      <w:r w:rsidRPr="006E45BA">
        <w:rPr>
          <w:rFonts w:ascii="Verdana" w:eastAsia="Calibri" w:hAnsi="Verdana" w:cs="Arial"/>
          <w:i/>
          <w:iCs/>
          <w:sz w:val="21"/>
          <w:szCs w:val="21"/>
          <w:lang w:val="es-ES"/>
        </w:rPr>
        <w:t>essentialia</w:t>
      </w:r>
      <w:proofErr w:type="spellEnd"/>
      <w:r w:rsidRPr="006E45BA">
        <w:rPr>
          <w:rFonts w:ascii="Verdana" w:eastAsia="Calibri" w:hAnsi="Verdana" w:cs="Arial"/>
          <w:i/>
          <w:iCs/>
          <w:sz w:val="21"/>
          <w:szCs w:val="21"/>
          <w:lang w:val="es-ES"/>
        </w:rPr>
        <w:t xml:space="preserve"> </w:t>
      </w:r>
      <w:proofErr w:type="spellStart"/>
      <w:r w:rsidRPr="006E45BA">
        <w:rPr>
          <w:rFonts w:ascii="Verdana" w:eastAsia="Calibri" w:hAnsi="Verdana" w:cs="Arial"/>
          <w:i/>
          <w:iCs/>
          <w:sz w:val="21"/>
          <w:szCs w:val="21"/>
          <w:lang w:val="es-ES"/>
        </w:rPr>
        <w:t>negotii</w:t>
      </w:r>
      <w:proofErr w:type="spellEnd"/>
      <w:r w:rsidRPr="006E45BA">
        <w:rPr>
          <w:rFonts w:ascii="Verdana" w:eastAsia="Calibri" w:hAnsi="Verdana" w:cs="Arial"/>
          <w:sz w:val="21"/>
          <w:szCs w:val="21"/>
          <w:lang w:val="es-ES"/>
        </w:rPr>
        <w:t xml:space="preserve"> correspondientes, como también de aquellos que quebrantan los principios básicos de la sociedad en su momento, y adicionalmente los fallos a requisito de orden tutelar establecido en interés particular o contrarios a normas dictadas en esa misma dirección […]”</w:t>
      </w:r>
      <w:r w:rsidRPr="006E45BA">
        <w:rPr>
          <w:rStyle w:val="Refdenotaalpie"/>
          <w:rFonts w:ascii="Verdana" w:eastAsia="Calibri" w:hAnsi="Verdana" w:cs="Arial"/>
          <w:sz w:val="21"/>
          <w:szCs w:val="21"/>
          <w:lang w:val="es-ES"/>
        </w:rPr>
        <w:footnoteReference w:id="4"/>
      </w:r>
      <w:r w:rsidRPr="006E45BA">
        <w:rPr>
          <w:rFonts w:ascii="Verdana" w:eastAsia="Calibri" w:hAnsi="Verdana" w:cs="Arial"/>
          <w:sz w:val="21"/>
          <w:szCs w:val="21"/>
          <w:lang w:val="es-ES"/>
        </w:rPr>
        <w:t>.</w:t>
      </w:r>
    </w:p>
    <w:p w14:paraId="0CA7C646" w14:textId="77777777" w:rsidR="002D7220" w:rsidRDefault="002D7220" w:rsidP="002D7220">
      <w:pPr>
        <w:spacing w:after="0" w:line="240" w:lineRule="auto"/>
        <w:ind w:firstLine="709"/>
        <w:jc w:val="both"/>
        <w:rPr>
          <w:rFonts w:ascii="Verdana" w:eastAsia="Calibri" w:hAnsi="Verdana" w:cs="Arial"/>
          <w:lang w:val="es-ES"/>
        </w:rPr>
      </w:pPr>
    </w:p>
    <w:p w14:paraId="1B6E2CC5" w14:textId="77777777" w:rsidR="002D7220" w:rsidRPr="006E45BA" w:rsidRDefault="002D7220" w:rsidP="002D7220">
      <w:pPr>
        <w:spacing w:after="120" w:line="276" w:lineRule="auto"/>
        <w:ind w:firstLine="708"/>
        <w:jc w:val="both"/>
        <w:rPr>
          <w:rFonts w:ascii="Verdana" w:eastAsia="Calibri" w:hAnsi="Verdana" w:cs="Arial"/>
          <w:lang w:val="es-ES"/>
        </w:rPr>
      </w:pPr>
      <w:r w:rsidRPr="006E45BA">
        <w:rPr>
          <w:rFonts w:ascii="Verdana" w:eastAsia="Calibri" w:hAnsi="Verdana" w:cs="Arial"/>
          <w:lang w:val="es-ES"/>
        </w:rPr>
        <w:t xml:space="preserve">La naturaleza jurídica de la nulidad se fundamenta en el inciso primero del artículo 6 del Código Civil, el cual define la </w:t>
      </w:r>
      <w:r w:rsidRPr="006E45BA">
        <w:rPr>
          <w:rFonts w:ascii="Verdana" w:eastAsia="Calibri" w:hAnsi="Verdana" w:cs="Arial"/>
          <w:i/>
          <w:iCs/>
          <w:lang w:val="es-ES"/>
        </w:rPr>
        <w:t>sanción legal</w:t>
      </w:r>
      <w:r w:rsidRPr="006E45BA">
        <w:rPr>
          <w:rFonts w:ascii="Verdana" w:eastAsia="Calibri" w:hAnsi="Verdana" w:cs="Arial"/>
          <w:lang w:val="es-ES"/>
        </w:rPr>
        <w:t xml:space="preserve"> como una pena, esto es, como el mal que deriva de la transgresión de las prohibiciones contenidas en la ley. Dado que tienen carácter sancionatorio, las nulidades se restringen a aquellas circunstancias previstas por el legislador, pues no son aplicables por interpretación extensiva ni por analogía. A esto se refiere el inciso segundo de la norma precitada cuando dispone que “En materia civil son nulos </w:t>
      </w:r>
      <w:r w:rsidRPr="006E45BA">
        <w:rPr>
          <w:rFonts w:ascii="Verdana" w:eastAsia="Calibri" w:hAnsi="Verdana" w:cs="Arial"/>
          <w:lang w:val="es-ES"/>
        </w:rPr>
        <w:lastRenderedPageBreak/>
        <w:t xml:space="preserve">los actos ejecutados contra expresa prohibición de la ley, si en ella misma no se dispone otra cosa […]”. La declaratoria de nulidad es una forma de extinción de las obligaciones en los términos del artículo 1625.8 </w:t>
      </w:r>
      <w:r w:rsidRPr="006E45BA">
        <w:rPr>
          <w:rFonts w:ascii="Verdana" w:eastAsia="Calibri" w:hAnsi="Verdana" w:cs="Arial"/>
          <w:i/>
          <w:iCs/>
          <w:lang w:val="es-ES"/>
        </w:rPr>
        <w:t>ibidem</w:t>
      </w:r>
      <w:r w:rsidRPr="006E45BA">
        <w:rPr>
          <w:rFonts w:ascii="Verdana" w:eastAsia="Calibri" w:hAnsi="Verdana" w:cs="Arial"/>
          <w:lang w:val="es-ES"/>
        </w:rPr>
        <w:t xml:space="preserve">, por lo que con ella cesa la existencia del contrato.   </w:t>
      </w:r>
    </w:p>
    <w:p w14:paraId="6CB84407" w14:textId="77777777" w:rsidR="002D7220" w:rsidRPr="006E45BA" w:rsidRDefault="002D7220" w:rsidP="002D7220">
      <w:pPr>
        <w:spacing w:after="120" w:line="276" w:lineRule="auto"/>
        <w:ind w:firstLine="708"/>
        <w:jc w:val="both"/>
        <w:rPr>
          <w:rFonts w:ascii="Verdana" w:eastAsia="Calibri" w:hAnsi="Verdana" w:cs="Arial"/>
          <w:lang w:val="es-ES"/>
        </w:rPr>
      </w:pPr>
      <w:r w:rsidRPr="006E45BA">
        <w:rPr>
          <w:rFonts w:ascii="Verdana" w:eastAsia="Calibri" w:hAnsi="Verdana" w:cs="Arial"/>
          <w:lang w:val="es-ES"/>
        </w:rPr>
        <w:t xml:space="preserve">De acuerdo con el artículo 1741 del Código Civil,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6E45BA">
        <w:rPr>
          <w:rFonts w:ascii="Verdana" w:eastAsia="Calibri" w:hAnsi="Verdana" w:cs="Arial"/>
          <w:lang w:val="es-ES"/>
        </w:rPr>
        <w:t>mismo nulidad absoluta</w:t>
      </w:r>
      <w:proofErr w:type="gramEnd"/>
      <w:r w:rsidRPr="006E45BA">
        <w:rPr>
          <w:rFonts w:ascii="Verdana" w:eastAsia="Calibri" w:hAnsi="Verdana" w:cs="Arial"/>
          <w:lang w:val="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6E45BA">
        <w:rPr>
          <w:rStyle w:val="Refdenotaalpie"/>
          <w:rFonts w:ascii="Verdana" w:eastAsia="Calibri" w:hAnsi="Verdana" w:cs="Arial"/>
          <w:lang w:val="es-ES"/>
        </w:rPr>
        <w:footnoteReference w:id="5"/>
      </w:r>
      <w:r w:rsidRPr="006E45BA">
        <w:rPr>
          <w:rFonts w:ascii="Verdana" w:eastAsia="Calibri" w:hAnsi="Verdana" w:cs="Arial"/>
          <w:lang w:val="es-ES"/>
        </w:rPr>
        <w:t xml:space="preserve">. </w:t>
      </w:r>
    </w:p>
    <w:p w14:paraId="74169ECD" w14:textId="77777777" w:rsidR="002D7220" w:rsidRPr="006E45BA" w:rsidRDefault="002D7220" w:rsidP="002D7220">
      <w:pPr>
        <w:spacing w:after="120" w:line="276" w:lineRule="auto"/>
        <w:ind w:firstLine="708"/>
        <w:jc w:val="both"/>
        <w:rPr>
          <w:rFonts w:ascii="Verdana" w:eastAsia="Calibri" w:hAnsi="Verdana" w:cs="Arial"/>
          <w:lang w:val="es-ES"/>
        </w:rPr>
      </w:pPr>
      <w:r w:rsidRPr="006E45BA">
        <w:rPr>
          <w:rFonts w:ascii="Verdana" w:eastAsia="Calibri" w:hAnsi="Verdana" w:cs="Arial"/>
          <w:lang w:val="es-ES"/>
        </w:rPr>
        <w:t xml:space="preserve">Asimismo, el artículo 900 del Código de Comercio dispone la </w:t>
      </w:r>
      <w:r w:rsidRPr="006E45BA">
        <w:rPr>
          <w:rFonts w:ascii="Verdana" w:eastAsia="Calibri" w:hAnsi="Verdana" w:cs="Arial"/>
          <w:i/>
          <w:iCs/>
          <w:lang w:val="es-ES"/>
        </w:rPr>
        <w:t>nulidad absoluta</w:t>
      </w:r>
      <w:r w:rsidRPr="006E45BA">
        <w:rPr>
          <w:rFonts w:ascii="Verdana" w:eastAsia="Calibri" w:hAnsi="Verdana" w:cs="Arial"/>
          <w:lang w:val="es-ES"/>
        </w:rPr>
        <w:t xml:space="preserve"> de los negocios jurídicos cuando contrarían una norma imperativa, salvo que la ley disponga otra cosa; tengan objeto y causa ilícita, o se hayan celebrado por persona absolutamente incapaz</w:t>
      </w:r>
      <w:r w:rsidRPr="006E45BA">
        <w:rPr>
          <w:rStyle w:val="Refdenotaalpie"/>
          <w:rFonts w:ascii="Verdana" w:eastAsia="Calibri" w:hAnsi="Verdana" w:cs="Arial"/>
          <w:lang w:val="es-ES"/>
        </w:rPr>
        <w:footnoteReference w:id="6"/>
      </w:r>
      <w:r w:rsidRPr="006E45BA">
        <w:rPr>
          <w:rFonts w:ascii="Verdana" w:eastAsia="Calibri" w:hAnsi="Verdana" w:cs="Arial"/>
          <w:lang w:val="es-ES"/>
        </w:rPr>
        <w:t xml:space="preserve">. Por su parte, el artículo 901 </w:t>
      </w:r>
      <w:r w:rsidRPr="006E45BA">
        <w:rPr>
          <w:rFonts w:ascii="Verdana" w:eastAsia="Calibri" w:hAnsi="Verdana" w:cs="Arial"/>
          <w:i/>
          <w:iCs/>
          <w:lang w:val="es-ES"/>
        </w:rPr>
        <w:t>ibidem</w:t>
      </w:r>
      <w:r w:rsidRPr="006E45BA">
        <w:rPr>
          <w:rFonts w:ascii="Verdana" w:eastAsia="Calibri" w:hAnsi="Verdana" w:cs="Arial"/>
          <w:lang w:val="es-ES"/>
        </w:rPr>
        <w:t xml:space="preserve"> precisa que la </w:t>
      </w:r>
      <w:r w:rsidRPr="006E45BA">
        <w:rPr>
          <w:rFonts w:ascii="Verdana" w:eastAsia="Calibri" w:hAnsi="Verdana" w:cs="Arial"/>
          <w:i/>
          <w:iCs/>
          <w:lang w:val="es-ES"/>
        </w:rPr>
        <w:t>anulabilidad</w:t>
      </w:r>
      <w:r w:rsidRPr="006E45BA">
        <w:rPr>
          <w:rFonts w:ascii="Verdana" w:eastAsia="Calibri" w:hAnsi="Verdana" w:cs="Arial"/>
          <w:lang w:val="es-ES"/>
        </w:rPr>
        <w:t xml:space="preserve"> aplica cuando los contratos hayan sido celebrados por persona relativamente incapaz o hayan sido consentidos por error, fuerza o dolo, conforme al Código Civil. Para la interpretación del régimen de nulidades en los asuntos mercantiles, es necesario tener en cuenta que el artículo 822 del Código de Comercio dispone que “Los principios que gobiernan la formación de los actos y contratos y las obligaciones de derecho civil, sus efectos, interpretación, modo de extinguirse, anularse o rescindirse, serán </w:t>
      </w:r>
      <w:r w:rsidRPr="006E45BA">
        <w:rPr>
          <w:rFonts w:ascii="Verdana" w:eastAsia="Calibri" w:hAnsi="Verdana" w:cs="Arial"/>
          <w:lang w:val="es-ES"/>
        </w:rPr>
        <w:lastRenderedPageBreak/>
        <w:t xml:space="preserve">aplicables a las obligaciones y negocios jurídicos mercantiles, a menos que la ley establezca otra cosa”. </w:t>
      </w:r>
    </w:p>
    <w:p w14:paraId="22D70BCC" w14:textId="77777777" w:rsidR="002D7220" w:rsidRPr="009E312D" w:rsidRDefault="002D7220" w:rsidP="002D7220">
      <w:pPr>
        <w:pStyle w:val="Textoindependiente"/>
        <w:spacing w:after="120" w:line="259" w:lineRule="auto"/>
        <w:ind w:right="107" w:firstLine="709"/>
        <w:jc w:val="both"/>
        <w:rPr>
          <w:rFonts w:ascii="Verdana" w:hAnsi="Verdana"/>
        </w:rPr>
      </w:pPr>
      <w:r w:rsidRPr="009E312D">
        <w:rPr>
          <w:rFonts w:ascii="Verdana" w:hAnsi="Verdana"/>
        </w:rPr>
        <w:t xml:space="preserve">Por su parte, </w:t>
      </w:r>
      <w:r>
        <w:rPr>
          <w:rFonts w:ascii="Verdana" w:hAnsi="Verdana"/>
        </w:rPr>
        <w:t xml:space="preserve">el artículo 44 de </w:t>
      </w:r>
      <w:r w:rsidRPr="009E312D">
        <w:rPr>
          <w:rFonts w:ascii="Verdana" w:hAnsi="Verdana"/>
        </w:rPr>
        <w:t xml:space="preserve">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9E312D">
        <w:rPr>
          <w:rFonts w:ascii="Verdana" w:hAnsi="Verdana"/>
        </w:rPr>
        <w:t>ii</w:t>
      </w:r>
      <w:proofErr w:type="spellEnd"/>
      <w:r w:rsidRPr="009E312D">
        <w:rPr>
          <w:rFonts w:ascii="Verdana" w:hAnsi="Verdana"/>
        </w:rPr>
        <w:t xml:space="preserve">) se celebre contra expresa prohibición constitucional o legal, </w:t>
      </w:r>
      <w:proofErr w:type="spellStart"/>
      <w:r w:rsidRPr="009E312D">
        <w:rPr>
          <w:rFonts w:ascii="Verdana" w:hAnsi="Verdana"/>
        </w:rPr>
        <w:t>iii</w:t>
      </w:r>
      <w:proofErr w:type="spellEnd"/>
      <w:r w:rsidRPr="009E312D">
        <w:rPr>
          <w:rFonts w:ascii="Verdana" w:hAnsi="Verdana"/>
        </w:rPr>
        <w:t xml:space="preserve">) se celebre con abuso o desviación de poder, </w:t>
      </w:r>
      <w:proofErr w:type="spellStart"/>
      <w:r w:rsidRPr="009E312D">
        <w:rPr>
          <w:rFonts w:ascii="Verdana" w:hAnsi="Verdana"/>
        </w:rPr>
        <w:t>iv</w:t>
      </w:r>
      <w:proofErr w:type="spellEnd"/>
      <w:r w:rsidRPr="009E312D">
        <w:rPr>
          <w:rFonts w:ascii="Verdana" w:hAnsi="Verdana"/>
        </w:rPr>
        <w:t>) se declaren nulos los actos administrativos en que se fundamenten, v) se hubieren celebrado con desconocimiento de los criterios previstos para el tratamiento de ofertas nacionales y extranjeras o con violación de la reciprocidad</w:t>
      </w:r>
      <w:r w:rsidRPr="009E312D">
        <w:rPr>
          <w:rStyle w:val="Refdenotaalpie"/>
          <w:rFonts w:ascii="Verdana" w:hAnsi="Verdana"/>
        </w:rPr>
        <w:footnoteReference w:id="7"/>
      </w:r>
      <w:r w:rsidRPr="009E312D">
        <w:rPr>
          <w:rFonts w:ascii="Verdana" w:hAnsi="Verdana"/>
        </w:rPr>
        <w:t>.</w:t>
      </w:r>
    </w:p>
    <w:p w14:paraId="2EEC4530" w14:textId="77777777" w:rsidR="002D7220" w:rsidRPr="009E312D" w:rsidRDefault="002D7220" w:rsidP="002D7220">
      <w:pPr>
        <w:pStyle w:val="Textoindependiente"/>
        <w:spacing w:after="120" w:line="259" w:lineRule="auto"/>
        <w:ind w:right="105" w:firstLine="709"/>
        <w:jc w:val="both"/>
        <w:rPr>
          <w:rFonts w:ascii="Verdana" w:hAnsi="Verdana"/>
        </w:rPr>
      </w:pPr>
      <w:r w:rsidRPr="009E312D">
        <w:rPr>
          <w:rFonts w:ascii="Verdana" w:hAnsi="Verdana"/>
        </w:rPr>
        <w:t xml:space="preserve">En lo referente a la nulidad relativa, </w:t>
      </w:r>
      <w:r>
        <w:rPr>
          <w:rFonts w:ascii="Verdana" w:hAnsi="Verdana"/>
        </w:rPr>
        <w:t>el artículo 46 de</w:t>
      </w:r>
      <w:r w:rsidRPr="009E312D">
        <w:rPr>
          <w:rFonts w:ascii="Verdana" w:hAnsi="Verdana"/>
        </w:rPr>
        <w:t xml:space="preserv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w:t>
      </w:r>
      <w:r w:rsidRPr="009E312D">
        <w:rPr>
          <w:rFonts w:ascii="Verdana" w:hAnsi="Verdana"/>
          <w:spacing w:val="-8"/>
        </w:rPr>
        <w:t xml:space="preserve"> </w:t>
      </w:r>
      <w:r w:rsidRPr="009E312D">
        <w:rPr>
          <w:rFonts w:ascii="Verdana" w:hAnsi="Verdana"/>
        </w:rPr>
        <w:t>vicio</w:t>
      </w:r>
      <w:r w:rsidRPr="009E312D">
        <w:rPr>
          <w:rStyle w:val="Refdenotaalpie"/>
          <w:rFonts w:ascii="Verdana" w:hAnsi="Verdana"/>
        </w:rPr>
        <w:footnoteReference w:id="8"/>
      </w:r>
      <w:r w:rsidRPr="009E312D">
        <w:rPr>
          <w:rFonts w:ascii="Verdana" w:hAnsi="Verdana"/>
        </w:rPr>
        <w:t>.</w:t>
      </w:r>
    </w:p>
    <w:p w14:paraId="3926FF21" w14:textId="77777777" w:rsidR="002D7220" w:rsidRDefault="002D7220" w:rsidP="002D7220">
      <w:pPr>
        <w:spacing w:after="0" w:line="276" w:lineRule="auto"/>
        <w:ind w:firstLine="708"/>
        <w:jc w:val="both"/>
        <w:rPr>
          <w:rFonts w:ascii="Verdana" w:hAnsi="Verdana" w:cs="Arial"/>
          <w:color w:val="000000" w:themeColor="text1"/>
        </w:rPr>
      </w:pPr>
      <w:r w:rsidRPr="009E312D">
        <w:rPr>
          <w:rFonts w:ascii="Verdana" w:hAnsi="Verdana" w:cs="Arial"/>
          <w:color w:val="000000" w:themeColor="text1"/>
        </w:rPr>
        <w:t xml:space="preserve">Entonces, para determinar cuáles son aquellos vicios que no producen la nulidad del contrato y que pueden ser objeto de saneamiento en virtud del artículo 49 de la Ley 80 de 1993, merece especial atención la sentencia del 12 de agosto de 2014 del Consejo de Estado, que por su relevancia se cita </w:t>
      </w:r>
      <w:proofErr w:type="gramStart"/>
      <w:r w:rsidRPr="009E312D">
        <w:rPr>
          <w:rFonts w:ascii="Verdana" w:hAnsi="Verdana" w:cs="Arial"/>
          <w:i/>
          <w:iCs/>
          <w:color w:val="000000" w:themeColor="text1"/>
        </w:rPr>
        <w:t>in</w:t>
      </w:r>
      <w:r>
        <w:rPr>
          <w:rFonts w:ascii="Verdana" w:hAnsi="Verdana" w:cs="Arial"/>
          <w:i/>
          <w:iCs/>
          <w:color w:val="000000" w:themeColor="text1"/>
        </w:rPr>
        <w:t xml:space="preserve"> </w:t>
      </w:r>
      <w:r w:rsidRPr="009E312D">
        <w:rPr>
          <w:rFonts w:ascii="Verdana" w:hAnsi="Verdana" w:cs="Arial"/>
          <w:i/>
          <w:iCs/>
          <w:color w:val="000000" w:themeColor="text1"/>
        </w:rPr>
        <w:t>extenso</w:t>
      </w:r>
      <w:proofErr w:type="gramEnd"/>
      <w:r w:rsidRPr="009E312D">
        <w:rPr>
          <w:rFonts w:ascii="Verdana" w:hAnsi="Verdana" w:cs="Arial"/>
          <w:color w:val="000000" w:themeColor="text1"/>
        </w:rPr>
        <w:t>:</w:t>
      </w:r>
    </w:p>
    <w:p w14:paraId="281673C6" w14:textId="77777777" w:rsidR="002D7220" w:rsidRPr="009E312D" w:rsidRDefault="002D7220" w:rsidP="002D7220">
      <w:pPr>
        <w:spacing w:after="0" w:line="276" w:lineRule="auto"/>
        <w:ind w:firstLine="708"/>
        <w:jc w:val="both"/>
        <w:rPr>
          <w:rFonts w:ascii="Verdana" w:hAnsi="Verdana" w:cs="Arial"/>
          <w:color w:val="000000" w:themeColor="text1"/>
        </w:rPr>
      </w:pPr>
    </w:p>
    <w:p w14:paraId="00644428" w14:textId="77777777" w:rsidR="002D7220" w:rsidRPr="001A0C7A" w:rsidRDefault="002D7220" w:rsidP="002D7220">
      <w:pPr>
        <w:spacing w:after="120" w:line="240" w:lineRule="auto"/>
        <w:ind w:left="709" w:right="709"/>
        <w:jc w:val="both"/>
        <w:rPr>
          <w:rFonts w:ascii="Verdana" w:hAnsi="Verdana" w:cs="Arial"/>
          <w:sz w:val="21"/>
          <w:szCs w:val="21"/>
          <w:lang w:val="es-ES_tradnl"/>
        </w:rPr>
      </w:pPr>
      <w:r w:rsidRPr="001A0C7A">
        <w:rPr>
          <w:rFonts w:ascii="Verdana" w:hAnsi="Verdana" w:cs="Arial"/>
          <w:sz w:val="21"/>
          <w:szCs w:val="21"/>
          <w:lang w:val="es-ES" w:eastAsia="es-CO"/>
        </w:rPr>
        <w:t xml:space="preserve">“[…] </w:t>
      </w:r>
      <w:r w:rsidRPr="001A0C7A">
        <w:rPr>
          <w:rFonts w:ascii="Verdana" w:hAnsi="Verdana" w:cs="Arial"/>
          <w:sz w:val="21"/>
          <w:szCs w:val="21"/>
          <w:lang w:val="es-ES_tradnl"/>
        </w:rPr>
        <w:t xml:space="preserve">Lo expresado hasta ahora significa que no cualquier defecto o irregularidad en la contratación estatal produce la nulidad el contrato, ni siquiera la relativa. De hecho, hay que distinguir los defectos que se presentan en las distintas etapas: proceso de selección, </w:t>
      </w:r>
      <w:r w:rsidRPr="001A0C7A">
        <w:rPr>
          <w:rFonts w:ascii="Verdana" w:hAnsi="Verdana" w:cs="Arial"/>
          <w:sz w:val="21"/>
          <w:szCs w:val="21"/>
          <w:lang w:val="es-ES_tradnl"/>
        </w:rPr>
        <w:lastRenderedPageBreak/>
        <w:t>perfeccionamiento del contrato, ejecución y liquidación. Esta distinción facilita entender que las causales de nulidad del contrato –absoluta o relativa- se configuran en las etapas de selección del contratista o en la de perfeccionamiento del contrato; pero no en las etapas de ejecución o liquidación. Basta observar las causales legales que las constituyen para admitir esta conclusión. Esta razón, adicional a las expresadas, refuerza que los defectos en que incurra la administración y/o el contratista para ejecutar un contrato o para liquidarlo, no inciden en la validez del negocio.</w:t>
      </w:r>
    </w:p>
    <w:p w14:paraId="2197621D" w14:textId="77777777" w:rsidR="002D7220" w:rsidRPr="001A0C7A" w:rsidRDefault="002D7220" w:rsidP="002D7220">
      <w:pPr>
        <w:spacing w:after="120" w:line="240" w:lineRule="auto"/>
        <w:ind w:left="709" w:right="709"/>
        <w:jc w:val="both"/>
        <w:rPr>
          <w:rFonts w:ascii="Verdana" w:hAnsi="Verdana" w:cs="Arial"/>
          <w:sz w:val="21"/>
          <w:szCs w:val="21"/>
          <w:lang w:val="es-ES_tradnl"/>
        </w:rPr>
      </w:pPr>
      <w:r w:rsidRPr="001A0C7A">
        <w:rPr>
          <w:rFonts w:ascii="Verdana" w:hAnsi="Verdana" w:cs="Arial"/>
          <w:sz w:val="21"/>
          <w:szCs w:val="21"/>
          <w:lang w:val="es-ES_tradnl"/>
        </w:rPr>
        <w:t xml:space="preserve">Para mayor precisión, ni siquiera toda irregularidad que ocurra en las etapas de </w:t>
      </w:r>
      <w:r w:rsidRPr="001A0C7A">
        <w:rPr>
          <w:rFonts w:ascii="Verdana" w:hAnsi="Verdana" w:cs="Arial"/>
          <w:i/>
          <w:sz w:val="21"/>
          <w:szCs w:val="21"/>
          <w:lang w:val="es-ES_tradnl"/>
        </w:rPr>
        <w:t>selección</w:t>
      </w:r>
      <w:r w:rsidRPr="001A0C7A">
        <w:rPr>
          <w:rFonts w:ascii="Verdana" w:hAnsi="Verdana" w:cs="Arial"/>
          <w:sz w:val="21"/>
          <w:szCs w:val="21"/>
          <w:lang w:val="es-ES_tradnl"/>
        </w:rPr>
        <w:t xml:space="preserve"> y </w:t>
      </w:r>
      <w:r w:rsidRPr="001A0C7A">
        <w:rPr>
          <w:rFonts w:ascii="Verdana" w:hAnsi="Verdana" w:cs="Arial"/>
          <w:i/>
          <w:sz w:val="21"/>
          <w:szCs w:val="21"/>
          <w:lang w:val="es-ES_tradnl"/>
        </w:rPr>
        <w:t>perfeccionamiento</w:t>
      </w:r>
      <w:r w:rsidRPr="001A0C7A">
        <w:rPr>
          <w:rFonts w:ascii="Verdana" w:hAnsi="Verdana" w:cs="Arial"/>
          <w:sz w:val="21"/>
          <w:szCs w:val="21"/>
          <w:lang w:val="es-ES_tradnl"/>
        </w:rPr>
        <w:t xml:space="preserve"> del contrato producen, irremediablemente, su nulidad. Sólo producen esa consecuencia los defectos que se enmarquen, con precisión, en las causales legales o constitucionales. De hecho, el art. 49 de la Ley 80 de 1993 consagra la regla inversa:</w:t>
      </w:r>
    </w:p>
    <w:p w14:paraId="479BB320" w14:textId="77777777" w:rsidR="002D7220" w:rsidRPr="001A0C7A" w:rsidRDefault="002D7220" w:rsidP="002D7220">
      <w:pPr>
        <w:tabs>
          <w:tab w:val="left" w:pos="142"/>
        </w:tabs>
        <w:autoSpaceDE w:val="0"/>
        <w:autoSpaceDN w:val="0"/>
        <w:adjustRightInd w:val="0"/>
        <w:spacing w:after="120" w:line="240" w:lineRule="auto"/>
        <w:ind w:left="709" w:right="709"/>
        <w:jc w:val="both"/>
        <w:rPr>
          <w:rFonts w:ascii="Verdana" w:hAnsi="Verdana" w:cs="Arial"/>
          <w:sz w:val="21"/>
          <w:szCs w:val="21"/>
        </w:rPr>
      </w:pPr>
      <w:r>
        <w:rPr>
          <w:rFonts w:ascii="Verdana" w:hAnsi="Verdana" w:cs="Arial"/>
          <w:sz w:val="21"/>
          <w:szCs w:val="21"/>
        </w:rPr>
        <w:t>‘</w:t>
      </w:r>
      <w:r w:rsidRPr="001A0C7A">
        <w:rPr>
          <w:rFonts w:ascii="Verdana" w:hAnsi="Verdana" w:cs="Arial"/>
          <w:vanish/>
          <w:sz w:val="21"/>
          <w:szCs w:val="21"/>
        </w:rPr>
        <w:t>&amp;$</w:t>
      </w:r>
      <w:r w:rsidRPr="001A0C7A">
        <w:rPr>
          <w:rFonts w:ascii="Verdana" w:hAnsi="Verdana" w:cs="Arial"/>
          <w:sz w:val="21"/>
          <w:szCs w:val="21"/>
        </w:rPr>
        <w:t xml:space="preserve">Art. 49. </w:t>
      </w:r>
      <w:r w:rsidRPr="001A0C7A">
        <w:rPr>
          <w:rFonts w:ascii="Verdana" w:hAnsi="Verdana" w:cs="Arial"/>
          <w:i/>
          <w:sz w:val="21"/>
          <w:szCs w:val="21"/>
        </w:rPr>
        <w:t>Del saneamiento de los vicios de procedimiento o de forma</w:t>
      </w:r>
      <w:r w:rsidRPr="001A0C7A">
        <w:rPr>
          <w:rFonts w:ascii="Verdana" w:hAnsi="Verdana" w:cs="Arial"/>
          <w:sz w:val="21"/>
          <w:szCs w:val="21"/>
        </w:rPr>
        <w:t>. Ante la ocurrencia de vicios que no constituyan causales de nulidad y cuando las necesidades del servicio lo exijan o las reglas de la buena administración lo aconsejen, el jefe o representante legal de la entidad, en acto motivado, podrá sanear el correspondiente vicio.</w:t>
      </w:r>
      <w:r>
        <w:rPr>
          <w:rFonts w:ascii="Verdana" w:hAnsi="Verdana" w:cs="Arial"/>
          <w:sz w:val="21"/>
          <w:szCs w:val="21"/>
        </w:rPr>
        <w:t>’</w:t>
      </w:r>
    </w:p>
    <w:p w14:paraId="3B33AA84" w14:textId="77777777" w:rsidR="002D7220" w:rsidRPr="001A0C7A" w:rsidRDefault="002D7220" w:rsidP="002D7220">
      <w:pPr>
        <w:spacing w:after="120" w:line="240" w:lineRule="auto"/>
        <w:ind w:left="709" w:right="709"/>
        <w:jc w:val="both"/>
        <w:rPr>
          <w:rFonts w:ascii="Verdana" w:hAnsi="Verdana" w:cs="Arial"/>
          <w:sz w:val="21"/>
          <w:szCs w:val="21"/>
          <w:lang w:val="es-ES"/>
        </w:rPr>
      </w:pPr>
      <w:bookmarkStart w:id="11" w:name="_Hlk84939568"/>
      <w:r w:rsidRPr="23CC4347">
        <w:rPr>
          <w:rFonts w:ascii="Verdana" w:hAnsi="Verdana" w:cs="Arial"/>
          <w:sz w:val="21"/>
          <w:szCs w:val="21"/>
          <w:lang w:val="es-ES"/>
        </w:rPr>
        <w:t xml:space="preserve">Esta norma, armonizada con las que describen las causales de nulidad, reclama un listado de defectos o irregularidades que producen la nulidad absoluta o relativa, y otro listado de las que no tienen esa consecuencia -pese a existir un defecto -. Esta providencia no asumirá esa tarea, enorme y casuística, pese a que bastaría ordenar las sentencias para concretar muchas respuestas. No obstante, a la jurisprudencia le falta analizar cuándo la omisión de ciertos requisitos produce la nulidad del contrato. Por ejemplo: i) falta de estudios de oportunidad y conveniencia, </w:t>
      </w:r>
      <w:proofErr w:type="spellStart"/>
      <w:r w:rsidRPr="23CC4347">
        <w:rPr>
          <w:rFonts w:ascii="Verdana" w:hAnsi="Verdana" w:cs="Arial"/>
          <w:sz w:val="21"/>
          <w:szCs w:val="21"/>
          <w:lang w:val="es-ES"/>
        </w:rPr>
        <w:t>ii</w:t>
      </w:r>
      <w:proofErr w:type="spellEnd"/>
      <w:r w:rsidRPr="23CC4347">
        <w:rPr>
          <w:rFonts w:ascii="Verdana" w:hAnsi="Verdana" w:cs="Arial"/>
          <w:sz w:val="21"/>
          <w:szCs w:val="21"/>
          <w:lang w:val="es-ES"/>
        </w:rPr>
        <w:t xml:space="preserve">) falta de convocatoria pública, </w:t>
      </w:r>
      <w:proofErr w:type="spellStart"/>
      <w:r w:rsidRPr="23CC4347">
        <w:rPr>
          <w:rFonts w:ascii="Verdana" w:hAnsi="Verdana" w:cs="Arial"/>
          <w:sz w:val="21"/>
          <w:szCs w:val="21"/>
          <w:lang w:val="es-ES"/>
        </w:rPr>
        <w:t>iii</w:t>
      </w:r>
      <w:proofErr w:type="spellEnd"/>
      <w:r w:rsidRPr="23CC4347">
        <w:rPr>
          <w:rFonts w:ascii="Verdana" w:hAnsi="Verdana" w:cs="Arial"/>
          <w:sz w:val="21"/>
          <w:szCs w:val="21"/>
          <w:lang w:val="es-ES"/>
        </w:rPr>
        <w:t xml:space="preserve">) falta de estudios y documentos previos de la contratación, </w:t>
      </w:r>
      <w:proofErr w:type="spellStart"/>
      <w:r w:rsidRPr="23CC4347">
        <w:rPr>
          <w:rFonts w:ascii="Verdana" w:hAnsi="Verdana" w:cs="Arial"/>
          <w:sz w:val="21"/>
          <w:szCs w:val="21"/>
          <w:lang w:val="es-ES"/>
        </w:rPr>
        <w:t>iv</w:t>
      </w:r>
      <w:proofErr w:type="spellEnd"/>
      <w:r w:rsidRPr="23CC4347">
        <w:rPr>
          <w:rFonts w:ascii="Verdana" w:hAnsi="Verdana" w:cs="Arial"/>
          <w:sz w:val="21"/>
          <w:szCs w:val="21"/>
          <w:lang w:val="es-ES"/>
        </w:rPr>
        <w:t xml:space="preserve">) falta de licencia ambiental –cuando se requiere-, v) falta de prepliego, vi) falta de avisos en la página web, </w:t>
      </w:r>
      <w:proofErr w:type="spellStart"/>
      <w:r w:rsidRPr="23CC4347">
        <w:rPr>
          <w:rFonts w:ascii="Verdana" w:hAnsi="Verdana" w:cs="Arial"/>
          <w:sz w:val="21"/>
          <w:szCs w:val="21"/>
          <w:lang w:val="es-ES"/>
        </w:rPr>
        <w:t>vii</w:t>
      </w:r>
      <w:proofErr w:type="spellEnd"/>
      <w:r w:rsidRPr="23CC4347">
        <w:rPr>
          <w:rFonts w:ascii="Verdana" w:hAnsi="Verdana" w:cs="Arial"/>
          <w:sz w:val="21"/>
          <w:szCs w:val="21"/>
          <w:lang w:val="es-ES"/>
        </w:rPr>
        <w:t xml:space="preserve">) ausencia de acto de apertura, </w:t>
      </w:r>
      <w:proofErr w:type="spellStart"/>
      <w:r w:rsidRPr="23CC4347">
        <w:rPr>
          <w:rFonts w:ascii="Verdana" w:hAnsi="Verdana" w:cs="Arial"/>
          <w:sz w:val="21"/>
          <w:szCs w:val="21"/>
          <w:lang w:val="es-ES"/>
        </w:rPr>
        <w:t>viii</w:t>
      </w:r>
      <w:proofErr w:type="spellEnd"/>
      <w:r w:rsidRPr="23CC4347">
        <w:rPr>
          <w:rFonts w:ascii="Verdana" w:hAnsi="Verdana" w:cs="Arial"/>
          <w:sz w:val="21"/>
          <w:szCs w:val="21"/>
          <w:lang w:val="es-ES"/>
        </w:rPr>
        <w:t xml:space="preserve">) falta de pliego definitivo, </w:t>
      </w:r>
      <w:proofErr w:type="spellStart"/>
      <w:r w:rsidRPr="23CC4347">
        <w:rPr>
          <w:rFonts w:ascii="Verdana" w:hAnsi="Verdana" w:cs="Arial"/>
          <w:sz w:val="21"/>
          <w:szCs w:val="21"/>
          <w:lang w:val="es-ES"/>
        </w:rPr>
        <w:t>ix</w:t>
      </w:r>
      <w:proofErr w:type="spellEnd"/>
      <w:r w:rsidRPr="23CC4347">
        <w:rPr>
          <w:rFonts w:ascii="Verdana" w:hAnsi="Verdana" w:cs="Arial"/>
          <w:sz w:val="21"/>
          <w:szCs w:val="21"/>
          <w:lang w:val="es-ES"/>
        </w:rPr>
        <w:t>) falta de evaluación de ofertas, x) no poner el informe de evaluación de ofertas a disposición de los oferentes, xi) no celebrar audiencia de adjudicación, entre otros.</w:t>
      </w:r>
    </w:p>
    <w:p w14:paraId="48216644" w14:textId="77777777" w:rsidR="002D7220" w:rsidRPr="001A0C7A" w:rsidRDefault="002D7220" w:rsidP="002D7220">
      <w:pPr>
        <w:spacing w:after="0" w:line="240" w:lineRule="auto"/>
        <w:ind w:left="709" w:right="709"/>
        <w:jc w:val="both"/>
        <w:rPr>
          <w:rFonts w:ascii="Verdana" w:hAnsi="Verdana" w:cs="Arial"/>
          <w:sz w:val="21"/>
          <w:szCs w:val="21"/>
          <w:lang w:val="es-ES_tradnl"/>
        </w:rPr>
      </w:pPr>
      <w:r w:rsidRPr="001A0C7A">
        <w:rPr>
          <w:rFonts w:ascii="Verdana" w:hAnsi="Verdana" w:cs="Arial"/>
          <w:sz w:val="21"/>
          <w:szCs w:val="21"/>
          <w:lang w:val="es-ES_tradnl"/>
        </w:rPr>
        <w:t xml:space="preserve">No obstante, la regla que introduce el art. 49 es el </w:t>
      </w:r>
      <w:r w:rsidRPr="001A0C7A">
        <w:rPr>
          <w:rFonts w:ascii="Verdana" w:hAnsi="Verdana" w:cs="Arial"/>
          <w:i/>
          <w:sz w:val="21"/>
          <w:szCs w:val="21"/>
          <w:lang w:val="es-ES_tradnl"/>
        </w:rPr>
        <w:t>saneamiento general</w:t>
      </w:r>
      <w:r w:rsidRPr="001A0C7A">
        <w:rPr>
          <w:rFonts w:ascii="Verdana" w:hAnsi="Verdana" w:cs="Arial"/>
          <w:sz w:val="21"/>
          <w:szCs w:val="21"/>
          <w:lang w:val="es-ES_tradnl"/>
        </w:rPr>
        <w:t>, así que la norma autoriza regularizar buena parte de los defectos cometidos con ocasión de los procesos de contratación”</w:t>
      </w:r>
      <w:r w:rsidRPr="001A0C7A">
        <w:rPr>
          <w:rStyle w:val="Refdenotaalpie"/>
          <w:rFonts w:ascii="Verdana" w:hAnsi="Verdana" w:cs="Arial"/>
          <w:color w:val="000000" w:themeColor="text1"/>
        </w:rPr>
        <w:t xml:space="preserve"> </w:t>
      </w:r>
      <w:r w:rsidRPr="009E312D">
        <w:rPr>
          <w:rStyle w:val="Refdenotaalpie"/>
          <w:rFonts w:ascii="Verdana" w:hAnsi="Verdana" w:cs="Arial"/>
          <w:color w:val="000000" w:themeColor="text1"/>
        </w:rPr>
        <w:footnoteReference w:id="9"/>
      </w:r>
      <w:r w:rsidRPr="001A0C7A">
        <w:rPr>
          <w:rFonts w:ascii="Verdana" w:hAnsi="Verdana" w:cs="Arial"/>
          <w:sz w:val="21"/>
          <w:szCs w:val="21"/>
          <w:lang w:val="es-ES_tradnl"/>
        </w:rPr>
        <w:t>.</w:t>
      </w:r>
      <w:bookmarkEnd w:id="11"/>
    </w:p>
    <w:p w14:paraId="445D1026" w14:textId="77777777" w:rsidR="002D7220" w:rsidRPr="009E312D" w:rsidRDefault="002D7220" w:rsidP="002D7220">
      <w:pPr>
        <w:spacing w:after="0" w:line="276" w:lineRule="auto"/>
        <w:ind w:left="709" w:right="709"/>
        <w:jc w:val="both"/>
        <w:rPr>
          <w:rFonts w:ascii="Verdana" w:hAnsi="Verdana" w:cs="Arial"/>
          <w:lang w:val="es-ES" w:eastAsia="es-CO"/>
        </w:rPr>
      </w:pPr>
    </w:p>
    <w:p w14:paraId="41416CA7" w14:textId="77777777" w:rsidR="002D7220" w:rsidRDefault="002D7220" w:rsidP="002D7220">
      <w:pPr>
        <w:pStyle w:val="Textoindependiente"/>
        <w:spacing w:after="120" w:line="259" w:lineRule="auto"/>
        <w:ind w:right="108" w:firstLine="709"/>
        <w:jc w:val="both"/>
        <w:rPr>
          <w:rFonts w:ascii="Verdana" w:eastAsia="Times New Roman" w:hAnsi="Verdana"/>
          <w:bCs/>
          <w:color w:val="000000" w:themeColor="text1"/>
          <w:lang w:eastAsia="es-ES_tradnl"/>
        </w:rPr>
      </w:pPr>
      <w:r w:rsidRPr="009E312D">
        <w:rPr>
          <w:rFonts w:ascii="Verdana" w:hAnsi="Verdana"/>
          <w:color w:val="000000" w:themeColor="text1"/>
        </w:rPr>
        <w:t xml:space="preserve">En conclusión, solamente aquellos vicios que no se encuentren tipificados </w:t>
      </w:r>
      <w:r w:rsidRPr="009E312D">
        <w:rPr>
          <w:rFonts w:ascii="Verdana" w:hAnsi="Verdana"/>
          <w:color w:val="000000" w:themeColor="text1"/>
        </w:rPr>
        <w:lastRenderedPageBreak/>
        <w:t xml:space="preserve">en la Ley 80 de 1993 ni en el Código Civil y el Código de Comercio como causales de nulidad, podrán ser saneados directamente por las entidades estatales. </w:t>
      </w:r>
    </w:p>
    <w:p w14:paraId="05F21D43" w14:textId="77777777" w:rsidR="002D7220" w:rsidRDefault="002D7220" w:rsidP="002D7220">
      <w:pPr>
        <w:tabs>
          <w:tab w:val="left" w:pos="426"/>
        </w:tabs>
        <w:spacing w:after="120" w:line="276" w:lineRule="auto"/>
        <w:ind w:firstLine="743"/>
        <w:jc w:val="both"/>
        <w:rPr>
          <w:rFonts w:ascii="Verdana" w:eastAsia="Arial MT" w:hAnsi="Verdana" w:cs="Arial"/>
          <w:lang w:eastAsia="es-ES" w:bidi="es-ES"/>
        </w:rPr>
      </w:pPr>
      <w:r w:rsidRPr="00F70687">
        <w:rPr>
          <w:rFonts w:ascii="Verdana" w:hAnsi="Verdana"/>
          <w:bCs/>
          <w:color w:val="000000" w:themeColor="text1"/>
          <w:lang w:eastAsia="es-ES_tradnl"/>
        </w:rPr>
        <w:t xml:space="preserve">De esta manera, resulta necesario que las entidades estatales, dentro de su autonomía administrativa, analicen si determinada situación se trata de un vicio de procedimiento o de forma y que no constituya causal de nulidad, pues de lo contrario no resultaría aplicable el saneamiento del proceso con base en el artículo 49 de la Ley 80 de 1993. Teniendo en cuenta que son múltiples las situaciones que se pueden generar alrededor del caso expuesto en la consulta, esta Agencia no puede, </w:t>
      </w:r>
      <w:r w:rsidRPr="00F70687">
        <w:rPr>
          <w:rFonts w:ascii="Verdana" w:eastAsia="Arial MT" w:hAnsi="Verdana" w:cs="Arial"/>
          <w:lang w:eastAsia="es-ES" w:bidi="es-ES"/>
        </w:rPr>
        <w:t>vía concepto, establecer criterios vinculantes sobre la aplicación de esta figura u otros procedimientos. Su función consultiva se limita a brindar orientaciones generales, de conformidad con el principio de juridicidad, para que las entidades del Sistema de Compras y Contratación Pública adopten las decisiones correspondientes en el marco de su gestión contractual.</w:t>
      </w:r>
    </w:p>
    <w:p w14:paraId="3459379B" w14:textId="77777777" w:rsidR="002D7220" w:rsidRDefault="002D7220" w:rsidP="002D7220">
      <w:pPr>
        <w:tabs>
          <w:tab w:val="left" w:pos="426"/>
        </w:tabs>
        <w:spacing w:after="120" w:line="276" w:lineRule="auto"/>
        <w:ind w:firstLine="743"/>
        <w:jc w:val="both"/>
        <w:rPr>
          <w:rFonts w:ascii="Verdana" w:hAnsi="Verdana"/>
          <w:bCs/>
          <w:color w:val="000000" w:themeColor="text1"/>
          <w:lang w:eastAsia="es-ES_tradnl"/>
        </w:rPr>
      </w:pPr>
      <w:r w:rsidRPr="00F70687">
        <w:rPr>
          <w:rFonts w:ascii="Verdana" w:hAnsi="Verdana"/>
          <w:bCs/>
          <w:color w:val="000000" w:themeColor="text1"/>
          <w:lang w:eastAsia="es-ES_tradnl"/>
        </w:rPr>
        <w:t xml:space="preserve">En todo caso, cara a la consulta planteada, es fundamental que la entidad estatal garantice el principio de selección objetiva, de tal manera que aquellos eventos que impidan aplicar una escogencia objetiva, la entidad adopte las medidas correspondientes dentro del marco normativo vigente. Por tanto, la entidad podrá analizar la procedencia del artículo 49 de la Ley 80 de 1993 según lo expuesto en este concepto o considerar la expedición de actos administrativos que decidan sobre la continuidad del procedimiento de selección como consecuencia de la imposibilidad de aplicar el principio de selección objetiva, en el marco de lo dispuesto en el artículo 25 </w:t>
      </w:r>
      <w:r w:rsidRPr="00F70687">
        <w:rPr>
          <w:rFonts w:ascii="Verdana" w:hAnsi="Verdana"/>
          <w:bCs/>
          <w:i/>
          <w:iCs/>
          <w:color w:val="000000" w:themeColor="text1"/>
          <w:lang w:eastAsia="es-ES_tradnl"/>
        </w:rPr>
        <w:t>ibidem</w:t>
      </w:r>
      <w:r w:rsidRPr="00F70687">
        <w:rPr>
          <w:rFonts w:ascii="Verdana" w:hAnsi="Verdana"/>
          <w:bCs/>
          <w:color w:val="000000" w:themeColor="text1"/>
          <w:lang w:eastAsia="es-ES_tradnl"/>
        </w:rPr>
        <w:t>, o en su defecto, adoptar cualquier otra actuación que permita el cumplimiento de los principios de la contratación estatal y los fines del estado, dentro del marco legal vigente. De todas formas, se recomienda que la entidad opte por la alternativa que represente el menor impacto posible tanto para la administración como para los derechos adquiridos que eventualmente puedan verse comprometidos.</w:t>
      </w:r>
    </w:p>
    <w:p w14:paraId="524E7C2B" w14:textId="6DDE0F5B" w:rsidR="002D7220" w:rsidRPr="002F0055" w:rsidRDefault="002D7220" w:rsidP="002F0055">
      <w:pPr>
        <w:spacing w:after="120" w:line="276" w:lineRule="auto"/>
        <w:ind w:right="108" w:firstLine="708"/>
        <w:jc w:val="both"/>
        <w:rPr>
          <w:rFonts w:ascii="Verdana" w:eastAsiaTheme="minorEastAsia" w:hAnsi="Verdana"/>
          <w:color w:val="000000" w:themeColor="text1"/>
          <w:lang w:eastAsia="es-CO"/>
        </w:rPr>
      </w:pPr>
      <w:r w:rsidRPr="00F70687">
        <w:rPr>
          <w:rFonts w:ascii="Verdana" w:eastAsia="Times New Roman" w:hAnsi="Verdana"/>
          <w:bCs/>
          <w:color w:val="000000" w:themeColor="text1"/>
          <w:lang w:eastAsia="es-ES_tradnl"/>
        </w:rPr>
        <w:t xml:space="preserve">Por lo demás, en las actuaciones administrativas contractuales también pueden presentarse situaciones que no necesariamente configuran un vicio de procedimiento o de forma, sino a un error simplemente formal como el aritmético o de digitación. </w:t>
      </w:r>
      <w:r w:rsidRPr="00F70687">
        <w:rPr>
          <w:rFonts w:ascii="Verdana" w:eastAsiaTheme="minorEastAsia" w:hAnsi="Verdana"/>
          <w:color w:val="000000" w:themeColor="text1"/>
          <w:lang w:eastAsia="es-CO"/>
        </w:rPr>
        <w:t xml:space="preserve"> Como ya se mencionó, un vicio de procedimiento o de forma es el que se produce por la inobservancia de las formas y requisitos de procedimiento administrativo </w:t>
      </w:r>
      <w:r w:rsidRPr="00F70687">
        <w:rPr>
          <w:rFonts w:ascii="Verdana" w:eastAsia="Times New Roman" w:hAnsi="Verdana"/>
          <w:bCs/>
          <w:color w:val="000000" w:themeColor="text1"/>
          <w:lang w:eastAsia="es-ES_tradnl"/>
        </w:rPr>
        <w:t xml:space="preserve">que podría afectar la validez del acto o contrato. Por otra parte, un error simplemente formal es aquel que, pese a haberse observado las formas y requisitos del procedimiento administrativo, </w:t>
      </w:r>
      <w:r w:rsidRPr="00F70687">
        <w:rPr>
          <w:rFonts w:ascii="Verdana" w:eastAsiaTheme="minorEastAsia" w:hAnsi="Verdana"/>
          <w:color w:val="000000" w:themeColor="text1"/>
          <w:lang w:eastAsia="es-CO"/>
        </w:rPr>
        <w:lastRenderedPageBreak/>
        <w:t>presenta equivocaciones derivadas de una operación matemática, o de equivocaciones en la digitación de palabras o cifras, o la omisión de estas, que requieren la correspondiente aclaración o corrección para la correcta comprensión de sus efectos, sin que se varíe de fondo la decisión.</w:t>
      </w:r>
    </w:p>
    <w:p w14:paraId="27FE4C86" w14:textId="77777777" w:rsidR="002D7220" w:rsidRDefault="002D7220" w:rsidP="002D7220">
      <w:pPr>
        <w:spacing w:after="0" w:line="276" w:lineRule="auto"/>
        <w:ind w:firstLine="709"/>
        <w:jc w:val="both"/>
        <w:rPr>
          <w:rFonts w:ascii="Verdana" w:hAnsi="Verdana" w:cs="Arial"/>
          <w:color w:val="000000" w:themeColor="text1"/>
        </w:rPr>
      </w:pPr>
      <w:r w:rsidRPr="009E312D">
        <w:rPr>
          <w:rFonts w:ascii="Verdana" w:hAnsi="Verdana" w:cs="Arial"/>
          <w:color w:val="000000" w:themeColor="text1"/>
          <w:lang w:val="es-ES"/>
        </w:rPr>
        <w:t xml:space="preserve">El </w:t>
      </w:r>
      <w:r w:rsidRPr="009E312D">
        <w:rPr>
          <w:rFonts w:ascii="Verdana" w:hAnsi="Verdana" w:cs="Arial"/>
          <w:color w:val="000000" w:themeColor="text1"/>
        </w:rPr>
        <w:t>Código de Procedimiento Administrativo y de lo Contencioso Administrativo –CPACA–, en el artículo 45, permite la corrección de errores simplemente formales de los actos administrativos relacionados con errores aritméticos, de digitación, de transcripción o de omisión de palabras, de la siguiente manera:</w:t>
      </w:r>
    </w:p>
    <w:p w14:paraId="61CA6E6B" w14:textId="77777777" w:rsidR="002D7220" w:rsidRPr="009E312D" w:rsidRDefault="002D7220" w:rsidP="002D7220">
      <w:pPr>
        <w:spacing w:after="0" w:line="240" w:lineRule="auto"/>
        <w:ind w:firstLine="709"/>
        <w:jc w:val="both"/>
        <w:rPr>
          <w:rFonts w:ascii="Verdana" w:hAnsi="Verdana" w:cs="Arial"/>
          <w:color w:val="000000" w:themeColor="text1"/>
        </w:rPr>
      </w:pPr>
    </w:p>
    <w:p w14:paraId="2DFAF27D" w14:textId="77777777" w:rsidR="002D7220" w:rsidRPr="001A780E" w:rsidRDefault="002D7220" w:rsidP="002D7220">
      <w:pPr>
        <w:spacing w:after="0" w:line="240" w:lineRule="auto"/>
        <w:ind w:left="709" w:right="616"/>
        <w:jc w:val="both"/>
        <w:rPr>
          <w:rFonts w:ascii="Verdana" w:hAnsi="Verdana" w:cs="Arial"/>
          <w:sz w:val="20"/>
          <w:szCs w:val="20"/>
          <w:lang w:val="es-ES" w:eastAsia="es-CO"/>
        </w:rPr>
      </w:pPr>
      <w:r w:rsidRPr="00C47D89">
        <w:rPr>
          <w:rFonts w:ascii="Verdana" w:hAnsi="Verdana" w:cs="Arial"/>
          <w:sz w:val="21"/>
          <w:szCs w:val="21"/>
          <w:lang w:val="es-ES" w:eastAsia="es-CO"/>
        </w:rPr>
        <w:t>“</w:t>
      </w:r>
      <w:r w:rsidRPr="001A780E">
        <w:rPr>
          <w:rFonts w:ascii="Verdana" w:hAnsi="Verdana" w:cs="Arial"/>
          <w:sz w:val="20"/>
          <w:szCs w:val="20"/>
          <w:lang w:val="es-ES" w:eastAsia="es-CO"/>
        </w:rPr>
        <w:t>Artículo 45. Corrección de errores formales. En cualquier tiempo, de oficio o a petición de parte, se podrán corregir los errores simplemente formales contenidos en los actos administrativos, ya sean aritméticos, de digitación, de transcripción o de omisión de palabras. En ningún caso la corrección dará lugar a cambios en el sentido material de la decisión, ni revivirá los términos legales para demandar el acto. Realizada la corrección, esta deberá ser notificada o comunicada a todos los interesados, según corresponda”.</w:t>
      </w:r>
    </w:p>
    <w:p w14:paraId="0F35634E" w14:textId="77777777" w:rsidR="002D7220" w:rsidRDefault="002D7220" w:rsidP="002D7220">
      <w:pPr>
        <w:spacing w:after="0" w:line="240" w:lineRule="auto"/>
        <w:ind w:firstLine="709"/>
        <w:jc w:val="both"/>
        <w:rPr>
          <w:rFonts w:ascii="Verdana" w:hAnsi="Verdana" w:cs="Arial"/>
          <w:color w:val="000000" w:themeColor="text1"/>
        </w:rPr>
      </w:pPr>
    </w:p>
    <w:p w14:paraId="0E2F5C2A" w14:textId="77777777" w:rsidR="002D7220" w:rsidRPr="009E312D" w:rsidRDefault="002D7220" w:rsidP="002D7220">
      <w:pPr>
        <w:spacing w:after="120" w:line="276" w:lineRule="auto"/>
        <w:ind w:firstLine="709"/>
        <w:jc w:val="both"/>
        <w:rPr>
          <w:rFonts w:ascii="Verdana" w:hAnsi="Verdana" w:cs="Arial"/>
          <w:color w:val="000000" w:themeColor="text1"/>
        </w:rPr>
      </w:pPr>
      <w:r w:rsidRPr="009E312D">
        <w:rPr>
          <w:rFonts w:ascii="Verdana" w:hAnsi="Verdana" w:cs="Arial"/>
          <w:color w:val="000000" w:themeColor="text1"/>
        </w:rPr>
        <w:t xml:space="preserve">De esta figura se pueden destacar las siguientes características: i) procede para corregir </w:t>
      </w:r>
      <w:r w:rsidRPr="009E312D">
        <w:rPr>
          <w:rFonts w:ascii="Verdana" w:hAnsi="Verdana" w:cs="Arial"/>
        </w:rPr>
        <w:t xml:space="preserve">errores simplemente formales contenidos en los actos administrativos, ya sean aritméticos, de digitación, de transcripción o de omisión de palabras, </w:t>
      </w:r>
      <w:proofErr w:type="spellStart"/>
      <w:r w:rsidRPr="009E312D">
        <w:rPr>
          <w:rFonts w:ascii="Verdana" w:hAnsi="Verdana" w:cs="Arial"/>
        </w:rPr>
        <w:t>ii</w:t>
      </w:r>
      <w:proofErr w:type="spellEnd"/>
      <w:r w:rsidRPr="009E312D">
        <w:rPr>
          <w:rFonts w:ascii="Verdana" w:hAnsi="Verdana" w:cs="Arial"/>
        </w:rPr>
        <w:t xml:space="preserve">) no permite cambios sustanciales o materiales de la decisión, </w:t>
      </w:r>
      <w:proofErr w:type="spellStart"/>
      <w:r w:rsidRPr="009E312D">
        <w:rPr>
          <w:rFonts w:ascii="Verdana" w:hAnsi="Verdana" w:cs="Arial"/>
        </w:rPr>
        <w:t>iii</w:t>
      </w:r>
      <w:proofErr w:type="spellEnd"/>
      <w:r w:rsidRPr="009E312D">
        <w:rPr>
          <w:rFonts w:ascii="Verdana" w:hAnsi="Verdana" w:cs="Arial"/>
        </w:rPr>
        <w:t xml:space="preserve">) puede realizarse en cualquier tiempo, </w:t>
      </w:r>
      <w:proofErr w:type="spellStart"/>
      <w:r w:rsidRPr="009E312D">
        <w:rPr>
          <w:rFonts w:ascii="Verdana" w:hAnsi="Verdana" w:cs="Arial"/>
        </w:rPr>
        <w:t>iv</w:t>
      </w:r>
      <w:proofErr w:type="spellEnd"/>
      <w:r w:rsidRPr="009E312D">
        <w:rPr>
          <w:rFonts w:ascii="Verdana" w:hAnsi="Verdana" w:cs="Arial"/>
        </w:rPr>
        <w:t>) procede de oficio o a petición de parte, v) el acto administrativo de corrección no revive términos para demandar el acto corregido, vi) debe ser notificada o comunicada a los interesados</w:t>
      </w:r>
      <w:r w:rsidRPr="009E312D">
        <w:rPr>
          <w:rStyle w:val="Refdenotaalpie"/>
          <w:rFonts w:ascii="Verdana" w:hAnsi="Verdana" w:cs="Arial"/>
        </w:rPr>
        <w:footnoteReference w:id="10"/>
      </w:r>
      <w:r w:rsidRPr="009E312D">
        <w:rPr>
          <w:rFonts w:ascii="Verdana" w:hAnsi="Verdana" w:cs="Arial"/>
        </w:rPr>
        <w:t xml:space="preserve">. </w:t>
      </w:r>
    </w:p>
    <w:p w14:paraId="49EF6CE8" w14:textId="77777777" w:rsidR="002D7220" w:rsidRPr="009E312D" w:rsidRDefault="002D7220" w:rsidP="002D7220">
      <w:pPr>
        <w:spacing w:after="120" w:line="276" w:lineRule="auto"/>
        <w:ind w:firstLine="709"/>
        <w:jc w:val="both"/>
        <w:rPr>
          <w:rFonts w:ascii="Verdana" w:hAnsi="Verdana" w:cs="Arial"/>
          <w:color w:val="000000" w:themeColor="text1"/>
        </w:rPr>
      </w:pPr>
      <w:r w:rsidRPr="009E312D">
        <w:rPr>
          <w:rFonts w:ascii="Verdana" w:hAnsi="Verdana" w:cs="Arial"/>
          <w:color w:val="000000" w:themeColor="text1"/>
        </w:rPr>
        <w:t xml:space="preserve">Cabe aclarar que aunque el Estatuto General de Contratación de la Administración Pública no consagra expresamente esta figura, es posible su aplicación en los actos del proceso de contratación, en virtud de lo establecido en el  artículo  77 de la Ley 80 de 1993 y en el artículo 2 de la Ley 1437 de 2011, pues, la primera disposición señala que las normas que rigen los procedimientos y actuaciones en la función administrativa son aplicables en las actuaciones contractuales, siempre que sean compatibles con la finalidad y los principios de </w:t>
      </w:r>
      <w:r w:rsidRPr="009E312D">
        <w:rPr>
          <w:rFonts w:ascii="Verdana" w:hAnsi="Verdana" w:cs="Arial"/>
          <w:color w:val="000000" w:themeColor="text1"/>
        </w:rPr>
        <w:lastRenderedPageBreak/>
        <w:t>la Ley 80. A su vez, el artículo 2 de la Ley 1437 de 2011, señala que los procedimientos allí establecidos aplican a las actuaciones de todas las autoridades y particulares que desempeñan funciones administrativas, sin perjuicio de los procedimientos regulados en leyes especiales, y agrega que, en lo no previsto en estos, se aplicarán los procedimientos establecidos en dicho código. Tal es el caso de la corrección de errores simplemente formales de los actos administrativos que no está regulada en el Estatuto General de Contratación de la Administración Pública, sino en el Código de Procedimiento Administrativo y de lo Contencioso Administrativo.</w:t>
      </w:r>
    </w:p>
    <w:p w14:paraId="0131DC39" w14:textId="77777777" w:rsidR="002D7220" w:rsidRPr="009B5EEE" w:rsidRDefault="002D7220" w:rsidP="002D7220">
      <w:pPr>
        <w:tabs>
          <w:tab w:val="left" w:pos="709"/>
        </w:tabs>
        <w:spacing w:after="120" w:line="276" w:lineRule="auto"/>
        <w:jc w:val="both"/>
        <w:rPr>
          <w:rFonts w:ascii="Verdana" w:hAnsi="Verdana" w:cs="Arial"/>
          <w:iCs/>
          <w:color w:val="000000" w:themeColor="text1"/>
        </w:rPr>
      </w:pPr>
      <w:r>
        <w:rPr>
          <w:rFonts w:ascii="Verdana" w:hAnsi="Verdana" w:cs="Arial"/>
          <w:iCs/>
          <w:color w:val="000000" w:themeColor="text1"/>
        </w:rPr>
        <w:tab/>
      </w:r>
      <w:r w:rsidRPr="009B5EEE">
        <w:rPr>
          <w:rFonts w:ascii="Verdana" w:hAnsi="Verdana" w:cs="Arial"/>
          <w:iCs/>
          <w:color w:val="000000" w:themeColor="text1"/>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0DA254F" w14:textId="77777777" w:rsidR="002D7220" w:rsidRPr="00D1116E" w:rsidRDefault="002D7220" w:rsidP="002D7220">
      <w:pPr>
        <w:tabs>
          <w:tab w:val="left" w:pos="709"/>
        </w:tabs>
        <w:spacing w:after="0" w:line="276" w:lineRule="auto"/>
        <w:jc w:val="both"/>
        <w:rPr>
          <w:rFonts w:ascii="Verdana" w:hAnsi="Verdana" w:cs="Arial"/>
          <w:iCs/>
          <w:color w:val="000000" w:themeColor="text1"/>
        </w:rPr>
      </w:pPr>
      <w:r>
        <w:rPr>
          <w:rFonts w:ascii="Verdana" w:hAnsi="Verdana" w:cs="Arial"/>
          <w:iCs/>
          <w:color w:val="000000" w:themeColor="text1"/>
        </w:rPr>
        <w:tab/>
      </w:r>
      <w:r w:rsidRPr="009B5EEE">
        <w:rPr>
          <w:rFonts w:ascii="Verdana" w:hAnsi="Verdana" w:cs="Arial"/>
          <w:i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7BD64726" w14:textId="77777777" w:rsidR="002D7220" w:rsidRDefault="002D7220" w:rsidP="002D7220">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6674877F" w14:textId="77777777" w:rsidR="002D7220" w:rsidRDefault="002D7220" w:rsidP="002D7220">
      <w:pPr>
        <w:tabs>
          <w:tab w:val="left" w:pos="142"/>
          <w:tab w:val="left" w:pos="284"/>
        </w:tabs>
        <w:spacing w:after="0" w:line="240" w:lineRule="auto"/>
        <w:rPr>
          <w:rFonts w:ascii="Verdana" w:eastAsia="Century Gothic" w:hAnsi="Verdana" w:cs="Century Gothic"/>
          <w:b/>
          <w:bCs/>
        </w:rPr>
      </w:pPr>
      <w:bookmarkStart w:id="12" w:name="_Hlk204854194"/>
      <w:r w:rsidRPr="00FF007A">
        <w:rPr>
          <w:rFonts w:ascii="Verdana" w:eastAsia="Century Gothic" w:hAnsi="Verdana" w:cs="Century Gothic"/>
          <w:b/>
          <w:bCs/>
        </w:rPr>
        <w:t>4. Referencias normativas:</w:t>
      </w:r>
      <w:bookmarkEnd w:id="12"/>
    </w:p>
    <w:p w14:paraId="1F7EF55F" w14:textId="77777777" w:rsidR="002D7220" w:rsidRPr="00861D2F" w:rsidRDefault="002D7220" w:rsidP="002D7220">
      <w:pPr>
        <w:tabs>
          <w:tab w:val="left" w:pos="142"/>
          <w:tab w:val="left" w:pos="284"/>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D7220" w:rsidRPr="00FF007A" w14:paraId="12FE6C64" w14:textId="77777777" w:rsidTr="00A2777E">
        <w:trPr>
          <w:trHeight w:val="1288"/>
          <w:jc w:val="center"/>
        </w:trPr>
        <w:tc>
          <w:tcPr>
            <w:tcW w:w="8647" w:type="dxa"/>
          </w:tcPr>
          <w:p w14:paraId="6497F601" w14:textId="77777777" w:rsidR="002D7220" w:rsidRPr="00F70687" w:rsidRDefault="002D7220" w:rsidP="00A2777E">
            <w:pPr>
              <w:widowControl w:val="0"/>
              <w:numPr>
                <w:ilvl w:val="0"/>
                <w:numId w:val="17"/>
              </w:numPr>
              <w:autoSpaceDE w:val="0"/>
              <w:autoSpaceDN w:val="0"/>
              <w:spacing w:after="120" w:line="276" w:lineRule="auto"/>
              <w:ind w:left="714" w:hanging="357"/>
              <w:jc w:val="both"/>
              <w:rPr>
                <w:rFonts w:ascii="Verdana" w:hAnsi="Verdana" w:cs="Arial"/>
                <w:lang w:val="es-ES"/>
              </w:rPr>
            </w:pPr>
            <w:r w:rsidRPr="00F70687">
              <w:rPr>
                <w:rFonts w:ascii="Verdana" w:hAnsi="Verdana" w:cs="Arial"/>
                <w:lang w:val="es-ES"/>
              </w:rPr>
              <w:t>Ley 80 de 1993</w:t>
            </w:r>
            <w:r>
              <w:rPr>
                <w:rFonts w:ascii="Verdana" w:hAnsi="Verdana" w:cs="Arial"/>
                <w:lang w:val="es-ES"/>
              </w:rPr>
              <w:t xml:space="preserve">. Artículos 25, </w:t>
            </w:r>
            <w:r w:rsidRPr="00F70687">
              <w:rPr>
                <w:rFonts w:ascii="Verdana" w:hAnsi="Verdana" w:cs="Arial"/>
                <w:lang w:val="es-ES"/>
              </w:rPr>
              <w:t>44, 46, 49 y 77.</w:t>
            </w:r>
          </w:p>
          <w:p w14:paraId="34C582EB" w14:textId="77777777" w:rsidR="002D7220" w:rsidRPr="00F70687" w:rsidRDefault="002D7220" w:rsidP="00A2777E">
            <w:pPr>
              <w:widowControl w:val="0"/>
              <w:numPr>
                <w:ilvl w:val="0"/>
                <w:numId w:val="17"/>
              </w:numPr>
              <w:autoSpaceDE w:val="0"/>
              <w:autoSpaceDN w:val="0"/>
              <w:spacing w:after="120" w:line="276" w:lineRule="auto"/>
              <w:ind w:left="714" w:hanging="357"/>
              <w:jc w:val="both"/>
              <w:rPr>
                <w:rFonts w:ascii="Verdana" w:hAnsi="Verdana" w:cs="Arial"/>
                <w:lang w:val="es-ES"/>
              </w:rPr>
            </w:pPr>
            <w:r w:rsidRPr="00F70687">
              <w:rPr>
                <w:rFonts w:ascii="Verdana" w:hAnsi="Verdana" w:cs="Arial"/>
                <w:lang w:val="es-ES"/>
              </w:rPr>
              <w:t>Ley 1437 de 2011, artículos 2 y 45.</w:t>
            </w:r>
          </w:p>
          <w:p w14:paraId="183C4332" w14:textId="77777777" w:rsidR="002D7220" w:rsidRDefault="002D7220" w:rsidP="00A2777E">
            <w:pPr>
              <w:widowControl w:val="0"/>
              <w:numPr>
                <w:ilvl w:val="0"/>
                <w:numId w:val="17"/>
              </w:numPr>
              <w:autoSpaceDE w:val="0"/>
              <w:autoSpaceDN w:val="0"/>
              <w:spacing w:after="120" w:line="276" w:lineRule="auto"/>
              <w:ind w:left="714" w:hanging="357"/>
              <w:jc w:val="both"/>
              <w:rPr>
                <w:rFonts w:ascii="Verdana" w:hAnsi="Verdana" w:cs="Arial"/>
                <w:lang w:val="es-ES"/>
              </w:rPr>
            </w:pPr>
            <w:r w:rsidRPr="00F70687">
              <w:rPr>
                <w:rFonts w:ascii="Verdana" w:hAnsi="Verdana" w:cs="Arial"/>
                <w:lang w:val="es-ES"/>
              </w:rPr>
              <w:t>Código Civil, artículos 6, 16, 1602, 1625, 1741.</w:t>
            </w:r>
          </w:p>
          <w:p w14:paraId="5AEA9620" w14:textId="77777777" w:rsidR="002D7220" w:rsidRDefault="002D7220" w:rsidP="00A2777E">
            <w:pPr>
              <w:widowControl w:val="0"/>
              <w:numPr>
                <w:ilvl w:val="0"/>
                <w:numId w:val="17"/>
              </w:numPr>
              <w:autoSpaceDE w:val="0"/>
              <w:autoSpaceDN w:val="0"/>
              <w:spacing w:after="120" w:line="276" w:lineRule="auto"/>
              <w:ind w:left="714" w:hanging="357"/>
              <w:jc w:val="both"/>
              <w:rPr>
                <w:rFonts w:ascii="Verdana" w:hAnsi="Verdana" w:cs="Arial"/>
                <w:lang w:val="es-ES"/>
              </w:rPr>
            </w:pPr>
            <w:r w:rsidRPr="00E81D1F">
              <w:rPr>
                <w:rFonts w:ascii="Verdana" w:hAnsi="Verdana" w:cs="Arial"/>
                <w:lang w:val="es-ES"/>
              </w:rPr>
              <w:t>Código de Comercio</w:t>
            </w:r>
            <w:r>
              <w:rPr>
                <w:rFonts w:ascii="Verdana" w:hAnsi="Verdana" w:cs="Arial"/>
                <w:lang w:val="es-ES"/>
              </w:rPr>
              <w:t xml:space="preserve">. Artículos </w:t>
            </w:r>
            <w:r w:rsidRPr="00E81D1F">
              <w:rPr>
                <w:rFonts w:ascii="Verdana" w:hAnsi="Verdana" w:cs="Arial"/>
                <w:lang w:val="es-ES"/>
              </w:rPr>
              <w:t>822, 900 y 901.</w:t>
            </w:r>
          </w:p>
          <w:p w14:paraId="748E35F8" w14:textId="77777777" w:rsidR="002D7220" w:rsidRDefault="002D7220" w:rsidP="00A2777E">
            <w:pPr>
              <w:widowControl w:val="0"/>
              <w:numPr>
                <w:ilvl w:val="0"/>
                <w:numId w:val="17"/>
              </w:numPr>
              <w:autoSpaceDE w:val="0"/>
              <w:autoSpaceDN w:val="0"/>
              <w:spacing w:after="120" w:line="276" w:lineRule="auto"/>
              <w:ind w:left="714" w:hanging="357"/>
              <w:jc w:val="both"/>
              <w:rPr>
                <w:rFonts w:ascii="Verdana" w:hAnsi="Verdana" w:cs="Arial"/>
                <w:lang w:val="es-ES"/>
              </w:rPr>
            </w:pPr>
            <w:r w:rsidRPr="00725B84">
              <w:rPr>
                <w:rFonts w:ascii="Verdana" w:hAnsi="Verdana" w:cs="Arial"/>
                <w:lang w:val="es-ES"/>
              </w:rPr>
              <w:lastRenderedPageBreak/>
              <w:t>Consejo de Estado. Sala de lo Contencioso Administrativo, Sección Tercera. Subsección B. Sentencia del 14 de junio de 2018.  Radicación: 08001-23-31-000-2003-01953-02 (37389). C.P: Ramiro Pazos Guerrero.</w:t>
            </w:r>
          </w:p>
          <w:p w14:paraId="0EB95DF6" w14:textId="77777777" w:rsidR="002D7220" w:rsidRDefault="002D7220" w:rsidP="00A2777E">
            <w:pPr>
              <w:widowControl w:val="0"/>
              <w:numPr>
                <w:ilvl w:val="0"/>
                <w:numId w:val="17"/>
              </w:numPr>
              <w:autoSpaceDE w:val="0"/>
              <w:autoSpaceDN w:val="0"/>
              <w:spacing w:after="120" w:line="276" w:lineRule="auto"/>
              <w:ind w:left="714" w:hanging="357"/>
              <w:jc w:val="both"/>
              <w:rPr>
                <w:rFonts w:ascii="Verdana" w:hAnsi="Verdana" w:cs="Arial"/>
                <w:lang w:val="es-ES"/>
              </w:rPr>
            </w:pPr>
            <w:r w:rsidRPr="00725B84">
              <w:rPr>
                <w:rFonts w:ascii="Verdana" w:hAnsi="Verdana" w:cs="Arial"/>
                <w:lang w:val="es-ES"/>
              </w:rPr>
              <w:t>Consejo de Estado. Sala de lo Contencioso Administrativo. Sección Tercera. Subsección C. Sentencia del 12 de agosto de 2014. Radicación: 05001-23-31-000-1998-01350-01 (28565). C.P: Enrique Gil Botero.</w:t>
            </w:r>
          </w:p>
          <w:p w14:paraId="78566B5F" w14:textId="77777777" w:rsidR="002D7220" w:rsidRDefault="002D7220" w:rsidP="00A2777E">
            <w:pPr>
              <w:widowControl w:val="0"/>
              <w:numPr>
                <w:ilvl w:val="0"/>
                <w:numId w:val="17"/>
              </w:numPr>
              <w:autoSpaceDE w:val="0"/>
              <w:autoSpaceDN w:val="0"/>
              <w:spacing w:after="120" w:line="276" w:lineRule="auto"/>
              <w:ind w:left="714" w:hanging="357"/>
              <w:jc w:val="both"/>
              <w:rPr>
                <w:rFonts w:ascii="Verdana" w:hAnsi="Verdana" w:cs="Arial"/>
                <w:lang w:val="es-ES"/>
              </w:rPr>
            </w:pPr>
            <w:r w:rsidRPr="00725B84">
              <w:rPr>
                <w:rFonts w:ascii="Verdana" w:hAnsi="Verdana" w:cs="Arial"/>
                <w:lang w:val="es-ES"/>
              </w:rPr>
              <w:t xml:space="preserve">GORDILLO, Agustín. Tratado de derecho administrativo y obras selectas. Tomo 5. Primeras obras. Libro II. El acto administrativo. Buenos Aires: Fundación de Derecho Administrativo, 2012. </w:t>
            </w:r>
          </w:p>
          <w:p w14:paraId="266226E1" w14:textId="77777777" w:rsidR="002D7220" w:rsidRDefault="002D7220" w:rsidP="00A2777E">
            <w:pPr>
              <w:widowControl w:val="0"/>
              <w:numPr>
                <w:ilvl w:val="0"/>
                <w:numId w:val="17"/>
              </w:numPr>
              <w:autoSpaceDE w:val="0"/>
              <w:autoSpaceDN w:val="0"/>
              <w:spacing w:after="120" w:line="276" w:lineRule="auto"/>
              <w:ind w:left="714" w:hanging="357"/>
              <w:jc w:val="both"/>
              <w:rPr>
                <w:rFonts w:ascii="Verdana" w:hAnsi="Verdana" w:cs="Arial"/>
                <w:lang w:val="es-ES"/>
              </w:rPr>
            </w:pPr>
            <w:r w:rsidRPr="00725B84">
              <w:rPr>
                <w:rFonts w:ascii="Verdana" w:hAnsi="Verdana" w:cs="Arial"/>
                <w:lang w:val="es-ES"/>
              </w:rPr>
              <w:t>HINESTROSA, Fernando. Tratado de las obligaciones II. De las fuentes de las obligaciones: el negocio jurídico. Volumen II. Bogotá: Universidad externando de Colombia, 2015. Libro en formato EPUB.</w:t>
            </w:r>
          </w:p>
          <w:p w14:paraId="1E7A59E3" w14:textId="77777777" w:rsidR="002D7220" w:rsidRDefault="002D7220" w:rsidP="00A2777E">
            <w:pPr>
              <w:widowControl w:val="0"/>
              <w:numPr>
                <w:ilvl w:val="0"/>
                <w:numId w:val="17"/>
              </w:numPr>
              <w:autoSpaceDE w:val="0"/>
              <w:autoSpaceDN w:val="0"/>
              <w:spacing w:after="120" w:line="276" w:lineRule="auto"/>
              <w:ind w:left="714" w:hanging="357"/>
              <w:jc w:val="both"/>
              <w:rPr>
                <w:rFonts w:ascii="Verdana" w:hAnsi="Verdana" w:cs="Arial"/>
                <w:lang w:val="es-ES"/>
              </w:rPr>
            </w:pPr>
            <w:r w:rsidRPr="00725B84">
              <w:rPr>
                <w:rFonts w:ascii="Verdana" w:hAnsi="Verdana" w:cs="Arial"/>
                <w:lang w:val="es-ES"/>
              </w:rPr>
              <w:t xml:space="preserve">ALESSANDRI BESA, Arturo. La nulidad y la recisión en el derecho civil chileno. Santiago de Chile: </w:t>
            </w:r>
            <w:proofErr w:type="spellStart"/>
            <w:r w:rsidRPr="00725B84">
              <w:rPr>
                <w:rFonts w:ascii="Verdana" w:hAnsi="Verdana" w:cs="Arial"/>
                <w:lang w:val="es-ES"/>
              </w:rPr>
              <w:t>Ediar</w:t>
            </w:r>
            <w:proofErr w:type="spellEnd"/>
            <w:r w:rsidRPr="00725B84">
              <w:rPr>
                <w:rFonts w:ascii="Verdana" w:hAnsi="Verdana" w:cs="Arial"/>
                <w:lang w:val="es-ES"/>
              </w:rPr>
              <w:t xml:space="preserve"> Editores LTDA, s/a</w:t>
            </w:r>
            <w:r>
              <w:rPr>
                <w:rFonts w:ascii="Verdana" w:hAnsi="Verdana" w:cs="Arial"/>
                <w:lang w:val="es-ES"/>
              </w:rPr>
              <w:t>.</w:t>
            </w:r>
          </w:p>
          <w:p w14:paraId="56D70C44" w14:textId="77777777" w:rsidR="002D7220" w:rsidRPr="00E81D1F" w:rsidRDefault="002D7220" w:rsidP="00A2777E">
            <w:pPr>
              <w:widowControl w:val="0"/>
              <w:numPr>
                <w:ilvl w:val="0"/>
                <w:numId w:val="17"/>
              </w:numPr>
              <w:autoSpaceDE w:val="0"/>
              <w:autoSpaceDN w:val="0"/>
              <w:spacing w:after="120" w:line="276" w:lineRule="auto"/>
              <w:ind w:left="714" w:hanging="357"/>
              <w:jc w:val="both"/>
              <w:rPr>
                <w:rFonts w:ascii="Verdana" w:hAnsi="Verdana" w:cs="Arial"/>
                <w:lang w:val="es-ES"/>
              </w:rPr>
            </w:pPr>
            <w:r w:rsidRPr="00725B84">
              <w:rPr>
                <w:rFonts w:ascii="Verdana" w:hAnsi="Verdana" w:cs="Arial"/>
                <w:lang w:val="es-ES"/>
              </w:rPr>
              <w:t>ARRUBLA PAUCAR, Jaime Alberto. Contratos mercantiles: teoría general del negocio mercantil. Decimocuarta edición. Bogotá: Legis, 2021</w:t>
            </w:r>
          </w:p>
        </w:tc>
      </w:tr>
    </w:tbl>
    <w:p w14:paraId="4590EA15" w14:textId="77777777" w:rsidR="002D7220" w:rsidRPr="00FF007A" w:rsidRDefault="002D7220" w:rsidP="002D7220">
      <w:pPr>
        <w:widowControl w:val="0"/>
        <w:autoSpaceDE w:val="0"/>
        <w:autoSpaceDN w:val="0"/>
        <w:spacing w:after="0" w:line="276" w:lineRule="auto"/>
        <w:jc w:val="both"/>
        <w:rPr>
          <w:rFonts w:ascii="Verdana" w:hAnsi="Verdana" w:cs="Arial"/>
        </w:rPr>
      </w:pPr>
    </w:p>
    <w:p w14:paraId="6370F27B" w14:textId="77777777" w:rsidR="002D7220" w:rsidRPr="00FF007A" w:rsidRDefault="002D7220" w:rsidP="002D7220">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7F134421" w14:textId="77777777" w:rsidR="002D7220" w:rsidRDefault="002D7220" w:rsidP="002D7220">
      <w:pPr>
        <w:widowControl w:val="0"/>
        <w:autoSpaceDE w:val="0"/>
        <w:autoSpaceDN w:val="0"/>
        <w:spacing w:after="0" w:line="276" w:lineRule="auto"/>
        <w:jc w:val="both"/>
        <w:rPr>
          <w:rFonts w:ascii="Verdana" w:hAnsi="Verdana" w:cs="Arial"/>
          <w:shd w:val="clear" w:color="auto" w:fill="FFFFFF"/>
          <w:lang w:val="es-ES"/>
        </w:rPr>
      </w:pPr>
    </w:p>
    <w:p w14:paraId="212991F6" w14:textId="77777777" w:rsidR="002D7220" w:rsidRPr="00AF06A2" w:rsidRDefault="002D7220" w:rsidP="002D7220">
      <w:pPr>
        <w:widowControl w:val="0"/>
        <w:autoSpaceDE w:val="0"/>
        <w:autoSpaceDN w:val="0"/>
        <w:spacing w:after="0" w:line="276" w:lineRule="auto"/>
        <w:jc w:val="both"/>
        <w:rPr>
          <w:rFonts w:ascii="Verdana" w:eastAsia="Times New Roman" w:hAnsi="Verdana" w:cs="Arial"/>
          <w:shd w:val="clear" w:color="auto" w:fill="FFFFFF"/>
          <w:lang w:val="es-ES"/>
        </w:rPr>
      </w:pPr>
      <w:r>
        <w:rPr>
          <w:rStyle w:val="normaltextrun"/>
          <w:rFonts w:ascii="Verdana" w:hAnsi="Verdana" w:cs="Arial"/>
          <w:shd w:val="clear" w:color="auto" w:fill="FFFFFF"/>
          <w:lang w:val="es-ES"/>
        </w:rPr>
        <w:t>Esta Subdirección se ha pronunciado sobre el saneamiento de los procesos de selección en los Conceptos C-575 del 13 de octubre de 2021, C-383 del 20 de septiembre de 2023</w:t>
      </w:r>
      <w:r>
        <w:rPr>
          <w:rFonts w:ascii="Verdana" w:hAnsi="Verdana" w:cs="Arial"/>
          <w:shd w:val="clear" w:color="auto" w:fill="FFFFFF"/>
          <w:lang w:val="es-ES"/>
        </w:rPr>
        <w:t>, C-580 del 23 de mayo de 2025,</w:t>
      </w:r>
      <w:r w:rsidRPr="009F635A">
        <w:rPr>
          <w:rFonts w:ascii="Verdana" w:hAnsi="Verdana" w:cs="Arial"/>
          <w:shd w:val="clear" w:color="auto" w:fill="FFFFFF"/>
          <w:lang w:val="es-ES"/>
        </w:rPr>
        <w:t xml:space="preserve"> </w:t>
      </w:r>
      <w:r>
        <w:rPr>
          <w:rFonts w:ascii="Verdana" w:hAnsi="Verdana" w:cs="Arial"/>
          <w:shd w:val="clear" w:color="auto" w:fill="FFFFFF"/>
          <w:lang w:val="es-ES"/>
        </w:rPr>
        <w:t xml:space="preserve">C-1214 del 30 de septiembre de 2025, C- 1230 del 25 de septiembre de 2025, </w:t>
      </w:r>
      <w:r w:rsidRPr="009F635A">
        <w:rPr>
          <w:rFonts w:ascii="Verdana" w:hAnsi="Verdana" w:cs="Arial"/>
          <w:shd w:val="clear" w:color="auto" w:fill="FFFFFF"/>
          <w:lang w:val="es-ES"/>
        </w:rPr>
        <w:t>entre otros</w:t>
      </w:r>
      <w:r w:rsidRPr="009F635A">
        <w:rPr>
          <w:rFonts w:ascii="Verdana" w:eastAsia="Times New Roman" w:hAnsi="Verdana" w:cs="Arial"/>
          <w:shd w:val="clear" w:color="auto" w:fill="FFFFFF"/>
          <w:lang w:val="es-ES"/>
        </w:rPr>
        <w:t>.</w:t>
      </w:r>
      <w:r>
        <w:rPr>
          <w:rFonts w:ascii="Verdana" w:eastAsia="Times New Roman" w:hAnsi="Verdana" w:cs="Arial"/>
          <w:shd w:val="clear" w:color="auto" w:fill="FFFFFF"/>
          <w:lang w:val="es-ES"/>
        </w:rPr>
        <w:t xml:space="preserve"> </w:t>
      </w:r>
      <w:r w:rsidRPr="009F635A">
        <w:rPr>
          <w:rFonts w:ascii="Verdana" w:hAnsi="Verdana" w:cs="Arial"/>
        </w:rPr>
        <w:t xml:space="preserve">Estos y otros </w:t>
      </w:r>
      <w:r w:rsidRPr="009F635A">
        <w:rPr>
          <w:rFonts w:ascii="Verdana" w:hAnsi="Verdana"/>
        </w:rPr>
        <w:t>conceptos se encuentran disponibles para consulta en el Sistema</w:t>
      </w:r>
      <w:r w:rsidRPr="00FF007A">
        <w:rPr>
          <w:rFonts w:ascii="Verdana" w:hAnsi="Verdana"/>
        </w:rPr>
        <w:t xml:space="preserve"> de relatoría de la Agencia, al cual se puede acceder a través del siguiente enlace:</w:t>
      </w:r>
      <w:r w:rsidRPr="00FF007A">
        <w:rPr>
          <w:rFonts w:ascii="Verdana" w:hAnsi="Verdana" w:cs="Arial"/>
          <w:shd w:val="clear" w:color="auto" w:fill="FFFFFF"/>
        </w:rPr>
        <w:t xml:space="preserve"> </w:t>
      </w:r>
    </w:p>
    <w:p w14:paraId="52D15A77" w14:textId="77777777" w:rsidR="002D7220" w:rsidRPr="00A454F0" w:rsidRDefault="002D7220" w:rsidP="002D7220">
      <w:pPr>
        <w:widowControl w:val="0"/>
        <w:autoSpaceDE w:val="0"/>
        <w:autoSpaceDN w:val="0"/>
        <w:spacing w:after="0" w:line="276" w:lineRule="auto"/>
        <w:jc w:val="both"/>
        <w:rPr>
          <w:rFonts w:ascii="Verdana" w:hAnsi="Verdana" w:cs="Arial"/>
          <w:shd w:val="clear" w:color="auto" w:fill="FFFFFF"/>
        </w:rPr>
      </w:pPr>
      <w:hyperlink r:id="rId12"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448867BD" w14:textId="77777777" w:rsidR="002D7220" w:rsidRDefault="002D7220" w:rsidP="002D7220">
      <w:pPr>
        <w:spacing w:after="0" w:line="240" w:lineRule="auto"/>
        <w:jc w:val="both"/>
        <w:rPr>
          <w:rFonts w:ascii="Verdana" w:hAnsi="Verdana"/>
        </w:rPr>
      </w:pPr>
    </w:p>
    <w:p w14:paraId="400095B4" w14:textId="77777777" w:rsidR="002D7220" w:rsidRPr="00FF007A" w:rsidRDefault="002D7220" w:rsidP="002D7220">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17BDE46" w14:textId="77777777" w:rsidR="002D7220" w:rsidRPr="00FF007A" w:rsidRDefault="002D7220" w:rsidP="002D7220">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lastRenderedPageBreak/>
        <w:t>Línea nacional gratuita o servicio a la ciudadanía: 01800 0520808</w:t>
      </w:r>
    </w:p>
    <w:p w14:paraId="380B1300" w14:textId="77777777" w:rsidR="002D7220" w:rsidRPr="00FF007A" w:rsidRDefault="002D7220" w:rsidP="002D7220">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1BE4AC50" w14:textId="77777777" w:rsidR="002D7220" w:rsidRPr="00FF007A" w:rsidRDefault="002D7220" w:rsidP="002D7220">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2EB32D37" w14:textId="77777777" w:rsidR="002D7220" w:rsidRPr="00FF007A" w:rsidRDefault="002D7220" w:rsidP="002D7220">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3" w:history="1">
        <w:r w:rsidRPr="00FF007A">
          <w:rPr>
            <w:rStyle w:val="Hipervnculo"/>
            <w:rFonts w:ascii="Verdana" w:hAnsi="Verdana"/>
            <w:lang w:val="es-CO"/>
          </w:rPr>
          <w:t>www.colombiacompra.gov.co</w:t>
        </w:r>
      </w:hyperlink>
    </w:p>
    <w:p w14:paraId="2ADA5AA4" w14:textId="77777777" w:rsidR="002D7220" w:rsidRPr="00FF007A" w:rsidRDefault="002D7220" w:rsidP="002D7220">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15D4203F" w14:textId="77777777" w:rsidR="002D7220" w:rsidRPr="00FF007A" w:rsidRDefault="002D7220" w:rsidP="002D7220">
      <w:pPr>
        <w:spacing w:after="0" w:line="276" w:lineRule="auto"/>
        <w:jc w:val="both"/>
        <w:rPr>
          <w:rFonts w:ascii="Verdana" w:hAnsi="Verdana"/>
        </w:rPr>
      </w:pPr>
    </w:p>
    <w:p w14:paraId="05E5BC20" w14:textId="77777777" w:rsidR="002D7220" w:rsidRPr="00FF007A" w:rsidRDefault="002D7220" w:rsidP="002D7220">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596EC3AE" w14:textId="77777777" w:rsidR="002D7220" w:rsidRPr="00FF007A" w:rsidRDefault="002D7220" w:rsidP="002D7220">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0955E2ED" w14:textId="77777777" w:rsidR="002D7220" w:rsidRPr="00FF007A" w:rsidRDefault="002D7220" w:rsidP="002D7220">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3EEF431D" w14:textId="77777777" w:rsidR="002D7220" w:rsidRPr="00FF007A" w:rsidRDefault="002D7220" w:rsidP="002D7220">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BEE7F08" w14:textId="77777777" w:rsidR="002D7220" w:rsidRPr="00FF007A" w:rsidRDefault="002D7220" w:rsidP="002D7220">
      <w:pPr>
        <w:spacing w:after="0" w:line="276" w:lineRule="auto"/>
        <w:jc w:val="both"/>
        <w:rPr>
          <w:rFonts w:ascii="Verdana" w:eastAsia="Calibri" w:hAnsi="Verdana" w:cs="Times New Roman"/>
        </w:rPr>
      </w:pPr>
    </w:p>
    <w:p w14:paraId="078C4B66" w14:textId="77777777" w:rsidR="002D7220" w:rsidRDefault="002D7220" w:rsidP="002D7220">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61E7D531" w14:textId="3343BB02" w:rsidR="008E52B7" w:rsidRPr="00FF007A" w:rsidRDefault="008E52B7" w:rsidP="008E52B7">
      <w:pPr>
        <w:spacing w:after="0" w:line="276" w:lineRule="auto"/>
        <w:jc w:val="center"/>
        <w:rPr>
          <w:rFonts w:ascii="Verdana" w:eastAsia="Calibri" w:hAnsi="Verdana" w:cs="Times New Roman"/>
        </w:rPr>
      </w:pPr>
      <w:r>
        <w:rPr>
          <w:noProof/>
        </w:rPr>
        <w:drawing>
          <wp:inline distT="0" distB="0" distL="0" distR="0" wp14:anchorId="486A048F" wp14:editId="263DAAB5">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4"/>
                    <a:stretch>
                      <a:fillRect/>
                    </a:stretch>
                  </pic:blipFill>
                  <pic:spPr>
                    <a:xfrm>
                      <a:off x="0" y="0"/>
                      <a:ext cx="3962400" cy="1866900"/>
                    </a:xfrm>
                    <a:prstGeom prst="rect">
                      <a:avLst/>
                    </a:prstGeom>
                  </pic:spPr>
                </pic:pic>
              </a:graphicData>
            </a:graphic>
          </wp:inline>
        </w:drawing>
      </w:r>
    </w:p>
    <w:p w14:paraId="2C353457" w14:textId="5B669FD2" w:rsidR="002D7220" w:rsidRPr="00FF007A" w:rsidRDefault="002D7220" w:rsidP="002D7220">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2D7220" w:rsidRPr="00FF007A" w14:paraId="1B6CDD4F" w14:textId="77777777" w:rsidTr="00A2777E">
        <w:trPr>
          <w:trHeight w:val="315"/>
        </w:trPr>
        <w:tc>
          <w:tcPr>
            <w:tcW w:w="893" w:type="dxa"/>
            <w:vAlign w:val="center"/>
            <w:hideMark/>
          </w:tcPr>
          <w:p w14:paraId="1025AE7F" w14:textId="77777777" w:rsidR="002D7220" w:rsidRPr="00FF007A" w:rsidRDefault="002D7220" w:rsidP="00A2777E">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10A3FD28" w14:textId="77777777" w:rsidR="002D7220" w:rsidRPr="00FF007A" w:rsidRDefault="002D7220" w:rsidP="00A2777E">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7E3391CA" w14:textId="77777777" w:rsidR="002D7220" w:rsidRPr="00FF007A" w:rsidRDefault="002D7220" w:rsidP="00A2777E">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2D7220" w:rsidRPr="00FF007A" w14:paraId="307E1891" w14:textId="77777777" w:rsidTr="00A2777E">
        <w:trPr>
          <w:trHeight w:val="330"/>
        </w:trPr>
        <w:tc>
          <w:tcPr>
            <w:tcW w:w="893" w:type="dxa"/>
            <w:vAlign w:val="center"/>
            <w:hideMark/>
          </w:tcPr>
          <w:p w14:paraId="3A72DAF8" w14:textId="77777777" w:rsidR="002D7220" w:rsidRPr="00FF007A" w:rsidRDefault="002D7220" w:rsidP="00A2777E">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3472991" w14:textId="77777777" w:rsidR="002D7220" w:rsidRPr="00FF007A" w:rsidRDefault="002D7220" w:rsidP="00A2777E">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Diana Lucía Saavedra Castañeda</w:t>
            </w:r>
          </w:p>
          <w:p w14:paraId="3C1298D6" w14:textId="77777777" w:rsidR="002D7220" w:rsidRPr="00FF007A" w:rsidRDefault="002D7220" w:rsidP="00A2777E">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2D7220" w:rsidRPr="00FF007A" w14:paraId="5E6A62D7" w14:textId="77777777" w:rsidTr="00A2777E">
        <w:trPr>
          <w:trHeight w:val="300"/>
        </w:trPr>
        <w:tc>
          <w:tcPr>
            <w:tcW w:w="893" w:type="dxa"/>
            <w:vAlign w:val="center"/>
          </w:tcPr>
          <w:p w14:paraId="70814FCF" w14:textId="77777777" w:rsidR="002D7220" w:rsidRPr="00FF007A" w:rsidRDefault="002D7220" w:rsidP="00A2777E">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BDFAFF0" w14:textId="77777777" w:rsidR="002D7220" w:rsidRPr="00FF007A" w:rsidRDefault="002D7220" w:rsidP="00A2777E">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3F6D47DB" w14:textId="77777777" w:rsidR="002D7220" w:rsidRPr="00FF007A" w:rsidRDefault="002D7220" w:rsidP="00A2777E">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6"/>
      <w:bookmarkEnd w:id="7"/>
    </w:tbl>
    <w:p w14:paraId="325EBA7B" w14:textId="77777777" w:rsidR="002D7220" w:rsidRPr="00DA731C" w:rsidRDefault="002D7220" w:rsidP="002D7220"/>
    <w:bookmarkEnd w:id="5"/>
    <w:p w14:paraId="0F293BF4" w14:textId="1D89F397" w:rsidR="00127233" w:rsidRPr="00CF2488" w:rsidRDefault="00127233" w:rsidP="00CF2488"/>
    <w:sectPr w:rsidR="00127233" w:rsidRPr="00CF248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87840" w14:textId="77777777" w:rsidR="005739D4" w:rsidRDefault="005739D4" w:rsidP="004A1847">
      <w:pPr>
        <w:spacing w:after="0" w:line="240" w:lineRule="auto"/>
      </w:pPr>
      <w:r>
        <w:separator/>
      </w:r>
    </w:p>
  </w:endnote>
  <w:endnote w:type="continuationSeparator" w:id="0">
    <w:p w14:paraId="4EBDB4C8" w14:textId="77777777" w:rsidR="005739D4" w:rsidRDefault="005739D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07D38" w14:textId="77777777" w:rsidR="005739D4" w:rsidRDefault="005739D4" w:rsidP="004A1847">
      <w:pPr>
        <w:spacing w:after="0" w:line="240" w:lineRule="auto"/>
      </w:pPr>
      <w:r>
        <w:separator/>
      </w:r>
    </w:p>
  </w:footnote>
  <w:footnote w:type="continuationSeparator" w:id="0">
    <w:p w14:paraId="5349B018" w14:textId="77777777" w:rsidR="005739D4" w:rsidRDefault="005739D4" w:rsidP="004A1847">
      <w:pPr>
        <w:spacing w:after="0" w:line="240" w:lineRule="auto"/>
      </w:pPr>
      <w:r>
        <w:continuationSeparator/>
      </w:r>
    </w:p>
  </w:footnote>
  <w:footnote w:id="1">
    <w:p w14:paraId="58A66EBD" w14:textId="77777777" w:rsidR="002D7220" w:rsidRDefault="002D7220" w:rsidP="002D7220">
      <w:pPr>
        <w:pStyle w:val="Textonotapie"/>
        <w:ind w:firstLine="709"/>
        <w:jc w:val="both"/>
        <w:rPr>
          <w:rFonts w:ascii="Verdana" w:hAnsi="Verdana" w:cs="Arial"/>
          <w:sz w:val="16"/>
          <w:szCs w:val="16"/>
          <w:lang w:val="es-ES"/>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sidRPr="006E45BA">
        <w:rPr>
          <w:rFonts w:ascii="Verdana" w:hAnsi="Verdana" w:cs="Arial"/>
          <w:sz w:val="16"/>
          <w:szCs w:val="16"/>
          <w:lang w:val="es-ES"/>
        </w:rPr>
        <w:t xml:space="preserve">GORDILLO, Agustín. Tratado de derecho administrativo y obras selectas. Tomo 5. Primeras obras. Libro II. El acto administrativo. Buenos Aires: Fundación de Derecho Administrativo, 2012. p. EAA-IV-29. </w:t>
      </w:r>
    </w:p>
    <w:p w14:paraId="03F322BA" w14:textId="77777777" w:rsidR="002D7220" w:rsidRPr="006E45BA" w:rsidRDefault="002D7220" w:rsidP="002D7220">
      <w:pPr>
        <w:pStyle w:val="Textonotapie"/>
        <w:ind w:firstLine="709"/>
        <w:jc w:val="both"/>
        <w:rPr>
          <w:rFonts w:ascii="Verdana" w:hAnsi="Verdana" w:cs="Arial"/>
          <w:sz w:val="16"/>
          <w:szCs w:val="16"/>
          <w:lang w:val="es-ES"/>
        </w:rPr>
      </w:pPr>
    </w:p>
  </w:footnote>
  <w:footnote w:id="2">
    <w:p w14:paraId="2187F9C9" w14:textId="77777777" w:rsidR="002D7220" w:rsidRPr="00407A1C" w:rsidRDefault="002D7220" w:rsidP="002D7220">
      <w:pPr>
        <w:pStyle w:val="Textonotapie"/>
        <w:ind w:firstLine="707"/>
        <w:jc w:val="both"/>
        <w:rPr>
          <w:rStyle w:val="nfasis"/>
          <w:rFonts w:ascii="Verdana" w:hAnsi="Verdana" w:cs="Arial"/>
          <w:i w:val="0"/>
          <w:iCs w:val="0"/>
          <w:color w:val="000000"/>
          <w:sz w:val="16"/>
          <w:szCs w:val="16"/>
          <w:shd w:val="clear" w:color="auto" w:fill="FFFFFF"/>
        </w:rPr>
      </w:pPr>
      <w:r w:rsidRPr="00407A1C">
        <w:rPr>
          <w:rStyle w:val="Refdenotaalpie"/>
          <w:rFonts w:ascii="Verdana" w:hAnsi="Verdana" w:cs="Arial"/>
          <w:i/>
          <w:iCs/>
          <w:sz w:val="16"/>
          <w:szCs w:val="16"/>
        </w:rPr>
        <w:footnoteRef/>
      </w:r>
      <w:r w:rsidRPr="00407A1C">
        <w:rPr>
          <w:rFonts w:ascii="Verdana" w:hAnsi="Verdana" w:cs="Arial"/>
          <w:i/>
          <w:iCs/>
          <w:sz w:val="16"/>
          <w:szCs w:val="16"/>
        </w:rPr>
        <w:t xml:space="preserve"> </w:t>
      </w:r>
      <w:r w:rsidRPr="00407A1C">
        <w:rPr>
          <w:rStyle w:val="nfasis"/>
          <w:rFonts w:ascii="Verdana" w:hAnsi="Verdana" w:cs="Arial"/>
          <w:i w:val="0"/>
          <w:iCs w:val="0"/>
          <w:color w:val="000000"/>
          <w:sz w:val="16"/>
          <w:szCs w:val="16"/>
          <w:shd w:val="clear" w:color="auto" w:fill="FFFFFF"/>
        </w:rPr>
        <w:t>Consejo de Estado. Sala de lo Contencioso Administrativo, Sección Tercera. Subsección B.  Sentencia del 14 de junio de 2018.  Radicación: 08001-23-31-000-2003-01953-02 (37389). C.P: Ramiro Pazos Guerrero.</w:t>
      </w:r>
    </w:p>
    <w:p w14:paraId="7886610B" w14:textId="77777777" w:rsidR="002D7220" w:rsidRPr="00F3724C" w:rsidRDefault="002D7220" w:rsidP="002D7220">
      <w:pPr>
        <w:pStyle w:val="Textonotapie"/>
        <w:ind w:firstLine="707"/>
        <w:jc w:val="both"/>
        <w:rPr>
          <w:rFonts w:ascii="Verdana" w:hAnsi="Verdana" w:cs="Arial"/>
          <w:i/>
          <w:iCs/>
          <w:sz w:val="16"/>
          <w:szCs w:val="16"/>
        </w:rPr>
      </w:pPr>
    </w:p>
  </w:footnote>
  <w:footnote w:id="3">
    <w:p w14:paraId="5645D8B5" w14:textId="77777777" w:rsidR="002D7220" w:rsidRPr="006E45BA" w:rsidRDefault="002D7220" w:rsidP="002D7220">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Para la doctrina, “La autonomía privada no es un poder originario o soberano. Es un poder conferido a los individuos por una norma superior, la cual regula su actuación, estableciendo cargas y limitaciones. En la ley vemos la fuente de validez de la norma negocial. La ley, lo mismo que puede ampliar el campo en el que actúa la autonomía privada, puede también restringirlo. La ley puede incluso, interviniendo posteriormente, modificar el contenido de una norma negocial ya establecida. Aunque sean excepcionales, estas intervenciones de la ley tienen su justificación formal en la superioridad de la fuente legislativa sobre la negocial.</w:t>
      </w:r>
    </w:p>
    <w:p w14:paraId="50977F61" w14:textId="77777777" w:rsidR="002D7220" w:rsidRPr="006E45BA" w:rsidRDefault="002D7220" w:rsidP="002D7220">
      <w:pPr>
        <w:pStyle w:val="Textonotapie"/>
        <w:ind w:firstLine="708"/>
        <w:jc w:val="both"/>
        <w:rPr>
          <w:rFonts w:ascii="Verdana" w:hAnsi="Verdana"/>
          <w:sz w:val="16"/>
          <w:szCs w:val="16"/>
        </w:rPr>
      </w:pPr>
      <w:r w:rsidRPr="006E45BA">
        <w:rPr>
          <w:rFonts w:ascii="Verdana" w:hAnsi="Verdana"/>
          <w:sz w:val="16"/>
          <w:szCs w:val="16"/>
        </w:rPr>
        <w:t>[…]</w:t>
      </w:r>
    </w:p>
    <w:p w14:paraId="5EFE8E18" w14:textId="77777777" w:rsidR="002D7220" w:rsidRPr="006E45BA" w:rsidRDefault="002D7220" w:rsidP="002D7220">
      <w:pPr>
        <w:pStyle w:val="Textonotapie"/>
        <w:ind w:firstLine="708"/>
        <w:jc w:val="both"/>
        <w:rPr>
          <w:rFonts w:ascii="Verdana" w:hAnsi="Verdana"/>
          <w:sz w:val="16"/>
          <w:szCs w:val="16"/>
        </w:rPr>
      </w:pPr>
      <w:r w:rsidRPr="006E45BA">
        <w:rPr>
          <w:rFonts w:ascii="Verdana" w:hAnsi="Verdana"/>
          <w:sz w:val="16"/>
          <w:szCs w:val="16"/>
        </w:rPr>
        <w:t xml:space="preserve">La autonomía privada no significa, pues, poder originario independiente o </w:t>
      </w:r>
      <w:proofErr w:type="spellStart"/>
      <w:r w:rsidRPr="006E45BA">
        <w:rPr>
          <w:rFonts w:ascii="Verdana" w:hAnsi="Verdana"/>
          <w:i/>
          <w:iCs/>
          <w:sz w:val="16"/>
          <w:szCs w:val="16"/>
        </w:rPr>
        <w:t>selbstherrlich</w:t>
      </w:r>
      <w:proofErr w:type="spellEnd"/>
      <w:r w:rsidRPr="006E45BA">
        <w:rPr>
          <w:rFonts w:ascii="Verdana" w:hAnsi="Verdana"/>
          <w:sz w:val="16"/>
          <w:szCs w:val="16"/>
        </w:rPr>
        <w:t>, que no recibe de fuera la razón de su validez. El carácter no originario del poder en que se concreta la autonomía privada implica que no puede considerarse originaria o soberana tampoco la voluntad de los sujetos que establecen las normas negociales. No es que la voluntad privada cree derecho por sí o por fuerza propia.</w:t>
      </w:r>
    </w:p>
    <w:p w14:paraId="669E1119" w14:textId="77777777" w:rsidR="002D7220" w:rsidRDefault="002D7220" w:rsidP="002D7220">
      <w:pPr>
        <w:pStyle w:val="Textonotapie"/>
        <w:ind w:firstLine="708"/>
        <w:jc w:val="both"/>
        <w:rPr>
          <w:rFonts w:ascii="Verdana" w:hAnsi="Verdana"/>
          <w:sz w:val="16"/>
          <w:szCs w:val="16"/>
        </w:rPr>
      </w:pPr>
      <w:r w:rsidRPr="006E45BA">
        <w:rPr>
          <w:rFonts w:ascii="Verdana" w:hAnsi="Verdana"/>
          <w:sz w:val="16"/>
          <w:szCs w:val="16"/>
        </w:rPr>
        <w:t xml:space="preserve">Admitir una atribución de poder por parte de una norma superior basta para excluir el carácter originario o soberanía de la voluntad privada y del poder atribuido a ella” (FERRI, </w:t>
      </w:r>
      <w:proofErr w:type="spellStart"/>
      <w:r w:rsidRPr="006E45BA">
        <w:rPr>
          <w:rFonts w:ascii="Verdana" w:hAnsi="Verdana"/>
          <w:sz w:val="16"/>
          <w:szCs w:val="16"/>
        </w:rPr>
        <w:t>Luigui</w:t>
      </w:r>
      <w:proofErr w:type="spellEnd"/>
      <w:r w:rsidRPr="006E45BA">
        <w:rPr>
          <w:rFonts w:ascii="Verdana" w:hAnsi="Verdana"/>
          <w:sz w:val="16"/>
          <w:szCs w:val="16"/>
        </w:rPr>
        <w:t xml:space="preserve">. La autonomía privada. Santiago de Chile: Ediciones </w:t>
      </w:r>
      <w:proofErr w:type="spellStart"/>
      <w:r w:rsidRPr="006E45BA">
        <w:rPr>
          <w:rFonts w:ascii="Verdana" w:hAnsi="Verdana"/>
          <w:sz w:val="16"/>
          <w:szCs w:val="16"/>
        </w:rPr>
        <w:t>Olejnik</w:t>
      </w:r>
      <w:proofErr w:type="spellEnd"/>
      <w:r w:rsidRPr="006E45BA">
        <w:rPr>
          <w:rFonts w:ascii="Verdana" w:hAnsi="Verdana"/>
          <w:sz w:val="16"/>
          <w:szCs w:val="16"/>
        </w:rPr>
        <w:t>, 2018. pp. 44-45).</w:t>
      </w:r>
    </w:p>
    <w:p w14:paraId="5902D8E0" w14:textId="77777777" w:rsidR="002D7220" w:rsidRPr="006E45BA" w:rsidRDefault="002D7220" w:rsidP="002D7220">
      <w:pPr>
        <w:pStyle w:val="Textonotapie"/>
        <w:ind w:firstLine="708"/>
        <w:jc w:val="both"/>
        <w:rPr>
          <w:rFonts w:ascii="Verdana" w:hAnsi="Verdana"/>
          <w:sz w:val="16"/>
          <w:szCs w:val="16"/>
        </w:rPr>
      </w:pPr>
    </w:p>
  </w:footnote>
  <w:footnote w:id="4">
    <w:p w14:paraId="5D46FFAF" w14:textId="77777777" w:rsidR="002D7220" w:rsidRPr="006E45BA" w:rsidRDefault="002D7220" w:rsidP="002D7220">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HINESTROSA, Fernando. Tratado de las obligaciones II. De las fuentes de las obligaciones: el negocio jurídico. Volumen II. Bogotá: Universidad externando de Colombia, 2015. Libro en formato EPUB. </w:t>
      </w:r>
    </w:p>
  </w:footnote>
  <w:footnote w:id="5">
    <w:p w14:paraId="07CBD583" w14:textId="77777777" w:rsidR="002D7220" w:rsidRDefault="002D7220" w:rsidP="002D7220">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ALESSANDRI BESA, Arturo. La nulidad y la recisión en el derecho civil chileno. Santiago de Chile: </w:t>
      </w:r>
      <w:proofErr w:type="spellStart"/>
      <w:r w:rsidRPr="006E45BA">
        <w:rPr>
          <w:rFonts w:ascii="Verdana" w:hAnsi="Verdana"/>
          <w:sz w:val="16"/>
          <w:szCs w:val="16"/>
        </w:rPr>
        <w:t>Ediar</w:t>
      </w:r>
      <w:proofErr w:type="spellEnd"/>
      <w:r w:rsidRPr="006E45BA">
        <w:rPr>
          <w:rFonts w:ascii="Verdana" w:hAnsi="Verdana"/>
          <w:sz w:val="16"/>
          <w:szCs w:val="16"/>
        </w:rPr>
        <w:t xml:space="preserve"> Editores LTDA, s/a. p. 689. Para el autor, “Aun cuando la nulidad relativa sea la regla general en materia de nulidades, esto no significa, que la nulidad en sí misma, por ser una sanción, no constituya una excepción […]” (</w:t>
      </w:r>
      <w:r w:rsidRPr="006E45BA">
        <w:rPr>
          <w:rFonts w:ascii="Verdana" w:hAnsi="Verdana"/>
          <w:i/>
          <w:iCs/>
          <w:sz w:val="16"/>
          <w:szCs w:val="16"/>
        </w:rPr>
        <w:t>Ibidem</w:t>
      </w:r>
      <w:r w:rsidRPr="006E45BA">
        <w:rPr>
          <w:rFonts w:ascii="Verdana" w:hAnsi="Verdana"/>
          <w:sz w:val="16"/>
          <w:szCs w:val="16"/>
        </w:rPr>
        <w:t xml:space="preserve">. p. 685). Por ello, a pesar de la formulación general del último aparte del artículo 1741 del Código Civil, la nulidad relativa se reduce a circunstancias específicas.   </w:t>
      </w:r>
    </w:p>
    <w:p w14:paraId="31CABC83" w14:textId="77777777" w:rsidR="002D7220" w:rsidRPr="006E45BA" w:rsidRDefault="002D7220" w:rsidP="002D7220">
      <w:pPr>
        <w:pStyle w:val="Textonotapie"/>
        <w:ind w:firstLine="708"/>
        <w:jc w:val="both"/>
        <w:rPr>
          <w:rFonts w:ascii="Verdana" w:hAnsi="Verdana"/>
          <w:sz w:val="16"/>
          <w:szCs w:val="16"/>
        </w:rPr>
      </w:pPr>
    </w:p>
  </w:footnote>
  <w:footnote w:id="6">
    <w:p w14:paraId="49AEB0BA" w14:textId="77777777" w:rsidR="002D7220" w:rsidRPr="006E45BA" w:rsidRDefault="002D7220" w:rsidP="002D7220">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De acuerdo con la doctrina, “El legislador mercantil introduce una importante variación al establecer la nulidad absoluta corno la regla general en las sanciones. Cuando se contraria una norma imperativa en el ejercicio de la autonomía de la voluntad, si no hay una sanción específica, tendremos como resultado que habrá nulidad absoluta. En el campo civil, la sanción general no es la nulidad absoluta sino la nulidad relativa, pues el articulo 1741 luego de señalar las causales de nulidad absoluta, concluye: </w:t>
      </w:r>
      <w:r w:rsidRPr="006E45BA">
        <w:rPr>
          <w:rFonts w:ascii="Verdana" w:hAnsi="Verdana"/>
          <w:i/>
          <w:iCs/>
          <w:sz w:val="16"/>
          <w:szCs w:val="16"/>
        </w:rPr>
        <w:t>Cualquier otra especie de vicio produce nulidad relativa</w:t>
      </w:r>
      <w:r w:rsidRPr="006E45BA">
        <w:rPr>
          <w:rFonts w:ascii="Verdana" w:hAnsi="Verdana"/>
          <w:sz w:val="16"/>
          <w:szCs w:val="16"/>
        </w:rPr>
        <w:t>. Es una marcada diferencia en el tratamiento de las nulidades de las dos codificaciones” (ARRUBLA PAUCAR, Jaime Alberto. Contratos mercantiles: teoría general del negocio mercantil. Decimocuarta edición. Bogotá: Legis, 2021. p. 282. Énfasis dentro del texto).</w:t>
      </w:r>
    </w:p>
  </w:footnote>
  <w:footnote w:id="7">
    <w:p w14:paraId="4DBE9FD1" w14:textId="77777777" w:rsidR="002D7220" w:rsidRPr="006E45BA" w:rsidRDefault="002D7220" w:rsidP="002D7220">
      <w:pPr>
        <w:spacing w:after="0"/>
        <w:ind w:firstLine="707"/>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44. Los contratos del Estado son absolutamente nulos en los casos previstos en el derecho común y además cuando:</w:t>
      </w:r>
    </w:p>
    <w:p w14:paraId="2506035F" w14:textId="77777777" w:rsidR="002D7220" w:rsidRPr="006E45BA" w:rsidRDefault="002D7220" w:rsidP="002D7220">
      <w:pPr>
        <w:spacing w:after="0"/>
        <w:ind w:firstLine="708"/>
        <w:jc w:val="both"/>
        <w:rPr>
          <w:rFonts w:ascii="Verdana" w:hAnsi="Verdana" w:cs="Arial"/>
          <w:sz w:val="16"/>
          <w:szCs w:val="16"/>
        </w:rPr>
      </w:pPr>
      <w:r w:rsidRPr="006E45BA">
        <w:rPr>
          <w:rFonts w:ascii="Verdana" w:hAnsi="Verdana" w:cs="Arial"/>
          <w:sz w:val="16"/>
          <w:szCs w:val="16"/>
        </w:rPr>
        <w:t>1o. Se celebren con personas incursas en causales de inhabilidad o incompatibilidad previstas en la Constitución y la ley;</w:t>
      </w:r>
    </w:p>
    <w:p w14:paraId="72BC234F" w14:textId="77777777" w:rsidR="002D7220" w:rsidRPr="006E45BA" w:rsidRDefault="002D7220" w:rsidP="002D7220">
      <w:pPr>
        <w:spacing w:after="0"/>
        <w:ind w:firstLine="708"/>
        <w:jc w:val="both"/>
        <w:rPr>
          <w:rFonts w:ascii="Verdana" w:hAnsi="Verdana" w:cs="Arial"/>
          <w:sz w:val="16"/>
          <w:szCs w:val="16"/>
        </w:rPr>
      </w:pPr>
      <w:r w:rsidRPr="006E45BA">
        <w:rPr>
          <w:rFonts w:ascii="Verdana" w:hAnsi="Verdana" w:cs="Arial"/>
          <w:sz w:val="16"/>
          <w:szCs w:val="16"/>
        </w:rPr>
        <w:t xml:space="preserve">2o. Se celebren contra expresa prohibición constitucional o legal; </w:t>
      </w:r>
    </w:p>
    <w:p w14:paraId="36A378B3" w14:textId="77777777" w:rsidR="002D7220" w:rsidRPr="006E45BA" w:rsidRDefault="002D7220" w:rsidP="002D7220">
      <w:pPr>
        <w:spacing w:after="0"/>
        <w:ind w:firstLine="708"/>
        <w:jc w:val="both"/>
        <w:rPr>
          <w:rFonts w:ascii="Verdana" w:hAnsi="Verdana" w:cs="Arial"/>
          <w:sz w:val="16"/>
          <w:szCs w:val="16"/>
        </w:rPr>
      </w:pPr>
      <w:r w:rsidRPr="006E45BA">
        <w:rPr>
          <w:rFonts w:ascii="Verdana" w:hAnsi="Verdana" w:cs="Arial"/>
          <w:sz w:val="16"/>
          <w:szCs w:val="16"/>
        </w:rPr>
        <w:t>3o. Se celebren con abuso o desviación de poder;</w:t>
      </w:r>
    </w:p>
    <w:p w14:paraId="385A2D31" w14:textId="77777777" w:rsidR="002D7220" w:rsidRPr="006E45BA" w:rsidRDefault="002D7220" w:rsidP="002D7220">
      <w:pPr>
        <w:spacing w:after="0"/>
        <w:ind w:firstLine="708"/>
        <w:jc w:val="both"/>
        <w:rPr>
          <w:rFonts w:ascii="Verdana" w:hAnsi="Verdana" w:cs="Arial"/>
          <w:sz w:val="16"/>
          <w:szCs w:val="16"/>
        </w:rPr>
      </w:pPr>
      <w:r w:rsidRPr="006E45BA">
        <w:rPr>
          <w:rFonts w:ascii="Verdana" w:hAnsi="Verdana" w:cs="Arial"/>
          <w:sz w:val="16"/>
          <w:szCs w:val="16"/>
        </w:rPr>
        <w:t>4o. Se declaren nulos los actos administrativos en que se fundamenten; y</w:t>
      </w:r>
    </w:p>
    <w:p w14:paraId="7684732F" w14:textId="77777777" w:rsidR="002D7220" w:rsidRDefault="002D7220" w:rsidP="002D7220">
      <w:pPr>
        <w:spacing w:after="0"/>
        <w:ind w:firstLine="708"/>
        <w:jc w:val="both"/>
        <w:rPr>
          <w:rFonts w:ascii="Verdana" w:hAnsi="Verdana" w:cs="Arial"/>
          <w:sz w:val="16"/>
          <w:szCs w:val="16"/>
        </w:rPr>
      </w:pPr>
      <w:r w:rsidRPr="006E45BA">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r>
        <w:rPr>
          <w:rFonts w:ascii="Verdana" w:hAnsi="Verdana" w:cs="Arial"/>
          <w:sz w:val="16"/>
          <w:szCs w:val="16"/>
        </w:rPr>
        <w:t>”</w:t>
      </w:r>
      <w:r w:rsidRPr="006E45BA">
        <w:rPr>
          <w:rFonts w:ascii="Verdana" w:hAnsi="Verdana" w:cs="Arial"/>
          <w:sz w:val="16"/>
          <w:szCs w:val="16"/>
        </w:rPr>
        <w:t>.</w:t>
      </w:r>
    </w:p>
    <w:p w14:paraId="5243CFBA" w14:textId="77777777" w:rsidR="002D7220" w:rsidRPr="006E45BA" w:rsidRDefault="002D7220" w:rsidP="002D7220">
      <w:pPr>
        <w:spacing w:after="0"/>
        <w:ind w:firstLine="708"/>
        <w:jc w:val="both"/>
        <w:rPr>
          <w:rFonts w:ascii="Verdana" w:hAnsi="Verdana" w:cs="Arial"/>
          <w:sz w:val="16"/>
          <w:szCs w:val="16"/>
        </w:rPr>
      </w:pPr>
    </w:p>
  </w:footnote>
  <w:footnote w:id="8">
    <w:p w14:paraId="0E8503F1" w14:textId="77777777" w:rsidR="002D7220" w:rsidRPr="001A0C7A" w:rsidRDefault="002D7220" w:rsidP="002D7220">
      <w:pPr>
        <w:spacing w:after="0"/>
        <w:ind w:firstLine="708"/>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46. de la nulidad relativa. Los demás vicios que se presenten en los contratos y que conforme al derecho común constituyen causales de nulidad relativa, pueden sanearse por ratificación expresa de los interesados o por el transcurso de dos (2) años contados a partir de la ocurrencia del hecho generador del vicio</w:t>
      </w:r>
      <w:r>
        <w:rPr>
          <w:rFonts w:ascii="Verdana" w:hAnsi="Verdana" w:cs="Arial"/>
          <w:sz w:val="16"/>
          <w:szCs w:val="16"/>
        </w:rPr>
        <w:t>”</w:t>
      </w:r>
      <w:r w:rsidRPr="006E45BA">
        <w:rPr>
          <w:rFonts w:ascii="Verdana" w:hAnsi="Verdana" w:cs="Arial"/>
          <w:sz w:val="16"/>
          <w:szCs w:val="16"/>
        </w:rPr>
        <w:t>.</w:t>
      </w:r>
    </w:p>
  </w:footnote>
  <w:footnote w:id="9">
    <w:p w14:paraId="1FF4E136" w14:textId="77777777" w:rsidR="002D7220" w:rsidRPr="00407A1C" w:rsidRDefault="002D7220" w:rsidP="002D7220">
      <w:pPr>
        <w:pStyle w:val="Textonotapie"/>
        <w:ind w:firstLine="708"/>
        <w:jc w:val="both"/>
        <w:rPr>
          <w:rFonts w:ascii="Verdana" w:hAnsi="Verdana" w:cs="Arial"/>
          <w:i/>
          <w:iCs/>
          <w:sz w:val="16"/>
          <w:szCs w:val="16"/>
          <w:lang w:val="es-CO"/>
        </w:rPr>
      </w:pPr>
      <w:r w:rsidRPr="00407A1C">
        <w:rPr>
          <w:rStyle w:val="Refdenotaalpie"/>
          <w:rFonts w:ascii="Verdana" w:hAnsi="Verdana" w:cs="Arial"/>
          <w:i/>
          <w:iCs/>
          <w:sz w:val="16"/>
          <w:szCs w:val="16"/>
        </w:rPr>
        <w:footnoteRef/>
      </w:r>
      <w:r w:rsidRPr="00407A1C">
        <w:rPr>
          <w:rFonts w:ascii="Verdana" w:hAnsi="Verdana" w:cs="Arial"/>
          <w:i/>
          <w:iCs/>
          <w:sz w:val="16"/>
          <w:szCs w:val="16"/>
        </w:rPr>
        <w:t xml:space="preserve"> </w:t>
      </w:r>
      <w:r w:rsidRPr="00407A1C">
        <w:rPr>
          <w:rStyle w:val="nfasis"/>
          <w:rFonts w:ascii="Verdana" w:hAnsi="Verdana" w:cs="Arial"/>
          <w:i w:val="0"/>
          <w:iCs w:val="0"/>
          <w:color w:val="000000"/>
          <w:sz w:val="16"/>
          <w:szCs w:val="16"/>
          <w:shd w:val="clear" w:color="auto" w:fill="FFFFFF"/>
        </w:rPr>
        <w:t>Consejo de Estado. Sala de lo Contencioso Administrativo. Sección Tercera. Subsección C. Sentencia del 12 de agosto de 2014. Radicación: 05001-23-31-000-1998-01350-01 (28565). C.P: Enrique Gil Botero.</w:t>
      </w:r>
    </w:p>
  </w:footnote>
  <w:footnote w:id="10">
    <w:p w14:paraId="107091FD" w14:textId="77777777" w:rsidR="002D7220" w:rsidRPr="006E45BA" w:rsidRDefault="002D7220" w:rsidP="002D7220">
      <w:pPr>
        <w:pStyle w:val="Textonotapie"/>
        <w:ind w:firstLine="708"/>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Lo anterior, sin perjuicio de la posibilidad que establece el artículo 41 del CPACA frente a la posibilidad de corregir irregularidades en la actuación administrativa, previo a la expedición del acto administrativo respectivo. Dicho artículo prescribe: </w:t>
      </w:r>
      <w:r>
        <w:rPr>
          <w:rFonts w:ascii="Verdana" w:hAnsi="Verdana" w:cs="Arial"/>
          <w:sz w:val="16"/>
          <w:szCs w:val="16"/>
        </w:rPr>
        <w:t>“</w:t>
      </w:r>
      <w:r w:rsidRPr="006E45BA">
        <w:rPr>
          <w:rFonts w:ascii="Verdana" w:hAnsi="Verdana" w:cs="Arial"/>
          <w:sz w:val="16"/>
          <w:szCs w:val="16"/>
        </w:rPr>
        <w:t>Artículo 41. corrección de irregularidades en la actuación administrativa. La autoridad, en cualquier momento anterior a la expedición del acto, de oficio o a petición de parte, corregirá las irregularidades que se hayan presentado en la actuación administrativa para ajustarla a derecho, y adoptará las medidas necesarias para concluirla</w:t>
      </w:r>
      <w:r>
        <w:rPr>
          <w:rFonts w:ascii="Verdana" w:hAnsi="Verdana" w:cs="Arial"/>
          <w:sz w:val="16"/>
          <w:szCs w:val="16"/>
        </w:rPr>
        <w:t>”</w:t>
      </w:r>
      <w:r w:rsidRPr="006E45BA">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8"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D7220"/>
    <w:rsid w:val="002E4FD9"/>
    <w:rsid w:val="002F0055"/>
    <w:rsid w:val="00322A85"/>
    <w:rsid w:val="00324168"/>
    <w:rsid w:val="003448F4"/>
    <w:rsid w:val="00374F5E"/>
    <w:rsid w:val="00377E3E"/>
    <w:rsid w:val="003A779E"/>
    <w:rsid w:val="003D0F4D"/>
    <w:rsid w:val="003D5B0D"/>
    <w:rsid w:val="003E0499"/>
    <w:rsid w:val="003F3941"/>
    <w:rsid w:val="00406575"/>
    <w:rsid w:val="00407A1C"/>
    <w:rsid w:val="00414C74"/>
    <w:rsid w:val="0042722E"/>
    <w:rsid w:val="0044528D"/>
    <w:rsid w:val="004A1847"/>
    <w:rsid w:val="004A305D"/>
    <w:rsid w:val="004F21C4"/>
    <w:rsid w:val="004F685F"/>
    <w:rsid w:val="005566E8"/>
    <w:rsid w:val="00573419"/>
    <w:rsid w:val="005739D4"/>
    <w:rsid w:val="00574867"/>
    <w:rsid w:val="00591460"/>
    <w:rsid w:val="005C3777"/>
    <w:rsid w:val="005C5CDC"/>
    <w:rsid w:val="005D476C"/>
    <w:rsid w:val="005D6226"/>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71330"/>
    <w:rsid w:val="008843B6"/>
    <w:rsid w:val="00891928"/>
    <w:rsid w:val="00897A3A"/>
    <w:rsid w:val="008A446D"/>
    <w:rsid w:val="008D180B"/>
    <w:rsid w:val="008E52B7"/>
    <w:rsid w:val="008F0EA7"/>
    <w:rsid w:val="00923EEF"/>
    <w:rsid w:val="0093584B"/>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754BE"/>
    <w:rsid w:val="00C76B1C"/>
    <w:rsid w:val="00CB6357"/>
    <w:rsid w:val="00CC1B26"/>
    <w:rsid w:val="00CF2488"/>
    <w:rsid w:val="00D423A2"/>
    <w:rsid w:val="00D520D8"/>
    <w:rsid w:val="00D63AC2"/>
    <w:rsid w:val="00D7383B"/>
    <w:rsid w:val="00DA231B"/>
    <w:rsid w:val="00DC39FC"/>
    <w:rsid w:val="00DF5254"/>
    <w:rsid w:val="00E11BF6"/>
    <w:rsid w:val="00E16408"/>
    <w:rsid w:val="00E20894"/>
    <w:rsid w:val="00E245AB"/>
    <w:rsid w:val="00E26A62"/>
    <w:rsid w:val="00E2764C"/>
    <w:rsid w:val="00E27F2E"/>
    <w:rsid w:val="00E43681"/>
    <w:rsid w:val="00E50AFE"/>
    <w:rsid w:val="00E75C92"/>
    <w:rsid w:val="00E771DC"/>
    <w:rsid w:val="00E8772A"/>
    <w:rsid w:val="00E90F6B"/>
    <w:rsid w:val="00E92C27"/>
    <w:rsid w:val="00EA0E3D"/>
    <w:rsid w:val="00EC38A7"/>
    <w:rsid w:val="00EE1AA8"/>
    <w:rsid w:val="00EF3792"/>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D722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D7220"/>
    <w:rPr>
      <w:rFonts w:ascii="Geomanist Light" w:hAnsi="Geomanist Light"/>
      <w:lang w:val="es-ES"/>
    </w:rPr>
  </w:style>
  <w:style w:type="paragraph" w:styleId="Textoindependiente">
    <w:name w:val="Body Text"/>
    <w:basedOn w:val="Normal"/>
    <w:link w:val="TextoindependienteCar"/>
    <w:uiPriority w:val="1"/>
    <w:qFormat/>
    <w:rsid w:val="002D7220"/>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2D7220"/>
    <w:rPr>
      <w:rFonts w:ascii="Arial" w:eastAsia="Arial" w:hAnsi="Arial" w:cs="Arial"/>
      <w:lang w:val="es-ES"/>
    </w:rPr>
  </w:style>
  <w:style w:type="character" w:styleId="nfasis">
    <w:name w:val="Emphasis"/>
    <w:basedOn w:val="Fuentedeprrafopredeter"/>
    <w:uiPriority w:val="20"/>
    <w:qFormat/>
    <w:rsid w:val="002D722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3.xml><?xml version="1.0" encoding="utf-8"?>
<ds:datastoreItem xmlns:ds="http://schemas.openxmlformats.org/officeDocument/2006/customXml" ds:itemID="{ECC88F15-116E-44E3-8E7C-D840C5661B2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41</TotalTime>
  <Pages>17</Pages>
  <Words>5798</Words>
  <Characters>31890</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2025-10-27T11:56:00Z</dcterms:created>
  <dcterms:modified xsi:type="dcterms:W3CDTF">2025-10-28T22:47:00Z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