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3F949" w14:textId="77777777" w:rsidR="0029795D" w:rsidRPr="0029795D" w:rsidRDefault="0029795D" w:rsidP="0029795D">
      <w:pPr>
        <w:spacing w:after="0" w:line="240" w:lineRule="auto"/>
        <w:jc w:val="both"/>
        <w:rPr>
          <w:rFonts w:ascii="Verdana" w:eastAsia="Aptos" w:hAnsi="Verdana" w:cs="Arial"/>
          <w:b/>
          <w:bCs/>
          <w:kern w:val="2"/>
          <w14:ligatures w14:val="standardContextual"/>
        </w:rPr>
      </w:pPr>
      <w:bookmarkStart w:id="0" w:name="_Hlk143780582"/>
      <w:r w:rsidRPr="0029795D">
        <w:rPr>
          <w:rFonts w:ascii="Verdana" w:eastAsia="Aptos" w:hAnsi="Verdana" w:cs="Arial"/>
          <w:b/>
          <w:bCs/>
          <w:kern w:val="2"/>
          <w14:ligatures w14:val="standardContextual"/>
        </w:rPr>
        <w:t xml:space="preserve">DOCUMENTOS TIPO </w:t>
      </w:r>
      <w:r w:rsidRPr="0029795D">
        <w:rPr>
          <w:rFonts w:ascii="Verdana" w:eastAsia="Calibri" w:hAnsi="Verdana" w:cs="Times New Roman"/>
          <w:b/>
          <w:bCs/>
          <w:kern w:val="2"/>
          <w14:ligatures w14:val="standardContextual"/>
        </w:rPr>
        <w:t xml:space="preserve">– Agua potable y saneamiento básico – Oferta económica – Elaboración y presentación </w:t>
      </w:r>
      <w:r w:rsidRPr="0029795D">
        <w:rPr>
          <w:rFonts w:ascii="Verdana" w:eastAsia="Aptos" w:hAnsi="Verdana" w:cs="Arial"/>
          <w:b/>
          <w:bCs/>
          <w:kern w:val="2"/>
          <w14:ligatures w14:val="standardContextual"/>
        </w:rPr>
        <w:t xml:space="preserve"> </w:t>
      </w:r>
    </w:p>
    <w:p w14:paraId="409F39E4" w14:textId="77777777" w:rsidR="0029795D" w:rsidRPr="0029795D" w:rsidRDefault="0029795D" w:rsidP="0029795D">
      <w:pPr>
        <w:spacing w:after="0" w:line="240" w:lineRule="auto"/>
        <w:jc w:val="both"/>
        <w:rPr>
          <w:rFonts w:ascii="Verdana" w:eastAsia="Aptos" w:hAnsi="Verdana" w:cs="Arial"/>
          <w:b/>
          <w:bCs/>
          <w:kern w:val="2"/>
          <w14:ligatures w14:val="standardContextual"/>
        </w:rPr>
      </w:pPr>
    </w:p>
    <w:p w14:paraId="377CA789" w14:textId="77777777" w:rsidR="0029795D" w:rsidRPr="009264B9" w:rsidRDefault="0029795D" w:rsidP="0029795D">
      <w:pPr>
        <w:spacing w:after="0" w:line="240" w:lineRule="auto"/>
        <w:jc w:val="both"/>
        <w:rPr>
          <w:rFonts w:ascii="Verdana" w:eastAsia="Arial" w:hAnsi="Verdana" w:cs="Arial"/>
          <w:kern w:val="2"/>
          <w:sz w:val="20"/>
          <w:szCs w:val="20"/>
          <w:lang w:val="es-ES" w:eastAsia="es-ES" w:bidi="es-ES"/>
          <w14:ligatures w14:val="standardContextual"/>
        </w:rPr>
      </w:pPr>
      <w:r w:rsidRPr="009264B9">
        <w:rPr>
          <w:rFonts w:ascii="Verdana" w:eastAsia="Aptos" w:hAnsi="Verdana" w:cs="Arial"/>
          <w:kern w:val="2"/>
          <w:sz w:val="20"/>
          <w:szCs w:val="20"/>
          <w14:ligatures w14:val="standardContextual"/>
        </w:rPr>
        <w:t xml:space="preserve">De esta forma, de acuerdo con el inciso indicado, la propuesta económica deberá presentarse en el Sobre No. 2 y estar firma. Sobre este aspecto -la firma-, el pliego no distingue si la propuesta económica que debe presentarse firmada es la que se entrega por medio del </w:t>
      </w:r>
      <w:proofErr w:type="spellStart"/>
      <w:r w:rsidRPr="009264B9">
        <w:rPr>
          <w:rFonts w:ascii="Verdana" w:eastAsia="Aptos" w:hAnsi="Verdana" w:cs="Arial"/>
          <w:kern w:val="2"/>
          <w:sz w:val="20"/>
          <w:szCs w:val="20"/>
          <w14:ligatures w14:val="standardContextual"/>
        </w:rPr>
        <w:t>Secop</w:t>
      </w:r>
      <w:proofErr w:type="spellEnd"/>
      <w:r w:rsidRPr="009264B9">
        <w:rPr>
          <w:rFonts w:ascii="Verdana" w:eastAsia="Aptos" w:hAnsi="Verdana" w:cs="Arial"/>
          <w:kern w:val="2"/>
          <w:sz w:val="20"/>
          <w:szCs w:val="20"/>
          <w14:ligatures w14:val="standardContextual"/>
        </w:rPr>
        <w:t xml:space="preserve"> I o </w:t>
      </w:r>
      <w:proofErr w:type="spellStart"/>
      <w:r w:rsidRPr="009264B9">
        <w:rPr>
          <w:rFonts w:ascii="Verdana" w:eastAsia="Aptos" w:hAnsi="Verdana" w:cs="Arial"/>
          <w:kern w:val="2"/>
          <w:sz w:val="20"/>
          <w:szCs w:val="20"/>
          <w14:ligatures w14:val="standardContextual"/>
        </w:rPr>
        <w:t>Secop</w:t>
      </w:r>
      <w:proofErr w:type="spellEnd"/>
      <w:r w:rsidRPr="009264B9">
        <w:rPr>
          <w:rFonts w:ascii="Verdana" w:eastAsia="Aptos" w:hAnsi="Verdana" w:cs="Arial"/>
          <w:kern w:val="2"/>
          <w:sz w:val="20"/>
          <w:szCs w:val="20"/>
          <w14:ligatures w14:val="standardContextual"/>
        </w:rPr>
        <w:t xml:space="preserve"> II. Para efectos de determinar cuál de las propuestas es la que debe presentarse firma, resulta pertinente </w:t>
      </w:r>
      <w:r w:rsidRPr="009264B9">
        <w:rPr>
          <w:rFonts w:ascii="Verdana" w:eastAsia="Arial" w:hAnsi="Verdana" w:cs="Arial"/>
          <w:kern w:val="2"/>
          <w:sz w:val="20"/>
          <w:szCs w:val="20"/>
          <w:lang w:val="es-ES" w:eastAsia="es-ES" w:bidi="es-ES"/>
          <w14:ligatures w14:val="standardContextual"/>
        </w:rPr>
        <w:t xml:space="preserve">mencionar que la presentación de la oferta debe realizarse, además, conforme a las reglas establecidas en el numeral 2.3 del documento base. </w:t>
      </w:r>
    </w:p>
    <w:p w14:paraId="44340617" w14:textId="77777777" w:rsidR="0029795D" w:rsidRPr="009264B9" w:rsidRDefault="0029795D" w:rsidP="0029795D">
      <w:pPr>
        <w:spacing w:after="0" w:line="240" w:lineRule="auto"/>
        <w:jc w:val="both"/>
        <w:rPr>
          <w:rFonts w:ascii="Verdana" w:eastAsia="Arial" w:hAnsi="Verdana" w:cs="Arial"/>
          <w:kern w:val="2"/>
          <w:sz w:val="20"/>
          <w:szCs w:val="20"/>
          <w:lang w:val="es-ES" w:eastAsia="es-ES" w:bidi="es-ES"/>
          <w14:ligatures w14:val="standardContextual"/>
        </w:rPr>
      </w:pPr>
    </w:p>
    <w:p w14:paraId="1ADA7999" w14:textId="77777777" w:rsidR="0029795D" w:rsidRPr="009264B9" w:rsidRDefault="0029795D" w:rsidP="0029795D">
      <w:pPr>
        <w:spacing w:after="0" w:line="240" w:lineRule="auto"/>
        <w:jc w:val="both"/>
        <w:rPr>
          <w:rFonts w:ascii="Verdana" w:eastAsia="Arial" w:hAnsi="Verdana" w:cs="Arial"/>
          <w:kern w:val="2"/>
          <w:sz w:val="20"/>
          <w:szCs w:val="20"/>
          <w:lang w:val="es-ES" w:eastAsia="es-ES" w:bidi="es-ES"/>
          <w14:ligatures w14:val="standardContextual"/>
        </w:rPr>
      </w:pPr>
      <w:r w:rsidRPr="009264B9">
        <w:rPr>
          <w:rFonts w:ascii="Verdana" w:eastAsia="Arial" w:hAnsi="Verdana" w:cs="Arial"/>
          <w:kern w:val="2"/>
          <w:sz w:val="20"/>
          <w:szCs w:val="20"/>
          <w:lang w:val="es-ES" w:eastAsia="es-ES" w:bidi="es-ES"/>
          <w14:ligatures w14:val="standardContextual"/>
        </w:rPr>
        <w:t xml:space="preserve">En consideración a lo anterior, para la presentación de la oferta económica, debe tenerse en cuenta que el numeral </w:t>
      </w:r>
      <w:r w:rsidRPr="009264B9">
        <w:rPr>
          <w:rFonts w:ascii="Verdana" w:eastAsia="Aptos" w:hAnsi="Verdana" w:cs="Arial"/>
          <w:kern w:val="2"/>
          <w:sz w:val="20"/>
          <w:szCs w:val="20"/>
          <w14:ligatures w14:val="standardContextual"/>
        </w:rPr>
        <w:t>“</w:t>
      </w:r>
      <w:r w:rsidRPr="009264B9">
        <w:rPr>
          <w:rFonts w:ascii="Verdana" w:eastAsia="Arial" w:hAnsi="Verdana" w:cs="Arial"/>
          <w:kern w:val="2"/>
          <w:sz w:val="20"/>
          <w:szCs w:val="20"/>
          <w:lang w:val="es-ES" w:eastAsia="es-ES" w:bidi="es-ES"/>
          <w14:ligatures w14:val="standardContextual"/>
        </w:rPr>
        <w:t>2.3. Elaboración y presentación de la oferta</w:t>
      </w:r>
      <w:r w:rsidRPr="009264B9">
        <w:rPr>
          <w:rFonts w:ascii="Verdana" w:eastAsia="Aptos" w:hAnsi="Verdana" w:cs="Arial"/>
          <w:kern w:val="2"/>
          <w:sz w:val="20"/>
          <w:szCs w:val="20"/>
          <w14:ligatures w14:val="standardContextual"/>
        </w:rPr>
        <w:t>” del documento base estipula las reglas para su presentación de manera física</w:t>
      </w:r>
      <w:r w:rsidRPr="009264B9">
        <w:rPr>
          <w:rFonts w:ascii="Verdana" w:eastAsia="Arial" w:hAnsi="Verdana" w:cs="Arial"/>
          <w:kern w:val="2"/>
          <w:sz w:val="20"/>
          <w:szCs w:val="20"/>
          <w:lang w:val="es-ES" w:eastAsia="es-ES" w:bidi="es-ES"/>
          <w14:ligatures w14:val="standardContextual"/>
        </w:rPr>
        <w:t>, en la plataforma de SECOP I y de manera electrónica, a través del SECOP II. En este orden, los procesos adelantados en SECOP I se reglan por lo establecido en el literal B del numeral 2.3.2 del Documento Base, mientras que</w:t>
      </w:r>
      <w:r w:rsidRPr="009264B9">
        <w:rPr>
          <w:rFonts w:ascii="Verdana" w:eastAsia="Aptos" w:hAnsi="Verdana" w:cs="Times New Roman"/>
          <w:kern w:val="2"/>
          <w:sz w:val="20"/>
          <w:szCs w:val="20"/>
          <w14:ligatures w14:val="standardContextual"/>
        </w:rPr>
        <w:t xml:space="preserve"> los adelantados en SECOP II, conforme con lo establecido en el literal A del numeral 2.3.2.  </w:t>
      </w:r>
    </w:p>
    <w:p w14:paraId="4A77A2DF" w14:textId="77777777" w:rsidR="0029795D" w:rsidRPr="009264B9" w:rsidRDefault="0029795D" w:rsidP="0029795D">
      <w:pPr>
        <w:tabs>
          <w:tab w:val="left" w:pos="709"/>
          <w:tab w:val="left" w:pos="851"/>
        </w:tabs>
        <w:spacing w:after="0" w:line="240" w:lineRule="auto"/>
        <w:jc w:val="both"/>
        <w:rPr>
          <w:rFonts w:ascii="Verdana" w:eastAsia="Arial" w:hAnsi="Verdana" w:cs="Arial"/>
          <w:kern w:val="2"/>
          <w:sz w:val="20"/>
          <w:szCs w:val="20"/>
          <w:lang w:val="es-ES" w:eastAsia="es-ES" w:bidi="es-ES"/>
          <w14:ligatures w14:val="standardContextual"/>
        </w:rPr>
      </w:pPr>
    </w:p>
    <w:p w14:paraId="6AB01901" w14:textId="77777777" w:rsidR="0029795D" w:rsidRPr="009264B9" w:rsidRDefault="0029795D" w:rsidP="0029795D">
      <w:pPr>
        <w:tabs>
          <w:tab w:val="left" w:pos="709"/>
          <w:tab w:val="left" w:pos="851"/>
        </w:tabs>
        <w:spacing w:after="0" w:line="240" w:lineRule="auto"/>
        <w:jc w:val="both"/>
        <w:rPr>
          <w:rFonts w:ascii="Verdana" w:eastAsia="Arial" w:hAnsi="Verdana" w:cs="Arial"/>
          <w:kern w:val="2"/>
          <w:sz w:val="20"/>
          <w:szCs w:val="20"/>
          <w:lang w:val="es-ES" w:eastAsia="es-ES" w:bidi="es-ES"/>
          <w14:ligatures w14:val="standardContextual"/>
        </w:rPr>
      </w:pPr>
      <w:r w:rsidRPr="009264B9">
        <w:rPr>
          <w:rFonts w:ascii="Verdana" w:eastAsia="Arial" w:hAnsi="Verdana" w:cs="Arial"/>
          <w:kern w:val="2"/>
          <w:sz w:val="20"/>
          <w:szCs w:val="20"/>
          <w:lang w:val="es-ES" w:eastAsia="es-ES" w:bidi="es-ES"/>
          <w14:ligatures w14:val="standardContextual"/>
        </w:rPr>
        <w:t xml:space="preserve">Entonces, las reglas establecidas en los numeral 2.3, 2.3.1 y 2.3.2 del Documento Base, con relación a la presentación de la propuesta son alternativas, cuya aplicabilidad dependerá de que la propuesta el proceso de selección se tramite en medio físico –aquellos que deben ser publicados en el SECOP I– o de manera transaccional a través del SECOP II.  </w:t>
      </w:r>
    </w:p>
    <w:p w14:paraId="00BC2CF5" w14:textId="77777777" w:rsidR="0029795D" w:rsidRPr="0029795D" w:rsidRDefault="0029795D" w:rsidP="0029795D">
      <w:pPr>
        <w:tabs>
          <w:tab w:val="left" w:pos="709"/>
          <w:tab w:val="left" w:pos="851"/>
        </w:tabs>
        <w:spacing w:after="0" w:line="240" w:lineRule="auto"/>
        <w:jc w:val="both"/>
        <w:rPr>
          <w:rFonts w:ascii="Verdana" w:eastAsia="Calibri" w:hAnsi="Verdana" w:cs="Arial"/>
          <w:color w:val="000000"/>
          <w:kern w:val="2"/>
          <w:sz w:val="21"/>
          <w:szCs w:val="21"/>
          <w:lang w:val="es-ES_tradnl"/>
          <w14:ligatures w14:val="standardContextual"/>
        </w:rPr>
      </w:pPr>
    </w:p>
    <w:p w14:paraId="4E157491" w14:textId="55844C9E" w:rsidR="0029795D" w:rsidRPr="0029795D" w:rsidRDefault="00BC7F75" w:rsidP="0029795D">
      <w:pPr>
        <w:spacing w:after="0" w:line="240" w:lineRule="auto"/>
        <w:ind w:right="709"/>
        <w:contextualSpacing/>
        <w:jc w:val="both"/>
        <w:rPr>
          <w:rFonts w:ascii="Verdana" w:eastAsia="Calibri" w:hAnsi="Verdana" w:cs="Times New Roman"/>
          <w:b/>
          <w:bCs/>
          <w:kern w:val="2"/>
          <w14:ligatures w14:val="standardContextual"/>
        </w:rPr>
      </w:pPr>
      <w:r w:rsidRPr="0029795D">
        <w:rPr>
          <w:rFonts w:ascii="Verdana" w:eastAsia="Calibri" w:hAnsi="Verdana" w:cs="Times New Roman"/>
          <w:b/>
          <w:bCs/>
          <w:kern w:val="2"/>
          <w14:ligatures w14:val="standardContextual"/>
        </w:rPr>
        <w:t xml:space="preserve">OFERTA ECONÓMICA </w:t>
      </w:r>
      <w:r w:rsidR="0029795D" w:rsidRPr="0029795D">
        <w:rPr>
          <w:rFonts w:ascii="Verdana" w:eastAsia="Calibri" w:hAnsi="Verdana" w:cs="Times New Roman"/>
          <w:b/>
          <w:bCs/>
          <w:kern w:val="2"/>
          <w14:ligatures w14:val="standardContextual"/>
        </w:rPr>
        <w:t>– Presentación – Firma</w:t>
      </w:r>
    </w:p>
    <w:p w14:paraId="2825B60C" w14:textId="77777777" w:rsidR="0029795D" w:rsidRPr="0029795D" w:rsidRDefault="0029795D" w:rsidP="0029795D">
      <w:pPr>
        <w:spacing w:after="0" w:line="240" w:lineRule="auto"/>
        <w:ind w:right="709"/>
        <w:contextualSpacing/>
        <w:jc w:val="both"/>
        <w:rPr>
          <w:rFonts w:ascii="Verdana" w:eastAsia="Calibri" w:hAnsi="Verdana" w:cs="Arial"/>
          <w:kern w:val="2"/>
          <w14:ligatures w14:val="standardContextual"/>
        </w:rPr>
      </w:pPr>
    </w:p>
    <w:p w14:paraId="49C5A15B" w14:textId="77777777" w:rsidR="0029795D" w:rsidRPr="009264B9" w:rsidRDefault="0029795D" w:rsidP="0029795D">
      <w:pPr>
        <w:widowControl w:val="0"/>
        <w:autoSpaceDE w:val="0"/>
        <w:autoSpaceDN w:val="0"/>
        <w:spacing w:after="0" w:line="240" w:lineRule="auto"/>
        <w:jc w:val="both"/>
        <w:rPr>
          <w:rFonts w:ascii="Verdana" w:eastAsia="Arial" w:hAnsi="Verdana" w:cs="Arial"/>
          <w:kern w:val="2"/>
          <w:sz w:val="20"/>
          <w:szCs w:val="20"/>
          <w:lang w:val="es-ES" w:eastAsia="es-ES" w:bidi="es-ES"/>
          <w14:ligatures w14:val="standardContextual"/>
        </w:rPr>
      </w:pPr>
      <w:r w:rsidRPr="009264B9">
        <w:rPr>
          <w:rFonts w:ascii="Verdana" w:eastAsia="Arial" w:hAnsi="Verdana" w:cs="Arial"/>
          <w:kern w:val="2"/>
          <w:sz w:val="20"/>
          <w:szCs w:val="20"/>
          <w:lang w:val="es-ES" w:eastAsia="es-ES" w:bidi="es-ES"/>
          <w14:ligatures w14:val="standardContextual"/>
        </w:rPr>
        <w:t xml:space="preserve">En ese sentido, en este tipo de procedimientos no se requiere que se presente oferta económica firmada en sobre físico –comoquiera que la conformación del sobre se hace de manera electrónica a partir de la información diligenciada en el cuestionario de lista de precios–. Este requisito sólo es exigible si el procedimiento se realiza a través del SECOP I. </w:t>
      </w:r>
    </w:p>
    <w:p w14:paraId="3DCC0656" w14:textId="77777777" w:rsidR="0029795D" w:rsidRPr="0029795D" w:rsidRDefault="0029795D" w:rsidP="0029795D">
      <w:pPr>
        <w:spacing w:after="0" w:line="240" w:lineRule="auto"/>
        <w:jc w:val="both"/>
        <w:rPr>
          <w:rFonts w:ascii="Verdana" w:eastAsia="Calibri" w:hAnsi="Verdana" w:cs="Arial"/>
          <w:kern w:val="2"/>
          <w:lang w:val="es-ES"/>
          <w14:ligatures w14:val="standardContextual"/>
        </w:rPr>
      </w:pPr>
    </w:p>
    <w:p w14:paraId="571BE8C2" w14:textId="7B5A12CB" w:rsidR="0029795D" w:rsidRPr="0029795D" w:rsidRDefault="0029795D" w:rsidP="0029795D">
      <w:pPr>
        <w:spacing w:after="0" w:line="240" w:lineRule="auto"/>
        <w:jc w:val="both"/>
        <w:rPr>
          <w:rFonts w:ascii="Verdana" w:eastAsia="Calibri" w:hAnsi="Verdana" w:cs="Times New Roman"/>
          <w:b/>
          <w:bCs/>
          <w:kern w:val="2"/>
          <w14:ligatures w14:val="standardContextual"/>
        </w:rPr>
      </w:pPr>
      <w:r w:rsidRPr="0029795D">
        <w:rPr>
          <w:rFonts w:ascii="Verdana" w:eastAsia="Calibri" w:hAnsi="Verdana" w:cs="Times New Roman"/>
          <w:b/>
          <w:bCs/>
          <w:kern w:val="2"/>
          <w14:ligatures w14:val="standardContextual"/>
        </w:rPr>
        <w:t xml:space="preserve">CAUSALES DE RECHAZO – Literal J) del numeral 1.15. </w:t>
      </w:r>
      <w:r w:rsidR="00BC7F75" w:rsidRPr="00BC7F75">
        <w:rPr>
          <w:rFonts w:ascii="Verdana" w:eastAsia="Calibri" w:hAnsi="Verdana" w:cs="Times New Roman"/>
          <w:b/>
          <w:bCs/>
          <w:kern w:val="2"/>
          <w:lang w:val="es-ES"/>
          <w14:ligatures w14:val="standardContextual"/>
        </w:rPr>
        <w:t>–</w:t>
      </w:r>
      <w:r w:rsidR="00BC7F75">
        <w:rPr>
          <w:rFonts w:ascii="Verdana" w:eastAsia="Calibri" w:hAnsi="Verdana" w:cs="Times New Roman"/>
          <w:b/>
          <w:bCs/>
          <w:kern w:val="2"/>
          <w14:ligatures w14:val="standardContextual"/>
        </w:rPr>
        <w:t xml:space="preserve"> </w:t>
      </w:r>
      <w:r w:rsidRPr="0029795D">
        <w:rPr>
          <w:rFonts w:ascii="Verdana" w:eastAsia="Calibri" w:hAnsi="Verdana" w:cs="Times New Roman"/>
          <w:b/>
          <w:bCs/>
          <w:kern w:val="2"/>
          <w14:ligatures w14:val="standardContextual"/>
        </w:rPr>
        <w:t>Documento Base</w:t>
      </w:r>
    </w:p>
    <w:p w14:paraId="64BD3A4F" w14:textId="77777777" w:rsidR="0029795D" w:rsidRPr="0029795D" w:rsidRDefault="0029795D" w:rsidP="0029795D">
      <w:pPr>
        <w:spacing w:after="0" w:line="240" w:lineRule="auto"/>
        <w:jc w:val="both"/>
        <w:rPr>
          <w:rFonts w:ascii="Verdana" w:eastAsia="Calibri" w:hAnsi="Verdana" w:cs="Arial"/>
          <w:kern w:val="2"/>
          <w14:ligatures w14:val="standardContextual"/>
        </w:rPr>
      </w:pPr>
    </w:p>
    <w:p w14:paraId="4A72CEC0" w14:textId="77777777" w:rsidR="0029795D" w:rsidRPr="009264B9" w:rsidRDefault="0029795D" w:rsidP="0029795D">
      <w:pPr>
        <w:spacing w:after="0" w:line="240" w:lineRule="auto"/>
        <w:jc w:val="both"/>
        <w:rPr>
          <w:rFonts w:ascii="Verdana" w:eastAsia="Calibri" w:hAnsi="Verdana" w:cs="Times New Roman"/>
          <w:kern w:val="2"/>
          <w:sz w:val="20"/>
          <w:szCs w:val="20"/>
          <w14:ligatures w14:val="standardContextual"/>
        </w:rPr>
      </w:pPr>
      <w:r w:rsidRPr="009264B9">
        <w:rPr>
          <w:rFonts w:ascii="Verdana" w:eastAsia="Calibri" w:hAnsi="Verdana" w:cs="Times New Roman"/>
          <w:kern w:val="2"/>
          <w:sz w:val="20"/>
          <w:szCs w:val="20"/>
          <w14:ligatures w14:val="standardContextual"/>
        </w:rPr>
        <w:t xml:space="preserve">De otra parte y en relación con el objeto de la consulta, se ha previsto la causal del literal J del numeral 1.15 del Documento Base que sólo opera cuando el procedimiento se realice mediante el SECOP I y que sanciona con el rechazo de la oferta: “Que la propuesta económica no se aporte firmada”. No obstante, tal y como se explicó en el acápite anterior, esta causal sólo opera cuando la propuesta económica se deba presentar en físico y se utilice el SECOP I con fines de publicidad. Es por eso que el literal J tiene consignada la condición de uso para las entidades contratantes con la siguiente nota aclaratoria o instrucción en el párrafo entre corchetes con el siguiente texto: “[Incluir esta causal cuando las ofertas se presente en el SECOP I]”. </w:t>
      </w:r>
    </w:p>
    <w:p w14:paraId="317284BA" w14:textId="77777777" w:rsidR="0029795D" w:rsidRPr="0029795D" w:rsidRDefault="0029795D" w:rsidP="0029795D">
      <w:pPr>
        <w:spacing w:after="0" w:line="240" w:lineRule="auto"/>
        <w:rPr>
          <w:rFonts w:ascii="Verdana" w:eastAsia="Calibri" w:hAnsi="Verdana" w:cs="Times New Roman"/>
          <w:kern w:val="2"/>
          <w14:ligatures w14:val="standardContextual"/>
        </w:rPr>
      </w:pPr>
    </w:p>
    <w:p w14:paraId="7DE97438" w14:textId="77777777" w:rsidR="009264B9" w:rsidRDefault="009264B9" w:rsidP="0029795D">
      <w:pPr>
        <w:spacing w:after="0" w:line="240" w:lineRule="auto"/>
        <w:rPr>
          <w:rFonts w:ascii="Verdana" w:eastAsia="Calibri" w:hAnsi="Verdana" w:cs="Times New Roman"/>
          <w:kern w:val="2"/>
          <w14:ligatures w14:val="standardContextual"/>
        </w:rPr>
      </w:pPr>
    </w:p>
    <w:p w14:paraId="5D948FBF" w14:textId="7216B65E" w:rsidR="0029795D" w:rsidRPr="0029795D" w:rsidRDefault="0029795D" w:rsidP="0029795D">
      <w:pPr>
        <w:spacing w:after="0" w:line="240" w:lineRule="auto"/>
        <w:rPr>
          <w:rFonts w:ascii="Verdana" w:eastAsia="Geomanist Light" w:hAnsi="Verdana" w:cs="Arial"/>
        </w:rPr>
      </w:pPr>
      <w:r w:rsidRPr="0029795D">
        <w:rPr>
          <w:rFonts w:ascii="Verdana" w:eastAsia="Aptos" w:hAnsi="Verdana" w:cs="Times New Roman"/>
          <w:kern w:val="2"/>
          <w:sz w:val="24"/>
          <w:szCs w:val="24"/>
          <w14:ligatures w14:val="standardContextual"/>
        </w:rPr>
        <w:lastRenderedPageBreak/>
        <w:t xml:space="preserve">Bogotá D.C., </w:t>
      </w:r>
      <w:r w:rsidR="00EF55E3">
        <w:rPr>
          <w:rFonts w:ascii="Verdana" w:eastAsia="Aptos" w:hAnsi="Verdana" w:cs="Times New Roman"/>
          <w:kern w:val="2"/>
          <w:sz w:val="24"/>
          <w:szCs w:val="24"/>
          <w14:ligatures w14:val="standardContextual"/>
        </w:rPr>
        <w:t>8 de octubre de 2025</w:t>
      </w:r>
    </w:p>
    <w:p w14:paraId="275B83AE" w14:textId="6C5F340C" w:rsidR="0029795D" w:rsidRDefault="009264B9" w:rsidP="0029795D">
      <w:pPr>
        <w:spacing w:after="0" w:line="240" w:lineRule="auto"/>
        <w:rPr>
          <w:rFonts w:ascii="Verdana" w:eastAsia="Calibri" w:hAnsi="Verdana" w:cs="Arial"/>
          <w:kern w:val="2"/>
          <w:lang w:val="es-ES" w:eastAsia="es-ES"/>
          <w14:ligatures w14:val="standardContextual"/>
        </w:rPr>
      </w:pPr>
      <w:r w:rsidRPr="00EF55E3">
        <w:rPr>
          <w:rFonts w:ascii="Verdana" w:eastAsia="Calibri" w:hAnsi="Verdana" w:cs="Arial"/>
          <w:noProof/>
          <w:kern w:val="2"/>
          <w:lang w:val="es-ES" w:eastAsia="es-ES"/>
          <w14:ligatures w14:val="standardContextual"/>
        </w:rPr>
        <w:drawing>
          <wp:anchor distT="0" distB="0" distL="114300" distR="114300" simplePos="0" relativeHeight="251657216" behindDoc="0" locked="0" layoutInCell="1" allowOverlap="1" wp14:anchorId="7550B5F5" wp14:editId="34130E9A">
            <wp:simplePos x="0" y="0"/>
            <wp:positionH relativeFrom="column">
              <wp:posOffset>3010287</wp:posOffset>
            </wp:positionH>
            <wp:positionV relativeFrom="paragraph">
              <wp:posOffset>163250</wp:posOffset>
            </wp:positionV>
            <wp:extent cx="3002280" cy="914400"/>
            <wp:effectExtent l="0" t="0" r="7620" b="0"/>
            <wp:wrapSquare wrapText="bothSides"/>
            <wp:docPr id="5605167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51679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002280" cy="914400"/>
                    </a:xfrm>
                    <a:prstGeom prst="rect">
                      <a:avLst/>
                    </a:prstGeom>
                  </pic:spPr>
                </pic:pic>
              </a:graphicData>
            </a:graphic>
            <wp14:sizeRelH relativeFrom="page">
              <wp14:pctWidth>0</wp14:pctWidth>
            </wp14:sizeRelH>
            <wp14:sizeRelV relativeFrom="page">
              <wp14:pctHeight>0</wp14:pctHeight>
            </wp14:sizeRelV>
          </wp:anchor>
        </w:drawing>
      </w:r>
    </w:p>
    <w:p w14:paraId="75C83E70" w14:textId="0A18AD3A" w:rsidR="00EF55E3" w:rsidRPr="0029795D" w:rsidRDefault="00EF55E3" w:rsidP="00EF55E3">
      <w:pPr>
        <w:spacing w:after="0" w:line="240" w:lineRule="auto"/>
        <w:jc w:val="right"/>
        <w:rPr>
          <w:rFonts w:ascii="Verdana" w:eastAsia="Calibri" w:hAnsi="Verdana" w:cs="Arial"/>
          <w:kern w:val="2"/>
          <w:lang w:val="es-ES" w:eastAsia="es-ES"/>
          <w14:ligatures w14:val="standardContextual"/>
        </w:rPr>
      </w:pPr>
    </w:p>
    <w:p w14:paraId="7CD77643" w14:textId="77777777" w:rsidR="0029795D" w:rsidRPr="0029795D" w:rsidRDefault="0029795D" w:rsidP="0029795D">
      <w:pPr>
        <w:spacing w:after="0" w:line="240" w:lineRule="auto"/>
        <w:rPr>
          <w:rFonts w:ascii="Verdana" w:eastAsia="Aptos" w:hAnsi="Verdana" w:cs="Times New Roman"/>
          <w:kern w:val="2"/>
          <w14:ligatures w14:val="standardContextual"/>
        </w:rPr>
      </w:pPr>
      <w:r w:rsidRPr="0029795D">
        <w:rPr>
          <w:rFonts w:ascii="Verdana" w:eastAsia="Calibri" w:hAnsi="Verdana" w:cs="Arial"/>
          <w:kern w:val="2"/>
          <w:lang w:val="es-ES" w:eastAsia="es-ES"/>
          <w14:ligatures w14:val="standardContextual"/>
        </w:rPr>
        <w:t>Señor</w:t>
      </w:r>
    </w:p>
    <w:p w14:paraId="70E0D030" w14:textId="77777777" w:rsidR="0029795D" w:rsidRPr="0029795D" w:rsidRDefault="0029795D" w:rsidP="0029795D">
      <w:pPr>
        <w:spacing w:after="0" w:line="240" w:lineRule="auto"/>
        <w:rPr>
          <w:rFonts w:ascii="Verdana" w:eastAsia="Calibri" w:hAnsi="Verdana" w:cs="Arial"/>
          <w:b/>
          <w:bCs/>
          <w:kern w:val="2"/>
          <w:lang w:eastAsia="es-ES_tradnl"/>
          <w14:ligatures w14:val="standardContextual"/>
        </w:rPr>
      </w:pPr>
      <w:proofErr w:type="spellStart"/>
      <w:r w:rsidRPr="0029795D">
        <w:rPr>
          <w:rFonts w:ascii="Verdana" w:eastAsia="Calibri" w:hAnsi="Verdana" w:cs="Arial"/>
          <w:b/>
          <w:bCs/>
          <w:kern w:val="2"/>
          <w:lang w:eastAsia="es-ES_tradnl"/>
          <w14:ligatures w14:val="standardContextual"/>
        </w:rPr>
        <w:t>Faiber</w:t>
      </w:r>
      <w:proofErr w:type="spellEnd"/>
      <w:r w:rsidRPr="0029795D">
        <w:rPr>
          <w:rFonts w:ascii="Verdana" w:eastAsia="Calibri" w:hAnsi="Verdana" w:cs="Arial"/>
          <w:b/>
          <w:bCs/>
          <w:kern w:val="2"/>
          <w:lang w:eastAsia="es-ES_tradnl"/>
          <w14:ligatures w14:val="standardContextual"/>
        </w:rPr>
        <w:t xml:space="preserve"> Eduardo Vásquez Velásquez </w:t>
      </w:r>
    </w:p>
    <w:p w14:paraId="7B9FB858" w14:textId="77777777" w:rsidR="0029795D" w:rsidRPr="0029795D" w:rsidRDefault="0029795D" w:rsidP="0029795D">
      <w:pPr>
        <w:spacing w:after="0" w:line="240" w:lineRule="auto"/>
        <w:rPr>
          <w:rFonts w:ascii="Verdana" w:eastAsia="Calibri" w:hAnsi="Verdana" w:cs="Arial"/>
          <w:kern w:val="2"/>
          <w:lang w:val="es-ES_tradnl" w:eastAsia="es-ES_tradnl"/>
          <w14:ligatures w14:val="standardContextual"/>
        </w:rPr>
      </w:pPr>
      <w:r w:rsidRPr="0029795D">
        <w:rPr>
          <w:rFonts w:ascii="Verdana" w:eastAsia="Calibri" w:hAnsi="Verdana" w:cs="Arial"/>
          <w:kern w:val="2"/>
          <w:lang w:val="es-ES_tradnl" w:eastAsia="es-ES_tradnl"/>
          <w14:ligatures w14:val="standardContextual"/>
        </w:rPr>
        <w:t>Florencia, Caquetá</w:t>
      </w:r>
    </w:p>
    <w:p w14:paraId="3970125D" w14:textId="77777777" w:rsidR="0029795D" w:rsidRPr="0029795D" w:rsidRDefault="0029795D" w:rsidP="0029795D">
      <w:pPr>
        <w:spacing w:after="0" w:line="240" w:lineRule="auto"/>
        <w:rPr>
          <w:rFonts w:ascii="Verdana" w:eastAsia="Calibri" w:hAnsi="Verdana" w:cs="Arial"/>
          <w:b/>
          <w:bCs/>
          <w:lang w:val="es-ES_tradnl" w:eastAsia="es-ES_tradnl"/>
        </w:rPr>
      </w:pPr>
    </w:p>
    <w:p w14:paraId="1B7D4025" w14:textId="77777777" w:rsidR="0029795D" w:rsidRPr="0029795D" w:rsidRDefault="0029795D" w:rsidP="0029795D">
      <w:pPr>
        <w:spacing w:after="0" w:line="240" w:lineRule="auto"/>
        <w:rPr>
          <w:rFonts w:ascii="Verdana" w:eastAsia="Calibri" w:hAnsi="Verdana" w:cs="Arial"/>
          <w:b/>
          <w:bCs/>
          <w:lang w:val="es-ES_tradnl"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29795D" w:rsidRPr="0029795D" w14:paraId="48AFEC74" w14:textId="77777777" w:rsidTr="00D7398E">
        <w:trPr>
          <w:trHeight w:val="229"/>
        </w:trPr>
        <w:tc>
          <w:tcPr>
            <w:tcW w:w="1985" w:type="dxa"/>
          </w:tcPr>
          <w:p w14:paraId="2F12946C" w14:textId="77777777" w:rsidR="0029795D" w:rsidRPr="0029795D" w:rsidRDefault="0029795D" w:rsidP="0029795D">
            <w:pPr>
              <w:jc w:val="both"/>
              <w:rPr>
                <w:rFonts w:ascii="Verdana" w:eastAsia="Calibri" w:hAnsi="Verdana" w:cs="Arial"/>
                <w:b/>
                <w:bCs/>
                <w:lang w:val="es-ES_tradnl" w:eastAsia="es-ES_tradnl"/>
              </w:rPr>
            </w:pPr>
          </w:p>
        </w:tc>
        <w:tc>
          <w:tcPr>
            <w:tcW w:w="6383" w:type="dxa"/>
          </w:tcPr>
          <w:p w14:paraId="76D4C9EC" w14:textId="77777777" w:rsidR="0029795D" w:rsidRPr="0029795D" w:rsidRDefault="0029795D" w:rsidP="0029795D">
            <w:pPr>
              <w:jc w:val="both"/>
              <w:rPr>
                <w:rFonts w:ascii="Verdana" w:eastAsia="Calibri" w:hAnsi="Verdana" w:cs="Arial"/>
                <w:b/>
                <w:bCs/>
                <w:lang w:val="es-ES" w:eastAsia="es-ES"/>
              </w:rPr>
            </w:pPr>
            <w:r w:rsidRPr="0029795D">
              <w:rPr>
                <w:rFonts w:ascii="Verdana" w:eastAsia="Calibri" w:hAnsi="Verdana" w:cs="Arial"/>
                <w:b/>
                <w:bCs/>
                <w:lang w:val="es-ES" w:eastAsia="es-ES"/>
              </w:rPr>
              <w:t>Concepto C-1345 de 2025</w:t>
            </w:r>
          </w:p>
          <w:p w14:paraId="5C536901" w14:textId="77777777" w:rsidR="0029795D" w:rsidRPr="0029795D" w:rsidRDefault="0029795D" w:rsidP="0029795D">
            <w:pPr>
              <w:jc w:val="both"/>
              <w:rPr>
                <w:rFonts w:ascii="Verdana" w:eastAsia="Calibri" w:hAnsi="Verdana" w:cs="Arial"/>
                <w:b/>
                <w:bCs/>
                <w:lang w:val="es-ES" w:eastAsia="es-ES"/>
              </w:rPr>
            </w:pPr>
          </w:p>
          <w:p w14:paraId="06F03863" w14:textId="77777777" w:rsidR="0029795D" w:rsidRPr="0029795D" w:rsidRDefault="0029795D" w:rsidP="0029795D">
            <w:pPr>
              <w:jc w:val="both"/>
              <w:rPr>
                <w:rFonts w:ascii="Verdana" w:eastAsia="Calibri" w:hAnsi="Verdana" w:cs="Arial"/>
                <w:b/>
                <w:bCs/>
                <w:lang w:val="es-ES" w:eastAsia="es-ES"/>
              </w:rPr>
            </w:pPr>
          </w:p>
        </w:tc>
      </w:tr>
      <w:tr w:rsidR="0029795D" w:rsidRPr="0029795D" w14:paraId="089B7E46" w14:textId="77777777" w:rsidTr="00D7398E">
        <w:trPr>
          <w:trHeight w:val="884"/>
        </w:trPr>
        <w:tc>
          <w:tcPr>
            <w:tcW w:w="1985" w:type="dxa"/>
          </w:tcPr>
          <w:p w14:paraId="200F0AB7" w14:textId="77777777" w:rsidR="0029795D" w:rsidRPr="0029795D" w:rsidRDefault="0029795D" w:rsidP="0029795D">
            <w:pPr>
              <w:jc w:val="both"/>
              <w:rPr>
                <w:rFonts w:ascii="Verdana" w:eastAsia="Calibri" w:hAnsi="Verdana" w:cs="Arial"/>
                <w:lang w:val="es-ES_tradnl" w:eastAsia="es-ES_tradnl"/>
              </w:rPr>
            </w:pPr>
            <w:r w:rsidRPr="0029795D">
              <w:rPr>
                <w:rFonts w:ascii="Verdana" w:eastAsia="Calibri" w:hAnsi="Verdana" w:cs="Arial"/>
                <w:b/>
                <w:lang w:val="es-ES_tradnl" w:eastAsia="es-ES_tradnl"/>
              </w:rPr>
              <w:t>Temas:</w:t>
            </w:r>
            <w:r w:rsidRPr="0029795D">
              <w:rPr>
                <w:rFonts w:ascii="Verdana" w:eastAsia="Calibri" w:hAnsi="Verdana" w:cs="Arial"/>
                <w:lang w:val="es-ES_tradnl" w:eastAsia="es-ES_tradnl"/>
              </w:rPr>
              <w:t xml:space="preserve">                   </w:t>
            </w:r>
          </w:p>
        </w:tc>
        <w:tc>
          <w:tcPr>
            <w:tcW w:w="6383" w:type="dxa"/>
          </w:tcPr>
          <w:p w14:paraId="7C1AC985" w14:textId="77777777" w:rsidR="0029795D" w:rsidRPr="0029795D" w:rsidRDefault="0029795D" w:rsidP="0029795D">
            <w:pPr>
              <w:jc w:val="both"/>
              <w:rPr>
                <w:rFonts w:ascii="Verdana" w:eastAsia="Calibri" w:hAnsi="Verdana" w:cs="Times New Roman"/>
              </w:rPr>
            </w:pPr>
            <w:r w:rsidRPr="0029795D">
              <w:rPr>
                <w:rFonts w:ascii="Verdana" w:eastAsia="Aptos" w:hAnsi="Verdana" w:cs="Arial"/>
              </w:rPr>
              <w:t xml:space="preserve">DOCUMENTOS TIPO </w:t>
            </w:r>
            <w:r w:rsidRPr="0029795D">
              <w:rPr>
                <w:rFonts w:ascii="Verdana" w:eastAsia="Calibri" w:hAnsi="Verdana" w:cs="Times New Roman"/>
              </w:rPr>
              <w:t xml:space="preserve">– Agua potable y saneamiento básico – Oferta económica – Elaboración y presentación </w:t>
            </w:r>
            <w:r w:rsidRPr="0029795D">
              <w:rPr>
                <w:rFonts w:ascii="Verdana" w:eastAsia="Aptos" w:hAnsi="Verdana" w:cs="Arial"/>
              </w:rPr>
              <w:t xml:space="preserve">/ </w:t>
            </w:r>
            <w:r w:rsidRPr="0029795D">
              <w:rPr>
                <w:rFonts w:ascii="Verdana" w:eastAsia="Calibri" w:hAnsi="Verdana" w:cs="Times New Roman"/>
              </w:rPr>
              <w:t>Oferta económica – Presentación – Firma / CAUSALES DE RECHAZO – Literal J) del numeral 1.15. Documento Base</w:t>
            </w:r>
          </w:p>
          <w:p w14:paraId="2AB1F89E" w14:textId="77777777" w:rsidR="0029795D" w:rsidRPr="0029795D" w:rsidRDefault="0029795D" w:rsidP="0029795D">
            <w:pPr>
              <w:jc w:val="both"/>
              <w:rPr>
                <w:rFonts w:ascii="Verdana" w:eastAsia="Calibri" w:hAnsi="Verdana" w:cs="Arial"/>
                <w:bCs/>
                <w:lang w:val="es-ES" w:eastAsia="es-ES"/>
              </w:rPr>
            </w:pPr>
          </w:p>
        </w:tc>
      </w:tr>
      <w:tr w:rsidR="0029795D" w:rsidRPr="0029795D" w14:paraId="05BC2694" w14:textId="77777777" w:rsidTr="00D7398E">
        <w:tc>
          <w:tcPr>
            <w:tcW w:w="1985" w:type="dxa"/>
          </w:tcPr>
          <w:p w14:paraId="5047F1BC" w14:textId="77777777" w:rsidR="0029795D" w:rsidRPr="0029795D" w:rsidRDefault="0029795D" w:rsidP="0029795D">
            <w:pPr>
              <w:jc w:val="both"/>
              <w:rPr>
                <w:rFonts w:ascii="Verdana" w:eastAsia="Calibri" w:hAnsi="Verdana" w:cs="Arial"/>
                <w:b/>
                <w:lang w:val="es-ES_tradnl" w:eastAsia="es-ES_tradnl"/>
              </w:rPr>
            </w:pPr>
            <w:r w:rsidRPr="0029795D">
              <w:rPr>
                <w:rFonts w:ascii="Verdana" w:eastAsia="Calibri" w:hAnsi="Verdana" w:cs="Arial"/>
                <w:b/>
                <w:lang w:val="es-ES_tradnl" w:eastAsia="es-ES_tradnl"/>
              </w:rPr>
              <w:t>Radicación:</w:t>
            </w:r>
            <w:r w:rsidRPr="0029795D">
              <w:rPr>
                <w:rFonts w:ascii="Verdana" w:eastAsia="Calibri" w:hAnsi="Verdana" w:cs="Arial"/>
                <w:lang w:val="es-ES_tradnl" w:eastAsia="es-ES_tradnl"/>
              </w:rPr>
              <w:t xml:space="preserve">               </w:t>
            </w:r>
          </w:p>
        </w:tc>
        <w:tc>
          <w:tcPr>
            <w:tcW w:w="6383" w:type="dxa"/>
          </w:tcPr>
          <w:p w14:paraId="73119CE0" w14:textId="77777777" w:rsidR="0029795D" w:rsidRPr="0029795D" w:rsidRDefault="0029795D" w:rsidP="0029795D">
            <w:pPr>
              <w:ind w:left="3" w:hanging="3"/>
              <w:jc w:val="both"/>
              <w:rPr>
                <w:rFonts w:ascii="Verdana" w:eastAsia="Calibri" w:hAnsi="Verdana" w:cs="Arial"/>
                <w:lang w:val="es-ES_tradnl" w:eastAsia="es-ES_tradnl"/>
              </w:rPr>
            </w:pPr>
            <w:r w:rsidRPr="0029795D">
              <w:rPr>
                <w:rFonts w:ascii="Verdana" w:eastAsia="Calibri" w:hAnsi="Verdana" w:cs="Arial"/>
                <w:lang w:val="es-ES_tradnl" w:eastAsia="es-ES_tradnl"/>
              </w:rPr>
              <w:t>Respuesta a consulta con radicado No. 1_2025_09_18_010269</w:t>
            </w:r>
          </w:p>
        </w:tc>
      </w:tr>
    </w:tbl>
    <w:p w14:paraId="1E20B025" w14:textId="77777777" w:rsidR="0029795D" w:rsidRPr="0029795D" w:rsidRDefault="0029795D" w:rsidP="0029795D">
      <w:pPr>
        <w:spacing w:after="0" w:line="240" w:lineRule="auto"/>
        <w:jc w:val="both"/>
        <w:rPr>
          <w:rFonts w:ascii="Verdana" w:eastAsia="Calibri" w:hAnsi="Verdana" w:cs="Arial"/>
          <w:lang w:val="es-ES_tradnl" w:eastAsia="es-ES_tradnl"/>
        </w:rPr>
      </w:pPr>
    </w:p>
    <w:p w14:paraId="67122DA4" w14:textId="77777777" w:rsidR="0029795D" w:rsidRPr="0029795D" w:rsidRDefault="0029795D" w:rsidP="0029795D">
      <w:pPr>
        <w:spacing w:after="0" w:line="276" w:lineRule="auto"/>
        <w:jc w:val="both"/>
        <w:rPr>
          <w:rFonts w:ascii="Verdana" w:eastAsia="Calibri" w:hAnsi="Verdana" w:cs="Arial"/>
          <w:lang w:val="es-ES" w:eastAsia="es-ES"/>
        </w:rPr>
      </w:pPr>
      <w:r w:rsidRPr="0029795D">
        <w:rPr>
          <w:rFonts w:ascii="Verdana" w:eastAsia="Calibri" w:hAnsi="Verdana" w:cs="Arial"/>
          <w:lang w:val="es-ES" w:eastAsia="es-ES"/>
        </w:rPr>
        <w:t xml:space="preserve">Estimado señor </w:t>
      </w:r>
      <w:r w:rsidRPr="0029795D">
        <w:rPr>
          <w:rFonts w:ascii="Verdana" w:eastAsia="Calibri" w:hAnsi="Verdana" w:cs="Arial"/>
          <w:kern w:val="2"/>
          <w:lang w:eastAsia="es-ES_tradnl"/>
          <w14:ligatures w14:val="standardContextual"/>
        </w:rPr>
        <w:t>Vásquez Velásquez</w:t>
      </w:r>
      <w:r w:rsidRPr="0029795D">
        <w:rPr>
          <w:rFonts w:ascii="Verdana" w:eastAsia="Calibri" w:hAnsi="Verdana" w:cs="Arial"/>
          <w:lang w:val="es-ES" w:eastAsia="es-ES"/>
        </w:rPr>
        <w:t xml:space="preserve">: </w:t>
      </w:r>
    </w:p>
    <w:p w14:paraId="3F6DE13E" w14:textId="77777777" w:rsidR="0029795D" w:rsidRPr="0029795D" w:rsidRDefault="0029795D" w:rsidP="0029795D">
      <w:pPr>
        <w:tabs>
          <w:tab w:val="left" w:pos="3768"/>
        </w:tabs>
        <w:spacing w:after="0" w:line="276" w:lineRule="auto"/>
        <w:jc w:val="both"/>
        <w:rPr>
          <w:rFonts w:ascii="Verdana" w:eastAsia="Calibri" w:hAnsi="Verdana" w:cs="Arial"/>
          <w:lang w:val="es-ES" w:eastAsia="es-ES"/>
        </w:rPr>
      </w:pPr>
      <w:r w:rsidRPr="0029795D">
        <w:rPr>
          <w:rFonts w:ascii="Verdana" w:eastAsia="Calibri" w:hAnsi="Verdana" w:cs="Arial"/>
          <w:lang w:val="es-ES" w:eastAsia="es-ES"/>
        </w:rPr>
        <w:tab/>
      </w:r>
    </w:p>
    <w:p w14:paraId="7566DA3E" w14:textId="77777777" w:rsidR="0029795D" w:rsidRPr="0029795D" w:rsidRDefault="0029795D" w:rsidP="0029795D">
      <w:pPr>
        <w:spacing w:after="0" w:line="276" w:lineRule="auto"/>
        <w:jc w:val="both"/>
        <w:rPr>
          <w:rFonts w:ascii="Verdana" w:eastAsia="Calibri" w:hAnsi="Verdana" w:cs="Arial"/>
          <w:lang w:val="es-ES" w:eastAsia="es-ES"/>
        </w:rPr>
      </w:pPr>
      <w:r w:rsidRPr="0029795D">
        <w:rPr>
          <w:rFonts w:ascii="Verdana" w:eastAsia="Calibri" w:hAnsi="Verdana" w:cs="Arial"/>
          <w:lang w:val="es-ES" w:eastAsia="es-ES"/>
        </w:rPr>
        <w:t>En ejercicio de la competencia otorgada por los artículos 3, numeral 5º, y 11, numeral 8º, del Decreto Ley 4170 de 2011,</w:t>
      </w:r>
      <w:r w:rsidRPr="0029795D">
        <w:rPr>
          <w:rFonts w:ascii="Verdana" w:eastAsia="Arial MT" w:hAnsi="Verdana" w:cs="Arial MT"/>
          <w:lang w:val="es-ES" w:eastAsia="es-ES"/>
        </w:rPr>
        <w:t xml:space="preserve"> </w:t>
      </w:r>
      <w:r w:rsidRPr="0029795D">
        <w:rPr>
          <w:rFonts w:ascii="Verdana" w:eastAsia="Calibri" w:hAnsi="Verdana" w:cs="Arial"/>
        </w:rPr>
        <w:t xml:space="preserve">así como lo establecido en el artículo 4 de la Resolución 1707 de 2018 expedida por esta Entidad, </w:t>
      </w:r>
      <w:r w:rsidRPr="0029795D">
        <w:rPr>
          <w:rFonts w:ascii="Verdana" w:eastAsia="Calibri" w:hAnsi="Verdana" w:cs="Arial"/>
          <w:lang w:val="es-ES" w:eastAsia="es-ES"/>
        </w:rPr>
        <w:t>la Agencia Nacional de Contratación Pública – Colombia Compra Eficiente– responde su solicitud de consulta del 18 de septiembre de 2025, en la cual manifiesta lo siguiente:</w:t>
      </w:r>
    </w:p>
    <w:p w14:paraId="05CF6ABF" w14:textId="77777777" w:rsidR="0029795D" w:rsidRPr="0029795D" w:rsidRDefault="0029795D" w:rsidP="0029795D">
      <w:pPr>
        <w:spacing w:after="0" w:line="276" w:lineRule="auto"/>
        <w:jc w:val="both"/>
        <w:rPr>
          <w:rFonts w:ascii="Verdana" w:eastAsia="Calibri" w:hAnsi="Verdana" w:cs="Arial"/>
          <w:lang w:val="es-ES" w:eastAsia="es-ES"/>
        </w:rPr>
      </w:pPr>
    </w:p>
    <w:p w14:paraId="013EDC5C" w14:textId="77777777" w:rsidR="0029795D" w:rsidRPr="0029795D" w:rsidRDefault="0029795D" w:rsidP="0029795D">
      <w:pPr>
        <w:spacing w:after="0" w:line="240" w:lineRule="auto"/>
        <w:ind w:left="709" w:right="709"/>
        <w:jc w:val="both"/>
        <w:rPr>
          <w:rFonts w:ascii="Verdana" w:eastAsia="Aptos" w:hAnsi="Verdana" w:cs="Helvetica"/>
          <w:color w:val="000000"/>
          <w:sz w:val="21"/>
          <w:szCs w:val="21"/>
          <w:lang w:val="es-MX"/>
          <w14:ligatures w14:val="standardContextual"/>
        </w:rPr>
      </w:pPr>
      <w:r w:rsidRPr="0029795D">
        <w:rPr>
          <w:rFonts w:ascii="Verdana" w:eastAsia="Aptos" w:hAnsi="Verdana" w:cs="Helvetica"/>
          <w:color w:val="000000"/>
          <w:sz w:val="21"/>
          <w:szCs w:val="21"/>
          <w14:ligatures w14:val="standardContextual"/>
        </w:rPr>
        <w:t xml:space="preserve">“Solicito amablemente me den Concepto sobre la obligatoriedad de la firma de la oferta económica en </w:t>
      </w:r>
      <w:proofErr w:type="spellStart"/>
      <w:r w:rsidRPr="0029795D">
        <w:rPr>
          <w:rFonts w:ascii="Verdana" w:eastAsia="Aptos" w:hAnsi="Verdana" w:cs="Helvetica"/>
          <w:color w:val="000000"/>
          <w:sz w:val="21"/>
          <w:szCs w:val="21"/>
          <w14:ligatures w14:val="standardContextual"/>
        </w:rPr>
        <w:t>secop</w:t>
      </w:r>
      <w:proofErr w:type="spellEnd"/>
      <w:r w:rsidRPr="0029795D">
        <w:rPr>
          <w:rFonts w:ascii="Verdana" w:eastAsia="Aptos" w:hAnsi="Verdana" w:cs="Helvetica"/>
          <w:color w:val="000000"/>
          <w:sz w:val="21"/>
          <w:szCs w:val="21"/>
          <w14:ligatures w14:val="standardContextual"/>
        </w:rPr>
        <w:t xml:space="preserve"> II en un proceso de pliego tipo. Requiero concepto donde se indique si es necesaria la firma de la oferta económica en un proceso de licitación </w:t>
      </w:r>
      <w:proofErr w:type="spellStart"/>
      <w:r w:rsidRPr="0029795D">
        <w:rPr>
          <w:rFonts w:ascii="Verdana" w:eastAsia="Aptos" w:hAnsi="Verdana" w:cs="Helvetica"/>
          <w:color w:val="000000"/>
          <w:sz w:val="21"/>
          <w:szCs w:val="21"/>
          <w14:ligatures w14:val="standardContextual"/>
        </w:rPr>
        <w:t>publica</w:t>
      </w:r>
      <w:proofErr w:type="spellEnd"/>
      <w:r w:rsidRPr="0029795D">
        <w:rPr>
          <w:rFonts w:ascii="Verdana" w:eastAsia="Aptos" w:hAnsi="Verdana" w:cs="Helvetica"/>
          <w:color w:val="000000"/>
          <w:sz w:val="21"/>
          <w:szCs w:val="21"/>
          <w14:ligatures w14:val="standardContextual"/>
        </w:rPr>
        <w:t xml:space="preserve"> adelantado por </w:t>
      </w:r>
      <w:proofErr w:type="spellStart"/>
      <w:r w:rsidRPr="0029795D">
        <w:rPr>
          <w:rFonts w:ascii="Verdana" w:eastAsia="Aptos" w:hAnsi="Verdana" w:cs="Helvetica"/>
          <w:color w:val="000000"/>
          <w:sz w:val="21"/>
          <w:szCs w:val="21"/>
          <w14:ligatures w14:val="standardContextual"/>
        </w:rPr>
        <w:t>secop</w:t>
      </w:r>
      <w:proofErr w:type="spellEnd"/>
      <w:r w:rsidRPr="0029795D">
        <w:rPr>
          <w:rFonts w:ascii="Verdana" w:eastAsia="Aptos" w:hAnsi="Verdana" w:cs="Helvetica"/>
          <w:color w:val="000000"/>
          <w:sz w:val="21"/>
          <w:szCs w:val="21"/>
          <w14:ligatures w14:val="standardContextual"/>
        </w:rPr>
        <w:t xml:space="preserve"> II con pliego tipo del sector de agua potable y saneamiento básico, en relación al numeral 4.1 del mismo el cual indica que esta debe ser firmada; ya que, la causal de rechazo por no firmar la oferta económica solo recae sobre procesos adelantados por </w:t>
      </w:r>
      <w:proofErr w:type="spellStart"/>
      <w:r w:rsidRPr="0029795D">
        <w:rPr>
          <w:rFonts w:ascii="Verdana" w:eastAsia="Aptos" w:hAnsi="Verdana" w:cs="Helvetica"/>
          <w:color w:val="000000"/>
          <w:sz w:val="21"/>
          <w:szCs w:val="21"/>
          <w14:ligatures w14:val="standardContextual"/>
        </w:rPr>
        <w:t>secop</w:t>
      </w:r>
      <w:proofErr w:type="spellEnd"/>
      <w:r w:rsidRPr="0029795D">
        <w:rPr>
          <w:rFonts w:ascii="Verdana" w:eastAsia="Aptos" w:hAnsi="Verdana" w:cs="Helvetica"/>
          <w:color w:val="000000"/>
          <w:sz w:val="21"/>
          <w:szCs w:val="21"/>
          <w14:ligatures w14:val="standardContextual"/>
        </w:rPr>
        <w:t xml:space="preserve"> I y no sobre procesos adelantados por </w:t>
      </w:r>
      <w:proofErr w:type="spellStart"/>
      <w:r w:rsidRPr="0029795D">
        <w:rPr>
          <w:rFonts w:ascii="Verdana" w:eastAsia="Aptos" w:hAnsi="Verdana" w:cs="Helvetica"/>
          <w:color w:val="000000"/>
          <w:sz w:val="21"/>
          <w:szCs w:val="21"/>
          <w14:ligatures w14:val="standardContextual"/>
        </w:rPr>
        <w:t>secop</w:t>
      </w:r>
      <w:proofErr w:type="spellEnd"/>
      <w:r w:rsidRPr="0029795D">
        <w:rPr>
          <w:rFonts w:ascii="Verdana" w:eastAsia="Aptos" w:hAnsi="Verdana" w:cs="Helvetica"/>
          <w:color w:val="000000"/>
          <w:sz w:val="21"/>
          <w:szCs w:val="21"/>
          <w14:ligatures w14:val="standardContextual"/>
        </w:rPr>
        <w:t xml:space="preserve"> II”.</w:t>
      </w:r>
    </w:p>
    <w:p w14:paraId="63986706" w14:textId="77777777" w:rsidR="0029795D" w:rsidRPr="0029795D" w:rsidRDefault="0029795D" w:rsidP="0029795D">
      <w:pPr>
        <w:spacing w:after="0" w:line="276" w:lineRule="auto"/>
        <w:jc w:val="both"/>
        <w:rPr>
          <w:rFonts w:ascii="Verdana" w:eastAsia="Calibri" w:hAnsi="Verdana" w:cs="Arial"/>
          <w:lang w:val="es-ES" w:eastAsia="es-ES"/>
        </w:rPr>
      </w:pPr>
    </w:p>
    <w:p w14:paraId="68B53475" w14:textId="77777777" w:rsidR="0029795D" w:rsidRPr="0029795D" w:rsidRDefault="0029795D" w:rsidP="0029795D">
      <w:pPr>
        <w:spacing w:after="120" w:line="276" w:lineRule="auto"/>
        <w:ind w:firstLine="709"/>
        <w:jc w:val="both"/>
        <w:rPr>
          <w:rFonts w:ascii="Verdana" w:eastAsia="Calibri" w:hAnsi="Verdana" w:cs="Arial"/>
          <w:color w:val="000000"/>
          <w:lang w:eastAsia="es-ES"/>
        </w:rPr>
      </w:pPr>
      <w:r w:rsidRPr="0029795D">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29795D">
        <w:rPr>
          <w:rFonts w:ascii="Verdana" w:eastAsia="Calibri" w:hAnsi="Verdana" w:cs="Arial"/>
          <w:color w:val="000000"/>
          <w:lang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9795D">
        <w:rPr>
          <w:rFonts w:ascii="Verdana" w:eastAsia="Calibri" w:hAnsi="Verdana" w:cs="Arial"/>
          <w:color w:val="000000"/>
          <w:lang w:eastAsia="es-ES"/>
        </w:rPr>
        <w:tab/>
      </w:r>
    </w:p>
    <w:p w14:paraId="0AAA6BA9" w14:textId="77777777" w:rsidR="0029795D" w:rsidRPr="0029795D" w:rsidRDefault="0029795D" w:rsidP="0029795D">
      <w:pPr>
        <w:spacing w:after="0" w:line="276" w:lineRule="auto"/>
        <w:ind w:firstLine="709"/>
        <w:jc w:val="both"/>
        <w:rPr>
          <w:rFonts w:ascii="Verdana" w:eastAsia="Calibri" w:hAnsi="Verdana" w:cs="Arial"/>
          <w:color w:val="000000"/>
          <w:lang w:eastAsia="es-ES"/>
        </w:rPr>
      </w:pPr>
      <w:r w:rsidRPr="0029795D">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46F0EF3C" w14:textId="77777777" w:rsidR="0029795D" w:rsidRPr="0029795D" w:rsidRDefault="0029795D" w:rsidP="0029795D">
      <w:pPr>
        <w:spacing w:after="0" w:line="276" w:lineRule="auto"/>
        <w:jc w:val="both"/>
        <w:rPr>
          <w:rFonts w:ascii="Verdana" w:eastAsia="Calibri" w:hAnsi="Verdana" w:cs="Arial"/>
          <w:lang w:val="es-ES" w:eastAsia="es-ES"/>
        </w:rPr>
      </w:pPr>
    </w:p>
    <w:p w14:paraId="2416BD85" w14:textId="77777777" w:rsidR="0029795D" w:rsidRPr="0029795D" w:rsidRDefault="0029795D" w:rsidP="0029795D">
      <w:pPr>
        <w:numPr>
          <w:ilvl w:val="0"/>
          <w:numId w:val="17"/>
        </w:numPr>
        <w:tabs>
          <w:tab w:val="left" w:pos="142"/>
          <w:tab w:val="left" w:pos="284"/>
        </w:tabs>
        <w:spacing w:after="0" w:line="276" w:lineRule="auto"/>
        <w:jc w:val="both"/>
        <w:rPr>
          <w:rFonts w:ascii="Verdana" w:eastAsia="Century Gothic" w:hAnsi="Verdana" w:cs="Century Gothic"/>
          <w:b/>
          <w:bCs/>
        </w:rPr>
      </w:pPr>
      <w:r w:rsidRPr="0029795D">
        <w:rPr>
          <w:rFonts w:ascii="Verdana" w:eastAsia="Century Gothic" w:hAnsi="Verdana" w:cs="Century Gothic"/>
          <w:b/>
          <w:bCs/>
        </w:rPr>
        <w:t>Problema planteado:</w:t>
      </w:r>
    </w:p>
    <w:p w14:paraId="1771604D" w14:textId="77777777" w:rsidR="0029795D" w:rsidRPr="0029795D" w:rsidRDefault="0029795D" w:rsidP="0029795D">
      <w:pPr>
        <w:tabs>
          <w:tab w:val="left" w:pos="426"/>
        </w:tabs>
        <w:spacing w:after="0" w:line="276" w:lineRule="auto"/>
        <w:jc w:val="both"/>
        <w:rPr>
          <w:rFonts w:ascii="Verdana" w:eastAsia="Century Gothic" w:hAnsi="Verdana" w:cs="Century Gothic"/>
          <w:lang w:val="es-ES"/>
        </w:rPr>
      </w:pPr>
    </w:p>
    <w:p w14:paraId="73881A4C" w14:textId="77777777" w:rsidR="0029795D" w:rsidRPr="0029795D" w:rsidRDefault="0029795D" w:rsidP="0029795D">
      <w:pPr>
        <w:spacing w:after="0" w:line="276" w:lineRule="auto"/>
        <w:jc w:val="both"/>
        <w:rPr>
          <w:rFonts w:ascii="Verdana" w:eastAsia="Calibri" w:hAnsi="Verdana" w:cs="Arial"/>
          <w:lang w:val="es-ES" w:eastAsia="es-ES"/>
        </w:rPr>
      </w:pPr>
      <w:r w:rsidRPr="0029795D">
        <w:rPr>
          <w:rFonts w:ascii="Verdana" w:eastAsia="Century Gothic" w:hAnsi="Verdana" w:cs="Century Gothic"/>
        </w:rPr>
        <w:t xml:space="preserve">De acuerdo con el contenido de su solicitud, esta Agencia en relación con los </w:t>
      </w:r>
      <w:r w:rsidRPr="0029795D">
        <w:rPr>
          <w:rFonts w:ascii="Verdana" w:eastAsia="Calibri" w:hAnsi="Verdana" w:cs="Times New Roman"/>
          <w:lang w:val="es-ES"/>
        </w:rPr>
        <w:t xml:space="preserve">documentos tipo para los procesos de licitación pública para obras de infraestructura de agua </w:t>
      </w:r>
      <w:r w:rsidRPr="002B36FB">
        <w:rPr>
          <w:rFonts w:ascii="Verdana" w:eastAsia="Calibri" w:hAnsi="Verdana" w:cs="Times New Roman"/>
          <w:lang w:val="es-ES"/>
        </w:rPr>
        <w:t>potable y saneamiento básico,</w:t>
      </w:r>
      <w:r w:rsidRPr="002B36FB">
        <w:rPr>
          <w:rFonts w:ascii="Verdana" w:eastAsia="Century Gothic" w:hAnsi="Verdana" w:cs="Century Gothic"/>
        </w:rPr>
        <w:t xml:space="preserve"> resolverá los siguientes problemas jurídicos: i) </w:t>
      </w:r>
      <w:r w:rsidRPr="002B36FB">
        <w:rPr>
          <w:rFonts w:ascii="Verdana" w:eastAsia="Calibri" w:hAnsi="Verdana" w:cs="Arial"/>
          <w:lang w:val="es-ES" w:eastAsia="es-ES"/>
        </w:rPr>
        <w:t>¿Cuál es el alcance de la expresión “</w:t>
      </w:r>
      <w:r w:rsidRPr="002B36FB">
        <w:rPr>
          <w:rFonts w:ascii="Verdana" w:eastAsia="Aptos" w:hAnsi="Verdana" w:cs="Arial"/>
          <w:i/>
          <w:iCs/>
          <w:kern w:val="2"/>
          <w14:ligatures w14:val="standardContextual"/>
        </w:rPr>
        <w:t>La propuesta económica deberá ser allegada en el Sobre No. 2 y firmada”</w:t>
      </w:r>
      <w:r w:rsidRPr="0029795D">
        <w:rPr>
          <w:rFonts w:ascii="Verdana" w:eastAsia="Aptos" w:hAnsi="Verdana" w:cs="Arial"/>
          <w:i/>
          <w:iCs/>
          <w:kern w:val="2"/>
          <w14:ligatures w14:val="standardContextual"/>
        </w:rPr>
        <w:t xml:space="preserve"> contenida en el numeral 4.1 “Oferta económica” </w:t>
      </w:r>
      <w:r w:rsidRPr="0029795D">
        <w:rPr>
          <w:rFonts w:ascii="Verdana" w:eastAsia="Aptos" w:hAnsi="Verdana" w:cs="Arial"/>
          <w:kern w:val="2"/>
          <w14:ligatures w14:val="standardContextual"/>
        </w:rPr>
        <w:t>del documento base</w:t>
      </w:r>
      <w:r w:rsidRPr="0029795D">
        <w:rPr>
          <w:rFonts w:ascii="Verdana" w:eastAsia="Calibri" w:hAnsi="Verdana" w:cs="Arial"/>
          <w:lang w:val="es-ES" w:eastAsia="es-ES"/>
        </w:rPr>
        <w:t xml:space="preserve">? y </w:t>
      </w:r>
      <w:proofErr w:type="spellStart"/>
      <w:r w:rsidRPr="0029795D">
        <w:rPr>
          <w:rFonts w:ascii="Verdana" w:eastAsia="Calibri" w:hAnsi="Verdana" w:cs="Arial"/>
          <w:lang w:val="es-ES" w:eastAsia="es-ES"/>
        </w:rPr>
        <w:t>ii</w:t>
      </w:r>
      <w:proofErr w:type="spellEnd"/>
      <w:r w:rsidRPr="0029795D">
        <w:rPr>
          <w:rFonts w:ascii="Verdana" w:eastAsia="Calibri" w:hAnsi="Verdana" w:cs="Arial"/>
          <w:lang w:val="es-ES" w:eastAsia="es-ES"/>
        </w:rPr>
        <w:t>) ¿Cuál es el alcance de la causal de rechazo contenida en el literal j) del numeral 1.15 del documento base?</w:t>
      </w:r>
    </w:p>
    <w:p w14:paraId="4765DBE1" w14:textId="77777777" w:rsidR="0029795D" w:rsidRPr="0029795D" w:rsidRDefault="0029795D" w:rsidP="0029795D">
      <w:pPr>
        <w:spacing w:after="0" w:line="276" w:lineRule="auto"/>
        <w:jc w:val="both"/>
        <w:rPr>
          <w:rFonts w:ascii="Verdana" w:eastAsia="Century Gothic" w:hAnsi="Verdana" w:cs="Century Gothic"/>
        </w:rPr>
      </w:pPr>
    </w:p>
    <w:p w14:paraId="29B133C3" w14:textId="77777777" w:rsidR="0029795D" w:rsidRPr="0029795D" w:rsidRDefault="0029795D" w:rsidP="0029795D">
      <w:pPr>
        <w:tabs>
          <w:tab w:val="left" w:pos="142"/>
          <w:tab w:val="left" w:pos="284"/>
        </w:tabs>
        <w:spacing w:after="0" w:line="276" w:lineRule="auto"/>
        <w:contextualSpacing/>
        <w:jc w:val="both"/>
        <w:rPr>
          <w:rFonts w:ascii="Verdana" w:eastAsia="Century Gothic" w:hAnsi="Verdana" w:cs="Century Gothic"/>
          <w:b/>
          <w:bCs/>
          <w:lang w:val="es-ES"/>
        </w:rPr>
      </w:pPr>
      <w:r w:rsidRPr="0029795D">
        <w:rPr>
          <w:rFonts w:ascii="Verdana" w:eastAsia="Century Gothic" w:hAnsi="Verdana" w:cs="Century Gothic"/>
          <w:b/>
          <w:bCs/>
          <w:lang w:val="es-ES"/>
        </w:rPr>
        <w:t>2. Respuestas:</w:t>
      </w:r>
    </w:p>
    <w:p w14:paraId="0E1B7E55" w14:textId="77777777" w:rsidR="0029795D" w:rsidRPr="0029795D" w:rsidRDefault="0029795D" w:rsidP="0029795D">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9795D" w:rsidRPr="0029795D" w14:paraId="0435FFDB" w14:textId="77777777" w:rsidTr="00D7398E">
        <w:trPr>
          <w:trHeight w:val="40"/>
        </w:trPr>
        <w:tc>
          <w:tcPr>
            <w:tcW w:w="8828" w:type="dxa"/>
            <w:tcBorders>
              <w:top w:val="dotted" w:sz="4" w:space="0" w:color="auto"/>
              <w:left w:val="dotted" w:sz="4" w:space="0" w:color="auto"/>
              <w:bottom w:val="dotted" w:sz="4" w:space="0" w:color="auto"/>
              <w:right w:val="dotted" w:sz="4" w:space="0" w:color="auto"/>
            </w:tcBorders>
          </w:tcPr>
          <w:p w14:paraId="4FCA4916" w14:textId="77777777" w:rsidR="0029795D" w:rsidRPr="0029795D" w:rsidRDefault="0029795D" w:rsidP="0029795D">
            <w:pPr>
              <w:spacing w:after="120" w:line="276" w:lineRule="auto"/>
              <w:jc w:val="both"/>
              <w:rPr>
                <w:rFonts w:ascii="Verdana" w:eastAsia="Aptos" w:hAnsi="Verdana" w:cs="Arial"/>
                <w:i/>
                <w:iCs/>
              </w:rPr>
            </w:pPr>
            <w:r w:rsidRPr="0029795D">
              <w:rPr>
                <w:rFonts w:ascii="Verdana" w:eastAsia="Calibri" w:hAnsi="Verdana" w:cs="Arial"/>
              </w:rPr>
              <w:t>i)El numeral “4.1 OFERTA ECONÓMICA” del documento base de los documentos tipo de licitación de obra pública de infraestructura de agua potable y saneamiento básico, se establecen algunas reglas a las cuales deberán ceñirse los oferentes para la presentación de la oferta económica, entre las que se destaca la siguiente, sobre la cual recae su solicitud: “</w:t>
            </w:r>
            <w:r w:rsidRPr="0029795D">
              <w:rPr>
                <w:rFonts w:ascii="Verdana" w:eastAsia="Aptos" w:hAnsi="Verdana" w:cs="Arial"/>
              </w:rPr>
              <w:t xml:space="preserve">Para calificar este factor se tendrá en cuenta el valor total indicado en la propuesta económica o el obtenido de la corrección aritmética. </w:t>
            </w:r>
            <w:r w:rsidRPr="0029795D">
              <w:rPr>
                <w:rFonts w:ascii="Verdana" w:eastAsia="Aptos" w:hAnsi="Verdana" w:cs="Arial"/>
                <w:i/>
                <w:iCs/>
              </w:rPr>
              <w:t xml:space="preserve">La propuesta económica deberá ser allegada en el Sobre No. 2 y firmada” (énfasis fuera del texto original). </w:t>
            </w:r>
          </w:p>
          <w:p w14:paraId="1E62B267" w14:textId="77777777" w:rsidR="0029795D" w:rsidRPr="0029795D" w:rsidRDefault="0029795D" w:rsidP="0029795D">
            <w:pPr>
              <w:spacing w:after="120" w:line="276" w:lineRule="auto"/>
              <w:ind w:firstLine="708"/>
              <w:jc w:val="both"/>
              <w:rPr>
                <w:rFonts w:ascii="Verdana" w:eastAsia="Arial" w:hAnsi="Verdana" w:cs="Arial"/>
                <w:lang w:val="es-ES" w:eastAsia="es-ES" w:bidi="es-ES"/>
              </w:rPr>
            </w:pPr>
            <w:r w:rsidRPr="0029795D">
              <w:rPr>
                <w:rFonts w:ascii="Verdana" w:eastAsia="Aptos" w:hAnsi="Verdana" w:cs="Arial"/>
              </w:rPr>
              <w:lastRenderedPageBreak/>
              <w:t xml:space="preserve">De esta forma, de acuerdo con el inciso indicado, la propuesta económica deberá presentarse en el Sobre No. 2 y estar firma. Sobre este aspecto -la firma-, el pliego no distingue si la propuesta económica que debe presentarse firmada es la que se entrega por medio del SECOP I O SECOP II. Para efectos de determinar cuál de las propuestas es la que debe presentarse firma, resulta pertinente </w:t>
            </w:r>
            <w:r w:rsidRPr="0029795D">
              <w:rPr>
                <w:rFonts w:ascii="Verdana" w:eastAsia="Arial" w:hAnsi="Verdana" w:cs="Arial"/>
                <w:lang w:val="es-ES" w:eastAsia="es-ES" w:bidi="es-ES"/>
              </w:rPr>
              <w:t xml:space="preserve">mencionar que la presentación de la oferta debe realizarse, además, conforme a las reglas establecidas en el numeral 2.3 del documento base. </w:t>
            </w:r>
          </w:p>
          <w:p w14:paraId="4B62D1FD" w14:textId="77777777" w:rsidR="0029795D" w:rsidRPr="0029795D" w:rsidRDefault="0029795D" w:rsidP="0029795D">
            <w:pPr>
              <w:spacing w:after="120" w:line="276" w:lineRule="auto"/>
              <w:ind w:firstLine="708"/>
              <w:jc w:val="both"/>
              <w:rPr>
                <w:rFonts w:ascii="Verdana" w:eastAsia="Aptos" w:hAnsi="Verdana" w:cs="Times New Roman"/>
              </w:rPr>
            </w:pPr>
            <w:r w:rsidRPr="0029795D">
              <w:rPr>
                <w:rFonts w:ascii="Verdana" w:eastAsia="Arial" w:hAnsi="Verdana" w:cs="Arial"/>
                <w:lang w:val="es-ES" w:eastAsia="es-ES" w:bidi="es-ES"/>
              </w:rPr>
              <w:t xml:space="preserve">En consideración a lo anterior, para la presentación de la oferta económica, debe tenerse en cuenta que el numeral </w:t>
            </w:r>
            <w:r w:rsidRPr="0029795D">
              <w:rPr>
                <w:rFonts w:ascii="Verdana" w:eastAsia="Aptos" w:hAnsi="Verdana" w:cs="Arial"/>
              </w:rPr>
              <w:t>“</w:t>
            </w:r>
            <w:r w:rsidRPr="0029795D">
              <w:rPr>
                <w:rFonts w:ascii="Verdana" w:eastAsia="Arial" w:hAnsi="Verdana" w:cs="Arial"/>
                <w:lang w:val="es-ES" w:eastAsia="es-ES" w:bidi="es-ES"/>
              </w:rPr>
              <w:t>2.3. Elaboración y presentación de la oferta</w:t>
            </w:r>
            <w:r w:rsidRPr="0029795D">
              <w:rPr>
                <w:rFonts w:ascii="Verdana" w:eastAsia="Aptos" w:hAnsi="Verdana" w:cs="Arial"/>
              </w:rPr>
              <w:t>” del documento base estipula las reglas para su presentación de manera física</w:t>
            </w:r>
            <w:r w:rsidRPr="0029795D">
              <w:rPr>
                <w:rFonts w:ascii="Verdana" w:eastAsia="Arial" w:hAnsi="Verdana" w:cs="Arial"/>
                <w:lang w:val="es-ES" w:eastAsia="es-ES" w:bidi="es-ES"/>
              </w:rPr>
              <w:t>, en la plataforma de SECOP I y de manera electrónica, a través del SECOP II. En este orden, los procesos adelantados en SECOP I se reglan por lo establecido en el literal B del numeral 2.3.2 del Documento Base, mientras que</w:t>
            </w:r>
            <w:r w:rsidRPr="0029795D">
              <w:rPr>
                <w:rFonts w:ascii="Verdana" w:eastAsia="Aptos" w:hAnsi="Verdana" w:cs="Times New Roman"/>
              </w:rPr>
              <w:t xml:space="preserve"> los adelantados en SECOP II, conforme con lo establecido en el literal A del numeral 2.3.2.  </w:t>
            </w:r>
          </w:p>
          <w:p w14:paraId="291EB612" w14:textId="77777777" w:rsidR="0029795D" w:rsidRPr="0029795D" w:rsidRDefault="0029795D" w:rsidP="0029795D">
            <w:pPr>
              <w:spacing w:after="120" w:line="276" w:lineRule="auto"/>
              <w:ind w:firstLine="708"/>
              <w:jc w:val="both"/>
              <w:rPr>
                <w:rFonts w:ascii="Verdana" w:eastAsia="Arial" w:hAnsi="Verdana" w:cs="Arial"/>
                <w:lang w:val="es-ES" w:eastAsia="es-ES" w:bidi="es-ES"/>
              </w:rPr>
            </w:pPr>
            <w:r w:rsidRPr="0029795D">
              <w:rPr>
                <w:rFonts w:ascii="Verdana" w:eastAsia="Arial" w:hAnsi="Verdana" w:cs="Arial"/>
                <w:lang w:val="es-ES" w:eastAsia="es-ES" w:bidi="es-ES"/>
              </w:rPr>
              <w:t>Según se desprende de las reglas señaladas en los numerales indicados, tratándose de los procesos de contratación realizados a través del SECOP II, la propuesta económica debe presentarse haciendo uso del cuestionario destinado para ello en la plataforma. Este cuestionario se debe diligenciar a través de la lista de precios, previamente configurada por la Entidad Estatal y anexando, en caso de que así sea solicitado, las evidencias documentales de la misma – ya sea el Formulario 1 u otro documento–. Esto significa que en estos procesos el valor de la oferta económica debe ser diligenciado en el referido cuestionario, al ser este el medio destinado para la presentación de la oferta económica al interior de la plataforma, sin que se requiera la presentación de un documento físico firmado y sin perjuicio de que la Entidad Estatal solicite anexar el soporte documental de la información incluida en el cuestionario de lista de precios.</w:t>
            </w:r>
          </w:p>
          <w:p w14:paraId="1A3B9E3E" w14:textId="77777777" w:rsidR="0029795D" w:rsidRPr="0029795D" w:rsidRDefault="0029795D" w:rsidP="0029795D">
            <w:pPr>
              <w:widowControl w:val="0"/>
              <w:autoSpaceDE w:val="0"/>
              <w:autoSpaceDN w:val="0"/>
              <w:spacing w:line="276" w:lineRule="auto"/>
              <w:ind w:firstLine="709"/>
              <w:jc w:val="both"/>
              <w:rPr>
                <w:rFonts w:ascii="Verdana" w:eastAsia="Arial" w:hAnsi="Verdana" w:cs="Arial"/>
                <w:lang w:val="es-ES" w:eastAsia="es-ES" w:bidi="es-ES"/>
              </w:rPr>
            </w:pPr>
            <w:r w:rsidRPr="0029795D">
              <w:rPr>
                <w:rFonts w:ascii="Verdana" w:eastAsia="Arial" w:hAnsi="Verdana" w:cs="Arial"/>
                <w:lang w:val="es-ES" w:eastAsia="es-ES" w:bidi="es-ES"/>
              </w:rPr>
              <w:t xml:space="preserve">En ese sentido, en este tipo de procedimientos no se requiere que se presente oferta económica firmada en sobre físico –comoquiera que la conformación del sobre se hace de manera electrónica a partir de la información diligenciada en el cuestionario de lista de precios–. Este requisito sólo es exigible si el procedimiento se realiza a través del SECOP I. </w:t>
            </w:r>
          </w:p>
          <w:p w14:paraId="7C3271DC" w14:textId="77777777" w:rsidR="0029795D" w:rsidRPr="0029795D" w:rsidRDefault="0029795D" w:rsidP="0029795D">
            <w:pPr>
              <w:widowControl w:val="0"/>
              <w:autoSpaceDE w:val="0"/>
              <w:autoSpaceDN w:val="0"/>
              <w:spacing w:line="276" w:lineRule="auto"/>
              <w:ind w:firstLine="709"/>
              <w:jc w:val="both"/>
              <w:rPr>
                <w:rFonts w:ascii="Verdana" w:eastAsia="Arial" w:hAnsi="Verdana" w:cs="Arial"/>
                <w:lang w:val="es-ES" w:eastAsia="es-ES" w:bidi="es-ES"/>
              </w:rPr>
            </w:pPr>
          </w:p>
          <w:p w14:paraId="3646EDBF" w14:textId="77777777" w:rsidR="0029795D" w:rsidRPr="0029795D" w:rsidRDefault="0029795D" w:rsidP="0029795D">
            <w:pPr>
              <w:spacing w:line="278" w:lineRule="auto"/>
              <w:jc w:val="both"/>
              <w:rPr>
                <w:rFonts w:ascii="Verdana" w:eastAsia="Calibri" w:hAnsi="Verdana" w:cs="Arial"/>
                <w:lang w:val="es-ES" w:eastAsia="es-ES" w:bidi="es-ES"/>
              </w:rPr>
            </w:pPr>
            <w:proofErr w:type="spellStart"/>
            <w:r w:rsidRPr="0029795D">
              <w:rPr>
                <w:rFonts w:ascii="Verdana" w:eastAsia="Calibri" w:hAnsi="Verdana" w:cs="Arial"/>
                <w:bCs/>
              </w:rPr>
              <w:lastRenderedPageBreak/>
              <w:t>ii</w:t>
            </w:r>
            <w:proofErr w:type="spellEnd"/>
            <w:r w:rsidRPr="0029795D">
              <w:rPr>
                <w:rFonts w:ascii="Verdana" w:eastAsia="Calibri" w:hAnsi="Verdana" w:cs="Arial"/>
                <w:bCs/>
              </w:rPr>
              <w:t>) L</w:t>
            </w:r>
            <w:r w:rsidRPr="0029795D">
              <w:rPr>
                <w:rFonts w:ascii="Verdana" w:eastAsia="Calibri" w:hAnsi="Verdana" w:cs="Arial"/>
                <w:lang w:val="es-ES" w:eastAsia="es-ES" w:bidi="es-ES"/>
              </w:rPr>
              <w:t xml:space="preserve">a causal del literal J del numeral 1.15 del Documento Base opera cuando: “(…) </w:t>
            </w:r>
            <w:r w:rsidRPr="0029795D">
              <w:rPr>
                <w:rFonts w:ascii="Verdana" w:eastAsia="Calibri" w:hAnsi="Verdana" w:cs="Arial"/>
                <w:i/>
                <w:iCs/>
                <w:lang w:val="es-ES" w:eastAsia="es-ES" w:bidi="es-ES"/>
              </w:rPr>
              <w:t>la propuesta económica no se aporte firmada”</w:t>
            </w:r>
            <w:r w:rsidRPr="0029795D">
              <w:rPr>
                <w:rFonts w:ascii="Verdana" w:eastAsia="Calibri" w:hAnsi="Verdana" w:cs="Arial"/>
                <w:lang w:val="es-ES" w:eastAsia="es-ES" w:bidi="es-ES"/>
              </w:rPr>
              <w:t xml:space="preserve">. No obstante, esta causal sólo opera cuando la propuesta económica se deba presentar en físico y se utilice el SECOP I con fines de publicidad. Es por eso </w:t>
            </w:r>
            <w:proofErr w:type="gramStart"/>
            <w:r w:rsidRPr="0029795D">
              <w:rPr>
                <w:rFonts w:ascii="Verdana" w:eastAsia="Calibri" w:hAnsi="Verdana" w:cs="Arial"/>
                <w:lang w:val="es-ES" w:eastAsia="es-ES" w:bidi="es-ES"/>
              </w:rPr>
              <w:t>que</w:t>
            </w:r>
            <w:proofErr w:type="gramEnd"/>
            <w:r w:rsidRPr="0029795D">
              <w:rPr>
                <w:rFonts w:ascii="Verdana" w:eastAsia="Calibri" w:hAnsi="Verdana" w:cs="Arial"/>
                <w:lang w:val="es-ES" w:eastAsia="es-ES" w:bidi="es-ES"/>
              </w:rPr>
              <w:t xml:space="preserve"> el literal J tiene consignada la condición de uso para las entidades contratantes con la siguiente nota aclaratoria o instrucción en el párrafo entre corchetes con el siguiente texto: “</w:t>
            </w:r>
            <w:r w:rsidRPr="0029795D">
              <w:rPr>
                <w:rFonts w:ascii="Verdana" w:eastAsia="Aptos" w:hAnsi="Verdana" w:cs="Arial"/>
                <w:color w:val="000000"/>
                <w:shd w:val="clear" w:color="auto" w:fill="C0C0C0"/>
              </w:rPr>
              <w:t>[Incluir esta causal cuando las ofertas se presente en el SECOP I]</w:t>
            </w:r>
            <w:r w:rsidRPr="0029795D">
              <w:rPr>
                <w:rFonts w:ascii="Verdana" w:eastAsia="Calibri" w:hAnsi="Verdana" w:cs="Arial"/>
                <w:lang w:val="es-ES" w:eastAsia="es-ES" w:bidi="es-ES"/>
              </w:rPr>
              <w:t>”</w:t>
            </w:r>
            <w:r w:rsidRPr="0029795D">
              <w:rPr>
                <w:rFonts w:ascii="Verdana" w:eastAsia="Aptos" w:hAnsi="Verdana" w:cs="Arial"/>
                <w:color w:val="000000"/>
                <w:shd w:val="clear" w:color="auto" w:fill="FFFFFF"/>
              </w:rPr>
              <w:t xml:space="preserve">. </w:t>
            </w:r>
          </w:p>
          <w:p w14:paraId="5A1B96B8" w14:textId="77777777" w:rsidR="0029795D" w:rsidRPr="0029795D" w:rsidRDefault="0029795D" w:rsidP="0029795D">
            <w:pPr>
              <w:widowControl w:val="0"/>
              <w:autoSpaceDE w:val="0"/>
              <w:autoSpaceDN w:val="0"/>
              <w:spacing w:before="120" w:after="120" w:line="276" w:lineRule="auto"/>
              <w:ind w:firstLine="709"/>
              <w:jc w:val="both"/>
              <w:rPr>
                <w:rFonts w:ascii="Verdana" w:eastAsia="Aptos" w:hAnsi="Verdana" w:cs="Times New Roman"/>
              </w:rPr>
            </w:pPr>
            <w:r w:rsidRPr="0029795D">
              <w:rPr>
                <w:rFonts w:ascii="Verdana" w:eastAsia="Aptos" w:hAnsi="Verdana" w:cs="Arial"/>
                <w:color w:val="000000"/>
                <w:shd w:val="clear" w:color="auto" w:fill="FFFFFF"/>
              </w:rPr>
              <w:t xml:space="preserve">En consecuencia, como </w:t>
            </w:r>
            <w:r w:rsidRPr="0029795D">
              <w:rPr>
                <w:rFonts w:ascii="Verdana" w:eastAsia="Arial" w:hAnsi="Verdana" w:cs="Arial"/>
                <w:lang w:val="es-ES" w:eastAsia="es-ES" w:bidi="es-ES"/>
              </w:rPr>
              <w:t>la oferta económica, para los procesos adelantados en SECOP I, se presenta según las reglas del literal B del numeral 2.3.2 que establece que el Sobre No. 2: “</w:t>
            </w:r>
            <w:r w:rsidRPr="0029795D">
              <w:rPr>
                <w:rFonts w:ascii="Verdana" w:eastAsia="Aptos" w:hAnsi="Verdana" w:cs="Times New Roman"/>
              </w:rPr>
              <w:t xml:space="preserve">Debe incluir la propuesta económica debidamente diligenciada, de conformidad con todos y cada uno de los ítems exigidos y relacionados en el Formulario 1 – Formulario de Presupuesto Oficial”, documento físico que debe contar con la firma del proponente, es para este caso que operaría la causal J del numeral 1.15 del Documento Base para rechazar la oferta en caso de que no se haya presentado firmada. </w:t>
            </w:r>
          </w:p>
          <w:p w14:paraId="6F7204FB" w14:textId="77777777" w:rsidR="0029795D" w:rsidRPr="0029795D" w:rsidRDefault="0029795D" w:rsidP="0029795D">
            <w:pPr>
              <w:widowControl w:val="0"/>
              <w:autoSpaceDE w:val="0"/>
              <w:autoSpaceDN w:val="0"/>
              <w:spacing w:before="120" w:after="120" w:line="276" w:lineRule="auto"/>
              <w:ind w:firstLine="709"/>
              <w:jc w:val="both"/>
              <w:rPr>
                <w:rFonts w:ascii="Verdana" w:eastAsia="Calibri" w:hAnsi="Verdana" w:cs="Arial"/>
                <w:lang w:val="es-ES" w:eastAsia="es-ES" w:bidi="es-ES"/>
              </w:rPr>
            </w:pPr>
            <w:r w:rsidRPr="0029795D">
              <w:rPr>
                <w:rFonts w:ascii="Verdana" w:eastAsia="Aptos" w:hAnsi="Verdana" w:cs="Times New Roman"/>
              </w:rPr>
              <w:t xml:space="preserve">No ocurre lo mismo para los procesos que deban adelantarse a través del SECOP II, pues en este caso se acude al literal A del numeral 2.3.2 que indica: “[Para los procesos en SECOP II, el Sobre 2 debe presentarse en el cuestionario destinado para ello en el Módulo de “Licitación de Obra Pública” y no podrá ser entregado en físico]”, por lo que en este evento no se aplica la referida causal, tal y como lo dice expresamente la nota aclaratoria.  </w:t>
            </w:r>
            <w:r w:rsidRPr="0029795D">
              <w:rPr>
                <w:rFonts w:ascii="Verdana" w:eastAsia="Calibri" w:hAnsi="Verdana" w:cs="Arial"/>
                <w:lang w:val="es-ES" w:eastAsia="es-ES" w:bidi="es-ES"/>
              </w:rPr>
              <w:t xml:space="preserve">Con todo, corresponde a la entidad estatal estudiar las circunstancias particulares de cada caso para determinar si las mismas confluyen a la configuración de alguno de las circunstancias tipificadas en las causales de rechazo. </w:t>
            </w:r>
          </w:p>
        </w:tc>
      </w:tr>
    </w:tbl>
    <w:p w14:paraId="26A532FA" w14:textId="77777777" w:rsidR="0029795D" w:rsidRPr="0029795D" w:rsidRDefault="0029795D" w:rsidP="0029795D">
      <w:pPr>
        <w:tabs>
          <w:tab w:val="left" w:pos="142"/>
          <w:tab w:val="left" w:pos="284"/>
        </w:tabs>
        <w:spacing w:after="0" w:line="276" w:lineRule="auto"/>
        <w:jc w:val="both"/>
        <w:rPr>
          <w:rFonts w:ascii="Verdana" w:eastAsia="Century Gothic" w:hAnsi="Verdana" w:cs="Century Gothic"/>
          <w:b/>
          <w:bCs/>
          <w:lang w:val="es-ES"/>
        </w:rPr>
      </w:pPr>
    </w:p>
    <w:p w14:paraId="2AA16010" w14:textId="77777777" w:rsidR="0029795D" w:rsidRPr="0029795D" w:rsidRDefault="0029795D" w:rsidP="0029795D">
      <w:pPr>
        <w:tabs>
          <w:tab w:val="left" w:pos="142"/>
          <w:tab w:val="left" w:pos="284"/>
        </w:tabs>
        <w:spacing w:after="0" w:line="276" w:lineRule="auto"/>
        <w:jc w:val="both"/>
        <w:rPr>
          <w:rFonts w:ascii="Verdana" w:eastAsia="Century Gothic" w:hAnsi="Verdana" w:cs="Century Gothic"/>
          <w:b/>
          <w:bCs/>
          <w:lang w:val="es-ES"/>
        </w:rPr>
      </w:pPr>
      <w:r w:rsidRPr="0029795D">
        <w:rPr>
          <w:rFonts w:ascii="Verdana" w:eastAsia="Century Gothic" w:hAnsi="Verdana" w:cs="Century Gothic"/>
          <w:b/>
          <w:bCs/>
          <w:lang w:val="es-ES"/>
        </w:rPr>
        <w:t>3. Razones de la respuesta:</w:t>
      </w:r>
    </w:p>
    <w:p w14:paraId="0BEF04FB" w14:textId="77777777" w:rsidR="0029795D" w:rsidRPr="0029795D" w:rsidRDefault="0029795D" w:rsidP="0029795D">
      <w:pPr>
        <w:spacing w:after="0" w:line="276" w:lineRule="auto"/>
        <w:jc w:val="both"/>
        <w:rPr>
          <w:rFonts w:ascii="Verdana" w:eastAsia="Calibri" w:hAnsi="Verdana" w:cs="Arial"/>
          <w:lang w:val="es-ES"/>
        </w:rPr>
      </w:pPr>
    </w:p>
    <w:p w14:paraId="6B9EC961" w14:textId="77777777" w:rsidR="0029795D" w:rsidRPr="0029795D" w:rsidRDefault="0029795D" w:rsidP="0029795D">
      <w:pPr>
        <w:spacing w:after="0" w:line="276" w:lineRule="auto"/>
        <w:jc w:val="both"/>
        <w:rPr>
          <w:rFonts w:ascii="Verdana" w:eastAsia="Calibri" w:hAnsi="Verdana" w:cs="Arial"/>
          <w:lang w:val="es-ES"/>
        </w:rPr>
      </w:pPr>
      <w:r w:rsidRPr="0029795D">
        <w:rPr>
          <w:rFonts w:ascii="Verdana" w:eastAsia="Calibri" w:hAnsi="Verdana" w:cs="Arial"/>
          <w:lang w:val="es-ES"/>
        </w:rPr>
        <w:t xml:space="preserve">Lo anterior se sustenta en las siguientes consideraciones: </w:t>
      </w:r>
    </w:p>
    <w:p w14:paraId="45A070EB" w14:textId="77777777" w:rsidR="0029795D" w:rsidRPr="0029795D" w:rsidRDefault="0029795D" w:rsidP="0029795D">
      <w:pPr>
        <w:spacing w:after="0" w:line="276" w:lineRule="auto"/>
        <w:jc w:val="both"/>
        <w:rPr>
          <w:rFonts w:ascii="Verdana" w:eastAsia="Calibri" w:hAnsi="Verdana" w:cs="Arial"/>
          <w:lang w:val="es-ES"/>
        </w:rPr>
      </w:pPr>
    </w:p>
    <w:p w14:paraId="3718C9C1" w14:textId="77777777" w:rsidR="0029795D" w:rsidRPr="0029795D" w:rsidRDefault="0029795D" w:rsidP="0029795D">
      <w:pPr>
        <w:widowControl w:val="0"/>
        <w:autoSpaceDE w:val="0"/>
        <w:autoSpaceDN w:val="0"/>
        <w:spacing w:after="120" w:line="276" w:lineRule="auto"/>
        <w:jc w:val="both"/>
        <w:rPr>
          <w:rFonts w:ascii="Verdana" w:eastAsia="Calibri" w:hAnsi="Verdana" w:cs="Times New Roman"/>
          <w:lang w:val="es-ES"/>
        </w:rPr>
      </w:pPr>
      <w:bookmarkStart w:id="1" w:name="_Hlk113022941"/>
      <w:r w:rsidRPr="0029795D">
        <w:rPr>
          <w:rFonts w:ascii="Verdana" w:eastAsia="Calibri" w:hAnsi="Verdana" w:cs="Times New Roman"/>
          <w:lang w:val="es-ES"/>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D00B78C" w14:textId="77777777" w:rsidR="0029795D" w:rsidRPr="0029795D" w:rsidRDefault="0029795D" w:rsidP="0029795D">
      <w:pPr>
        <w:widowControl w:val="0"/>
        <w:autoSpaceDE w:val="0"/>
        <w:autoSpaceDN w:val="0"/>
        <w:spacing w:after="120" w:line="276" w:lineRule="auto"/>
        <w:ind w:firstLine="708"/>
        <w:jc w:val="both"/>
        <w:rPr>
          <w:rFonts w:ascii="Verdana" w:eastAsia="Calibri" w:hAnsi="Verdana" w:cs="Times New Roman"/>
          <w:lang w:val="es-ES"/>
        </w:rPr>
      </w:pPr>
      <w:r w:rsidRPr="0029795D">
        <w:rPr>
          <w:rFonts w:ascii="Verdana" w:eastAsia="Calibri" w:hAnsi="Verdana" w:cs="Times New Roman"/>
          <w:lang w:val="es-ES"/>
        </w:rPr>
        <w:lastRenderedPageBreak/>
        <w:t>Con sustento en esta competencia, esta Agencia expidió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bookmarkEnd w:id="1"/>
    <w:p w14:paraId="2F8E45CF" w14:textId="77777777" w:rsidR="0029795D" w:rsidRPr="0029795D" w:rsidRDefault="0029795D" w:rsidP="0029795D">
      <w:pPr>
        <w:spacing w:after="120"/>
        <w:jc w:val="both"/>
        <w:rPr>
          <w:rFonts w:ascii="Verdana" w:eastAsia="Calibri" w:hAnsi="Verdana" w:cs="Times New Roman"/>
          <w:lang w:val="es-ES"/>
        </w:rPr>
      </w:pPr>
      <w:r w:rsidRPr="0029795D">
        <w:rPr>
          <w:rFonts w:ascii="Verdana" w:eastAsia="Calibri" w:hAnsi="Verdana" w:cs="Times New Roman"/>
          <w:lang w:val="es-ES"/>
        </w:rPr>
        <w:tab/>
        <w:t xml:space="preserve">En el sector de infraestructura de agua potable y saneamiento básico, la Agencia Nacional de Contratación Pública – Colombia Compra Eficiente, mediante la Resolución 248 del 1 de diciembre de 2020, adoptó los documentos tipo para los procesos de licitación pública para obras de infraestructura de agua potable y saneamiento básico. Por su parte, mediante la Resolución 249 del 1 de diciembre de 2025, esta Agencia expidió los documentos tipo para los procesos de licitación pública para obras de infraestructura de agua potable y saneamiento básico en la modalidad de llave en mano. Finalmente, por medio de la Resolución 333 del 27 de julio de 2022, esta Entidad expidió los documentos tipo para los procesos de selección de interventoría de obra pública de infraestructura de agua potable y saneamiento básico que se adelanten por la modalidad de concurso de méritos. </w:t>
      </w:r>
    </w:p>
    <w:p w14:paraId="0018E8C6" w14:textId="77777777" w:rsidR="0029795D" w:rsidRPr="0029795D" w:rsidRDefault="0029795D" w:rsidP="0029795D">
      <w:pPr>
        <w:spacing w:after="120"/>
        <w:ind w:firstLine="708"/>
        <w:jc w:val="both"/>
        <w:rPr>
          <w:rFonts w:ascii="Verdana" w:eastAsia="Calibri" w:hAnsi="Verdana" w:cs="Times New Roman"/>
          <w:lang w:val="es-ES"/>
        </w:rPr>
      </w:pPr>
      <w:r w:rsidRPr="0029795D">
        <w:rPr>
          <w:rFonts w:ascii="Verdana" w:eastAsia="Calibri" w:hAnsi="Verdana" w:cs="Arial"/>
          <w:kern w:val="2"/>
          <w14:ligatures w14:val="standardContextual"/>
        </w:rPr>
        <w:t xml:space="preserve">Los documentos tipo adoptados mediante </w:t>
      </w:r>
      <w:r w:rsidRPr="0029795D">
        <w:rPr>
          <w:rFonts w:ascii="Verdana" w:eastAsia="Arial" w:hAnsi="Verdana" w:cs="Arial"/>
          <w:kern w:val="2"/>
          <w14:ligatures w14:val="standardContextual"/>
        </w:rPr>
        <w:t>la Resolución No. 248 del 1 de diciembre de 2020</w:t>
      </w:r>
      <w:r w:rsidRPr="0029795D">
        <w:rPr>
          <w:rFonts w:ascii="Verdana" w:eastAsia="Calibri" w:hAnsi="Verdana" w:cs="Arial"/>
          <w:kern w:val="2"/>
          <w14:ligatures w14:val="standardContextual"/>
        </w:rPr>
        <w:t xml:space="preserve">, expedida por la Agencia Nacional de Contratación Pública </w:t>
      </w:r>
      <w:r w:rsidRPr="0029795D">
        <w:rPr>
          <w:rFonts w:ascii="Verdana" w:eastAsia="Calibri" w:hAnsi="Verdana" w:cs="Courier New"/>
          <w:kern w:val="2"/>
          <w14:ligatures w14:val="standardContextual"/>
        </w:rPr>
        <w:t>─</w:t>
      </w:r>
      <w:r w:rsidRPr="0029795D">
        <w:rPr>
          <w:rFonts w:ascii="Verdana" w:eastAsia="Calibri" w:hAnsi="Verdana" w:cs="Arial"/>
          <w:kern w:val="2"/>
          <w14:ligatures w14:val="standardContextual"/>
        </w:rPr>
        <w:t xml:space="preserve"> Colombia Compra Eficiente, establecen las condiciones habilitantes, los factores técnicos y económicos de escogencia, y los sistemas de ponderación de carácter obligatorio para las entidades sometidas al Estatuto General de la Contratación Pública, que adelanten procedimientos de selección de licitación de obra pública de infraestructura de agua potable y saneamiento básico.</w:t>
      </w:r>
    </w:p>
    <w:p w14:paraId="56A6ADD9" w14:textId="77777777" w:rsidR="0029795D" w:rsidRPr="0029795D" w:rsidRDefault="0029795D" w:rsidP="0029795D">
      <w:pPr>
        <w:spacing w:after="120" w:line="276" w:lineRule="auto"/>
        <w:ind w:firstLine="709"/>
        <w:jc w:val="both"/>
        <w:rPr>
          <w:rFonts w:ascii="Verdana" w:eastAsia="Calibri" w:hAnsi="Verdana" w:cs="Arial"/>
          <w:kern w:val="2"/>
          <w14:ligatures w14:val="standardContextual"/>
        </w:rPr>
      </w:pPr>
      <w:r w:rsidRPr="0029795D">
        <w:rPr>
          <w:rFonts w:ascii="Verdana" w:eastAsia="Calibri" w:hAnsi="Verdana" w:cs="Arial"/>
          <w:kern w:val="2"/>
          <w14:ligatures w14:val="standardContextual"/>
        </w:rPr>
        <w:t xml:space="preserve">Los documentos tipo para los procesos de licitación de obra pública de infraestructura de agua potable y saneamiento básico, contemplan el “Formulario 1 - Formulario de Presupuesto Oficial”, empleado por la entidad para elaborar y presentar el presupuesto oficial, y mediante el cual el proponente estructura la oferta económica. </w:t>
      </w:r>
    </w:p>
    <w:p w14:paraId="53684755" w14:textId="77777777" w:rsidR="0029795D" w:rsidRPr="0029795D" w:rsidRDefault="0029795D" w:rsidP="0029795D">
      <w:pPr>
        <w:widowControl w:val="0"/>
        <w:autoSpaceDE w:val="0"/>
        <w:autoSpaceDN w:val="0"/>
        <w:spacing w:after="120" w:line="276" w:lineRule="auto"/>
        <w:ind w:firstLine="709"/>
        <w:jc w:val="both"/>
        <w:rPr>
          <w:rFonts w:ascii="Verdana" w:eastAsia="Calibri" w:hAnsi="Verdana" w:cs="Arial"/>
          <w:kern w:val="2"/>
          <w14:ligatures w14:val="standardContextual"/>
        </w:rPr>
      </w:pPr>
      <w:r w:rsidRPr="0029795D">
        <w:rPr>
          <w:rFonts w:ascii="Verdana" w:eastAsia="Calibri" w:hAnsi="Verdana" w:cs="Arial"/>
          <w:kern w:val="2"/>
          <w14:ligatures w14:val="standardContextual"/>
        </w:rPr>
        <w:t xml:space="preserve">Este formulario lo prepara la entidad en la etapa de planeación y le permite definir el valor oficial estimado del proceso de contratación. Por tanto, las entidades estatales para su elaboración deben tener en cuenta diferentes </w:t>
      </w:r>
      <w:r w:rsidRPr="0029795D">
        <w:rPr>
          <w:rFonts w:ascii="Verdana" w:eastAsia="Calibri" w:hAnsi="Verdana" w:cs="Arial"/>
          <w:kern w:val="2"/>
          <w14:ligatures w14:val="standardContextual"/>
        </w:rPr>
        <w:lastRenderedPageBreak/>
        <w:t>variables</w:t>
      </w:r>
      <w:r w:rsidRPr="0029795D">
        <w:rPr>
          <w:rFonts w:ascii="Verdana" w:eastAsia="Calibri" w:hAnsi="Verdana" w:cs="Arial"/>
          <w:kern w:val="2"/>
          <w:vertAlign w:val="superscript"/>
          <w:lang w:val="es-ES"/>
          <w14:ligatures w14:val="standardContextual"/>
        </w:rPr>
        <w:footnoteReference w:id="1"/>
      </w:r>
      <w:r w:rsidRPr="0029795D">
        <w:rPr>
          <w:rFonts w:ascii="Verdana" w:eastAsia="Calibri" w:hAnsi="Verdana" w:cs="Arial"/>
          <w:kern w:val="2"/>
          <w:lang w:val="es-ES"/>
          <w14:ligatures w14:val="standardContextual"/>
        </w:rPr>
        <w:t xml:space="preserve">, </w:t>
      </w:r>
      <w:r w:rsidRPr="0029795D">
        <w:rPr>
          <w:rFonts w:ascii="Verdana" w:eastAsia="Calibri" w:hAnsi="Verdana" w:cs="Arial"/>
          <w:kern w:val="2"/>
          <w14:ligatures w14:val="standardContextual"/>
        </w:rPr>
        <w:t>como el objeto, alcance, obras a ejecutar, actividades, cantidades, particularidades de la zona de ejecución del proyecto, disponibilidad y distancia de fuentes de materiales, entre otros.</w:t>
      </w:r>
    </w:p>
    <w:p w14:paraId="628565C3" w14:textId="77777777" w:rsidR="0029795D" w:rsidRPr="0029795D" w:rsidRDefault="0029795D" w:rsidP="0029795D">
      <w:pPr>
        <w:widowControl w:val="0"/>
        <w:autoSpaceDE w:val="0"/>
        <w:autoSpaceDN w:val="0"/>
        <w:spacing w:after="120" w:line="276" w:lineRule="auto"/>
        <w:ind w:firstLine="708"/>
        <w:jc w:val="both"/>
        <w:rPr>
          <w:rFonts w:ascii="Verdana" w:eastAsia="Calibri" w:hAnsi="Verdana" w:cs="Arial"/>
          <w:kern w:val="2"/>
          <w14:ligatures w14:val="standardContextual"/>
        </w:rPr>
      </w:pPr>
      <w:r w:rsidRPr="0029795D">
        <w:rPr>
          <w:rFonts w:ascii="Verdana" w:eastAsia="Calibri" w:hAnsi="Verdana" w:cs="Arial"/>
          <w:kern w:val="2"/>
          <w14:ligatures w14:val="standardContextual"/>
        </w:rPr>
        <w:t xml:space="preserve">En los documentos tipo para los procesos de licitación de obra pública de infraestructura de agua potable y saneamiento básico el “Formulario 1 – Formulario de Presupuesto Oficial” tiene dos connotaciones: i) por un lado, es el formulario sobre el cual la entidad estructura y presenta el presupuesto oficial del procedimiento de contratación; y </w:t>
      </w:r>
      <w:proofErr w:type="spellStart"/>
      <w:r w:rsidRPr="0029795D">
        <w:rPr>
          <w:rFonts w:ascii="Verdana" w:eastAsia="Calibri" w:hAnsi="Verdana" w:cs="Arial"/>
          <w:kern w:val="2"/>
          <w14:ligatures w14:val="standardContextual"/>
        </w:rPr>
        <w:t>ii</w:t>
      </w:r>
      <w:proofErr w:type="spellEnd"/>
      <w:r w:rsidRPr="0029795D">
        <w:rPr>
          <w:rFonts w:ascii="Verdana" w:eastAsia="Calibri" w:hAnsi="Verdana" w:cs="Arial"/>
          <w:kern w:val="2"/>
          <w14:ligatures w14:val="standardContextual"/>
        </w:rPr>
        <w:t>) por el otro, es el formulario sobre el cual los proponentes elaboran y presentan su oferta económica. Específicamente, frente a la propuesta económica, el documento base señala que la misma se debe elaborar a partir del “Formulario 1– Formulario de Presupuesto Oficial” y la presentación debe hacerse con sujeción a lo dispuesto en los numerales “2.3. ELABORACIÓN Y PRESENTACIÓN DE LA OFERTA” y “4.1. OFERTA ECONÓMICA” del referido documento base.</w:t>
      </w:r>
      <w:r w:rsidRPr="0029795D">
        <w:rPr>
          <w:rFonts w:ascii="Verdana" w:eastAsia="Calibri" w:hAnsi="Verdana" w:cs="Arial"/>
          <w:kern w:val="2"/>
          <w:lang w:val="es-ES"/>
          <w14:ligatures w14:val="standardContextual"/>
        </w:rPr>
        <w:t xml:space="preserve"> </w:t>
      </w:r>
      <w:r w:rsidRPr="0029795D">
        <w:rPr>
          <w:rFonts w:ascii="Verdana" w:eastAsia="Calibri" w:hAnsi="Verdana" w:cs="Arial"/>
          <w:kern w:val="2"/>
          <w14:ligatures w14:val="standardContextual"/>
        </w:rPr>
        <w:t>El propósito de esto es evitar la duplicidad de información y permitir que las propuestas económicas sean evaluadas con las variables, cantidades, unidades de medida y reglas consideradas por la entidad al estructurar su presupuesto oficial.</w:t>
      </w:r>
    </w:p>
    <w:p w14:paraId="329DDA88" w14:textId="77777777" w:rsidR="0029795D" w:rsidRPr="0029795D" w:rsidRDefault="0029795D" w:rsidP="0029795D">
      <w:pPr>
        <w:spacing w:after="200" w:line="276" w:lineRule="auto"/>
        <w:ind w:firstLine="708"/>
        <w:jc w:val="both"/>
        <w:rPr>
          <w:rFonts w:ascii="Verdana" w:eastAsia="Aptos" w:hAnsi="Verdana" w:cs="Arial"/>
          <w:i/>
          <w:iCs/>
          <w:kern w:val="2"/>
          <w14:ligatures w14:val="standardContextual"/>
        </w:rPr>
      </w:pPr>
      <w:r w:rsidRPr="0029795D">
        <w:rPr>
          <w:rFonts w:ascii="Verdana" w:eastAsia="Calibri" w:hAnsi="Verdana" w:cs="Arial"/>
          <w:kern w:val="2"/>
          <w14:ligatures w14:val="standardContextual"/>
        </w:rPr>
        <w:t>En relación con su solicitud, debe indicarse que en el numeral “4.1 OFERTA ECONÓMICA” del documento base de los documentos tipo de licitación de obra pública de infraestructura de agua potable y saneamiento básico, se establecen algunas reglas a las cuales deberán ceñirse los oferentes para la presentación de la oferta económica, entre las que se destaca la siguiente, sobre la cual recae su solicitud:  “</w:t>
      </w:r>
      <w:r w:rsidRPr="0029795D">
        <w:rPr>
          <w:rFonts w:ascii="Verdana" w:eastAsia="Aptos" w:hAnsi="Verdana" w:cs="Arial"/>
          <w:kern w:val="2"/>
          <w14:ligatures w14:val="standardContextual"/>
        </w:rPr>
        <w:t xml:space="preserve">Para calificar este factor se tendrá en cuenta el valor total indicado en la propuesta económica o el obtenido de la corrección aritmética. </w:t>
      </w:r>
      <w:r w:rsidRPr="0029795D">
        <w:rPr>
          <w:rFonts w:ascii="Verdana" w:eastAsia="Aptos" w:hAnsi="Verdana" w:cs="Arial"/>
          <w:i/>
          <w:iCs/>
          <w:kern w:val="2"/>
          <w14:ligatures w14:val="standardContextual"/>
        </w:rPr>
        <w:t xml:space="preserve">La propuesta económica deberá ser allegada en el Sobre No. 2 y firmada” (énfasis fuera del texto original). </w:t>
      </w:r>
    </w:p>
    <w:p w14:paraId="6CD57470" w14:textId="77777777" w:rsidR="0029795D" w:rsidRPr="0029795D" w:rsidRDefault="0029795D" w:rsidP="0029795D">
      <w:pPr>
        <w:spacing w:after="120" w:line="276" w:lineRule="auto"/>
        <w:ind w:firstLine="708"/>
        <w:jc w:val="both"/>
        <w:rPr>
          <w:rFonts w:ascii="Verdana" w:eastAsia="Arial" w:hAnsi="Verdana" w:cs="Arial"/>
          <w:kern w:val="2"/>
          <w:lang w:val="es-ES" w:eastAsia="es-ES" w:bidi="es-ES"/>
          <w14:ligatures w14:val="standardContextual"/>
        </w:rPr>
      </w:pPr>
      <w:r w:rsidRPr="0029795D">
        <w:rPr>
          <w:rFonts w:ascii="Verdana" w:eastAsia="Aptos" w:hAnsi="Verdana" w:cs="Arial"/>
          <w:kern w:val="2"/>
          <w14:ligatures w14:val="standardContextual"/>
        </w:rPr>
        <w:t xml:space="preserve">De esta forma, de acuerdo con el inciso indicado, la propuesta económica deberá presentarse en el Sobre No. 2 y estar firma. Sobre este aspecto -la firma-, el pliego no distingue si la propuesta económica que debe presentarse firmada es la que se entrega por medio del </w:t>
      </w:r>
      <w:proofErr w:type="spellStart"/>
      <w:r w:rsidRPr="0029795D">
        <w:rPr>
          <w:rFonts w:ascii="Verdana" w:eastAsia="Aptos" w:hAnsi="Verdana" w:cs="Arial"/>
          <w:kern w:val="2"/>
          <w14:ligatures w14:val="standardContextual"/>
        </w:rPr>
        <w:t>Secop</w:t>
      </w:r>
      <w:proofErr w:type="spellEnd"/>
      <w:r w:rsidRPr="0029795D">
        <w:rPr>
          <w:rFonts w:ascii="Verdana" w:eastAsia="Aptos" w:hAnsi="Verdana" w:cs="Arial"/>
          <w:kern w:val="2"/>
          <w14:ligatures w14:val="standardContextual"/>
        </w:rPr>
        <w:t xml:space="preserve"> I o </w:t>
      </w:r>
      <w:proofErr w:type="spellStart"/>
      <w:r w:rsidRPr="0029795D">
        <w:rPr>
          <w:rFonts w:ascii="Verdana" w:eastAsia="Aptos" w:hAnsi="Verdana" w:cs="Arial"/>
          <w:kern w:val="2"/>
          <w14:ligatures w14:val="standardContextual"/>
        </w:rPr>
        <w:t>Secop</w:t>
      </w:r>
      <w:proofErr w:type="spellEnd"/>
      <w:r w:rsidRPr="0029795D">
        <w:rPr>
          <w:rFonts w:ascii="Verdana" w:eastAsia="Aptos" w:hAnsi="Verdana" w:cs="Arial"/>
          <w:kern w:val="2"/>
          <w14:ligatures w14:val="standardContextual"/>
        </w:rPr>
        <w:t xml:space="preserve"> II</w:t>
      </w:r>
      <w:bookmarkStart w:id="2" w:name="_Hlk118962283"/>
      <w:r w:rsidRPr="0029795D">
        <w:rPr>
          <w:rFonts w:ascii="Verdana" w:eastAsia="Aptos" w:hAnsi="Verdana" w:cs="Arial"/>
          <w:kern w:val="2"/>
          <w14:ligatures w14:val="standardContextual"/>
        </w:rPr>
        <w:t xml:space="preserve">. Para efectos de determinar cuál de las propuestas es la que debe presentarse firma, resulta pertinente </w:t>
      </w:r>
      <w:r w:rsidRPr="0029795D">
        <w:rPr>
          <w:rFonts w:ascii="Verdana" w:eastAsia="Arial" w:hAnsi="Verdana" w:cs="Arial"/>
          <w:kern w:val="2"/>
          <w:lang w:val="es-ES" w:eastAsia="es-ES" w:bidi="es-ES"/>
          <w14:ligatures w14:val="standardContextual"/>
        </w:rPr>
        <w:t xml:space="preserve">mencionar que la presentación de la oferta debe realizarse, además, conforme a las reglas establecidas en el numeral 2.3 del documento base. </w:t>
      </w:r>
    </w:p>
    <w:p w14:paraId="53E0CF24" w14:textId="77777777" w:rsidR="0029795D" w:rsidRPr="0029795D" w:rsidRDefault="0029795D" w:rsidP="0029795D">
      <w:pPr>
        <w:spacing w:after="120" w:line="276" w:lineRule="auto"/>
        <w:ind w:firstLine="708"/>
        <w:jc w:val="both"/>
        <w:rPr>
          <w:rFonts w:ascii="Verdana" w:eastAsia="Arial" w:hAnsi="Verdana" w:cs="Arial"/>
          <w:kern w:val="2"/>
          <w:lang w:val="es-ES" w:eastAsia="es-ES" w:bidi="es-ES"/>
          <w14:ligatures w14:val="standardContextual"/>
        </w:rPr>
      </w:pPr>
      <w:r w:rsidRPr="0029795D">
        <w:rPr>
          <w:rFonts w:ascii="Verdana" w:eastAsia="Arial" w:hAnsi="Verdana" w:cs="Arial"/>
          <w:kern w:val="2"/>
          <w:lang w:val="es-ES" w:eastAsia="es-ES" w:bidi="es-ES"/>
          <w14:ligatures w14:val="standardContextual"/>
        </w:rPr>
        <w:lastRenderedPageBreak/>
        <w:t xml:space="preserve">En consideración a lo anterior, para la presentación de la oferta económica, debe tenerse en cuenta que el numeral </w:t>
      </w:r>
      <w:r w:rsidRPr="0029795D">
        <w:rPr>
          <w:rFonts w:ascii="Verdana" w:eastAsia="Aptos" w:hAnsi="Verdana" w:cs="Arial"/>
          <w:kern w:val="2"/>
          <w14:ligatures w14:val="standardContextual"/>
        </w:rPr>
        <w:t>“</w:t>
      </w:r>
      <w:r w:rsidRPr="0029795D">
        <w:rPr>
          <w:rFonts w:ascii="Verdana" w:eastAsia="Arial" w:hAnsi="Verdana" w:cs="Arial"/>
          <w:kern w:val="2"/>
          <w:lang w:val="es-ES" w:eastAsia="es-ES" w:bidi="es-ES"/>
          <w14:ligatures w14:val="standardContextual"/>
        </w:rPr>
        <w:t>2.3. Elaboración y presentación de la oferta</w:t>
      </w:r>
      <w:r w:rsidRPr="0029795D">
        <w:rPr>
          <w:rFonts w:ascii="Verdana" w:eastAsia="Aptos" w:hAnsi="Verdana" w:cs="Arial"/>
          <w:kern w:val="2"/>
          <w14:ligatures w14:val="standardContextual"/>
        </w:rPr>
        <w:t>” del documento base estipula las reglas para su presentación de manera física</w:t>
      </w:r>
      <w:r w:rsidRPr="0029795D">
        <w:rPr>
          <w:rFonts w:ascii="Verdana" w:eastAsia="Arial" w:hAnsi="Verdana" w:cs="Arial"/>
          <w:kern w:val="2"/>
          <w:lang w:val="es-ES" w:eastAsia="es-ES" w:bidi="es-ES"/>
          <w14:ligatures w14:val="standardContextual"/>
        </w:rPr>
        <w:t>, en la plataforma de SECOP I y de manera electrónica, a través del SECOP II.</w:t>
      </w:r>
      <w:bookmarkEnd w:id="2"/>
      <w:r w:rsidRPr="0029795D">
        <w:rPr>
          <w:rFonts w:ascii="Verdana" w:eastAsia="Arial" w:hAnsi="Verdana" w:cs="Arial"/>
          <w:kern w:val="2"/>
          <w:lang w:val="es-ES" w:eastAsia="es-ES" w:bidi="es-ES"/>
          <w14:ligatures w14:val="standardContextual"/>
        </w:rPr>
        <w:t xml:space="preserve"> En este orden, los procesos adelantados en SECOP I se reglan por lo establecido en el literal B del numeral 2.3.2 del Documento Base, mientras que</w:t>
      </w:r>
      <w:r w:rsidRPr="0029795D">
        <w:rPr>
          <w:rFonts w:ascii="Verdana" w:eastAsia="Aptos" w:hAnsi="Verdana" w:cs="Times New Roman"/>
          <w:kern w:val="2"/>
          <w14:ligatures w14:val="standardContextual"/>
        </w:rPr>
        <w:t xml:space="preserve"> los adelantados en SECOP II, conforme con lo establecido en el literal A del numeral 2.3.2.  </w:t>
      </w:r>
    </w:p>
    <w:p w14:paraId="72778BFD" w14:textId="77777777" w:rsidR="0029795D" w:rsidRPr="0029795D" w:rsidRDefault="0029795D" w:rsidP="0029795D">
      <w:pPr>
        <w:tabs>
          <w:tab w:val="left" w:pos="709"/>
          <w:tab w:val="left" w:pos="851"/>
        </w:tabs>
        <w:spacing w:after="0" w:line="276" w:lineRule="auto"/>
        <w:ind w:firstLine="709"/>
        <w:jc w:val="both"/>
        <w:rPr>
          <w:rFonts w:ascii="Verdana" w:eastAsia="Arial" w:hAnsi="Verdana" w:cs="Arial"/>
          <w:kern w:val="2"/>
          <w:lang w:val="es-ES" w:eastAsia="es-ES" w:bidi="es-ES"/>
          <w14:ligatures w14:val="standardContextual"/>
        </w:rPr>
      </w:pPr>
      <w:r w:rsidRPr="0029795D">
        <w:rPr>
          <w:rFonts w:ascii="Verdana" w:eastAsia="Arial" w:hAnsi="Verdana" w:cs="Arial"/>
          <w:kern w:val="2"/>
          <w:lang w:val="es-ES" w:eastAsia="es-ES" w:bidi="es-ES"/>
          <w14:ligatures w14:val="standardContextual"/>
        </w:rPr>
        <w:t>Entonces, las reglas establecidas en los numeral 2.3, 2.3.1 y 2.3.2 del Documento Base, con relación a la presentación de la propuesta son alternativas, cuya aplicabilidad dependerá de que la propuesta el proceso de selección se tramite en medio físico –aquellos que deben ser publicados en el SECOP I– o de manera transaccional a través del SECOP II.  Al respecto se destacan las siguientes:</w:t>
      </w:r>
    </w:p>
    <w:p w14:paraId="6F426909" w14:textId="77777777" w:rsidR="0029795D" w:rsidRPr="0029795D" w:rsidRDefault="0029795D" w:rsidP="0029795D">
      <w:pPr>
        <w:spacing w:after="0" w:line="240" w:lineRule="auto"/>
        <w:jc w:val="both"/>
        <w:rPr>
          <w:rFonts w:ascii="Verdana" w:eastAsia="Arial" w:hAnsi="Verdana" w:cs="Arial"/>
          <w:bCs/>
          <w:kern w:val="2"/>
          <w:sz w:val="21"/>
          <w:szCs w:val="21"/>
          <w:lang w:val="es-ES"/>
          <w14:ligatures w14:val="standardContextual"/>
        </w:rPr>
      </w:pPr>
    </w:p>
    <w:p w14:paraId="61C46F7C" w14:textId="77777777" w:rsidR="0029795D" w:rsidRPr="0029795D" w:rsidRDefault="0029795D" w:rsidP="0029795D">
      <w:pPr>
        <w:keepNext/>
        <w:keepLines/>
        <w:numPr>
          <w:ilvl w:val="1"/>
          <w:numId w:val="20"/>
        </w:numPr>
        <w:spacing w:after="0" w:line="240" w:lineRule="auto"/>
        <w:ind w:left="1134" w:right="709" w:hanging="425"/>
        <w:jc w:val="both"/>
        <w:outlineLvl w:val="1"/>
        <w:rPr>
          <w:rFonts w:ascii="Verdana" w:eastAsia="Times New Roman" w:hAnsi="Verdana" w:cs="Arial"/>
          <w:b/>
          <w:caps/>
          <w:color w:val="000000"/>
          <w:kern w:val="2"/>
          <w:sz w:val="21"/>
          <w:szCs w:val="21"/>
          <w14:ligatures w14:val="standardContextual"/>
        </w:rPr>
      </w:pPr>
      <w:bookmarkStart w:id="3" w:name="_Toc107994803"/>
      <w:r w:rsidRPr="0029795D">
        <w:rPr>
          <w:rFonts w:ascii="Verdana" w:eastAsia="Arial" w:hAnsi="Verdana" w:cs="Arial"/>
          <w:b/>
          <w:kern w:val="2"/>
          <w:sz w:val="21"/>
          <w:szCs w:val="21"/>
          <w:lang w:val="es-ES" w:eastAsia="es-ES" w:bidi="es-ES"/>
          <w14:ligatures w14:val="standardContextual"/>
        </w:rPr>
        <w:t>ELABORACIÓN Y PRESENTACIÓN DE LA OFERTA</w:t>
      </w:r>
      <w:bookmarkEnd w:id="3"/>
    </w:p>
    <w:p w14:paraId="47F5D392" w14:textId="77777777" w:rsidR="0029795D" w:rsidRPr="0029795D" w:rsidRDefault="0029795D" w:rsidP="0029795D">
      <w:pPr>
        <w:spacing w:after="120" w:line="240" w:lineRule="auto"/>
        <w:ind w:left="709" w:right="709"/>
        <w:jc w:val="both"/>
        <w:rPr>
          <w:rFonts w:ascii="Verdana" w:eastAsia="Times New Roman" w:hAnsi="Verdana" w:cs="Arial"/>
          <w:kern w:val="2"/>
          <w:sz w:val="21"/>
          <w:szCs w:val="21"/>
          <w:lang w:val="es-ES" w:eastAsia="es-ES"/>
          <w14:ligatures w14:val="standardContextual"/>
        </w:rPr>
      </w:pPr>
      <w:r w:rsidRPr="0029795D">
        <w:rPr>
          <w:rFonts w:ascii="Verdana" w:eastAsia="Calibri" w:hAnsi="Verdana" w:cs="Arial"/>
          <w:kern w:val="2"/>
          <w:sz w:val="21"/>
          <w:szCs w:val="21"/>
          <w14:ligatures w14:val="standardContextual"/>
        </w:rPr>
        <w:t>[</w:t>
      </w:r>
      <w:r w:rsidRPr="0029795D">
        <w:rPr>
          <w:rFonts w:ascii="Verdana" w:eastAsia="Calibri" w:hAnsi="Verdana" w:cs="Arial"/>
          <w:color w:val="000000"/>
          <w:kern w:val="2"/>
          <w:sz w:val="21"/>
          <w:szCs w:val="21"/>
          <w:lang w:val="es-ES_tradnl"/>
          <w14:ligatures w14:val="standardContextual"/>
        </w:rPr>
        <w:t>Para</w:t>
      </w:r>
      <w:r w:rsidRPr="0029795D">
        <w:rPr>
          <w:rFonts w:ascii="Verdana" w:eastAsia="Calibri" w:hAnsi="Verdana" w:cs="Arial"/>
          <w:kern w:val="2"/>
          <w:sz w:val="21"/>
          <w:szCs w:val="21"/>
          <w14:ligatures w14:val="standardContextual"/>
        </w:rPr>
        <w:t xml:space="preserve"> </w:t>
      </w:r>
      <w:r w:rsidRPr="0029795D">
        <w:rPr>
          <w:rFonts w:ascii="Verdana" w:eastAsia="Calibri" w:hAnsi="Verdana" w:cs="Arial"/>
          <w:color w:val="000000"/>
          <w:kern w:val="2"/>
          <w:sz w:val="21"/>
          <w:szCs w:val="21"/>
          <w:highlight w:val="lightGray"/>
          <w:lang w:val="es-ES_tradnl"/>
          <w14:ligatures w14:val="standardContextual"/>
        </w:rPr>
        <w:t>las Entidades que utilicen SECOP II la presentación de la oferta deberá adaptarse a las condiciones de la plataforma y no será posible allegar documentos en físico</w:t>
      </w:r>
      <w:r w:rsidRPr="0029795D">
        <w:rPr>
          <w:rFonts w:ascii="Verdana" w:eastAsia="Calibri" w:hAnsi="Verdana" w:cs="Arial"/>
          <w:color w:val="000000"/>
          <w:kern w:val="2"/>
          <w:sz w:val="21"/>
          <w:szCs w:val="21"/>
          <w:lang w:val="es-ES_tradnl"/>
          <w14:ligatures w14:val="standardContextual"/>
        </w:rPr>
        <w:t>]</w:t>
      </w:r>
      <w:r w:rsidRPr="0029795D">
        <w:rPr>
          <w:rFonts w:ascii="Verdana" w:eastAsia="Times New Roman" w:hAnsi="Verdana" w:cs="Arial"/>
          <w:kern w:val="2"/>
          <w:sz w:val="21"/>
          <w:szCs w:val="21"/>
          <w:lang w:val="es-ES" w:eastAsia="es-ES"/>
          <w14:ligatures w14:val="standardContextual"/>
        </w:rPr>
        <w:t xml:space="preserve"> </w:t>
      </w:r>
    </w:p>
    <w:p w14:paraId="3CC2549E" w14:textId="77777777" w:rsidR="0029795D" w:rsidRPr="0029795D" w:rsidRDefault="0029795D" w:rsidP="0029795D">
      <w:pPr>
        <w:tabs>
          <w:tab w:val="left" w:pos="709"/>
          <w:tab w:val="left" w:pos="851"/>
        </w:tabs>
        <w:spacing w:after="120" w:line="240" w:lineRule="auto"/>
        <w:ind w:leftChars="295" w:left="649" w:right="709"/>
        <w:jc w:val="both"/>
        <w:rPr>
          <w:rFonts w:ascii="Verdana" w:eastAsia="Calibri" w:hAnsi="Verdana" w:cs="Arial"/>
          <w:color w:val="000000"/>
          <w:kern w:val="2"/>
          <w:sz w:val="21"/>
          <w:szCs w:val="21"/>
          <w14:ligatures w14:val="standardContextual"/>
        </w:rPr>
      </w:pPr>
      <w:bookmarkStart w:id="4" w:name="_Hlk117085384"/>
      <w:r w:rsidRPr="0029795D">
        <w:rPr>
          <w:rFonts w:ascii="Verdana" w:eastAsia="Calibri" w:hAnsi="Verdana" w:cs="Arial"/>
          <w:color w:val="000000"/>
          <w:kern w:val="2"/>
          <w:sz w:val="21"/>
          <w:szCs w:val="21"/>
          <w14:ligatures w14:val="standardContextual"/>
        </w:rPr>
        <w:t>(…)</w:t>
      </w:r>
    </w:p>
    <w:p w14:paraId="0634FD4E" w14:textId="77777777" w:rsidR="0029795D" w:rsidRPr="0029795D" w:rsidRDefault="0029795D" w:rsidP="0029795D">
      <w:pPr>
        <w:tabs>
          <w:tab w:val="left" w:pos="709"/>
          <w:tab w:val="left" w:pos="851"/>
        </w:tabs>
        <w:spacing w:after="120" w:line="240" w:lineRule="auto"/>
        <w:ind w:leftChars="295" w:left="649" w:right="709"/>
        <w:jc w:val="both"/>
        <w:rPr>
          <w:rFonts w:ascii="Verdana" w:eastAsia="Arial" w:hAnsi="Verdana" w:cs="Arial"/>
          <w:b/>
          <w:kern w:val="2"/>
          <w:sz w:val="21"/>
          <w:szCs w:val="21"/>
          <w:lang w:val="es-ES" w:eastAsia="es-ES" w:bidi="es-ES"/>
          <w14:ligatures w14:val="standardContextual"/>
        </w:rPr>
      </w:pPr>
      <w:bookmarkStart w:id="5" w:name="_Hlk117088483"/>
      <w:bookmarkEnd w:id="4"/>
      <w:r w:rsidRPr="0029795D">
        <w:rPr>
          <w:rFonts w:ascii="Verdana" w:eastAsia="Arial" w:hAnsi="Verdana" w:cs="Arial"/>
          <w:b/>
          <w:kern w:val="2"/>
          <w:sz w:val="21"/>
          <w:szCs w:val="21"/>
          <w:lang w:val="es-ES" w:eastAsia="es-ES" w:bidi="es-ES"/>
          <w14:ligatures w14:val="standardContextual"/>
        </w:rPr>
        <w:t>2.3.1.</w:t>
      </w:r>
      <w:r w:rsidRPr="0029795D">
        <w:rPr>
          <w:rFonts w:ascii="Verdana" w:eastAsia="Arial" w:hAnsi="Verdana" w:cs="Arial"/>
          <w:b/>
          <w:kern w:val="2"/>
          <w:sz w:val="21"/>
          <w:szCs w:val="21"/>
          <w:lang w:val="es-ES" w:eastAsia="es-ES" w:bidi="es-ES"/>
          <w14:ligatures w14:val="standardContextual"/>
        </w:rPr>
        <w:tab/>
        <w:t>SOBRE NO. 1</w:t>
      </w:r>
    </w:p>
    <w:bookmarkEnd w:id="5"/>
    <w:p w14:paraId="39E64CE3" w14:textId="77777777" w:rsidR="0029795D" w:rsidRPr="0029795D" w:rsidRDefault="0029795D" w:rsidP="0029795D">
      <w:pPr>
        <w:tabs>
          <w:tab w:val="left" w:pos="709"/>
          <w:tab w:val="left" w:pos="851"/>
        </w:tabs>
        <w:spacing w:after="120" w:line="240" w:lineRule="auto"/>
        <w:ind w:leftChars="295" w:left="649" w:right="709"/>
        <w:jc w:val="both"/>
        <w:rPr>
          <w:rFonts w:ascii="Verdana" w:eastAsia="Calibri" w:hAnsi="Verdana" w:cs="Arial"/>
          <w:color w:val="000000"/>
          <w:kern w:val="2"/>
          <w:sz w:val="21"/>
          <w:szCs w:val="21"/>
          <w:lang w:val="es-ES_tradnl"/>
          <w14:ligatures w14:val="standardContextual"/>
        </w:rPr>
      </w:pPr>
      <w:r w:rsidRPr="0029795D">
        <w:rPr>
          <w:rFonts w:ascii="Verdana" w:eastAsia="Calibri" w:hAnsi="Verdana" w:cs="Arial"/>
          <w:color w:val="000000"/>
          <w:kern w:val="2"/>
          <w:sz w:val="21"/>
          <w:szCs w:val="21"/>
          <w:lang w:val="es-ES_tradnl"/>
          <w14:ligatures w14:val="standardContextual"/>
        </w:rPr>
        <w:t xml:space="preserve">Contiene los documentos e información de los requisitos habilitantes y los documentos a los que se les asigne puntajes diferentes a la oferta económica. El Sobre 1 debe tener las siguientes características: </w:t>
      </w:r>
    </w:p>
    <w:p w14:paraId="5320791B" w14:textId="77777777" w:rsidR="0029795D" w:rsidRPr="0029795D" w:rsidRDefault="0029795D" w:rsidP="0029795D">
      <w:pPr>
        <w:numPr>
          <w:ilvl w:val="0"/>
          <w:numId w:val="18"/>
        </w:numPr>
        <w:spacing w:after="120" w:line="240" w:lineRule="auto"/>
        <w:ind w:left="993" w:right="709" w:hanging="284"/>
        <w:contextualSpacing/>
        <w:jc w:val="both"/>
        <w:rPr>
          <w:rFonts w:ascii="Verdana" w:eastAsia="Calibri" w:hAnsi="Verdana" w:cs="Arial"/>
          <w:color w:val="000000"/>
          <w:kern w:val="2"/>
          <w:sz w:val="21"/>
          <w:szCs w:val="21"/>
          <w:lang w:val="es-ES_tradnl"/>
          <w14:ligatures w14:val="standardContextual"/>
        </w:rPr>
      </w:pPr>
      <w:r w:rsidRPr="0029795D">
        <w:rPr>
          <w:rFonts w:ascii="Verdana" w:eastAsia="Calibri" w:hAnsi="Verdana" w:cs="Arial"/>
          <w:color w:val="000000"/>
          <w:kern w:val="2"/>
          <w:sz w:val="21"/>
          <w:szCs w:val="21"/>
          <w:highlight w:val="lightGray"/>
          <w:lang w:val="es-ES_tradnl"/>
          <w14:ligatures w14:val="standardContextual"/>
        </w:rPr>
        <w:t>[Para los procesos adelantados en el SECOP I]</w:t>
      </w:r>
      <w:r w:rsidRPr="0029795D">
        <w:rPr>
          <w:rFonts w:ascii="Verdana" w:eastAsia="Calibri" w:hAnsi="Verdana" w:cs="Arial"/>
          <w:color w:val="000000"/>
          <w:kern w:val="2"/>
          <w:sz w:val="21"/>
          <w:szCs w:val="21"/>
          <w:lang w:val="es-ES_tradnl"/>
          <w14:ligatures w14:val="standardContextual"/>
        </w:rPr>
        <w:t xml:space="preserve"> El proponente debe presentar el Sobre 1 en físico. Sin perjuicio de lo anterior, el proponente podrá presentar el contenido del Sobre 1 en medio magnético u óptico. </w:t>
      </w:r>
      <w:r w:rsidRPr="0029795D">
        <w:rPr>
          <w:rFonts w:ascii="Verdana" w:eastAsia="Calibri" w:hAnsi="Verdana" w:cs="Arial"/>
          <w:color w:val="000000"/>
          <w:kern w:val="2"/>
          <w:sz w:val="21"/>
          <w:szCs w:val="21"/>
          <w:highlight w:val="lightGray"/>
          <w:lang w:val="es-ES_tradnl"/>
          <w14:ligatures w14:val="standardContextual"/>
        </w:rPr>
        <w:t>[Para los procesos en SECOP II, el Sobre 1 debe presentarse en el cuestionario destinado para ello en el Módulo de “Licitación de Obra Pública” y no podrá ser entregado en físico]</w:t>
      </w:r>
      <w:r w:rsidRPr="0029795D">
        <w:rPr>
          <w:rFonts w:ascii="Verdana" w:eastAsia="Calibri" w:hAnsi="Verdana" w:cs="Arial"/>
          <w:color w:val="000000"/>
          <w:kern w:val="2"/>
          <w:sz w:val="21"/>
          <w:szCs w:val="21"/>
          <w:lang w:val="es-ES_tradnl"/>
          <w14:ligatures w14:val="standardContextual"/>
        </w:rPr>
        <w:t>.</w:t>
      </w:r>
    </w:p>
    <w:p w14:paraId="1FD2D614" w14:textId="77777777" w:rsidR="0029795D" w:rsidRPr="0029795D" w:rsidRDefault="0029795D" w:rsidP="0029795D">
      <w:pPr>
        <w:tabs>
          <w:tab w:val="left" w:pos="709"/>
          <w:tab w:val="left" w:pos="851"/>
        </w:tabs>
        <w:spacing w:after="120" w:line="240" w:lineRule="auto"/>
        <w:ind w:left="709" w:right="709"/>
        <w:contextualSpacing/>
        <w:jc w:val="both"/>
        <w:rPr>
          <w:rFonts w:ascii="Verdana" w:eastAsia="Calibri" w:hAnsi="Verdana" w:cs="Arial"/>
          <w:color w:val="000000"/>
          <w:kern w:val="2"/>
          <w:sz w:val="21"/>
          <w:szCs w:val="21"/>
          <w:lang w:val="es-ES_tradnl"/>
          <w14:ligatures w14:val="standardContextual"/>
        </w:rPr>
      </w:pPr>
    </w:p>
    <w:p w14:paraId="766B8BDD" w14:textId="77777777" w:rsidR="0029795D" w:rsidRPr="0029795D" w:rsidRDefault="0029795D" w:rsidP="0029795D">
      <w:pPr>
        <w:numPr>
          <w:ilvl w:val="0"/>
          <w:numId w:val="18"/>
        </w:numPr>
        <w:spacing w:after="120" w:line="240" w:lineRule="auto"/>
        <w:ind w:left="993" w:right="709" w:hanging="284"/>
        <w:contextualSpacing/>
        <w:jc w:val="both"/>
        <w:rPr>
          <w:rFonts w:ascii="Verdana" w:eastAsia="Calibri" w:hAnsi="Verdana" w:cs="Arial"/>
          <w:color w:val="000000"/>
          <w:kern w:val="2"/>
          <w:sz w:val="21"/>
          <w:szCs w:val="21"/>
          <w:lang w:val="es-ES_tradnl"/>
          <w14:ligatures w14:val="standardContextual"/>
        </w:rPr>
      </w:pPr>
      <w:r w:rsidRPr="0029795D">
        <w:rPr>
          <w:rFonts w:ascii="Verdana" w:eastAsia="Calibri" w:hAnsi="Verdana" w:cs="Arial"/>
          <w:color w:val="000000"/>
          <w:kern w:val="2"/>
          <w:sz w:val="21"/>
          <w:szCs w:val="21"/>
          <w:highlight w:val="lightGray"/>
          <w:lang w:val="es-ES_tradnl"/>
          <w14:ligatures w14:val="standardContextual"/>
        </w:rPr>
        <w:t>[Para los procesos adelantados en el SECOP I]</w:t>
      </w:r>
      <w:r w:rsidRPr="0029795D">
        <w:rPr>
          <w:rFonts w:ascii="Verdana" w:eastAsia="Calibri" w:hAnsi="Verdana" w:cs="Arial"/>
          <w:color w:val="000000"/>
          <w:kern w:val="2"/>
          <w:sz w:val="21"/>
          <w:szCs w:val="21"/>
          <w:lang w:val="es-ES_tradnl"/>
          <w14:ligatures w14:val="standardContextual"/>
        </w:rPr>
        <w:t xml:space="preserve"> La información en físico y en medio magnético debe ser idéntica. En caso de presentarse discrepancias entre la información consignada en medio físico y la información incluida en el medio magnético prevalecerá la información entregada físicamente.</w:t>
      </w:r>
    </w:p>
    <w:p w14:paraId="16E18BE2" w14:textId="77777777" w:rsidR="0029795D" w:rsidRPr="0029795D" w:rsidRDefault="0029795D" w:rsidP="0029795D">
      <w:pPr>
        <w:tabs>
          <w:tab w:val="left" w:pos="709"/>
          <w:tab w:val="left" w:pos="851"/>
        </w:tabs>
        <w:spacing w:after="120" w:line="240" w:lineRule="auto"/>
        <w:ind w:leftChars="354" w:left="922" w:right="709" w:hanging="143"/>
        <w:jc w:val="both"/>
        <w:rPr>
          <w:rFonts w:ascii="Verdana" w:eastAsia="Calibri" w:hAnsi="Verdana" w:cs="Arial"/>
          <w:color w:val="000000"/>
          <w:kern w:val="2"/>
          <w:sz w:val="21"/>
          <w:szCs w:val="21"/>
          <w14:ligatures w14:val="standardContextual"/>
        </w:rPr>
      </w:pPr>
      <w:r w:rsidRPr="0029795D">
        <w:rPr>
          <w:rFonts w:ascii="Verdana" w:eastAsia="Calibri" w:hAnsi="Verdana" w:cs="Arial"/>
          <w:color w:val="000000"/>
          <w:kern w:val="2"/>
          <w:sz w:val="21"/>
          <w:szCs w:val="21"/>
          <w14:ligatures w14:val="standardContextual"/>
        </w:rPr>
        <w:tab/>
      </w:r>
      <w:r w:rsidRPr="0029795D">
        <w:rPr>
          <w:rFonts w:ascii="Verdana" w:eastAsia="Calibri" w:hAnsi="Verdana" w:cs="Arial"/>
          <w:color w:val="000000"/>
          <w:kern w:val="2"/>
          <w:sz w:val="21"/>
          <w:szCs w:val="21"/>
          <w14:ligatures w14:val="standardContextual"/>
        </w:rPr>
        <w:tab/>
        <w:t>(…)</w:t>
      </w:r>
    </w:p>
    <w:p w14:paraId="65C01479" w14:textId="77777777" w:rsidR="0029795D" w:rsidRPr="0029795D" w:rsidRDefault="0029795D" w:rsidP="0029795D">
      <w:pPr>
        <w:keepNext/>
        <w:keepLines/>
        <w:numPr>
          <w:ilvl w:val="2"/>
          <w:numId w:val="19"/>
        </w:numPr>
        <w:spacing w:after="120" w:line="240" w:lineRule="auto"/>
        <w:ind w:left="993" w:right="709" w:hanging="284"/>
        <w:jc w:val="both"/>
        <w:outlineLvl w:val="2"/>
        <w:rPr>
          <w:rFonts w:ascii="Verdana" w:eastAsia="Arial" w:hAnsi="Verdana" w:cs="Arial"/>
          <w:b/>
          <w:kern w:val="2"/>
          <w:sz w:val="21"/>
          <w:szCs w:val="21"/>
          <w:lang w:val="es-ES" w:eastAsia="es-ES" w:bidi="es-ES"/>
          <w14:ligatures w14:val="standardContextual"/>
        </w:rPr>
      </w:pPr>
      <w:bookmarkStart w:id="6" w:name="_Toc107994805"/>
      <w:r w:rsidRPr="0029795D">
        <w:rPr>
          <w:rFonts w:ascii="Verdana" w:eastAsia="Arial" w:hAnsi="Verdana" w:cs="Arial"/>
          <w:b/>
          <w:kern w:val="2"/>
          <w:sz w:val="21"/>
          <w:szCs w:val="21"/>
          <w:lang w:val="es-ES" w:eastAsia="es-ES" w:bidi="es-ES"/>
          <w14:ligatures w14:val="standardContextual"/>
        </w:rPr>
        <w:lastRenderedPageBreak/>
        <w:t>SOBRE No. 2</w:t>
      </w:r>
      <w:bookmarkEnd w:id="6"/>
    </w:p>
    <w:p w14:paraId="14DE48B7" w14:textId="77777777" w:rsidR="0029795D" w:rsidRPr="0029795D" w:rsidRDefault="0029795D" w:rsidP="0029795D">
      <w:pPr>
        <w:spacing w:after="120" w:line="240" w:lineRule="auto"/>
        <w:ind w:left="709" w:right="709"/>
        <w:jc w:val="both"/>
        <w:rPr>
          <w:rFonts w:ascii="Verdana" w:eastAsia="Calibri" w:hAnsi="Verdana" w:cs="Arial"/>
          <w:color w:val="000000"/>
          <w:kern w:val="2"/>
          <w:sz w:val="21"/>
          <w:szCs w:val="21"/>
          <w:lang w:val="es-ES_tradnl"/>
          <w14:ligatures w14:val="standardContextual"/>
        </w:rPr>
      </w:pPr>
      <w:r w:rsidRPr="0029795D">
        <w:rPr>
          <w:rFonts w:ascii="Verdana" w:eastAsia="Calibri" w:hAnsi="Verdana" w:cs="Arial"/>
          <w:color w:val="000000"/>
          <w:kern w:val="2"/>
          <w:sz w:val="21"/>
          <w:szCs w:val="21"/>
          <w:lang w:val="es-ES_tradnl"/>
          <w14:ligatures w14:val="standardContextual"/>
        </w:rPr>
        <w:t xml:space="preserve">Contiene únicamente la oferta económica del proponente y debe tener las siguientes características: </w:t>
      </w:r>
    </w:p>
    <w:p w14:paraId="2E985765" w14:textId="77777777" w:rsidR="0029795D" w:rsidRPr="0029795D" w:rsidRDefault="0029795D" w:rsidP="0029795D">
      <w:pPr>
        <w:numPr>
          <w:ilvl w:val="0"/>
          <w:numId w:val="21"/>
        </w:numPr>
        <w:spacing w:after="120" w:line="240" w:lineRule="auto"/>
        <w:ind w:right="709"/>
        <w:contextualSpacing/>
        <w:jc w:val="both"/>
        <w:rPr>
          <w:rFonts w:ascii="Verdana" w:eastAsia="Calibri" w:hAnsi="Verdana" w:cs="Arial"/>
          <w:color w:val="000000"/>
          <w:kern w:val="2"/>
          <w:sz w:val="21"/>
          <w:szCs w:val="21"/>
          <w:lang w:val="es-ES_tradnl"/>
          <w14:ligatures w14:val="standardContextual"/>
        </w:rPr>
      </w:pPr>
      <w:r w:rsidRPr="0029795D">
        <w:rPr>
          <w:rFonts w:ascii="Verdana" w:eastAsia="Calibri" w:hAnsi="Verdana" w:cs="Arial"/>
          <w:color w:val="000000"/>
          <w:kern w:val="2"/>
          <w:sz w:val="21"/>
          <w:szCs w:val="21"/>
          <w:highlight w:val="lightGray"/>
          <w:lang w:val="es-ES_tradnl"/>
          <w14:ligatures w14:val="standardContextual"/>
        </w:rPr>
        <w:t>[Para los procesos adelantados en el SECOP I]</w:t>
      </w:r>
      <w:r w:rsidRPr="0029795D">
        <w:rPr>
          <w:rFonts w:ascii="Verdana" w:eastAsia="Calibri" w:hAnsi="Verdana" w:cs="Arial"/>
          <w:color w:val="000000"/>
          <w:kern w:val="2"/>
          <w:sz w:val="21"/>
          <w:szCs w:val="21"/>
          <w:lang w:val="es-ES_tradnl"/>
          <w14:ligatures w14:val="standardContextual"/>
        </w:rPr>
        <w:t xml:space="preserve"> El proponente debe presentar el Sobre 2 en físico. Sin perjuicio de lo anterior, el proponente podrá presentar el contenido del sobre 2 en medio magnético u óptico debidamente sellado. El medio magnético u óptico que contiene la información de la oferta económica debe ser distinto al que contiene la información del Sobre 1. [Para los procesos en SECOP II, el Sobre 2 debe presentarse en el cuestionario destinado para ello en el Módulo de “Licitación de Obra Pública” y no podrá ser entregado en físico].</w:t>
      </w:r>
    </w:p>
    <w:p w14:paraId="255D7909" w14:textId="77777777" w:rsidR="0029795D" w:rsidRPr="0029795D" w:rsidRDefault="0029795D" w:rsidP="0029795D">
      <w:pPr>
        <w:spacing w:after="120" w:line="240" w:lineRule="auto"/>
        <w:ind w:left="709" w:right="709"/>
        <w:contextualSpacing/>
        <w:jc w:val="both"/>
        <w:rPr>
          <w:rFonts w:ascii="Verdana" w:eastAsia="Calibri" w:hAnsi="Verdana" w:cs="Arial"/>
          <w:color w:val="000000"/>
          <w:kern w:val="2"/>
          <w:sz w:val="21"/>
          <w:szCs w:val="21"/>
          <w:lang w:val="es-ES_tradnl"/>
          <w14:ligatures w14:val="standardContextual"/>
        </w:rPr>
      </w:pPr>
    </w:p>
    <w:p w14:paraId="0DF922B8" w14:textId="77777777" w:rsidR="0029795D" w:rsidRPr="0029795D" w:rsidRDefault="0029795D" w:rsidP="0029795D">
      <w:pPr>
        <w:numPr>
          <w:ilvl w:val="0"/>
          <w:numId w:val="21"/>
        </w:numPr>
        <w:spacing w:after="120" w:line="240" w:lineRule="auto"/>
        <w:ind w:right="709"/>
        <w:contextualSpacing/>
        <w:jc w:val="both"/>
        <w:rPr>
          <w:rFonts w:ascii="Verdana" w:eastAsia="Calibri" w:hAnsi="Verdana" w:cs="Arial"/>
          <w:color w:val="000000"/>
          <w:kern w:val="2"/>
          <w:sz w:val="21"/>
          <w:szCs w:val="21"/>
          <w:lang w:val="es-ES_tradnl"/>
          <w14:ligatures w14:val="standardContextual"/>
        </w:rPr>
      </w:pPr>
      <w:r w:rsidRPr="0029795D">
        <w:rPr>
          <w:rFonts w:ascii="Verdana" w:eastAsia="Calibri" w:hAnsi="Verdana" w:cs="Arial"/>
          <w:color w:val="000000"/>
          <w:kern w:val="2"/>
          <w:sz w:val="21"/>
          <w:szCs w:val="21"/>
          <w:highlight w:val="lightGray"/>
          <w:lang w:val="es-ES_tradnl"/>
          <w14:ligatures w14:val="standardContextual"/>
        </w:rPr>
        <w:t>[Para los procesos adelantados en el SECOP I]</w:t>
      </w:r>
      <w:r w:rsidRPr="0029795D">
        <w:rPr>
          <w:rFonts w:ascii="Verdana" w:eastAsia="Calibri" w:hAnsi="Verdana" w:cs="Arial"/>
          <w:color w:val="000000"/>
          <w:kern w:val="2"/>
          <w:sz w:val="21"/>
          <w:szCs w:val="21"/>
          <w:lang w:val="es-ES_tradnl"/>
          <w14:ligatures w14:val="standardContextual"/>
        </w:rPr>
        <w:t xml:space="preserve"> Debe incluir la propuesta económica debidamente diligenciada, de conformidad con todos y cada uno de los ítems exigidos y relacionados en el Formulario 1 – Formulario de Presupuesto Oficial. </w:t>
      </w:r>
    </w:p>
    <w:p w14:paraId="29B59528" w14:textId="77777777" w:rsidR="0029795D" w:rsidRPr="0029795D" w:rsidRDefault="0029795D" w:rsidP="0029795D">
      <w:pPr>
        <w:spacing w:after="120" w:line="240" w:lineRule="auto"/>
        <w:ind w:left="709" w:right="709"/>
        <w:contextualSpacing/>
        <w:jc w:val="both"/>
        <w:rPr>
          <w:rFonts w:ascii="Verdana" w:eastAsia="Calibri" w:hAnsi="Verdana" w:cs="Arial"/>
          <w:color w:val="000000"/>
          <w:kern w:val="2"/>
          <w:sz w:val="21"/>
          <w:szCs w:val="21"/>
          <w:lang w:val="es-ES_tradnl"/>
          <w14:ligatures w14:val="standardContextual"/>
        </w:rPr>
      </w:pPr>
    </w:p>
    <w:p w14:paraId="3627EEBB" w14:textId="77777777" w:rsidR="0029795D" w:rsidRPr="0029795D" w:rsidRDefault="0029795D" w:rsidP="0029795D">
      <w:pPr>
        <w:numPr>
          <w:ilvl w:val="0"/>
          <w:numId w:val="21"/>
        </w:numPr>
        <w:spacing w:after="120" w:line="240" w:lineRule="auto"/>
        <w:ind w:right="709"/>
        <w:contextualSpacing/>
        <w:jc w:val="both"/>
        <w:rPr>
          <w:rFonts w:ascii="Verdana" w:eastAsia="Calibri" w:hAnsi="Verdana" w:cs="Arial"/>
          <w:color w:val="000000"/>
          <w:kern w:val="2"/>
          <w:sz w:val="21"/>
          <w:szCs w:val="21"/>
          <w:lang w:val="es-ES_tradnl"/>
          <w14:ligatures w14:val="standardContextual"/>
        </w:rPr>
      </w:pPr>
      <w:r w:rsidRPr="0029795D">
        <w:rPr>
          <w:rFonts w:ascii="Verdana" w:eastAsia="Calibri" w:hAnsi="Verdana" w:cs="Arial"/>
          <w:color w:val="000000"/>
          <w:kern w:val="2"/>
          <w:sz w:val="21"/>
          <w:szCs w:val="21"/>
          <w:highlight w:val="lightGray"/>
          <w:lang w:val="es-ES_tradnl"/>
          <w14:ligatures w14:val="standardContextual"/>
        </w:rPr>
        <w:t>[Para los procesos adelantados en el SECOP I]</w:t>
      </w:r>
      <w:r w:rsidRPr="0029795D">
        <w:rPr>
          <w:rFonts w:ascii="Verdana" w:eastAsia="Calibri" w:hAnsi="Verdana" w:cs="Arial"/>
          <w:color w:val="000000"/>
          <w:kern w:val="2"/>
          <w:sz w:val="21"/>
          <w:szCs w:val="21"/>
          <w:lang w:val="es-ES_tradnl"/>
          <w14:ligatures w14:val="standardContextual"/>
        </w:rPr>
        <w:t xml:space="preserve"> La información en físico y en medio magnético u óptico debe ser idéntica. En caso de presentarse discrepancias entre la información consignada en medio físico y la información incluida en el medio magnético, prevalecerá la información consignada físicamente.</w:t>
      </w:r>
    </w:p>
    <w:p w14:paraId="34FE558D" w14:textId="77777777" w:rsidR="0029795D" w:rsidRPr="0029795D" w:rsidRDefault="0029795D" w:rsidP="0029795D">
      <w:pPr>
        <w:spacing w:after="120" w:line="240" w:lineRule="auto"/>
        <w:ind w:left="709" w:right="709"/>
        <w:contextualSpacing/>
        <w:jc w:val="both"/>
        <w:rPr>
          <w:rFonts w:ascii="Verdana" w:eastAsia="Calibri" w:hAnsi="Verdana" w:cs="Arial"/>
          <w:color w:val="000000"/>
          <w:kern w:val="2"/>
          <w:sz w:val="21"/>
          <w:szCs w:val="21"/>
          <w:lang w:val="es-ES_tradnl"/>
          <w14:ligatures w14:val="standardContextual"/>
        </w:rPr>
      </w:pPr>
    </w:p>
    <w:p w14:paraId="1C24BEFE" w14:textId="77777777" w:rsidR="0029795D" w:rsidRPr="0029795D" w:rsidRDefault="0029795D" w:rsidP="0029795D">
      <w:pPr>
        <w:numPr>
          <w:ilvl w:val="0"/>
          <w:numId w:val="21"/>
        </w:numPr>
        <w:spacing w:after="120" w:line="240" w:lineRule="auto"/>
        <w:ind w:right="709"/>
        <w:contextualSpacing/>
        <w:jc w:val="both"/>
        <w:rPr>
          <w:rFonts w:ascii="Verdana" w:eastAsia="Calibri" w:hAnsi="Verdana" w:cs="Arial"/>
          <w:color w:val="000000"/>
          <w:kern w:val="2"/>
          <w:sz w:val="21"/>
          <w:szCs w:val="21"/>
          <w:lang w:val="es-ES_tradnl"/>
          <w14:ligatures w14:val="standardContextual"/>
        </w:rPr>
      </w:pPr>
      <w:r w:rsidRPr="0029795D">
        <w:rPr>
          <w:rFonts w:ascii="Verdana" w:eastAsia="Calibri" w:hAnsi="Verdana" w:cs="Arial"/>
          <w:color w:val="000000"/>
          <w:kern w:val="2"/>
          <w:sz w:val="21"/>
          <w:szCs w:val="21"/>
          <w:highlight w:val="lightGray"/>
          <w:lang w:val="es-ES_tradnl"/>
          <w14:ligatures w14:val="standardContextual"/>
        </w:rPr>
        <w:t>[Para los procesos adelantados en el SECOP I]</w:t>
      </w:r>
      <w:r w:rsidRPr="0029795D">
        <w:rPr>
          <w:rFonts w:ascii="Verdana" w:eastAsia="Calibri" w:hAnsi="Verdana" w:cs="Arial"/>
          <w:color w:val="000000"/>
          <w:kern w:val="2"/>
          <w:sz w:val="21"/>
          <w:szCs w:val="21"/>
          <w:lang w:val="es-ES_tradnl"/>
          <w14:ligatures w14:val="standardContextual"/>
        </w:rPr>
        <w:t xml:space="preserve"> La propuesta debe presentarse firmada”. </w:t>
      </w:r>
    </w:p>
    <w:p w14:paraId="48BFD5AA" w14:textId="77777777" w:rsidR="0029795D" w:rsidRPr="0029795D" w:rsidRDefault="0029795D" w:rsidP="0029795D">
      <w:pPr>
        <w:spacing w:after="0" w:line="276" w:lineRule="auto"/>
        <w:ind w:right="709"/>
        <w:contextualSpacing/>
        <w:jc w:val="both"/>
        <w:rPr>
          <w:rFonts w:ascii="Verdana" w:eastAsia="Calibri" w:hAnsi="Verdana" w:cs="Arial"/>
          <w:kern w:val="2"/>
          <w14:ligatures w14:val="standardContextual"/>
        </w:rPr>
      </w:pPr>
    </w:p>
    <w:p w14:paraId="0274A7DD" w14:textId="77777777" w:rsidR="0029795D" w:rsidRPr="0029795D" w:rsidRDefault="0029795D" w:rsidP="0029795D">
      <w:pPr>
        <w:tabs>
          <w:tab w:val="left" w:pos="709"/>
          <w:tab w:val="left" w:pos="851"/>
        </w:tabs>
        <w:spacing w:after="0" w:line="276" w:lineRule="auto"/>
        <w:ind w:firstLine="709"/>
        <w:jc w:val="both"/>
        <w:rPr>
          <w:rFonts w:ascii="Verdana" w:eastAsia="Arial" w:hAnsi="Verdana" w:cs="Arial"/>
          <w:kern w:val="2"/>
          <w:lang w:val="es-ES" w:eastAsia="es-ES" w:bidi="es-ES"/>
          <w14:ligatures w14:val="standardContextual"/>
        </w:rPr>
      </w:pPr>
      <w:r w:rsidRPr="0029795D">
        <w:rPr>
          <w:rFonts w:ascii="Verdana" w:eastAsia="Arial" w:hAnsi="Verdana" w:cs="Arial"/>
          <w:kern w:val="2"/>
          <w:lang w:val="es-ES" w:eastAsia="es-ES" w:bidi="es-ES"/>
          <w14:ligatures w14:val="standardContextual"/>
        </w:rPr>
        <w:t>Según se desprende de estas reglas, tratándose de los procesos de contratación realizados a través del SECOP II, la propuesta económica debe presentarse haciendo uso del cuestionario destinado para ello en la plataforma. Este cuestionario se debe diligenciar a través de la lista de precios, previamente configurada por la Entidad Estatal y anexando, en caso de que así sea solicitado, las evidencias documentales de la misma – ya sea el Formulario 1 u otro documento–. Esto significa que en estos procesos el valor de la oferta económica debe ser diligenciado en el referido cuestionario, al ser este el medio destinado para la presentación de la oferta económica al interior de la plataforma, sin que se requiera la presentación de un documento físico firmado y sin perjuicio de que la Entidad Estatal solicite anexar el soporte documental de la información incluida en el cuestionario de lista de precios.</w:t>
      </w:r>
    </w:p>
    <w:p w14:paraId="5058793D" w14:textId="77777777" w:rsidR="0029795D" w:rsidRPr="0029795D" w:rsidRDefault="0029795D" w:rsidP="0029795D">
      <w:pPr>
        <w:widowControl w:val="0"/>
        <w:autoSpaceDE w:val="0"/>
        <w:autoSpaceDN w:val="0"/>
        <w:spacing w:before="120" w:line="276" w:lineRule="auto"/>
        <w:ind w:firstLine="709"/>
        <w:jc w:val="both"/>
        <w:rPr>
          <w:rFonts w:ascii="Verdana" w:eastAsia="Arial" w:hAnsi="Verdana" w:cs="Arial"/>
          <w:kern w:val="2"/>
          <w:lang w:val="es-ES" w:eastAsia="es-ES" w:bidi="es-ES"/>
          <w14:ligatures w14:val="standardContextual"/>
        </w:rPr>
      </w:pPr>
      <w:r w:rsidRPr="0029795D">
        <w:rPr>
          <w:rFonts w:ascii="Verdana" w:eastAsia="Arial" w:hAnsi="Verdana" w:cs="Arial"/>
          <w:kern w:val="2"/>
          <w:lang w:val="es-ES" w:eastAsia="es-ES" w:bidi="es-ES"/>
          <w14:ligatures w14:val="standardContextual"/>
        </w:rPr>
        <w:t xml:space="preserve">En ese sentido, en este tipo de procedimientos no se requiere que se </w:t>
      </w:r>
      <w:r w:rsidRPr="0029795D">
        <w:rPr>
          <w:rFonts w:ascii="Verdana" w:eastAsia="Arial" w:hAnsi="Verdana" w:cs="Arial"/>
          <w:kern w:val="2"/>
          <w:lang w:val="es-ES" w:eastAsia="es-ES" w:bidi="es-ES"/>
          <w14:ligatures w14:val="standardContextual"/>
        </w:rPr>
        <w:lastRenderedPageBreak/>
        <w:t xml:space="preserve">presente oferta económica firmada en sobre físico –comoquiera que la conformación del sobre se hace de manera electrónica a partir de la información diligenciada en el cuestionario de lista de precios–. Este requisito sólo es exigible si el procedimiento se realiza a través del SECOP I. </w:t>
      </w:r>
    </w:p>
    <w:p w14:paraId="6D2FFC97" w14:textId="77777777" w:rsidR="0029795D" w:rsidRPr="0029795D" w:rsidRDefault="0029795D" w:rsidP="0029795D">
      <w:pPr>
        <w:spacing w:after="0" w:line="278" w:lineRule="auto"/>
        <w:jc w:val="both"/>
        <w:rPr>
          <w:rFonts w:ascii="Verdana" w:eastAsia="Calibri" w:hAnsi="Verdana" w:cs="Arial"/>
          <w:kern w:val="2"/>
          <w14:ligatures w14:val="standardContextual"/>
        </w:rPr>
      </w:pPr>
      <w:proofErr w:type="spellStart"/>
      <w:r w:rsidRPr="0029795D">
        <w:rPr>
          <w:rFonts w:ascii="Verdana" w:eastAsia="Calibri" w:hAnsi="Verdana" w:cs="Arial"/>
          <w:bCs/>
          <w:kern w:val="2"/>
          <w14:ligatures w14:val="standardContextual"/>
        </w:rPr>
        <w:t>ii</w:t>
      </w:r>
      <w:proofErr w:type="spellEnd"/>
      <w:r w:rsidRPr="0029795D">
        <w:rPr>
          <w:rFonts w:ascii="Verdana" w:eastAsia="Calibri" w:hAnsi="Verdana" w:cs="Arial"/>
          <w:bCs/>
          <w:kern w:val="2"/>
          <w14:ligatures w14:val="standardContextual"/>
        </w:rPr>
        <w:t xml:space="preserve">) </w:t>
      </w:r>
      <w:bookmarkStart w:id="7" w:name="_Hlk118970363"/>
      <w:bookmarkStart w:id="8" w:name="_Hlk35001393"/>
      <w:r w:rsidRPr="0029795D">
        <w:rPr>
          <w:rFonts w:ascii="Verdana" w:eastAsia="Calibri" w:hAnsi="Verdana" w:cs="Arial"/>
          <w:kern w:val="2"/>
          <w14:ligatures w14:val="standardContextual"/>
        </w:rPr>
        <w:t>Las causales de rechazo son las establecidas en la Ley y las fijadas por la entidad estatal en los pliegos de condiciones. Sin embargo, en ejercicio de dicha facultad a las entidades no le es dable fijar causales de rechazo que soslayen o afecten la selección objetiva en la contratación. Sobre el particular, el Consejo de Estado señala:</w:t>
      </w:r>
    </w:p>
    <w:p w14:paraId="64FA1F1F" w14:textId="77777777" w:rsidR="0029795D" w:rsidRPr="0029795D" w:rsidRDefault="0029795D" w:rsidP="0029795D">
      <w:pPr>
        <w:tabs>
          <w:tab w:val="left" w:pos="709"/>
        </w:tabs>
        <w:spacing w:after="0" w:line="276" w:lineRule="auto"/>
        <w:ind w:firstLine="709"/>
        <w:jc w:val="both"/>
        <w:rPr>
          <w:rFonts w:ascii="Verdana" w:eastAsia="Calibri" w:hAnsi="Verdana" w:cs="Arial"/>
          <w:kern w:val="2"/>
          <w14:ligatures w14:val="standardContextual"/>
        </w:rPr>
      </w:pPr>
    </w:p>
    <w:p w14:paraId="6A88C240" w14:textId="77777777" w:rsidR="0029795D" w:rsidRPr="0029795D" w:rsidRDefault="0029795D" w:rsidP="0029795D">
      <w:pPr>
        <w:tabs>
          <w:tab w:val="left" w:pos="709"/>
        </w:tabs>
        <w:spacing w:after="0" w:line="240" w:lineRule="auto"/>
        <w:ind w:left="709" w:right="709"/>
        <w:jc w:val="both"/>
        <w:rPr>
          <w:rFonts w:ascii="Verdana" w:eastAsia="Calibri" w:hAnsi="Verdana" w:cs="Arial"/>
          <w:kern w:val="2"/>
          <w:sz w:val="21"/>
          <w:szCs w:val="21"/>
          <w14:ligatures w14:val="standardContextual"/>
        </w:rPr>
      </w:pPr>
      <w:r w:rsidRPr="0029795D">
        <w:rPr>
          <w:rFonts w:ascii="Verdana" w:eastAsia="Calibri" w:hAnsi="Verdana" w:cs="Arial"/>
          <w:kern w:val="2"/>
          <w:sz w:val="21"/>
          <w:szCs w:val="21"/>
          <w14:ligatures w14:val="standardContextual"/>
        </w:rPr>
        <w:t xml:space="preserve">“Quiere con esto destacar la Sala que las causales de rechazo de las propuestas pueden ser legales y por lo mismo generan el efecto del descarte o exclusión de la oferta </w:t>
      </w:r>
      <w:proofErr w:type="spellStart"/>
      <w:r w:rsidRPr="0029795D">
        <w:rPr>
          <w:rFonts w:ascii="Verdana" w:eastAsia="Calibri" w:hAnsi="Verdana" w:cs="Arial"/>
          <w:kern w:val="2"/>
          <w:sz w:val="21"/>
          <w:szCs w:val="21"/>
          <w14:ligatures w14:val="standardContextual"/>
        </w:rPr>
        <w:t>ope</w:t>
      </w:r>
      <w:proofErr w:type="spellEnd"/>
      <w:r w:rsidRPr="0029795D">
        <w:rPr>
          <w:rFonts w:ascii="Verdana" w:eastAsia="Calibri" w:hAnsi="Verdana" w:cs="Arial"/>
          <w:kern w:val="2"/>
          <w:sz w:val="21"/>
          <w:szCs w:val="21"/>
          <w14:ligatures w14:val="standardContextual"/>
        </w:rPr>
        <w:t xml:space="preserve"> </w:t>
      </w:r>
      <w:proofErr w:type="spellStart"/>
      <w:r w:rsidRPr="0029795D">
        <w:rPr>
          <w:rFonts w:ascii="Verdana" w:eastAsia="Calibri" w:hAnsi="Verdana" w:cs="Arial"/>
          <w:kern w:val="2"/>
          <w:sz w:val="21"/>
          <w:szCs w:val="21"/>
          <w14:ligatures w14:val="standardContextual"/>
        </w:rPr>
        <w:t>legis</w:t>
      </w:r>
      <w:proofErr w:type="spellEnd"/>
      <w:r w:rsidRPr="0029795D">
        <w:rPr>
          <w:rFonts w:ascii="Verdana" w:eastAsia="Calibri" w:hAnsi="Verdana" w:cs="Arial"/>
          <w:kern w:val="2"/>
          <w:sz w:val="21"/>
          <w:szCs w:val="21"/>
          <w14:ligatures w14:val="standardContextual"/>
        </w:rPr>
        <w:t>,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r w:rsidRPr="0029795D">
        <w:rPr>
          <w:rFonts w:ascii="Verdana" w:eastAsia="Calibri" w:hAnsi="Verdana" w:cs="Arial"/>
          <w:kern w:val="2"/>
          <w:sz w:val="21"/>
          <w:szCs w:val="21"/>
          <w:vertAlign w:val="superscript"/>
          <w14:ligatures w14:val="standardContextual"/>
        </w:rPr>
        <w:footnoteReference w:id="2"/>
      </w:r>
      <w:r w:rsidRPr="0029795D">
        <w:rPr>
          <w:rFonts w:ascii="Verdana" w:eastAsia="Calibri" w:hAnsi="Verdana" w:cs="Arial"/>
          <w:kern w:val="2"/>
          <w:sz w:val="21"/>
          <w:szCs w:val="21"/>
          <w14:ligatures w14:val="standardContextual"/>
        </w:rPr>
        <w:t>.</w:t>
      </w:r>
    </w:p>
    <w:p w14:paraId="1B90F0DC" w14:textId="77777777" w:rsidR="0029795D" w:rsidRPr="0029795D" w:rsidRDefault="0029795D" w:rsidP="0029795D">
      <w:pPr>
        <w:tabs>
          <w:tab w:val="left" w:pos="709"/>
        </w:tabs>
        <w:spacing w:after="0" w:line="276" w:lineRule="auto"/>
        <w:ind w:firstLine="709"/>
        <w:jc w:val="both"/>
        <w:rPr>
          <w:rFonts w:ascii="Verdana" w:eastAsia="Calibri" w:hAnsi="Verdana" w:cs="Arial"/>
          <w:kern w:val="2"/>
          <w14:ligatures w14:val="standardContextual"/>
        </w:rPr>
      </w:pPr>
    </w:p>
    <w:p w14:paraId="2274F912" w14:textId="77777777" w:rsidR="0029795D" w:rsidRPr="0029795D" w:rsidRDefault="0029795D" w:rsidP="0029795D">
      <w:pPr>
        <w:spacing w:after="0" w:line="276" w:lineRule="auto"/>
        <w:ind w:firstLine="708"/>
        <w:jc w:val="both"/>
        <w:rPr>
          <w:rFonts w:ascii="Verdana" w:eastAsia="Calibri" w:hAnsi="Verdana" w:cs="Arial"/>
          <w:bCs/>
          <w:kern w:val="2"/>
          <w14:ligatures w14:val="standardContextual"/>
        </w:rPr>
      </w:pPr>
      <w:r w:rsidRPr="0029795D">
        <w:rPr>
          <w:rFonts w:ascii="Verdana" w:eastAsia="Calibri" w:hAnsi="Verdana" w:cs="Arial"/>
          <w:bCs/>
          <w:kern w:val="2"/>
          <w14:ligatures w14:val="standardContextual"/>
        </w:rPr>
        <w:t xml:space="preserve">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 sostuvo: </w:t>
      </w:r>
    </w:p>
    <w:p w14:paraId="7C83F683" w14:textId="77777777" w:rsidR="0029795D" w:rsidRPr="0029795D" w:rsidRDefault="0029795D" w:rsidP="0029795D">
      <w:pPr>
        <w:spacing w:after="0" w:line="276" w:lineRule="auto"/>
        <w:ind w:left="720"/>
        <w:jc w:val="both"/>
        <w:rPr>
          <w:rFonts w:ascii="Verdana" w:eastAsia="Calibri" w:hAnsi="Verdana" w:cs="Arial"/>
          <w:bCs/>
          <w:kern w:val="2"/>
          <w:sz w:val="24"/>
          <w:szCs w:val="24"/>
          <w14:ligatures w14:val="standardContextual"/>
        </w:rPr>
      </w:pPr>
    </w:p>
    <w:p w14:paraId="6D94EAA9" w14:textId="77777777" w:rsidR="0029795D" w:rsidRPr="0029795D" w:rsidRDefault="0029795D" w:rsidP="0029795D">
      <w:pPr>
        <w:spacing w:after="0" w:line="240" w:lineRule="auto"/>
        <w:ind w:left="709" w:right="709"/>
        <w:jc w:val="both"/>
        <w:rPr>
          <w:rFonts w:ascii="Verdana" w:eastAsia="Calibri" w:hAnsi="Verdana" w:cs="Arial"/>
          <w:bCs/>
          <w:kern w:val="2"/>
          <w:sz w:val="21"/>
          <w:szCs w:val="21"/>
          <w14:ligatures w14:val="standardContextual"/>
        </w:rPr>
      </w:pPr>
      <w:r w:rsidRPr="0029795D">
        <w:rPr>
          <w:rFonts w:ascii="Verdana" w:eastAsia="Calibri" w:hAnsi="Verdana" w:cs="Arial"/>
          <w:bCs/>
          <w:kern w:val="2"/>
          <w:sz w:val="21"/>
          <w:szCs w:val="21"/>
          <w14:ligatures w14:val="standardContextual"/>
        </w:rPr>
        <w:t xml:space="preserve">“En esta línea de pensamiento, resulta claro que el rechazo o la descalificación de ofertas no puede depender de la libre discrecionalidad de la administración, en la medida en que el oferente, por el hecho de participar en el proceso licitatorio, adquiere el derecho </w:t>
      </w:r>
      <w:r w:rsidRPr="0029795D">
        <w:rPr>
          <w:rFonts w:ascii="Verdana" w:eastAsia="Calibri" w:hAnsi="Verdana" w:cs="Arial"/>
          <w:bCs/>
          <w:kern w:val="2"/>
          <w:sz w:val="21"/>
          <w:szCs w:val="21"/>
          <w14:ligatures w14:val="standardContextual"/>
        </w:rPr>
        <w:lastRenderedPageBreak/>
        <w:t>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04FB44F7" w14:textId="77777777" w:rsidR="0029795D" w:rsidRPr="0029795D" w:rsidRDefault="0029795D" w:rsidP="0029795D">
      <w:pPr>
        <w:spacing w:after="0" w:line="276" w:lineRule="auto"/>
        <w:ind w:left="720"/>
        <w:jc w:val="both"/>
        <w:rPr>
          <w:rFonts w:ascii="Verdana" w:eastAsia="Calibri" w:hAnsi="Verdana" w:cs="Arial"/>
          <w:bCs/>
          <w:kern w:val="2"/>
          <w:sz w:val="24"/>
          <w:szCs w:val="24"/>
          <w14:ligatures w14:val="standardContextual"/>
        </w:rPr>
      </w:pPr>
    </w:p>
    <w:p w14:paraId="36917D0A" w14:textId="77777777" w:rsidR="0029795D" w:rsidRPr="0029795D" w:rsidRDefault="0029795D" w:rsidP="0029795D">
      <w:pPr>
        <w:spacing w:after="120" w:line="276" w:lineRule="auto"/>
        <w:ind w:firstLine="708"/>
        <w:jc w:val="both"/>
        <w:rPr>
          <w:rFonts w:ascii="Verdana" w:eastAsia="Calibri" w:hAnsi="Verdana" w:cs="Arial"/>
          <w:bCs/>
          <w:kern w:val="2"/>
          <w14:ligatures w14:val="standardContextual"/>
        </w:rPr>
      </w:pPr>
      <w:r w:rsidRPr="0029795D">
        <w:rPr>
          <w:rFonts w:ascii="Verdana" w:eastAsia="Calibri" w:hAnsi="Verdana" w:cs="Arial"/>
          <w:bCs/>
          <w:kern w:val="2"/>
          <w14:ligatures w14:val="standardContextual"/>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0676C326" w14:textId="77777777" w:rsidR="0029795D" w:rsidRPr="0029795D" w:rsidRDefault="0029795D" w:rsidP="0029795D">
      <w:pPr>
        <w:spacing w:after="120" w:line="276" w:lineRule="auto"/>
        <w:ind w:firstLine="708"/>
        <w:jc w:val="both"/>
        <w:rPr>
          <w:rFonts w:ascii="Verdana" w:eastAsia="Calibri" w:hAnsi="Verdana" w:cs="Arial"/>
          <w:bCs/>
          <w:kern w:val="2"/>
          <w14:ligatures w14:val="standardContextual"/>
        </w:rPr>
      </w:pPr>
      <w:r w:rsidRPr="0029795D">
        <w:rPr>
          <w:rFonts w:ascii="Verdana" w:eastAsia="Calibri" w:hAnsi="Verdana" w:cs="Arial"/>
          <w:bCs/>
          <w:kern w:val="2"/>
          <w14:ligatures w14:val="standardContextual"/>
        </w:rPr>
        <w:t>Adicionalmente, la Agencia Nacional de Contratación Pública – Colombia Compra Eficiente, mediante los conceptos con radicados Nos. 2201913000007117 del 25 de septiembre de 2019, 2201913000009538 del 23 de diciembre de 2019, C-716 del 30 de octubre de 2020 y C-128 del 2 de agosto de 2024, entre otros, ha señalado que las causales de rechazo de las ofertas establecidas en los documentos tipo son taxativas,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15294C78" w14:textId="77777777" w:rsidR="0029795D" w:rsidRPr="0029795D" w:rsidRDefault="0029795D" w:rsidP="0029795D">
      <w:pPr>
        <w:widowControl w:val="0"/>
        <w:autoSpaceDE w:val="0"/>
        <w:autoSpaceDN w:val="0"/>
        <w:spacing w:after="120" w:line="276" w:lineRule="auto"/>
        <w:ind w:firstLine="709"/>
        <w:jc w:val="both"/>
        <w:rPr>
          <w:rFonts w:ascii="Verdana" w:eastAsia="Calibri" w:hAnsi="Verdana" w:cs="Arial"/>
          <w:kern w:val="2"/>
          <w:lang w:val="es-ES" w:eastAsia="es-ES" w:bidi="es-ES"/>
          <w14:ligatures w14:val="standardContextual"/>
        </w:rPr>
      </w:pPr>
      <w:r w:rsidRPr="0029795D">
        <w:rPr>
          <w:rFonts w:ascii="Verdana" w:eastAsia="Calibri" w:hAnsi="Verdana" w:cs="Arial"/>
          <w:kern w:val="2"/>
          <w14:ligatures w14:val="standardContextual"/>
        </w:rPr>
        <w:t>De acuerdo con lo anterior, al consultar el numeral 1.15</w:t>
      </w:r>
      <w:r w:rsidRPr="0029795D">
        <w:rPr>
          <w:rFonts w:ascii="Verdana" w:eastAsia="Arial" w:hAnsi="Verdana" w:cs="Arial"/>
          <w:bCs/>
          <w:kern w:val="2"/>
          <w:lang w:val="es-ES" w:eastAsia="es-ES" w:bidi="es-ES"/>
          <w14:ligatures w14:val="standardContextual"/>
        </w:rPr>
        <w:t xml:space="preserve"> del Documento Base, existen varias relacionadas con aspectos relativos a la oferta económica</w:t>
      </w:r>
      <w:r w:rsidRPr="0029795D">
        <w:rPr>
          <w:rFonts w:ascii="Verdana" w:eastAsia="Arial" w:hAnsi="Verdana" w:cs="Arial"/>
          <w:bCs/>
          <w:kern w:val="2"/>
          <w:vertAlign w:val="superscript"/>
          <w:lang w:val="es-ES" w:eastAsia="es-ES" w:bidi="es-ES"/>
          <w14:ligatures w14:val="standardContextual"/>
        </w:rPr>
        <w:footnoteReference w:id="3"/>
      </w:r>
      <w:r w:rsidRPr="0029795D">
        <w:rPr>
          <w:rFonts w:ascii="Verdana" w:eastAsia="Arial" w:hAnsi="Verdana" w:cs="Arial"/>
          <w:bCs/>
          <w:kern w:val="2"/>
          <w:lang w:val="es-ES" w:eastAsia="es-ES" w:bidi="es-ES"/>
          <w14:ligatures w14:val="standardContextual"/>
        </w:rPr>
        <w:t xml:space="preserve">. </w:t>
      </w:r>
      <w:r w:rsidRPr="0029795D">
        <w:rPr>
          <w:rFonts w:ascii="Verdana" w:eastAsia="Calibri" w:hAnsi="Verdana" w:cs="Arial"/>
          <w:kern w:val="2"/>
          <w:lang w:val="es-ES" w:eastAsia="es-ES" w:bidi="es-ES"/>
          <w14:ligatures w14:val="standardContextual"/>
        </w:rPr>
        <w:lastRenderedPageBreak/>
        <w:t>Ante la imposibilidad de incluir nuevas causales, con fundamento en el principio de inalterabilidad, las entidades estatales deben evaluar en la presentación de la oferta económica la configuración de causales de rechazo estandarizadas en el pliego tipo o documento base, determinando en cada caso concreto si la situación evidenciada configura en estricto sentido alguno de los supuestos de hecho establecidos en las mismas, sin valerse de interpretaciones extensivas o finalistas</w:t>
      </w:r>
      <w:r w:rsidRPr="0029795D">
        <w:rPr>
          <w:rFonts w:ascii="Verdana" w:eastAsia="Calibri" w:hAnsi="Verdana" w:cs="Arial"/>
          <w:kern w:val="2"/>
          <w:vertAlign w:val="superscript"/>
          <w:lang w:val="es-ES" w:eastAsia="es-ES" w:bidi="es-ES"/>
          <w14:ligatures w14:val="standardContextual"/>
        </w:rPr>
        <w:footnoteReference w:id="4"/>
      </w:r>
      <w:r w:rsidRPr="0029795D">
        <w:rPr>
          <w:rFonts w:ascii="Verdana" w:eastAsia="Calibri" w:hAnsi="Verdana" w:cs="Arial"/>
          <w:kern w:val="2"/>
          <w:lang w:val="es-ES" w:eastAsia="es-ES" w:bidi="es-ES"/>
          <w14:ligatures w14:val="standardContextual"/>
        </w:rPr>
        <w:t xml:space="preserve">. </w:t>
      </w:r>
    </w:p>
    <w:p w14:paraId="6C674BE4" w14:textId="77777777" w:rsidR="0029795D" w:rsidRPr="0029795D" w:rsidRDefault="0029795D" w:rsidP="0029795D">
      <w:pPr>
        <w:widowControl w:val="0"/>
        <w:autoSpaceDE w:val="0"/>
        <w:autoSpaceDN w:val="0"/>
        <w:spacing w:after="120" w:line="276" w:lineRule="auto"/>
        <w:ind w:firstLine="709"/>
        <w:jc w:val="both"/>
        <w:rPr>
          <w:rFonts w:ascii="Verdana" w:eastAsia="Calibri" w:hAnsi="Verdana" w:cs="Arial"/>
          <w:kern w:val="2"/>
          <w:lang w:val="es-ES" w:eastAsia="es-ES" w:bidi="es-ES"/>
          <w14:ligatures w14:val="standardContextual"/>
        </w:rPr>
      </w:pPr>
      <w:bookmarkStart w:id="20" w:name="_Hlk118970493"/>
      <w:bookmarkStart w:id="21" w:name="_Hlk118963639"/>
      <w:bookmarkEnd w:id="7"/>
      <w:r w:rsidRPr="0029795D">
        <w:rPr>
          <w:rFonts w:ascii="Verdana" w:eastAsia="Calibri" w:hAnsi="Verdana" w:cs="Arial"/>
          <w:kern w:val="2"/>
          <w:lang w:val="es-ES" w:eastAsia="es-ES" w:bidi="es-ES"/>
          <w14:ligatures w14:val="standardContextual"/>
        </w:rPr>
        <w:t>Dentro de los múltiples hechos que podría tener lugar en el marco de procesos de selección, puede suceder, por ejemplo, que se presente una oferta cuyo total exceda el valor del Presupuesto Oficial, configurándose la causal de rechazo del literal M; también puede ocurrir que no se ofrezca el valor de un precio unitario –causal de rechazo del literal P</w:t>
      </w:r>
      <w:r w:rsidRPr="0029795D">
        <w:rPr>
          <w:rFonts w:ascii="Verdana" w:eastAsia="Calibri" w:hAnsi="Verdana" w:cs="Arial"/>
          <w:kern w:val="2"/>
          <w:lang w:val="es-ES" w:eastAsia="es-ES" w:bidi="es-ES"/>
          <w14:ligatures w14:val="standardContextual"/>
        </w:rPr>
        <w:softHyphen/>
        <w:t>– o que se oferte por encima del tope establecido por la entidad –literal Q–; que “</w:t>
      </w:r>
      <w:r w:rsidRPr="0029795D">
        <w:rPr>
          <w:rFonts w:ascii="Verdana" w:eastAsia="Arial" w:hAnsi="Verdana" w:cs="Arial"/>
          <w:kern w:val="2"/>
          <w:lang w:eastAsia="es-ES" w:bidi="es-ES"/>
          <w14:ligatures w14:val="standardContextual"/>
        </w:rPr>
        <w:t>el proponente adicione, suprima, cambie, o modifique los ítems, la descripción, las especificaciones, el detalle, las unidades o cantidades (…)”; o que el proponente no presente la oferta económica –literal V–,</w:t>
      </w:r>
      <w:r w:rsidRPr="0029795D">
        <w:rPr>
          <w:rFonts w:ascii="Verdana" w:eastAsia="Calibri" w:hAnsi="Verdana" w:cs="Arial"/>
          <w:kern w:val="2"/>
          <w:lang w:val="es-ES" w:eastAsia="es-ES" w:bidi="es-ES"/>
          <w14:ligatures w14:val="standardContextual"/>
        </w:rPr>
        <w:t xml:space="preserve"> eventos que ameritarían el rechazo de la oferta.</w:t>
      </w:r>
    </w:p>
    <w:p w14:paraId="51D761CA" w14:textId="77777777" w:rsidR="0029795D" w:rsidRPr="0029795D" w:rsidRDefault="0029795D" w:rsidP="0029795D">
      <w:pPr>
        <w:widowControl w:val="0"/>
        <w:autoSpaceDE w:val="0"/>
        <w:autoSpaceDN w:val="0"/>
        <w:spacing w:after="120" w:line="276" w:lineRule="auto"/>
        <w:ind w:firstLine="709"/>
        <w:jc w:val="both"/>
        <w:rPr>
          <w:rFonts w:ascii="Verdana" w:eastAsia="Calibri" w:hAnsi="Verdana" w:cs="Arial"/>
          <w:kern w:val="2"/>
          <w:lang w:val="es-ES" w:eastAsia="es-ES" w:bidi="es-ES"/>
          <w14:ligatures w14:val="standardContextual"/>
        </w:rPr>
      </w:pPr>
      <w:bookmarkStart w:id="22" w:name="_Hlk118970574"/>
      <w:bookmarkEnd w:id="20"/>
      <w:r w:rsidRPr="0029795D">
        <w:rPr>
          <w:rFonts w:ascii="Verdana" w:eastAsia="Calibri" w:hAnsi="Verdana" w:cs="Arial"/>
          <w:kern w:val="2"/>
          <w:lang w:val="es-ES" w:eastAsia="es-ES" w:bidi="es-ES"/>
          <w14:ligatures w14:val="standardContextual"/>
        </w:rPr>
        <w:t>Otra de las situaciones que imposibilitan evaluar la oferta económica presentada, consiste en la inclusión de información de la oferta económica en el sobre que no corresponde, según lo establecido en los parágrafos 2 y 3 del artículo 30 de la Ley 80 de 1993, adicionados por la Ley 1882 de 2018, y regulados en los numerales 2.3, 2.3.1 y 2.3.2 del Documento Base. Esto dado que estas normas exigen que los documentos relacionados con la acreditación de los requisitos habilitantes se presenten en un sobre –Sobre 1–, y la oferta económica sea presentada en otro distinto –Sobre 2</w:t>
      </w:r>
      <w:r w:rsidRPr="0029795D">
        <w:rPr>
          <w:rFonts w:ascii="Verdana" w:eastAsia="Calibri" w:hAnsi="Verdana" w:cs="Arial"/>
          <w:kern w:val="2"/>
          <w:lang w:val="es-ES" w:eastAsia="es-ES" w:bidi="es-ES"/>
          <w14:ligatures w14:val="standardContextual"/>
        </w:rPr>
        <w:softHyphen/>
        <w:t xml:space="preserve">–.  </w:t>
      </w:r>
      <w:bookmarkEnd w:id="22"/>
    </w:p>
    <w:p w14:paraId="4ECF54E1" w14:textId="77777777" w:rsidR="0029795D" w:rsidRPr="0029795D" w:rsidRDefault="0029795D" w:rsidP="0029795D">
      <w:pPr>
        <w:widowControl w:val="0"/>
        <w:autoSpaceDE w:val="0"/>
        <w:autoSpaceDN w:val="0"/>
        <w:spacing w:before="120" w:after="120" w:line="276" w:lineRule="auto"/>
        <w:ind w:firstLine="709"/>
        <w:jc w:val="both"/>
        <w:rPr>
          <w:rFonts w:ascii="Verdana" w:eastAsia="Aptos" w:hAnsi="Verdana" w:cs="Arial"/>
          <w:color w:val="000000"/>
          <w:kern w:val="2"/>
          <w:shd w:val="clear" w:color="auto" w:fill="FFFFFF"/>
          <w14:ligatures w14:val="standardContextual"/>
        </w:rPr>
      </w:pPr>
      <w:bookmarkStart w:id="23" w:name="_Hlk118970643"/>
      <w:r w:rsidRPr="0029795D">
        <w:rPr>
          <w:rFonts w:ascii="Verdana" w:eastAsia="Calibri" w:hAnsi="Verdana" w:cs="Arial"/>
          <w:kern w:val="2"/>
          <w:lang w:val="es-ES" w:eastAsia="es-ES" w:bidi="es-ES"/>
          <w14:ligatures w14:val="standardContextual"/>
        </w:rPr>
        <w:lastRenderedPageBreak/>
        <w:t>De otra parte y en relación con el objeto de la consulta, se ha previsto la causal del literal J del numeral 1.15 del Documento Base que sólo opera cuando el procedimiento se realice mediante el SECOP I y que sanciona con el rechazo de la oferta: “</w:t>
      </w:r>
      <w:r w:rsidRPr="0029795D">
        <w:rPr>
          <w:rFonts w:ascii="Verdana" w:eastAsia="Calibri" w:hAnsi="Verdana" w:cs="Arial"/>
          <w:i/>
          <w:iCs/>
          <w:kern w:val="2"/>
          <w:lang w:val="es-ES" w:eastAsia="es-ES" w:bidi="es-ES"/>
          <w14:ligatures w14:val="standardContextual"/>
        </w:rPr>
        <w:t>Que la propuesta económica no se aporte firmada”</w:t>
      </w:r>
      <w:r w:rsidRPr="0029795D">
        <w:rPr>
          <w:rFonts w:ascii="Verdana" w:eastAsia="Calibri" w:hAnsi="Verdana" w:cs="Arial"/>
          <w:kern w:val="2"/>
          <w:lang w:val="es-ES" w:eastAsia="es-ES" w:bidi="es-ES"/>
          <w14:ligatures w14:val="standardContextual"/>
        </w:rPr>
        <w:t xml:space="preserve">. No obstante, tal y como se explicó en el acápite anterior, esta causal sólo opera cuando la propuesta económica se deba presentar en físico y se utilice el SECOP I con fines de publicidad. Es por eso </w:t>
      </w:r>
      <w:proofErr w:type="gramStart"/>
      <w:r w:rsidRPr="0029795D">
        <w:rPr>
          <w:rFonts w:ascii="Verdana" w:eastAsia="Calibri" w:hAnsi="Verdana" w:cs="Arial"/>
          <w:kern w:val="2"/>
          <w:lang w:val="es-ES" w:eastAsia="es-ES" w:bidi="es-ES"/>
          <w14:ligatures w14:val="standardContextual"/>
        </w:rPr>
        <w:t>que</w:t>
      </w:r>
      <w:proofErr w:type="gramEnd"/>
      <w:r w:rsidRPr="0029795D">
        <w:rPr>
          <w:rFonts w:ascii="Verdana" w:eastAsia="Calibri" w:hAnsi="Verdana" w:cs="Arial"/>
          <w:kern w:val="2"/>
          <w:lang w:val="es-ES" w:eastAsia="es-ES" w:bidi="es-ES"/>
          <w14:ligatures w14:val="standardContextual"/>
        </w:rPr>
        <w:t xml:space="preserve"> el literal J tiene consignada la condición de uso para las entidades contratantes con la siguiente nota aclaratoria o instrucción en el párrafo entre corchetes con el siguiente texto: “</w:t>
      </w:r>
      <w:r w:rsidRPr="0029795D">
        <w:rPr>
          <w:rFonts w:ascii="Verdana" w:eastAsia="Aptos" w:hAnsi="Verdana" w:cs="Arial"/>
          <w:color w:val="000000"/>
          <w:kern w:val="2"/>
          <w:shd w:val="clear" w:color="auto" w:fill="C0C0C0"/>
          <w14:ligatures w14:val="standardContextual"/>
        </w:rPr>
        <w:t>[Incluir esta causal cuando las ofertas se presente en el SECOP I]</w:t>
      </w:r>
      <w:r w:rsidRPr="0029795D">
        <w:rPr>
          <w:rFonts w:ascii="Verdana" w:eastAsia="Calibri" w:hAnsi="Verdana" w:cs="Arial"/>
          <w:kern w:val="2"/>
          <w:lang w:val="es-ES" w:eastAsia="es-ES" w:bidi="es-ES"/>
          <w14:ligatures w14:val="standardContextual"/>
        </w:rPr>
        <w:t>”</w:t>
      </w:r>
      <w:r w:rsidRPr="0029795D">
        <w:rPr>
          <w:rFonts w:ascii="Verdana" w:eastAsia="Aptos" w:hAnsi="Verdana" w:cs="Arial"/>
          <w:color w:val="000000"/>
          <w:kern w:val="2"/>
          <w:shd w:val="clear" w:color="auto" w:fill="FFFFFF"/>
          <w14:ligatures w14:val="standardContextual"/>
        </w:rPr>
        <w:t xml:space="preserve">. </w:t>
      </w:r>
    </w:p>
    <w:p w14:paraId="02F8150F" w14:textId="77777777" w:rsidR="0029795D" w:rsidRPr="0029795D" w:rsidRDefault="0029795D" w:rsidP="0029795D">
      <w:pPr>
        <w:widowControl w:val="0"/>
        <w:autoSpaceDE w:val="0"/>
        <w:autoSpaceDN w:val="0"/>
        <w:spacing w:before="120" w:after="120" w:line="276" w:lineRule="auto"/>
        <w:ind w:firstLine="709"/>
        <w:jc w:val="both"/>
        <w:rPr>
          <w:rFonts w:ascii="Verdana" w:eastAsia="Aptos" w:hAnsi="Verdana" w:cs="Times New Roman"/>
          <w:kern w:val="2"/>
          <w14:ligatures w14:val="standardContextual"/>
        </w:rPr>
      </w:pPr>
      <w:r w:rsidRPr="0029795D">
        <w:rPr>
          <w:rFonts w:ascii="Verdana" w:eastAsia="Aptos" w:hAnsi="Verdana" w:cs="Arial"/>
          <w:color w:val="000000"/>
          <w:kern w:val="2"/>
          <w:shd w:val="clear" w:color="auto" w:fill="FFFFFF"/>
          <w14:ligatures w14:val="standardContextual"/>
        </w:rPr>
        <w:t xml:space="preserve">En consecuencia, como </w:t>
      </w:r>
      <w:r w:rsidRPr="0029795D">
        <w:rPr>
          <w:rFonts w:ascii="Verdana" w:eastAsia="Arial" w:hAnsi="Verdana" w:cs="Arial"/>
          <w:kern w:val="2"/>
          <w:lang w:val="es-ES" w:eastAsia="es-ES" w:bidi="es-ES"/>
          <w14:ligatures w14:val="standardContextual"/>
        </w:rPr>
        <w:t>la oferta económica, para los procesos adelantados en SECOP I, se presenta según las reglas del literal B del numeral 2.3.2 que establece que el Sobre No. 2: “</w:t>
      </w:r>
      <w:r w:rsidRPr="0029795D">
        <w:rPr>
          <w:rFonts w:ascii="Verdana" w:eastAsia="Aptos" w:hAnsi="Verdana" w:cs="Times New Roman"/>
          <w:kern w:val="2"/>
          <w14:ligatures w14:val="standardContextual"/>
        </w:rPr>
        <w:t xml:space="preserve">Debe incluir la propuesta económica debidamente diligenciada, de conformidad con todos y cada uno de los ítems exigidos y relacionados en el Formulario 1 – Formulario de Presupuesto Oficial”, documento físico que debe contar con la firma del proponente, es para este caso que operaría la causal J del numeral 1.15 del Documento Base para rechazar la oferta en caso de que no se haya presentado firmada. </w:t>
      </w:r>
    </w:p>
    <w:p w14:paraId="024C8159" w14:textId="77777777" w:rsidR="0029795D" w:rsidRPr="0029795D" w:rsidRDefault="0029795D" w:rsidP="0029795D">
      <w:pPr>
        <w:widowControl w:val="0"/>
        <w:autoSpaceDE w:val="0"/>
        <w:autoSpaceDN w:val="0"/>
        <w:spacing w:after="0" w:line="276" w:lineRule="auto"/>
        <w:ind w:firstLine="709"/>
        <w:jc w:val="both"/>
        <w:rPr>
          <w:rFonts w:ascii="Verdana" w:eastAsia="Calibri" w:hAnsi="Verdana" w:cs="Arial"/>
          <w:kern w:val="2"/>
          <w:lang w:val="es-ES" w:eastAsia="es-ES" w:bidi="es-ES"/>
          <w14:ligatures w14:val="standardContextual"/>
        </w:rPr>
      </w:pPr>
      <w:r w:rsidRPr="0029795D">
        <w:rPr>
          <w:rFonts w:ascii="Verdana" w:eastAsia="Aptos" w:hAnsi="Verdana" w:cs="Times New Roman"/>
          <w:kern w:val="2"/>
          <w14:ligatures w14:val="standardContextual"/>
        </w:rPr>
        <w:t>No ocurre lo mismo para los procesos que deban adelantarse a través del SECOP II, pues en este caso se acude al literal A del numeral 2.3.2 que indica: “[Para los procesos en SECOP II, el Sobre 2 debe presentarse en el cuestionario destinado para ello en el Módulo de “Licitación de Obra Pública” y no podrá ser entregado en físico]”, por lo que en este evento no se aplica la referida causal, tal y como lo dice expresamente la nota aclaratoria</w:t>
      </w:r>
      <w:bookmarkEnd w:id="21"/>
      <w:bookmarkEnd w:id="23"/>
      <w:r w:rsidRPr="0029795D">
        <w:rPr>
          <w:rFonts w:ascii="Verdana" w:eastAsia="Aptos" w:hAnsi="Verdana" w:cs="Times New Roman"/>
          <w:kern w:val="2"/>
          <w14:ligatures w14:val="standardContextual"/>
        </w:rPr>
        <w:t xml:space="preserve">.  </w:t>
      </w:r>
      <w:r w:rsidRPr="0029795D">
        <w:rPr>
          <w:rFonts w:ascii="Verdana" w:eastAsia="Calibri" w:hAnsi="Verdana" w:cs="Arial"/>
          <w:kern w:val="2"/>
          <w:lang w:val="es-ES" w:eastAsia="es-ES" w:bidi="es-ES"/>
          <w14:ligatures w14:val="standardContextual"/>
        </w:rPr>
        <w:t xml:space="preserve">Con todo, corresponde a la entidad estatal estudiar las circunstancias particulares de cada caso para determinar si las mismas confluyen a la configuración de alguno de las circunstancias tipificadas en las causales de rechazo. </w:t>
      </w:r>
      <w:bookmarkEnd w:id="8"/>
    </w:p>
    <w:p w14:paraId="4C0ADCD8" w14:textId="77777777" w:rsidR="0029795D" w:rsidRPr="0029795D" w:rsidRDefault="0029795D" w:rsidP="0029795D">
      <w:pPr>
        <w:widowControl w:val="0"/>
        <w:autoSpaceDE w:val="0"/>
        <w:autoSpaceDN w:val="0"/>
        <w:spacing w:after="0" w:line="276" w:lineRule="auto"/>
        <w:ind w:firstLine="709"/>
        <w:jc w:val="both"/>
        <w:rPr>
          <w:rFonts w:ascii="Verdana" w:eastAsia="Calibri" w:hAnsi="Verdana" w:cs="Arial"/>
          <w:kern w:val="2"/>
          <w:lang w:val="es-ES" w:eastAsia="es-ES" w:bidi="es-ES"/>
          <w14:ligatures w14:val="standardContextual"/>
        </w:rPr>
      </w:pPr>
    </w:p>
    <w:p w14:paraId="57C72D12" w14:textId="77777777" w:rsidR="0029795D" w:rsidRPr="0029795D" w:rsidRDefault="0029795D" w:rsidP="0029795D">
      <w:pPr>
        <w:tabs>
          <w:tab w:val="left" w:pos="142"/>
          <w:tab w:val="left" w:pos="284"/>
        </w:tabs>
        <w:spacing w:after="0" w:line="276" w:lineRule="auto"/>
        <w:jc w:val="both"/>
        <w:rPr>
          <w:rFonts w:ascii="Verdana" w:eastAsia="Century Gothic" w:hAnsi="Verdana" w:cs="Century Gothic"/>
          <w:b/>
          <w:bCs/>
          <w:lang w:val="es-ES_tradnl"/>
        </w:rPr>
      </w:pPr>
      <w:r w:rsidRPr="0029795D">
        <w:rPr>
          <w:rFonts w:ascii="Verdana" w:eastAsia="Century Gothic" w:hAnsi="Verdana" w:cs="Century Gothic"/>
          <w:b/>
          <w:bCs/>
          <w:lang w:val="es-ES_tradnl"/>
        </w:rPr>
        <w:t>4. Referencias normativas, jurisprudenciales y otras fuentes:</w:t>
      </w:r>
    </w:p>
    <w:p w14:paraId="0F18DF3D" w14:textId="77777777" w:rsidR="0029795D" w:rsidRPr="0029795D" w:rsidRDefault="0029795D" w:rsidP="0029795D">
      <w:pPr>
        <w:spacing w:after="0"/>
        <w:jc w:val="both"/>
        <w:rPr>
          <w:rFonts w:ascii="Verdana" w:eastAsia="Calibri" w:hAnsi="Verdana" w:cs="Arial"/>
          <w:b/>
          <w:bCs/>
        </w:rPr>
      </w:pP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9795D" w:rsidRPr="0029795D" w14:paraId="4D0C9DA2" w14:textId="77777777" w:rsidTr="00D7398E">
        <w:trPr>
          <w:trHeight w:val="632"/>
        </w:trPr>
        <w:tc>
          <w:tcPr>
            <w:tcW w:w="8647" w:type="dxa"/>
            <w:tcBorders>
              <w:top w:val="dotted" w:sz="4" w:space="0" w:color="auto"/>
              <w:left w:val="dotted" w:sz="4" w:space="0" w:color="auto"/>
              <w:bottom w:val="dotted" w:sz="4" w:space="0" w:color="auto"/>
              <w:right w:val="dotted" w:sz="4" w:space="0" w:color="auto"/>
            </w:tcBorders>
          </w:tcPr>
          <w:p w14:paraId="4838D684" w14:textId="77777777" w:rsidR="0029795D" w:rsidRPr="0029795D" w:rsidRDefault="0029795D" w:rsidP="0029795D">
            <w:pPr>
              <w:widowControl w:val="0"/>
              <w:numPr>
                <w:ilvl w:val="0"/>
                <w:numId w:val="16"/>
              </w:numPr>
              <w:autoSpaceDE w:val="0"/>
              <w:autoSpaceDN w:val="0"/>
              <w:spacing w:line="276" w:lineRule="auto"/>
              <w:ind w:left="0" w:hanging="357"/>
              <w:jc w:val="both"/>
              <w:rPr>
                <w:rFonts w:ascii="Verdana" w:eastAsia="Calibri" w:hAnsi="Verdana" w:cs="Arial"/>
                <w:lang w:val="es-ES_tradnl"/>
              </w:rPr>
            </w:pPr>
            <w:r w:rsidRPr="0029795D">
              <w:rPr>
                <w:rFonts w:ascii="Verdana" w:eastAsia="Calibri" w:hAnsi="Verdana" w:cs="Arial"/>
                <w:lang w:val="es-ES_tradnl"/>
              </w:rPr>
              <w:t xml:space="preserve">Ley 2022 de 2020, artículo 1. </w:t>
            </w:r>
          </w:p>
          <w:p w14:paraId="478A5800" w14:textId="77777777" w:rsidR="0029795D" w:rsidRPr="0029795D" w:rsidRDefault="0029795D" w:rsidP="0029795D">
            <w:pPr>
              <w:widowControl w:val="0"/>
              <w:numPr>
                <w:ilvl w:val="0"/>
                <w:numId w:val="16"/>
              </w:numPr>
              <w:autoSpaceDE w:val="0"/>
              <w:autoSpaceDN w:val="0"/>
              <w:spacing w:line="276" w:lineRule="auto"/>
              <w:ind w:left="0"/>
              <w:jc w:val="both"/>
              <w:rPr>
                <w:rFonts w:ascii="Verdana" w:eastAsia="Calibri" w:hAnsi="Verdana" w:cs="Arial"/>
              </w:rPr>
            </w:pPr>
            <w:r w:rsidRPr="0029795D">
              <w:rPr>
                <w:rFonts w:ascii="Verdana" w:eastAsia="Calibri" w:hAnsi="Verdana" w:cs="Arial"/>
              </w:rPr>
              <w:t>Ley 1150 de 2007, artículo 2.</w:t>
            </w:r>
          </w:p>
          <w:p w14:paraId="215ECDDF" w14:textId="77777777" w:rsidR="0029795D" w:rsidRPr="0029795D" w:rsidRDefault="0029795D" w:rsidP="0029795D">
            <w:pPr>
              <w:widowControl w:val="0"/>
              <w:numPr>
                <w:ilvl w:val="0"/>
                <w:numId w:val="16"/>
              </w:numPr>
              <w:autoSpaceDE w:val="0"/>
              <w:autoSpaceDN w:val="0"/>
              <w:spacing w:line="276" w:lineRule="auto"/>
              <w:ind w:left="0"/>
              <w:contextualSpacing/>
              <w:jc w:val="both"/>
              <w:rPr>
                <w:rFonts w:ascii="Verdana" w:eastAsia="Calibri" w:hAnsi="Verdana" w:cs="Arial"/>
              </w:rPr>
            </w:pPr>
            <w:r w:rsidRPr="0029795D">
              <w:rPr>
                <w:rFonts w:ascii="Verdana" w:eastAsia="Calibri" w:hAnsi="Verdana" w:cs="Arial"/>
                <w:lang w:val="es-ES_tradnl"/>
              </w:rPr>
              <w:t xml:space="preserve">Documentos Tipo. Disponibles en: </w:t>
            </w:r>
            <w:hyperlink r:id="rId11" w:history="1">
              <w:r w:rsidRPr="0029795D">
                <w:rPr>
                  <w:rFonts w:ascii="Verdana" w:eastAsia="Calibri" w:hAnsi="Verdana" w:cs="Arial"/>
                  <w:color w:val="0000FF"/>
                  <w:u w:val="single"/>
                  <w:lang w:val="es-ES_tradnl"/>
                </w:rPr>
                <w:t>https://www.colombiacompra.gov.co/documentos-tipo/documentos-tipo</w:t>
              </w:r>
            </w:hyperlink>
            <w:r w:rsidRPr="0029795D">
              <w:rPr>
                <w:rFonts w:ascii="Verdana" w:eastAsia="Calibri" w:hAnsi="Verdana" w:cs="Arial"/>
                <w:lang w:val="es-ES_tradnl"/>
              </w:rPr>
              <w:t>.</w:t>
            </w:r>
          </w:p>
        </w:tc>
      </w:tr>
    </w:tbl>
    <w:p w14:paraId="78081D79" w14:textId="77777777" w:rsidR="0029795D" w:rsidRPr="0029795D" w:rsidRDefault="0029795D" w:rsidP="0029795D">
      <w:pPr>
        <w:tabs>
          <w:tab w:val="left" w:pos="142"/>
          <w:tab w:val="left" w:pos="284"/>
        </w:tabs>
        <w:spacing w:after="0" w:line="276" w:lineRule="auto"/>
        <w:jc w:val="both"/>
        <w:rPr>
          <w:rFonts w:ascii="Verdana" w:eastAsia="Calibri" w:hAnsi="Verdana" w:cs="Arial"/>
        </w:rPr>
      </w:pPr>
    </w:p>
    <w:p w14:paraId="6A5FB20D" w14:textId="77777777" w:rsidR="0029795D" w:rsidRPr="0029795D" w:rsidRDefault="0029795D" w:rsidP="0029795D">
      <w:pPr>
        <w:tabs>
          <w:tab w:val="left" w:pos="142"/>
          <w:tab w:val="left" w:pos="284"/>
        </w:tabs>
        <w:spacing w:after="0" w:line="276" w:lineRule="auto"/>
        <w:jc w:val="both"/>
        <w:rPr>
          <w:rFonts w:ascii="Verdana" w:eastAsia="Century Gothic" w:hAnsi="Verdana" w:cs="Century Gothic"/>
          <w:b/>
          <w:bCs/>
          <w:lang w:val="es-ES"/>
        </w:rPr>
      </w:pPr>
      <w:r w:rsidRPr="0029795D">
        <w:rPr>
          <w:rFonts w:ascii="Verdana" w:eastAsia="Calibri" w:hAnsi="Verdana" w:cs="Arial"/>
          <w:b/>
          <w:bCs/>
        </w:rPr>
        <w:t>5</w:t>
      </w:r>
      <w:r w:rsidRPr="0029795D">
        <w:rPr>
          <w:rFonts w:ascii="Verdana" w:eastAsia="Calibri" w:hAnsi="Verdana" w:cs="Arial"/>
        </w:rPr>
        <w:t>.</w:t>
      </w:r>
      <w:r w:rsidRPr="0029795D">
        <w:rPr>
          <w:rFonts w:ascii="Verdana" w:eastAsia="Century Gothic" w:hAnsi="Verdana" w:cs="Century Gothic"/>
          <w:b/>
          <w:bCs/>
          <w:lang w:val="es-ES"/>
        </w:rPr>
        <w:t>Doctrina de la Agencia Nacional de Contratación Pública:</w:t>
      </w:r>
    </w:p>
    <w:p w14:paraId="743E89BE" w14:textId="77777777" w:rsidR="0029795D" w:rsidRPr="0029795D" w:rsidRDefault="0029795D" w:rsidP="0029795D">
      <w:pPr>
        <w:widowControl w:val="0"/>
        <w:autoSpaceDE w:val="0"/>
        <w:autoSpaceDN w:val="0"/>
        <w:spacing w:after="0" w:line="276" w:lineRule="auto"/>
        <w:jc w:val="both"/>
        <w:rPr>
          <w:rFonts w:ascii="Verdana" w:eastAsia="Calibri" w:hAnsi="Verdana" w:cs="Arial"/>
        </w:rPr>
      </w:pPr>
    </w:p>
    <w:p w14:paraId="1E3722E1" w14:textId="77777777" w:rsidR="0029795D" w:rsidRPr="0029795D" w:rsidRDefault="0029795D" w:rsidP="0029795D">
      <w:pPr>
        <w:widowControl w:val="0"/>
        <w:autoSpaceDE w:val="0"/>
        <w:autoSpaceDN w:val="0"/>
        <w:spacing w:after="0" w:line="276" w:lineRule="auto"/>
        <w:jc w:val="both"/>
        <w:rPr>
          <w:rFonts w:ascii="Verdana" w:eastAsia="Calibri" w:hAnsi="Verdana" w:cs="Arial"/>
          <w:kern w:val="2"/>
          <w:sz w:val="24"/>
          <w:szCs w:val="24"/>
          <w:shd w:val="clear" w:color="auto" w:fill="FFFFFF"/>
          <w:lang w:val="es-ES_tradnl"/>
          <w14:ligatures w14:val="standardContextual"/>
        </w:rPr>
      </w:pPr>
      <w:r w:rsidRPr="0029795D">
        <w:rPr>
          <w:rFonts w:ascii="Verdana" w:eastAsia="Calibri" w:hAnsi="Verdana" w:cs="Arial"/>
          <w:kern w:val="2"/>
          <w:sz w:val="24"/>
          <w:szCs w:val="24"/>
          <w:shd w:val="clear" w:color="auto" w:fill="FFFFFF"/>
          <w:lang w:val="es-ES_tradnl"/>
          <w14:ligatures w14:val="standardContextual"/>
        </w:rPr>
        <w:t>La Agencia Nacional de Contratación Pública – Colombia Compra Eficiente se</w:t>
      </w:r>
      <w:r w:rsidRPr="0029795D">
        <w:rPr>
          <w:rFonts w:ascii="Aptos" w:eastAsia="Aptos" w:hAnsi="Aptos" w:cs="Times New Roman"/>
          <w:kern w:val="2"/>
          <w:sz w:val="24"/>
          <w:szCs w:val="24"/>
          <w14:ligatures w14:val="standardContextual"/>
        </w:rPr>
        <w:t xml:space="preserve"> </w:t>
      </w:r>
      <w:r w:rsidRPr="0029795D">
        <w:rPr>
          <w:rFonts w:ascii="Verdana" w:eastAsia="Calibri" w:hAnsi="Verdana" w:cs="Arial"/>
          <w:kern w:val="2"/>
          <w:sz w:val="24"/>
          <w:szCs w:val="24"/>
          <w:shd w:val="clear" w:color="auto" w:fill="FFFFFF"/>
          <w:lang w:val="es-ES_tradnl"/>
          <w14:ligatures w14:val="standardContextual"/>
        </w:rPr>
        <w:t>pronunció sobre las causales de rechazo incorporadas en los pliegos de condiciones, en los conceptos 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C-128 del 2 de agosto de 2024, C-047 del 28 de febrero de 2025, C-326 del 25 de abril de 2025, C-688 del 10 de julio de 2025, C-767 del 17 de julio de 2027, C-781 del 21 de julio de 2025, C-947 del 27 de agosto de 2025, C-974 del 10 de septiembre de 2025, C-1102 del 16 de septiembre de 2025, entre otros.</w:t>
      </w:r>
    </w:p>
    <w:p w14:paraId="406B3C81" w14:textId="77777777" w:rsidR="0029795D" w:rsidRPr="0029795D" w:rsidRDefault="0029795D" w:rsidP="0029795D">
      <w:pPr>
        <w:widowControl w:val="0"/>
        <w:autoSpaceDE w:val="0"/>
        <w:autoSpaceDN w:val="0"/>
        <w:spacing w:after="0" w:line="276" w:lineRule="auto"/>
        <w:jc w:val="both"/>
        <w:rPr>
          <w:rFonts w:ascii="Verdana" w:eastAsia="Times New Roman" w:hAnsi="Verdana" w:cs="Arial"/>
          <w:shd w:val="clear" w:color="auto" w:fill="FFFFFF"/>
          <w:lang w:val="es-ES"/>
        </w:rPr>
      </w:pPr>
    </w:p>
    <w:p w14:paraId="6CFD00C5" w14:textId="77777777" w:rsidR="0029795D" w:rsidRPr="0029795D" w:rsidRDefault="0029795D" w:rsidP="0029795D">
      <w:pPr>
        <w:widowControl w:val="0"/>
        <w:autoSpaceDE w:val="0"/>
        <w:autoSpaceDN w:val="0"/>
        <w:spacing w:after="0" w:line="276" w:lineRule="auto"/>
        <w:jc w:val="both"/>
        <w:rPr>
          <w:rFonts w:ascii="Verdana" w:eastAsia="Times New Roman" w:hAnsi="Verdana" w:cs="Arial"/>
          <w:shd w:val="clear" w:color="auto" w:fill="FFFFFF"/>
          <w:lang w:val="es-ES"/>
        </w:rPr>
      </w:pPr>
      <w:r w:rsidRPr="0029795D">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29795D">
          <w:rPr>
            <w:rFonts w:ascii="Verdana" w:eastAsia="Calibri" w:hAnsi="Verdana" w:cs="Arial"/>
            <w:color w:val="0000FF"/>
            <w:kern w:val="2"/>
            <w:u w:val="single"/>
            <w:shd w:val="clear" w:color="auto" w:fill="FFFFFF"/>
            <w14:ligatures w14:val="standardContextual"/>
          </w:rPr>
          <w:t>https://relatoria.colombiacompra.gov.co/</w:t>
        </w:r>
      </w:hyperlink>
      <w:r w:rsidRPr="0029795D">
        <w:rPr>
          <w:rFonts w:ascii="Verdana" w:eastAsia="Calibri" w:hAnsi="Verdana" w:cs="Arial"/>
          <w:color w:val="0000FF"/>
          <w:kern w:val="2"/>
          <w:u w:val="single"/>
          <w:shd w:val="clear" w:color="auto" w:fill="FFFFFF"/>
          <w14:ligatures w14:val="standardContextual"/>
        </w:rPr>
        <w:t> .</w:t>
      </w:r>
    </w:p>
    <w:p w14:paraId="41137296" w14:textId="77777777" w:rsidR="0029795D" w:rsidRPr="0029795D" w:rsidRDefault="0029795D" w:rsidP="0029795D">
      <w:pPr>
        <w:spacing w:after="0" w:line="240" w:lineRule="auto"/>
        <w:jc w:val="both"/>
        <w:rPr>
          <w:rFonts w:ascii="Verdana" w:eastAsia="Calibri" w:hAnsi="Verdana" w:cs="Arial"/>
          <w:color w:val="000000"/>
          <w:shd w:val="clear" w:color="auto" w:fill="FFFFFF"/>
        </w:rPr>
      </w:pPr>
    </w:p>
    <w:bookmarkEnd w:id="0"/>
    <w:p w14:paraId="221FC96C" w14:textId="77777777" w:rsidR="0029795D" w:rsidRPr="0029795D" w:rsidRDefault="0029795D" w:rsidP="0029795D">
      <w:pPr>
        <w:spacing w:after="0" w:line="240" w:lineRule="auto"/>
        <w:jc w:val="both"/>
        <w:rPr>
          <w:rFonts w:ascii="Verdana" w:eastAsia="Calibri" w:hAnsi="Verdana" w:cs="Arial"/>
          <w:color w:val="000000"/>
          <w:kern w:val="2"/>
          <w:shd w:val="clear" w:color="auto" w:fill="FFFFFF"/>
          <w14:ligatures w14:val="standardContextual"/>
        </w:rPr>
      </w:pPr>
      <w:r w:rsidRPr="0029795D">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29795D">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29795D">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29795D">
        <w:rPr>
          <w:rFonts w:ascii="Verdana" w:eastAsia="Calibri" w:hAnsi="Verdana" w:cs="Arial"/>
          <w:color w:val="000000"/>
          <w:kern w:val="2"/>
          <w:shd w:val="clear" w:color="auto" w:fill="FFFFFF"/>
          <w14:ligatures w14:val="standardContextual"/>
        </w:rPr>
        <w:t>Wayúu</w:t>
      </w:r>
      <w:proofErr w:type="spellEnd"/>
      <w:r w:rsidRPr="0029795D">
        <w:rPr>
          <w:rFonts w:ascii="Verdana" w:eastAsia="Calibri" w:hAnsi="Verdana" w:cs="Arial"/>
          <w:color w:val="000000"/>
          <w:kern w:val="2"/>
          <w:shd w:val="clear" w:color="auto" w:fill="FFFFFF"/>
          <w14:ligatures w14:val="standardContextual"/>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29795D">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29795D">
        <w:rPr>
          <w:rFonts w:ascii="Verdana" w:eastAsia="Calibri" w:hAnsi="Verdana" w:cs="Arial"/>
          <w:color w:val="000000"/>
          <w:kern w:val="2"/>
          <w:u w:val="single"/>
          <w:shd w:val="clear" w:color="auto" w:fill="FFFFFF"/>
          <w14:ligatures w14:val="standardContextual"/>
        </w:rPr>
        <w:t>"</w:t>
      </w:r>
    </w:p>
    <w:p w14:paraId="387F0169" w14:textId="77777777" w:rsidR="0029795D" w:rsidRPr="0029795D" w:rsidRDefault="0029795D" w:rsidP="0029795D">
      <w:pPr>
        <w:spacing w:after="0" w:line="278" w:lineRule="auto"/>
        <w:jc w:val="both"/>
        <w:rPr>
          <w:rFonts w:ascii="Verdana" w:eastAsia="Aptos" w:hAnsi="Verdana" w:cs="Times New Roman"/>
          <w:color w:val="212121"/>
          <w:kern w:val="2"/>
          <w:sz w:val="24"/>
          <w:szCs w:val="24"/>
          <w14:ligatures w14:val="standardContextual"/>
        </w:rPr>
      </w:pPr>
    </w:p>
    <w:p w14:paraId="7B65F66D" w14:textId="77777777" w:rsidR="0029795D" w:rsidRPr="0029795D" w:rsidRDefault="0029795D" w:rsidP="0029795D">
      <w:pPr>
        <w:spacing w:after="0" w:line="240" w:lineRule="auto"/>
        <w:jc w:val="both"/>
        <w:rPr>
          <w:rFonts w:ascii="Verdana" w:eastAsia="Calibri" w:hAnsi="Verdana" w:cs="Times New Roman"/>
          <w:kern w:val="2"/>
          <w14:ligatures w14:val="standardContextual"/>
        </w:rPr>
      </w:pPr>
      <w:r w:rsidRPr="0029795D">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1ABB946" w14:textId="77777777" w:rsidR="0029795D" w:rsidRPr="0029795D" w:rsidRDefault="0029795D" w:rsidP="0029795D">
      <w:pPr>
        <w:spacing w:after="0" w:line="240" w:lineRule="auto"/>
        <w:jc w:val="both"/>
        <w:rPr>
          <w:rFonts w:ascii="Verdana" w:eastAsia="Aptos" w:hAnsi="Verdana" w:cs="Times New Roman"/>
          <w:kern w:val="2"/>
          <w14:ligatures w14:val="standardContextual"/>
        </w:rPr>
      </w:pPr>
    </w:p>
    <w:p w14:paraId="03EF67B5" w14:textId="77777777" w:rsidR="0029795D" w:rsidRPr="0029795D" w:rsidRDefault="0029795D" w:rsidP="0029795D">
      <w:pPr>
        <w:spacing w:after="0" w:line="240" w:lineRule="auto"/>
        <w:jc w:val="both"/>
        <w:rPr>
          <w:rFonts w:ascii="Verdana" w:eastAsia="Aptos" w:hAnsi="Verdana" w:cs="Times New Roman"/>
          <w:kern w:val="2"/>
          <w14:ligatures w14:val="standardContextual"/>
        </w:rPr>
      </w:pPr>
      <w:r w:rsidRPr="0029795D">
        <w:rPr>
          <w:rFonts w:ascii="Verdana" w:eastAsia="Aptos" w:hAnsi="Verdana" w:cs="Times New Roman"/>
          <w:kern w:val="2"/>
          <w14:ligatures w14:val="standardContextual"/>
        </w:rPr>
        <w:t xml:space="preserve">Twitter: </w:t>
      </w:r>
      <w:r w:rsidRPr="0029795D">
        <w:rPr>
          <w:rFonts w:ascii="Verdana" w:eastAsia="Calibri" w:hAnsi="Verdana" w:cs="Times New Roman"/>
          <w:color w:val="156082"/>
          <w:kern w:val="2"/>
          <w:u w:val="single"/>
          <w14:ligatures w14:val="standardContextual"/>
        </w:rPr>
        <w:t>@colombiacompra</w:t>
      </w:r>
      <w:r w:rsidRPr="0029795D">
        <w:rPr>
          <w:rFonts w:ascii="Verdana" w:eastAsia="Calibri" w:hAnsi="Verdana" w:cs="Times New Roman"/>
          <w:color w:val="156082"/>
          <w:kern w:val="2"/>
          <w14:ligatures w14:val="standardContextual"/>
        </w:rPr>
        <w:t xml:space="preserve"> </w:t>
      </w:r>
    </w:p>
    <w:p w14:paraId="126A43DA" w14:textId="77777777" w:rsidR="0029795D" w:rsidRPr="0029795D" w:rsidRDefault="0029795D" w:rsidP="0029795D">
      <w:pPr>
        <w:spacing w:after="0" w:line="240" w:lineRule="auto"/>
        <w:jc w:val="both"/>
        <w:rPr>
          <w:rFonts w:ascii="Verdana" w:eastAsia="Aptos" w:hAnsi="Verdana" w:cs="Times New Roman"/>
          <w:kern w:val="2"/>
          <w14:ligatures w14:val="standardContextual"/>
        </w:rPr>
      </w:pPr>
      <w:r w:rsidRPr="0029795D">
        <w:rPr>
          <w:rFonts w:ascii="Verdana" w:eastAsia="Aptos" w:hAnsi="Verdana" w:cs="Times New Roman"/>
          <w:kern w:val="2"/>
          <w14:ligatures w14:val="standardContextual"/>
        </w:rPr>
        <w:t xml:space="preserve">Facebook: </w:t>
      </w:r>
      <w:proofErr w:type="spellStart"/>
      <w:r w:rsidRPr="0029795D">
        <w:rPr>
          <w:rFonts w:ascii="Verdana" w:eastAsia="Calibri" w:hAnsi="Verdana" w:cs="Times New Roman"/>
          <w:color w:val="156082"/>
          <w:kern w:val="2"/>
          <w:u w:val="single"/>
          <w14:ligatures w14:val="standardContextual"/>
        </w:rPr>
        <w:t>ColombiaCompraEficiente</w:t>
      </w:r>
      <w:proofErr w:type="spellEnd"/>
    </w:p>
    <w:p w14:paraId="11B9C569" w14:textId="77777777" w:rsidR="0029795D" w:rsidRPr="0029795D" w:rsidRDefault="0029795D" w:rsidP="0029795D">
      <w:pPr>
        <w:spacing w:after="0" w:line="240" w:lineRule="auto"/>
        <w:jc w:val="both"/>
        <w:rPr>
          <w:rFonts w:ascii="Verdana" w:eastAsia="Aptos" w:hAnsi="Verdana" w:cs="Times New Roman"/>
          <w:kern w:val="2"/>
          <w14:ligatures w14:val="standardContextual"/>
        </w:rPr>
      </w:pPr>
      <w:r w:rsidRPr="0029795D">
        <w:rPr>
          <w:rFonts w:ascii="Verdana" w:eastAsia="Aptos" w:hAnsi="Verdana" w:cs="Times New Roman"/>
          <w:kern w:val="2"/>
          <w14:ligatures w14:val="standardContextual"/>
        </w:rPr>
        <w:lastRenderedPageBreak/>
        <w:t xml:space="preserve">LinkedIn: </w:t>
      </w:r>
      <w:r w:rsidRPr="0029795D">
        <w:rPr>
          <w:rFonts w:ascii="Verdana" w:eastAsia="Calibri" w:hAnsi="Verdana" w:cs="Times New Roman"/>
          <w:color w:val="156082"/>
          <w:kern w:val="2"/>
          <w:u w:val="single"/>
          <w14:ligatures w14:val="standardContextual"/>
        </w:rPr>
        <w:t>Agencia Nacional de Contratación Pública - Colombia Compra Eficiente</w:t>
      </w:r>
      <w:r w:rsidRPr="0029795D">
        <w:rPr>
          <w:rFonts w:ascii="Verdana" w:eastAsia="Calibri" w:hAnsi="Verdana" w:cs="Times New Roman"/>
          <w:color w:val="156082"/>
          <w:kern w:val="2"/>
          <w14:ligatures w14:val="standardContextual"/>
        </w:rPr>
        <w:t xml:space="preserve"> </w:t>
      </w:r>
      <w:r w:rsidRPr="0029795D">
        <w:rPr>
          <w:rFonts w:ascii="Verdana" w:eastAsia="Aptos" w:hAnsi="Verdana" w:cs="Times New Roman"/>
          <w:kern w:val="2"/>
          <w14:ligatures w14:val="standardContextual"/>
        </w:rPr>
        <w:t xml:space="preserve">Instagram: </w:t>
      </w:r>
      <w:r w:rsidRPr="0029795D">
        <w:rPr>
          <w:rFonts w:ascii="Verdana" w:eastAsia="Calibri" w:hAnsi="Verdana" w:cs="Times New Roman"/>
          <w:color w:val="156082"/>
          <w:kern w:val="2"/>
          <w:u w:val="single"/>
          <w14:ligatures w14:val="standardContextual"/>
        </w:rPr>
        <w:t>@colombiacompraeficiente_cce</w:t>
      </w:r>
    </w:p>
    <w:p w14:paraId="1ED6FE00" w14:textId="77777777" w:rsidR="0029795D" w:rsidRPr="0029795D" w:rsidRDefault="0029795D" w:rsidP="0029795D">
      <w:pPr>
        <w:spacing w:after="0" w:line="276" w:lineRule="auto"/>
        <w:jc w:val="both"/>
        <w:rPr>
          <w:rFonts w:ascii="Verdana" w:eastAsia="Aptos" w:hAnsi="Verdana" w:cs="Times New Roman"/>
          <w:kern w:val="2"/>
          <w14:ligatures w14:val="standardContextual"/>
        </w:rPr>
      </w:pPr>
    </w:p>
    <w:p w14:paraId="38DB09F6" w14:textId="77777777" w:rsidR="0029795D" w:rsidRPr="0029795D" w:rsidRDefault="0029795D" w:rsidP="0029795D">
      <w:pPr>
        <w:spacing w:after="0" w:line="276" w:lineRule="auto"/>
        <w:jc w:val="both"/>
        <w:rPr>
          <w:rFonts w:ascii="Verdana" w:eastAsia="Calibri" w:hAnsi="Verdana" w:cs="Times New Roman"/>
          <w:bCs/>
          <w:kern w:val="2"/>
          <w:lang w:val="es-ES_tradnl"/>
          <w14:ligatures w14:val="standardContextual"/>
        </w:rPr>
      </w:pPr>
      <w:r w:rsidRPr="0029795D">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619F28A" w14:textId="77777777" w:rsidR="0029795D" w:rsidRPr="0029795D" w:rsidRDefault="0029795D" w:rsidP="0029795D">
      <w:pPr>
        <w:spacing w:after="0" w:line="276" w:lineRule="auto"/>
        <w:jc w:val="both"/>
        <w:rPr>
          <w:rFonts w:ascii="Verdana" w:eastAsia="Calibri" w:hAnsi="Verdana" w:cs="Times New Roman"/>
          <w:kern w:val="2"/>
          <w14:ligatures w14:val="standardContextual"/>
        </w:rPr>
      </w:pPr>
    </w:p>
    <w:p w14:paraId="6C7A7F9B" w14:textId="77777777" w:rsidR="0029795D" w:rsidRPr="0029795D" w:rsidRDefault="0029795D" w:rsidP="0029795D">
      <w:pPr>
        <w:spacing w:after="0" w:line="276" w:lineRule="auto"/>
        <w:jc w:val="both"/>
        <w:rPr>
          <w:rFonts w:ascii="Verdana" w:eastAsia="Calibri" w:hAnsi="Verdana" w:cs="Times New Roman"/>
          <w:kern w:val="2"/>
          <w14:ligatures w14:val="standardContextual"/>
        </w:rPr>
      </w:pPr>
      <w:r w:rsidRPr="0029795D">
        <w:rPr>
          <w:rFonts w:ascii="Verdana" w:eastAsia="Calibri" w:hAnsi="Verdana" w:cs="Times New Roman"/>
          <w:kern w:val="2"/>
          <w14:ligatures w14:val="standardContextual"/>
        </w:rPr>
        <w:t>Atentamente,</w:t>
      </w:r>
    </w:p>
    <w:p w14:paraId="327E5798" w14:textId="77777777" w:rsidR="0029795D" w:rsidRPr="0029795D" w:rsidRDefault="0029795D" w:rsidP="0029795D">
      <w:pPr>
        <w:tabs>
          <w:tab w:val="left" w:pos="1320"/>
        </w:tabs>
        <w:rPr>
          <w:rFonts w:ascii="Century Gothic" w:eastAsia="Aptos" w:hAnsi="Century Gothic" w:cs="Times New Roman"/>
        </w:rPr>
      </w:pPr>
    </w:p>
    <w:p w14:paraId="33F3267B" w14:textId="2C18B0AD" w:rsidR="0029795D" w:rsidRPr="0029795D" w:rsidRDefault="00946033" w:rsidP="0029795D">
      <w:pPr>
        <w:tabs>
          <w:tab w:val="left" w:pos="1320"/>
        </w:tabs>
        <w:jc w:val="center"/>
        <w:rPr>
          <w:rFonts w:ascii="Century Gothic" w:eastAsia="Aptos" w:hAnsi="Century Gothic" w:cs="Times New Roman"/>
        </w:rPr>
      </w:pPr>
      <w:r w:rsidRPr="004D5C25">
        <w:rPr>
          <w:rFonts w:ascii="Century Gothic" w:hAnsi="Century Gothic"/>
          <w:noProof/>
        </w:rPr>
        <w:drawing>
          <wp:inline distT="0" distB="0" distL="0" distR="0" wp14:anchorId="4A3EAB13" wp14:editId="331C9777">
            <wp:extent cx="2422525" cy="1040004"/>
            <wp:effectExtent l="0" t="0" r="3175" b="190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467869" cy="1059471"/>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9795D" w:rsidRPr="0029795D" w14:paraId="638015AC" w14:textId="77777777" w:rsidTr="00D7398E">
        <w:trPr>
          <w:trHeight w:val="315"/>
        </w:trPr>
        <w:tc>
          <w:tcPr>
            <w:tcW w:w="893" w:type="dxa"/>
            <w:vAlign w:val="center"/>
            <w:hideMark/>
          </w:tcPr>
          <w:p w14:paraId="1218025F" w14:textId="77777777" w:rsidR="0029795D" w:rsidRPr="0029795D" w:rsidRDefault="0029795D" w:rsidP="0029795D">
            <w:pPr>
              <w:rPr>
                <w:rFonts w:ascii="Verdana" w:eastAsia="Calibri" w:hAnsi="Verdana" w:cs="Arial"/>
                <w:sz w:val="16"/>
                <w:szCs w:val="16"/>
                <w:lang w:eastAsia="es-ES"/>
              </w:rPr>
            </w:pPr>
            <w:r w:rsidRPr="0029795D">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3E1FA724" w14:textId="0EB2296E" w:rsidR="0029795D" w:rsidRPr="0029795D" w:rsidRDefault="0029795D" w:rsidP="0029795D">
            <w:pPr>
              <w:rPr>
                <w:rFonts w:ascii="Verdana" w:eastAsia="Arial" w:hAnsi="Verdana" w:cs="Arial"/>
                <w:sz w:val="16"/>
                <w:szCs w:val="16"/>
              </w:rPr>
            </w:pPr>
            <w:r w:rsidRPr="0029795D">
              <w:rPr>
                <w:rFonts w:ascii="Verdana" w:eastAsia="Arial" w:hAnsi="Verdana" w:cs="Arial"/>
                <w:sz w:val="16"/>
                <w:szCs w:val="16"/>
              </w:rPr>
              <w:t xml:space="preserve">Carlos Mario </w:t>
            </w:r>
            <w:r w:rsidR="002619D3" w:rsidRPr="0029795D">
              <w:rPr>
                <w:rFonts w:ascii="Verdana" w:eastAsia="Arial" w:hAnsi="Verdana" w:cs="Arial"/>
                <w:sz w:val="16"/>
                <w:szCs w:val="16"/>
              </w:rPr>
              <w:t>Castrillón</w:t>
            </w:r>
            <w:r w:rsidRPr="0029795D">
              <w:rPr>
                <w:rFonts w:ascii="Verdana" w:eastAsia="Arial" w:hAnsi="Verdana" w:cs="Arial"/>
                <w:sz w:val="16"/>
                <w:szCs w:val="16"/>
              </w:rPr>
              <w:t xml:space="preserve"> Endo </w:t>
            </w:r>
          </w:p>
          <w:p w14:paraId="5F5BE57F" w14:textId="77777777" w:rsidR="0029795D" w:rsidRPr="0029795D" w:rsidRDefault="0029795D" w:rsidP="0029795D">
            <w:pPr>
              <w:rPr>
                <w:rFonts w:ascii="Verdana" w:eastAsia="Arial" w:hAnsi="Verdana" w:cs="Arial"/>
                <w:sz w:val="16"/>
                <w:szCs w:val="16"/>
              </w:rPr>
            </w:pPr>
            <w:r w:rsidRPr="0029795D">
              <w:rPr>
                <w:rFonts w:ascii="Verdana" w:eastAsia="Arial" w:hAnsi="Verdana" w:cs="Arial"/>
                <w:sz w:val="16"/>
                <w:szCs w:val="16"/>
              </w:rPr>
              <w:t>Contratista de la Subdirección de Gestión Contractual</w:t>
            </w:r>
          </w:p>
        </w:tc>
      </w:tr>
      <w:tr w:rsidR="0029795D" w:rsidRPr="0029795D" w14:paraId="558D0838" w14:textId="77777777" w:rsidTr="00D7398E">
        <w:trPr>
          <w:trHeight w:val="330"/>
        </w:trPr>
        <w:tc>
          <w:tcPr>
            <w:tcW w:w="893" w:type="dxa"/>
            <w:vAlign w:val="center"/>
            <w:hideMark/>
          </w:tcPr>
          <w:p w14:paraId="43CC4DD6" w14:textId="77777777" w:rsidR="0029795D" w:rsidRPr="0029795D" w:rsidRDefault="0029795D" w:rsidP="0029795D">
            <w:pPr>
              <w:rPr>
                <w:rFonts w:ascii="Verdana" w:eastAsia="Calibri" w:hAnsi="Verdana" w:cs="Arial"/>
                <w:sz w:val="16"/>
                <w:szCs w:val="16"/>
                <w:lang w:eastAsia="es-ES"/>
              </w:rPr>
            </w:pPr>
            <w:r w:rsidRPr="0029795D">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0FD2E93B" w14:textId="77777777" w:rsidR="0029795D" w:rsidRPr="0029795D" w:rsidRDefault="0029795D" w:rsidP="0029795D">
            <w:pPr>
              <w:rPr>
                <w:rFonts w:ascii="Verdana" w:eastAsia="Times New Roman" w:hAnsi="Verdana" w:cs="Segoe UI"/>
                <w:sz w:val="16"/>
                <w:szCs w:val="16"/>
                <w:lang w:eastAsia="es-ES_tradnl"/>
              </w:rPr>
            </w:pPr>
            <w:r w:rsidRPr="0029795D">
              <w:rPr>
                <w:rFonts w:ascii="Verdana" w:eastAsia="Times New Roman" w:hAnsi="Verdana" w:cs="Segoe UI"/>
                <w:sz w:val="16"/>
                <w:szCs w:val="16"/>
                <w:lang w:eastAsia="es-ES_tradnl"/>
              </w:rPr>
              <w:t>Alejandro Gamboa Cárdenas</w:t>
            </w:r>
          </w:p>
          <w:p w14:paraId="294A31C9" w14:textId="77777777" w:rsidR="0029795D" w:rsidRPr="0029795D" w:rsidRDefault="0029795D" w:rsidP="0029795D">
            <w:pPr>
              <w:rPr>
                <w:rFonts w:ascii="Verdana" w:eastAsia="Times New Roman" w:hAnsi="Verdana" w:cs="Segoe UI"/>
                <w:sz w:val="16"/>
                <w:szCs w:val="16"/>
                <w:lang w:eastAsia="es-ES_tradnl"/>
              </w:rPr>
            </w:pPr>
            <w:r w:rsidRPr="0029795D">
              <w:rPr>
                <w:rFonts w:ascii="Verdana" w:eastAsia="Arial" w:hAnsi="Verdana" w:cs="Arial"/>
                <w:sz w:val="16"/>
                <w:szCs w:val="16"/>
              </w:rPr>
              <w:t>Contratista de la Subdirección de Gestión Contractual</w:t>
            </w:r>
          </w:p>
          <w:p w14:paraId="1E64AC16" w14:textId="77777777" w:rsidR="0029795D" w:rsidRPr="0029795D" w:rsidRDefault="0029795D" w:rsidP="0029795D">
            <w:pPr>
              <w:rPr>
                <w:rFonts w:ascii="Verdana" w:eastAsia="Times New Roman" w:hAnsi="Verdana" w:cs="Segoe UI"/>
                <w:sz w:val="16"/>
                <w:szCs w:val="16"/>
                <w:lang w:eastAsia="es-ES_tradnl"/>
              </w:rPr>
            </w:pPr>
            <w:r w:rsidRPr="0029795D">
              <w:rPr>
                <w:rFonts w:ascii="Verdana" w:eastAsia="Times New Roman" w:hAnsi="Verdana" w:cs="Segoe UI"/>
                <w:sz w:val="16"/>
                <w:szCs w:val="16"/>
                <w:lang w:eastAsia="es-ES_tradnl"/>
              </w:rPr>
              <w:t xml:space="preserve">Adriana </w:t>
            </w:r>
            <w:proofErr w:type="spellStart"/>
            <w:r w:rsidRPr="0029795D">
              <w:rPr>
                <w:rFonts w:ascii="Verdana" w:eastAsia="Times New Roman" w:hAnsi="Verdana" w:cs="Segoe UI"/>
                <w:sz w:val="16"/>
                <w:szCs w:val="16"/>
                <w:lang w:eastAsia="es-ES_tradnl"/>
              </w:rPr>
              <w:t>Katerine</w:t>
            </w:r>
            <w:proofErr w:type="spellEnd"/>
            <w:r w:rsidRPr="0029795D">
              <w:rPr>
                <w:rFonts w:ascii="Verdana" w:eastAsia="Times New Roman" w:hAnsi="Verdana" w:cs="Segoe UI"/>
                <w:sz w:val="16"/>
                <w:szCs w:val="16"/>
                <w:lang w:eastAsia="es-ES_tradnl"/>
              </w:rPr>
              <w:t xml:space="preserve"> López </w:t>
            </w:r>
            <w:proofErr w:type="spellStart"/>
            <w:r w:rsidRPr="0029795D">
              <w:rPr>
                <w:rFonts w:ascii="Verdana" w:eastAsia="Times New Roman" w:hAnsi="Verdana" w:cs="Segoe UI"/>
                <w:sz w:val="16"/>
                <w:szCs w:val="16"/>
                <w:lang w:eastAsia="es-ES_tradnl"/>
              </w:rPr>
              <w:t>Rodriguéz</w:t>
            </w:r>
            <w:proofErr w:type="spellEnd"/>
          </w:p>
          <w:p w14:paraId="172A8716" w14:textId="77777777" w:rsidR="0029795D" w:rsidRPr="0029795D" w:rsidRDefault="0029795D" w:rsidP="0029795D">
            <w:pPr>
              <w:rPr>
                <w:rFonts w:ascii="Verdana" w:eastAsia="Times New Roman" w:hAnsi="Verdana" w:cs="Segoe UI"/>
                <w:sz w:val="16"/>
                <w:szCs w:val="16"/>
                <w:lang w:eastAsia="es-ES_tradnl"/>
              </w:rPr>
            </w:pPr>
            <w:r w:rsidRPr="0029795D">
              <w:rPr>
                <w:rFonts w:ascii="Verdana" w:eastAsia="Arial" w:hAnsi="Verdana" w:cs="Arial"/>
                <w:sz w:val="16"/>
                <w:szCs w:val="16"/>
              </w:rPr>
              <w:t>Contratista de la Subdirección de Gestión Contractual</w:t>
            </w:r>
          </w:p>
        </w:tc>
      </w:tr>
      <w:tr w:rsidR="0029795D" w:rsidRPr="0029795D" w14:paraId="3BD6E599" w14:textId="77777777" w:rsidTr="00D7398E">
        <w:trPr>
          <w:trHeight w:val="300"/>
        </w:trPr>
        <w:tc>
          <w:tcPr>
            <w:tcW w:w="893" w:type="dxa"/>
            <w:vAlign w:val="center"/>
          </w:tcPr>
          <w:p w14:paraId="1E813326" w14:textId="77777777" w:rsidR="0029795D" w:rsidRPr="0029795D" w:rsidRDefault="0029795D" w:rsidP="0029795D">
            <w:pPr>
              <w:rPr>
                <w:rFonts w:ascii="Verdana" w:eastAsia="Calibri" w:hAnsi="Verdana" w:cs="Arial"/>
                <w:sz w:val="16"/>
                <w:szCs w:val="16"/>
                <w:lang w:eastAsia="es-ES"/>
              </w:rPr>
            </w:pPr>
            <w:r w:rsidRPr="0029795D">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5D93F45F" w14:textId="77777777" w:rsidR="0029795D" w:rsidRPr="0029795D" w:rsidRDefault="0029795D" w:rsidP="0029795D">
            <w:pPr>
              <w:rPr>
                <w:rFonts w:ascii="Verdana" w:eastAsia="Calibri" w:hAnsi="Verdana" w:cs="Arial"/>
                <w:sz w:val="16"/>
                <w:szCs w:val="16"/>
                <w:lang w:eastAsia="es-ES"/>
              </w:rPr>
            </w:pPr>
            <w:r w:rsidRPr="0029795D">
              <w:rPr>
                <w:rFonts w:ascii="Verdana" w:eastAsia="Calibri" w:hAnsi="Verdana" w:cs="Arial"/>
                <w:sz w:val="16"/>
                <w:szCs w:val="16"/>
                <w:lang w:eastAsia="es-ES"/>
              </w:rPr>
              <w:t xml:space="preserve">Carolina Quintero </w:t>
            </w:r>
            <w:proofErr w:type="spellStart"/>
            <w:r w:rsidRPr="0029795D">
              <w:rPr>
                <w:rFonts w:ascii="Verdana" w:eastAsia="Calibri" w:hAnsi="Verdana" w:cs="Arial"/>
                <w:sz w:val="16"/>
                <w:szCs w:val="16"/>
                <w:lang w:eastAsia="es-ES"/>
              </w:rPr>
              <w:t>Gacharná</w:t>
            </w:r>
            <w:proofErr w:type="spellEnd"/>
          </w:p>
          <w:p w14:paraId="1012C9DD" w14:textId="77777777" w:rsidR="0029795D" w:rsidRPr="0029795D" w:rsidRDefault="0029795D" w:rsidP="0029795D">
            <w:pPr>
              <w:rPr>
                <w:rFonts w:ascii="Verdana" w:eastAsia="Calibri" w:hAnsi="Verdana" w:cs="Arial"/>
                <w:sz w:val="16"/>
                <w:szCs w:val="16"/>
                <w:lang w:eastAsia="es-ES"/>
              </w:rPr>
            </w:pPr>
            <w:r w:rsidRPr="0029795D">
              <w:rPr>
                <w:rFonts w:ascii="Verdana" w:eastAsia="Calibri" w:hAnsi="Verdana" w:cs="Arial"/>
                <w:sz w:val="16"/>
                <w:szCs w:val="16"/>
                <w:lang w:eastAsia="es-ES"/>
              </w:rPr>
              <w:t>Subdirectora de Gestión Contractual ANCP – CCE</w:t>
            </w:r>
          </w:p>
        </w:tc>
      </w:tr>
    </w:tbl>
    <w:p w14:paraId="3E32EEE8" w14:textId="77777777" w:rsidR="0029795D" w:rsidRPr="0029795D" w:rsidRDefault="0029795D" w:rsidP="0029795D">
      <w:pPr>
        <w:tabs>
          <w:tab w:val="left" w:pos="1320"/>
        </w:tabs>
        <w:rPr>
          <w:rFonts w:ascii="Calibri" w:eastAsia="Calibri" w:hAnsi="Calibri" w:cs="Times New Roman"/>
        </w:rPr>
      </w:pPr>
    </w:p>
    <w:p w14:paraId="43040955" w14:textId="77777777" w:rsidR="0029795D" w:rsidRPr="0029795D" w:rsidRDefault="0029795D" w:rsidP="0029795D">
      <w:pPr>
        <w:tabs>
          <w:tab w:val="left" w:pos="1320"/>
        </w:tabs>
        <w:rPr>
          <w:rFonts w:ascii="Century Gothic" w:eastAsia="Aptos" w:hAnsi="Century Gothic" w:cs="Times New Roman"/>
        </w:rPr>
      </w:pPr>
    </w:p>
    <w:p w14:paraId="0CE6CD8F" w14:textId="77777777" w:rsidR="0029795D" w:rsidRPr="0029795D" w:rsidRDefault="0029795D" w:rsidP="0029795D">
      <w:pPr>
        <w:tabs>
          <w:tab w:val="left" w:pos="1320"/>
        </w:tabs>
        <w:rPr>
          <w:rFonts w:ascii="Century Gothic" w:eastAsia="Aptos" w:hAnsi="Century Gothic" w:cs="Times New Roman"/>
        </w:rPr>
      </w:pPr>
    </w:p>
    <w:p w14:paraId="0D68ABF6" w14:textId="77777777" w:rsidR="0029795D" w:rsidRPr="0029795D" w:rsidRDefault="0029795D" w:rsidP="0029795D">
      <w:pPr>
        <w:spacing w:line="278" w:lineRule="auto"/>
        <w:rPr>
          <w:rFonts w:ascii="Aptos" w:eastAsia="Aptos" w:hAnsi="Aptos" w:cs="Times New Roman"/>
          <w:kern w:val="2"/>
          <w:sz w:val="24"/>
          <w:szCs w:val="24"/>
          <w14:ligatures w14:val="standardContextual"/>
        </w:rPr>
      </w:pPr>
    </w:p>
    <w:p w14:paraId="0399BB03" w14:textId="77777777" w:rsidR="0029795D" w:rsidRPr="0029795D" w:rsidRDefault="0029795D" w:rsidP="0029795D">
      <w:pPr>
        <w:rPr>
          <w:rFonts w:ascii="Aptos" w:eastAsia="Aptos" w:hAnsi="Aptos" w:cs="Times New Roman"/>
        </w:rPr>
      </w:pPr>
    </w:p>
    <w:p w14:paraId="3BA80FDF" w14:textId="77777777" w:rsidR="0029795D" w:rsidRPr="0029795D" w:rsidRDefault="0029795D" w:rsidP="0029795D">
      <w:pPr>
        <w:rPr>
          <w:rFonts w:ascii="Aptos" w:eastAsia="Aptos" w:hAnsi="Aptos" w:cs="Times New Roman"/>
        </w:rPr>
      </w:pPr>
    </w:p>
    <w:p w14:paraId="3975B72D" w14:textId="77777777" w:rsidR="0029795D" w:rsidRPr="0029795D" w:rsidRDefault="0029795D" w:rsidP="0029795D">
      <w:pPr>
        <w:rPr>
          <w:rFonts w:ascii="Calibri" w:eastAsia="Calibri" w:hAnsi="Calibri" w:cs="Times New Roman"/>
        </w:rPr>
      </w:pPr>
    </w:p>
    <w:p w14:paraId="74011907" w14:textId="77777777" w:rsidR="0029795D" w:rsidRPr="0029795D" w:rsidRDefault="0029795D" w:rsidP="0029795D">
      <w:pPr>
        <w:spacing w:line="278" w:lineRule="auto"/>
        <w:rPr>
          <w:rFonts w:ascii="Aptos" w:eastAsia="Aptos" w:hAnsi="Aptos" w:cs="Times New Roman"/>
          <w:kern w:val="2"/>
          <w:sz w:val="24"/>
          <w:szCs w:val="24"/>
          <w14:ligatures w14:val="standardContextual"/>
        </w:rPr>
      </w:pPr>
    </w:p>
    <w:p w14:paraId="0F293BF4" w14:textId="6A0E9E02" w:rsidR="00127233" w:rsidRPr="00D448E3" w:rsidRDefault="00127233" w:rsidP="00D448E3"/>
    <w:sectPr w:rsidR="00127233" w:rsidRPr="00D448E3"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Calibri">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9795D">
      <w:rPr>
        <w:rFonts w:ascii="Verdana" w:eastAsia="Times New Roman" w:hAnsi="Verdana" w:cs="Times New Roman"/>
        <w:b/>
        <w:bCs/>
        <w:sz w:val="16"/>
        <w:szCs w:val="16"/>
        <w:lang w:val="es-ES"/>
      </w:rPr>
      <w:t xml:space="preserve">pág. </w:t>
    </w:r>
    <w:r w:rsidRPr="0029795D">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29795D">
      <w:rPr>
        <w:rFonts w:ascii="Verdana" w:eastAsia="Times New Roman" w:hAnsi="Verdana"/>
        <w:b/>
        <w:bCs/>
        <w:sz w:val="16"/>
        <w:szCs w:val="16"/>
      </w:rPr>
      <w:fldChar w:fldCharType="separate"/>
    </w:r>
    <w:r w:rsidRPr="0029795D">
      <w:rPr>
        <w:rFonts w:ascii="Verdana" w:eastAsia="Times New Roman" w:hAnsi="Verdana"/>
        <w:b/>
        <w:bCs/>
        <w:sz w:val="16"/>
        <w:szCs w:val="16"/>
      </w:rPr>
      <w:t>1</w:t>
    </w:r>
    <w:r w:rsidRPr="0029795D">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id="1">
    <w:p w14:paraId="03008B5C" w14:textId="77777777" w:rsidR="0029795D" w:rsidRPr="0029795D" w:rsidRDefault="0029795D" w:rsidP="0029795D">
      <w:pPr>
        <w:pStyle w:val="Textonotapie"/>
        <w:ind w:firstLine="708"/>
        <w:jc w:val="both"/>
        <w:rPr>
          <w:rFonts w:ascii="Verdana" w:hAnsi="Verdana" w:cs="Arial"/>
          <w:color w:val="000000"/>
          <w:sz w:val="19"/>
          <w:szCs w:val="19"/>
        </w:rPr>
      </w:pPr>
      <w:r w:rsidRPr="0029795D">
        <w:rPr>
          <w:rStyle w:val="Refdenotaalpie"/>
          <w:rFonts w:ascii="Verdana" w:hAnsi="Verdana" w:cs="Arial"/>
          <w:color w:val="000000"/>
          <w:sz w:val="19"/>
          <w:szCs w:val="19"/>
        </w:rPr>
        <w:footnoteRef/>
      </w:r>
      <w:r w:rsidRPr="0029795D">
        <w:rPr>
          <w:rFonts w:ascii="Verdana" w:hAnsi="Verdana" w:cs="Arial"/>
          <w:color w:val="000000"/>
          <w:sz w:val="19"/>
          <w:szCs w:val="19"/>
        </w:rPr>
        <w:t xml:space="preserve"> Artículo 2.2.1.1.2.1.1. del Decreto 1082 de 2015.</w:t>
      </w:r>
    </w:p>
  </w:footnote>
  <w:footnote w:id="2">
    <w:p w14:paraId="46EEE7AB" w14:textId="77777777" w:rsidR="0029795D" w:rsidRPr="0029795D" w:rsidRDefault="0029795D" w:rsidP="0029795D">
      <w:pPr>
        <w:pStyle w:val="Textonotapie"/>
        <w:ind w:firstLine="708"/>
        <w:jc w:val="both"/>
        <w:rPr>
          <w:rFonts w:ascii="Verdana" w:hAnsi="Verdana" w:cs="Arial"/>
          <w:color w:val="000000"/>
          <w:sz w:val="19"/>
          <w:szCs w:val="19"/>
        </w:rPr>
      </w:pPr>
      <w:r w:rsidRPr="005671A9">
        <w:rPr>
          <w:rStyle w:val="Refdenotaalpie"/>
          <w:rFonts w:ascii="Verdana" w:hAnsi="Verdana" w:cs="Arial"/>
          <w:sz w:val="19"/>
          <w:szCs w:val="19"/>
        </w:rPr>
        <w:footnoteRef/>
      </w:r>
      <w:r w:rsidRPr="005671A9">
        <w:rPr>
          <w:rFonts w:ascii="Verdana" w:hAnsi="Verdana" w:cs="Arial"/>
          <w:sz w:val="19"/>
          <w:szCs w:val="19"/>
        </w:rPr>
        <w:t xml:space="preserve"> </w:t>
      </w:r>
      <w:r w:rsidRPr="0029795D">
        <w:rPr>
          <w:rFonts w:ascii="Verdana" w:hAnsi="Verdana" w:cs="Arial"/>
          <w:color w:val="000000"/>
          <w:sz w:val="19"/>
          <w:szCs w:val="19"/>
        </w:rPr>
        <w:t>Consejo de Estado. Sección Tercera. Sentencia del 27 de abril de 2011. Exp. 18.293. C.P. Ruth Stella Correa Palacio.</w:t>
      </w:r>
    </w:p>
    <w:p w14:paraId="563A5B25" w14:textId="77777777" w:rsidR="0029795D" w:rsidRPr="005671A9" w:rsidRDefault="0029795D" w:rsidP="0029795D">
      <w:pPr>
        <w:pStyle w:val="Textonotapie"/>
        <w:ind w:firstLine="708"/>
        <w:jc w:val="both"/>
        <w:rPr>
          <w:rFonts w:ascii="Verdana" w:eastAsia="Calibri" w:hAnsi="Verdana" w:cs="Arial"/>
          <w:sz w:val="19"/>
          <w:szCs w:val="19"/>
          <w:lang w:val="es-CO"/>
        </w:rPr>
      </w:pPr>
    </w:p>
  </w:footnote>
  <w:footnote w:id="3">
    <w:p w14:paraId="17C78AFD" w14:textId="77777777" w:rsidR="0029795D" w:rsidRPr="005671A9" w:rsidRDefault="0029795D" w:rsidP="0029795D">
      <w:pPr>
        <w:pStyle w:val="Textonotapie"/>
        <w:ind w:firstLine="708"/>
        <w:jc w:val="both"/>
        <w:rPr>
          <w:rFonts w:ascii="Verdana" w:hAnsi="Verdana" w:cs="Arial"/>
          <w:sz w:val="19"/>
          <w:szCs w:val="19"/>
        </w:rPr>
      </w:pPr>
      <w:r w:rsidRPr="005671A9">
        <w:rPr>
          <w:rStyle w:val="Refdenotaalpie"/>
          <w:rFonts w:ascii="Verdana" w:hAnsi="Verdana" w:cs="Arial"/>
          <w:sz w:val="19"/>
          <w:szCs w:val="19"/>
        </w:rPr>
        <w:footnoteRef/>
      </w:r>
      <w:r w:rsidRPr="005671A9">
        <w:rPr>
          <w:rFonts w:ascii="Verdana" w:hAnsi="Verdana" w:cs="Arial"/>
          <w:sz w:val="19"/>
          <w:szCs w:val="19"/>
        </w:rPr>
        <w:t xml:space="preserve"> El numeral 1.15 del documento base establece: «1.15 Causales de rechazo. </w:t>
      </w:r>
    </w:p>
    <w:p w14:paraId="5D2BB8A4" w14:textId="77777777" w:rsidR="0029795D" w:rsidRPr="005671A9" w:rsidRDefault="0029795D" w:rsidP="0029795D">
      <w:pPr>
        <w:spacing w:line="240" w:lineRule="auto"/>
        <w:jc w:val="both"/>
        <w:rPr>
          <w:rFonts w:ascii="Verdana" w:eastAsia="Arial" w:hAnsi="Verdana" w:cs="Arial"/>
          <w:sz w:val="19"/>
          <w:szCs w:val="19"/>
        </w:rPr>
      </w:pPr>
      <w:r w:rsidRPr="005671A9">
        <w:rPr>
          <w:rFonts w:ascii="Verdana" w:hAnsi="Verdana" w:cs="Arial"/>
          <w:sz w:val="19"/>
          <w:szCs w:val="19"/>
        </w:rPr>
        <w:t>Son</w:t>
      </w:r>
      <w:r w:rsidRPr="005671A9">
        <w:rPr>
          <w:rFonts w:ascii="Verdana" w:eastAsia="Arial" w:hAnsi="Verdana" w:cs="Arial"/>
          <w:sz w:val="19"/>
          <w:szCs w:val="19"/>
        </w:rPr>
        <w:t xml:space="preserve"> </w:t>
      </w:r>
      <w:r w:rsidRPr="005671A9">
        <w:rPr>
          <w:rFonts w:ascii="Verdana" w:hAnsi="Verdana" w:cs="Arial"/>
          <w:sz w:val="19"/>
          <w:szCs w:val="19"/>
        </w:rPr>
        <w:t>causales</w:t>
      </w:r>
      <w:r w:rsidRPr="005671A9">
        <w:rPr>
          <w:rFonts w:ascii="Verdana" w:eastAsia="Arial" w:hAnsi="Verdana" w:cs="Arial"/>
          <w:sz w:val="19"/>
          <w:szCs w:val="19"/>
        </w:rPr>
        <w:t xml:space="preserve"> </w:t>
      </w:r>
      <w:r w:rsidRPr="005671A9">
        <w:rPr>
          <w:rFonts w:ascii="Verdana" w:hAnsi="Verdana" w:cs="Arial"/>
          <w:sz w:val="19"/>
          <w:szCs w:val="19"/>
        </w:rPr>
        <w:t>de</w:t>
      </w:r>
      <w:r w:rsidRPr="005671A9">
        <w:rPr>
          <w:rFonts w:ascii="Verdana" w:eastAsia="Arial" w:hAnsi="Verdana" w:cs="Arial"/>
          <w:sz w:val="19"/>
          <w:szCs w:val="19"/>
        </w:rPr>
        <w:t xml:space="preserve"> </w:t>
      </w:r>
      <w:r w:rsidRPr="005671A9">
        <w:rPr>
          <w:rFonts w:ascii="Verdana" w:hAnsi="Verdana" w:cs="Arial"/>
          <w:sz w:val="19"/>
          <w:szCs w:val="19"/>
        </w:rPr>
        <w:t>rechazo</w:t>
      </w:r>
      <w:r w:rsidRPr="005671A9">
        <w:rPr>
          <w:rFonts w:ascii="Verdana" w:eastAsia="Arial" w:hAnsi="Verdana" w:cs="Arial"/>
          <w:sz w:val="19"/>
          <w:szCs w:val="19"/>
        </w:rPr>
        <w:t xml:space="preserve"> </w:t>
      </w:r>
      <w:r w:rsidRPr="005671A9">
        <w:rPr>
          <w:rFonts w:ascii="Verdana" w:hAnsi="Verdana" w:cs="Arial"/>
          <w:sz w:val="19"/>
          <w:szCs w:val="19"/>
        </w:rPr>
        <w:t>las</w:t>
      </w:r>
      <w:r w:rsidRPr="005671A9">
        <w:rPr>
          <w:rFonts w:ascii="Verdana" w:eastAsia="Arial" w:hAnsi="Verdana" w:cs="Arial"/>
          <w:sz w:val="19"/>
          <w:szCs w:val="19"/>
        </w:rPr>
        <w:t xml:space="preserve"> </w:t>
      </w:r>
      <w:r w:rsidRPr="005671A9">
        <w:rPr>
          <w:rFonts w:ascii="Verdana" w:hAnsi="Verdana" w:cs="Arial"/>
          <w:sz w:val="19"/>
          <w:szCs w:val="19"/>
        </w:rPr>
        <w:t xml:space="preserve">siguientes </w:t>
      </w:r>
      <w:r w:rsidRPr="005671A9">
        <w:rPr>
          <w:rFonts w:ascii="Verdana" w:hAnsi="Verdana" w:cs="Arial"/>
          <w:sz w:val="19"/>
          <w:szCs w:val="19"/>
          <w:highlight w:val="lightGray"/>
        </w:rPr>
        <w:t>[Las entidades no podrán modificar o incluir causales de rechazo distintas a las señaladas en la presente sección]</w:t>
      </w:r>
      <w:r w:rsidRPr="005671A9">
        <w:rPr>
          <w:rFonts w:ascii="Verdana" w:hAnsi="Verdana" w:cs="Arial"/>
          <w:sz w:val="19"/>
          <w:szCs w:val="19"/>
        </w:rPr>
        <w:t>:</w:t>
      </w:r>
    </w:p>
    <w:p w14:paraId="71575646"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Que el proponente o alguno de los integrantes del proponente plural esté incurso en causal de inhabilidad, incompatibilidad o prohibición previstas en la legislación colombiana para contratar.</w:t>
      </w:r>
    </w:p>
    <w:p w14:paraId="3E95AE72" w14:textId="77777777" w:rsidR="0029795D" w:rsidRPr="005671A9" w:rsidRDefault="0029795D" w:rsidP="0029795D">
      <w:pPr>
        <w:pStyle w:val="Prrafodelista"/>
        <w:spacing w:line="240" w:lineRule="auto"/>
        <w:jc w:val="both"/>
        <w:rPr>
          <w:rFonts w:ascii="Verdana" w:eastAsia="Arial" w:hAnsi="Verdana" w:cs="Arial"/>
          <w:sz w:val="19"/>
          <w:szCs w:val="19"/>
          <w:lang w:eastAsia="es-CO"/>
        </w:rPr>
      </w:pPr>
      <w:r w:rsidRPr="005671A9">
        <w:rPr>
          <w:rFonts w:ascii="Verdana" w:eastAsia="Arial" w:hAnsi="Verdana" w:cs="Arial"/>
          <w:sz w:val="19"/>
          <w:szCs w:val="19"/>
          <w:highlight w:val="lightGray"/>
          <w:lang w:eastAsia="es-CO"/>
        </w:rPr>
        <w:t>[Cuando en un mismo proceso de contratación se presentan oferentes en la situación descrita por los literales g) y h) del numeral 1 del artículo 8 de la</w:t>
      </w:r>
      <w:hyperlink r:id="rId1" w:history="1">
        <w:r w:rsidRPr="005671A9">
          <w:rPr>
            <w:rFonts w:ascii="Verdana" w:eastAsia="Arial" w:hAnsi="Verdana" w:cs="Arial"/>
            <w:sz w:val="19"/>
            <w:szCs w:val="19"/>
            <w:highlight w:val="lightGray"/>
            <w:lang w:eastAsia="es-CO"/>
          </w:rPr>
          <w:t> Ley 80 de 1993, </w:t>
        </w:r>
      </w:hyperlink>
      <w:r w:rsidRPr="005671A9">
        <w:rPr>
          <w:rFonts w:ascii="Verdana" w:eastAsia="Arial" w:hAnsi="Verdana" w:cs="Arial"/>
          <w:sz w:val="19"/>
          <w:szCs w:val="19"/>
          <w:highlight w:val="lightGray"/>
          <w:lang w:eastAsia="es-CO"/>
        </w:rPr>
        <w:t>la entidad solo admitirá la oferta presentada primero en el tiempo]</w:t>
      </w:r>
    </w:p>
    <w:p w14:paraId="0F521E5D" w14:textId="77777777" w:rsidR="0029795D" w:rsidRPr="005671A9" w:rsidRDefault="0029795D" w:rsidP="0029795D">
      <w:pPr>
        <w:pStyle w:val="Prrafodelista"/>
        <w:numPr>
          <w:ilvl w:val="0"/>
          <w:numId w:val="22"/>
        </w:numPr>
        <w:spacing w:after="0" w:line="240" w:lineRule="auto"/>
        <w:jc w:val="both"/>
        <w:rPr>
          <w:rFonts w:ascii="Verdana" w:hAnsi="Verdana" w:cs="Arial"/>
          <w:sz w:val="19"/>
          <w:szCs w:val="19"/>
          <w:lang w:eastAsia="es-CO"/>
        </w:rPr>
      </w:pPr>
      <w:bookmarkStart w:id="9" w:name="_Hlk517183916"/>
      <w:r w:rsidRPr="005671A9">
        <w:rPr>
          <w:rFonts w:ascii="Verdana" w:eastAsia="Arial" w:hAnsi="Verdana" w:cs="Arial"/>
          <w:sz w:val="19"/>
          <w:szCs w:val="19"/>
          <w:lang w:eastAsia="es-CO"/>
        </w:rPr>
        <w:t>Cuando una misma persona natural o jurídica, o integrante de un proponente plural presente o haga parte en más de una propuesta para el presente proceso de contratación.</w:t>
      </w:r>
    </w:p>
    <w:p w14:paraId="5C638C2F" w14:textId="77777777" w:rsidR="0029795D" w:rsidRPr="005671A9" w:rsidRDefault="0029795D" w:rsidP="0029795D">
      <w:pPr>
        <w:spacing w:after="0" w:line="240" w:lineRule="auto"/>
        <w:ind w:left="708"/>
        <w:jc w:val="both"/>
        <w:rPr>
          <w:rFonts w:ascii="Verdana" w:hAnsi="Verdana" w:cs="Arial"/>
          <w:sz w:val="19"/>
          <w:szCs w:val="19"/>
          <w:lang w:eastAsia="es-CO"/>
        </w:rPr>
      </w:pPr>
      <w:r w:rsidRPr="005671A9">
        <w:rPr>
          <w:rFonts w:ascii="Verdana" w:eastAsia="Arial" w:hAnsi="Verdana" w:cs="Arial"/>
          <w:sz w:val="19"/>
          <w:szCs w:val="19"/>
          <w:highlight w:val="lightGray"/>
          <w:lang w:eastAsia="es-CO"/>
        </w:rPr>
        <w:t>[Reemplazar el texto anterior por el siguiente, cuando el proceso es estructurado por lotes o grupos: Cuando una misma persona natural o jurídica, o integrante de un proponente plural presente o haga parte en más de una propuesta para el mismo lote o grupo del presente proceso de contratación]</w:t>
      </w:r>
      <w:r w:rsidRPr="005671A9">
        <w:rPr>
          <w:rFonts w:ascii="Verdana" w:eastAsia="Arial,Calibri" w:hAnsi="Verdana" w:cs="Arial"/>
          <w:sz w:val="19"/>
          <w:szCs w:val="19"/>
          <w:lang w:eastAsia="es-CO"/>
        </w:rPr>
        <w:t xml:space="preserve"> </w:t>
      </w:r>
    </w:p>
    <w:bookmarkEnd w:id="9"/>
    <w:p w14:paraId="7205BBF7" w14:textId="77777777" w:rsidR="0029795D" w:rsidRPr="005671A9" w:rsidRDefault="0029795D" w:rsidP="0029795D">
      <w:pPr>
        <w:pStyle w:val="Prrafodelista"/>
        <w:numPr>
          <w:ilvl w:val="0"/>
          <w:numId w:val="22"/>
        </w:numPr>
        <w:spacing w:after="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Que el proponente o alguno de los integrantes del proponente plural esté reportado en el Boletín de Responsables Fiscales emitido por la Contraloría General de la República.</w:t>
      </w:r>
    </w:p>
    <w:p w14:paraId="6108EB37" w14:textId="77777777" w:rsidR="0029795D" w:rsidRPr="005671A9" w:rsidRDefault="0029795D" w:rsidP="0029795D">
      <w:pPr>
        <w:pStyle w:val="Prrafodelista"/>
        <w:numPr>
          <w:ilvl w:val="0"/>
          <w:numId w:val="22"/>
        </w:numPr>
        <w:spacing w:after="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Que la persona jurídica proponente individual o integrante del proponente plural esté incursa en la situación descrita en el numeral 1 del artículo 38 de la Ley 1116 de 2006.</w:t>
      </w:r>
    </w:p>
    <w:p w14:paraId="2E3479D1"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bookmarkStart w:id="10" w:name="_Hlk54629912"/>
      <w:r w:rsidRPr="005671A9">
        <w:rPr>
          <w:rFonts w:ascii="Verdana" w:eastAsia="Arial" w:hAnsi="Verdana" w:cs="Arial"/>
          <w:sz w:val="19"/>
          <w:szCs w:val="19"/>
          <w:lang w:eastAsia="es-CO"/>
        </w:rPr>
        <w:t>Que el proponente no aclare, subsane o aporte documentos necesarios para cumplir un requisito habilitante o aportándolos no lo haga de forma correcta, en los términos establecidos en la sección 1.6.</w:t>
      </w:r>
      <w:bookmarkEnd w:id="10"/>
    </w:p>
    <w:p w14:paraId="2E3222CA"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bookmarkStart w:id="11" w:name="_Hlk516133201"/>
      <w:r w:rsidRPr="005671A9">
        <w:rPr>
          <w:rFonts w:ascii="Verdana" w:eastAsia="Arial" w:hAnsi="Verdana" w:cs="Arial"/>
          <w:sz w:val="19"/>
          <w:szCs w:val="19"/>
          <w:lang w:eastAsia="es-CO"/>
        </w:rPr>
        <w:t xml:space="preserve">Que la </w:t>
      </w:r>
      <w:r w:rsidRPr="005671A9">
        <w:rPr>
          <w:rFonts w:ascii="Verdana" w:eastAsia="Arial" w:hAnsi="Verdana" w:cs="Arial"/>
          <w:iCs/>
          <w:sz w:val="19"/>
          <w:szCs w:val="19"/>
          <w:lang w:eastAsia="es-CO"/>
        </w:rPr>
        <w:t>inscripción en el Registro</w:t>
      </w:r>
      <w:r w:rsidRPr="005671A9">
        <w:rPr>
          <w:rFonts w:ascii="Verdana" w:eastAsia="Arial" w:hAnsi="Verdana" w:cs="Arial"/>
          <w:sz w:val="19"/>
          <w:szCs w:val="19"/>
          <w:lang w:eastAsia="es-CO"/>
        </w:rPr>
        <w:t xml:space="preserve"> Único de Proponentes (RUP</w:t>
      </w:r>
      <w:r w:rsidRPr="005671A9">
        <w:rPr>
          <w:rFonts w:ascii="Verdana" w:eastAsia="Arial,Calibri" w:hAnsi="Verdana" w:cs="Arial"/>
          <w:sz w:val="19"/>
          <w:szCs w:val="19"/>
          <w:lang w:eastAsia="es-CO"/>
        </w:rPr>
        <w:t>)</w:t>
      </w:r>
      <w:r w:rsidRPr="005671A9">
        <w:rPr>
          <w:rFonts w:ascii="Verdana" w:eastAsia="Arial" w:hAnsi="Verdana" w:cs="Arial"/>
          <w:sz w:val="19"/>
          <w:szCs w:val="19"/>
          <w:lang w:eastAsia="es-CO"/>
        </w:rPr>
        <w:t xml:space="preserve"> que realice el proponente por primera vez o cuando han cesado los efectos y debe volver a inscribirse, no esté en firme en la fecha prevista para el cierre del proceso de contratación.</w:t>
      </w:r>
    </w:p>
    <w:p w14:paraId="546D6D62"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bookmarkStart w:id="12" w:name="_Hlk54629959"/>
      <w:r w:rsidRPr="005671A9">
        <w:rPr>
          <w:rFonts w:ascii="Verdana" w:eastAsia="Arial" w:hAnsi="Verdana" w:cs="Arial"/>
          <w:sz w:val="19"/>
          <w:szCs w:val="19"/>
          <w:lang w:eastAsia="es-CO"/>
        </w:rPr>
        <w:t xml:space="preserve">Que el proponente no acredite la presentación de la información para </w:t>
      </w:r>
      <w:r w:rsidRPr="005671A9">
        <w:rPr>
          <w:rFonts w:ascii="Verdana" w:eastAsia="Arial" w:hAnsi="Verdana" w:cs="Arial"/>
          <w:i/>
          <w:iCs/>
          <w:sz w:val="19"/>
          <w:szCs w:val="19"/>
          <w:lang w:eastAsia="es-CO"/>
        </w:rPr>
        <w:t>renovar</w:t>
      </w:r>
      <w:r w:rsidRPr="005671A9">
        <w:rPr>
          <w:rFonts w:ascii="Verdana" w:eastAsia="Arial" w:hAnsi="Verdana" w:cs="Arial"/>
          <w:sz w:val="19"/>
          <w:szCs w:val="19"/>
          <w:lang w:eastAsia="es-CO"/>
        </w:rPr>
        <w:t xml:space="preserve"> el Registro Único de Proponentes (RUP), a más tardar el quinto día hábil del mes de abril de cada año, o en la fecha que establezca la ley o el reglamento, si fuera una distinta</w:t>
      </w:r>
      <w:bookmarkEnd w:id="12"/>
      <w:r w:rsidRPr="005671A9">
        <w:rPr>
          <w:rFonts w:ascii="Verdana" w:eastAsia="Arial" w:hAnsi="Verdana" w:cs="Arial"/>
          <w:sz w:val="19"/>
          <w:szCs w:val="19"/>
          <w:lang w:eastAsia="es-CO"/>
        </w:rPr>
        <w:t xml:space="preserve">. </w:t>
      </w:r>
      <w:bookmarkEnd w:id="11"/>
    </w:p>
    <w:p w14:paraId="050A25D1"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r w:rsidRPr="005671A9">
        <w:rPr>
          <w:rFonts w:ascii="Verdana" w:eastAsia="Arial" w:hAnsi="Verdana" w:cs="Arial"/>
          <w:sz w:val="19"/>
          <w:szCs w:val="19"/>
          <w:lang w:eastAsia="es-CO"/>
        </w:rPr>
        <w:t>Que</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proponente</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 xml:space="preserve">aporte información inexacta </w:t>
      </w:r>
      <w:r w:rsidRPr="0029795D">
        <w:rPr>
          <w:rFonts w:ascii="Verdana" w:eastAsia="Times New Roman" w:hAnsi="Verdana" w:cs="Arial"/>
          <w:sz w:val="19"/>
          <w:szCs w:val="19"/>
          <w:lang w:eastAsia="es-CO"/>
        </w:rPr>
        <w:t>sobre la cual pueda existir una posible falsedad</w:t>
      </w:r>
      <w:r w:rsidRPr="0029795D" w:rsidDel="003061D1">
        <w:rPr>
          <w:rFonts w:ascii="Verdana" w:eastAsia="Times New Roman" w:hAnsi="Verdana" w:cs="Arial"/>
          <w:sz w:val="19"/>
          <w:szCs w:val="19"/>
          <w:lang w:eastAsia="es-CO"/>
        </w:rPr>
        <w:t xml:space="preserve"> </w:t>
      </w:r>
      <w:r w:rsidRPr="0029795D">
        <w:rPr>
          <w:rFonts w:ascii="Verdana" w:eastAsia="Times New Roman" w:hAnsi="Verdana" w:cs="Arial"/>
          <w:sz w:val="19"/>
          <w:szCs w:val="19"/>
          <w:lang w:eastAsia="es-CO"/>
        </w:rPr>
        <w:t xml:space="preserve">en los términos de la sección </w:t>
      </w:r>
      <w:r w:rsidRPr="0029795D">
        <w:rPr>
          <w:rFonts w:ascii="Verdana" w:eastAsia="Times New Roman" w:hAnsi="Verdana" w:cs="Arial"/>
          <w:sz w:val="19"/>
          <w:szCs w:val="19"/>
          <w:lang w:eastAsia="es-CO"/>
        </w:rPr>
        <w:fldChar w:fldCharType="begin"/>
      </w:r>
      <w:r w:rsidRPr="0029795D">
        <w:rPr>
          <w:rFonts w:ascii="Verdana" w:eastAsia="Times New Roman" w:hAnsi="Verdana" w:cs="Arial"/>
          <w:sz w:val="19"/>
          <w:szCs w:val="19"/>
          <w:lang w:eastAsia="es-CO"/>
        </w:rPr>
        <w:instrText xml:space="preserve"> REF _Ref4940712 \r \h  \* MERGEFORMAT </w:instrText>
      </w:r>
      <w:r w:rsidRPr="0029795D">
        <w:rPr>
          <w:rFonts w:ascii="Verdana" w:eastAsia="Times New Roman" w:hAnsi="Verdana" w:cs="Arial"/>
          <w:sz w:val="19"/>
          <w:szCs w:val="19"/>
          <w:lang w:eastAsia="es-CO"/>
        </w:rPr>
      </w:r>
      <w:r w:rsidRPr="0029795D">
        <w:rPr>
          <w:rFonts w:ascii="Verdana" w:eastAsia="Times New Roman" w:hAnsi="Verdana" w:cs="Arial"/>
          <w:sz w:val="19"/>
          <w:szCs w:val="19"/>
          <w:lang w:eastAsia="es-CO"/>
        </w:rPr>
        <w:fldChar w:fldCharType="separate"/>
      </w:r>
      <w:r w:rsidRPr="0029795D">
        <w:rPr>
          <w:rFonts w:ascii="Verdana" w:eastAsia="Times New Roman" w:hAnsi="Verdana" w:cs="Arial"/>
          <w:sz w:val="19"/>
          <w:szCs w:val="19"/>
          <w:lang w:eastAsia="es-CO"/>
        </w:rPr>
        <w:t>1.11</w:t>
      </w:r>
      <w:r w:rsidRPr="0029795D">
        <w:rPr>
          <w:rFonts w:ascii="Verdana" w:eastAsia="Times New Roman" w:hAnsi="Verdana" w:cs="Arial"/>
          <w:sz w:val="19"/>
          <w:szCs w:val="19"/>
          <w:lang w:eastAsia="es-CO"/>
        </w:rPr>
        <w:fldChar w:fldCharType="end"/>
      </w:r>
      <w:r w:rsidRPr="0029795D">
        <w:rPr>
          <w:rFonts w:ascii="Verdana" w:eastAsia="Times New Roman" w:hAnsi="Verdana" w:cs="Arial"/>
          <w:sz w:val="19"/>
          <w:szCs w:val="19"/>
          <w:lang w:eastAsia="es-CO"/>
        </w:rPr>
        <w:t>.</w:t>
      </w:r>
    </w:p>
    <w:p w14:paraId="715974E6" w14:textId="77777777" w:rsidR="0029795D" w:rsidRPr="0029795D" w:rsidRDefault="0029795D" w:rsidP="0029795D">
      <w:pPr>
        <w:pStyle w:val="Prrafodelista"/>
        <w:numPr>
          <w:ilvl w:val="0"/>
          <w:numId w:val="22"/>
        </w:numPr>
        <w:spacing w:after="200" w:line="240" w:lineRule="auto"/>
        <w:jc w:val="both"/>
        <w:rPr>
          <w:rFonts w:ascii="Verdana" w:eastAsia="Times New Roman" w:hAnsi="Verdana" w:cs="Arial"/>
          <w:sz w:val="19"/>
          <w:szCs w:val="19"/>
          <w:lang w:eastAsia="es-CO"/>
        </w:rPr>
      </w:pPr>
      <w:bookmarkStart w:id="13" w:name="_Hlk54629989"/>
      <w:r w:rsidRPr="0029795D">
        <w:rPr>
          <w:rFonts w:ascii="Verdana" w:eastAsia="Times New Roman" w:hAnsi="Verdana" w:cs="Arial"/>
          <w:sz w:val="19"/>
          <w:szCs w:val="19"/>
          <w:lang w:eastAsia="es-CO"/>
        </w:rPr>
        <w:t xml:space="preserve">Que el proponente se encuentre inmerso en un conflicto de interés previsto en una norma de rango constitucional o legal </w:t>
      </w:r>
      <w:bookmarkStart w:id="14" w:name="_Hlk54630629"/>
      <w:r w:rsidRPr="0029795D">
        <w:rPr>
          <w:rFonts w:ascii="Verdana" w:eastAsia="Times New Roman" w:hAnsi="Verdana" w:cs="Arial"/>
          <w:sz w:val="19"/>
          <w:szCs w:val="19"/>
          <w:lang w:eastAsia="es-CO"/>
        </w:rPr>
        <w:t>o en la causal prevista en el numeral 1.14 del pliego de condiciones</w:t>
      </w:r>
      <w:bookmarkEnd w:id="14"/>
      <w:r w:rsidRPr="0029795D">
        <w:rPr>
          <w:rFonts w:ascii="Verdana" w:eastAsia="Times New Roman" w:hAnsi="Verdana" w:cs="Arial"/>
          <w:sz w:val="19"/>
          <w:szCs w:val="19"/>
          <w:lang w:eastAsia="es-CO"/>
        </w:rPr>
        <w:t>.</w:t>
      </w:r>
    </w:p>
    <w:bookmarkEnd w:id="13"/>
    <w:p w14:paraId="0FE6A1AE"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r w:rsidRPr="005671A9">
        <w:rPr>
          <w:rFonts w:ascii="Verdana" w:eastAsia="Arial" w:hAnsi="Verdana" w:cs="Arial"/>
          <w:sz w:val="19"/>
          <w:szCs w:val="19"/>
          <w:highlight w:val="lightGray"/>
          <w:lang w:eastAsia="es-CO"/>
        </w:rPr>
        <w:t>[Incluir esta causal cuando las ofertas se presente en el SECOP I]</w:t>
      </w:r>
      <w:r w:rsidRPr="0029795D">
        <w:rPr>
          <w:rFonts w:ascii="Verdana" w:eastAsia="Times New Roman" w:hAnsi="Verdana" w:cs="Arial"/>
          <w:sz w:val="19"/>
          <w:szCs w:val="19"/>
          <w:lang w:eastAsia="es-CO"/>
        </w:rPr>
        <w:t xml:space="preserve"> Que la propuesta económica no se aporte firmada.</w:t>
      </w:r>
    </w:p>
    <w:p w14:paraId="1DD54915"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r w:rsidRPr="005671A9">
        <w:rPr>
          <w:rFonts w:ascii="Verdana" w:eastAsia="Arial" w:hAnsi="Verdana" w:cs="Arial"/>
          <w:sz w:val="19"/>
          <w:szCs w:val="19"/>
          <w:lang w:eastAsia="es-CO"/>
        </w:rPr>
        <w:t>No entregar la garantía de seriedad de la oferta junto con la propuesta.</w:t>
      </w:r>
    </w:p>
    <w:p w14:paraId="1A617F4D"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bookmarkStart w:id="15" w:name="_Hlk54630036"/>
      <w:r w:rsidRPr="005671A9">
        <w:rPr>
          <w:rFonts w:ascii="Verdana" w:eastAsia="Arial" w:hAnsi="Verdana" w:cs="Arial"/>
          <w:sz w:val="19"/>
          <w:szCs w:val="19"/>
          <w:lang w:eastAsia="es-CO"/>
        </w:rPr>
        <w:t>Que el objeto social del proponente o el de sus integrantes no le permita ejecutar el objeto del contrato</w:t>
      </w:r>
      <w:bookmarkEnd w:id="15"/>
      <w:r w:rsidRPr="005671A9">
        <w:rPr>
          <w:rFonts w:ascii="Verdana" w:eastAsia="Arial" w:hAnsi="Verdana" w:cs="Arial"/>
          <w:sz w:val="19"/>
          <w:szCs w:val="19"/>
          <w:lang w:eastAsia="es-CO"/>
        </w:rPr>
        <w:t>.</w:t>
      </w:r>
    </w:p>
    <w:p w14:paraId="295D6A31"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r w:rsidRPr="005671A9">
        <w:rPr>
          <w:rFonts w:ascii="Verdana" w:eastAsia="Arial" w:hAnsi="Verdana" w:cs="Arial"/>
          <w:sz w:val="19"/>
          <w:szCs w:val="19"/>
          <w:lang w:eastAsia="es-CO"/>
        </w:rPr>
        <w:t>Que</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valor</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total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de la oferta o aquel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revisado en la audiencia efectiva de adjudicación</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exceda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presupuesto</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oficial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estimado para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proceso de contratación.</w:t>
      </w:r>
    </w:p>
    <w:p w14:paraId="7FBF9CA2"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bookmarkStart w:id="16" w:name="_Hlk516133614"/>
      <w:r w:rsidRPr="005671A9">
        <w:rPr>
          <w:rFonts w:ascii="Verdana" w:eastAsia="Arial" w:hAnsi="Verdana" w:cs="Arial"/>
          <w:sz w:val="19"/>
          <w:szCs w:val="19"/>
          <w:lang w:eastAsia="es-CO"/>
        </w:rPr>
        <w:t>Presentar</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la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oferta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con</w:t>
      </w:r>
      <w:r w:rsidRPr="005671A9">
        <w:rPr>
          <w:rFonts w:ascii="Verdana" w:eastAsia="Arial,Calibri" w:hAnsi="Verdana" w:cs="Arial"/>
          <w:sz w:val="19"/>
          <w:szCs w:val="19"/>
          <w:lang w:eastAsia="es-CO"/>
        </w:rPr>
        <w:t xml:space="preserve"> </w:t>
      </w:r>
      <w:bookmarkEnd w:id="16"/>
      <w:r w:rsidRPr="005671A9">
        <w:rPr>
          <w:rFonts w:ascii="Verdana" w:hAnsi="Verdana" w:cs="Arial"/>
          <w:sz w:val="19"/>
          <w:szCs w:val="19"/>
        </w:rPr>
        <w:t>tachaduras o enmendaduras en alguno de los documentos que acreditan los requisitos habilitantes o los factores de evaluación de la oferta y no estén convalidadas en la forma indicada en la sección 2.3 del Pliego de Condiciones, sin perjuicio de la posibilidad de subsanar los primeros en los términos del numeral 1.6.</w:t>
      </w:r>
    </w:p>
    <w:p w14:paraId="74E8F3F3"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bookmarkStart w:id="17" w:name="_Hlk516133682"/>
      <w:r w:rsidRPr="005671A9">
        <w:rPr>
          <w:rFonts w:ascii="Verdana" w:eastAsia="Arial" w:hAnsi="Verdana" w:cs="Arial"/>
          <w:sz w:val="19"/>
          <w:szCs w:val="19"/>
          <w:lang w:eastAsia="es-CO"/>
        </w:rPr>
        <w:t xml:space="preserve">Que el proponente adicione, suprima, cambie, o modifique los ítems, la descripción, las especificaciones, el detalle, las unidades o cantidades señaladas en el  </w:t>
      </w:r>
      <w:r w:rsidRPr="005671A9">
        <w:rPr>
          <w:rFonts w:ascii="Verdana" w:eastAsia="Arial" w:hAnsi="Verdana" w:cs="Arial"/>
          <w:sz w:val="19"/>
          <w:szCs w:val="19"/>
          <w:lang w:eastAsia="es-CO"/>
        </w:rPr>
        <w:fldChar w:fldCharType="begin"/>
      </w:r>
      <w:r w:rsidRPr="005671A9">
        <w:rPr>
          <w:rFonts w:ascii="Verdana" w:eastAsia="Arial" w:hAnsi="Verdana" w:cs="Arial"/>
          <w:sz w:val="19"/>
          <w:szCs w:val="19"/>
          <w:lang w:eastAsia="es-CO"/>
        </w:rPr>
        <w:instrText xml:space="preserve"> REF _Ref508648916 \h  \* MERGEFORMAT </w:instrText>
      </w:r>
      <w:r w:rsidRPr="005671A9">
        <w:rPr>
          <w:rFonts w:ascii="Verdana" w:eastAsia="Arial" w:hAnsi="Verdana" w:cs="Arial"/>
          <w:sz w:val="19"/>
          <w:szCs w:val="19"/>
          <w:lang w:eastAsia="es-CO"/>
        </w:rPr>
      </w:r>
      <w:r w:rsidRPr="005671A9">
        <w:rPr>
          <w:rFonts w:ascii="Verdana" w:eastAsia="Arial" w:hAnsi="Verdana" w:cs="Arial"/>
          <w:sz w:val="19"/>
          <w:szCs w:val="19"/>
          <w:lang w:eastAsia="es-CO"/>
        </w:rPr>
        <w:fldChar w:fldCharType="separate"/>
      </w:r>
      <w:r w:rsidRPr="005671A9">
        <w:rPr>
          <w:rFonts w:ascii="Verdana" w:eastAsia="Arial" w:hAnsi="Verdana" w:cs="Arial"/>
          <w:sz w:val="19"/>
          <w:szCs w:val="19"/>
          <w:lang w:eastAsia="es-CO"/>
        </w:rPr>
        <w:t>Formulario 1– Formulario de Presupuesto Oficial</w:t>
      </w:r>
      <w:r w:rsidRPr="005671A9">
        <w:rPr>
          <w:rFonts w:ascii="Verdana" w:eastAsia="Arial" w:hAnsi="Verdana" w:cs="Arial"/>
          <w:sz w:val="19"/>
          <w:szCs w:val="19"/>
          <w:lang w:eastAsia="es-CO"/>
        </w:rPr>
        <w:fldChar w:fldCharType="end"/>
      </w:r>
      <w:r w:rsidRPr="005671A9">
        <w:rPr>
          <w:rFonts w:ascii="Verdana" w:eastAsia="Arial" w:hAnsi="Verdana" w:cs="Arial"/>
          <w:sz w:val="19"/>
          <w:szCs w:val="19"/>
          <w:lang w:eastAsia="es-CO"/>
        </w:rPr>
        <w:t xml:space="preserve">, de acuerdo con lo exigido por la entidad. </w:t>
      </w:r>
    </w:p>
    <w:p w14:paraId="27E3B048"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bookmarkStart w:id="18" w:name="_Hlk511139274"/>
      <w:r w:rsidRPr="005671A9">
        <w:rPr>
          <w:rFonts w:ascii="Verdana" w:eastAsia="Arial,Calibri" w:hAnsi="Verdana" w:cs="Arial"/>
          <w:sz w:val="19"/>
          <w:szCs w:val="19"/>
          <w:highlight w:val="lightGray"/>
          <w:lang w:eastAsia="es-CO"/>
        </w:rPr>
        <w:t>[</w:t>
      </w:r>
      <w:r w:rsidRPr="005671A9">
        <w:rPr>
          <w:rFonts w:ascii="Verdana" w:eastAsia="Arial" w:hAnsi="Verdana" w:cs="Arial"/>
          <w:sz w:val="19"/>
          <w:szCs w:val="19"/>
          <w:highlight w:val="lightGray"/>
          <w:lang w:eastAsia="es-CO"/>
        </w:rPr>
        <w:t>Incluir sólo cuando la forma de pago sea por precios unitarios</w:t>
      </w:r>
      <w:r w:rsidRPr="005671A9">
        <w:rPr>
          <w:rFonts w:ascii="Verdana" w:eastAsia="Arial,Calibri" w:hAnsi="Verdana" w:cs="Arial"/>
          <w:sz w:val="19"/>
          <w:szCs w:val="19"/>
          <w:highlight w:val="lightGray"/>
          <w:lang w:eastAsia="es-CO"/>
        </w:rPr>
        <w:t>]</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No</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ofrecer</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valor</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de</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un</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precio</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unitario</w:t>
      </w:r>
      <w:r w:rsidRPr="005671A9">
        <w:rPr>
          <w:rFonts w:ascii="Verdana" w:eastAsia="Arial,Calibri" w:hAnsi="Verdana" w:cs="Arial"/>
          <w:sz w:val="19"/>
          <w:szCs w:val="19"/>
          <w:lang w:eastAsia="es-CO"/>
        </w:rPr>
        <w:t xml:space="preserve"> u ofrecerlo en cero (0) pesos. </w:t>
      </w:r>
    </w:p>
    <w:bookmarkEnd w:id="18"/>
    <w:p w14:paraId="64EE8F7F"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r w:rsidRPr="005671A9">
        <w:rPr>
          <w:rFonts w:ascii="Verdana" w:eastAsia="Arial,Calibri" w:hAnsi="Verdana" w:cs="Arial"/>
          <w:sz w:val="19"/>
          <w:szCs w:val="19"/>
          <w:highlight w:val="lightGray"/>
          <w:lang w:eastAsia="es-CO"/>
        </w:rPr>
        <w:t>[</w:t>
      </w:r>
      <w:r w:rsidRPr="005671A9">
        <w:rPr>
          <w:rFonts w:ascii="Verdana" w:eastAsia="Arial" w:hAnsi="Verdana" w:cs="Arial"/>
          <w:sz w:val="19"/>
          <w:szCs w:val="19"/>
          <w:highlight w:val="lightGray"/>
          <w:lang w:eastAsia="es-CO"/>
        </w:rPr>
        <w:t>Incluir sólo cuando la forma de pago sea por precios unitarios</w:t>
      </w:r>
      <w:r w:rsidRPr="005671A9">
        <w:rPr>
          <w:rFonts w:ascii="Verdana" w:eastAsia="Arial,Calibri" w:hAnsi="Verdana" w:cs="Arial"/>
          <w:sz w:val="19"/>
          <w:szCs w:val="19"/>
          <w:highlight w:val="lightGray"/>
          <w:lang w:eastAsia="es-CO"/>
        </w:rPr>
        <w:t>]</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Superar el valor unitario de alguno o algunos</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 xml:space="preserve">de los siguientes ítems ofrecidos con respecto al valor establecido para cada ítem del presupuesto oficial: </w:t>
      </w:r>
      <w:r w:rsidRPr="005671A9">
        <w:rPr>
          <w:rFonts w:ascii="Verdana" w:eastAsia="Arial" w:hAnsi="Verdana" w:cs="Arial"/>
          <w:sz w:val="19"/>
          <w:szCs w:val="19"/>
          <w:highlight w:val="lightGray"/>
          <w:lang w:eastAsia="es-CO"/>
        </w:rPr>
        <w:t>[La entidad debe incluir esta causal cuando la forma de pago sea por precios unitarios y cuando considere necesario establecer ítems del presupuesto oficial cuyo valor no pueda ser excedido por el proponente. Cuando decida incluirla, identificará en este espacio los ítems frente a los cuales aplicará la causal de rechazo</w:t>
      </w:r>
      <w:r w:rsidRPr="005671A9">
        <w:rPr>
          <w:rFonts w:ascii="Verdana" w:eastAsia="Arial" w:hAnsi="Verdana" w:cs="Arial"/>
          <w:sz w:val="19"/>
          <w:szCs w:val="19"/>
          <w:lang w:eastAsia="es-CO"/>
        </w:rPr>
        <w:t xml:space="preserve">. </w:t>
      </w:r>
    </w:p>
    <w:p w14:paraId="2F03F712" w14:textId="77777777" w:rsidR="0029795D" w:rsidRPr="005671A9" w:rsidRDefault="0029795D" w:rsidP="0029795D">
      <w:pPr>
        <w:pStyle w:val="Prrafodelista"/>
        <w:spacing w:line="240" w:lineRule="auto"/>
        <w:jc w:val="both"/>
        <w:rPr>
          <w:rFonts w:ascii="Verdana" w:eastAsia="Arial,Calibri" w:hAnsi="Verdana" w:cs="Arial"/>
          <w:sz w:val="19"/>
          <w:szCs w:val="19"/>
          <w:lang w:eastAsia="es-CO"/>
        </w:rPr>
      </w:pPr>
      <w:r w:rsidRPr="005671A9">
        <w:rPr>
          <w:rFonts w:ascii="Verdana" w:eastAsia="Arial,Calibri" w:hAnsi="Verdana" w:cs="Arial"/>
          <w:sz w:val="19"/>
          <w:szCs w:val="19"/>
          <w:highlight w:val="lightGray"/>
          <w:lang w:eastAsia="es-CO"/>
        </w:rPr>
        <w:t>Para la aplicación de esta causal la entidad debe tener en cuenta que el valor unitario establecido en el Formulario 1 – Formulario de Presupuesto Oficial incluye el valor de AIU]</w:t>
      </w:r>
      <w:r w:rsidRPr="005671A9">
        <w:rPr>
          <w:rFonts w:ascii="Verdana" w:eastAsia="Arial,Calibri" w:hAnsi="Verdana" w:cs="Arial"/>
          <w:sz w:val="19"/>
          <w:szCs w:val="19"/>
          <w:lang w:eastAsia="es-CO"/>
        </w:rPr>
        <w:t xml:space="preserve"> </w:t>
      </w:r>
    </w:p>
    <w:p w14:paraId="462A31A6"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r w:rsidRPr="005671A9">
        <w:rPr>
          <w:rFonts w:ascii="Verdana" w:eastAsia="Arial,Calibri" w:hAnsi="Verdana" w:cs="Arial"/>
          <w:sz w:val="19"/>
          <w:szCs w:val="19"/>
          <w:highlight w:val="lightGray"/>
          <w:lang w:eastAsia="es-CO"/>
        </w:rPr>
        <w:t>[Esta causal aplica de acuerdo con la configuración de la oferta económica por parte de la entidad]</w:t>
      </w:r>
      <w:r w:rsidRPr="005671A9">
        <w:rPr>
          <w:rFonts w:ascii="Verdana" w:eastAsia="Arial" w:hAnsi="Verdana" w:cs="Arial"/>
          <w:sz w:val="19"/>
          <w:szCs w:val="19"/>
          <w:lang w:eastAsia="es-CO"/>
        </w:rPr>
        <w:t xml:space="preserve"> No</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discriminar</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en</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la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oferta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económica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porcentaje</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de</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AIU</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en</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la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forma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como</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lo</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establece</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el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pliego</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de</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condiciones y el Formulario 1 – Formulario de presupuesto oficial</w:t>
      </w:r>
      <w:r w:rsidRPr="005671A9">
        <w:rPr>
          <w:rFonts w:ascii="Verdana" w:eastAsia="Arial,Calibri" w:hAnsi="Verdana" w:cs="Arial"/>
          <w:sz w:val="19"/>
          <w:szCs w:val="19"/>
          <w:lang w:eastAsia="es-CO"/>
        </w:rPr>
        <w:t>.</w:t>
      </w:r>
    </w:p>
    <w:p w14:paraId="5BBF8B6A" w14:textId="77777777" w:rsidR="0029795D" w:rsidRPr="005671A9" w:rsidRDefault="0029795D" w:rsidP="0029795D">
      <w:pPr>
        <w:pStyle w:val="Prrafodelista"/>
        <w:spacing w:line="240" w:lineRule="auto"/>
        <w:jc w:val="both"/>
        <w:rPr>
          <w:rFonts w:ascii="Verdana" w:eastAsia="Arial,Calibri" w:hAnsi="Verdana" w:cs="Arial"/>
          <w:sz w:val="19"/>
          <w:szCs w:val="19"/>
          <w:lang w:eastAsia="es-CO"/>
        </w:rPr>
      </w:pPr>
      <w:r w:rsidRPr="005671A9">
        <w:rPr>
          <w:rFonts w:ascii="Verdana" w:eastAsia="Arial,Calibri" w:hAnsi="Verdana" w:cs="Arial"/>
          <w:sz w:val="19"/>
          <w:szCs w:val="19"/>
          <w:highlight w:val="lightGray"/>
          <w:lang w:eastAsia="es-CO"/>
        </w:rPr>
        <w:t>[Se entiende que el proponente discrimina en la oferta económica el porcentaje de AIU cuando señala el porcentaje (%) correspondiente a la Administración, los Imprevistos y la Utilidad. En ningún caso la entidad rechazará la oferta por no presentar el desglose del AIU]</w:t>
      </w:r>
    </w:p>
    <w:p w14:paraId="5E5440BD"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bookmarkStart w:id="19" w:name="_Hlk511139359"/>
      <w:r w:rsidRPr="005671A9">
        <w:rPr>
          <w:rFonts w:ascii="Verdana" w:eastAsia="Arial" w:hAnsi="Verdana" w:cs="Arial"/>
          <w:sz w:val="19"/>
          <w:szCs w:val="19"/>
          <w:lang w:eastAsia="es-CO"/>
        </w:rPr>
        <w:t>Ofrecer</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como</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AIU</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un</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porcentaje cuya sumatoria sea superior al establecido por la entidad en el Formulario 1 – Formulario de presupuesto oficial.</w:t>
      </w:r>
    </w:p>
    <w:bookmarkEnd w:id="19"/>
    <w:p w14:paraId="61448DB1"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r w:rsidRPr="005671A9">
        <w:rPr>
          <w:rFonts w:ascii="Verdana" w:eastAsia="Arial" w:hAnsi="Verdana" w:cs="Arial"/>
          <w:sz w:val="19"/>
          <w:szCs w:val="19"/>
          <w:lang w:eastAsia="es-CO"/>
        </w:rPr>
        <w:t>Cuando</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se</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presente</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propuesta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condicionada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para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la</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adjudicación</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del</w:t>
      </w:r>
      <w:r w:rsidRPr="005671A9">
        <w:rPr>
          <w:rFonts w:ascii="Verdana" w:eastAsia="Arial,Calibri" w:hAnsi="Verdana" w:cs="Arial"/>
          <w:sz w:val="19"/>
          <w:szCs w:val="19"/>
          <w:lang w:eastAsia="es-CO"/>
        </w:rPr>
        <w:t xml:space="preserve"> </w:t>
      </w:r>
      <w:r w:rsidRPr="005671A9">
        <w:rPr>
          <w:rFonts w:ascii="Verdana" w:eastAsia="Arial" w:hAnsi="Verdana" w:cs="Arial"/>
          <w:sz w:val="19"/>
          <w:szCs w:val="19"/>
          <w:lang w:eastAsia="es-CO"/>
        </w:rPr>
        <w:t>contrato.</w:t>
      </w:r>
    </w:p>
    <w:p w14:paraId="1DFCA2E2"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Presentar la oferta extemporáneamente.</w:t>
      </w:r>
    </w:p>
    <w:p w14:paraId="00017AF1"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No presentar oferta económica.</w:t>
      </w:r>
    </w:p>
    <w:p w14:paraId="53D623ED"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Entregar la información de la propuesta económica en el sobre que no corresponda.</w:t>
      </w:r>
    </w:p>
    <w:p w14:paraId="592D13AA" w14:textId="77777777" w:rsidR="0029795D" w:rsidRPr="005671A9" w:rsidRDefault="0029795D" w:rsidP="0029795D">
      <w:pPr>
        <w:pStyle w:val="Prrafodelista"/>
        <w:numPr>
          <w:ilvl w:val="0"/>
          <w:numId w:val="22"/>
        </w:numPr>
        <w:spacing w:after="200" w:line="240" w:lineRule="auto"/>
        <w:jc w:val="both"/>
        <w:rPr>
          <w:rFonts w:ascii="Verdana" w:eastAsia="Arial,Calibri" w:hAnsi="Verdana" w:cs="Arial"/>
          <w:sz w:val="19"/>
          <w:szCs w:val="19"/>
          <w:lang w:eastAsia="es-CO"/>
        </w:rPr>
      </w:pPr>
      <w:r w:rsidRPr="005671A9">
        <w:rPr>
          <w:rFonts w:ascii="Verdana" w:eastAsia="Arial" w:hAnsi="Verdana" w:cs="Arial"/>
          <w:sz w:val="19"/>
          <w:szCs w:val="19"/>
          <w:lang w:eastAsia="es-CO"/>
        </w:rPr>
        <w:t>Presentar más de una oferta económica en el Sobre 2 con valores distintos. [</w:t>
      </w:r>
      <w:r w:rsidRPr="005671A9">
        <w:rPr>
          <w:rFonts w:ascii="Verdana" w:eastAsia="Arial,Calibri" w:hAnsi="Verdana" w:cs="Arial"/>
          <w:sz w:val="19"/>
          <w:szCs w:val="19"/>
          <w:highlight w:val="lightGray"/>
          <w:lang w:eastAsia="es-CO"/>
        </w:rPr>
        <w:t>Cuando el proceso se estructure por lotes o grupos reemplazar el texto anterior por el siguiente: Presentar más de una oferta económica con valores distintos para el mismo lote o grupo]</w:t>
      </w:r>
      <w:r w:rsidRPr="005671A9">
        <w:rPr>
          <w:rFonts w:ascii="Verdana" w:eastAsia="Arial,Calibri" w:hAnsi="Verdana" w:cs="Arial"/>
          <w:sz w:val="19"/>
          <w:szCs w:val="19"/>
          <w:lang w:eastAsia="es-CO"/>
        </w:rPr>
        <w:t>.</w:t>
      </w:r>
    </w:p>
    <w:p w14:paraId="31583CEC"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 xml:space="preserve">Cuando se determine que el valor total de la oferta es artificialmente bajo, de acuerdo con lo establecido en la sección 4.1.3. </w:t>
      </w:r>
    </w:p>
    <w:p w14:paraId="2125ED3F"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Cuando se presenten propuestas parciales y esta posibilidad no haya sido establecida en el pliego de condiciones.</w:t>
      </w:r>
    </w:p>
    <w:p w14:paraId="470B569D"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No informar todos los contratos que el Proponente tenga en ejecución antes del cierre, necesarios para acreditar su capacidad residual conforme a la sección 3.10.</w:t>
      </w:r>
    </w:p>
    <w:p w14:paraId="19069EE0"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Ofrecer un plazo superior al señalado por la Entidad en el Anexo 1 – Anexo Técnico.</w:t>
      </w:r>
    </w:p>
    <w:p w14:paraId="2E09C90C" w14:textId="77777777" w:rsidR="0029795D" w:rsidRPr="0029795D" w:rsidRDefault="0029795D" w:rsidP="0029795D">
      <w:pPr>
        <w:pStyle w:val="Prrafodelista"/>
        <w:numPr>
          <w:ilvl w:val="0"/>
          <w:numId w:val="22"/>
        </w:numPr>
        <w:tabs>
          <w:tab w:val="left" w:pos="709"/>
          <w:tab w:val="left" w:pos="851"/>
        </w:tabs>
        <w:spacing w:after="200" w:line="240" w:lineRule="auto"/>
        <w:jc w:val="both"/>
        <w:rPr>
          <w:rFonts w:ascii="Verdana" w:eastAsia="Times New Roman" w:hAnsi="Verdana" w:cs="Arial"/>
          <w:sz w:val="19"/>
          <w:szCs w:val="19"/>
          <w:lang w:eastAsia="es-CO"/>
        </w:rPr>
      </w:pPr>
      <w:r w:rsidRPr="005671A9">
        <w:rPr>
          <w:rFonts w:ascii="Verdana" w:eastAsia="Arial" w:hAnsi="Verdana" w:cs="Arial"/>
          <w:sz w:val="19"/>
          <w:szCs w:val="19"/>
          <w:lang w:eastAsia="es-CO"/>
        </w:rPr>
        <w:t>Ofrecer condiciones particulares del proyecto de inferior calidad, personal profesional sin los requisitos mínimos; actividades por ejecutar y su alcance, forma de pago, obras provisionales, permisos, licencias y autorizaciones, notas técnicas específicas, y documentos técnicos adicionales, en condiciones diferentes a las establecidas por la Entidad en el Anexo 1 – Anexo Técnico.</w:t>
      </w:r>
    </w:p>
    <w:p w14:paraId="4872AAC0" w14:textId="77777777" w:rsidR="0029795D" w:rsidRPr="005671A9" w:rsidRDefault="0029795D" w:rsidP="0029795D">
      <w:pPr>
        <w:pStyle w:val="Prrafodelista"/>
        <w:numPr>
          <w:ilvl w:val="0"/>
          <w:numId w:val="22"/>
        </w:numPr>
        <w:spacing w:after="200" w:line="240" w:lineRule="auto"/>
        <w:jc w:val="both"/>
        <w:rPr>
          <w:rFonts w:ascii="Verdana" w:eastAsia="Arial" w:hAnsi="Verdana" w:cs="Arial"/>
          <w:iCs/>
          <w:sz w:val="19"/>
          <w:szCs w:val="19"/>
          <w:lang w:eastAsia="es-CO"/>
        </w:rPr>
      </w:pPr>
      <w:r w:rsidRPr="005671A9">
        <w:rPr>
          <w:rFonts w:ascii="Verdana" w:hAnsi="Verdana" w:cs="Arial"/>
          <w:iCs/>
          <w:sz w:val="19"/>
          <w:szCs w:val="19"/>
          <w:highlight w:val="lightGray"/>
        </w:rPr>
        <w:t xml:space="preserve">[Incluir cuando la convocatoria del Proceso de Contratación esté limitada a </w:t>
      </w:r>
      <w:proofErr w:type="spellStart"/>
      <w:r w:rsidRPr="005671A9">
        <w:rPr>
          <w:rFonts w:ascii="Verdana" w:hAnsi="Verdana" w:cs="Arial"/>
          <w:iCs/>
          <w:sz w:val="19"/>
          <w:szCs w:val="19"/>
          <w:highlight w:val="lightGray"/>
        </w:rPr>
        <w:t>Mipyme</w:t>
      </w:r>
      <w:proofErr w:type="spellEnd"/>
      <w:r w:rsidRPr="005671A9">
        <w:rPr>
          <w:rFonts w:ascii="Verdana" w:hAnsi="Verdana" w:cs="Arial"/>
          <w:iCs/>
          <w:sz w:val="19"/>
          <w:szCs w:val="19"/>
        </w:rPr>
        <w:t>] Cuando el que presenta oferta o alguno de los miembros del Proponente Plural no acredita la condición de Mipyme y, en consecuencia, no aporta el RUP vigente y en firme al momento de su presentación y no subsana su entrega en los términos del numeral 1.6.</w:t>
      </w:r>
    </w:p>
    <w:p w14:paraId="720D55F9" w14:textId="77777777" w:rsidR="0029795D" w:rsidRPr="00231E6C" w:rsidRDefault="0029795D" w:rsidP="0029795D">
      <w:pPr>
        <w:pStyle w:val="Prrafodelista"/>
        <w:numPr>
          <w:ilvl w:val="0"/>
          <w:numId w:val="22"/>
        </w:numPr>
        <w:spacing w:after="200" w:line="240" w:lineRule="auto"/>
        <w:jc w:val="both"/>
        <w:rPr>
          <w:rFonts w:ascii="Verdana" w:eastAsia="Arial" w:hAnsi="Verdana" w:cs="Arial"/>
          <w:sz w:val="19"/>
          <w:szCs w:val="19"/>
          <w:lang w:eastAsia="es-CO"/>
        </w:rPr>
      </w:pPr>
      <w:r w:rsidRPr="005671A9">
        <w:rPr>
          <w:rFonts w:ascii="Verdana" w:eastAsia="Arial" w:hAnsi="Verdana" w:cs="Arial"/>
          <w:sz w:val="19"/>
          <w:szCs w:val="19"/>
          <w:lang w:eastAsia="es-CO"/>
        </w:rPr>
        <w:t xml:space="preserve">Las demás previstas en la ley. </w:t>
      </w:r>
      <w:bookmarkEnd w:id="17"/>
    </w:p>
  </w:footnote>
  <w:footnote w:id="4">
    <w:p w14:paraId="04A82394" w14:textId="77777777" w:rsidR="0029795D" w:rsidRPr="005671A9" w:rsidRDefault="0029795D" w:rsidP="0029795D">
      <w:pPr>
        <w:pStyle w:val="Textonotapie"/>
        <w:ind w:firstLine="708"/>
        <w:jc w:val="both"/>
        <w:rPr>
          <w:rFonts w:ascii="Verdana" w:hAnsi="Verdana" w:cs="Arial"/>
          <w:sz w:val="19"/>
          <w:szCs w:val="19"/>
          <w:lang w:val="es-CO"/>
        </w:rPr>
      </w:pPr>
      <w:r w:rsidRPr="005671A9">
        <w:rPr>
          <w:rStyle w:val="Refdenotaalpie"/>
          <w:rFonts w:ascii="Verdana" w:hAnsi="Verdana" w:cs="Arial"/>
          <w:sz w:val="19"/>
          <w:szCs w:val="19"/>
        </w:rPr>
        <w:footnoteRef/>
      </w:r>
      <w:r w:rsidRPr="005671A9">
        <w:rPr>
          <w:rFonts w:ascii="Verdana" w:hAnsi="Verdana" w:cs="Arial"/>
          <w:sz w:val="19"/>
          <w:szCs w:val="19"/>
        </w:rPr>
        <w:t xml:space="preserve"> </w:t>
      </w:r>
      <w:r w:rsidRPr="005671A9">
        <w:rPr>
          <w:rFonts w:ascii="Verdana" w:hAnsi="Verdana" w:cs="Arial"/>
          <w:sz w:val="19"/>
          <w:szCs w:val="19"/>
          <w:lang w:val="es-CO"/>
        </w:rPr>
        <w:t xml:space="preserve">Al respecto esta Agencia ha manifestado: </w:t>
      </w:r>
      <w:r>
        <w:rPr>
          <w:rFonts w:ascii="Verdana" w:hAnsi="Verdana" w:cs="Arial"/>
          <w:sz w:val="19"/>
          <w:szCs w:val="19"/>
          <w:lang w:val="es-CO"/>
        </w:rPr>
        <w:t>“</w:t>
      </w:r>
      <w:r w:rsidRPr="005671A9">
        <w:rPr>
          <w:rFonts w:ascii="Verdana" w:hAnsi="Verdana" w:cs="Arial"/>
          <w:sz w:val="19"/>
          <w:szCs w:val="19"/>
          <w:lang w:val="es-CO"/>
        </w:rPr>
        <w:t>[…] Como se consideró en los conceptos del 25 de septiembre y el 23 de diciembre de 2019 −radicados Nos. 2201913000007117 y 2201913000009538−, las causales de rechazo de ofertas consagradas en los documentos tipo son taxativas, descartándose que la entidad introduzca causales, salvo, que estén contempladas en otras disposiciones normativas.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r>
        <w:rPr>
          <w:rFonts w:ascii="Verdana" w:hAnsi="Verdana" w:cs="Arial"/>
          <w:sz w:val="19"/>
          <w:szCs w:val="19"/>
          <w:lang w:val="es-CO"/>
        </w:rPr>
        <w:t>”</w:t>
      </w:r>
      <w:r w:rsidRPr="005671A9">
        <w:rPr>
          <w:rFonts w:ascii="Verdana" w:hAnsi="Verdana" w:cs="Arial"/>
          <w:sz w:val="19"/>
          <w:szCs w:val="19"/>
          <w:lang w:val="es-CO"/>
        </w:rPr>
        <w:t>. Concepto C-642 del 30 de octubre de 2020. Radicado de entrada No. 4202013000008306. Radicado de salida No. 2202013000010785.</w:t>
      </w:r>
    </w:p>
    <w:p w14:paraId="41698A74" w14:textId="77777777" w:rsidR="0029795D" w:rsidRPr="005671A9" w:rsidRDefault="0029795D" w:rsidP="0029795D">
      <w:pPr>
        <w:pStyle w:val="Textonotapie"/>
        <w:jc w:val="both"/>
        <w:rPr>
          <w:rFonts w:ascii="Verdana" w:hAnsi="Verdana" w:cs="Arial"/>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22442D"/>
    <w:multiLevelType w:val="multilevel"/>
    <w:tmpl w:val="863C2132"/>
    <w:lvl w:ilvl="0">
      <w:start w:val="2"/>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4BCD2E12"/>
    <w:multiLevelType w:val="hybridMultilevel"/>
    <w:tmpl w:val="58D8A8AC"/>
    <w:lvl w:ilvl="0" w:tplc="2A58EF6A">
      <w:start w:val="1"/>
      <w:numFmt w:val="upperLetter"/>
      <w:lvlText w:val="%1."/>
      <w:lvlJc w:val="left"/>
      <w:pPr>
        <w:ind w:left="1141" w:hanging="432"/>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2" w15:restartNumberingAfterBreak="0">
    <w:nsid w:val="584921DB"/>
    <w:multiLevelType w:val="multilevel"/>
    <w:tmpl w:val="F468BAA4"/>
    <w:lvl w:ilvl="0">
      <w:start w:val="2"/>
      <w:numFmt w:val="decimal"/>
      <w:lvlText w:val="%1"/>
      <w:lvlJc w:val="left"/>
      <w:pPr>
        <w:ind w:left="435" w:hanging="435"/>
      </w:pPr>
      <w:rPr>
        <w:rFonts w:hint="default"/>
      </w:rPr>
    </w:lvl>
    <w:lvl w:ilvl="1">
      <w:start w:val="3"/>
      <w:numFmt w:val="decimal"/>
      <w:lvlText w:val="%1.%2"/>
      <w:lvlJc w:val="left"/>
      <w:pPr>
        <w:ind w:left="795" w:hanging="435"/>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60B00C3C"/>
    <w:multiLevelType w:val="hybridMultilevel"/>
    <w:tmpl w:val="3D3C75CC"/>
    <w:lvl w:ilvl="0" w:tplc="AC444D3E">
      <w:start w:val="1"/>
      <w:numFmt w:val="upperLetter"/>
      <w:lvlText w:val="%1."/>
      <w:lvlJc w:val="left"/>
      <w:pPr>
        <w:ind w:left="720" w:hanging="360"/>
      </w:pPr>
      <w:rPr>
        <w:rFonts w:ascii="Arial" w:hAnsi="Arial" w:cs="Arial" w:hint="default"/>
        <w:color w:val="auto"/>
        <w:sz w:val="20"/>
        <w:szCs w:val="18"/>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F121B22"/>
    <w:multiLevelType w:val="hybridMultilevel"/>
    <w:tmpl w:val="4D9A8CA4"/>
    <w:lvl w:ilvl="0" w:tplc="7996F5C0">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6"/>
  </w:num>
  <w:num w:numId="8" w16cid:durableId="152644682">
    <w:abstractNumId w:val="16"/>
  </w:num>
  <w:num w:numId="9" w16cid:durableId="1317221377">
    <w:abstractNumId w:val="8"/>
  </w:num>
  <w:num w:numId="10" w16cid:durableId="1471245386">
    <w:abstractNumId w:val="15"/>
  </w:num>
  <w:num w:numId="11" w16cid:durableId="289172385">
    <w:abstractNumId w:val="9"/>
  </w:num>
  <w:num w:numId="12" w16cid:durableId="1470781324">
    <w:abstractNumId w:val="1"/>
  </w:num>
  <w:num w:numId="13" w16cid:durableId="1512908409">
    <w:abstractNumId w:val="4"/>
  </w:num>
  <w:num w:numId="14" w16cid:durableId="895897244">
    <w:abstractNumId w:val="18"/>
  </w:num>
  <w:num w:numId="15" w16cid:durableId="390349800">
    <w:abstractNumId w:val="14"/>
  </w:num>
  <w:num w:numId="16" w16cid:durableId="827985604">
    <w:abstractNumId w:val="10"/>
  </w:num>
  <w:num w:numId="17" w16cid:durableId="341274352">
    <w:abstractNumId w:val="0"/>
  </w:num>
  <w:num w:numId="18" w16cid:durableId="729768725">
    <w:abstractNumId w:val="19"/>
  </w:num>
  <w:num w:numId="19" w16cid:durableId="381565655">
    <w:abstractNumId w:val="12"/>
  </w:num>
  <w:num w:numId="20" w16cid:durableId="1402634052">
    <w:abstractNumId w:val="3"/>
  </w:num>
  <w:num w:numId="21" w16cid:durableId="1341204935">
    <w:abstractNumId w:val="11"/>
  </w:num>
  <w:num w:numId="22" w16cid:durableId="142326380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44E9"/>
    <w:rsid w:val="00061B2A"/>
    <w:rsid w:val="00082362"/>
    <w:rsid w:val="000A683E"/>
    <w:rsid w:val="000B19B9"/>
    <w:rsid w:val="000D0334"/>
    <w:rsid w:val="000F6486"/>
    <w:rsid w:val="00125105"/>
    <w:rsid w:val="00127233"/>
    <w:rsid w:val="001D5398"/>
    <w:rsid w:val="001E4177"/>
    <w:rsid w:val="001F7DC6"/>
    <w:rsid w:val="002421BB"/>
    <w:rsid w:val="0025796E"/>
    <w:rsid w:val="002619D3"/>
    <w:rsid w:val="002707A2"/>
    <w:rsid w:val="002951A0"/>
    <w:rsid w:val="002962BC"/>
    <w:rsid w:val="0029795D"/>
    <w:rsid w:val="002A093D"/>
    <w:rsid w:val="002A0DD0"/>
    <w:rsid w:val="002A49AC"/>
    <w:rsid w:val="002A64FD"/>
    <w:rsid w:val="002B36FB"/>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03085"/>
    <w:rsid w:val="005566E8"/>
    <w:rsid w:val="00574867"/>
    <w:rsid w:val="00591460"/>
    <w:rsid w:val="005C3777"/>
    <w:rsid w:val="005C5CDC"/>
    <w:rsid w:val="005D476C"/>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1664"/>
    <w:rsid w:val="00923EEF"/>
    <w:rsid w:val="009264B9"/>
    <w:rsid w:val="009419F9"/>
    <w:rsid w:val="00946033"/>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22694"/>
    <w:rsid w:val="00A33C78"/>
    <w:rsid w:val="00A82F8E"/>
    <w:rsid w:val="00AB0ADB"/>
    <w:rsid w:val="00B00C0E"/>
    <w:rsid w:val="00B01B1A"/>
    <w:rsid w:val="00B44A47"/>
    <w:rsid w:val="00B45244"/>
    <w:rsid w:val="00B72CD3"/>
    <w:rsid w:val="00B72FFF"/>
    <w:rsid w:val="00B910F7"/>
    <w:rsid w:val="00BC3D36"/>
    <w:rsid w:val="00BC7F75"/>
    <w:rsid w:val="00BD7F72"/>
    <w:rsid w:val="00C04FB3"/>
    <w:rsid w:val="00C330EB"/>
    <w:rsid w:val="00C754BE"/>
    <w:rsid w:val="00C76B1C"/>
    <w:rsid w:val="00CB6357"/>
    <w:rsid w:val="00CC1B26"/>
    <w:rsid w:val="00D423A2"/>
    <w:rsid w:val="00D448E3"/>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F55E3"/>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59"/>
    <w:qFormat/>
    <w:rsid w:val="002979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29795D"/>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www.mineducacion.gov.co/1621/articles-85593_archivo_pdf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604D77D-1C2E-4988-95F1-B3AC5A6BC4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9d85dbaf-23eb-4e57-a637-93dcacc8b1a1"/>
    <ds:schemaRef ds:uri="http://purl.org/dc/terms/"/>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a6cb9e4b-f1d1-4245-83ec-6cad768d538a"/>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17</Pages>
  <Words>5461</Words>
  <Characters>28401</Characters>
  <Application>Microsoft Office Word</Application>
  <DocSecurity>0</DocSecurity>
  <Lines>568</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2025-10-08T19:31:00Z</dcterms:created>
  <dcterms:modified xsi:type="dcterms:W3CDTF">2025-10-08T19:31:00Z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