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41FF6" w14:textId="77777777" w:rsidR="000A201C" w:rsidRPr="00D72D95" w:rsidRDefault="000A201C" w:rsidP="000A201C">
      <w:pPr>
        <w:spacing w:after="0" w:line="240" w:lineRule="auto"/>
        <w:jc w:val="both"/>
        <w:rPr>
          <w:rFonts w:ascii="Verdana" w:eastAsia="Calibri" w:hAnsi="Verdana" w:cs="Arial"/>
          <w:b/>
          <w:bCs/>
          <w:lang w:val="es-ES" w:eastAsia="es-ES"/>
        </w:rPr>
      </w:pPr>
      <w:bookmarkStart w:id="0" w:name="_Hlk143780582"/>
      <w:r w:rsidRPr="00D72D95">
        <w:rPr>
          <w:rFonts w:ascii="Verdana" w:eastAsia="Calibri" w:hAnsi="Verdana" w:cs="Arial"/>
          <w:b/>
          <w:bCs/>
          <w:lang w:val="es-ES" w:eastAsia="es-ES"/>
        </w:rPr>
        <w:t>SUBSANABILIDAD – Aplicación – R</w:t>
      </w:r>
      <w:r w:rsidRPr="00D72D95">
        <w:rPr>
          <w:rFonts w:ascii="Verdana" w:eastAsia="Calibri" w:hAnsi="Verdana"/>
          <w:b/>
          <w:bCs/>
          <w:lang w:val="es-ES" w:eastAsia="es-ES"/>
        </w:rPr>
        <w:t>egla general</w:t>
      </w:r>
      <w:r w:rsidRPr="00D72D95">
        <w:rPr>
          <w:rFonts w:ascii="Verdana" w:eastAsia="Calibri" w:hAnsi="Verdana" w:cs="Arial"/>
          <w:b/>
          <w:bCs/>
          <w:lang w:val="es-ES" w:eastAsia="es-ES"/>
        </w:rPr>
        <w:t xml:space="preserve"> – Excepciones </w:t>
      </w:r>
    </w:p>
    <w:p w14:paraId="769B07FD" w14:textId="77777777" w:rsidR="000A201C" w:rsidRPr="00D72D95" w:rsidRDefault="000A201C" w:rsidP="000A201C">
      <w:pPr>
        <w:tabs>
          <w:tab w:val="left" w:pos="426"/>
        </w:tabs>
        <w:spacing w:after="0" w:line="240" w:lineRule="auto"/>
        <w:jc w:val="both"/>
        <w:rPr>
          <w:rFonts w:ascii="Verdana" w:hAnsi="Verdana" w:cs="Arial"/>
          <w:b/>
          <w:sz w:val="20"/>
          <w:szCs w:val="20"/>
          <w:lang w:eastAsia="es-CO"/>
        </w:rPr>
      </w:pPr>
    </w:p>
    <w:p w14:paraId="348E7D21" w14:textId="77777777" w:rsidR="000A201C" w:rsidRDefault="000A201C" w:rsidP="000A201C">
      <w:pPr>
        <w:spacing w:after="0" w:line="240" w:lineRule="auto"/>
        <w:jc w:val="both"/>
        <w:rPr>
          <w:rFonts w:ascii="Verdana" w:hAnsi="Verdana" w:cs="Arial"/>
          <w:bCs/>
          <w:sz w:val="20"/>
          <w:szCs w:val="20"/>
          <w:lang w:eastAsia="es-CO"/>
        </w:rPr>
      </w:pPr>
      <w:r w:rsidRPr="00D72D95">
        <w:rPr>
          <w:rFonts w:ascii="Verdana" w:hAnsi="Verdana" w:cs="Arial"/>
          <w:bCs/>
          <w:sz w:val="20"/>
          <w:szCs w:val="20"/>
          <w:lang w:eastAsia="es-CO"/>
        </w:rPr>
        <w:t xml:space="preserve">La regla de la </w:t>
      </w:r>
      <w:proofErr w:type="spellStart"/>
      <w:r w:rsidRPr="00D72D95">
        <w:rPr>
          <w:rFonts w:ascii="Verdana" w:hAnsi="Verdana" w:cs="Arial"/>
          <w:bCs/>
          <w:sz w:val="20"/>
          <w:szCs w:val="20"/>
          <w:lang w:eastAsia="es-CO"/>
        </w:rPr>
        <w:t>subsanabilidad</w:t>
      </w:r>
      <w:proofErr w:type="spellEnd"/>
      <w:r w:rsidRPr="00D72D95">
        <w:rPr>
          <w:rFonts w:ascii="Verdana" w:hAnsi="Verdana" w:cs="Arial"/>
          <w:bCs/>
          <w:sz w:val="20"/>
          <w:szCs w:val="20"/>
          <w:lang w:eastAsia="es-CO"/>
        </w:rPr>
        <w:t xml:space="preserve"> de las ofertas en los procedimientos de selección 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59633D85" w14:textId="77777777" w:rsidR="000A201C" w:rsidRPr="002E5295" w:rsidRDefault="000A201C" w:rsidP="000A201C">
      <w:pPr>
        <w:spacing w:after="0" w:line="240" w:lineRule="auto"/>
        <w:jc w:val="both"/>
        <w:rPr>
          <w:rFonts w:ascii="Verdana" w:hAnsi="Verdana" w:cs="Arial"/>
          <w:bCs/>
          <w:sz w:val="20"/>
          <w:szCs w:val="20"/>
          <w:lang w:val="es-ES_tradnl" w:eastAsia="es-CO"/>
        </w:rPr>
      </w:pPr>
    </w:p>
    <w:p w14:paraId="4F3BEBAF" w14:textId="77777777" w:rsidR="000A201C" w:rsidRPr="00914070" w:rsidRDefault="000A201C" w:rsidP="000A201C">
      <w:pPr>
        <w:spacing w:after="0" w:line="240" w:lineRule="auto"/>
        <w:jc w:val="both"/>
        <w:rPr>
          <w:rFonts w:ascii="Verdana" w:eastAsia="Calibri" w:hAnsi="Verdana" w:cs="Arial"/>
          <w:b/>
          <w:bCs/>
          <w:lang w:val="es-ES" w:eastAsia="es-ES"/>
        </w:rPr>
      </w:pPr>
      <w:r w:rsidRPr="00914070">
        <w:rPr>
          <w:rFonts w:ascii="Verdana" w:eastAsia="Calibri" w:hAnsi="Verdana" w:cs="Arial"/>
          <w:b/>
          <w:bCs/>
          <w:lang w:val="es-ES" w:eastAsia="es-ES"/>
        </w:rPr>
        <w:t xml:space="preserve">SUBSANABILIDAD – Ley 1882 de 2018 </w:t>
      </w:r>
    </w:p>
    <w:p w14:paraId="48CD86A5" w14:textId="77777777" w:rsidR="000A201C" w:rsidRDefault="000A201C" w:rsidP="000A201C">
      <w:pPr>
        <w:spacing w:after="0" w:line="240" w:lineRule="auto"/>
        <w:jc w:val="both"/>
        <w:rPr>
          <w:rFonts w:ascii="Verdana" w:eastAsia="Times New Roman" w:hAnsi="Verdana" w:cs="Arial"/>
          <w:lang w:val="es-ES" w:eastAsia="es-ES_tradnl"/>
        </w:rPr>
      </w:pPr>
    </w:p>
    <w:p w14:paraId="0FB33B44" w14:textId="77777777" w:rsidR="000A201C" w:rsidRDefault="000A201C" w:rsidP="000A201C">
      <w:pPr>
        <w:spacing w:after="0" w:line="240" w:lineRule="auto"/>
        <w:jc w:val="both"/>
        <w:rPr>
          <w:rFonts w:ascii="Verdana" w:hAnsi="Verdana" w:cs="Arial"/>
          <w:bCs/>
          <w:sz w:val="20"/>
          <w:szCs w:val="20"/>
          <w:lang w:eastAsia="es-CO"/>
        </w:rPr>
      </w:pPr>
      <w:r>
        <w:rPr>
          <w:rFonts w:ascii="Verdana" w:hAnsi="Verdana" w:cs="Arial"/>
          <w:bCs/>
          <w:sz w:val="20"/>
          <w:szCs w:val="20"/>
          <w:lang w:eastAsia="es-CO"/>
        </w:rPr>
        <w:t xml:space="preserve">[…] </w:t>
      </w:r>
      <w:r w:rsidRPr="00C86B78">
        <w:rPr>
          <w:rFonts w:ascii="Verdana" w:hAnsi="Verdana" w:cs="Arial"/>
          <w:bCs/>
          <w:sz w:val="20"/>
          <w:szCs w:val="20"/>
          <w:lang w:eastAsia="es-CO"/>
        </w:rPr>
        <w:t xml:space="preserve">la Ley 1882 de 2018: i) mantiene el criterio de la Ley 80 de 1993, relativo a que todo lo que no sea necesario para la comparación de propuestas no es título suficiente para su rechazo; </w:t>
      </w:r>
      <w:proofErr w:type="spellStart"/>
      <w:r w:rsidRPr="00C86B78">
        <w:rPr>
          <w:rFonts w:ascii="Verdana" w:hAnsi="Verdana" w:cs="Arial"/>
          <w:bCs/>
          <w:sz w:val="20"/>
          <w:szCs w:val="20"/>
          <w:lang w:eastAsia="es-CO"/>
        </w:rPr>
        <w:t>ii</w:t>
      </w:r>
      <w:proofErr w:type="spellEnd"/>
      <w:r w:rsidRPr="00C86B78">
        <w:rPr>
          <w:rFonts w:ascii="Verdana" w:hAnsi="Verdana" w:cs="Arial"/>
          <w:bCs/>
          <w:sz w:val="20"/>
          <w:szCs w:val="20"/>
          <w:lang w:eastAsia="es-CO"/>
        </w:rPr>
        <w:t xml:space="preserve">) mantiene el criterio aclaratorio de la Ley 1150 de 2007, según el cual todo lo que no afecte la asignación de puntaje puede subsanarse; e, </w:t>
      </w:r>
      <w:proofErr w:type="spellStart"/>
      <w:r w:rsidRPr="00C86B78">
        <w:rPr>
          <w:rFonts w:ascii="Verdana" w:hAnsi="Verdana" w:cs="Arial"/>
          <w:bCs/>
          <w:sz w:val="20"/>
          <w:szCs w:val="20"/>
          <w:lang w:eastAsia="es-CO"/>
        </w:rPr>
        <w:t>iii</w:t>
      </w:r>
      <w:proofErr w:type="spellEnd"/>
      <w:r w:rsidRPr="00C86B78">
        <w:rPr>
          <w:rFonts w:ascii="Verdana" w:hAnsi="Verdana" w:cs="Arial"/>
          <w:bCs/>
          <w:sz w:val="20"/>
          <w:szCs w:val="20"/>
          <w:lang w:eastAsia="es-CO"/>
        </w:rPr>
        <w:t>) introduce modificaciones en relación con algunos aspectos que se analizarán a continuación.</w:t>
      </w:r>
    </w:p>
    <w:p w14:paraId="69F55294" w14:textId="77777777" w:rsidR="000A201C" w:rsidRPr="00C86B78" w:rsidRDefault="000A201C" w:rsidP="000A201C">
      <w:pPr>
        <w:spacing w:after="0" w:line="240" w:lineRule="auto"/>
        <w:rPr>
          <w:rFonts w:ascii="Verdana" w:eastAsia="Times New Roman" w:hAnsi="Verdana" w:cs="Arial"/>
          <w:lang w:val="es-ES" w:eastAsia="es-ES_tradnl"/>
        </w:rPr>
      </w:pPr>
    </w:p>
    <w:p w14:paraId="036DDE6C" w14:textId="77777777" w:rsidR="000A201C" w:rsidRDefault="000A201C" w:rsidP="000A201C">
      <w:pPr>
        <w:tabs>
          <w:tab w:val="left" w:pos="426"/>
        </w:tabs>
        <w:spacing w:after="0" w:line="240" w:lineRule="auto"/>
        <w:jc w:val="both"/>
        <w:rPr>
          <w:rFonts w:ascii="Verdana" w:hAnsi="Verdana" w:cs="Arial"/>
          <w:b/>
          <w:lang w:eastAsia="es-CO"/>
        </w:rPr>
      </w:pPr>
      <w:r>
        <w:rPr>
          <w:rFonts w:ascii="Verdana" w:hAnsi="Verdana" w:cs="Arial"/>
          <w:b/>
          <w:lang w:eastAsia="es-CO"/>
        </w:rPr>
        <w:t>CAUSALES DE RECHAZO DE LAS OFERTAS – Origen – Límites en su configuración</w:t>
      </w:r>
    </w:p>
    <w:p w14:paraId="28FA82DE" w14:textId="77777777" w:rsidR="000A201C" w:rsidRDefault="000A201C" w:rsidP="000A201C">
      <w:pPr>
        <w:tabs>
          <w:tab w:val="left" w:pos="426"/>
        </w:tabs>
        <w:spacing w:after="0" w:line="240" w:lineRule="auto"/>
        <w:jc w:val="both"/>
        <w:rPr>
          <w:rFonts w:ascii="Verdana" w:hAnsi="Verdana" w:cs="Arial"/>
          <w:b/>
          <w:lang w:eastAsia="es-CO"/>
        </w:rPr>
      </w:pPr>
    </w:p>
    <w:p w14:paraId="2D7B49E1" w14:textId="77777777" w:rsidR="000A201C" w:rsidRDefault="000A201C" w:rsidP="000A201C">
      <w:pPr>
        <w:tabs>
          <w:tab w:val="left" w:pos="426"/>
        </w:tabs>
        <w:spacing w:after="0" w:line="240" w:lineRule="auto"/>
        <w:jc w:val="both"/>
        <w:rPr>
          <w:rFonts w:ascii="Verdana" w:eastAsia="Calibri" w:hAnsi="Verdana" w:cs="Arial"/>
          <w:sz w:val="20"/>
          <w:szCs w:val="20"/>
        </w:rPr>
      </w:pPr>
      <w:r w:rsidRPr="00633549">
        <w:rPr>
          <w:rFonts w:ascii="Verdana" w:eastAsia="Calibri" w:hAnsi="Verdana" w:cs="Arial"/>
          <w:sz w:val="20"/>
          <w:szCs w:val="20"/>
        </w:rPr>
        <w:t xml:space="preserve">El 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 En ese sentido, si bien las entidades estatales, en ejercicio de la discrecionalidad que les corresponde en la configuración de los pliegos de condiciones, tienen competencia para determinar los requisitos que deben cumplir los proponentes para la presentación de ofertas y regular los eventos en los que procede su rechazo, el ejercicio de tales facultades encuentra ciertos límites en la ley y el reglamento, así como en los principios de razonabilidad y proporcionalidad.  </w:t>
      </w:r>
    </w:p>
    <w:p w14:paraId="6DCDFE4C" w14:textId="77777777" w:rsidR="000A201C" w:rsidRDefault="000A201C" w:rsidP="000A201C">
      <w:pPr>
        <w:tabs>
          <w:tab w:val="left" w:pos="426"/>
        </w:tabs>
        <w:spacing w:after="0" w:line="240" w:lineRule="auto"/>
        <w:jc w:val="both"/>
        <w:rPr>
          <w:rFonts w:ascii="Verdana" w:eastAsia="Calibri" w:hAnsi="Verdana" w:cs="Arial"/>
          <w:sz w:val="20"/>
          <w:szCs w:val="20"/>
        </w:rPr>
      </w:pPr>
    </w:p>
    <w:p w14:paraId="12A1A758" w14:textId="77777777" w:rsidR="000A201C" w:rsidRDefault="000A201C" w:rsidP="000A201C">
      <w:pPr>
        <w:tabs>
          <w:tab w:val="left" w:pos="426"/>
        </w:tabs>
        <w:spacing w:after="0" w:line="240" w:lineRule="auto"/>
        <w:jc w:val="both"/>
        <w:rPr>
          <w:rFonts w:ascii="Verdana" w:hAnsi="Verdana" w:cs="Arial"/>
          <w:b/>
          <w:lang w:eastAsia="es-CO"/>
        </w:rPr>
      </w:pPr>
      <w:r>
        <w:rPr>
          <w:rFonts w:ascii="Verdana" w:hAnsi="Verdana" w:cs="Arial"/>
          <w:b/>
          <w:lang w:eastAsia="es-CO"/>
        </w:rPr>
        <w:t>CAUSALES DE RECHAZO – Procedencia</w:t>
      </w:r>
    </w:p>
    <w:p w14:paraId="5E9D86A7" w14:textId="77777777" w:rsidR="000A201C" w:rsidRDefault="000A201C" w:rsidP="000A201C">
      <w:pPr>
        <w:tabs>
          <w:tab w:val="left" w:pos="426"/>
        </w:tabs>
        <w:spacing w:after="0" w:line="240" w:lineRule="auto"/>
        <w:jc w:val="both"/>
        <w:rPr>
          <w:rFonts w:ascii="Verdana" w:hAnsi="Verdana" w:cs="Arial"/>
          <w:b/>
          <w:lang w:eastAsia="es-CO"/>
        </w:rPr>
      </w:pPr>
    </w:p>
    <w:p w14:paraId="5C438A89" w14:textId="77777777" w:rsidR="000A201C" w:rsidRPr="007B4E49" w:rsidRDefault="000A201C" w:rsidP="000A201C">
      <w:pPr>
        <w:spacing w:after="0" w:line="240" w:lineRule="auto"/>
        <w:jc w:val="both"/>
        <w:rPr>
          <w:rFonts w:ascii="Verdana" w:eastAsia="Times New Roman" w:hAnsi="Verdana" w:cs="Arial"/>
          <w:lang w:eastAsia="es-ES_tradnl"/>
        </w:rPr>
      </w:pPr>
      <w:r w:rsidRPr="0043439D">
        <w:rPr>
          <w:rFonts w:ascii="Verdana" w:eastAsia="Calibri" w:hAnsi="Verdana" w:cs="Arial"/>
          <w:sz w:val="20"/>
          <w:szCs w:val="20"/>
        </w:rPr>
        <w:t>Dicho lo anterior, sobre si procede o no el rechazo de la oferta en razón a errores en la carta de presentación de la oferta, remitiéndonos a las consideraciones expuestas en el presente concepto, en primera medida, la entidad deberá verificar si dicha causal se encuentra contenida en la ley, el reglamento o el pliego de condiciones de manera clara y taxativa. De otro lado, si la causal de rechazo fue incorporada por la entidad estatal en el pliego de condiciones, aquella deberá estar acorde con los principios de razonabilidad y proporcionalidad, no contrariar el ordenamiento jurídico y evitar que versen sobre aspectos meramente formales sin relevancia para el transcurso del proceso de selección o el perfeccionamiento del contrato.</w:t>
      </w:r>
    </w:p>
    <w:p w14:paraId="128DE99F" w14:textId="77777777" w:rsidR="000A201C" w:rsidRDefault="000A201C" w:rsidP="00E245AB">
      <w:pPr>
        <w:spacing w:after="0"/>
        <w:rPr>
          <w:rFonts w:ascii="Verdana" w:hAnsi="Verdana"/>
        </w:rPr>
      </w:pPr>
    </w:p>
    <w:p w14:paraId="1043586E" w14:textId="77777777" w:rsidR="000A201C" w:rsidRDefault="000A201C" w:rsidP="00E245AB">
      <w:pPr>
        <w:spacing w:after="0"/>
        <w:rPr>
          <w:rFonts w:ascii="Verdana" w:hAnsi="Verdana"/>
        </w:rPr>
      </w:pPr>
    </w:p>
    <w:p w14:paraId="7138C673" w14:textId="77777777" w:rsidR="000A201C" w:rsidRDefault="000A201C" w:rsidP="00E245AB">
      <w:pPr>
        <w:spacing w:after="0"/>
        <w:rPr>
          <w:rFonts w:ascii="Verdana" w:hAnsi="Verdana"/>
        </w:rPr>
      </w:pPr>
    </w:p>
    <w:p w14:paraId="3FE2184B" w14:textId="02A43959" w:rsidR="00E245AB" w:rsidRPr="0044528D" w:rsidRDefault="00897A3A" w:rsidP="00E245AB">
      <w:pPr>
        <w:spacing w:after="0"/>
        <w:rPr>
          <w:rFonts w:ascii="Verdana" w:hAnsi="Verdana"/>
        </w:rPr>
      </w:pPr>
      <w:r w:rsidRPr="0044528D">
        <w:rPr>
          <w:rFonts w:ascii="Verdana" w:hAnsi="Verdana"/>
        </w:rPr>
        <w:lastRenderedPageBreak/>
        <w:t xml:space="preserve">Bogotá D.C., </w:t>
      </w:r>
      <w:r w:rsidR="0085361A">
        <w:rPr>
          <w:rFonts w:ascii="Verdana" w:hAnsi="Verdana"/>
        </w:rPr>
        <w:t>15 de octubre de 2025</w:t>
      </w:r>
      <w:r w:rsidR="00891928" w:rsidRPr="0044528D">
        <w:rPr>
          <w:rFonts w:ascii="Verdana" w:hAnsi="Verdana"/>
        </w:rPr>
        <w:tab/>
      </w:r>
    </w:p>
    <w:p w14:paraId="5FCADBF9" w14:textId="64847E68" w:rsidR="00E245AB" w:rsidRPr="0044528D" w:rsidRDefault="00E245AB" w:rsidP="00E245AB">
      <w:pPr>
        <w:spacing w:after="0"/>
        <w:rPr>
          <w:rFonts w:ascii="Verdana" w:hAnsi="Verdana"/>
        </w:rPr>
      </w:pPr>
    </w:p>
    <w:p w14:paraId="4B264049" w14:textId="49F2438F" w:rsidR="00BC0C3A" w:rsidRDefault="00762377" w:rsidP="00F00FD4">
      <w:pPr>
        <w:spacing w:after="0" w:line="240" w:lineRule="auto"/>
        <w:jc w:val="both"/>
        <w:rPr>
          <w:rFonts w:ascii="Verdana" w:eastAsia="Calibri" w:hAnsi="Verdana" w:cs="Arial"/>
          <w:lang w:eastAsia="es-ES"/>
        </w:rPr>
      </w:pPr>
      <w:bookmarkStart w:id="1" w:name="_Hlk181166130"/>
      <w:bookmarkStart w:id="2" w:name="_Hlk180638295"/>
      <w:bookmarkStart w:id="3" w:name="_Hlk181166167"/>
      <w:bookmarkStart w:id="4" w:name="_Hlk204353692"/>
      <w:bookmarkEnd w:id="1"/>
      <w:r w:rsidRPr="00786D47">
        <w:rPr>
          <w:rFonts w:ascii="Verdana" w:eastAsia="Calibri" w:hAnsi="Verdana" w:cs="Arial"/>
          <w:b/>
          <w:bCs/>
          <w:noProof/>
          <w:lang w:eastAsia="es-ES"/>
        </w:rPr>
        <w:drawing>
          <wp:anchor distT="0" distB="0" distL="114300" distR="114300" simplePos="0" relativeHeight="251658240" behindDoc="1" locked="0" layoutInCell="1" allowOverlap="1" wp14:anchorId="4D28D495" wp14:editId="04DFE33A">
            <wp:simplePos x="0" y="0"/>
            <wp:positionH relativeFrom="column">
              <wp:posOffset>3237396</wp:posOffset>
            </wp:positionH>
            <wp:positionV relativeFrom="paragraph">
              <wp:posOffset>5383</wp:posOffset>
            </wp:positionV>
            <wp:extent cx="2628900" cy="788670"/>
            <wp:effectExtent l="0" t="0" r="0" b="0"/>
            <wp:wrapSquare wrapText="bothSides"/>
            <wp:docPr id="195223804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38048"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28900" cy="788670"/>
                    </a:xfrm>
                    <a:prstGeom prst="rect">
                      <a:avLst/>
                    </a:prstGeom>
                  </pic:spPr>
                </pic:pic>
              </a:graphicData>
            </a:graphic>
            <wp14:sizeRelH relativeFrom="margin">
              <wp14:pctWidth>0</wp14:pctWidth>
            </wp14:sizeRelH>
            <wp14:sizeRelV relativeFrom="margin">
              <wp14:pctHeight>0</wp14:pctHeight>
            </wp14:sizeRelV>
          </wp:anchor>
        </w:drawing>
      </w:r>
    </w:p>
    <w:p w14:paraId="1AA5E5AF" w14:textId="04E11862" w:rsidR="00F00FD4" w:rsidRDefault="00F00FD4" w:rsidP="00F00FD4">
      <w:pPr>
        <w:spacing w:after="0" w:line="240" w:lineRule="auto"/>
        <w:jc w:val="both"/>
        <w:rPr>
          <w:rFonts w:ascii="Verdana" w:eastAsia="Calibri" w:hAnsi="Verdana" w:cs="Arial"/>
          <w:lang w:eastAsia="es-ES"/>
        </w:rPr>
      </w:pPr>
      <w:r w:rsidRPr="005E62E2">
        <w:rPr>
          <w:rFonts w:ascii="Verdana" w:eastAsia="Calibri" w:hAnsi="Verdana" w:cs="Arial"/>
          <w:lang w:eastAsia="es-ES"/>
        </w:rPr>
        <w:t>Señor</w:t>
      </w:r>
      <w:r>
        <w:rPr>
          <w:rFonts w:ascii="Verdana" w:eastAsia="Calibri" w:hAnsi="Verdana" w:cs="Arial"/>
          <w:lang w:eastAsia="es-ES"/>
        </w:rPr>
        <w:t xml:space="preserve"> (a)</w:t>
      </w:r>
    </w:p>
    <w:p w14:paraId="696938B9" w14:textId="6E38EEB9" w:rsidR="00F00FD4" w:rsidRDefault="00F00FD4" w:rsidP="00F00FD4">
      <w:pPr>
        <w:spacing w:after="0" w:line="240" w:lineRule="auto"/>
        <w:rPr>
          <w:rFonts w:ascii="Verdana" w:eastAsia="Calibri" w:hAnsi="Verdana" w:cs="Arial"/>
          <w:b/>
          <w:bCs/>
          <w:lang w:eastAsia="es-ES"/>
        </w:rPr>
      </w:pPr>
      <w:r>
        <w:rPr>
          <w:rFonts w:ascii="Verdana" w:eastAsia="Calibri" w:hAnsi="Verdana" w:cs="Arial"/>
          <w:b/>
          <w:bCs/>
          <w:lang w:eastAsia="es-ES"/>
        </w:rPr>
        <w:t>Anónimo</w:t>
      </w:r>
    </w:p>
    <w:p w14:paraId="04B1FC5C" w14:textId="77777777" w:rsidR="00F00FD4" w:rsidRPr="0055341A" w:rsidRDefault="00F00FD4" w:rsidP="00F00FD4">
      <w:pPr>
        <w:spacing w:after="0" w:line="240" w:lineRule="auto"/>
        <w:rPr>
          <w:rFonts w:ascii="Verdana" w:hAnsi="Verdana"/>
        </w:rPr>
      </w:pPr>
      <w:hyperlink r:id="rId11" w:history="1">
        <w:r w:rsidRPr="0055341A">
          <w:rPr>
            <w:rStyle w:val="Hipervnculo"/>
            <w:rFonts w:ascii="Verdana" w:hAnsi="Verdana"/>
          </w:rPr>
          <w:t>diana_pachon2@hotmail.com</w:t>
        </w:r>
      </w:hyperlink>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F00FD4" w:rsidRPr="00593A5F" w14:paraId="5B6889FD" w14:textId="77777777" w:rsidTr="00FE6C49">
        <w:trPr>
          <w:trHeight w:val="884"/>
        </w:trPr>
        <w:tc>
          <w:tcPr>
            <w:tcW w:w="2410" w:type="dxa"/>
          </w:tcPr>
          <w:p w14:paraId="3B2AFF28" w14:textId="77777777" w:rsidR="00F00FD4" w:rsidRPr="00E5644F" w:rsidRDefault="00F00FD4" w:rsidP="00FE6C49">
            <w:pPr>
              <w:jc w:val="both"/>
              <w:rPr>
                <w:rFonts w:ascii="Verdana" w:eastAsia="Calibri" w:hAnsi="Verdana" w:cs="Arial"/>
                <w:b/>
                <w:bCs/>
                <w:color w:val="7030A0"/>
                <w:lang w:val="es-ES_tradnl" w:eastAsia="es-ES_tradnl"/>
              </w:rPr>
            </w:pPr>
          </w:p>
        </w:tc>
        <w:tc>
          <w:tcPr>
            <w:tcW w:w="6804" w:type="dxa"/>
            <w:gridSpan w:val="2"/>
          </w:tcPr>
          <w:p w14:paraId="7B8B8209" w14:textId="77777777" w:rsidR="00F00FD4" w:rsidRDefault="00F00FD4" w:rsidP="00FE6C49">
            <w:pPr>
              <w:jc w:val="both"/>
              <w:rPr>
                <w:rFonts w:ascii="Verdana" w:eastAsia="Calibri" w:hAnsi="Verdana" w:cs="Arial"/>
                <w:b/>
                <w:bCs/>
                <w:lang w:val="es-ES" w:eastAsia="es-ES"/>
              </w:rPr>
            </w:pPr>
          </w:p>
          <w:p w14:paraId="320891AD" w14:textId="77777777" w:rsidR="00F00FD4" w:rsidRDefault="00F00FD4" w:rsidP="00FE6C49">
            <w:pPr>
              <w:jc w:val="both"/>
              <w:rPr>
                <w:rFonts w:ascii="Verdana" w:eastAsia="Calibri" w:hAnsi="Verdana" w:cs="Arial"/>
                <w:b/>
                <w:bCs/>
                <w:lang w:val="es-ES" w:eastAsia="es-ES"/>
              </w:rPr>
            </w:pPr>
          </w:p>
          <w:p w14:paraId="0DC95DD0" w14:textId="77777777" w:rsidR="00F00FD4" w:rsidRDefault="00F00FD4" w:rsidP="00FE6C49">
            <w:pPr>
              <w:jc w:val="both"/>
              <w:rPr>
                <w:rFonts w:ascii="Verdana" w:eastAsia="Calibri" w:hAnsi="Verdana" w:cs="Arial"/>
                <w:b/>
                <w:bCs/>
                <w:lang w:val="es-ES" w:eastAsia="es-ES"/>
              </w:rPr>
            </w:pPr>
            <w:r w:rsidRPr="0096584C">
              <w:rPr>
                <w:rFonts w:ascii="Verdana" w:eastAsia="Calibri" w:hAnsi="Verdana" w:cs="Arial"/>
                <w:b/>
                <w:bCs/>
                <w:lang w:val="es-ES" w:eastAsia="es-ES"/>
              </w:rPr>
              <w:t>Concepto C-</w:t>
            </w:r>
            <w:r>
              <w:rPr>
                <w:rFonts w:ascii="Verdana" w:eastAsia="Calibri" w:hAnsi="Verdana" w:cs="Arial"/>
                <w:b/>
                <w:bCs/>
                <w:lang w:val="es-ES" w:eastAsia="es-ES"/>
              </w:rPr>
              <w:t>1347</w:t>
            </w:r>
            <w:r w:rsidRPr="0096584C">
              <w:rPr>
                <w:rFonts w:ascii="Verdana" w:eastAsia="Calibri" w:hAnsi="Verdana" w:cs="Arial"/>
                <w:b/>
                <w:bCs/>
                <w:lang w:val="es-ES" w:eastAsia="es-ES"/>
              </w:rPr>
              <w:t xml:space="preserve"> de 2025</w:t>
            </w:r>
          </w:p>
          <w:p w14:paraId="01209E60" w14:textId="77777777" w:rsidR="00F00FD4" w:rsidRPr="0096584C" w:rsidRDefault="00F00FD4" w:rsidP="00FE6C49">
            <w:pPr>
              <w:jc w:val="both"/>
              <w:rPr>
                <w:rFonts w:ascii="Verdana" w:eastAsia="Calibri" w:hAnsi="Verdana" w:cs="Arial"/>
                <w:b/>
                <w:bCs/>
                <w:color w:val="7030A0"/>
                <w:lang w:val="es-ES" w:eastAsia="es-ES"/>
              </w:rPr>
            </w:pPr>
          </w:p>
        </w:tc>
      </w:tr>
      <w:tr w:rsidR="00F00FD4" w:rsidRPr="00A52DE7" w14:paraId="1158709B" w14:textId="77777777" w:rsidTr="00FE6C49">
        <w:trPr>
          <w:trHeight w:val="884"/>
        </w:trPr>
        <w:tc>
          <w:tcPr>
            <w:tcW w:w="2410" w:type="dxa"/>
          </w:tcPr>
          <w:p w14:paraId="548282D5" w14:textId="77777777" w:rsidR="00F00FD4" w:rsidRPr="00593A5F" w:rsidRDefault="00F00FD4" w:rsidP="00FE6C49">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2DE1F51B" w14:textId="77777777" w:rsidR="00F00FD4" w:rsidRDefault="00F00FD4" w:rsidP="00FE6C49">
            <w:pPr>
              <w:jc w:val="both"/>
              <w:rPr>
                <w:rFonts w:ascii="Verdana" w:hAnsi="Verdana" w:cs="Arial"/>
                <w:lang w:eastAsia="es-CO"/>
              </w:rPr>
            </w:pPr>
            <w:r w:rsidRPr="007B4E49">
              <w:rPr>
                <w:rFonts w:ascii="Verdana" w:eastAsia="Calibri" w:hAnsi="Verdana" w:cs="Arial"/>
                <w:lang w:val="es-ES" w:eastAsia="es-ES"/>
              </w:rPr>
              <w:t>SUBSANABILIDAD – Aplicación – R</w:t>
            </w:r>
            <w:r w:rsidRPr="007B4E49">
              <w:rPr>
                <w:rFonts w:ascii="Verdana" w:eastAsia="Calibri" w:hAnsi="Verdana"/>
                <w:lang w:val="es-ES" w:eastAsia="es-ES"/>
              </w:rPr>
              <w:t>egla general</w:t>
            </w:r>
            <w:r w:rsidRPr="007B4E49">
              <w:rPr>
                <w:rFonts w:ascii="Verdana" w:eastAsia="Calibri" w:hAnsi="Verdana" w:cs="Arial"/>
                <w:lang w:val="es-ES" w:eastAsia="es-ES"/>
              </w:rPr>
              <w:t xml:space="preserve"> – Excepciones / SUBSANABILIDAD – Ley 1882 de 2018 / </w:t>
            </w:r>
            <w:r w:rsidRPr="007B4E49">
              <w:rPr>
                <w:rFonts w:ascii="Verdana" w:hAnsi="Verdana" w:cs="Arial"/>
                <w:lang w:eastAsia="es-CO"/>
              </w:rPr>
              <w:t>CAUSALES DE RECHAZO DE LAS OFERTAS – Origen – Límites en su configuración / CAUSALES DE RECHAZO – Procedencia</w:t>
            </w:r>
            <w:r>
              <w:rPr>
                <w:rFonts w:ascii="Verdana" w:hAnsi="Verdana" w:cs="Arial"/>
                <w:lang w:eastAsia="es-CO"/>
              </w:rPr>
              <w:t>.</w:t>
            </w:r>
          </w:p>
          <w:p w14:paraId="5084CA79" w14:textId="77777777" w:rsidR="00F00FD4" w:rsidRPr="00A52DE7" w:rsidRDefault="00F00FD4" w:rsidP="00FE6C49">
            <w:pPr>
              <w:jc w:val="both"/>
              <w:rPr>
                <w:rFonts w:ascii="Verdana" w:eastAsia="Calibri" w:hAnsi="Verdana" w:cs="Arial"/>
                <w:b/>
                <w:highlight w:val="yellow"/>
                <w:lang w:val="es-ES" w:eastAsia="es-ES"/>
              </w:rPr>
            </w:pPr>
          </w:p>
        </w:tc>
      </w:tr>
      <w:tr w:rsidR="00F00FD4" w:rsidRPr="00593A5F" w14:paraId="5125137A" w14:textId="77777777" w:rsidTr="00FE6C49">
        <w:tc>
          <w:tcPr>
            <w:tcW w:w="2410" w:type="dxa"/>
          </w:tcPr>
          <w:p w14:paraId="08E4AC53" w14:textId="77777777" w:rsidR="00F00FD4" w:rsidRPr="006730E9" w:rsidRDefault="00F00FD4" w:rsidP="00FE6C49">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47B3A09A" w14:textId="77777777" w:rsidR="00F00FD4" w:rsidRPr="006730E9" w:rsidRDefault="00F00FD4" w:rsidP="00FE6C49">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8A0EF4">
              <w:rPr>
                <w:rFonts w:ascii="Verdana" w:eastAsia="Calibri" w:hAnsi="Verdana" w:cs="Arial"/>
                <w:lang w:eastAsia="es-ES_tradnl"/>
              </w:rPr>
              <w:t>1_2025_09_18_010309</w:t>
            </w:r>
          </w:p>
        </w:tc>
      </w:tr>
      <w:tr w:rsidR="00F00FD4" w:rsidRPr="00DB23D2" w14:paraId="59F83461" w14:textId="77777777" w:rsidTr="00FE6C49">
        <w:trPr>
          <w:gridAfter w:val="1"/>
          <w:wAfter w:w="336" w:type="dxa"/>
          <w:trHeight w:val="233"/>
        </w:trPr>
        <w:tc>
          <w:tcPr>
            <w:tcW w:w="8878" w:type="dxa"/>
            <w:gridSpan w:val="2"/>
          </w:tcPr>
          <w:p w14:paraId="16691FDE" w14:textId="77777777" w:rsidR="00F00FD4" w:rsidRPr="00DB23D2" w:rsidRDefault="00F00FD4" w:rsidP="00FE6C49">
            <w:pPr>
              <w:spacing w:after="120" w:line="276" w:lineRule="auto"/>
              <w:jc w:val="both"/>
              <w:rPr>
                <w:rFonts w:ascii="Verdana" w:eastAsia="Calibri" w:hAnsi="Verdana" w:cs="Arial"/>
                <w:lang w:val="es-ES_tradnl" w:eastAsia="es-ES"/>
              </w:rPr>
            </w:pPr>
          </w:p>
        </w:tc>
      </w:tr>
    </w:tbl>
    <w:p w14:paraId="21FE57F0" w14:textId="77777777" w:rsidR="00F00FD4" w:rsidRPr="006730E9" w:rsidRDefault="00F00FD4" w:rsidP="00F00FD4">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(a);</w:t>
      </w:r>
    </w:p>
    <w:p w14:paraId="35805ED7" w14:textId="77777777" w:rsidR="00F00FD4" w:rsidRDefault="00F00FD4" w:rsidP="00F00FD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8C330FB" w14:textId="77777777" w:rsidR="00F00FD4" w:rsidRPr="006730E9" w:rsidRDefault="00F00FD4" w:rsidP="00F00FD4">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18 de septiembre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133ABC9E" w14:textId="77777777" w:rsidR="00F00FD4" w:rsidRPr="00326382" w:rsidRDefault="00F00FD4" w:rsidP="00F00FD4">
      <w:pPr>
        <w:spacing w:after="0" w:line="240" w:lineRule="auto"/>
        <w:ind w:left="709" w:right="474"/>
        <w:jc w:val="both"/>
        <w:rPr>
          <w:rFonts w:ascii="Verdana" w:hAnsi="Verdana" w:cs="Arial"/>
          <w:sz w:val="20"/>
          <w:szCs w:val="20"/>
          <w:shd w:val="clear" w:color="auto" w:fill="FFFFFF"/>
        </w:rPr>
      </w:pPr>
      <w:bookmarkStart w:id="5" w:name="_Hlk95313578"/>
    </w:p>
    <w:bookmarkEnd w:id="5"/>
    <w:p w14:paraId="4F62AC0D" w14:textId="77777777" w:rsidR="00F00FD4" w:rsidRDefault="00F00FD4" w:rsidP="00F00FD4">
      <w:pPr>
        <w:tabs>
          <w:tab w:val="left" w:pos="142"/>
          <w:tab w:val="left" w:pos="567"/>
        </w:tabs>
        <w:ind w:left="709" w:right="709"/>
        <w:jc w:val="both"/>
        <w:rPr>
          <w:rFonts w:ascii="Verdana" w:eastAsia="Century Gothic" w:hAnsi="Verdana" w:cs="Century Gothic"/>
          <w:i/>
          <w:iCs/>
          <w:sz w:val="20"/>
          <w:szCs w:val="20"/>
        </w:rPr>
      </w:pPr>
      <w:r w:rsidRPr="00C33DBE">
        <w:rPr>
          <w:rFonts w:ascii="Verdana" w:eastAsia="Century Gothic" w:hAnsi="Verdana" w:cs="Century Gothic"/>
          <w:i/>
          <w:iCs/>
          <w:sz w:val="20"/>
          <w:szCs w:val="20"/>
        </w:rPr>
        <w:t xml:space="preserve">“(…) </w:t>
      </w:r>
    </w:p>
    <w:p w14:paraId="176F4079" w14:textId="77777777" w:rsidR="00F00FD4" w:rsidRPr="00E31B10" w:rsidRDefault="00F00FD4" w:rsidP="00F00FD4">
      <w:pPr>
        <w:tabs>
          <w:tab w:val="left" w:pos="142"/>
          <w:tab w:val="left" w:pos="567"/>
        </w:tabs>
        <w:ind w:left="709" w:right="709"/>
        <w:jc w:val="both"/>
        <w:rPr>
          <w:rFonts w:ascii="Verdana" w:eastAsia="Century Gothic" w:hAnsi="Verdana" w:cs="Century Gothic"/>
          <w:i/>
          <w:iCs/>
          <w:sz w:val="20"/>
          <w:szCs w:val="20"/>
        </w:rPr>
      </w:pPr>
      <w:bookmarkStart w:id="6" w:name="_Hlk203460035"/>
      <w:r w:rsidRPr="00E31B10">
        <w:rPr>
          <w:rFonts w:ascii="Verdana" w:eastAsia="Century Gothic" w:hAnsi="Verdana" w:cs="Century Gothic"/>
          <w:i/>
          <w:iCs/>
          <w:sz w:val="20"/>
          <w:szCs w:val="20"/>
        </w:rPr>
        <w:t>Se solicita responder las siguientes dudas con respecto a los procesos de mínima</w:t>
      </w:r>
      <w:r>
        <w:rPr>
          <w:rFonts w:ascii="Verdana" w:eastAsia="Century Gothic" w:hAnsi="Verdana" w:cs="Century Gothic"/>
          <w:i/>
          <w:iCs/>
          <w:sz w:val="20"/>
          <w:szCs w:val="20"/>
        </w:rPr>
        <w:t xml:space="preserve"> </w:t>
      </w:r>
      <w:r w:rsidRPr="00E31B10">
        <w:rPr>
          <w:rFonts w:ascii="Verdana" w:eastAsia="Century Gothic" w:hAnsi="Verdana" w:cs="Century Gothic"/>
          <w:i/>
          <w:iCs/>
          <w:sz w:val="20"/>
          <w:szCs w:val="20"/>
        </w:rPr>
        <w:t>cuantía:</w:t>
      </w:r>
    </w:p>
    <w:p w14:paraId="22091BF4" w14:textId="77777777" w:rsidR="00F00FD4" w:rsidRPr="00E31B10" w:rsidRDefault="00F00FD4" w:rsidP="00F00FD4">
      <w:pPr>
        <w:tabs>
          <w:tab w:val="left" w:pos="142"/>
          <w:tab w:val="left" w:pos="567"/>
        </w:tabs>
        <w:ind w:left="709" w:right="709"/>
        <w:jc w:val="both"/>
        <w:rPr>
          <w:rFonts w:ascii="Verdana" w:eastAsia="Century Gothic" w:hAnsi="Verdana" w:cs="Century Gothic"/>
          <w:i/>
          <w:iCs/>
          <w:sz w:val="20"/>
          <w:szCs w:val="20"/>
        </w:rPr>
      </w:pPr>
      <w:r w:rsidRPr="00E31B10">
        <w:rPr>
          <w:rFonts w:ascii="Verdana" w:eastAsia="Century Gothic" w:hAnsi="Verdana" w:cs="Century Gothic"/>
          <w:i/>
          <w:iCs/>
          <w:sz w:val="20"/>
          <w:szCs w:val="20"/>
        </w:rPr>
        <w:t>1. En un proceso de mínima cuantía se puede subsanar la carta de presentación</w:t>
      </w:r>
      <w:r>
        <w:rPr>
          <w:rFonts w:ascii="Verdana" w:eastAsia="Century Gothic" w:hAnsi="Verdana" w:cs="Century Gothic"/>
          <w:i/>
          <w:iCs/>
          <w:sz w:val="20"/>
          <w:szCs w:val="20"/>
        </w:rPr>
        <w:t xml:space="preserve"> </w:t>
      </w:r>
      <w:r w:rsidRPr="00E31B10">
        <w:rPr>
          <w:rFonts w:ascii="Verdana" w:eastAsia="Century Gothic" w:hAnsi="Verdana" w:cs="Century Gothic"/>
          <w:i/>
          <w:iCs/>
          <w:sz w:val="20"/>
          <w:szCs w:val="20"/>
        </w:rPr>
        <w:t>cuando la misma fue suscrita por persona natural, pero el oferente pretende</w:t>
      </w:r>
      <w:r>
        <w:rPr>
          <w:rFonts w:ascii="Verdana" w:eastAsia="Century Gothic" w:hAnsi="Verdana" w:cs="Century Gothic"/>
          <w:i/>
          <w:iCs/>
          <w:sz w:val="20"/>
          <w:szCs w:val="20"/>
        </w:rPr>
        <w:t xml:space="preserve"> </w:t>
      </w:r>
      <w:r w:rsidRPr="00E31B10">
        <w:rPr>
          <w:rFonts w:ascii="Verdana" w:eastAsia="Century Gothic" w:hAnsi="Verdana" w:cs="Century Gothic"/>
          <w:i/>
          <w:iCs/>
          <w:sz w:val="20"/>
          <w:szCs w:val="20"/>
        </w:rPr>
        <w:t>subsanarla como persona jurídica</w:t>
      </w:r>
    </w:p>
    <w:p w14:paraId="528229BE" w14:textId="77777777" w:rsidR="00F00FD4" w:rsidRPr="00E31B10" w:rsidRDefault="00F00FD4" w:rsidP="00F00FD4">
      <w:pPr>
        <w:tabs>
          <w:tab w:val="left" w:pos="142"/>
          <w:tab w:val="left" w:pos="567"/>
        </w:tabs>
        <w:ind w:left="709" w:right="709"/>
        <w:jc w:val="both"/>
        <w:rPr>
          <w:rFonts w:ascii="Verdana" w:eastAsia="Century Gothic" w:hAnsi="Verdana" w:cs="Century Gothic"/>
          <w:i/>
          <w:iCs/>
          <w:sz w:val="20"/>
          <w:szCs w:val="20"/>
        </w:rPr>
      </w:pPr>
      <w:r w:rsidRPr="00E31B10">
        <w:rPr>
          <w:rFonts w:ascii="Verdana" w:eastAsia="Century Gothic" w:hAnsi="Verdana" w:cs="Century Gothic"/>
          <w:i/>
          <w:iCs/>
          <w:sz w:val="20"/>
          <w:szCs w:val="20"/>
        </w:rPr>
        <w:t>2. En un proceso de mínima cuantía existe mejora y/o cambio de la oferta</w:t>
      </w:r>
      <w:r>
        <w:rPr>
          <w:rFonts w:ascii="Verdana" w:eastAsia="Century Gothic" w:hAnsi="Verdana" w:cs="Century Gothic"/>
          <w:i/>
          <w:iCs/>
          <w:sz w:val="20"/>
          <w:szCs w:val="20"/>
        </w:rPr>
        <w:t xml:space="preserve"> </w:t>
      </w:r>
      <w:r w:rsidRPr="00E31B10">
        <w:rPr>
          <w:rFonts w:ascii="Verdana" w:eastAsia="Century Gothic" w:hAnsi="Verdana" w:cs="Century Gothic"/>
          <w:i/>
          <w:iCs/>
          <w:sz w:val="20"/>
          <w:szCs w:val="20"/>
        </w:rPr>
        <w:t>cuando se le permite a un oferente subsanar la carta de presentación de la oferta,</w:t>
      </w:r>
      <w:r>
        <w:rPr>
          <w:rFonts w:ascii="Verdana" w:eastAsia="Century Gothic" w:hAnsi="Verdana" w:cs="Century Gothic"/>
          <w:i/>
          <w:iCs/>
          <w:sz w:val="20"/>
          <w:szCs w:val="20"/>
        </w:rPr>
        <w:t xml:space="preserve"> </w:t>
      </w:r>
      <w:r w:rsidRPr="00E31B10">
        <w:rPr>
          <w:rFonts w:ascii="Verdana" w:eastAsia="Century Gothic" w:hAnsi="Verdana" w:cs="Century Gothic"/>
          <w:i/>
          <w:iCs/>
          <w:sz w:val="20"/>
          <w:szCs w:val="20"/>
        </w:rPr>
        <w:t xml:space="preserve">en el entendido de que la firma y su contenido es de persona </w:t>
      </w:r>
      <w:proofErr w:type="gramStart"/>
      <w:r w:rsidRPr="00E31B10">
        <w:rPr>
          <w:rFonts w:ascii="Verdana" w:eastAsia="Century Gothic" w:hAnsi="Verdana" w:cs="Century Gothic"/>
          <w:i/>
          <w:iCs/>
          <w:sz w:val="20"/>
          <w:szCs w:val="20"/>
        </w:rPr>
        <w:t>natural</w:t>
      </w:r>
      <w:proofErr w:type="gramEnd"/>
      <w:r w:rsidRPr="00E31B10">
        <w:rPr>
          <w:rFonts w:ascii="Verdana" w:eastAsia="Century Gothic" w:hAnsi="Verdana" w:cs="Century Gothic"/>
          <w:i/>
          <w:iCs/>
          <w:sz w:val="20"/>
          <w:szCs w:val="20"/>
        </w:rPr>
        <w:t xml:space="preserve"> pero subsana</w:t>
      </w:r>
      <w:r>
        <w:rPr>
          <w:rFonts w:ascii="Verdana" w:eastAsia="Century Gothic" w:hAnsi="Verdana" w:cs="Century Gothic"/>
          <w:i/>
          <w:iCs/>
          <w:sz w:val="20"/>
          <w:szCs w:val="20"/>
        </w:rPr>
        <w:t xml:space="preserve"> </w:t>
      </w:r>
      <w:r w:rsidRPr="00E31B10">
        <w:rPr>
          <w:rFonts w:ascii="Verdana" w:eastAsia="Century Gothic" w:hAnsi="Verdana" w:cs="Century Gothic"/>
          <w:i/>
          <w:iCs/>
          <w:sz w:val="20"/>
          <w:szCs w:val="20"/>
        </w:rPr>
        <w:t>como persona jurídica</w:t>
      </w:r>
    </w:p>
    <w:p w14:paraId="66885083" w14:textId="77777777" w:rsidR="00F00FD4" w:rsidRDefault="00F00FD4" w:rsidP="00F00FD4">
      <w:pPr>
        <w:tabs>
          <w:tab w:val="left" w:pos="142"/>
          <w:tab w:val="left" w:pos="567"/>
        </w:tabs>
        <w:ind w:left="709" w:right="709"/>
        <w:jc w:val="both"/>
        <w:rPr>
          <w:rFonts w:ascii="Verdana" w:eastAsia="Century Gothic" w:hAnsi="Verdana" w:cs="Century Gothic"/>
          <w:i/>
          <w:iCs/>
          <w:sz w:val="20"/>
          <w:szCs w:val="20"/>
        </w:rPr>
      </w:pPr>
      <w:r w:rsidRPr="00E31B10">
        <w:rPr>
          <w:rFonts w:ascii="Verdana" w:eastAsia="Century Gothic" w:hAnsi="Verdana" w:cs="Century Gothic"/>
          <w:i/>
          <w:iCs/>
          <w:sz w:val="20"/>
          <w:szCs w:val="20"/>
        </w:rPr>
        <w:lastRenderedPageBreak/>
        <w:t>3. En un proceso de mínima cuantía explicar el alcance de la carta de</w:t>
      </w:r>
      <w:r>
        <w:rPr>
          <w:rFonts w:ascii="Verdana" w:eastAsia="Century Gothic" w:hAnsi="Verdana" w:cs="Century Gothic"/>
          <w:i/>
          <w:iCs/>
          <w:sz w:val="20"/>
          <w:szCs w:val="20"/>
        </w:rPr>
        <w:t xml:space="preserve"> </w:t>
      </w:r>
      <w:r w:rsidRPr="00E31B10">
        <w:rPr>
          <w:rFonts w:ascii="Verdana" w:eastAsia="Century Gothic" w:hAnsi="Verdana" w:cs="Century Gothic"/>
          <w:i/>
          <w:iCs/>
          <w:sz w:val="20"/>
          <w:szCs w:val="20"/>
        </w:rPr>
        <w:t>presentación</w:t>
      </w:r>
      <w:r>
        <w:rPr>
          <w:rFonts w:ascii="Verdana" w:eastAsia="Century Gothic" w:hAnsi="Verdana" w:cs="Century Gothic"/>
          <w:i/>
          <w:iCs/>
          <w:sz w:val="20"/>
          <w:szCs w:val="20"/>
        </w:rPr>
        <w:t xml:space="preserve"> </w:t>
      </w:r>
    </w:p>
    <w:p w14:paraId="1685A069" w14:textId="77777777" w:rsidR="00F00FD4" w:rsidRPr="00CD7324" w:rsidRDefault="00F00FD4" w:rsidP="00F00FD4">
      <w:pPr>
        <w:tabs>
          <w:tab w:val="left" w:pos="142"/>
          <w:tab w:val="left" w:pos="567"/>
        </w:tabs>
        <w:ind w:left="709" w:right="709"/>
        <w:jc w:val="both"/>
        <w:rPr>
          <w:rFonts w:ascii="Verdana" w:eastAsia="Century Gothic" w:hAnsi="Verdana" w:cs="Century Gothic"/>
          <w:i/>
          <w:iCs/>
          <w:sz w:val="20"/>
          <w:szCs w:val="20"/>
        </w:rPr>
      </w:pPr>
      <w:r w:rsidRPr="00E31B10">
        <w:rPr>
          <w:rFonts w:ascii="Verdana" w:eastAsia="Century Gothic" w:hAnsi="Verdana" w:cs="Century Gothic"/>
          <w:i/>
          <w:iCs/>
          <w:sz w:val="20"/>
          <w:szCs w:val="20"/>
        </w:rPr>
        <w:t>4. En un proceso de mínima cuantía la carta de presentación se debe entender</w:t>
      </w:r>
      <w:r>
        <w:rPr>
          <w:rFonts w:ascii="Verdana" w:eastAsia="Century Gothic" w:hAnsi="Verdana" w:cs="Century Gothic"/>
          <w:i/>
          <w:iCs/>
          <w:sz w:val="20"/>
          <w:szCs w:val="20"/>
        </w:rPr>
        <w:t xml:space="preserve"> </w:t>
      </w:r>
      <w:r w:rsidRPr="00E31B10">
        <w:rPr>
          <w:rFonts w:ascii="Verdana" w:eastAsia="Century Gothic" w:hAnsi="Verdana" w:cs="Century Gothic"/>
          <w:i/>
          <w:iCs/>
          <w:sz w:val="20"/>
          <w:szCs w:val="20"/>
        </w:rPr>
        <w:t>como el documento en donde una oferente manifiesta su interés de participar en el</w:t>
      </w:r>
      <w:r>
        <w:rPr>
          <w:rFonts w:ascii="Verdana" w:eastAsia="Century Gothic" w:hAnsi="Verdana" w:cs="Century Gothic"/>
          <w:i/>
          <w:iCs/>
          <w:sz w:val="20"/>
          <w:szCs w:val="20"/>
        </w:rPr>
        <w:t xml:space="preserve"> </w:t>
      </w:r>
      <w:r w:rsidRPr="00E31B10">
        <w:rPr>
          <w:rFonts w:ascii="Verdana" w:eastAsia="Century Gothic" w:hAnsi="Verdana" w:cs="Century Gothic"/>
          <w:i/>
          <w:iCs/>
          <w:sz w:val="20"/>
          <w:szCs w:val="20"/>
        </w:rPr>
        <w:t>proceso licitatorio, en tal sentido, ¿se puede subsanar cambiando el oferente que</w:t>
      </w:r>
      <w:r>
        <w:rPr>
          <w:rFonts w:ascii="Verdana" w:eastAsia="Century Gothic" w:hAnsi="Verdana" w:cs="Century Gothic"/>
          <w:i/>
          <w:iCs/>
          <w:sz w:val="20"/>
          <w:szCs w:val="20"/>
        </w:rPr>
        <w:t xml:space="preserve"> </w:t>
      </w:r>
      <w:r w:rsidRPr="00E31B10">
        <w:rPr>
          <w:rFonts w:ascii="Verdana" w:eastAsia="Century Gothic" w:hAnsi="Verdana" w:cs="Century Gothic"/>
          <w:i/>
          <w:iCs/>
          <w:sz w:val="20"/>
          <w:szCs w:val="20"/>
        </w:rPr>
        <w:t xml:space="preserve">suscribe dicha </w:t>
      </w:r>
      <w:proofErr w:type="gramStart"/>
      <w:r w:rsidRPr="00E31B10">
        <w:rPr>
          <w:rFonts w:ascii="Verdana" w:eastAsia="Century Gothic" w:hAnsi="Verdana" w:cs="Century Gothic"/>
          <w:i/>
          <w:iCs/>
          <w:sz w:val="20"/>
          <w:szCs w:val="20"/>
        </w:rPr>
        <w:t>carta?:</w:t>
      </w:r>
      <w:bookmarkEnd w:id="6"/>
      <w:r w:rsidRPr="00C33DBE">
        <w:rPr>
          <w:rFonts w:ascii="Verdana" w:eastAsia="Century Gothic" w:hAnsi="Verdana" w:cs="Century Gothic"/>
          <w:i/>
          <w:iCs/>
          <w:sz w:val="20"/>
          <w:szCs w:val="20"/>
        </w:rPr>
        <w:t>(</w:t>
      </w:r>
      <w:proofErr w:type="gramEnd"/>
      <w:r w:rsidRPr="00C33DBE">
        <w:rPr>
          <w:rFonts w:ascii="Verdana" w:eastAsia="Century Gothic" w:hAnsi="Verdana" w:cs="Century Gothic"/>
          <w:i/>
          <w:iCs/>
          <w:sz w:val="20"/>
          <w:szCs w:val="20"/>
        </w:rPr>
        <w:t>…)</w:t>
      </w:r>
      <w:r>
        <w:rPr>
          <w:rFonts w:ascii="Verdana" w:eastAsia="Century Gothic" w:hAnsi="Verdana" w:cs="Century Gothic"/>
          <w:i/>
          <w:iCs/>
          <w:sz w:val="20"/>
          <w:szCs w:val="20"/>
        </w:rPr>
        <w:t>”</w:t>
      </w:r>
      <w:r w:rsidRPr="00CD7324">
        <w:rPr>
          <w:rFonts w:ascii="Verdana" w:eastAsia="Century Gothic" w:hAnsi="Verdana" w:cs="Century Gothic"/>
          <w:i/>
          <w:iCs/>
          <w:sz w:val="20"/>
          <w:szCs w:val="20"/>
        </w:rPr>
        <w:t xml:space="preserve"> </w:t>
      </w:r>
    </w:p>
    <w:p w14:paraId="1F67A86D" w14:textId="77777777" w:rsidR="00F00FD4" w:rsidRPr="00AA3B9F" w:rsidRDefault="00F00FD4" w:rsidP="00F00FD4">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66B50DA0" w14:textId="77777777" w:rsidR="00F00FD4" w:rsidRPr="00AA3B9F" w:rsidRDefault="00F00FD4" w:rsidP="00F00FD4">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4AD89D86" w14:textId="77777777" w:rsidR="00F00FD4" w:rsidRDefault="00F00FD4" w:rsidP="00F00FD4">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731FF4D2" w14:textId="77777777" w:rsidR="00F00FD4" w:rsidRDefault="00F00FD4" w:rsidP="00F00FD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2BFFFFA5" w14:textId="77777777" w:rsidR="00F00FD4" w:rsidRDefault="00F00FD4" w:rsidP="00F00FD4">
      <w:pPr>
        <w:pStyle w:val="Prrafodelista"/>
        <w:tabs>
          <w:tab w:val="left" w:pos="142"/>
          <w:tab w:val="left" w:pos="284"/>
        </w:tabs>
        <w:spacing w:after="0" w:line="276" w:lineRule="auto"/>
        <w:ind w:left="0"/>
        <w:jc w:val="both"/>
        <w:rPr>
          <w:rFonts w:ascii="Verdana" w:eastAsia="Century Gothic" w:hAnsi="Verdana" w:cs="Century Gothic"/>
          <w:b/>
          <w:bCs/>
        </w:rPr>
      </w:pPr>
    </w:p>
    <w:p w14:paraId="16FF3163" w14:textId="7CB8D26E" w:rsidR="00F00FD4" w:rsidRDefault="00F00FD4" w:rsidP="006E0988">
      <w:pPr>
        <w:spacing w:after="0" w:line="276" w:lineRule="auto"/>
        <w:jc w:val="both"/>
        <w:rPr>
          <w:rFonts w:ascii="Verdana" w:eastAsia="Calibri" w:hAnsi="Verdana" w:cs="Arial"/>
          <w:lang w:eastAsia="es-ES"/>
        </w:rPr>
      </w:pPr>
      <w:r w:rsidRPr="3F2B4452">
        <w:rPr>
          <w:rFonts w:ascii="Verdana" w:eastAsia="Calibri" w:hAnsi="Verdana" w:cs="Arial"/>
          <w:lang w:eastAsia="es-ES"/>
        </w:rPr>
        <w:t>De acuerdo con el contenido de su solicitud, esta Agencia resolverá el siguiente problema jurídico</w:t>
      </w:r>
      <w:bookmarkStart w:id="7" w:name="_Hlk196737317"/>
      <w:r w:rsidRPr="3F2B4452">
        <w:rPr>
          <w:rFonts w:ascii="Verdana" w:eastAsia="Calibri" w:hAnsi="Verdana" w:cs="Arial"/>
          <w:lang w:eastAsia="es-ES"/>
        </w:rPr>
        <w:t>: ¿</w:t>
      </w:r>
      <w:r w:rsidR="579961C7" w:rsidRPr="3F2B4452">
        <w:rPr>
          <w:rFonts w:ascii="Verdana" w:eastAsia="Calibri" w:hAnsi="Verdana" w:cs="Arial"/>
          <w:lang w:eastAsia="es-ES"/>
        </w:rPr>
        <w:t>Es posible subsanar en el trámite de un proceso de convocatoria pública, el cambio de un proponente por otro?</w:t>
      </w:r>
      <w:r w:rsidR="6D8B7E2B" w:rsidRPr="3F2B4452">
        <w:rPr>
          <w:rFonts w:ascii="Verdana" w:eastAsia="Calibri" w:hAnsi="Verdana" w:cs="Arial"/>
          <w:lang w:eastAsia="es-ES"/>
        </w:rPr>
        <w:t xml:space="preserve"> </w:t>
      </w:r>
    </w:p>
    <w:p w14:paraId="571671A3" w14:textId="77777777" w:rsidR="00F00FD4" w:rsidRDefault="00F00FD4" w:rsidP="00F00FD4">
      <w:pPr>
        <w:pStyle w:val="Prrafodelista"/>
        <w:tabs>
          <w:tab w:val="left" w:pos="142"/>
          <w:tab w:val="left" w:pos="284"/>
        </w:tabs>
        <w:spacing w:after="0" w:line="276" w:lineRule="auto"/>
        <w:jc w:val="both"/>
        <w:rPr>
          <w:rFonts w:ascii="Verdana" w:eastAsia="Calibri" w:hAnsi="Verdana" w:cs="Arial"/>
          <w:lang w:val="es-CO" w:eastAsia="es-ES"/>
        </w:rPr>
      </w:pPr>
    </w:p>
    <w:bookmarkEnd w:id="7"/>
    <w:p w14:paraId="13126FC8" w14:textId="77777777" w:rsidR="00F00FD4" w:rsidRPr="00593A5F" w:rsidRDefault="00F00FD4" w:rsidP="00F00FD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556FEE8" w14:textId="77777777" w:rsidR="00F00FD4" w:rsidRPr="00593A5F" w:rsidRDefault="00F00FD4" w:rsidP="00F00FD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00FD4" w:rsidRPr="00593A5F" w14:paraId="5409521A" w14:textId="77777777" w:rsidTr="0F126BB0">
        <w:tc>
          <w:tcPr>
            <w:tcW w:w="8828" w:type="dxa"/>
          </w:tcPr>
          <w:p w14:paraId="357DED6A" w14:textId="77777777" w:rsidR="00F00FD4" w:rsidRDefault="00F00FD4" w:rsidP="00FE6C49">
            <w:pPr>
              <w:spacing w:after="120" w:line="276" w:lineRule="auto"/>
              <w:ind w:firstLine="709"/>
              <w:jc w:val="both"/>
              <w:rPr>
                <w:rFonts w:ascii="Verdana" w:eastAsia="Calibri" w:hAnsi="Verdana" w:cs="Times New Roman"/>
              </w:rPr>
            </w:pPr>
            <w:r>
              <w:rPr>
                <w:rFonts w:ascii="Verdana" w:eastAsia="Calibri" w:hAnsi="Verdana" w:cs="Arial"/>
                <w:lang w:eastAsia="es-ES"/>
              </w:rPr>
              <w:t>R</w:t>
            </w:r>
            <w:proofErr w:type="spellStart"/>
            <w:r w:rsidRPr="00FE6C49">
              <w:rPr>
                <w:rFonts w:ascii="Verdana" w:eastAsia="Calibri" w:hAnsi="Verdana" w:cs="Arial"/>
                <w:color w:val="000000"/>
                <w:szCs w:val="24"/>
                <w:lang w:val="es-ES" w:eastAsia="es-ES_tradnl"/>
              </w:rPr>
              <w:t>esulta</w:t>
            </w:r>
            <w:proofErr w:type="spellEnd"/>
            <w:r w:rsidRPr="00FE6C49">
              <w:rPr>
                <w:rFonts w:ascii="Verdana" w:eastAsia="Calibri" w:hAnsi="Verdana" w:cs="Arial"/>
                <w:color w:val="000000"/>
                <w:szCs w:val="24"/>
                <w:lang w:val="es-ES" w:eastAsia="es-ES_tradnl"/>
              </w:rPr>
              <w:t xml:space="preserve"> importante entender que la propuesta está constituida por una diversidad de documentos y no solamente por la carta de presentación de la oferta, la cual, como su nombre lo indica, es sólo la forma como se introduce al destinatario, en este caso, a la Entidad Estatal, la totalidad de elementos </w:t>
            </w:r>
            <w:r w:rsidRPr="00FE6C49">
              <w:rPr>
                <w:rFonts w:ascii="Verdana" w:eastAsia="Calibri" w:hAnsi="Verdana" w:cs="Arial"/>
                <w:color w:val="000000"/>
                <w:szCs w:val="24"/>
                <w:lang w:val="es-ES" w:eastAsia="es-ES_tradnl"/>
              </w:rPr>
              <w:lastRenderedPageBreak/>
              <w:t>que conforman la oferta. En consecuencia, el entendimiento de la oferta debe estar guiado por la comprensión de todos los documentos que la integran y la función que cumple cada uno de ellos, sin que una oferta pueda limitarse a lo que la carta de presentación de la propuesta</w:t>
            </w:r>
            <w:r>
              <w:rPr>
                <w:rFonts w:ascii="Verdana" w:eastAsia="Calibri" w:hAnsi="Verdana" w:cs="Arial"/>
                <w:color w:val="000000"/>
                <w:szCs w:val="24"/>
                <w:lang w:val="es-ES" w:eastAsia="es-ES_tradnl"/>
              </w:rPr>
              <w:t xml:space="preserve"> indica</w:t>
            </w:r>
            <w:r w:rsidRPr="00FE6C49">
              <w:rPr>
                <w:rFonts w:ascii="Verdana" w:eastAsia="Calibri" w:hAnsi="Verdana" w:cs="Arial"/>
                <w:color w:val="000000"/>
                <w:szCs w:val="24"/>
                <w:lang w:val="es-ES" w:eastAsia="es-ES_tradnl"/>
              </w:rPr>
              <w:t>.</w:t>
            </w:r>
            <w:r>
              <w:rPr>
                <w:rFonts w:ascii="Verdana" w:eastAsia="Calibri" w:hAnsi="Verdana" w:cs="Arial"/>
                <w:lang w:eastAsia="es-ES"/>
              </w:rPr>
              <w:t xml:space="preserve">     </w:t>
            </w:r>
            <w:r>
              <w:rPr>
                <w:rFonts w:ascii="Verdana" w:eastAsia="Calibri" w:hAnsi="Verdana" w:cs="Times New Roman"/>
              </w:rPr>
              <w:t xml:space="preserve"> </w:t>
            </w:r>
          </w:p>
          <w:p w14:paraId="3B09BAE6" w14:textId="30D90C5E" w:rsidR="00F00FD4" w:rsidRDefault="00F00FD4" w:rsidP="00FE6C49">
            <w:pPr>
              <w:spacing w:after="120" w:line="276" w:lineRule="auto"/>
              <w:ind w:firstLine="709"/>
              <w:jc w:val="both"/>
              <w:rPr>
                <w:rFonts w:ascii="Verdana" w:eastAsia="Arial" w:hAnsi="Verdana" w:cs="Arial"/>
              </w:rPr>
            </w:pPr>
            <w:r w:rsidRPr="0F126BB0">
              <w:rPr>
                <w:rFonts w:ascii="Verdana" w:eastAsia="Arial" w:hAnsi="Verdana" w:cs="Arial"/>
              </w:rPr>
              <w:t>La facultad de las entidades estatales para incluir en los pliegos de condiciones</w:t>
            </w:r>
            <w:r w:rsidR="544E42D1" w:rsidRPr="0F126BB0">
              <w:rPr>
                <w:rFonts w:ascii="Verdana" w:eastAsia="Arial" w:hAnsi="Verdana" w:cs="Arial"/>
              </w:rPr>
              <w:t xml:space="preserve"> o invitaciones públicas</w:t>
            </w:r>
            <w:r w:rsidRPr="0F126BB0">
              <w:rPr>
                <w:rFonts w:ascii="Verdana" w:eastAsia="Arial" w:hAnsi="Verdana" w:cs="Arial"/>
              </w:rPr>
              <w:t xml:space="preserve">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32135A25" w14:textId="77777777" w:rsidR="00281095" w:rsidRDefault="2B5F90BF" w:rsidP="00281095">
            <w:pPr>
              <w:spacing w:after="120" w:line="276" w:lineRule="auto"/>
              <w:ind w:firstLine="709"/>
              <w:jc w:val="both"/>
              <w:rPr>
                <w:rFonts w:ascii="Verdana" w:hAnsi="Verdana"/>
              </w:rPr>
            </w:pPr>
            <w:r w:rsidRPr="3F2B4452">
              <w:rPr>
                <w:rFonts w:ascii="Verdana" w:hAnsi="Verdana" w:cs="Arial"/>
                <w:color w:val="000000" w:themeColor="text1"/>
                <w:lang w:val="es-ES"/>
              </w:rPr>
              <w:t xml:space="preserve">En consecuencia, </w:t>
            </w:r>
            <w:r w:rsidRPr="3F2B4452">
              <w:rPr>
                <w:rFonts w:ascii="Verdana" w:hAnsi="Verdana"/>
              </w:rPr>
              <w:t xml:space="preserve">cuando la subsanación de la carta de presentación de la oferta se refiere a errores formales tales como la omisión de un dato, el diligenciamiento incorrecto o la ausencia de firma, dicha corrección resulta procedente, en tanto no afecta elementos sustanciales de la propuesta ni vulnera los principios que rigen la actuación contractual. No obstante, si mediante la subsanación de la carta de presentación se pretende modificar la identidad del oferente —esto es, sustituir al proponente originalmente presentado por otro distinto— a juicio de esta Agencia tal actuación sería inadmisible, por tratarse de una circunstancia sobrevenida con posterioridad al cierre del proceso, implicaría una </w:t>
            </w:r>
            <w:r w:rsidRPr="3F2B4452">
              <w:rPr>
                <w:rFonts w:ascii="Verdana" w:eastAsia="Calibri" w:hAnsi="Verdana" w:cs="Times New Roman"/>
                <w:color w:val="000000" w:themeColor="text1"/>
                <w:lang w:val="es-ES"/>
              </w:rPr>
              <w:t>alteración sustancial o mejoría de sus componentes,</w:t>
            </w:r>
            <w:r w:rsidRPr="3F2B4452">
              <w:rPr>
                <w:rFonts w:ascii="Verdana" w:hAnsi="Verdana"/>
              </w:rPr>
              <w:t xml:space="preserve"> lo que vulneraría los principios de transparencia, igualdad y selección objetiva. </w:t>
            </w:r>
          </w:p>
          <w:p w14:paraId="2B761ACE" w14:textId="5F22AF9C" w:rsidR="00281095" w:rsidRDefault="5C6647E1" w:rsidP="00281095">
            <w:pPr>
              <w:spacing w:after="120" w:line="276" w:lineRule="auto"/>
              <w:ind w:firstLine="709"/>
              <w:jc w:val="both"/>
              <w:rPr>
                <w:rFonts w:ascii="Verdana" w:hAnsi="Verdana"/>
              </w:rPr>
            </w:pPr>
            <w:r w:rsidRPr="3F2B4452">
              <w:rPr>
                <w:rFonts w:ascii="Verdana" w:hAnsi="Verdana"/>
              </w:rPr>
              <w:t>La identidad del oferente constituye un componente esencial de la oferta, que debe quedar plenamente determinad</w:t>
            </w:r>
            <w:r w:rsidR="76A66B7A" w:rsidRPr="3F2B4452">
              <w:rPr>
                <w:rFonts w:ascii="Verdana" w:hAnsi="Verdana"/>
              </w:rPr>
              <w:t>a</w:t>
            </w:r>
            <w:r w:rsidRPr="3F2B4452">
              <w:rPr>
                <w:rFonts w:ascii="Verdana" w:hAnsi="Verdana"/>
              </w:rPr>
              <w:t xml:space="preserve"> dentro del término previsto para su presentación. Permitir su modificación con posterioridad equivaldría a admitir la participación extemporánea de un nuevo proponente, lo cual desnaturaliza el carácter competitivo del procedimiento, vulnera los principios de transparencia, igualdad y selección objetiva, y afecta la confianza legítima de los demás participantes. Además, se rompería el principio de igualdad de condiciones, al otorgar a un oferente una oportunidad adicional para ajustar su propuesta, en detrimento de quienes cumplieron oportunamente con los requisitos exigidos. </w:t>
            </w:r>
          </w:p>
          <w:p w14:paraId="242C56C4" w14:textId="58B7AF62" w:rsidR="00F00FD4" w:rsidRPr="00831CDD" w:rsidRDefault="7C5D8CAA" w:rsidP="3F2B4452">
            <w:pPr>
              <w:spacing w:before="120" w:after="120" w:line="276" w:lineRule="auto"/>
              <w:ind w:firstLine="709"/>
              <w:jc w:val="both"/>
              <w:rPr>
                <w:rFonts w:ascii="Verdana" w:hAnsi="Verdana" w:cs="Arial"/>
                <w:color w:val="000000" w:themeColor="text1"/>
              </w:rPr>
            </w:pPr>
            <w:r w:rsidRPr="3F2B4452">
              <w:rPr>
                <w:rFonts w:ascii="Verdana" w:eastAsia="Arial" w:hAnsi="Verdana" w:cs="Arial"/>
              </w:rPr>
              <w:lastRenderedPageBreak/>
              <w:t>Al margen de lo anterior, debe advertirse que el análisis sobre la subsanación o el rechazo de las ofertas al interior de los procedimientos de selección debe ser realizado por quienes tengan interés en ello, de acuerdo con lo explicado en 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00F00FD4" w:rsidRPr="3F2B4452">
              <w:rPr>
                <w:rFonts w:ascii="Verdana" w:hAnsi="Verdana"/>
              </w:rPr>
              <w:t xml:space="preserve"> </w:t>
            </w:r>
          </w:p>
        </w:tc>
      </w:tr>
    </w:tbl>
    <w:p w14:paraId="049F926E" w14:textId="77777777" w:rsidR="00F00FD4" w:rsidRDefault="00F00FD4" w:rsidP="00F00FD4">
      <w:pPr>
        <w:tabs>
          <w:tab w:val="left" w:pos="142"/>
          <w:tab w:val="left" w:pos="284"/>
        </w:tabs>
        <w:spacing w:after="0" w:line="276" w:lineRule="auto"/>
        <w:jc w:val="both"/>
        <w:rPr>
          <w:rFonts w:ascii="Verdana" w:eastAsia="Century Gothic" w:hAnsi="Verdana" w:cs="Century Gothic"/>
          <w:b/>
          <w:bCs/>
          <w:lang w:val="es-ES"/>
        </w:rPr>
      </w:pPr>
    </w:p>
    <w:p w14:paraId="78C13769" w14:textId="77777777" w:rsidR="00F00FD4" w:rsidRDefault="00F00FD4" w:rsidP="00F00FD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777B2DA" w14:textId="77777777" w:rsidR="00F00FD4" w:rsidRPr="00B36F85" w:rsidRDefault="00F00FD4" w:rsidP="00F00FD4">
      <w:pPr>
        <w:spacing w:after="0" w:line="276" w:lineRule="auto"/>
        <w:jc w:val="both"/>
        <w:rPr>
          <w:rFonts w:ascii="Verdana" w:eastAsia="Calibri" w:hAnsi="Verdana" w:cs="Arial"/>
        </w:rPr>
      </w:pPr>
    </w:p>
    <w:p w14:paraId="593EE779" w14:textId="2A6A27F3" w:rsidR="00F00FD4" w:rsidRPr="0055341A" w:rsidDel="004D5F83" w:rsidRDefault="00F00FD4" w:rsidP="3F2B4452">
      <w:pPr>
        <w:spacing w:after="120" w:line="276" w:lineRule="auto"/>
        <w:ind w:firstLine="709"/>
        <w:jc w:val="both"/>
        <w:rPr>
          <w:rFonts w:ascii="Verdana" w:eastAsia="Times New Roman" w:hAnsi="Verdana" w:cs="Arial"/>
          <w:lang w:val="es-ES" w:eastAsia="es-ES"/>
        </w:rPr>
      </w:pPr>
      <w:r w:rsidRPr="3F2B4452">
        <w:rPr>
          <w:rFonts w:ascii="Verdana" w:hAnsi="Verdana" w:cs="Arial"/>
          <w:noProof/>
          <w:lang w:val="es-ES"/>
        </w:rPr>
        <w:t>i. L</w:t>
      </w:r>
      <w:r w:rsidRPr="3F2B4452">
        <w:rPr>
          <w:rFonts w:ascii="Verdana" w:eastAsia="Times New Roman" w:hAnsi="Verdana" w:cs="Arial"/>
        </w:rPr>
        <w:t xml:space="preserve">a regla de la </w:t>
      </w:r>
      <w:proofErr w:type="spellStart"/>
      <w:r w:rsidRPr="3F2B4452">
        <w:rPr>
          <w:rFonts w:ascii="Verdana" w:eastAsia="Times New Roman" w:hAnsi="Verdana" w:cs="Arial"/>
        </w:rPr>
        <w:t>subsanabilidad</w:t>
      </w:r>
      <w:proofErr w:type="spellEnd"/>
      <w:r w:rsidRPr="3F2B4452">
        <w:rPr>
          <w:rFonts w:ascii="Verdana" w:eastAsia="Times New Roman" w:hAnsi="Verdana" w:cs="Arial"/>
        </w:rPr>
        <w:t xml:space="preserve"> de las ofertas en los procedimientos de selección</w:t>
      </w:r>
      <w:r w:rsidRPr="3F2B4452">
        <w:rPr>
          <w:rFonts w:ascii="Verdana" w:eastAsia="Times New Roman" w:hAnsi="Verdana" w:cs="Arial"/>
          <w:b/>
          <w:bCs/>
        </w:rPr>
        <w:t xml:space="preserve"> </w:t>
      </w:r>
      <w:r w:rsidRPr="3F2B4452">
        <w:rPr>
          <w:rFonts w:ascii="Verdana" w:eastAsia="Times New Roman" w:hAnsi="Verdana" w:cs="Arial"/>
          <w:lang w:val="es-ES" w:eastAsia="es-ES"/>
        </w:rPr>
        <w:t>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6DDBAC67" w14:textId="08207EC3" w:rsidR="00F00FD4" w:rsidDel="00A05D54" w:rsidRDefault="00F00FD4" w:rsidP="3F2B4452">
      <w:pPr>
        <w:spacing w:after="120" w:line="276" w:lineRule="auto"/>
        <w:ind w:firstLine="709"/>
        <w:jc w:val="both"/>
        <w:rPr>
          <w:rFonts w:ascii="Verdana" w:eastAsia="Times New Roman" w:hAnsi="Verdana" w:cs="Arial"/>
          <w:lang w:val="es-ES" w:eastAsia="es-CO"/>
        </w:rPr>
      </w:pPr>
      <w:r w:rsidRPr="37C57DE6">
        <w:rPr>
          <w:rFonts w:ascii="Verdana" w:eastAsia="Times New Roman" w:hAnsi="Verdana" w:cs="Arial"/>
          <w:lang w:val="es-ES" w:eastAsia="es-ES"/>
        </w:rPr>
        <w:t>La posibilidad de enmendar, corregir o subsanar los errores en los que se incurre en los documentos contentivos de la oferta es un tema que ha tenido diferentes momentos o etapas en el ordenamiento jurídico colombiano,</w:t>
      </w:r>
      <w:r w:rsidR="00A05D54">
        <w:rPr>
          <w:rFonts w:ascii="Verdana" w:eastAsia="Times New Roman" w:hAnsi="Verdana" w:cs="Arial"/>
          <w:lang w:val="es-ES" w:eastAsia="es-ES"/>
        </w:rPr>
        <w:t xml:space="preserve"> la </w:t>
      </w:r>
      <w:r w:rsidR="0DE576FC">
        <w:rPr>
          <w:rFonts w:ascii="Verdana" w:eastAsia="Times New Roman" w:hAnsi="Verdana" w:cs="Arial"/>
          <w:lang w:val="es-ES" w:eastAsia="es-ES"/>
        </w:rPr>
        <w:t xml:space="preserve">Ley </w:t>
      </w:r>
      <w:r w:rsidRPr="3F2B4452">
        <w:rPr>
          <w:rFonts w:ascii="Verdana" w:eastAsia="Times New Roman" w:hAnsi="Verdana" w:cs="Arial"/>
          <w:lang w:val="es-ES" w:eastAsia="es-CO"/>
        </w:rPr>
        <w:t>1882 de 2018</w:t>
      </w:r>
      <w:r w:rsidR="006E1805" w:rsidRPr="3F2B4452">
        <w:rPr>
          <w:rFonts w:ascii="Verdana" w:eastAsia="Times New Roman" w:hAnsi="Verdana" w:cs="Arial"/>
          <w:lang w:val="es-ES" w:eastAsia="es-CO"/>
        </w:rPr>
        <w:t xml:space="preserve">, </w:t>
      </w:r>
      <w:r w:rsidRPr="3F2B4452">
        <w:rPr>
          <w:rFonts w:ascii="Verdana" w:eastAsia="Times New Roman" w:hAnsi="Verdana" w:cs="Arial"/>
          <w:lang w:val="es-ES" w:eastAsia="es-CO"/>
        </w:rPr>
        <w:t xml:space="preserve">tuvo por finalidad la de introducir cambios y ajustes para fortalecer la contratación pública. En ese orden, mediante su artículo 5 modificó el parágrafo 1º y adicionó algunos otros, entre ellos el 3° y 4° del artículo 5 de la Ley 1150 de 2007, en los siguientes términos: </w:t>
      </w:r>
    </w:p>
    <w:p w14:paraId="1F71E973" w14:textId="77777777" w:rsidR="00F00FD4" w:rsidRPr="00556BC7" w:rsidRDefault="00F00FD4" w:rsidP="00F00FD4">
      <w:pPr>
        <w:spacing w:after="0" w:line="240" w:lineRule="auto"/>
        <w:ind w:left="709" w:right="709"/>
        <w:jc w:val="both"/>
        <w:rPr>
          <w:rFonts w:ascii="Verdana" w:eastAsia="Times New Roman" w:hAnsi="Verdana" w:cs="Arial"/>
          <w:sz w:val="20"/>
          <w:szCs w:val="20"/>
          <w:lang w:val="es-ES_tradnl" w:eastAsia="es-CO"/>
        </w:rPr>
      </w:pPr>
      <w:r>
        <w:rPr>
          <w:rFonts w:ascii="Verdana" w:eastAsia="Times New Roman" w:hAnsi="Verdana" w:cs="Arial"/>
          <w:sz w:val="20"/>
          <w:szCs w:val="20"/>
          <w:lang w:val="es-ES_tradnl" w:eastAsia="es-CO"/>
        </w:rPr>
        <w:t>“</w:t>
      </w:r>
      <w:r w:rsidRPr="00556BC7">
        <w:rPr>
          <w:rFonts w:ascii="Verdana" w:eastAsia="Times New Roman" w:hAnsi="Verdana" w:cs="Arial"/>
          <w:sz w:val="20"/>
          <w:szCs w:val="20"/>
          <w:lang w:val="es-ES_tradnl" w:eastAsia="es-CO"/>
        </w:rPr>
        <w:t xml:space="preserve">Artículo 5°. De la selección objetiva. </w:t>
      </w:r>
    </w:p>
    <w:p w14:paraId="7015A855" w14:textId="77777777" w:rsidR="00F00FD4" w:rsidRDefault="00F00FD4" w:rsidP="00F00FD4">
      <w:pPr>
        <w:pStyle w:val="paragraph"/>
        <w:spacing w:before="0" w:beforeAutospacing="0" w:after="0" w:afterAutospacing="0"/>
        <w:ind w:left="709" w:right="709"/>
        <w:jc w:val="both"/>
        <w:textAlignment w:val="baseline"/>
        <w:rPr>
          <w:rStyle w:val="normaltextrun"/>
          <w:rFonts w:ascii="Verdana" w:hAnsi="Verdana" w:cs="Arial"/>
          <w:color w:val="000000"/>
          <w:sz w:val="20"/>
          <w:szCs w:val="20"/>
          <w:lang w:val="es-ES"/>
        </w:rPr>
      </w:pPr>
    </w:p>
    <w:p w14:paraId="09E7B0A1"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 xml:space="preserve">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556BC7">
        <w:rPr>
          <w:rStyle w:val="normaltextrun"/>
          <w:rFonts w:ascii="Verdana" w:hAnsi="Verdana" w:cs="Arial"/>
          <w:color w:val="000000"/>
          <w:sz w:val="20"/>
          <w:szCs w:val="20"/>
          <w:lang w:val="es-ES"/>
        </w:rPr>
        <w:t>equivalentes,</w:t>
      </w:r>
      <w:proofErr w:type="gramEnd"/>
      <w:r w:rsidRPr="00556BC7">
        <w:rPr>
          <w:rStyle w:val="normaltextrun"/>
          <w:rFonts w:ascii="Verdana" w:hAnsi="Verdana" w:cs="Arial"/>
          <w:color w:val="000000"/>
          <w:sz w:val="20"/>
          <w:szCs w:val="20"/>
          <w:lang w:val="es-ES"/>
        </w:rPr>
        <w:t xml:space="preserve"> tendrán en cuenta los siguientes criterios:</w:t>
      </w:r>
      <w:r w:rsidRPr="00556BC7">
        <w:rPr>
          <w:rStyle w:val="eop"/>
          <w:rFonts w:ascii="Verdana" w:hAnsi="Verdana" w:cs="Arial"/>
          <w:color w:val="000000"/>
          <w:sz w:val="20"/>
          <w:szCs w:val="20"/>
        </w:rPr>
        <w:t> </w:t>
      </w:r>
    </w:p>
    <w:p w14:paraId="186FCBC2"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3E89EF5"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 xml:space="preserve">1. La capacidad jurídica y las condiciones de experiencia, capacidad financiera y de organización de los proponentes serán objeto de </w:t>
      </w:r>
      <w:r w:rsidRPr="00556BC7">
        <w:rPr>
          <w:rStyle w:val="normaltextrun"/>
          <w:rFonts w:ascii="Verdana" w:hAnsi="Verdana" w:cs="Arial"/>
          <w:color w:val="000000"/>
          <w:sz w:val="20"/>
          <w:szCs w:val="20"/>
          <w:lang w:val="es-ES"/>
        </w:rPr>
        <w:lastRenderedPageBreak/>
        <w:t>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556BC7">
        <w:rPr>
          <w:rStyle w:val="eop"/>
          <w:rFonts w:ascii="Verdana" w:hAnsi="Verdana" w:cs="Arial"/>
          <w:color w:val="000000"/>
          <w:sz w:val="20"/>
          <w:szCs w:val="20"/>
        </w:rPr>
        <w:t> </w:t>
      </w:r>
    </w:p>
    <w:p w14:paraId="5E26C96F"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10A9C84"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556BC7">
        <w:rPr>
          <w:rStyle w:val="eop"/>
          <w:rFonts w:ascii="Verdana" w:hAnsi="Verdana" w:cs="Arial"/>
          <w:color w:val="000000"/>
          <w:sz w:val="20"/>
          <w:szCs w:val="20"/>
        </w:rPr>
        <w:t> </w:t>
      </w:r>
    </w:p>
    <w:p w14:paraId="5F232AB9"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p>
    <w:p w14:paraId="632AF2F1"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los procesos de selección en los que se tenga en cuenta los factores técnicos y económicos, la oferta más ventajosa será la que resulte de aplicar alguna de las siguientes alternativas:</w:t>
      </w:r>
      <w:r w:rsidRPr="00556BC7">
        <w:rPr>
          <w:rStyle w:val="eop"/>
          <w:rFonts w:ascii="Verdana" w:hAnsi="Verdana" w:cs="Arial"/>
          <w:color w:val="000000"/>
          <w:sz w:val="20"/>
          <w:szCs w:val="20"/>
        </w:rPr>
        <w:t> </w:t>
      </w:r>
    </w:p>
    <w:p w14:paraId="01B6EB6F"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p>
    <w:p w14:paraId="6172B9AB"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a) La ponderación de los elementos de calidad y precio soportados en puntajes o fórmulas señaladas en el pliego de condiciones; o</w:t>
      </w:r>
    </w:p>
    <w:p w14:paraId="0949C5BF"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p>
    <w:p w14:paraId="6E33D4B9"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b) La ponderación de los elementos de calidad y precio que representen la mejor relación de costo-beneficio para la entidad.</w:t>
      </w:r>
      <w:r w:rsidRPr="00556BC7">
        <w:rPr>
          <w:rStyle w:val="eop"/>
          <w:rFonts w:ascii="Verdana" w:hAnsi="Verdana" w:cs="Arial"/>
          <w:color w:val="000000"/>
          <w:sz w:val="20"/>
          <w:szCs w:val="20"/>
        </w:rPr>
        <w:t> </w:t>
      </w:r>
    </w:p>
    <w:p w14:paraId="5574C114"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p>
    <w:p w14:paraId="7B20107A"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556BC7">
        <w:rPr>
          <w:rStyle w:val="eop"/>
          <w:rFonts w:ascii="Verdana" w:hAnsi="Verdana" w:cs="Arial"/>
          <w:color w:val="000000"/>
          <w:sz w:val="20"/>
          <w:szCs w:val="20"/>
        </w:rPr>
        <w:t> </w:t>
      </w:r>
    </w:p>
    <w:p w14:paraId="18250DF6"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609550BC"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556BC7">
        <w:rPr>
          <w:rStyle w:val="eop"/>
          <w:rFonts w:ascii="Verdana" w:hAnsi="Verdana" w:cs="Arial"/>
          <w:color w:val="000000"/>
          <w:sz w:val="20"/>
          <w:szCs w:val="20"/>
        </w:rPr>
        <w:t> </w:t>
      </w:r>
    </w:p>
    <w:p w14:paraId="5B47293E"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4060D68"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ningún caso se podrá incluir el precio, como factor de escogencia para la selección de consultores.</w:t>
      </w:r>
      <w:r w:rsidRPr="00556BC7">
        <w:rPr>
          <w:rStyle w:val="eop"/>
          <w:rFonts w:ascii="Verdana" w:hAnsi="Verdana" w:cs="Arial"/>
          <w:color w:val="000000"/>
          <w:sz w:val="20"/>
          <w:szCs w:val="20"/>
        </w:rPr>
        <w:t> </w:t>
      </w:r>
    </w:p>
    <w:p w14:paraId="073D3F7A"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3B8E5FD"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009EC">
        <w:rPr>
          <w:rStyle w:val="normaltextrun"/>
          <w:rFonts w:ascii="Verdana" w:hAnsi="Verdana" w:cs="Arial"/>
          <w:color w:val="000000"/>
          <w:sz w:val="20"/>
          <w:szCs w:val="20"/>
          <w:u w:val="single"/>
          <w:lang w:val="es-ES"/>
        </w:rPr>
        <w:lastRenderedPageBreak/>
        <w:t xml:space="preserve">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Pr="005009EC">
        <w:rPr>
          <w:rStyle w:val="normaltextrun"/>
          <w:rFonts w:ascii="Verdana" w:hAnsi="Verdana" w:cs="Arial"/>
          <w:color w:val="000000"/>
          <w:sz w:val="20"/>
          <w:szCs w:val="20"/>
          <w:u w:val="single"/>
          <w:lang w:val="es-ES"/>
        </w:rPr>
        <w:t>puntaje,</w:t>
      </w:r>
      <w:proofErr w:type="gramEnd"/>
      <w:r w:rsidRPr="005009EC">
        <w:rPr>
          <w:rStyle w:val="normaltextrun"/>
          <w:rFonts w:ascii="Verdana" w:hAnsi="Verdana" w:cs="Arial"/>
          <w:color w:val="000000"/>
          <w:sz w:val="20"/>
          <w:szCs w:val="20"/>
          <w:u w:val="single"/>
          <w:lang w:val="es-ES"/>
        </w:rPr>
        <w:t xml:space="preserve"> deberán ser solicitados por las entidades estatales y deberán ser entregados por los proponentes hasta el término de traslado del informe de evaluación que corresponda a cada modalidad de selección</w:t>
      </w:r>
      <w:r w:rsidRPr="00556BC7">
        <w:rPr>
          <w:rStyle w:val="normaltextrun"/>
          <w:rFonts w:ascii="Verdana" w:hAnsi="Verdana" w:cs="Arial"/>
          <w:color w:val="000000"/>
          <w:sz w:val="20"/>
          <w:szCs w:val="20"/>
          <w:lang w:val="es-ES"/>
        </w:rPr>
        <w:t xml:space="preserve">, salvo lo dispuesto para el proceso de Mínima cuantía y para el proceso de selección a través del sistema de subasta. </w:t>
      </w:r>
      <w:r w:rsidRPr="005009EC">
        <w:rPr>
          <w:rStyle w:val="normaltextrun"/>
          <w:rFonts w:ascii="Verdana" w:hAnsi="Verdana" w:cs="Arial"/>
          <w:color w:val="000000"/>
          <w:sz w:val="20"/>
          <w:szCs w:val="20"/>
          <w:u w:val="single"/>
          <w:lang w:val="es-ES"/>
        </w:rPr>
        <w:t>Serán rechazadas las ofertas de aquellos proponentes que no suministren la información y la documentación solicitada por la entidad estatal hasta el plazo anteriormente señalado.</w:t>
      </w:r>
      <w:r w:rsidRPr="005009EC">
        <w:rPr>
          <w:rStyle w:val="eop"/>
          <w:rFonts w:ascii="Verdana" w:hAnsi="Verdana" w:cs="Arial"/>
          <w:color w:val="000000"/>
          <w:sz w:val="20"/>
          <w:szCs w:val="20"/>
          <w:u w:val="single"/>
        </w:rPr>
        <w:t> </w:t>
      </w:r>
    </w:p>
    <w:p w14:paraId="775BFD5D"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F13CC8D"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009EC">
        <w:rPr>
          <w:rStyle w:val="normaltextrun"/>
          <w:rFonts w:ascii="Verdana" w:hAnsi="Verdana" w:cs="Arial"/>
          <w:color w:val="000000"/>
          <w:sz w:val="20"/>
          <w:szCs w:val="20"/>
          <w:u w:val="single"/>
          <w:lang w:val="es-ES"/>
        </w:rPr>
        <w:t>Durante el término otorgado para subsanar las ofertas, los proponentes no podrán acreditar circunstancias ocurridas con posterioridad al cierre del proceso.</w:t>
      </w:r>
      <w:r w:rsidRPr="00556BC7">
        <w:rPr>
          <w:rStyle w:val="eop"/>
          <w:rFonts w:ascii="Verdana" w:hAnsi="Verdana" w:cs="Arial"/>
          <w:color w:val="000000"/>
          <w:sz w:val="20"/>
          <w:szCs w:val="20"/>
        </w:rPr>
        <w:t> </w:t>
      </w:r>
    </w:p>
    <w:p w14:paraId="559B0920"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37B9EA8A"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2o. Las certificaciones de sistemas de gestión de calidad no serán objeto de calificación, ni podrán establecerse como documento habilitante para participar en licitaciones o concursos.</w:t>
      </w:r>
      <w:r w:rsidRPr="00556BC7">
        <w:rPr>
          <w:rStyle w:val="eop"/>
          <w:rFonts w:ascii="Verdana" w:hAnsi="Verdana" w:cs="Arial"/>
          <w:color w:val="000000"/>
          <w:sz w:val="20"/>
          <w:szCs w:val="20"/>
        </w:rPr>
        <w:t> </w:t>
      </w:r>
    </w:p>
    <w:p w14:paraId="726788C5"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08F6E934" w14:textId="77777777" w:rsidR="00F00FD4" w:rsidRPr="005009EC" w:rsidRDefault="00F00FD4" w:rsidP="00F00FD4">
      <w:pPr>
        <w:pStyle w:val="paragraph"/>
        <w:spacing w:before="0" w:beforeAutospacing="0" w:after="0" w:afterAutospacing="0"/>
        <w:ind w:left="709" w:right="709"/>
        <w:jc w:val="both"/>
        <w:textAlignment w:val="baseline"/>
        <w:rPr>
          <w:rFonts w:ascii="Verdana" w:hAnsi="Verdana" w:cs="Segoe UI"/>
          <w:sz w:val="20"/>
          <w:szCs w:val="20"/>
          <w:u w:val="single"/>
        </w:rPr>
      </w:pPr>
      <w:r w:rsidRPr="005009EC">
        <w:rPr>
          <w:rStyle w:val="normaltextrun"/>
          <w:rFonts w:ascii="Verdana" w:hAnsi="Verdana" w:cs="Arial"/>
          <w:color w:val="000000"/>
          <w:sz w:val="20"/>
          <w:szCs w:val="20"/>
          <w:u w:val="single"/>
          <w:lang w:val="es-ES"/>
        </w:rPr>
        <w:t xml:space="preserve">PARÁGRAFO 3o. &lt;Parágrafo adicionado por el artículo 5 de la Ley 1882 de 2018. El nuevo texto es el siguiente:&gt; La no entrega de la garantía de seriedad junto con la propuesta no será subsanable y será causal de rechazo de </w:t>
      </w:r>
      <w:proofErr w:type="gramStart"/>
      <w:r w:rsidRPr="005009EC">
        <w:rPr>
          <w:rStyle w:val="normaltextrun"/>
          <w:rFonts w:ascii="Verdana" w:hAnsi="Verdana" w:cs="Arial"/>
          <w:color w:val="000000"/>
          <w:sz w:val="20"/>
          <w:szCs w:val="20"/>
          <w:u w:val="single"/>
          <w:lang w:val="es-ES"/>
        </w:rPr>
        <w:t>la misma</w:t>
      </w:r>
      <w:proofErr w:type="gramEnd"/>
      <w:r w:rsidRPr="005009EC">
        <w:rPr>
          <w:rStyle w:val="normaltextrun"/>
          <w:rFonts w:ascii="Verdana" w:hAnsi="Verdana" w:cs="Arial"/>
          <w:color w:val="000000"/>
          <w:sz w:val="20"/>
          <w:szCs w:val="20"/>
          <w:u w:val="single"/>
          <w:lang w:val="es-ES"/>
        </w:rPr>
        <w:t>.</w:t>
      </w:r>
      <w:r w:rsidRPr="005009EC">
        <w:rPr>
          <w:rStyle w:val="eop"/>
          <w:rFonts w:ascii="Verdana" w:hAnsi="Verdana" w:cs="Arial"/>
          <w:color w:val="000000"/>
          <w:sz w:val="20"/>
          <w:szCs w:val="20"/>
          <w:u w:val="single"/>
        </w:rPr>
        <w:t> </w:t>
      </w:r>
    </w:p>
    <w:p w14:paraId="035D1848"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257931F6"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556BC7">
        <w:rPr>
          <w:rStyle w:val="eop"/>
          <w:rFonts w:ascii="Verdana" w:hAnsi="Verdana" w:cs="Arial"/>
          <w:color w:val="000000"/>
          <w:sz w:val="20"/>
          <w:szCs w:val="20"/>
        </w:rPr>
        <w:t> </w:t>
      </w:r>
    </w:p>
    <w:p w14:paraId="357E7FDD"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0FBFE6D" w14:textId="77777777" w:rsidR="00F00FD4" w:rsidRPr="00556BC7" w:rsidRDefault="00F00FD4" w:rsidP="00F00FD4">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w:t>
      </w:r>
      <w:r>
        <w:rPr>
          <w:rStyle w:val="normaltextrun"/>
          <w:rFonts w:ascii="Verdana" w:hAnsi="Verdana" w:cs="Arial"/>
          <w:color w:val="000000"/>
          <w:sz w:val="20"/>
          <w:szCs w:val="20"/>
          <w:lang w:val="es-ES"/>
        </w:rPr>
        <w:t>”. [Subrayado por fuera de texto original]</w:t>
      </w:r>
    </w:p>
    <w:p w14:paraId="6E5C7DD3" w14:textId="77777777" w:rsidR="00F00FD4" w:rsidRPr="00556BC7" w:rsidRDefault="00F00FD4" w:rsidP="00F00FD4">
      <w:pPr>
        <w:spacing w:after="0" w:line="276" w:lineRule="auto"/>
        <w:ind w:left="709" w:right="709"/>
        <w:jc w:val="both"/>
        <w:rPr>
          <w:rFonts w:ascii="Verdana" w:eastAsia="Times New Roman" w:hAnsi="Verdana" w:cs="Arial"/>
          <w:lang w:eastAsia="es-CO"/>
        </w:rPr>
      </w:pPr>
    </w:p>
    <w:p w14:paraId="6D540CDF" w14:textId="77777777" w:rsidR="00F00FD4" w:rsidRPr="00D16A5E" w:rsidRDefault="00F00FD4" w:rsidP="00F00FD4">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w:t>
      </w:r>
      <w:proofErr w:type="spellStart"/>
      <w:r w:rsidRPr="00D16A5E">
        <w:rPr>
          <w:rFonts w:ascii="Verdana" w:eastAsia="Times New Roman" w:hAnsi="Verdana" w:cs="Arial"/>
          <w:lang w:val="es-ES" w:eastAsia="es-ES"/>
        </w:rPr>
        <w:t>ii</w:t>
      </w:r>
      <w:proofErr w:type="spellEnd"/>
      <w:r w:rsidRPr="00D16A5E">
        <w:rPr>
          <w:rFonts w:ascii="Verdana" w:eastAsia="Times New Roman" w:hAnsi="Verdana" w:cs="Arial"/>
          <w:lang w:val="es-ES" w:eastAsia="es-ES"/>
        </w:rPr>
        <w:t xml:space="preserve">) mantiene el criterio aclaratorio de la Ley 1150 de 2007, según el cual todo lo que no afecte </w:t>
      </w:r>
      <w:r w:rsidRPr="00D16A5E">
        <w:rPr>
          <w:rFonts w:ascii="Verdana" w:eastAsia="Times New Roman" w:hAnsi="Verdana" w:cs="Arial"/>
          <w:lang w:val="es-ES" w:eastAsia="es-ES"/>
        </w:rPr>
        <w:lastRenderedPageBreak/>
        <w:t xml:space="preserve">la asignación de puntaje puede subsanarse; </w:t>
      </w:r>
      <w:r>
        <w:rPr>
          <w:rFonts w:ascii="Verdana" w:eastAsia="Times New Roman" w:hAnsi="Verdana" w:cs="Arial"/>
          <w:lang w:val="es-ES" w:eastAsia="es-ES"/>
        </w:rPr>
        <w:t>e</w:t>
      </w:r>
      <w:r w:rsidRPr="00D16A5E">
        <w:rPr>
          <w:rFonts w:ascii="Verdana" w:eastAsia="Times New Roman" w:hAnsi="Verdana" w:cs="Arial"/>
          <w:lang w:val="es-ES" w:eastAsia="es-ES"/>
        </w:rPr>
        <w:t xml:space="preserve">, </w:t>
      </w:r>
      <w:proofErr w:type="spellStart"/>
      <w:r w:rsidRPr="00D16A5E">
        <w:rPr>
          <w:rFonts w:ascii="Verdana" w:eastAsia="Times New Roman" w:hAnsi="Verdana" w:cs="Arial"/>
          <w:lang w:val="es-ES" w:eastAsia="es-ES"/>
        </w:rPr>
        <w:t>iii</w:t>
      </w:r>
      <w:proofErr w:type="spellEnd"/>
      <w:r w:rsidRPr="00D16A5E">
        <w:rPr>
          <w:rFonts w:ascii="Verdana" w:eastAsia="Times New Roman" w:hAnsi="Verdana" w:cs="Arial"/>
          <w:lang w:val="es-ES" w:eastAsia="es-ES"/>
        </w:rPr>
        <w:t xml:space="preserve">) introduce modificaciones en relación con algunos aspectos que se analizarán a continuación. </w:t>
      </w:r>
    </w:p>
    <w:p w14:paraId="4C7EC5B7" w14:textId="77777777" w:rsidR="00F00FD4" w:rsidRDefault="00F00FD4" w:rsidP="37C57DE6">
      <w:pPr>
        <w:spacing w:after="120" w:line="276" w:lineRule="auto"/>
        <w:ind w:right="51" w:firstLine="709"/>
        <w:jc w:val="both"/>
        <w:rPr>
          <w:rFonts w:ascii="Verdana" w:eastAsia="Times New Roman" w:hAnsi="Verdana" w:cs="Arial"/>
          <w:lang w:val="es-ES" w:eastAsia="es-ES"/>
        </w:rPr>
      </w:pPr>
      <w:r w:rsidRPr="0F126BB0">
        <w:rPr>
          <w:rFonts w:ascii="Verdana" w:eastAsia="Times New Roman" w:hAnsi="Verdana" w:cs="Arial"/>
          <w:i/>
          <w:iCs/>
          <w:lang w:val="es-ES" w:eastAsia="es-ES"/>
        </w:rPr>
        <w:t xml:space="preserve">La primera modificación </w:t>
      </w:r>
      <w:r w:rsidRPr="37C57DE6">
        <w:rPr>
          <w:rFonts w:ascii="Verdana" w:eastAsia="Times New Roman" w:hAnsi="Verdana" w:cs="Arial"/>
          <w:lang w:val="es-ES" w:eastAsia="es-ES"/>
        </w:rPr>
        <w:t>está relacionada con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w:t>
      </w:r>
      <w:r w:rsidRPr="589BE328">
        <w:rPr>
          <w:rFonts w:ascii="Verdana" w:eastAsia="Times New Roman" w:hAnsi="Verdana" w:cs="Arial"/>
          <w:vertAlign w:val="superscript"/>
          <w:lang w:val="es-ES" w:eastAsia="es-ES"/>
        </w:rPr>
        <w:footnoteReference w:id="1"/>
      </w:r>
    </w:p>
    <w:p w14:paraId="2F6DEF6E" w14:textId="50816D00" w:rsidR="00FD361C" w:rsidRPr="00D16A5E" w:rsidRDefault="000B5C15" w:rsidP="3F2B4452">
      <w:pPr>
        <w:spacing w:after="120" w:line="276" w:lineRule="auto"/>
        <w:ind w:right="51" w:firstLine="709"/>
        <w:jc w:val="both"/>
        <w:rPr>
          <w:rFonts w:ascii="Verdana" w:eastAsia="Times New Roman" w:hAnsi="Verdana" w:cs="Arial"/>
          <w:lang w:val="es-ES" w:eastAsia="es-ES"/>
        </w:rPr>
      </w:pPr>
      <w:r w:rsidRPr="3F2B4452">
        <w:rPr>
          <w:rFonts w:ascii="Verdana" w:eastAsia="Times New Roman" w:hAnsi="Verdana" w:cs="Arial"/>
          <w:lang w:val="es-ES" w:eastAsia="es-ES"/>
        </w:rPr>
        <w:t>Respecto al proceso de mínima cuantía —objeto de su consulta— el Decreto 1860 de 2021, que modifica el Decreto 1082 de 2015, señala en el artículo 2.2.1.2.1.5.2, numeral 5°, que las entidades deben otorgar una oportunidad para subsanar las ofertas, conforme al artículo 5 de la Ley 1150 de 2007. Para ello, se debe establecer un término preclusivo para la recepción de los documentos subsanables. En caso de que dicho término no sea regulado, los proponentes podrán ejercer la subsanación hasta antes de que finalice el traslado del informe de evaluación</w:t>
      </w:r>
      <w:r w:rsidR="00FD361C" w:rsidRPr="00D16A5E">
        <w:rPr>
          <w:rFonts w:ascii="Verdana" w:eastAsia="Times New Roman" w:hAnsi="Verdana" w:cs="Arial"/>
          <w:vertAlign w:val="superscript"/>
          <w:lang w:val="es-ES_tradnl" w:eastAsia="es-ES_tradnl"/>
        </w:rPr>
        <w:footnoteReference w:id="2"/>
      </w:r>
      <w:r w:rsidR="00FD361C" w:rsidRPr="3F2B4452">
        <w:rPr>
          <w:rFonts w:ascii="Verdana" w:eastAsia="Times New Roman" w:hAnsi="Verdana" w:cs="Arial"/>
          <w:lang w:val="es-ES" w:eastAsia="es-ES"/>
        </w:rPr>
        <w:t xml:space="preserve">. </w:t>
      </w:r>
    </w:p>
    <w:p w14:paraId="3673DD51" w14:textId="28722342" w:rsidR="00F00FD4" w:rsidRPr="00D16A5E" w:rsidRDefault="00F00FD4" w:rsidP="3F2B4452">
      <w:pPr>
        <w:spacing w:after="120" w:line="276" w:lineRule="auto"/>
        <w:ind w:right="51" w:firstLine="709"/>
        <w:jc w:val="both"/>
        <w:rPr>
          <w:rFonts w:ascii="Verdana" w:eastAsia="Times New Roman" w:hAnsi="Verdana" w:cs="Arial"/>
          <w:lang w:val="es-ES" w:eastAsia="es-ES"/>
        </w:rPr>
      </w:pPr>
      <w:r w:rsidRPr="3F2B4452">
        <w:rPr>
          <w:rFonts w:ascii="Verdana" w:eastAsia="Times New Roman" w:hAnsi="Verdana" w:cs="Arial"/>
          <w:lang w:val="es-ES" w:eastAsia="es-ES"/>
        </w:rPr>
        <w:t xml:space="preserve">El </w:t>
      </w:r>
      <w:r w:rsidRPr="3F2B4452">
        <w:rPr>
          <w:rFonts w:ascii="Verdana" w:eastAsia="Times New Roman" w:hAnsi="Verdana" w:cs="Arial"/>
          <w:i/>
          <w:iCs/>
          <w:lang w:val="es-ES" w:eastAsia="es-ES"/>
        </w:rPr>
        <w:t>segundo cambio</w:t>
      </w:r>
      <w:r w:rsidRPr="3F2B4452">
        <w:rPr>
          <w:rFonts w:ascii="Verdana" w:eastAsia="Times New Roman" w:hAnsi="Verdana" w:cs="Arial"/>
          <w:lang w:val="es-ES" w:eastAsia="es-ES"/>
        </w:rPr>
        <w:t xml:space="preserve"> importante de la Ley 1882 de 2018 fue la introducción de un criterio material, directamente relacionado con los aspectos subsanables: </w:t>
      </w:r>
      <w:r w:rsidRPr="3F2B4452">
        <w:rPr>
          <w:rFonts w:ascii="Verdana" w:eastAsia="Times New Roman" w:hAnsi="Verdana" w:cs="Arial"/>
          <w:i/>
          <w:iCs/>
          <w:lang w:val="es-ES" w:eastAsia="es-ES"/>
        </w:rPr>
        <w:t>“los proponentes no podrán acreditar circunstancias ocurridas con posterioridad al cierre del proceso”.</w:t>
      </w:r>
      <w:r w:rsidRPr="3F2B4452">
        <w:rPr>
          <w:rFonts w:ascii="Verdana" w:eastAsia="Times New Roman" w:hAnsi="Verdana" w:cs="Arial"/>
          <w:lang w:val="es-ES" w:eastAsia="es-ES"/>
        </w:rPr>
        <w:t xml:space="preserve"> Lo anterior ofrece dos aspectos que merecen clarificación; </w:t>
      </w:r>
      <w:r w:rsidRPr="3F2B4452">
        <w:rPr>
          <w:rFonts w:ascii="Verdana" w:eastAsia="Times New Roman" w:hAnsi="Verdana" w:cs="Arial"/>
          <w:lang w:val="es-ES" w:eastAsia="es-ES"/>
        </w:rPr>
        <w:lastRenderedPageBreak/>
        <w:t xml:space="preserve">primero, qué debe entenderse por circunstancias ocurridas con posterioridad; y segundo, qué es el cierre del proceso. </w:t>
      </w:r>
    </w:p>
    <w:p w14:paraId="15FE2C1E" w14:textId="77777777" w:rsidR="00F00FD4" w:rsidRPr="00D16A5E" w:rsidRDefault="00F00FD4" w:rsidP="00F00FD4">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w:t>
      </w:r>
      <w:r>
        <w:rPr>
          <w:rFonts w:ascii="Verdana" w:eastAsia="Times New Roman" w:hAnsi="Verdana" w:cs="Arial"/>
          <w:lang w:val="es-ES" w:eastAsia="es-ES"/>
        </w:rPr>
        <w:t>n esa ocasión, e</w:t>
      </w:r>
      <w:r w:rsidRPr="00D16A5E">
        <w:rPr>
          <w:rFonts w:ascii="Verdana" w:eastAsia="Times New Roman" w:hAnsi="Verdana" w:cs="Arial"/>
          <w:lang w:val="es-ES" w:eastAsia="es-ES"/>
        </w:rPr>
        <w:t>l Consejo de Estado precisó que</w:t>
      </w:r>
      <w:r>
        <w:rPr>
          <w:rFonts w:ascii="Verdana" w:eastAsia="Times New Roman" w:hAnsi="Verdana" w:cs="Arial"/>
          <w:lang w:val="es-ES" w:eastAsia="es-ES"/>
        </w:rPr>
        <w:t>,</w:t>
      </w:r>
      <w:r w:rsidRPr="00D16A5E">
        <w:rPr>
          <w:rFonts w:ascii="Verdana" w:eastAsia="Times New Roman" w:hAnsi="Verdana" w:cs="Arial"/>
          <w:lang w:val="es-ES" w:eastAsia="es-ES"/>
        </w:rPr>
        <w:t xml:space="preserve"> por cierre del proceso debe entenderse el vencimiento del plazo para la presentación de las ofertas y que lo subsanable son las circunstancias que ocurrieron con anterioridad a esa fecha</w:t>
      </w:r>
      <w:r w:rsidRPr="00D16A5E">
        <w:rPr>
          <w:rFonts w:ascii="Verdana" w:eastAsia="Times New Roman" w:hAnsi="Verdana" w:cs="Arial"/>
          <w:vertAlign w:val="superscript"/>
          <w:lang w:val="es-ES" w:eastAsia="es-ES"/>
        </w:rPr>
        <w:footnoteReference w:id="3"/>
      </w:r>
      <w:r w:rsidRPr="00D16A5E">
        <w:rPr>
          <w:rFonts w:ascii="Verdana" w:eastAsia="Times New Roman" w:hAnsi="Verdana" w:cs="Arial"/>
          <w:lang w:val="es-ES" w:eastAsia="es-ES"/>
        </w:rPr>
        <w:t>.</w:t>
      </w:r>
    </w:p>
    <w:p w14:paraId="52EF3D82" w14:textId="77777777" w:rsidR="00F00FD4" w:rsidRDefault="00F00FD4" w:rsidP="37C57DE6">
      <w:pPr>
        <w:spacing w:after="120" w:line="276" w:lineRule="auto"/>
        <w:ind w:firstLine="709"/>
        <w:jc w:val="both"/>
        <w:rPr>
          <w:rFonts w:ascii="Verdana" w:eastAsia="Times New Roman" w:hAnsi="Verdana" w:cs="Arial"/>
          <w:lang w:val="es-ES" w:eastAsia="es-ES"/>
        </w:rPr>
      </w:pPr>
      <w:r w:rsidRPr="37C57DE6">
        <w:rPr>
          <w:rFonts w:ascii="Verdana" w:eastAsia="Times New Roman" w:hAnsi="Verdana" w:cs="Arial"/>
          <w:lang w:val="es-ES" w:eastAsia="es-ES"/>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3F17906C" w14:textId="389B8A70" w:rsidR="00F00FD4" w:rsidRPr="00D16A5E" w:rsidRDefault="10A08994" w:rsidP="00F00FD4">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w:t>
      </w:r>
      <w:r w:rsidR="00F00FD4" w:rsidRPr="00D16A5E">
        <w:rPr>
          <w:rFonts w:ascii="Verdana" w:eastAsia="Times New Roman" w:hAnsi="Verdana" w:cs="Arial"/>
          <w:lang w:val="es-ES" w:eastAsia="es-ES"/>
        </w:rPr>
        <w:t xml:space="preserve">a expresión </w:t>
      </w:r>
      <w:r w:rsidR="00F00FD4" w:rsidRPr="0F126BB0">
        <w:rPr>
          <w:rFonts w:ascii="Verdana" w:eastAsia="Times New Roman" w:hAnsi="Verdana" w:cs="Arial"/>
          <w:i/>
          <w:iCs/>
          <w:lang w:val="es-ES" w:eastAsia="es-ES"/>
        </w:rPr>
        <w:t>“circunstancias ocurridas con posterioridad al cierre del proceso”</w:t>
      </w:r>
      <w:r w:rsidR="00F00FD4" w:rsidRPr="00D16A5E">
        <w:rPr>
          <w:rFonts w:ascii="Verdana" w:eastAsia="Times New Roman" w:hAnsi="Verdana" w:cs="Arial"/>
          <w:lang w:val="es-ES" w:eastAsia="es-ES"/>
        </w:rPr>
        <w:t xml:space="preserve"> implica distinguir entre la prueba de un hecho y el hecho mismo. En el caso de la </w:t>
      </w:r>
      <w:proofErr w:type="spellStart"/>
      <w:r w:rsidR="00F00FD4" w:rsidRPr="00D16A5E">
        <w:rPr>
          <w:rFonts w:ascii="Verdana" w:eastAsia="Times New Roman" w:hAnsi="Verdana" w:cs="Arial"/>
          <w:lang w:val="es-ES" w:eastAsia="es-ES"/>
        </w:rPr>
        <w:t>subsanabilidad</w:t>
      </w:r>
      <w:proofErr w:type="spellEnd"/>
      <w:r w:rsidR="00F00FD4" w:rsidRPr="00D16A5E">
        <w:rPr>
          <w:rFonts w:ascii="Verdana" w:eastAsia="Times New Roman" w:hAnsi="Verdana" w:cs="Arial"/>
          <w:lang w:val="es-ES" w:eastAsia="es-ES"/>
        </w:rPr>
        <w:t xml:space="preserve"> de las ofertas, una cosa es el requisito habilitante o el elemento de la propuesta y otra su prueba. Lo que prohíbe la norma es que se subsanen requisitos que no estaban materialmente cumplidos al momento de </w:t>
      </w:r>
      <w:r w:rsidR="00F00FD4" w:rsidRPr="00D16A5E">
        <w:rPr>
          <w:rFonts w:ascii="Verdana" w:eastAsia="Times New Roman" w:hAnsi="Verdana" w:cs="Arial"/>
          <w:lang w:val="es-ES" w:eastAsia="es-ES"/>
        </w:rPr>
        <w:lastRenderedPageBreak/>
        <w:t>presentación de la oferta, o en palabras de la ley, que se acrediten hechos que ocurrieron después del cierre del proceso</w:t>
      </w:r>
      <w:r w:rsidR="00F00FD4" w:rsidRPr="00D16A5E">
        <w:rPr>
          <w:rFonts w:ascii="Verdana" w:eastAsia="Times New Roman" w:hAnsi="Verdana" w:cs="Arial"/>
          <w:vertAlign w:val="superscript"/>
          <w:lang w:val="es-ES" w:eastAsia="es-ES"/>
        </w:rPr>
        <w:footnoteReference w:id="4"/>
      </w:r>
      <w:r w:rsidR="00F00FD4" w:rsidRPr="00D16A5E">
        <w:rPr>
          <w:rFonts w:ascii="Verdana" w:eastAsia="Times New Roman" w:hAnsi="Verdana" w:cs="Arial"/>
          <w:lang w:val="es-ES" w:eastAsia="es-ES"/>
        </w:rPr>
        <w:t xml:space="preserve">. </w:t>
      </w:r>
    </w:p>
    <w:p w14:paraId="23DBD91D" w14:textId="0F81E1D1" w:rsidR="00193822" w:rsidRDefault="00193822" w:rsidP="3F2B4452">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Lo anterior quiere decir que no es la prueba –usualmente un documento– lo que debe ser anterior al cierre del proceso, sino el hecho que ella acredita</w:t>
      </w:r>
      <w:r w:rsidRPr="3F2B4452">
        <w:rPr>
          <w:rFonts w:ascii="Verdana" w:eastAsia="Times New Roman" w:hAnsi="Verdana" w:cs="Arial"/>
          <w:lang w:val="es-ES" w:eastAsia="es-ES"/>
        </w:rPr>
        <w:t xml:space="preserve">.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Pr="3F2B4452">
        <w:rPr>
          <w:rFonts w:ascii="Verdana" w:eastAsia="Times New Roman" w:hAnsi="Verdana" w:cs="Arial"/>
          <w:lang w:val="es-ES" w:eastAsia="es-ES"/>
        </w:rPr>
        <w:t>que</w:t>
      </w:r>
      <w:proofErr w:type="gramEnd"/>
      <w:r w:rsidRPr="3F2B4452">
        <w:rPr>
          <w:rFonts w:ascii="Verdana" w:eastAsia="Times New Roman" w:hAnsi="Verdana" w:cs="Arial"/>
          <w:lang w:val="es-ES" w:eastAsia="es-ES"/>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3F2B4452">
        <w:rPr>
          <w:rFonts w:ascii="Verdana" w:eastAsia="Times New Roman" w:hAnsi="Verdana" w:cs="Arial"/>
          <w:vertAlign w:val="superscript"/>
          <w:lang w:val="es-ES" w:eastAsia="es-ES"/>
        </w:rPr>
        <w:footnoteReference w:id="5"/>
      </w:r>
      <w:r w:rsidRPr="3F2B4452">
        <w:rPr>
          <w:rFonts w:ascii="Verdana" w:eastAsia="Times New Roman" w:hAnsi="Verdana" w:cs="Arial"/>
          <w:lang w:val="es-ES" w:eastAsia="es-ES"/>
        </w:rPr>
        <w:t>.</w:t>
      </w:r>
    </w:p>
    <w:p w14:paraId="482BBB9C" w14:textId="352AAA3A" w:rsidR="00F00FD4" w:rsidRPr="00B36F85" w:rsidRDefault="65A4A5C8" w:rsidP="3F2B4452">
      <w:pPr>
        <w:widowControl w:val="0"/>
        <w:spacing w:after="120" w:line="276" w:lineRule="auto"/>
        <w:ind w:firstLine="709"/>
        <w:jc w:val="both"/>
        <w:rPr>
          <w:rFonts w:ascii="Verdana" w:eastAsia="Arial" w:hAnsi="Verdana" w:cs="Arial"/>
        </w:rPr>
      </w:pPr>
      <w:r w:rsidRPr="00B36F85">
        <w:rPr>
          <w:rFonts w:ascii="Verdana" w:eastAsia="Arial" w:hAnsi="Verdana" w:cs="Arial"/>
        </w:rPr>
        <w:t>E</w:t>
      </w:r>
      <w:r w:rsidR="00F00FD4" w:rsidRPr="00B36F85">
        <w:rPr>
          <w:rFonts w:ascii="Verdana" w:eastAsia="Arial" w:hAnsi="Verdana" w:cs="Arial"/>
        </w:rPr>
        <w:t xml:space="preserve">l rechazo de las ofertas y los eventos en los que proceden han sido asuntos de los que se ha ocupado la legislación nacional en materia de contratación pública, por lo que </w:t>
      </w:r>
      <w:r w:rsidR="00F00FD4">
        <w:rPr>
          <w:rFonts w:ascii="Verdana" w:eastAsia="Arial" w:hAnsi="Verdana" w:cs="Arial"/>
        </w:rPr>
        <w:t>“</w:t>
      </w:r>
      <w:r w:rsidR="00F00FD4" w:rsidRPr="00B36F85">
        <w:rPr>
          <w:rFonts w:ascii="Verdana" w:eastAsia="Arial" w:hAnsi="Verdana" w:cs="Arial"/>
        </w:rPr>
        <w:t>la competencia de las entidades estales para establecer eventos de exclusión de propuestas es de carácter residual y restringido</w:t>
      </w:r>
      <w:r w:rsidR="00F00FD4">
        <w:rPr>
          <w:rFonts w:ascii="Verdana" w:eastAsia="Arial" w:hAnsi="Verdana" w:cs="Arial"/>
        </w:rPr>
        <w:t>”</w:t>
      </w:r>
      <w:r w:rsidR="00F00FD4" w:rsidRPr="00B36F85">
        <w:rPr>
          <w:rFonts w:ascii="Verdana" w:eastAsia="Arial" w:hAnsi="Verdana" w:cs="Arial"/>
          <w:vertAlign w:val="superscript"/>
        </w:rPr>
        <w:footnoteReference w:id="6"/>
      </w:r>
      <w:r w:rsidR="00F00FD4" w:rsidRPr="00B36F85">
        <w:rPr>
          <w:rFonts w:ascii="Verdana" w:eastAsia="Arial" w:hAnsi="Verdana" w:cs="Arial"/>
        </w:rPr>
        <w:t xml:space="preserve">. En ese sentido, si bien las entidades estatales, en ejercicio de la discrecionalidad que les corresponde en la configuración de los pliegos de condiciones, tienen competencia para determinar los requisitos que deben </w:t>
      </w:r>
      <w:r w:rsidR="00F00FD4" w:rsidRPr="00B36F85">
        <w:rPr>
          <w:rFonts w:ascii="Verdana" w:eastAsia="Arial" w:hAnsi="Verdana" w:cs="Arial"/>
        </w:rPr>
        <w:lastRenderedPageBreak/>
        <w:t>cumplir los proponentes para la presentación de ofertas</w:t>
      </w:r>
      <w:r w:rsidR="00F00FD4" w:rsidRPr="00B36F85">
        <w:rPr>
          <w:rFonts w:ascii="Verdana" w:eastAsia="Arial" w:hAnsi="Verdana" w:cs="Arial"/>
          <w:vertAlign w:val="superscript"/>
        </w:rPr>
        <w:footnoteReference w:id="7"/>
      </w:r>
      <w:r w:rsidR="00F00FD4" w:rsidRPr="00B36F85">
        <w:rPr>
          <w:rFonts w:ascii="Verdana" w:eastAsia="Arial" w:hAnsi="Verdana" w:cs="Arial"/>
        </w:rPr>
        <w:t xml:space="preserve"> y regular los eventos en los que procede su rechazo</w:t>
      </w:r>
      <w:r w:rsidR="00F00FD4" w:rsidRPr="00B36F85">
        <w:rPr>
          <w:rFonts w:ascii="Verdana" w:eastAsia="Arial" w:hAnsi="Verdana" w:cs="Arial"/>
          <w:vertAlign w:val="superscript"/>
        </w:rPr>
        <w:footnoteReference w:id="8"/>
      </w:r>
      <w:r w:rsidR="00F00FD4" w:rsidRPr="00B36F85">
        <w:rPr>
          <w:rFonts w:ascii="Verdana" w:eastAsia="Arial" w:hAnsi="Verdana" w:cs="Arial"/>
        </w:rPr>
        <w:t xml:space="preserve">, el ejercicio de tales facultades encuentra ciertos límites en la ley y el reglamento, así como en los principios de razonabilidad y proporcionalidad.  </w:t>
      </w:r>
    </w:p>
    <w:p w14:paraId="50C92EFB" w14:textId="77777777" w:rsidR="00F00FD4" w:rsidRPr="00B36F85" w:rsidRDefault="00F00FD4" w:rsidP="00F00FD4">
      <w:pPr>
        <w:widowControl w:val="0"/>
        <w:spacing w:after="120" w:line="276" w:lineRule="auto"/>
        <w:ind w:firstLine="709"/>
        <w:jc w:val="both"/>
        <w:rPr>
          <w:rFonts w:ascii="Verdana" w:eastAsia="Arial" w:hAnsi="Verdana" w:cs="Arial"/>
        </w:rPr>
      </w:pPr>
      <w:r w:rsidRPr="00B36F85">
        <w:rPr>
          <w:rFonts w:ascii="Verdana" w:eastAsia="Arial" w:hAnsi="Verdana" w:cs="Arial"/>
        </w:rPr>
        <w:t xml:space="preserve">En ese entendido, uno de los límites a la facultad para establecer causales de rechazo, se encuentra en la regla de </w:t>
      </w:r>
      <w:proofErr w:type="spellStart"/>
      <w:r w:rsidRPr="00B36F85">
        <w:rPr>
          <w:rFonts w:ascii="Verdana" w:eastAsia="Arial" w:hAnsi="Verdana" w:cs="Arial"/>
        </w:rPr>
        <w:t>subsanabilidad</w:t>
      </w:r>
      <w:proofErr w:type="spellEnd"/>
      <w:r w:rsidRPr="00B36F85">
        <w:rPr>
          <w:rFonts w:ascii="Verdana" w:eastAsia="Arial" w:hAnsi="Verdana" w:cs="Arial"/>
        </w:rPr>
        <w:t xml:space="preserve"> del parágrafo 1 del artículo 5 de la Ley 1150 de 2007, según la cual </w:t>
      </w:r>
      <w:r>
        <w:rPr>
          <w:rFonts w:ascii="Verdana" w:eastAsia="Arial" w:hAnsi="Verdana" w:cs="Arial"/>
        </w:rPr>
        <w:t>“</w:t>
      </w:r>
      <w:r w:rsidRPr="00B36F85">
        <w:rPr>
          <w:rFonts w:ascii="Verdana" w:eastAsia="Arial" w:hAnsi="Verdana" w:cs="Arial"/>
        </w:rPr>
        <w:t>La ausencia de requisitos o la falta de documentos referentes a la futura contratación o al proponente, no necesarios para la comparación de las propuestas no servirán de título suficiente para el rechazo de los ofrecimientos hechos</w:t>
      </w:r>
      <w:r>
        <w:rPr>
          <w:rFonts w:ascii="Verdana" w:eastAsia="Arial" w:hAnsi="Verdana" w:cs="Arial"/>
        </w:rPr>
        <w:t>”</w:t>
      </w:r>
      <w:r w:rsidRPr="00B36F85">
        <w:rPr>
          <w:rFonts w:ascii="Verdana" w:eastAsia="Arial" w:hAnsi="Verdana" w:cs="Arial"/>
        </w:rPr>
        <w:t xml:space="preserve">, por lo que las entidades no podrán establecer causales de rechazo referentes a meros requisitos formales o rechazar las ofertas por esa razón. </w:t>
      </w:r>
    </w:p>
    <w:p w14:paraId="511C2ED2" w14:textId="77777777" w:rsidR="00F00FD4" w:rsidRDefault="00F00FD4" w:rsidP="00F00FD4">
      <w:pPr>
        <w:widowControl w:val="0"/>
        <w:spacing w:after="120" w:line="276" w:lineRule="auto"/>
        <w:ind w:firstLine="709"/>
        <w:jc w:val="both"/>
        <w:rPr>
          <w:rFonts w:ascii="Verdana" w:eastAsia="Arial" w:hAnsi="Verdana" w:cs="Arial"/>
        </w:rPr>
      </w:pPr>
      <w:r w:rsidRPr="00B36F85">
        <w:rPr>
          <w:rFonts w:ascii="Verdana" w:eastAsia="Arial" w:hAnsi="Verdana" w:cs="Arial"/>
        </w:rPr>
        <w:t>De esta manera, la jurisprudencia del Consejo de Estado ha determinado que las causales de rechazo pueden o no estar establecidas en el pliego de condiciones, sin perjuicio de que sean aplicables al proceso contractual las establecidas directamente en la ley. Así se estableció en la sentencia del 27 de abril de 2011, en los siguientes términos:</w:t>
      </w:r>
    </w:p>
    <w:p w14:paraId="413D0DBF" w14:textId="77777777" w:rsidR="00F00FD4" w:rsidRPr="0055341A" w:rsidRDefault="00F00FD4" w:rsidP="00F00FD4">
      <w:pPr>
        <w:widowControl w:val="0"/>
        <w:spacing w:after="0" w:line="240" w:lineRule="auto"/>
        <w:ind w:firstLine="708"/>
        <w:jc w:val="both"/>
        <w:rPr>
          <w:rFonts w:ascii="Verdana" w:eastAsia="Arial" w:hAnsi="Verdana" w:cs="Arial"/>
          <w:sz w:val="20"/>
          <w:szCs w:val="20"/>
        </w:rPr>
      </w:pPr>
    </w:p>
    <w:p w14:paraId="5E4541F6" w14:textId="77777777" w:rsidR="00F00FD4" w:rsidRPr="0055341A" w:rsidRDefault="00F00FD4" w:rsidP="00F00FD4">
      <w:pPr>
        <w:widowControl w:val="0"/>
        <w:spacing w:line="240" w:lineRule="auto"/>
        <w:ind w:left="709" w:right="709"/>
        <w:jc w:val="both"/>
        <w:rPr>
          <w:rFonts w:ascii="Verdana" w:eastAsia="Arial" w:hAnsi="Verdana" w:cs="Arial"/>
          <w:sz w:val="20"/>
          <w:szCs w:val="20"/>
        </w:rPr>
      </w:pPr>
      <w:r w:rsidRPr="0055341A">
        <w:rPr>
          <w:rFonts w:ascii="Verdana" w:eastAsia="Arial" w:hAnsi="Verdana" w:cs="Arial"/>
          <w:sz w:val="20"/>
          <w:szCs w:val="20"/>
        </w:rPr>
        <w:t>“En efecto, la Administración puede rechazar o descalificar los ofrecimientos hechos por causales previstas en la ley; hipótesis bajo la cual, la entidad pública licitante se limita a dar por comprobado el hecho que justifica la exclusión y así lo declarará apoyada en normas legales o reglamentarias de carácter general.</w:t>
      </w:r>
    </w:p>
    <w:p w14:paraId="22005196" w14:textId="77777777" w:rsidR="00F00FD4" w:rsidRPr="0055341A" w:rsidRDefault="00F00FD4" w:rsidP="00F00FD4">
      <w:pPr>
        <w:widowControl w:val="0"/>
        <w:spacing w:line="240" w:lineRule="auto"/>
        <w:ind w:left="709" w:right="709"/>
        <w:jc w:val="both"/>
        <w:rPr>
          <w:rFonts w:ascii="Verdana" w:eastAsia="Arial" w:hAnsi="Verdana" w:cs="Arial"/>
          <w:sz w:val="20"/>
          <w:szCs w:val="20"/>
        </w:rPr>
      </w:pPr>
      <w:r w:rsidRPr="0055341A">
        <w:rPr>
          <w:rFonts w:ascii="Verdana" w:eastAsia="Arial" w:hAnsi="Verdana" w:cs="Arial"/>
          <w:sz w:val="20"/>
          <w:szCs w:val="20"/>
        </w:rPr>
        <w:t xml:space="preserve">En esta línea de pensamiento, resulta claro que el rechazo o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w:t>
      </w:r>
      <w:r w:rsidRPr="0055341A">
        <w:rPr>
          <w:rFonts w:ascii="Verdana" w:eastAsia="Arial" w:hAnsi="Verdana" w:cs="Arial"/>
          <w:sz w:val="20"/>
          <w:szCs w:val="20"/>
        </w:rPr>
        <w:lastRenderedPageBreak/>
        <w:t>previamente establecidas en la ley o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0146AB75" w14:textId="77777777" w:rsidR="00F00FD4" w:rsidRPr="0055341A" w:rsidRDefault="00F00FD4" w:rsidP="00F00FD4">
      <w:pPr>
        <w:widowControl w:val="0"/>
        <w:spacing w:line="240" w:lineRule="auto"/>
        <w:ind w:left="709" w:right="709"/>
        <w:jc w:val="both"/>
        <w:rPr>
          <w:rFonts w:ascii="Verdana" w:eastAsia="Arial" w:hAnsi="Verdana" w:cs="Arial"/>
          <w:sz w:val="20"/>
          <w:szCs w:val="20"/>
        </w:rPr>
      </w:pPr>
      <w:r w:rsidRPr="0055341A">
        <w:rPr>
          <w:rFonts w:ascii="Verdana" w:eastAsia="Arial" w:hAnsi="Verdana" w:cs="Arial"/>
          <w:sz w:val="20"/>
          <w:szCs w:val="20"/>
        </w:rPr>
        <w:t>[…]</w:t>
      </w:r>
    </w:p>
    <w:p w14:paraId="0F2C5151" w14:textId="77777777" w:rsidR="00F00FD4" w:rsidRPr="0055341A" w:rsidRDefault="00F00FD4" w:rsidP="00F00FD4">
      <w:pPr>
        <w:widowControl w:val="0"/>
        <w:spacing w:after="0" w:line="240" w:lineRule="auto"/>
        <w:ind w:left="709" w:right="709"/>
        <w:jc w:val="both"/>
        <w:rPr>
          <w:rFonts w:ascii="Verdana" w:eastAsia="Arial" w:hAnsi="Verdana" w:cs="Arial"/>
          <w:sz w:val="20"/>
          <w:szCs w:val="20"/>
        </w:rPr>
      </w:pPr>
      <w:r w:rsidRPr="0055341A">
        <w:rPr>
          <w:rFonts w:ascii="Verdana" w:eastAsia="Arial" w:hAnsi="Verdana" w:cs="Arial"/>
          <w:sz w:val="20"/>
          <w:szCs w:val="20"/>
        </w:rPr>
        <w:t xml:space="preserve">Quiere con esto destacar la Sala que las causales de rechazo de las propuestas pueden ser legales y por lo mismo generan el efecto del descarte o exclusión de la oferta </w:t>
      </w:r>
      <w:proofErr w:type="spellStart"/>
      <w:r w:rsidRPr="0F126BB0">
        <w:rPr>
          <w:rFonts w:ascii="Verdana" w:eastAsia="Arial" w:hAnsi="Verdana" w:cs="Arial"/>
          <w:i/>
          <w:iCs/>
          <w:sz w:val="20"/>
          <w:szCs w:val="20"/>
        </w:rPr>
        <w:t>ope</w:t>
      </w:r>
      <w:proofErr w:type="spellEnd"/>
      <w:r w:rsidRPr="0F126BB0">
        <w:rPr>
          <w:rFonts w:ascii="Verdana" w:eastAsia="Arial" w:hAnsi="Verdana" w:cs="Arial"/>
          <w:i/>
          <w:iCs/>
          <w:sz w:val="20"/>
          <w:szCs w:val="20"/>
        </w:rPr>
        <w:t xml:space="preserve"> </w:t>
      </w:r>
      <w:proofErr w:type="spellStart"/>
      <w:r w:rsidRPr="0F126BB0">
        <w:rPr>
          <w:rFonts w:ascii="Verdana" w:eastAsia="Arial" w:hAnsi="Verdana" w:cs="Arial"/>
          <w:i/>
          <w:iCs/>
          <w:sz w:val="20"/>
          <w:szCs w:val="20"/>
        </w:rPr>
        <w:t>legis</w:t>
      </w:r>
      <w:proofErr w:type="spellEnd"/>
      <w:r w:rsidRPr="0055341A">
        <w:rPr>
          <w:rFonts w:ascii="Verdana" w:eastAsia="Arial" w:hAnsi="Verdana" w:cs="Arial"/>
          <w:sz w:val="20"/>
          <w:szCs w:val="20"/>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r w:rsidRPr="0055341A">
        <w:rPr>
          <w:rFonts w:ascii="Verdana" w:eastAsia="Arial" w:hAnsi="Verdana" w:cs="Arial"/>
          <w:sz w:val="20"/>
          <w:szCs w:val="20"/>
          <w:vertAlign w:val="superscript"/>
        </w:rPr>
        <w:footnoteReference w:id="9"/>
      </w:r>
      <w:r w:rsidRPr="0055341A">
        <w:rPr>
          <w:rFonts w:ascii="Verdana" w:eastAsia="Arial" w:hAnsi="Verdana" w:cs="Arial"/>
          <w:sz w:val="20"/>
          <w:szCs w:val="20"/>
        </w:rPr>
        <w:t>”.</w:t>
      </w:r>
    </w:p>
    <w:p w14:paraId="3238518A" w14:textId="77777777" w:rsidR="00F00FD4" w:rsidRPr="00B36F85" w:rsidRDefault="00F00FD4" w:rsidP="00F00FD4">
      <w:pPr>
        <w:widowControl w:val="0"/>
        <w:spacing w:after="0" w:line="276" w:lineRule="auto"/>
        <w:ind w:left="709" w:right="709"/>
        <w:jc w:val="both"/>
        <w:rPr>
          <w:rFonts w:ascii="Verdana" w:eastAsia="Arial" w:hAnsi="Verdana" w:cs="Arial"/>
          <w:sz w:val="21"/>
          <w:szCs w:val="21"/>
        </w:rPr>
      </w:pPr>
    </w:p>
    <w:p w14:paraId="359CFA8E" w14:textId="77777777" w:rsidR="00F00FD4" w:rsidRPr="00B36F85" w:rsidRDefault="00F00FD4" w:rsidP="00F00FD4">
      <w:pPr>
        <w:widowControl w:val="0"/>
        <w:spacing w:after="120" w:line="276" w:lineRule="auto"/>
        <w:ind w:firstLine="709"/>
        <w:jc w:val="both"/>
        <w:rPr>
          <w:rFonts w:ascii="Verdana" w:eastAsia="Arial" w:hAnsi="Verdana" w:cs="Arial"/>
        </w:rPr>
      </w:pPr>
      <w:r w:rsidRPr="00B36F85">
        <w:rPr>
          <w:rFonts w:ascii="Verdana" w:eastAsia="Arial" w:hAnsi="Verdana" w:cs="Arial"/>
        </w:rPr>
        <w:t xml:space="preserve">De acuerdo con la jurisprudencia citada, existen dos casos en los que procede el rechazo de la oferta: </w:t>
      </w:r>
      <w:r>
        <w:rPr>
          <w:rFonts w:ascii="Verdana" w:eastAsia="Arial" w:hAnsi="Verdana" w:cs="Arial"/>
        </w:rPr>
        <w:t xml:space="preserve">i) </w:t>
      </w:r>
      <w:r w:rsidRPr="00B36F85">
        <w:rPr>
          <w:rFonts w:ascii="Verdana" w:eastAsia="Arial" w:hAnsi="Verdana" w:cs="Arial"/>
        </w:rPr>
        <w:t>que se configure alguna de las causales de rechazo originadas en la ley o</w:t>
      </w:r>
      <w:r>
        <w:rPr>
          <w:rFonts w:ascii="Verdana" w:eastAsia="Arial" w:hAnsi="Verdana" w:cs="Arial"/>
        </w:rPr>
        <w:t xml:space="preserve"> el reglamento y</w:t>
      </w:r>
      <w:r w:rsidRPr="00B36F85">
        <w:rPr>
          <w:rFonts w:ascii="Verdana" w:eastAsia="Arial" w:hAnsi="Verdana" w:cs="Arial"/>
        </w:rPr>
        <w:t xml:space="preserve"> </w:t>
      </w:r>
      <w:proofErr w:type="spellStart"/>
      <w:r>
        <w:rPr>
          <w:rFonts w:ascii="Verdana" w:eastAsia="Arial" w:hAnsi="Verdana" w:cs="Arial"/>
        </w:rPr>
        <w:t>ii</w:t>
      </w:r>
      <w:proofErr w:type="spellEnd"/>
      <w:r>
        <w:rPr>
          <w:rFonts w:ascii="Verdana" w:eastAsia="Arial" w:hAnsi="Verdana" w:cs="Arial"/>
        </w:rPr>
        <w:t xml:space="preserve">) que se materialicen </w:t>
      </w:r>
      <w:r w:rsidRPr="00B36F85">
        <w:rPr>
          <w:rFonts w:ascii="Verdana" w:eastAsia="Arial" w:hAnsi="Verdana" w:cs="Arial"/>
        </w:rPr>
        <w:t>las establecidas en el pliego de condiciones. En tal sentido, las causales de rechazo de la oferta serán las consagradas en la ley o</w:t>
      </w:r>
      <w:r>
        <w:rPr>
          <w:rFonts w:ascii="Verdana" w:eastAsia="Arial" w:hAnsi="Verdana" w:cs="Arial"/>
        </w:rPr>
        <w:t xml:space="preserve"> el reglamento</w:t>
      </w:r>
      <w:r w:rsidRPr="00B36F85">
        <w:rPr>
          <w:rFonts w:ascii="Verdana" w:eastAsia="Arial" w:hAnsi="Verdana" w:cs="Arial"/>
        </w:rPr>
        <w:t xml:space="preserve"> producto de su aplicación, así como las definidas por las entidades en el respectivo pliego de condiciones. </w:t>
      </w:r>
    </w:p>
    <w:p w14:paraId="6244EC7E" w14:textId="440E87CF" w:rsidR="00F00FD4" w:rsidRDefault="00F00FD4" w:rsidP="00F00FD4">
      <w:pPr>
        <w:spacing w:after="120" w:line="276" w:lineRule="auto"/>
        <w:ind w:firstLine="709"/>
        <w:jc w:val="both"/>
        <w:rPr>
          <w:rFonts w:ascii="Verdana" w:eastAsia="Arial" w:hAnsi="Verdana" w:cs="Arial"/>
        </w:rPr>
      </w:pPr>
      <w:r w:rsidRPr="3F2B4452">
        <w:rPr>
          <w:rFonts w:ascii="Verdana" w:eastAsia="Arial" w:hAnsi="Verdana" w:cs="Arial"/>
        </w:rPr>
        <w:t xml:space="preserve">En </w:t>
      </w:r>
      <w:r w:rsidR="007E6339" w:rsidRPr="3F2B4452">
        <w:rPr>
          <w:rFonts w:ascii="Verdana" w:eastAsia="Arial" w:hAnsi="Verdana" w:cs="Arial"/>
        </w:rPr>
        <w:t>ese contexto</w:t>
      </w:r>
      <w:r w:rsidRPr="3F2B4452">
        <w:rPr>
          <w:rFonts w:ascii="Verdana" w:eastAsia="Arial" w:hAnsi="Verdana" w:cs="Arial"/>
        </w:rPr>
        <w:t>, la facultad de las entidades estatales para incluir en los pliegos de condiciones</w:t>
      </w:r>
      <w:r w:rsidR="00A16556" w:rsidRPr="3F2B4452">
        <w:rPr>
          <w:rFonts w:ascii="Verdana" w:eastAsia="Arial" w:hAnsi="Verdana" w:cs="Arial"/>
        </w:rPr>
        <w:t xml:space="preserve"> o invitaciones </w:t>
      </w:r>
      <w:r w:rsidR="00B5061A" w:rsidRPr="3F2B4452">
        <w:rPr>
          <w:rFonts w:ascii="Verdana" w:eastAsia="Arial" w:hAnsi="Verdana" w:cs="Arial"/>
        </w:rPr>
        <w:t>públicas</w:t>
      </w:r>
      <w:r w:rsidRPr="3F2B4452">
        <w:rPr>
          <w:rFonts w:ascii="Verdana" w:eastAsia="Arial" w:hAnsi="Verdana" w:cs="Arial"/>
        </w:rPr>
        <w:t xml:space="preserve">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w:t>
      </w:r>
      <w:r w:rsidRPr="3F2B4452">
        <w:rPr>
          <w:rFonts w:ascii="Verdana" w:eastAsia="Arial" w:hAnsi="Verdana" w:cs="Arial"/>
        </w:rPr>
        <w:lastRenderedPageBreak/>
        <w:t xml:space="preserve">no versen sobre aspectos meramente formales sin relevancia para el transcurso del proceso de selección o el perfeccionamiento del contrato. </w:t>
      </w:r>
    </w:p>
    <w:p w14:paraId="3AF215E9" w14:textId="5B0F7F6D" w:rsidR="003916C5" w:rsidRPr="0055341A" w:rsidRDefault="004210A9" w:rsidP="3F2B4452">
      <w:pPr>
        <w:spacing w:after="120" w:line="276" w:lineRule="auto"/>
        <w:ind w:firstLine="709"/>
        <w:jc w:val="both"/>
        <w:rPr>
          <w:rFonts w:ascii="Verdana" w:eastAsia="Times New Roman" w:hAnsi="Verdana" w:cs="Arial"/>
          <w:lang w:val="es-ES" w:eastAsia="es-ES"/>
        </w:rPr>
      </w:pPr>
      <w:r w:rsidRPr="3F2B4452">
        <w:rPr>
          <w:rFonts w:ascii="Verdana" w:hAnsi="Verdana"/>
        </w:rPr>
        <w:t xml:space="preserve">Vale aclarar que, en algunas ocasiones, las causales de rechazo de las ofertas pueden versar sobre aspectos relacionados con criterios de evaluación, como cuando se establece que, cuando el valor de la propuesta exceda el presupuesto oficial estimado para el proceso de contratación, será rechazada la oferta. En este caso, la causal de rechazo tiene relación con un criterio de evaluación y no con un requisito habilitante. </w:t>
      </w:r>
    </w:p>
    <w:p w14:paraId="636019AD" w14:textId="1B625569" w:rsidR="003916C5" w:rsidRPr="0055341A" w:rsidRDefault="00E3449D" w:rsidP="3F2B4452">
      <w:pPr>
        <w:spacing w:after="120" w:line="276" w:lineRule="auto"/>
        <w:ind w:firstLine="709"/>
        <w:jc w:val="both"/>
        <w:rPr>
          <w:rFonts w:ascii="Verdana" w:eastAsia="Times New Roman" w:hAnsi="Verdana" w:cs="Arial"/>
          <w:shd w:val="clear" w:color="auto" w:fill="FFFFFF"/>
          <w:lang w:val="es-ES" w:eastAsia="es-ES"/>
        </w:rPr>
      </w:pPr>
      <w:r w:rsidRPr="3F2B4452">
        <w:rPr>
          <w:rFonts w:ascii="Verdana" w:hAnsi="Verdana" w:cs="Arial"/>
          <w:color w:val="000000" w:themeColor="text1"/>
          <w:lang w:val="es-ES"/>
        </w:rPr>
        <w:t>Al hilo de</w:t>
      </w:r>
      <w:r w:rsidR="0030648A">
        <w:rPr>
          <w:rFonts w:ascii="Verdana" w:hAnsi="Verdana" w:cs="Arial"/>
          <w:color w:val="000000" w:themeColor="text1"/>
          <w:lang w:val="es-ES"/>
        </w:rPr>
        <w:t xml:space="preserve"> lo anterior, es pertinente precisar que</w:t>
      </w:r>
      <w:r w:rsidR="00C3069E">
        <w:rPr>
          <w:rFonts w:ascii="Verdana" w:hAnsi="Verdana" w:cs="Arial"/>
          <w:color w:val="000000" w:themeColor="text1"/>
          <w:lang w:val="es-ES"/>
        </w:rPr>
        <w:t>,</w:t>
      </w:r>
      <w:r w:rsidR="0030648A">
        <w:rPr>
          <w:rFonts w:ascii="Verdana" w:hAnsi="Verdana" w:cs="Arial"/>
          <w:color w:val="000000" w:themeColor="text1"/>
          <w:lang w:val="es-ES"/>
        </w:rPr>
        <w:t xml:space="preserve"> l</w:t>
      </w:r>
      <w:r w:rsidR="003916C5" w:rsidRPr="3F2B4452">
        <w:rPr>
          <w:rFonts w:ascii="Verdana" w:eastAsia="Times New Roman" w:hAnsi="Verdana" w:cs="Arial"/>
          <w:shd w:val="clear" w:color="auto" w:fill="FFFFFF"/>
          <w:lang w:val="es-ES" w:eastAsia="es-ES"/>
        </w:rPr>
        <w:t xml:space="preserve">a carta de presentación de la oferta constituye una manifestación formal de voluntad mediante la cual el proponente expresa su intención de participar en el proceso de contratación, bajo los términos establecidos por la entidad contratante, usualmente este documento contiene manifestaciones en las que el oferente señala, entre otros, encontrarse autorizado para suscribir y presentar la oferta, suscribir el contrato en caso de resultar adjudicatario; conocer los documentos, anexos, y demás soportes del Proceso de Contratación; así mismo acepta conocer las normas que rigen el proceso de selección, conocer las características, condiciones de ejecución del contrato y riesgos previsibles, y no encontrarse incurso en causales de inhabilidad e incompatibilidad o conflicto de intereses, entre otros. </w:t>
      </w:r>
    </w:p>
    <w:p w14:paraId="78C60019" w14:textId="477869A9" w:rsidR="003916C5" w:rsidRPr="0055341A" w:rsidRDefault="004902EA" w:rsidP="3F2B4452">
      <w:pPr>
        <w:spacing w:before="120" w:after="120" w:line="276" w:lineRule="auto"/>
        <w:ind w:firstLine="709"/>
        <w:jc w:val="both"/>
        <w:rPr>
          <w:rFonts w:ascii="Verdana" w:eastAsia="Calibri" w:hAnsi="Verdana" w:cs="Arial"/>
          <w:color w:val="000000"/>
          <w:lang w:val="es-ES" w:eastAsia="es-ES"/>
        </w:rPr>
      </w:pPr>
      <w:r w:rsidRPr="3F2B4452">
        <w:rPr>
          <w:rFonts w:ascii="Verdana" w:eastAsia="Calibri" w:hAnsi="Verdana" w:cs="Arial"/>
          <w:color w:val="000000" w:themeColor="text1"/>
          <w:lang w:val="es-ES" w:eastAsia="es-ES"/>
        </w:rPr>
        <w:t>R</w:t>
      </w:r>
      <w:r w:rsidR="003916C5" w:rsidRPr="3F2B4452">
        <w:rPr>
          <w:rFonts w:ascii="Verdana" w:eastAsia="Calibri" w:hAnsi="Verdana" w:cs="Arial"/>
          <w:color w:val="000000" w:themeColor="text1"/>
          <w:lang w:val="es-ES" w:eastAsia="es-ES"/>
        </w:rPr>
        <w:t xml:space="preserve">esulta importante entender que la propuesta está constituida por una diversidad de documentos y no solamente por la carta de presentación de la oferta, la cual, como su nombre lo indica, es sólo la forma como se introduce al destinatario, en este caso, a la Entidad Estatal, la totalidad de elementos que conforman la oferta. En consecuencia, el entendimiento de la oferta debe estar guiado por la comprensión de todos los documentos que la integran y la función que cumple cada uno de ellos, sin que una oferta pueda limitarse a lo que la carta de presentación de la propuesta indica. Este criterio se ha entendido como “Interpretación sistemática o coherente”, el cual ha sido desarrollado por el Consejo de Estado de la siguiente manera: </w:t>
      </w:r>
    </w:p>
    <w:p w14:paraId="5EFEC1C1" w14:textId="77777777" w:rsidR="003916C5" w:rsidRPr="00FF35E8" w:rsidRDefault="003916C5" w:rsidP="3F2B4452">
      <w:pPr>
        <w:spacing w:after="0" w:line="276" w:lineRule="auto"/>
        <w:ind w:firstLine="709"/>
        <w:jc w:val="both"/>
        <w:rPr>
          <w:rFonts w:ascii="Arial" w:eastAsia="Calibri" w:hAnsi="Arial" w:cs="Arial"/>
          <w:color w:val="000000"/>
          <w:lang w:val="es-ES"/>
        </w:rPr>
      </w:pPr>
    </w:p>
    <w:p w14:paraId="6E5C00EC" w14:textId="77777777" w:rsidR="003916C5" w:rsidRPr="004400BD" w:rsidRDefault="003916C5" w:rsidP="3F2B4452">
      <w:pPr>
        <w:spacing w:after="0" w:line="240" w:lineRule="auto"/>
        <w:ind w:left="709" w:right="709"/>
        <w:jc w:val="both"/>
        <w:rPr>
          <w:rFonts w:ascii="Verdana" w:eastAsia="Calibri" w:hAnsi="Verdana" w:cs="Arial"/>
          <w:color w:val="000000"/>
          <w:sz w:val="20"/>
          <w:szCs w:val="20"/>
          <w:lang w:val="es-ES"/>
        </w:rPr>
      </w:pPr>
      <w:r w:rsidRPr="3F2B4452">
        <w:rPr>
          <w:rFonts w:ascii="Verdana" w:eastAsia="Calibri" w:hAnsi="Verdana" w:cs="Arial"/>
          <w:color w:val="000000"/>
          <w:sz w:val="20"/>
          <w:szCs w:val="20"/>
          <w:lang w:val="es-ES"/>
        </w:rPr>
        <w:t xml:space="preserve">“Este criterio interpretativo pone de presente la correlación que existe entre las partes constitutivas del discurso, como de cada manifestación del pensamiento, y su referencia común al todo del que hacen parte: correlación y referencia que hacen posible la iluminación recíproca del significado entre el todo y los elementos constitutivos. Constituye un principio evidente de técnica de interpretación textual, que al dirigirse a aclarar el sentido de una declaración de índole jurídica, ordena que el </w:t>
      </w:r>
      <w:r w:rsidRPr="3F2B4452">
        <w:rPr>
          <w:rFonts w:ascii="Verdana" w:eastAsia="Calibri" w:hAnsi="Verdana" w:cs="Arial"/>
          <w:color w:val="000000"/>
          <w:sz w:val="20"/>
          <w:szCs w:val="20"/>
          <w:lang w:val="es-ES"/>
        </w:rPr>
        <w:lastRenderedPageBreak/>
        <w:t>significado de las declaraciones no puede ser segmentado, sino que deba ser atribuido al conjunto de la intención del declarante; es decir, que en presencia de una o varias cláusulas, dentro de un contrato; o de uno o varios artículos, dentro de una ley; o de una o varias leyes dentro del ordenamiento jurídico; o de una o varias declaraciones, dentro de una propuesta para una licitación pública, se debe considerar que hacen parte de un todo, y es por medio de la luz de cuanto emerge del conjunto de la declaración entera, que se determina el sentido jurídico propio del objeto interpretado</w:t>
      </w:r>
      <w:r w:rsidRPr="004400BD">
        <w:rPr>
          <w:rFonts w:ascii="Verdana" w:eastAsia="Calibri" w:hAnsi="Verdana" w:cs="Arial"/>
          <w:color w:val="000000"/>
          <w:sz w:val="20"/>
          <w:szCs w:val="20"/>
          <w:vertAlign w:val="superscript"/>
          <w:lang w:val="es-ES_tradnl"/>
        </w:rPr>
        <w:footnoteReference w:id="10"/>
      </w:r>
      <w:r w:rsidRPr="3F2B4452">
        <w:rPr>
          <w:rFonts w:ascii="Verdana" w:eastAsia="Calibri" w:hAnsi="Verdana" w:cs="Arial"/>
          <w:color w:val="000000"/>
          <w:sz w:val="20"/>
          <w:szCs w:val="20"/>
          <w:lang w:val="es-ES"/>
        </w:rPr>
        <w:t>”.</w:t>
      </w:r>
    </w:p>
    <w:p w14:paraId="5A9C4895" w14:textId="77777777" w:rsidR="003916C5" w:rsidRPr="00FF35E8" w:rsidRDefault="003916C5" w:rsidP="3F2B4452">
      <w:pPr>
        <w:spacing w:after="0" w:line="276" w:lineRule="auto"/>
        <w:ind w:right="709"/>
        <w:jc w:val="both"/>
        <w:rPr>
          <w:rFonts w:ascii="Arial" w:eastAsia="Calibri" w:hAnsi="Arial" w:cs="Arial"/>
          <w:color w:val="000000"/>
          <w:lang w:val="es-ES"/>
        </w:rPr>
      </w:pPr>
    </w:p>
    <w:p w14:paraId="389956DE" w14:textId="77777777" w:rsidR="003916C5" w:rsidRPr="0055341A" w:rsidRDefault="003916C5" w:rsidP="003916C5">
      <w:pPr>
        <w:spacing w:after="120" w:line="276" w:lineRule="auto"/>
        <w:ind w:right="49" w:firstLine="709"/>
        <w:jc w:val="both"/>
        <w:rPr>
          <w:rFonts w:ascii="Verdana" w:eastAsia="Calibri" w:hAnsi="Verdana" w:cs="Arial"/>
          <w:color w:val="000000"/>
          <w:lang w:val="es-ES"/>
        </w:rPr>
      </w:pPr>
      <w:r w:rsidRPr="3F2B4452">
        <w:rPr>
          <w:rFonts w:ascii="Verdana" w:eastAsia="Calibri" w:hAnsi="Verdana" w:cs="Arial"/>
          <w:color w:val="000000" w:themeColor="text1"/>
          <w:lang w:val="es-ES"/>
        </w:rPr>
        <w:t>Lo anterior permite inferir que los documentos de la oferta ostentan un carácter de complementariedad y, por lo tanto, no puede entenderse cada uno de ellos como un acto aislado dentro del contexto del ofrecimiento que se efectúa en el marco del proceso de selección. Es decir, la carta de presentación de la oferta permite poner en contexto a la entidad contratante frente a una serie de documentos que en su conjunto forman un acervo probatorio de los requisitos que se pretenden hacer valer, y que permiten determinar, entre varias ofertas, la que represente la mejor condición de elegibilidad.</w:t>
      </w:r>
    </w:p>
    <w:p w14:paraId="663F525D" w14:textId="1ECDE43A" w:rsidR="0074360C" w:rsidRDefault="00A209D8" w:rsidP="00B73CA3">
      <w:pPr>
        <w:spacing w:after="120" w:line="276" w:lineRule="auto"/>
        <w:ind w:firstLine="709"/>
        <w:jc w:val="both"/>
        <w:rPr>
          <w:rFonts w:ascii="Verdana" w:hAnsi="Verdana"/>
        </w:rPr>
      </w:pPr>
      <w:r w:rsidRPr="3F2B4452">
        <w:rPr>
          <w:rFonts w:ascii="Verdana" w:hAnsi="Verdana" w:cs="Arial"/>
          <w:color w:val="000000" w:themeColor="text1"/>
          <w:lang w:val="es-ES"/>
        </w:rPr>
        <w:t xml:space="preserve">En consecuencia, </w:t>
      </w:r>
      <w:r w:rsidR="004A6BC7" w:rsidRPr="3F2B4452">
        <w:rPr>
          <w:rFonts w:ascii="Verdana" w:hAnsi="Verdana"/>
        </w:rPr>
        <w:t xml:space="preserve">cuando la subsanación de la carta de presentación de la oferta se refiere a errores formales tales como la omisión de un dato, el diligenciamiento incorrecto o la ausencia de firma, dicha corrección resulta procedente, en tanto no afecta elementos sustanciales de la propuesta ni vulnera los principios que rigen la actuación contractual. No obstante, si mediante la subsanación </w:t>
      </w:r>
      <w:r w:rsidR="001B4F20" w:rsidRPr="3F2B4452">
        <w:rPr>
          <w:rFonts w:ascii="Verdana" w:hAnsi="Verdana"/>
        </w:rPr>
        <w:t xml:space="preserve">de la carta de presentación </w:t>
      </w:r>
      <w:r w:rsidR="004A6BC7" w:rsidRPr="3F2B4452">
        <w:rPr>
          <w:rFonts w:ascii="Verdana" w:hAnsi="Verdana"/>
        </w:rPr>
        <w:t>se pretende modificar la identidad del oferente —esto es, sustituir al proponente originalmente presentado por otro distinto—</w:t>
      </w:r>
      <w:r w:rsidR="00B73CA3" w:rsidRPr="3F2B4452">
        <w:rPr>
          <w:rFonts w:ascii="Verdana" w:hAnsi="Verdana"/>
        </w:rPr>
        <w:t xml:space="preserve"> </w:t>
      </w:r>
      <w:r w:rsidR="001D6292" w:rsidRPr="3F2B4452">
        <w:rPr>
          <w:rFonts w:ascii="Verdana" w:hAnsi="Verdana"/>
        </w:rPr>
        <w:t>a juicio de esta Agencia</w:t>
      </w:r>
      <w:r w:rsidR="00FB308F" w:rsidRPr="3F2B4452">
        <w:rPr>
          <w:rFonts w:ascii="Verdana" w:hAnsi="Verdana"/>
        </w:rPr>
        <w:t xml:space="preserve"> </w:t>
      </w:r>
      <w:r w:rsidR="00B73CA3" w:rsidRPr="3F2B4452">
        <w:rPr>
          <w:rFonts w:ascii="Verdana" w:hAnsi="Verdana"/>
        </w:rPr>
        <w:t>tal actuación sería inadmisible, por tratarse de una circunstancia sobrevenida con posterioridad al cierre del proceso,</w:t>
      </w:r>
      <w:r w:rsidR="00350242" w:rsidRPr="3F2B4452">
        <w:rPr>
          <w:rFonts w:ascii="Verdana" w:hAnsi="Verdana"/>
        </w:rPr>
        <w:t xml:space="preserve"> </w:t>
      </w:r>
      <w:r w:rsidR="00E174E4" w:rsidRPr="3F2B4452">
        <w:rPr>
          <w:rFonts w:ascii="Verdana" w:hAnsi="Verdana"/>
        </w:rPr>
        <w:t xml:space="preserve">implicaría una </w:t>
      </w:r>
      <w:r w:rsidR="00350242" w:rsidRPr="3F2B4452">
        <w:rPr>
          <w:rFonts w:ascii="Verdana" w:eastAsia="Calibri" w:hAnsi="Verdana" w:cs="Times New Roman"/>
          <w:color w:val="000000" w:themeColor="text1"/>
          <w:lang w:val="es-ES"/>
        </w:rPr>
        <w:t>alteración sustancial o mejoría de sus componentes</w:t>
      </w:r>
      <w:r w:rsidR="00A65BA3" w:rsidRPr="3F2B4452">
        <w:rPr>
          <w:rFonts w:ascii="Verdana" w:eastAsia="Calibri" w:hAnsi="Verdana" w:cs="Times New Roman"/>
          <w:color w:val="000000" w:themeColor="text1"/>
          <w:lang w:val="es-ES"/>
        </w:rPr>
        <w:t>,</w:t>
      </w:r>
      <w:r w:rsidR="00B73CA3" w:rsidRPr="3F2B4452">
        <w:rPr>
          <w:rFonts w:ascii="Verdana" w:hAnsi="Verdana"/>
        </w:rPr>
        <w:t xml:space="preserve"> lo que vulneraría los principios de transparencia, igualdad y selección objetiva.</w:t>
      </w:r>
      <w:r w:rsidR="005F77BC" w:rsidRPr="3F2B4452">
        <w:rPr>
          <w:rFonts w:ascii="Verdana" w:hAnsi="Verdana"/>
        </w:rPr>
        <w:t xml:space="preserve"> </w:t>
      </w:r>
    </w:p>
    <w:p w14:paraId="1F558109" w14:textId="202896CB" w:rsidR="00B73CA3" w:rsidRDefault="0074360C" w:rsidP="00B73CA3">
      <w:pPr>
        <w:spacing w:after="120" w:line="276" w:lineRule="auto"/>
        <w:ind w:firstLine="709"/>
        <w:jc w:val="both"/>
        <w:rPr>
          <w:rFonts w:ascii="Verdana" w:hAnsi="Verdana"/>
        </w:rPr>
      </w:pPr>
      <w:r w:rsidRPr="3F2B4452">
        <w:rPr>
          <w:rFonts w:ascii="Verdana" w:hAnsi="Verdana"/>
        </w:rPr>
        <w:t xml:space="preserve">La identidad del oferente constituye un componente esencial de la oferta, que debe quedar plenamente determinado dentro del término previsto para su presentación. Permitir su modificación con posterioridad equivaldría a admitir la participación extemporánea de un nuevo proponente, lo cual desnaturaliza el carácter competitivo del procedimiento, vulnera los principios de transparencia, igualdad y selección objetiva, y afecta la confianza legítima de los demás </w:t>
      </w:r>
      <w:r w:rsidRPr="3F2B4452">
        <w:rPr>
          <w:rFonts w:ascii="Verdana" w:hAnsi="Verdana"/>
        </w:rPr>
        <w:lastRenderedPageBreak/>
        <w:t>participantes.</w:t>
      </w:r>
      <w:r w:rsidR="00040597" w:rsidRPr="3F2B4452">
        <w:rPr>
          <w:rFonts w:ascii="Verdana" w:hAnsi="Verdana"/>
        </w:rPr>
        <w:t xml:space="preserve"> Además, se rompería el principio de igualdad de condiciones, al otorgar a un oferente una oportunidad adicional para ajustar su propuesta, en detrimento de quienes cumplieron oportunamente con los requisitos exigidos.</w:t>
      </w:r>
      <w:r w:rsidR="00B73CA3" w:rsidRPr="3F2B4452">
        <w:rPr>
          <w:rFonts w:ascii="Verdana" w:hAnsi="Verdana"/>
        </w:rPr>
        <w:t xml:space="preserve"> </w:t>
      </w:r>
    </w:p>
    <w:p w14:paraId="492C110E" w14:textId="42D0B601" w:rsidR="00F00FD4" w:rsidRDefault="00F00FD4" w:rsidP="3F2B4452">
      <w:pPr>
        <w:spacing w:before="120" w:after="120" w:line="276" w:lineRule="auto"/>
        <w:ind w:firstLine="709"/>
        <w:jc w:val="both"/>
        <w:rPr>
          <w:rFonts w:ascii="Verdana" w:hAnsi="Verdana" w:cs="Arial"/>
          <w:color w:val="000000" w:themeColor="text1"/>
          <w:lang w:val="es-ES"/>
        </w:rPr>
      </w:pPr>
      <w:r w:rsidRPr="3F2B4452">
        <w:rPr>
          <w:rFonts w:ascii="Verdana" w:eastAsia="Arial" w:hAnsi="Verdana" w:cs="Arial"/>
        </w:rPr>
        <w:t xml:space="preserve">Al margen de lo anterior, debe advertirse que el análisis sobre la subsanación o el rechazo de las ofertas al interior de los procedimientos de selección debe ser realizado por quienes tengan interés en ello, de acuerdo con lo explicado en 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3A972D1D" w14:textId="77777777" w:rsidR="00F00FD4" w:rsidRDefault="00F00FD4" w:rsidP="00F00FD4">
      <w:pPr>
        <w:spacing w:before="120" w:after="120" w:line="276" w:lineRule="auto"/>
        <w:ind w:firstLine="709"/>
        <w:jc w:val="both"/>
        <w:rPr>
          <w:rFonts w:ascii="Verdana" w:eastAsia="Arial" w:hAnsi="Verdana" w:cs="Arial"/>
          <w:bCs/>
        </w:rPr>
      </w:pPr>
      <w:r w:rsidRPr="001920E4">
        <w:rPr>
          <w:rFonts w:ascii="Verdana" w:eastAsia="Arial" w:hAnsi="Verdana" w:cs="Arial"/>
          <w:bCs/>
        </w:rPr>
        <w:t>De esta manera,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a la entidad que debe adoptar la decisión correspondiente para atender las necesidades de la Entidad Pública.</w:t>
      </w:r>
    </w:p>
    <w:p w14:paraId="54AA8202" w14:textId="77777777" w:rsidR="00F00FD4" w:rsidRDefault="00F00FD4" w:rsidP="00F00FD4">
      <w:pPr>
        <w:spacing w:before="120" w:after="0" w:line="276" w:lineRule="auto"/>
        <w:ind w:firstLine="709"/>
        <w:jc w:val="both"/>
        <w:rPr>
          <w:rFonts w:ascii="Verdana" w:eastAsia="Arial" w:hAnsi="Verdana" w:cs="Arial"/>
          <w:bCs/>
        </w:rPr>
      </w:pPr>
    </w:p>
    <w:p w14:paraId="2C4A63B7" w14:textId="77777777" w:rsidR="00F00FD4" w:rsidRPr="0060676F" w:rsidRDefault="00F00FD4" w:rsidP="00F00FD4">
      <w:pPr>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3CE026EB" w14:textId="77777777" w:rsidR="00F00FD4" w:rsidRPr="00593A5F" w:rsidRDefault="00F00FD4" w:rsidP="00F00FD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00FD4" w:rsidRPr="00593A5F" w14:paraId="68CC94D1" w14:textId="77777777" w:rsidTr="3F2B4452">
        <w:trPr>
          <w:trHeight w:val="870"/>
        </w:trPr>
        <w:tc>
          <w:tcPr>
            <w:tcW w:w="8647" w:type="dxa"/>
          </w:tcPr>
          <w:p w14:paraId="7E41CB20" w14:textId="77777777" w:rsidR="00F00FD4" w:rsidRPr="002165C1" w:rsidRDefault="00F00FD4" w:rsidP="00F00FD4">
            <w:pPr>
              <w:pStyle w:val="Prrafodelista"/>
              <w:numPr>
                <w:ilvl w:val="0"/>
                <w:numId w:val="17"/>
              </w:numPr>
              <w:spacing w:line="259" w:lineRule="auto"/>
              <w:ind w:left="714" w:hanging="357"/>
              <w:contextualSpacing w:val="0"/>
              <w:jc w:val="both"/>
              <w:rPr>
                <w:rFonts w:ascii="Verdana" w:eastAsia="Calibri" w:hAnsi="Verdana" w:cs="Arial"/>
                <w:color w:val="000000"/>
                <w:lang w:eastAsia="es-ES"/>
              </w:rPr>
            </w:pPr>
            <w:r w:rsidRPr="00890EA7">
              <w:rPr>
                <w:rFonts w:ascii="Verdana" w:eastAsia="Calibri" w:hAnsi="Verdana" w:cs="Arial"/>
                <w:color w:val="000000"/>
                <w:lang w:val="es-ES_tradnl"/>
              </w:rPr>
              <w:t>Ley 80 de 1993</w:t>
            </w:r>
            <w:r>
              <w:rPr>
                <w:rFonts w:ascii="Verdana" w:eastAsia="Calibri" w:hAnsi="Verdana" w:cs="Arial"/>
                <w:color w:val="000000"/>
                <w:lang w:val="es-ES_tradnl"/>
              </w:rPr>
              <w:t>, artículos 24.5 literal b) y 30.8</w:t>
            </w:r>
          </w:p>
          <w:p w14:paraId="3D1A8EF3" w14:textId="77777777" w:rsidR="00F00FD4" w:rsidRPr="00784229" w:rsidRDefault="00F00FD4" w:rsidP="00F00FD4">
            <w:pPr>
              <w:pStyle w:val="Prrafodelista"/>
              <w:numPr>
                <w:ilvl w:val="0"/>
                <w:numId w:val="17"/>
              </w:numPr>
              <w:spacing w:line="259" w:lineRule="auto"/>
              <w:ind w:left="714" w:hanging="357"/>
              <w:contextualSpacing w:val="0"/>
              <w:jc w:val="both"/>
              <w:rPr>
                <w:rFonts w:ascii="Verdana" w:eastAsia="Calibri" w:hAnsi="Verdana" w:cs="Arial"/>
                <w:color w:val="000000"/>
                <w:lang w:eastAsia="es-ES"/>
              </w:rPr>
            </w:pPr>
            <w:r w:rsidRPr="00086C7C">
              <w:rPr>
                <w:rFonts w:ascii="Verdana" w:eastAsia="Calibri" w:hAnsi="Verdana" w:cs="Arial"/>
                <w:color w:val="000000"/>
                <w:lang w:eastAsia="es-ES"/>
              </w:rPr>
              <w:t xml:space="preserve">Ley 1150 de 2007, </w:t>
            </w:r>
            <w:r>
              <w:rPr>
                <w:rFonts w:ascii="Verdana" w:eastAsia="Calibri" w:hAnsi="Verdana" w:cs="Arial"/>
                <w:color w:val="000000" w:themeColor="text1"/>
              </w:rPr>
              <w:t>artículo 5, parágrafo 1, 3 y 4</w:t>
            </w:r>
          </w:p>
          <w:p w14:paraId="3EEAD1BA" w14:textId="354CA2E1" w:rsidR="00F00FD4" w:rsidRDefault="00F00FD4" w:rsidP="3F2B4452">
            <w:pPr>
              <w:pStyle w:val="Prrafodelista"/>
              <w:numPr>
                <w:ilvl w:val="0"/>
                <w:numId w:val="17"/>
              </w:numPr>
              <w:spacing w:line="259" w:lineRule="auto"/>
              <w:ind w:left="714" w:hanging="357"/>
              <w:jc w:val="both"/>
              <w:rPr>
                <w:rFonts w:ascii="Verdana" w:eastAsia="Calibri" w:hAnsi="Verdana" w:cs="Arial"/>
                <w:color w:val="000000"/>
                <w:lang w:eastAsia="es-ES"/>
              </w:rPr>
            </w:pPr>
            <w:r w:rsidRPr="3F2B4452">
              <w:rPr>
                <w:rFonts w:ascii="Verdana" w:eastAsia="Calibri" w:hAnsi="Verdana" w:cs="Arial"/>
                <w:color w:val="000000" w:themeColor="text1"/>
                <w:lang w:eastAsia="es-ES"/>
              </w:rPr>
              <w:t xml:space="preserve">Decreto 1082 de 2015, artículo 2.2.1.1.2.1.3. numeral </w:t>
            </w:r>
            <w:r w:rsidR="4150ECF3" w:rsidRPr="3F2B4452">
              <w:rPr>
                <w:rFonts w:ascii="Verdana" w:eastAsia="Calibri" w:hAnsi="Verdana" w:cs="Arial"/>
                <w:color w:val="000000" w:themeColor="text1"/>
                <w:lang w:eastAsia="es-ES"/>
              </w:rPr>
              <w:t>5</w:t>
            </w:r>
            <w:r w:rsidR="312493F5" w:rsidRPr="3F2B4452">
              <w:rPr>
                <w:rFonts w:ascii="Verdana" w:eastAsia="Calibri" w:hAnsi="Verdana" w:cs="Arial"/>
                <w:color w:val="000000" w:themeColor="text1"/>
                <w:lang w:eastAsia="es-ES"/>
              </w:rPr>
              <w:t xml:space="preserve"> y 6</w:t>
            </w:r>
          </w:p>
          <w:p w14:paraId="517C910E" w14:textId="77777777" w:rsidR="00F00FD4" w:rsidRPr="00CA1687" w:rsidRDefault="00F00FD4" w:rsidP="00F00FD4">
            <w:pPr>
              <w:pStyle w:val="Prrafodelista"/>
              <w:numPr>
                <w:ilvl w:val="0"/>
                <w:numId w:val="17"/>
              </w:numPr>
              <w:ind w:left="714" w:hanging="357"/>
              <w:contextualSpacing w:val="0"/>
              <w:jc w:val="both"/>
              <w:rPr>
                <w:rFonts w:ascii="Verdana" w:eastAsia="Calibri" w:hAnsi="Verdana" w:cs="Arial"/>
                <w:shd w:val="clear" w:color="auto" w:fill="FFFFFF"/>
              </w:rPr>
            </w:pPr>
            <w:r w:rsidRPr="00CA1687">
              <w:rPr>
                <w:rFonts w:ascii="Verdana" w:eastAsia="Calibri" w:hAnsi="Verdana" w:cs="Arial"/>
                <w:color w:val="000000"/>
              </w:rPr>
              <w:t>Ley 1882 de 2018 artículo 5</w:t>
            </w:r>
          </w:p>
          <w:p w14:paraId="32D5A0AD" w14:textId="77777777" w:rsidR="00F00FD4" w:rsidRPr="003D4546" w:rsidRDefault="00F00FD4" w:rsidP="00F00FD4">
            <w:pPr>
              <w:pStyle w:val="Prrafodelista"/>
              <w:numPr>
                <w:ilvl w:val="0"/>
                <w:numId w:val="17"/>
              </w:numPr>
              <w:jc w:val="both"/>
              <w:rPr>
                <w:rFonts w:ascii="Verdana" w:eastAsia="Calibri" w:hAnsi="Verdana" w:cs="Arial"/>
                <w:shd w:val="clear" w:color="auto" w:fill="FFFFFF"/>
              </w:rPr>
            </w:pPr>
            <w:r w:rsidRPr="003D4546">
              <w:rPr>
                <w:rFonts w:ascii="Verdana" w:eastAsia="Calibri" w:hAnsi="Verdana" w:cs="Arial"/>
                <w:shd w:val="clear" w:color="auto" w:fill="FFFFFF"/>
              </w:rPr>
              <w:t xml:space="preserve">CONSEJO DE ESTADO, Sección Tercera, Subsección C. Sentencia del 26 de febrero de 2011. C.P. Jaime Orlando Santofimio. Rad. 36.408. </w:t>
            </w:r>
          </w:p>
          <w:p w14:paraId="4881D77A" w14:textId="77777777" w:rsidR="00F00FD4" w:rsidRPr="003D4546" w:rsidRDefault="00F00FD4" w:rsidP="00F00FD4">
            <w:pPr>
              <w:pStyle w:val="Prrafodelista"/>
              <w:numPr>
                <w:ilvl w:val="0"/>
                <w:numId w:val="17"/>
              </w:numPr>
              <w:jc w:val="both"/>
              <w:rPr>
                <w:rFonts w:ascii="Verdana" w:eastAsia="Calibri" w:hAnsi="Verdana" w:cs="Arial"/>
                <w:shd w:val="clear" w:color="auto" w:fill="FFFFFF"/>
              </w:rPr>
            </w:pPr>
            <w:r w:rsidRPr="003D4546">
              <w:rPr>
                <w:rFonts w:ascii="Verdana" w:eastAsia="Calibri" w:hAnsi="Verdana" w:cs="Arial"/>
                <w:shd w:val="clear" w:color="auto" w:fill="FFFFFF"/>
              </w:rPr>
              <w:t>Consejo de Estado. Sala de Consulta y Servicio Civil. Concepto del 6 de noviembre de 2008. Expediente: 1927. Consejero Ponente: William Zambrano Cetina</w:t>
            </w:r>
          </w:p>
          <w:p w14:paraId="383439DD" w14:textId="77777777" w:rsidR="00F00FD4" w:rsidRPr="003D4546" w:rsidRDefault="00F00FD4" w:rsidP="00F00FD4">
            <w:pPr>
              <w:pStyle w:val="Prrafodelista"/>
              <w:numPr>
                <w:ilvl w:val="0"/>
                <w:numId w:val="17"/>
              </w:numPr>
              <w:jc w:val="both"/>
              <w:rPr>
                <w:rFonts w:ascii="Verdana" w:eastAsia="Calibri" w:hAnsi="Verdana" w:cs="Arial"/>
                <w:shd w:val="clear" w:color="auto" w:fill="FFFFFF"/>
              </w:rPr>
            </w:pPr>
            <w:r w:rsidRPr="003D4546">
              <w:rPr>
                <w:rFonts w:ascii="Verdana" w:eastAsia="Calibri" w:hAnsi="Verdana" w:cs="Arial"/>
                <w:shd w:val="clear" w:color="auto" w:fill="FFFFFF"/>
              </w:rPr>
              <w:t>CONSEJO DE ESTADO, Sección Tercera, Subsección C. Sentencia del 26 de febrero de 2014. C.P. Enrique Gil Botero. Rad. 25.804.</w:t>
            </w:r>
          </w:p>
          <w:p w14:paraId="469CA542" w14:textId="77777777" w:rsidR="00F00FD4" w:rsidRDefault="00F00FD4" w:rsidP="00F00FD4">
            <w:pPr>
              <w:pStyle w:val="Prrafodelista"/>
              <w:numPr>
                <w:ilvl w:val="0"/>
                <w:numId w:val="17"/>
              </w:numPr>
              <w:jc w:val="both"/>
              <w:rPr>
                <w:rFonts w:ascii="Verdana" w:eastAsia="Calibri" w:hAnsi="Verdana" w:cs="Arial"/>
                <w:shd w:val="clear" w:color="auto" w:fill="FFFFFF"/>
              </w:rPr>
            </w:pPr>
            <w:r w:rsidRPr="003D4546">
              <w:rPr>
                <w:rFonts w:ascii="Verdana" w:eastAsia="Calibri" w:hAnsi="Verdana" w:cs="Arial"/>
                <w:shd w:val="clear" w:color="auto" w:fill="FFFFFF"/>
              </w:rPr>
              <w:t>CONSEJO DE ESTADO. Sala de Consulta y Servicio Civil. Concepto del 20 de mayo de 2010. Expediente: 1992. Consejero Ponente: Enrique José Arboleda Perdomo.</w:t>
            </w:r>
          </w:p>
          <w:p w14:paraId="027CA3E1" w14:textId="77777777" w:rsidR="00F00FD4" w:rsidRDefault="00F00FD4" w:rsidP="00F00FD4">
            <w:pPr>
              <w:pStyle w:val="Prrafodelista"/>
              <w:numPr>
                <w:ilvl w:val="0"/>
                <w:numId w:val="17"/>
              </w:numPr>
              <w:jc w:val="both"/>
              <w:rPr>
                <w:rFonts w:ascii="Verdana" w:eastAsia="Calibri" w:hAnsi="Verdana" w:cs="Arial"/>
                <w:shd w:val="clear" w:color="auto" w:fill="FFFFFF"/>
              </w:rPr>
            </w:pPr>
            <w:r w:rsidRPr="000D5C19">
              <w:rPr>
                <w:rFonts w:ascii="Verdana" w:eastAsia="Calibri" w:hAnsi="Verdana" w:cs="Arial"/>
                <w:shd w:val="clear" w:color="auto" w:fill="FFFFFF"/>
              </w:rPr>
              <w:lastRenderedPageBreak/>
              <w:t>CONSEJO DE ESTADO. Sección Tercera Subsección B. Sentencia del 27 de abril de 2011. Expediente No. 18.293. C.P. Ponente: Ruth Stella Correa Palacio.</w:t>
            </w:r>
          </w:p>
          <w:p w14:paraId="02A7AC7C" w14:textId="77777777" w:rsidR="00F00FD4" w:rsidRPr="00607549" w:rsidRDefault="00F00FD4" w:rsidP="00F00FD4">
            <w:pPr>
              <w:pStyle w:val="Prrafodelista"/>
              <w:numPr>
                <w:ilvl w:val="0"/>
                <w:numId w:val="17"/>
              </w:numPr>
              <w:jc w:val="both"/>
              <w:rPr>
                <w:rFonts w:ascii="Verdana" w:eastAsia="Calibri" w:hAnsi="Verdana" w:cs="Arial"/>
                <w:shd w:val="clear" w:color="auto" w:fill="FFFFFF"/>
              </w:rPr>
            </w:pPr>
            <w:r w:rsidRPr="00607549">
              <w:rPr>
                <w:rFonts w:ascii="Verdana" w:eastAsia="Calibri" w:hAnsi="Verdana" w:cs="Arial"/>
                <w:shd w:val="clear" w:color="auto" w:fill="FFFFFF"/>
              </w:rPr>
              <w:t xml:space="preserve">Agencia Nacional de Contratación Pública – Colombia Compra Eficiente. Concepto C-285 del 20 de mayo de 2022. Consultar en: </w:t>
            </w:r>
            <w:hyperlink r:id="rId12" w:history="1">
              <w:r w:rsidRPr="00413E2E">
                <w:rPr>
                  <w:rStyle w:val="Hipervnculo"/>
                  <w:rFonts w:ascii="Verdana" w:eastAsia="Calibri" w:hAnsi="Verdana" w:cs="Arial"/>
                  <w:shd w:val="clear" w:color="auto" w:fill="FFFFFF"/>
                </w:rPr>
                <w:t>https://relatoria.colombiacompra.gov.co/conceptos/c-285-de-2022/</w:t>
              </w:r>
            </w:hyperlink>
            <w:r>
              <w:rPr>
                <w:rFonts w:ascii="Verdana" w:eastAsia="Calibri" w:hAnsi="Verdana" w:cs="Arial"/>
                <w:shd w:val="clear" w:color="auto" w:fill="FFFFFF"/>
              </w:rPr>
              <w:t xml:space="preserve"> </w:t>
            </w:r>
          </w:p>
          <w:p w14:paraId="7590B7EF" w14:textId="77777777" w:rsidR="00F00FD4" w:rsidRDefault="00F00FD4" w:rsidP="00F00FD4">
            <w:pPr>
              <w:pStyle w:val="Prrafodelista"/>
              <w:numPr>
                <w:ilvl w:val="0"/>
                <w:numId w:val="17"/>
              </w:numPr>
              <w:jc w:val="both"/>
              <w:rPr>
                <w:rFonts w:ascii="Verdana" w:eastAsia="Calibri" w:hAnsi="Verdana" w:cs="Arial"/>
                <w:shd w:val="clear" w:color="auto" w:fill="FFFFFF"/>
              </w:rPr>
            </w:pPr>
            <w:r w:rsidRPr="00607549">
              <w:rPr>
                <w:rFonts w:ascii="Verdana" w:eastAsia="Calibri" w:hAnsi="Verdana" w:cs="Arial"/>
                <w:shd w:val="clear" w:color="auto" w:fill="FFFFFF"/>
              </w:rPr>
              <w:t xml:space="preserve">Agencia Nacional de Contratación Pública – Colombia Compra Eficiente. Concepto C-447 del 19 de septiembre de 2024. Consultar en: </w:t>
            </w:r>
            <w:hyperlink r:id="rId13" w:history="1">
              <w:r w:rsidRPr="00413E2E">
                <w:rPr>
                  <w:rStyle w:val="Hipervnculo"/>
                  <w:rFonts w:ascii="Verdana" w:eastAsia="Calibri" w:hAnsi="Verdana" w:cs="Arial"/>
                  <w:shd w:val="clear" w:color="auto" w:fill="FFFFFF"/>
                </w:rPr>
                <w:t>https://relatoria.colombiacompra.gov.co/conceptos/c-447-de-2024/</w:t>
              </w:r>
            </w:hyperlink>
            <w:r>
              <w:rPr>
                <w:rFonts w:ascii="Verdana" w:eastAsia="Calibri" w:hAnsi="Verdana" w:cs="Arial"/>
                <w:shd w:val="clear" w:color="auto" w:fill="FFFFFF"/>
              </w:rPr>
              <w:t xml:space="preserve"> </w:t>
            </w:r>
          </w:p>
          <w:p w14:paraId="4BED4714" w14:textId="77777777" w:rsidR="00F00FD4" w:rsidRPr="0055341A" w:rsidRDefault="00F00FD4" w:rsidP="00F00FD4">
            <w:pPr>
              <w:pStyle w:val="Prrafodelista"/>
              <w:numPr>
                <w:ilvl w:val="0"/>
                <w:numId w:val="17"/>
              </w:numPr>
              <w:jc w:val="both"/>
              <w:rPr>
                <w:rFonts w:ascii="Verdana" w:hAnsi="Verdana" w:cs="Arial"/>
              </w:rPr>
            </w:pPr>
            <w:r w:rsidRPr="0055341A">
              <w:rPr>
                <w:rFonts w:ascii="Verdana" w:eastAsia="Calibri" w:hAnsi="Verdana" w:cs="Arial"/>
                <w:shd w:val="clear" w:color="auto" w:fill="FFFFFF"/>
              </w:rPr>
              <w:t>RODRÍGUEZ TAMAYO, Mauricio Fernando. Evaluación y rechazo de ofertas en la Ley 80 de 1993. Medellín: Librería Jurídica Sánchez, 2016. p. 190.</w:t>
            </w:r>
          </w:p>
        </w:tc>
      </w:tr>
    </w:tbl>
    <w:p w14:paraId="0B760BDE" w14:textId="77777777" w:rsidR="00F00FD4" w:rsidRDefault="00F00FD4" w:rsidP="00F00FD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AB1F361" w14:textId="77777777" w:rsidR="00F00FD4" w:rsidRDefault="00F00FD4" w:rsidP="00F00FD4">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7D29EC4" w14:textId="77777777" w:rsidR="00F00FD4" w:rsidRPr="00593A5F" w:rsidRDefault="00F00FD4" w:rsidP="00F00FD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6218677" w14:textId="7F63F16A" w:rsidR="00F00FD4" w:rsidRPr="000C14B8" w:rsidRDefault="00F00FD4" w:rsidP="00F00FD4">
      <w:pPr>
        <w:widowControl w:val="0"/>
        <w:autoSpaceDE w:val="0"/>
        <w:autoSpaceDN w:val="0"/>
        <w:spacing w:after="0" w:line="276" w:lineRule="auto"/>
        <w:jc w:val="both"/>
        <w:rPr>
          <w:rFonts w:ascii="Verdana" w:hAnsi="Verdana" w:cs="Arial"/>
          <w:color w:val="000000" w:themeColor="text1"/>
          <w:shd w:val="clear" w:color="auto" w:fill="FFFFFF"/>
          <w:lang w:val="es-ES"/>
        </w:rPr>
      </w:pPr>
      <w:r w:rsidRPr="3F2B4452">
        <w:rPr>
          <w:rFonts w:ascii="Verdana" w:eastAsia="Calibri" w:hAnsi="Verdana" w:cs="Arial"/>
          <w:color w:val="000000" w:themeColor="text1"/>
          <w:lang w:eastAsia="es-ES"/>
        </w:rPr>
        <w:t xml:space="preserve">Sobre la regla de </w:t>
      </w:r>
      <w:proofErr w:type="spellStart"/>
      <w:r w:rsidRPr="3F2B4452">
        <w:rPr>
          <w:rFonts w:ascii="Verdana" w:eastAsia="Calibri" w:hAnsi="Verdana" w:cs="Arial"/>
          <w:color w:val="000000" w:themeColor="text1"/>
          <w:lang w:eastAsia="es-ES"/>
        </w:rPr>
        <w:t>subsanabilidad</w:t>
      </w:r>
      <w:proofErr w:type="spellEnd"/>
      <w:r w:rsidRPr="3F2B4452">
        <w:rPr>
          <w:rFonts w:ascii="Verdana" w:eastAsia="Calibri" w:hAnsi="Verdana" w:cs="Arial"/>
          <w:color w:val="000000" w:themeColor="text1"/>
          <w:lang w:eastAsia="es-ES"/>
        </w:rPr>
        <w:t xml:space="preserve"> en los procesos de selección, se pronunció esta Subdirección en los conceptos CU-060 del 20 de febrero de 2020, C-282 del 22 de junio de 2021, C-285 del 20 de mayo de 2022, C-882 del 21 de diciembre de 2022, C-965 de 2023, C-447 del 19 de septiembre de 2024</w:t>
      </w:r>
      <w:r>
        <w:rPr>
          <w:rFonts w:ascii="Verdana" w:eastAsia="Aptos" w:hAnsi="Verdana" w:cs="Arial"/>
          <w:shd w:val="clear" w:color="auto" w:fill="FFFFFF"/>
          <w:lang w:val="es-ES"/>
        </w:rPr>
        <w:t xml:space="preserve"> y C</w:t>
      </w:r>
      <w:r w:rsidRPr="3F2B4452">
        <w:rPr>
          <w:rFonts w:ascii="Verdana" w:eastAsia="Calibri" w:hAnsi="Verdana" w:cs="Arial"/>
          <w:color w:val="000000" w:themeColor="text1"/>
          <w:lang w:eastAsia="es-ES"/>
        </w:rPr>
        <w:t>-1009 de 2024 y C-846 del 6 de agosto de 2025, entre otros. Así mismo, esta subdirección ha analizado la carta de presentación de la oferta, entre otros, en</w:t>
      </w:r>
      <w:r w:rsidRPr="3F2B4452">
        <w:rPr>
          <w:rFonts w:ascii="Verdana" w:eastAsia="Calibri" w:hAnsi="Verdana" w:cs="Arial"/>
          <w:lang w:val="es-ES" w:eastAsia="es-ES"/>
        </w:rPr>
        <w:t xml:space="preserve"> los conceptos C-167 del 04 de abril de 2022, C-586 del 19 de septiembre de 2022, C-654 del 10 de octubre de 2022, C-739 del 21 de noviembre de 2022 y C-874 del 26 de diciembre de 2022 y C-216 del 8 de agosto de 2023.  Estos</w:t>
      </w:r>
      <w:r w:rsidRPr="000C14B8">
        <w:rPr>
          <w:rFonts w:ascii="Verdana" w:hAnsi="Verdana"/>
        </w:rPr>
        <w:t xml:space="preserve"> y otros conceptos se encuentran disponibles para consulta en el Sistema de relatoría de la Agencia, al cual se puede acceder a través del siguiente enlace:</w:t>
      </w:r>
      <w:r w:rsidRPr="000C14B8">
        <w:rPr>
          <w:rFonts w:ascii="Verdana" w:hAnsi="Verdana" w:cs="Arial"/>
          <w:shd w:val="clear" w:color="auto" w:fill="FFFFFF"/>
          <w:lang w:val="es-ES"/>
        </w:rPr>
        <w:t xml:space="preserve"> </w:t>
      </w:r>
      <w:r w:rsidRPr="000C14B8">
        <w:rPr>
          <w:rFonts w:ascii="Verdana" w:hAnsi="Verdana" w:cs="Arial"/>
          <w:color w:val="0563C1" w:themeColor="hyperlink"/>
          <w:u w:val="single"/>
          <w:shd w:val="clear" w:color="auto" w:fill="FFFFFF"/>
          <w:lang w:val="es-ES"/>
        </w:rPr>
        <w:t>https://relatoria.colombiacompra.gov.co</w:t>
      </w:r>
      <w:r>
        <w:rPr>
          <w:rFonts w:ascii="Verdana" w:hAnsi="Verdana" w:cs="Arial"/>
          <w:color w:val="0563C1" w:themeColor="hyperlink"/>
          <w:u w:val="single"/>
          <w:shd w:val="clear" w:color="auto" w:fill="FFFFFF"/>
          <w:lang w:val="es-ES"/>
        </w:rPr>
        <w:t xml:space="preserve"> </w:t>
      </w:r>
      <w:r w:rsidRPr="000C14B8">
        <w:rPr>
          <w:rFonts w:ascii="Verdana" w:hAnsi="Verdana" w:cs="Arial"/>
          <w:color w:val="0563C1" w:themeColor="hyperlink"/>
          <w:u w:val="single"/>
          <w:shd w:val="clear" w:color="auto" w:fill="FFFFFF"/>
          <w:lang w:val="es-ES"/>
        </w:rPr>
        <w:t>/</w:t>
      </w:r>
      <w:proofErr w:type="spellStart"/>
      <w:r w:rsidRPr="000C14B8">
        <w:rPr>
          <w:rFonts w:ascii="Verdana" w:hAnsi="Verdana" w:cs="Arial"/>
          <w:color w:val="0563C1" w:themeColor="hyperlink"/>
          <w:u w:val="single"/>
          <w:shd w:val="clear" w:color="auto" w:fill="FFFFFF"/>
          <w:lang w:val="es-ES"/>
        </w:rPr>
        <w:t>busqueda</w:t>
      </w:r>
      <w:proofErr w:type="spellEnd"/>
      <w:r w:rsidRPr="000C14B8">
        <w:rPr>
          <w:rFonts w:ascii="Verdana" w:hAnsi="Verdana" w:cs="Arial"/>
          <w:color w:val="0563C1" w:themeColor="hyperlink"/>
          <w:u w:val="single"/>
          <w:shd w:val="clear" w:color="auto" w:fill="FFFFFF"/>
          <w:lang w:val="es-ES"/>
        </w:rPr>
        <w:t>/conceptos</w:t>
      </w:r>
    </w:p>
    <w:p w14:paraId="5F306516" w14:textId="77777777" w:rsidR="00F00FD4" w:rsidRPr="00505CD6" w:rsidRDefault="00F00FD4" w:rsidP="00F00FD4">
      <w:pPr>
        <w:widowControl w:val="0"/>
        <w:autoSpaceDE w:val="0"/>
        <w:autoSpaceDN w:val="0"/>
        <w:spacing w:after="0" w:line="276" w:lineRule="auto"/>
        <w:jc w:val="both"/>
        <w:rPr>
          <w:rFonts w:ascii="Verdana" w:hAnsi="Verdana" w:cs="Arial"/>
          <w:color w:val="000000" w:themeColor="text1"/>
          <w:shd w:val="clear" w:color="auto" w:fill="FFFFFF"/>
        </w:rPr>
      </w:pPr>
    </w:p>
    <w:p w14:paraId="5EA2DF5F" w14:textId="77777777" w:rsidR="00F00FD4" w:rsidRPr="00A73656" w:rsidRDefault="00F00FD4" w:rsidP="00F00FD4">
      <w:pPr>
        <w:spacing w:after="0" w:line="276" w:lineRule="auto"/>
        <w:jc w:val="both"/>
        <w:rPr>
          <w:rFonts w:ascii="Verdana" w:eastAsia="Calibri" w:hAnsi="Verdana" w:cs="Arial"/>
          <w:shd w:val="clear" w:color="auto" w:fill="FFFFFF"/>
        </w:rPr>
      </w:pPr>
      <w:r w:rsidRPr="00A73656">
        <w:rPr>
          <w:rFonts w:ascii="Verdana" w:eastAsia="Calibri" w:hAnsi="Verdana" w:cs="Arial"/>
          <w:shd w:val="clear" w:color="auto" w:fill="FFFFFF"/>
        </w:rPr>
        <w:t>Te informamos que ya se encuentra disponible la </w:t>
      </w:r>
      <w:r w:rsidRPr="00A73656">
        <w:rPr>
          <w:rFonts w:ascii="Verdana" w:eastAsia="Calibri" w:hAnsi="Verdana" w:cs="Arial"/>
          <w:b/>
          <w:bCs/>
          <w:shd w:val="clear" w:color="auto" w:fill="FFFFFF"/>
        </w:rPr>
        <w:t>Cartilla para incentivar y fortalecer el acceso a las compras y contratación pública de los pueblos y comunidades étnicas en Colombia.</w:t>
      </w:r>
      <w:r w:rsidRPr="00A73656">
        <w:rPr>
          <w:rFonts w:ascii="Verdana" w:eastAsia="Calibri" w:hAnsi="Verdana" w:cs="Arial"/>
          <w:shd w:val="clear" w:color="auto" w:fill="FFFFFF"/>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4" w:tgtFrame="_blank" w:tooltip="Dirección URL original: https://www.colombiacompra.gov.co/manuales-guias-y-pliegos-tipo/manuales-y-guias/cartilla-para-incentivar-y-fortalecer-el-acceso-las. Haga clic o pulse si confía en este vínculo." w:history="1">
        <w:r w:rsidRPr="00A73656">
          <w:rPr>
            <w:rFonts w:ascii="Verdana" w:eastAsia="Calibri" w:hAnsi="Verdana" w:cs="Arial"/>
            <w:color w:val="0563C1" w:themeColor="hyperlink"/>
            <w:u w:val="single"/>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29602C4F" w14:textId="77777777" w:rsidR="00F00FD4" w:rsidRDefault="00F00FD4" w:rsidP="00F00FD4">
      <w:pPr>
        <w:widowControl w:val="0"/>
        <w:autoSpaceDE w:val="0"/>
        <w:autoSpaceDN w:val="0"/>
        <w:spacing w:after="0" w:line="276" w:lineRule="auto"/>
        <w:jc w:val="both"/>
      </w:pPr>
    </w:p>
    <w:p w14:paraId="6990A2A5" w14:textId="77777777" w:rsidR="00F00FD4" w:rsidRDefault="00F00FD4" w:rsidP="00F00FD4">
      <w:pPr>
        <w:widowControl w:val="0"/>
        <w:autoSpaceDE w:val="0"/>
        <w:autoSpaceDN w:val="0"/>
        <w:spacing w:after="0" w:line="276" w:lineRule="auto"/>
        <w:jc w:val="both"/>
      </w:pPr>
    </w:p>
    <w:p w14:paraId="6CBC8CE0" w14:textId="77777777" w:rsidR="00F00FD4" w:rsidRPr="00505CD6" w:rsidRDefault="00F00FD4" w:rsidP="00F00FD4">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18754DA9" w14:textId="77777777" w:rsidR="00F00FD4" w:rsidRPr="00505CD6" w:rsidRDefault="00F00FD4" w:rsidP="00F00FD4">
      <w:pPr>
        <w:widowControl w:val="0"/>
        <w:autoSpaceDE w:val="0"/>
        <w:autoSpaceDN w:val="0"/>
        <w:spacing w:after="0" w:line="276" w:lineRule="auto"/>
        <w:jc w:val="both"/>
        <w:rPr>
          <w:rFonts w:ascii="Verdana" w:hAnsi="Verdana" w:cs="Arial"/>
        </w:rPr>
      </w:pPr>
    </w:p>
    <w:p w14:paraId="67310F9A" w14:textId="77777777" w:rsidR="00F00FD4" w:rsidRPr="006D034C" w:rsidRDefault="00F00FD4" w:rsidP="00F00FD4">
      <w:pPr>
        <w:spacing w:after="0" w:line="276" w:lineRule="auto"/>
        <w:rPr>
          <w:rFonts w:ascii="Verdana" w:hAnsi="Verdana" w:cs="Arial"/>
          <w:lang w:eastAsia="es-CO"/>
        </w:rPr>
      </w:pPr>
      <w:r w:rsidRPr="006D034C">
        <w:rPr>
          <w:rFonts w:ascii="Verdana" w:eastAsia="Times New Roman" w:hAnsi="Verdana" w:cs="Arial"/>
          <w:lang w:eastAsia="es-CO"/>
        </w:rPr>
        <w:t>Atentamente,</w:t>
      </w:r>
      <w:r w:rsidRPr="006D034C">
        <w:rPr>
          <w:rFonts w:ascii="Verdana" w:hAnsi="Verdana" w:cs="Arial"/>
          <w:lang w:eastAsia="es-CO"/>
        </w:rPr>
        <w:t xml:space="preserve"> </w:t>
      </w:r>
    </w:p>
    <w:p w14:paraId="60308486" w14:textId="7FB3618E" w:rsidR="00F00FD4" w:rsidRDefault="0085361A" w:rsidP="00F00FD4">
      <w:pPr>
        <w:spacing w:after="0"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1FB28ED5" wp14:editId="201E39C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4058F301" w14:textId="77777777" w:rsidR="00F00FD4" w:rsidRPr="007A0E81" w:rsidRDefault="00F00FD4" w:rsidP="00F00FD4">
      <w:pPr>
        <w:spacing w:after="0" w:line="276" w:lineRule="auto"/>
        <w:jc w:val="center"/>
        <w:rPr>
          <w:rFonts w:ascii="Verdana" w:hAnsi="Verdana" w:cs="Arial"/>
          <w:color w:val="000000"/>
          <w:lang w:val="es-ES_tradnl" w:eastAsia="es-CO"/>
        </w:rPr>
      </w:pPr>
    </w:p>
    <w:p w14:paraId="2F6F3D8A" w14:textId="77777777" w:rsidR="00F00FD4" w:rsidRDefault="00F00FD4" w:rsidP="00F00FD4">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00FD4" w:rsidRPr="007A0E81" w14:paraId="2946D58D" w14:textId="77777777" w:rsidTr="00FE6C49">
        <w:trPr>
          <w:trHeight w:val="315"/>
        </w:trPr>
        <w:tc>
          <w:tcPr>
            <w:tcW w:w="893" w:type="dxa"/>
            <w:vAlign w:val="center"/>
            <w:hideMark/>
          </w:tcPr>
          <w:p w14:paraId="5998983F" w14:textId="77777777" w:rsidR="00F00FD4" w:rsidRPr="007A0E81" w:rsidRDefault="00F00FD4" w:rsidP="00FE6C49">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E157CCE" w14:textId="77777777" w:rsidR="00F00FD4" w:rsidRPr="007A0E81" w:rsidRDefault="00F00FD4" w:rsidP="00FE6C49">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María Joshira Nieto Manzano</w:t>
            </w:r>
          </w:p>
          <w:p w14:paraId="2961D576" w14:textId="77777777" w:rsidR="00F00FD4" w:rsidRPr="007A0E81" w:rsidRDefault="00F00FD4" w:rsidP="00FE6C49">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F00FD4" w:rsidRPr="007A0E81" w14:paraId="6D5EA034" w14:textId="77777777" w:rsidTr="00FE6C49">
        <w:trPr>
          <w:trHeight w:val="330"/>
        </w:trPr>
        <w:tc>
          <w:tcPr>
            <w:tcW w:w="893" w:type="dxa"/>
            <w:vAlign w:val="center"/>
            <w:hideMark/>
          </w:tcPr>
          <w:p w14:paraId="1D7B5938" w14:textId="77777777" w:rsidR="00F00FD4" w:rsidRPr="007A0E81" w:rsidRDefault="00F00FD4" w:rsidP="00FE6C49">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01A6867" w14:textId="77777777" w:rsidR="00F00FD4" w:rsidRPr="007A0E81" w:rsidRDefault="00F00FD4" w:rsidP="00FE6C49">
            <w:pPr>
              <w:spacing w:line="276" w:lineRule="auto"/>
              <w:rPr>
                <w:rFonts w:ascii="Verdana" w:eastAsia="Times New Roman" w:hAnsi="Verdana" w:cs="Arial"/>
                <w:color w:val="000000"/>
                <w:sz w:val="16"/>
                <w:szCs w:val="16"/>
              </w:rPr>
            </w:pPr>
            <w:r w:rsidRPr="4CB833AE">
              <w:rPr>
                <w:rFonts w:ascii="Verdana" w:eastAsia="Times New Roman" w:hAnsi="Verdana" w:cs="Arial"/>
                <w:color w:val="000000" w:themeColor="text1"/>
                <w:sz w:val="16"/>
                <w:szCs w:val="16"/>
              </w:rPr>
              <w:t>Juan Carlos González Vásquez</w:t>
            </w:r>
          </w:p>
          <w:p w14:paraId="3023ED98" w14:textId="77777777" w:rsidR="00F00FD4" w:rsidRPr="007A0E81" w:rsidRDefault="00F00FD4" w:rsidP="00FE6C49">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F00FD4" w:rsidRPr="007A0E81" w14:paraId="386A6988" w14:textId="77777777" w:rsidTr="00FE6C49">
        <w:trPr>
          <w:trHeight w:val="300"/>
        </w:trPr>
        <w:tc>
          <w:tcPr>
            <w:tcW w:w="893" w:type="dxa"/>
            <w:vAlign w:val="center"/>
          </w:tcPr>
          <w:p w14:paraId="6234EFBD" w14:textId="77777777" w:rsidR="00F00FD4" w:rsidRPr="007A0E81" w:rsidRDefault="00F00FD4" w:rsidP="00FE6C49">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3DE0173" w14:textId="77777777" w:rsidR="00F00FD4" w:rsidRPr="007A0E81" w:rsidRDefault="00F00FD4" w:rsidP="00FE6C49">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Carolina Quintero </w:t>
            </w:r>
            <w:proofErr w:type="spellStart"/>
            <w:r w:rsidRPr="007A0E81">
              <w:rPr>
                <w:rFonts w:ascii="Verdana" w:eastAsia="Times New Roman" w:hAnsi="Verdana" w:cs="Arial"/>
                <w:color w:val="000000"/>
                <w:sz w:val="16"/>
                <w:szCs w:val="16"/>
              </w:rPr>
              <w:t>Gacharná</w:t>
            </w:r>
            <w:proofErr w:type="spellEnd"/>
          </w:p>
          <w:p w14:paraId="16EA5FD0" w14:textId="77777777" w:rsidR="00F00FD4" w:rsidRPr="007A0E81" w:rsidRDefault="00F00FD4" w:rsidP="00FE6C49">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655F5E5F" w14:textId="77777777" w:rsidR="00F00FD4" w:rsidRPr="0035417C" w:rsidRDefault="00F00FD4" w:rsidP="00F00FD4">
      <w:pPr>
        <w:spacing w:after="0"/>
        <w:rPr>
          <w:rFonts w:ascii="Verdana" w:hAnsi="Verdana"/>
          <w:lang w:val="es-ES"/>
        </w:rPr>
      </w:pPr>
    </w:p>
    <w:p w14:paraId="16B445CB" w14:textId="77777777" w:rsidR="00F00FD4" w:rsidRPr="0044528D" w:rsidRDefault="00F00FD4" w:rsidP="00F00FD4">
      <w:pPr>
        <w:spacing w:after="0"/>
        <w:jc w:val="both"/>
        <w:rPr>
          <w:rStyle w:val="Hipervnculo"/>
          <w:rFonts w:ascii="Verdana" w:hAnsi="Verdana"/>
        </w:rPr>
      </w:pPr>
    </w:p>
    <w:p w14:paraId="1CE64A13" w14:textId="77777777" w:rsidR="00F00FD4" w:rsidRPr="0044528D" w:rsidRDefault="00F00FD4" w:rsidP="00F00FD4">
      <w:pPr>
        <w:spacing w:after="0"/>
        <w:jc w:val="both"/>
        <w:rPr>
          <w:rStyle w:val="Hipervnculo"/>
          <w:rFonts w:ascii="Verdana" w:hAnsi="Verdana"/>
        </w:rPr>
      </w:pPr>
    </w:p>
    <w:p w14:paraId="49B47FC3" w14:textId="77777777" w:rsidR="00F00FD4" w:rsidRPr="0044528D" w:rsidRDefault="00F00FD4" w:rsidP="00F00FD4">
      <w:pPr>
        <w:spacing w:after="0"/>
        <w:jc w:val="both"/>
        <w:rPr>
          <w:rStyle w:val="Hipervnculo"/>
          <w:rFonts w:ascii="Verdana" w:hAnsi="Verdana"/>
        </w:rPr>
      </w:pPr>
    </w:p>
    <w:p w14:paraId="2C9632E8" w14:textId="77777777" w:rsidR="00F00FD4" w:rsidRPr="0044528D" w:rsidRDefault="00F00FD4" w:rsidP="00F00FD4">
      <w:pPr>
        <w:spacing w:after="0" w:line="240" w:lineRule="auto"/>
        <w:textAlignment w:val="baseline"/>
        <w:rPr>
          <w:rFonts w:ascii="Verdana" w:eastAsia="Times New Roman" w:hAnsi="Verdana" w:cs="Segoe UI"/>
          <w:b/>
          <w:bCs/>
          <w:color w:val="46589C"/>
          <w:lang w:val="es-ES" w:eastAsia="es-CO"/>
        </w:rPr>
      </w:pPr>
    </w:p>
    <w:p w14:paraId="192BCAAC" w14:textId="77777777" w:rsidR="00F00FD4" w:rsidRDefault="00F00FD4" w:rsidP="00F00FD4">
      <w:pPr>
        <w:spacing w:line="276" w:lineRule="auto"/>
        <w:jc w:val="center"/>
        <w:rPr>
          <w:rFonts w:ascii="Verdana" w:hAnsi="Verdana"/>
          <w:noProof/>
        </w:rPr>
      </w:pPr>
    </w:p>
    <w:p w14:paraId="400ADA89" w14:textId="77777777" w:rsidR="00F00FD4" w:rsidRPr="00FA58F9" w:rsidRDefault="00F00FD4" w:rsidP="00F00FD4">
      <w:pPr>
        <w:spacing w:line="276" w:lineRule="auto"/>
        <w:jc w:val="center"/>
        <w:rPr>
          <w:rFonts w:ascii="Verdana" w:hAnsi="Verdana"/>
          <w:noProof/>
        </w:rPr>
      </w:pPr>
    </w:p>
    <w:bookmarkEnd w:id="2"/>
    <w:bookmarkEnd w:id="3"/>
    <w:p w14:paraId="7B6EA07E" w14:textId="77777777" w:rsidR="00F00FD4" w:rsidRPr="0044528D" w:rsidRDefault="00F00FD4" w:rsidP="00F00FD4">
      <w:pPr>
        <w:spacing w:after="0"/>
        <w:rPr>
          <w:rFonts w:ascii="Verdana" w:hAnsi="Verdana"/>
        </w:rPr>
      </w:pPr>
    </w:p>
    <w:p w14:paraId="5E100319" w14:textId="77777777" w:rsidR="00F00FD4" w:rsidRPr="00EA6F8B" w:rsidRDefault="00F00FD4" w:rsidP="00F00FD4"/>
    <w:bookmarkEnd w:id="4"/>
    <w:p w14:paraId="2753C3B4" w14:textId="77777777" w:rsidR="00F00FD4" w:rsidRPr="00DE435A" w:rsidRDefault="00F00FD4" w:rsidP="00F00FD4">
      <w:pPr>
        <w:rPr>
          <w:lang w:val="es-ES"/>
        </w:rPr>
      </w:pPr>
    </w:p>
    <w:bookmarkEnd w:id="0"/>
    <w:p w14:paraId="114031B5" w14:textId="75AB2828" w:rsidR="002707A2" w:rsidRPr="0044528D" w:rsidRDefault="002707A2" w:rsidP="00E245AB">
      <w:pPr>
        <w:spacing w:after="0"/>
        <w:jc w:val="both"/>
        <w:rPr>
          <w:rStyle w:val="Hipervnculo"/>
          <w:rFonts w:ascii="Verdana" w:hAnsi="Verdana"/>
        </w:rPr>
      </w:pPr>
    </w:p>
    <w:sectPr w:rsidR="002707A2"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CA55E" w14:textId="77777777" w:rsidR="0007478D" w:rsidRDefault="0007478D" w:rsidP="004A1847">
      <w:pPr>
        <w:spacing w:after="0" w:line="240" w:lineRule="auto"/>
      </w:pPr>
      <w:r>
        <w:separator/>
      </w:r>
    </w:p>
  </w:endnote>
  <w:endnote w:type="continuationSeparator" w:id="0">
    <w:p w14:paraId="258373B2" w14:textId="77777777" w:rsidR="0007478D" w:rsidRDefault="0007478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mbria"/>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B6CC8F" w14:textId="77777777" w:rsidR="0007478D" w:rsidRDefault="0007478D" w:rsidP="004A1847">
      <w:pPr>
        <w:spacing w:after="0" w:line="240" w:lineRule="auto"/>
      </w:pPr>
      <w:r>
        <w:separator/>
      </w:r>
    </w:p>
  </w:footnote>
  <w:footnote w:type="continuationSeparator" w:id="0">
    <w:p w14:paraId="03207287" w14:textId="77777777" w:rsidR="0007478D" w:rsidRDefault="0007478D" w:rsidP="004A1847">
      <w:pPr>
        <w:spacing w:after="0" w:line="240" w:lineRule="auto"/>
      </w:pPr>
      <w:r>
        <w:continuationSeparator/>
      </w:r>
    </w:p>
  </w:footnote>
  <w:footnote w:id="1">
    <w:p w14:paraId="1FDF0FCA" w14:textId="77777777" w:rsidR="00F00FD4" w:rsidRPr="00DC68C5" w:rsidRDefault="00F00FD4" w:rsidP="00F00FD4">
      <w:pPr>
        <w:pStyle w:val="Textonotapie"/>
        <w:ind w:firstLine="709"/>
        <w:jc w:val="both"/>
        <w:rPr>
          <w:rFonts w:ascii="Verdana" w:hAnsi="Verdana" w:cs="Arial"/>
          <w:color w:val="000000"/>
          <w:sz w:val="16"/>
          <w:szCs w:val="16"/>
        </w:rPr>
      </w:pPr>
      <w:r w:rsidRPr="00DC68C5">
        <w:rPr>
          <w:rStyle w:val="Refdenotaalpie"/>
          <w:rFonts w:ascii="Verdana" w:hAnsi="Verdana" w:cs="Arial"/>
          <w:color w:val="000000"/>
          <w:sz w:val="16"/>
          <w:szCs w:val="16"/>
        </w:rPr>
        <w:footnoteRef/>
      </w:r>
      <w:r w:rsidRPr="00DC68C5">
        <w:rPr>
          <w:rStyle w:val="Refdenotaalpie"/>
          <w:rFonts w:ascii="Verdana" w:hAnsi="Verdana" w:cs="Arial"/>
          <w:color w:val="000000"/>
          <w:sz w:val="16"/>
          <w:szCs w:val="16"/>
        </w:rPr>
        <w:t xml:space="preserve"> </w:t>
      </w:r>
      <w:r w:rsidRPr="00DC68C5">
        <w:rPr>
          <w:rFonts w:ascii="Verdana"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4B6D8329" w14:textId="77777777" w:rsidR="00F00FD4" w:rsidRPr="00DC68C5" w:rsidRDefault="00F00FD4" w:rsidP="00F00FD4">
      <w:pPr>
        <w:pStyle w:val="Textonotapie"/>
        <w:ind w:firstLine="709"/>
        <w:jc w:val="both"/>
        <w:rPr>
          <w:rFonts w:ascii="Verdana" w:hAnsi="Verdana" w:cs="Arial"/>
          <w:color w:val="000000"/>
          <w:sz w:val="16"/>
          <w:szCs w:val="16"/>
        </w:rPr>
      </w:pPr>
    </w:p>
  </w:footnote>
  <w:footnote w:id="2">
    <w:p w14:paraId="27870D9A" w14:textId="77777777" w:rsidR="00FD361C" w:rsidRPr="00D16A5E" w:rsidRDefault="00FD361C" w:rsidP="3F2B4452">
      <w:pPr>
        <w:pStyle w:val="NormalWeb"/>
        <w:shd w:val="clear" w:color="auto" w:fill="FFFFFF" w:themeFill="background1"/>
        <w:spacing w:after="0"/>
        <w:ind w:firstLine="708"/>
        <w:jc w:val="both"/>
        <w:rPr>
          <w:rFonts w:ascii="Verdana" w:hAnsi="Verdana" w:cs="Arial"/>
          <w:sz w:val="16"/>
          <w:szCs w:val="16"/>
          <w:lang w:val="es-ES"/>
        </w:rPr>
      </w:pPr>
      <w:r w:rsidRPr="00D16A5E">
        <w:rPr>
          <w:rStyle w:val="Refdenotaalpie"/>
          <w:rFonts w:ascii="Verdana" w:eastAsia="Arial" w:hAnsi="Verdana" w:cs="Arial"/>
          <w:sz w:val="16"/>
          <w:szCs w:val="16"/>
        </w:rPr>
        <w:footnoteRef/>
      </w:r>
      <w:r w:rsidR="2A1CC0BC" w:rsidRPr="00D16A5E">
        <w:rPr>
          <w:rFonts w:ascii="Verdana" w:hAnsi="Verdana" w:cs="Arial"/>
          <w:sz w:val="16"/>
          <w:szCs w:val="16"/>
        </w:rPr>
        <w:t xml:space="preserve"> «</w:t>
      </w:r>
      <w:r w:rsidR="2A1CC0BC" w:rsidRPr="00D16A5E">
        <w:rPr>
          <w:rFonts w:ascii="Verdana" w:hAnsi="Verdana" w:cs="Arial"/>
          <w:sz w:val="16"/>
          <w:szCs w:val="16"/>
          <w:shd w:val="clear" w:color="auto" w:fill="FFFFFF"/>
        </w:rPr>
        <w:t>2.2.1.2.1.5.2</w:t>
      </w:r>
      <w:r w:rsidR="2A1CC0BC" w:rsidRPr="00D16A5E">
        <w:rPr>
          <w:rFonts w:ascii="Verdana" w:hAnsi="Verdana" w:cs="Arial"/>
          <w:sz w:val="16"/>
          <w:szCs w:val="16"/>
          <w:lang w:val="es-ES"/>
        </w:rPr>
        <w:t>5. Procedimiento para la contratación de mínima cuantía. Las siguientes reglas son aplicables a la contratación cuyo valor no excede del diez por ciento (10%) de la menor cuantía de la Entidad Estatal, independientemente de su objeto:</w:t>
      </w:r>
    </w:p>
    <w:p w14:paraId="0321A118" w14:textId="77777777" w:rsidR="00FD361C" w:rsidRPr="00D16A5E" w:rsidRDefault="3F2B4452" w:rsidP="3F2B4452">
      <w:pPr>
        <w:pStyle w:val="NormalWeb"/>
        <w:shd w:val="clear" w:color="auto" w:fill="FFFFFF" w:themeFill="background1"/>
        <w:spacing w:after="0"/>
        <w:ind w:firstLine="708"/>
        <w:jc w:val="both"/>
        <w:rPr>
          <w:rFonts w:ascii="Verdana" w:hAnsi="Verdana" w:cs="Arial"/>
          <w:sz w:val="16"/>
          <w:szCs w:val="16"/>
          <w:lang w:val="es-ES"/>
        </w:rPr>
      </w:pPr>
      <w:r w:rsidRPr="3F2B4452">
        <w:rPr>
          <w:rFonts w:ascii="Verdana" w:hAnsi="Verdana" w:cs="Arial"/>
          <w:sz w:val="16"/>
          <w:szCs w:val="16"/>
          <w:lang w:val="es-ES"/>
        </w:rPr>
        <w:t>[…]</w:t>
      </w:r>
    </w:p>
    <w:p w14:paraId="3C2DC885" w14:textId="77777777" w:rsidR="00FD361C" w:rsidRPr="00D16A5E" w:rsidRDefault="3F2B4452" w:rsidP="3F2B4452">
      <w:pPr>
        <w:pStyle w:val="NormalWeb"/>
        <w:shd w:val="clear" w:color="auto" w:fill="FFFFFF" w:themeFill="background1"/>
        <w:spacing w:after="0"/>
        <w:ind w:firstLine="708"/>
        <w:jc w:val="both"/>
        <w:rPr>
          <w:rFonts w:ascii="Verdana" w:hAnsi="Verdana" w:cs="Arial"/>
          <w:sz w:val="16"/>
          <w:szCs w:val="16"/>
          <w:lang w:val="es-ES"/>
        </w:rPr>
      </w:pPr>
      <w:r w:rsidRPr="3F2B4452">
        <w:rPr>
          <w:rFonts w:ascii="Verdana" w:hAnsi="Verdana" w:cs="Arial"/>
          <w:sz w:val="16"/>
          <w:szCs w:val="16"/>
        </w:rPr>
        <w:t>»</w:t>
      </w:r>
      <w:r w:rsidRPr="3F2B4452">
        <w:rPr>
          <w:rFonts w:ascii="Verdana" w:hAnsi="Verdana" w:cs="Arial"/>
          <w:sz w:val="16"/>
          <w:szCs w:val="16"/>
          <w:lang w:val="es-ES"/>
        </w:rPr>
        <w:t>5. La Entidad Estatal debe revisar las ofertas económicas y verificar que la de menor precio cumple con las condiciones de la invitación. Si esta no cumple, la Entidad Estatal debe verificar el cumplimento de los requisitos de la invitación de la oferta con el segundo mejor precio, y así sucesivamente. Lo anterior sin perjuicio de la oportunidad que deberán otorgar las Entidades Estatales para subsanar las ofertas, en los términos del artículo </w:t>
      </w:r>
      <w:hyperlink r:id="rId1">
        <w:r w:rsidRPr="3F2B4452">
          <w:rPr>
            <w:rStyle w:val="Hipervnculo"/>
            <w:rFonts w:ascii="Verdana" w:hAnsi="Verdana" w:cs="Arial"/>
            <w:sz w:val="16"/>
            <w:szCs w:val="16"/>
            <w:lang w:val="es-ES"/>
          </w:rPr>
          <w:t>5 </w:t>
        </w:r>
      </w:hyperlink>
      <w:r w:rsidRPr="3F2B4452">
        <w:rPr>
          <w:rFonts w:ascii="Verdana" w:hAnsi="Verdana" w:cs="Arial"/>
          <w:sz w:val="16"/>
          <w:szCs w:val="16"/>
          <w:lang w:val="es-ES"/>
        </w:rPr>
        <w:t>de la Ley 1150 de 2007, para lo cual establecerán un término preclusivo en la invitación para recibir los documentos subsanables, frente a cada uno de los requerimientos. En caso de que no se establezca este término, los proponentes podrán subsanar sus ofertas hasta antes de que finalice el traslado del informe de evaluación</w:t>
      </w:r>
      <w:r w:rsidRPr="3F2B4452">
        <w:rPr>
          <w:rFonts w:ascii="Verdana" w:hAnsi="Verdana" w:cs="Arial"/>
          <w:sz w:val="16"/>
          <w:szCs w:val="16"/>
        </w:rPr>
        <w:t>»</w:t>
      </w:r>
      <w:r w:rsidRPr="3F2B4452">
        <w:rPr>
          <w:rFonts w:ascii="Verdana" w:hAnsi="Verdana" w:cs="Arial"/>
          <w:sz w:val="16"/>
          <w:szCs w:val="16"/>
          <w:lang w:val="es-ES"/>
        </w:rPr>
        <w:t>.</w:t>
      </w:r>
    </w:p>
  </w:footnote>
  <w:footnote w:id="3">
    <w:p w14:paraId="434DA060" w14:textId="77777777" w:rsidR="00F00FD4" w:rsidRPr="00DC68C5" w:rsidRDefault="00F00FD4" w:rsidP="00F00FD4">
      <w:pPr>
        <w:pStyle w:val="Textonotapie"/>
        <w:ind w:firstLine="709"/>
        <w:jc w:val="both"/>
        <w:rPr>
          <w:rFonts w:ascii="Verdana" w:hAnsi="Verdana" w:cs="Arial"/>
          <w:color w:val="000000"/>
          <w:sz w:val="16"/>
          <w:szCs w:val="16"/>
        </w:rPr>
      </w:pPr>
      <w:r w:rsidRPr="00DC68C5">
        <w:rPr>
          <w:rStyle w:val="Refdenotaalpie"/>
          <w:rFonts w:ascii="Verdana" w:hAnsi="Verdana" w:cs="Arial"/>
          <w:color w:val="000000"/>
          <w:sz w:val="16"/>
          <w:szCs w:val="16"/>
        </w:rPr>
        <w:footnoteRef/>
      </w:r>
      <w:r w:rsidRPr="00DC68C5">
        <w:rPr>
          <w:rFonts w:ascii="Verdana" w:hAnsi="Verdana" w:cs="Arial"/>
          <w:color w:val="000000"/>
          <w:sz w:val="16"/>
          <w:szCs w:val="16"/>
        </w:rPr>
        <w:t xml:space="preserve"> Sin embargo, debe tenerse en cuenta que la última norma en cita -Decreto 2474 de 2008, aparte subrayado-, establece un límite a la </w:t>
      </w:r>
      <w:r w:rsidRPr="00DC68C5">
        <w:rPr>
          <w:rFonts w:ascii="Verdana" w:hAnsi="Verdana" w:cs="Arial"/>
          <w:color w:val="000000"/>
          <w:sz w:val="16"/>
          <w:szCs w:val="16"/>
        </w:rPr>
        <w:t>subsanabilidad, puesto que en cualquier caso debe referirse o recaer sobre circunstancias ocurridas antes del cierre del respectivo proceso, esto es, del vencimiento del plazo para presentar ofertas.</w:t>
      </w:r>
    </w:p>
    <w:p w14:paraId="140E4C9C" w14:textId="77777777" w:rsidR="00F00FD4" w:rsidRPr="00DC68C5" w:rsidRDefault="00F00FD4" w:rsidP="00F00FD4">
      <w:pPr>
        <w:pStyle w:val="Textonotapie"/>
        <w:ind w:firstLine="709"/>
        <w:jc w:val="both"/>
        <w:rPr>
          <w:rFonts w:ascii="Verdana" w:hAnsi="Verdana" w:cs="Arial"/>
          <w:color w:val="000000"/>
          <w:sz w:val="16"/>
          <w:szCs w:val="16"/>
        </w:rPr>
      </w:pPr>
      <w:r w:rsidRPr="00DC68C5">
        <w:rPr>
          <w:rFonts w:ascii="Verdana" w:hAnsi="Verdana" w:cs="Arial"/>
          <w:color w:val="000000"/>
          <w:sz w:val="16"/>
          <w:szCs w:val="16"/>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039DA5F6" w14:textId="77777777" w:rsidR="00F00FD4" w:rsidRPr="00DC68C5" w:rsidRDefault="00F00FD4" w:rsidP="00F00FD4">
      <w:pPr>
        <w:pStyle w:val="Textonotapie"/>
        <w:ind w:firstLine="709"/>
        <w:jc w:val="both"/>
        <w:rPr>
          <w:rFonts w:ascii="Verdana" w:hAnsi="Verdana" w:cs="Arial"/>
          <w:color w:val="000000"/>
          <w:sz w:val="16"/>
          <w:szCs w:val="16"/>
        </w:rPr>
      </w:pPr>
    </w:p>
  </w:footnote>
  <w:footnote w:id="4">
    <w:p w14:paraId="51F48510" w14:textId="77777777" w:rsidR="00F00FD4" w:rsidRPr="00DC68C5" w:rsidRDefault="00F00FD4" w:rsidP="00F00FD4">
      <w:pPr>
        <w:pStyle w:val="Textonotapie"/>
        <w:ind w:firstLine="709"/>
        <w:jc w:val="both"/>
        <w:rPr>
          <w:rFonts w:ascii="Verdana" w:hAnsi="Verdana" w:cs="Arial"/>
          <w:color w:val="000000"/>
          <w:sz w:val="16"/>
          <w:szCs w:val="16"/>
        </w:rPr>
      </w:pPr>
      <w:r w:rsidRPr="00DC68C5">
        <w:rPr>
          <w:rStyle w:val="Refdenotaalpie"/>
          <w:rFonts w:ascii="Verdana" w:hAnsi="Verdana" w:cs="Arial"/>
          <w:sz w:val="16"/>
          <w:szCs w:val="16"/>
        </w:rPr>
        <w:footnoteRef/>
      </w:r>
      <w:r w:rsidRPr="00DC68C5">
        <w:rPr>
          <w:rFonts w:ascii="Verdana" w:hAnsi="Verdana" w:cs="Arial"/>
          <w:sz w:val="16"/>
          <w:szCs w:val="16"/>
        </w:rPr>
        <w:t xml:space="preserve"> </w:t>
      </w:r>
      <w:r w:rsidRPr="00DC68C5">
        <w:rPr>
          <w:rFonts w:ascii="Verdana" w:hAnsi="Verdana" w:cs="Arial"/>
          <w:color w:val="000000"/>
          <w:sz w:val="16"/>
          <w:szCs w:val="16"/>
        </w:rPr>
        <w:t xml:space="preserve">En armonía con lo anterior, actualmente la Circular Externa Única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2CA1A795" w14:textId="77777777" w:rsidR="00F00FD4" w:rsidRPr="00DC68C5" w:rsidRDefault="00F00FD4" w:rsidP="00F00FD4">
      <w:pPr>
        <w:pStyle w:val="Textonotapie"/>
        <w:ind w:firstLine="709"/>
        <w:jc w:val="both"/>
        <w:rPr>
          <w:rFonts w:ascii="Verdana" w:hAnsi="Verdana" w:cs="Arial"/>
          <w:color w:val="000000"/>
          <w:sz w:val="16"/>
          <w:szCs w:val="16"/>
        </w:rPr>
      </w:pPr>
      <w:r w:rsidRPr="00DC68C5">
        <w:rPr>
          <w:rFonts w:ascii="Verdana" w:hAnsi="Verdana" w:cs="Arial"/>
          <w:color w:val="000000"/>
          <w:sz w:val="16"/>
          <w:szCs w:val="16"/>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w:t>
      </w:r>
      <w:r w:rsidRPr="00DC68C5">
        <w:rPr>
          <w:rFonts w:ascii="Verdana" w:hAnsi="Verdana" w:cs="Arial"/>
          <w:color w:val="000000"/>
          <w:sz w:val="16"/>
          <w:szCs w:val="16"/>
        </w:rPr>
        <w:t xml:space="preserve">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2" w:history="1">
        <w:r w:rsidRPr="00DC68C5">
          <w:rPr>
            <w:rStyle w:val="Hipervnculo"/>
            <w:rFonts w:ascii="Verdana" w:hAnsi="Verdana" w:cs="Arial"/>
            <w:sz w:val="16"/>
            <w:szCs w:val="16"/>
          </w:rPr>
          <w:t>https://www.colombiacompra.gov.co/circulares?page=2</w:t>
        </w:r>
      </w:hyperlink>
      <w:r w:rsidRPr="00DC68C5">
        <w:rPr>
          <w:rStyle w:val="Hipervnculo"/>
          <w:rFonts w:ascii="Verdana" w:hAnsi="Verdana" w:cs="Arial"/>
          <w:color w:val="000000"/>
          <w:sz w:val="16"/>
          <w:szCs w:val="16"/>
        </w:rPr>
        <w:t xml:space="preserve"> </w:t>
      </w:r>
    </w:p>
  </w:footnote>
  <w:footnote w:id="5">
    <w:p w14:paraId="4424F7F0" w14:textId="77777777" w:rsidR="00193822" w:rsidRPr="00DC68C5" w:rsidRDefault="00193822" w:rsidP="00193822">
      <w:pPr>
        <w:pStyle w:val="Textonotapie"/>
        <w:ind w:firstLine="708"/>
        <w:jc w:val="both"/>
        <w:rPr>
          <w:rFonts w:ascii="Verdana" w:hAnsi="Verdana" w:cs="Arial"/>
          <w:color w:val="000000"/>
          <w:sz w:val="16"/>
          <w:szCs w:val="16"/>
        </w:rPr>
      </w:pPr>
      <w:r w:rsidRPr="00DC68C5">
        <w:rPr>
          <w:rStyle w:val="Refdenotaalpie"/>
          <w:rFonts w:ascii="Verdana" w:hAnsi="Verdana" w:cs="Arial"/>
          <w:color w:val="000000"/>
          <w:sz w:val="16"/>
          <w:szCs w:val="16"/>
        </w:rPr>
        <w:footnoteRef/>
      </w:r>
      <w:r w:rsidR="2A1CC0BC" w:rsidRPr="00DC68C5">
        <w:rPr>
          <w:rFonts w:ascii="Verdana" w:hAnsi="Verdana" w:cs="Arial"/>
          <w:color w:val="000000"/>
          <w:sz w:val="16"/>
          <w:szCs w:val="16"/>
        </w:rPr>
        <w:t xml:space="preserve"> CONSEJO DE ESTADO. Sala de Consulta y Servicio Civil. Concepto del 20 de mayo de 2010. Expediente: 1992. Consejero Ponente: Enrique José Arboleda Perdomo.</w:t>
      </w:r>
    </w:p>
    <w:p w14:paraId="59489A30" w14:textId="77777777" w:rsidR="00193822" w:rsidRPr="00DC68C5" w:rsidRDefault="00193822" w:rsidP="00193822">
      <w:pPr>
        <w:pStyle w:val="Textonotapie"/>
        <w:ind w:firstLine="708"/>
        <w:jc w:val="both"/>
        <w:rPr>
          <w:rFonts w:ascii="Verdana" w:hAnsi="Verdana" w:cs="Arial"/>
          <w:color w:val="000000"/>
          <w:sz w:val="16"/>
          <w:szCs w:val="16"/>
        </w:rPr>
      </w:pPr>
    </w:p>
  </w:footnote>
  <w:footnote w:id="6">
    <w:p w14:paraId="17E77D0F" w14:textId="77777777" w:rsidR="00F00FD4" w:rsidRPr="00DC68C5" w:rsidRDefault="00F00FD4" w:rsidP="00F00FD4">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DC68C5">
        <w:rPr>
          <w:rFonts w:ascii="Verdana" w:hAnsi="Verdana" w:cs="Arial"/>
          <w:color w:val="000000" w:themeColor="text1"/>
          <w:sz w:val="16"/>
          <w:szCs w:val="16"/>
          <w:vertAlign w:val="superscript"/>
        </w:rPr>
        <w:footnoteRef/>
      </w:r>
      <w:r w:rsidRPr="00DC68C5">
        <w:rPr>
          <w:rFonts w:ascii="Verdana" w:eastAsia="Arial" w:hAnsi="Verdana" w:cs="Arial"/>
          <w:color w:val="000000" w:themeColor="text1"/>
          <w:sz w:val="16"/>
          <w:szCs w:val="16"/>
        </w:rPr>
        <w:t xml:space="preserve">  RODRÍGUEZ TAMAYO, Mauricio Fernando. Evaluación y rechazo de ofertas en la Ley 80 de 1993. Medellín: Librería Jurídica Sánchez, 2016. p. 190. </w:t>
      </w:r>
    </w:p>
    <w:p w14:paraId="26B567B1" w14:textId="77777777" w:rsidR="00F00FD4" w:rsidRPr="00DC68C5" w:rsidRDefault="00F00FD4" w:rsidP="00F00FD4">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p>
  </w:footnote>
  <w:footnote w:id="7">
    <w:p w14:paraId="1857B078" w14:textId="77777777" w:rsidR="00F00FD4" w:rsidRPr="00DC68C5" w:rsidRDefault="00F00FD4" w:rsidP="00F00FD4">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DC68C5">
        <w:rPr>
          <w:rFonts w:ascii="Verdana" w:hAnsi="Verdana" w:cs="Arial"/>
          <w:color w:val="000000" w:themeColor="text1"/>
          <w:sz w:val="16"/>
          <w:szCs w:val="16"/>
          <w:vertAlign w:val="superscript"/>
        </w:rPr>
        <w:footnoteRef/>
      </w:r>
      <w:r w:rsidRPr="00DC68C5">
        <w:rPr>
          <w:rFonts w:ascii="Verdana" w:eastAsia="Arial" w:hAnsi="Verdana" w:cs="Arial"/>
          <w:color w:val="000000" w:themeColor="text1"/>
          <w:sz w:val="16"/>
          <w:szCs w:val="16"/>
        </w:rPr>
        <w:t xml:space="preserve">  Ley 80 de 1993 “</w:t>
      </w:r>
      <w:r w:rsidRPr="00DC68C5">
        <w:rPr>
          <w:rFonts w:ascii="Verdana" w:eastAsia="Arial" w:hAnsi="Verdana" w:cs="Arial"/>
          <w:bCs/>
          <w:color w:val="000000" w:themeColor="text1"/>
          <w:sz w:val="16"/>
          <w:szCs w:val="16"/>
        </w:rPr>
        <w:t>Articulo 24. Del principio de transparencia. </w:t>
      </w:r>
      <w:r w:rsidRPr="00DC68C5">
        <w:rPr>
          <w:rFonts w:ascii="Verdana" w:eastAsia="Arial" w:hAnsi="Verdana" w:cs="Arial"/>
          <w:color w:val="000000" w:themeColor="text1"/>
          <w:sz w:val="16"/>
          <w:szCs w:val="16"/>
        </w:rPr>
        <w:t xml:space="preserve">En virtud de este principio: </w:t>
      </w:r>
    </w:p>
    <w:p w14:paraId="7719A3C9" w14:textId="77777777" w:rsidR="00F00FD4" w:rsidRPr="00DC68C5" w:rsidRDefault="00F00FD4" w:rsidP="00F00FD4">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DC68C5">
        <w:rPr>
          <w:rFonts w:ascii="Verdana" w:eastAsia="Arial" w:hAnsi="Verdana" w:cs="Arial"/>
          <w:color w:val="000000" w:themeColor="text1"/>
          <w:sz w:val="16"/>
          <w:szCs w:val="16"/>
        </w:rPr>
        <w:t>[…]</w:t>
      </w:r>
    </w:p>
    <w:p w14:paraId="2DAD5F11" w14:textId="77777777" w:rsidR="00F00FD4" w:rsidRPr="00DC68C5" w:rsidRDefault="00F00FD4" w:rsidP="00F00FD4">
      <w:pPr>
        <w:spacing w:after="0" w:line="240" w:lineRule="auto"/>
        <w:ind w:firstLine="709"/>
        <w:jc w:val="both"/>
        <w:rPr>
          <w:rFonts w:ascii="Verdana" w:eastAsia="Arial" w:hAnsi="Verdana" w:cs="Arial"/>
          <w:color w:val="000000" w:themeColor="text1"/>
          <w:sz w:val="16"/>
          <w:szCs w:val="16"/>
        </w:rPr>
      </w:pPr>
      <w:r w:rsidRPr="00DC68C5">
        <w:rPr>
          <w:rFonts w:ascii="Verdana" w:eastAsia="Arial" w:hAnsi="Verdana" w:cs="Arial"/>
          <w:color w:val="000000" w:themeColor="text1"/>
          <w:sz w:val="16"/>
          <w:szCs w:val="16"/>
        </w:rPr>
        <w:t>5o. En los pliegos de condiciones:</w:t>
      </w:r>
    </w:p>
    <w:p w14:paraId="6F24CB31" w14:textId="77777777" w:rsidR="00F00FD4" w:rsidRPr="00DC68C5" w:rsidRDefault="00F00FD4" w:rsidP="00F00FD4">
      <w:pPr>
        <w:spacing w:after="0" w:line="240" w:lineRule="auto"/>
        <w:ind w:firstLine="709"/>
        <w:jc w:val="both"/>
        <w:rPr>
          <w:rFonts w:ascii="Verdana" w:eastAsia="Arial" w:hAnsi="Verdana" w:cs="Arial"/>
          <w:color w:val="000000" w:themeColor="text1"/>
          <w:sz w:val="16"/>
          <w:szCs w:val="16"/>
        </w:rPr>
      </w:pPr>
      <w:r w:rsidRPr="00DC68C5">
        <w:rPr>
          <w:rFonts w:ascii="Verdana" w:eastAsia="Arial" w:hAnsi="Verdana" w:cs="Arial"/>
          <w:color w:val="000000" w:themeColor="text1"/>
          <w:sz w:val="16"/>
          <w:szCs w:val="16"/>
        </w:rPr>
        <w:t>[…]</w:t>
      </w:r>
    </w:p>
    <w:p w14:paraId="71940398" w14:textId="77777777" w:rsidR="00F00FD4" w:rsidRPr="00DC68C5" w:rsidRDefault="00F00FD4" w:rsidP="00F00FD4">
      <w:pPr>
        <w:spacing w:after="0" w:line="240" w:lineRule="auto"/>
        <w:ind w:firstLine="709"/>
        <w:jc w:val="both"/>
        <w:rPr>
          <w:rFonts w:ascii="Verdana" w:eastAsia="Arial" w:hAnsi="Verdana" w:cs="Arial"/>
          <w:color w:val="000000" w:themeColor="text1"/>
          <w:sz w:val="16"/>
          <w:szCs w:val="16"/>
        </w:rPr>
      </w:pPr>
      <w:r w:rsidRPr="00DC68C5">
        <w:rPr>
          <w:rFonts w:ascii="Verdana" w:eastAsia="Arial" w:hAnsi="Verdana" w:cs="Arial"/>
          <w:color w:val="000000" w:themeColor="text1"/>
          <w:sz w:val="16"/>
          <w:szCs w:val="16"/>
        </w:rPr>
        <w:t>b) Se definirán reglas objetivas, justas, claras y completas que permitan la confección de ofrecimientos de la misma índole, aseguren una escogencia objetiva y eviten la declaratoria de desierta de la licitación […]”.</w:t>
      </w:r>
    </w:p>
    <w:p w14:paraId="565AD488" w14:textId="77777777" w:rsidR="00F00FD4" w:rsidRPr="00DC68C5" w:rsidRDefault="00F00FD4" w:rsidP="00F00FD4">
      <w:pPr>
        <w:spacing w:after="0" w:line="240" w:lineRule="auto"/>
        <w:ind w:firstLine="709"/>
        <w:jc w:val="both"/>
        <w:rPr>
          <w:rFonts w:ascii="Verdana" w:eastAsia="Arial" w:hAnsi="Verdana" w:cs="Arial"/>
          <w:color w:val="000000" w:themeColor="text1"/>
          <w:sz w:val="16"/>
          <w:szCs w:val="16"/>
        </w:rPr>
      </w:pPr>
    </w:p>
  </w:footnote>
  <w:footnote w:id="8">
    <w:p w14:paraId="7598380D" w14:textId="77777777" w:rsidR="00F00FD4" w:rsidRPr="00DC68C5" w:rsidRDefault="00F00FD4" w:rsidP="00F00FD4">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DC68C5">
        <w:rPr>
          <w:rFonts w:ascii="Verdana" w:hAnsi="Verdana" w:cs="Arial"/>
          <w:color w:val="000000" w:themeColor="text1"/>
          <w:sz w:val="16"/>
          <w:szCs w:val="16"/>
          <w:vertAlign w:val="superscript"/>
        </w:rPr>
        <w:footnoteRef/>
      </w:r>
      <w:r w:rsidRPr="00DC68C5">
        <w:rPr>
          <w:rFonts w:ascii="Verdana" w:eastAsia="Arial" w:hAnsi="Verdana" w:cs="Arial"/>
          <w:color w:val="000000" w:themeColor="text1"/>
          <w:sz w:val="16"/>
          <w:szCs w:val="16"/>
        </w:rPr>
        <w:t xml:space="preserve"> Decreto 1082 de 2015 “Artículo 2.2.1.1.2.1.3. Pliegos de condiciones. Los pliegos de condiciones deben contener por lo menos la siguiente información</w:t>
      </w:r>
    </w:p>
    <w:p w14:paraId="6BAB31F9" w14:textId="77777777" w:rsidR="00F00FD4" w:rsidRPr="00DC68C5" w:rsidRDefault="00F00FD4" w:rsidP="00F00FD4">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DC68C5">
        <w:rPr>
          <w:rFonts w:ascii="Verdana" w:eastAsia="Arial" w:hAnsi="Verdana" w:cs="Arial"/>
          <w:color w:val="000000" w:themeColor="text1"/>
          <w:sz w:val="16"/>
          <w:szCs w:val="16"/>
        </w:rPr>
        <w:t>[…]</w:t>
      </w:r>
    </w:p>
    <w:p w14:paraId="21A902FD" w14:textId="77777777" w:rsidR="00F00FD4" w:rsidRPr="00DC68C5" w:rsidRDefault="00F00FD4" w:rsidP="00F00FD4">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DC68C5">
        <w:rPr>
          <w:rFonts w:ascii="Verdana" w:eastAsia="Arial" w:hAnsi="Verdana" w:cs="Arial"/>
          <w:color w:val="000000" w:themeColor="text1"/>
          <w:sz w:val="16"/>
          <w:szCs w:val="16"/>
        </w:rPr>
        <w:t>6. Las causas que dan lugar a rechazar una oferta […]”</w:t>
      </w:r>
    </w:p>
  </w:footnote>
  <w:footnote w:id="9">
    <w:p w14:paraId="6BE45C2E" w14:textId="77777777" w:rsidR="00F00FD4" w:rsidRPr="00DC68C5" w:rsidRDefault="00F00FD4" w:rsidP="00F00FD4">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DC68C5">
        <w:rPr>
          <w:rFonts w:ascii="Verdana" w:hAnsi="Verdana" w:cs="Arial"/>
          <w:color w:val="000000" w:themeColor="text1"/>
          <w:sz w:val="16"/>
          <w:szCs w:val="16"/>
          <w:vertAlign w:val="superscript"/>
        </w:rPr>
        <w:footnoteRef/>
      </w:r>
      <w:r w:rsidRPr="00DC68C5">
        <w:rPr>
          <w:rFonts w:ascii="Verdana" w:eastAsia="Arial" w:hAnsi="Verdana" w:cs="Arial"/>
          <w:color w:val="000000" w:themeColor="text1"/>
          <w:sz w:val="16"/>
          <w:szCs w:val="16"/>
        </w:rPr>
        <w:t xml:space="preserve"> CONSEJO DE ESTADO. Sección Tercera Subsección B. Sentencia del 27 de abril de 2011. Expediente No. 18.293. C.P. Ponente: Ruth Stella Correa Palacio. </w:t>
      </w:r>
    </w:p>
    <w:p w14:paraId="32B13A5C" w14:textId="77777777" w:rsidR="00F00FD4" w:rsidRPr="00DC68C5" w:rsidRDefault="00F00FD4" w:rsidP="00F00FD4">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p>
  </w:footnote>
  <w:footnote w:id="10">
    <w:p w14:paraId="6DA65B36" w14:textId="77777777" w:rsidR="003916C5" w:rsidRPr="00F27DD5" w:rsidRDefault="003916C5" w:rsidP="003916C5">
      <w:pPr>
        <w:pStyle w:val="Textonotapie"/>
        <w:ind w:firstLine="708"/>
        <w:jc w:val="both"/>
        <w:rPr>
          <w:rFonts w:ascii="Arial" w:hAnsi="Arial" w:cs="Arial"/>
          <w:color w:val="000000"/>
          <w:sz w:val="18"/>
          <w:szCs w:val="18"/>
        </w:rPr>
      </w:pPr>
      <w:r w:rsidRPr="00F27DD5">
        <w:rPr>
          <w:rStyle w:val="Refdenotaalpie"/>
          <w:rFonts w:ascii="Arial" w:hAnsi="Arial" w:cs="Arial"/>
          <w:sz w:val="18"/>
          <w:szCs w:val="18"/>
        </w:rPr>
        <w:footnoteRef/>
      </w:r>
      <w:r w:rsidR="2A1CC0BC" w:rsidRPr="00F27DD5">
        <w:rPr>
          <w:rFonts w:ascii="Arial" w:hAnsi="Arial" w:cs="Arial"/>
          <w:sz w:val="18"/>
          <w:szCs w:val="18"/>
        </w:rPr>
        <w:t xml:space="preserve"> </w:t>
      </w:r>
      <w:r w:rsidR="2A1CC0BC" w:rsidRPr="00F27DD5">
        <w:rPr>
          <w:rFonts w:ascii="Arial" w:hAnsi="Arial" w:cs="Arial"/>
          <w:color w:val="000000"/>
          <w:sz w:val="18"/>
          <w:szCs w:val="18"/>
        </w:rPr>
        <w:t xml:space="preserve">Consejo de Estado. Sección Tercera. Subsección C. Sentencia del 11 de febrero de 2009. </w:t>
      </w:r>
      <w:r w:rsidR="2A1CC0BC" w:rsidRPr="00F27DD5">
        <w:rPr>
          <w:rFonts w:ascii="Arial" w:hAnsi="Arial" w:cs="Arial"/>
          <w:color w:val="000000"/>
          <w:sz w:val="18"/>
          <w:szCs w:val="18"/>
        </w:rPr>
        <w:t>Exp. 16.100. C.P. Ramiro Saavedra Becerra.</w:t>
      </w:r>
    </w:p>
    <w:p w14:paraId="22061B48" w14:textId="77777777" w:rsidR="003916C5" w:rsidRPr="00F27DD5" w:rsidRDefault="003916C5" w:rsidP="003916C5">
      <w:pPr>
        <w:pStyle w:val="Textonotapie"/>
        <w:ind w:firstLine="708"/>
        <w:jc w:val="both"/>
        <w:rPr>
          <w:rFonts w:ascii="Arial" w:hAnsi="Arial" w:cs="Arial"/>
          <w:color w:val="000000"/>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80713882">
    <w:abstractNumId w:val="0"/>
  </w:num>
  <w:num w:numId="17" w16cid:durableId="1532558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715"/>
    <w:rsid w:val="00016F78"/>
    <w:rsid w:val="00040597"/>
    <w:rsid w:val="00046945"/>
    <w:rsid w:val="00056EA2"/>
    <w:rsid w:val="00061B2A"/>
    <w:rsid w:val="0007478D"/>
    <w:rsid w:val="00075E4E"/>
    <w:rsid w:val="000770FA"/>
    <w:rsid w:val="00082362"/>
    <w:rsid w:val="000A101C"/>
    <w:rsid w:val="000A201C"/>
    <w:rsid w:val="000A683E"/>
    <w:rsid w:val="000B19B9"/>
    <w:rsid w:val="000B1AB9"/>
    <w:rsid w:val="000B4BBB"/>
    <w:rsid w:val="000B5C15"/>
    <w:rsid w:val="000D0334"/>
    <w:rsid w:val="000F6486"/>
    <w:rsid w:val="00124190"/>
    <w:rsid w:val="00125105"/>
    <w:rsid w:val="00126748"/>
    <w:rsid w:val="00127233"/>
    <w:rsid w:val="00143445"/>
    <w:rsid w:val="001440DC"/>
    <w:rsid w:val="00147274"/>
    <w:rsid w:val="0017115F"/>
    <w:rsid w:val="00184F62"/>
    <w:rsid w:val="00193822"/>
    <w:rsid w:val="001B4F20"/>
    <w:rsid w:val="001D6292"/>
    <w:rsid w:val="001E4177"/>
    <w:rsid w:val="001F7540"/>
    <w:rsid w:val="001F7DC6"/>
    <w:rsid w:val="00203DCD"/>
    <w:rsid w:val="00204742"/>
    <w:rsid w:val="00220341"/>
    <w:rsid w:val="00230B8A"/>
    <w:rsid w:val="0023426A"/>
    <w:rsid w:val="002421BB"/>
    <w:rsid w:val="002439BD"/>
    <w:rsid w:val="0025796E"/>
    <w:rsid w:val="00260A9F"/>
    <w:rsid w:val="002628C8"/>
    <w:rsid w:val="002707A2"/>
    <w:rsid w:val="00272629"/>
    <w:rsid w:val="00281095"/>
    <w:rsid w:val="002944D2"/>
    <w:rsid w:val="002951A0"/>
    <w:rsid w:val="002962BC"/>
    <w:rsid w:val="002A093D"/>
    <w:rsid w:val="002A0DD0"/>
    <w:rsid w:val="002A49AC"/>
    <w:rsid w:val="002A64FD"/>
    <w:rsid w:val="002C0D0D"/>
    <w:rsid w:val="002C7A84"/>
    <w:rsid w:val="002D155B"/>
    <w:rsid w:val="002E4FD9"/>
    <w:rsid w:val="0030648A"/>
    <w:rsid w:val="00322A85"/>
    <w:rsid w:val="00324168"/>
    <w:rsid w:val="003448F4"/>
    <w:rsid w:val="00350242"/>
    <w:rsid w:val="00374654"/>
    <w:rsid w:val="00374F5E"/>
    <w:rsid w:val="00377E3E"/>
    <w:rsid w:val="003916C5"/>
    <w:rsid w:val="003A779E"/>
    <w:rsid w:val="003B2069"/>
    <w:rsid w:val="003D0F4D"/>
    <w:rsid w:val="003D5B0D"/>
    <w:rsid w:val="003E0499"/>
    <w:rsid w:val="003E750F"/>
    <w:rsid w:val="003E7D16"/>
    <w:rsid w:val="003F3941"/>
    <w:rsid w:val="00403099"/>
    <w:rsid w:val="00406575"/>
    <w:rsid w:val="00412B30"/>
    <w:rsid w:val="00414C74"/>
    <w:rsid w:val="00417954"/>
    <w:rsid w:val="00417FEF"/>
    <w:rsid w:val="004210A9"/>
    <w:rsid w:val="0042722E"/>
    <w:rsid w:val="004400BD"/>
    <w:rsid w:val="0044528D"/>
    <w:rsid w:val="00452EA5"/>
    <w:rsid w:val="0046798E"/>
    <w:rsid w:val="004902EA"/>
    <w:rsid w:val="004A1847"/>
    <w:rsid w:val="004A305D"/>
    <w:rsid w:val="004A5CA4"/>
    <w:rsid w:val="004A6BC7"/>
    <w:rsid w:val="004D3E1C"/>
    <w:rsid w:val="004D5F83"/>
    <w:rsid w:val="004F21C4"/>
    <w:rsid w:val="004F4D6A"/>
    <w:rsid w:val="004F685F"/>
    <w:rsid w:val="005042EA"/>
    <w:rsid w:val="00526B58"/>
    <w:rsid w:val="005566E8"/>
    <w:rsid w:val="00574867"/>
    <w:rsid w:val="00577D8F"/>
    <w:rsid w:val="00591460"/>
    <w:rsid w:val="00596BA7"/>
    <w:rsid w:val="005A2804"/>
    <w:rsid w:val="005C3777"/>
    <w:rsid w:val="005C5CDC"/>
    <w:rsid w:val="005C609B"/>
    <w:rsid w:val="005C618E"/>
    <w:rsid w:val="005D476C"/>
    <w:rsid w:val="005D4826"/>
    <w:rsid w:val="005F6099"/>
    <w:rsid w:val="005F6935"/>
    <w:rsid w:val="005F6994"/>
    <w:rsid w:val="005F77BC"/>
    <w:rsid w:val="00617CAC"/>
    <w:rsid w:val="006219F8"/>
    <w:rsid w:val="006302F7"/>
    <w:rsid w:val="00635C64"/>
    <w:rsid w:val="006419ED"/>
    <w:rsid w:val="00644ED0"/>
    <w:rsid w:val="00647B18"/>
    <w:rsid w:val="00665D70"/>
    <w:rsid w:val="00671155"/>
    <w:rsid w:val="0067583D"/>
    <w:rsid w:val="006900D9"/>
    <w:rsid w:val="00695154"/>
    <w:rsid w:val="006A760C"/>
    <w:rsid w:val="006B3C27"/>
    <w:rsid w:val="006B7B96"/>
    <w:rsid w:val="006C2BCE"/>
    <w:rsid w:val="006E0988"/>
    <w:rsid w:val="006E1805"/>
    <w:rsid w:val="006F0E4C"/>
    <w:rsid w:val="0070447E"/>
    <w:rsid w:val="00706C16"/>
    <w:rsid w:val="00733EA6"/>
    <w:rsid w:val="00735D6C"/>
    <w:rsid w:val="0074360C"/>
    <w:rsid w:val="007563A6"/>
    <w:rsid w:val="00756841"/>
    <w:rsid w:val="00762377"/>
    <w:rsid w:val="007649AB"/>
    <w:rsid w:val="00771D0C"/>
    <w:rsid w:val="00773E11"/>
    <w:rsid w:val="007827B6"/>
    <w:rsid w:val="00782BD4"/>
    <w:rsid w:val="007833AC"/>
    <w:rsid w:val="00785E14"/>
    <w:rsid w:val="00786D47"/>
    <w:rsid w:val="00794B31"/>
    <w:rsid w:val="00795794"/>
    <w:rsid w:val="007A64A6"/>
    <w:rsid w:val="007B268C"/>
    <w:rsid w:val="007B67E7"/>
    <w:rsid w:val="007B7171"/>
    <w:rsid w:val="007C0C0F"/>
    <w:rsid w:val="007C3DC2"/>
    <w:rsid w:val="007E5497"/>
    <w:rsid w:val="007E6339"/>
    <w:rsid w:val="007F0BF6"/>
    <w:rsid w:val="00800617"/>
    <w:rsid w:val="00806F5F"/>
    <w:rsid w:val="00820278"/>
    <w:rsid w:val="00843937"/>
    <w:rsid w:val="00845964"/>
    <w:rsid w:val="0085361A"/>
    <w:rsid w:val="00860C0F"/>
    <w:rsid w:val="00867F95"/>
    <w:rsid w:val="00871A39"/>
    <w:rsid w:val="008843B6"/>
    <w:rsid w:val="00891928"/>
    <w:rsid w:val="00897A3A"/>
    <w:rsid w:val="008A446D"/>
    <w:rsid w:val="008A5F03"/>
    <w:rsid w:val="008B1CF8"/>
    <w:rsid w:val="008C689A"/>
    <w:rsid w:val="008D180B"/>
    <w:rsid w:val="008D4088"/>
    <w:rsid w:val="008F0EA7"/>
    <w:rsid w:val="008F7A1B"/>
    <w:rsid w:val="00906288"/>
    <w:rsid w:val="00923EEF"/>
    <w:rsid w:val="009419F9"/>
    <w:rsid w:val="0095685E"/>
    <w:rsid w:val="00961B09"/>
    <w:rsid w:val="00965334"/>
    <w:rsid w:val="00966BCD"/>
    <w:rsid w:val="0097093E"/>
    <w:rsid w:val="0098608D"/>
    <w:rsid w:val="009A0DFA"/>
    <w:rsid w:val="009B25A8"/>
    <w:rsid w:val="009B2D26"/>
    <w:rsid w:val="009B6150"/>
    <w:rsid w:val="009C4AC5"/>
    <w:rsid w:val="009C71FA"/>
    <w:rsid w:val="009C72E7"/>
    <w:rsid w:val="009D3058"/>
    <w:rsid w:val="009D3BEB"/>
    <w:rsid w:val="009F3A13"/>
    <w:rsid w:val="00A05D54"/>
    <w:rsid w:val="00A122D3"/>
    <w:rsid w:val="00A16556"/>
    <w:rsid w:val="00A17F13"/>
    <w:rsid w:val="00A20739"/>
    <w:rsid w:val="00A209D8"/>
    <w:rsid w:val="00A33C78"/>
    <w:rsid w:val="00A3604E"/>
    <w:rsid w:val="00A37BDD"/>
    <w:rsid w:val="00A65BA3"/>
    <w:rsid w:val="00A83D71"/>
    <w:rsid w:val="00AB0ADB"/>
    <w:rsid w:val="00AD6D22"/>
    <w:rsid w:val="00B00C0E"/>
    <w:rsid w:val="00B01B1A"/>
    <w:rsid w:val="00B1094F"/>
    <w:rsid w:val="00B245F0"/>
    <w:rsid w:val="00B27064"/>
    <w:rsid w:val="00B44A47"/>
    <w:rsid w:val="00B5061A"/>
    <w:rsid w:val="00B5798D"/>
    <w:rsid w:val="00B72CD3"/>
    <w:rsid w:val="00B72FFF"/>
    <w:rsid w:val="00B73CA3"/>
    <w:rsid w:val="00B86192"/>
    <w:rsid w:val="00B951D1"/>
    <w:rsid w:val="00BA0F61"/>
    <w:rsid w:val="00BA1944"/>
    <w:rsid w:val="00BA1FB7"/>
    <w:rsid w:val="00BC0C3A"/>
    <w:rsid w:val="00BC2985"/>
    <w:rsid w:val="00BC3D36"/>
    <w:rsid w:val="00BC609F"/>
    <w:rsid w:val="00BD7F72"/>
    <w:rsid w:val="00C04FB3"/>
    <w:rsid w:val="00C262A9"/>
    <w:rsid w:val="00C27888"/>
    <w:rsid w:val="00C3069E"/>
    <w:rsid w:val="00C330EB"/>
    <w:rsid w:val="00C422E1"/>
    <w:rsid w:val="00C70BF7"/>
    <w:rsid w:val="00C754BE"/>
    <w:rsid w:val="00C76B1C"/>
    <w:rsid w:val="00CA129F"/>
    <w:rsid w:val="00CB21B1"/>
    <w:rsid w:val="00CB6357"/>
    <w:rsid w:val="00CC1B26"/>
    <w:rsid w:val="00CD1360"/>
    <w:rsid w:val="00CF09CF"/>
    <w:rsid w:val="00D14736"/>
    <w:rsid w:val="00D14EAC"/>
    <w:rsid w:val="00D166CD"/>
    <w:rsid w:val="00D3096F"/>
    <w:rsid w:val="00D3465C"/>
    <w:rsid w:val="00D4206F"/>
    <w:rsid w:val="00D423A2"/>
    <w:rsid w:val="00D46085"/>
    <w:rsid w:val="00D507ED"/>
    <w:rsid w:val="00D520D8"/>
    <w:rsid w:val="00D63AC2"/>
    <w:rsid w:val="00D73716"/>
    <w:rsid w:val="00D7383B"/>
    <w:rsid w:val="00D80239"/>
    <w:rsid w:val="00DA231B"/>
    <w:rsid w:val="00DA6D5F"/>
    <w:rsid w:val="00DB336E"/>
    <w:rsid w:val="00DC39FC"/>
    <w:rsid w:val="00DD57F3"/>
    <w:rsid w:val="00DF26A7"/>
    <w:rsid w:val="00DF5254"/>
    <w:rsid w:val="00DF7F40"/>
    <w:rsid w:val="00E046C1"/>
    <w:rsid w:val="00E10DD4"/>
    <w:rsid w:val="00E16408"/>
    <w:rsid w:val="00E174E4"/>
    <w:rsid w:val="00E207FF"/>
    <w:rsid w:val="00E20894"/>
    <w:rsid w:val="00E245AB"/>
    <w:rsid w:val="00E2764C"/>
    <w:rsid w:val="00E27F2E"/>
    <w:rsid w:val="00E3449D"/>
    <w:rsid w:val="00E35AA0"/>
    <w:rsid w:val="00E409A0"/>
    <w:rsid w:val="00E40DFA"/>
    <w:rsid w:val="00E43079"/>
    <w:rsid w:val="00E50AFE"/>
    <w:rsid w:val="00E54874"/>
    <w:rsid w:val="00E75C92"/>
    <w:rsid w:val="00E76068"/>
    <w:rsid w:val="00E771DC"/>
    <w:rsid w:val="00E8772A"/>
    <w:rsid w:val="00E90F6B"/>
    <w:rsid w:val="00E92C27"/>
    <w:rsid w:val="00E953DC"/>
    <w:rsid w:val="00E95609"/>
    <w:rsid w:val="00EA0E3D"/>
    <w:rsid w:val="00EA5AC4"/>
    <w:rsid w:val="00EC38A7"/>
    <w:rsid w:val="00EC3CFC"/>
    <w:rsid w:val="00EE1AA8"/>
    <w:rsid w:val="00EF336C"/>
    <w:rsid w:val="00F00FD4"/>
    <w:rsid w:val="00F11A2B"/>
    <w:rsid w:val="00F31EDC"/>
    <w:rsid w:val="00F410B0"/>
    <w:rsid w:val="00F462B3"/>
    <w:rsid w:val="00F5664F"/>
    <w:rsid w:val="00F666C4"/>
    <w:rsid w:val="00F76AFC"/>
    <w:rsid w:val="00F775A7"/>
    <w:rsid w:val="00FA47C0"/>
    <w:rsid w:val="00FB1E2C"/>
    <w:rsid w:val="00FB308F"/>
    <w:rsid w:val="00FB5DD1"/>
    <w:rsid w:val="00FB6B9E"/>
    <w:rsid w:val="00FB795A"/>
    <w:rsid w:val="00FC2B5D"/>
    <w:rsid w:val="00FD361C"/>
    <w:rsid w:val="00FE271A"/>
    <w:rsid w:val="00FE456F"/>
    <w:rsid w:val="00FF1449"/>
    <w:rsid w:val="00FF556F"/>
    <w:rsid w:val="00FF6755"/>
    <w:rsid w:val="02BE8585"/>
    <w:rsid w:val="0424B795"/>
    <w:rsid w:val="05D33D2F"/>
    <w:rsid w:val="091CE873"/>
    <w:rsid w:val="0D5B13B5"/>
    <w:rsid w:val="0DE576FC"/>
    <w:rsid w:val="0F126BB0"/>
    <w:rsid w:val="108B0A6D"/>
    <w:rsid w:val="10A08994"/>
    <w:rsid w:val="12A3A2FD"/>
    <w:rsid w:val="1CA2FD15"/>
    <w:rsid w:val="1D41DB70"/>
    <w:rsid w:val="1DFD0C6C"/>
    <w:rsid w:val="1FB63137"/>
    <w:rsid w:val="2013E71E"/>
    <w:rsid w:val="26E374B7"/>
    <w:rsid w:val="27242FC8"/>
    <w:rsid w:val="287DC412"/>
    <w:rsid w:val="2A1CC0BC"/>
    <w:rsid w:val="2A5B276D"/>
    <w:rsid w:val="2B5F90BF"/>
    <w:rsid w:val="2CD7EF67"/>
    <w:rsid w:val="2ED7239A"/>
    <w:rsid w:val="312493F5"/>
    <w:rsid w:val="3720B4A2"/>
    <w:rsid w:val="378E2128"/>
    <w:rsid w:val="37C57DE6"/>
    <w:rsid w:val="3BAB55B8"/>
    <w:rsid w:val="3DF855BE"/>
    <w:rsid w:val="3E4C5780"/>
    <w:rsid w:val="3F2B4452"/>
    <w:rsid w:val="4150ECF3"/>
    <w:rsid w:val="429F98A8"/>
    <w:rsid w:val="42C16383"/>
    <w:rsid w:val="43A3005F"/>
    <w:rsid w:val="48432361"/>
    <w:rsid w:val="52741410"/>
    <w:rsid w:val="544E42D1"/>
    <w:rsid w:val="579961C7"/>
    <w:rsid w:val="579BF758"/>
    <w:rsid w:val="589BE328"/>
    <w:rsid w:val="58AC94BA"/>
    <w:rsid w:val="5B2D7130"/>
    <w:rsid w:val="5C6647E1"/>
    <w:rsid w:val="5CA6D6CF"/>
    <w:rsid w:val="5EC59709"/>
    <w:rsid w:val="631DBC03"/>
    <w:rsid w:val="63207051"/>
    <w:rsid w:val="65A4A5C8"/>
    <w:rsid w:val="681468D8"/>
    <w:rsid w:val="6979242C"/>
    <w:rsid w:val="6D8B7E2B"/>
    <w:rsid w:val="70EF821C"/>
    <w:rsid w:val="72AE0242"/>
    <w:rsid w:val="74A2760A"/>
    <w:rsid w:val="76A66B7A"/>
    <w:rsid w:val="76BB17A4"/>
    <w:rsid w:val="79037E3C"/>
    <w:rsid w:val="7C5D8CAA"/>
    <w:rsid w:val="7FED66B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00FD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00FD4"/>
    <w:rPr>
      <w:rFonts w:ascii="Geomanist Light" w:hAnsi="Geomanist Light"/>
      <w:lang w:val="es-ES"/>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9B6150"/>
    <w:rPr>
      <w:b/>
      <w:bCs/>
    </w:rPr>
  </w:style>
  <w:style w:type="character" w:customStyle="1" w:styleId="AsuntodelcomentarioCar">
    <w:name w:val="Asunto del comentario Car"/>
    <w:basedOn w:val="TextocomentarioCar"/>
    <w:link w:val="Asuntodelcomentario"/>
    <w:uiPriority w:val="99"/>
    <w:semiHidden/>
    <w:rsid w:val="009B615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conceptos/c-447-de-2024/"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conceptos/c-285-de-2022/"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ana_pachon2@hot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cartilla-para-incentivar-y-fortalecer-el-acceso-las&amp;data=05%7C02%7Cximena.rios%40colombiacompra.gov.co%7Ceb0fd05604104aa4d3bc08dd4c4ad35e%7C7b09041e245149d08cb179d5e3d8c1be%7C0%7C0%7C638750606446821386%7CUnknown%7CTWFpbGZsb3d8eyJFbXB0eU1hcGkiOnRydWUsIlYiOiIwLjAuMDAwMCIsIlAiOiJXaW4zMiIsIkFOIjoiTWFpbCIsIldUIjoyfQ%3D%3D%7C0%7C%7C%7C&amp;sdata=W%2Fk14yMQuRl%2BxOXtgXkYqvRvU0sNxDeKufexVKwz2Jw%3D&amp;reserved=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circulares?page=2" TargetMode="External"/><Relationship Id="rId1" Type="http://schemas.openxmlformats.org/officeDocument/2006/relationships/hyperlink" Target="https://www.funcionpublica.gov.co/eva/gestornormativo/norma.php?i=2567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5D17E5BE-0DF6-40E0-9971-A7DF15F661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purl.org/dc/terms/"/>
    <ds:schemaRef ds:uri="9d85dbaf-23eb-4e57-a637-93dcacc8b1a1"/>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http://schemas.microsoft.com/office/2006/metadata/properties"/>
    <ds:schemaRef ds:uri="a6cb9e4b-f1d1-4245-83ec-6cad768d538a"/>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17</Pages>
  <Words>5812</Words>
  <Characters>30922</Characters>
  <Application>Microsoft Office Word</Application>
  <DocSecurity>0</DocSecurity>
  <Lines>618</Lines>
  <Paragraphs>131</Paragraphs>
  <ScaleCrop>false</ScaleCrop>
  <Company/>
  <LinksUpToDate>false</LinksUpToDate>
  <CharactersWithSpaces>36603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2025-10-16T14:06:00Z</dcterms:created>
  <dcterms:modified xsi:type="dcterms:W3CDTF">2025-10-16T14:06:00Z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