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42A6CB" w14:textId="77777777" w:rsidR="00B85E15" w:rsidRPr="00DE2AC7" w:rsidRDefault="00B85E15" w:rsidP="00B85E15">
      <w:pPr>
        <w:spacing w:after="0" w:line="240" w:lineRule="auto"/>
        <w:rPr>
          <w:rFonts w:ascii="Verdana" w:eastAsia="Calibri" w:hAnsi="Verdana" w:cs="Arial"/>
          <w:b/>
          <w:sz w:val="20"/>
          <w:szCs w:val="20"/>
          <w:lang w:val="es-ES_tradnl" w:eastAsia="es-ES_tradnl"/>
        </w:rPr>
      </w:pPr>
    </w:p>
    <w:p w14:paraId="6C0599BA" w14:textId="77777777" w:rsidR="00B85E15" w:rsidRPr="00682C93" w:rsidRDefault="00B85E15" w:rsidP="00B85E15">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2DE76890" w14:textId="77777777" w:rsidR="00B85E15" w:rsidRDefault="00B85E15" w:rsidP="00B85E15">
      <w:pPr>
        <w:spacing w:after="0" w:line="240" w:lineRule="auto"/>
        <w:jc w:val="both"/>
        <w:rPr>
          <w:rFonts w:ascii="Verdana" w:hAnsi="Verdana" w:cs="Arial"/>
          <w:b/>
          <w:lang w:val="es-MX" w:eastAsia="es-ES_tradnl"/>
        </w:rPr>
      </w:pPr>
    </w:p>
    <w:p w14:paraId="21A316AF" w14:textId="77777777" w:rsidR="00B85E15" w:rsidRDefault="00B85E15" w:rsidP="00B85E15">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08A9FE29" w14:textId="77777777" w:rsidR="00B85E15" w:rsidRPr="00682C93" w:rsidRDefault="00B85E15" w:rsidP="00B85E15">
      <w:pPr>
        <w:spacing w:after="0" w:line="240" w:lineRule="auto"/>
        <w:jc w:val="both"/>
        <w:rPr>
          <w:rFonts w:ascii="Verdana" w:hAnsi="Verdana" w:cs="Arial"/>
          <w:b/>
          <w:sz w:val="20"/>
          <w:lang w:val="es-MX" w:eastAsia="es-ES_tradnl"/>
        </w:rPr>
      </w:pPr>
    </w:p>
    <w:p w14:paraId="7C88226A" w14:textId="77777777" w:rsidR="00B85E15" w:rsidRPr="00682C93" w:rsidRDefault="00B85E15" w:rsidP="00B85E15">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Tipos de restricciones </w:t>
      </w:r>
      <w:r w:rsidRPr="00682C93">
        <w:rPr>
          <w:rFonts w:ascii="Verdana" w:hAnsi="Verdana" w:cs="Arial"/>
          <w:b/>
          <w:bCs/>
          <w:lang w:val="es-MX" w:eastAsia="es-ES_tradnl"/>
        </w:rPr>
        <w:t>‒</w:t>
      </w:r>
      <w:r w:rsidRPr="00682C93">
        <w:rPr>
          <w:rFonts w:ascii="Verdana" w:hAnsi="Verdana" w:cs="Arial"/>
          <w:b/>
          <w:lang w:val="es-MX" w:eastAsia="es-ES_tradnl"/>
        </w:rPr>
        <w:t xml:space="preserve"> Ámbito temporal – celebración- límite</w:t>
      </w:r>
    </w:p>
    <w:p w14:paraId="0D9D2D34" w14:textId="77777777" w:rsidR="00B85E15" w:rsidRDefault="00B85E15" w:rsidP="00B85E15">
      <w:pPr>
        <w:spacing w:after="0" w:line="240" w:lineRule="auto"/>
        <w:jc w:val="both"/>
        <w:rPr>
          <w:rFonts w:ascii="Verdana" w:hAnsi="Verdana" w:cs="Arial"/>
          <w:b/>
          <w:lang w:val="es-MX" w:eastAsia="es-ES_tradnl"/>
        </w:rPr>
      </w:pPr>
    </w:p>
    <w:p w14:paraId="61DBDE8F" w14:textId="77777777" w:rsidR="00B85E15" w:rsidRPr="00E41F23" w:rsidRDefault="00B85E15" w:rsidP="00B85E15">
      <w:pPr>
        <w:spacing w:after="0" w:line="240" w:lineRule="auto"/>
        <w:jc w:val="both"/>
        <w:rPr>
          <w:rFonts w:ascii="Verdana" w:eastAsia="Calibri" w:hAnsi="Verdana" w:cs="Arial"/>
          <w:sz w:val="20"/>
        </w:rPr>
      </w:pPr>
      <w:r w:rsidRPr="00E41F23">
        <w:rPr>
          <w:rFonts w:ascii="Verdana" w:eastAsia="Calibri" w:hAnsi="Verdana" w:cs="Arial"/>
          <w:sz w:val="20"/>
        </w:rPr>
        <w:t xml:space="preserve">Por un lado, el </w:t>
      </w:r>
      <w:r w:rsidRPr="00E41F23">
        <w:rPr>
          <w:rFonts w:ascii="Verdana" w:eastAsia="Calibri" w:hAnsi="Verdana" w:cs="Arial"/>
          <w:i/>
          <w:iCs/>
          <w:sz w:val="20"/>
        </w:rPr>
        <w:t>artículo 33 de la Ley 996 de 2005</w:t>
      </w:r>
      <w:r w:rsidRPr="00E41F23">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AF5F668" w14:textId="77777777" w:rsidR="00B85E15" w:rsidRPr="00E41F23" w:rsidRDefault="00B85E15" w:rsidP="00B85E15">
      <w:pPr>
        <w:spacing w:after="0" w:line="240" w:lineRule="auto"/>
        <w:jc w:val="both"/>
        <w:rPr>
          <w:rFonts w:ascii="Verdana" w:eastAsia="Calibri" w:hAnsi="Verdana" w:cs="Arial"/>
          <w:sz w:val="20"/>
        </w:rPr>
      </w:pPr>
    </w:p>
    <w:p w14:paraId="58FAC12E" w14:textId="77777777" w:rsidR="00B85E15" w:rsidRDefault="00B85E15" w:rsidP="00B85E15">
      <w:pPr>
        <w:widowControl w:val="0"/>
        <w:autoSpaceDE w:val="0"/>
        <w:autoSpaceDN w:val="0"/>
        <w:spacing w:after="0" w:line="240" w:lineRule="auto"/>
        <w:ind w:right="113"/>
        <w:jc w:val="both"/>
        <w:rPr>
          <w:rFonts w:ascii="Verdana" w:eastAsia="Arial" w:hAnsi="Verdana" w:cs="Arial"/>
          <w:sz w:val="20"/>
          <w:lang w:val="es-ES" w:eastAsia="es-ES" w:bidi="es-ES"/>
        </w:rPr>
      </w:pPr>
      <w:r w:rsidRPr="00E41F23">
        <w:rPr>
          <w:rFonts w:ascii="Verdana" w:eastAsia="Calibri" w:hAnsi="Verdana" w:cs="Arial"/>
          <w:sz w:val="20"/>
        </w:rPr>
        <w:t xml:space="preserve">Por otro lado, </w:t>
      </w:r>
      <w:r w:rsidRPr="00E41F23">
        <w:rPr>
          <w:rFonts w:ascii="Verdana" w:eastAsia="Calibri" w:hAnsi="Verdana" w:cs="Arial"/>
          <w:i/>
          <w:iCs/>
          <w:sz w:val="20"/>
        </w:rPr>
        <w:t>el parágrafo del artículo 38 de la Ley 996 de 2005</w:t>
      </w:r>
      <w:r w:rsidRPr="00E41F23">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41F23">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41F23">
        <w:rPr>
          <w:rFonts w:ascii="Verdana" w:eastAsia="Calibri" w:hAnsi="Verdana" w:cs="Arial"/>
          <w:sz w:val="20"/>
        </w:rPr>
        <w:t>”</w:t>
      </w:r>
      <w:r w:rsidRPr="00E41F23">
        <w:rPr>
          <w:rFonts w:ascii="Verdana" w:eastAsia="Calibri" w:hAnsi="Verdana" w:cs="Arial"/>
          <w:sz w:val="20"/>
          <w:lang w:val="es-MX"/>
        </w:rPr>
        <w:t>.</w:t>
      </w:r>
      <w:r w:rsidRPr="00E41F23">
        <w:rPr>
          <w:rFonts w:ascii="Verdana" w:eastAsia="Arial" w:hAnsi="Verdana" w:cs="Arial"/>
          <w:sz w:val="20"/>
          <w:lang w:val="es-ES" w:eastAsia="es-ES" w:bidi="es-ES"/>
        </w:rPr>
        <w:t xml:space="preserve"> </w:t>
      </w:r>
    </w:p>
    <w:p w14:paraId="26D1F3E7" w14:textId="77777777" w:rsidR="00B85E15" w:rsidRPr="00E41F23" w:rsidRDefault="00B85E15" w:rsidP="00B85E15">
      <w:pPr>
        <w:widowControl w:val="0"/>
        <w:autoSpaceDE w:val="0"/>
        <w:autoSpaceDN w:val="0"/>
        <w:spacing w:after="0" w:line="240" w:lineRule="auto"/>
        <w:ind w:right="113"/>
        <w:jc w:val="both"/>
        <w:rPr>
          <w:rFonts w:ascii="Verdana" w:eastAsia="Arial" w:hAnsi="Verdana" w:cs="Arial"/>
          <w:sz w:val="20"/>
          <w:lang w:val="es-ES" w:eastAsia="es-ES" w:bidi="es-ES"/>
        </w:rPr>
      </w:pPr>
    </w:p>
    <w:p w14:paraId="5F86B7DD" w14:textId="77777777" w:rsidR="00B85E15" w:rsidRPr="00E41F23" w:rsidRDefault="00B85E15" w:rsidP="00B85E15">
      <w:pPr>
        <w:spacing w:after="0" w:line="240" w:lineRule="auto"/>
        <w:jc w:val="both"/>
        <w:rPr>
          <w:rFonts w:ascii="Verdana" w:eastAsia="Times New Roman" w:hAnsi="Verdana" w:cs="Arial"/>
          <w:bCs/>
          <w:sz w:val="20"/>
          <w:lang w:val="es-ES" w:eastAsia="es-CO"/>
        </w:rPr>
      </w:pPr>
      <w:r w:rsidRPr="00E41F23">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E41F23">
        <w:rPr>
          <w:rFonts w:ascii="Verdana" w:eastAsia="Times New Roman" w:hAnsi="Verdana" w:cs="Arial"/>
          <w:bCs/>
          <w:sz w:val="20"/>
          <w:lang w:val="es-ES" w:eastAsia="es-CO"/>
        </w:rPr>
        <w:t xml:space="preserve">la existencia de los contratos estatales, es decir, la producción de efectos jurídicos en los términos del artículo 1501 </w:t>
      </w:r>
      <w:r w:rsidRPr="00E41F23">
        <w:rPr>
          <w:rFonts w:ascii="Verdana" w:eastAsia="Times New Roman" w:hAnsi="Verdana" w:cs="Arial"/>
          <w:bCs/>
          <w:i/>
          <w:sz w:val="20"/>
          <w:lang w:val="es-ES" w:eastAsia="es-CO"/>
        </w:rPr>
        <w:t>ibídem</w:t>
      </w:r>
      <w:r w:rsidRPr="00E41F23">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4E48760C" w14:textId="77777777" w:rsidR="00B85E15" w:rsidRPr="00682C93" w:rsidRDefault="00B85E15" w:rsidP="00B85E15">
      <w:pPr>
        <w:spacing w:after="0" w:line="240" w:lineRule="auto"/>
        <w:jc w:val="both"/>
        <w:rPr>
          <w:rFonts w:ascii="Verdana" w:hAnsi="Verdana" w:cs="Arial"/>
          <w:b/>
          <w:lang w:val="es-ES" w:eastAsia="es-ES_tradnl"/>
        </w:rPr>
      </w:pPr>
    </w:p>
    <w:p w14:paraId="4CE57F41" w14:textId="77777777" w:rsidR="00B85E15" w:rsidRPr="00682C93" w:rsidRDefault="00B85E15" w:rsidP="00B85E15">
      <w:pPr>
        <w:spacing w:after="0" w:line="240" w:lineRule="auto"/>
        <w:jc w:val="both"/>
        <w:rPr>
          <w:rFonts w:ascii="Verdana" w:hAnsi="Verdana" w:cs="Arial"/>
          <w:b/>
          <w:lang w:val="es-MX" w:eastAsia="es-ES_tradnl"/>
        </w:rPr>
      </w:pPr>
      <w:r w:rsidRPr="00682C93">
        <w:rPr>
          <w:rFonts w:ascii="Verdana" w:hAnsi="Verdana" w:cs="Arial"/>
          <w:b/>
          <w:lang w:val="es-MX" w:eastAsia="es-ES_tradnl"/>
        </w:rPr>
        <w:lastRenderedPageBreak/>
        <w:t xml:space="preserve">LEY DE GARANTÍAS ELECTORALES – Contratos y convenios interadministrativos – Criterio orgánico </w:t>
      </w:r>
    </w:p>
    <w:p w14:paraId="1B4FB2BD" w14:textId="77777777" w:rsidR="00B85E15" w:rsidRDefault="00B85E15" w:rsidP="00B85E15">
      <w:pPr>
        <w:spacing w:after="0" w:line="240" w:lineRule="auto"/>
        <w:jc w:val="both"/>
        <w:rPr>
          <w:rFonts w:ascii="Verdana" w:hAnsi="Verdana" w:cs="Arial"/>
          <w:b/>
          <w:lang w:val="es-MX" w:eastAsia="es-ES_tradnl"/>
        </w:rPr>
      </w:pPr>
    </w:p>
    <w:p w14:paraId="5B88B322" w14:textId="77777777" w:rsidR="00B85E15" w:rsidRPr="00E41F23" w:rsidRDefault="00B85E15" w:rsidP="00B85E15">
      <w:pPr>
        <w:spacing w:after="0" w:line="240" w:lineRule="auto"/>
        <w:jc w:val="both"/>
        <w:rPr>
          <w:rFonts w:ascii="Verdana" w:eastAsia="Calibri" w:hAnsi="Verdana" w:cs="Arial"/>
          <w:sz w:val="20"/>
          <w:lang w:bidi="es-ES"/>
        </w:rPr>
      </w:pPr>
      <w:r w:rsidRPr="00E41F23">
        <w:rPr>
          <w:rFonts w:ascii="Verdana" w:eastAsia="Times New Roman" w:hAnsi="Verdana" w:cs="Arial"/>
          <w:sz w:val="20"/>
          <w:lang w:val="es-MX" w:eastAsia="x-none"/>
        </w:rPr>
        <w:t xml:space="preserve">Sobre este aspecto, es importante señalar que esta Subdirección, en los conceptos emitidos sobre la aplicación de la Ley de Garantías Electorales, ha defendido y mantenido la postura acerca de que la prohibición señalada en </w:t>
      </w:r>
      <w:r w:rsidRPr="00E41F23">
        <w:rPr>
          <w:rFonts w:ascii="Verdana" w:eastAsia="Arial" w:hAnsi="Verdana" w:cs="Arial"/>
          <w:sz w:val="20"/>
          <w:lang w:val="es-ES" w:eastAsia="es-ES" w:bidi="es-ES"/>
        </w:rPr>
        <w:t>e</w:t>
      </w:r>
      <w:r w:rsidRPr="00E41F23">
        <w:rPr>
          <w:rFonts w:ascii="Verdana" w:eastAsia="Calibri" w:hAnsi="Verdana" w:cs="Arial"/>
          <w:sz w:val="20"/>
        </w:rPr>
        <w:t xml:space="preserve">l parágrafo del artículo 38 cobija tanto a los convenios como a los contratos interadministrativos. Esta tesis se fundamenta en que </w:t>
      </w:r>
      <w:r w:rsidRPr="00E41F23">
        <w:rPr>
          <w:rFonts w:ascii="Verdana" w:eastAsia="Calibri" w:hAnsi="Verdana" w:cs="Arial"/>
          <w:sz w:val="20"/>
          <w:lang w:bidi="es-ES"/>
        </w:rPr>
        <w:t xml:space="preserve">si bien actualmente el Estatuto General de Contratación de la Administración Pública – en adelante EGCAP – se refiere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264CFB37" w14:textId="77777777" w:rsidR="00B85E15" w:rsidRPr="00682C93" w:rsidRDefault="00B85E15" w:rsidP="00B85E15">
      <w:pPr>
        <w:spacing w:after="0" w:line="240" w:lineRule="auto"/>
        <w:jc w:val="both"/>
        <w:rPr>
          <w:rFonts w:ascii="Verdana" w:hAnsi="Verdana" w:cs="Arial"/>
          <w:b/>
          <w:lang w:val="es-MX" w:eastAsia="es-ES_tradnl"/>
        </w:rPr>
      </w:pPr>
    </w:p>
    <w:p w14:paraId="724E3AFA" w14:textId="77777777" w:rsidR="00B85E15" w:rsidRDefault="00B85E15" w:rsidP="00B85E15">
      <w:pPr>
        <w:spacing w:after="0" w:line="240" w:lineRule="auto"/>
        <w:jc w:val="both"/>
        <w:rPr>
          <w:rFonts w:ascii="Verdana" w:hAnsi="Verdana" w:cs="Arial"/>
          <w:b/>
          <w:lang w:val="es-MX" w:eastAsia="es-ES_tradnl"/>
        </w:rPr>
      </w:pPr>
      <w:r w:rsidRPr="00682C93">
        <w:rPr>
          <w:rFonts w:ascii="Verdana" w:hAnsi="Verdana" w:cs="Arial"/>
          <w:b/>
          <w:lang w:val="es-MX" w:eastAsia="es-ES_tradnl"/>
        </w:rPr>
        <w:t>CONTRATOS Y CONVENIOS INTERADMINISTRATIVOS – Definición – Criterio org</w:t>
      </w:r>
      <w:r>
        <w:rPr>
          <w:rFonts w:ascii="Verdana" w:hAnsi="Verdana" w:cs="Arial"/>
          <w:b/>
          <w:lang w:val="es-MX" w:eastAsia="es-ES_tradnl"/>
        </w:rPr>
        <w:t>ánico</w:t>
      </w:r>
    </w:p>
    <w:p w14:paraId="3E398C65" w14:textId="77777777" w:rsidR="00B85E15" w:rsidRDefault="00B85E15" w:rsidP="00B85E15">
      <w:pPr>
        <w:spacing w:after="0" w:line="240" w:lineRule="auto"/>
        <w:jc w:val="both"/>
        <w:rPr>
          <w:rFonts w:ascii="Verdana" w:hAnsi="Verdana" w:cs="Arial"/>
          <w:b/>
          <w:lang w:val="es-MX" w:eastAsia="es-ES_tradnl"/>
        </w:rPr>
      </w:pPr>
    </w:p>
    <w:p w14:paraId="40CBD708" w14:textId="77777777" w:rsidR="00B85E15" w:rsidRPr="003F2A9C" w:rsidRDefault="00B85E15" w:rsidP="00B85E15">
      <w:pPr>
        <w:spacing w:after="0" w:line="240" w:lineRule="auto"/>
        <w:jc w:val="both"/>
        <w:rPr>
          <w:rFonts w:ascii="Verdana" w:hAnsi="Verdana" w:cs="Arial"/>
          <w:b/>
          <w:lang w:val="es-MX" w:eastAsia="es-ES_tradnl"/>
        </w:rPr>
      </w:pPr>
      <w:r w:rsidRPr="003F2A9C">
        <w:rPr>
          <w:rFonts w:ascii="Verdana" w:eastAsia="Calibri" w:hAnsi="Verdana" w:cs="Arial"/>
          <w:sz w:val="20"/>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3F2A9C">
        <w:rPr>
          <w:rFonts w:ascii="Verdana" w:eastAsia="Arial" w:hAnsi="Verdana" w:cs="Arial"/>
          <w:sz w:val="20"/>
          <w:lang w:val="es-ES" w:eastAsia="es-ES" w:bidi="es-ES"/>
        </w:rPr>
        <w:t>el legislador y el ordenamiento jurídico, en general, en distintas ocasiones utiliza de forma indistinta los conceptos de contrato o convenio para referirse a la misma institución jurídica. Incluso, la Corte Constitucional fundamenta la posibilidad de celebrar convenios interadministrativos de forma directa, con fundamento en la causal establecida en la Ley 1150 de 2007 respecto a los contratos int</w:t>
      </w:r>
      <w:r>
        <w:rPr>
          <w:rFonts w:ascii="Verdana" w:eastAsia="Arial" w:hAnsi="Verdana" w:cs="Arial"/>
          <w:sz w:val="20"/>
          <w:lang w:val="es-ES" w:eastAsia="es-ES" w:bidi="es-ES"/>
        </w:rPr>
        <w:t>eradministrativos</w:t>
      </w:r>
      <w:r w:rsidRPr="003F2A9C">
        <w:rPr>
          <w:rFonts w:ascii="Verdana" w:eastAsia="Arial" w:hAnsi="Verdana" w:cs="Arial"/>
          <w:sz w:val="20"/>
          <w:lang w:val="es-ES" w:eastAsia="es-ES" w:bidi="es-ES"/>
        </w:rPr>
        <w:t>.</w:t>
      </w:r>
    </w:p>
    <w:p w14:paraId="67052DAA" w14:textId="77777777" w:rsidR="00B85E15" w:rsidRPr="003F2A9C" w:rsidRDefault="00B85E15" w:rsidP="00B85E15">
      <w:pPr>
        <w:spacing w:after="0" w:line="240" w:lineRule="auto"/>
        <w:jc w:val="both"/>
        <w:rPr>
          <w:rFonts w:ascii="Verdana" w:eastAsia="Calibri" w:hAnsi="Verdana" w:cs="Arial"/>
          <w:sz w:val="20"/>
          <w:lang w:bidi="es-ES"/>
        </w:rPr>
      </w:pPr>
    </w:p>
    <w:p w14:paraId="4CB5B1D7" w14:textId="77777777" w:rsidR="00B85E15" w:rsidRDefault="00B85E15" w:rsidP="00B85E15">
      <w:pPr>
        <w:spacing w:after="0" w:line="240" w:lineRule="auto"/>
        <w:jc w:val="both"/>
        <w:rPr>
          <w:rFonts w:ascii="Verdana" w:eastAsia="Arial" w:hAnsi="Verdana" w:cs="Arial"/>
          <w:sz w:val="20"/>
          <w:lang w:val="es-ES" w:eastAsia="es-ES" w:bidi="es-ES"/>
        </w:rPr>
      </w:pPr>
      <w:r w:rsidRPr="003F2A9C">
        <w:rPr>
          <w:rFonts w:ascii="Verdana" w:eastAsia="Calibri" w:hAnsi="Verdana" w:cs="Arial"/>
          <w:sz w:val="20"/>
          <w:lang w:val="es-ES" w:bidi="es-ES"/>
        </w:rPr>
        <w:t>De este modo, en la Circular Externa</w:t>
      </w:r>
      <w:r w:rsidRPr="003F2A9C">
        <w:rPr>
          <w:rFonts w:ascii="Verdana" w:eastAsia="Arial" w:hAnsi="Verdana" w:cs="Arial"/>
          <w:sz w:val="20"/>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w:t>
      </w:r>
      <w:r>
        <w:rPr>
          <w:rFonts w:ascii="Verdana" w:eastAsia="Arial" w:hAnsi="Verdana" w:cs="Arial"/>
          <w:sz w:val="20"/>
          <w:lang w:val="es-ES" w:eastAsia="es-ES" w:bidi="es-ES"/>
        </w:rPr>
        <w:t>.</w:t>
      </w:r>
    </w:p>
    <w:p w14:paraId="71747233" w14:textId="77777777" w:rsidR="00B85E15" w:rsidRDefault="00B85E15" w:rsidP="00B85E15">
      <w:pPr>
        <w:spacing w:after="0"/>
        <w:rPr>
          <w:rFonts w:ascii="Verdana" w:hAnsi="Verdana"/>
        </w:rPr>
      </w:pPr>
    </w:p>
    <w:p w14:paraId="1B4DFA5A" w14:textId="77777777" w:rsidR="00B85E15" w:rsidRDefault="00B85E15" w:rsidP="00B85E15">
      <w:pPr>
        <w:spacing w:after="0"/>
        <w:jc w:val="both"/>
        <w:rPr>
          <w:rFonts w:ascii="Verdana" w:hAnsi="Verdana"/>
          <w:b/>
        </w:rPr>
      </w:pPr>
      <w:r w:rsidRPr="00206CC8">
        <w:rPr>
          <w:rFonts w:ascii="Verdana" w:hAnsi="Verdana" w:cs="Arial"/>
          <w:b/>
          <w:lang w:val="es-MX" w:eastAsia="es-ES_tradnl"/>
        </w:rPr>
        <w:t>CONTRATOS Y CONVENIOS INTERADMINISTRATIVOS – Circular Externa Única – Auto de suspensión –numeral 16.2.</w:t>
      </w:r>
    </w:p>
    <w:p w14:paraId="198A10DC" w14:textId="77777777" w:rsidR="00B85E15" w:rsidRDefault="00B85E15" w:rsidP="00B85E15">
      <w:pPr>
        <w:spacing w:after="0"/>
        <w:jc w:val="both"/>
        <w:rPr>
          <w:rFonts w:ascii="Verdana" w:hAnsi="Verdana"/>
          <w:b/>
        </w:rPr>
      </w:pPr>
    </w:p>
    <w:p w14:paraId="60B58A4F" w14:textId="77777777" w:rsidR="00B85E15" w:rsidRPr="00206CC8" w:rsidRDefault="00B85E15" w:rsidP="00B85E15">
      <w:pPr>
        <w:spacing w:after="0" w:line="240" w:lineRule="auto"/>
        <w:jc w:val="both"/>
        <w:rPr>
          <w:rFonts w:ascii="Verdana" w:hAnsi="Verdana"/>
          <w:sz w:val="18"/>
          <w:szCs w:val="20"/>
        </w:rPr>
      </w:pPr>
      <w:r w:rsidRPr="00206CC8">
        <w:rPr>
          <w:rFonts w:ascii="Verdana" w:eastAsia="Arial" w:hAnsi="Verdana" w:cs="Arial"/>
          <w:sz w:val="20"/>
          <w:lang w:val="es-MX" w:eastAsia="es-ES" w:bidi="es-ES"/>
        </w:rPr>
        <w:t xml:space="preserve">[…] conviene señalar que, mediante auto de 4 de octubre del 2024, el Consejo de Estado, Sección Tercera, decretó medida de suspensión provisional parcial del </w:t>
      </w:r>
      <w:r w:rsidRPr="00206CC8">
        <w:rPr>
          <w:rFonts w:ascii="Verdana" w:hAnsi="Verdana"/>
          <w:sz w:val="20"/>
        </w:rPr>
        <w:t>numeral 16.2 de la Circular Externa Única de 2022 expedida por la Agencia Nacional de Contratación Pública -Colombia Compra Eficiente-, concretamente, respecto de los siguientes apartes normativos</w:t>
      </w:r>
      <w:r w:rsidRPr="00206CC8">
        <w:rPr>
          <w:rFonts w:ascii="Verdana" w:hAnsi="Verdana"/>
          <w:sz w:val="18"/>
          <w:szCs w:val="20"/>
        </w:rPr>
        <w:t xml:space="preserve"> </w:t>
      </w:r>
    </w:p>
    <w:p w14:paraId="2F87CFFE" w14:textId="77777777" w:rsidR="00B85E15" w:rsidRPr="00206CC8" w:rsidRDefault="00B85E15" w:rsidP="00B85E15">
      <w:pPr>
        <w:spacing w:after="0" w:line="240" w:lineRule="auto"/>
        <w:ind w:left="709" w:right="709"/>
        <w:jc w:val="both"/>
        <w:rPr>
          <w:rFonts w:ascii="Verdana" w:hAnsi="Verdana"/>
          <w:sz w:val="20"/>
        </w:rPr>
      </w:pPr>
    </w:p>
    <w:p w14:paraId="08430E35" w14:textId="77777777" w:rsidR="00B85E15" w:rsidRDefault="00B85E15" w:rsidP="00B85E15">
      <w:pPr>
        <w:spacing w:after="0" w:line="240" w:lineRule="auto"/>
        <w:jc w:val="both"/>
        <w:rPr>
          <w:rFonts w:ascii="Verdana" w:eastAsia="Arial" w:hAnsi="Verdana" w:cs="Arial"/>
          <w:i/>
          <w:iCs/>
          <w:sz w:val="20"/>
          <w:lang w:eastAsia="es-ES" w:bidi="es-ES"/>
        </w:rPr>
      </w:pPr>
      <w:r w:rsidRPr="00206CC8">
        <w:rPr>
          <w:rFonts w:ascii="Verdana" w:eastAsia="Arial" w:hAnsi="Verdana" w:cs="Arial"/>
          <w:sz w:val="20"/>
          <w:lang w:val="es-MX" w:eastAsia="es-ES" w:bidi="es-ES"/>
        </w:rPr>
        <w:t xml:space="preserve">De conformidad con los argumentos de dicha providencia, se parte de la distinción entre los conceptos </w:t>
      </w:r>
      <w:r w:rsidRPr="00206CC8">
        <w:rPr>
          <w:rFonts w:ascii="Verdana" w:eastAsia="Arial" w:hAnsi="Verdana" w:cs="Arial"/>
          <w:sz w:val="20"/>
          <w:lang w:eastAsia="es-ES" w:bidi="es-ES"/>
        </w:rPr>
        <w:t xml:space="preserve">de “convenio” y “contrato” interadministrativos, para diferenciarlos en su </w:t>
      </w:r>
      <w:r w:rsidRPr="00206CC8">
        <w:rPr>
          <w:rFonts w:ascii="Verdana" w:eastAsia="Arial" w:hAnsi="Verdana" w:cs="Arial"/>
          <w:sz w:val="20"/>
          <w:lang w:eastAsia="es-ES" w:bidi="es-ES"/>
        </w:rPr>
        <w:lastRenderedPageBreak/>
        <w:t xml:space="preserve">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206CC8">
        <w:rPr>
          <w:rFonts w:ascii="Verdana" w:eastAsia="Arial" w:hAnsi="Verdana" w:cs="Arial"/>
          <w:i/>
          <w:iCs/>
          <w:sz w:val="20"/>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206CC8">
        <w:rPr>
          <w:rFonts w:ascii="Verdana" w:eastAsia="Arial" w:hAnsi="Verdana" w:cs="Arial"/>
          <w:sz w:val="20"/>
          <w:lang w:eastAsia="es-ES" w:bidi="es-ES"/>
        </w:rPr>
        <w:t xml:space="preserve">Por tal motivo, para efectos de decretar la medida de suspensión provisional de los apartes señalados del numeral 16.2 de la Circular Externa Única, argumentó que </w:t>
      </w:r>
      <w:r w:rsidRPr="00206CC8">
        <w:rPr>
          <w:rFonts w:ascii="Verdana" w:eastAsia="Arial" w:hAnsi="Verdana" w:cs="Arial"/>
          <w:i/>
          <w:iCs/>
          <w:sz w:val="20"/>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0F84ACF2" w14:textId="77777777" w:rsidR="00B85E15" w:rsidRPr="00206CC8" w:rsidRDefault="00B85E15" w:rsidP="00B85E15">
      <w:pPr>
        <w:spacing w:after="0" w:line="240" w:lineRule="auto"/>
        <w:jc w:val="both"/>
        <w:rPr>
          <w:rFonts w:ascii="Verdana" w:eastAsia="Arial" w:hAnsi="Verdana" w:cs="Arial"/>
          <w:i/>
          <w:iCs/>
          <w:sz w:val="20"/>
          <w:lang w:val="es-MX" w:eastAsia="es-ES" w:bidi="es-ES"/>
        </w:rPr>
      </w:pPr>
    </w:p>
    <w:p w14:paraId="6FEB8166" w14:textId="77777777" w:rsidR="00B85E15" w:rsidRPr="00206CC8" w:rsidRDefault="00B85E15" w:rsidP="00B85E15">
      <w:pPr>
        <w:spacing w:after="0" w:line="240" w:lineRule="auto"/>
        <w:jc w:val="both"/>
        <w:rPr>
          <w:rFonts w:ascii="Verdana" w:eastAsia="Calibri" w:hAnsi="Verdana" w:cs="Arial"/>
          <w:sz w:val="20"/>
          <w:lang w:val="es-MX"/>
        </w:rPr>
      </w:pPr>
      <w:r w:rsidRPr="00206CC8">
        <w:rPr>
          <w:rFonts w:ascii="Verdana" w:eastAsia="Arial" w:hAnsi="Verdana" w:cs="Arial"/>
          <w:sz w:val="20"/>
          <w:lang w:val="es-MX" w:eastAsia="es-ES" w:bidi="es-ES"/>
        </w:rPr>
        <w:t xml:space="preserve">Bajo este contexto, esta Agencia debe manifestar que, si bien respeta y acata las decisiones proferidas por el Consejo de Estado, como es el caso del auto de suspensión provisional parcial del numeral </w:t>
      </w:r>
      <w:r w:rsidRPr="00206CC8">
        <w:rPr>
          <w:rFonts w:ascii="Verdana" w:eastAsia="Arial" w:hAnsi="Verdana" w:cs="Arial"/>
          <w:sz w:val="20"/>
          <w:lang w:eastAsia="es-ES" w:bidi="es-ES"/>
        </w:rPr>
        <w:t>16.2 de la Circular Externa Única</w:t>
      </w:r>
      <w:r w:rsidRPr="00206CC8">
        <w:rPr>
          <w:rFonts w:ascii="Verdana" w:eastAsia="Arial" w:hAnsi="Verdana" w:cs="Arial"/>
          <w:sz w:val="20"/>
          <w:lang w:val="es-MX" w:eastAsia="es-ES" w:bidi="es-ES"/>
        </w:rPr>
        <w:t xml:space="preserve">, no comparte los argumentos expuestos por dicha Corporación. Esto, en la medida que, a juicio de esta Entidad, señalar que la Ley de Garantías Electorales no aplica para el caso de los contratos interadministrativos deja sin efecto el propósito buscado por la norma, que no es otro que </w:t>
      </w:r>
      <w:r w:rsidRPr="00206CC8">
        <w:rPr>
          <w:rFonts w:ascii="Verdana" w:eastAsia="Times New Roman" w:hAnsi="Verdana" w:cs="Arial"/>
          <w:sz w:val="20"/>
          <w:lang w:val="es-MX" w:eastAsia="es-CO"/>
        </w:rPr>
        <w:t xml:space="preserve">evitar cualquier tipo de arbitrariedad, de ventaja injustificada, de uso irregular de los recursos del Estado en las campañas políticas, o que </w:t>
      </w:r>
      <w:r w:rsidRPr="00206CC8">
        <w:rPr>
          <w:rFonts w:ascii="Verdana" w:eastAsia="Calibri" w:hAnsi="Verdana" w:cs="Arial"/>
          <w:sz w:val="20"/>
          <w:lang w:val="es-MX"/>
        </w:rPr>
        <w:t xml:space="preserve">los recursos del Estado se ejecuten para lograr apoyos indebidos mediante la suscripción de contratos y/o convenios, que para efectos de la Ley de Garantías tienen la misma connotación y propósitos. </w:t>
      </w:r>
    </w:p>
    <w:p w14:paraId="0A6485D8" w14:textId="77777777" w:rsidR="00B85E15" w:rsidRDefault="00B85E15" w:rsidP="00CE1370">
      <w:pPr>
        <w:spacing w:after="0" w:line="240" w:lineRule="auto"/>
        <w:rPr>
          <w:rFonts w:ascii="Verdana" w:eastAsia="Geomanist Light" w:hAnsi="Verdana" w:cs="Arial"/>
          <w:color w:val="000000" w:themeColor="text1"/>
          <w:lang w:val="es-MX"/>
        </w:rPr>
      </w:pPr>
    </w:p>
    <w:p w14:paraId="46AC3EA5" w14:textId="77777777" w:rsidR="00B85E15" w:rsidRDefault="00B85E15" w:rsidP="00CE1370">
      <w:pPr>
        <w:spacing w:after="0" w:line="240" w:lineRule="auto"/>
        <w:rPr>
          <w:rFonts w:ascii="Verdana" w:eastAsia="Geomanist Light" w:hAnsi="Verdana" w:cs="Arial"/>
          <w:color w:val="000000" w:themeColor="text1"/>
          <w:lang w:val="es-MX"/>
        </w:rPr>
      </w:pPr>
    </w:p>
    <w:p w14:paraId="742A44E3" w14:textId="77777777" w:rsidR="00B85E15" w:rsidRDefault="00B85E15" w:rsidP="00CE1370">
      <w:pPr>
        <w:spacing w:after="0" w:line="240" w:lineRule="auto"/>
        <w:rPr>
          <w:rFonts w:ascii="Verdana" w:eastAsia="Geomanist Light" w:hAnsi="Verdana" w:cs="Arial"/>
          <w:color w:val="000000" w:themeColor="text1"/>
          <w:lang w:val="es-MX"/>
        </w:rPr>
      </w:pPr>
    </w:p>
    <w:p w14:paraId="3FA99A93" w14:textId="77777777" w:rsidR="00B85E15" w:rsidRDefault="00B85E15" w:rsidP="00CE1370">
      <w:pPr>
        <w:spacing w:after="0" w:line="240" w:lineRule="auto"/>
        <w:rPr>
          <w:rFonts w:ascii="Verdana" w:eastAsia="Geomanist Light" w:hAnsi="Verdana" w:cs="Arial"/>
          <w:color w:val="000000" w:themeColor="text1"/>
          <w:lang w:val="es-MX"/>
        </w:rPr>
      </w:pPr>
    </w:p>
    <w:p w14:paraId="39C228B3" w14:textId="77777777" w:rsidR="00B85E15" w:rsidRDefault="00B85E15" w:rsidP="00CE1370">
      <w:pPr>
        <w:spacing w:after="0" w:line="240" w:lineRule="auto"/>
        <w:rPr>
          <w:rFonts w:ascii="Verdana" w:eastAsia="Geomanist Light" w:hAnsi="Verdana" w:cs="Arial"/>
          <w:color w:val="000000" w:themeColor="text1"/>
          <w:lang w:val="es-MX"/>
        </w:rPr>
      </w:pPr>
    </w:p>
    <w:p w14:paraId="65E7F102" w14:textId="77777777" w:rsidR="00B85E15" w:rsidRDefault="00B85E15" w:rsidP="00CE1370">
      <w:pPr>
        <w:spacing w:after="0" w:line="240" w:lineRule="auto"/>
        <w:rPr>
          <w:rFonts w:ascii="Verdana" w:eastAsia="Geomanist Light" w:hAnsi="Verdana" w:cs="Arial"/>
          <w:color w:val="000000" w:themeColor="text1"/>
          <w:lang w:val="es-MX"/>
        </w:rPr>
      </w:pPr>
    </w:p>
    <w:p w14:paraId="730C4288" w14:textId="77777777" w:rsidR="00B85E15" w:rsidRDefault="00B85E15" w:rsidP="00CE1370">
      <w:pPr>
        <w:spacing w:after="0" w:line="240" w:lineRule="auto"/>
        <w:rPr>
          <w:rFonts w:ascii="Verdana" w:eastAsia="Geomanist Light" w:hAnsi="Verdana" w:cs="Arial"/>
          <w:color w:val="000000" w:themeColor="text1"/>
          <w:lang w:val="es-MX"/>
        </w:rPr>
      </w:pPr>
    </w:p>
    <w:p w14:paraId="0A26BFDF" w14:textId="77777777" w:rsidR="00B85E15" w:rsidRDefault="00B85E15" w:rsidP="00CE1370">
      <w:pPr>
        <w:spacing w:after="0" w:line="240" w:lineRule="auto"/>
        <w:rPr>
          <w:rFonts w:ascii="Verdana" w:eastAsia="Geomanist Light" w:hAnsi="Verdana" w:cs="Arial"/>
          <w:color w:val="000000" w:themeColor="text1"/>
          <w:lang w:val="es-MX"/>
        </w:rPr>
      </w:pPr>
    </w:p>
    <w:p w14:paraId="671411F8" w14:textId="77777777" w:rsidR="00B85E15" w:rsidRDefault="00B85E15" w:rsidP="00CE1370">
      <w:pPr>
        <w:spacing w:after="0" w:line="240" w:lineRule="auto"/>
        <w:rPr>
          <w:rFonts w:ascii="Verdana" w:eastAsia="Geomanist Light" w:hAnsi="Verdana" w:cs="Arial"/>
          <w:color w:val="000000" w:themeColor="text1"/>
          <w:lang w:val="es-MX"/>
        </w:rPr>
      </w:pPr>
    </w:p>
    <w:p w14:paraId="5A384EAC" w14:textId="77777777" w:rsidR="00B85E15" w:rsidRDefault="00B85E15" w:rsidP="00CE1370">
      <w:pPr>
        <w:spacing w:after="0" w:line="240" w:lineRule="auto"/>
        <w:rPr>
          <w:rFonts w:ascii="Verdana" w:eastAsia="Geomanist Light" w:hAnsi="Verdana" w:cs="Arial"/>
          <w:color w:val="000000" w:themeColor="text1"/>
          <w:lang w:val="es-MX"/>
        </w:rPr>
      </w:pPr>
    </w:p>
    <w:p w14:paraId="4F02B06F" w14:textId="77777777" w:rsidR="00B85E15" w:rsidRDefault="00B85E15" w:rsidP="00CE1370">
      <w:pPr>
        <w:spacing w:after="0" w:line="240" w:lineRule="auto"/>
        <w:rPr>
          <w:rFonts w:ascii="Verdana" w:eastAsia="Geomanist Light" w:hAnsi="Verdana" w:cs="Arial"/>
          <w:color w:val="000000" w:themeColor="text1"/>
          <w:lang w:val="es-MX"/>
        </w:rPr>
      </w:pPr>
    </w:p>
    <w:p w14:paraId="2B6B2B5A" w14:textId="77777777" w:rsidR="00B85E15" w:rsidRDefault="00B85E15" w:rsidP="00CE1370">
      <w:pPr>
        <w:spacing w:after="0" w:line="240" w:lineRule="auto"/>
        <w:rPr>
          <w:rFonts w:ascii="Verdana" w:eastAsia="Geomanist Light" w:hAnsi="Verdana" w:cs="Arial"/>
          <w:color w:val="000000" w:themeColor="text1"/>
          <w:lang w:val="es-MX"/>
        </w:rPr>
      </w:pPr>
    </w:p>
    <w:p w14:paraId="25AE0DB6" w14:textId="77777777" w:rsidR="00B85E15" w:rsidRDefault="00B85E15" w:rsidP="00CE1370">
      <w:pPr>
        <w:spacing w:after="0" w:line="240" w:lineRule="auto"/>
        <w:rPr>
          <w:rFonts w:ascii="Verdana" w:eastAsia="Geomanist Light" w:hAnsi="Verdana" w:cs="Arial"/>
          <w:color w:val="000000" w:themeColor="text1"/>
          <w:lang w:val="es-MX"/>
        </w:rPr>
      </w:pPr>
    </w:p>
    <w:p w14:paraId="35976111" w14:textId="77777777" w:rsidR="00B85E15" w:rsidRDefault="00B85E15" w:rsidP="00CE1370">
      <w:pPr>
        <w:spacing w:after="0" w:line="240" w:lineRule="auto"/>
        <w:rPr>
          <w:rFonts w:ascii="Verdana" w:eastAsia="Geomanist Light" w:hAnsi="Verdana" w:cs="Arial"/>
          <w:color w:val="000000" w:themeColor="text1"/>
          <w:lang w:val="es-MX"/>
        </w:rPr>
      </w:pPr>
    </w:p>
    <w:p w14:paraId="6A4AEFC6" w14:textId="77777777" w:rsidR="00B85E15" w:rsidRDefault="00B85E15" w:rsidP="00CE1370">
      <w:pPr>
        <w:spacing w:after="0" w:line="240" w:lineRule="auto"/>
        <w:rPr>
          <w:rFonts w:ascii="Verdana" w:eastAsia="Geomanist Light" w:hAnsi="Verdana" w:cs="Arial"/>
          <w:color w:val="000000" w:themeColor="text1"/>
          <w:lang w:val="es-MX"/>
        </w:rPr>
      </w:pPr>
    </w:p>
    <w:p w14:paraId="66DBF31A" w14:textId="77777777" w:rsidR="00B85E15" w:rsidRDefault="00B85E15" w:rsidP="00CE1370">
      <w:pPr>
        <w:spacing w:after="0" w:line="240" w:lineRule="auto"/>
        <w:rPr>
          <w:rFonts w:ascii="Verdana" w:eastAsia="Geomanist Light" w:hAnsi="Verdana" w:cs="Arial"/>
          <w:color w:val="000000" w:themeColor="text1"/>
          <w:lang w:val="es-MX"/>
        </w:rPr>
      </w:pPr>
    </w:p>
    <w:p w14:paraId="5ED68DBC" w14:textId="77777777" w:rsidR="00B85E15" w:rsidRDefault="00B85E15" w:rsidP="00CE1370">
      <w:pPr>
        <w:spacing w:after="0" w:line="240" w:lineRule="auto"/>
        <w:rPr>
          <w:rFonts w:ascii="Verdana" w:eastAsia="Geomanist Light" w:hAnsi="Verdana" w:cs="Arial"/>
          <w:color w:val="000000" w:themeColor="text1"/>
          <w:lang w:val="es-MX"/>
        </w:rPr>
      </w:pPr>
    </w:p>
    <w:p w14:paraId="1F1D56E1" w14:textId="77777777" w:rsidR="00B85E15" w:rsidRDefault="00B85E15" w:rsidP="00CE1370">
      <w:pPr>
        <w:spacing w:after="0" w:line="240" w:lineRule="auto"/>
        <w:rPr>
          <w:rFonts w:ascii="Verdana" w:eastAsia="Geomanist Light" w:hAnsi="Verdana" w:cs="Arial"/>
          <w:color w:val="000000" w:themeColor="text1"/>
          <w:lang w:val="es-MX"/>
        </w:rPr>
      </w:pPr>
    </w:p>
    <w:p w14:paraId="247659D0" w14:textId="77777777" w:rsidR="00B85E15" w:rsidRDefault="00B85E15" w:rsidP="00CE1370">
      <w:pPr>
        <w:spacing w:after="0" w:line="240" w:lineRule="auto"/>
        <w:rPr>
          <w:rFonts w:ascii="Verdana" w:eastAsia="Geomanist Light" w:hAnsi="Verdana" w:cs="Arial"/>
          <w:color w:val="000000" w:themeColor="text1"/>
          <w:lang w:val="es-MX"/>
        </w:rPr>
      </w:pPr>
    </w:p>
    <w:p w14:paraId="655D0DEE" w14:textId="77777777" w:rsidR="00B85E15" w:rsidRDefault="00B85E15" w:rsidP="00CE1370">
      <w:pPr>
        <w:spacing w:after="0" w:line="240" w:lineRule="auto"/>
        <w:rPr>
          <w:rFonts w:ascii="Verdana" w:eastAsia="Geomanist Light" w:hAnsi="Verdana" w:cs="Arial"/>
          <w:color w:val="000000" w:themeColor="text1"/>
          <w:lang w:val="es-MX"/>
        </w:rPr>
      </w:pPr>
    </w:p>
    <w:p w14:paraId="6AA0E314" w14:textId="6B60384F" w:rsidR="00CE1370" w:rsidRPr="00593A5F" w:rsidRDefault="00CE1370" w:rsidP="00CE1370">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1C0993">
        <w:rPr>
          <w:rFonts w:ascii="Verdana" w:eastAsia="Geomanist Light" w:hAnsi="Verdana" w:cs="Arial"/>
          <w:color w:val="000000" w:themeColor="text1"/>
          <w:lang w:val="es-MX"/>
        </w:rPr>
        <w:t>01</w:t>
      </w:r>
      <w:r w:rsidR="00FC1B30">
        <w:rPr>
          <w:rFonts w:ascii="Verdana" w:eastAsia="Geomanist Light" w:hAnsi="Verdana" w:cs="Arial"/>
          <w:color w:val="000000" w:themeColor="text1"/>
          <w:lang w:val="es-MX"/>
        </w:rPr>
        <w:t xml:space="preserve"> de Octubre de 2025</w:t>
      </w:r>
    </w:p>
    <w:p w14:paraId="39345A25" w14:textId="77777777" w:rsidR="00CE1370" w:rsidRDefault="00CE1370" w:rsidP="00CE1370">
      <w:pPr>
        <w:spacing w:after="0" w:line="240" w:lineRule="auto"/>
        <w:jc w:val="both"/>
        <w:rPr>
          <w:rFonts w:ascii="Verdana" w:eastAsia="Calibri" w:hAnsi="Verdana" w:cs="Arial"/>
          <w:color w:val="000000"/>
          <w:lang w:val="es-ES"/>
        </w:rPr>
      </w:pPr>
    </w:p>
    <w:p w14:paraId="28731C27" w14:textId="7D1C94E6" w:rsidR="00CE1370" w:rsidRDefault="008A3204" w:rsidP="008A3204">
      <w:pPr>
        <w:spacing w:after="0" w:line="240" w:lineRule="auto"/>
        <w:jc w:val="right"/>
        <w:rPr>
          <w:rFonts w:ascii="Verdana" w:eastAsia="Calibri" w:hAnsi="Verdana" w:cs="Arial"/>
          <w:color w:val="000000"/>
          <w:lang w:val="es-ES"/>
        </w:rPr>
      </w:pPr>
      <w:r w:rsidRPr="008A3204">
        <w:rPr>
          <w:rFonts w:ascii="Verdana" w:eastAsia="Calibri" w:hAnsi="Verdana" w:cs="Arial"/>
          <w:noProof/>
          <w:color w:val="000000"/>
          <w:lang w:val="es-ES"/>
        </w:rPr>
        <w:drawing>
          <wp:inline distT="0" distB="0" distL="0" distR="0" wp14:anchorId="4C894499" wp14:editId="491983F6">
            <wp:extent cx="2400300" cy="622300"/>
            <wp:effectExtent l="0" t="0" r="0" b="0"/>
            <wp:docPr id="5051864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186466" name=""/>
                    <pic:cNvPicPr/>
                  </pic:nvPicPr>
                  <pic:blipFill>
                    <a:blip r:embed="rId10"/>
                    <a:stretch>
                      <a:fillRect/>
                    </a:stretch>
                  </pic:blipFill>
                  <pic:spPr>
                    <a:xfrm>
                      <a:off x="0" y="0"/>
                      <a:ext cx="2400300" cy="622300"/>
                    </a:xfrm>
                    <a:prstGeom prst="rect">
                      <a:avLst/>
                    </a:prstGeom>
                  </pic:spPr>
                </pic:pic>
              </a:graphicData>
            </a:graphic>
          </wp:inline>
        </w:drawing>
      </w:r>
    </w:p>
    <w:p w14:paraId="7AAFCCA0" w14:textId="77777777" w:rsidR="008A3204" w:rsidRPr="00593A5F" w:rsidRDefault="008A3204" w:rsidP="00CE1370">
      <w:pPr>
        <w:spacing w:after="0" w:line="240" w:lineRule="auto"/>
        <w:jc w:val="both"/>
        <w:rPr>
          <w:rFonts w:ascii="Verdana" w:eastAsia="Calibri" w:hAnsi="Verdana" w:cs="Arial"/>
          <w:color w:val="000000"/>
          <w:lang w:val="es-ES"/>
        </w:rPr>
      </w:pPr>
    </w:p>
    <w:p w14:paraId="630BCE6C" w14:textId="559B9889" w:rsidR="00CE1370" w:rsidRPr="00B96799" w:rsidRDefault="00CE1370" w:rsidP="00CE1370">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r w:rsidR="001F3FD0">
        <w:rPr>
          <w:rFonts w:ascii="Verdana" w:eastAsia="Calibri" w:hAnsi="Verdana" w:cs="Arial"/>
          <w:lang w:val="es-ES" w:eastAsia="es-ES"/>
        </w:rPr>
        <w:t xml:space="preserve"> </w:t>
      </w:r>
    </w:p>
    <w:p w14:paraId="56FADF4C" w14:textId="77777777" w:rsidR="00CE1370" w:rsidRPr="0085423D" w:rsidRDefault="00CE1370" w:rsidP="00CE1370">
      <w:pPr>
        <w:spacing w:after="0" w:line="240" w:lineRule="auto"/>
        <w:rPr>
          <w:rFonts w:ascii="Verdana" w:eastAsia="Calibri" w:hAnsi="Verdana" w:cs="Arial"/>
          <w:b/>
          <w:lang w:val="es-ES_tradnl" w:eastAsia="es-ES_tradnl"/>
        </w:rPr>
      </w:pPr>
      <w:r w:rsidRPr="007458A3">
        <w:rPr>
          <w:rFonts w:ascii="Verdana" w:eastAsia="Calibri" w:hAnsi="Verdana" w:cs="Arial"/>
          <w:b/>
          <w:lang w:val="es-ES_tradnl" w:eastAsia="es-ES_tradnl"/>
        </w:rPr>
        <w:t>Angy Carolina Rojas Rivas</w:t>
      </w:r>
      <w:r>
        <w:rPr>
          <w:rFonts w:ascii="Verdana" w:eastAsia="Calibri" w:hAnsi="Verdana" w:cs="Arial"/>
          <w:b/>
          <w:lang w:val="es-ES_tradnl" w:eastAsia="es-ES_tradnl"/>
        </w:rPr>
        <w:t xml:space="preserve"> </w:t>
      </w:r>
    </w:p>
    <w:p w14:paraId="71554D2F" w14:textId="77777777" w:rsidR="00CE1370" w:rsidRPr="007458A3" w:rsidRDefault="00CE1370" w:rsidP="00CE1370">
      <w:pPr>
        <w:spacing w:after="0" w:line="240" w:lineRule="auto"/>
        <w:rPr>
          <w:rFonts w:ascii="Verdana" w:eastAsia="Calibri" w:hAnsi="Verdana" w:cs="Arial"/>
          <w:lang w:val="es-ES" w:eastAsia="es-ES"/>
        </w:rPr>
      </w:pPr>
      <w:hyperlink r:id="rId11" w:history="1">
        <w:r w:rsidRPr="00A81B71">
          <w:rPr>
            <w:rStyle w:val="Hipervnculo"/>
            <w:rFonts w:ascii="Verdana" w:hAnsi="Verdana"/>
          </w:rPr>
          <w:t>direccioncontratacion@caqueta.gov.co</w:t>
        </w:r>
      </w:hyperlink>
      <w:r>
        <w:rPr>
          <w:rFonts w:ascii="Verdana" w:hAnsi="Verdana"/>
        </w:rPr>
        <w:t xml:space="preserve"> </w:t>
      </w:r>
      <w:r w:rsidRPr="007458A3">
        <w:rPr>
          <w:rFonts w:ascii="Verdana" w:hAnsi="Verdana"/>
        </w:rPr>
        <w:t xml:space="preserve">          </w:t>
      </w:r>
      <w:r w:rsidRPr="007458A3">
        <w:rPr>
          <w:rFonts w:ascii="Verdana" w:eastAsia="Calibri" w:hAnsi="Verdana" w:cs="Arial"/>
          <w:lang w:val="es-ES" w:eastAsia="es-ES"/>
        </w:rPr>
        <w:t xml:space="preserve">    </w:t>
      </w:r>
    </w:p>
    <w:p w14:paraId="707EF776" w14:textId="77777777" w:rsidR="00CE1370" w:rsidRDefault="00CE1370" w:rsidP="00CE1370">
      <w:pPr>
        <w:spacing w:after="0" w:line="240" w:lineRule="auto"/>
        <w:rPr>
          <w:rFonts w:ascii="Verdana" w:eastAsia="Calibri" w:hAnsi="Verdana" w:cs="Arial"/>
          <w:lang w:val="es-ES" w:eastAsia="es-ES"/>
        </w:rPr>
      </w:pPr>
      <w:r>
        <w:rPr>
          <w:rFonts w:ascii="Verdana" w:eastAsia="Calibri" w:hAnsi="Verdana" w:cs="Arial"/>
          <w:lang w:val="es-ES" w:eastAsia="es-ES"/>
        </w:rPr>
        <w:t xml:space="preserve">Florencia, Caquetá </w:t>
      </w:r>
    </w:p>
    <w:p w14:paraId="51E85F94" w14:textId="77777777" w:rsidR="00CE1370" w:rsidRPr="00593A5F" w:rsidRDefault="00CE1370" w:rsidP="00CE1370">
      <w:pPr>
        <w:spacing w:after="0" w:line="240" w:lineRule="auto"/>
        <w:rPr>
          <w:rFonts w:ascii="Verdana" w:eastAsia="Calibri" w:hAnsi="Verdana" w:cs="Arial"/>
          <w:b/>
          <w:bCs/>
          <w:color w:val="000000"/>
          <w:lang w:val="es-ES_tradnl" w:eastAsia="es-ES_tradnl"/>
        </w:rPr>
      </w:pPr>
    </w:p>
    <w:p w14:paraId="5AA79864" w14:textId="77777777" w:rsidR="00CE1370" w:rsidRPr="00593A5F" w:rsidRDefault="00CE1370" w:rsidP="00CE1370">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E1370" w:rsidRPr="00593A5F" w14:paraId="6056ADEF" w14:textId="77777777" w:rsidTr="009B031D">
        <w:trPr>
          <w:trHeight w:val="884"/>
        </w:trPr>
        <w:tc>
          <w:tcPr>
            <w:tcW w:w="2689" w:type="dxa"/>
          </w:tcPr>
          <w:p w14:paraId="6A8E162F" w14:textId="77777777" w:rsidR="00CE1370" w:rsidRPr="00C00976" w:rsidRDefault="00CE1370" w:rsidP="009B031D">
            <w:pPr>
              <w:jc w:val="both"/>
              <w:rPr>
                <w:rFonts w:ascii="Verdana" w:eastAsia="Calibri" w:hAnsi="Verdana" w:cs="Arial"/>
                <w:b/>
                <w:bCs/>
                <w:color w:val="7030A0"/>
                <w:lang w:val="es-ES_tradnl" w:eastAsia="es-ES_tradnl"/>
              </w:rPr>
            </w:pPr>
          </w:p>
        </w:tc>
        <w:tc>
          <w:tcPr>
            <w:tcW w:w="6100" w:type="dxa"/>
          </w:tcPr>
          <w:p w14:paraId="67F5EB74" w14:textId="77777777" w:rsidR="00CE1370" w:rsidRPr="00C00976" w:rsidRDefault="00CE1370" w:rsidP="009B031D">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1350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CE1370" w:rsidRPr="00593A5F" w14:paraId="1138AB0D" w14:textId="77777777" w:rsidTr="009B031D">
        <w:trPr>
          <w:trHeight w:val="884"/>
        </w:trPr>
        <w:tc>
          <w:tcPr>
            <w:tcW w:w="2689" w:type="dxa"/>
          </w:tcPr>
          <w:p w14:paraId="785BA022" w14:textId="77777777" w:rsidR="00CE1370" w:rsidRPr="00593A5F" w:rsidRDefault="00CE1370" w:rsidP="009B031D">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6E1B3149" w14:textId="3A51130E" w:rsidR="00CE1370" w:rsidRPr="00A11406" w:rsidRDefault="00CE1370" w:rsidP="009B031D">
            <w:pPr>
              <w:spacing w:line="276" w:lineRule="auto"/>
              <w:jc w:val="both"/>
              <w:rPr>
                <w:rFonts w:ascii="Verdana" w:eastAsia="Calibri" w:hAnsi="Verdana" w:cs="Arial"/>
                <w:lang w:val="es-ES" w:eastAsia="es-ES"/>
              </w:rPr>
            </w:pPr>
            <w:r w:rsidRPr="00585B8F">
              <w:rPr>
                <w:rFonts w:ascii="Verdana" w:eastAsia="Calibri" w:hAnsi="Verdana" w:cs="Arial"/>
                <w:lang w:val="es-ES" w:eastAsia="es-ES"/>
              </w:rPr>
              <w:t xml:space="preserve">LEY DE GARANTÍAS ELECTORALES ‒ Finalidad / LEY DE GARANTÍAS ELECTORALES ‒ Tipos de restricciones ‒ Ámbito temporal – </w:t>
            </w:r>
            <w:r w:rsidR="001F3FD0">
              <w:rPr>
                <w:rFonts w:ascii="Verdana" w:eastAsia="Calibri" w:hAnsi="Verdana" w:cs="Arial"/>
                <w:lang w:val="es-ES" w:eastAsia="es-ES"/>
              </w:rPr>
              <w:t>C</w:t>
            </w:r>
            <w:r w:rsidRPr="00585B8F">
              <w:rPr>
                <w:rFonts w:ascii="Verdana" w:eastAsia="Calibri" w:hAnsi="Verdana" w:cs="Arial"/>
                <w:lang w:val="es-ES" w:eastAsia="es-ES"/>
              </w:rPr>
              <w:t>elebración- límite / LEY DE GARANTÍAS ELECTORALES – Contratos y convenios interadministrativos – Criterio orgánico / CONTRATOS Y CONVENIOS INTERADMINISTRATIVOS – Definición – Criterio orgánico / CONTRATOS Y CONVENIOS INTERADMINISTRATIVOS – Circular Externa Única – Auto de suspensión –</w:t>
            </w:r>
            <w:r w:rsidR="001F3FD0">
              <w:rPr>
                <w:rFonts w:ascii="Verdana" w:eastAsia="Calibri" w:hAnsi="Verdana" w:cs="Arial"/>
                <w:lang w:val="es-ES" w:eastAsia="es-ES"/>
              </w:rPr>
              <w:t>N</w:t>
            </w:r>
            <w:r w:rsidRPr="00585B8F">
              <w:rPr>
                <w:rFonts w:ascii="Verdana" w:eastAsia="Calibri" w:hAnsi="Verdana" w:cs="Arial"/>
                <w:lang w:val="es-ES" w:eastAsia="es-ES"/>
              </w:rPr>
              <w:t>umeral 16.2</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243E9DCE" w14:textId="77777777" w:rsidR="00CE1370" w:rsidRPr="00593A5F" w:rsidRDefault="00CE1370" w:rsidP="009B031D">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CE1370" w:rsidRPr="008E6AD9" w14:paraId="5D288EBE" w14:textId="77777777" w:rsidTr="009B031D">
        <w:tc>
          <w:tcPr>
            <w:tcW w:w="2689" w:type="dxa"/>
          </w:tcPr>
          <w:p w14:paraId="4606C293" w14:textId="77777777" w:rsidR="00CE1370" w:rsidRPr="008E6AD9" w:rsidRDefault="00CE1370" w:rsidP="009B031D">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C636BBB" w14:textId="77777777" w:rsidR="00CE1370" w:rsidRPr="00B92340" w:rsidRDefault="00CE1370" w:rsidP="009B031D">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94593D">
              <w:rPr>
                <w:rFonts w:ascii="Verdana" w:eastAsia="Calibri" w:hAnsi="Verdana" w:cs="Arial"/>
                <w:lang w:val="es-ES_tradnl" w:eastAsia="es-ES_tradnl"/>
              </w:rPr>
              <w:t>1_2025_09_19_010357</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77F8F67F" w14:textId="77777777" w:rsidR="00CE1370" w:rsidRPr="00593A5F" w:rsidRDefault="00CE1370" w:rsidP="00CE1370">
      <w:pPr>
        <w:spacing w:after="0" w:line="240" w:lineRule="auto"/>
        <w:jc w:val="both"/>
        <w:rPr>
          <w:rFonts w:ascii="Verdana" w:eastAsia="Calibri" w:hAnsi="Verdana" w:cs="Arial"/>
          <w:color w:val="000000"/>
          <w:lang w:val="es-ES_tradnl" w:eastAsia="es-ES_tradnl"/>
        </w:rPr>
      </w:pPr>
    </w:p>
    <w:p w14:paraId="2515606C" w14:textId="77777777" w:rsidR="00CE1370" w:rsidRPr="00593A5F" w:rsidRDefault="00CE1370" w:rsidP="00CE1370">
      <w:pPr>
        <w:spacing w:after="0" w:line="240" w:lineRule="auto"/>
        <w:jc w:val="both"/>
        <w:rPr>
          <w:rFonts w:ascii="Verdana" w:eastAsia="Calibri" w:hAnsi="Verdana" w:cs="Arial"/>
          <w:color w:val="000000"/>
          <w:lang w:val="es-ES_tradnl" w:eastAsia="es-ES_tradnl"/>
        </w:rPr>
      </w:pPr>
    </w:p>
    <w:p w14:paraId="4020D37F" w14:textId="77777777" w:rsidR="00CE1370" w:rsidRPr="008E6AD9" w:rsidRDefault="00CE1370" w:rsidP="00CE1370">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7458A3">
        <w:rPr>
          <w:rFonts w:ascii="Verdana" w:eastAsia="Calibri" w:hAnsi="Verdana" w:cs="Arial"/>
          <w:lang w:val="es-ES" w:eastAsia="es-ES"/>
        </w:rPr>
        <w:t>Rojas Rivas</w:t>
      </w:r>
      <w:r w:rsidRPr="008E6AD9">
        <w:rPr>
          <w:rFonts w:ascii="Verdana" w:eastAsia="Calibri" w:hAnsi="Verdana" w:cs="Arial"/>
          <w:lang w:val="es-ES" w:eastAsia="es-ES"/>
        </w:rPr>
        <w:t xml:space="preserve">: </w:t>
      </w:r>
    </w:p>
    <w:p w14:paraId="465E74D2" w14:textId="77777777" w:rsidR="00CE1370" w:rsidRDefault="00CE1370" w:rsidP="00CE1370">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0B47348" w14:textId="77777777" w:rsidR="00CE1370" w:rsidRPr="00593A5F" w:rsidRDefault="00CE1370" w:rsidP="00CE1370">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19 de septiembre de 2025</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 xml:space="preserve">en </w:t>
      </w:r>
      <w:r>
        <w:rPr>
          <w:rFonts w:ascii="Verdana" w:eastAsia="Calibri" w:hAnsi="Verdana" w:cs="Arial"/>
          <w:lang w:val="es-ES" w:eastAsia="es-ES"/>
        </w:rPr>
        <w:t>la cual plantea que</w:t>
      </w:r>
      <w:r w:rsidRPr="008E6AD9">
        <w:rPr>
          <w:rFonts w:ascii="Verdana" w:eastAsia="Calibri" w:hAnsi="Verdana" w:cs="Arial"/>
          <w:lang w:val="es-ES" w:eastAsia="es-ES"/>
        </w:rPr>
        <w:t xml:space="preserve">: </w:t>
      </w:r>
    </w:p>
    <w:p w14:paraId="15B76694" w14:textId="77777777" w:rsidR="00CE1370" w:rsidRPr="00272A7B" w:rsidRDefault="00CE1370" w:rsidP="00CE1370">
      <w:pPr>
        <w:pStyle w:val="Prrafodelista"/>
        <w:tabs>
          <w:tab w:val="left" w:pos="142"/>
          <w:tab w:val="left" w:pos="284"/>
        </w:tabs>
        <w:spacing w:after="0" w:line="276" w:lineRule="auto"/>
        <w:ind w:left="0"/>
        <w:jc w:val="both"/>
        <w:rPr>
          <w:rFonts w:ascii="Verdana" w:eastAsia="Century Gothic" w:hAnsi="Verdana" w:cs="Century Gothic"/>
          <w:b/>
          <w:bCs/>
        </w:rPr>
      </w:pPr>
    </w:p>
    <w:p w14:paraId="37E6F1F1" w14:textId="77777777" w:rsidR="00CE1370" w:rsidRPr="0087430D" w:rsidRDefault="00CE1370" w:rsidP="00CE1370">
      <w:pPr>
        <w:spacing w:after="120" w:line="240" w:lineRule="auto"/>
        <w:ind w:left="709" w:right="709"/>
        <w:jc w:val="both"/>
        <w:rPr>
          <w:rFonts w:ascii="Verdana" w:eastAsia="Century Gothic" w:hAnsi="Verdana" w:cs="Century Gothic"/>
          <w:sz w:val="20"/>
          <w:szCs w:val="20"/>
          <w:lang w:val="es-ES"/>
        </w:rPr>
      </w:pPr>
      <w:bookmarkStart w:id="0" w:name="_Hlk95313578"/>
      <w:r w:rsidRPr="0087430D">
        <w:rPr>
          <w:rFonts w:ascii="Verdana" w:eastAsia="Century Gothic" w:hAnsi="Verdana" w:cs="Century Gothic"/>
          <w:sz w:val="20"/>
          <w:szCs w:val="20"/>
          <w:lang w:val="es-ES"/>
        </w:rPr>
        <w:t>“</w:t>
      </w:r>
      <w:bookmarkEnd w:id="0"/>
      <w:r w:rsidRPr="0087430D">
        <w:rPr>
          <w:rFonts w:ascii="Verdana" w:eastAsia="Century Gothic" w:hAnsi="Verdana" w:cs="Century Gothic"/>
          <w:sz w:val="20"/>
          <w:szCs w:val="20"/>
          <w:lang w:val="es-ES"/>
        </w:rPr>
        <w:t>[…]</w:t>
      </w:r>
    </w:p>
    <w:p w14:paraId="31DC6A8A" w14:textId="77777777" w:rsidR="00CE1370" w:rsidRPr="0087430D" w:rsidRDefault="00CE1370" w:rsidP="00CE1370">
      <w:pPr>
        <w:spacing w:after="120" w:line="240" w:lineRule="auto"/>
        <w:ind w:left="709" w:right="709"/>
        <w:jc w:val="both"/>
        <w:rPr>
          <w:rFonts w:ascii="Verdana" w:eastAsia="Century Gothic" w:hAnsi="Verdana" w:cs="Century Gothic"/>
          <w:b/>
          <w:bCs/>
          <w:sz w:val="20"/>
          <w:szCs w:val="20"/>
          <w:lang w:val="es-ES"/>
        </w:rPr>
      </w:pPr>
      <w:r w:rsidRPr="0087430D">
        <w:rPr>
          <w:rFonts w:ascii="Verdana" w:eastAsia="Century Gothic" w:hAnsi="Verdana" w:cs="Century Gothic"/>
          <w:b/>
          <w:bCs/>
          <w:sz w:val="20"/>
          <w:szCs w:val="20"/>
          <w:lang w:val="es-ES"/>
        </w:rPr>
        <w:lastRenderedPageBreak/>
        <w:t>II. SITUACIÓN PARTICULAR DEL DEPARTAMENTO DEL CAQUETÁ</w:t>
      </w:r>
    </w:p>
    <w:p w14:paraId="6FF00E9D" w14:textId="77777777" w:rsidR="00CE1370" w:rsidRPr="0087430D" w:rsidRDefault="00CE1370" w:rsidP="00CE1370">
      <w:pPr>
        <w:spacing w:after="120" w:line="240" w:lineRule="auto"/>
        <w:ind w:left="709" w:right="709"/>
        <w:jc w:val="both"/>
        <w:rPr>
          <w:rFonts w:ascii="Verdana" w:eastAsia="Century Gothic" w:hAnsi="Verdana" w:cs="Century Gothic"/>
          <w:sz w:val="20"/>
          <w:szCs w:val="20"/>
          <w:lang w:val="es-ES"/>
        </w:rPr>
      </w:pPr>
      <w:r w:rsidRPr="0087430D">
        <w:rPr>
          <w:rFonts w:ascii="Verdana" w:eastAsia="Century Gothic" w:hAnsi="Verdana" w:cs="Century Gothic"/>
          <w:sz w:val="20"/>
          <w:szCs w:val="20"/>
          <w:lang w:val="es-ES"/>
        </w:rPr>
        <w:t>El Departamento del Caquetá, específicamente la Secretaría de salud, tiene la obligación constitucional y legal de garantizar la prestación continua de servicios de salud a la población no asegurada y la ejecución del PIC; Esta responsabilidad no puede suspenderse durante períodos electorales sin afectar gravemente el derecho fundamental a la salud de los habitantes del territorio; igualmente sucede con respecto al subsidio a la oferta; y en aras de no incurrir en violación a la normatividad y restricciones consagradas en el parágrafo del artículo 38, y artículo 33 de la ley 966 de 2005 se procede a realizar las presente consulta.</w:t>
      </w:r>
    </w:p>
    <w:p w14:paraId="676D9F1C" w14:textId="77777777" w:rsidR="00CE1370" w:rsidRPr="0087430D" w:rsidRDefault="00CE1370" w:rsidP="00CE1370">
      <w:pPr>
        <w:spacing w:after="120" w:line="240" w:lineRule="auto"/>
        <w:ind w:left="709" w:right="709"/>
        <w:jc w:val="both"/>
        <w:rPr>
          <w:rFonts w:ascii="Verdana" w:eastAsia="Century Gothic" w:hAnsi="Verdana" w:cs="Century Gothic"/>
          <w:b/>
          <w:bCs/>
          <w:sz w:val="20"/>
          <w:szCs w:val="20"/>
          <w:lang w:val="es-ES"/>
        </w:rPr>
      </w:pPr>
      <w:r w:rsidRPr="0087430D">
        <w:rPr>
          <w:rFonts w:ascii="Verdana" w:eastAsia="Century Gothic" w:hAnsi="Verdana" w:cs="Century Gothic"/>
          <w:b/>
          <w:bCs/>
          <w:sz w:val="20"/>
          <w:szCs w:val="20"/>
          <w:lang w:val="es-ES"/>
        </w:rPr>
        <w:t>III. CONSULTAS ESPECÍFICAS</w:t>
      </w:r>
    </w:p>
    <w:p w14:paraId="737DDB99" w14:textId="77777777" w:rsidR="00CE1370" w:rsidRPr="0087430D" w:rsidRDefault="00CE1370" w:rsidP="00CE1370">
      <w:pPr>
        <w:spacing w:after="120" w:line="240" w:lineRule="auto"/>
        <w:ind w:left="709" w:right="709"/>
        <w:jc w:val="both"/>
        <w:rPr>
          <w:rFonts w:ascii="Verdana" w:eastAsia="Century Gothic" w:hAnsi="Verdana" w:cs="Century Gothic"/>
          <w:sz w:val="20"/>
          <w:szCs w:val="20"/>
          <w:lang w:val="es-ES"/>
        </w:rPr>
      </w:pPr>
      <w:r w:rsidRPr="0087430D">
        <w:rPr>
          <w:rFonts w:ascii="Verdana" w:eastAsia="Century Gothic" w:hAnsi="Verdana" w:cs="Century Gothic"/>
          <w:b/>
          <w:bCs/>
          <w:sz w:val="20"/>
          <w:szCs w:val="20"/>
          <w:lang w:val="es-ES"/>
        </w:rPr>
        <w:t>CONSULTA 1:</w:t>
      </w:r>
      <w:r w:rsidRPr="0087430D">
        <w:rPr>
          <w:rFonts w:ascii="Verdana" w:eastAsia="Century Gothic" w:hAnsi="Verdana" w:cs="Century Gothic"/>
          <w:sz w:val="20"/>
          <w:szCs w:val="20"/>
          <w:lang w:val="es-ES"/>
        </w:rPr>
        <w:t xml:space="preserve"> La prohibición del Parágrafo del articulo 38 donde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¿incluye la celebración de contratos interadministrativos?</w:t>
      </w:r>
    </w:p>
    <w:p w14:paraId="3E5E6209" w14:textId="77777777" w:rsidR="00CE1370" w:rsidRPr="0087430D" w:rsidRDefault="00CE1370" w:rsidP="00CE1370">
      <w:pPr>
        <w:spacing w:after="120" w:line="240" w:lineRule="auto"/>
        <w:ind w:left="709" w:right="709"/>
        <w:jc w:val="both"/>
        <w:rPr>
          <w:rFonts w:ascii="Verdana" w:eastAsia="Century Gothic" w:hAnsi="Verdana" w:cs="Century Gothic"/>
          <w:sz w:val="20"/>
          <w:szCs w:val="20"/>
          <w:lang w:val="es-ES"/>
        </w:rPr>
      </w:pPr>
      <w:r w:rsidRPr="0087430D">
        <w:rPr>
          <w:rFonts w:ascii="Verdana" w:eastAsia="Century Gothic" w:hAnsi="Verdana" w:cs="Century Gothic"/>
          <w:b/>
          <w:bCs/>
          <w:sz w:val="20"/>
          <w:szCs w:val="20"/>
          <w:lang w:val="es-ES"/>
        </w:rPr>
        <w:t>CONSULTA 2:</w:t>
      </w:r>
      <w:r w:rsidRPr="0087430D">
        <w:rPr>
          <w:rFonts w:ascii="Verdana" w:eastAsia="Century Gothic" w:hAnsi="Verdana" w:cs="Century Gothic"/>
          <w:sz w:val="20"/>
          <w:szCs w:val="20"/>
          <w:lang w:val="es-ES"/>
        </w:rPr>
        <w:t xml:space="preserve"> ¿Qué figura jurídica recomienda Colombia Compra eficiente para la contratación de los servicios de salud desplegados por las secretarias de salud durante períodos electorales, sin incurrir en violación de la ley 996 de 2005, siendo estas NO entidades sanitarias si no autoridades sanitarias</w:t>
      </w:r>
    </w:p>
    <w:p w14:paraId="45E3CADC" w14:textId="77777777" w:rsidR="00CE1370" w:rsidRPr="0087430D" w:rsidRDefault="00CE1370" w:rsidP="00CE1370">
      <w:pPr>
        <w:spacing w:after="120" w:line="240" w:lineRule="auto"/>
        <w:ind w:left="709" w:right="709"/>
        <w:jc w:val="both"/>
        <w:rPr>
          <w:rFonts w:ascii="Verdana" w:eastAsia="Century Gothic" w:hAnsi="Verdana" w:cs="Century Gothic"/>
          <w:sz w:val="20"/>
          <w:szCs w:val="20"/>
          <w:lang w:val="es-ES"/>
        </w:rPr>
      </w:pPr>
      <w:r w:rsidRPr="0087430D">
        <w:rPr>
          <w:rFonts w:ascii="Verdana" w:eastAsia="Century Gothic" w:hAnsi="Verdana" w:cs="Century Gothic"/>
          <w:b/>
          <w:bCs/>
          <w:sz w:val="20"/>
          <w:szCs w:val="20"/>
          <w:lang w:val="es-ES"/>
        </w:rPr>
        <w:t>CONSULTA 3:</w:t>
      </w:r>
      <w:r w:rsidRPr="0087430D">
        <w:rPr>
          <w:rFonts w:ascii="Verdana" w:eastAsia="Century Gothic" w:hAnsi="Verdana" w:cs="Century Gothic"/>
          <w:sz w:val="20"/>
          <w:szCs w:val="20"/>
          <w:lang w:val="es-ES"/>
        </w:rPr>
        <w:t xml:space="preserve"> ¿Qué medidas administrativas y presupuestales específicas recomienda Colombia Compra Eficiente a las entidades territoriales para la adecuada planeación y programación de los servicios de salud, evitando interrupciones en la prestación durante períodos electorales?</w:t>
      </w:r>
    </w:p>
    <w:p w14:paraId="4EEA40B9" w14:textId="77777777" w:rsidR="00CE1370" w:rsidRPr="0087430D" w:rsidRDefault="00CE1370" w:rsidP="00CE1370">
      <w:pPr>
        <w:spacing w:after="120" w:line="240" w:lineRule="auto"/>
        <w:ind w:left="709" w:right="709"/>
        <w:jc w:val="both"/>
        <w:rPr>
          <w:rFonts w:ascii="Verdana" w:eastAsia="Century Gothic" w:hAnsi="Verdana" w:cs="Century Gothic"/>
          <w:sz w:val="20"/>
          <w:szCs w:val="20"/>
          <w:lang w:val="es-ES"/>
        </w:rPr>
      </w:pPr>
      <w:r w:rsidRPr="0087430D">
        <w:rPr>
          <w:rFonts w:ascii="Verdana" w:eastAsia="Century Gothic" w:hAnsi="Verdana" w:cs="Century Gothic"/>
          <w:b/>
          <w:bCs/>
          <w:sz w:val="20"/>
          <w:szCs w:val="20"/>
          <w:lang w:val="es-ES"/>
        </w:rPr>
        <w:t>CONSULTA 4:</w:t>
      </w:r>
      <w:r w:rsidRPr="0087430D">
        <w:rPr>
          <w:rFonts w:ascii="Verdana" w:eastAsia="Century Gothic" w:hAnsi="Verdana" w:cs="Century Gothic"/>
          <w:sz w:val="20"/>
          <w:szCs w:val="20"/>
          <w:lang w:val="es-ES"/>
        </w:rPr>
        <w:t xml:space="preserve"> ¿Emitirá Colombia Compra Eficiente una circular o directriz específica dirigida a todas las entidades territoriales con instrucciones precisas sobre el manejo de estos recursos y contratos durante la aplicación de la Ley de Garantías?</w:t>
      </w:r>
    </w:p>
    <w:p w14:paraId="0BC1DB24" w14:textId="77777777" w:rsidR="00CE1370" w:rsidRPr="0087430D" w:rsidRDefault="00CE1370" w:rsidP="00CE1370">
      <w:pPr>
        <w:spacing w:after="120" w:line="240" w:lineRule="auto"/>
        <w:ind w:left="709" w:right="709"/>
        <w:jc w:val="both"/>
        <w:rPr>
          <w:rFonts w:ascii="Verdana" w:eastAsia="Century Gothic" w:hAnsi="Verdana" w:cs="Century Gothic"/>
          <w:sz w:val="20"/>
          <w:szCs w:val="20"/>
          <w:lang w:val="es-ES"/>
        </w:rPr>
      </w:pPr>
      <w:r w:rsidRPr="0087430D">
        <w:rPr>
          <w:rFonts w:ascii="Verdana" w:eastAsia="Century Gothic" w:hAnsi="Verdana" w:cs="Century Gothic"/>
          <w:b/>
          <w:bCs/>
          <w:sz w:val="20"/>
          <w:szCs w:val="20"/>
          <w:lang w:val="es-ES"/>
        </w:rPr>
        <w:t>CONSULTA 5:</w:t>
      </w:r>
      <w:r w:rsidRPr="0087430D">
        <w:rPr>
          <w:rFonts w:ascii="Verdana" w:eastAsia="Century Gothic" w:hAnsi="Verdana" w:cs="Century Gothic"/>
          <w:sz w:val="20"/>
          <w:szCs w:val="20"/>
          <w:lang w:val="es-ES"/>
        </w:rPr>
        <w:t xml:space="preserve"> Dentro del concepto que trae el articulo 33 de la le 996 de 2005; cubrir </w:t>
      </w:r>
      <w:r w:rsidRPr="0087430D">
        <w:rPr>
          <w:rFonts w:ascii="Verdana" w:eastAsia="Century Gothic" w:hAnsi="Verdana" w:cs="Century Gothic"/>
          <w:b/>
          <w:bCs/>
          <w:i/>
          <w:iCs/>
          <w:sz w:val="20"/>
          <w:szCs w:val="20"/>
          <w:lang w:val="es-ES"/>
        </w:rPr>
        <w:t>las emergencias educativas, sanitarias y desastres</w:t>
      </w:r>
      <w:r w:rsidRPr="0087430D">
        <w:rPr>
          <w:rFonts w:ascii="Verdana" w:eastAsia="Century Gothic" w:hAnsi="Verdana" w:cs="Century Gothic"/>
          <w:sz w:val="20"/>
          <w:szCs w:val="20"/>
          <w:lang w:val="es-ES"/>
        </w:rPr>
        <w:t>, hace referencia a que estas deben ser inmediatas; al hablar de inmediatez, ¿a cuánto tiempo se refiere?</w:t>
      </w:r>
    </w:p>
    <w:p w14:paraId="2700B711" w14:textId="77777777" w:rsidR="00CE1370" w:rsidRPr="0087430D" w:rsidRDefault="00CE1370" w:rsidP="00CE1370">
      <w:pPr>
        <w:spacing w:after="0" w:line="240" w:lineRule="auto"/>
        <w:ind w:left="709" w:right="709"/>
        <w:jc w:val="both"/>
        <w:rPr>
          <w:rFonts w:ascii="Verdana" w:eastAsia="Century Gothic" w:hAnsi="Verdana" w:cs="Century Gothic"/>
          <w:sz w:val="20"/>
          <w:szCs w:val="20"/>
          <w:lang w:val="es-ES"/>
        </w:rPr>
      </w:pPr>
      <w:r w:rsidRPr="0087430D">
        <w:rPr>
          <w:rFonts w:ascii="Verdana" w:eastAsia="Century Gothic" w:hAnsi="Verdana" w:cs="Century Gothic"/>
          <w:b/>
          <w:bCs/>
          <w:sz w:val="20"/>
          <w:szCs w:val="20"/>
          <w:lang w:val="es-ES"/>
        </w:rPr>
        <w:t>CONSULTA 6:</w:t>
      </w:r>
      <w:r w:rsidRPr="0087430D">
        <w:rPr>
          <w:rFonts w:ascii="Verdana" w:eastAsia="Century Gothic" w:hAnsi="Verdana" w:cs="Century Gothic"/>
          <w:sz w:val="20"/>
          <w:szCs w:val="20"/>
          <w:lang w:val="es-ES"/>
        </w:rPr>
        <w:t xml:space="preserve"> Al quedar los servicios de salud sin contratar dentro los términos que dispone la ley de garantías; ¿se puede considerar que la falta de prestación de servicios que realiza la secretaría de salud, sea una emergencia sanitaria?”.</w:t>
      </w:r>
    </w:p>
    <w:p w14:paraId="617BC97C" w14:textId="77777777" w:rsidR="00CE1370" w:rsidRPr="008E6AD9" w:rsidRDefault="00CE1370" w:rsidP="00CE1370">
      <w:pPr>
        <w:pStyle w:val="Prrafodelista"/>
        <w:tabs>
          <w:tab w:val="left" w:pos="142"/>
          <w:tab w:val="left" w:pos="284"/>
        </w:tabs>
        <w:spacing w:after="0" w:line="276" w:lineRule="auto"/>
        <w:ind w:left="0"/>
        <w:jc w:val="both"/>
        <w:rPr>
          <w:rFonts w:ascii="Verdana" w:eastAsia="Century Gothic" w:hAnsi="Verdana" w:cs="Century Gothic"/>
          <w:b/>
          <w:bCs/>
        </w:rPr>
      </w:pPr>
    </w:p>
    <w:p w14:paraId="64ED90BB" w14:textId="77777777" w:rsidR="00CE1370" w:rsidRPr="00A652FF" w:rsidRDefault="00CE1370" w:rsidP="00CE1370">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w:t>
      </w:r>
      <w:r w:rsidRPr="00593A5F">
        <w:rPr>
          <w:rFonts w:ascii="Verdana" w:eastAsia="Calibri" w:hAnsi="Verdana" w:cs="Arial"/>
          <w:color w:val="000000"/>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8D64B5A" w14:textId="77777777" w:rsidR="00CE1370" w:rsidRDefault="00CE1370" w:rsidP="00CE1370">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20156103" w14:textId="77777777" w:rsidR="00CE1370" w:rsidRPr="00593A5F" w:rsidRDefault="00CE1370" w:rsidP="00CE1370">
      <w:pPr>
        <w:spacing w:after="0" w:line="276" w:lineRule="auto"/>
        <w:ind w:firstLine="709"/>
        <w:jc w:val="both"/>
        <w:rPr>
          <w:rFonts w:ascii="Verdana" w:eastAsia="Calibri" w:hAnsi="Verdana" w:cs="Arial"/>
          <w:color w:val="000000"/>
          <w:lang w:val="es-ES" w:eastAsia="es-ES"/>
        </w:rPr>
      </w:pPr>
    </w:p>
    <w:p w14:paraId="6F377519" w14:textId="77777777" w:rsidR="00CE1370" w:rsidRPr="00593A5F" w:rsidRDefault="00CE1370" w:rsidP="00CE137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3D942516" w14:textId="77777777" w:rsidR="00CE1370" w:rsidRPr="00593A5F" w:rsidRDefault="00CE1370" w:rsidP="00CE1370">
      <w:pPr>
        <w:tabs>
          <w:tab w:val="left" w:pos="426"/>
        </w:tabs>
        <w:spacing w:after="0" w:line="276" w:lineRule="auto"/>
        <w:jc w:val="both"/>
        <w:rPr>
          <w:rFonts w:ascii="Verdana" w:eastAsia="Century Gothic" w:hAnsi="Verdana" w:cs="Century Gothic"/>
          <w:lang w:val="es-ES"/>
        </w:rPr>
      </w:pPr>
    </w:p>
    <w:p w14:paraId="775F9122" w14:textId="77777777" w:rsidR="00CE1370" w:rsidRPr="00593A5F" w:rsidRDefault="00CE1370" w:rsidP="00CE1370">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¿cuál es el marco normativo para interpretación general de las restricciones previstas en los artículos 33 y 38 de la Ley 996 de 2005?</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284FC4E2" w14:textId="77777777" w:rsidR="00CE1370" w:rsidRPr="004B140F" w:rsidRDefault="00CE1370" w:rsidP="00CE1370">
      <w:pPr>
        <w:spacing w:after="0" w:line="276" w:lineRule="auto"/>
        <w:jc w:val="both"/>
        <w:rPr>
          <w:rFonts w:ascii="Verdana" w:eastAsia="Calibri" w:hAnsi="Verdana" w:cs="Arial"/>
          <w:color w:val="7030A0"/>
        </w:rPr>
      </w:pPr>
    </w:p>
    <w:p w14:paraId="1740CB6D" w14:textId="77777777" w:rsidR="00CE1370" w:rsidRPr="00593A5F" w:rsidRDefault="00CE1370" w:rsidP="00CE137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BC8C65A" w14:textId="77777777" w:rsidR="00CE1370" w:rsidRPr="00593A5F" w:rsidRDefault="00CE1370" w:rsidP="00CE1370">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E1370" w:rsidRPr="00593A5F" w14:paraId="0B62FB07" w14:textId="77777777" w:rsidTr="009B031D">
        <w:trPr>
          <w:jc w:val="center"/>
        </w:trPr>
        <w:tc>
          <w:tcPr>
            <w:tcW w:w="8828" w:type="dxa"/>
          </w:tcPr>
          <w:p w14:paraId="506E358C" w14:textId="77777777" w:rsidR="00CE1370" w:rsidRDefault="00CE1370" w:rsidP="009B031D">
            <w:pPr>
              <w:spacing w:after="120" w:line="276" w:lineRule="auto"/>
              <w:ind w:right="51"/>
              <w:jc w:val="both"/>
              <w:rPr>
                <w:rFonts w:ascii="Verdana" w:hAnsi="Verdana"/>
              </w:rPr>
            </w:pPr>
            <w:bookmarkStart w:id="1" w:name="_Hlk171694685"/>
            <w:r>
              <w:rPr>
                <w:rFonts w:ascii="Verdana" w:eastAsia="Calibri" w:hAnsi="Verdana" w:cs="Arial"/>
                <w:bCs/>
                <w:color w:val="000000" w:themeColor="text1"/>
              </w:rPr>
              <w:t>Conforme a la interpretación general de las normas del sistema de compras públicas</w:t>
            </w:r>
            <w:r w:rsidRPr="00E2397D">
              <w:rPr>
                <w:rFonts w:ascii="Verdana" w:eastAsia="Arial" w:hAnsi="Verdana" w:cs="Arial"/>
                <w:lang w:val="es-MX" w:eastAsia="es-ES" w:bidi="es-ES"/>
              </w:rPr>
              <w:t xml:space="preserve">, mediante auto de 4 de octubre del 2024, el Consejo de Estado, Sección Tercera, decretó medida de suspensión provisional parcial del </w:t>
            </w:r>
            <w:r w:rsidRPr="00E2397D">
              <w:rPr>
                <w:rFonts w:ascii="Verdana" w:hAnsi="Verdana"/>
              </w:rPr>
              <w:t>numeral 16.2 de la Circular Externa Única de 2022 expedida por la Agencia Nacional de Contratación Pública -Colombia Compra Eficiente-</w:t>
            </w:r>
            <w:r>
              <w:rPr>
                <w:rFonts w:ascii="Verdana" w:hAnsi="Verdana"/>
              </w:rPr>
              <w:t xml:space="preserve">. </w:t>
            </w:r>
          </w:p>
          <w:p w14:paraId="2F09274F" w14:textId="77777777" w:rsidR="00CE1370" w:rsidRDefault="00CE1370" w:rsidP="009B031D">
            <w:pPr>
              <w:spacing w:after="120" w:line="276" w:lineRule="auto"/>
              <w:ind w:right="51" w:firstLine="737"/>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r w:rsidRPr="00E2397D">
              <w:rPr>
                <w:rFonts w:ascii="Verdana" w:eastAsia="Times New Roman" w:hAnsi="Verdana" w:cs="Arial"/>
                <w:lang w:eastAsia="es-CO"/>
              </w:rPr>
              <w:t xml:space="preserve">e observa entonces que </w:t>
            </w:r>
            <w:r w:rsidRPr="00E2397D">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 xml:space="preserve">, 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w:t>
            </w:r>
            <w:r w:rsidRPr="00E2397D">
              <w:rPr>
                <w:rFonts w:ascii="Verdana" w:eastAsia="Times New Roman" w:hAnsi="Verdana" w:cs="Arial"/>
                <w:lang w:val="es-MX" w:eastAsia="es-CO"/>
              </w:rPr>
              <w:lastRenderedPageBreak/>
              <w:t>vez que la citada disposición hace referencia a dicha tipología contractual sin que el legislador hubiere contemplado un efecto extensivo a otra tipología.</w:t>
            </w:r>
          </w:p>
          <w:p w14:paraId="0D35C750" w14:textId="77777777" w:rsidR="00CE1370" w:rsidRDefault="00CE1370" w:rsidP="009B031D">
            <w:pPr>
              <w:spacing w:after="120" w:line="276" w:lineRule="auto"/>
              <w:ind w:right="51" w:firstLine="737"/>
              <w:jc w:val="both"/>
              <w:rPr>
                <w:rFonts w:ascii="Verdana" w:eastAsia="Calibri" w:hAnsi="Verdana" w:cs="Arial"/>
                <w:bCs/>
                <w:color w:val="000000" w:themeColor="text1"/>
              </w:rPr>
            </w:pPr>
            <w:r>
              <w:rPr>
                <w:rFonts w:ascii="Verdana" w:eastAsia="Arial" w:hAnsi="Verdana" w:cs="Arial"/>
                <w:lang w:val="es-MX" w:eastAsia="es-ES" w:bidi="es-ES"/>
              </w:rPr>
              <w:t>E</w:t>
            </w:r>
            <w:r w:rsidRPr="00E2397D">
              <w:rPr>
                <w:rFonts w:ascii="Verdana" w:eastAsia="Arial" w:hAnsi="Verdana" w:cs="Arial"/>
                <w:lang w:val="es-MX" w:eastAsia="es-ES" w:bidi="es-ES"/>
              </w:rPr>
              <w:t xml:space="preserve">sta Agencia debe manifestar que, si bien respeta y acata las decisiones proferidas por el Consejo de Estado, como es el caso del auto de suspensión provisional parcial del numeral </w:t>
            </w:r>
            <w:r w:rsidRPr="00E2397D">
              <w:rPr>
                <w:rFonts w:ascii="Verdana" w:eastAsia="Arial" w:hAnsi="Verdana" w:cs="Arial"/>
                <w:lang w:eastAsia="es-ES" w:bidi="es-ES"/>
              </w:rPr>
              <w:t>16.2 de la Circular Externa Única</w:t>
            </w:r>
            <w:r w:rsidRPr="00E2397D">
              <w:rPr>
                <w:rFonts w:ascii="Verdana" w:eastAsia="Arial" w:hAnsi="Verdana" w:cs="Arial"/>
                <w:lang w:val="es-MX" w:eastAsia="es-ES" w:bidi="es-ES"/>
              </w:rPr>
              <w:t>, no comparte los argumentos expuestos por dicha Corporación</w:t>
            </w:r>
            <w:r>
              <w:rPr>
                <w:rFonts w:ascii="Verdana" w:eastAsia="Arial" w:hAnsi="Verdana" w:cs="Arial"/>
                <w:lang w:val="es-MX" w:eastAsia="es-ES" w:bidi="es-ES"/>
              </w:rPr>
              <w:t xml:space="preserve">. </w:t>
            </w:r>
            <w:r>
              <w:rPr>
                <w:rFonts w:ascii="Verdana" w:eastAsia="Times New Roman" w:hAnsi="Verdana" w:cs="Arial"/>
                <w:lang w:val="es-MX" w:eastAsia="es-CO"/>
              </w:rPr>
              <w:t xml:space="preserve">Por ello, conforme al pie de página 6 de la </w:t>
            </w:r>
            <w:r>
              <w:rPr>
                <w:rFonts w:ascii="Verdana" w:eastAsia="Calibri" w:hAnsi="Verdana" w:cs="Arial"/>
                <w:bCs/>
                <w:color w:val="000000" w:themeColor="text1"/>
              </w:rPr>
              <w:t xml:space="preserve">Circular Externa 006 del 25 de septiembre de 2025, “[…] </w:t>
            </w:r>
            <w:r w:rsidRPr="001D4ADD">
              <w:rPr>
                <w:rFonts w:ascii="Verdana" w:eastAsia="Calibri" w:hAnsi="Verdana" w:cs="Arial"/>
                <w:bCs/>
                <w:color w:val="000000" w:themeColor="text1"/>
              </w:rPr>
              <w:t>esta Agencia recomienda que los sujetos señalados en la norma se</w:t>
            </w:r>
            <w:r>
              <w:rPr>
                <w:rFonts w:ascii="Verdana" w:eastAsia="Calibri" w:hAnsi="Verdana" w:cs="Arial"/>
                <w:bCs/>
                <w:color w:val="000000" w:themeColor="text1"/>
              </w:rPr>
              <w:t xml:space="preserve"> </w:t>
            </w:r>
            <w:r w:rsidRPr="001D4ADD">
              <w:rPr>
                <w:rFonts w:ascii="Verdana" w:eastAsia="Calibri" w:hAnsi="Verdana" w:cs="Arial"/>
                <w:bCs/>
                <w:color w:val="000000" w:themeColor="text1"/>
              </w:rPr>
              <w:t xml:space="preserve">abstengan de celebrar </w:t>
            </w:r>
            <w:r w:rsidRPr="001D4ADD">
              <w:rPr>
                <w:rFonts w:ascii="Verdana" w:eastAsia="Calibri" w:hAnsi="Verdana" w:cs="Arial"/>
                <w:bCs/>
                <w:i/>
                <w:iCs/>
                <w:color w:val="000000" w:themeColor="text1"/>
              </w:rPr>
              <w:t>tanto convenios como contratos interadministrativos</w:t>
            </w:r>
            <w:r w:rsidRPr="001D4ADD">
              <w:rPr>
                <w:rFonts w:ascii="Verdana" w:eastAsia="Calibri" w:hAnsi="Verdana" w:cs="Arial"/>
                <w:bCs/>
                <w:color w:val="000000" w:themeColor="text1"/>
              </w:rPr>
              <w:t xml:space="preserve"> durante el periodo previo a esas</w:t>
            </w:r>
            <w:r>
              <w:rPr>
                <w:rFonts w:ascii="Verdana" w:eastAsia="Calibri" w:hAnsi="Verdana" w:cs="Arial"/>
                <w:bCs/>
                <w:color w:val="000000" w:themeColor="text1"/>
              </w:rPr>
              <w:t xml:space="preserve"> </w:t>
            </w:r>
            <w:r w:rsidRPr="001D4ADD">
              <w:rPr>
                <w:rFonts w:ascii="Verdana" w:eastAsia="Calibri" w:hAnsi="Verdana" w:cs="Arial"/>
                <w:bCs/>
                <w:color w:val="000000" w:themeColor="text1"/>
              </w:rPr>
              <w:t>elecciones</w:t>
            </w:r>
            <w:r>
              <w:rPr>
                <w:rFonts w:ascii="Verdana" w:eastAsia="Calibri" w:hAnsi="Verdana" w:cs="Arial"/>
                <w:bCs/>
                <w:color w:val="000000" w:themeColor="text1"/>
              </w:rPr>
              <w:t>”. (Respuesta a la pregunta 1)</w:t>
            </w:r>
          </w:p>
          <w:p w14:paraId="632BF1B9" w14:textId="77777777" w:rsidR="00CE1370" w:rsidRDefault="00CE1370" w:rsidP="009B031D">
            <w:pPr>
              <w:spacing w:after="120" w:line="276" w:lineRule="auto"/>
              <w:ind w:right="51" w:firstLine="737"/>
              <w:jc w:val="both"/>
              <w:rPr>
                <w:rFonts w:ascii="Verdana" w:eastAsia="Arial" w:hAnsi="Verdana" w:cs="Arial"/>
                <w:bCs/>
              </w:rPr>
            </w:pPr>
            <w:r>
              <w:rPr>
                <w:rFonts w:ascii="Verdana" w:eastAsia="Arial" w:hAnsi="Verdana" w:cs="Arial"/>
                <w:bCs/>
              </w:rPr>
              <w:t xml:space="preserve">Por otra parte, </w:t>
            </w:r>
            <w:r w:rsidRPr="002028BD">
              <w:rPr>
                <w:rFonts w:ascii="Verdana" w:eastAsia="Arial" w:hAnsi="Verdana" w:cs="Arial"/>
                <w:bCs/>
              </w:rPr>
              <w:t xml:space="preserve">en caso en que los departamentos ejerzan funciones de autoridad sanitaria </w:t>
            </w:r>
            <w:r>
              <w:rPr>
                <w:rFonts w:ascii="Verdana" w:eastAsia="Arial" w:hAnsi="Verdana" w:cs="Arial"/>
                <w:bCs/>
              </w:rPr>
              <w:t>–</w:t>
            </w:r>
            <w:r w:rsidRPr="002028BD">
              <w:rPr>
                <w:rFonts w:ascii="Verdana" w:eastAsia="Arial" w:hAnsi="Verdana" w:cs="Arial"/>
                <w:bCs/>
              </w:rPr>
              <w:t>no de entidades sanitarias</w:t>
            </w:r>
            <w:r>
              <w:rPr>
                <w:rFonts w:ascii="Verdana" w:eastAsia="Arial" w:hAnsi="Verdana" w:cs="Arial"/>
                <w:bCs/>
              </w:rPr>
              <w:t>–</w:t>
            </w:r>
            <w:r w:rsidRPr="002028BD">
              <w:rPr>
                <w:rFonts w:ascii="Verdana" w:eastAsia="Arial" w:hAnsi="Verdana" w:cs="Arial"/>
                <w:bCs/>
              </w:rPr>
              <w:t xml:space="preserve"> </w:t>
            </w:r>
            <w:r>
              <w:rPr>
                <w:rFonts w:ascii="Verdana" w:eastAsia="Arial" w:hAnsi="Verdana" w:cs="Arial"/>
                <w:bCs/>
              </w:rPr>
              <w:t>no</w:t>
            </w:r>
            <w:r w:rsidRPr="002028BD">
              <w:rPr>
                <w:rFonts w:ascii="Verdana" w:eastAsia="Arial" w:hAnsi="Verdana" w:cs="Arial"/>
                <w:bCs/>
              </w:rPr>
              <w:t xml:space="preserve"> estarían dentro de la excepción</w:t>
            </w:r>
            <w:r>
              <w:rPr>
                <w:rFonts w:ascii="Verdana" w:eastAsia="Arial" w:hAnsi="Verdana" w:cs="Arial"/>
                <w:bCs/>
              </w:rPr>
              <w:t xml:space="preserve"> del inciso segundo del artículo 33 de la Ley 996 de 2005; razón por la cual, deben adoptar las medidas administrativas y presupuestales necesarias para suscribir los contratos antes de la vigencia de las prohibiciones. Para ello, la entidad interesada acudirá a las figuras jurídicas propias de su régimen contractual, esto es, las de la Ley 80 de 1993, especialmente, considerando que los departamentos son entidades estatales en los términos del literal a) del artículo 2.1 del EGCAP. (Respuesta a las preguntas 2 y 3)</w:t>
            </w:r>
          </w:p>
          <w:p w14:paraId="27E51FC0" w14:textId="77777777" w:rsidR="00CE1370" w:rsidRDefault="00CE1370" w:rsidP="009B031D">
            <w:pPr>
              <w:spacing w:after="120" w:line="276" w:lineRule="auto"/>
              <w:ind w:firstLine="737"/>
              <w:jc w:val="both"/>
              <w:rPr>
                <w:rFonts w:ascii="Verdana" w:eastAsia="Calibri" w:hAnsi="Verdana" w:cs="Arial"/>
                <w:bCs/>
                <w:color w:val="000000" w:themeColor="text1"/>
              </w:rPr>
            </w:pPr>
            <w:r>
              <w:rPr>
                <w:rFonts w:ascii="Verdana" w:eastAsia="Calibri" w:hAnsi="Verdana" w:cs="Arial"/>
                <w:bCs/>
                <w:color w:val="000000" w:themeColor="text1"/>
              </w:rPr>
              <w:t>Asimismo, el inciso primero del artículo 69 de la Ley 1753 de 2015 dispone que “</w:t>
            </w:r>
            <w:r w:rsidRPr="00D50FF8">
              <w:rPr>
                <w:rFonts w:ascii="Verdana" w:eastAsia="Calibri" w:hAnsi="Verdana" w:cs="Arial"/>
                <w:bCs/>
                <w:color w:val="000000" w:themeColor="text1"/>
              </w:rPr>
              <w:t>El Ministerio de Salud y Protección Social (MSPS) podrá declarar la emergencia sanitaria y/o eventos catastróficos, cuando se presenten situaciones por riesgo de epidemia, epidemia declarada, insuficiencia o desabastecimiento de bienes o servicios de salud o eventos catastróficos que afecten la salud colectiva, u otros cuya magnitud supere la capacidad de adaptación de la comunidad en la que aquel se produce y que la afecten en forma masiva e indiscriminada generando la necesidad de ayuda externa</w:t>
            </w:r>
            <w:r>
              <w:rPr>
                <w:rFonts w:ascii="Verdana" w:eastAsia="Calibri" w:hAnsi="Verdana" w:cs="Arial"/>
                <w:bCs/>
                <w:color w:val="000000" w:themeColor="text1"/>
              </w:rPr>
              <w:t>”</w:t>
            </w:r>
            <w:r w:rsidRPr="00D50FF8">
              <w:rPr>
                <w:rFonts w:ascii="Verdana" w:eastAsia="Calibri" w:hAnsi="Verdana" w:cs="Arial"/>
                <w:bCs/>
                <w:color w:val="000000" w:themeColor="text1"/>
              </w:rPr>
              <w:t>.</w:t>
            </w:r>
            <w:r>
              <w:rPr>
                <w:rFonts w:ascii="Verdana" w:eastAsia="Calibri" w:hAnsi="Verdana" w:cs="Arial"/>
                <w:bCs/>
                <w:color w:val="000000" w:themeColor="text1"/>
              </w:rPr>
              <w:t xml:space="preserve"> En consecuencia, la autoridad competente para declararla podrá analizar si </w:t>
            </w:r>
            <w:r w:rsidRPr="006A4CB1">
              <w:rPr>
                <w:rFonts w:ascii="Verdana" w:eastAsia="Calibri" w:hAnsi="Verdana" w:cs="Arial"/>
                <w:bCs/>
                <w:color w:val="000000" w:themeColor="text1"/>
              </w:rPr>
              <w:t>la falta de prestación de servicios que realiza</w:t>
            </w:r>
            <w:r>
              <w:rPr>
                <w:rFonts w:ascii="Verdana" w:eastAsia="Calibri" w:hAnsi="Verdana" w:cs="Arial"/>
                <w:bCs/>
                <w:color w:val="000000" w:themeColor="text1"/>
              </w:rPr>
              <w:t>n</w:t>
            </w:r>
            <w:r w:rsidRPr="006A4CB1">
              <w:rPr>
                <w:rFonts w:ascii="Verdana" w:eastAsia="Calibri" w:hAnsi="Verdana" w:cs="Arial"/>
                <w:bCs/>
                <w:color w:val="000000" w:themeColor="text1"/>
              </w:rPr>
              <w:t xml:space="preserve"> la</w:t>
            </w:r>
            <w:r>
              <w:rPr>
                <w:rFonts w:ascii="Verdana" w:eastAsia="Calibri" w:hAnsi="Verdana" w:cs="Arial"/>
                <w:bCs/>
                <w:color w:val="000000" w:themeColor="text1"/>
              </w:rPr>
              <w:t>s</w:t>
            </w:r>
            <w:r w:rsidRPr="006A4CB1">
              <w:rPr>
                <w:rFonts w:ascii="Verdana" w:eastAsia="Calibri" w:hAnsi="Verdana" w:cs="Arial"/>
                <w:bCs/>
                <w:color w:val="000000" w:themeColor="text1"/>
              </w:rPr>
              <w:t xml:space="preserve"> secretar</w:t>
            </w:r>
            <w:r>
              <w:rPr>
                <w:rFonts w:ascii="Verdana" w:eastAsia="Calibri" w:hAnsi="Verdana" w:cs="Arial"/>
                <w:bCs/>
                <w:color w:val="000000" w:themeColor="text1"/>
              </w:rPr>
              <w:t>ías</w:t>
            </w:r>
            <w:r w:rsidRPr="006A4CB1">
              <w:rPr>
                <w:rFonts w:ascii="Verdana" w:eastAsia="Calibri" w:hAnsi="Verdana" w:cs="Arial"/>
                <w:bCs/>
                <w:color w:val="000000" w:themeColor="text1"/>
              </w:rPr>
              <w:t xml:space="preserve"> de salud</w:t>
            </w:r>
            <w:r>
              <w:rPr>
                <w:rFonts w:ascii="Verdana" w:eastAsia="Calibri" w:hAnsi="Verdana" w:cs="Arial"/>
                <w:bCs/>
                <w:color w:val="000000" w:themeColor="text1"/>
              </w:rPr>
              <w:t xml:space="preserve"> es constitutiva o no de una situación de emergencia sanitaria. En caso de lo que sea y exista declaración por parte del </w:t>
            </w:r>
            <w:r w:rsidRPr="00D50FF8">
              <w:rPr>
                <w:rFonts w:ascii="Verdana" w:eastAsia="Calibri" w:hAnsi="Verdana" w:cs="Arial"/>
                <w:bCs/>
                <w:color w:val="000000" w:themeColor="text1"/>
              </w:rPr>
              <w:t>Ministerio de Salud y Protección Social</w:t>
            </w:r>
            <w:r>
              <w:rPr>
                <w:rFonts w:ascii="Verdana" w:eastAsia="Calibri" w:hAnsi="Verdana" w:cs="Arial"/>
                <w:bCs/>
                <w:color w:val="000000" w:themeColor="text1"/>
              </w:rPr>
              <w:t>, la entidad estatal podrá acudir a la contratación directa bajo las causales que disponga el régimen jurídico aplicable bajo la excepción prevista en el inciso segundo del artículo 33 de la Ley 996 de 2005. (Respuesta a la pregunta 6)</w:t>
            </w:r>
          </w:p>
          <w:p w14:paraId="1BFFBE8D" w14:textId="77777777" w:rsidR="00CE1370" w:rsidRPr="00661939" w:rsidRDefault="00CE1370" w:rsidP="009B031D">
            <w:pPr>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lastRenderedPageBreak/>
              <w:tab/>
              <w:t>De acuerdo con el peticionario, “</w:t>
            </w:r>
            <w:r w:rsidRPr="00552DF3">
              <w:rPr>
                <w:rFonts w:ascii="Verdana" w:eastAsia="Calibri" w:hAnsi="Verdana" w:cs="Arial"/>
                <w:bCs/>
                <w:color w:val="000000" w:themeColor="text1"/>
              </w:rPr>
              <w:t>Según el Concepto 2371 de 2018 del Consejo de Estado - Sala de Consulta y</w:t>
            </w:r>
            <w:r>
              <w:rPr>
                <w:rFonts w:ascii="Verdana" w:eastAsia="Calibri" w:hAnsi="Verdana" w:cs="Arial"/>
                <w:bCs/>
                <w:color w:val="000000" w:themeColor="text1"/>
              </w:rPr>
              <w:t xml:space="preserve"> </w:t>
            </w:r>
            <w:r w:rsidRPr="00552DF3">
              <w:rPr>
                <w:rFonts w:ascii="Verdana" w:eastAsia="Calibri" w:hAnsi="Verdana" w:cs="Arial"/>
                <w:bCs/>
                <w:color w:val="000000" w:themeColor="text1"/>
              </w:rPr>
              <w:t>Servicio Civil, durante los cuatro (4) meses anteriores a elecciones presidenciales,</w:t>
            </w:r>
            <w:r>
              <w:rPr>
                <w:rFonts w:ascii="Verdana" w:eastAsia="Calibri" w:hAnsi="Verdana" w:cs="Arial"/>
                <w:bCs/>
                <w:color w:val="000000" w:themeColor="text1"/>
              </w:rPr>
              <w:t xml:space="preserve"> </w:t>
            </w:r>
            <w:r w:rsidRPr="00552DF3">
              <w:rPr>
                <w:rFonts w:ascii="Verdana" w:eastAsia="Calibri" w:hAnsi="Verdana" w:cs="Arial"/>
                <w:bCs/>
                <w:color w:val="000000" w:themeColor="text1"/>
              </w:rPr>
              <w:t xml:space="preserve">las entidades territoriales </w:t>
            </w:r>
            <w:r>
              <w:rPr>
                <w:rFonts w:ascii="Verdana" w:eastAsia="Calibri" w:hAnsi="Verdana" w:cs="Arial"/>
                <w:bCs/>
                <w:color w:val="000000" w:themeColor="text1"/>
              </w:rPr>
              <w:t>[…]</w:t>
            </w:r>
            <w:r w:rsidRPr="00552DF3">
              <w:rPr>
                <w:rFonts w:ascii="Verdana" w:eastAsia="Calibri" w:hAnsi="Verdana" w:cs="Arial"/>
                <w:bCs/>
                <w:color w:val="000000" w:themeColor="text1"/>
              </w:rPr>
              <w:t xml:space="preserve"> pueden suscribir convenios interadministrativos con las Empresas Sociales del Estado para</w:t>
            </w:r>
            <w:r>
              <w:rPr>
                <w:rFonts w:ascii="Verdana" w:eastAsia="Calibri" w:hAnsi="Verdana" w:cs="Arial"/>
                <w:bCs/>
                <w:color w:val="000000" w:themeColor="text1"/>
              </w:rPr>
              <w:t xml:space="preserve"> […] </w:t>
            </w:r>
            <w:r w:rsidRPr="00552DF3">
              <w:rPr>
                <w:rFonts w:ascii="Verdana" w:eastAsia="Calibri" w:hAnsi="Verdana" w:cs="Arial"/>
                <w:bCs/>
                <w:color w:val="000000" w:themeColor="text1"/>
              </w:rPr>
              <w:t>emergencias sanitarias o de salubridad qu</w:t>
            </w:r>
            <w:r>
              <w:rPr>
                <w:rFonts w:ascii="Verdana" w:eastAsia="Calibri" w:hAnsi="Verdana" w:cs="Arial"/>
                <w:bCs/>
                <w:color w:val="000000" w:themeColor="text1"/>
              </w:rPr>
              <w:t xml:space="preserve">e </w:t>
            </w:r>
            <w:r w:rsidRPr="00552DF3">
              <w:rPr>
                <w:rFonts w:ascii="Verdana" w:eastAsia="Calibri" w:hAnsi="Verdana" w:cs="Arial"/>
                <w:bCs/>
                <w:color w:val="000000" w:themeColor="text1"/>
              </w:rPr>
              <w:t>requieran atención o prestación inmediata y oportuna de servicios de salud</w:t>
            </w:r>
            <w:r>
              <w:rPr>
                <w:rFonts w:ascii="Verdana" w:eastAsia="Calibri" w:hAnsi="Verdana" w:cs="Arial"/>
                <w:bCs/>
                <w:color w:val="000000" w:themeColor="text1"/>
              </w:rPr>
              <w:t>”</w:t>
            </w:r>
            <w:r w:rsidRPr="00552DF3">
              <w:rPr>
                <w:rFonts w:ascii="Verdana" w:eastAsia="Calibri" w:hAnsi="Verdana" w:cs="Arial"/>
                <w:bCs/>
                <w:color w:val="000000" w:themeColor="text1"/>
              </w:rPr>
              <w:t>.</w:t>
            </w:r>
            <w:r>
              <w:rPr>
                <w:rFonts w:ascii="Verdana" w:eastAsia="Calibri" w:hAnsi="Verdana" w:cs="Arial"/>
                <w:bCs/>
                <w:color w:val="000000" w:themeColor="text1"/>
              </w:rPr>
              <w:t xml:space="preserve"> En el contexto del sentido natural y obvio de las palabras de que trata el artículo 28 del Código Civil, la “inmediatez” alude a aquello “</w:t>
            </w:r>
            <w:r w:rsidRPr="0029274B">
              <w:rPr>
                <w:rFonts w:ascii="Verdana" w:eastAsia="Calibri" w:hAnsi="Verdana" w:cs="Arial"/>
                <w:bCs/>
                <w:color w:val="000000" w:themeColor="text1"/>
              </w:rPr>
              <w:t>Que sucede enseguida, sin intervalo de tiempo</w:t>
            </w:r>
            <w:r>
              <w:rPr>
                <w:rFonts w:ascii="Verdana" w:eastAsia="Calibri" w:hAnsi="Verdana" w:cs="Arial"/>
                <w:bCs/>
                <w:color w:val="000000" w:themeColor="text1"/>
              </w:rPr>
              <w:t>” como indica el diccionario de la RAE. (Respuesta a la pregunta 5)</w:t>
            </w:r>
          </w:p>
          <w:p w14:paraId="3D3DEABC" w14:textId="77777777" w:rsidR="00CE1370" w:rsidRPr="001941FD" w:rsidRDefault="00CE1370" w:rsidP="009B031D">
            <w:pPr>
              <w:spacing w:line="276" w:lineRule="auto"/>
              <w:ind w:right="51" w:firstLine="737"/>
              <w:jc w:val="both"/>
              <w:rPr>
                <w:rFonts w:ascii="Verdana" w:eastAsia="Calibri" w:hAnsi="Verdana" w:cs="Arial"/>
                <w:bCs/>
                <w:color w:val="000000" w:themeColor="text1"/>
              </w:rPr>
            </w:pPr>
            <w:r w:rsidRPr="001941FD">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 xml:space="preserve">concepto de sus asesores, la solución de situaciones particulares corresponde a los interesados adoptar la decisión correspondiente y, en caso de conflicto, a las autoridades judiciales, fiscales y disciplinarias. </w:t>
            </w:r>
            <w:r>
              <w:rPr>
                <w:rFonts w:ascii="Verdana" w:eastAsia="Calibri" w:hAnsi="Verdana" w:cs="Arial"/>
                <w:bCs/>
                <w:color w:val="000000" w:themeColor="text1"/>
              </w:rPr>
              <w:t xml:space="preserve">Es decir, al margen de la función consultiva que se ejerce mediante el presente oficio de forma general y de lo expresado en la Circular Externa 006 del 25 de septiembre de 2025 que se adjunta como anexo, corresponde a las entidades contratantes definir </w:t>
            </w:r>
            <w:r w:rsidRPr="004D027A">
              <w:rPr>
                <w:rFonts w:ascii="Verdana" w:eastAsia="Calibri" w:hAnsi="Verdana" w:cs="Arial"/>
                <w:bCs/>
                <w:color w:val="000000" w:themeColor="text1"/>
              </w:rPr>
              <w:t xml:space="preserve">instrucciones precisas sobre </w:t>
            </w:r>
            <w:r>
              <w:rPr>
                <w:rFonts w:ascii="Verdana" w:eastAsia="Calibri" w:hAnsi="Verdana" w:cs="Arial"/>
                <w:bCs/>
                <w:color w:val="000000" w:themeColor="text1"/>
              </w:rPr>
              <w:t>la contratación durante</w:t>
            </w:r>
            <w:r w:rsidRPr="004D027A">
              <w:rPr>
                <w:rFonts w:ascii="Verdana" w:eastAsia="Calibri" w:hAnsi="Verdana" w:cs="Arial"/>
                <w:bCs/>
                <w:color w:val="000000" w:themeColor="text1"/>
              </w:rPr>
              <w:t xml:space="preserve"> la Ley de Garantías</w:t>
            </w:r>
            <w:r>
              <w:rPr>
                <w:rFonts w:ascii="Verdana" w:eastAsia="Calibri" w:hAnsi="Verdana" w:cs="Arial"/>
                <w:bCs/>
                <w:color w:val="000000" w:themeColor="text1"/>
              </w:rPr>
              <w:t xml:space="preserve">. </w:t>
            </w:r>
            <w:r w:rsidRPr="001941FD">
              <w:rPr>
                <w:rStyle w:val="s15"/>
                <w:rFonts w:ascii="Verdana" w:hAnsi="Verdana"/>
                <w:color w:val="000000"/>
              </w:rPr>
              <w:t>Así, cada entidad definirá la forma de adelantar su gestión contractual, sin que sea atribución de Colombia Compra Eficiente validar sus actuaciones</w:t>
            </w:r>
            <w:r>
              <w:rPr>
                <w:rStyle w:val="s15"/>
                <w:rFonts w:ascii="Verdana" w:hAnsi="Verdana"/>
                <w:color w:val="000000"/>
              </w:rPr>
              <w:t>. (Respuesta a la pregunta 4)</w:t>
            </w:r>
          </w:p>
        </w:tc>
      </w:tr>
    </w:tbl>
    <w:p w14:paraId="6F44EF04" w14:textId="77777777" w:rsidR="00CE1370" w:rsidRPr="00593A5F" w:rsidRDefault="00CE1370" w:rsidP="00CE1370">
      <w:pPr>
        <w:tabs>
          <w:tab w:val="left" w:pos="142"/>
          <w:tab w:val="left" w:pos="284"/>
        </w:tabs>
        <w:spacing w:after="0" w:line="276" w:lineRule="auto"/>
        <w:jc w:val="both"/>
        <w:rPr>
          <w:rFonts w:ascii="Verdana" w:eastAsia="Century Gothic" w:hAnsi="Verdana" w:cs="Century Gothic"/>
          <w:b/>
          <w:bCs/>
          <w:lang w:val="es-ES"/>
        </w:rPr>
      </w:pPr>
    </w:p>
    <w:bookmarkEnd w:id="1"/>
    <w:p w14:paraId="4292647D" w14:textId="77777777" w:rsidR="00CE1370" w:rsidRPr="00593A5F" w:rsidRDefault="00CE1370" w:rsidP="00CE137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525E8CE" w14:textId="77777777" w:rsidR="00CE1370" w:rsidRPr="00593A5F" w:rsidRDefault="00CE1370" w:rsidP="00CE1370">
      <w:pPr>
        <w:spacing w:after="0" w:line="276" w:lineRule="auto"/>
        <w:jc w:val="both"/>
        <w:rPr>
          <w:rFonts w:ascii="Verdana" w:eastAsia="Calibri" w:hAnsi="Verdana" w:cs="Arial"/>
          <w:color w:val="7030A0"/>
          <w:lang w:val="es-ES"/>
        </w:rPr>
      </w:pPr>
    </w:p>
    <w:p w14:paraId="1A60CEB3" w14:textId="77777777" w:rsidR="00CE1370" w:rsidRDefault="00CE1370" w:rsidP="00CE1370">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0EE674C8" w14:textId="77777777" w:rsidR="00CE1370" w:rsidRPr="00415608" w:rsidRDefault="00CE1370" w:rsidP="00CE1370">
      <w:pPr>
        <w:spacing w:after="0" w:line="276" w:lineRule="auto"/>
        <w:jc w:val="both"/>
        <w:rPr>
          <w:rFonts w:ascii="Verdana" w:eastAsia="Calibri" w:hAnsi="Verdana" w:cs="Arial"/>
          <w:lang w:val="es-ES"/>
        </w:rPr>
      </w:pPr>
    </w:p>
    <w:p w14:paraId="3A1AE8A2" w14:textId="77777777" w:rsidR="00CE1370" w:rsidRPr="009E105D" w:rsidRDefault="00CE1370" w:rsidP="00CE1370">
      <w:pPr>
        <w:tabs>
          <w:tab w:val="left" w:pos="426"/>
        </w:tabs>
        <w:spacing w:after="120" w:line="276" w:lineRule="auto"/>
        <w:jc w:val="both"/>
        <w:rPr>
          <w:rFonts w:ascii="Verdana" w:eastAsia="Times New Roman" w:hAnsi="Verdana" w:cs="Arial"/>
          <w:lang w:eastAsia="es-CO"/>
        </w:rPr>
      </w:pPr>
      <w:r>
        <w:rPr>
          <w:rFonts w:ascii="Verdana" w:eastAsia="Calibri" w:hAnsi="Verdana" w:cs="Arial"/>
          <w:color w:val="000000" w:themeColor="text1"/>
        </w:rPr>
        <w:t xml:space="preserve">i. </w:t>
      </w:r>
      <w:r w:rsidRPr="009E105D">
        <w:rPr>
          <w:rFonts w:ascii="Verdana" w:eastAsia="Calibri" w:hAnsi="Verdana" w:cs="Arial"/>
        </w:rPr>
        <w:t>El ordenamiento jurídico colombiano contempla previsiones claras para evitar la obtención de beneficios personales en asuntos propios de la administración pública</w:t>
      </w:r>
      <w:r w:rsidRPr="009E105D">
        <w:rPr>
          <w:rFonts w:ascii="Verdana" w:eastAsia="Calibri" w:hAnsi="Verdana" w:cs="Arial"/>
          <w:i/>
        </w:rPr>
        <w:t xml:space="preserve">. </w:t>
      </w:r>
      <w:r w:rsidRPr="009E105D">
        <w:rPr>
          <w:rFonts w:ascii="Verdana" w:eastAsia="Calibri" w:hAnsi="Verdana" w:cs="Arial"/>
        </w:rPr>
        <w:t xml:space="preserve">Por ejemplo, el artículo 127 de la Constitución Política establece una prohibición contractual a los servidores públicos y en cuanto a aspectos políticos </w:t>
      </w:r>
      <w:r w:rsidRPr="009E105D">
        <w:rPr>
          <w:rFonts w:ascii="Verdana" w:eastAsia="Calibri" w:hAnsi="Verdana" w:cs="Arial"/>
        </w:rPr>
        <w:lastRenderedPageBreak/>
        <w:t>consagra restricciones a ciertos empleados del Estado, incluso en época no electoral</w:t>
      </w:r>
      <w:r w:rsidRPr="009E105D">
        <w:rPr>
          <w:rFonts w:ascii="Verdana" w:eastAsia="Calibri" w:hAnsi="Verdana" w:cs="Arial"/>
          <w:vertAlign w:val="superscript"/>
        </w:rPr>
        <w:footnoteReference w:id="2"/>
      </w:r>
      <w:r w:rsidRPr="009E105D">
        <w:rPr>
          <w:rFonts w:ascii="Verdana" w:eastAsia="Calibri" w:hAnsi="Verdana" w:cs="Arial"/>
        </w:rPr>
        <w:t xml:space="preserve">. </w:t>
      </w:r>
    </w:p>
    <w:p w14:paraId="355B6FBC" w14:textId="77777777" w:rsidR="00CE1370" w:rsidRPr="009E105D" w:rsidRDefault="00CE1370" w:rsidP="00CE1370">
      <w:pPr>
        <w:tabs>
          <w:tab w:val="left" w:pos="426"/>
        </w:tabs>
        <w:spacing w:after="0" w:line="276" w:lineRule="auto"/>
        <w:ind w:firstLine="709"/>
        <w:jc w:val="both"/>
        <w:rPr>
          <w:rFonts w:ascii="Verdana" w:eastAsia="Times New Roman" w:hAnsi="Verdana" w:cs="Arial"/>
          <w:lang w:val="es-MX" w:eastAsia="es-CO"/>
        </w:rPr>
      </w:pPr>
      <w:r w:rsidRPr="009E105D">
        <w:rPr>
          <w:rFonts w:ascii="Verdana" w:eastAsia="Times New Roman" w:hAnsi="Verdana" w:cs="Arial"/>
          <w:lang w:eastAsia="es-CO"/>
        </w:rPr>
        <w:t>En el mismo sentido</w:t>
      </w:r>
      <w:r w:rsidRPr="009E105D">
        <w:rPr>
          <w:rFonts w:ascii="Verdana" w:eastAsia="Times New Roman" w:hAnsi="Verdana" w:cs="Arial"/>
          <w:lang w:val="es-MX" w:eastAsia="es-CO"/>
        </w:rPr>
        <w:t xml:space="preserve">, </w:t>
      </w:r>
      <w:bookmarkStart w:id="2" w:name="_Hlk99576829"/>
      <w:r w:rsidRPr="009E105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9E105D">
        <w:rPr>
          <w:rFonts w:ascii="Verdana" w:eastAsia="Times New Roman" w:hAnsi="Verdana" w:cs="Arial"/>
          <w:vertAlign w:val="superscript"/>
          <w:lang w:val="es-MX" w:eastAsia="es-CO"/>
        </w:rPr>
        <w:footnoteReference w:id="3"/>
      </w:r>
      <w:r w:rsidRPr="009E105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9E105D">
        <w:rPr>
          <w:rFonts w:ascii="Verdana" w:eastAsia="Calibri" w:hAnsi="Verdana" w:cs="Arial"/>
          <w:lang w:val="es-ES_tradnl"/>
        </w:rPr>
        <w:t xml:space="preserve"> </w:t>
      </w:r>
      <w:bookmarkEnd w:id="2"/>
      <w:r w:rsidRPr="009E105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0FDA53D2" w14:textId="77777777" w:rsidR="00CE1370" w:rsidRPr="009E105D" w:rsidRDefault="00CE1370" w:rsidP="00CE1370">
      <w:pPr>
        <w:spacing w:after="0" w:line="276" w:lineRule="auto"/>
        <w:ind w:right="709"/>
        <w:contextualSpacing/>
        <w:jc w:val="both"/>
        <w:rPr>
          <w:rFonts w:ascii="Verdana" w:eastAsia="Times New Roman" w:hAnsi="Verdana" w:cs="Arial"/>
          <w:sz w:val="21"/>
          <w:szCs w:val="21"/>
          <w:lang w:val="es-ES" w:eastAsia="es-CO"/>
        </w:rPr>
      </w:pPr>
    </w:p>
    <w:p w14:paraId="45CE4E92" w14:textId="77777777" w:rsidR="00CE1370" w:rsidRPr="00E066AC" w:rsidRDefault="00CE1370" w:rsidP="00CE1370">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ES" w:eastAsia="es-CO"/>
        </w:rPr>
        <w:t xml:space="preserve">“[…] </w:t>
      </w:r>
      <w:r w:rsidRPr="00E066AC">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16A9021F" w14:textId="77777777" w:rsidR="00CE1370" w:rsidRDefault="00CE1370" w:rsidP="00CE1370">
      <w:pPr>
        <w:spacing w:after="12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 xml:space="preserve">[…] </w:t>
      </w:r>
    </w:p>
    <w:p w14:paraId="6CC312E3" w14:textId="77777777" w:rsidR="00CE1370" w:rsidRPr="00E066AC" w:rsidRDefault="00CE1370" w:rsidP="00CE1370">
      <w:pPr>
        <w:spacing w:after="120" w:line="240" w:lineRule="auto"/>
        <w:ind w:left="709" w:right="709"/>
        <w:contextualSpacing/>
        <w:jc w:val="both"/>
        <w:rPr>
          <w:rFonts w:ascii="Verdana" w:eastAsia="Times New Roman" w:hAnsi="Verdana" w:cs="Arial"/>
          <w:sz w:val="12"/>
          <w:szCs w:val="12"/>
          <w:lang w:val="es-MX" w:eastAsia="es-CO"/>
        </w:rPr>
      </w:pPr>
    </w:p>
    <w:p w14:paraId="12B86E14" w14:textId="77777777" w:rsidR="00CE1370" w:rsidRPr="00E066AC" w:rsidRDefault="00CE1370" w:rsidP="00CE1370">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066AC">
        <w:rPr>
          <w:rFonts w:ascii="Verdana" w:eastAsia="Calibri" w:hAnsi="Verdana" w:cs="Arial"/>
          <w:sz w:val="20"/>
          <w:szCs w:val="20"/>
          <w:vertAlign w:val="superscript"/>
          <w:lang w:val="es-MX"/>
        </w:rPr>
        <w:footnoteReference w:id="4"/>
      </w:r>
      <w:r w:rsidRPr="00E066AC">
        <w:rPr>
          <w:rFonts w:ascii="Verdana" w:eastAsia="Times New Roman" w:hAnsi="Verdana" w:cs="Arial"/>
          <w:sz w:val="20"/>
          <w:szCs w:val="20"/>
          <w:lang w:val="es-MX" w:eastAsia="es-CO"/>
        </w:rPr>
        <w:t>.</w:t>
      </w:r>
    </w:p>
    <w:p w14:paraId="4863A00D" w14:textId="77777777" w:rsidR="00CE1370" w:rsidRPr="009E105D" w:rsidRDefault="00CE1370" w:rsidP="00CE1370">
      <w:pPr>
        <w:spacing w:after="0" w:line="276" w:lineRule="auto"/>
        <w:ind w:left="709" w:right="709"/>
        <w:contextualSpacing/>
        <w:jc w:val="both"/>
        <w:rPr>
          <w:rFonts w:ascii="Verdana" w:eastAsia="Times New Roman" w:hAnsi="Verdana" w:cs="Arial"/>
          <w:sz w:val="21"/>
          <w:szCs w:val="21"/>
          <w:lang w:val="es-MX" w:eastAsia="es-CO"/>
        </w:rPr>
      </w:pPr>
    </w:p>
    <w:p w14:paraId="30FFE1B3" w14:textId="77777777" w:rsidR="00CE1370" w:rsidRPr="009E105D" w:rsidRDefault="00CE1370" w:rsidP="00CE1370">
      <w:pPr>
        <w:spacing w:after="0" w:line="276" w:lineRule="auto"/>
        <w:ind w:firstLine="709"/>
        <w:jc w:val="both"/>
        <w:rPr>
          <w:rFonts w:ascii="Verdana" w:eastAsia="Times New Roman" w:hAnsi="Verdana" w:cs="Arial"/>
          <w:lang w:val="es-MX" w:eastAsia="es-CO"/>
        </w:rPr>
      </w:pPr>
      <w:bookmarkStart w:id="3" w:name="_Hlk78818186"/>
      <w:r w:rsidRPr="009E105D">
        <w:rPr>
          <w:rFonts w:ascii="Verdana" w:eastAsia="Times New Roman" w:hAnsi="Verdana" w:cs="Arial"/>
          <w:lang w:val="es-MX" w:eastAsia="es-CO"/>
        </w:rPr>
        <w:t xml:space="preserve">De esta manera, la Ley de Garantías Electorales establece el marco jurídico para el desarrollo de las elecciones, procurando condiciones de igualdad </w:t>
      </w:r>
      <w:r w:rsidRPr="009E105D">
        <w:rPr>
          <w:rFonts w:ascii="Verdana" w:eastAsia="Times New Roman" w:hAnsi="Verdana" w:cs="Arial"/>
          <w:lang w:val="es-MX" w:eastAsia="es-CO"/>
        </w:rPr>
        <w:lastRenderedPageBreak/>
        <w:t xml:space="preserve">y transparencia para los aspirantes y paralelamente se incluyen restricciones en el actuar de los servidores públicos, evitando interferencias en la contienda electoral, así como la posible desviación de recursos públicos en aspiraciones electorales. </w:t>
      </w:r>
      <w:bookmarkEnd w:id="3"/>
      <w:r w:rsidRPr="009E105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638254BC" w14:textId="77777777" w:rsidR="00CE1370" w:rsidRPr="009E105D" w:rsidRDefault="00CE1370" w:rsidP="00CE1370">
      <w:pPr>
        <w:spacing w:after="0" w:line="276" w:lineRule="auto"/>
        <w:ind w:firstLine="709"/>
        <w:contextualSpacing/>
        <w:jc w:val="both"/>
        <w:rPr>
          <w:rFonts w:ascii="Verdana" w:eastAsia="Times New Roman" w:hAnsi="Verdana" w:cs="Arial"/>
          <w:lang w:val="es-MX" w:eastAsia="es-CO"/>
        </w:rPr>
      </w:pPr>
    </w:p>
    <w:p w14:paraId="19F99FCB" w14:textId="77777777" w:rsidR="00CE1370" w:rsidRPr="00E066AC" w:rsidRDefault="00CE1370" w:rsidP="00CE1370">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1873ED04" w14:textId="77777777" w:rsidR="00CE1370" w:rsidRPr="00E066AC" w:rsidRDefault="00CE1370" w:rsidP="00CE1370">
      <w:pPr>
        <w:spacing w:after="0" w:line="240" w:lineRule="auto"/>
        <w:ind w:right="709"/>
        <w:contextualSpacing/>
        <w:jc w:val="both"/>
        <w:rPr>
          <w:rFonts w:ascii="Verdana" w:eastAsia="Times New Roman" w:hAnsi="Verdana" w:cs="Arial"/>
          <w:sz w:val="12"/>
          <w:szCs w:val="12"/>
          <w:lang w:val="es-MX" w:eastAsia="es-CO"/>
        </w:rPr>
      </w:pPr>
    </w:p>
    <w:p w14:paraId="325863C2" w14:textId="77777777" w:rsidR="00CE1370" w:rsidRPr="00E066AC" w:rsidRDefault="00CE1370" w:rsidP="00CE1370">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La jurisprudencia de la Corte Constitucional</w:t>
      </w:r>
      <w:r w:rsidRPr="00E066AC">
        <w:rPr>
          <w:rFonts w:ascii="Verdana" w:eastAsia="Times New Roman" w:hAnsi="Verdana" w:cs="Arial"/>
          <w:sz w:val="20"/>
          <w:szCs w:val="20"/>
          <w:vertAlign w:val="superscript"/>
          <w:lang w:val="es-MX" w:eastAsia="es-CO"/>
        </w:rPr>
        <w:footnoteReference w:id="5"/>
      </w:r>
      <w:r w:rsidRPr="00E066AC">
        <w:rPr>
          <w:rFonts w:ascii="Verdana" w:eastAsia="Times New Roman" w:hAnsi="Verdana" w:cs="Arial"/>
          <w:sz w:val="20"/>
          <w:szCs w:val="20"/>
          <w:lang w:val="es-MX" w:eastAsia="es-CO"/>
        </w:rPr>
        <w:t> y del Consejo de Estado</w:t>
      </w:r>
      <w:r w:rsidRPr="00E066AC">
        <w:rPr>
          <w:rFonts w:ascii="Verdana" w:eastAsia="Times New Roman" w:hAnsi="Verdana" w:cs="Arial"/>
          <w:sz w:val="20"/>
          <w:szCs w:val="20"/>
          <w:vertAlign w:val="superscript"/>
          <w:lang w:val="es-MX" w:eastAsia="es-CO"/>
        </w:rPr>
        <w:footnoteReference w:id="6"/>
      </w:r>
      <w:r w:rsidRPr="00E066AC">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066AC">
        <w:rPr>
          <w:rFonts w:ascii="Verdana" w:eastAsia="Times New Roman" w:hAnsi="Verdana" w:cs="Arial"/>
          <w:sz w:val="20"/>
          <w:szCs w:val="20"/>
          <w:vertAlign w:val="superscript"/>
          <w:lang w:val="es-MX" w:eastAsia="es-CO"/>
        </w:rPr>
        <w:footnoteReference w:id="7"/>
      </w:r>
      <w:r w:rsidRPr="00E066AC">
        <w:rPr>
          <w:rFonts w:ascii="Verdana" w:eastAsia="Times New Roman" w:hAnsi="Verdana" w:cs="Arial"/>
          <w:sz w:val="20"/>
          <w:szCs w:val="20"/>
          <w:lang w:val="es-MX" w:eastAsia="es-CO"/>
        </w:rPr>
        <w:t>.</w:t>
      </w:r>
    </w:p>
    <w:p w14:paraId="03F7D0E3" w14:textId="77777777" w:rsidR="00CE1370" w:rsidRPr="009E105D" w:rsidRDefault="00CE1370" w:rsidP="00CE1370">
      <w:pPr>
        <w:spacing w:after="0" w:line="276" w:lineRule="auto"/>
        <w:ind w:right="709"/>
        <w:contextualSpacing/>
        <w:jc w:val="both"/>
        <w:rPr>
          <w:rFonts w:ascii="Verdana" w:eastAsia="Times New Roman" w:hAnsi="Verdana" w:cs="Arial"/>
          <w:sz w:val="21"/>
          <w:szCs w:val="21"/>
          <w:lang w:val="es-MX" w:eastAsia="es-CO"/>
        </w:rPr>
      </w:pPr>
    </w:p>
    <w:p w14:paraId="55154BE9" w14:textId="77777777" w:rsidR="00CE1370" w:rsidRPr="009E105D" w:rsidRDefault="00CE1370" w:rsidP="00CE1370">
      <w:pPr>
        <w:spacing w:after="120" w:line="276" w:lineRule="auto"/>
        <w:jc w:val="both"/>
        <w:rPr>
          <w:rFonts w:ascii="Verdana" w:eastAsia="Arial" w:hAnsi="Verdana" w:cs="Arial"/>
          <w:lang w:val="es-ES" w:eastAsia="es-ES" w:bidi="es-ES"/>
        </w:rPr>
      </w:pPr>
      <w:r w:rsidRPr="009E105D">
        <w:rPr>
          <w:rFonts w:ascii="Verdana" w:eastAsia="Times New Roman" w:hAnsi="Verdana" w:cs="Arial"/>
          <w:lang w:val="es-MX" w:eastAsia="es-CO"/>
        </w:rPr>
        <w:tab/>
        <w:t>De</w:t>
      </w:r>
      <w:r w:rsidRPr="009E105D">
        <w:rPr>
          <w:rFonts w:ascii="Verdana" w:eastAsia="Arial" w:hAnsi="Verdana" w:cs="Arial"/>
          <w:lang w:val="es-ES" w:eastAsia="es-ES" w:bidi="es-ES"/>
        </w:rPr>
        <w:t xml:space="preserve"> conformidad con lo anterior, </w:t>
      </w:r>
      <w:bookmarkStart w:id="4" w:name="_Hlk77236098"/>
      <w:bookmarkStart w:id="5" w:name="_Hlk100679383"/>
      <w:r w:rsidRPr="009E105D">
        <w:rPr>
          <w:rFonts w:ascii="Verdana" w:eastAsia="Arial" w:hAnsi="Verdana" w:cs="Arial"/>
          <w:lang w:val="es-ES" w:eastAsia="es-ES" w:bidi="es-ES"/>
        </w:rPr>
        <w:t xml:space="preserve">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w:t>
      </w:r>
      <w:r w:rsidRPr="009E105D">
        <w:rPr>
          <w:rFonts w:ascii="Verdana" w:eastAsia="Arial" w:hAnsi="Verdana" w:cs="Arial"/>
          <w:lang w:val="es-ES" w:eastAsia="es-ES" w:bidi="es-ES"/>
        </w:rPr>
        <w:lastRenderedPageBreak/>
        <w:t>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4"/>
    </w:p>
    <w:p w14:paraId="2D0E135F" w14:textId="77777777" w:rsidR="00CE1370" w:rsidRPr="009E105D" w:rsidRDefault="00CE1370" w:rsidP="00CE1370">
      <w:pPr>
        <w:spacing w:after="120" w:line="276" w:lineRule="auto"/>
        <w:ind w:firstLine="708"/>
        <w:jc w:val="both"/>
        <w:rPr>
          <w:rFonts w:ascii="Verdana" w:eastAsia="Calibri" w:hAnsi="Verdana" w:cs="Arial"/>
        </w:rPr>
      </w:pPr>
      <w:r w:rsidRPr="00C50FB4">
        <w:rPr>
          <w:rFonts w:ascii="Verdana" w:eastAsia="Calibri" w:hAnsi="Verdana" w:cs="Arial"/>
          <w:i/>
          <w:iCs/>
        </w:rPr>
        <w:t>Por un lado</w:t>
      </w:r>
      <w:r w:rsidRPr="009E105D">
        <w:rPr>
          <w:rFonts w:ascii="Verdana" w:eastAsia="Calibri" w:hAnsi="Verdana" w:cs="Arial"/>
        </w:rPr>
        <w:t>,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9E105D">
        <w:rPr>
          <w:rFonts w:ascii="Verdana" w:eastAsia="Calibri" w:hAnsi="Verdana" w:cs="Arial"/>
          <w:vertAlign w:val="superscript"/>
        </w:rPr>
        <w:footnoteReference w:id="8"/>
      </w:r>
      <w:r w:rsidRPr="009E105D">
        <w:rPr>
          <w:rFonts w:ascii="Verdana" w:eastAsia="Calibri" w:hAnsi="Verdana" w:cs="Arial"/>
        </w:rPr>
        <w:t>.</w:t>
      </w:r>
    </w:p>
    <w:p w14:paraId="1009E24E" w14:textId="77777777" w:rsidR="00CE1370" w:rsidRPr="009E105D" w:rsidRDefault="00CE1370" w:rsidP="00CE1370">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C50FB4">
        <w:rPr>
          <w:rFonts w:ascii="Verdana" w:eastAsia="Calibri" w:hAnsi="Verdana" w:cs="Arial"/>
          <w:i/>
          <w:iCs/>
        </w:rPr>
        <w:t>Por otro</w:t>
      </w:r>
      <w:r w:rsidRPr="009E105D">
        <w:rPr>
          <w:rFonts w:ascii="Verdana" w:eastAsia="Calibri" w:hAnsi="Verdana" w:cs="Arial"/>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9E105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9E105D">
        <w:rPr>
          <w:rFonts w:ascii="Verdana" w:eastAsia="Calibri" w:hAnsi="Verdana" w:cs="Arial"/>
          <w:sz w:val="19"/>
          <w:szCs w:val="19"/>
        </w:rPr>
        <w:t>”</w:t>
      </w:r>
      <w:bookmarkEnd w:id="5"/>
      <w:r w:rsidRPr="009E105D">
        <w:rPr>
          <w:rFonts w:ascii="Verdana" w:eastAsia="Calibri" w:hAnsi="Verdana" w:cs="Arial"/>
          <w:sz w:val="19"/>
          <w:szCs w:val="19"/>
          <w:vertAlign w:val="superscript"/>
        </w:rPr>
        <w:footnoteReference w:id="9"/>
      </w:r>
      <w:r w:rsidRPr="009E105D">
        <w:rPr>
          <w:rFonts w:ascii="Verdana" w:eastAsia="Calibri" w:hAnsi="Verdana" w:cs="Arial"/>
          <w:lang w:val="es-MX"/>
        </w:rPr>
        <w:t>.</w:t>
      </w:r>
      <w:r w:rsidRPr="009E105D">
        <w:rPr>
          <w:rFonts w:ascii="Verdana" w:eastAsia="Arial" w:hAnsi="Verdana" w:cs="Arial"/>
          <w:lang w:val="es-ES" w:eastAsia="es-ES" w:bidi="es-ES"/>
        </w:rPr>
        <w:t xml:space="preserve"> La Sala de Consulta y Servicio Civil del Consejo de Estado ha aclarado la distinción en la aplicación de las prohibiciones de la Ley 996 de 2005, dependiendo del tipo de elección que se trate. Al respecto, considera </w:t>
      </w:r>
      <w:r w:rsidRPr="009E105D">
        <w:rPr>
          <w:rFonts w:ascii="Verdana" w:eastAsia="Arial" w:hAnsi="Verdana" w:cs="Arial"/>
          <w:lang w:val="es-ES" w:eastAsia="es-ES" w:bidi="es-ES"/>
        </w:rPr>
        <w:lastRenderedPageBreak/>
        <w:t>que:</w:t>
      </w:r>
    </w:p>
    <w:p w14:paraId="663B860D" w14:textId="77777777" w:rsidR="00CE1370" w:rsidRPr="009E105D" w:rsidRDefault="00CE1370" w:rsidP="00CE1370">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14929803" w14:textId="77777777" w:rsidR="00CE1370" w:rsidRPr="00E066AC" w:rsidRDefault="00CE1370" w:rsidP="00CE1370">
      <w:pPr>
        <w:widowControl w:val="0"/>
        <w:autoSpaceDE w:val="0"/>
        <w:autoSpaceDN w:val="0"/>
        <w:spacing w:after="0" w:line="240" w:lineRule="auto"/>
        <w:ind w:left="709" w:right="709"/>
        <w:contextualSpacing/>
        <w:jc w:val="both"/>
        <w:rPr>
          <w:rFonts w:ascii="Verdana" w:eastAsia="Arial" w:hAnsi="Verdana" w:cs="Arial"/>
          <w:sz w:val="20"/>
          <w:szCs w:val="20"/>
          <w:lang w:val="es-ES" w:eastAsia="es-ES" w:bidi="es-ES"/>
        </w:rPr>
      </w:pPr>
      <w:r w:rsidRPr="00E066AC">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8" w:name="_Hlk76109421"/>
      <w:r w:rsidRPr="00E066AC">
        <w:rPr>
          <w:rFonts w:ascii="Verdana" w:eastAsia="Arial" w:hAnsi="Verdana" w:cs="Arial"/>
          <w:sz w:val="20"/>
          <w:szCs w:val="20"/>
          <w:lang w:val="es-ES" w:eastAsia="es-ES" w:bidi="es-ES"/>
        </w:rPr>
        <w:t>se integran parcialmente</w:t>
      </w:r>
      <w:bookmarkEnd w:id="8"/>
      <w:r w:rsidRPr="00E066AC">
        <w:rPr>
          <w:rFonts w:ascii="Verdana" w:eastAsia="Arial" w:hAnsi="Verdana" w:cs="Arial"/>
          <w:sz w:val="20"/>
          <w:szCs w:val="20"/>
          <w:lang w:val="es-ES"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066AC">
        <w:rPr>
          <w:rFonts w:ascii="Verdana" w:eastAsia="Arial" w:hAnsi="Verdana" w:cs="Arial"/>
          <w:sz w:val="20"/>
          <w:szCs w:val="20"/>
          <w:vertAlign w:val="superscript"/>
          <w:lang w:val="es-ES" w:eastAsia="es-ES" w:bidi="es-ES"/>
        </w:rPr>
        <w:footnoteReference w:id="10"/>
      </w:r>
      <w:r w:rsidRPr="00E066AC">
        <w:rPr>
          <w:rFonts w:ascii="Verdana" w:eastAsia="Arial" w:hAnsi="Verdana" w:cs="Arial"/>
          <w:sz w:val="20"/>
          <w:szCs w:val="20"/>
          <w:lang w:val="es-ES" w:eastAsia="es-ES" w:bidi="es-ES"/>
        </w:rPr>
        <w:t>.</w:t>
      </w:r>
    </w:p>
    <w:p w14:paraId="56DE6529" w14:textId="77777777" w:rsidR="00CE1370" w:rsidRPr="009E105D" w:rsidRDefault="00CE1370" w:rsidP="00CE1370">
      <w:pPr>
        <w:widowControl w:val="0"/>
        <w:autoSpaceDE w:val="0"/>
        <w:autoSpaceDN w:val="0"/>
        <w:spacing w:after="0" w:line="276" w:lineRule="auto"/>
        <w:contextualSpacing/>
        <w:rPr>
          <w:rFonts w:ascii="Verdana" w:eastAsia="Arial" w:hAnsi="Verdana" w:cs="Arial"/>
          <w:lang w:val="es-ES" w:eastAsia="es-ES" w:bidi="es-ES"/>
        </w:rPr>
      </w:pPr>
    </w:p>
    <w:p w14:paraId="2CDBA6F8" w14:textId="77777777" w:rsidR="00CE1370" w:rsidRPr="009E105D" w:rsidRDefault="00CE1370" w:rsidP="00CE1370">
      <w:pPr>
        <w:spacing w:after="120" w:line="276" w:lineRule="auto"/>
        <w:ind w:firstLine="709"/>
        <w:jc w:val="both"/>
        <w:rPr>
          <w:rFonts w:ascii="Verdana" w:eastAsia="Arial" w:hAnsi="Verdana" w:cs="Arial"/>
          <w:lang w:val="es-ES" w:eastAsia="es-ES" w:bidi="es-ES"/>
        </w:rPr>
      </w:pPr>
      <w:r w:rsidRPr="009E105D">
        <w:rPr>
          <w:rFonts w:ascii="Verdana" w:eastAsia="Arial" w:hAnsi="Verdana" w:cs="Arial"/>
          <w:lang w:val="es-ES" w:eastAsia="es-ES" w:bidi="es-ES"/>
        </w:rPr>
        <w:t xml:space="preserve">De conformidad con lo anterior, </w:t>
      </w:r>
      <w:bookmarkStart w:id="9" w:name="_Hlk77236420"/>
      <w:bookmarkStart w:id="10" w:name="_Hlk78818435"/>
      <w:bookmarkStart w:id="11" w:name="_Hlk75780333"/>
      <w:r w:rsidRPr="009E105D">
        <w:rPr>
          <w:rFonts w:ascii="Verdana" w:eastAsia="Arial" w:hAnsi="Verdana" w:cs="Arial"/>
          <w:lang w:val="es-ES" w:eastAsia="es-ES" w:bidi="es-ES"/>
        </w:rPr>
        <w:t xml:space="preserve">la Ley 996 de 2005 establece dos (2) tipos de restricciones en materia de contratación, las cuales coinciden parcialmente. </w:t>
      </w:r>
      <w:r w:rsidRPr="009E105D">
        <w:rPr>
          <w:rFonts w:ascii="Verdana" w:eastAsia="Arial" w:hAnsi="Verdana" w:cs="Arial"/>
          <w:i/>
          <w:lang w:val="es-ES" w:eastAsia="es-ES" w:bidi="es-ES"/>
        </w:rPr>
        <w:t>En primer lugar</w:t>
      </w:r>
      <w:r w:rsidRPr="009E105D">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9E105D">
        <w:rPr>
          <w:rFonts w:ascii="Verdana" w:eastAsia="Arial" w:hAnsi="Verdana" w:cs="Arial"/>
          <w:i/>
          <w:lang w:val="es-ES" w:eastAsia="es-ES" w:bidi="es-ES"/>
        </w:rPr>
        <w:t>En segundo lugar</w:t>
      </w:r>
      <w:r w:rsidRPr="009E105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9"/>
    </w:p>
    <w:bookmarkEnd w:id="10"/>
    <w:p w14:paraId="01A1401B" w14:textId="77777777" w:rsidR="00CE1370" w:rsidRPr="009E105D" w:rsidRDefault="00CE1370" w:rsidP="00CE1370">
      <w:pPr>
        <w:spacing w:after="120" w:line="276" w:lineRule="auto"/>
        <w:ind w:firstLine="709"/>
        <w:jc w:val="both"/>
        <w:rPr>
          <w:rFonts w:ascii="Verdana" w:eastAsia="Arial" w:hAnsi="Verdana" w:cs="Arial"/>
          <w:lang w:val="es-ES" w:eastAsia="es-ES" w:bidi="es-ES"/>
        </w:rPr>
      </w:pPr>
      <w:r w:rsidRPr="009E105D">
        <w:rPr>
          <w:rFonts w:ascii="Verdana" w:eastAsia="Arial" w:hAnsi="Verdana" w:cs="Arial"/>
          <w:lang w:val="es-ES" w:eastAsia="es-ES" w:bidi="es-ES"/>
        </w:rPr>
        <w:t xml:space="preserve">Ambas restricciones no son excluyentes, lo que permite concluir que en el período preelectoral para elección de Presidente de la República, a todos los entes del Estado, incluidos los territoriales, aplican las restricciones del artículo </w:t>
      </w:r>
      <w:r w:rsidRPr="009E105D">
        <w:rPr>
          <w:rFonts w:ascii="Verdana" w:eastAsia="Arial" w:hAnsi="Verdana" w:cs="Arial"/>
          <w:lang w:val="es-ES" w:eastAsia="es-ES" w:bidi="es-ES"/>
        </w:rPr>
        <w:lastRenderedPageBreak/>
        <w:t>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1"/>
    <w:p w14:paraId="2224EE47" w14:textId="77777777" w:rsidR="00CE1370" w:rsidRDefault="00CE1370" w:rsidP="00CE1370">
      <w:pPr>
        <w:spacing w:after="0" w:line="276" w:lineRule="auto"/>
        <w:ind w:firstLine="708"/>
        <w:jc w:val="both"/>
        <w:rPr>
          <w:rFonts w:ascii="Verdana" w:eastAsia="Arial" w:hAnsi="Verdana" w:cs="Arial"/>
          <w:lang w:val="es-ES" w:eastAsia="es-ES" w:bidi="es-ES"/>
        </w:rPr>
      </w:pPr>
      <w:r w:rsidRPr="009E105D">
        <w:rPr>
          <w:rFonts w:ascii="Verdana" w:eastAsia="Arial" w:hAnsi="Verdana" w:cs="Arial"/>
          <w:lang w:val="es-ES" w:eastAsia="es-ES" w:bidi="es-ES"/>
        </w:rPr>
        <w:t>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p>
    <w:p w14:paraId="7DD5E28C" w14:textId="77777777" w:rsidR="00CE1370" w:rsidRDefault="00CE1370" w:rsidP="00CE1370">
      <w:pPr>
        <w:spacing w:after="0" w:line="276" w:lineRule="auto"/>
        <w:jc w:val="both"/>
        <w:rPr>
          <w:rFonts w:ascii="Verdana" w:eastAsia="Arial" w:hAnsi="Verdana" w:cs="Arial"/>
          <w:lang w:val="es-ES" w:eastAsia="es-ES" w:bidi="es-ES"/>
        </w:rPr>
      </w:pPr>
    </w:p>
    <w:p w14:paraId="11610884" w14:textId="77777777" w:rsidR="00CE1370" w:rsidRPr="00F8199A" w:rsidRDefault="00CE1370" w:rsidP="00CE1370">
      <w:pPr>
        <w:spacing w:after="0" w:line="276" w:lineRule="auto"/>
        <w:jc w:val="both"/>
        <w:rPr>
          <w:rFonts w:ascii="Verdana" w:hAnsi="Verdana" w:cs="Arial"/>
          <w:bCs/>
          <w:lang w:val="es-MX" w:eastAsia="es-CO"/>
        </w:rPr>
      </w:pPr>
      <w:r w:rsidRPr="00F8199A">
        <w:rPr>
          <w:rFonts w:ascii="Verdana" w:eastAsia="Arial" w:hAnsi="Verdana" w:cs="Arial"/>
          <w:lang w:val="es-ES" w:eastAsia="es-ES" w:bidi="es-ES"/>
        </w:rPr>
        <w:t xml:space="preserve">ii. </w:t>
      </w:r>
      <w:r w:rsidRPr="00F8199A">
        <w:rPr>
          <w:rFonts w:ascii="Verdana"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F8199A">
        <w:rPr>
          <w:rFonts w:ascii="Verdana" w:hAnsi="Verdana" w:cs="Arial"/>
          <w:bCs/>
          <w:lang w:val="es-MX" w:eastAsia="x-none"/>
        </w:rPr>
        <w:t>queda prohibida la contratación directa</w:t>
      </w:r>
      <w:r>
        <w:rPr>
          <w:rFonts w:ascii="Verdana" w:hAnsi="Verdana" w:cs="Arial"/>
          <w:sz w:val="20"/>
          <w:szCs w:val="20"/>
          <w:lang w:val="es-MX"/>
        </w:rPr>
        <w:t>”</w:t>
      </w:r>
      <w:r w:rsidRPr="00F8199A">
        <w:rPr>
          <w:rFonts w:ascii="Verdana" w:hAnsi="Verdana" w:cs="Arial"/>
          <w:bCs/>
          <w:lang w:val="es-MX" w:eastAsia="x-none"/>
        </w:rPr>
        <w:t xml:space="preserve">. </w:t>
      </w:r>
      <w:r w:rsidRPr="00F8199A">
        <w:rPr>
          <w:rFonts w:ascii="Verdana" w:hAnsi="Verdana" w:cs="Arial"/>
          <w:lang w:val="es-MX" w:eastAsia="es-CO"/>
        </w:rPr>
        <w:t xml:space="preserve"> A propósito de </w:t>
      </w:r>
      <w:r w:rsidRPr="00F8199A">
        <w:rPr>
          <w:rFonts w:ascii="Verdana" w:hAnsi="Verdana" w:cs="Arial"/>
          <w:lang w:eastAsia="es-CO"/>
        </w:rPr>
        <w:t>esta restricción de la Ley de Garantías Electorales, la Sala de Consulta y Servicio Civil del Consejo de Estado ha considerado que:</w:t>
      </w:r>
    </w:p>
    <w:p w14:paraId="52905E2F" w14:textId="77777777" w:rsidR="00CE1370" w:rsidRPr="00F8199A" w:rsidRDefault="00CE1370" w:rsidP="00CE1370">
      <w:pPr>
        <w:spacing w:after="0" w:line="276" w:lineRule="auto"/>
        <w:ind w:left="708" w:right="709"/>
        <w:jc w:val="both"/>
        <w:rPr>
          <w:rFonts w:ascii="Verdana" w:hAnsi="Verdana" w:cs="Arial"/>
          <w:lang w:val="es-MX"/>
        </w:rPr>
      </w:pPr>
    </w:p>
    <w:p w14:paraId="077A0DB0" w14:textId="77777777" w:rsidR="00CE1370" w:rsidRPr="00F8199A" w:rsidRDefault="00CE1370" w:rsidP="00CE1370">
      <w:pPr>
        <w:spacing w:after="120"/>
        <w:ind w:left="709" w:right="709"/>
        <w:jc w:val="both"/>
        <w:rPr>
          <w:rFonts w:ascii="Verdana" w:hAnsi="Verdana" w:cs="Arial"/>
          <w:sz w:val="20"/>
          <w:szCs w:val="20"/>
          <w:lang w:val="es-MX"/>
        </w:rPr>
      </w:pPr>
      <w:r>
        <w:rPr>
          <w:rFonts w:ascii="Verdana" w:hAnsi="Verdana" w:cs="Arial"/>
          <w:sz w:val="18"/>
          <w:szCs w:val="18"/>
          <w:lang w:val="es-MX"/>
        </w:rPr>
        <w:t>“</w:t>
      </w:r>
      <w:r w:rsidRPr="00F8199A">
        <w:rPr>
          <w:rFonts w:ascii="Verdana"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F8199A">
        <w:rPr>
          <w:rFonts w:ascii="Verdana" w:hAnsi="Verdana" w:cs="Arial"/>
          <w:sz w:val="20"/>
          <w:szCs w:val="20"/>
          <w:vertAlign w:val="superscript"/>
          <w:lang w:eastAsia="es-CO"/>
        </w:rPr>
        <w:footnoteReference w:id="11"/>
      </w:r>
      <w:r w:rsidRPr="00F8199A">
        <w:rPr>
          <w:rFonts w:ascii="Verdana" w:hAnsi="Verdana" w:cs="Arial"/>
          <w:sz w:val="20"/>
          <w:szCs w:val="20"/>
          <w:lang w:val="es-MX"/>
        </w:rPr>
        <w:t>.</w:t>
      </w:r>
    </w:p>
    <w:p w14:paraId="706BDFE4" w14:textId="77777777" w:rsidR="00CE1370" w:rsidRPr="00F8199A" w:rsidRDefault="00CE1370" w:rsidP="00CE1370">
      <w:pPr>
        <w:spacing w:after="0"/>
        <w:ind w:left="708" w:right="709"/>
        <w:jc w:val="both"/>
        <w:rPr>
          <w:rFonts w:ascii="Verdana" w:hAnsi="Verdana" w:cs="Arial"/>
          <w:sz w:val="20"/>
          <w:szCs w:val="20"/>
          <w:lang w:val="es-MX"/>
        </w:rPr>
      </w:pPr>
      <w:r w:rsidRPr="00F8199A">
        <w:rPr>
          <w:rFonts w:ascii="Verdana" w:hAnsi="Verdana" w:cs="Arial"/>
          <w:sz w:val="20"/>
          <w:szCs w:val="20"/>
          <w:lang w:val="es-MX"/>
        </w:rPr>
        <w:t xml:space="preserve">Esta Sala ha entendido que para los efectos de la ley de garantías, y dada su finalidad, el enunciado </w:t>
      </w:r>
      <w:r>
        <w:rPr>
          <w:rFonts w:ascii="Verdana" w:hAnsi="Verdana" w:cs="Arial"/>
          <w:sz w:val="20"/>
          <w:szCs w:val="20"/>
          <w:lang w:val="es-MX"/>
        </w:rPr>
        <w:t>‘</w:t>
      </w:r>
      <w:r w:rsidRPr="00F8199A">
        <w:rPr>
          <w:rFonts w:ascii="Verdana" w:hAnsi="Verdana" w:cs="Arial"/>
          <w:sz w:val="20"/>
          <w:szCs w:val="20"/>
          <w:lang w:val="es-MX"/>
        </w:rPr>
        <w:t>contratación direct</w:t>
      </w:r>
      <w:r>
        <w:rPr>
          <w:rFonts w:ascii="Verdana" w:hAnsi="Verdana" w:cs="Arial"/>
          <w:sz w:val="20"/>
          <w:szCs w:val="20"/>
          <w:lang w:val="es-MX"/>
        </w:rPr>
        <w:t>a’</w:t>
      </w:r>
      <w:r w:rsidRPr="00F8199A">
        <w:rPr>
          <w:rFonts w:ascii="Verdana" w:hAnsi="Verdana" w:cs="Arial"/>
          <w:sz w:val="20"/>
          <w:szCs w:val="20"/>
          <w:lang w:val="es-MX"/>
        </w:rPr>
        <w:t xml:space="preserve">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w:t>
      </w:r>
      <w:r w:rsidRPr="00F8199A">
        <w:rPr>
          <w:rFonts w:ascii="Verdana" w:hAnsi="Verdana" w:cs="Arial"/>
          <w:sz w:val="20"/>
          <w:szCs w:val="20"/>
          <w:lang w:val="es-MX"/>
        </w:rPr>
        <w:lastRenderedPageBreak/>
        <w:t>concurso</w:t>
      </w:r>
      <w:r w:rsidRPr="00F8199A">
        <w:rPr>
          <w:rFonts w:ascii="Verdana" w:hAnsi="Verdana" w:cs="Arial"/>
          <w:sz w:val="20"/>
          <w:szCs w:val="20"/>
          <w:vertAlign w:val="superscript"/>
          <w:lang w:val="es-MX"/>
        </w:rPr>
        <w:footnoteReference w:id="12"/>
      </w:r>
      <w:r w:rsidRPr="00F8199A">
        <w:rPr>
          <w:rFonts w:ascii="Verdana" w:hAnsi="Verdana" w:cs="Arial"/>
          <w:sz w:val="20"/>
          <w:szCs w:val="20"/>
          <w:vertAlign w:val="superscript"/>
          <w:lang w:val="es-MX"/>
        </w:rPr>
        <w:t>.</w:t>
      </w:r>
      <w:r w:rsidRPr="00F8199A">
        <w:rPr>
          <w:rFonts w:ascii="Verdana"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w:t>
      </w:r>
      <w:r>
        <w:rPr>
          <w:rFonts w:ascii="Verdana" w:hAnsi="Verdana" w:cs="Arial"/>
          <w:sz w:val="20"/>
          <w:szCs w:val="20"/>
          <w:lang w:val="es-MX"/>
        </w:rPr>
        <w:t xml:space="preserve"> </w:t>
      </w:r>
      <w:r w:rsidRPr="00F8199A">
        <w:rPr>
          <w:rFonts w:ascii="Verdana" w:hAnsi="Verdana" w:cs="Arial"/>
          <w:sz w:val="20"/>
          <w:szCs w:val="20"/>
          <w:lang w:val="es-MX"/>
        </w:rPr>
        <w:t>[...]</w:t>
      </w:r>
      <w:r>
        <w:rPr>
          <w:rFonts w:ascii="Verdana" w:hAnsi="Verdana" w:cs="Arial"/>
          <w:sz w:val="20"/>
          <w:szCs w:val="20"/>
          <w:lang w:val="es-MX"/>
        </w:rPr>
        <w:t>”</w:t>
      </w:r>
      <w:r w:rsidRPr="00F8199A">
        <w:rPr>
          <w:rFonts w:ascii="Verdana" w:hAnsi="Verdana" w:cs="Arial"/>
          <w:sz w:val="20"/>
          <w:szCs w:val="20"/>
          <w:vertAlign w:val="superscript"/>
          <w:lang w:eastAsia="es-CO"/>
        </w:rPr>
        <w:footnoteReference w:id="13"/>
      </w:r>
      <w:r w:rsidRPr="00F8199A">
        <w:rPr>
          <w:rFonts w:ascii="Verdana" w:hAnsi="Verdana" w:cs="Arial"/>
          <w:sz w:val="20"/>
          <w:szCs w:val="20"/>
          <w:lang w:val="es-MX"/>
        </w:rPr>
        <w:t>.</w:t>
      </w:r>
    </w:p>
    <w:p w14:paraId="75792E8D" w14:textId="77777777" w:rsidR="00CE1370" w:rsidRPr="00F8199A" w:rsidRDefault="00CE1370" w:rsidP="00CE1370">
      <w:pPr>
        <w:shd w:val="clear" w:color="auto" w:fill="FFFFFF"/>
        <w:spacing w:after="0" w:line="276" w:lineRule="auto"/>
        <w:ind w:firstLine="709"/>
        <w:jc w:val="both"/>
        <w:rPr>
          <w:rFonts w:ascii="Verdana" w:hAnsi="Verdana" w:cs="Arial"/>
          <w:lang w:eastAsia="x-none"/>
        </w:rPr>
      </w:pPr>
    </w:p>
    <w:p w14:paraId="44FBD9AC" w14:textId="77777777" w:rsidR="00CE1370" w:rsidRPr="00F8199A" w:rsidRDefault="00CE1370" w:rsidP="00CE1370">
      <w:pPr>
        <w:spacing w:after="120" w:line="276" w:lineRule="auto"/>
        <w:ind w:firstLine="708"/>
        <w:jc w:val="both"/>
        <w:rPr>
          <w:rFonts w:ascii="Verdana" w:hAnsi="Verdana" w:cs="Arial"/>
          <w:bCs/>
          <w:lang w:eastAsia="x-none"/>
        </w:rPr>
      </w:pPr>
      <w:r w:rsidRPr="00F8199A">
        <w:rPr>
          <w:rFonts w:ascii="Verdana" w:hAnsi="Verdana" w:cs="Arial"/>
          <w:lang w:eastAsia="x-none"/>
        </w:rPr>
        <w:t xml:space="preserve">De acuerdo con el citado concepto, la prohibición del artículo 33 de la Ley de Garantías Electorales se refiere a </w:t>
      </w:r>
      <w:r>
        <w:rPr>
          <w:rFonts w:ascii="Verdana" w:hAnsi="Verdana" w:cs="Arial"/>
          <w:sz w:val="19"/>
          <w:szCs w:val="19"/>
          <w:lang w:eastAsia="en-GB"/>
        </w:rPr>
        <w:t>“</w:t>
      </w:r>
      <w:r w:rsidRPr="00F8199A">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F8199A">
        <w:rPr>
          <w:rFonts w:ascii="Verdana" w:hAnsi="Verdana" w:cs="Arial"/>
          <w:lang w:eastAsia="x-none"/>
        </w:rPr>
        <w:t>,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w:t>
      </w:r>
      <w:r w:rsidRPr="00F8199A">
        <w:rPr>
          <w:rFonts w:ascii="Verdana" w:hAnsi="Verdana" w:cs="Arial"/>
          <w:vertAlign w:val="superscript"/>
          <w:lang w:val="en-GB" w:eastAsia="x-none"/>
        </w:rPr>
        <w:footnoteReference w:id="14"/>
      </w:r>
      <w:r w:rsidRPr="00F8199A">
        <w:rPr>
          <w:rFonts w:ascii="Verdana" w:hAnsi="Verdana" w:cs="Arial"/>
          <w:lang w:eastAsia="x-none"/>
        </w:rPr>
        <w:t xml:space="preserve"> y sistematizó las causales de contratación directa</w:t>
      </w:r>
      <w:r w:rsidRPr="00F8199A">
        <w:rPr>
          <w:rFonts w:ascii="Verdana" w:hAnsi="Verdana" w:cs="Arial"/>
          <w:vertAlign w:val="superscript"/>
          <w:lang w:val="en-GB" w:eastAsia="x-none"/>
        </w:rPr>
        <w:footnoteReference w:id="15"/>
      </w:r>
      <w:r w:rsidRPr="00F8199A">
        <w:rPr>
          <w:rFonts w:ascii="Verdana" w:hAnsi="Verdana" w:cs="Arial"/>
          <w:lang w:eastAsia="x-none"/>
        </w:rPr>
        <w:t xml:space="preserve">. </w:t>
      </w:r>
    </w:p>
    <w:p w14:paraId="0CDA7E78" w14:textId="77777777" w:rsidR="00CE1370" w:rsidRPr="00F8199A" w:rsidRDefault="00CE1370" w:rsidP="00CE1370">
      <w:pPr>
        <w:spacing w:after="120" w:line="276" w:lineRule="auto"/>
        <w:ind w:firstLine="708"/>
        <w:jc w:val="both"/>
        <w:rPr>
          <w:rFonts w:ascii="Verdana" w:hAnsi="Verdana" w:cs="Arial"/>
          <w:lang w:val="es-MX" w:eastAsia="x-none"/>
        </w:rPr>
      </w:pPr>
      <w:r w:rsidRPr="00F8199A">
        <w:rPr>
          <w:rFonts w:ascii="Verdana" w:hAnsi="Verdana" w:cs="Arial"/>
          <w:lang w:eastAsia="x-none"/>
        </w:rPr>
        <w:t xml:space="preserve">De esta forma, con fundamento en la evolución de la normativa sobre la contratación pública, se ha depurado la noción de </w:t>
      </w:r>
      <w:r>
        <w:rPr>
          <w:rFonts w:ascii="Verdana" w:hAnsi="Verdana" w:cs="Arial"/>
          <w:sz w:val="19"/>
          <w:szCs w:val="19"/>
          <w:lang w:eastAsia="en-GB"/>
        </w:rPr>
        <w:t>“</w:t>
      </w:r>
      <w:r w:rsidRPr="00F8199A">
        <w:rPr>
          <w:rFonts w:ascii="Verdana" w:hAnsi="Verdana" w:cs="Arial"/>
          <w:lang w:eastAsia="x-none"/>
        </w:rPr>
        <w:t>contratación directa</w:t>
      </w:r>
      <w:r>
        <w:rPr>
          <w:rFonts w:ascii="Verdana" w:hAnsi="Verdana" w:cs="Arial"/>
          <w:lang w:eastAsia="en-GB"/>
        </w:rPr>
        <w:t>”</w:t>
      </w:r>
      <w:r w:rsidRPr="00F8199A">
        <w:rPr>
          <w:rFonts w:ascii="Verdana" w:hAnsi="Verdana" w:cs="Arial"/>
          <w:lang w:eastAsia="x-none"/>
        </w:rPr>
        <w:t xml:space="preserve">, precisando el Consejo de Estado –en el concepto citado– que, </w:t>
      </w:r>
      <w:r>
        <w:rPr>
          <w:rFonts w:ascii="Verdana" w:hAnsi="Verdana" w:cs="Arial"/>
          <w:lang w:eastAsia="x-none"/>
        </w:rPr>
        <w:t>“</w:t>
      </w:r>
      <w:r w:rsidRPr="00F8199A">
        <w:rPr>
          <w:rFonts w:ascii="Verdana"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8199A">
        <w:rPr>
          <w:rFonts w:ascii="Verdana" w:hAnsi="Verdana" w:cs="Arial"/>
          <w:vertAlign w:val="superscript"/>
          <w:lang w:val="en-GB" w:eastAsia="x-none"/>
        </w:rPr>
        <w:footnoteReference w:id="16"/>
      </w:r>
      <w:r w:rsidRPr="00F8199A">
        <w:rPr>
          <w:rFonts w:ascii="Verdana" w:hAnsi="Verdana" w:cs="Arial"/>
          <w:lang w:eastAsia="x-none"/>
        </w:rPr>
        <w:t>, han establecido sistemas de contratación que implican convocatoria pública y participación de varios oferentes</w:t>
      </w:r>
      <w:r>
        <w:rPr>
          <w:rFonts w:ascii="Verdana" w:hAnsi="Verdana" w:cs="Arial"/>
          <w:lang w:eastAsia="en-GB"/>
        </w:rPr>
        <w:t>”</w:t>
      </w:r>
      <w:r w:rsidRPr="00F8199A">
        <w:rPr>
          <w:rFonts w:ascii="Verdana" w:hAnsi="Verdana" w:cs="Arial"/>
          <w:lang w:eastAsia="x-none"/>
        </w:rPr>
        <w:t xml:space="preserve">. </w:t>
      </w:r>
    </w:p>
    <w:p w14:paraId="3532730C" w14:textId="77777777" w:rsidR="00CE1370" w:rsidRPr="00F8199A" w:rsidRDefault="00CE1370" w:rsidP="00CE1370">
      <w:pPr>
        <w:spacing w:after="120" w:line="276" w:lineRule="auto"/>
        <w:ind w:firstLine="708"/>
        <w:jc w:val="both"/>
        <w:rPr>
          <w:rFonts w:ascii="Verdana" w:hAnsi="Verdana" w:cs="Arial"/>
          <w:bCs/>
          <w:lang w:val="es-MX" w:eastAsia="es-CO"/>
        </w:rPr>
      </w:pPr>
      <w:r w:rsidRPr="00F8199A">
        <w:rPr>
          <w:rFonts w:ascii="Verdana" w:hAnsi="Verdana" w:cs="Arial"/>
          <w:bCs/>
          <w:lang w:val="es-MX" w:eastAsia="x-none"/>
        </w:rPr>
        <w:t>E</w:t>
      </w:r>
      <w:r w:rsidRPr="00F8199A">
        <w:rPr>
          <w:rFonts w:ascii="Verdana"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w:t>
      </w:r>
      <w:r w:rsidRPr="00F8199A">
        <w:rPr>
          <w:rFonts w:ascii="Verdana" w:hAnsi="Verdana" w:cs="Arial"/>
          <w:lang w:eastAsia="x-none"/>
        </w:rPr>
        <w:lastRenderedPageBreak/>
        <w:t xml:space="preserve">precalificados o de simples interesados, o en un determinado registro o banco de datos de proveedores. En estos casos, lo determinante para considerar que dicho sistema no constituye </w:t>
      </w:r>
      <w:r>
        <w:rPr>
          <w:rFonts w:ascii="Verdana" w:hAnsi="Verdana" w:cs="Arial"/>
          <w:lang w:eastAsia="x-none"/>
        </w:rPr>
        <w:t>“</w:t>
      </w:r>
      <w:r w:rsidRPr="00F8199A">
        <w:rPr>
          <w:rFonts w:ascii="Verdana" w:hAnsi="Verdana" w:cs="Arial"/>
          <w:lang w:eastAsia="x-none"/>
        </w:rPr>
        <w:t>contratación directa</w:t>
      </w:r>
      <w:r>
        <w:rPr>
          <w:rFonts w:ascii="Verdana" w:hAnsi="Verdana" w:cs="Arial"/>
          <w:lang w:eastAsia="x-none"/>
        </w:rPr>
        <w:t>”</w:t>
      </w:r>
      <w:r w:rsidRPr="00F8199A">
        <w:rPr>
          <w:rFonts w:ascii="Verdana" w:hAnsi="Verdana" w:cs="Arial"/>
          <w:lang w:eastAsia="x-none"/>
        </w:rPr>
        <w:t>, es que la convocatoria para inscribirse en forma previa se haga de manera pública, y que se permita la participación de una pluralidad de oferentes</w:t>
      </w:r>
      <w:r w:rsidRPr="00F8199A">
        <w:rPr>
          <w:rFonts w:ascii="Verdana" w:hAnsi="Verdana" w:cs="Arial"/>
          <w:vertAlign w:val="superscript"/>
          <w:lang w:eastAsia="x-none"/>
        </w:rPr>
        <w:footnoteReference w:id="17"/>
      </w:r>
      <w:r w:rsidRPr="00F8199A">
        <w:rPr>
          <w:rFonts w:ascii="Verdana" w:hAnsi="Verdana" w:cs="Arial"/>
          <w:lang w:eastAsia="x-none"/>
        </w:rPr>
        <w:t xml:space="preserve">. </w:t>
      </w:r>
    </w:p>
    <w:p w14:paraId="6B7468B3" w14:textId="77777777" w:rsidR="00CE1370" w:rsidRPr="00F8199A" w:rsidRDefault="00CE1370" w:rsidP="00CE1370">
      <w:pPr>
        <w:spacing w:after="120" w:line="276" w:lineRule="auto"/>
        <w:ind w:firstLine="708"/>
        <w:jc w:val="both"/>
        <w:rPr>
          <w:rFonts w:ascii="Verdana" w:hAnsi="Verdana" w:cs="Arial"/>
          <w:bCs/>
          <w:lang w:val="es-MX" w:eastAsia="es-CO"/>
        </w:rPr>
      </w:pPr>
      <w:r w:rsidRPr="00F8199A">
        <w:rPr>
          <w:rFonts w:ascii="Verdana"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hAnsi="Verdana" w:cs="Arial"/>
          <w:bCs/>
          <w:lang w:val="es-MX" w:eastAsia="es-CO"/>
        </w:rPr>
        <w:t>“</w:t>
      </w:r>
      <w:r w:rsidRPr="00F8199A">
        <w:rPr>
          <w:rFonts w:ascii="Verdana" w:hAnsi="Verdana" w:cs="Arial"/>
          <w:bCs/>
          <w:lang w:val="es-MX" w:eastAsia="es-CO"/>
        </w:rPr>
        <w:t>contratación directa</w:t>
      </w:r>
      <w:r>
        <w:rPr>
          <w:rFonts w:ascii="Verdana" w:hAnsi="Verdana" w:cs="Arial"/>
          <w:bCs/>
          <w:lang w:val="es-MX" w:eastAsia="es-CO"/>
        </w:rPr>
        <w:t>”</w:t>
      </w:r>
      <w:r w:rsidRPr="00F8199A">
        <w:rPr>
          <w:rFonts w:ascii="Verdana" w:hAnsi="Verdana" w:cs="Arial"/>
          <w:bCs/>
          <w:lang w:val="es-MX" w:eastAsia="es-CO"/>
        </w:rPr>
        <w:t>.</w:t>
      </w:r>
    </w:p>
    <w:p w14:paraId="6BE196F5" w14:textId="77777777" w:rsidR="00CE1370" w:rsidRPr="00F8199A" w:rsidRDefault="00CE1370" w:rsidP="00CE1370">
      <w:pPr>
        <w:spacing w:after="120" w:line="276" w:lineRule="auto"/>
        <w:ind w:firstLine="708"/>
        <w:jc w:val="both"/>
        <w:rPr>
          <w:rFonts w:ascii="Verdana" w:hAnsi="Verdana" w:cs="Arial"/>
          <w:bCs/>
          <w:lang w:val="es-MX" w:eastAsia="x-none"/>
        </w:rPr>
      </w:pPr>
      <w:r w:rsidRPr="00F8199A">
        <w:rPr>
          <w:rFonts w:ascii="Verdana" w:hAnsi="Verdana" w:cs="Arial"/>
          <w:bCs/>
          <w:lang w:val="es-MX" w:eastAsia="x-none"/>
        </w:rPr>
        <w:t xml:space="preserve"> Así las cosas, ha de entenderse que, para los efectos de la Ley de Garantías Electorales y, en particular, para la prohibición o restricción temporal contenida en su artículo 33, </w:t>
      </w:r>
      <w:r>
        <w:rPr>
          <w:rFonts w:ascii="Verdana" w:hAnsi="Verdana" w:cs="Arial"/>
          <w:bCs/>
          <w:lang w:val="es-MX" w:eastAsia="x-none"/>
        </w:rPr>
        <w:t>“</w:t>
      </w:r>
      <w:r w:rsidRPr="00F8199A">
        <w:rPr>
          <w:rFonts w:ascii="Verdana" w:hAnsi="Verdana" w:cs="Arial"/>
          <w:bCs/>
          <w:lang w:val="es-MX" w:eastAsia="x-none"/>
        </w:rPr>
        <w:t>contratación directa</w:t>
      </w:r>
      <w:r>
        <w:rPr>
          <w:rFonts w:ascii="Verdana" w:hAnsi="Verdana" w:cs="Arial"/>
          <w:bCs/>
          <w:lang w:val="es-MX" w:eastAsia="x-none"/>
        </w:rPr>
        <w:t>”</w:t>
      </w:r>
      <w:r w:rsidRPr="00F8199A">
        <w:rPr>
          <w:rFonts w:ascii="Verdana"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F8199A">
        <w:rPr>
          <w:rFonts w:ascii="Verdana" w:hAnsi="Verdana" w:cs="Arial"/>
          <w:vertAlign w:val="superscript"/>
          <w:lang w:eastAsia="x-none"/>
        </w:rPr>
        <w:footnoteReference w:id="18"/>
      </w:r>
      <w:r w:rsidRPr="00F8199A">
        <w:rPr>
          <w:rFonts w:ascii="Verdana" w:hAnsi="Verdana" w:cs="Arial"/>
          <w:bCs/>
          <w:lang w:val="es-MX" w:eastAsia="x-none"/>
        </w:rPr>
        <w:t>.</w:t>
      </w:r>
      <w:r w:rsidRPr="00F8199A">
        <w:rPr>
          <w:rFonts w:ascii="Verdana" w:hAnsi="Verdana" w:cs="Arial"/>
          <w:vertAlign w:val="superscript"/>
          <w:lang w:eastAsia="x-none"/>
        </w:rPr>
        <w:t xml:space="preserve"> </w:t>
      </w:r>
    </w:p>
    <w:p w14:paraId="48691F7A" w14:textId="77777777" w:rsidR="00CE1370" w:rsidRPr="00F8199A" w:rsidRDefault="00CE1370" w:rsidP="00CE1370">
      <w:pPr>
        <w:spacing w:after="120" w:line="276" w:lineRule="auto"/>
        <w:ind w:firstLine="708"/>
        <w:jc w:val="both"/>
        <w:rPr>
          <w:rFonts w:ascii="Verdana" w:hAnsi="Verdana" w:cs="Arial"/>
          <w:lang w:eastAsia="x-none"/>
        </w:rPr>
      </w:pPr>
      <w:r w:rsidRPr="00F8199A">
        <w:rPr>
          <w:rFonts w:ascii="Verdana"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8199A">
        <w:rPr>
          <w:rFonts w:ascii="Verdana"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03E96982" w14:textId="77777777" w:rsidR="00CE1370" w:rsidRPr="00F8199A" w:rsidRDefault="00CE1370" w:rsidP="00CE1370">
      <w:pPr>
        <w:spacing w:after="120" w:line="276" w:lineRule="auto"/>
        <w:ind w:firstLine="708"/>
        <w:jc w:val="both"/>
        <w:rPr>
          <w:rFonts w:ascii="Verdana" w:hAnsi="Verdana" w:cs="Arial"/>
          <w:bCs/>
          <w:lang w:val="es-MX" w:eastAsia="x-none"/>
        </w:rPr>
      </w:pPr>
      <w:bookmarkStart w:id="12" w:name="_Hlk77237094"/>
      <w:r w:rsidRPr="00F8199A">
        <w:rPr>
          <w:rFonts w:ascii="Verdana" w:hAnsi="Verdana" w:cs="Arial"/>
          <w:bCs/>
          <w:lang w:val="es-MX" w:eastAsia="es-CO"/>
        </w:rPr>
        <w:t xml:space="preserve">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w:t>
      </w:r>
      <w:r w:rsidRPr="00F8199A">
        <w:rPr>
          <w:rFonts w:ascii="Verdana" w:hAnsi="Verdana" w:cs="Arial"/>
          <w:bCs/>
          <w:lang w:val="es-MX" w:eastAsia="es-CO"/>
        </w:rPr>
        <w:lastRenderedPageBreak/>
        <w:t>sin que ello haga nugatoria la restricción de la contratación directa y siempre que cumplan los principios de planeación, transparencia y responsabilidad.</w:t>
      </w:r>
      <w:bookmarkEnd w:id="12"/>
    </w:p>
    <w:p w14:paraId="2C816011" w14:textId="77777777" w:rsidR="00CE1370" w:rsidRPr="00F8199A" w:rsidRDefault="00CE1370" w:rsidP="00CE1370">
      <w:pPr>
        <w:spacing w:after="120" w:line="276" w:lineRule="auto"/>
        <w:ind w:firstLine="708"/>
        <w:jc w:val="both"/>
        <w:rPr>
          <w:rFonts w:ascii="Verdana" w:hAnsi="Verdana" w:cs="Arial"/>
          <w:bCs/>
          <w:lang w:val="es-MX" w:eastAsia="es-CO"/>
        </w:rPr>
      </w:pPr>
      <w:r w:rsidRPr="00F8199A">
        <w:rPr>
          <w:rFonts w:ascii="Verdana" w:hAnsi="Verdana" w:cs="Arial"/>
          <w:bCs/>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8199A">
        <w:rPr>
          <w:rFonts w:ascii="Verdana" w:hAnsi="Verdana" w:cs="Arial"/>
          <w:bCs/>
          <w:lang w:val="es-MX" w:eastAsia="es-CO"/>
        </w:rPr>
        <w:t xml:space="preserve"> </w:t>
      </w:r>
      <w:r>
        <w:rPr>
          <w:rFonts w:ascii="Verdana" w:hAnsi="Verdana" w:cs="Arial"/>
          <w:bCs/>
          <w:lang w:val="es-MX" w:eastAsia="es-CO"/>
        </w:rPr>
        <w:t xml:space="preserve">Es </w:t>
      </w:r>
      <w:r w:rsidRPr="00F8199A">
        <w:rPr>
          <w:rFonts w:ascii="Verdana" w:hAnsi="Verdana" w:cs="Arial"/>
          <w:bCs/>
          <w:lang w:val="es-MX" w:eastAsia="es-CO"/>
        </w:rPr>
        <w:t>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A4F3CB8" w14:textId="77777777" w:rsidR="00CE1370" w:rsidRDefault="00CE1370" w:rsidP="00CE1370">
      <w:pPr>
        <w:spacing w:after="0" w:line="276" w:lineRule="auto"/>
        <w:ind w:firstLine="708"/>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13" w:name="_Hlk74309042"/>
      <w:r w:rsidRPr="00F8199A">
        <w:rPr>
          <w:rFonts w:ascii="Verdana" w:hAnsi="Verdana" w:cs="Arial"/>
          <w:bCs/>
          <w:lang w:val="es-MX" w:eastAsia="x-none"/>
        </w:rPr>
        <w:t xml:space="preserve">que </w:t>
      </w:r>
      <w:r>
        <w:rPr>
          <w:rFonts w:ascii="Verdana" w:hAnsi="Verdana" w:cs="Arial"/>
          <w:bCs/>
          <w:lang w:val="es-MX" w:eastAsia="x-none"/>
        </w:rPr>
        <w:t>“</w:t>
      </w:r>
      <w:bookmarkEnd w:id="13"/>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14"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19"/>
      </w:r>
      <w:r w:rsidRPr="00F8199A">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4"/>
    </w:p>
    <w:p w14:paraId="4CD96929" w14:textId="77777777" w:rsidR="00CE1370" w:rsidRPr="00F8199A" w:rsidRDefault="00CE1370" w:rsidP="00CE1370">
      <w:pPr>
        <w:spacing w:after="0" w:line="276" w:lineRule="auto"/>
        <w:ind w:firstLine="708"/>
        <w:jc w:val="both"/>
        <w:rPr>
          <w:rFonts w:ascii="Verdana" w:hAnsi="Verdana" w:cs="Arial"/>
          <w:bCs/>
          <w:lang w:val="es-MX" w:eastAsia="x-none"/>
        </w:rPr>
      </w:pPr>
    </w:p>
    <w:p w14:paraId="4BA42F92" w14:textId="77777777" w:rsidR="00CE1370" w:rsidRPr="00A45D99" w:rsidRDefault="00CE1370" w:rsidP="00CE1370">
      <w:pPr>
        <w:spacing w:after="0" w:line="276" w:lineRule="auto"/>
        <w:jc w:val="both"/>
        <w:rPr>
          <w:rFonts w:ascii="Verdana" w:hAnsi="Verdana" w:cs="Arial"/>
          <w:bCs/>
          <w:lang w:val="es-MX" w:eastAsia="x-none"/>
        </w:rPr>
      </w:pPr>
      <w:r w:rsidRPr="00A45D99">
        <w:rPr>
          <w:rFonts w:ascii="Verdana" w:eastAsia="Arial" w:hAnsi="Verdana" w:cs="Arial"/>
          <w:lang w:val="es-MX" w:eastAsia="es-ES" w:bidi="es-ES"/>
        </w:rPr>
        <w:t xml:space="preserve">iii. </w:t>
      </w:r>
      <w:r w:rsidRPr="00A45D99">
        <w:rPr>
          <w:rFonts w:ascii="Verdana" w:hAnsi="Verdana" w:cs="Arial"/>
          <w:bCs/>
          <w:lang w:val="es-MX" w:eastAsia="x-none"/>
        </w:rPr>
        <w:t xml:space="preserve">El artículo 33 de la Ley 996 de 2005 señala expresamente a los destinatarios de la prohibición, en el sentido de que son </w:t>
      </w:r>
      <w:r>
        <w:rPr>
          <w:rFonts w:ascii="Verdana" w:hAnsi="Verdana" w:cs="Arial"/>
          <w:bCs/>
          <w:lang w:val="es-MX" w:eastAsia="x-none"/>
        </w:rPr>
        <w:t>“</w:t>
      </w:r>
      <w:r w:rsidRPr="00A45D99">
        <w:rPr>
          <w:rFonts w:ascii="Verdana" w:hAnsi="Verdana" w:cs="Arial"/>
          <w:bCs/>
          <w:lang w:val="es-MX" w:eastAsia="x-none"/>
        </w:rPr>
        <w:t>todos los entes del Estado</w:t>
      </w:r>
      <w:r>
        <w:rPr>
          <w:rFonts w:ascii="Verdana" w:hAnsi="Verdana" w:cs="Arial"/>
          <w:bCs/>
          <w:lang w:val="es-MX" w:eastAsia="x-none"/>
        </w:rPr>
        <w:t>”</w:t>
      </w:r>
      <w:r w:rsidRPr="00A45D99">
        <w:rPr>
          <w:rFonts w:ascii="Verdana" w:hAnsi="Verdana" w:cs="Arial"/>
          <w:bCs/>
          <w:lang w:val="es-MX" w:eastAsia="x-none"/>
        </w:rPr>
        <w:t>, expresión que contempla a los diferentes organismos o entidades autorizadas por la ley para suscribir contratos.</w:t>
      </w:r>
      <w:r w:rsidRPr="00A45D99">
        <w:rPr>
          <w:rFonts w:ascii="Verdana" w:hAnsi="Verdana" w:cs="Arial"/>
          <w:lang w:val="es-MX"/>
        </w:rPr>
        <w:t xml:space="preserve"> </w:t>
      </w:r>
      <w:r w:rsidRPr="00A45D99">
        <w:rPr>
          <w:rFonts w:ascii="Verdana" w:hAnsi="Verdana" w:cs="Arial"/>
          <w:bCs/>
          <w:lang w:val="es-MX" w:eastAsia="x-none"/>
        </w:rPr>
        <w:t xml:space="preserve">En efecto, tal como lo ha sostenido el Consejo de </w:t>
      </w:r>
      <w:r w:rsidRPr="00A45D99">
        <w:rPr>
          <w:rFonts w:ascii="Verdana" w:hAnsi="Verdana" w:cs="Arial"/>
          <w:bCs/>
          <w:lang w:val="es-MX" w:eastAsia="x-none"/>
        </w:rPr>
        <w:lastRenderedPageBreak/>
        <w:t xml:space="preserve">Estado, el vocablo </w:t>
      </w:r>
      <w:r>
        <w:rPr>
          <w:rFonts w:ascii="Verdana" w:hAnsi="Verdana" w:cs="Arial"/>
          <w:bCs/>
          <w:lang w:val="es-MX" w:eastAsia="x-none"/>
        </w:rPr>
        <w:t>“</w:t>
      </w:r>
      <w:r w:rsidRPr="00A45D99">
        <w:rPr>
          <w:rFonts w:ascii="Verdana" w:hAnsi="Verdana" w:cs="Arial"/>
          <w:bCs/>
          <w:lang w:val="es-MX" w:eastAsia="x-none"/>
        </w:rPr>
        <w:t>todos</w:t>
      </w:r>
      <w:r>
        <w:rPr>
          <w:rFonts w:ascii="Verdana" w:hAnsi="Verdana" w:cs="Arial"/>
          <w:bCs/>
          <w:lang w:val="es-MX" w:eastAsia="x-none"/>
        </w:rPr>
        <w:t>”</w:t>
      </w:r>
      <w:r w:rsidRPr="00A45D99">
        <w:rPr>
          <w:rFonts w:ascii="Verdana" w:hAnsi="Verdana" w:cs="Arial"/>
          <w:bCs/>
          <w:lang w:val="es-MX" w:eastAsia="x-none"/>
        </w:rPr>
        <w:t xml:space="preserve"> utilizado por el legislador comprende</w:t>
      </w:r>
      <w:r w:rsidRPr="00A45D99">
        <w:rPr>
          <w:rFonts w:ascii="Verdana" w:hAnsi="Verdana" w:cs="Arial"/>
          <w:lang w:val="es-MX"/>
        </w:rPr>
        <w:t xml:space="preserve"> </w:t>
      </w:r>
      <w:r w:rsidRPr="00A45D99">
        <w:rPr>
          <w:rFonts w:ascii="Verdana"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El Consejo de Estado, en Concepto con radicado 1727 de fecha 20 de febrero de 2006, consideró que: </w:t>
      </w:r>
    </w:p>
    <w:p w14:paraId="74C1E088" w14:textId="77777777" w:rsidR="00CE1370" w:rsidRPr="00A45D99" w:rsidRDefault="00CE1370" w:rsidP="00CE1370">
      <w:pPr>
        <w:spacing w:after="0" w:line="276" w:lineRule="auto"/>
        <w:ind w:firstLine="708"/>
        <w:jc w:val="both"/>
        <w:rPr>
          <w:rFonts w:ascii="Verdana" w:hAnsi="Verdana" w:cs="Arial"/>
          <w:bCs/>
          <w:lang w:val="es-MX" w:eastAsia="x-none"/>
        </w:rPr>
      </w:pPr>
    </w:p>
    <w:p w14:paraId="4CCFC235" w14:textId="77777777" w:rsidR="00CE1370" w:rsidRPr="00A45D99" w:rsidRDefault="00CE1370" w:rsidP="00CE1370">
      <w:pPr>
        <w:spacing w:after="0" w:line="240" w:lineRule="auto"/>
        <w:ind w:left="708" w:right="709"/>
        <w:jc w:val="both"/>
        <w:rPr>
          <w:rFonts w:ascii="Verdana" w:hAnsi="Verdana" w:cs="Arial"/>
          <w:bCs/>
          <w:sz w:val="20"/>
          <w:szCs w:val="20"/>
          <w:lang w:val="es-MX" w:eastAsia="es-CO"/>
        </w:rPr>
      </w:pPr>
      <w:r w:rsidRPr="00A45D99">
        <w:rPr>
          <w:rFonts w:ascii="Verdana" w:hAnsi="Verdana" w:cs="Arial"/>
          <w:bCs/>
          <w:sz w:val="20"/>
          <w:szCs w:val="20"/>
          <w:lang w:val="es-MX" w:eastAsia="x-none"/>
        </w:rPr>
        <w:t xml:space="preserve">“El artículo 33 de la ley 996 de 2005, </w:t>
      </w:r>
      <w:bookmarkStart w:id="15" w:name="_Hlk75787147"/>
      <w:r w:rsidRPr="00A45D99">
        <w:rPr>
          <w:rFonts w:ascii="Verdana" w:hAnsi="Verdana" w:cs="Arial"/>
          <w:bCs/>
          <w:sz w:val="20"/>
          <w:szCs w:val="20"/>
          <w:lang w:val="es-MX" w:eastAsia="x-none"/>
        </w:rPr>
        <w:t>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A45D99">
        <w:rPr>
          <w:rFonts w:ascii="Verdana" w:hAnsi="Verdana" w:cs="Arial"/>
          <w:bCs/>
          <w:sz w:val="20"/>
          <w:szCs w:val="20"/>
          <w:vertAlign w:val="superscript"/>
          <w:lang w:val="es-MX" w:eastAsia="x-none"/>
        </w:rPr>
        <w:footnoteReference w:id="20"/>
      </w:r>
      <w:r w:rsidRPr="00A45D99">
        <w:rPr>
          <w:rFonts w:ascii="Verdana" w:hAnsi="Verdana" w:cs="Arial"/>
          <w:bCs/>
          <w:sz w:val="20"/>
          <w:szCs w:val="20"/>
          <w:lang w:val="es-MX" w:eastAsia="x-none"/>
        </w:rPr>
        <w:t>.</w:t>
      </w:r>
      <w:r w:rsidRPr="00A45D99">
        <w:rPr>
          <w:rFonts w:ascii="Verdana" w:hAnsi="Verdana" w:cs="Arial"/>
          <w:bCs/>
          <w:sz w:val="20"/>
          <w:szCs w:val="20"/>
          <w:lang w:val="es-MX" w:eastAsia="es-CO"/>
        </w:rPr>
        <w:t xml:space="preserve"> </w:t>
      </w:r>
    </w:p>
    <w:p w14:paraId="595A4E62" w14:textId="77777777" w:rsidR="00CE1370" w:rsidRPr="00A45D99" w:rsidRDefault="00CE1370" w:rsidP="00CE1370">
      <w:pPr>
        <w:spacing w:after="0" w:line="276" w:lineRule="auto"/>
        <w:ind w:firstLine="708"/>
        <w:jc w:val="both"/>
        <w:rPr>
          <w:rFonts w:ascii="Verdana" w:hAnsi="Verdana" w:cs="Arial"/>
          <w:bCs/>
          <w:lang w:val="es-MX" w:eastAsia="es-CO"/>
        </w:rPr>
      </w:pPr>
    </w:p>
    <w:p w14:paraId="787DEB5A" w14:textId="77777777" w:rsidR="00CE1370" w:rsidRPr="00A45D99" w:rsidRDefault="00CE1370" w:rsidP="00CE1370">
      <w:pPr>
        <w:spacing w:after="0" w:line="276" w:lineRule="auto"/>
        <w:ind w:firstLine="708"/>
        <w:jc w:val="both"/>
        <w:rPr>
          <w:rFonts w:ascii="Verdana" w:hAnsi="Verdana" w:cs="Arial"/>
          <w:lang w:val="es-MX"/>
        </w:rPr>
      </w:pPr>
      <w:r w:rsidRPr="00A45D99">
        <w:rPr>
          <w:rFonts w:ascii="Verdana" w:hAnsi="Verdana" w:cs="Arial"/>
          <w:bCs/>
          <w:lang w:val="es-MX" w:eastAsia="x-none"/>
        </w:rPr>
        <w:t xml:space="preserve">De igual forma, en Concepto con radicado 1738 de 6 de abril de 2006, esa misma Corporación manifestó que </w:t>
      </w:r>
      <w:r>
        <w:rPr>
          <w:rFonts w:ascii="Verdana" w:hAnsi="Verdana" w:cs="Arial"/>
          <w:bCs/>
          <w:lang w:val="es-MX" w:eastAsia="x-none"/>
        </w:rPr>
        <w:t>“</w:t>
      </w:r>
      <w:r w:rsidRPr="00A45D99">
        <w:rPr>
          <w:rFonts w:ascii="Verdana" w:hAnsi="Verdana" w:cs="Arial"/>
          <w:bCs/>
          <w:lang w:val="es-MX" w:eastAsia="x-none"/>
        </w:rPr>
        <w:t>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Pr>
          <w:rFonts w:ascii="Verdana" w:hAnsi="Verdana" w:cs="Arial"/>
          <w:bCs/>
          <w:lang w:val="es-MX" w:eastAsia="x-none"/>
        </w:rPr>
        <w:t>”</w:t>
      </w:r>
      <w:bookmarkStart w:id="16" w:name="_Hlk75758868"/>
      <w:bookmarkStart w:id="17" w:name="_Hlk75741220"/>
      <w:r w:rsidRPr="00A45D99">
        <w:rPr>
          <w:rFonts w:ascii="Verdana" w:hAnsi="Verdana" w:cs="Arial"/>
          <w:vertAlign w:val="superscript"/>
          <w:lang w:val="es-MX"/>
        </w:rPr>
        <w:footnoteReference w:id="21"/>
      </w:r>
      <w:bookmarkEnd w:id="16"/>
      <w:bookmarkEnd w:id="17"/>
      <w:r w:rsidRPr="00A45D99">
        <w:rPr>
          <w:rFonts w:ascii="Verdana" w:hAnsi="Verdana" w:cs="Arial"/>
          <w:bCs/>
          <w:lang w:val="es-MX" w:eastAsia="x-none"/>
        </w:rPr>
        <w:t>.</w:t>
      </w:r>
      <w:r w:rsidRPr="00A45D99">
        <w:rPr>
          <w:rFonts w:ascii="Verdana" w:hAnsi="Verdana" w:cs="Arial"/>
          <w:lang w:val="es-MX"/>
        </w:rPr>
        <w:t xml:space="preserve"> Sin embargo, debe precisarse el siguiente aspecto que distinguió la Sala de Consulta y Servicio Civil:</w:t>
      </w:r>
    </w:p>
    <w:p w14:paraId="11BACF2A" w14:textId="77777777" w:rsidR="00CE1370" w:rsidRPr="00A45D99" w:rsidRDefault="00CE1370" w:rsidP="00CE1370">
      <w:pPr>
        <w:spacing w:after="0" w:line="276" w:lineRule="auto"/>
        <w:jc w:val="both"/>
        <w:rPr>
          <w:rFonts w:ascii="Verdana" w:hAnsi="Verdana" w:cs="Arial"/>
          <w:lang w:val="es-MX"/>
        </w:rPr>
      </w:pPr>
    </w:p>
    <w:p w14:paraId="46AA2E49" w14:textId="77777777" w:rsidR="00CE1370" w:rsidRPr="00A45D99" w:rsidRDefault="00CE1370" w:rsidP="00CE1370">
      <w:pPr>
        <w:spacing w:after="0" w:line="240" w:lineRule="auto"/>
        <w:ind w:left="708" w:right="709"/>
        <w:jc w:val="both"/>
        <w:rPr>
          <w:rFonts w:ascii="Verdana" w:hAnsi="Verdana" w:cs="Arial"/>
          <w:sz w:val="20"/>
          <w:szCs w:val="20"/>
          <w:lang w:val="es-MX"/>
        </w:rPr>
      </w:pPr>
      <w:bookmarkStart w:id="19" w:name="_Hlk75811446"/>
      <w:r w:rsidRPr="00A45D99">
        <w:rPr>
          <w:rFonts w:ascii="Verdana" w:hAnsi="Verdana" w:cs="Arial"/>
          <w:sz w:val="20"/>
          <w:szCs w:val="20"/>
          <w:lang w:val="es-MX"/>
        </w:rPr>
        <w:t xml:space="preserve">“En el concepto No. 1727 de fecha 20 de febrero de 2006, ésta Sala distinguió dos clases de contratos en relación con las empresas de servicios públicos domiciliarios: unos, en los que la posición de la empresa </w:t>
      </w:r>
      <w:r w:rsidRPr="00A45D99">
        <w:rPr>
          <w:rFonts w:ascii="Verdana" w:hAnsi="Verdana" w:cs="Arial"/>
          <w:sz w:val="20"/>
          <w:szCs w:val="20"/>
          <w:lang w:val="es-MX"/>
        </w:rPr>
        <w:lastRenderedPageBreak/>
        <w:t>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bookmarkEnd w:id="19"/>
      <w:r w:rsidRPr="00A45D99">
        <w:rPr>
          <w:rFonts w:ascii="Verdana" w:hAnsi="Verdana" w:cs="Arial"/>
          <w:sz w:val="20"/>
          <w:szCs w:val="20"/>
          <w:lang w:val="es-MX"/>
        </w:rPr>
        <w:t>”</w:t>
      </w:r>
      <w:r w:rsidRPr="00A45D99">
        <w:rPr>
          <w:rFonts w:ascii="Verdana" w:hAnsi="Verdana" w:cs="Arial"/>
          <w:sz w:val="20"/>
          <w:szCs w:val="20"/>
          <w:vertAlign w:val="superscript"/>
          <w:lang w:val="es-MX"/>
        </w:rPr>
        <w:footnoteReference w:id="22"/>
      </w:r>
      <w:r w:rsidRPr="00A45D99">
        <w:rPr>
          <w:rFonts w:ascii="Verdana" w:hAnsi="Verdana" w:cs="Arial"/>
          <w:bCs/>
          <w:sz w:val="20"/>
          <w:szCs w:val="20"/>
          <w:lang w:val="es-MX" w:eastAsia="x-none"/>
        </w:rPr>
        <w:t>.</w:t>
      </w:r>
    </w:p>
    <w:p w14:paraId="09BE90EC" w14:textId="77777777" w:rsidR="00CE1370" w:rsidRPr="00A45D99" w:rsidRDefault="00CE1370" w:rsidP="00CE1370">
      <w:pPr>
        <w:spacing w:after="0" w:line="276" w:lineRule="auto"/>
        <w:jc w:val="both"/>
        <w:rPr>
          <w:rFonts w:ascii="Verdana" w:hAnsi="Verdana" w:cs="Arial"/>
          <w:lang w:val="es-MX"/>
        </w:rPr>
      </w:pPr>
    </w:p>
    <w:p w14:paraId="6ECA5E83" w14:textId="77777777" w:rsidR="00CE1370" w:rsidRPr="00A45D99" w:rsidRDefault="00CE1370" w:rsidP="00CE1370">
      <w:pPr>
        <w:spacing w:after="120" w:line="276" w:lineRule="auto"/>
        <w:ind w:firstLine="709"/>
        <w:jc w:val="both"/>
        <w:rPr>
          <w:rFonts w:ascii="Verdana" w:hAnsi="Verdana" w:cs="Arial"/>
          <w:bCs/>
          <w:lang w:val="es-MX" w:eastAsia="x-none"/>
        </w:rPr>
      </w:pPr>
      <w:r w:rsidRPr="00A45D99">
        <w:rPr>
          <w:rFonts w:ascii="Verdana" w:hAnsi="Verdana" w:cs="Arial"/>
          <w:lang w:val="es-MX"/>
        </w:rPr>
        <w:t>Aplicando este razonamiento,</w:t>
      </w:r>
      <w:bookmarkStart w:id="20" w:name="_Hlk75811096"/>
      <w:r w:rsidRPr="00A45D99">
        <w:rPr>
          <w:rFonts w:ascii="Verdana" w:hAnsi="Verdana" w:cs="Arial"/>
          <w:lang w:val="es-MX"/>
        </w:rPr>
        <w:t xml:space="preserve"> se tiene que las empresas industriales y comerciales del estado y a las empresas de servicios públicos oficiales y mixtas no pueden adquirir los suministros de bienes y servicios necesarios para la realización de su actividad por contratación directa sino por mecanismos competitivos que impliquen convocatoria pública y la posibilidad de pluralidad de oferentes, pero, </w:t>
      </w:r>
      <w:r>
        <w:rPr>
          <w:rFonts w:ascii="Verdana" w:hAnsi="Verdana" w:cs="Arial"/>
          <w:lang w:val="es-MX"/>
        </w:rPr>
        <w:t>“</w:t>
      </w:r>
      <w:r w:rsidRPr="00A45D99">
        <w:rPr>
          <w:rFonts w:ascii="Verdana" w:hAnsi="Verdana" w:cs="Arial"/>
          <w:lang w:val="es-MX"/>
        </w:rPr>
        <w:t>es obvio que si una de estas entidades va a prestar un servicio a un particular, lo puede hacer, pues estos se ofrecen a toda la comunidad en condiciones de igualdad. Si se supusiera que está prohibida su contratación directa, significaría la parálisis de tal actividad de interés público, lo que de ninguna manera es lo querido por la ley 996 de 2005</w:t>
      </w:r>
      <w:bookmarkEnd w:id="20"/>
      <w:r>
        <w:rPr>
          <w:rFonts w:ascii="Verdana" w:hAnsi="Verdana" w:cs="Arial"/>
          <w:lang w:val="es-MX"/>
        </w:rPr>
        <w:t>”</w:t>
      </w:r>
      <w:r w:rsidRPr="00A45D99">
        <w:rPr>
          <w:rFonts w:ascii="Verdana" w:hAnsi="Verdana" w:cs="Arial"/>
          <w:vertAlign w:val="superscript"/>
          <w:lang w:val="es-MX"/>
        </w:rPr>
        <w:t xml:space="preserve"> </w:t>
      </w:r>
      <w:r w:rsidRPr="00A45D99">
        <w:rPr>
          <w:rFonts w:ascii="Verdana" w:hAnsi="Verdana" w:cs="Arial"/>
          <w:vertAlign w:val="superscript"/>
          <w:lang w:val="es-MX"/>
        </w:rPr>
        <w:footnoteReference w:id="23"/>
      </w:r>
      <w:r w:rsidRPr="00A45D99">
        <w:rPr>
          <w:rFonts w:ascii="Verdana" w:hAnsi="Verdana" w:cs="Arial"/>
          <w:lang w:val="es-MX"/>
        </w:rPr>
        <w:t>.</w:t>
      </w:r>
    </w:p>
    <w:p w14:paraId="6498AAF1" w14:textId="77777777" w:rsidR="00CE1370" w:rsidRDefault="00CE1370" w:rsidP="00CE1370">
      <w:pPr>
        <w:spacing w:after="0" w:line="276" w:lineRule="auto"/>
        <w:ind w:firstLine="708"/>
        <w:jc w:val="both"/>
        <w:rPr>
          <w:rFonts w:ascii="Verdana" w:hAnsi="Verdana" w:cs="Arial"/>
          <w:bCs/>
          <w:lang w:val="es-MX" w:eastAsia="x-none"/>
        </w:rPr>
      </w:pPr>
      <w:bookmarkStart w:id="21" w:name="_Hlk77237229"/>
      <w:bookmarkEnd w:id="15"/>
      <w:r w:rsidRPr="00A45D99">
        <w:rPr>
          <w:rFonts w:ascii="Verdana" w:hAnsi="Verdana" w:cs="Arial"/>
          <w:lang w:val="es-MX"/>
        </w:rPr>
        <w:t>Por lo tanto, la restricción prevista en la Ley 996 de 200</w:t>
      </w:r>
      <w:bookmarkStart w:id="22" w:name="_Hlk75741539"/>
      <w:r w:rsidRPr="00A45D99">
        <w:rPr>
          <w:rFonts w:ascii="Verdana" w:hAnsi="Verdana" w:cs="Arial"/>
          <w:lang w:val="es-MX"/>
        </w:rPr>
        <w:t xml:space="preserve">5, </w:t>
      </w:r>
      <w:r w:rsidRPr="00A45D99">
        <w:rPr>
          <w:rFonts w:ascii="Verdana" w:hAnsi="Verdana" w:cs="Arial"/>
          <w:bCs/>
          <w:lang w:val="es-MX" w:eastAsia="x-none"/>
        </w:rPr>
        <w:t>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4FE2DA35" w14:textId="77777777" w:rsidR="00CE1370" w:rsidRDefault="00CE1370" w:rsidP="00CE1370">
      <w:pPr>
        <w:spacing w:after="0" w:line="276" w:lineRule="auto"/>
        <w:ind w:firstLine="708"/>
        <w:jc w:val="both"/>
        <w:rPr>
          <w:rFonts w:ascii="Verdana" w:hAnsi="Verdana" w:cs="Arial"/>
          <w:bCs/>
          <w:lang w:val="es-MX" w:eastAsia="x-none"/>
        </w:rPr>
      </w:pPr>
    </w:p>
    <w:p w14:paraId="4CDA0A5B" w14:textId="77777777" w:rsidR="00CE1370" w:rsidRDefault="00CE1370" w:rsidP="00CE1370">
      <w:pPr>
        <w:spacing w:line="276" w:lineRule="auto"/>
        <w:jc w:val="both"/>
        <w:rPr>
          <w:rFonts w:ascii="Verdana" w:hAnsi="Verdana" w:cs="Arial"/>
          <w:bCs/>
          <w:lang w:val="es-MX" w:eastAsia="x-none"/>
        </w:rPr>
      </w:pPr>
      <w:r w:rsidRPr="00763C12">
        <w:rPr>
          <w:rFonts w:ascii="Verdana" w:hAnsi="Verdana" w:cs="Arial"/>
          <w:bCs/>
          <w:lang w:val="es-MX" w:eastAsia="x-none"/>
        </w:rPr>
        <w:t xml:space="preserve">iv. </w:t>
      </w:r>
      <w:r>
        <w:rPr>
          <w:rFonts w:ascii="Verdana" w:hAnsi="Verdana" w:cs="Arial"/>
          <w:bCs/>
          <w:lang w:val="es-MX" w:eastAsia="x-none"/>
        </w:rPr>
        <w:t>E</w:t>
      </w:r>
      <w:r w:rsidRPr="00EF66EF">
        <w:rPr>
          <w:rFonts w:ascii="Verdana" w:hAnsi="Verdana" w:cs="Arial"/>
          <w:bCs/>
          <w:lang w:val="es-MX" w:eastAsia="x-none"/>
        </w:rPr>
        <w:t xml:space="preserve">s importante reiterar que el segundo inciso del artículo 33 de la Ley de Garantías Electorales consagró las excepciones aplicables a la prohibición de contratación directa establecida en el mismo artículo. </w:t>
      </w:r>
      <w:r w:rsidRPr="00263046">
        <w:rPr>
          <w:rFonts w:ascii="Verdana" w:hAnsi="Verdana" w:cs="Arial"/>
          <w:bCs/>
          <w:lang w:val="es-MX" w:eastAsia="x-none"/>
        </w:rPr>
        <w:t xml:space="preserve">La Sala de Consulta y </w:t>
      </w:r>
      <w:r w:rsidRPr="00263046">
        <w:rPr>
          <w:rFonts w:ascii="Verdana" w:hAnsi="Verdana" w:cs="Arial"/>
          <w:bCs/>
          <w:lang w:val="es-MX" w:eastAsia="x-none"/>
        </w:rPr>
        <w:lastRenderedPageBreak/>
        <w:t xml:space="preserve">Servicio Civil del Consejo de Estado, en </w:t>
      </w:r>
      <w:r>
        <w:rPr>
          <w:rFonts w:ascii="Verdana" w:hAnsi="Verdana" w:cs="Arial"/>
          <w:bCs/>
          <w:lang w:val="es-MX" w:eastAsia="x-none"/>
        </w:rPr>
        <w:t>C</w:t>
      </w:r>
      <w:r w:rsidRPr="00263046">
        <w:rPr>
          <w:rFonts w:ascii="Verdana" w:hAnsi="Verdana" w:cs="Arial"/>
          <w:bCs/>
          <w:lang w:val="es-MX" w:eastAsia="x-none"/>
        </w:rPr>
        <w:t xml:space="preserve">oncepto del 4 de febrero de 2010, </w:t>
      </w:r>
      <w:r>
        <w:rPr>
          <w:rFonts w:ascii="Verdana" w:hAnsi="Verdana" w:cs="Arial"/>
          <w:bCs/>
          <w:lang w:val="es-MX" w:eastAsia="x-none"/>
        </w:rPr>
        <w:t>explica que</w:t>
      </w:r>
      <w:r w:rsidRPr="00263046">
        <w:rPr>
          <w:rFonts w:ascii="Verdana" w:hAnsi="Verdana" w:cs="Arial"/>
          <w:bCs/>
          <w:lang w:val="es-MX" w:eastAsia="x-none"/>
        </w:rPr>
        <w:t xml:space="preserve"> </w:t>
      </w:r>
      <w:r>
        <w:rPr>
          <w:rFonts w:ascii="Verdana" w:hAnsi="Verdana" w:cs="Arial"/>
          <w:bCs/>
          <w:lang w:val="es-MX" w:eastAsia="x-none"/>
        </w:rPr>
        <w:t>“</w:t>
      </w:r>
      <w:r w:rsidRPr="00263046">
        <w:rPr>
          <w:rFonts w:ascii="Verdana" w:hAnsi="Verdana" w:cs="Arial"/>
          <w:bCs/>
          <w:lang w:val="es-MX" w:eastAsia="x-none"/>
        </w:rPr>
        <w:t>[…] Las excepciones establecidas en los artículos 32 y 33 en comento, guardan relación, exclusivamente, con algunos servicios públicos que por su naturaleza no admiten postergaciones en la atención de sus necesidades de personal, bienes y servicios [...]</w:t>
      </w:r>
      <w:r>
        <w:rPr>
          <w:rFonts w:ascii="Verdana" w:hAnsi="Verdana" w:cs="Arial"/>
          <w:bCs/>
          <w:lang w:val="es-MX" w:eastAsia="x-none"/>
        </w:rPr>
        <w:t>”</w:t>
      </w:r>
      <w:r w:rsidRPr="00263046">
        <w:rPr>
          <w:rStyle w:val="Refdenotaalpie"/>
          <w:rFonts w:ascii="Verdana" w:hAnsi="Verdana" w:cs="Arial"/>
          <w:lang w:val="es-ES_tradnl" w:eastAsia="es-CO"/>
        </w:rPr>
        <w:footnoteReference w:id="24"/>
      </w:r>
      <w:r w:rsidRPr="00263046">
        <w:rPr>
          <w:rFonts w:ascii="Verdana" w:hAnsi="Verdana" w:cs="Arial"/>
          <w:bCs/>
          <w:lang w:val="es-MX" w:eastAsia="x-none"/>
        </w:rPr>
        <w:t>.</w:t>
      </w:r>
    </w:p>
    <w:p w14:paraId="63CC1C80" w14:textId="77777777" w:rsidR="00CE1370" w:rsidRDefault="00CE1370" w:rsidP="5E6429B6">
      <w:pPr>
        <w:shd w:val="clear" w:color="auto" w:fill="FFFFFF" w:themeFill="background1"/>
        <w:spacing w:line="276" w:lineRule="auto"/>
        <w:ind w:firstLine="709"/>
        <w:jc w:val="both"/>
        <w:rPr>
          <w:rFonts w:ascii="Verdana" w:hAnsi="Verdana" w:cs="Arial"/>
          <w:lang w:val="es-ES" w:eastAsia="es-CO"/>
        </w:rPr>
      </w:pPr>
      <w:r w:rsidRPr="5E6429B6">
        <w:rPr>
          <w:rFonts w:ascii="Verdana" w:hAnsi="Verdana" w:cs="Arial"/>
          <w:lang w:val="es-ES" w:eastAsia="es-CO"/>
        </w:rPr>
        <w:t>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exequibilidad. Así, por ejemplo, la Corte Constitucional explicó que “[…]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5E6429B6">
        <w:rPr>
          <w:rStyle w:val="Refdenotaalpie"/>
          <w:rFonts w:ascii="Verdana" w:hAnsi="Verdana" w:cs="Arial"/>
          <w:lang w:val="es-ES" w:eastAsia="es-CO"/>
        </w:rPr>
        <w:footnoteReference w:id="25"/>
      </w:r>
      <w:r w:rsidRPr="5E6429B6">
        <w:rPr>
          <w:rFonts w:ascii="Verdana" w:hAnsi="Verdana" w:cs="Arial"/>
          <w:lang w:val="es-ES" w:eastAsia="es-CO"/>
        </w:rPr>
        <w:t xml:space="preserve">. </w:t>
      </w:r>
    </w:p>
    <w:p w14:paraId="286E335E" w14:textId="77777777" w:rsidR="00CE1370" w:rsidRPr="00263046" w:rsidRDefault="00CE1370" w:rsidP="00CE1370">
      <w:pPr>
        <w:shd w:val="clear" w:color="auto" w:fill="FFFFFF"/>
        <w:spacing w:line="276" w:lineRule="auto"/>
        <w:ind w:firstLine="709"/>
        <w:jc w:val="both"/>
        <w:rPr>
          <w:rFonts w:ascii="Verdana" w:hAnsi="Verdana" w:cs="Arial"/>
          <w:lang w:val="es-ES_tradnl" w:eastAsia="es-CO"/>
        </w:rPr>
      </w:pPr>
      <w:r w:rsidRPr="00263046">
        <w:rPr>
          <w:rFonts w:ascii="Verdana" w:hAnsi="Verdana" w:cs="Arial"/>
          <w:bCs/>
          <w:lang w:val="es-ES_tradnl"/>
        </w:rPr>
        <w:t>Por tanto, las excepciones a la prohibición contenida en el inciso segundo de artículo 33 de la ley de garantías electorales tienen por finalidad garantizar la prestación ininterrumpida de algunos servicios públicos que</w:t>
      </w:r>
      <w:r>
        <w:rPr>
          <w:rFonts w:ascii="Verdana" w:hAnsi="Verdana" w:cs="Arial"/>
          <w:bCs/>
          <w:lang w:val="es-ES_tradnl"/>
        </w:rPr>
        <w:t>,</w:t>
      </w:r>
      <w:r w:rsidRPr="00263046">
        <w:rPr>
          <w:rFonts w:ascii="Verdana" w:hAnsi="Verdana" w:cs="Arial"/>
          <w:bCs/>
          <w:lang w:val="es-ES_tradnl"/>
        </w:rPr>
        <w:t xml:space="preserve"> dada su importancia en el orden interno, se verían irrazonablemente afectados por la restricción explicada.</w:t>
      </w:r>
      <w:r>
        <w:rPr>
          <w:rFonts w:ascii="Verdana" w:hAnsi="Verdana" w:cs="Arial"/>
          <w:bCs/>
          <w:lang w:val="es-ES_tradnl"/>
        </w:rPr>
        <w:t xml:space="preserve"> </w:t>
      </w:r>
      <w:r w:rsidRPr="0022497D">
        <w:rPr>
          <w:rFonts w:ascii="Verdana" w:hAnsi="Verdana" w:cs="Arial"/>
          <w:bCs/>
          <w:lang w:val="es-ES_tradnl"/>
        </w:rPr>
        <w:t xml:space="preserve">Lo anterior implica que las excepciones al artículo 33 en comento deben interpretarse y aplicarse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w:t>
      </w:r>
      <w:r>
        <w:rPr>
          <w:rFonts w:ascii="Verdana" w:hAnsi="Verdana" w:cs="Arial"/>
          <w:bCs/>
          <w:lang w:val="es-ES_tradnl"/>
        </w:rPr>
        <w:t>prohibición</w:t>
      </w:r>
      <w:r w:rsidRPr="0022497D">
        <w:rPr>
          <w:rFonts w:ascii="Verdana" w:hAnsi="Verdana" w:cs="Arial"/>
          <w:bCs/>
          <w:lang w:val="es-ES_tradnl"/>
        </w:rPr>
        <w:t>.</w:t>
      </w:r>
    </w:p>
    <w:p w14:paraId="26B560F6" w14:textId="77777777" w:rsidR="00CE1370" w:rsidRPr="00263046" w:rsidRDefault="00CE1370" w:rsidP="00CE1370">
      <w:pPr>
        <w:spacing w:line="276" w:lineRule="auto"/>
        <w:ind w:firstLine="708"/>
        <w:jc w:val="both"/>
        <w:rPr>
          <w:rFonts w:ascii="Verdana" w:eastAsia="Calibri" w:hAnsi="Verdana" w:cs="Arial"/>
        </w:rPr>
      </w:pPr>
      <w:r w:rsidRPr="003F69B5">
        <w:rPr>
          <w:rFonts w:ascii="Verdana" w:hAnsi="Verdana" w:cs="Arial"/>
          <w:bCs/>
          <w:i/>
          <w:iCs/>
          <w:lang w:val="es-MX" w:eastAsia="x-none"/>
        </w:rPr>
        <w:t>Respecto al objeto de la consulta</w:t>
      </w:r>
      <w:r>
        <w:rPr>
          <w:rFonts w:ascii="Verdana" w:hAnsi="Verdana" w:cs="Arial"/>
          <w:bCs/>
          <w:lang w:val="es-MX" w:eastAsia="x-none"/>
        </w:rPr>
        <w:t>, entre</w:t>
      </w:r>
      <w:r w:rsidRPr="00EF66EF">
        <w:rPr>
          <w:rFonts w:ascii="Verdana" w:hAnsi="Verdana" w:cs="Arial"/>
          <w:bCs/>
          <w:lang w:val="es-MX" w:eastAsia="x-none"/>
        </w:rPr>
        <w:t xml:space="preserve"> las excepciones del artículo </w:t>
      </w:r>
      <w:r>
        <w:rPr>
          <w:rFonts w:ascii="Verdana" w:hAnsi="Verdana" w:cs="Arial"/>
          <w:bCs/>
          <w:lang w:val="es-MX" w:eastAsia="x-none"/>
        </w:rPr>
        <w:t xml:space="preserve">en comento se encuentran, por un lado, “[…] </w:t>
      </w:r>
      <w:r w:rsidRPr="00EF66EF">
        <w:rPr>
          <w:rFonts w:ascii="Verdana" w:hAnsi="Verdana" w:cs="Arial"/>
          <w:bCs/>
          <w:lang w:val="es-MX" w:eastAsia="x-none"/>
        </w:rPr>
        <w:t>los requeridos para cubrir las emergencias</w:t>
      </w:r>
      <w:r>
        <w:rPr>
          <w:rFonts w:ascii="Verdana" w:hAnsi="Verdana" w:cs="Arial"/>
          <w:bCs/>
          <w:lang w:val="es-MX" w:eastAsia="x-none"/>
        </w:rPr>
        <w:t xml:space="preserve"> […]</w:t>
      </w:r>
      <w:r w:rsidRPr="00EF66EF">
        <w:rPr>
          <w:rFonts w:ascii="Verdana" w:hAnsi="Verdana" w:cs="Arial"/>
          <w:bCs/>
          <w:lang w:val="es-MX" w:eastAsia="x-none"/>
        </w:rPr>
        <w:t xml:space="preserve"> sanitarias</w:t>
      </w:r>
      <w:r>
        <w:rPr>
          <w:rFonts w:ascii="Verdana" w:hAnsi="Verdana" w:cs="Arial"/>
          <w:bCs/>
          <w:lang w:val="es-MX" w:eastAsia="x-none"/>
        </w:rPr>
        <w:t xml:space="preserve">” y, por otro, “[…] </w:t>
      </w:r>
      <w:r w:rsidRPr="009E105D">
        <w:rPr>
          <w:rFonts w:ascii="Verdana" w:eastAsia="Calibri" w:hAnsi="Verdana" w:cs="Arial"/>
        </w:rPr>
        <w:t xml:space="preserve">los que deban realizar las entidades sanitarias </w:t>
      </w:r>
      <w:r>
        <w:rPr>
          <w:rFonts w:ascii="Verdana" w:eastAsia="Calibri" w:hAnsi="Verdana" w:cs="Arial"/>
        </w:rPr>
        <w:t xml:space="preserve">[…]”. Sobre el alcance de estas excepciones, es necesario tener en cuenta que el </w:t>
      </w:r>
      <w:r w:rsidRPr="00B620EA">
        <w:rPr>
          <w:rFonts w:ascii="Verdana" w:eastAsia="Calibri" w:hAnsi="Verdana" w:cs="Arial"/>
          <w:bCs/>
          <w:color w:val="000000" w:themeColor="text1"/>
        </w:rPr>
        <w:t xml:space="preserve">artículo 28 del Código Civil dispone que “Las palabras de la ley se entenderán en su sentido natural y obvio, según el uso general de las mismas palabras; pero cuando el legislador las haya definido expresamente para ciertas </w:t>
      </w:r>
      <w:r w:rsidRPr="00B620EA">
        <w:rPr>
          <w:rFonts w:ascii="Verdana" w:eastAsia="Calibri" w:hAnsi="Verdana" w:cs="Arial"/>
          <w:bCs/>
          <w:color w:val="000000" w:themeColor="text1"/>
        </w:rPr>
        <w:lastRenderedPageBreak/>
        <w:t>materias, se les dará en éstas su significado legal”</w:t>
      </w:r>
      <w:r>
        <w:rPr>
          <w:rFonts w:ascii="Verdana" w:eastAsia="Calibri" w:hAnsi="Verdana" w:cs="Arial"/>
          <w:bCs/>
          <w:color w:val="000000" w:themeColor="text1"/>
        </w:rPr>
        <w:t>; i</w:t>
      </w:r>
      <w:r w:rsidRPr="00B620EA">
        <w:rPr>
          <w:rFonts w:ascii="Verdana" w:eastAsia="Calibri" w:hAnsi="Verdana" w:cs="Arial"/>
          <w:bCs/>
          <w:color w:val="000000" w:themeColor="text1"/>
        </w:rPr>
        <w:t xml:space="preserve">gualmente, el artículo 29 </w:t>
      </w:r>
      <w:r w:rsidRPr="00240A54">
        <w:rPr>
          <w:rFonts w:ascii="Verdana" w:eastAsia="Calibri" w:hAnsi="Verdana" w:cs="Arial"/>
          <w:bCs/>
          <w:i/>
          <w:iCs/>
          <w:color w:val="000000" w:themeColor="text1"/>
        </w:rPr>
        <w:t>ibidem</w:t>
      </w:r>
      <w:r w:rsidRPr="00B620EA">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Pr>
          <w:rStyle w:val="Refdenotaalpie"/>
          <w:rFonts w:ascii="Verdana" w:eastAsia="Calibri" w:hAnsi="Verdana" w:cs="Arial"/>
          <w:bCs/>
          <w:color w:val="000000" w:themeColor="text1"/>
        </w:rPr>
        <w:footnoteReference w:id="26"/>
      </w:r>
      <w:r>
        <w:rPr>
          <w:rFonts w:ascii="Verdana" w:eastAsia="Calibri" w:hAnsi="Verdana" w:cs="Arial"/>
          <w:bCs/>
          <w:color w:val="000000" w:themeColor="text1"/>
        </w:rPr>
        <w:t>.</w:t>
      </w:r>
    </w:p>
    <w:p w14:paraId="17557F9B" w14:textId="77777777" w:rsidR="00CE1370" w:rsidRDefault="00CE1370" w:rsidP="00CE1370">
      <w:pPr>
        <w:spacing w:line="276" w:lineRule="auto"/>
        <w:jc w:val="both"/>
        <w:rPr>
          <w:rFonts w:ascii="Verdana" w:eastAsia="Calibri" w:hAnsi="Verdana" w:cs="Arial"/>
          <w:bCs/>
          <w:color w:val="000000" w:themeColor="text1"/>
        </w:rPr>
      </w:pPr>
      <w:r>
        <w:rPr>
          <w:rFonts w:ascii="Verdana" w:eastAsia="Calibri" w:hAnsi="Verdana" w:cs="Arial"/>
          <w:bCs/>
          <w:color w:val="000000" w:themeColor="text1"/>
        </w:rPr>
        <w:tab/>
        <w:t>Dentro de este marco, el inciso primero del artículo 69 de la Ley 1753 de 2015 dispone que “</w:t>
      </w:r>
      <w:r w:rsidRPr="00D50FF8">
        <w:rPr>
          <w:rFonts w:ascii="Verdana" w:eastAsia="Calibri" w:hAnsi="Verdana" w:cs="Arial"/>
          <w:bCs/>
          <w:color w:val="000000" w:themeColor="text1"/>
        </w:rPr>
        <w:t>El Ministerio de Salud y Protección Social (MSPS) podrá declarar la emergencia sanitaria y/o eventos catastróficos, cuando se presenten situaciones por riesgo de epidemia, epidemia declarada, insuficiencia o desabastecimiento de bienes o servicios de salud o eventos catastróficos que afecten la salud colectiva, u otros cuya magnitud supere la capacidad de adaptación de la comunidad en la que aquel se produce y que la afecten en forma masiva e indiscriminada generando la necesidad de ayuda externa</w:t>
      </w:r>
      <w:r>
        <w:rPr>
          <w:rFonts w:ascii="Verdana" w:eastAsia="Calibri" w:hAnsi="Verdana" w:cs="Arial"/>
          <w:bCs/>
          <w:color w:val="000000" w:themeColor="text1"/>
        </w:rPr>
        <w:t>”</w:t>
      </w:r>
      <w:r w:rsidRPr="00D50FF8">
        <w:rPr>
          <w:rFonts w:ascii="Verdana" w:eastAsia="Calibri" w:hAnsi="Verdana" w:cs="Arial"/>
          <w:bCs/>
          <w:color w:val="000000" w:themeColor="text1"/>
        </w:rPr>
        <w:t>.</w:t>
      </w:r>
      <w:r>
        <w:rPr>
          <w:rFonts w:ascii="Verdana" w:eastAsia="Calibri" w:hAnsi="Verdana" w:cs="Arial"/>
          <w:bCs/>
          <w:color w:val="000000" w:themeColor="text1"/>
        </w:rPr>
        <w:t xml:space="preserve"> En consecuencia, la autoridad competente para declararla podrá analizar si </w:t>
      </w:r>
      <w:r w:rsidRPr="006A4CB1">
        <w:rPr>
          <w:rFonts w:ascii="Verdana" w:eastAsia="Calibri" w:hAnsi="Verdana" w:cs="Arial"/>
          <w:bCs/>
          <w:color w:val="000000" w:themeColor="text1"/>
        </w:rPr>
        <w:t>la falta de prestación de servicios que realiza</w:t>
      </w:r>
      <w:r>
        <w:rPr>
          <w:rFonts w:ascii="Verdana" w:eastAsia="Calibri" w:hAnsi="Verdana" w:cs="Arial"/>
          <w:bCs/>
          <w:color w:val="000000" w:themeColor="text1"/>
        </w:rPr>
        <w:t>n</w:t>
      </w:r>
      <w:r w:rsidRPr="006A4CB1">
        <w:rPr>
          <w:rFonts w:ascii="Verdana" w:eastAsia="Calibri" w:hAnsi="Verdana" w:cs="Arial"/>
          <w:bCs/>
          <w:color w:val="000000" w:themeColor="text1"/>
        </w:rPr>
        <w:t xml:space="preserve"> la</w:t>
      </w:r>
      <w:r>
        <w:rPr>
          <w:rFonts w:ascii="Verdana" w:eastAsia="Calibri" w:hAnsi="Verdana" w:cs="Arial"/>
          <w:bCs/>
          <w:color w:val="000000" w:themeColor="text1"/>
        </w:rPr>
        <w:t>s</w:t>
      </w:r>
      <w:r w:rsidRPr="006A4CB1">
        <w:rPr>
          <w:rFonts w:ascii="Verdana" w:eastAsia="Calibri" w:hAnsi="Verdana" w:cs="Arial"/>
          <w:bCs/>
          <w:color w:val="000000" w:themeColor="text1"/>
        </w:rPr>
        <w:t xml:space="preserve"> secretar</w:t>
      </w:r>
      <w:r>
        <w:rPr>
          <w:rFonts w:ascii="Verdana" w:eastAsia="Calibri" w:hAnsi="Verdana" w:cs="Arial"/>
          <w:bCs/>
          <w:color w:val="000000" w:themeColor="text1"/>
        </w:rPr>
        <w:t>ías</w:t>
      </w:r>
      <w:r w:rsidRPr="006A4CB1">
        <w:rPr>
          <w:rFonts w:ascii="Verdana" w:eastAsia="Calibri" w:hAnsi="Verdana" w:cs="Arial"/>
          <w:bCs/>
          <w:color w:val="000000" w:themeColor="text1"/>
        </w:rPr>
        <w:t xml:space="preserve"> de salud</w:t>
      </w:r>
      <w:r>
        <w:rPr>
          <w:rFonts w:ascii="Verdana" w:eastAsia="Calibri" w:hAnsi="Verdana" w:cs="Arial"/>
          <w:bCs/>
          <w:color w:val="000000" w:themeColor="text1"/>
        </w:rPr>
        <w:t xml:space="preserve"> es constitutiva o no de una situación de emergencia sanitaria. En caso de lo que sea y exista declaración por parte del </w:t>
      </w:r>
      <w:r w:rsidRPr="00D50FF8">
        <w:rPr>
          <w:rFonts w:ascii="Verdana" w:eastAsia="Calibri" w:hAnsi="Verdana" w:cs="Arial"/>
          <w:bCs/>
          <w:color w:val="000000" w:themeColor="text1"/>
        </w:rPr>
        <w:t>Ministerio de Salud y Protección Social</w:t>
      </w:r>
      <w:r>
        <w:rPr>
          <w:rFonts w:ascii="Verdana" w:eastAsia="Calibri" w:hAnsi="Verdana" w:cs="Arial"/>
          <w:bCs/>
          <w:color w:val="000000" w:themeColor="text1"/>
        </w:rPr>
        <w:t>, la entidad estatal podrá acudir a la contratación directa bajo las causales que disponga el régimen jurídico aplicable bajo la excepción prevista en el inciso segundo del artículo 33 de la Ley 996 de 2005.</w:t>
      </w:r>
    </w:p>
    <w:p w14:paraId="460D26AA" w14:textId="77777777" w:rsidR="00CE1370" w:rsidRDefault="00CE1370" w:rsidP="00CE1370">
      <w:pPr>
        <w:spacing w:line="276" w:lineRule="auto"/>
        <w:jc w:val="both"/>
        <w:rPr>
          <w:rFonts w:ascii="Verdana" w:eastAsia="Calibri" w:hAnsi="Verdana" w:cs="Arial"/>
          <w:bCs/>
          <w:color w:val="000000" w:themeColor="text1"/>
        </w:rPr>
      </w:pPr>
      <w:r>
        <w:rPr>
          <w:rFonts w:ascii="Verdana" w:eastAsia="Calibri" w:hAnsi="Verdana" w:cs="Arial"/>
          <w:bCs/>
          <w:color w:val="000000" w:themeColor="text1"/>
        </w:rPr>
        <w:tab/>
        <w:t>De acuerdo con el peticionario, “</w:t>
      </w:r>
      <w:r w:rsidRPr="00552DF3">
        <w:rPr>
          <w:rFonts w:ascii="Verdana" w:eastAsia="Calibri" w:hAnsi="Verdana" w:cs="Arial"/>
          <w:bCs/>
          <w:color w:val="000000" w:themeColor="text1"/>
        </w:rPr>
        <w:t>Según el Concepto 2371 de 2018 del Consejo de Estado - Sala de Consulta y</w:t>
      </w:r>
      <w:r>
        <w:rPr>
          <w:rFonts w:ascii="Verdana" w:eastAsia="Calibri" w:hAnsi="Verdana" w:cs="Arial"/>
          <w:bCs/>
          <w:color w:val="000000" w:themeColor="text1"/>
        </w:rPr>
        <w:t xml:space="preserve"> </w:t>
      </w:r>
      <w:r w:rsidRPr="00552DF3">
        <w:rPr>
          <w:rFonts w:ascii="Verdana" w:eastAsia="Calibri" w:hAnsi="Verdana" w:cs="Arial"/>
          <w:bCs/>
          <w:color w:val="000000" w:themeColor="text1"/>
        </w:rPr>
        <w:t>Servicio Civil, durante los cuatro (4) meses anteriores a elecciones presidenciales,</w:t>
      </w:r>
      <w:r>
        <w:rPr>
          <w:rFonts w:ascii="Verdana" w:eastAsia="Calibri" w:hAnsi="Verdana" w:cs="Arial"/>
          <w:bCs/>
          <w:color w:val="000000" w:themeColor="text1"/>
        </w:rPr>
        <w:t xml:space="preserve"> </w:t>
      </w:r>
      <w:r w:rsidRPr="00552DF3">
        <w:rPr>
          <w:rFonts w:ascii="Verdana" w:eastAsia="Calibri" w:hAnsi="Verdana" w:cs="Arial"/>
          <w:bCs/>
          <w:color w:val="000000" w:themeColor="text1"/>
        </w:rPr>
        <w:t xml:space="preserve">las entidades territoriales </w:t>
      </w:r>
      <w:r>
        <w:rPr>
          <w:rFonts w:ascii="Verdana" w:eastAsia="Calibri" w:hAnsi="Verdana" w:cs="Arial"/>
          <w:bCs/>
          <w:color w:val="000000" w:themeColor="text1"/>
        </w:rPr>
        <w:t>[…]</w:t>
      </w:r>
      <w:r w:rsidRPr="00552DF3">
        <w:rPr>
          <w:rFonts w:ascii="Verdana" w:eastAsia="Calibri" w:hAnsi="Verdana" w:cs="Arial"/>
          <w:bCs/>
          <w:color w:val="000000" w:themeColor="text1"/>
        </w:rPr>
        <w:t xml:space="preserve"> pueden suscribir convenios interadministrativos con las Empresas Sociales del Estado para</w:t>
      </w:r>
      <w:r>
        <w:rPr>
          <w:rFonts w:ascii="Verdana" w:eastAsia="Calibri" w:hAnsi="Verdana" w:cs="Arial"/>
          <w:bCs/>
          <w:color w:val="000000" w:themeColor="text1"/>
        </w:rPr>
        <w:t xml:space="preserve"> […] </w:t>
      </w:r>
      <w:r w:rsidRPr="00552DF3">
        <w:rPr>
          <w:rFonts w:ascii="Verdana" w:eastAsia="Calibri" w:hAnsi="Verdana" w:cs="Arial"/>
          <w:bCs/>
          <w:color w:val="000000" w:themeColor="text1"/>
        </w:rPr>
        <w:t>emergencias sanitarias o de salubridad qu</w:t>
      </w:r>
      <w:r>
        <w:rPr>
          <w:rFonts w:ascii="Verdana" w:eastAsia="Calibri" w:hAnsi="Verdana" w:cs="Arial"/>
          <w:bCs/>
          <w:color w:val="000000" w:themeColor="text1"/>
        </w:rPr>
        <w:t xml:space="preserve">e </w:t>
      </w:r>
      <w:r w:rsidRPr="00552DF3">
        <w:rPr>
          <w:rFonts w:ascii="Verdana" w:eastAsia="Calibri" w:hAnsi="Verdana" w:cs="Arial"/>
          <w:bCs/>
          <w:color w:val="000000" w:themeColor="text1"/>
        </w:rPr>
        <w:t>requieran atención o prestación inmediata y oportuna de servicios de salud</w:t>
      </w:r>
      <w:r>
        <w:rPr>
          <w:rFonts w:ascii="Verdana" w:eastAsia="Calibri" w:hAnsi="Verdana" w:cs="Arial"/>
          <w:bCs/>
          <w:color w:val="000000" w:themeColor="text1"/>
        </w:rPr>
        <w:t>”</w:t>
      </w:r>
      <w:r w:rsidRPr="00552DF3">
        <w:rPr>
          <w:rFonts w:ascii="Verdana" w:eastAsia="Calibri" w:hAnsi="Verdana" w:cs="Arial"/>
          <w:bCs/>
          <w:color w:val="000000" w:themeColor="text1"/>
        </w:rPr>
        <w:t>.</w:t>
      </w:r>
      <w:r>
        <w:rPr>
          <w:rFonts w:ascii="Verdana" w:eastAsia="Calibri" w:hAnsi="Verdana" w:cs="Arial"/>
          <w:bCs/>
          <w:color w:val="000000" w:themeColor="text1"/>
        </w:rPr>
        <w:t xml:space="preserve"> En el contexto del sentido natural y obvio de las palabras de que trata el precitado artículo 28 del </w:t>
      </w:r>
      <w:r>
        <w:rPr>
          <w:rFonts w:ascii="Verdana" w:eastAsia="Calibri" w:hAnsi="Verdana" w:cs="Arial"/>
          <w:bCs/>
          <w:color w:val="000000" w:themeColor="text1"/>
        </w:rPr>
        <w:lastRenderedPageBreak/>
        <w:t>Código Civil, la “inmediatez” alude a aquello “</w:t>
      </w:r>
      <w:r w:rsidRPr="0029274B">
        <w:rPr>
          <w:rFonts w:ascii="Verdana" w:eastAsia="Calibri" w:hAnsi="Verdana" w:cs="Arial"/>
          <w:bCs/>
          <w:color w:val="000000" w:themeColor="text1"/>
        </w:rPr>
        <w:t>Que sucede enseguida, sin intervalo de tiempo</w:t>
      </w:r>
      <w:r>
        <w:rPr>
          <w:rFonts w:ascii="Verdana" w:eastAsia="Calibri" w:hAnsi="Verdana" w:cs="Arial"/>
          <w:bCs/>
          <w:color w:val="000000" w:themeColor="text1"/>
        </w:rPr>
        <w:t>” como indica el diccionario de la RAE.</w:t>
      </w:r>
    </w:p>
    <w:p w14:paraId="01911AEF" w14:textId="77777777" w:rsidR="00CE1370" w:rsidRDefault="00CE1370" w:rsidP="00CE1370">
      <w:pPr>
        <w:spacing w:after="120" w:line="276" w:lineRule="auto"/>
        <w:jc w:val="both"/>
        <w:rPr>
          <w:rFonts w:ascii="Verdana" w:eastAsia="Arial" w:hAnsi="Verdana" w:cs="Arial"/>
          <w:bCs/>
          <w:lang w:val="es-ES_tradnl"/>
        </w:rPr>
      </w:pPr>
      <w:r>
        <w:rPr>
          <w:rFonts w:ascii="Verdana" w:eastAsia="Calibri" w:hAnsi="Verdana" w:cs="Arial"/>
          <w:bCs/>
          <w:color w:val="000000" w:themeColor="text1"/>
        </w:rPr>
        <w:tab/>
        <w:t xml:space="preserve">Asimismo, </w:t>
      </w:r>
      <w:r w:rsidRPr="002028BD">
        <w:rPr>
          <w:rFonts w:ascii="Verdana" w:eastAsia="Arial" w:hAnsi="Verdana" w:cs="Arial"/>
          <w:bCs/>
        </w:rPr>
        <w:t xml:space="preserve">el artículo 2.8.8.1.1.3 del Decreto 780 de 2016, </w:t>
      </w:r>
      <w:r>
        <w:rPr>
          <w:rFonts w:ascii="Verdana" w:eastAsia="Arial" w:hAnsi="Verdana" w:cs="Arial"/>
          <w:bCs/>
        </w:rPr>
        <w:t>“</w:t>
      </w:r>
      <w:r w:rsidRPr="002028BD">
        <w:rPr>
          <w:rFonts w:ascii="Verdana" w:eastAsia="Arial" w:hAnsi="Verdana" w:cs="Arial"/>
          <w:bCs/>
        </w:rPr>
        <w:t>Por medio del cual se expide el Decreto Único Reglamentario del Sector Salud y Protección Social</w:t>
      </w:r>
      <w:r>
        <w:rPr>
          <w:rFonts w:ascii="Verdana" w:eastAsia="Arial" w:hAnsi="Verdana" w:cs="Arial"/>
          <w:bCs/>
        </w:rPr>
        <w:t>”</w:t>
      </w:r>
      <w:r w:rsidRPr="002028BD">
        <w:rPr>
          <w:rFonts w:ascii="Verdana" w:eastAsia="Arial" w:hAnsi="Verdana" w:cs="Arial"/>
          <w:bCs/>
        </w:rPr>
        <w:t xml:space="preserve">, define las </w:t>
      </w:r>
      <w:r w:rsidRPr="002028BD">
        <w:rPr>
          <w:rFonts w:ascii="Verdana" w:eastAsia="Arial" w:hAnsi="Verdana" w:cs="Arial"/>
          <w:bCs/>
          <w:i/>
          <w:iCs/>
        </w:rPr>
        <w:t>entidades sanitarias</w:t>
      </w:r>
      <w:r w:rsidRPr="002028BD">
        <w:rPr>
          <w:rFonts w:ascii="Verdana" w:eastAsia="Arial" w:hAnsi="Verdana" w:cs="Arial"/>
          <w:bCs/>
        </w:rPr>
        <w:t xml:space="preserve"> como </w:t>
      </w:r>
      <w:r>
        <w:rPr>
          <w:rFonts w:ascii="Verdana" w:eastAsia="Arial" w:hAnsi="Verdana" w:cs="Arial"/>
          <w:bCs/>
        </w:rPr>
        <w:t>“</w:t>
      </w:r>
      <w:r w:rsidRPr="002028BD">
        <w:rPr>
          <w:rFonts w:ascii="Verdana" w:eastAsia="Arial" w:hAnsi="Verdana" w:cs="Arial"/>
          <w:bCs/>
        </w:rPr>
        <w:t>Entidades del Estado que prestan servicios sanitarios o de sanidad con el propósito de preservar la salud humana y la salud pública</w:t>
      </w:r>
      <w:r>
        <w:rPr>
          <w:rFonts w:ascii="Verdana" w:eastAsia="Arial" w:hAnsi="Verdana" w:cs="Arial"/>
          <w:bCs/>
        </w:rPr>
        <w:t>”</w:t>
      </w:r>
      <w:r w:rsidRPr="002028BD">
        <w:rPr>
          <w:rFonts w:ascii="Verdana" w:eastAsia="Arial" w:hAnsi="Verdana" w:cs="Arial"/>
          <w:bCs/>
        </w:rPr>
        <w:t xml:space="preserve">. Si bien los departamentos mediante sus secretarias de salud juegan un rol importante en la materia, no prestan un servicio directo, pues coordinan las políticas de esta naturaleza desde un punto de vista administrativo para efectos del control y vigilancia. Por ello, el artículo citado también define las </w:t>
      </w:r>
      <w:r w:rsidRPr="002028BD">
        <w:rPr>
          <w:rFonts w:ascii="Verdana" w:eastAsia="Arial" w:hAnsi="Verdana" w:cs="Arial"/>
          <w:bCs/>
          <w:i/>
          <w:iCs/>
        </w:rPr>
        <w:t>autoridades sanitarias</w:t>
      </w:r>
      <w:r w:rsidRPr="002028BD">
        <w:rPr>
          <w:rFonts w:ascii="Verdana" w:eastAsia="Arial" w:hAnsi="Verdana" w:cs="Arial"/>
          <w:bCs/>
        </w:rPr>
        <w:t xml:space="preserve"> como </w:t>
      </w:r>
      <w:r>
        <w:rPr>
          <w:rFonts w:ascii="Verdana" w:eastAsia="Arial" w:hAnsi="Verdana" w:cs="Arial"/>
          <w:bCs/>
        </w:rPr>
        <w:t>“</w:t>
      </w:r>
      <w:r w:rsidRPr="002028BD">
        <w:rPr>
          <w:rFonts w:ascii="Verdana" w:eastAsia="Arial" w:hAnsi="Verdana" w:cs="Arial"/>
          <w:bCs/>
        </w:rPr>
        <w:t>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w:t>
      </w:r>
      <w:r>
        <w:rPr>
          <w:rFonts w:ascii="Verdana" w:eastAsia="Arial" w:hAnsi="Verdana" w:cs="Arial"/>
          <w:bCs/>
        </w:rPr>
        <w:t>”</w:t>
      </w:r>
      <w:r w:rsidRPr="002028BD">
        <w:rPr>
          <w:rStyle w:val="Refdenotaalpie"/>
          <w:rFonts w:ascii="Verdana" w:eastAsia="Arial" w:hAnsi="Verdana" w:cs="Arial"/>
          <w:bCs/>
        </w:rPr>
        <w:footnoteReference w:id="27"/>
      </w:r>
      <w:r w:rsidRPr="002028BD">
        <w:rPr>
          <w:rFonts w:ascii="Verdana" w:eastAsia="Arial" w:hAnsi="Verdana" w:cs="Arial"/>
          <w:bCs/>
        </w:rPr>
        <w:t xml:space="preserve">. Sin embargo, es necesario tener en cuenta que la excepción del artículo 33 de la Ley de Garantías solo aplica a las </w:t>
      </w:r>
      <w:r w:rsidRPr="002028BD">
        <w:rPr>
          <w:rFonts w:ascii="Verdana" w:eastAsia="Arial" w:hAnsi="Verdana" w:cs="Arial"/>
          <w:bCs/>
          <w:i/>
          <w:iCs/>
        </w:rPr>
        <w:t>entidades sanitarias</w:t>
      </w:r>
      <w:r w:rsidRPr="002028BD">
        <w:rPr>
          <w:rFonts w:ascii="Verdana" w:eastAsia="Arial" w:hAnsi="Verdana" w:cs="Arial"/>
          <w:bCs/>
        </w:rPr>
        <w:t xml:space="preserve">, no a las </w:t>
      </w:r>
      <w:r w:rsidRPr="002028BD">
        <w:rPr>
          <w:rFonts w:ascii="Verdana" w:eastAsia="Arial" w:hAnsi="Verdana" w:cs="Arial"/>
          <w:bCs/>
          <w:i/>
          <w:iCs/>
        </w:rPr>
        <w:t>autoridades sanitarias</w:t>
      </w:r>
      <w:r>
        <w:rPr>
          <w:rFonts w:ascii="Verdana" w:eastAsia="Arial" w:hAnsi="Verdana" w:cs="Arial"/>
          <w:bCs/>
          <w:lang w:val="es-ES_tradnl"/>
        </w:rPr>
        <w:t xml:space="preserve">. </w:t>
      </w:r>
    </w:p>
    <w:p w14:paraId="36C2E7C4" w14:textId="77777777" w:rsidR="00CE1370" w:rsidRDefault="00CE1370" w:rsidP="00CE1370">
      <w:pPr>
        <w:spacing w:after="0" w:line="276" w:lineRule="auto"/>
        <w:ind w:firstLine="708"/>
        <w:jc w:val="both"/>
        <w:rPr>
          <w:rFonts w:ascii="Verdana" w:eastAsia="Arial" w:hAnsi="Verdana" w:cs="Arial"/>
          <w:bCs/>
        </w:rPr>
      </w:pPr>
      <w:r>
        <w:rPr>
          <w:rFonts w:ascii="Verdana" w:eastAsia="Arial" w:hAnsi="Verdana" w:cs="Arial"/>
          <w:bCs/>
        </w:rPr>
        <w:t>Es decir</w:t>
      </w:r>
      <w:r w:rsidRPr="002028BD">
        <w:rPr>
          <w:rFonts w:ascii="Verdana" w:eastAsia="Arial" w:hAnsi="Verdana" w:cs="Arial"/>
          <w:bCs/>
        </w:rPr>
        <w:t xml:space="preserve">, en caso en que los departamentos ejerzan funciones de autoridad sanitaria </w:t>
      </w:r>
      <w:r>
        <w:rPr>
          <w:rFonts w:ascii="Verdana" w:eastAsia="Arial" w:hAnsi="Verdana" w:cs="Arial"/>
          <w:bCs/>
        </w:rPr>
        <w:t>–</w:t>
      </w:r>
      <w:r w:rsidRPr="002028BD">
        <w:rPr>
          <w:rFonts w:ascii="Verdana" w:eastAsia="Arial" w:hAnsi="Verdana" w:cs="Arial"/>
          <w:bCs/>
        </w:rPr>
        <w:t>no de entidades sanitarias</w:t>
      </w:r>
      <w:r>
        <w:rPr>
          <w:rFonts w:ascii="Verdana" w:eastAsia="Arial" w:hAnsi="Verdana" w:cs="Arial"/>
          <w:bCs/>
        </w:rPr>
        <w:t>–</w:t>
      </w:r>
      <w:r w:rsidRPr="002028BD">
        <w:rPr>
          <w:rFonts w:ascii="Verdana" w:eastAsia="Arial" w:hAnsi="Verdana" w:cs="Arial"/>
          <w:bCs/>
        </w:rPr>
        <w:t xml:space="preserve"> </w:t>
      </w:r>
      <w:r>
        <w:rPr>
          <w:rFonts w:ascii="Verdana" w:eastAsia="Arial" w:hAnsi="Verdana" w:cs="Arial"/>
          <w:bCs/>
        </w:rPr>
        <w:t>no</w:t>
      </w:r>
      <w:r w:rsidRPr="002028BD">
        <w:rPr>
          <w:rFonts w:ascii="Verdana" w:eastAsia="Arial" w:hAnsi="Verdana" w:cs="Arial"/>
          <w:bCs/>
        </w:rPr>
        <w:t xml:space="preserve"> estarían dentro de la excepción</w:t>
      </w:r>
      <w:r>
        <w:rPr>
          <w:rFonts w:ascii="Verdana" w:eastAsia="Arial" w:hAnsi="Verdana" w:cs="Arial"/>
          <w:bCs/>
        </w:rPr>
        <w:t>; razón por la cual, deben adoptar las medidas administrativas y presupuestales necesarias para suscribir los contratos antes de la vigencia de las prohibiciones. Para ello, la entidad interesada acudirá a las figuras jurídicas propias de su régimen contractual, esto es, las de la Ley 80 de 1993, especialmente, considerando que los departamentos son entidades estatales en los términos del literal a) del artículo 2.1 del EGCAP</w:t>
      </w:r>
      <w:r>
        <w:rPr>
          <w:rStyle w:val="Refdenotaalpie"/>
          <w:rFonts w:ascii="Verdana" w:eastAsia="Arial" w:hAnsi="Verdana" w:cs="Arial"/>
          <w:bCs/>
        </w:rPr>
        <w:footnoteReference w:id="28"/>
      </w:r>
      <w:r>
        <w:rPr>
          <w:rFonts w:ascii="Verdana" w:eastAsia="Arial" w:hAnsi="Verdana" w:cs="Arial"/>
          <w:bCs/>
        </w:rPr>
        <w:t xml:space="preserve">. </w:t>
      </w:r>
    </w:p>
    <w:p w14:paraId="6E4212BB" w14:textId="77777777" w:rsidR="00CE1370" w:rsidRPr="00037111" w:rsidRDefault="00CE1370" w:rsidP="00CE1370">
      <w:pPr>
        <w:spacing w:after="0" w:line="276" w:lineRule="auto"/>
        <w:jc w:val="both"/>
        <w:rPr>
          <w:rFonts w:ascii="Verdana" w:eastAsia="Arial" w:hAnsi="Verdana" w:cs="Arial"/>
          <w:bCs/>
        </w:rPr>
      </w:pPr>
    </w:p>
    <w:p w14:paraId="77D59501" w14:textId="77777777" w:rsidR="00CE1370" w:rsidRPr="00E2397D" w:rsidRDefault="00CE1370" w:rsidP="00CE1370">
      <w:pPr>
        <w:spacing w:after="120" w:line="276" w:lineRule="auto"/>
        <w:jc w:val="both"/>
        <w:rPr>
          <w:rFonts w:ascii="Verdana" w:eastAsia="Times New Roman" w:hAnsi="Verdana" w:cs="Arial"/>
          <w:lang w:val="es-MX" w:eastAsia="x-none"/>
        </w:rPr>
      </w:pPr>
      <w:r>
        <w:rPr>
          <w:rFonts w:ascii="Verdana" w:eastAsia="Calibri" w:hAnsi="Verdana" w:cs="Arial"/>
        </w:rPr>
        <w:lastRenderedPageBreak/>
        <w:t xml:space="preserve">v. </w:t>
      </w:r>
      <w:r>
        <w:rPr>
          <w:rFonts w:ascii="Verdana" w:eastAsia="Arial" w:hAnsi="Verdana" w:cs="Arial"/>
          <w:lang w:val="es-ES" w:eastAsia="es-ES" w:bidi="es-ES"/>
        </w:rPr>
        <w:t>También</w:t>
      </w:r>
      <w:r w:rsidRPr="00E2397D">
        <w:rPr>
          <w:rFonts w:ascii="Verdana" w:eastAsia="Calibri" w:hAnsi="Verdana" w:cs="Arial"/>
          <w:lang w:eastAsia="es-ES" w:bidi="es-ES"/>
        </w:rPr>
        <w:t xml:space="preserve"> resulta necesario precisar el alcance de la prohibición </w:t>
      </w:r>
      <w:r w:rsidRPr="00E2397D">
        <w:rPr>
          <w:rFonts w:ascii="Verdana" w:eastAsia="Arial" w:hAnsi="Verdana" w:cs="Arial"/>
          <w:lang w:val="es-ES" w:eastAsia="es-ES" w:bidi="es-ES"/>
        </w:rPr>
        <w:t>establecida en e</w:t>
      </w:r>
      <w:r w:rsidRPr="00E2397D">
        <w:rPr>
          <w:rFonts w:ascii="Verdana" w:eastAsia="Calibri" w:hAnsi="Verdana" w:cs="Arial"/>
        </w:rPr>
        <w:t>l parágrafo del artículo 38 de la Ley 996 de 2005. La citada norm</w:t>
      </w:r>
      <w:r>
        <w:rPr>
          <w:rFonts w:ascii="Verdana" w:eastAsia="Calibri" w:hAnsi="Verdana" w:cs="Arial"/>
        </w:rPr>
        <w:t xml:space="preserve">a dispone: </w:t>
      </w:r>
      <w:r w:rsidRPr="00E2397D">
        <w:rPr>
          <w:rFonts w:ascii="Verdana" w:eastAsia="Calibri" w:hAnsi="Verdana" w:cs="Arial"/>
        </w:rPr>
        <w:t xml:space="preserve">“[l]os Gobernadores, Alcaldes Municipales y/o Distritales, Secretarios, Gerentes y directores de Entidades Descentralizadas del orden Municipal, Departamental o Distrital, dentro de los cuatro (4) meses anteriores a las elecciones, no podrán celebrar </w:t>
      </w:r>
      <w:r w:rsidRPr="00E2397D">
        <w:rPr>
          <w:rFonts w:ascii="Verdana" w:eastAsia="Calibri" w:hAnsi="Verdana" w:cs="Arial"/>
          <w:i/>
          <w:iCs/>
        </w:rPr>
        <w:t>convenios interadministrativos</w:t>
      </w:r>
      <w:r w:rsidRPr="00E2397D">
        <w:rPr>
          <w:rFonts w:ascii="Verdana" w:eastAsia="Calibri" w:hAnsi="Verdana" w:cs="Arial"/>
        </w:rPr>
        <w:t xml:space="preserve"> para la ejecución de recursos públicos”.</w:t>
      </w:r>
      <w:r w:rsidRPr="00E2397D">
        <w:rPr>
          <w:rFonts w:ascii="Verdana" w:eastAsia="Times New Roman" w:hAnsi="Verdana" w:cs="Arial"/>
          <w:lang w:val="es-MX" w:eastAsia="x-none"/>
        </w:rPr>
        <w:t xml:space="preserve"> [Énfasis fuera del texto original]</w:t>
      </w:r>
    </w:p>
    <w:p w14:paraId="57C237FB" w14:textId="77777777" w:rsidR="00CE1370" w:rsidRPr="00E2397D" w:rsidRDefault="00CE1370" w:rsidP="00CE1370">
      <w:pPr>
        <w:spacing w:after="120" w:line="276" w:lineRule="auto"/>
        <w:ind w:firstLine="709"/>
        <w:jc w:val="both"/>
        <w:rPr>
          <w:rFonts w:ascii="Verdana" w:eastAsia="Calibri" w:hAnsi="Verdana" w:cs="Arial"/>
          <w:lang w:bidi="es-ES"/>
        </w:rPr>
      </w:pPr>
      <w:r w:rsidRPr="00E2397D">
        <w:rPr>
          <w:rFonts w:ascii="Verdana" w:eastAsia="Times New Roman" w:hAnsi="Verdana" w:cs="Arial"/>
          <w:lang w:val="es-MX" w:eastAsia="x-none"/>
        </w:rPr>
        <w:t xml:space="preserve">Sobre este aspecto, es importante señalar que esta Subdirección, en los conceptos emitidos sobre la aplicación de la Ley de Garantías Electorales, ha defendido y mantenido la postura acerca de que la prohibición señalada en </w:t>
      </w:r>
      <w:r w:rsidRPr="00E2397D">
        <w:rPr>
          <w:rFonts w:ascii="Verdana" w:eastAsia="Arial" w:hAnsi="Verdana" w:cs="Arial"/>
          <w:lang w:val="es-ES" w:eastAsia="es-ES" w:bidi="es-ES"/>
        </w:rPr>
        <w:t>e</w:t>
      </w:r>
      <w:r w:rsidRPr="00E2397D">
        <w:rPr>
          <w:rFonts w:ascii="Verdana" w:eastAsia="Calibri" w:hAnsi="Verdana" w:cs="Arial"/>
        </w:rPr>
        <w:t xml:space="preserve">l parágrafo del artículo 38 cobija tanto a los convenios como a los contratos interadministrativos. Esta tesis se fundamenta en que </w:t>
      </w:r>
      <w:r w:rsidRPr="00E2397D">
        <w:rPr>
          <w:rFonts w:ascii="Verdana" w:eastAsia="Calibri" w:hAnsi="Verdana" w:cs="Arial"/>
          <w:lang w:bidi="es-ES"/>
        </w:rPr>
        <w:t>si bien actualmente el Estatuto General de Contratación de la Administración Públ</w:t>
      </w:r>
      <w:r>
        <w:rPr>
          <w:rFonts w:ascii="Verdana" w:eastAsia="Calibri" w:hAnsi="Verdana" w:cs="Arial"/>
          <w:lang w:bidi="es-ES"/>
        </w:rPr>
        <w:t>ica – en adelante EGCAP – se refiere</w:t>
      </w:r>
      <w:r w:rsidRPr="00E2397D">
        <w:rPr>
          <w:rFonts w:ascii="Verdana" w:eastAsia="Calibri" w:hAnsi="Verdana" w:cs="Arial"/>
          <w:lang w:bidi="es-ES"/>
        </w:rPr>
        <w:t xml:space="preserv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50EA7252" w14:textId="77777777" w:rsidR="00CE1370" w:rsidRPr="00E2397D" w:rsidRDefault="00CE1370" w:rsidP="00CE1370">
      <w:pPr>
        <w:spacing w:after="120" w:line="276" w:lineRule="auto"/>
        <w:ind w:firstLine="709"/>
        <w:jc w:val="both"/>
        <w:rPr>
          <w:rFonts w:ascii="Verdana" w:eastAsia="Calibri" w:hAnsi="Verdana" w:cs="Arial"/>
          <w:lang w:bidi="es-ES"/>
        </w:rPr>
      </w:pPr>
      <w:r w:rsidRPr="00E2397D">
        <w:rPr>
          <w:rFonts w:ascii="Verdana" w:eastAsia="Calibri" w:hAnsi="Verdana" w:cs="Arial"/>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E2397D">
        <w:rPr>
          <w:rFonts w:ascii="Verdana" w:eastAsia="Arial" w:hAnsi="Verdana" w:cs="Arial"/>
          <w:lang w:val="es-ES" w:eastAsia="es-ES" w:bidi="es-ES"/>
        </w:rPr>
        <w:t>el legislador y el ordenamiento jurídico, en general, en distintas ocasiones utiliza de forma indistinta los conceptos de contrato o convenio para referirse a la misma institución jurídica</w:t>
      </w:r>
      <w:r w:rsidRPr="00E2397D">
        <w:rPr>
          <w:rFonts w:ascii="Verdana" w:eastAsia="Arial" w:hAnsi="Verdana" w:cs="Arial"/>
          <w:vertAlign w:val="superscript"/>
          <w:lang w:val="es-ES" w:eastAsia="es-ES" w:bidi="es-ES"/>
        </w:rPr>
        <w:footnoteReference w:id="29"/>
      </w:r>
      <w:r w:rsidRPr="00E2397D">
        <w:rPr>
          <w:rFonts w:ascii="Verdana" w:eastAsia="Arial" w:hAnsi="Verdana" w:cs="Arial"/>
          <w:lang w:val="es-ES" w:eastAsia="es-ES" w:bidi="es-ES"/>
        </w:rPr>
        <w:t>. Incluso, la Corte Constitucional fundamenta la posibilidad de celebrar convenios interadministrativos de forma directa, con fundamento en la causal establecida en la Ley 1150 de 2007 respecto a los contratos interadministrativos</w:t>
      </w:r>
      <w:r w:rsidRPr="00E2397D">
        <w:rPr>
          <w:rFonts w:ascii="Verdana" w:eastAsia="Arial" w:hAnsi="Verdana" w:cs="Arial"/>
          <w:vertAlign w:val="superscript"/>
          <w:lang w:val="es-ES" w:eastAsia="es-ES" w:bidi="es-ES"/>
        </w:rPr>
        <w:footnoteReference w:id="30"/>
      </w:r>
      <w:r w:rsidRPr="00E2397D">
        <w:rPr>
          <w:rFonts w:ascii="Verdana" w:eastAsia="Arial" w:hAnsi="Verdana" w:cs="Arial"/>
          <w:lang w:val="es-ES" w:eastAsia="es-ES" w:bidi="es-ES"/>
        </w:rPr>
        <w:t>.</w:t>
      </w:r>
    </w:p>
    <w:p w14:paraId="4D30A155" w14:textId="77777777" w:rsidR="00CE1370" w:rsidRPr="00E2397D" w:rsidRDefault="00CE1370" w:rsidP="00CE1370">
      <w:pPr>
        <w:widowControl w:val="0"/>
        <w:autoSpaceDE w:val="0"/>
        <w:autoSpaceDN w:val="0"/>
        <w:spacing w:after="0" w:line="276" w:lineRule="auto"/>
        <w:ind w:firstLine="709"/>
        <w:contextualSpacing/>
        <w:jc w:val="both"/>
        <w:rPr>
          <w:rFonts w:ascii="Verdana" w:eastAsia="Arial" w:hAnsi="Verdana" w:cs="Arial"/>
          <w:lang w:val="es-ES" w:eastAsia="es-ES" w:bidi="es-ES"/>
        </w:rPr>
      </w:pPr>
      <w:r w:rsidRPr="00E2397D">
        <w:rPr>
          <w:rFonts w:ascii="Verdana" w:eastAsia="Calibri" w:hAnsi="Verdana" w:cs="Arial"/>
          <w:lang w:val="es-ES" w:bidi="es-ES"/>
        </w:rPr>
        <w:lastRenderedPageBreak/>
        <w:t>De este modo, en la Circular Externa</w:t>
      </w:r>
      <w:r w:rsidRPr="00E2397D">
        <w:rPr>
          <w:rFonts w:ascii="Verdana" w:eastAsia="Arial" w:hAnsi="Verdana" w:cs="Arial"/>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 En este sentido, la Circular, refiriéndose al parágrafo del artículo 38 de la Ley 996 de 2005, expresa lo siguiente en el numeral 16.2:</w:t>
      </w:r>
    </w:p>
    <w:p w14:paraId="5DAA2925" w14:textId="77777777" w:rsidR="00CE1370" w:rsidRPr="00E2397D" w:rsidRDefault="00CE1370" w:rsidP="00CE1370">
      <w:pPr>
        <w:widowControl w:val="0"/>
        <w:autoSpaceDE w:val="0"/>
        <w:autoSpaceDN w:val="0"/>
        <w:spacing w:after="0" w:line="276" w:lineRule="auto"/>
        <w:contextualSpacing/>
        <w:jc w:val="both"/>
        <w:rPr>
          <w:rFonts w:ascii="Verdana" w:eastAsia="Arial" w:hAnsi="Verdana" w:cs="Arial"/>
          <w:lang w:val="es-ES" w:eastAsia="es-ES" w:bidi="es-ES"/>
        </w:rPr>
      </w:pPr>
    </w:p>
    <w:p w14:paraId="63F96687" w14:textId="77777777" w:rsidR="00CE1370" w:rsidRPr="00E2397D" w:rsidRDefault="00CE1370" w:rsidP="00CE1370">
      <w:pPr>
        <w:spacing w:after="12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ES_tradnl"/>
        </w:rPr>
        <w:t xml:space="preserve">“Esta restricción es aplicable tanto a los convenios como a los contratos interadministrativos. Toda vez que, al no existir definición legal que diferencie el concepto de convenio del concepto de contrato, la denominación prevista por la Ley 80 de 1993 y la Ley 1150 de 2007 </w:t>
      </w:r>
      <w:r w:rsidRPr="00E2397D">
        <w:rPr>
          <w:rFonts w:ascii="Verdana" w:eastAsia="Calibri" w:hAnsi="Verdana" w:cs="Arial"/>
          <w:sz w:val="20"/>
          <w:szCs w:val="20"/>
          <w:lang w:val="es-MX"/>
        </w:rPr>
        <w:t>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p>
    <w:p w14:paraId="71DF2D12" w14:textId="77777777" w:rsidR="00CE1370" w:rsidRPr="00E2397D" w:rsidRDefault="00CE1370" w:rsidP="00CE1370">
      <w:pPr>
        <w:spacing w:after="12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MX"/>
        </w:rPr>
        <w:t>No obstante, por vía jurisprudencial se ha establecido que en los contratos interadministrativos existe una contraprestación directa a favor de la entidad que ha entregado el bien o prestado el servicio a la Entidad contratante, habilitado para ello por su objeto legal como entidad ejecutora, como quiera que las obligaciones asignadas legalmente a aquella entidad pública están directamente relacionadas con el objeto contractual. Por su parte, en los convenios interadministrativos las entidades se asocian con el fin de cooperar en el cumplimiento de funciones administrativas o de prestar conjuntamente servicios que se hallen a su cargo, sin que exista una contraprestación para ninguna de las entidades ni la prestación de un servicio a cargo de alguna de ellas y en favor de la otra parte del convenio.</w:t>
      </w:r>
    </w:p>
    <w:p w14:paraId="19D0F830" w14:textId="77777777" w:rsidR="00CE1370" w:rsidRPr="00E2397D" w:rsidRDefault="00CE1370" w:rsidP="00CE1370">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MX"/>
        </w:rPr>
        <w:t>En el contexto de la Ley de Garantías, las restricciones además de propender por la igualdad de los candidatos están encaminadas a evitar que por medio de la contratación se altere la voluntad popular, lo cual se puede lograr a través de contratos o convenios.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00CE0B74" w14:textId="77777777" w:rsidR="00CE1370" w:rsidRPr="00E2397D" w:rsidRDefault="00CE1370" w:rsidP="00CE1370">
      <w:pPr>
        <w:widowControl w:val="0"/>
        <w:autoSpaceDE w:val="0"/>
        <w:autoSpaceDN w:val="0"/>
        <w:spacing w:after="0" w:line="276" w:lineRule="auto"/>
        <w:contextualSpacing/>
        <w:jc w:val="both"/>
        <w:rPr>
          <w:rFonts w:ascii="Verdana" w:eastAsia="Arial" w:hAnsi="Verdana" w:cs="Arial"/>
          <w:lang w:val="es-ES" w:eastAsia="es-ES" w:bidi="es-ES"/>
        </w:rPr>
      </w:pPr>
    </w:p>
    <w:p w14:paraId="7B9A1596" w14:textId="77777777" w:rsidR="00CE1370" w:rsidRPr="00E2397D" w:rsidRDefault="00CE1370" w:rsidP="00CE1370">
      <w:pPr>
        <w:spacing w:after="120" w:line="276" w:lineRule="auto"/>
        <w:ind w:firstLine="709"/>
        <w:jc w:val="both"/>
        <w:rPr>
          <w:rFonts w:ascii="Verdana" w:eastAsia="Arial" w:hAnsi="Verdana" w:cs="Arial"/>
          <w:lang w:val="es-MX" w:eastAsia="es-ES" w:bidi="es-ES"/>
        </w:rPr>
      </w:pPr>
      <w:r w:rsidRPr="00E2397D">
        <w:rPr>
          <w:rFonts w:ascii="Verdana" w:eastAsia="Arial" w:hAnsi="Verdana" w:cs="Arial"/>
          <w:lang w:val="es-ES" w:eastAsia="es-ES" w:bidi="es-ES"/>
        </w:rPr>
        <w:lastRenderedPageBreak/>
        <w:t>Con base en lo expuesto, debido a que no existe una definición legal que diferencie los conceptos de contrato y convenio, esta Agencia ha partido de su asimilación para la aplicación de la Ley de Garantías Electorales, por lo que la interpretación que se ha efectuado d</w:t>
      </w:r>
      <w:r w:rsidRPr="00E2397D">
        <w:rPr>
          <w:rFonts w:ascii="Verdana" w:eastAsia="Arial" w:hAnsi="Verdana" w:cs="Arial"/>
          <w:lang w:val="es-MX" w:eastAsia="es-ES" w:bidi="es-ES"/>
        </w:rPr>
        <w:t>el parágrafo del artículo 38 de la Ley 996 de 2005 es que prohíbe a los alcaldes, gobernadores, secretarios, gerentes y directores de las entidades del orden municipal, departamental o distrital celebrar convenios y contratos interadministrativos para la ejecución de recursos públicos.</w:t>
      </w:r>
    </w:p>
    <w:p w14:paraId="613B2163" w14:textId="77777777" w:rsidR="00CE1370" w:rsidRPr="00E2397D" w:rsidRDefault="00CE1370" w:rsidP="00CE1370">
      <w:pPr>
        <w:spacing w:after="0" w:line="276" w:lineRule="auto"/>
        <w:ind w:firstLine="709"/>
        <w:jc w:val="both"/>
      </w:pPr>
      <w:r w:rsidRPr="00E2397D">
        <w:rPr>
          <w:rFonts w:ascii="Verdana" w:eastAsia="Arial" w:hAnsi="Verdana" w:cs="Arial"/>
          <w:lang w:val="es-MX" w:eastAsia="es-ES" w:bidi="es-ES"/>
        </w:rPr>
        <w:t xml:space="preserve">No obstante, conviene señalar que, mediante auto de 4 de octubre del 2024, el Consejo de Estado, Sección Tercera, decretó medida de suspensión provisional parcial del </w:t>
      </w:r>
      <w:r w:rsidRPr="00E2397D">
        <w:rPr>
          <w:rFonts w:ascii="Verdana" w:hAnsi="Verdana"/>
        </w:rPr>
        <w:t>numeral 16.2 de la Circular Externa Única de 2022 expedida por la Agencia Nacional de Contratación Pública -Colombia Compra Eficiente-, concretamente, respecto de los siguientes apartes normativos:</w:t>
      </w:r>
      <w:r w:rsidRPr="00E2397D">
        <w:t xml:space="preserve"> </w:t>
      </w:r>
    </w:p>
    <w:p w14:paraId="347CCEF9" w14:textId="77777777" w:rsidR="00CE1370" w:rsidRPr="00E2397D" w:rsidRDefault="00CE1370" w:rsidP="00CE1370">
      <w:pPr>
        <w:spacing w:after="0" w:line="276" w:lineRule="auto"/>
        <w:ind w:firstLine="709"/>
        <w:jc w:val="both"/>
      </w:pPr>
    </w:p>
    <w:p w14:paraId="331CF189" w14:textId="77777777" w:rsidR="00CE1370" w:rsidRPr="00E2397D" w:rsidRDefault="00CE1370" w:rsidP="00CE1370">
      <w:pPr>
        <w:spacing w:after="120" w:line="240" w:lineRule="auto"/>
        <w:ind w:left="709" w:right="709"/>
        <w:jc w:val="both"/>
        <w:rPr>
          <w:rFonts w:ascii="Verdana" w:eastAsia="Calibri" w:hAnsi="Verdana" w:cs="Arial"/>
          <w:sz w:val="20"/>
          <w:szCs w:val="20"/>
        </w:rPr>
      </w:pPr>
      <w:r>
        <w:rPr>
          <w:rFonts w:ascii="Verdana" w:eastAsia="Calibri" w:hAnsi="Verdana" w:cs="Arial"/>
          <w:sz w:val="20"/>
          <w:szCs w:val="20"/>
          <w:lang w:val="es-MX"/>
        </w:rPr>
        <w:t>“</w:t>
      </w:r>
      <w:r w:rsidRPr="00E2397D">
        <w:rPr>
          <w:rFonts w:ascii="Verdana" w:eastAsia="Calibri" w:hAnsi="Verdana" w:cs="Arial"/>
          <w:sz w:val="20"/>
          <w:szCs w:val="20"/>
          <w:lang w:val="es-MX"/>
        </w:rPr>
        <w:t>i)</w:t>
      </w:r>
      <w:r w:rsidRPr="00E2397D">
        <w:rPr>
          <w:rFonts w:ascii="Verdana" w:eastAsia="Calibri" w:hAnsi="Verdana" w:cs="Arial"/>
          <w:sz w:val="20"/>
          <w:szCs w:val="20"/>
        </w:rPr>
        <w:t xml:space="preserve"> el inciso segundo 2 que dispone: </w:t>
      </w:r>
      <w:r>
        <w:rPr>
          <w:rFonts w:ascii="Verdana" w:eastAsia="Calibri" w:hAnsi="Verdana" w:cs="Arial"/>
          <w:sz w:val="20"/>
          <w:szCs w:val="20"/>
        </w:rPr>
        <w:t>‘</w:t>
      </w:r>
      <w:r w:rsidRPr="00E2397D">
        <w:rPr>
          <w:rFonts w:ascii="Verdana" w:eastAsia="Calibri" w:hAnsi="Verdana" w:cs="Arial"/>
          <w:sz w:val="20"/>
          <w:szCs w:val="20"/>
        </w:rPr>
        <w:t>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Pr>
          <w:rFonts w:ascii="Verdana" w:eastAsia="Calibri" w:hAnsi="Verdana" w:cs="Arial"/>
          <w:sz w:val="20"/>
          <w:szCs w:val="20"/>
        </w:rPr>
        <w:t>’</w:t>
      </w:r>
      <w:r w:rsidRPr="00E2397D">
        <w:rPr>
          <w:rFonts w:ascii="Verdana" w:eastAsia="Calibri" w:hAnsi="Verdana" w:cs="Arial"/>
          <w:sz w:val="20"/>
          <w:szCs w:val="20"/>
        </w:rPr>
        <w:t xml:space="preserve"> y, </w:t>
      </w:r>
    </w:p>
    <w:p w14:paraId="786AEEC1" w14:textId="77777777" w:rsidR="00CE1370" w:rsidRPr="00E2397D" w:rsidRDefault="00CE1370" w:rsidP="00CE1370">
      <w:pPr>
        <w:spacing w:after="0" w:line="240" w:lineRule="auto"/>
        <w:ind w:left="709" w:right="709"/>
        <w:jc w:val="both"/>
        <w:rPr>
          <w:rFonts w:ascii="Verdana" w:hAnsi="Verdana"/>
          <w:sz w:val="20"/>
          <w:szCs w:val="20"/>
        </w:rPr>
      </w:pPr>
      <w:r w:rsidRPr="00E2397D">
        <w:rPr>
          <w:rFonts w:ascii="Verdana" w:hAnsi="Verdana"/>
          <w:sz w:val="20"/>
          <w:szCs w:val="20"/>
        </w:rPr>
        <w:t xml:space="preserve">ii) la expresión y el siguiente párrafo contenidos en el inciso cuarto </w:t>
      </w:r>
      <w:r>
        <w:rPr>
          <w:rFonts w:ascii="Verdana" w:hAnsi="Verdana"/>
          <w:sz w:val="20"/>
          <w:szCs w:val="20"/>
        </w:rPr>
        <w:t>‘</w:t>
      </w:r>
      <w:r w:rsidRPr="00E2397D">
        <w:rPr>
          <w:rFonts w:ascii="Verdana" w:hAnsi="Verdana"/>
          <w:sz w:val="20"/>
          <w:szCs w:val="20"/>
        </w:rPr>
        <w:t>contratos</w:t>
      </w:r>
      <w:r>
        <w:rPr>
          <w:rFonts w:ascii="Verdana" w:hAnsi="Verdana"/>
          <w:sz w:val="20"/>
          <w:szCs w:val="20"/>
        </w:rPr>
        <w:t>’</w:t>
      </w:r>
      <w:r w:rsidRPr="00E2397D">
        <w:rPr>
          <w:rFonts w:ascii="Verdana" w:hAnsi="Verdana"/>
          <w:sz w:val="20"/>
          <w:szCs w:val="20"/>
        </w:rPr>
        <w:t xml:space="preserve"> y </w:t>
      </w:r>
      <w:r>
        <w:rPr>
          <w:rFonts w:ascii="Verdana" w:hAnsi="Verdana"/>
          <w:sz w:val="20"/>
          <w:szCs w:val="20"/>
        </w:rPr>
        <w:t>‘</w:t>
      </w:r>
      <w:r w:rsidRPr="00E2397D">
        <w:rPr>
          <w:rFonts w:ascii="Verdana" w:hAnsi="Verdana"/>
          <w:sz w:val="20"/>
          <w:szCs w:val="20"/>
        </w:rPr>
        <w:t>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r>
        <w:rPr>
          <w:rFonts w:ascii="Verdana" w:hAnsi="Verdana"/>
          <w:sz w:val="20"/>
          <w:szCs w:val="20"/>
        </w:rPr>
        <w:t>’</w:t>
      </w:r>
      <w:r w:rsidRPr="00E2397D">
        <w:rPr>
          <w:rFonts w:ascii="Verdana" w:hAnsi="Verdana"/>
          <w:sz w:val="20"/>
          <w:szCs w:val="20"/>
        </w:rPr>
        <w:t>”</w:t>
      </w:r>
      <w:r w:rsidRPr="007C315F">
        <w:rPr>
          <w:rFonts w:ascii="Verdana" w:hAnsi="Verdana"/>
          <w:vertAlign w:val="superscript"/>
        </w:rPr>
        <w:t xml:space="preserve"> </w:t>
      </w:r>
      <w:r w:rsidRPr="00E2397D">
        <w:rPr>
          <w:rFonts w:ascii="Verdana" w:hAnsi="Verdana"/>
          <w:vertAlign w:val="superscript"/>
        </w:rPr>
        <w:footnoteReference w:id="31"/>
      </w:r>
      <w:r w:rsidRPr="00E2397D">
        <w:rPr>
          <w:rFonts w:ascii="Verdana" w:hAnsi="Verdana"/>
          <w:sz w:val="20"/>
          <w:szCs w:val="20"/>
        </w:rPr>
        <w:t xml:space="preserve">. </w:t>
      </w:r>
    </w:p>
    <w:p w14:paraId="39566816" w14:textId="77777777" w:rsidR="00CE1370" w:rsidRPr="00E2397D" w:rsidRDefault="00CE1370" w:rsidP="00CE1370">
      <w:pPr>
        <w:spacing w:after="0" w:line="276" w:lineRule="auto"/>
        <w:ind w:left="709" w:right="709"/>
        <w:jc w:val="both"/>
        <w:rPr>
          <w:rFonts w:ascii="Verdana" w:hAnsi="Verdana"/>
        </w:rPr>
      </w:pPr>
    </w:p>
    <w:p w14:paraId="42E3E524" w14:textId="77777777" w:rsidR="00CE1370" w:rsidRPr="00E2397D" w:rsidRDefault="00CE1370" w:rsidP="00CE1370">
      <w:pPr>
        <w:spacing w:after="120" w:line="276" w:lineRule="auto"/>
        <w:ind w:firstLine="709"/>
        <w:jc w:val="both"/>
        <w:rPr>
          <w:rFonts w:ascii="Verdana" w:eastAsia="Arial" w:hAnsi="Verdana" w:cs="Arial"/>
          <w:i/>
          <w:iCs/>
          <w:lang w:val="es-MX" w:eastAsia="es-ES" w:bidi="es-ES"/>
        </w:rPr>
      </w:pPr>
      <w:r w:rsidRPr="00E2397D">
        <w:rPr>
          <w:rFonts w:ascii="Verdana" w:eastAsia="Arial" w:hAnsi="Verdana" w:cs="Arial"/>
          <w:lang w:val="es-MX" w:eastAsia="es-ES" w:bidi="es-ES"/>
        </w:rPr>
        <w:t xml:space="preserve">De conformidad con los argumentos de dicha providencia, se parte de la distinción entre los conceptos </w:t>
      </w:r>
      <w:r w:rsidRPr="00E2397D">
        <w:rPr>
          <w:rFonts w:ascii="Verdana" w:eastAsia="Arial" w:hAnsi="Verdana" w:cs="Arial"/>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E2397D">
        <w:rPr>
          <w:rFonts w:ascii="Verdana" w:eastAsia="Arial" w:hAnsi="Verdana" w:cs="Arial"/>
          <w:i/>
          <w:iCs/>
          <w:lang w:eastAsia="es-ES" w:bidi="es-ES"/>
        </w:rPr>
        <w:t xml:space="preserve">“si el legislador no diferenció al establecer la </w:t>
      </w:r>
      <w:r w:rsidRPr="00E2397D">
        <w:rPr>
          <w:rFonts w:ascii="Verdana" w:eastAsia="Arial" w:hAnsi="Verdana" w:cs="Arial"/>
          <w:i/>
          <w:iCs/>
          <w:lang w:eastAsia="es-ES" w:bidi="es-ES"/>
        </w:rPr>
        <w:lastRenderedPageBreak/>
        <w:t xml:space="preserve">prohibición o la restricción, mal haría el reglamento en aplicar un efecto expansivo o extensivo para incluir una categoría no cobijada con la limitación, (…)”. </w:t>
      </w:r>
      <w:r w:rsidRPr="00E2397D">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E2397D">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3BDA650E" w14:textId="77777777" w:rsidR="00CE1370" w:rsidRPr="00E2397D" w:rsidRDefault="00CE1370" w:rsidP="00CE1370">
      <w:pPr>
        <w:spacing w:after="120" w:line="276" w:lineRule="auto"/>
        <w:ind w:firstLine="709"/>
        <w:jc w:val="both"/>
        <w:rPr>
          <w:rFonts w:ascii="Verdana" w:eastAsia="Calibri" w:hAnsi="Verdana" w:cs="Arial"/>
          <w:lang w:val="es-MX"/>
        </w:rPr>
      </w:pPr>
      <w:r w:rsidRPr="00E2397D">
        <w:rPr>
          <w:rFonts w:ascii="Verdana" w:eastAsia="Arial" w:hAnsi="Verdana" w:cs="Arial"/>
          <w:lang w:val="es-MX" w:eastAsia="es-ES" w:bidi="es-ES"/>
        </w:rPr>
        <w:t xml:space="preserve">Bajo este contexto, esta Agencia debe manifestar que, si bien respeta y acata las decisiones proferidas por el Consejo de Estado, como es el caso del auto de suspensión provisional parcial del numeral </w:t>
      </w:r>
      <w:r w:rsidRPr="00E2397D">
        <w:rPr>
          <w:rFonts w:ascii="Verdana" w:eastAsia="Arial" w:hAnsi="Verdana" w:cs="Arial"/>
          <w:lang w:eastAsia="es-ES" w:bidi="es-ES"/>
        </w:rPr>
        <w:t>16.2 de la Circular Externa Única</w:t>
      </w:r>
      <w:r w:rsidRPr="00E2397D">
        <w:rPr>
          <w:rFonts w:ascii="Verdana" w:eastAsia="Arial" w:hAnsi="Verdana" w:cs="Arial"/>
          <w:lang w:val="es-MX" w:eastAsia="es-ES" w:bidi="es-ES"/>
        </w:rPr>
        <w:t xml:space="preserve">, no comparte los argumentos expuestos por dicha Corporación. Esto, en la medida que, a juicio de esta Entidad, señalar que la Ley de Garantías Electorales no aplica para el caso de los contratos interadministrativos deja sin efecto el propósito buscado por la norma, que no es otro que </w:t>
      </w:r>
      <w:r w:rsidRPr="00E2397D">
        <w:rPr>
          <w:rFonts w:ascii="Verdana" w:eastAsia="Times New Roman" w:hAnsi="Verdana" w:cs="Arial"/>
          <w:lang w:val="es-MX" w:eastAsia="es-CO"/>
        </w:rPr>
        <w:t xml:space="preserve">evitar cualquier tipo de arbitrariedad, de ventaja injustificada, de uso irregular de los recursos del Estado en las campañas políticas, o que </w:t>
      </w:r>
      <w:r w:rsidRPr="00E2397D">
        <w:rPr>
          <w:rFonts w:ascii="Verdana" w:eastAsia="Calibri" w:hAnsi="Verdana" w:cs="Arial"/>
          <w:lang w:val="es-MX"/>
        </w:rPr>
        <w:t xml:space="preserve">los recursos del Estado se ejecuten para lograr apoyos indebidos mediante la suscripción de contratos y/o convenios, que para efectos de la Ley de Garantías tienen la misma connotación y propósitos. </w:t>
      </w:r>
    </w:p>
    <w:p w14:paraId="44638ECC" w14:textId="77777777" w:rsidR="00CE1370" w:rsidRPr="00E2397D" w:rsidRDefault="00CE1370" w:rsidP="00CE1370">
      <w:pPr>
        <w:spacing w:after="120" w:line="276" w:lineRule="auto"/>
        <w:ind w:firstLine="709"/>
        <w:jc w:val="both"/>
        <w:rPr>
          <w:rFonts w:ascii="Verdana" w:eastAsia="Arial" w:hAnsi="Verdana" w:cs="Arial"/>
          <w:lang w:val="es-MX" w:eastAsia="es-ES" w:bidi="es-ES"/>
        </w:rPr>
      </w:pPr>
      <w:r w:rsidRPr="00E2397D">
        <w:rPr>
          <w:rFonts w:ascii="Verdana" w:eastAsia="Calibri" w:hAnsi="Verdana" w:cs="Arial"/>
        </w:rPr>
        <w:t xml:space="preserve">Conforme a lo anterior, si bien la Agencia es respetuosa de las providencias proferidas por las autoridades judiciales, es necesario expresar el desacuerdo con el decreto de medida cautelar de suspensión provisional y la oposición a que se declare la nulidad del numeral </w:t>
      </w:r>
      <w:r w:rsidRPr="00E2397D">
        <w:rPr>
          <w:rFonts w:ascii="Verdana" w:eastAsia="Arial" w:hAnsi="Verdana" w:cs="Arial"/>
          <w:lang w:eastAsia="es-ES" w:bidi="es-ES"/>
        </w:rPr>
        <w:t xml:space="preserve">16.2 de la Circular Externa Única. Al señalar que los contratos interadministrativos deberían estar sujetos a las restricciones consagradas en el parágrafo del artículo 38, la Agencia busca proteger la transparencia, igualdad e integridad del proceso electoral. Así las cosas, </w:t>
      </w:r>
      <w:r w:rsidRPr="00E2397D">
        <w:rPr>
          <w:rFonts w:ascii="Verdana" w:eastAsia="Calibri" w:hAnsi="Verdana" w:cs="Arial"/>
          <w:lang w:val="es-MX"/>
        </w:rPr>
        <w:t xml:space="preserve">a la fecha, se espera la decisión final respecto a la declaratoria de nulidad del numeral 16.2 de la Circular Externa Única que adopte el Consejo de Estado. </w:t>
      </w:r>
    </w:p>
    <w:p w14:paraId="3A69F13D" w14:textId="77777777" w:rsidR="00CE1370" w:rsidRPr="001D4ADD" w:rsidRDefault="00CE1370" w:rsidP="00CE1370">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r w:rsidRPr="00E2397D">
        <w:rPr>
          <w:rFonts w:ascii="Verdana" w:eastAsia="Times New Roman" w:hAnsi="Verdana" w:cs="Arial"/>
          <w:lang w:eastAsia="es-CO"/>
        </w:rPr>
        <w:t xml:space="preserve">e observa entonces que </w:t>
      </w:r>
      <w:r w:rsidRPr="00E2397D">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 xml:space="preserve">, 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w:t>
      </w:r>
      <w:r w:rsidRPr="00E2397D">
        <w:rPr>
          <w:rFonts w:ascii="Verdana" w:eastAsia="Times New Roman" w:hAnsi="Verdana" w:cs="Arial"/>
          <w:lang w:val="es-MX" w:eastAsia="es-CO"/>
        </w:rPr>
        <w:lastRenderedPageBreak/>
        <w:t xml:space="preserve">durante la aplicación de la Ley de Garantías Electorales, toda vez que la citada disposición hace referencia a dicha tipología contractual sin que el legislador hubiere contemplado un efecto extensivo a otra tipología. Ahora bien, como se expuso anteriormente, para esta Agencia tal restricción también cobijaría a los contratos interadministrativos. </w:t>
      </w:r>
      <w:r>
        <w:rPr>
          <w:rFonts w:ascii="Verdana" w:eastAsia="Times New Roman" w:hAnsi="Verdana" w:cs="Arial"/>
          <w:lang w:val="es-MX" w:eastAsia="es-CO"/>
        </w:rPr>
        <w:t xml:space="preserve">Por ello, conforme al pie de página 6 de la </w:t>
      </w:r>
      <w:r>
        <w:rPr>
          <w:rFonts w:ascii="Verdana" w:eastAsia="Calibri" w:hAnsi="Verdana" w:cs="Arial"/>
          <w:bCs/>
          <w:color w:val="000000" w:themeColor="text1"/>
        </w:rPr>
        <w:t xml:space="preserve">Circular Externa 006 del 25 de septiembre de 2025, “[…] </w:t>
      </w:r>
      <w:r w:rsidRPr="001D4ADD">
        <w:rPr>
          <w:rFonts w:ascii="Verdana" w:eastAsia="Calibri" w:hAnsi="Verdana" w:cs="Arial"/>
          <w:bCs/>
          <w:color w:val="000000" w:themeColor="text1"/>
        </w:rPr>
        <w:t>esta Agencia recomienda que los sujetos señalados en la norma se</w:t>
      </w:r>
      <w:r>
        <w:rPr>
          <w:rFonts w:ascii="Verdana" w:eastAsia="Calibri" w:hAnsi="Verdana" w:cs="Arial"/>
          <w:bCs/>
          <w:color w:val="000000" w:themeColor="text1"/>
        </w:rPr>
        <w:t xml:space="preserve"> </w:t>
      </w:r>
      <w:r w:rsidRPr="001D4ADD">
        <w:rPr>
          <w:rFonts w:ascii="Verdana" w:eastAsia="Calibri" w:hAnsi="Verdana" w:cs="Arial"/>
          <w:bCs/>
          <w:color w:val="000000" w:themeColor="text1"/>
        </w:rPr>
        <w:t xml:space="preserve">abstengan de celebrar </w:t>
      </w:r>
      <w:r w:rsidRPr="001D4ADD">
        <w:rPr>
          <w:rFonts w:ascii="Verdana" w:eastAsia="Calibri" w:hAnsi="Verdana" w:cs="Arial"/>
          <w:bCs/>
          <w:i/>
          <w:iCs/>
          <w:color w:val="000000" w:themeColor="text1"/>
        </w:rPr>
        <w:t>tanto convenios como contratos interadministrativos</w:t>
      </w:r>
      <w:r w:rsidRPr="001D4ADD">
        <w:rPr>
          <w:rFonts w:ascii="Verdana" w:eastAsia="Calibri" w:hAnsi="Verdana" w:cs="Arial"/>
          <w:bCs/>
          <w:color w:val="000000" w:themeColor="text1"/>
        </w:rPr>
        <w:t xml:space="preserve"> durante el periodo previo a esas</w:t>
      </w:r>
      <w:r>
        <w:rPr>
          <w:rFonts w:ascii="Verdana" w:eastAsia="Calibri" w:hAnsi="Verdana" w:cs="Arial"/>
          <w:bCs/>
          <w:color w:val="000000" w:themeColor="text1"/>
        </w:rPr>
        <w:t xml:space="preserve"> </w:t>
      </w:r>
      <w:r w:rsidRPr="001D4ADD">
        <w:rPr>
          <w:rFonts w:ascii="Verdana" w:eastAsia="Calibri" w:hAnsi="Verdana" w:cs="Arial"/>
          <w:bCs/>
          <w:color w:val="000000" w:themeColor="text1"/>
        </w:rPr>
        <w:t>elecciones</w:t>
      </w:r>
      <w:r>
        <w:rPr>
          <w:rFonts w:ascii="Verdana" w:eastAsia="Calibri" w:hAnsi="Verdana" w:cs="Arial"/>
          <w:bCs/>
          <w:color w:val="000000" w:themeColor="text1"/>
        </w:rPr>
        <w:t>”.</w:t>
      </w:r>
      <w:r w:rsidRPr="00E2397D">
        <w:rPr>
          <w:rFonts w:ascii="Verdana" w:eastAsia="Times New Roman" w:hAnsi="Verdana" w:cs="Arial"/>
          <w:lang w:val="es-MX" w:eastAsia="es-CO"/>
        </w:rPr>
        <w:t xml:space="preserve"> </w:t>
      </w:r>
    </w:p>
    <w:p w14:paraId="0D5895CB" w14:textId="77777777" w:rsidR="00CE1370" w:rsidRDefault="00CE1370" w:rsidP="00CE1370">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ES" w:eastAsia="es-CO" w:bidi="es-ES"/>
        </w:rPr>
        <w:t>En todo caso</w:t>
      </w:r>
      <w:r w:rsidRPr="00E2397D">
        <w:rPr>
          <w:rFonts w:ascii="Verdana" w:eastAsia="Arial" w:hAnsi="Verdana" w:cs="Arial"/>
          <w:lang w:val="es-ES" w:eastAsia="es-ES" w:bidi="es-ES"/>
        </w:rPr>
        <w:t>, es importante resaltar que la Sala de Consulta y Servicio Civil del Consejo de Estado se ha pronunciado en el sentido de que no se les 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r w:rsidRPr="00E2397D">
        <w:rPr>
          <w:rFonts w:ascii="Verdana" w:eastAsia="Arial" w:hAnsi="Verdana" w:cs="Arial"/>
          <w:vertAlign w:val="superscript"/>
          <w:lang w:val="es-ES" w:eastAsia="es-ES" w:bidi="es-ES"/>
        </w:rPr>
        <w:footnoteReference w:id="32"/>
      </w:r>
      <w:bookmarkEnd w:id="21"/>
      <w:bookmarkEnd w:id="22"/>
      <w:r>
        <w:rPr>
          <w:rFonts w:ascii="Verdana" w:eastAsia="Arial" w:hAnsi="Verdana" w:cs="Arial"/>
          <w:lang w:val="es-ES" w:eastAsia="es-ES" w:bidi="es-ES"/>
        </w:rPr>
        <w:t>.</w:t>
      </w:r>
    </w:p>
    <w:p w14:paraId="1A773E0D" w14:textId="77777777" w:rsidR="00CE1370" w:rsidRDefault="00CE1370" w:rsidP="00CE1370">
      <w:pPr>
        <w:spacing w:after="0" w:line="276" w:lineRule="auto"/>
        <w:ind w:firstLine="709"/>
        <w:jc w:val="both"/>
        <w:rPr>
          <w:rFonts w:ascii="Verdana" w:eastAsia="Arial" w:hAnsi="Verdana" w:cs="Arial"/>
          <w:lang w:val="es-ES" w:eastAsia="es-ES" w:bidi="es-ES"/>
        </w:rPr>
      </w:pPr>
    </w:p>
    <w:p w14:paraId="6B944021" w14:textId="77777777" w:rsidR="00CE1370" w:rsidRPr="001D4ADD" w:rsidRDefault="00CE1370" w:rsidP="00CE1370">
      <w:pPr>
        <w:spacing w:after="0" w:line="276" w:lineRule="auto"/>
        <w:jc w:val="both"/>
        <w:rPr>
          <w:rFonts w:ascii="Verdana" w:eastAsia="Arial" w:hAnsi="Verdana" w:cs="Arial"/>
          <w:lang w:val="es-ES" w:eastAsia="es-ES" w:bidi="es-ES"/>
        </w:rPr>
      </w:pPr>
      <w:r>
        <w:rPr>
          <w:rFonts w:ascii="Verdana" w:eastAsia="Calibri" w:hAnsi="Verdana" w:cs="Arial"/>
          <w:bCs/>
          <w:color w:val="000000" w:themeColor="text1"/>
        </w:rPr>
        <w:t xml:space="preserve">vi. </w:t>
      </w: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Pr>
          <w:rFonts w:ascii="Verdana" w:eastAsia="Calibri" w:hAnsi="Verdana" w:cs="Arial"/>
          <w:bCs/>
          <w:color w:val="000000" w:themeColor="text1"/>
        </w:rPr>
        <w:t xml:space="preserve"> Es decir, al margen de la función consultiva que se ejerce mediante el presente oficio de forma general y de lo expresado en la Circular Externa 006 del 25 de septiembre de 2025 que se adjunta como anexo, corresponde a las entidades contratantes definir </w:t>
      </w:r>
      <w:r w:rsidRPr="004D027A">
        <w:rPr>
          <w:rFonts w:ascii="Verdana" w:eastAsia="Calibri" w:hAnsi="Verdana" w:cs="Arial"/>
          <w:bCs/>
          <w:color w:val="000000" w:themeColor="text1"/>
        </w:rPr>
        <w:t xml:space="preserve">instrucciones precisas sobre </w:t>
      </w:r>
      <w:r>
        <w:rPr>
          <w:rFonts w:ascii="Verdana" w:eastAsia="Calibri" w:hAnsi="Verdana" w:cs="Arial"/>
          <w:bCs/>
          <w:color w:val="000000" w:themeColor="text1"/>
        </w:rPr>
        <w:t>la contratación durante</w:t>
      </w:r>
      <w:r w:rsidRPr="004D027A">
        <w:rPr>
          <w:rFonts w:ascii="Verdana" w:eastAsia="Calibri" w:hAnsi="Verdana" w:cs="Arial"/>
          <w:bCs/>
          <w:color w:val="000000" w:themeColor="text1"/>
        </w:rPr>
        <w:t xml:space="preserve"> la Ley de Garantías</w:t>
      </w:r>
      <w:r>
        <w:rPr>
          <w:rFonts w:ascii="Verdana" w:eastAsia="Calibri" w:hAnsi="Verdana" w:cs="Arial"/>
          <w:bCs/>
          <w:color w:val="000000" w:themeColor="text1"/>
        </w:rPr>
        <w:t>.</w:t>
      </w:r>
    </w:p>
    <w:p w14:paraId="316D0FCD" w14:textId="77777777" w:rsidR="00CE1370" w:rsidRPr="00185EE9" w:rsidRDefault="00CE1370" w:rsidP="00CE1370">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w:t>
      </w:r>
      <w:r w:rsidRPr="00E853DE">
        <w:rPr>
          <w:rFonts w:ascii="Verdana" w:eastAsia="Calibri" w:hAnsi="Verdana" w:cs="Arial"/>
          <w:bCs/>
          <w:color w:val="000000" w:themeColor="text1"/>
        </w:rPr>
        <w:lastRenderedPageBreak/>
        <w:t>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4003EED5" w14:textId="77777777" w:rsidR="00CE1370" w:rsidRPr="00182C89" w:rsidRDefault="00CE1370" w:rsidP="00CE1370">
      <w:pPr>
        <w:tabs>
          <w:tab w:val="left" w:pos="709"/>
        </w:tabs>
        <w:spacing w:after="0" w:line="276" w:lineRule="auto"/>
        <w:jc w:val="both"/>
        <w:rPr>
          <w:rFonts w:ascii="Verdana" w:eastAsia="Calibri" w:hAnsi="Verdana" w:cs="Arial"/>
          <w:color w:val="000000" w:themeColor="text1"/>
        </w:rPr>
      </w:pPr>
    </w:p>
    <w:p w14:paraId="71EE4688" w14:textId="77777777" w:rsidR="00CE1370" w:rsidRPr="00593A5F" w:rsidRDefault="00CE1370" w:rsidP="00CE137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5D14B17C" w14:textId="77777777" w:rsidR="00CE1370" w:rsidRPr="00593A5F" w:rsidRDefault="00CE1370" w:rsidP="00CE137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E1370" w:rsidRPr="002407CE" w14:paraId="0FFE31A0" w14:textId="77777777" w:rsidTr="009B031D">
        <w:trPr>
          <w:trHeight w:val="870"/>
          <w:jc w:val="center"/>
        </w:trPr>
        <w:tc>
          <w:tcPr>
            <w:tcW w:w="8647" w:type="dxa"/>
          </w:tcPr>
          <w:p w14:paraId="7DE9D967" w14:textId="77777777" w:rsidR="00CE1370" w:rsidRDefault="00CE1370" w:rsidP="009B031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Colombia, artículos 127 y 197.</w:t>
            </w:r>
          </w:p>
          <w:p w14:paraId="0F465230" w14:textId="77777777" w:rsidR="00CE1370" w:rsidRDefault="00CE1370" w:rsidP="009B031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 2.</w:t>
            </w:r>
          </w:p>
          <w:p w14:paraId="17CBA207" w14:textId="77777777" w:rsidR="00CE1370" w:rsidRDefault="00CE1370" w:rsidP="009B031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996 de 2005, artículos 9, 33 y 38.</w:t>
            </w:r>
          </w:p>
          <w:p w14:paraId="7A13AEEC" w14:textId="77777777" w:rsidR="00CE1370" w:rsidRDefault="00CE1370" w:rsidP="009B031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2.</w:t>
            </w:r>
          </w:p>
          <w:p w14:paraId="602A7F68" w14:textId="77777777" w:rsidR="00CE1370" w:rsidRPr="00185EE9" w:rsidRDefault="00CE1370" w:rsidP="009B031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1753 de 2015, artículo 69.</w:t>
            </w:r>
          </w:p>
          <w:p w14:paraId="5966935E" w14:textId="77777777" w:rsidR="00CE1370" w:rsidRPr="004923A3" w:rsidRDefault="00CE1370" w:rsidP="009B031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sidRPr="00185EE9">
              <w:rPr>
                <w:rFonts w:ascii="Verdana" w:hAnsi="Verdana" w:cs="Arial"/>
              </w:rPr>
              <w:t xml:space="preserve">Código Civil, artículos </w:t>
            </w:r>
            <w:r>
              <w:rPr>
                <w:rFonts w:ascii="Verdana" w:hAnsi="Verdana" w:cs="Arial"/>
              </w:rPr>
              <w:t>28 y 29</w:t>
            </w:r>
            <w:r w:rsidRPr="00185EE9">
              <w:rPr>
                <w:rFonts w:ascii="Verdana" w:hAnsi="Verdana" w:cs="Arial"/>
              </w:rPr>
              <w:t>.</w:t>
            </w:r>
          </w:p>
          <w:p w14:paraId="4F306E24" w14:textId="77777777" w:rsidR="00CE1370" w:rsidRPr="00DA543F" w:rsidRDefault="00CE1370" w:rsidP="009B031D">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 xml:space="preserve">Decreto 780 de 2016, artículo </w:t>
            </w:r>
            <w:r w:rsidRPr="002028BD">
              <w:rPr>
                <w:rFonts w:ascii="Verdana" w:eastAsia="Arial" w:hAnsi="Verdana" w:cs="Arial"/>
                <w:bCs/>
              </w:rPr>
              <w:t>2.8.8.1.1.3</w:t>
            </w:r>
            <w:r>
              <w:rPr>
                <w:rFonts w:ascii="Verdana" w:hAnsi="Verdana" w:cs="Arial"/>
                <w:color w:val="000000" w:themeColor="text1"/>
                <w:lang w:val="es-ES_tradnl"/>
              </w:rPr>
              <w:t>.</w:t>
            </w:r>
          </w:p>
        </w:tc>
      </w:tr>
    </w:tbl>
    <w:p w14:paraId="25C272BC" w14:textId="77777777" w:rsidR="00CE1370" w:rsidRPr="002407CE" w:rsidRDefault="00CE1370" w:rsidP="00CE1370">
      <w:pPr>
        <w:widowControl w:val="0"/>
        <w:autoSpaceDE w:val="0"/>
        <w:autoSpaceDN w:val="0"/>
        <w:spacing w:after="0" w:line="276" w:lineRule="auto"/>
        <w:jc w:val="both"/>
        <w:rPr>
          <w:rFonts w:ascii="Verdana" w:hAnsi="Verdana" w:cs="Arial"/>
        </w:rPr>
      </w:pPr>
    </w:p>
    <w:p w14:paraId="2FB86533" w14:textId="77777777" w:rsidR="00CE1370" w:rsidRPr="00593A5F" w:rsidRDefault="00CE1370" w:rsidP="00CE137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00F1345" w14:textId="77777777" w:rsidR="00CE1370" w:rsidRPr="00593A5F" w:rsidRDefault="00CE1370" w:rsidP="00CE1370">
      <w:pPr>
        <w:widowControl w:val="0"/>
        <w:autoSpaceDE w:val="0"/>
        <w:autoSpaceDN w:val="0"/>
        <w:spacing w:after="0" w:line="276" w:lineRule="auto"/>
        <w:jc w:val="both"/>
        <w:rPr>
          <w:rFonts w:ascii="Verdana" w:hAnsi="Verdana" w:cs="Arial"/>
        </w:rPr>
      </w:pPr>
    </w:p>
    <w:p w14:paraId="6D630B51" w14:textId="77777777" w:rsidR="00CE1370" w:rsidRPr="00ED0098" w:rsidRDefault="00CE1370" w:rsidP="00CE1370">
      <w:pPr>
        <w:widowControl w:val="0"/>
        <w:autoSpaceDE w:val="0"/>
        <w:autoSpaceDN w:val="0"/>
        <w:spacing w:after="0" w:line="276" w:lineRule="auto"/>
        <w:jc w:val="both"/>
        <w:rPr>
          <w:rStyle w:val="normaltextrun"/>
          <w:rFonts w:ascii="Verdana" w:hAnsi="Verdana" w:cs="Arial"/>
          <w:shd w:val="clear" w:color="auto" w:fill="FFFFFF"/>
        </w:rPr>
      </w:pPr>
      <w:r w:rsidRPr="00BC7FC8">
        <w:rPr>
          <w:rFonts w:ascii="Verdana" w:hAnsi="Verdana" w:cs="Arial"/>
          <w:shd w:val="clear" w:color="auto" w:fill="FFFFFF"/>
        </w:rPr>
        <w:t xml:space="preserve">Esta Subdirección se ha pronunciado sobre la finalidad y propósito de la Ley de Garantías Electorales en los </w:t>
      </w:r>
      <w:r>
        <w:rPr>
          <w:rFonts w:ascii="Verdana" w:hAnsi="Verdana" w:cs="Arial"/>
          <w:shd w:val="clear" w:color="auto" w:fill="FFFFFF"/>
        </w:rPr>
        <w:t>C</w:t>
      </w:r>
      <w:r w:rsidRPr="00BC7FC8">
        <w:rPr>
          <w:rFonts w:ascii="Verdana" w:hAnsi="Verdana" w:cs="Arial"/>
          <w:shd w:val="clear" w:color="auto" w:fill="FFFFFF"/>
        </w:rPr>
        <w:t>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w:t>
      </w:r>
      <w:r>
        <w:rPr>
          <w:rFonts w:ascii="Verdana" w:hAnsi="Verdana" w:cs="Arial"/>
          <w:shd w:val="clear" w:color="auto" w:fill="FFFFFF"/>
        </w:rPr>
        <w:t xml:space="preserve"> y C-1186 del 17 de septiembre de 2025</w:t>
      </w:r>
      <w:r>
        <w:rPr>
          <w:rFonts w:ascii="Verdana" w:hAnsi="Verdana"/>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0BB606AF" w14:textId="77777777" w:rsidR="00CE1370" w:rsidRPr="00096788" w:rsidRDefault="00CE1370" w:rsidP="00CE1370">
      <w:pPr>
        <w:widowControl w:val="0"/>
        <w:autoSpaceDE w:val="0"/>
        <w:autoSpaceDN w:val="0"/>
        <w:spacing w:after="0" w:line="276" w:lineRule="auto"/>
        <w:jc w:val="both"/>
        <w:rPr>
          <w:rFonts w:ascii="Verdana" w:hAnsi="Verdana" w:cs="Arial"/>
          <w:color w:val="000000" w:themeColor="text1"/>
          <w:shd w:val="clear" w:color="auto" w:fill="FFFFFF"/>
        </w:rPr>
      </w:pPr>
    </w:p>
    <w:p w14:paraId="612B1C66" w14:textId="77777777" w:rsidR="00CE1370" w:rsidRPr="00E440FD" w:rsidRDefault="00CE1370" w:rsidP="00CE1370">
      <w:pPr>
        <w:shd w:val="clear" w:color="auto" w:fill="FFFFFF"/>
        <w:spacing w:after="0" w:line="276" w:lineRule="auto"/>
        <w:jc w:val="both"/>
        <w:rPr>
          <w:rFonts w:ascii="Verdana" w:hAnsi="Verdana"/>
          <w:color w:val="467886"/>
          <w:u w:val="single"/>
        </w:rPr>
      </w:pPr>
      <w:r w:rsidRPr="00B83C56">
        <w:rPr>
          <w:rFonts w:ascii="Verdana" w:hAnsi="Verdana"/>
          <w:color w:val="000000"/>
        </w:rPr>
        <w:lastRenderedPageBreak/>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4DED5111" w14:textId="77777777" w:rsidR="00CE1370" w:rsidRPr="009C4035" w:rsidRDefault="00CE1370" w:rsidP="00CE1370">
      <w:pPr>
        <w:widowControl w:val="0"/>
        <w:autoSpaceDE w:val="0"/>
        <w:autoSpaceDN w:val="0"/>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244BD51D" w14:textId="77777777" w:rsidR="00CE1370" w:rsidRPr="00593A5F" w:rsidRDefault="00CE1370" w:rsidP="00CE1370">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0C3B8E82" w14:textId="77777777" w:rsidR="00CE1370" w:rsidRPr="00593A5F" w:rsidRDefault="00CE1370" w:rsidP="00CE1370">
      <w:pPr>
        <w:widowControl w:val="0"/>
        <w:autoSpaceDE w:val="0"/>
        <w:autoSpaceDN w:val="0"/>
        <w:spacing w:after="0" w:line="276" w:lineRule="auto"/>
        <w:jc w:val="both"/>
        <w:rPr>
          <w:rFonts w:ascii="Verdana" w:hAnsi="Verdana" w:cs="Arial"/>
        </w:rPr>
      </w:pPr>
    </w:p>
    <w:p w14:paraId="63D6C3F3" w14:textId="77777777" w:rsidR="00CE1370" w:rsidRPr="00593A5F" w:rsidRDefault="00CE1370" w:rsidP="00CE1370">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4128405B" w14:textId="564D3172" w:rsidR="00CE1370" w:rsidRPr="00593A5F" w:rsidRDefault="00B9018C" w:rsidP="00CE1370">
      <w:pPr>
        <w:spacing w:line="276" w:lineRule="auto"/>
        <w:jc w:val="center"/>
        <w:rPr>
          <w:rFonts w:ascii="Verdana" w:hAnsi="Verdana" w:cs="Arial"/>
          <w:color w:val="000000"/>
          <w:lang w:val="es-ES_tradnl" w:eastAsia="es-CO"/>
        </w:rPr>
      </w:pPr>
      <w:r>
        <w:rPr>
          <w:noProof/>
        </w:rPr>
        <w:drawing>
          <wp:inline distT="0" distB="0" distL="0" distR="0" wp14:anchorId="6A6EBBF3" wp14:editId="352D5BCE">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E1370" w:rsidRPr="00593A5F" w14:paraId="15FDA296" w14:textId="77777777" w:rsidTr="009B031D">
        <w:trPr>
          <w:trHeight w:val="315"/>
        </w:trPr>
        <w:tc>
          <w:tcPr>
            <w:tcW w:w="893" w:type="dxa"/>
            <w:vAlign w:val="center"/>
            <w:hideMark/>
          </w:tcPr>
          <w:p w14:paraId="4039BF4C" w14:textId="77777777" w:rsidR="00CE1370" w:rsidRPr="003751C7" w:rsidRDefault="00CE1370" w:rsidP="009B031D">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26C9118" w14:textId="77777777" w:rsidR="00CE1370" w:rsidRPr="00254A7A" w:rsidRDefault="00CE1370" w:rsidP="009B031D">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1A06E7F7" w14:textId="77777777" w:rsidR="00CE1370" w:rsidRPr="00254A7A" w:rsidRDefault="00CE1370" w:rsidP="009B031D">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CE1370" w:rsidRPr="00593A5F" w14:paraId="0F717211" w14:textId="77777777" w:rsidTr="009B031D">
        <w:trPr>
          <w:trHeight w:val="330"/>
        </w:trPr>
        <w:tc>
          <w:tcPr>
            <w:tcW w:w="893" w:type="dxa"/>
            <w:vAlign w:val="center"/>
            <w:hideMark/>
          </w:tcPr>
          <w:p w14:paraId="3E531348" w14:textId="77777777" w:rsidR="00CE1370" w:rsidRPr="003751C7" w:rsidRDefault="00CE1370" w:rsidP="009B031D">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417933E" w14:textId="77777777" w:rsidR="00CE1370" w:rsidRPr="00FE00BE" w:rsidRDefault="00CE1370" w:rsidP="009B031D">
            <w:pPr>
              <w:pStyle w:val="paragraph"/>
              <w:spacing w:after="0"/>
              <w:contextualSpacing/>
              <w:textAlignment w:val="baseline"/>
              <w:rPr>
                <w:rStyle w:val="normaltextrun"/>
                <w:rFonts w:ascii="Verdana" w:hAnsi="Verdana" w:cs="Arial"/>
                <w:sz w:val="16"/>
                <w:szCs w:val="16"/>
                <w:lang w:val="es-ES_tradnl"/>
              </w:rPr>
            </w:pPr>
            <w:r w:rsidRPr="00FE00BE">
              <w:rPr>
                <w:rStyle w:val="normaltextrun"/>
                <w:rFonts w:ascii="Verdana" w:hAnsi="Verdana" w:cs="Arial"/>
                <w:sz w:val="16"/>
                <w:szCs w:val="16"/>
                <w:lang w:val="es-ES_tradnl"/>
              </w:rPr>
              <w:t>Alejandro Sarmiento Cantillo</w:t>
            </w:r>
          </w:p>
          <w:p w14:paraId="67785C15" w14:textId="77777777" w:rsidR="00CE1370" w:rsidRPr="00FE00BE" w:rsidRDefault="00CE1370" w:rsidP="009B031D">
            <w:pPr>
              <w:pStyle w:val="paragraph"/>
              <w:spacing w:before="0" w:beforeAutospacing="0" w:after="0" w:afterAutospacing="0"/>
              <w:contextualSpacing/>
              <w:textAlignment w:val="baseline"/>
              <w:rPr>
                <w:rFonts w:ascii="Verdana" w:hAnsi="Verdana" w:cs="Segoe UI"/>
                <w:sz w:val="16"/>
                <w:szCs w:val="16"/>
                <w:lang w:val="es-ES_tradnl"/>
              </w:rPr>
            </w:pPr>
            <w:r w:rsidRPr="00FE00BE">
              <w:rPr>
                <w:rStyle w:val="normaltextrun"/>
                <w:rFonts w:ascii="Verdana" w:hAnsi="Verdana" w:cs="Arial"/>
                <w:sz w:val="16"/>
                <w:szCs w:val="16"/>
                <w:lang w:val="es-ES_tradnl"/>
              </w:rPr>
              <w:t>Gestor T1 ‒ 15 de la Subdirección de Gestión Contractual</w:t>
            </w:r>
          </w:p>
        </w:tc>
      </w:tr>
      <w:tr w:rsidR="00CE1370" w:rsidRPr="00593A5F" w14:paraId="10745C24" w14:textId="77777777" w:rsidTr="009B031D">
        <w:trPr>
          <w:trHeight w:val="300"/>
        </w:trPr>
        <w:tc>
          <w:tcPr>
            <w:tcW w:w="893" w:type="dxa"/>
            <w:vAlign w:val="center"/>
          </w:tcPr>
          <w:p w14:paraId="0E31A0E3" w14:textId="77777777" w:rsidR="00CE1370" w:rsidRPr="003751C7" w:rsidRDefault="00CE1370" w:rsidP="009B031D">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0F5EC79" w14:textId="77777777" w:rsidR="00CE1370" w:rsidRPr="00FE00BE" w:rsidRDefault="00CE1370" w:rsidP="009B031D">
            <w:pPr>
              <w:contextualSpacing/>
              <w:rPr>
                <w:rFonts w:ascii="Verdana" w:eastAsia="Calibri" w:hAnsi="Verdana" w:cs="Arial"/>
                <w:sz w:val="16"/>
                <w:szCs w:val="16"/>
                <w:lang w:val="es-ES" w:eastAsia="es-ES"/>
              </w:rPr>
            </w:pPr>
            <w:r w:rsidRPr="5E6429B6">
              <w:rPr>
                <w:rFonts w:ascii="Verdana" w:eastAsia="Calibri" w:hAnsi="Verdana" w:cs="Arial"/>
                <w:sz w:val="16"/>
                <w:szCs w:val="16"/>
                <w:lang w:val="es-ES" w:eastAsia="es-ES"/>
              </w:rPr>
              <w:t>Carolina Quintero Gacharná</w:t>
            </w:r>
          </w:p>
          <w:p w14:paraId="157DA6CA" w14:textId="77777777" w:rsidR="00CE1370" w:rsidRPr="00FE00BE" w:rsidRDefault="00CE1370" w:rsidP="009B031D">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r w:rsidR="00CE1370" w:rsidRPr="00593A5F" w14:paraId="5FCB777B" w14:textId="77777777" w:rsidTr="009B031D">
        <w:trPr>
          <w:trHeight w:val="300"/>
        </w:trPr>
        <w:tc>
          <w:tcPr>
            <w:tcW w:w="893" w:type="dxa"/>
            <w:vAlign w:val="center"/>
          </w:tcPr>
          <w:p w14:paraId="5AFF92DD" w14:textId="77777777" w:rsidR="00CE1370" w:rsidRPr="003751C7" w:rsidRDefault="00CE1370" w:rsidP="009B031D">
            <w:pPr>
              <w:contextualSpacing/>
              <w:rPr>
                <w:rFonts w:ascii="Verdana" w:hAnsi="Verdana" w:cs="Arial"/>
                <w:sz w:val="16"/>
                <w:szCs w:val="16"/>
                <w:lang w:val="es-ES" w:eastAsia="es-ES"/>
              </w:rPr>
            </w:pPr>
            <w:r>
              <w:rPr>
                <w:rFonts w:ascii="Verdana" w:hAnsi="Verdana" w:cs="Arial"/>
                <w:sz w:val="16"/>
                <w:szCs w:val="16"/>
                <w:lang w:val="es-ES" w:eastAsia="es-ES"/>
              </w:rPr>
              <w:t xml:space="preserve">Anexo: </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9B2148F" w14:textId="77777777" w:rsidR="00CE1370" w:rsidRPr="00FE00BE" w:rsidRDefault="00CE1370" w:rsidP="009B031D">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Circular Externa 006 del 25 de septiembre de 2025</w:t>
            </w:r>
          </w:p>
        </w:tc>
      </w:tr>
    </w:tbl>
    <w:p w14:paraId="1BB3991B" w14:textId="77777777" w:rsidR="00CE1370" w:rsidRPr="00543BFE" w:rsidRDefault="00CE1370" w:rsidP="00CE1370"/>
    <w:p w14:paraId="0F293BF4" w14:textId="7955E10A" w:rsidR="00127233" w:rsidRPr="00AD493E" w:rsidRDefault="00127233" w:rsidP="00AD493E"/>
    <w:sectPr w:rsidR="00127233" w:rsidRPr="00AD493E"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A82353" w14:textId="77777777" w:rsidR="004875D7" w:rsidRDefault="004875D7" w:rsidP="004A1847">
      <w:pPr>
        <w:spacing w:after="0" w:line="240" w:lineRule="auto"/>
      </w:pPr>
      <w:r>
        <w:separator/>
      </w:r>
    </w:p>
  </w:endnote>
  <w:endnote w:type="continuationSeparator" w:id="0">
    <w:p w14:paraId="5A216CCF" w14:textId="77777777" w:rsidR="004875D7" w:rsidRDefault="004875D7" w:rsidP="004A1847">
      <w:pPr>
        <w:spacing w:after="0" w:line="240" w:lineRule="auto"/>
      </w:pPr>
      <w:r>
        <w:continuationSeparator/>
      </w:r>
    </w:p>
  </w:endnote>
  <w:endnote w:type="continuationNotice" w:id="1">
    <w:p w14:paraId="02236AFF" w14:textId="77777777" w:rsidR="004875D7" w:rsidRDefault="004875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9438A5" w14:textId="77777777" w:rsidR="004875D7" w:rsidRDefault="004875D7" w:rsidP="004A1847">
      <w:pPr>
        <w:spacing w:after="0" w:line="240" w:lineRule="auto"/>
      </w:pPr>
      <w:r>
        <w:separator/>
      </w:r>
    </w:p>
  </w:footnote>
  <w:footnote w:type="continuationSeparator" w:id="0">
    <w:p w14:paraId="66E57A23" w14:textId="77777777" w:rsidR="004875D7" w:rsidRDefault="004875D7" w:rsidP="004A1847">
      <w:pPr>
        <w:spacing w:after="0" w:line="240" w:lineRule="auto"/>
      </w:pPr>
      <w:r>
        <w:continuationSeparator/>
      </w:r>
    </w:p>
  </w:footnote>
  <w:footnote w:type="continuationNotice" w:id="1">
    <w:p w14:paraId="60FE5C25" w14:textId="77777777" w:rsidR="004875D7" w:rsidRDefault="004875D7">
      <w:pPr>
        <w:spacing w:after="0" w:line="240" w:lineRule="auto"/>
      </w:pPr>
    </w:p>
  </w:footnote>
  <w:footnote w:id="2">
    <w:p w14:paraId="04BBB79E" w14:textId="77777777" w:rsidR="00CE1370" w:rsidRPr="00614434" w:rsidRDefault="00CE1370" w:rsidP="00CE1370">
      <w:pPr>
        <w:pStyle w:val="Textonotapie"/>
        <w:ind w:firstLine="709"/>
        <w:contextualSpacing/>
        <w:jc w:val="both"/>
        <w:rPr>
          <w:rFonts w:ascii="Verdana" w:hAnsi="Verdana" w:cs="Arial"/>
          <w:sz w:val="16"/>
          <w:szCs w:val="16"/>
        </w:rPr>
      </w:pPr>
      <w:r w:rsidRPr="00614434">
        <w:rPr>
          <w:rStyle w:val="Refdenotaalpie"/>
          <w:rFonts w:ascii="Verdana" w:hAnsi="Verdana" w:cs="Arial"/>
          <w:sz w:val="16"/>
          <w:szCs w:val="16"/>
        </w:rPr>
        <w:footnoteRef/>
      </w:r>
      <w:r w:rsidRPr="00614434">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07FE35E" w14:textId="77777777" w:rsidR="00CE1370" w:rsidRPr="00614434" w:rsidRDefault="00CE1370" w:rsidP="00CE1370">
      <w:pPr>
        <w:pStyle w:val="Textonotapie"/>
        <w:ind w:firstLine="709"/>
        <w:contextualSpacing/>
        <w:jc w:val="both"/>
        <w:rPr>
          <w:rFonts w:ascii="Verdana" w:hAnsi="Verdana" w:cs="Arial"/>
          <w:sz w:val="16"/>
          <w:szCs w:val="16"/>
        </w:rPr>
      </w:pPr>
      <w:r w:rsidRPr="00614434">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3542651D" w14:textId="77777777" w:rsidR="00CE1370" w:rsidRPr="00614434" w:rsidRDefault="00CE1370" w:rsidP="00CE1370">
      <w:pPr>
        <w:pStyle w:val="Textonotapie"/>
        <w:ind w:firstLine="709"/>
        <w:contextualSpacing/>
        <w:jc w:val="both"/>
        <w:rPr>
          <w:rFonts w:ascii="Verdana" w:hAnsi="Verdana" w:cs="Arial"/>
          <w:sz w:val="16"/>
          <w:szCs w:val="16"/>
        </w:rPr>
      </w:pPr>
      <w:r w:rsidRPr="00614434">
        <w:rPr>
          <w:rStyle w:val="Refdenotaalpie"/>
          <w:rFonts w:ascii="Verdana" w:hAnsi="Verdana" w:cs="Arial"/>
          <w:sz w:val="16"/>
          <w:szCs w:val="16"/>
        </w:rPr>
        <w:footnoteRef/>
      </w:r>
      <w:r w:rsidRPr="00614434">
        <w:rPr>
          <w:rFonts w:ascii="Verdana" w:hAnsi="Verdana" w:cs="Arial"/>
          <w:sz w:val="16"/>
          <w:szCs w:val="16"/>
        </w:rPr>
        <w:t xml:space="preserve"> Gaceta del Congreso de la República No. 71 del 2005.</w:t>
      </w:r>
    </w:p>
  </w:footnote>
  <w:footnote w:id="4">
    <w:p w14:paraId="4F2DECD1" w14:textId="77777777" w:rsidR="00CE1370" w:rsidRPr="00614434" w:rsidRDefault="00CE1370" w:rsidP="00CE1370">
      <w:pPr>
        <w:pStyle w:val="Textonotapie"/>
        <w:ind w:firstLine="709"/>
        <w:contextualSpacing/>
        <w:jc w:val="both"/>
        <w:rPr>
          <w:rFonts w:ascii="Verdana" w:hAnsi="Verdana" w:cs="Arial"/>
          <w:sz w:val="16"/>
          <w:szCs w:val="16"/>
        </w:rPr>
      </w:pPr>
      <w:r w:rsidRPr="00614434">
        <w:rPr>
          <w:rStyle w:val="Refdenotaalpie"/>
          <w:rFonts w:ascii="Verdana" w:hAnsi="Verdana" w:cs="Arial"/>
          <w:sz w:val="16"/>
          <w:szCs w:val="16"/>
        </w:rPr>
        <w:footnoteRef/>
      </w:r>
      <w:r w:rsidRPr="00614434">
        <w:rPr>
          <w:rFonts w:ascii="Verdana" w:hAnsi="Verdana" w:cs="Arial"/>
          <w:sz w:val="16"/>
          <w:szCs w:val="16"/>
        </w:rPr>
        <w:t xml:space="preserve"> Corte Constitucional, Sentencia C- 1153 de 2005, M.P. Marco Gerardo Monroy Cabra.</w:t>
      </w:r>
    </w:p>
  </w:footnote>
  <w:footnote w:id="5">
    <w:p w14:paraId="2FE2DB41" w14:textId="77777777" w:rsidR="00CE1370" w:rsidRPr="00614434" w:rsidRDefault="00CE1370" w:rsidP="00CE1370">
      <w:pPr>
        <w:pStyle w:val="Textonotapie"/>
        <w:ind w:firstLine="709"/>
        <w:contextualSpacing/>
        <w:jc w:val="both"/>
        <w:rPr>
          <w:rFonts w:ascii="Verdana" w:hAnsi="Verdana" w:cs="Arial"/>
          <w:sz w:val="16"/>
          <w:szCs w:val="16"/>
        </w:rPr>
      </w:pPr>
      <w:r w:rsidRPr="00614434">
        <w:rPr>
          <w:rStyle w:val="Refdenotaalpie"/>
          <w:rFonts w:ascii="Verdana" w:hAnsi="Verdana" w:cs="Arial"/>
          <w:sz w:val="16"/>
          <w:szCs w:val="16"/>
        </w:rPr>
        <w:footnoteRef/>
      </w:r>
      <w:r w:rsidRPr="00614434">
        <w:rPr>
          <w:rFonts w:ascii="Verdana" w:hAnsi="Verdana"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2D021179" w14:textId="77777777" w:rsidR="00CE1370" w:rsidRPr="00614434" w:rsidRDefault="00CE1370" w:rsidP="00CE1370">
      <w:pPr>
        <w:pStyle w:val="Textonotapie"/>
        <w:ind w:firstLine="709"/>
        <w:contextualSpacing/>
        <w:jc w:val="both"/>
        <w:rPr>
          <w:rFonts w:ascii="Verdana" w:hAnsi="Verdana" w:cs="Arial"/>
          <w:sz w:val="16"/>
          <w:szCs w:val="16"/>
          <w:lang w:val="es-CO"/>
        </w:rPr>
      </w:pPr>
      <w:r w:rsidRPr="00614434">
        <w:rPr>
          <w:rStyle w:val="Refdenotaalpie"/>
          <w:rFonts w:ascii="Verdana" w:hAnsi="Verdana" w:cs="Arial"/>
          <w:sz w:val="16"/>
          <w:szCs w:val="16"/>
        </w:rPr>
        <w:footnoteRef/>
      </w:r>
      <w:r w:rsidRPr="00614434">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43652606" w14:textId="77777777" w:rsidR="00CE1370" w:rsidRPr="00614434" w:rsidRDefault="00CE1370" w:rsidP="00CE1370">
      <w:pPr>
        <w:pStyle w:val="Textonotapie"/>
        <w:ind w:firstLine="709"/>
        <w:contextualSpacing/>
        <w:jc w:val="both"/>
        <w:rPr>
          <w:rFonts w:ascii="Verdana" w:hAnsi="Verdana" w:cs="Arial"/>
          <w:sz w:val="16"/>
          <w:szCs w:val="16"/>
        </w:rPr>
      </w:pPr>
      <w:r w:rsidRPr="00614434">
        <w:rPr>
          <w:rStyle w:val="Refdenotaalpie"/>
          <w:rFonts w:ascii="Verdana" w:hAnsi="Verdana" w:cs="Arial"/>
          <w:sz w:val="16"/>
          <w:szCs w:val="16"/>
        </w:rPr>
        <w:footnoteRef/>
      </w:r>
      <w:r w:rsidRPr="00614434">
        <w:rPr>
          <w:rFonts w:ascii="Verdana" w:hAnsi="Verdana" w:cs="Arial"/>
          <w:sz w:val="16"/>
          <w:szCs w:val="16"/>
        </w:rPr>
        <w:t xml:space="preserve"> Consejo de Estado, Sala de Consulta y Servicio Civil de fecha 24 de julio de 2013, radicado 2166, Consejero Ponente: Álvaro Namén Vargas.  </w:t>
      </w:r>
    </w:p>
  </w:footnote>
  <w:footnote w:id="8">
    <w:p w14:paraId="1A709092" w14:textId="77777777" w:rsidR="00CE1370" w:rsidRPr="00614434" w:rsidRDefault="00CE1370" w:rsidP="00CE1370">
      <w:pPr>
        <w:spacing w:after="0" w:line="240" w:lineRule="auto"/>
        <w:ind w:firstLine="709"/>
        <w:contextualSpacing/>
        <w:jc w:val="both"/>
        <w:rPr>
          <w:rFonts w:ascii="Verdana" w:eastAsia="Times New Roman" w:hAnsi="Verdana" w:cs="Arial"/>
          <w:sz w:val="16"/>
          <w:szCs w:val="16"/>
        </w:rPr>
      </w:pPr>
      <w:r w:rsidRPr="00614434">
        <w:rPr>
          <w:rStyle w:val="Refdenotaalpie"/>
          <w:rFonts w:ascii="Verdana" w:hAnsi="Verdana" w:cs="Arial"/>
          <w:sz w:val="16"/>
          <w:szCs w:val="16"/>
        </w:rPr>
        <w:footnoteRef/>
      </w:r>
      <w:r w:rsidRPr="00614434">
        <w:rPr>
          <w:rFonts w:ascii="Verdana" w:hAnsi="Verdana" w:cs="Arial"/>
          <w:sz w:val="16"/>
          <w:szCs w:val="16"/>
        </w:rPr>
        <w:t xml:space="preserve"> </w:t>
      </w:r>
      <w:bookmarkStart w:id="6" w:name="33"/>
      <w:r w:rsidRPr="00614434">
        <w:rPr>
          <w:rFonts w:ascii="Verdana" w:eastAsia="Calibri" w:hAnsi="Verdana" w:cs="Arial"/>
          <w:color w:val="000000"/>
          <w:sz w:val="16"/>
          <w:szCs w:val="16"/>
        </w:rPr>
        <w:t>“</w:t>
      </w:r>
      <w:r w:rsidRPr="00614434">
        <w:rPr>
          <w:rFonts w:ascii="Verdana" w:eastAsia="Times New Roman" w:hAnsi="Verdana" w:cs="Arial"/>
          <w:sz w:val="16"/>
          <w:szCs w:val="16"/>
        </w:rPr>
        <w:t>Artículo 33. Restricciones a la contratación pública.</w:t>
      </w:r>
      <w:bookmarkEnd w:id="6"/>
      <w:r w:rsidRPr="00614434">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6B66E317" w14:textId="77777777" w:rsidR="00CE1370" w:rsidRPr="00614434" w:rsidRDefault="00CE1370" w:rsidP="00CE1370">
      <w:pPr>
        <w:spacing w:after="0" w:line="240" w:lineRule="auto"/>
        <w:ind w:firstLine="709"/>
        <w:contextualSpacing/>
        <w:jc w:val="both"/>
        <w:rPr>
          <w:rFonts w:ascii="Verdana" w:eastAsia="Times New Roman" w:hAnsi="Verdana" w:cs="Arial"/>
          <w:sz w:val="16"/>
          <w:szCs w:val="16"/>
        </w:rPr>
      </w:pPr>
      <w:r w:rsidRPr="00614434">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614434">
        <w:rPr>
          <w:rFonts w:ascii="Verdana" w:eastAsia="Calibri" w:hAnsi="Verdana" w:cs="Arial"/>
          <w:color w:val="000000"/>
          <w:sz w:val="16"/>
          <w:szCs w:val="16"/>
        </w:rPr>
        <w:t>”</w:t>
      </w:r>
      <w:r w:rsidRPr="00614434">
        <w:rPr>
          <w:rFonts w:ascii="Verdana" w:eastAsia="Times New Roman" w:hAnsi="Verdana" w:cs="Arial"/>
          <w:sz w:val="16"/>
          <w:szCs w:val="16"/>
        </w:rPr>
        <w:t>.</w:t>
      </w:r>
    </w:p>
  </w:footnote>
  <w:footnote w:id="9">
    <w:p w14:paraId="6522D015" w14:textId="77777777" w:rsidR="00CE1370" w:rsidRPr="00614434" w:rsidRDefault="00CE1370" w:rsidP="00CE1370">
      <w:pPr>
        <w:pStyle w:val="NormalWeb"/>
        <w:spacing w:before="0" w:beforeAutospacing="0" w:after="0" w:afterAutospacing="0"/>
        <w:ind w:firstLine="709"/>
        <w:contextualSpacing/>
        <w:jc w:val="both"/>
        <w:rPr>
          <w:rFonts w:ascii="Verdana" w:hAnsi="Verdana" w:cs="Arial"/>
          <w:sz w:val="16"/>
          <w:szCs w:val="16"/>
          <w:lang w:val="es-MX"/>
        </w:rPr>
      </w:pPr>
      <w:r w:rsidRPr="00614434">
        <w:rPr>
          <w:rStyle w:val="Refdenotaalpie"/>
          <w:rFonts w:ascii="Verdana" w:hAnsi="Verdana" w:cs="Arial"/>
          <w:sz w:val="16"/>
          <w:szCs w:val="16"/>
        </w:rPr>
        <w:footnoteRef/>
      </w:r>
      <w:r w:rsidRPr="00614434">
        <w:rPr>
          <w:rFonts w:ascii="Verdana" w:hAnsi="Verdana" w:cs="Arial"/>
          <w:sz w:val="16"/>
          <w:szCs w:val="16"/>
        </w:rPr>
        <w:t xml:space="preserve"> </w:t>
      </w:r>
      <w:bookmarkStart w:id="7" w:name="38"/>
      <w:r w:rsidRPr="00614434">
        <w:rPr>
          <w:rFonts w:ascii="Verdana" w:eastAsia="Calibri" w:hAnsi="Verdana" w:cs="Arial"/>
          <w:color w:val="000000"/>
          <w:sz w:val="16"/>
          <w:szCs w:val="16"/>
        </w:rPr>
        <w:t>“</w:t>
      </w:r>
      <w:r w:rsidRPr="00614434">
        <w:rPr>
          <w:rFonts w:ascii="Verdana" w:hAnsi="Verdana" w:cs="Arial"/>
          <w:sz w:val="16"/>
          <w:szCs w:val="16"/>
          <w:lang w:val="es-MX"/>
        </w:rPr>
        <w:t>Artículo 38. Prohibiciones para los servidores públicos. A los empleados del Estado les está prohibido:</w:t>
      </w:r>
      <w:bookmarkEnd w:id="7"/>
    </w:p>
    <w:p w14:paraId="039590AC" w14:textId="77777777" w:rsidR="00CE1370" w:rsidRPr="00614434" w:rsidRDefault="00CE1370" w:rsidP="00CE1370">
      <w:pPr>
        <w:pStyle w:val="NormalWeb"/>
        <w:spacing w:before="0" w:beforeAutospacing="0" w:after="0" w:afterAutospacing="0"/>
        <w:ind w:firstLine="709"/>
        <w:contextualSpacing/>
        <w:jc w:val="both"/>
        <w:rPr>
          <w:rFonts w:ascii="Verdana" w:hAnsi="Verdana" w:cs="Arial"/>
          <w:sz w:val="16"/>
          <w:szCs w:val="16"/>
          <w:lang w:val="es-MX"/>
        </w:rPr>
      </w:pPr>
      <w:r w:rsidRPr="00614434">
        <w:rPr>
          <w:rFonts w:ascii="Verdana" w:hAnsi="Verdana" w:cs="Arial"/>
          <w:sz w:val="16"/>
          <w:szCs w:val="16"/>
          <w:lang w:val="es-MX"/>
        </w:rPr>
        <w:t>[…]</w:t>
      </w:r>
    </w:p>
    <w:p w14:paraId="1BDBBE33" w14:textId="77777777" w:rsidR="00CE1370" w:rsidRPr="00614434" w:rsidRDefault="00CE1370" w:rsidP="00CE1370">
      <w:pPr>
        <w:pStyle w:val="NormalWeb"/>
        <w:spacing w:before="0" w:beforeAutospacing="0" w:after="0" w:afterAutospacing="0"/>
        <w:ind w:firstLine="709"/>
        <w:contextualSpacing/>
        <w:jc w:val="both"/>
        <w:rPr>
          <w:rFonts w:ascii="Verdana" w:hAnsi="Verdana" w:cs="Arial"/>
          <w:sz w:val="16"/>
          <w:szCs w:val="16"/>
          <w:lang w:val="es-MX"/>
        </w:rPr>
      </w:pPr>
      <w:r w:rsidRPr="00614434">
        <w:rPr>
          <w:rStyle w:val="baj"/>
          <w:rFonts w:ascii="Verdana" w:eastAsiaTheme="minorEastAsia" w:hAnsi="Verdana" w:cs="Arial"/>
          <w:sz w:val="16"/>
          <w:szCs w:val="16"/>
          <w:lang w:val="es-MX"/>
        </w:rPr>
        <w:t>Parágrafo.</w:t>
      </w:r>
      <w:r w:rsidRPr="00614434">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14434">
        <w:rPr>
          <w:rFonts w:ascii="Verdana" w:eastAsia="Calibri" w:hAnsi="Verdana" w:cs="Arial"/>
          <w:color w:val="000000"/>
          <w:sz w:val="16"/>
          <w:szCs w:val="16"/>
        </w:rPr>
        <w:t>”</w:t>
      </w:r>
      <w:r w:rsidRPr="00614434">
        <w:rPr>
          <w:rFonts w:ascii="Verdana" w:hAnsi="Verdana" w:cs="Arial"/>
          <w:sz w:val="16"/>
          <w:szCs w:val="16"/>
          <w:lang w:val="es-MX"/>
        </w:rPr>
        <w:t>.</w:t>
      </w:r>
    </w:p>
  </w:footnote>
  <w:footnote w:id="10">
    <w:p w14:paraId="581C6858" w14:textId="77777777" w:rsidR="00CE1370" w:rsidRPr="00614434" w:rsidRDefault="00CE1370" w:rsidP="00CE1370">
      <w:pPr>
        <w:spacing w:after="0" w:line="240" w:lineRule="auto"/>
        <w:ind w:left="100" w:right="244" w:firstLine="709"/>
        <w:contextualSpacing/>
        <w:jc w:val="both"/>
        <w:rPr>
          <w:rFonts w:ascii="Verdana" w:hAnsi="Verdana" w:cs="Arial"/>
          <w:sz w:val="16"/>
          <w:szCs w:val="16"/>
          <w:lang w:val="es-ES"/>
        </w:rPr>
      </w:pPr>
      <w:r w:rsidRPr="00614434">
        <w:rPr>
          <w:rStyle w:val="Refdenotaalpie"/>
          <w:rFonts w:ascii="Verdana" w:hAnsi="Verdana" w:cs="Arial"/>
          <w:sz w:val="16"/>
          <w:szCs w:val="16"/>
        </w:rPr>
        <w:footnoteRef/>
      </w:r>
      <w:r w:rsidRPr="00614434">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54DBCC30" w14:textId="77777777" w:rsidR="00CE1370" w:rsidRPr="00614434" w:rsidRDefault="00CE1370" w:rsidP="00CE1370">
      <w:pPr>
        <w:pStyle w:val="Textonotapie"/>
        <w:ind w:right="51" w:firstLine="709"/>
        <w:jc w:val="both"/>
        <w:rPr>
          <w:rFonts w:ascii="Verdana" w:hAnsi="Verdana" w:cs="Arial"/>
          <w:sz w:val="16"/>
          <w:szCs w:val="16"/>
        </w:rPr>
      </w:pPr>
      <w:r w:rsidRPr="00614434">
        <w:rPr>
          <w:rStyle w:val="Refdenotaalpie"/>
          <w:rFonts w:ascii="Verdana" w:hAnsi="Verdana" w:cs="Arial"/>
          <w:sz w:val="16"/>
          <w:szCs w:val="16"/>
        </w:rPr>
        <w:footnoteRef/>
      </w:r>
      <w:r w:rsidRPr="00614434">
        <w:rPr>
          <w:rFonts w:ascii="Verdana" w:hAnsi="Verdana" w:cs="Arial"/>
          <w:sz w:val="16"/>
          <w:szCs w:val="16"/>
        </w:rPr>
        <w:t xml:space="preserve"> “</w:t>
      </w:r>
      <w:r w:rsidRPr="00614434">
        <w:rPr>
          <w:rFonts w:ascii="Verdana" w:hAnsi="Verdana" w:cs="Arial"/>
          <w:sz w:val="16"/>
          <w:szCs w:val="16"/>
          <w:lang w:val="es-ES"/>
        </w:rPr>
        <w:t xml:space="preserve">[25] </w:t>
      </w:r>
      <w:r w:rsidRPr="00614434">
        <w:rPr>
          <w:rFonts w:ascii="Verdana" w:hAnsi="Verdana" w:cs="Arial"/>
          <w:sz w:val="16"/>
          <w:szCs w:val="16"/>
        </w:rPr>
        <w:t>Cfr. Consejo de Estado. Sección Tercera. Sentencia de 3 de diciembre de 2007. Radicados: 24.715, 25.206, 25.409, 24.524, 27.834, 25.410, 26.105, 28.244, 31.447 -acumulados-”.</w:t>
      </w:r>
    </w:p>
  </w:footnote>
  <w:footnote w:id="12">
    <w:p w14:paraId="0F352D93" w14:textId="77777777" w:rsidR="00CE1370" w:rsidRPr="00614434" w:rsidRDefault="00CE1370" w:rsidP="00CE1370">
      <w:pPr>
        <w:pStyle w:val="Textonotapie"/>
        <w:ind w:right="51" w:firstLine="709"/>
        <w:jc w:val="both"/>
        <w:rPr>
          <w:rFonts w:ascii="Verdana" w:hAnsi="Verdana" w:cs="Arial"/>
          <w:sz w:val="16"/>
          <w:szCs w:val="16"/>
        </w:rPr>
      </w:pPr>
      <w:r w:rsidRPr="00614434">
        <w:rPr>
          <w:rStyle w:val="Refdenotaalpie"/>
          <w:rFonts w:ascii="Verdana" w:hAnsi="Verdana" w:cs="Arial"/>
          <w:sz w:val="16"/>
          <w:szCs w:val="16"/>
        </w:rPr>
        <w:footnoteRef/>
      </w:r>
      <w:r w:rsidRPr="00614434">
        <w:rPr>
          <w:rFonts w:ascii="Verdana" w:hAnsi="Verdana" w:cs="Arial"/>
          <w:sz w:val="16"/>
          <w:szCs w:val="16"/>
        </w:rPr>
        <w:t xml:space="preserve"> “</w:t>
      </w:r>
      <w:r w:rsidRPr="00614434">
        <w:rPr>
          <w:rFonts w:ascii="Verdana" w:hAnsi="Verdana" w:cs="Arial"/>
          <w:sz w:val="16"/>
          <w:szCs w:val="16"/>
          <w:lang w:val="es-ES"/>
        </w:rPr>
        <w:t xml:space="preserve">[26] </w:t>
      </w:r>
      <w:r w:rsidRPr="00614434">
        <w:rPr>
          <w:rFonts w:ascii="Verdana" w:hAnsi="Verdana" w:cs="Arial"/>
          <w:sz w:val="16"/>
          <w:szCs w:val="16"/>
        </w:rPr>
        <w:t>Al respecto ver el concepto 1712 de 2 de febrero de 2006. Consejo de Estado Sala de Consulta y Servicio Civil”.</w:t>
      </w:r>
    </w:p>
    <w:p w14:paraId="0622159B" w14:textId="77777777" w:rsidR="00CE1370" w:rsidRPr="00614434" w:rsidRDefault="00CE1370" w:rsidP="00CE1370">
      <w:pPr>
        <w:pStyle w:val="Textonotapie"/>
        <w:ind w:right="51" w:firstLine="709"/>
        <w:jc w:val="both"/>
        <w:rPr>
          <w:rFonts w:ascii="Verdana" w:hAnsi="Verdana" w:cs="Arial"/>
          <w:sz w:val="16"/>
          <w:szCs w:val="16"/>
        </w:rPr>
      </w:pPr>
    </w:p>
  </w:footnote>
  <w:footnote w:id="13">
    <w:p w14:paraId="64A38D6F" w14:textId="77777777" w:rsidR="00CE1370" w:rsidRPr="00614434" w:rsidRDefault="00CE1370" w:rsidP="00CE1370">
      <w:pPr>
        <w:pStyle w:val="Textonotapie"/>
        <w:ind w:firstLine="709"/>
        <w:jc w:val="both"/>
        <w:rPr>
          <w:rFonts w:ascii="Verdana" w:hAnsi="Verdana" w:cs="Arial"/>
          <w:sz w:val="16"/>
          <w:szCs w:val="16"/>
        </w:rPr>
      </w:pPr>
      <w:r w:rsidRPr="00614434">
        <w:rPr>
          <w:rStyle w:val="Refdenotaalpie"/>
          <w:rFonts w:ascii="Verdana" w:hAnsi="Verdana" w:cs="Arial"/>
          <w:sz w:val="16"/>
          <w:szCs w:val="16"/>
        </w:rPr>
        <w:footnoteRef/>
      </w:r>
      <w:r w:rsidRPr="00614434">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4">
    <w:p w14:paraId="7175C904" w14:textId="77777777" w:rsidR="00CE1370" w:rsidRPr="00614434" w:rsidRDefault="00CE1370" w:rsidP="00CE1370">
      <w:pPr>
        <w:pStyle w:val="Textonotapie"/>
        <w:ind w:firstLine="709"/>
        <w:jc w:val="both"/>
        <w:rPr>
          <w:rFonts w:ascii="Verdana" w:hAnsi="Verdana" w:cs="Arial"/>
          <w:sz w:val="16"/>
          <w:szCs w:val="16"/>
          <w:lang w:val="es-ES"/>
        </w:rPr>
      </w:pPr>
      <w:r w:rsidRPr="00614434">
        <w:rPr>
          <w:rStyle w:val="Refdenotaalpie"/>
          <w:rFonts w:ascii="Verdana" w:hAnsi="Verdana" w:cs="Arial"/>
          <w:sz w:val="16"/>
          <w:szCs w:val="16"/>
        </w:rPr>
        <w:footnoteRef/>
      </w:r>
      <w:r w:rsidRPr="00614434">
        <w:rPr>
          <w:rFonts w:ascii="Verdana" w:hAnsi="Verdana" w:cs="Arial"/>
          <w:sz w:val="16"/>
          <w:szCs w:val="16"/>
        </w:rPr>
        <w:t xml:space="preserve"> </w:t>
      </w:r>
      <w:r w:rsidRPr="00614434">
        <w:rPr>
          <w:rFonts w:ascii="Verdana" w:hAnsi="Verdana" w:cs="Arial"/>
          <w:sz w:val="16"/>
          <w:szCs w:val="16"/>
          <w:lang w:val="es-ES"/>
        </w:rPr>
        <w:t xml:space="preserve">Artículo 2. </w:t>
      </w:r>
    </w:p>
  </w:footnote>
  <w:footnote w:id="15">
    <w:p w14:paraId="4EAD9BA8" w14:textId="77777777" w:rsidR="00CE1370" w:rsidRPr="00614434" w:rsidRDefault="00CE1370" w:rsidP="00CE1370">
      <w:pPr>
        <w:pStyle w:val="Textonotapie"/>
        <w:ind w:firstLine="709"/>
        <w:jc w:val="both"/>
        <w:rPr>
          <w:rFonts w:ascii="Verdana" w:hAnsi="Verdana" w:cs="Arial"/>
          <w:sz w:val="16"/>
          <w:szCs w:val="16"/>
          <w:lang w:val="es-ES"/>
        </w:rPr>
      </w:pPr>
      <w:r w:rsidRPr="00614434">
        <w:rPr>
          <w:rStyle w:val="Refdenotaalpie"/>
          <w:rFonts w:ascii="Verdana" w:hAnsi="Verdana" w:cs="Arial"/>
          <w:sz w:val="16"/>
          <w:szCs w:val="16"/>
        </w:rPr>
        <w:footnoteRef/>
      </w:r>
      <w:r w:rsidRPr="00614434">
        <w:rPr>
          <w:rFonts w:ascii="Verdana" w:hAnsi="Verdana" w:cs="Arial"/>
          <w:sz w:val="16"/>
          <w:szCs w:val="16"/>
        </w:rPr>
        <w:t xml:space="preserve"> </w:t>
      </w:r>
      <w:r w:rsidRPr="00614434">
        <w:rPr>
          <w:rFonts w:ascii="Verdana" w:hAnsi="Verdana" w:cs="Arial"/>
          <w:i/>
          <w:sz w:val="16"/>
          <w:szCs w:val="16"/>
          <w:lang w:val="es-ES"/>
        </w:rPr>
        <w:t>Ibidem</w:t>
      </w:r>
      <w:r w:rsidRPr="00614434">
        <w:rPr>
          <w:rFonts w:ascii="Verdana" w:hAnsi="Verdana" w:cs="Arial"/>
          <w:sz w:val="16"/>
          <w:szCs w:val="16"/>
          <w:lang w:val="es-ES"/>
        </w:rPr>
        <w:t>.</w:t>
      </w:r>
    </w:p>
  </w:footnote>
  <w:footnote w:id="16">
    <w:p w14:paraId="753969F3" w14:textId="77777777" w:rsidR="00CE1370" w:rsidRPr="00614434" w:rsidRDefault="00CE1370" w:rsidP="00CE1370">
      <w:pPr>
        <w:pStyle w:val="Textonotapie"/>
        <w:ind w:firstLine="709"/>
        <w:jc w:val="both"/>
        <w:rPr>
          <w:rFonts w:ascii="Verdana" w:hAnsi="Verdana" w:cs="Arial"/>
          <w:sz w:val="16"/>
          <w:szCs w:val="16"/>
          <w:lang w:val="es-ES"/>
        </w:rPr>
      </w:pPr>
      <w:r w:rsidRPr="00614434">
        <w:rPr>
          <w:rStyle w:val="Refdenotaalpie"/>
          <w:rFonts w:ascii="Verdana" w:hAnsi="Verdana" w:cs="Arial"/>
          <w:sz w:val="16"/>
          <w:szCs w:val="16"/>
        </w:rPr>
        <w:footnoteRef/>
      </w:r>
      <w:r w:rsidRPr="00614434">
        <w:rPr>
          <w:rStyle w:val="Refdenotaalpie"/>
          <w:rFonts w:ascii="Verdana" w:hAnsi="Verdana" w:cs="Arial"/>
          <w:sz w:val="16"/>
          <w:szCs w:val="16"/>
        </w:rPr>
        <w:t xml:space="preserve"> </w:t>
      </w:r>
      <w:r w:rsidRPr="00614434">
        <w:rPr>
          <w:rFonts w:ascii="Verdana" w:hAnsi="Verdana" w:cs="Arial"/>
          <w:sz w:val="16"/>
          <w:szCs w:val="16"/>
          <w:lang w:val="es-ES"/>
        </w:rPr>
        <w:t xml:space="preserve">“[…] A este respecto, cabe recordar que el artículo 860 del Código de Comercio regula la licitación en el derecho privado”. </w:t>
      </w:r>
    </w:p>
  </w:footnote>
  <w:footnote w:id="17">
    <w:p w14:paraId="36A27B06" w14:textId="77777777" w:rsidR="00CE1370" w:rsidRPr="00614434" w:rsidRDefault="00CE1370" w:rsidP="00CE1370">
      <w:pPr>
        <w:shd w:val="clear" w:color="auto" w:fill="FFFFFF"/>
        <w:spacing w:after="0"/>
        <w:ind w:firstLine="709"/>
        <w:jc w:val="both"/>
        <w:rPr>
          <w:rFonts w:ascii="Verdana" w:hAnsi="Verdana" w:cs="Arial"/>
          <w:sz w:val="16"/>
          <w:szCs w:val="16"/>
          <w:lang w:val="es-ES"/>
        </w:rPr>
      </w:pPr>
      <w:r w:rsidRPr="00614434">
        <w:rPr>
          <w:rStyle w:val="Refdenotaalpie"/>
          <w:rFonts w:ascii="Verdana" w:hAnsi="Verdana" w:cs="Arial"/>
          <w:sz w:val="16"/>
          <w:szCs w:val="16"/>
        </w:rPr>
        <w:footnoteRef/>
      </w:r>
      <w:r w:rsidRPr="00614434">
        <w:rPr>
          <w:rStyle w:val="Refdenotaalpie"/>
          <w:rFonts w:ascii="Verdana" w:hAnsi="Verdana" w:cs="Arial"/>
          <w:sz w:val="16"/>
          <w:szCs w:val="16"/>
        </w:rPr>
        <w:t xml:space="preserve"> </w:t>
      </w:r>
      <w:r w:rsidRPr="00614434">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18">
    <w:p w14:paraId="125676AA" w14:textId="77777777" w:rsidR="00CE1370" w:rsidRPr="00614434" w:rsidRDefault="00CE1370" w:rsidP="00CE1370">
      <w:pPr>
        <w:pStyle w:val="Textonotapie"/>
        <w:ind w:firstLine="709"/>
        <w:jc w:val="both"/>
        <w:rPr>
          <w:rFonts w:ascii="Verdana" w:hAnsi="Verdana" w:cs="Arial"/>
          <w:sz w:val="16"/>
          <w:szCs w:val="16"/>
        </w:rPr>
      </w:pPr>
      <w:r w:rsidRPr="00614434">
        <w:rPr>
          <w:rStyle w:val="Refdenotaalpie"/>
          <w:rFonts w:ascii="Verdana" w:hAnsi="Verdana" w:cs="Arial"/>
          <w:sz w:val="16"/>
          <w:szCs w:val="16"/>
        </w:rPr>
        <w:footnoteRef/>
      </w:r>
      <w:r w:rsidRPr="00614434">
        <w:rPr>
          <w:rFonts w:ascii="Verdana" w:hAnsi="Verdana" w:cs="Arial"/>
          <w:sz w:val="16"/>
          <w:szCs w:val="16"/>
        </w:rPr>
        <w:t xml:space="preserve"> Consejo de Estado. Sala de Consulta y Servicio Civil. Concepto del 08 de mayo de 2018. Exp. 2.382. C.P. Álvaro Namén Vargas.</w:t>
      </w:r>
    </w:p>
  </w:footnote>
  <w:footnote w:id="19">
    <w:p w14:paraId="1A13174D" w14:textId="77777777" w:rsidR="00CE1370" w:rsidRPr="00614434" w:rsidRDefault="00CE1370" w:rsidP="00CE1370">
      <w:pPr>
        <w:pStyle w:val="Textonotapie"/>
        <w:ind w:firstLine="709"/>
        <w:jc w:val="both"/>
        <w:rPr>
          <w:rFonts w:ascii="Verdana" w:hAnsi="Verdana" w:cs="Arial"/>
          <w:sz w:val="16"/>
          <w:szCs w:val="16"/>
        </w:rPr>
      </w:pPr>
      <w:r w:rsidRPr="00614434">
        <w:rPr>
          <w:rStyle w:val="Refdenotaalpie"/>
          <w:rFonts w:ascii="Verdana" w:hAnsi="Verdana" w:cs="Arial"/>
          <w:sz w:val="16"/>
          <w:szCs w:val="16"/>
        </w:rPr>
        <w:footnoteRef/>
      </w:r>
      <w:r w:rsidRPr="00614434">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0">
    <w:p w14:paraId="697199A5" w14:textId="77777777" w:rsidR="00CE1370" w:rsidRPr="00614434" w:rsidRDefault="00CE1370" w:rsidP="00CE1370">
      <w:pPr>
        <w:spacing w:after="0"/>
        <w:ind w:firstLine="709"/>
        <w:jc w:val="both"/>
        <w:rPr>
          <w:rFonts w:ascii="Verdana" w:hAnsi="Verdana" w:cs="Arial"/>
          <w:sz w:val="16"/>
          <w:szCs w:val="16"/>
        </w:rPr>
      </w:pPr>
      <w:r w:rsidRPr="00614434">
        <w:rPr>
          <w:rStyle w:val="Refdenotaalpie"/>
          <w:rFonts w:ascii="Verdana" w:hAnsi="Verdana" w:cs="Arial"/>
          <w:sz w:val="16"/>
          <w:szCs w:val="16"/>
        </w:rPr>
        <w:footnoteRef/>
      </w:r>
      <w:r w:rsidRPr="00614434">
        <w:rPr>
          <w:rFonts w:ascii="Verdana" w:hAnsi="Verdana" w:cs="Arial"/>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1">
    <w:p w14:paraId="46204361" w14:textId="77777777" w:rsidR="00CE1370" w:rsidRPr="00614434" w:rsidRDefault="00CE1370" w:rsidP="00CE1370">
      <w:pPr>
        <w:pStyle w:val="Textonotapie"/>
        <w:ind w:right="51" w:firstLine="709"/>
        <w:jc w:val="both"/>
        <w:rPr>
          <w:rFonts w:ascii="Verdana" w:hAnsi="Verdana" w:cs="Arial"/>
          <w:sz w:val="16"/>
          <w:szCs w:val="16"/>
        </w:rPr>
      </w:pPr>
      <w:r w:rsidRPr="00614434">
        <w:rPr>
          <w:rStyle w:val="Refdenotaalpie"/>
          <w:rFonts w:ascii="Verdana" w:hAnsi="Verdana" w:cs="Arial"/>
          <w:sz w:val="16"/>
          <w:szCs w:val="16"/>
        </w:rPr>
        <w:footnoteRef/>
      </w:r>
      <w:r w:rsidRPr="00614434">
        <w:rPr>
          <w:rFonts w:ascii="Verdana" w:hAnsi="Verdana" w:cs="Arial"/>
          <w:sz w:val="16"/>
          <w:szCs w:val="16"/>
        </w:rPr>
        <w:t xml:space="preserve"> </w:t>
      </w:r>
      <w:bookmarkStart w:id="18" w:name="_Hlk75633115"/>
      <w:r w:rsidRPr="00614434">
        <w:rPr>
          <w:rFonts w:ascii="Verdana" w:hAnsi="Verdana" w:cs="Arial"/>
          <w:sz w:val="16"/>
          <w:szCs w:val="16"/>
        </w:rPr>
        <w:t xml:space="preserve">Consejo de Estado. Sala de Consulta y Servicio Civil. Concepto </w:t>
      </w:r>
      <w:bookmarkEnd w:id="18"/>
      <w:r w:rsidRPr="00614434">
        <w:rPr>
          <w:rFonts w:ascii="Verdana" w:hAnsi="Verdana" w:cs="Arial"/>
          <w:sz w:val="16"/>
          <w:szCs w:val="16"/>
        </w:rPr>
        <w:t>de 6 de abril de 2006. Radicación Número: 11001-03-06-000-2006-00038-00(1738). Consejero Ponente: Enrique José Arboleda Perdomo:</w:t>
      </w:r>
      <w:r w:rsidRPr="00614434">
        <w:rPr>
          <w:rFonts w:ascii="Verdana" w:eastAsia="Times New Roman" w:hAnsi="Verdana" w:cs="Arial"/>
          <w:bCs/>
          <w:sz w:val="16"/>
          <w:szCs w:val="16"/>
          <w:lang w:eastAsia="x-none"/>
        </w:rPr>
        <w:t xml:space="preserve"> “</w:t>
      </w:r>
      <w:r w:rsidRPr="00614434">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614434">
        <w:rPr>
          <w:rFonts w:ascii="Verdana" w:eastAsia="Times New Roman" w:hAnsi="Verdana" w:cs="Arial"/>
          <w:bCs/>
          <w:sz w:val="16"/>
          <w:szCs w:val="16"/>
          <w:lang w:eastAsia="x-none"/>
        </w:rPr>
        <w:t>”.</w:t>
      </w:r>
    </w:p>
  </w:footnote>
  <w:footnote w:id="22">
    <w:p w14:paraId="5EC5C46A" w14:textId="77777777" w:rsidR="00CE1370" w:rsidRPr="00614434" w:rsidRDefault="00CE1370" w:rsidP="00CE1370">
      <w:pPr>
        <w:pStyle w:val="Textonotapie"/>
        <w:ind w:right="51" w:firstLine="709"/>
        <w:jc w:val="both"/>
        <w:rPr>
          <w:rFonts w:ascii="Verdana" w:hAnsi="Verdana" w:cs="Arial"/>
          <w:sz w:val="16"/>
          <w:szCs w:val="16"/>
        </w:rPr>
      </w:pPr>
      <w:r w:rsidRPr="00614434">
        <w:rPr>
          <w:rStyle w:val="Refdenotaalpie"/>
          <w:rFonts w:ascii="Verdana" w:hAnsi="Verdana" w:cs="Arial"/>
          <w:sz w:val="16"/>
          <w:szCs w:val="16"/>
        </w:rPr>
        <w:footnoteRef/>
      </w:r>
      <w:r w:rsidRPr="00614434">
        <w:rPr>
          <w:rFonts w:ascii="Verdana" w:hAnsi="Verdana" w:cs="Arial"/>
          <w:sz w:val="16"/>
          <w:szCs w:val="16"/>
        </w:rPr>
        <w:t xml:space="preserve"> Consejo de Estado. Sala de Consulta y Servicio Civil. Concepto de 6 de abril de 2006. Radicación Número: 11001-03-06-000-2006-00038-00(1738). Consejero Ponente: Enrique José Arboleda Perdomo.</w:t>
      </w:r>
    </w:p>
  </w:footnote>
  <w:footnote w:id="23">
    <w:p w14:paraId="640D1117" w14:textId="77777777" w:rsidR="00CE1370" w:rsidRPr="00614434" w:rsidRDefault="00CE1370" w:rsidP="00CE1370">
      <w:pPr>
        <w:pStyle w:val="Textonotapie"/>
        <w:ind w:right="51" w:firstLine="709"/>
        <w:jc w:val="both"/>
        <w:rPr>
          <w:rFonts w:ascii="Verdana" w:hAnsi="Verdana" w:cs="Arial"/>
          <w:sz w:val="16"/>
          <w:szCs w:val="16"/>
        </w:rPr>
      </w:pPr>
      <w:r w:rsidRPr="00614434">
        <w:rPr>
          <w:rStyle w:val="Refdenotaalpie"/>
          <w:rFonts w:ascii="Verdana" w:hAnsi="Verdana" w:cs="Arial"/>
          <w:sz w:val="16"/>
          <w:szCs w:val="16"/>
        </w:rPr>
        <w:footnoteRef/>
      </w:r>
      <w:r w:rsidRPr="00614434">
        <w:rPr>
          <w:rFonts w:ascii="Verdana" w:hAnsi="Verdana" w:cs="Arial"/>
          <w:sz w:val="16"/>
          <w:szCs w:val="16"/>
        </w:rPr>
        <w:t xml:space="preserve"> Consejo de Estado. Sala de Consulta y Servicio Civil, </w:t>
      </w:r>
      <w:r w:rsidRPr="00614434">
        <w:rPr>
          <w:rFonts w:ascii="Verdana" w:hAnsi="Verdana" w:cs="Arial"/>
          <w:i/>
          <w:iCs/>
          <w:sz w:val="16"/>
          <w:szCs w:val="16"/>
        </w:rPr>
        <w:t>ibidem</w:t>
      </w:r>
      <w:r w:rsidRPr="00614434">
        <w:rPr>
          <w:rFonts w:ascii="Verdana" w:hAnsi="Verdana" w:cs="Arial"/>
          <w:sz w:val="16"/>
          <w:szCs w:val="16"/>
        </w:rPr>
        <w:t>.</w:t>
      </w:r>
    </w:p>
  </w:footnote>
  <w:footnote w:id="24">
    <w:p w14:paraId="64557F7D" w14:textId="77777777" w:rsidR="00CE1370" w:rsidRPr="00614434" w:rsidRDefault="00CE1370" w:rsidP="00CE1370">
      <w:pPr>
        <w:pStyle w:val="Textonotapie"/>
        <w:ind w:firstLine="708"/>
        <w:jc w:val="both"/>
        <w:rPr>
          <w:rFonts w:ascii="Verdana" w:hAnsi="Verdana" w:cs="Arial"/>
          <w:sz w:val="16"/>
          <w:szCs w:val="16"/>
        </w:rPr>
      </w:pPr>
      <w:r w:rsidRPr="00614434">
        <w:rPr>
          <w:rStyle w:val="Refdenotaalpie"/>
          <w:rFonts w:ascii="Verdana" w:hAnsi="Verdana" w:cs="Arial"/>
          <w:sz w:val="16"/>
          <w:szCs w:val="16"/>
        </w:rPr>
        <w:footnoteRef/>
      </w:r>
      <w:r w:rsidRPr="00614434">
        <w:rPr>
          <w:rFonts w:ascii="Verdana" w:hAnsi="Verdana" w:cs="Arial"/>
          <w:sz w:val="16"/>
          <w:szCs w:val="16"/>
        </w:rPr>
        <w:t xml:space="preserve"> Consejo de Estado. Sala de Consulta y Servicio Civil. Concepto del 18 de febrero 2010. Rad. 11001-03-06-000-2010-00006-00 (1985). C.P. Enrique José Arboleda Perdomo.</w:t>
      </w:r>
    </w:p>
  </w:footnote>
  <w:footnote w:id="25">
    <w:p w14:paraId="3F08B9F9" w14:textId="77777777" w:rsidR="00CE1370" w:rsidRPr="00614434" w:rsidRDefault="00CE1370" w:rsidP="00CE1370">
      <w:pPr>
        <w:pStyle w:val="Textonotapie"/>
        <w:ind w:firstLine="708"/>
        <w:jc w:val="both"/>
        <w:rPr>
          <w:rFonts w:ascii="Verdana" w:hAnsi="Verdana" w:cs="Arial"/>
          <w:sz w:val="16"/>
          <w:szCs w:val="16"/>
        </w:rPr>
      </w:pPr>
      <w:r w:rsidRPr="00614434">
        <w:rPr>
          <w:rStyle w:val="Refdenotaalpie"/>
          <w:rFonts w:ascii="Verdana" w:hAnsi="Verdana" w:cs="Arial"/>
          <w:sz w:val="16"/>
          <w:szCs w:val="16"/>
        </w:rPr>
        <w:footnoteRef/>
      </w:r>
      <w:r w:rsidRPr="00614434">
        <w:rPr>
          <w:rFonts w:ascii="Verdana" w:hAnsi="Verdana" w:cs="Arial"/>
          <w:sz w:val="16"/>
          <w:szCs w:val="16"/>
        </w:rPr>
        <w:t xml:space="preserve"> Corte Constitucional. Sentencia C-1153 de 2005 M.P. Marco Gerardo Monroy Cabra. </w:t>
      </w:r>
    </w:p>
  </w:footnote>
  <w:footnote w:id="26">
    <w:p w14:paraId="4CD35DF2" w14:textId="77777777" w:rsidR="00CE1370" w:rsidRPr="00614434" w:rsidRDefault="00CE1370" w:rsidP="00CE1370">
      <w:pPr>
        <w:pStyle w:val="Textonotapie"/>
        <w:ind w:firstLine="708"/>
        <w:jc w:val="both"/>
        <w:rPr>
          <w:rFonts w:ascii="Verdana" w:hAnsi="Verdana"/>
          <w:sz w:val="16"/>
          <w:szCs w:val="16"/>
          <w:lang w:val="es-CO"/>
        </w:rPr>
      </w:pPr>
      <w:r w:rsidRPr="00614434">
        <w:rPr>
          <w:rStyle w:val="Refdenotaalpie"/>
          <w:rFonts w:ascii="Verdana" w:hAnsi="Verdana"/>
          <w:sz w:val="16"/>
          <w:szCs w:val="16"/>
        </w:rPr>
        <w:footnoteRef/>
      </w:r>
      <w:r w:rsidRPr="00614434">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614434">
        <w:rPr>
          <w:rFonts w:ascii="Verdana" w:hAnsi="Verdana"/>
          <w:i/>
          <w:iCs/>
          <w:sz w:val="16"/>
          <w:szCs w:val="16"/>
        </w:rPr>
        <w:t>las palabras de la ley se entenderán en su sentido natural y obvio, según el uso general de las mismas palabras</w:t>
      </w:r>
      <w:r w:rsidRPr="00614434">
        <w:rPr>
          <w:rFonts w:ascii="Verdana" w:hAnsi="Verdana"/>
          <w:sz w:val="16"/>
          <w:szCs w:val="16"/>
        </w:rPr>
        <w:t>’, es decir, el uso de la gente educada. El Diccionario de la Lengua publicado por la Real Academia Española goza a este respecto de gran autoridad. ‘</w:t>
      </w:r>
      <w:r w:rsidRPr="00614434">
        <w:rPr>
          <w:rFonts w:ascii="Verdana" w:hAnsi="Verdana"/>
          <w:i/>
          <w:iCs/>
          <w:sz w:val="16"/>
          <w:szCs w:val="16"/>
        </w:rPr>
        <w:t>Pero cuando el legislador</w:t>
      </w:r>
      <w:r w:rsidRPr="00614434">
        <w:rPr>
          <w:rFonts w:ascii="Verdana" w:hAnsi="Verdana"/>
          <w:sz w:val="16"/>
          <w:szCs w:val="16"/>
        </w:rPr>
        <w:t xml:space="preserve">, agrega el artículo 20, </w:t>
      </w:r>
      <w:r w:rsidRPr="00614434">
        <w:rPr>
          <w:rFonts w:ascii="Verdana" w:hAnsi="Verdana"/>
          <w:i/>
          <w:iCs/>
          <w:sz w:val="16"/>
          <w:szCs w:val="16"/>
        </w:rPr>
        <w:t>las haya definido expresamente para ciertas materias se les dará en éstas su significado legal</w:t>
      </w:r>
      <w:r w:rsidRPr="00614434">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27">
    <w:p w14:paraId="63C7FA9B" w14:textId="77777777" w:rsidR="00CE1370" w:rsidRPr="00614434" w:rsidRDefault="00CE1370" w:rsidP="00CE1370">
      <w:pPr>
        <w:pStyle w:val="Textonotapie"/>
        <w:ind w:firstLine="708"/>
        <w:jc w:val="both"/>
        <w:rPr>
          <w:rFonts w:ascii="Verdana" w:hAnsi="Verdana" w:cs="Arial"/>
          <w:sz w:val="16"/>
          <w:szCs w:val="16"/>
        </w:rPr>
      </w:pPr>
      <w:r w:rsidRPr="00614434">
        <w:rPr>
          <w:rStyle w:val="Refdenotaalpie"/>
          <w:rFonts w:ascii="Verdana" w:hAnsi="Verdana" w:cs="Arial"/>
          <w:sz w:val="16"/>
          <w:szCs w:val="16"/>
        </w:rPr>
        <w:footnoteRef/>
      </w:r>
      <w:r w:rsidRPr="00614434">
        <w:rPr>
          <w:rFonts w:ascii="Verdana" w:hAnsi="Verdana" w:cs="Arial"/>
          <w:sz w:val="16"/>
          <w:szCs w:val="16"/>
        </w:rPr>
        <w:t xml:space="preserve"> El artículo 2.8.8.1.4.2 del Decreto 780 de 2016 dispone que </w:t>
      </w:r>
      <w:r>
        <w:rPr>
          <w:rFonts w:ascii="Verdana" w:hAnsi="Verdana" w:cs="Arial"/>
          <w:sz w:val="16"/>
          <w:szCs w:val="16"/>
        </w:rPr>
        <w:t>“</w:t>
      </w:r>
      <w:r w:rsidRPr="00614434">
        <w:rPr>
          <w:rFonts w:ascii="Verdana" w:hAnsi="Verdana" w:cs="Arial"/>
          <w:sz w:val="16"/>
          <w:szCs w:val="16"/>
        </w:rPr>
        <w:t xml:space="preserve">Para efectos de la aplicación del presente Capítulo, entiéndase por Autoridades Sanitarias del Sivigila, el Ministerio de Salud y Protección Social; el Instituto Nacional de Salud (INS); el Instituto Nacional de Vigilancia de Medicamentos y Alimentos (Invima), las Direcciones Territoriales de Salud, </w:t>
      </w:r>
      <w:r w:rsidRPr="00614434">
        <w:rPr>
          <w:rFonts w:ascii="Verdana" w:hAnsi="Verdana" w:cs="Arial"/>
          <w:i/>
          <w:iCs/>
          <w:sz w:val="16"/>
          <w:szCs w:val="16"/>
        </w:rPr>
        <w:t>y todas aquellas entidades que de acuerdo con la ley ejerzan funciones de vigilancia y control sanitario</w:t>
      </w:r>
      <w:r w:rsidRPr="00614434">
        <w:rPr>
          <w:rFonts w:ascii="Verdana" w:hAnsi="Verdana" w:cs="Arial"/>
          <w:sz w:val="16"/>
          <w:szCs w:val="16"/>
        </w:rPr>
        <w:t>, las cuales deben adoptar medidas sanitarias que garanticen la protección de la salud pública y el cumplimiento de lo dispuesto en esta norma, así como adelantar los procedimientos y aplicar las sanciones a que hubiere lugar</w:t>
      </w:r>
      <w:r>
        <w:rPr>
          <w:rFonts w:ascii="Verdana" w:hAnsi="Verdana" w:cs="Arial"/>
          <w:sz w:val="16"/>
          <w:szCs w:val="16"/>
        </w:rPr>
        <w:t>”</w:t>
      </w:r>
      <w:r w:rsidRPr="00614434">
        <w:rPr>
          <w:rFonts w:ascii="Verdana" w:hAnsi="Verdana" w:cs="Arial"/>
          <w:sz w:val="16"/>
          <w:szCs w:val="16"/>
        </w:rPr>
        <w:t xml:space="preserve"> (Énfasis fuera de texto).  </w:t>
      </w:r>
    </w:p>
  </w:footnote>
  <w:footnote w:id="28">
    <w:p w14:paraId="09E60984" w14:textId="77777777" w:rsidR="00CE1370" w:rsidRPr="00CF4687" w:rsidRDefault="00CE1370" w:rsidP="00CE1370">
      <w:pPr>
        <w:pStyle w:val="Textonotapie"/>
        <w:ind w:firstLine="708"/>
        <w:jc w:val="both"/>
        <w:rPr>
          <w:rFonts w:ascii="Verdana" w:hAnsi="Verdana"/>
          <w:sz w:val="16"/>
          <w:szCs w:val="16"/>
        </w:rPr>
      </w:pPr>
      <w:r w:rsidRPr="00CF4687">
        <w:rPr>
          <w:rStyle w:val="Refdenotaalpie"/>
          <w:rFonts w:ascii="Verdana" w:hAnsi="Verdana"/>
          <w:sz w:val="16"/>
          <w:szCs w:val="16"/>
        </w:rPr>
        <w:footnoteRef/>
      </w:r>
      <w:r w:rsidRPr="00CF4687">
        <w:rPr>
          <w:rFonts w:ascii="Verdana" w:hAnsi="Verdana"/>
          <w:sz w:val="16"/>
          <w:szCs w:val="16"/>
        </w:rPr>
        <w:t xml:space="preserve"> </w:t>
      </w:r>
      <w:r>
        <w:rPr>
          <w:rFonts w:ascii="Verdana" w:hAnsi="Verdana"/>
          <w:sz w:val="16"/>
          <w:szCs w:val="16"/>
        </w:rPr>
        <w:t xml:space="preserve">Al respecto, el numeral 3 de la </w:t>
      </w:r>
      <w:r w:rsidRPr="00CF4687">
        <w:rPr>
          <w:rFonts w:ascii="Verdana" w:hAnsi="Verdana"/>
          <w:sz w:val="16"/>
          <w:szCs w:val="16"/>
        </w:rPr>
        <w:t>Circular Externa 006 del 25 de septiembre de 2025</w:t>
      </w:r>
      <w:r>
        <w:rPr>
          <w:rFonts w:ascii="Verdana" w:hAnsi="Verdana"/>
          <w:sz w:val="16"/>
          <w:szCs w:val="16"/>
        </w:rPr>
        <w:t xml:space="preserve"> explica que “</w:t>
      </w:r>
      <w:r w:rsidRPr="00CF4687">
        <w:rPr>
          <w:rFonts w:ascii="Verdana" w:hAnsi="Verdana"/>
          <w:sz w:val="16"/>
          <w:szCs w:val="16"/>
        </w:rPr>
        <w:t>Las entidades deberán realizar una adecuada planeación que garantice el</w:t>
      </w:r>
      <w:r>
        <w:rPr>
          <w:rFonts w:ascii="Verdana" w:hAnsi="Verdana"/>
          <w:sz w:val="16"/>
          <w:szCs w:val="16"/>
        </w:rPr>
        <w:t xml:space="preserve"> </w:t>
      </w:r>
      <w:r w:rsidRPr="00CF4687">
        <w:rPr>
          <w:rFonts w:ascii="Verdana" w:hAnsi="Verdana"/>
          <w:sz w:val="16"/>
          <w:szCs w:val="16"/>
        </w:rPr>
        <w:t>cumplimiento de sus funciones durante los periodos en que rigen las restricciones</w:t>
      </w:r>
      <w:r>
        <w:rPr>
          <w:rFonts w:ascii="Verdana" w:hAnsi="Verdana"/>
          <w:sz w:val="16"/>
          <w:szCs w:val="16"/>
        </w:rPr>
        <w:t xml:space="preserve"> </w:t>
      </w:r>
      <w:r w:rsidRPr="00CF4687">
        <w:rPr>
          <w:rFonts w:ascii="Verdana" w:hAnsi="Verdana"/>
          <w:sz w:val="16"/>
          <w:szCs w:val="16"/>
        </w:rPr>
        <w:t>de la Ley de Garantías Electorales. Para lo anterior, deberán tener en cuenta la</w:t>
      </w:r>
      <w:r>
        <w:rPr>
          <w:rFonts w:ascii="Verdana" w:hAnsi="Verdana"/>
          <w:sz w:val="16"/>
          <w:szCs w:val="16"/>
        </w:rPr>
        <w:t xml:space="preserve"> </w:t>
      </w:r>
      <w:r w:rsidRPr="00CF4687">
        <w:rPr>
          <w:rFonts w:ascii="Verdana" w:hAnsi="Verdana"/>
          <w:sz w:val="16"/>
          <w:szCs w:val="16"/>
        </w:rPr>
        <w:t>posibilidad de acudir a procedimientos de selección distintos a la contratación</w:t>
      </w:r>
      <w:r>
        <w:rPr>
          <w:rFonts w:ascii="Verdana" w:hAnsi="Verdana"/>
          <w:sz w:val="16"/>
          <w:szCs w:val="16"/>
        </w:rPr>
        <w:t xml:space="preserve"> </w:t>
      </w:r>
      <w:r w:rsidRPr="00CF4687">
        <w:rPr>
          <w:rFonts w:ascii="Verdana" w:hAnsi="Verdana"/>
          <w:sz w:val="16"/>
          <w:szCs w:val="16"/>
        </w:rPr>
        <w:t>directa (en el caso de la prohibición del artículo 33), o a la suscripción de convenios</w:t>
      </w:r>
      <w:r>
        <w:rPr>
          <w:rFonts w:ascii="Verdana" w:hAnsi="Verdana"/>
          <w:sz w:val="16"/>
          <w:szCs w:val="16"/>
        </w:rPr>
        <w:t xml:space="preserve"> </w:t>
      </w:r>
      <w:r w:rsidRPr="00CF4687">
        <w:rPr>
          <w:rFonts w:ascii="Verdana" w:hAnsi="Verdana"/>
          <w:sz w:val="16"/>
          <w:szCs w:val="16"/>
        </w:rPr>
        <w:t>interadministrativos (con respecto a la prohibición del parágrafo del artículo 38)</w:t>
      </w:r>
      <w:r>
        <w:rPr>
          <w:rFonts w:ascii="Verdana" w:hAnsi="Verdana"/>
          <w:sz w:val="16"/>
          <w:szCs w:val="16"/>
        </w:rPr>
        <w:t>”</w:t>
      </w:r>
      <w:r w:rsidRPr="00CF4687">
        <w:rPr>
          <w:rFonts w:ascii="Verdana" w:hAnsi="Verdana"/>
          <w:sz w:val="16"/>
          <w:szCs w:val="16"/>
        </w:rPr>
        <w:t>.</w:t>
      </w:r>
      <w:r>
        <w:rPr>
          <w:rFonts w:ascii="Verdana" w:hAnsi="Verdana"/>
          <w:sz w:val="16"/>
          <w:szCs w:val="16"/>
        </w:rPr>
        <w:t xml:space="preserve"> </w:t>
      </w:r>
    </w:p>
  </w:footnote>
  <w:footnote w:id="29">
    <w:p w14:paraId="5907D46F" w14:textId="77777777" w:rsidR="00CE1370" w:rsidRPr="00897C82" w:rsidRDefault="00CE1370" w:rsidP="00CE1370">
      <w:pPr>
        <w:pStyle w:val="Textonotapie"/>
        <w:ind w:firstLine="708"/>
        <w:jc w:val="both"/>
        <w:rPr>
          <w:rFonts w:ascii="Verdana" w:hAnsi="Verdana" w:cs="Arial"/>
          <w:sz w:val="16"/>
          <w:szCs w:val="16"/>
        </w:rPr>
      </w:pPr>
      <w:r w:rsidRPr="00897C82">
        <w:rPr>
          <w:rStyle w:val="Refdenotaalpie"/>
          <w:rFonts w:ascii="Verdana" w:hAnsi="Verdana" w:cs="Arial"/>
          <w:sz w:val="16"/>
          <w:szCs w:val="16"/>
        </w:rPr>
        <w:footnoteRef/>
      </w:r>
      <w:r w:rsidRPr="00897C82">
        <w:rPr>
          <w:rFonts w:ascii="Verdana" w:hAnsi="Verdana" w:cs="Arial"/>
          <w:sz w:val="16"/>
          <w:szCs w:val="16"/>
        </w:rPr>
        <w:t xml:space="preserve"> Es lo que sucede, por ejemplo, con el Decreto 092 de 2017, que en su desarrollo hace referencia tanto a los “contratos” como a los “convenios”. </w:t>
      </w:r>
    </w:p>
  </w:footnote>
  <w:footnote w:id="30">
    <w:p w14:paraId="1C6D8B1B" w14:textId="77777777" w:rsidR="00CE1370" w:rsidRPr="00897C82" w:rsidRDefault="00CE1370" w:rsidP="00CE1370">
      <w:pPr>
        <w:pStyle w:val="Textonotapie"/>
        <w:ind w:firstLine="708"/>
        <w:jc w:val="both"/>
        <w:rPr>
          <w:rFonts w:ascii="Verdana" w:hAnsi="Verdana" w:cs="Arial"/>
          <w:sz w:val="16"/>
          <w:szCs w:val="16"/>
          <w:lang w:val="pt-BR"/>
        </w:rPr>
      </w:pPr>
      <w:r w:rsidRPr="00897C82">
        <w:rPr>
          <w:rStyle w:val="Refdenotaalpie"/>
          <w:rFonts w:ascii="Verdana" w:hAnsi="Verdana" w:cs="Arial"/>
          <w:sz w:val="16"/>
          <w:szCs w:val="16"/>
        </w:rPr>
        <w:footnoteRef/>
      </w:r>
      <w:r w:rsidRPr="00897C82">
        <w:rPr>
          <w:rFonts w:ascii="Verdana" w:hAnsi="Verdana" w:cs="Arial"/>
          <w:sz w:val="16"/>
          <w:szCs w:val="16"/>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 únicamente será proponente aquélla. En tal sentido, la causal de contratación directa es aplicable a los convenios y a los contratos interadministrativos”. </w:t>
      </w:r>
      <w:r w:rsidRPr="00897C82">
        <w:rPr>
          <w:rFonts w:ascii="Verdana" w:hAnsi="Verdana" w:cs="Arial"/>
          <w:sz w:val="16"/>
          <w:szCs w:val="16"/>
          <w:lang w:val="pt-BR"/>
        </w:rPr>
        <w:t>(Corte Constitucional. Sentencia C-671 de 2015. M.P. Alberto Rojas Ríos).</w:t>
      </w:r>
    </w:p>
  </w:footnote>
  <w:footnote w:id="31">
    <w:p w14:paraId="317E4A0D" w14:textId="77777777" w:rsidR="00CE1370" w:rsidRPr="00897C82" w:rsidRDefault="00CE1370" w:rsidP="00CE1370">
      <w:pPr>
        <w:pStyle w:val="Textonotapie"/>
        <w:ind w:firstLine="709"/>
        <w:jc w:val="both"/>
        <w:rPr>
          <w:rFonts w:ascii="Verdana" w:hAnsi="Verdana"/>
          <w:sz w:val="16"/>
          <w:szCs w:val="16"/>
          <w:lang w:val="es-CO"/>
        </w:rPr>
      </w:pPr>
      <w:r w:rsidRPr="00897C82">
        <w:rPr>
          <w:rStyle w:val="Refdenotaalpie"/>
          <w:rFonts w:ascii="Verdana" w:hAnsi="Verdana"/>
          <w:sz w:val="16"/>
          <w:szCs w:val="16"/>
        </w:rPr>
        <w:footnoteRef/>
      </w:r>
      <w:r w:rsidRPr="00897C82">
        <w:rPr>
          <w:rFonts w:ascii="Verdana" w:hAnsi="Verdana"/>
          <w:sz w:val="16"/>
          <w:szCs w:val="16"/>
          <w:lang w:val="es-CO"/>
        </w:rPr>
        <w:t xml:space="preserve"> </w:t>
      </w:r>
      <w:r w:rsidRPr="00897C82">
        <w:rPr>
          <w:rFonts w:ascii="Verdana" w:hAnsi="Verdana" w:cs="Arial"/>
          <w:sz w:val="16"/>
          <w:szCs w:val="16"/>
          <w:lang w:val="es-CO"/>
        </w:rPr>
        <w:t>Consejo de Estado, Sección Tercera. Auto del 4 de octubre de 2024. Exp. 70.313. C.P: Fredy Ibarra Martínez</w:t>
      </w:r>
      <w:r>
        <w:rPr>
          <w:rFonts w:ascii="Verdana" w:hAnsi="Verdana" w:cs="Arial"/>
          <w:sz w:val="16"/>
          <w:szCs w:val="16"/>
          <w:lang w:val="es-CO"/>
        </w:rPr>
        <w:t>.</w:t>
      </w:r>
    </w:p>
  </w:footnote>
  <w:footnote w:id="32">
    <w:p w14:paraId="54EB93E3" w14:textId="77777777" w:rsidR="00CE1370" w:rsidRPr="00897C82" w:rsidRDefault="00CE1370" w:rsidP="00CE1370">
      <w:pPr>
        <w:pStyle w:val="Textonotapie"/>
        <w:ind w:firstLine="709"/>
        <w:jc w:val="both"/>
        <w:rPr>
          <w:rFonts w:ascii="Verdana" w:hAnsi="Verdana" w:cs="Arial"/>
          <w:sz w:val="16"/>
          <w:szCs w:val="16"/>
        </w:rPr>
      </w:pPr>
      <w:r w:rsidRPr="00897C82">
        <w:rPr>
          <w:rStyle w:val="Refdenotaalpie"/>
          <w:rFonts w:ascii="Verdana" w:hAnsi="Verdana" w:cs="Arial"/>
          <w:sz w:val="16"/>
          <w:szCs w:val="16"/>
        </w:rPr>
        <w:footnoteRef/>
      </w:r>
      <w:r w:rsidRPr="00897C82">
        <w:rPr>
          <w:rFonts w:ascii="Verdana" w:hAnsi="Verdana" w:cs="Arial"/>
          <w:sz w:val="16"/>
          <w:szCs w:val="16"/>
        </w:rPr>
        <w:t xml:space="preserve"> Consejo de Estado. Sala de Consulta y Servicio Civil. Concepto del 15 de noviembre de 2007. Expediente número 1863. Consejero Ponente: Luis Fernando Álvarez Jaramillo.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5pt;height:11.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6350"/>
    <w:rsid w:val="00082362"/>
    <w:rsid w:val="000A683E"/>
    <w:rsid w:val="000B19B9"/>
    <w:rsid w:val="000D0334"/>
    <w:rsid w:val="000F6486"/>
    <w:rsid w:val="00125105"/>
    <w:rsid w:val="00127233"/>
    <w:rsid w:val="001C0993"/>
    <w:rsid w:val="001C18F0"/>
    <w:rsid w:val="001E4177"/>
    <w:rsid w:val="001F3FD0"/>
    <w:rsid w:val="001F7DC6"/>
    <w:rsid w:val="002421BB"/>
    <w:rsid w:val="0025796E"/>
    <w:rsid w:val="002707A2"/>
    <w:rsid w:val="00292F89"/>
    <w:rsid w:val="002951A0"/>
    <w:rsid w:val="002962BC"/>
    <w:rsid w:val="002A093D"/>
    <w:rsid w:val="002A0DD0"/>
    <w:rsid w:val="002A49AC"/>
    <w:rsid w:val="002A64FD"/>
    <w:rsid w:val="002C7A84"/>
    <w:rsid w:val="002E4FD9"/>
    <w:rsid w:val="00322A85"/>
    <w:rsid w:val="00324168"/>
    <w:rsid w:val="003448F4"/>
    <w:rsid w:val="00374F5E"/>
    <w:rsid w:val="00377E3E"/>
    <w:rsid w:val="003A6E8F"/>
    <w:rsid w:val="003A779E"/>
    <w:rsid w:val="003B69F6"/>
    <w:rsid w:val="003D0F4D"/>
    <w:rsid w:val="003D5B0D"/>
    <w:rsid w:val="003E0499"/>
    <w:rsid w:val="003E0B1D"/>
    <w:rsid w:val="003F3941"/>
    <w:rsid w:val="00406575"/>
    <w:rsid w:val="00414C74"/>
    <w:rsid w:val="0042722E"/>
    <w:rsid w:val="0044528D"/>
    <w:rsid w:val="004875D7"/>
    <w:rsid w:val="004A1847"/>
    <w:rsid w:val="004A305D"/>
    <w:rsid w:val="004D1683"/>
    <w:rsid w:val="004F21C4"/>
    <w:rsid w:val="004F685F"/>
    <w:rsid w:val="005566E8"/>
    <w:rsid w:val="00574867"/>
    <w:rsid w:val="00591460"/>
    <w:rsid w:val="005C3777"/>
    <w:rsid w:val="005C5CDC"/>
    <w:rsid w:val="005D476C"/>
    <w:rsid w:val="006219F8"/>
    <w:rsid w:val="006302F7"/>
    <w:rsid w:val="00665D70"/>
    <w:rsid w:val="006900D9"/>
    <w:rsid w:val="006A760C"/>
    <w:rsid w:val="006D40CD"/>
    <w:rsid w:val="006D7C90"/>
    <w:rsid w:val="00706C16"/>
    <w:rsid w:val="00756841"/>
    <w:rsid w:val="007649AB"/>
    <w:rsid w:val="00771D0C"/>
    <w:rsid w:val="007833AC"/>
    <w:rsid w:val="007B268C"/>
    <w:rsid w:val="007B7171"/>
    <w:rsid w:val="007C0C0F"/>
    <w:rsid w:val="007C3DC2"/>
    <w:rsid w:val="007E5497"/>
    <w:rsid w:val="007F7BFB"/>
    <w:rsid w:val="00806F5F"/>
    <w:rsid w:val="00820278"/>
    <w:rsid w:val="00867F95"/>
    <w:rsid w:val="008843B6"/>
    <w:rsid w:val="00891928"/>
    <w:rsid w:val="00897A3A"/>
    <w:rsid w:val="008A3204"/>
    <w:rsid w:val="008A446D"/>
    <w:rsid w:val="008C0CE6"/>
    <w:rsid w:val="008D180B"/>
    <w:rsid w:val="008F0B1E"/>
    <w:rsid w:val="008F0EA7"/>
    <w:rsid w:val="00923EEF"/>
    <w:rsid w:val="00933BC6"/>
    <w:rsid w:val="009419F9"/>
    <w:rsid w:val="0095685E"/>
    <w:rsid w:val="00961B09"/>
    <w:rsid w:val="00965334"/>
    <w:rsid w:val="0097093E"/>
    <w:rsid w:val="009A0DFA"/>
    <w:rsid w:val="009B25A8"/>
    <w:rsid w:val="009B2D26"/>
    <w:rsid w:val="009C71FA"/>
    <w:rsid w:val="009C72E7"/>
    <w:rsid w:val="009D3058"/>
    <w:rsid w:val="009F3A13"/>
    <w:rsid w:val="00A02E94"/>
    <w:rsid w:val="00A122D3"/>
    <w:rsid w:val="00A17F13"/>
    <w:rsid w:val="00A20739"/>
    <w:rsid w:val="00A33C78"/>
    <w:rsid w:val="00AB0ADB"/>
    <w:rsid w:val="00AD493E"/>
    <w:rsid w:val="00B00C0E"/>
    <w:rsid w:val="00B01B1A"/>
    <w:rsid w:val="00B44A47"/>
    <w:rsid w:val="00B72CD3"/>
    <w:rsid w:val="00B72FFF"/>
    <w:rsid w:val="00B85E15"/>
    <w:rsid w:val="00B9018C"/>
    <w:rsid w:val="00BC3D36"/>
    <w:rsid w:val="00BD7F72"/>
    <w:rsid w:val="00C04FB3"/>
    <w:rsid w:val="00C330EB"/>
    <w:rsid w:val="00C50FB6"/>
    <w:rsid w:val="00C754BE"/>
    <w:rsid w:val="00C76B1C"/>
    <w:rsid w:val="00CB6357"/>
    <w:rsid w:val="00CC1B26"/>
    <w:rsid w:val="00CE1370"/>
    <w:rsid w:val="00CE4C85"/>
    <w:rsid w:val="00D053F1"/>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A6321"/>
    <w:rsid w:val="00EC38A7"/>
    <w:rsid w:val="00EE1AA8"/>
    <w:rsid w:val="00F001E3"/>
    <w:rsid w:val="00F23FCE"/>
    <w:rsid w:val="00F31EDC"/>
    <w:rsid w:val="00F462B3"/>
    <w:rsid w:val="00F5664F"/>
    <w:rsid w:val="00F666C4"/>
    <w:rsid w:val="00F76AFC"/>
    <w:rsid w:val="00FA47C0"/>
    <w:rsid w:val="00FB5DD1"/>
    <w:rsid w:val="00FC1B30"/>
    <w:rsid w:val="00FC2B5D"/>
    <w:rsid w:val="00FF1449"/>
    <w:rsid w:val="00FF7D73"/>
    <w:rsid w:val="5E6429B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E137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CE1370"/>
    <w:rPr>
      <w:rFonts w:ascii="Geomanist Light" w:hAnsi="Geomanist Light"/>
      <w:lang w:val="es-ES"/>
    </w:rPr>
  </w:style>
  <w:style w:type="character" w:customStyle="1" w:styleId="s15">
    <w:name w:val="s15"/>
    <w:basedOn w:val="Fuentedeprrafopredeter"/>
    <w:rsid w:val="00CE1370"/>
  </w:style>
  <w:style w:type="character" w:customStyle="1" w:styleId="apple-converted-space">
    <w:name w:val="apple-converted-space"/>
    <w:basedOn w:val="Fuentedeprrafopredeter"/>
    <w:rsid w:val="00CE1370"/>
  </w:style>
  <w:style w:type="character" w:customStyle="1" w:styleId="NormalWebCar">
    <w:name w:val="Normal (Web) Car"/>
    <w:link w:val="NormalWeb"/>
    <w:uiPriority w:val="99"/>
    <w:rsid w:val="00CE1370"/>
    <w:rPr>
      <w:rFonts w:ascii="Times New Roman" w:eastAsia="Times New Roman" w:hAnsi="Times New Roman" w:cs="Times New Roman"/>
      <w:sz w:val="24"/>
      <w:szCs w:val="24"/>
      <w:lang w:eastAsia="es-CO"/>
    </w:rPr>
  </w:style>
  <w:style w:type="character" w:customStyle="1" w:styleId="baj">
    <w:name w:val="b_aj"/>
    <w:basedOn w:val="Fuentedeprrafopredeter"/>
    <w:rsid w:val="00CE13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ireccioncontratacion@caqueta.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EEA29D05-2D62-45E1-86CE-C8C92E935A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TotalTime>
  <Pages>28</Pages>
  <Words>9971</Words>
  <Characters>53945</Characters>
  <Application>Microsoft Office Word</Application>
  <DocSecurity>0</DocSecurity>
  <Lines>998</Lines>
  <Paragraphs>161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8</cp:revision>
  <cp:lastPrinted>2023-01-10T21:18:00Z</cp:lastPrinted>
  <dcterms:created xsi:type="dcterms:W3CDTF">2025-10-01T13:46:00Z</dcterms:created>
  <dcterms:modified xsi:type="dcterms:W3CDTF">2025-10-02T16:50:00Z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