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4E1A5" w14:textId="77777777" w:rsidR="00350FEA" w:rsidRPr="00350FEA" w:rsidRDefault="00350FEA" w:rsidP="00350FEA">
      <w:pPr>
        <w:tabs>
          <w:tab w:val="left" w:pos="6092"/>
        </w:tabs>
        <w:spacing w:after="120" w:line="276" w:lineRule="auto"/>
        <w:jc w:val="both"/>
        <w:rPr>
          <w:rFonts w:ascii="Verdana" w:eastAsia="Calibri" w:hAnsi="Verdana" w:cs="Arial"/>
          <w:b/>
          <w:bCs/>
          <w:color w:val="000000"/>
        </w:rPr>
      </w:pPr>
      <w:r w:rsidRPr="00350FEA">
        <w:rPr>
          <w:rFonts w:ascii="Verdana" w:hAnsi="Verdana"/>
          <w:b/>
          <w:bCs/>
        </w:rPr>
        <w:t>REGIMEN ESPECIAL– Calamidad pública y desastre</w:t>
      </w:r>
      <w:r w:rsidRPr="00350FEA">
        <w:rPr>
          <w:rFonts w:ascii="Verdana" w:eastAsia="Calibri" w:hAnsi="Verdana" w:cs="Arial"/>
          <w:b/>
          <w:bCs/>
          <w:lang w:eastAsia="es-ES_tradnl"/>
        </w:rPr>
        <w:t xml:space="preserve"> Ley 1523 de 2012 – Contratación - Adición – Derecho privado - Estipulaciones</w:t>
      </w:r>
    </w:p>
    <w:p w14:paraId="7A672234" w14:textId="77777777" w:rsidR="00350FEA" w:rsidRDefault="00350FEA" w:rsidP="00350FEA">
      <w:pPr>
        <w:pStyle w:val="Textoindependiente"/>
        <w:spacing w:after="120" w:line="276" w:lineRule="auto"/>
        <w:jc w:val="both"/>
        <w:rPr>
          <w:rFonts w:ascii="Verdana" w:hAnsi="Verdana"/>
        </w:rPr>
      </w:pPr>
      <w:r w:rsidRPr="00FB70A7">
        <w:rPr>
          <w:rFonts w:ascii="Verdana" w:hAnsi="Verdana"/>
        </w:rPr>
        <w:t xml:space="preserve">Cosa distinta sucede con los contratos de la Ley </w:t>
      </w:r>
      <w:r>
        <w:rPr>
          <w:rFonts w:ascii="Verdana" w:hAnsi="Verdana"/>
        </w:rPr>
        <w:t>1523 de 2012</w:t>
      </w:r>
      <w:r w:rsidRPr="00FB70A7">
        <w:rPr>
          <w:rFonts w:ascii="Verdana" w:hAnsi="Verdana"/>
        </w:rPr>
        <w:t>, pues aplican las normas civiles y comerciales, el manual de contratación de la entidad y los principios constitucionales de la funciona administrativa y la gestión fiscal. En este orden de ideas, como las normas civiles y comerciales no limitan la posibilidad de adicionar los contratos en un porcentaje, las entidades que tienen régimen especial</w:t>
      </w:r>
      <w:r>
        <w:rPr>
          <w:rFonts w:ascii="Verdana" w:hAnsi="Verdana"/>
        </w:rPr>
        <w:t xml:space="preserve"> y/o procedimientos contractuales con régimen especial</w:t>
      </w:r>
      <w:r w:rsidRPr="00FB70A7">
        <w:rPr>
          <w:rFonts w:ascii="Verdana" w:hAnsi="Verdana"/>
        </w:rPr>
        <w:t xml:space="preserve"> deben observar las reglas establecidas en sus manuales de contratación, y si estos no incorporan ningún porcentaje, podrán realizar las adiciones en el porcentaje que consideren</w:t>
      </w:r>
      <w:r w:rsidRPr="00FB70A7">
        <w:rPr>
          <w:rFonts w:ascii="Verdana" w:hAnsi="Verdana"/>
          <w:spacing w:val="-18"/>
        </w:rPr>
        <w:t xml:space="preserve"> </w:t>
      </w:r>
      <w:r w:rsidRPr="00FB70A7">
        <w:rPr>
          <w:rFonts w:ascii="Verdana" w:hAnsi="Verdana"/>
        </w:rPr>
        <w:t>necesario.</w:t>
      </w:r>
    </w:p>
    <w:p w14:paraId="619816B4" w14:textId="77777777" w:rsidR="00350FEA" w:rsidRPr="00C85CA2" w:rsidRDefault="00350FEA" w:rsidP="00350FEA">
      <w:pPr>
        <w:pStyle w:val="Textoindependiente"/>
        <w:spacing w:after="120" w:line="276" w:lineRule="auto"/>
        <w:jc w:val="both"/>
        <w:rPr>
          <w:rFonts w:ascii="Verdana" w:hAnsi="Verdana"/>
        </w:rPr>
      </w:pPr>
      <w:r w:rsidRPr="00FB70A7">
        <w:rPr>
          <w:rFonts w:ascii="Verdana" w:hAnsi="Verdana"/>
        </w:rPr>
        <w:t>En consecuencia, como la Ley 1523 de 2012 no estableció un límite para la adición, ni remitió a la aplicación del artículo 40 de la Ley 80 de 1993, aplican las reglas previstas en el manual de contratación de la entidad, y si no establece ningún límite la entidad puede adicionar el contrato en el porcentaje que considere necesario según el caso</w:t>
      </w:r>
      <w:r w:rsidRPr="00FB70A7">
        <w:rPr>
          <w:rFonts w:ascii="Verdana" w:hAnsi="Verdana"/>
          <w:spacing w:val="-26"/>
        </w:rPr>
        <w:t xml:space="preserve"> </w:t>
      </w:r>
      <w:r w:rsidRPr="00FB70A7">
        <w:rPr>
          <w:rFonts w:ascii="Verdana" w:hAnsi="Verdana"/>
        </w:rPr>
        <w:t>concreto</w:t>
      </w:r>
      <w:r>
        <w:rPr>
          <w:rFonts w:ascii="Verdana" w:hAnsi="Verdana"/>
        </w:rPr>
        <w:t xml:space="preserve">, en aras de garantizar la finalidad de la </w:t>
      </w:r>
      <w:r w:rsidRPr="00C85CA2">
        <w:rPr>
          <w:rFonts w:ascii="Verdana" w:hAnsi="Verdana"/>
          <w:lang w:val="es-CO"/>
        </w:rPr>
        <w:t>formulación, ejecución, seguimiento y evaluación de políticas, estrategias, planes, programas, regulaciones, instrumentos, medidas y acciones permanentes para el conocimiento y la reducción del riesgo y para el manejo de desastres</w:t>
      </w:r>
      <w:r>
        <w:rPr>
          <w:rFonts w:ascii="Verdana" w:hAnsi="Verdana"/>
          <w:lang w:val="es-CO"/>
        </w:rPr>
        <w:t xml:space="preserve"> en el territorio colombiano. </w:t>
      </w:r>
    </w:p>
    <w:p w14:paraId="1D48CABC" w14:textId="77777777" w:rsidR="00350FEA" w:rsidRPr="00350FEA" w:rsidRDefault="00350FEA" w:rsidP="00881E72">
      <w:pPr>
        <w:rPr>
          <w:rFonts w:ascii="Verdana" w:eastAsia="Times New Roman" w:hAnsi="Verdana" w:cs="Arial"/>
          <w:lang w:val="es-ES" w:eastAsia="es-ES_tradnl"/>
        </w:rPr>
      </w:pPr>
    </w:p>
    <w:p w14:paraId="39C7D995" w14:textId="77777777" w:rsidR="00350FEA" w:rsidRDefault="00350FEA" w:rsidP="00881E72">
      <w:pPr>
        <w:rPr>
          <w:rFonts w:ascii="Verdana" w:eastAsia="Times New Roman" w:hAnsi="Verdana" w:cs="Arial"/>
          <w:lang w:eastAsia="es-ES_tradnl"/>
        </w:rPr>
      </w:pPr>
    </w:p>
    <w:p w14:paraId="7E2208A5" w14:textId="77777777" w:rsidR="00350FEA" w:rsidRDefault="00350FEA" w:rsidP="00881E72">
      <w:pPr>
        <w:rPr>
          <w:rFonts w:ascii="Verdana" w:eastAsia="Times New Roman" w:hAnsi="Verdana" w:cs="Arial"/>
          <w:lang w:eastAsia="es-ES_tradnl"/>
        </w:rPr>
      </w:pPr>
    </w:p>
    <w:p w14:paraId="30204CEB" w14:textId="77777777" w:rsidR="00350FEA" w:rsidRDefault="00350FEA" w:rsidP="00881E72">
      <w:pPr>
        <w:rPr>
          <w:rFonts w:ascii="Verdana" w:eastAsia="Times New Roman" w:hAnsi="Verdana" w:cs="Arial"/>
          <w:lang w:eastAsia="es-ES_tradnl"/>
        </w:rPr>
      </w:pPr>
    </w:p>
    <w:p w14:paraId="6F0AF604" w14:textId="77777777" w:rsidR="00350FEA" w:rsidRDefault="00350FEA" w:rsidP="00881E72">
      <w:pPr>
        <w:rPr>
          <w:rFonts w:ascii="Verdana" w:eastAsia="Times New Roman" w:hAnsi="Verdana" w:cs="Arial"/>
          <w:lang w:eastAsia="es-ES_tradnl"/>
        </w:rPr>
      </w:pPr>
    </w:p>
    <w:p w14:paraId="44C67CA0" w14:textId="77777777" w:rsidR="00350FEA" w:rsidRDefault="00350FEA" w:rsidP="00881E72">
      <w:pPr>
        <w:rPr>
          <w:rFonts w:ascii="Verdana" w:eastAsia="Times New Roman" w:hAnsi="Verdana" w:cs="Arial"/>
          <w:lang w:eastAsia="es-ES_tradnl"/>
        </w:rPr>
      </w:pPr>
    </w:p>
    <w:p w14:paraId="7998D74F" w14:textId="77777777" w:rsidR="00350FEA" w:rsidRDefault="00350FEA" w:rsidP="00881E72">
      <w:pPr>
        <w:rPr>
          <w:rFonts w:ascii="Verdana" w:eastAsia="Times New Roman" w:hAnsi="Verdana" w:cs="Arial"/>
          <w:lang w:eastAsia="es-ES_tradnl"/>
        </w:rPr>
      </w:pPr>
    </w:p>
    <w:p w14:paraId="59C3B31D" w14:textId="77777777" w:rsidR="00350FEA" w:rsidRDefault="00350FEA" w:rsidP="00881E72">
      <w:pPr>
        <w:rPr>
          <w:rFonts w:ascii="Verdana" w:eastAsia="Times New Roman" w:hAnsi="Verdana" w:cs="Arial"/>
          <w:lang w:eastAsia="es-ES_tradnl"/>
        </w:rPr>
      </w:pPr>
    </w:p>
    <w:p w14:paraId="0038EDB1" w14:textId="77777777" w:rsidR="00350FEA" w:rsidRDefault="00350FEA" w:rsidP="00881E72">
      <w:pPr>
        <w:rPr>
          <w:rFonts w:ascii="Verdana" w:eastAsia="Times New Roman" w:hAnsi="Verdana" w:cs="Arial"/>
          <w:lang w:eastAsia="es-ES_tradnl"/>
        </w:rPr>
      </w:pPr>
    </w:p>
    <w:p w14:paraId="4E3E53FD" w14:textId="77777777" w:rsidR="00350FEA" w:rsidRDefault="00350FEA" w:rsidP="00881E72">
      <w:pPr>
        <w:rPr>
          <w:rFonts w:ascii="Verdana" w:eastAsia="Times New Roman" w:hAnsi="Verdana" w:cs="Arial"/>
          <w:lang w:eastAsia="es-ES_tradnl"/>
        </w:rPr>
      </w:pPr>
    </w:p>
    <w:p w14:paraId="64721D0B" w14:textId="77777777" w:rsidR="00350FEA" w:rsidRDefault="00350FEA" w:rsidP="00881E72">
      <w:pPr>
        <w:rPr>
          <w:rFonts w:ascii="Verdana" w:eastAsia="Times New Roman" w:hAnsi="Verdana" w:cs="Arial"/>
          <w:lang w:eastAsia="es-ES_tradnl"/>
        </w:rPr>
      </w:pPr>
    </w:p>
    <w:p w14:paraId="0E84762D" w14:textId="4828E8A7" w:rsidR="00881E72" w:rsidRPr="006F44C3" w:rsidRDefault="00881E72" w:rsidP="00881E72">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350FEA">
        <w:rPr>
          <w:rFonts w:ascii="Verdana" w:eastAsia="Times New Roman" w:hAnsi="Verdana" w:cs="Arial"/>
          <w:lang w:eastAsia="es-ES_tradnl"/>
        </w:rPr>
        <w:t>29</w:t>
      </w:r>
      <w:r w:rsidRPr="00093B55">
        <w:rPr>
          <w:rFonts w:ascii="Verdana" w:eastAsia="Times New Roman" w:hAnsi="Verdana" w:cs="Arial"/>
          <w:lang w:eastAsia="es-ES_tradnl"/>
        </w:rPr>
        <w:t xml:space="preserve"> de</w:t>
      </w:r>
      <w:r w:rsidR="00350FEA">
        <w:rPr>
          <w:rFonts w:ascii="Verdana" w:eastAsia="Times New Roman" w:hAnsi="Verdana" w:cs="Arial"/>
          <w:lang w:eastAsia="es-ES_tradnl"/>
        </w:rPr>
        <w:t xml:space="preserve"> octubre </w:t>
      </w:r>
      <w:r w:rsidRPr="00093B55">
        <w:rPr>
          <w:rFonts w:ascii="Verdana" w:eastAsia="Times New Roman" w:hAnsi="Verdana" w:cs="Arial"/>
          <w:lang w:eastAsia="es-ES_tradnl"/>
        </w:rPr>
        <w:t xml:space="preserve">de </w:t>
      </w:r>
      <w:r w:rsidR="00350FEA">
        <w:rPr>
          <w:rFonts w:ascii="Verdana" w:eastAsia="Times New Roman" w:hAnsi="Verdana" w:cs="Arial"/>
          <w:lang w:eastAsia="es-ES_tradnl"/>
        </w:rPr>
        <w:t>2025</w:t>
      </w:r>
    </w:p>
    <w:p w14:paraId="0AB64BEE" w14:textId="351A4E9D" w:rsidR="00881E72" w:rsidRPr="00093B55" w:rsidRDefault="00350FEA" w:rsidP="00F47B8B">
      <w:pPr>
        <w:spacing w:after="0" w:line="276" w:lineRule="auto"/>
        <w:ind w:left="4248"/>
        <w:rPr>
          <w:rFonts w:ascii="Verdana" w:eastAsia="Times New Roman" w:hAnsi="Verdana" w:cs="Arial"/>
          <w:lang w:eastAsia="es-ES_tradnl"/>
        </w:rPr>
      </w:pPr>
      <w:r w:rsidRPr="00350FEA">
        <w:rPr>
          <w:rFonts w:ascii="Verdana" w:eastAsia="Times New Roman" w:hAnsi="Verdana" w:cs="Arial"/>
          <w:noProof/>
          <w:lang w:eastAsia="es-ES_tradnl"/>
        </w:rPr>
        <w:drawing>
          <wp:inline distT="0" distB="0" distL="0" distR="0" wp14:anchorId="4D46B5AD" wp14:editId="5AA72834">
            <wp:extent cx="3357744" cy="765544"/>
            <wp:effectExtent l="0" t="0" r="0" b="0"/>
            <wp:docPr id="13851885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188580" name=""/>
                    <pic:cNvPicPr/>
                  </pic:nvPicPr>
                  <pic:blipFill>
                    <a:blip r:embed="rId11"/>
                    <a:stretch>
                      <a:fillRect/>
                    </a:stretch>
                  </pic:blipFill>
                  <pic:spPr>
                    <a:xfrm>
                      <a:off x="0" y="0"/>
                      <a:ext cx="3400090" cy="775199"/>
                    </a:xfrm>
                    <a:prstGeom prst="rect">
                      <a:avLst/>
                    </a:prstGeom>
                  </pic:spPr>
                </pic:pic>
              </a:graphicData>
            </a:graphic>
          </wp:inline>
        </w:drawing>
      </w:r>
    </w:p>
    <w:p w14:paraId="706A8683" w14:textId="77777777" w:rsidR="00D30A52" w:rsidRDefault="00881E72" w:rsidP="00D30A52">
      <w:pPr>
        <w:spacing w:after="0" w:line="276" w:lineRule="auto"/>
        <w:jc w:val="both"/>
        <w:rPr>
          <w:rFonts w:ascii="Verdana" w:eastAsia="Calibri" w:hAnsi="Verdana" w:cs="Arial"/>
          <w:lang w:eastAsia="es-ES_tradnl"/>
        </w:rPr>
      </w:pPr>
      <w:r>
        <w:rPr>
          <w:rFonts w:ascii="Verdana" w:eastAsia="Calibri" w:hAnsi="Verdana" w:cs="Arial"/>
          <w:lang w:eastAsia="es-ES_tradnl"/>
        </w:rPr>
        <w:t>Señora</w:t>
      </w:r>
    </w:p>
    <w:p w14:paraId="1F077E3B" w14:textId="6C0AABB7" w:rsidR="00881E72" w:rsidRPr="00D30A52" w:rsidRDefault="00881E72" w:rsidP="00D30A52">
      <w:pPr>
        <w:spacing w:after="0" w:line="276" w:lineRule="auto"/>
        <w:jc w:val="both"/>
        <w:rPr>
          <w:rFonts w:ascii="Verdana" w:eastAsia="Calibri" w:hAnsi="Verdana" w:cs="Arial"/>
          <w:lang w:eastAsia="es-ES_tradnl"/>
        </w:rPr>
      </w:pPr>
      <w:r w:rsidRPr="00881E72">
        <w:rPr>
          <w:rFonts w:ascii="Verdana" w:eastAsia="Calibri" w:hAnsi="Verdana" w:cs="Arial"/>
          <w:b/>
          <w:bCs/>
          <w:lang w:eastAsia="es-ES_tradnl"/>
        </w:rPr>
        <w:t>Laura Duarte</w:t>
      </w:r>
    </w:p>
    <w:p w14:paraId="7D82582D" w14:textId="77777777" w:rsidR="00881E72" w:rsidRPr="00CD69CF" w:rsidRDefault="00CF1FCB" w:rsidP="00D30A52">
      <w:pPr>
        <w:spacing w:after="0" w:line="276" w:lineRule="auto"/>
        <w:rPr>
          <w:rFonts w:ascii="Verdana" w:eastAsia="Calibri" w:hAnsi="Verdana" w:cs="Arial"/>
          <w:b/>
          <w:bCs/>
          <w:lang w:eastAsia="es-ES_tradnl"/>
        </w:rPr>
      </w:pPr>
      <w:hyperlink r:id="rId12" w:history="1">
        <w:r w:rsidR="00881E72" w:rsidRPr="00CD69CF">
          <w:rPr>
            <w:rStyle w:val="Hipervnculo"/>
            <w:rFonts w:ascii="Verdana" w:eastAsia="Calibri" w:hAnsi="Verdana" w:cs="Arial"/>
            <w:lang w:eastAsia="es-ES_tradnl"/>
          </w:rPr>
          <w:t>lauraduarte.asesora@gmail.com</w:t>
        </w:r>
      </w:hyperlink>
      <w:r w:rsidR="00881E72" w:rsidRPr="00CD69CF">
        <w:rPr>
          <w:rFonts w:ascii="Verdana" w:eastAsia="Calibri" w:hAnsi="Verdana" w:cs="Arial"/>
          <w:u w:val="single"/>
          <w:lang w:eastAsia="es-ES_tradnl"/>
        </w:rPr>
        <w:t xml:space="preserve">;  </w:t>
      </w:r>
    </w:p>
    <w:p w14:paraId="74E71BB0" w14:textId="3677FE7D" w:rsidR="00881E72" w:rsidRPr="00F47B8B" w:rsidRDefault="00881E72" w:rsidP="00F47B8B">
      <w:pPr>
        <w:spacing w:after="0" w:line="276" w:lineRule="auto"/>
        <w:rPr>
          <w:rFonts w:ascii="Verdana" w:eastAsia="Calibri" w:hAnsi="Verdana" w:cs="Arial"/>
          <w:lang w:eastAsia="es-ES_tradnl"/>
        </w:rPr>
      </w:pPr>
      <w:r>
        <w:rPr>
          <w:rFonts w:ascii="Verdana" w:eastAsia="Calibri" w:hAnsi="Verdana" w:cs="Arial"/>
          <w:lang w:eastAsia="es-ES_tradnl"/>
        </w:rPr>
        <w:t xml:space="preserve">Ciudad. </w:t>
      </w:r>
    </w:p>
    <w:p w14:paraId="611E209A" w14:textId="4EE4BEF7" w:rsidR="00881E72" w:rsidRPr="00E03546" w:rsidRDefault="00881E72" w:rsidP="00D30A52">
      <w:pPr>
        <w:spacing w:after="120" w:line="276" w:lineRule="auto"/>
        <w:rPr>
          <w:rFonts w:ascii="Verdana" w:eastAsia="Calibri" w:hAnsi="Verdana" w:cs="Arial"/>
          <w:b/>
          <w:bCs/>
          <w:lang w:val="fr-FR" w:eastAsia="es-ES_tradnl"/>
        </w:rPr>
      </w:pPr>
      <w:r w:rsidRPr="00E03546">
        <w:rPr>
          <w:rFonts w:ascii="Verdana" w:eastAsia="Calibri" w:hAnsi="Verdana" w:cs="Arial"/>
          <w:lang w:val="fr-FR" w:eastAsia="es-ES_tradnl"/>
        </w:rPr>
        <w:tab/>
      </w:r>
      <w:r w:rsidRPr="00E03546">
        <w:rPr>
          <w:rFonts w:ascii="Verdana" w:eastAsia="Calibri" w:hAnsi="Verdana" w:cs="Arial"/>
          <w:lang w:val="fr-FR" w:eastAsia="es-ES_tradnl"/>
        </w:rPr>
        <w:tab/>
      </w:r>
      <w:r w:rsidRPr="00E03546">
        <w:rPr>
          <w:rFonts w:ascii="Verdana" w:eastAsia="Calibri" w:hAnsi="Verdana" w:cs="Arial"/>
          <w:lang w:val="fr-FR" w:eastAsia="es-ES_tradnl"/>
        </w:rPr>
        <w:tab/>
      </w:r>
      <w:r w:rsidR="00D30A52">
        <w:rPr>
          <w:rFonts w:ascii="Verdana" w:eastAsia="Calibri" w:hAnsi="Verdana" w:cs="Arial"/>
          <w:lang w:val="fr-FR" w:eastAsia="es-ES_tradnl"/>
        </w:rPr>
        <w:t xml:space="preserve">        </w:t>
      </w:r>
      <w:proofErr w:type="spellStart"/>
      <w:r w:rsidRPr="00E03546">
        <w:rPr>
          <w:rFonts w:ascii="Verdana" w:eastAsia="Calibri" w:hAnsi="Verdana" w:cs="Arial"/>
          <w:b/>
          <w:bCs/>
          <w:lang w:val="fr-FR" w:eastAsia="es-ES_tradnl"/>
        </w:rPr>
        <w:t>Concepto</w:t>
      </w:r>
      <w:proofErr w:type="spellEnd"/>
      <w:r w:rsidRPr="00E03546">
        <w:rPr>
          <w:rFonts w:ascii="Verdana" w:eastAsia="Calibri" w:hAnsi="Verdana" w:cs="Arial"/>
          <w:b/>
          <w:bCs/>
          <w:lang w:val="fr-FR" w:eastAsia="es-ES_tradnl"/>
        </w:rPr>
        <w:t xml:space="preserve"> </w:t>
      </w:r>
      <w:r w:rsidRPr="006F44C3">
        <w:rPr>
          <w:rFonts w:ascii="Verdana" w:eastAsia="Calibri" w:hAnsi="Verdana" w:cs="Arial"/>
          <w:b/>
          <w:bCs/>
          <w:lang w:val="fr-FR" w:eastAsia="es-ES_tradnl"/>
        </w:rPr>
        <w:t>C-1</w:t>
      </w:r>
      <w:r>
        <w:rPr>
          <w:rFonts w:ascii="Verdana" w:eastAsia="Calibri" w:hAnsi="Verdana" w:cs="Arial"/>
          <w:b/>
          <w:bCs/>
          <w:lang w:val="fr-FR" w:eastAsia="es-ES_tradnl"/>
        </w:rPr>
        <w:t xml:space="preserve">352 de </w:t>
      </w:r>
      <w:r w:rsidRPr="00E03546">
        <w:rPr>
          <w:rFonts w:ascii="Verdana" w:eastAsia="Calibri" w:hAnsi="Verdana" w:cs="Arial"/>
          <w:b/>
          <w:bCs/>
          <w:lang w:val="fr-FR" w:eastAsia="es-ES_tradnl"/>
        </w:rPr>
        <w:t>2025</w:t>
      </w:r>
    </w:p>
    <w:p w14:paraId="5BD5A2EA" w14:textId="77777777" w:rsidR="00881E72" w:rsidRPr="00E03546" w:rsidRDefault="00881E72" w:rsidP="00D30A52">
      <w:pPr>
        <w:spacing w:after="120" w:line="276" w:lineRule="auto"/>
        <w:jc w:val="both"/>
        <w:rPr>
          <w:rFonts w:ascii="Verdana" w:eastAsia="Calibri" w:hAnsi="Verdana" w:cs="Arial"/>
          <w:lang w:val="fr-FR" w:eastAsia="es-ES_tradnl"/>
        </w:rPr>
      </w:pPr>
    </w:p>
    <w:tbl>
      <w:tblPr>
        <w:tblStyle w:val="Tablaconcuadrcula"/>
        <w:tblW w:w="8788" w:type="dxa"/>
        <w:jc w:val="right"/>
        <w:tblCellMar>
          <w:left w:w="0" w:type="dxa"/>
          <w:right w:w="0" w:type="dxa"/>
        </w:tblCellMar>
        <w:tblLook w:val="04A0" w:firstRow="1" w:lastRow="0" w:firstColumn="1" w:lastColumn="0" w:noHBand="0" w:noVBand="1"/>
      </w:tblPr>
      <w:tblGrid>
        <w:gridCol w:w="2688"/>
        <w:gridCol w:w="6100"/>
      </w:tblGrid>
      <w:tr w:rsidR="00881E72" w:rsidRPr="00E03546" w14:paraId="48862CDA" w14:textId="77777777" w:rsidTr="0090067E">
        <w:trPr>
          <w:trHeight w:val="661"/>
          <w:jc w:val="right"/>
        </w:trPr>
        <w:tc>
          <w:tcPr>
            <w:tcW w:w="2688" w:type="dxa"/>
          </w:tcPr>
          <w:p w14:paraId="2DD7C539" w14:textId="77777777" w:rsidR="00881E72" w:rsidRPr="00E03546" w:rsidRDefault="00881E72" w:rsidP="00D30A52">
            <w:pPr>
              <w:spacing w:after="120" w:line="276" w:lineRule="auto"/>
              <w:rPr>
                <w:rFonts w:ascii="Verdana" w:eastAsia="Calibri" w:hAnsi="Verdana" w:cs="Arial"/>
                <w:b/>
                <w:bCs/>
                <w:lang w:eastAsia="es-ES_tradnl"/>
              </w:rPr>
            </w:pPr>
            <w:r w:rsidRPr="00E03546">
              <w:rPr>
                <w:rFonts w:ascii="Verdana" w:eastAsia="Calibri" w:hAnsi="Verdana" w:cs="Arial"/>
                <w:lang w:eastAsia="es-ES_tradnl"/>
              </w:rPr>
              <w:t xml:space="preserve">        </w:t>
            </w:r>
            <w:r w:rsidRPr="00E03546">
              <w:rPr>
                <w:rFonts w:ascii="Verdana" w:eastAsia="Calibri" w:hAnsi="Verdana" w:cs="Arial"/>
                <w:b/>
                <w:bCs/>
                <w:lang w:eastAsia="es-ES_tradnl"/>
              </w:rPr>
              <w:t>Temas:</w:t>
            </w:r>
          </w:p>
        </w:tc>
        <w:tc>
          <w:tcPr>
            <w:tcW w:w="6100" w:type="dxa"/>
          </w:tcPr>
          <w:p w14:paraId="49B5E9DB" w14:textId="77777777" w:rsidR="00881E72" w:rsidRPr="00E03546" w:rsidRDefault="00881E72" w:rsidP="00D30A52">
            <w:pPr>
              <w:tabs>
                <w:tab w:val="left" w:pos="6092"/>
              </w:tabs>
              <w:spacing w:after="120" w:line="276" w:lineRule="auto"/>
              <w:jc w:val="both"/>
              <w:rPr>
                <w:rFonts w:ascii="Verdana" w:eastAsia="Calibri" w:hAnsi="Verdana" w:cs="Arial"/>
                <w:bCs/>
                <w:color w:val="000000"/>
              </w:rPr>
            </w:pPr>
            <w:r w:rsidRPr="004010CF">
              <w:rPr>
                <w:rFonts w:ascii="Verdana" w:hAnsi="Verdana"/>
              </w:rPr>
              <w:t>REGIMEN E</w:t>
            </w:r>
            <w:r>
              <w:rPr>
                <w:rFonts w:ascii="Verdana" w:hAnsi="Verdana"/>
              </w:rPr>
              <w:t>SPECIAL– Calamidad pública y desastre</w:t>
            </w:r>
            <w:r w:rsidRPr="004010CF">
              <w:rPr>
                <w:rFonts w:ascii="Verdana" w:eastAsia="Calibri" w:hAnsi="Verdana" w:cs="Arial"/>
                <w:lang w:eastAsia="es-ES_tradnl"/>
              </w:rPr>
              <w:t xml:space="preserve"> </w:t>
            </w:r>
            <w:r w:rsidRPr="00CD69CF">
              <w:rPr>
                <w:rFonts w:ascii="Verdana" w:eastAsia="Calibri" w:hAnsi="Verdana" w:cs="Arial"/>
                <w:lang w:eastAsia="es-ES_tradnl"/>
              </w:rPr>
              <w:t>Ley 1523 de 2012</w:t>
            </w:r>
            <w:r>
              <w:rPr>
                <w:rFonts w:ascii="Verdana" w:eastAsia="Calibri" w:hAnsi="Verdana" w:cs="Arial"/>
                <w:lang w:eastAsia="es-ES_tradnl"/>
              </w:rPr>
              <w:t xml:space="preserve"> – Contratación - </w:t>
            </w:r>
            <w:r w:rsidRPr="00CD69CF">
              <w:rPr>
                <w:rFonts w:ascii="Verdana" w:eastAsia="Calibri" w:hAnsi="Verdana" w:cs="Arial"/>
                <w:lang w:eastAsia="es-ES_tradnl"/>
              </w:rPr>
              <w:t>Adición</w:t>
            </w:r>
            <w:r>
              <w:rPr>
                <w:rFonts w:ascii="Verdana" w:eastAsia="Calibri" w:hAnsi="Verdana" w:cs="Arial"/>
                <w:lang w:eastAsia="es-ES_tradnl"/>
              </w:rPr>
              <w:t xml:space="preserve"> – Derecho privado - Estipulaciones</w:t>
            </w:r>
          </w:p>
          <w:p w14:paraId="62D961B4" w14:textId="77777777" w:rsidR="00881E72" w:rsidRPr="00E03546" w:rsidRDefault="00881E72" w:rsidP="00D30A52">
            <w:pPr>
              <w:tabs>
                <w:tab w:val="left" w:pos="5193"/>
              </w:tabs>
              <w:spacing w:after="120" w:line="276" w:lineRule="auto"/>
              <w:jc w:val="both"/>
              <w:rPr>
                <w:rFonts w:ascii="Verdana" w:eastAsia="Calibri" w:hAnsi="Verdana" w:cs="Arial"/>
                <w:lang w:val="es-MX" w:eastAsia="es-ES_tradnl"/>
              </w:rPr>
            </w:pPr>
          </w:p>
        </w:tc>
      </w:tr>
      <w:tr w:rsidR="00881E72" w:rsidRPr="00E03546" w14:paraId="0DFA5236" w14:textId="77777777" w:rsidTr="0090067E">
        <w:trPr>
          <w:trHeight w:val="83"/>
          <w:jc w:val="right"/>
        </w:trPr>
        <w:tc>
          <w:tcPr>
            <w:tcW w:w="2688" w:type="dxa"/>
          </w:tcPr>
          <w:p w14:paraId="5E7387B4" w14:textId="77777777" w:rsidR="00881E72" w:rsidRPr="00E03546" w:rsidRDefault="00881E72" w:rsidP="00D30A52">
            <w:pPr>
              <w:spacing w:after="120" w:line="276" w:lineRule="auto"/>
              <w:jc w:val="center"/>
              <w:rPr>
                <w:rFonts w:ascii="Verdana" w:eastAsia="Calibri" w:hAnsi="Verdana" w:cs="Arial"/>
                <w:b/>
                <w:lang w:eastAsia="es-ES_tradnl"/>
              </w:rPr>
            </w:pPr>
            <w:r w:rsidRPr="00E03546">
              <w:rPr>
                <w:rFonts w:ascii="Verdana" w:eastAsia="Calibri" w:hAnsi="Verdana" w:cs="Arial"/>
                <w:b/>
                <w:lang w:eastAsia="es-ES_tradnl"/>
              </w:rPr>
              <w:t>Radicación:</w:t>
            </w:r>
          </w:p>
        </w:tc>
        <w:tc>
          <w:tcPr>
            <w:tcW w:w="6100" w:type="dxa"/>
          </w:tcPr>
          <w:p w14:paraId="1129DC6F" w14:textId="77777777" w:rsidR="00881E72" w:rsidRPr="00E03546" w:rsidRDefault="00881E72" w:rsidP="00D30A52">
            <w:pPr>
              <w:tabs>
                <w:tab w:val="left" w:pos="6092"/>
              </w:tabs>
              <w:spacing w:after="120" w:line="276" w:lineRule="auto"/>
              <w:jc w:val="both"/>
              <w:rPr>
                <w:rFonts w:ascii="Verdana" w:eastAsia="Calibri" w:hAnsi="Verdana" w:cs="Arial"/>
                <w:lang w:eastAsia="es-ES_tradnl"/>
              </w:rPr>
            </w:pPr>
            <w:r w:rsidRPr="00E03546">
              <w:rPr>
                <w:rFonts w:ascii="Verdana" w:eastAsia="Calibri" w:hAnsi="Verdana" w:cs="Arial"/>
                <w:lang w:eastAsia="es-ES_tradnl"/>
              </w:rPr>
              <w:t>Respuesta de consulta No. 1</w:t>
            </w:r>
            <w:r w:rsidRPr="00CD69CF">
              <w:rPr>
                <w:rFonts w:ascii="Verdana" w:eastAsia="Calibri" w:hAnsi="Verdana" w:cs="Arial"/>
                <w:lang w:eastAsia="es-ES_tradnl"/>
              </w:rPr>
              <w:t>_2025_09_22_010381</w:t>
            </w:r>
          </w:p>
        </w:tc>
      </w:tr>
    </w:tbl>
    <w:p w14:paraId="5730AAD2" w14:textId="77777777" w:rsidR="00881E72" w:rsidRPr="00E03546" w:rsidRDefault="00881E72" w:rsidP="00881E72">
      <w:pPr>
        <w:spacing w:after="0" w:line="276" w:lineRule="auto"/>
        <w:jc w:val="both"/>
        <w:rPr>
          <w:rFonts w:ascii="Verdana" w:eastAsia="Calibri" w:hAnsi="Verdana" w:cs="Arial"/>
          <w:lang w:eastAsia="es-ES_tradnl"/>
        </w:rPr>
      </w:pPr>
    </w:p>
    <w:p w14:paraId="011625E4" w14:textId="77777777" w:rsidR="00881E72" w:rsidRPr="00E03546" w:rsidRDefault="00881E72" w:rsidP="00881E72">
      <w:pPr>
        <w:spacing w:after="0" w:line="276" w:lineRule="auto"/>
        <w:jc w:val="both"/>
        <w:rPr>
          <w:rFonts w:ascii="Verdana" w:eastAsia="Calibri" w:hAnsi="Verdana" w:cs="Arial"/>
          <w:lang w:eastAsia="es-ES_tradnl"/>
        </w:rPr>
      </w:pPr>
    </w:p>
    <w:p w14:paraId="49B84902" w14:textId="77777777" w:rsidR="00881E72" w:rsidRPr="00E03546" w:rsidRDefault="00881E72" w:rsidP="00D422AC">
      <w:pPr>
        <w:spacing w:after="120" w:line="276" w:lineRule="auto"/>
        <w:contextualSpacing/>
        <w:jc w:val="both"/>
        <w:rPr>
          <w:rFonts w:ascii="Verdana" w:eastAsia="Calibri" w:hAnsi="Verdana" w:cs="Arial"/>
          <w:bCs/>
          <w:lang w:eastAsia="es-ES_tradnl"/>
        </w:rPr>
      </w:pPr>
      <w:r w:rsidRPr="00E03546">
        <w:rPr>
          <w:rFonts w:ascii="Verdana" w:eastAsia="Calibri" w:hAnsi="Verdana" w:cs="Arial"/>
          <w:lang w:eastAsia="es-ES_tradnl"/>
        </w:rPr>
        <w:t xml:space="preserve">Estimada </w:t>
      </w:r>
      <w:r>
        <w:rPr>
          <w:rFonts w:ascii="Verdana" w:eastAsia="Calibri" w:hAnsi="Verdana" w:cs="Arial"/>
          <w:lang w:eastAsia="es-ES_tradnl"/>
        </w:rPr>
        <w:t>Señora</w:t>
      </w:r>
      <w:r w:rsidRPr="00E03546">
        <w:rPr>
          <w:rFonts w:ascii="Verdana" w:eastAsia="Calibri" w:hAnsi="Verdana" w:cs="Arial"/>
          <w:lang w:eastAsia="es-ES_tradnl"/>
        </w:rPr>
        <w:t xml:space="preserve"> </w:t>
      </w:r>
      <w:r>
        <w:rPr>
          <w:rFonts w:ascii="Verdana" w:eastAsia="Calibri" w:hAnsi="Verdana" w:cs="Arial"/>
          <w:lang w:eastAsia="es-ES_tradnl"/>
        </w:rPr>
        <w:t>Duarte</w:t>
      </w:r>
      <w:r w:rsidRPr="00E03546">
        <w:rPr>
          <w:rFonts w:ascii="Verdana" w:eastAsia="Calibri" w:hAnsi="Verdana" w:cs="Arial"/>
          <w:lang w:eastAsia="es-ES_tradnl"/>
        </w:rPr>
        <w:t>,</w:t>
      </w:r>
    </w:p>
    <w:p w14:paraId="3DD5BFDF" w14:textId="77777777" w:rsidR="00881E72" w:rsidRPr="00E03546" w:rsidRDefault="00881E72" w:rsidP="00D422AC">
      <w:pPr>
        <w:spacing w:after="120" w:line="276" w:lineRule="auto"/>
        <w:contextualSpacing/>
        <w:jc w:val="both"/>
        <w:rPr>
          <w:rFonts w:ascii="Verdana" w:eastAsia="Calibri" w:hAnsi="Verdana" w:cs="Arial"/>
          <w:lang w:eastAsia="es-ES_tradnl"/>
        </w:rPr>
      </w:pPr>
    </w:p>
    <w:p w14:paraId="4C2EB3C4" w14:textId="77777777" w:rsidR="00881E72" w:rsidRPr="00E03546" w:rsidRDefault="00881E72" w:rsidP="00D422AC">
      <w:pPr>
        <w:spacing w:after="120" w:line="276" w:lineRule="auto"/>
        <w:jc w:val="both"/>
        <w:rPr>
          <w:rFonts w:ascii="Verdana" w:eastAsia="Calibri" w:hAnsi="Verdana" w:cs="Arial"/>
          <w:lang w:eastAsia="es-ES_tradnl"/>
        </w:rPr>
      </w:pPr>
      <w:r w:rsidRPr="00E03546">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 responde su solicitud de consulta de fecha </w:t>
      </w:r>
      <w:r>
        <w:rPr>
          <w:rFonts w:ascii="Verdana" w:eastAsia="Calibri" w:hAnsi="Verdana" w:cs="Arial"/>
          <w:lang w:eastAsia="es-ES_tradnl"/>
        </w:rPr>
        <w:t>22</w:t>
      </w:r>
      <w:r w:rsidRPr="00E03546">
        <w:rPr>
          <w:rFonts w:ascii="Verdana" w:eastAsia="Calibri" w:hAnsi="Verdana" w:cs="Arial"/>
          <w:lang w:eastAsia="es-ES_tradnl"/>
        </w:rPr>
        <w:t xml:space="preserve"> de </w:t>
      </w:r>
      <w:r>
        <w:rPr>
          <w:rFonts w:ascii="Verdana" w:eastAsia="Calibri" w:hAnsi="Verdana" w:cs="Arial"/>
          <w:lang w:eastAsia="es-ES_tradnl"/>
        </w:rPr>
        <w:t>septiembre</w:t>
      </w:r>
      <w:r w:rsidRPr="00E03546">
        <w:rPr>
          <w:rFonts w:ascii="Verdana" w:eastAsia="Calibri" w:hAnsi="Verdana" w:cs="Arial"/>
          <w:lang w:eastAsia="es-ES_tradnl"/>
        </w:rPr>
        <w:t xml:space="preserve"> de 2025, en la cual consulta lo siguiente: </w:t>
      </w:r>
    </w:p>
    <w:p w14:paraId="36B3334E" w14:textId="77777777" w:rsidR="00881E72" w:rsidRPr="0055303D" w:rsidRDefault="00881E72" w:rsidP="00D422AC">
      <w:pPr>
        <w:spacing w:after="120" w:line="240" w:lineRule="auto"/>
        <w:ind w:left="709" w:right="709"/>
        <w:jc w:val="both"/>
        <w:rPr>
          <w:rFonts w:ascii="Verdana" w:eastAsia="Times New Roman" w:hAnsi="Verdana" w:cs="Arial"/>
          <w:iCs/>
          <w:sz w:val="20"/>
          <w:szCs w:val="20"/>
          <w:lang w:eastAsia="es-ES_tradnl"/>
        </w:rPr>
      </w:pPr>
      <w:proofErr w:type="gramStart"/>
      <w:r w:rsidRPr="0055303D">
        <w:rPr>
          <w:rFonts w:ascii="Verdana" w:eastAsia="Times New Roman" w:hAnsi="Verdana" w:cs="Arial"/>
          <w:iCs/>
          <w:sz w:val="20"/>
          <w:szCs w:val="20"/>
          <w:lang w:eastAsia="es-ES_tradnl"/>
        </w:rPr>
        <w:t>“ [</w:t>
      </w:r>
      <w:proofErr w:type="gramEnd"/>
      <w:r w:rsidRPr="0055303D">
        <w:rPr>
          <w:rFonts w:ascii="Verdana" w:eastAsia="Times New Roman" w:hAnsi="Verdana" w:cs="Arial"/>
          <w:iCs/>
          <w:sz w:val="20"/>
          <w:szCs w:val="20"/>
          <w:lang w:eastAsia="es-ES_tradnl"/>
        </w:rPr>
        <w:t>…] En el desarrollo de una auditoría en el municipio de Piedecuesta, se identifica que un contrato suscrito dentro del marco de calamidad pública, en su adicional supera el 50% , valor inicial del contrato: </w:t>
      </w:r>
    </w:p>
    <w:p w14:paraId="13C40DA8" w14:textId="77777777" w:rsidR="00881E72" w:rsidRPr="0055303D" w:rsidRDefault="00881E72" w:rsidP="00D422AC">
      <w:pPr>
        <w:spacing w:after="120" w:line="240" w:lineRule="auto"/>
        <w:ind w:left="709" w:right="709"/>
        <w:jc w:val="both"/>
        <w:rPr>
          <w:rFonts w:ascii="Verdana" w:eastAsia="Times New Roman" w:hAnsi="Verdana" w:cs="Arial"/>
          <w:iCs/>
          <w:sz w:val="20"/>
          <w:szCs w:val="20"/>
          <w:lang w:eastAsia="es-ES_tradnl"/>
        </w:rPr>
      </w:pPr>
      <w:r w:rsidRPr="0055303D">
        <w:rPr>
          <w:rFonts w:ascii="Verdana" w:eastAsia="Times New Roman" w:hAnsi="Verdana" w:cs="Arial"/>
          <w:iCs/>
          <w:sz w:val="20"/>
          <w:szCs w:val="20"/>
          <w:lang w:eastAsia="es-ES_tradnl"/>
        </w:rPr>
        <w:t> VALOR INICIAL: TRESCIENTOS MILLONES DE PESOS m/</w:t>
      </w:r>
      <w:proofErr w:type="spellStart"/>
      <w:r w:rsidRPr="0055303D">
        <w:rPr>
          <w:rFonts w:ascii="Verdana" w:eastAsia="Times New Roman" w:hAnsi="Verdana" w:cs="Arial"/>
          <w:iCs/>
          <w:sz w:val="20"/>
          <w:szCs w:val="20"/>
          <w:lang w:eastAsia="es-ES_tradnl"/>
        </w:rPr>
        <w:t>cte</w:t>
      </w:r>
      <w:proofErr w:type="spellEnd"/>
      <w:r w:rsidRPr="0055303D">
        <w:rPr>
          <w:rFonts w:ascii="Verdana" w:eastAsia="Times New Roman" w:hAnsi="Verdana" w:cs="Arial"/>
          <w:iCs/>
          <w:sz w:val="20"/>
          <w:szCs w:val="20"/>
          <w:lang w:eastAsia="es-ES_tradnl"/>
        </w:rPr>
        <w:t xml:space="preserve"> ($300.000.000,00) VALOR A ADICIONAR DOSCIENTOS MILLONES DE PESOS MONEDA CORRIENTE ($200.000.000)</w:t>
      </w:r>
    </w:p>
    <w:p w14:paraId="634CA319" w14:textId="77777777" w:rsidR="00881E72" w:rsidRPr="0055303D" w:rsidRDefault="00881E72" w:rsidP="00D422AC">
      <w:pPr>
        <w:spacing w:after="120" w:line="240" w:lineRule="auto"/>
        <w:ind w:left="709" w:right="709"/>
        <w:jc w:val="both"/>
        <w:rPr>
          <w:rFonts w:ascii="Verdana" w:eastAsia="Times New Roman" w:hAnsi="Verdana" w:cs="Arial"/>
          <w:iCs/>
          <w:sz w:val="20"/>
          <w:szCs w:val="20"/>
          <w:lang w:eastAsia="es-ES_tradnl"/>
        </w:rPr>
      </w:pPr>
      <w:r w:rsidRPr="0055303D">
        <w:rPr>
          <w:rFonts w:ascii="Verdana" w:eastAsia="Times New Roman" w:hAnsi="Verdana" w:cs="Arial"/>
          <w:iCs/>
          <w:sz w:val="20"/>
          <w:szCs w:val="20"/>
          <w:lang w:eastAsia="es-ES_tradnl"/>
        </w:rPr>
        <w:t xml:space="preserve">su justificación hace referencia al    "que el contrato fue suscrito en el marco de la calamidad pública declarada mediante Decreto Municipal No. 021 de 2025 y se rige por el régimen especial previsto en el artículo 66 de la Ley 1523 de 2012, el cual faculta a las entidades territoriales a adoptar medidas contractuales excepcionales para atender, mitigar y rehabilitar </w:t>
      </w:r>
      <w:r w:rsidRPr="0055303D">
        <w:rPr>
          <w:rFonts w:ascii="Verdana" w:eastAsia="Times New Roman" w:hAnsi="Verdana" w:cs="Arial"/>
          <w:iCs/>
          <w:sz w:val="20"/>
          <w:szCs w:val="20"/>
          <w:lang w:eastAsia="es-ES_tradnl"/>
        </w:rPr>
        <w:lastRenderedPageBreak/>
        <w:t>los efectos de desastres o emergencias, sin que le sean aplicables los límites generales establecidos para modificaciones contractuales en el régimen ordinario de contratación estatal."</w:t>
      </w:r>
    </w:p>
    <w:p w14:paraId="0E19D159" w14:textId="77777777" w:rsidR="00881E72" w:rsidRPr="0055303D" w:rsidRDefault="00881E72" w:rsidP="00D422AC">
      <w:pPr>
        <w:spacing w:after="120" w:line="240" w:lineRule="auto"/>
        <w:ind w:left="709" w:right="709"/>
        <w:jc w:val="both"/>
        <w:rPr>
          <w:rFonts w:ascii="Verdana" w:eastAsia="Times New Roman" w:hAnsi="Verdana" w:cs="Arial"/>
          <w:iCs/>
          <w:sz w:val="20"/>
          <w:szCs w:val="20"/>
          <w:lang w:eastAsia="es-ES_tradnl"/>
        </w:rPr>
      </w:pPr>
      <w:r w:rsidRPr="0055303D">
        <w:rPr>
          <w:rFonts w:ascii="Verdana" w:eastAsia="Times New Roman" w:hAnsi="Verdana" w:cs="Arial"/>
          <w:iCs/>
          <w:sz w:val="20"/>
          <w:szCs w:val="20"/>
          <w:lang w:eastAsia="es-ES_tradnl"/>
        </w:rPr>
        <w:t>Sin embargo se identifica la inclusión de un ITEM no previsto en el contrato inicial. </w:t>
      </w:r>
    </w:p>
    <w:p w14:paraId="62E7E517" w14:textId="0A49BA19" w:rsidR="00881E72" w:rsidRPr="00D422AC" w:rsidRDefault="00881E72" w:rsidP="00D422AC">
      <w:pPr>
        <w:spacing w:after="120" w:line="240" w:lineRule="auto"/>
        <w:ind w:left="709" w:right="709"/>
        <w:jc w:val="both"/>
        <w:rPr>
          <w:rFonts w:ascii="Verdana" w:eastAsia="Times New Roman" w:hAnsi="Verdana" w:cs="Arial"/>
          <w:iCs/>
          <w:sz w:val="20"/>
          <w:szCs w:val="20"/>
          <w:lang w:eastAsia="es-ES_tradnl"/>
        </w:rPr>
      </w:pPr>
      <w:r w:rsidRPr="0055303D">
        <w:rPr>
          <w:rFonts w:ascii="Verdana" w:eastAsia="Times New Roman" w:hAnsi="Verdana" w:cs="Arial"/>
          <w:iCs/>
          <w:sz w:val="20"/>
          <w:szCs w:val="20"/>
          <w:lang w:eastAsia="es-ES_tradnl"/>
        </w:rPr>
        <w:t>Esta sustentación es suficiente para sobrepasar lo establecido en El parágrafo del artículo 40 de la Ley 80 de 1993 establece que los contratos estatales sólo pueden ser adicionados hasta un máximo del 50 % de su valor inicial, expresado en salarios mínimos legales mensuales vigentes (SMLMV</w:t>
      </w:r>
      <w:proofErr w:type="gramStart"/>
      <w:r w:rsidRPr="0055303D">
        <w:rPr>
          <w:rFonts w:ascii="Verdana" w:eastAsia="Times New Roman" w:hAnsi="Verdana" w:cs="Arial"/>
          <w:iCs/>
          <w:sz w:val="20"/>
          <w:szCs w:val="20"/>
          <w:lang w:eastAsia="es-ES_tradnl"/>
        </w:rPr>
        <w:t>).[</w:t>
      </w:r>
      <w:proofErr w:type="gramEnd"/>
      <w:r w:rsidRPr="0055303D">
        <w:rPr>
          <w:rFonts w:ascii="Verdana" w:eastAsia="Times New Roman" w:hAnsi="Verdana" w:cs="Arial"/>
          <w:iCs/>
          <w:sz w:val="20"/>
          <w:szCs w:val="20"/>
          <w:lang w:eastAsia="es-ES_tradnl"/>
        </w:rPr>
        <w:t>…]” (SIC).</w:t>
      </w:r>
    </w:p>
    <w:p w14:paraId="754C9F0F" w14:textId="77777777" w:rsidR="00881E72" w:rsidRPr="00E03546" w:rsidRDefault="00881E72" w:rsidP="00C8465B">
      <w:pPr>
        <w:spacing w:after="120" w:line="276" w:lineRule="auto"/>
        <w:ind w:firstLine="284"/>
        <w:jc w:val="both"/>
        <w:rPr>
          <w:rFonts w:ascii="Verdana" w:eastAsia="Calibri" w:hAnsi="Verdana" w:cs="Arial"/>
          <w:color w:val="000000"/>
          <w:lang w:eastAsia="es-ES_tradnl"/>
        </w:rPr>
      </w:pPr>
      <w:r w:rsidRPr="00E0354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ni para definir la modalidad de selección o la tipología del negocio jurídico que pretendan adelantar las entidades estatales en su actividad contractual.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03546">
        <w:rPr>
          <w:rFonts w:ascii="Verdana" w:eastAsia="Calibri" w:hAnsi="Verdana" w:cs="Arial"/>
          <w:color w:val="000000"/>
          <w:lang w:eastAsia="es-ES_tradnl"/>
        </w:rPr>
        <w:tab/>
      </w:r>
    </w:p>
    <w:p w14:paraId="551FA661" w14:textId="59BE4A7A" w:rsidR="006C318E" w:rsidRPr="00F47B8B" w:rsidRDefault="00881E72" w:rsidP="00F47B8B">
      <w:pPr>
        <w:spacing w:after="120" w:line="276" w:lineRule="auto"/>
        <w:ind w:firstLine="284"/>
        <w:jc w:val="both"/>
        <w:rPr>
          <w:rFonts w:ascii="Verdana" w:eastAsia="Arial" w:hAnsi="Verdana" w:cs="Arial"/>
          <w:lang w:val="es-ES"/>
        </w:rPr>
      </w:pPr>
      <w:r w:rsidRPr="00C8465B">
        <w:rPr>
          <w:rFonts w:ascii="Verdana" w:eastAsia="Arial" w:hAnsi="Verdana" w:cs="Arial"/>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exponiendo algunas consideraciones sobre las normas generales relacionadas con el problema jurídico de su consulta. </w:t>
      </w:r>
    </w:p>
    <w:p w14:paraId="3E038EEC" w14:textId="4CE185D2" w:rsidR="006C318E" w:rsidRDefault="00881E72" w:rsidP="00F47B8B">
      <w:pPr>
        <w:pStyle w:val="Prrafodelista"/>
        <w:numPr>
          <w:ilvl w:val="0"/>
          <w:numId w:val="18"/>
        </w:numPr>
        <w:tabs>
          <w:tab w:val="left" w:pos="0"/>
          <w:tab w:val="left" w:pos="284"/>
        </w:tabs>
        <w:spacing w:after="0" w:line="276" w:lineRule="auto"/>
        <w:ind w:left="0" w:firstLine="0"/>
        <w:jc w:val="both"/>
        <w:rPr>
          <w:rFonts w:ascii="Verdana" w:eastAsia="Calibri" w:hAnsi="Verdana" w:cs="Arial"/>
          <w:b/>
        </w:rPr>
      </w:pPr>
      <w:r w:rsidRPr="006C318E">
        <w:rPr>
          <w:rFonts w:ascii="Verdana" w:eastAsia="Calibri" w:hAnsi="Verdana" w:cs="Arial"/>
          <w:b/>
        </w:rPr>
        <w:t>Problema planteado:</w:t>
      </w:r>
    </w:p>
    <w:p w14:paraId="256BFCBB" w14:textId="77777777" w:rsidR="00F47B8B" w:rsidRPr="00F47B8B" w:rsidRDefault="00F47B8B" w:rsidP="00F47B8B">
      <w:pPr>
        <w:pStyle w:val="Prrafodelista"/>
        <w:tabs>
          <w:tab w:val="left" w:pos="0"/>
          <w:tab w:val="left" w:pos="284"/>
        </w:tabs>
        <w:spacing w:after="0" w:line="276" w:lineRule="auto"/>
        <w:ind w:left="0"/>
        <w:jc w:val="both"/>
        <w:rPr>
          <w:rFonts w:ascii="Verdana" w:eastAsia="Calibri" w:hAnsi="Verdana" w:cs="Arial"/>
          <w:b/>
        </w:rPr>
      </w:pPr>
    </w:p>
    <w:p w14:paraId="636FAA76" w14:textId="2FBD2ACF" w:rsidR="00881E72" w:rsidRPr="006C318E" w:rsidRDefault="00881E72" w:rsidP="006C318E">
      <w:pPr>
        <w:spacing w:after="120" w:line="276" w:lineRule="auto"/>
        <w:jc w:val="both"/>
        <w:rPr>
          <w:rFonts w:ascii="Verdana" w:eastAsia="Verdana" w:hAnsi="Verdana" w:cs="Verdana"/>
        </w:rPr>
      </w:pPr>
      <w:r w:rsidRPr="00E03546">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E03546">
        <w:rPr>
          <w:rFonts w:ascii="Verdana" w:eastAsia="Century Gothic" w:hAnsi="Verdana" w:cs="Century Gothic"/>
        </w:rPr>
        <w:t xml:space="preserve"> siguiente</w:t>
      </w:r>
      <w:r>
        <w:rPr>
          <w:rFonts w:ascii="Verdana" w:eastAsia="Century Gothic" w:hAnsi="Verdana" w:cs="Century Gothic"/>
        </w:rPr>
        <w:t xml:space="preserve">s </w:t>
      </w:r>
      <w:r w:rsidRPr="00E03546">
        <w:rPr>
          <w:rFonts w:ascii="Verdana" w:eastAsia="Century Gothic" w:hAnsi="Verdana" w:cs="Century Gothic"/>
        </w:rPr>
        <w:t>problema</w:t>
      </w:r>
      <w:r>
        <w:rPr>
          <w:rFonts w:ascii="Verdana" w:eastAsia="Century Gothic" w:hAnsi="Verdana" w:cs="Century Gothic"/>
        </w:rPr>
        <w:t>s</w:t>
      </w:r>
      <w:r w:rsidRPr="00E03546">
        <w:rPr>
          <w:rFonts w:ascii="Verdana" w:eastAsia="Century Gothic" w:hAnsi="Verdana" w:cs="Century Gothic"/>
        </w:rPr>
        <w:t xml:space="preserve"> jurídico</w:t>
      </w:r>
      <w:r>
        <w:rPr>
          <w:rFonts w:ascii="Verdana" w:eastAsia="Century Gothic" w:hAnsi="Verdana" w:cs="Century Gothic"/>
        </w:rPr>
        <w:t>s</w:t>
      </w:r>
      <w:r w:rsidRPr="00E03546">
        <w:rPr>
          <w:rFonts w:ascii="Verdana" w:eastAsia="Century Gothic" w:hAnsi="Verdana" w:cs="Century Gothic"/>
        </w:rPr>
        <w:t xml:space="preserve">: </w:t>
      </w:r>
      <w:r w:rsidRPr="00F12784">
        <w:rPr>
          <w:rFonts w:ascii="Verdana" w:eastAsia="Verdana" w:hAnsi="Verdana" w:cs="Verdana"/>
        </w:rPr>
        <w:t>¿Es jurídicamente procedente adicionar el valor inicialmente pactado en un contrato estatal celebrado por un ente territorial con ocasión de una declaratoria de calamidad pública, y en caso afirmativo, existe un límite porcentual para dicha adición conforme al régimen de contratación pública colombiano?</w:t>
      </w:r>
    </w:p>
    <w:p w14:paraId="4DEB57F8" w14:textId="711D0FFD" w:rsidR="00881E72" w:rsidRPr="005D184E" w:rsidRDefault="00881E72" w:rsidP="00D7031B">
      <w:pPr>
        <w:pStyle w:val="Prrafodelista"/>
        <w:numPr>
          <w:ilvl w:val="0"/>
          <w:numId w:val="18"/>
        </w:numPr>
        <w:tabs>
          <w:tab w:val="left" w:pos="0"/>
          <w:tab w:val="left" w:pos="284"/>
        </w:tabs>
        <w:spacing w:after="0" w:line="276" w:lineRule="auto"/>
        <w:ind w:left="0" w:firstLine="0"/>
        <w:jc w:val="both"/>
        <w:rPr>
          <w:rFonts w:ascii="Verdana" w:eastAsia="Calibri" w:hAnsi="Verdana" w:cs="Arial"/>
          <w:b/>
        </w:rPr>
      </w:pPr>
      <w:r w:rsidRPr="005D184E">
        <w:rPr>
          <w:rFonts w:ascii="Verdana" w:eastAsia="Calibri" w:hAnsi="Verdana" w:cs="Arial"/>
          <w:b/>
        </w:rPr>
        <w:lastRenderedPageBreak/>
        <w:t>Respuesta:</w:t>
      </w:r>
    </w:p>
    <w:p w14:paraId="442675B7" w14:textId="77777777" w:rsidR="005D184E" w:rsidRDefault="005D184E" w:rsidP="005D184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D184E" w:rsidRPr="00DE5508" w14:paraId="0F08C5DD" w14:textId="77777777" w:rsidTr="0090067E">
        <w:tc>
          <w:tcPr>
            <w:tcW w:w="8828" w:type="dxa"/>
            <w:tcBorders>
              <w:top w:val="dotted" w:sz="4" w:space="0" w:color="auto"/>
              <w:left w:val="dotted" w:sz="4" w:space="0" w:color="auto"/>
              <w:bottom w:val="dotted" w:sz="4" w:space="0" w:color="auto"/>
              <w:right w:val="dotted" w:sz="4" w:space="0" w:color="auto"/>
            </w:tcBorders>
          </w:tcPr>
          <w:p w14:paraId="1AB0E332" w14:textId="6FB27932" w:rsidR="005D184E" w:rsidRPr="005D184E" w:rsidRDefault="005D184E" w:rsidP="005D184E">
            <w:pPr>
              <w:spacing w:after="120" w:line="276" w:lineRule="auto"/>
              <w:jc w:val="both"/>
            </w:pPr>
            <w:r w:rsidRPr="14E38EFB">
              <w:rPr>
                <w:rFonts w:ascii="Verdana" w:eastAsia="Calibri" w:hAnsi="Verdana" w:cs="Arial"/>
              </w:rPr>
              <w:t>i) Sí, es jurídicamente procedente adicionar el valor inicialmente pactado en un contrato celebrado por un ente territorial con ocasión de una declaratoria de desastre o calamidad pública. Los contratos suscritos en el marco de dichas situaciones, que se encuentran regulados por las disposiciones civiles y mercantiles conforme a lo previsto en el artículo 66 de la Ley 1523 de 2012, pueden ser objeto de adiciones presupuestales en el porcentaje establecido en el manual de contratación de la entidad. En caso de que dicho manual no contemple un límite específico, la adición podrá realizarse en el porcentaje que se considere necesario para alcanzar los fines establecidos en la Ley 1523 de 2012, especialmente los relacionados con la respuesta, rehabilitación y reconstrucción en el contexto de la gestión del riesgo de desastres.</w:t>
            </w:r>
          </w:p>
        </w:tc>
      </w:tr>
    </w:tbl>
    <w:p w14:paraId="3E740CA3" w14:textId="77777777" w:rsidR="00881E72" w:rsidRPr="00E03546" w:rsidRDefault="00881E72" w:rsidP="008E6F76">
      <w:pPr>
        <w:spacing w:after="0" w:line="276" w:lineRule="auto"/>
        <w:contextualSpacing/>
        <w:jc w:val="both"/>
        <w:rPr>
          <w:rFonts w:ascii="Verdana" w:eastAsia="Times New Roman" w:hAnsi="Verdana" w:cs="Arial"/>
          <w:lang w:eastAsia="es-ES_tradnl"/>
        </w:rPr>
      </w:pPr>
    </w:p>
    <w:p w14:paraId="26D007C8" w14:textId="0C278417" w:rsidR="00881E72" w:rsidRPr="00F3596F" w:rsidRDefault="00881E72" w:rsidP="00F3596F">
      <w:pPr>
        <w:tabs>
          <w:tab w:val="left" w:pos="142"/>
          <w:tab w:val="left" w:pos="284"/>
        </w:tabs>
        <w:spacing w:after="120" w:line="276" w:lineRule="auto"/>
        <w:jc w:val="both"/>
        <w:rPr>
          <w:rFonts w:ascii="Verdana" w:eastAsia="Century Gothic" w:hAnsi="Verdana" w:cs="Century Gothic"/>
          <w:b/>
          <w:bCs/>
        </w:rPr>
      </w:pPr>
      <w:r w:rsidRPr="00E03546">
        <w:rPr>
          <w:rFonts w:ascii="Verdana" w:eastAsia="Century Gothic" w:hAnsi="Verdana" w:cs="Century Gothic"/>
          <w:b/>
          <w:bCs/>
        </w:rPr>
        <w:t>3. Razones de la respuesta:</w:t>
      </w:r>
      <w:bookmarkStart w:id="0" w:name="_Hlk36018082"/>
    </w:p>
    <w:p w14:paraId="66D3B47C" w14:textId="7D61D618" w:rsidR="008E6F76" w:rsidRPr="00F3596F" w:rsidRDefault="00881E72" w:rsidP="00F3596F">
      <w:pPr>
        <w:spacing w:after="120" w:line="276" w:lineRule="auto"/>
        <w:jc w:val="both"/>
        <w:rPr>
          <w:rFonts w:ascii="Verdana" w:eastAsia="Calibri" w:hAnsi="Verdana" w:cs="Arial"/>
        </w:rPr>
      </w:pPr>
      <w:r w:rsidRPr="00E03546">
        <w:rPr>
          <w:rFonts w:ascii="Verdana" w:eastAsia="Calibri" w:hAnsi="Verdana" w:cs="Arial"/>
        </w:rPr>
        <w:t xml:space="preserve">Lo anterior se sustenta en las siguientes consideraciones: </w:t>
      </w:r>
      <w:bookmarkEnd w:id="0"/>
    </w:p>
    <w:p w14:paraId="19E23F43" w14:textId="7B007CA8" w:rsidR="00881E72" w:rsidRPr="00077021" w:rsidRDefault="00881E72" w:rsidP="00077021">
      <w:pPr>
        <w:pStyle w:val="Textoindependiente"/>
        <w:spacing w:after="120" w:line="276" w:lineRule="auto"/>
        <w:ind w:firstLine="300"/>
        <w:jc w:val="both"/>
        <w:rPr>
          <w:rFonts w:ascii="Verdana" w:hAnsi="Verdana"/>
        </w:rPr>
      </w:pPr>
      <w:r w:rsidRPr="00077021">
        <w:rPr>
          <w:rFonts w:ascii="Verdana" w:hAnsi="Verdana"/>
        </w:rPr>
        <w:t>La Ley 1523 de 2012, “por la cual se adopta la política nacional de gestión del riesgo de desastres y se establece el Sistema Nacional de Gestión del Riesgo de Desastres y se dictan otras disposiciones”, establece que para atender situaciones de desastre y calamidad pública la norma establecerá el régimen aplicable a los contratos, empréstitos y control fiscal de recursos, para garantizar el regreso a la normalidad</w:t>
      </w:r>
      <w:r w:rsidR="00077021">
        <w:rPr>
          <w:rStyle w:val="Refdenotaalpie"/>
          <w:rFonts w:ascii="Verdana" w:hAnsi="Verdana"/>
        </w:rPr>
        <w:footnoteReference w:id="1"/>
      </w:r>
      <w:r w:rsidRPr="00077021">
        <w:rPr>
          <w:rFonts w:ascii="Verdana" w:hAnsi="Verdana"/>
        </w:rPr>
        <w:t>.</w:t>
      </w:r>
    </w:p>
    <w:p w14:paraId="32355A79" w14:textId="77777777" w:rsidR="00881E72" w:rsidRPr="00FB70A7" w:rsidRDefault="00881E72" w:rsidP="00077021">
      <w:pPr>
        <w:pStyle w:val="Textoindependiente"/>
        <w:spacing w:after="120" w:line="276" w:lineRule="auto"/>
        <w:ind w:firstLine="300"/>
        <w:jc w:val="both"/>
        <w:rPr>
          <w:rFonts w:ascii="Verdana" w:hAnsi="Verdana"/>
        </w:rPr>
      </w:pPr>
      <w:r w:rsidRPr="00FB70A7">
        <w:rPr>
          <w:rFonts w:ascii="Verdana" w:hAnsi="Verdana"/>
        </w:rPr>
        <w:t xml:space="preserve">El artículo 66 señala que los contratos celebrados en relación con las actividades de la declaratoria de desastre y calamidad pública, “(…) se someterán a los requisitos y formalidades que exige la ley para la contratación entre particulares, con sujeción al régimen especial dispuesto en el artículo 13 de la Ley 1150 de 2007 (…)”, es decir, que se regirán por las disposiciones civiles </w:t>
      </w:r>
      <w:r w:rsidRPr="00FB70A7">
        <w:rPr>
          <w:rFonts w:ascii="Verdana" w:hAnsi="Verdana"/>
        </w:rPr>
        <w:lastRenderedPageBreak/>
        <w:t>y mercantiles durante el tiempo que dure la situación de desastre y/o calamidad pública, teniendo la facultad de incorporar las cláusulas excepcionales previstas en el Estatuto General de la Contratación Pública. Para estos contratos, el parágrafo del artículo 66 señaló que se someterán a las reglas de control fiscal establecidas en los artículos 42 y 43 de la Ley 80 de 1993 y demás normas que la modifiquen</w:t>
      </w:r>
      <w:r w:rsidRPr="00FB70A7">
        <w:rPr>
          <w:rStyle w:val="Refdenotaalpie"/>
          <w:rFonts w:ascii="Verdana" w:hAnsi="Verdana"/>
        </w:rPr>
        <w:footnoteReference w:id="2"/>
      </w:r>
      <w:r w:rsidRPr="00FB70A7">
        <w:rPr>
          <w:rFonts w:ascii="Verdana" w:hAnsi="Verdana"/>
        </w:rPr>
        <w:t>.</w:t>
      </w:r>
    </w:p>
    <w:p w14:paraId="0307482A" w14:textId="77777777" w:rsidR="00D7031B" w:rsidRDefault="00881E72" w:rsidP="00D7031B">
      <w:pPr>
        <w:pStyle w:val="Textoindependiente"/>
        <w:spacing w:after="120" w:line="276" w:lineRule="auto"/>
        <w:ind w:firstLine="300"/>
        <w:jc w:val="both"/>
        <w:rPr>
          <w:rFonts w:ascii="Verdana" w:hAnsi="Verdana"/>
          <w:sz w:val="16"/>
          <w:szCs w:val="16"/>
        </w:rPr>
      </w:pPr>
      <w:r w:rsidRPr="00FB70A7">
        <w:rPr>
          <w:rFonts w:ascii="Verdana" w:hAnsi="Verdana"/>
        </w:rPr>
        <w:t>En este sentido, el legislador contempló que para poder solucionar los riesgos generados por las situaciones que dieron lugar a la declaratoria de calamidad o desastre, se debían incorporar mecanismos que permitieran mayor eficacia y gestión que no podría garantizarse con la aplicación de las normas que rigen la contratación estatal, para ello estableció que en los contratos se debían aplicar la normas que rigen los negocios jurídicos entre</w:t>
      </w:r>
      <w:r w:rsidRPr="00FB70A7">
        <w:rPr>
          <w:rFonts w:ascii="Verdana" w:hAnsi="Verdana"/>
          <w:spacing w:val="-3"/>
        </w:rPr>
        <w:t xml:space="preserve"> </w:t>
      </w:r>
      <w:r w:rsidRPr="00FB70A7">
        <w:rPr>
          <w:rFonts w:ascii="Verdana" w:hAnsi="Verdana"/>
        </w:rPr>
        <w:t>particulares.</w:t>
      </w:r>
    </w:p>
    <w:p w14:paraId="496837AB" w14:textId="77777777" w:rsidR="00881E72" w:rsidRPr="00D7031B" w:rsidRDefault="00881E72" w:rsidP="00D7031B">
      <w:pPr>
        <w:pStyle w:val="Textoindependiente"/>
        <w:spacing w:after="120" w:line="276" w:lineRule="auto"/>
        <w:ind w:firstLine="300"/>
        <w:jc w:val="both"/>
        <w:rPr>
          <w:rFonts w:ascii="Verdana" w:hAnsi="Verdana"/>
          <w:sz w:val="16"/>
          <w:szCs w:val="16"/>
        </w:rPr>
      </w:pPr>
      <w:r w:rsidRPr="00FB70A7">
        <w:rPr>
          <w:rFonts w:ascii="Verdana" w:hAnsi="Verdana"/>
        </w:rPr>
        <w:t>En este orden de ideas, en el ordenamiento jurídico se contempló que para algunas actividades y situaciones especiales de las entidades públicas sus contratos no se someterían al Estatuto General de Contratación de la Administración Pública, caso en el cual su régimen de contratación corresponde al derecho privado. Sin embargo, el artículo 13 de la Ley 1150 de 2007 prescribe que las entidades del Estado cuyo régimen de contratación sea diferente al Estatuto General de Contratación de la Administración Pública deberán, en desarrollo de su actividad contractual, aplicar los principios de la función administrativa y de la gestión fiscal, así como el régimen de inhabilidades e incompatibilidades:</w:t>
      </w:r>
    </w:p>
    <w:p w14:paraId="3E2C6EBE" w14:textId="77777777" w:rsidR="00881E72" w:rsidRPr="00FB70A7" w:rsidRDefault="00881E72" w:rsidP="00881E72">
      <w:pPr>
        <w:pStyle w:val="Textoindependiente"/>
        <w:spacing w:before="2"/>
        <w:rPr>
          <w:rFonts w:ascii="Verdana" w:hAnsi="Verdana"/>
          <w:sz w:val="25"/>
          <w:szCs w:val="25"/>
        </w:rPr>
      </w:pPr>
    </w:p>
    <w:p w14:paraId="49A154C7" w14:textId="77777777" w:rsidR="00881E72" w:rsidRPr="00FB70A7" w:rsidRDefault="00881E72" w:rsidP="00077021">
      <w:pPr>
        <w:spacing w:after="120"/>
        <w:ind w:left="709" w:right="709"/>
        <w:jc w:val="both"/>
        <w:rPr>
          <w:rFonts w:ascii="Verdana" w:hAnsi="Verdana"/>
          <w:sz w:val="21"/>
          <w:szCs w:val="21"/>
        </w:rPr>
      </w:pPr>
      <w:r w:rsidRPr="00FB70A7">
        <w:rPr>
          <w:rFonts w:ascii="Verdana" w:hAnsi="Verdana"/>
          <w:sz w:val="21"/>
          <w:szCs w:val="21"/>
        </w:rPr>
        <w:t xml:space="preserve">Artículo 13. Principios generales de la actividad contractual para entidades no sometidas al estatuto general de contratación de la administración pública. Las entidades estatales que por disposición </w:t>
      </w:r>
      <w:r w:rsidRPr="00FB70A7">
        <w:rPr>
          <w:rFonts w:ascii="Verdana" w:hAnsi="Verdana"/>
          <w:sz w:val="21"/>
          <w:szCs w:val="21"/>
        </w:rPr>
        <w:lastRenderedPageBreak/>
        <w:t>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63E0B002" w14:textId="4391622E" w:rsidR="00881E72" w:rsidRPr="00D7031B" w:rsidRDefault="00881E72" w:rsidP="006A1E6F">
      <w:pPr>
        <w:pStyle w:val="Textoindependiente"/>
        <w:spacing w:after="120" w:line="276" w:lineRule="auto"/>
        <w:ind w:firstLine="426"/>
        <w:jc w:val="both"/>
        <w:rPr>
          <w:rFonts w:ascii="Verdana" w:hAnsi="Verdana"/>
        </w:rPr>
      </w:pPr>
      <w:r w:rsidRPr="00FB70A7">
        <w:rPr>
          <w:rFonts w:ascii="Verdana" w:hAnsi="Verdana"/>
        </w:rPr>
        <w:t xml:space="preserve">En sentencia del Consejo de Estado, Sala de lo Contencioso Administrativo, Sección Tercera, Subsección C, radicado No. 13001-23-31-000-2000-00341-01 (25.801), del 8 de abril de 2014, con ponencia del </w:t>
      </w:r>
      <w:proofErr w:type="gramStart"/>
      <w:r w:rsidRPr="00FB70A7">
        <w:rPr>
          <w:rFonts w:ascii="Verdana" w:hAnsi="Verdana"/>
        </w:rPr>
        <w:t>Consejero</w:t>
      </w:r>
      <w:proofErr w:type="gramEnd"/>
      <w:r w:rsidRPr="00FB70A7">
        <w:rPr>
          <w:rFonts w:ascii="Verdana" w:hAnsi="Verdana"/>
        </w:rPr>
        <w:t xml:space="preserve"> Enrique Gil Botero, expresó que los contratos que se rigen por normas del derecho privado deben respetar los principios constitucionales, pero esto no significa que se rijan por las normas del Estatuto General de la Contratación Pública. Al respecto se</w:t>
      </w:r>
      <w:r w:rsidRPr="00FB70A7">
        <w:rPr>
          <w:rFonts w:ascii="Verdana" w:hAnsi="Verdana"/>
          <w:spacing w:val="-10"/>
        </w:rPr>
        <w:t xml:space="preserve"> </w:t>
      </w:r>
      <w:r w:rsidRPr="00FB70A7">
        <w:rPr>
          <w:rFonts w:ascii="Verdana" w:hAnsi="Verdana"/>
        </w:rPr>
        <w:t>pronunció:</w:t>
      </w:r>
    </w:p>
    <w:p w14:paraId="3DCD2028" w14:textId="77777777" w:rsidR="00881E72" w:rsidRPr="00FB70A7" w:rsidRDefault="00881E72" w:rsidP="00077021">
      <w:pPr>
        <w:spacing w:after="120"/>
        <w:ind w:left="709" w:right="709"/>
        <w:jc w:val="both"/>
        <w:rPr>
          <w:rFonts w:ascii="Verdana" w:hAnsi="Verdana"/>
          <w:sz w:val="21"/>
          <w:szCs w:val="21"/>
        </w:rPr>
      </w:pPr>
      <w:r w:rsidRPr="00FB70A7">
        <w:rPr>
          <w:rFonts w:ascii="Verdana" w:hAnsi="Verdana"/>
          <w:sz w:val="21"/>
          <w:szCs w:val="21"/>
        </w:rPr>
        <w:t>El resultado que produjo esta combinación de normas de derecho privado con principios constitucionales es lo que experimentan las entidades excluidas, porque la pureza del derecho privado no la pueden aplicar, so pena de trasgredir los principios constitucionales. No obstante, esto tampoco significa que el régimen contractual de esas entidades haya pasado a ser la Ley 80, porque de ninguna manera se dispuso algo semejante.</w:t>
      </w:r>
    </w:p>
    <w:p w14:paraId="015779CC" w14:textId="77777777" w:rsidR="00881E72" w:rsidRPr="00FB70A7" w:rsidRDefault="00881E72" w:rsidP="00077021">
      <w:pPr>
        <w:spacing w:after="120"/>
        <w:ind w:left="709" w:right="709"/>
        <w:jc w:val="both"/>
        <w:rPr>
          <w:rFonts w:ascii="Verdana" w:hAnsi="Verdana"/>
          <w:sz w:val="21"/>
          <w:szCs w:val="21"/>
        </w:rPr>
      </w:pPr>
      <w:r w:rsidRPr="00FB70A7">
        <w:rPr>
          <w:rFonts w:ascii="Verdana" w:hAnsi="Verdana"/>
          <w:sz w:val="21"/>
          <w:szCs w:val="21"/>
        </w:rPr>
        <w:t>(…)</w:t>
      </w:r>
    </w:p>
    <w:p w14:paraId="13E843BB" w14:textId="77777777" w:rsidR="00881E72" w:rsidRPr="00FB70A7" w:rsidRDefault="00881E72" w:rsidP="00077021">
      <w:pPr>
        <w:spacing w:after="120"/>
        <w:ind w:left="709" w:right="709"/>
        <w:jc w:val="both"/>
        <w:rPr>
          <w:rFonts w:ascii="Verdana" w:hAnsi="Verdana"/>
          <w:sz w:val="21"/>
          <w:szCs w:val="21"/>
        </w:rPr>
      </w:pPr>
      <w:r w:rsidRPr="00FB70A7">
        <w:rPr>
          <w:rFonts w:ascii="Verdana" w:hAnsi="Verdana"/>
          <w:sz w:val="21"/>
          <w:szCs w:val="21"/>
        </w:rPr>
        <w:t xml:space="preserve">En este contexto, lo que no pueden negar el derecho privado ni el administrativo es que en las instituciones públicas se vive una novedad jurídica que produce dificultades e inseguridad jurídica para sus aplicadores, pues la mezcla de regímenes, que materializan en manuales de contratación, es altamente debatible, porque la suficiencia con que recojan en ellos la </w:t>
      </w:r>
      <w:proofErr w:type="spellStart"/>
      <w:r w:rsidRPr="00FB70A7">
        <w:rPr>
          <w:rFonts w:ascii="Verdana" w:hAnsi="Verdana"/>
          <w:sz w:val="21"/>
          <w:szCs w:val="21"/>
        </w:rPr>
        <w:t>principialística</w:t>
      </w:r>
      <w:proofErr w:type="spellEnd"/>
      <w:r w:rsidRPr="00FB70A7">
        <w:rPr>
          <w:rFonts w:ascii="Verdana" w:hAnsi="Verdana"/>
          <w:sz w:val="21"/>
          <w:szCs w:val="21"/>
        </w:rPr>
        <w:t xml:space="preserve"> constitucional ofrece dudas, que sólo se dirimen analizando cada caso</w:t>
      </w:r>
      <w:r w:rsidRPr="00FB70A7">
        <w:rPr>
          <w:rFonts w:ascii="Verdana" w:hAnsi="Verdana"/>
          <w:spacing w:val="-16"/>
          <w:sz w:val="21"/>
          <w:szCs w:val="21"/>
        </w:rPr>
        <w:t xml:space="preserve"> </w:t>
      </w:r>
      <w:r w:rsidRPr="00FB70A7">
        <w:rPr>
          <w:rFonts w:ascii="Verdana" w:hAnsi="Verdana"/>
          <w:sz w:val="21"/>
          <w:szCs w:val="21"/>
        </w:rPr>
        <w:t>concreto.</w:t>
      </w:r>
    </w:p>
    <w:p w14:paraId="1BE3CCD0" w14:textId="2528B41A" w:rsidR="00881E72" w:rsidRPr="00D7031B" w:rsidRDefault="00881E72" w:rsidP="006A1E6F">
      <w:pPr>
        <w:pStyle w:val="Textoindependiente"/>
        <w:spacing w:after="120" w:line="276" w:lineRule="auto"/>
        <w:ind w:firstLine="426"/>
        <w:jc w:val="both"/>
        <w:rPr>
          <w:rFonts w:ascii="Verdana" w:hAnsi="Verdana"/>
        </w:rPr>
      </w:pPr>
      <w:r w:rsidRPr="00FB70A7">
        <w:rPr>
          <w:rFonts w:ascii="Verdana" w:hAnsi="Verdana"/>
        </w:rPr>
        <w:t>En este contexto, no puede predicarse que un contrato que se rige por normas del derecho privado, por el hecho de tener la obligación de observar y respetar los principios de la función administrativa y gestión fiscal, consagrados en la Constitución Política, deba aplicar las reglas del Estatuto General de la Contratación Pública.</w:t>
      </w:r>
    </w:p>
    <w:p w14:paraId="0D350575" w14:textId="77777777" w:rsidR="00D7031B" w:rsidRDefault="00881E72" w:rsidP="006A1E6F">
      <w:pPr>
        <w:pStyle w:val="Textoindependiente"/>
        <w:spacing w:after="120" w:line="276" w:lineRule="auto"/>
        <w:ind w:firstLine="426"/>
        <w:jc w:val="both"/>
        <w:rPr>
          <w:rFonts w:ascii="Verdana" w:hAnsi="Verdana"/>
        </w:rPr>
      </w:pPr>
      <w:r w:rsidRPr="00FB70A7">
        <w:rPr>
          <w:rFonts w:ascii="Verdana" w:hAnsi="Verdana"/>
        </w:rPr>
        <w:t xml:space="preserve">Por consiguiente, el régimen jurídico aplicable a los contratos celebrados con ocasión de la declaratoria de calamidad pública, previstos en la Ley 1523 de </w:t>
      </w:r>
      <w:r w:rsidRPr="00FB70A7">
        <w:rPr>
          <w:rFonts w:ascii="Verdana" w:hAnsi="Verdana"/>
        </w:rPr>
        <w:lastRenderedPageBreak/>
        <w:t>2012, serán las normas civiles y comerciales; las estipulaciones que se encuentren en el manual de contratación de la entidad; por los artículos 42 y 43 de la Ley 80; y por los principios constitucionales de la funciona administrativa y la gestión</w:t>
      </w:r>
      <w:r w:rsidRPr="00FB70A7">
        <w:rPr>
          <w:rFonts w:ascii="Verdana" w:hAnsi="Verdana"/>
          <w:spacing w:val="-9"/>
        </w:rPr>
        <w:t xml:space="preserve"> </w:t>
      </w:r>
      <w:r w:rsidRPr="00FB70A7">
        <w:rPr>
          <w:rFonts w:ascii="Verdana" w:hAnsi="Verdana"/>
        </w:rPr>
        <w:t>fiscal.</w:t>
      </w:r>
    </w:p>
    <w:p w14:paraId="28037EFB" w14:textId="62C700FF" w:rsidR="00881E72" w:rsidRPr="00D7031B" w:rsidRDefault="00881E72" w:rsidP="006A1E6F">
      <w:pPr>
        <w:pStyle w:val="Textoindependiente"/>
        <w:spacing w:after="120" w:line="276" w:lineRule="auto"/>
        <w:ind w:firstLine="426"/>
        <w:jc w:val="both"/>
        <w:rPr>
          <w:rFonts w:ascii="Verdana" w:hAnsi="Verdana"/>
        </w:rPr>
      </w:pPr>
      <w:r w:rsidRPr="00FB70A7">
        <w:rPr>
          <w:rFonts w:ascii="Verdana" w:hAnsi="Verdana"/>
        </w:rPr>
        <w:t>Ahora bien, en torno a la adición en los contratos con régimen</w:t>
      </w:r>
      <w:r w:rsidRPr="00FB70A7">
        <w:rPr>
          <w:rFonts w:ascii="Verdana" w:hAnsi="Verdana"/>
          <w:spacing w:val="-5"/>
        </w:rPr>
        <w:t xml:space="preserve"> </w:t>
      </w:r>
      <w:r w:rsidRPr="00FB70A7">
        <w:rPr>
          <w:rFonts w:ascii="Verdana" w:hAnsi="Verdana"/>
        </w:rPr>
        <w:t xml:space="preserve">exceptuado, en comparación con </w:t>
      </w:r>
      <w:r>
        <w:rPr>
          <w:rFonts w:ascii="Verdana" w:hAnsi="Verdana"/>
        </w:rPr>
        <w:t>l</w:t>
      </w:r>
      <w:r w:rsidRPr="00FB70A7">
        <w:rPr>
          <w:rFonts w:ascii="Verdana" w:hAnsi="Verdana"/>
        </w:rPr>
        <w:t>a adición de contratos regidos por la Ley 80 de 1993</w:t>
      </w:r>
      <w:r>
        <w:rPr>
          <w:rFonts w:ascii="Verdana" w:hAnsi="Verdana"/>
        </w:rPr>
        <w:t xml:space="preserve">, la primera </w:t>
      </w:r>
      <w:r w:rsidRPr="00FB70A7">
        <w:rPr>
          <w:rFonts w:ascii="Verdana" w:hAnsi="Verdana"/>
        </w:rPr>
        <w:t xml:space="preserve">no se encuentra definida por el Estatuto General de la Contratación Pública, sino que únicamente el legislador se restringió a señalar un límite para </w:t>
      </w:r>
      <w:r>
        <w:rPr>
          <w:rFonts w:ascii="Verdana" w:hAnsi="Verdana"/>
        </w:rPr>
        <w:t>respecto a los regidos por régimen de contratación pública</w:t>
      </w:r>
      <w:r w:rsidRPr="00FB70A7">
        <w:rPr>
          <w:rFonts w:ascii="Verdana" w:hAnsi="Verdana"/>
        </w:rPr>
        <w:t>, el cual fue establecido en el artículo 40 de la Ley 80 de 1993, donde se reguló la manera como las entidades del Estado pueden realizar adiciones a sus contratos. Prescribe que no podrán realizarse adiciones por más del 50% del valor inicial del contrato:</w:t>
      </w:r>
    </w:p>
    <w:p w14:paraId="292B3827" w14:textId="77777777" w:rsidR="00881E72" w:rsidRPr="00380A6A" w:rsidRDefault="00881E72" w:rsidP="00077021">
      <w:pPr>
        <w:spacing w:after="0"/>
        <w:ind w:left="709" w:right="709"/>
        <w:jc w:val="both"/>
        <w:rPr>
          <w:rFonts w:ascii="Verdana" w:hAnsi="Verdana"/>
          <w:sz w:val="21"/>
          <w:szCs w:val="21"/>
        </w:rPr>
      </w:pPr>
      <w:r w:rsidRPr="00380A6A">
        <w:rPr>
          <w:rFonts w:ascii="Verdana" w:hAnsi="Verdana"/>
          <w:sz w:val="21"/>
          <w:szCs w:val="21"/>
        </w:rPr>
        <w:t>Artículo 40. Del contenido del contrato estatal. Las estipulaciones de los contratos serán las que de acuerdo con las normas civiles, comerciales y las previstas en esta ley, correspondan a su esencia y naturaleza.</w:t>
      </w:r>
    </w:p>
    <w:p w14:paraId="7A160941" w14:textId="77777777" w:rsidR="00881E72" w:rsidRPr="00380A6A" w:rsidRDefault="00881E72" w:rsidP="00077021">
      <w:pPr>
        <w:spacing w:after="0"/>
        <w:ind w:left="709" w:right="709"/>
        <w:jc w:val="both"/>
        <w:rPr>
          <w:rFonts w:ascii="Verdana" w:hAnsi="Verdana"/>
          <w:sz w:val="21"/>
          <w:szCs w:val="21"/>
        </w:rPr>
      </w:pPr>
      <w:r w:rsidRPr="00380A6A">
        <w:rPr>
          <w:rFonts w:ascii="Verdana" w:hAnsi="Verdana"/>
          <w:sz w:val="21"/>
          <w:szCs w:val="21"/>
        </w:rPr>
        <w:t>Las entidades podrán celebrar los contratos y acuerdos que permitan la autonomía de la voluntad y requieran el cumplimiento de los fines estatales.</w:t>
      </w:r>
    </w:p>
    <w:p w14:paraId="3A6E01B1" w14:textId="77777777" w:rsidR="00881E72" w:rsidRPr="00380A6A" w:rsidRDefault="00881E72" w:rsidP="00077021">
      <w:pPr>
        <w:spacing w:after="0" w:line="241" w:lineRule="exact"/>
        <w:ind w:left="709" w:right="709"/>
        <w:rPr>
          <w:rFonts w:ascii="Verdana" w:hAnsi="Verdana"/>
          <w:sz w:val="21"/>
          <w:szCs w:val="21"/>
        </w:rPr>
      </w:pPr>
      <w:r w:rsidRPr="00380A6A">
        <w:rPr>
          <w:rFonts w:ascii="Verdana" w:hAnsi="Verdana"/>
          <w:sz w:val="21"/>
          <w:szCs w:val="21"/>
        </w:rPr>
        <w:t>(…)</w:t>
      </w:r>
    </w:p>
    <w:p w14:paraId="2590FC68" w14:textId="77777777" w:rsidR="00380A6A" w:rsidRDefault="00881E72" w:rsidP="00077021">
      <w:pPr>
        <w:spacing w:after="0"/>
        <w:ind w:left="709" w:right="709"/>
        <w:jc w:val="both"/>
        <w:rPr>
          <w:rFonts w:ascii="Verdana" w:hAnsi="Verdana"/>
          <w:sz w:val="21"/>
          <w:szCs w:val="21"/>
        </w:rPr>
      </w:pPr>
      <w:r w:rsidRPr="00380A6A">
        <w:rPr>
          <w:rFonts w:ascii="Verdana" w:hAnsi="Verdana"/>
          <w:sz w:val="21"/>
          <w:szCs w:val="21"/>
        </w:rPr>
        <w:t>Parágrafo. En los contratos que celebren las entidades estatales se podrá pactar el pago anticipado y la entrega de anticipos, pero su monto no podrá exceder del cincuenta por ciento (50%) del valor del respectivo contrato.</w:t>
      </w:r>
    </w:p>
    <w:p w14:paraId="38E35F4C" w14:textId="77777777" w:rsidR="00380A6A" w:rsidRDefault="00380A6A" w:rsidP="00077021">
      <w:pPr>
        <w:spacing w:after="0"/>
        <w:ind w:left="709" w:right="709"/>
        <w:jc w:val="both"/>
        <w:rPr>
          <w:rFonts w:ascii="Verdana" w:hAnsi="Verdana"/>
          <w:sz w:val="21"/>
          <w:szCs w:val="21"/>
        </w:rPr>
      </w:pPr>
    </w:p>
    <w:p w14:paraId="5950DEA4" w14:textId="462FF554" w:rsidR="00881E72" w:rsidRPr="00380A6A" w:rsidRDefault="00881E72" w:rsidP="00077021">
      <w:pPr>
        <w:spacing w:after="0"/>
        <w:ind w:left="709" w:right="709"/>
        <w:jc w:val="both"/>
        <w:rPr>
          <w:rFonts w:ascii="Verdana" w:hAnsi="Verdana"/>
          <w:sz w:val="21"/>
          <w:szCs w:val="21"/>
        </w:rPr>
      </w:pPr>
      <w:r w:rsidRPr="00380A6A">
        <w:rPr>
          <w:rFonts w:ascii="Verdana" w:hAnsi="Verdana"/>
          <w:sz w:val="21"/>
          <w:szCs w:val="21"/>
        </w:rPr>
        <w:t>Los contratos no podrán adicionarse en más del</w:t>
      </w:r>
      <w:r w:rsidR="00380A6A">
        <w:rPr>
          <w:rFonts w:ascii="Verdana" w:hAnsi="Verdana"/>
          <w:sz w:val="21"/>
          <w:szCs w:val="21"/>
        </w:rPr>
        <w:t xml:space="preserve"> </w:t>
      </w:r>
      <w:r w:rsidRPr="00380A6A">
        <w:rPr>
          <w:rFonts w:ascii="Verdana" w:hAnsi="Verdana"/>
          <w:sz w:val="21"/>
          <w:szCs w:val="21"/>
        </w:rPr>
        <w:t>cincuenta por ciento (50%) de su valor inicial, expresado éste en salarios mínimos legales mensuales</w:t>
      </w:r>
      <w:r w:rsidRPr="00380A6A">
        <w:rPr>
          <w:rFonts w:ascii="Verdana" w:hAnsi="Verdana"/>
        </w:rPr>
        <w:t>.</w:t>
      </w:r>
    </w:p>
    <w:p w14:paraId="0E7A13CC" w14:textId="77777777" w:rsidR="00881E72" w:rsidRPr="008B3EFB" w:rsidRDefault="00881E72" w:rsidP="00881E72">
      <w:pPr>
        <w:pStyle w:val="Textoindependiente"/>
        <w:spacing w:before="10"/>
        <w:rPr>
          <w:sz w:val="24"/>
          <w:szCs w:val="24"/>
        </w:rPr>
      </w:pPr>
    </w:p>
    <w:p w14:paraId="7C5620E5" w14:textId="77777777" w:rsidR="00D7031B" w:rsidRDefault="00881E72" w:rsidP="00D7031B">
      <w:pPr>
        <w:pStyle w:val="Textoindependiente"/>
        <w:spacing w:after="120" w:line="276" w:lineRule="auto"/>
        <w:ind w:firstLine="408"/>
        <w:jc w:val="both"/>
        <w:rPr>
          <w:rFonts w:ascii="Verdana" w:hAnsi="Verdana"/>
        </w:rPr>
      </w:pPr>
      <w:r w:rsidRPr="00FB70A7">
        <w:rPr>
          <w:rFonts w:ascii="Verdana" w:hAnsi="Verdana"/>
        </w:rPr>
        <w:t>En este orden de ideas, las entidades sometidas al Estatuto General de la contratación pública tienen un límite para adicionar sus contratos, que no podrá superar el 50% del valor inicial del contrato.</w:t>
      </w:r>
    </w:p>
    <w:p w14:paraId="1369C5DB" w14:textId="77777777" w:rsidR="00F97644" w:rsidRDefault="00881E72" w:rsidP="00F97644">
      <w:pPr>
        <w:pStyle w:val="Textoindependiente"/>
        <w:spacing w:after="120" w:line="276" w:lineRule="auto"/>
        <w:ind w:firstLine="408"/>
        <w:jc w:val="both"/>
        <w:rPr>
          <w:rFonts w:ascii="Verdana" w:hAnsi="Verdana"/>
        </w:rPr>
      </w:pPr>
      <w:r w:rsidRPr="00FB70A7">
        <w:rPr>
          <w:rFonts w:ascii="Verdana" w:hAnsi="Verdana"/>
        </w:rPr>
        <w:t xml:space="preserve">Cosa distinta sucede con los contratos de la Ley </w:t>
      </w:r>
      <w:r>
        <w:rPr>
          <w:rFonts w:ascii="Verdana" w:hAnsi="Verdana"/>
        </w:rPr>
        <w:t>1523 de 2012</w:t>
      </w:r>
      <w:r w:rsidRPr="00FB70A7">
        <w:rPr>
          <w:rFonts w:ascii="Verdana" w:hAnsi="Verdana"/>
        </w:rPr>
        <w:t xml:space="preserve">, pues aplican las normas civiles y comerciales, el manual de contratación de la entidad y los principios constitucionales de la funciona administrativa y la gestión fiscal. En este orden de ideas, como las normas civiles y comerciales no limitan la posibilidad de adicionar los contratos en un porcentaje, las entidades que tienen </w:t>
      </w:r>
      <w:r w:rsidRPr="00FB70A7">
        <w:rPr>
          <w:rFonts w:ascii="Verdana" w:hAnsi="Verdana"/>
        </w:rPr>
        <w:lastRenderedPageBreak/>
        <w:t>régimen especial</w:t>
      </w:r>
      <w:r>
        <w:rPr>
          <w:rFonts w:ascii="Verdana" w:hAnsi="Verdana"/>
        </w:rPr>
        <w:t xml:space="preserve"> y/o procedimientos contractuales con régimen especial</w:t>
      </w:r>
      <w:r w:rsidRPr="00FB70A7">
        <w:rPr>
          <w:rFonts w:ascii="Verdana" w:hAnsi="Verdana"/>
        </w:rPr>
        <w:t xml:space="preserve"> deben observar las reglas establecidas en sus manuales de contratación, y si estos no incorporan ningún porcentaje, podrán realizar las adiciones en el porcentaje que consideren</w:t>
      </w:r>
      <w:r w:rsidRPr="00FB70A7">
        <w:rPr>
          <w:rFonts w:ascii="Verdana" w:hAnsi="Verdana"/>
          <w:spacing w:val="-18"/>
        </w:rPr>
        <w:t xml:space="preserve"> </w:t>
      </w:r>
      <w:r w:rsidRPr="00FB70A7">
        <w:rPr>
          <w:rFonts w:ascii="Verdana" w:hAnsi="Verdana"/>
        </w:rPr>
        <w:t>necesario.</w:t>
      </w:r>
    </w:p>
    <w:p w14:paraId="0EE8A561" w14:textId="77777777" w:rsidR="00881E72" w:rsidRPr="00C85CA2" w:rsidRDefault="00881E72" w:rsidP="00F97644">
      <w:pPr>
        <w:pStyle w:val="Textoindependiente"/>
        <w:spacing w:after="120" w:line="276" w:lineRule="auto"/>
        <w:ind w:firstLine="408"/>
        <w:jc w:val="both"/>
        <w:rPr>
          <w:rFonts w:ascii="Verdana" w:hAnsi="Verdana"/>
        </w:rPr>
      </w:pPr>
      <w:r w:rsidRPr="00FB70A7">
        <w:rPr>
          <w:rFonts w:ascii="Verdana" w:hAnsi="Verdana"/>
        </w:rPr>
        <w:t>En consecuencia, como la Ley 1523 de 2012 no estableció un límite para la adición, ni remitió a la aplicación del artículo 40 de la Ley 80 de 1993, aplican las reglas previstas en el manual de contratación de la entidad, y si no establece ningún límite la entidad puede adicionar el contrato en el porcentaje que considere necesario según el caso</w:t>
      </w:r>
      <w:r w:rsidRPr="00FB70A7">
        <w:rPr>
          <w:rFonts w:ascii="Verdana" w:hAnsi="Verdana"/>
          <w:spacing w:val="-26"/>
        </w:rPr>
        <w:t xml:space="preserve"> </w:t>
      </w:r>
      <w:r w:rsidRPr="00FB70A7">
        <w:rPr>
          <w:rFonts w:ascii="Verdana" w:hAnsi="Verdana"/>
        </w:rPr>
        <w:t>concreto</w:t>
      </w:r>
      <w:r>
        <w:rPr>
          <w:rFonts w:ascii="Verdana" w:hAnsi="Verdana"/>
        </w:rPr>
        <w:t xml:space="preserve">, en aras de garantizar la finalidad de la </w:t>
      </w:r>
      <w:r w:rsidRPr="00C85CA2">
        <w:rPr>
          <w:rFonts w:ascii="Verdana" w:hAnsi="Verdana"/>
          <w:lang w:val="es-CO"/>
        </w:rPr>
        <w:t>formulación, ejecución, seguimiento y evaluación de políticas, estrategias, planes, programas, regulaciones, instrumentos, medidas y acciones permanentes para el conocimiento y la reducción del riesgo y para el manejo de desastres</w:t>
      </w:r>
      <w:r>
        <w:rPr>
          <w:rFonts w:ascii="Verdana" w:hAnsi="Verdana"/>
          <w:lang w:val="es-CO"/>
        </w:rPr>
        <w:t xml:space="preserve"> en el territorio colombiano. </w:t>
      </w:r>
    </w:p>
    <w:p w14:paraId="0E1D3EE0" w14:textId="77777777" w:rsidR="00881E72" w:rsidRPr="00E03546" w:rsidRDefault="00881E72" w:rsidP="00881E72">
      <w:pPr>
        <w:spacing w:after="0" w:line="276" w:lineRule="auto"/>
        <w:jc w:val="both"/>
        <w:rPr>
          <w:rFonts w:ascii="Verdana" w:eastAsia="Calibri" w:hAnsi="Verdana" w:cs="Arial"/>
        </w:rPr>
      </w:pPr>
    </w:p>
    <w:p w14:paraId="1301D98A" w14:textId="77777777" w:rsidR="00881E72" w:rsidRPr="00E03546" w:rsidRDefault="00881E72" w:rsidP="00881E72">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4. Referencias normativas, jurisprudenciales y otras fuentes:</w:t>
      </w:r>
    </w:p>
    <w:p w14:paraId="49034585" w14:textId="77777777" w:rsidR="00881E72" w:rsidRPr="00E03546" w:rsidRDefault="00881E72" w:rsidP="00881E72">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81E72" w:rsidRPr="00E03546" w14:paraId="52F615CF" w14:textId="77777777" w:rsidTr="0090067E">
        <w:trPr>
          <w:trHeight w:val="359"/>
        </w:trPr>
        <w:tc>
          <w:tcPr>
            <w:tcW w:w="8647" w:type="dxa"/>
          </w:tcPr>
          <w:p w14:paraId="1D8ED69C" w14:textId="77777777" w:rsidR="00881E72" w:rsidRDefault="00881E72" w:rsidP="0090067E">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Ley 80 de 1993, artículo </w:t>
            </w:r>
            <w:r>
              <w:rPr>
                <w:rFonts w:ascii="Verdana" w:eastAsia="Calibri" w:hAnsi="Verdana" w:cs="Arial"/>
              </w:rPr>
              <w:t>40.</w:t>
            </w:r>
          </w:p>
          <w:p w14:paraId="0BCBE99B" w14:textId="77777777" w:rsidR="00881E72" w:rsidRPr="00C85CA2" w:rsidRDefault="00881E72" w:rsidP="0090067E">
            <w:pPr>
              <w:widowControl w:val="0"/>
              <w:numPr>
                <w:ilvl w:val="0"/>
                <w:numId w:val="16"/>
              </w:numPr>
              <w:autoSpaceDE w:val="0"/>
              <w:autoSpaceDN w:val="0"/>
              <w:spacing w:after="120"/>
              <w:contextualSpacing/>
              <w:jc w:val="both"/>
              <w:rPr>
                <w:rFonts w:ascii="Verdana" w:eastAsia="Calibri" w:hAnsi="Verdana" w:cs="Arial"/>
              </w:rPr>
            </w:pPr>
            <w:r w:rsidRPr="00FB70A7">
              <w:rPr>
                <w:rFonts w:ascii="Verdana" w:hAnsi="Verdana"/>
              </w:rPr>
              <w:t>Ley 1150 de 2007</w:t>
            </w:r>
            <w:r>
              <w:rPr>
                <w:rFonts w:ascii="Verdana" w:hAnsi="Verdana"/>
              </w:rPr>
              <w:t>, articulo 13.</w:t>
            </w:r>
          </w:p>
          <w:p w14:paraId="28CD8500" w14:textId="77777777" w:rsidR="00881E72" w:rsidRPr="00C85CA2" w:rsidRDefault="00881E72" w:rsidP="0090067E">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Ley </w:t>
            </w:r>
            <w:r>
              <w:rPr>
                <w:rFonts w:ascii="Verdana" w:eastAsia="Calibri" w:hAnsi="Verdana" w:cs="Arial"/>
              </w:rPr>
              <w:t>1523 de 2012.</w:t>
            </w:r>
          </w:p>
          <w:p w14:paraId="6F74127C" w14:textId="77777777" w:rsidR="00881E72" w:rsidRPr="00C85CA2" w:rsidRDefault="00881E72" w:rsidP="0090067E">
            <w:pPr>
              <w:widowControl w:val="0"/>
              <w:numPr>
                <w:ilvl w:val="0"/>
                <w:numId w:val="16"/>
              </w:numPr>
              <w:autoSpaceDE w:val="0"/>
              <w:autoSpaceDN w:val="0"/>
              <w:spacing w:after="120"/>
              <w:contextualSpacing/>
              <w:jc w:val="both"/>
              <w:rPr>
                <w:rFonts w:ascii="Verdana" w:eastAsia="Calibri" w:hAnsi="Verdana" w:cs="Arial"/>
              </w:rPr>
            </w:pPr>
            <w:r w:rsidRPr="00FB70A7">
              <w:rPr>
                <w:rFonts w:ascii="Verdana" w:hAnsi="Verdana"/>
              </w:rPr>
              <w:t>Consejo de Estado, Sala de lo Contencioso Administrativo, Sección Tercera, Subsección C, radicado No. 13001-23-31-000-2000-00341-01 (25.801</w:t>
            </w:r>
            <w:r>
              <w:rPr>
                <w:rFonts w:ascii="Verdana" w:hAnsi="Verdana"/>
              </w:rPr>
              <w:t>)</w:t>
            </w:r>
          </w:p>
        </w:tc>
      </w:tr>
    </w:tbl>
    <w:p w14:paraId="45AF7C4B" w14:textId="77777777" w:rsidR="00881E72" w:rsidRPr="00E03546" w:rsidRDefault="00881E72" w:rsidP="00881E72">
      <w:pPr>
        <w:tabs>
          <w:tab w:val="left" w:pos="142"/>
          <w:tab w:val="left" w:pos="284"/>
        </w:tabs>
        <w:spacing w:after="0" w:line="276" w:lineRule="auto"/>
        <w:jc w:val="both"/>
        <w:rPr>
          <w:rFonts w:ascii="Verdana" w:eastAsia="Century Gothic" w:hAnsi="Verdana" w:cs="Century Gothic"/>
          <w:b/>
          <w:bCs/>
        </w:rPr>
      </w:pPr>
    </w:p>
    <w:p w14:paraId="784017C5" w14:textId="77777777" w:rsidR="00881E72" w:rsidRPr="00E03546" w:rsidRDefault="00881E72" w:rsidP="00881E72">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5. Doctrina de la Agencia Nacional de Contratación Pública:</w:t>
      </w:r>
    </w:p>
    <w:p w14:paraId="4DDCC831" w14:textId="77777777" w:rsidR="00881E72" w:rsidRPr="00E03546" w:rsidRDefault="00881E72" w:rsidP="00881E72">
      <w:pPr>
        <w:spacing w:after="0" w:line="276" w:lineRule="auto"/>
        <w:ind w:firstLine="709"/>
        <w:jc w:val="both"/>
        <w:rPr>
          <w:rFonts w:ascii="Verdana" w:eastAsia="Times New Roman" w:hAnsi="Verdana" w:cs="Arial"/>
          <w:lang w:eastAsia="es-ES_tradnl"/>
        </w:rPr>
      </w:pPr>
    </w:p>
    <w:p w14:paraId="29F8E1BC" w14:textId="77777777" w:rsidR="00881E72" w:rsidRPr="00C85CA2" w:rsidRDefault="00881E72" w:rsidP="00875835">
      <w:pPr>
        <w:widowControl w:val="0"/>
        <w:autoSpaceDE w:val="0"/>
        <w:autoSpaceDN w:val="0"/>
        <w:spacing w:after="120" w:line="276" w:lineRule="auto"/>
        <w:jc w:val="both"/>
        <w:rPr>
          <w:rFonts w:ascii="Verdana" w:eastAsia="Calibri" w:hAnsi="Verdana" w:cs="Arial"/>
          <w:color w:val="000000"/>
          <w:shd w:val="clear" w:color="auto" w:fill="FFFFFF"/>
          <w:lang w:val="es-ES"/>
        </w:rPr>
      </w:pPr>
      <w:r w:rsidRPr="00E03546">
        <w:rPr>
          <w:rFonts w:ascii="Verdana" w:eastAsia="Calibri" w:hAnsi="Verdana" w:cs="Arial"/>
          <w:lang w:val="es-ES_tradnl" w:eastAsia="es-ES_tradnl"/>
        </w:rPr>
        <w:t>La Agencia Nacional de Contratación Pública – Colombia Compra Eficiente se ha pronunciado s</w:t>
      </w:r>
      <w:r w:rsidRPr="00E03546">
        <w:rPr>
          <w:rFonts w:ascii="Verdana" w:eastAsia="Calibri" w:hAnsi="Verdana" w:cs="Arial"/>
          <w:color w:val="000000"/>
          <w:shd w:val="clear" w:color="auto" w:fill="FFFFFF"/>
          <w:lang w:val="es-ES"/>
        </w:rPr>
        <w:t xml:space="preserve">obre </w:t>
      </w:r>
      <w:r>
        <w:rPr>
          <w:rFonts w:ascii="Verdana" w:eastAsia="Calibri" w:hAnsi="Verdana" w:cs="Arial"/>
          <w:color w:val="000000"/>
          <w:shd w:val="clear" w:color="auto" w:fill="FFFFFF"/>
          <w:lang w:val="es-ES"/>
        </w:rPr>
        <w:t>el régimen contractual bajo las disposiciones legales de la Ley 1523 de 20212 en los conceptos C-1189 de 2025, C-1045 de 2025, C-993 de 2025, C-062 de 2025, C-963 de 2024, C-691 DE 2024, C-660 DE 2024, C-419 de 2024, C-111 de 2024, C-033 DE 2024</w:t>
      </w:r>
      <w:r w:rsidRPr="00E03546">
        <w:rPr>
          <w:rFonts w:ascii="Verdana" w:eastAsia="Calibri" w:hAnsi="Verdana" w:cs="Arial"/>
          <w:color w:val="000000"/>
          <w:shd w:val="clear" w:color="auto" w:fill="FFFFFF"/>
          <w:lang w:val="es-ES_tradnl"/>
        </w:rPr>
        <w:t xml:space="preserve">, </w:t>
      </w:r>
      <w:r w:rsidRPr="00E03546">
        <w:rPr>
          <w:rFonts w:ascii="Verdana" w:eastAsia="Calibri" w:hAnsi="Verdana" w:cs="Arial"/>
          <w:color w:val="000000"/>
          <w:shd w:val="clear" w:color="auto" w:fill="FFFFFF"/>
          <w:lang w:val="es-ES"/>
        </w:rPr>
        <w:t>entre otros</w:t>
      </w:r>
      <w:r w:rsidRPr="00E03546">
        <w:rPr>
          <w:rFonts w:ascii="Verdana" w:eastAsia="Calibri" w:hAnsi="Verdana" w:cs="Arial"/>
          <w:lang w:val="es-ES" w:eastAsia="es-ES_tradnl"/>
        </w:rPr>
        <w:t>.</w:t>
      </w:r>
      <w:r w:rsidRPr="00E03546">
        <w:rPr>
          <w:rFonts w:ascii="Verdana" w:eastAsia="Calibri" w:hAnsi="Verdana" w:cs="Arial"/>
          <w:lang w:eastAsia="es-ES_tradnl"/>
        </w:rPr>
        <w:t xml:space="preserve"> </w:t>
      </w:r>
      <w:r w:rsidRPr="00E03546">
        <w:rPr>
          <w:rFonts w:ascii="Verdana" w:eastAsia="Calibri" w:hAnsi="Verdana" w:cs="Arial"/>
          <w:shd w:val="clear" w:color="auto" w:fill="FFFFFF"/>
        </w:rPr>
        <w:t xml:space="preserve">Estos y otros conceptos los podrá consultar en el siguiente enlace: </w:t>
      </w:r>
      <w:hyperlink r:id="rId13" w:tooltip="Dirección URL original: https://relatoria.colombiacompra.gov.co/. Haga clic o pulse si confía en este vínculo." w:history="1">
        <w:r w:rsidRPr="00E03546">
          <w:rPr>
            <w:rFonts w:ascii="Verdana" w:eastAsia="Calibri" w:hAnsi="Verdana" w:cs="Arial"/>
            <w:color w:val="0000FF"/>
            <w:u w:val="single"/>
            <w:lang w:eastAsia="es-ES_tradnl"/>
          </w:rPr>
          <w:t>https://relatoria.colombiacompra.gov.co/</w:t>
        </w:r>
      </w:hyperlink>
      <w:r w:rsidRPr="00E03546">
        <w:rPr>
          <w:rFonts w:ascii="Verdana" w:eastAsia="Calibri" w:hAnsi="Verdana" w:cs="Arial"/>
          <w:lang w:eastAsia="es-ES_tradnl"/>
        </w:rPr>
        <w:t> </w:t>
      </w:r>
    </w:p>
    <w:p w14:paraId="4BF8AC48" w14:textId="77777777" w:rsidR="00881E72" w:rsidRPr="00E03546" w:rsidRDefault="00881E72" w:rsidP="00881E72">
      <w:pPr>
        <w:widowControl w:val="0"/>
        <w:autoSpaceDE w:val="0"/>
        <w:autoSpaceDN w:val="0"/>
        <w:spacing w:after="0" w:line="276" w:lineRule="auto"/>
        <w:jc w:val="both"/>
        <w:rPr>
          <w:rFonts w:ascii="Verdana" w:eastAsia="Aptos" w:hAnsi="Verdana" w:cs="Arial"/>
          <w:shd w:val="clear" w:color="auto" w:fill="FFFFFF"/>
        </w:rPr>
      </w:pPr>
    </w:p>
    <w:p w14:paraId="2D1E7A72" w14:textId="77777777" w:rsidR="00380A6A" w:rsidRDefault="00881E72" w:rsidP="00380A6A">
      <w:pPr>
        <w:spacing w:after="120" w:line="276" w:lineRule="auto"/>
        <w:jc w:val="both"/>
        <w:rPr>
          <w:rFonts w:ascii="Verdana" w:eastAsia="Calibri" w:hAnsi="Verdana" w:cs="Arial"/>
        </w:rPr>
      </w:pPr>
      <w:r w:rsidRPr="00E03546">
        <w:rPr>
          <w:rFonts w:ascii="Verdana" w:eastAsia="Calibri" w:hAnsi="Verdana" w:cs="Arial"/>
        </w:rPr>
        <w:t>Te informamos que ya se encuentra disponible la </w:t>
      </w:r>
      <w:r w:rsidRPr="00E03546">
        <w:rPr>
          <w:rFonts w:ascii="Verdana" w:eastAsia="Calibri" w:hAnsi="Verdana" w:cs="Arial"/>
          <w:b/>
          <w:bCs/>
        </w:rPr>
        <w:t>Cartilla para incentivar y fortalecer el acceso a las compras y contratación pública de los pueblos y comunidades étnicas en Colombia.</w:t>
      </w:r>
      <w:r w:rsidRPr="00E03546">
        <w:rPr>
          <w:rFonts w:ascii="Verdana" w:eastAsia="Calibri" w:hAnsi="Verdana" w:cs="Arial"/>
        </w:rPr>
        <w:t xml:space="preserve"> Esta cartilla es una apuesta de la Agencia Nacional de Contratación Pública – Colombia Compra Eficiente, para </w:t>
      </w:r>
      <w:r w:rsidRPr="00E03546">
        <w:rPr>
          <w:rFonts w:ascii="Verdana" w:eastAsia="Calibri" w:hAnsi="Verdana" w:cs="Arial"/>
        </w:rPr>
        <w:lastRenderedPageBreak/>
        <w:t>incentivar la participación de los pueblos y comunidades étnicas en las compras y contratación pública, mediante el desarrollo de los principios de igualdad, equidad e inclusión social. Puede consultar la versión actualizada en el siguiente enlace: </w:t>
      </w:r>
      <w:hyperlink r:id="rId14" w:tgtFrame="_blank" w:tooltip="Dirección URL original: https://www.colombiacompra.gov.co/manuales-guias-y-pliegos-tipo/manuales-y-guias/cartilla-para-incentivar-y-fortalecer-el-acceso-las. Haga clic o pulse si confía en este vínculo." w:history="1">
        <w:r w:rsidRPr="00E03546">
          <w:rPr>
            <w:rFonts w:ascii="Verdana" w:eastAsia="Calibri" w:hAnsi="Verdana" w:cs="Arial"/>
            <w:color w:val="0000FF"/>
            <w:u w:val="single"/>
          </w:rPr>
          <w:t>Cartilla para incentivar y fortalecer el acceso a las compras y contratación pública de los pueblos y comunidades étnicas en Colombia | Colombia Compra Eficiente | Agencia Nacional de Contratación Pública</w:t>
        </w:r>
      </w:hyperlink>
    </w:p>
    <w:p w14:paraId="36D22C58" w14:textId="77777777" w:rsidR="00380A6A" w:rsidRDefault="00881E72" w:rsidP="00380A6A">
      <w:pPr>
        <w:spacing w:after="120" w:line="276" w:lineRule="auto"/>
        <w:jc w:val="both"/>
        <w:rPr>
          <w:rFonts w:ascii="Verdana" w:eastAsia="Calibri" w:hAnsi="Verdana" w:cs="Arial"/>
        </w:rPr>
      </w:pPr>
      <w:r w:rsidRPr="00E03546">
        <w:rPr>
          <w:rFonts w:ascii="Verdana" w:eastAsia="Calibri" w:hAnsi="Verdana" w:cs="Arial"/>
        </w:rPr>
        <w:t>También, te contamos que ya publicamos </w:t>
      </w:r>
      <w:r w:rsidRPr="00E03546">
        <w:rPr>
          <w:rFonts w:ascii="Verdana" w:eastAsia="Calibri" w:hAnsi="Verdana" w:cs="Arial"/>
          <w:b/>
          <w:bCs/>
        </w:rPr>
        <w:t>la nueva Guía de Contratación Pública Sostenible y Socialmente Responsable</w:t>
      </w:r>
      <w:r w:rsidRPr="00E03546">
        <w:rPr>
          <w:rFonts w:ascii="Verdana" w:eastAsia="Calibri" w:hAnsi="Verdana" w:cs="Arial"/>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E03546">
          <w:rPr>
            <w:rFonts w:ascii="Verdana" w:eastAsia="Calibri" w:hAnsi="Verdana" w:cs="Arial"/>
            <w:color w:val="0000FF"/>
            <w:u w:val="single"/>
          </w:rPr>
          <w:t>Guía de Contratación Pública Sostenible y Socialmente Responsable | Colombia Compra Eficiente | Agencia Nacional de Contratación Pública</w:t>
        </w:r>
      </w:hyperlink>
    </w:p>
    <w:p w14:paraId="1862F6BC" w14:textId="54C380E4" w:rsidR="00881E72" w:rsidRPr="00E03546" w:rsidRDefault="00881E72" w:rsidP="00077021">
      <w:pPr>
        <w:spacing w:after="120" w:line="276" w:lineRule="auto"/>
        <w:jc w:val="both"/>
        <w:rPr>
          <w:rFonts w:ascii="Verdana" w:eastAsia="Calibri" w:hAnsi="Verdana" w:cs="Arial"/>
        </w:rPr>
      </w:pPr>
      <w:r w:rsidRPr="00E03546">
        <w:rPr>
          <w:rFonts w:ascii="Verdana" w:eastAsia="Calibri" w:hAnsi="Verdana" w:cs="Arial"/>
        </w:rPr>
        <w:t xml:space="preserve">Por último, lo invitamos a seguirnos en las redes sociales en las cuales se difunde información institucional: </w:t>
      </w:r>
    </w:p>
    <w:p w14:paraId="27A03D1A" w14:textId="77777777" w:rsidR="00881E72" w:rsidRPr="00E03546" w:rsidRDefault="00881E72" w:rsidP="00881E72">
      <w:pPr>
        <w:spacing w:after="0" w:line="276" w:lineRule="auto"/>
        <w:jc w:val="both"/>
        <w:rPr>
          <w:rFonts w:ascii="Verdana" w:eastAsia="Calibri" w:hAnsi="Verdana" w:cs="Arial"/>
        </w:rPr>
      </w:pPr>
      <w:r w:rsidRPr="00E03546">
        <w:rPr>
          <w:rFonts w:ascii="Verdana" w:eastAsia="Calibri" w:hAnsi="Verdana" w:cs="Arial"/>
        </w:rPr>
        <w:t xml:space="preserve">Twitter: </w:t>
      </w:r>
      <w:r w:rsidRPr="00E03546">
        <w:rPr>
          <w:rFonts w:ascii="Verdana" w:eastAsia="Calibri" w:hAnsi="Verdana" w:cs="Arial"/>
          <w:color w:val="4472C4"/>
          <w:u w:val="single"/>
        </w:rPr>
        <w:t>@colombiacompra</w:t>
      </w:r>
      <w:r w:rsidRPr="00E03546">
        <w:rPr>
          <w:rFonts w:ascii="Verdana" w:eastAsia="Calibri" w:hAnsi="Verdana" w:cs="Arial"/>
          <w:color w:val="4472C4"/>
        </w:rPr>
        <w:t xml:space="preserve"> </w:t>
      </w:r>
    </w:p>
    <w:p w14:paraId="4954C7C4" w14:textId="77777777" w:rsidR="00881E72" w:rsidRPr="00E03546" w:rsidRDefault="00881E72" w:rsidP="00881E72">
      <w:pPr>
        <w:spacing w:after="0" w:line="276" w:lineRule="auto"/>
        <w:jc w:val="both"/>
        <w:rPr>
          <w:rFonts w:ascii="Verdana" w:eastAsia="Calibri" w:hAnsi="Verdana" w:cs="Arial"/>
        </w:rPr>
      </w:pPr>
      <w:r w:rsidRPr="00E03546">
        <w:rPr>
          <w:rFonts w:ascii="Verdana" w:eastAsia="Calibri" w:hAnsi="Verdana" w:cs="Arial"/>
        </w:rPr>
        <w:t xml:space="preserve">Facebook: </w:t>
      </w:r>
      <w:proofErr w:type="spellStart"/>
      <w:r w:rsidRPr="00E03546">
        <w:rPr>
          <w:rFonts w:ascii="Verdana" w:eastAsia="Calibri" w:hAnsi="Verdana" w:cs="Arial"/>
          <w:color w:val="4472C4"/>
          <w:u w:val="single"/>
        </w:rPr>
        <w:t>ColombiaCompraEficiente</w:t>
      </w:r>
      <w:proofErr w:type="spellEnd"/>
    </w:p>
    <w:p w14:paraId="54808251" w14:textId="77777777" w:rsidR="00881E72" w:rsidRPr="00E03546" w:rsidRDefault="00881E72" w:rsidP="00881E72">
      <w:pPr>
        <w:spacing w:after="0" w:line="276" w:lineRule="auto"/>
        <w:jc w:val="both"/>
        <w:rPr>
          <w:rFonts w:ascii="Verdana" w:eastAsia="Calibri" w:hAnsi="Verdana" w:cs="Arial"/>
        </w:rPr>
      </w:pPr>
      <w:r w:rsidRPr="00E03546">
        <w:rPr>
          <w:rFonts w:ascii="Verdana" w:eastAsia="Calibri" w:hAnsi="Verdana" w:cs="Arial"/>
        </w:rPr>
        <w:t xml:space="preserve">LinkedIn: </w:t>
      </w:r>
      <w:r w:rsidRPr="00E03546">
        <w:rPr>
          <w:rFonts w:ascii="Verdana" w:eastAsia="Calibri" w:hAnsi="Verdana" w:cs="Arial"/>
          <w:color w:val="4472C4"/>
          <w:u w:val="single"/>
        </w:rPr>
        <w:t>Agencia Nacional de Contratación Pública - Colombia Compra Eficiente</w:t>
      </w:r>
      <w:r w:rsidRPr="00E03546">
        <w:rPr>
          <w:rFonts w:ascii="Verdana" w:eastAsia="Calibri" w:hAnsi="Verdana" w:cs="Arial"/>
          <w:color w:val="4472C4"/>
        </w:rPr>
        <w:t xml:space="preserve"> </w:t>
      </w:r>
      <w:r w:rsidRPr="00E03546">
        <w:rPr>
          <w:rFonts w:ascii="Verdana" w:eastAsia="Calibri" w:hAnsi="Verdana" w:cs="Arial"/>
        </w:rPr>
        <w:t xml:space="preserve">Instagram: </w:t>
      </w:r>
      <w:r w:rsidRPr="00E03546">
        <w:rPr>
          <w:rFonts w:ascii="Verdana" w:eastAsia="Calibri" w:hAnsi="Verdana" w:cs="Arial"/>
          <w:color w:val="4472C4"/>
          <w:u w:val="single"/>
        </w:rPr>
        <w:t>@colombiacompraeficiente_cce</w:t>
      </w:r>
    </w:p>
    <w:p w14:paraId="61144EA4" w14:textId="77777777" w:rsidR="00881E72" w:rsidRPr="00E03546" w:rsidRDefault="00881E72" w:rsidP="00881E72">
      <w:pPr>
        <w:widowControl w:val="0"/>
        <w:autoSpaceDE w:val="0"/>
        <w:autoSpaceDN w:val="0"/>
        <w:spacing w:after="0" w:line="276" w:lineRule="auto"/>
        <w:jc w:val="both"/>
        <w:rPr>
          <w:rFonts w:ascii="Verdana" w:eastAsia="Calibri" w:hAnsi="Verdana" w:cs="Arial"/>
        </w:rPr>
      </w:pPr>
    </w:p>
    <w:p w14:paraId="6319D506" w14:textId="77777777" w:rsidR="00881E72" w:rsidRPr="00E03546" w:rsidRDefault="00881E72" w:rsidP="00881E72">
      <w:pPr>
        <w:widowControl w:val="0"/>
        <w:autoSpaceDE w:val="0"/>
        <w:autoSpaceDN w:val="0"/>
        <w:spacing w:after="0" w:line="276" w:lineRule="auto"/>
        <w:jc w:val="both"/>
        <w:rPr>
          <w:rFonts w:ascii="Verdana" w:eastAsia="Calibri" w:hAnsi="Verdana" w:cs="Arial"/>
        </w:rPr>
      </w:pPr>
      <w:r w:rsidRPr="00E03546">
        <w:rPr>
          <w:rFonts w:ascii="Verdana" w:eastAsia="Calibri"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10E3326" w14:textId="77777777" w:rsidR="00881E72" w:rsidRPr="00E03546" w:rsidRDefault="00881E72" w:rsidP="00881E72">
      <w:pPr>
        <w:spacing w:after="0" w:line="276" w:lineRule="auto"/>
        <w:ind w:firstLine="709"/>
        <w:jc w:val="both"/>
        <w:rPr>
          <w:rFonts w:ascii="Verdana" w:eastAsia="Times New Roman" w:hAnsi="Verdana" w:cs="Arial"/>
          <w:lang w:eastAsia="es-ES_tradnl"/>
        </w:rPr>
      </w:pPr>
    </w:p>
    <w:p w14:paraId="48CD2F31" w14:textId="77777777" w:rsidR="00881E72" w:rsidRPr="00E03546" w:rsidRDefault="00881E72" w:rsidP="00881E72">
      <w:pPr>
        <w:spacing w:after="0" w:line="276" w:lineRule="auto"/>
        <w:jc w:val="both"/>
        <w:rPr>
          <w:rFonts w:ascii="Verdana" w:eastAsia="Times New Roman" w:hAnsi="Verdana" w:cs="Arial"/>
          <w:lang w:eastAsia="es-CO"/>
        </w:rPr>
      </w:pPr>
      <w:bookmarkStart w:id="1" w:name="_Hlk117695077"/>
      <w:r w:rsidRPr="00E03546">
        <w:rPr>
          <w:rFonts w:ascii="Verdana" w:eastAsia="Times New Roman" w:hAnsi="Verdana" w:cs="Arial"/>
          <w:lang w:eastAsia="es-CO"/>
        </w:rPr>
        <w:t>Atentamente,</w:t>
      </w:r>
    </w:p>
    <w:bookmarkEnd w:id="1"/>
    <w:p w14:paraId="02984458" w14:textId="55F630C3" w:rsidR="00881E72" w:rsidRDefault="00F47B8B" w:rsidP="00881E72">
      <w:pPr>
        <w:spacing w:after="18" w:line="276" w:lineRule="auto"/>
        <w:jc w:val="center"/>
        <w:rPr>
          <w:rFonts w:ascii="Verdana" w:eastAsia="Times New Roman" w:hAnsi="Verdana" w:cs="Arial"/>
          <w:lang w:eastAsia="es-CO"/>
        </w:rPr>
      </w:pPr>
      <w:r w:rsidRPr="002C3AD6">
        <w:rPr>
          <w:rFonts w:ascii="Century Gothic" w:hAnsi="Century Gothic"/>
          <w:noProof/>
        </w:rPr>
        <w:drawing>
          <wp:inline distT="0" distB="0" distL="0" distR="0" wp14:anchorId="60B97C9C" wp14:editId="46EE495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268299C5" w14:textId="77777777" w:rsidR="00881E72" w:rsidRPr="00E03546" w:rsidRDefault="00881E72" w:rsidP="00881E72">
      <w:pPr>
        <w:spacing w:after="18" w:line="276" w:lineRule="auto"/>
        <w:jc w:val="center"/>
        <w:rPr>
          <w:rFonts w:ascii="Verdana" w:eastAsia="Times New Roman" w:hAnsi="Verdana" w:cs="Arial"/>
          <w:lang w:eastAsia="es-CO"/>
        </w:rPr>
      </w:pPr>
    </w:p>
    <w:tbl>
      <w:tblPr>
        <w:tblStyle w:val="Tablaconcuadrcula1"/>
        <w:tblpPr w:leftFromText="141" w:rightFromText="141" w:vertAnchor="text" w:horzAnchor="margin" w:tblpY="4"/>
        <w:tblW w:w="0" w:type="auto"/>
        <w:tblLook w:val="04A0" w:firstRow="1" w:lastRow="0" w:firstColumn="1" w:lastColumn="0" w:noHBand="0" w:noVBand="1"/>
      </w:tblPr>
      <w:tblGrid>
        <w:gridCol w:w="1112"/>
        <w:gridCol w:w="5182"/>
      </w:tblGrid>
      <w:tr w:rsidR="00881E72" w:rsidRPr="00380A6A" w14:paraId="7F0EC182" w14:textId="77777777" w:rsidTr="0090067E">
        <w:trPr>
          <w:trHeight w:val="292"/>
        </w:trPr>
        <w:tc>
          <w:tcPr>
            <w:tcW w:w="1112" w:type="dxa"/>
            <w:vAlign w:val="center"/>
            <w:hideMark/>
          </w:tcPr>
          <w:p w14:paraId="7B51DE13" w14:textId="77777777" w:rsidR="00881E72" w:rsidRPr="00380A6A" w:rsidRDefault="00881E72" w:rsidP="0090067E">
            <w:pPr>
              <w:rPr>
                <w:rFonts w:ascii="Verdana" w:eastAsia="Times New Roman" w:hAnsi="Verdana" w:cs="Arial"/>
                <w:sz w:val="16"/>
                <w:szCs w:val="16"/>
                <w:lang w:eastAsia="es-ES"/>
              </w:rPr>
            </w:pPr>
            <w:r w:rsidRPr="00380A6A">
              <w:rPr>
                <w:rFonts w:ascii="Verdana" w:eastAsia="Times New Roman" w:hAnsi="Verdana" w:cs="Arial"/>
                <w:sz w:val="16"/>
                <w:szCs w:val="16"/>
                <w:lang w:eastAsia="es-ES"/>
              </w:rPr>
              <w:lastRenderedPageBreak/>
              <w:t>Elaboró:</w:t>
            </w:r>
          </w:p>
        </w:tc>
        <w:tc>
          <w:tcPr>
            <w:tcW w:w="5182" w:type="dxa"/>
            <w:tcBorders>
              <w:top w:val="nil"/>
              <w:left w:val="nil"/>
              <w:bottom w:val="dotted" w:sz="4" w:space="0" w:color="7F7F7F" w:themeColor="text1" w:themeTint="80"/>
              <w:right w:val="nil"/>
            </w:tcBorders>
            <w:vAlign w:val="center"/>
            <w:hideMark/>
          </w:tcPr>
          <w:p w14:paraId="0EC18900" w14:textId="77777777" w:rsidR="00881E72" w:rsidRPr="00380A6A" w:rsidRDefault="00881E72" w:rsidP="0090067E">
            <w:pPr>
              <w:rPr>
                <w:rFonts w:ascii="Verdana" w:eastAsia="Times New Roman" w:hAnsi="Verdana" w:cs="Arial"/>
                <w:sz w:val="16"/>
                <w:szCs w:val="16"/>
                <w:lang w:eastAsia="es-ES"/>
              </w:rPr>
            </w:pPr>
            <w:r w:rsidRPr="00380A6A">
              <w:rPr>
                <w:rFonts w:ascii="Verdana" w:eastAsia="Times New Roman" w:hAnsi="Verdana" w:cs="Arial"/>
                <w:sz w:val="16"/>
                <w:szCs w:val="16"/>
                <w:lang w:eastAsia="es-ES"/>
              </w:rPr>
              <w:t xml:space="preserve">Richard Andrés Montenegro Siefken </w:t>
            </w:r>
          </w:p>
          <w:p w14:paraId="31B16F7C" w14:textId="77777777" w:rsidR="00881E72" w:rsidRPr="00380A6A" w:rsidRDefault="00881E72" w:rsidP="0090067E">
            <w:pPr>
              <w:rPr>
                <w:rFonts w:ascii="Verdana" w:eastAsia="Times New Roman" w:hAnsi="Verdana" w:cs="Arial"/>
                <w:sz w:val="16"/>
                <w:szCs w:val="16"/>
                <w:lang w:eastAsia="es-ES"/>
              </w:rPr>
            </w:pPr>
            <w:r w:rsidRPr="00380A6A">
              <w:rPr>
                <w:rFonts w:ascii="Verdana" w:eastAsia="Times New Roman" w:hAnsi="Verdana" w:cs="Arial"/>
                <w:sz w:val="16"/>
                <w:szCs w:val="16"/>
                <w:lang w:eastAsia="es-ES"/>
              </w:rPr>
              <w:t>Contratista de la Subdirección de Gestión Contractual</w:t>
            </w:r>
          </w:p>
        </w:tc>
      </w:tr>
      <w:tr w:rsidR="00881E72" w:rsidRPr="00380A6A" w14:paraId="0E680304" w14:textId="77777777" w:rsidTr="0090067E">
        <w:trPr>
          <w:trHeight w:val="305"/>
        </w:trPr>
        <w:tc>
          <w:tcPr>
            <w:tcW w:w="1112" w:type="dxa"/>
            <w:vAlign w:val="center"/>
            <w:hideMark/>
          </w:tcPr>
          <w:p w14:paraId="742293C8" w14:textId="77777777" w:rsidR="00881E72" w:rsidRPr="00380A6A" w:rsidRDefault="00881E72" w:rsidP="0090067E">
            <w:pPr>
              <w:rPr>
                <w:rFonts w:ascii="Verdana" w:eastAsia="Times New Roman" w:hAnsi="Verdana" w:cs="Arial"/>
                <w:sz w:val="16"/>
                <w:szCs w:val="16"/>
                <w:lang w:eastAsia="es-ES"/>
              </w:rPr>
            </w:pPr>
            <w:r w:rsidRPr="00380A6A">
              <w:rPr>
                <w:rFonts w:ascii="Verdana" w:eastAsia="Times New Roman" w:hAnsi="Verdana" w:cs="Arial"/>
                <w:sz w:val="16"/>
                <w:szCs w:val="16"/>
                <w:lang w:eastAsia="es-ES"/>
              </w:rPr>
              <w:t>Revisó:</w:t>
            </w:r>
          </w:p>
        </w:tc>
        <w:tc>
          <w:tcPr>
            <w:tcW w:w="5182" w:type="dxa"/>
            <w:tcBorders>
              <w:top w:val="dotted" w:sz="4" w:space="0" w:color="7F7F7F" w:themeColor="text1" w:themeTint="80"/>
              <w:left w:val="nil"/>
              <w:bottom w:val="dotted" w:sz="4" w:space="0" w:color="7F7F7F" w:themeColor="text1" w:themeTint="80"/>
              <w:right w:val="nil"/>
            </w:tcBorders>
            <w:vAlign w:val="center"/>
            <w:hideMark/>
          </w:tcPr>
          <w:p w14:paraId="6D8C4DB9" w14:textId="77777777" w:rsidR="00881E72" w:rsidRPr="00380A6A" w:rsidRDefault="00881E72" w:rsidP="0090067E">
            <w:pPr>
              <w:rPr>
                <w:rFonts w:ascii="Verdana" w:eastAsia="Times New Roman" w:hAnsi="Verdana" w:cs="Arial"/>
                <w:sz w:val="16"/>
                <w:szCs w:val="16"/>
                <w:lang w:eastAsia="es-ES"/>
              </w:rPr>
            </w:pPr>
            <w:r w:rsidRPr="00380A6A">
              <w:rPr>
                <w:rFonts w:ascii="Verdana" w:eastAsia="Times New Roman" w:hAnsi="Verdana" w:cs="Arial"/>
                <w:sz w:val="16"/>
                <w:szCs w:val="16"/>
                <w:lang w:eastAsia="es-ES"/>
              </w:rPr>
              <w:t>Diana Lucia Saavedra Castañeda</w:t>
            </w:r>
          </w:p>
          <w:p w14:paraId="3A8EABF7" w14:textId="77777777" w:rsidR="00881E72" w:rsidRPr="00380A6A" w:rsidRDefault="00881E72" w:rsidP="0090067E">
            <w:pPr>
              <w:rPr>
                <w:rFonts w:ascii="Verdana" w:eastAsia="Times New Roman" w:hAnsi="Verdana" w:cs="Arial"/>
                <w:sz w:val="16"/>
                <w:szCs w:val="16"/>
                <w:lang w:eastAsia="es-ES"/>
              </w:rPr>
            </w:pPr>
            <w:r w:rsidRPr="00380A6A">
              <w:rPr>
                <w:rFonts w:ascii="Verdana" w:eastAsia="Times New Roman" w:hAnsi="Verdana" w:cs="Arial"/>
                <w:sz w:val="16"/>
                <w:szCs w:val="16"/>
                <w:lang w:eastAsia="es-ES"/>
              </w:rPr>
              <w:t>Contratista de la Subdirección de Gestión Contractual</w:t>
            </w:r>
          </w:p>
        </w:tc>
      </w:tr>
      <w:tr w:rsidR="00881E72" w:rsidRPr="00380A6A" w14:paraId="7F2099A0" w14:textId="77777777" w:rsidTr="0090067E">
        <w:trPr>
          <w:trHeight w:val="278"/>
        </w:trPr>
        <w:tc>
          <w:tcPr>
            <w:tcW w:w="1112" w:type="dxa"/>
            <w:vAlign w:val="center"/>
            <w:hideMark/>
          </w:tcPr>
          <w:p w14:paraId="47487397" w14:textId="77777777" w:rsidR="00881E72" w:rsidRPr="00380A6A" w:rsidRDefault="00881E72" w:rsidP="0090067E">
            <w:pPr>
              <w:rPr>
                <w:rFonts w:ascii="Verdana" w:eastAsia="Times New Roman" w:hAnsi="Verdana" w:cs="Arial"/>
                <w:sz w:val="16"/>
                <w:szCs w:val="16"/>
                <w:lang w:eastAsia="es-ES"/>
              </w:rPr>
            </w:pPr>
            <w:r w:rsidRPr="00380A6A">
              <w:rPr>
                <w:rFonts w:ascii="Verdana" w:eastAsia="Times New Roman" w:hAnsi="Verdana" w:cs="Arial"/>
                <w:sz w:val="16"/>
                <w:szCs w:val="16"/>
                <w:lang w:eastAsia="es-ES"/>
              </w:rPr>
              <w:t>Aprobó:</w:t>
            </w:r>
          </w:p>
        </w:tc>
        <w:tc>
          <w:tcPr>
            <w:tcW w:w="5182" w:type="dxa"/>
            <w:tcBorders>
              <w:top w:val="dotted" w:sz="4" w:space="0" w:color="7F7F7F" w:themeColor="text1" w:themeTint="80"/>
              <w:left w:val="nil"/>
              <w:bottom w:val="dotted" w:sz="4" w:space="0" w:color="7F7F7F" w:themeColor="text1" w:themeTint="80"/>
              <w:right w:val="nil"/>
            </w:tcBorders>
            <w:vAlign w:val="center"/>
            <w:hideMark/>
          </w:tcPr>
          <w:p w14:paraId="4187381B" w14:textId="77777777" w:rsidR="00881E72" w:rsidRPr="00380A6A" w:rsidRDefault="00881E72" w:rsidP="0090067E">
            <w:pPr>
              <w:rPr>
                <w:rFonts w:ascii="Verdana" w:eastAsia="Times New Roman" w:hAnsi="Verdana" w:cs="Arial"/>
                <w:sz w:val="16"/>
                <w:szCs w:val="16"/>
                <w:lang w:eastAsia="es-ES"/>
              </w:rPr>
            </w:pPr>
            <w:r w:rsidRPr="00380A6A">
              <w:rPr>
                <w:rFonts w:ascii="Verdana" w:eastAsia="Times New Roman" w:hAnsi="Verdana" w:cs="Arial"/>
                <w:sz w:val="16"/>
                <w:szCs w:val="16"/>
                <w:lang w:eastAsia="es-ES"/>
              </w:rPr>
              <w:t>Carolina Quintero Gacharná</w:t>
            </w:r>
          </w:p>
          <w:p w14:paraId="7B802BE3" w14:textId="77777777" w:rsidR="00881E72" w:rsidRPr="00380A6A" w:rsidRDefault="00881E72" w:rsidP="0090067E">
            <w:pPr>
              <w:rPr>
                <w:rFonts w:ascii="Verdana" w:eastAsia="Times New Roman" w:hAnsi="Verdana" w:cs="Arial"/>
                <w:sz w:val="16"/>
                <w:szCs w:val="16"/>
                <w:lang w:eastAsia="es-ES"/>
              </w:rPr>
            </w:pPr>
            <w:r w:rsidRPr="00380A6A">
              <w:rPr>
                <w:rFonts w:ascii="Verdana" w:eastAsia="Times New Roman" w:hAnsi="Verdana" w:cs="Arial"/>
                <w:sz w:val="16"/>
                <w:szCs w:val="16"/>
                <w:lang w:eastAsia="es-ES"/>
              </w:rPr>
              <w:t>Subdirectora de Gestión Contractual ANCP – CCE</w:t>
            </w:r>
          </w:p>
        </w:tc>
      </w:tr>
    </w:tbl>
    <w:p w14:paraId="20B27A33" w14:textId="77777777" w:rsidR="00881E72" w:rsidRPr="00380A6A" w:rsidRDefault="00881E72" w:rsidP="00881E72">
      <w:pPr>
        <w:spacing w:after="0" w:line="276" w:lineRule="auto"/>
        <w:jc w:val="both"/>
        <w:rPr>
          <w:rFonts w:ascii="Verdana" w:eastAsia="Times New Roman" w:hAnsi="Verdana" w:cs="Arial"/>
          <w:sz w:val="16"/>
          <w:szCs w:val="16"/>
        </w:rPr>
      </w:pPr>
    </w:p>
    <w:p w14:paraId="7A06BFBB" w14:textId="77777777" w:rsidR="00881E72" w:rsidRPr="00380A6A" w:rsidRDefault="00881E72" w:rsidP="00881E72">
      <w:pPr>
        <w:spacing w:after="0" w:line="276" w:lineRule="auto"/>
        <w:jc w:val="both"/>
        <w:rPr>
          <w:rFonts w:ascii="Verdana" w:eastAsia="Times New Roman" w:hAnsi="Verdana" w:cs="Arial"/>
          <w:sz w:val="16"/>
          <w:szCs w:val="16"/>
        </w:rPr>
      </w:pPr>
    </w:p>
    <w:p w14:paraId="6FF65487" w14:textId="77777777" w:rsidR="00881E72" w:rsidRPr="00380A6A" w:rsidRDefault="00881E72" w:rsidP="00881E72">
      <w:pPr>
        <w:spacing w:line="276" w:lineRule="auto"/>
        <w:rPr>
          <w:rFonts w:ascii="Verdana" w:eastAsia="Calibri" w:hAnsi="Verdana" w:cs="Arial"/>
          <w:sz w:val="16"/>
          <w:szCs w:val="16"/>
        </w:rPr>
      </w:pPr>
    </w:p>
    <w:p w14:paraId="5815B8F3" w14:textId="77777777" w:rsidR="00881E72" w:rsidRPr="00E03546" w:rsidRDefault="00881E72" w:rsidP="00881E72">
      <w:pPr>
        <w:spacing w:line="276" w:lineRule="auto"/>
        <w:rPr>
          <w:rFonts w:ascii="Verdana" w:eastAsia="Calibri" w:hAnsi="Verdana" w:cs="Arial"/>
        </w:rPr>
      </w:pPr>
    </w:p>
    <w:p w14:paraId="5465307F" w14:textId="77777777" w:rsidR="00881E72" w:rsidRPr="0044528D" w:rsidRDefault="00881E72" w:rsidP="00881E72">
      <w:pPr>
        <w:spacing w:after="0"/>
        <w:rPr>
          <w:rFonts w:ascii="Verdana" w:hAnsi="Verdana"/>
        </w:rPr>
      </w:pPr>
    </w:p>
    <w:p w14:paraId="49025965" w14:textId="77777777" w:rsidR="00881E72" w:rsidRPr="00093B55" w:rsidRDefault="00881E72" w:rsidP="00881E72">
      <w:pPr>
        <w:spacing w:line="276" w:lineRule="auto"/>
        <w:rPr>
          <w:rFonts w:ascii="Verdana" w:hAnsi="Verdana"/>
        </w:rPr>
      </w:pPr>
    </w:p>
    <w:p w14:paraId="7A2C48B0" w14:textId="77777777" w:rsidR="00881E72" w:rsidRPr="003652B5" w:rsidRDefault="00881E72" w:rsidP="00881E72"/>
    <w:p w14:paraId="0F293BF4" w14:textId="25337BE9" w:rsidR="00127233" w:rsidRPr="004E27DE" w:rsidRDefault="00127233" w:rsidP="004E27DE"/>
    <w:sectPr w:rsidR="00127233" w:rsidRPr="004E27D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F3D18" w14:textId="77777777" w:rsidR="00460B4B" w:rsidRDefault="00460B4B" w:rsidP="004A1847">
      <w:pPr>
        <w:spacing w:after="0" w:line="240" w:lineRule="auto"/>
      </w:pPr>
      <w:r>
        <w:separator/>
      </w:r>
    </w:p>
  </w:endnote>
  <w:endnote w:type="continuationSeparator" w:id="0">
    <w:p w14:paraId="748CBD2D" w14:textId="77777777" w:rsidR="00460B4B" w:rsidRDefault="00460B4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BF414" w14:textId="77777777" w:rsidR="00460B4B" w:rsidRDefault="00460B4B" w:rsidP="004A1847">
      <w:pPr>
        <w:spacing w:after="0" w:line="240" w:lineRule="auto"/>
      </w:pPr>
      <w:r>
        <w:separator/>
      </w:r>
    </w:p>
  </w:footnote>
  <w:footnote w:type="continuationSeparator" w:id="0">
    <w:p w14:paraId="69B8A2C9" w14:textId="77777777" w:rsidR="00460B4B" w:rsidRDefault="00460B4B" w:rsidP="004A1847">
      <w:pPr>
        <w:spacing w:after="0" w:line="240" w:lineRule="auto"/>
      </w:pPr>
      <w:r>
        <w:continuationSeparator/>
      </w:r>
    </w:p>
  </w:footnote>
  <w:footnote w:id="1">
    <w:p w14:paraId="18A89033" w14:textId="05669330" w:rsidR="00077021" w:rsidRPr="008B3EFB" w:rsidRDefault="00077021" w:rsidP="00077021">
      <w:pPr>
        <w:spacing w:line="242" w:lineRule="auto"/>
        <w:ind w:left="300" w:right="309"/>
        <w:jc w:val="both"/>
        <w:rPr>
          <w:sz w:val="18"/>
          <w:szCs w:val="18"/>
        </w:rPr>
      </w:pPr>
      <w:r>
        <w:rPr>
          <w:rStyle w:val="Refdenotaalpie"/>
        </w:rPr>
        <w:footnoteRef/>
      </w:r>
      <w:r>
        <w:t xml:space="preserve"> </w:t>
      </w:r>
      <w:r w:rsidRPr="008B3EFB">
        <w:rPr>
          <w:sz w:val="18"/>
          <w:szCs w:val="18"/>
        </w:rPr>
        <w:t>Ley 1523 de 2012. “Artículo 65. Régimen normativo. Declaradas situaciones de desastre o calamidad pública, conforme a lo dispuesto en el Capítulo VI de esta ley, en la misma norma se determinará el régimen especial aplicable de acuerdo con los antecedentes, la naturaleza, la magnitud y los efectos del desastre o calamidad pública. Las normas versarán entre otras materias sobre contratación del Estado, empréstitos, control fiscal de recursos; ocupación, adquisición, expropiación, demolición de inmuebles e imposición de servidumbres; reubicación de asentamientos, solución de conflictos, moratoria o refinanciación de deudas, suspensión de juicios ejecutivos, créditos para afectados, incentivos para la rehabilitación, reconstrucción y el desarrollo sostenible; administración y destinación de donaciones y otras medidas tendientes a garantizar el regreso a la normalidad”.</w:t>
      </w:r>
    </w:p>
    <w:p w14:paraId="5CBB320A" w14:textId="15B0B977" w:rsidR="00077021" w:rsidRPr="00077021" w:rsidRDefault="00077021">
      <w:pPr>
        <w:pStyle w:val="Textonotapie"/>
        <w:rPr>
          <w:lang w:val="es-CO"/>
        </w:rPr>
      </w:pPr>
    </w:p>
  </w:footnote>
  <w:footnote w:id="2">
    <w:p w14:paraId="3DFBEFCE" w14:textId="77777777" w:rsidR="00077021" w:rsidRDefault="00881E72" w:rsidP="00077021">
      <w:pPr>
        <w:spacing w:line="242" w:lineRule="auto"/>
        <w:ind w:left="300" w:right="303" w:hanging="16"/>
        <w:jc w:val="both"/>
        <w:rPr>
          <w:sz w:val="18"/>
          <w:szCs w:val="18"/>
        </w:rPr>
      </w:pPr>
      <w:r w:rsidRPr="008B3EFB">
        <w:rPr>
          <w:rStyle w:val="Refdenotaalpie"/>
          <w:sz w:val="18"/>
          <w:szCs w:val="18"/>
        </w:rPr>
        <w:footnoteRef/>
      </w:r>
      <w:r w:rsidRPr="008B3EFB">
        <w:rPr>
          <w:sz w:val="18"/>
          <w:szCs w:val="18"/>
        </w:rPr>
        <w:t xml:space="preserve"> Ley 1523 de 2012. “Artículo 66.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w:t>
      </w:r>
      <w:r w:rsidRPr="008B3EFB">
        <w:rPr>
          <w:color w:val="4A4848"/>
          <w:sz w:val="18"/>
          <w:szCs w:val="18"/>
        </w:rPr>
        <w:t xml:space="preserve">la </w:t>
      </w:r>
      <w:r w:rsidRPr="008B3EFB">
        <w:rPr>
          <w:sz w:val="18"/>
          <w:szCs w:val="18"/>
        </w:rPr>
        <w:t>contratación entre particulares, con sujeción al régimen especial dispuesto en el artículo 13 de la Ley 1150 de</w:t>
      </w:r>
      <w:r>
        <w:rPr>
          <w:sz w:val="18"/>
          <w:szCs w:val="18"/>
        </w:rPr>
        <w:t xml:space="preserve"> </w:t>
      </w:r>
      <w:r w:rsidRPr="008B3EFB">
        <w:rPr>
          <w:sz w:val="18"/>
          <w:szCs w:val="18"/>
        </w:rPr>
        <w:t>2007, y podrán contemplar cláusulas excepcionales de conformidad con lo dispuesto en los artículos 14 a 18 de la Ley 80 de 1993.</w:t>
      </w:r>
    </w:p>
    <w:p w14:paraId="7F8220A2" w14:textId="53CB6C05" w:rsidR="00881E72" w:rsidRPr="008B3EFB" w:rsidRDefault="00881E72" w:rsidP="00077021">
      <w:pPr>
        <w:spacing w:line="242" w:lineRule="auto"/>
        <w:ind w:left="300" w:right="303"/>
        <w:jc w:val="both"/>
        <w:rPr>
          <w:sz w:val="18"/>
          <w:szCs w:val="18"/>
        </w:rPr>
      </w:pPr>
      <w:r w:rsidRPr="008B3EFB">
        <w:rPr>
          <w:sz w:val="18"/>
          <w:szCs w:val="18"/>
        </w:rPr>
        <w:t>“Parágrafo. Los contratos celebrados por las entidades territoriales en virtud del artículo anterior se someterán al control fiscal dispuesto para los celebrados en el marco de la declaratoria de urgencia manifiesta contemplada en los artículos 42 y 43 de la Ley 80 de 1993 y demás normas que la modifiquen”.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1pt;height:11.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C48440B"/>
    <w:multiLevelType w:val="hybridMultilevel"/>
    <w:tmpl w:val="1FBE473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9796081"/>
    <w:multiLevelType w:val="hybridMultilevel"/>
    <w:tmpl w:val="20DAD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EE454DC"/>
    <w:multiLevelType w:val="hybridMultilevel"/>
    <w:tmpl w:val="98DA504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5"/>
  </w:num>
  <w:num w:numId="2">
    <w:abstractNumId w:val="1"/>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2"/>
  </w:num>
  <w:num w:numId="7">
    <w:abstractNumId w:val="4"/>
  </w:num>
  <w:num w:numId="8">
    <w:abstractNumId w:val="11"/>
  </w:num>
  <w:num w:numId="9">
    <w:abstractNumId w:val="6"/>
  </w:num>
  <w:num w:numId="10">
    <w:abstractNumId w:val="10"/>
  </w:num>
  <w:num w:numId="11">
    <w:abstractNumId w:val="7"/>
  </w:num>
  <w:num w:numId="12">
    <w:abstractNumId w:val="0"/>
  </w:num>
  <w:num w:numId="13">
    <w:abstractNumId w:val="2"/>
  </w:num>
  <w:num w:numId="14">
    <w:abstractNumId w:val="13"/>
  </w:num>
  <w:num w:numId="15">
    <w:abstractNumId w:val="9"/>
  </w:num>
  <w:num w:numId="16">
    <w:abstractNumId w:val="14"/>
  </w:num>
  <w:num w:numId="17">
    <w:abstractNumId w:val="8"/>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648"/>
    <w:rsid w:val="00016F78"/>
    <w:rsid w:val="00031983"/>
    <w:rsid w:val="00046945"/>
    <w:rsid w:val="00061B2A"/>
    <w:rsid w:val="00077021"/>
    <w:rsid w:val="00082362"/>
    <w:rsid w:val="000A683E"/>
    <w:rsid w:val="000B19B9"/>
    <w:rsid w:val="000D0334"/>
    <w:rsid w:val="000F6486"/>
    <w:rsid w:val="00125105"/>
    <w:rsid w:val="00127233"/>
    <w:rsid w:val="001E4177"/>
    <w:rsid w:val="001F7DC6"/>
    <w:rsid w:val="002421BB"/>
    <w:rsid w:val="0025201C"/>
    <w:rsid w:val="0025796E"/>
    <w:rsid w:val="002707A2"/>
    <w:rsid w:val="002951A0"/>
    <w:rsid w:val="002962BC"/>
    <w:rsid w:val="002A093D"/>
    <w:rsid w:val="002A0DD0"/>
    <w:rsid w:val="002A49AC"/>
    <w:rsid w:val="002A64FD"/>
    <w:rsid w:val="002C7A84"/>
    <w:rsid w:val="002D1981"/>
    <w:rsid w:val="002E4FD9"/>
    <w:rsid w:val="00322A85"/>
    <w:rsid w:val="00324168"/>
    <w:rsid w:val="003448F4"/>
    <w:rsid w:val="00350FEA"/>
    <w:rsid w:val="00374F5E"/>
    <w:rsid w:val="00377E3E"/>
    <w:rsid w:val="00380A6A"/>
    <w:rsid w:val="003A779E"/>
    <w:rsid w:val="003D0F4D"/>
    <w:rsid w:val="003D5B0D"/>
    <w:rsid w:val="003E0499"/>
    <w:rsid w:val="003F3941"/>
    <w:rsid w:val="00406575"/>
    <w:rsid w:val="00413406"/>
    <w:rsid w:val="00414C74"/>
    <w:rsid w:val="0042722E"/>
    <w:rsid w:val="0044528D"/>
    <w:rsid w:val="00457477"/>
    <w:rsid w:val="00460B4B"/>
    <w:rsid w:val="004A1847"/>
    <w:rsid w:val="004A305D"/>
    <w:rsid w:val="004B6F57"/>
    <w:rsid w:val="004E27DE"/>
    <w:rsid w:val="004F21C4"/>
    <w:rsid w:val="004F411F"/>
    <w:rsid w:val="004F685F"/>
    <w:rsid w:val="004F7F97"/>
    <w:rsid w:val="005309DD"/>
    <w:rsid w:val="0055303D"/>
    <w:rsid w:val="005566E8"/>
    <w:rsid w:val="005656D5"/>
    <w:rsid w:val="00574867"/>
    <w:rsid w:val="00591460"/>
    <w:rsid w:val="005B2786"/>
    <w:rsid w:val="005C3777"/>
    <w:rsid w:val="005C5CDC"/>
    <w:rsid w:val="005C71AB"/>
    <w:rsid w:val="005D184E"/>
    <w:rsid w:val="005D476C"/>
    <w:rsid w:val="006219F8"/>
    <w:rsid w:val="006302F7"/>
    <w:rsid w:val="00665D70"/>
    <w:rsid w:val="006900D9"/>
    <w:rsid w:val="006A1E6F"/>
    <w:rsid w:val="006A59BE"/>
    <w:rsid w:val="006A760C"/>
    <w:rsid w:val="006C318E"/>
    <w:rsid w:val="006C4B35"/>
    <w:rsid w:val="006F011A"/>
    <w:rsid w:val="00706C16"/>
    <w:rsid w:val="00753340"/>
    <w:rsid w:val="00756841"/>
    <w:rsid w:val="007649AB"/>
    <w:rsid w:val="00771D0C"/>
    <w:rsid w:val="007763B9"/>
    <w:rsid w:val="00781B30"/>
    <w:rsid w:val="007833AC"/>
    <w:rsid w:val="007B268C"/>
    <w:rsid w:val="007B7171"/>
    <w:rsid w:val="007C0C0F"/>
    <w:rsid w:val="007C3132"/>
    <w:rsid w:val="007C3DC2"/>
    <w:rsid w:val="007E5497"/>
    <w:rsid w:val="00806F5F"/>
    <w:rsid w:val="0081304F"/>
    <w:rsid w:val="00820278"/>
    <w:rsid w:val="00831424"/>
    <w:rsid w:val="0084270B"/>
    <w:rsid w:val="00844B41"/>
    <w:rsid w:val="0086473E"/>
    <w:rsid w:val="00867F95"/>
    <w:rsid w:val="0087197D"/>
    <w:rsid w:val="00875835"/>
    <w:rsid w:val="00881E72"/>
    <w:rsid w:val="008843B6"/>
    <w:rsid w:val="00891928"/>
    <w:rsid w:val="00897A3A"/>
    <w:rsid w:val="008A446D"/>
    <w:rsid w:val="008D180B"/>
    <w:rsid w:val="008E6F76"/>
    <w:rsid w:val="008F0EA7"/>
    <w:rsid w:val="0090067E"/>
    <w:rsid w:val="00923EEF"/>
    <w:rsid w:val="009419F9"/>
    <w:rsid w:val="009426D5"/>
    <w:rsid w:val="0095685E"/>
    <w:rsid w:val="00961B09"/>
    <w:rsid w:val="00965334"/>
    <w:rsid w:val="0097093E"/>
    <w:rsid w:val="009A0DFA"/>
    <w:rsid w:val="009A4CC0"/>
    <w:rsid w:val="009B25A8"/>
    <w:rsid w:val="009B2D26"/>
    <w:rsid w:val="009C71FA"/>
    <w:rsid w:val="009C72E7"/>
    <w:rsid w:val="009D3058"/>
    <w:rsid w:val="009F3A13"/>
    <w:rsid w:val="00A122D3"/>
    <w:rsid w:val="00A17F13"/>
    <w:rsid w:val="00A20739"/>
    <w:rsid w:val="00A33C78"/>
    <w:rsid w:val="00A7243E"/>
    <w:rsid w:val="00AB0ADB"/>
    <w:rsid w:val="00AB1247"/>
    <w:rsid w:val="00B00C0E"/>
    <w:rsid w:val="00B01B1A"/>
    <w:rsid w:val="00B14142"/>
    <w:rsid w:val="00B44A47"/>
    <w:rsid w:val="00B72CD3"/>
    <w:rsid w:val="00B72FFF"/>
    <w:rsid w:val="00B7511E"/>
    <w:rsid w:val="00BC3D36"/>
    <w:rsid w:val="00BD7F72"/>
    <w:rsid w:val="00C04FB3"/>
    <w:rsid w:val="00C330EB"/>
    <w:rsid w:val="00C41990"/>
    <w:rsid w:val="00C754BE"/>
    <w:rsid w:val="00C76B1C"/>
    <w:rsid w:val="00C8465B"/>
    <w:rsid w:val="00CB6357"/>
    <w:rsid w:val="00CC1B26"/>
    <w:rsid w:val="00CD258D"/>
    <w:rsid w:val="00CF1FCB"/>
    <w:rsid w:val="00D15200"/>
    <w:rsid w:val="00D30A52"/>
    <w:rsid w:val="00D422AC"/>
    <w:rsid w:val="00D423A2"/>
    <w:rsid w:val="00D520D8"/>
    <w:rsid w:val="00D63AC2"/>
    <w:rsid w:val="00D7031B"/>
    <w:rsid w:val="00D7383B"/>
    <w:rsid w:val="00D755F4"/>
    <w:rsid w:val="00DA231B"/>
    <w:rsid w:val="00DC39FC"/>
    <w:rsid w:val="00DF5254"/>
    <w:rsid w:val="00E12E4A"/>
    <w:rsid w:val="00E16408"/>
    <w:rsid w:val="00E20894"/>
    <w:rsid w:val="00E245AB"/>
    <w:rsid w:val="00E26DC0"/>
    <w:rsid w:val="00E2764C"/>
    <w:rsid w:val="00E27F2E"/>
    <w:rsid w:val="00E50AFE"/>
    <w:rsid w:val="00E75C92"/>
    <w:rsid w:val="00E76434"/>
    <w:rsid w:val="00E771DC"/>
    <w:rsid w:val="00E8772A"/>
    <w:rsid w:val="00E90F6B"/>
    <w:rsid w:val="00E92C27"/>
    <w:rsid w:val="00EA0E3D"/>
    <w:rsid w:val="00EC38A7"/>
    <w:rsid w:val="00EE1AA8"/>
    <w:rsid w:val="00F22584"/>
    <w:rsid w:val="00F31EDC"/>
    <w:rsid w:val="00F3596F"/>
    <w:rsid w:val="00F462B3"/>
    <w:rsid w:val="00F47B8B"/>
    <w:rsid w:val="00F47C8E"/>
    <w:rsid w:val="00F5664F"/>
    <w:rsid w:val="00F61367"/>
    <w:rsid w:val="00F666C4"/>
    <w:rsid w:val="00F76AFC"/>
    <w:rsid w:val="00F77A4A"/>
    <w:rsid w:val="00F97644"/>
    <w:rsid w:val="00FA47C0"/>
    <w:rsid w:val="00FB5DD1"/>
    <w:rsid w:val="00FC2B5D"/>
    <w:rsid w:val="00FE7634"/>
    <w:rsid w:val="00FF1449"/>
    <w:rsid w:val="14E38EF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987DD106-FDCA-4C79-B36C-C0C801731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881E72"/>
    <w:pPr>
      <w:spacing w:after="0" w:line="240" w:lineRule="auto"/>
      <w:jc w:val="both"/>
    </w:pPr>
    <w:tblPr/>
  </w:style>
  <w:style w:type="paragraph" w:customStyle="1" w:styleId="Appelnotedebasde">
    <w:name w:val="Appel note de bas de..."/>
    <w:basedOn w:val="Normal"/>
    <w:link w:val="Refdenotaalpie"/>
    <w:uiPriority w:val="99"/>
    <w:rsid w:val="00881E72"/>
    <w:pPr>
      <w:spacing w:line="240" w:lineRule="exact"/>
    </w:pPr>
    <w:rPr>
      <w:vertAlign w:val="superscript"/>
    </w:rPr>
  </w:style>
  <w:style w:type="paragraph" w:styleId="Textoindependiente">
    <w:name w:val="Body Text"/>
    <w:basedOn w:val="Normal"/>
    <w:link w:val="TextoindependienteCar"/>
    <w:uiPriority w:val="1"/>
    <w:qFormat/>
    <w:rsid w:val="00881E72"/>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881E72"/>
    <w:rPr>
      <w:rFonts w:ascii="Arial" w:eastAsia="Arial" w:hAnsi="Arial" w:cs="Arial"/>
      <w:lang w:val="es-ES"/>
    </w:rPr>
  </w:style>
  <w:style w:type="character" w:styleId="Refdecomentario">
    <w:name w:val="annotation reference"/>
    <w:basedOn w:val="Fuentedeprrafopredeter"/>
    <w:uiPriority w:val="99"/>
    <w:semiHidden/>
    <w:unhideWhenUsed/>
    <w:rsid w:val="008E6F76"/>
    <w:rPr>
      <w:sz w:val="16"/>
      <w:szCs w:val="16"/>
    </w:rPr>
  </w:style>
  <w:style w:type="paragraph" w:styleId="Textocomentario">
    <w:name w:val="annotation text"/>
    <w:basedOn w:val="Normal"/>
    <w:link w:val="TextocomentarioCar"/>
    <w:uiPriority w:val="99"/>
    <w:unhideWhenUsed/>
    <w:rsid w:val="008E6F76"/>
    <w:pPr>
      <w:spacing w:line="240" w:lineRule="auto"/>
    </w:pPr>
    <w:rPr>
      <w:sz w:val="20"/>
      <w:szCs w:val="20"/>
    </w:rPr>
  </w:style>
  <w:style w:type="character" w:customStyle="1" w:styleId="TextocomentarioCar">
    <w:name w:val="Texto comentario Car"/>
    <w:basedOn w:val="Fuentedeprrafopredeter"/>
    <w:link w:val="Textocomentario"/>
    <w:uiPriority w:val="99"/>
    <w:rsid w:val="008E6F76"/>
    <w:rPr>
      <w:sz w:val="20"/>
      <w:szCs w:val="20"/>
    </w:rPr>
  </w:style>
  <w:style w:type="paragraph" w:styleId="Asuntodelcomentario">
    <w:name w:val="annotation subject"/>
    <w:basedOn w:val="Textocomentario"/>
    <w:next w:val="Textocomentario"/>
    <w:link w:val="AsuntodelcomentarioCar"/>
    <w:uiPriority w:val="99"/>
    <w:semiHidden/>
    <w:unhideWhenUsed/>
    <w:rsid w:val="008E6F76"/>
    <w:rPr>
      <w:b/>
      <w:bCs/>
    </w:rPr>
  </w:style>
  <w:style w:type="character" w:customStyle="1" w:styleId="AsuntodelcomentarioCar">
    <w:name w:val="Asunto del comentario Car"/>
    <w:basedOn w:val="TextocomentarioCar"/>
    <w:link w:val="Asuntodelcomentario"/>
    <w:uiPriority w:val="99"/>
    <w:semiHidden/>
    <w:rsid w:val="008E6F7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auraduarte.asesora@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martha.romero%40colombiacompra.gov.co%7Ceb0fd05604104aa4d3bc08dd4c4ad35e%7C7b09041e245149d08cb179d5e3d8c1be%7C0%7C0%7C638750606448700641%7CUnknown%7CTWFpbGZsb3d8eyJFbXB0eU1hcGkiOnRydWUsIlYiOiIwLjAuMDAwMCIsIlAiOiJXaW4zMiIsIkFOIjoiTWFpbCIsIldUIjoyfQ%3D%3D%7C0%7C%7C%7C&amp;sdata=%2Fw7NDlydm1sAVaZ5nsuc%2Fx3xkTlP0SRNi%2BF7vBnsE2g%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martha.romero%40colombiacompra.gov.co%7Ceb0fd05604104aa4d3bc08dd4c4ad35e%7C7b09041e245149d08cb179d5e3d8c1be%7C0%7C0%7C638750606448637423%7CUnknown%7CTWFpbGZsb3d8eyJFbXB0eU1hcGkiOnRydWUsIlYiOiIwLjAuMDAwMCIsIlAiOiJXaW4zMiIsIkFOIjoiTWFpbCIsIldUIjoyfQ%3D%3D%7C0%7C%7C%7C&amp;sdata=A3YK7jNEkvtbDxh5nXtXi%2FZkzWcbC7%2FsT8xKSXACzv4%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59111B-CE7F-4483-92F3-AF129376834C}">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a6cb9e4b-f1d1-4245-83ec-6cad768d538a"/>
    <ds:schemaRef ds:uri="http://schemas.microsoft.com/office/2006/documentManagement/types"/>
    <ds:schemaRef ds:uri="http://www.w3.org/XML/1998/namespace"/>
    <ds:schemaRef ds:uri="http://schemas.microsoft.com/office/2006/metadata/properties"/>
    <ds:schemaRef ds:uri="9d85dbaf-23eb-4e57-a637-93dcacc8b1a1"/>
    <ds:schemaRef ds:uri="http://purl.org/dc/dcmitype/"/>
    <ds:schemaRef ds:uri="http://purl.org/dc/elements/1.1/"/>
    <ds:schemaRef ds:uri="http://schemas.microsoft.com/office/infopath/2007/PartnerControls"/>
    <ds:schemaRef ds:uri="http://schemas.openxmlformats.org/package/2006/metadata/core-properties"/>
    <ds:schemaRef ds:uri="http://purl.org/dc/term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54BD7C2A-FD8E-481C-9F4B-4AA3AADEE3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10</Pages>
  <Words>3016</Words>
  <Characters>16593</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19570</CharactersWithSpaces>
  <SharedDoc>false</SharedDoc>
  <HLinks>
    <vt:vector size="24" baseType="variant">
      <vt:variant>
        <vt:i4>2228351</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martha.romero%40colombiacompra.gov.co%7Ceb0fd05604104aa4d3bc08dd4c4ad35e%7C7b09041e245149d08cb179d5e3d8c1be%7C0%7C0%7C638750606448700641%7CUnknown%7CTWFpbGZsb3d8eyJFbXB0eU1hcGkiOnRydWUsIlYiOiIwLjAuMDAwMCIsIlAiOiJXaW4zMiIsIkFOIjoiTWFpbCIsIldUIjoyfQ%3D%3D%7C0%7C%7C%7C&amp;sdata=%2Fw7NDlydm1sAVaZ5nsuc%2Fx3xkTlP0SRNi%2BF7vBnsE2g%3D&amp;reserved=0</vt:lpwstr>
      </vt:variant>
      <vt:variant>
        <vt:lpwstr/>
      </vt:variant>
      <vt:variant>
        <vt:i4>6946918</vt:i4>
      </vt:variant>
      <vt:variant>
        <vt:i4>6</vt:i4>
      </vt:variant>
      <vt:variant>
        <vt:i4>0</vt:i4>
      </vt:variant>
      <vt:variant>
        <vt:i4>5</vt:i4>
      </vt:variant>
      <vt:variant>
        <vt:lpwstr>https://nam02.safelinks.protection.outlook.com/?url=https%3A%2F%2Fwww.colombiacompra.gov.co%2Fmanuales-guias-y-pliegos-tipo%2Fmanuales-y-guias%2Fcartilla-para-incentivar-y-fortalecer-el-acceso-las&amp;data=05%7C02%7Cmartha.romero%40colombiacompra.gov.co%7Ceb0fd05604104aa4d3bc08dd4c4ad35e%7C7b09041e245149d08cb179d5e3d8c1be%7C0%7C0%7C638750606448637423%7CUnknown%7CTWFpbGZsb3d8eyJFbXB0eU1hcGkiOnRydWUsIlYiOiIwLjAuMDAwMCIsIlAiOiJXaW4zMiIsIkFOIjoiTWFpbCIsIldUIjoyfQ%3D%3D%7C0%7C%7C%7C&amp;sdata=A3YK7jNEkvtbDxh5nXtXi%2FZkzWcbC7%2FsT8xKSXACzv4%3D&amp;reserved=0</vt:lpwstr>
      </vt:variant>
      <vt:variant>
        <vt:lpwstr/>
      </vt:variant>
      <vt:variant>
        <vt:i4>7929911</vt:i4>
      </vt:variant>
      <vt:variant>
        <vt:i4>3</vt:i4>
      </vt:variant>
      <vt:variant>
        <vt:i4>0</vt:i4>
      </vt:variant>
      <vt:variant>
        <vt:i4>5</vt:i4>
      </vt:variant>
      <vt:variant>
        <vt:lpwstr>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vt:lpwstr>
      </vt:variant>
      <vt:variant>
        <vt:lpwstr/>
      </vt:variant>
      <vt:variant>
        <vt:i4>1441905</vt:i4>
      </vt:variant>
      <vt:variant>
        <vt:i4>0</vt:i4>
      </vt:variant>
      <vt:variant>
        <vt:i4>0</vt:i4>
      </vt:variant>
      <vt:variant>
        <vt:i4>5</vt:i4>
      </vt:variant>
      <vt:variant>
        <vt:lpwstr>mailto:lauraduarte.asesora@gmail.com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2025-10-31T00:35:00Z</dcterms:created>
  <dcterms:modified xsi:type="dcterms:W3CDTF">2025-10-31T00:35:00Z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