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49A58" w14:textId="77777777" w:rsidR="00500D81" w:rsidRPr="00123DAA" w:rsidRDefault="00500D81" w:rsidP="00500D81">
      <w:pPr>
        <w:spacing w:after="0" w:line="240" w:lineRule="auto"/>
        <w:jc w:val="both"/>
        <w:rPr>
          <w:rFonts w:ascii="Verdana" w:eastAsia="Calibri" w:hAnsi="Verdana" w:cs="Arial"/>
          <w:b/>
          <w:bCs/>
          <w:lang w:val="es-ES_tradnl" w:eastAsia="es-ES"/>
        </w:rPr>
      </w:pPr>
      <w:r w:rsidRPr="00940024">
        <w:rPr>
          <w:rFonts w:ascii="Verdana" w:eastAsia="Calibri" w:hAnsi="Verdana" w:cs="Arial"/>
          <w:b/>
          <w:bCs/>
          <w:lang w:val="es-ES_tradnl" w:eastAsia="es-ES"/>
        </w:rPr>
        <w:t>SEGURIDAD SOCIAL INTEGRAL – Verificación</w:t>
      </w:r>
      <w:r>
        <w:rPr>
          <w:rFonts w:ascii="Verdana" w:eastAsia="Calibri" w:hAnsi="Verdana" w:cs="Arial"/>
          <w:b/>
          <w:bCs/>
          <w:lang w:val="es-ES_tradnl" w:eastAsia="es-ES"/>
        </w:rPr>
        <w:t xml:space="preserve"> </w:t>
      </w:r>
      <w:r w:rsidRPr="00940024">
        <w:rPr>
          <w:rFonts w:ascii="Verdana" w:eastAsia="Calibri" w:hAnsi="Verdana" w:cs="Arial"/>
          <w:b/>
          <w:bCs/>
          <w:lang w:val="es-ES_tradnl" w:eastAsia="es-ES"/>
        </w:rPr>
        <w:t>–</w:t>
      </w:r>
      <w:r>
        <w:rPr>
          <w:rFonts w:ascii="Verdana" w:eastAsia="Calibri" w:hAnsi="Verdana" w:cs="Arial"/>
          <w:b/>
          <w:bCs/>
          <w:lang w:val="es-ES_tradnl" w:eastAsia="es-ES"/>
        </w:rPr>
        <w:t xml:space="preserve"> Persona natural </w:t>
      </w:r>
      <w:r w:rsidRPr="00940024">
        <w:rPr>
          <w:rFonts w:ascii="Verdana" w:eastAsia="Calibri" w:hAnsi="Verdana" w:cs="Arial"/>
          <w:b/>
          <w:bCs/>
          <w:lang w:val="es-ES_tradnl" w:eastAsia="es-ES"/>
        </w:rPr>
        <w:t>–</w:t>
      </w:r>
      <w:r>
        <w:rPr>
          <w:rFonts w:ascii="Verdana" w:eastAsia="Calibri" w:hAnsi="Verdana" w:cs="Arial"/>
          <w:b/>
          <w:bCs/>
          <w:lang w:val="es-ES_tradnl" w:eastAsia="es-ES"/>
        </w:rPr>
        <w:t xml:space="preserve"> Persona jurídica</w:t>
      </w:r>
    </w:p>
    <w:p w14:paraId="6861F776" w14:textId="77777777" w:rsidR="00500D81" w:rsidRPr="00123DAA" w:rsidRDefault="00500D81" w:rsidP="00500D81">
      <w:pPr>
        <w:spacing w:after="0" w:line="240" w:lineRule="auto"/>
        <w:jc w:val="both"/>
        <w:rPr>
          <w:rFonts w:ascii="Verdana" w:eastAsia="Calibri" w:hAnsi="Verdana" w:cs="Arial"/>
          <w:sz w:val="20"/>
          <w:szCs w:val="20"/>
          <w:lang w:val="es-ES_tradnl" w:eastAsia="es-ES"/>
        </w:rPr>
      </w:pPr>
    </w:p>
    <w:p w14:paraId="115F4D60" w14:textId="77777777" w:rsidR="00500D81" w:rsidRPr="00940024"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modificada en lo pertinente por la Ley 2381 de 2024, el Sistema de Seguridad Social Integral en Colombia se compone de los sistemas de protección social integral para la vejez, invalidez y muerte de origen común, de salud y de riesgos laborales, así como los servicios sociales complementarios.</w:t>
      </w:r>
    </w:p>
    <w:p w14:paraId="102817BF" w14:textId="77777777" w:rsidR="00500D81" w:rsidRDefault="00500D81" w:rsidP="00500D81">
      <w:pPr>
        <w:spacing w:after="0" w:line="240" w:lineRule="auto"/>
        <w:jc w:val="both"/>
        <w:rPr>
          <w:rFonts w:ascii="Verdana" w:eastAsia="Calibri" w:hAnsi="Verdana" w:cs="Arial"/>
          <w:sz w:val="20"/>
          <w:szCs w:val="20"/>
          <w:lang w:val="es-ES" w:eastAsia="es-ES"/>
        </w:rPr>
      </w:pPr>
    </w:p>
    <w:p w14:paraId="6D23B2E1" w14:textId="77777777" w:rsidR="00500D81"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El artículo 50 de la Ley 789 de 2002 dispuso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r>
        <w:rPr>
          <w:rFonts w:ascii="Verdana" w:eastAsia="Calibri" w:hAnsi="Verdana" w:cs="Arial"/>
          <w:sz w:val="20"/>
          <w:szCs w:val="20"/>
          <w:lang w:val="es-ES" w:eastAsia="es-ES"/>
        </w:rPr>
        <w:t xml:space="preserve"> </w:t>
      </w:r>
    </w:p>
    <w:p w14:paraId="0D92604C" w14:textId="77777777" w:rsidR="00500D81" w:rsidRDefault="00500D81" w:rsidP="00500D81">
      <w:pPr>
        <w:spacing w:after="0" w:line="240" w:lineRule="auto"/>
        <w:jc w:val="both"/>
        <w:rPr>
          <w:rFonts w:ascii="Verdana" w:eastAsia="Calibri" w:hAnsi="Verdana" w:cs="Arial"/>
          <w:sz w:val="20"/>
          <w:szCs w:val="20"/>
          <w:lang w:val="es-ES" w:eastAsia="es-ES"/>
        </w:rPr>
      </w:pPr>
    </w:p>
    <w:p w14:paraId="4384EF25" w14:textId="77777777" w:rsidR="00500D81" w:rsidRDefault="00500D81" w:rsidP="00500D81">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 xml:space="preserve">(…) </w:t>
      </w:r>
    </w:p>
    <w:p w14:paraId="5DD7265F" w14:textId="77777777" w:rsidR="00500D81" w:rsidRPr="00940024" w:rsidRDefault="00500D81" w:rsidP="00500D81">
      <w:pPr>
        <w:spacing w:after="0" w:line="240" w:lineRule="auto"/>
        <w:jc w:val="both"/>
        <w:rPr>
          <w:rFonts w:ascii="Verdana" w:eastAsia="Calibri" w:hAnsi="Verdana" w:cs="Arial"/>
          <w:sz w:val="20"/>
          <w:szCs w:val="20"/>
          <w:lang w:val="es-ES" w:eastAsia="es-ES"/>
        </w:rPr>
      </w:pPr>
      <w:r w:rsidRPr="000E3658">
        <w:rPr>
          <w:rFonts w:ascii="Verdana" w:eastAsia="Calibri" w:hAnsi="Verdana" w:cs="Arial"/>
          <w:sz w:val="20"/>
          <w:szCs w:val="20"/>
          <w:lang w:val="es-ES" w:eastAsia="es-ES"/>
        </w:rPr>
        <w:t xml:space="preserve">En este sentido, la verificación de los aportes al Sistema de Seguridad Social Integral cambia, dependiendo si se trata de una persona natural o de una jurídica: i) si es una persona natural, la Entidad Estatal verificará el pago al Sistema de Seguridad Social Integral cuando se realicen los pagos del contrato, es decir, durante su ejecución y </w:t>
      </w:r>
      <w:proofErr w:type="spellStart"/>
      <w:r w:rsidRPr="000E3658">
        <w:rPr>
          <w:rFonts w:ascii="Verdana" w:eastAsia="Calibri" w:hAnsi="Verdana" w:cs="Arial"/>
          <w:sz w:val="20"/>
          <w:szCs w:val="20"/>
          <w:lang w:val="es-ES" w:eastAsia="es-ES"/>
        </w:rPr>
        <w:t>ii</w:t>
      </w:r>
      <w:proofErr w:type="spellEnd"/>
      <w:r w:rsidRPr="000E3658">
        <w:rPr>
          <w:rFonts w:ascii="Verdana" w:eastAsia="Calibri" w:hAnsi="Verdana" w:cs="Arial"/>
          <w:sz w:val="20"/>
          <w:szCs w:val="20"/>
          <w:lang w:val="es-ES" w:eastAsia="es-ES"/>
        </w:rPr>
        <w:t>) si se refiere a una persona jurídica,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21E7F2BD" w14:textId="77777777" w:rsidR="00500D81" w:rsidRPr="00940024" w:rsidRDefault="00500D81" w:rsidP="00500D81">
      <w:pPr>
        <w:spacing w:after="0" w:line="240" w:lineRule="auto"/>
        <w:jc w:val="both"/>
        <w:rPr>
          <w:rFonts w:ascii="Verdana" w:eastAsia="Calibri" w:hAnsi="Verdana" w:cs="Arial"/>
          <w:sz w:val="20"/>
          <w:szCs w:val="20"/>
          <w:lang w:val="es-ES" w:eastAsia="es-ES"/>
        </w:rPr>
      </w:pPr>
    </w:p>
    <w:p w14:paraId="5A580989" w14:textId="77777777" w:rsidR="00500D81" w:rsidRPr="00123DAA" w:rsidRDefault="00500D81" w:rsidP="00500D81">
      <w:pPr>
        <w:spacing w:after="0" w:line="240" w:lineRule="auto"/>
        <w:jc w:val="both"/>
        <w:rPr>
          <w:rFonts w:ascii="Verdana" w:eastAsia="Calibri" w:hAnsi="Verdana" w:cs="Arial"/>
          <w:sz w:val="20"/>
          <w:szCs w:val="20"/>
          <w:lang w:val="es-ES_tradnl" w:eastAsia="es-ES"/>
        </w:rPr>
      </w:pPr>
      <w:r w:rsidRPr="00940024">
        <w:rPr>
          <w:rFonts w:ascii="Verdana" w:eastAsia="Calibri" w:hAnsi="Verdana" w:cs="Arial"/>
          <w:b/>
          <w:bCs/>
          <w:lang w:val="es-ES_tradnl" w:eastAsia="es-ES"/>
        </w:rPr>
        <w:t>SEGURIDAD SOCIAL INTEGRAL – Régimen jurídico – Afiliación y aporte – Obligación legal – Ejecución del contrato</w:t>
      </w:r>
      <w:r>
        <w:rPr>
          <w:rFonts w:ascii="Verdana" w:eastAsia="Calibri" w:hAnsi="Verdana" w:cs="Arial"/>
          <w:b/>
          <w:bCs/>
          <w:lang w:val="es-ES_tradnl" w:eastAsia="es-ES"/>
        </w:rPr>
        <w:t xml:space="preserve"> </w:t>
      </w:r>
    </w:p>
    <w:p w14:paraId="7E72B48B" w14:textId="77777777" w:rsidR="00500D81" w:rsidRDefault="00500D81" w:rsidP="00500D81">
      <w:pPr>
        <w:spacing w:after="0" w:line="240" w:lineRule="auto"/>
        <w:jc w:val="both"/>
        <w:rPr>
          <w:rFonts w:ascii="Verdana" w:eastAsia="Calibri" w:hAnsi="Verdana" w:cs="Arial"/>
          <w:sz w:val="20"/>
          <w:szCs w:val="20"/>
          <w:lang w:val="es-ES_tradnl" w:eastAsia="es-ES"/>
        </w:rPr>
      </w:pPr>
    </w:p>
    <w:p w14:paraId="689AA25C" w14:textId="77777777" w:rsidR="00500D81"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Esta norma fue analizada por la Sección Tercera del Consejo de Estado, que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w:t>
      </w:r>
      <w:r w:rsidRPr="00940024">
        <w:rPr>
          <w:rFonts w:ascii="Verdana" w:eastAsia="Calibri" w:hAnsi="Verdana" w:cs="Arial"/>
          <w:i/>
          <w:iCs/>
          <w:sz w:val="20"/>
          <w:szCs w:val="20"/>
          <w:lang w:val="es-ES" w:eastAsia="es-ES"/>
        </w:rPr>
        <w:t>durante la ejecución de un contrato</w:t>
      </w:r>
      <w:r w:rsidRPr="00940024">
        <w:rPr>
          <w:rFonts w:ascii="Verdana" w:eastAsia="Calibri" w:hAnsi="Verdana" w:cs="Arial"/>
          <w:sz w:val="20"/>
          <w:szCs w:val="20"/>
          <w:lang w:val="es-ES" w:eastAsia="es-ES"/>
        </w:rPr>
        <w:t xml:space="preserve">, verifiquen el cumplimiento de las obligaciones del sistema de seguridad social por parte de los oferentes. De esta manera, el artículo 23 de la Ley 1150 de 2007 </w:t>
      </w:r>
      <w:r w:rsidRPr="00940024">
        <w:rPr>
          <w:rFonts w:ascii="Verdana" w:eastAsia="Calibri" w:hAnsi="Verdana" w:cs="Arial"/>
          <w:sz w:val="20"/>
          <w:szCs w:val="20"/>
          <w:lang w:val="es-ES" w:eastAsia="es-ES"/>
        </w:rPr>
        <w:lastRenderedPageBreak/>
        <w:t>que modificó el inciso segundo del artículo 41 de la Ley 80 de 1993, incluye la obligación, para los proponentes y contratistas, de estar a paz y salvo con los aportes parafiscales al Sistema de Seguridad Social Integral […]</w:t>
      </w:r>
    </w:p>
    <w:p w14:paraId="0F5392B2" w14:textId="77777777" w:rsidR="00500D81" w:rsidRPr="00940024" w:rsidRDefault="00500D81" w:rsidP="00500D81">
      <w:pPr>
        <w:spacing w:after="0" w:line="240" w:lineRule="auto"/>
        <w:jc w:val="both"/>
        <w:rPr>
          <w:rFonts w:ascii="Verdana" w:eastAsia="Calibri" w:hAnsi="Verdana" w:cs="Arial"/>
          <w:sz w:val="20"/>
          <w:szCs w:val="20"/>
          <w:lang w:val="es-ES" w:eastAsia="es-ES"/>
        </w:rPr>
      </w:pPr>
    </w:p>
    <w:p w14:paraId="142F6007" w14:textId="77777777" w:rsidR="00500D81"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Del artículo 23 de la Ley 1150 de 2007 se concluye </w:t>
      </w:r>
      <w:proofErr w:type="gramStart"/>
      <w:r w:rsidRPr="00940024">
        <w:rPr>
          <w:rFonts w:ascii="Verdana" w:eastAsia="Calibri" w:hAnsi="Verdana" w:cs="Arial"/>
          <w:sz w:val="20"/>
          <w:szCs w:val="20"/>
          <w:lang w:val="es-ES" w:eastAsia="es-ES"/>
        </w:rPr>
        <w:t>que</w:t>
      </w:r>
      <w:proofErr w:type="gramEnd"/>
      <w:r w:rsidRPr="00940024">
        <w:rPr>
          <w:rFonts w:ascii="Verdana" w:eastAsia="Calibri" w:hAnsi="Verdana" w:cs="Arial"/>
          <w:sz w:val="20"/>
          <w:szCs w:val="20"/>
          <w:lang w:val="es-ES" w:eastAsia="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w:t>
      </w:r>
    </w:p>
    <w:p w14:paraId="7883AA35" w14:textId="77777777" w:rsidR="00500D81" w:rsidRDefault="00500D81" w:rsidP="00500D81">
      <w:pPr>
        <w:spacing w:after="0" w:line="240" w:lineRule="auto"/>
        <w:jc w:val="both"/>
        <w:rPr>
          <w:rFonts w:ascii="Verdana" w:eastAsia="Calibri" w:hAnsi="Verdana" w:cs="Arial"/>
          <w:sz w:val="20"/>
          <w:szCs w:val="20"/>
          <w:lang w:val="es-ES" w:eastAsia="es-ES"/>
        </w:rPr>
      </w:pPr>
    </w:p>
    <w:p w14:paraId="069901F2" w14:textId="44999933" w:rsidR="008813F7" w:rsidRDefault="008813F7" w:rsidP="008813F7">
      <w:pPr>
        <w:spacing w:after="0" w:line="240" w:lineRule="auto"/>
        <w:contextualSpacing/>
        <w:jc w:val="both"/>
        <w:rPr>
          <w:rFonts w:ascii="Verdana" w:eastAsia="Calibri" w:hAnsi="Verdana" w:cs="Arial"/>
          <w:b/>
          <w:lang w:val="es-ES_tradnl"/>
        </w:rPr>
      </w:pPr>
      <w:r w:rsidRPr="00834036">
        <w:rPr>
          <w:rFonts w:ascii="Verdana" w:eastAsia="Calibri" w:hAnsi="Verdana" w:cs="Arial"/>
          <w:b/>
          <w:lang w:val="es-ES_tradnl"/>
        </w:rPr>
        <w:t xml:space="preserve">SEGURIDAD SOCIAL </w:t>
      </w:r>
      <w:r w:rsidRPr="00940024">
        <w:rPr>
          <w:rFonts w:ascii="Verdana" w:eastAsia="Calibri" w:hAnsi="Verdana" w:cs="Arial"/>
          <w:b/>
          <w:bCs/>
          <w:lang w:val="es-ES_tradnl" w:eastAsia="es-ES"/>
        </w:rPr>
        <w:t>INTEGRAL</w:t>
      </w:r>
      <w:r w:rsidRPr="00834036">
        <w:rPr>
          <w:rFonts w:ascii="Verdana" w:eastAsia="Calibri" w:hAnsi="Verdana" w:cs="Arial"/>
          <w:b/>
          <w:lang w:val="es-ES_tradnl"/>
        </w:rPr>
        <w:t xml:space="preserve"> – Honorarios – Ingreso Base</w:t>
      </w:r>
      <w:r>
        <w:rPr>
          <w:rFonts w:ascii="Verdana" w:eastAsia="Calibri" w:hAnsi="Verdana" w:cs="Arial"/>
          <w:b/>
          <w:lang w:val="es-ES_tradnl"/>
        </w:rPr>
        <w:t xml:space="preserve"> de</w:t>
      </w:r>
      <w:r w:rsidRPr="00834036">
        <w:rPr>
          <w:rFonts w:ascii="Verdana" w:eastAsia="Calibri" w:hAnsi="Verdana" w:cs="Arial"/>
          <w:b/>
          <w:lang w:val="es-ES_tradnl"/>
        </w:rPr>
        <w:t xml:space="preserve"> </w:t>
      </w:r>
      <w:r>
        <w:rPr>
          <w:rFonts w:ascii="Verdana" w:eastAsia="Calibri" w:hAnsi="Verdana" w:cs="Arial"/>
          <w:b/>
          <w:lang w:val="es-ES_tradnl"/>
        </w:rPr>
        <w:t>Cotización (IBC)</w:t>
      </w:r>
    </w:p>
    <w:p w14:paraId="661F4B32" w14:textId="77777777" w:rsidR="008813F7" w:rsidRDefault="008813F7" w:rsidP="008813F7">
      <w:pPr>
        <w:spacing w:after="0" w:line="240" w:lineRule="auto"/>
        <w:contextualSpacing/>
        <w:jc w:val="both"/>
        <w:rPr>
          <w:rFonts w:ascii="Verdana" w:eastAsia="Calibri" w:hAnsi="Verdana" w:cs="Arial"/>
          <w:b/>
          <w:lang w:val="es-ES_tradnl"/>
        </w:rPr>
      </w:pPr>
    </w:p>
    <w:p w14:paraId="036B50C1" w14:textId="77777777" w:rsidR="008813F7" w:rsidRPr="008813F7" w:rsidRDefault="008813F7" w:rsidP="008813F7">
      <w:pPr>
        <w:spacing w:after="0" w:line="240" w:lineRule="auto"/>
        <w:jc w:val="both"/>
        <w:rPr>
          <w:rFonts w:ascii="Verdana" w:eastAsia="Calibri" w:hAnsi="Verdana" w:cs="Arial"/>
          <w:sz w:val="20"/>
          <w:szCs w:val="20"/>
          <w:lang w:val="es-ES" w:eastAsia="es-ES"/>
        </w:rPr>
      </w:pPr>
      <w:r w:rsidRPr="008813F7">
        <w:rPr>
          <w:rFonts w:ascii="Verdana" w:eastAsia="Calibri" w:hAnsi="Verdana" w:cs="Arial"/>
          <w:sz w:val="20"/>
          <w:szCs w:val="20"/>
          <w:lang w:val="es-ES" w:eastAsia="es-ES"/>
        </w:rPr>
        <w:t xml:space="preserve">Sobre el valor del aporte y la periodicidad, se debe cotizar durante todo el periodo de ejecución contractual y cada vez que se realice un pago en el contrato, como cuando se pactan pagos por productos; y conforme al marco jurídico actual, al pago al Sistema de Seguridad Social Integral por parte de contratistas estatales, en calidad de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8813F7">
        <w:rPr>
          <w:rFonts w:ascii="Verdana" w:eastAsia="Calibri" w:hAnsi="Verdana" w:cs="Arial"/>
          <w:sz w:val="20"/>
          <w:szCs w:val="20"/>
          <w:lang w:val="es-ES" w:eastAsia="es-ES"/>
        </w:rPr>
        <w:t>ii</w:t>
      </w:r>
      <w:proofErr w:type="spellEnd"/>
      <w:r w:rsidRPr="008813F7">
        <w:rPr>
          <w:rFonts w:ascii="Verdana" w:eastAsia="Calibri" w:hAnsi="Verdana" w:cs="Arial"/>
          <w:sz w:val="20"/>
          <w:szCs w:val="20"/>
          <w:lang w:val="es-ES" w:eastAsia="es-ES"/>
        </w:rPr>
        <w:t xml:space="preserve">) la base mínima de cotización es el cuarenta por ciento (40%) del valor mensualizado de ingresos o del contrato, </w:t>
      </w:r>
      <w:proofErr w:type="spellStart"/>
      <w:r w:rsidRPr="008813F7">
        <w:rPr>
          <w:rFonts w:ascii="Verdana" w:eastAsia="Calibri" w:hAnsi="Verdana" w:cs="Arial"/>
          <w:sz w:val="20"/>
          <w:szCs w:val="20"/>
          <w:lang w:val="es-ES" w:eastAsia="es-ES"/>
        </w:rPr>
        <w:t>iii</w:t>
      </w:r>
      <w:proofErr w:type="spellEnd"/>
      <w:r w:rsidRPr="008813F7">
        <w:rPr>
          <w:rFonts w:ascii="Verdana" w:eastAsia="Calibri" w:hAnsi="Verdana" w:cs="Arial"/>
          <w:sz w:val="20"/>
          <w:szCs w:val="20"/>
          <w:lang w:val="es-ES" w:eastAsia="es-ES"/>
        </w:rPr>
        <w:t xml:space="preserve">) la cotización se realizará mes vencido, y finalmente, </w:t>
      </w:r>
      <w:proofErr w:type="spellStart"/>
      <w:r w:rsidRPr="008813F7">
        <w:rPr>
          <w:rFonts w:ascii="Verdana" w:eastAsia="Calibri" w:hAnsi="Verdana" w:cs="Arial"/>
          <w:sz w:val="20"/>
          <w:szCs w:val="20"/>
          <w:lang w:val="es-ES" w:eastAsia="es-ES"/>
        </w:rPr>
        <w:t>iv</w:t>
      </w:r>
      <w:proofErr w:type="spellEnd"/>
      <w:r w:rsidRPr="008813F7">
        <w:rPr>
          <w:rFonts w:ascii="Verdana" w:eastAsia="Calibri" w:hAnsi="Verdana" w:cs="Arial"/>
          <w:sz w:val="20"/>
          <w:szCs w:val="20"/>
          <w:lang w:val="es-ES" w:eastAsia="es-ES"/>
        </w:rPr>
        <w:t xml:space="preserve">) el pago lo efectuará directamente el trabajador independiente. </w:t>
      </w:r>
    </w:p>
    <w:p w14:paraId="07A75490" w14:textId="77777777" w:rsidR="008813F7" w:rsidRPr="008813F7" w:rsidRDefault="008813F7" w:rsidP="00500D81">
      <w:pPr>
        <w:spacing w:after="0" w:line="240" w:lineRule="auto"/>
        <w:jc w:val="both"/>
        <w:rPr>
          <w:rFonts w:ascii="Verdana" w:eastAsia="Calibri" w:hAnsi="Verdana" w:cs="Arial"/>
          <w:b/>
          <w:bCs/>
          <w:lang w:val="es-ES_tradnl" w:eastAsia="es-ES"/>
        </w:rPr>
      </w:pPr>
    </w:p>
    <w:p w14:paraId="0C535B36" w14:textId="6A2AD12B" w:rsidR="00500D81" w:rsidRPr="00123DAA" w:rsidRDefault="00500D81" w:rsidP="00500D81">
      <w:pPr>
        <w:spacing w:after="0" w:line="240" w:lineRule="auto"/>
        <w:jc w:val="both"/>
        <w:rPr>
          <w:rFonts w:ascii="Verdana" w:eastAsia="Calibri" w:hAnsi="Verdana" w:cs="Arial"/>
          <w:sz w:val="20"/>
          <w:szCs w:val="20"/>
          <w:lang w:val="es-ES_tradnl" w:eastAsia="es-ES"/>
        </w:rPr>
      </w:pPr>
      <w:r>
        <w:rPr>
          <w:rFonts w:ascii="Verdana" w:eastAsia="Calibri" w:hAnsi="Verdana" w:cs="Arial"/>
          <w:b/>
          <w:bCs/>
          <w:lang w:val="es-ES_tradnl" w:eastAsia="es-ES"/>
        </w:rPr>
        <w:t>LEY 2381 DE 2024 – Reglamentación – Cotizaciones – Entidades estatales – Contratos de prestación de servicios – Directrices</w:t>
      </w:r>
    </w:p>
    <w:p w14:paraId="74DECCAE" w14:textId="77777777" w:rsidR="00500D81" w:rsidRDefault="00500D81" w:rsidP="00500D81">
      <w:pPr>
        <w:spacing w:after="0" w:line="240" w:lineRule="auto"/>
        <w:jc w:val="both"/>
        <w:rPr>
          <w:rFonts w:ascii="Verdana" w:eastAsia="Calibri" w:hAnsi="Verdana" w:cs="Arial"/>
          <w:sz w:val="20"/>
          <w:szCs w:val="20"/>
          <w:lang w:val="es-ES_tradnl" w:eastAsia="es-ES"/>
        </w:rPr>
      </w:pPr>
    </w:p>
    <w:p w14:paraId="225F138B" w14:textId="77777777" w:rsidR="00500D81" w:rsidRDefault="00500D81" w:rsidP="00500D81">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D</w:t>
      </w:r>
      <w:r w:rsidRPr="00940024">
        <w:rPr>
          <w:rFonts w:ascii="Verdana" w:eastAsia="Calibri" w:hAnsi="Verdana" w:cs="Arial"/>
          <w:sz w:val="20"/>
          <w:szCs w:val="20"/>
          <w:lang w:val="es-ES" w:eastAsia="es-ES"/>
        </w:rPr>
        <w:t>e acuerdo con los artículos 21 de la Ley 2381 de 2024 y 2.2.4.18.7 del Decreto 514 de 2025, las cotizaciones a cargo de las entidades que suscriben contratos de prestación de servicios con personas naturales o jurídicas no rigen de forma automática con la vigencia de la reforma pensional, sino que requiere pacto expreso con los contratistas. Esto supone la modificación de los contratos, pues son los documentos donde constan las obligaciones de las partes. Como las normas citadas no disponen un procedimiento específico, las entidades que asuman el pago de las cotizaciones establecerán protocolos internos para el efecto.</w:t>
      </w:r>
    </w:p>
    <w:p w14:paraId="347D775D" w14:textId="77777777" w:rsidR="00500D81" w:rsidRPr="00940024" w:rsidRDefault="00500D81" w:rsidP="00500D81">
      <w:pPr>
        <w:spacing w:after="0" w:line="240" w:lineRule="auto"/>
        <w:jc w:val="both"/>
        <w:rPr>
          <w:rFonts w:ascii="Verdana" w:eastAsia="Calibri" w:hAnsi="Verdana" w:cs="Arial"/>
          <w:sz w:val="20"/>
          <w:szCs w:val="20"/>
          <w:lang w:val="es-ES" w:eastAsia="es-ES"/>
        </w:rPr>
      </w:pPr>
    </w:p>
    <w:p w14:paraId="4C5909A5" w14:textId="77777777" w:rsidR="00500D81"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De estar de acuerdo, la entidad contratante descontará de los honorarios la cotización tanto del sistema de protección social integral para la vejez, invalidez y muerte de origen común como de los sistemas de salud y riesgos laborales; además, responderá por el monto de las cotizaciones, aún en el evento de que no efectuar descuentos a los </w:t>
      </w:r>
      <w:r w:rsidRPr="00940024">
        <w:rPr>
          <w:rFonts w:ascii="Verdana" w:eastAsia="Calibri" w:hAnsi="Verdana" w:cs="Arial"/>
          <w:sz w:val="20"/>
          <w:szCs w:val="20"/>
          <w:lang w:val="es-ES" w:eastAsia="es-ES"/>
        </w:rPr>
        <w:lastRenderedPageBreak/>
        <w:t>contratistas.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facultativa, no obligatoria.</w:t>
      </w:r>
    </w:p>
    <w:p w14:paraId="0ED3D723" w14:textId="77777777" w:rsidR="00500D81" w:rsidRDefault="00500D81" w:rsidP="00500D81">
      <w:pPr>
        <w:spacing w:after="0" w:line="240" w:lineRule="auto"/>
        <w:jc w:val="both"/>
        <w:rPr>
          <w:rFonts w:ascii="Verdana" w:eastAsia="Calibri" w:hAnsi="Verdana" w:cs="Arial"/>
          <w:sz w:val="20"/>
          <w:szCs w:val="20"/>
          <w:lang w:val="es-ES" w:eastAsia="es-ES"/>
        </w:rPr>
      </w:pPr>
    </w:p>
    <w:p w14:paraId="73110118" w14:textId="25853C69" w:rsidR="008813F7" w:rsidRPr="00834036" w:rsidRDefault="00500D81" w:rsidP="008813F7">
      <w:pPr>
        <w:spacing w:after="0" w:line="240" w:lineRule="auto"/>
        <w:jc w:val="both"/>
        <w:rPr>
          <w:rFonts w:ascii="Verdana" w:eastAsia="Times New Roman" w:hAnsi="Verdana" w:cs="Arial"/>
          <w:b/>
          <w:lang w:eastAsia="es-ES_tradnl"/>
        </w:rPr>
      </w:pPr>
      <w:r w:rsidRPr="00546EB3">
        <w:rPr>
          <w:rFonts w:ascii="Verdana" w:eastAsia="Calibri" w:hAnsi="Verdana" w:cs="Arial"/>
          <w:sz w:val="20"/>
          <w:szCs w:val="20"/>
          <w:lang w:val="es-ES" w:eastAsia="es-ES"/>
        </w:rPr>
        <w:t xml:space="preserve">Con todo, en caso de que, conforme a lo dispuesto en el artículo 2.2.4.18.7 del Decreto 514 de 2025, se acuerde que la entidad contratante será la responsable de realizar </w:t>
      </w:r>
      <w:proofErr w:type="gramStart"/>
      <w:r w:rsidRPr="00546EB3">
        <w:rPr>
          <w:rFonts w:ascii="Verdana" w:eastAsia="Calibri" w:hAnsi="Verdana" w:cs="Arial"/>
          <w:sz w:val="20"/>
          <w:szCs w:val="20"/>
          <w:lang w:val="es-ES" w:eastAsia="es-ES"/>
        </w:rPr>
        <w:t>las el</w:t>
      </w:r>
      <w:proofErr w:type="gramEnd"/>
      <w:r w:rsidRPr="00546EB3">
        <w:rPr>
          <w:rFonts w:ascii="Verdana" w:eastAsia="Calibri" w:hAnsi="Verdana" w:cs="Arial"/>
          <w:sz w:val="20"/>
          <w:szCs w:val="20"/>
          <w:lang w:val="es-ES" w:eastAsia="es-ES"/>
        </w:rPr>
        <w:t xml:space="preserve"> pago de las cotizaciones, ésta deberá aplicar lo dispuesto en la Resolución 2388 de 2016</w:t>
      </w:r>
      <w:r w:rsidRPr="00546EB3">
        <w:rPr>
          <w:rFonts w:ascii="Verdana" w:eastAsia="Calibri" w:hAnsi="Verdana" w:cs="Arial"/>
          <w:sz w:val="20"/>
          <w:szCs w:val="20"/>
          <w:lang w:eastAsia="es-ES"/>
        </w:rPr>
        <w:t xml:space="preserve"> del Ministerio de Salud y Protección Social </w:t>
      </w:r>
      <w:r w:rsidRPr="00546EB3">
        <w:rPr>
          <w:rFonts w:ascii="Verdana" w:eastAsia="Calibri" w:hAnsi="Verdana" w:cs="Arial"/>
          <w:i/>
          <w:iCs/>
          <w:sz w:val="20"/>
          <w:szCs w:val="20"/>
          <w:lang w:eastAsia="es-ES"/>
        </w:rPr>
        <w:t xml:space="preserve">“Por la cual se unifican las reglas para el recaudo de aportes al Sistema de Seguridad Social Integral y Parafiscales", </w:t>
      </w:r>
      <w:r w:rsidRPr="00546EB3">
        <w:rPr>
          <w:rFonts w:ascii="Verdana" w:eastAsia="Calibri" w:hAnsi="Verdana" w:cs="Arial"/>
          <w:sz w:val="20"/>
          <w:szCs w:val="20"/>
          <w:lang w:eastAsia="es-ES"/>
        </w:rPr>
        <w:t>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w:t>
      </w:r>
    </w:p>
    <w:p w14:paraId="65F5D31E" w14:textId="77777777" w:rsidR="00500D81" w:rsidRPr="008813F7" w:rsidRDefault="00500D81" w:rsidP="00500D81">
      <w:pPr>
        <w:spacing w:after="0" w:line="240" w:lineRule="auto"/>
        <w:rPr>
          <w:rFonts w:ascii="Verdana" w:eastAsia="Geomanist Light" w:hAnsi="Verdana" w:cs="Arial"/>
          <w:color w:val="000000" w:themeColor="text1"/>
        </w:rPr>
      </w:pPr>
    </w:p>
    <w:p w14:paraId="22B11FBC" w14:textId="77777777" w:rsidR="00500D81" w:rsidRDefault="00500D81" w:rsidP="00500D81">
      <w:pPr>
        <w:spacing w:after="0" w:line="240" w:lineRule="auto"/>
        <w:rPr>
          <w:rFonts w:ascii="Verdana" w:eastAsia="Geomanist Light" w:hAnsi="Verdana" w:cs="Arial"/>
          <w:color w:val="000000" w:themeColor="text1"/>
          <w:lang w:val="es-MX"/>
        </w:rPr>
      </w:pPr>
    </w:p>
    <w:p w14:paraId="001B301D" w14:textId="77777777" w:rsidR="00500D81" w:rsidRDefault="00500D81" w:rsidP="00500D81">
      <w:pPr>
        <w:spacing w:after="0" w:line="240" w:lineRule="auto"/>
        <w:rPr>
          <w:rFonts w:ascii="Verdana" w:eastAsia="Geomanist Light" w:hAnsi="Verdana" w:cs="Arial"/>
          <w:color w:val="000000" w:themeColor="text1"/>
          <w:lang w:val="es-MX"/>
        </w:rPr>
      </w:pPr>
    </w:p>
    <w:p w14:paraId="2E118095" w14:textId="77777777" w:rsidR="00500D81" w:rsidRDefault="00500D81" w:rsidP="00500D81">
      <w:pPr>
        <w:spacing w:after="0" w:line="240" w:lineRule="auto"/>
        <w:rPr>
          <w:rFonts w:ascii="Verdana" w:eastAsia="Geomanist Light" w:hAnsi="Verdana" w:cs="Arial"/>
          <w:color w:val="000000" w:themeColor="text1"/>
          <w:lang w:val="es-MX"/>
        </w:rPr>
      </w:pPr>
    </w:p>
    <w:p w14:paraId="707EA8DF" w14:textId="77777777" w:rsidR="00500D81" w:rsidRDefault="00500D81" w:rsidP="00500D81">
      <w:pPr>
        <w:spacing w:after="0" w:line="240" w:lineRule="auto"/>
        <w:rPr>
          <w:rFonts w:ascii="Verdana" w:eastAsia="Geomanist Light" w:hAnsi="Verdana" w:cs="Arial"/>
          <w:color w:val="000000" w:themeColor="text1"/>
          <w:lang w:val="es-MX"/>
        </w:rPr>
      </w:pPr>
    </w:p>
    <w:p w14:paraId="46216BF2" w14:textId="77777777" w:rsidR="00500D81" w:rsidRDefault="00500D81" w:rsidP="00500D81">
      <w:pPr>
        <w:spacing w:after="0" w:line="240" w:lineRule="auto"/>
        <w:rPr>
          <w:rFonts w:ascii="Verdana" w:eastAsia="Geomanist Light" w:hAnsi="Verdana" w:cs="Arial"/>
          <w:color w:val="000000" w:themeColor="text1"/>
          <w:lang w:val="es-MX"/>
        </w:rPr>
      </w:pPr>
    </w:p>
    <w:p w14:paraId="0B37035A" w14:textId="77777777" w:rsidR="00500D81" w:rsidRDefault="00500D81" w:rsidP="00500D81">
      <w:pPr>
        <w:spacing w:after="0" w:line="240" w:lineRule="auto"/>
        <w:rPr>
          <w:rFonts w:ascii="Verdana" w:eastAsia="Geomanist Light" w:hAnsi="Verdana" w:cs="Arial"/>
          <w:color w:val="000000" w:themeColor="text1"/>
          <w:lang w:val="es-MX"/>
        </w:rPr>
      </w:pPr>
    </w:p>
    <w:p w14:paraId="58883E67" w14:textId="77777777" w:rsidR="00500D81" w:rsidRDefault="00500D81" w:rsidP="00500D81">
      <w:pPr>
        <w:spacing w:after="0" w:line="240" w:lineRule="auto"/>
        <w:rPr>
          <w:rFonts w:ascii="Verdana" w:eastAsia="Geomanist Light" w:hAnsi="Verdana" w:cs="Arial"/>
          <w:color w:val="000000" w:themeColor="text1"/>
          <w:lang w:val="es-MX"/>
        </w:rPr>
      </w:pPr>
    </w:p>
    <w:p w14:paraId="7DCEE3C9" w14:textId="77777777" w:rsidR="00500D81" w:rsidRDefault="00500D81" w:rsidP="00500D81">
      <w:pPr>
        <w:spacing w:after="0" w:line="240" w:lineRule="auto"/>
        <w:rPr>
          <w:rFonts w:ascii="Verdana" w:eastAsia="Geomanist Light" w:hAnsi="Verdana" w:cs="Arial"/>
          <w:color w:val="000000" w:themeColor="text1"/>
          <w:lang w:val="es-MX"/>
        </w:rPr>
      </w:pPr>
    </w:p>
    <w:p w14:paraId="05058538" w14:textId="77777777" w:rsidR="00500D81" w:rsidRDefault="00500D81" w:rsidP="00500D81">
      <w:pPr>
        <w:spacing w:after="0" w:line="240" w:lineRule="auto"/>
        <w:rPr>
          <w:rFonts w:ascii="Verdana" w:eastAsia="Geomanist Light" w:hAnsi="Verdana" w:cs="Arial"/>
          <w:color w:val="000000" w:themeColor="text1"/>
          <w:lang w:val="es-MX"/>
        </w:rPr>
      </w:pPr>
    </w:p>
    <w:p w14:paraId="3FD457BC" w14:textId="77777777" w:rsidR="00500D81" w:rsidRDefault="00500D81" w:rsidP="00500D81">
      <w:pPr>
        <w:spacing w:after="0" w:line="240" w:lineRule="auto"/>
        <w:rPr>
          <w:rFonts w:ascii="Verdana" w:eastAsia="Geomanist Light" w:hAnsi="Verdana" w:cs="Arial"/>
          <w:color w:val="000000" w:themeColor="text1"/>
          <w:lang w:val="es-MX"/>
        </w:rPr>
      </w:pPr>
    </w:p>
    <w:p w14:paraId="5036AF72" w14:textId="77777777" w:rsidR="00500D81" w:rsidRDefault="00500D81" w:rsidP="00500D81">
      <w:pPr>
        <w:spacing w:after="0" w:line="240" w:lineRule="auto"/>
        <w:rPr>
          <w:rFonts w:ascii="Verdana" w:eastAsia="Geomanist Light" w:hAnsi="Verdana" w:cs="Arial"/>
          <w:color w:val="000000" w:themeColor="text1"/>
          <w:lang w:val="es-MX"/>
        </w:rPr>
      </w:pPr>
    </w:p>
    <w:p w14:paraId="5CF594AF" w14:textId="77777777" w:rsidR="00500D81" w:rsidRDefault="00500D81" w:rsidP="00500D81">
      <w:pPr>
        <w:spacing w:after="0" w:line="240" w:lineRule="auto"/>
        <w:rPr>
          <w:rFonts w:ascii="Verdana" w:eastAsia="Geomanist Light" w:hAnsi="Verdana" w:cs="Arial"/>
          <w:color w:val="000000" w:themeColor="text1"/>
          <w:lang w:val="es-MX"/>
        </w:rPr>
      </w:pPr>
    </w:p>
    <w:p w14:paraId="5455E978" w14:textId="77777777" w:rsidR="00500D81" w:rsidRDefault="00500D81" w:rsidP="00500D81">
      <w:pPr>
        <w:spacing w:after="0" w:line="240" w:lineRule="auto"/>
        <w:rPr>
          <w:rFonts w:ascii="Verdana" w:eastAsia="Geomanist Light" w:hAnsi="Verdana" w:cs="Arial"/>
          <w:color w:val="000000" w:themeColor="text1"/>
          <w:lang w:val="es-MX"/>
        </w:rPr>
      </w:pPr>
    </w:p>
    <w:p w14:paraId="7EEA9002" w14:textId="77777777" w:rsidR="00500D81" w:rsidRDefault="00500D81" w:rsidP="00500D81">
      <w:pPr>
        <w:spacing w:after="0" w:line="240" w:lineRule="auto"/>
        <w:rPr>
          <w:rFonts w:ascii="Verdana" w:eastAsia="Geomanist Light" w:hAnsi="Verdana" w:cs="Arial"/>
          <w:color w:val="000000" w:themeColor="text1"/>
          <w:lang w:val="es-MX"/>
        </w:rPr>
      </w:pPr>
    </w:p>
    <w:p w14:paraId="07A3A0C1" w14:textId="77777777" w:rsidR="00500D81" w:rsidRDefault="00500D81" w:rsidP="00500D81">
      <w:pPr>
        <w:spacing w:after="0" w:line="240" w:lineRule="auto"/>
        <w:rPr>
          <w:rFonts w:ascii="Verdana" w:eastAsia="Geomanist Light" w:hAnsi="Verdana" w:cs="Arial"/>
          <w:color w:val="000000" w:themeColor="text1"/>
          <w:lang w:val="es-MX"/>
        </w:rPr>
      </w:pPr>
    </w:p>
    <w:p w14:paraId="2B5AC1B0" w14:textId="77777777" w:rsidR="00500D81" w:rsidRDefault="00500D81" w:rsidP="00500D81">
      <w:pPr>
        <w:spacing w:after="0" w:line="240" w:lineRule="auto"/>
        <w:rPr>
          <w:rFonts w:ascii="Verdana" w:eastAsia="Geomanist Light" w:hAnsi="Verdana" w:cs="Arial"/>
          <w:color w:val="000000" w:themeColor="text1"/>
          <w:lang w:val="es-MX"/>
        </w:rPr>
      </w:pPr>
    </w:p>
    <w:p w14:paraId="53C551E8" w14:textId="77777777" w:rsidR="00500D81" w:rsidRDefault="00500D81" w:rsidP="00500D81">
      <w:pPr>
        <w:spacing w:after="0" w:line="240" w:lineRule="auto"/>
        <w:rPr>
          <w:rFonts w:ascii="Verdana" w:eastAsia="Geomanist Light" w:hAnsi="Verdana" w:cs="Arial"/>
          <w:color w:val="000000" w:themeColor="text1"/>
          <w:lang w:val="es-MX"/>
        </w:rPr>
      </w:pPr>
    </w:p>
    <w:p w14:paraId="53E40A5F" w14:textId="77777777" w:rsidR="00500D81" w:rsidRDefault="00500D81" w:rsidP="00500D81">
      <w:pPr>
        <w:spacing w:after="0" w:line="240" w:lineRule="auto"/>
        <w:rPr>
          <w:rFonts w:ascii="Verdana" w:eastAsia="Geomanist Light" w:hAnsi="Verdana" w:cs="Arial"/>
          <w:color w:val="000000" w:themeColor="text1"/>
          <w:lang w:val="es-MX"/>
        </w:rPr>
      </w:pPr>
    </w:p>
    <w:p w14:paraId="6E6EB739" w14:textId="77777777" w:rsidR="00500D81" w:rsidRDefault="00500D81" w:rsidP="00500D81">
      <w:pPr>
        <w:spacing w:after="0" w:line="240" w:lineRule="auto"/>
        <w:rPr>
          <w:rFonts w:ascii="Verdana" w:eastAsia="Geomanist Light" w:hAnsi="Verdana" w:cs="Arial"/>
          <w:color w:val="000000" w:themeColor="text1"/>
          <w:lang w:val="es-MX"/>
        </w:rPr>
      </w:pPr>
    </w:p>
    <w:p w14:paraId="2FD494E8" w14:textId="77777777" w:rsidR="002E26D7" w:rsidRDefault="002E26D7" w:rsidP="00500D81">
      <w:pPr>
        <w:spacing w:after="0" w:line="240" w:lineRule="auto"/>
        <w:jc w:val="both"/>
        <w:rPr>
          <w:rFonts w:ascii="Verdana" w:eastAsia="Times New Roman" w:hAnsi="Verdana" w:cs="Arial"/>
          <w:noProof/>
          <w:lang w:val="es-ES_tradnl" w:eastAsia="es-ES_tradnl"/>
        </w:rPr>
      </w:pPr>
    </w:p>
    <w:p w14:paraId="2AD06233" w14:textId="77777777" w:rsidR="004534BA" w:rsidRDefault="004534BA" w:rsidP="00500D81">
      <w:pPr>
        <w:spacing w:after="0" w:line="240" w:lineRule="auto"/>
        <w:jc w:val="both"/>
        <w:rPr>
          <w:rFonts w:ascii="Verdana" w:eastAsia="Times New Roman" w:hAnsi="Verdana" w:cs="Arial"/>
          <w:noProof/>
          <w:lang w:val="es-ES_tradnl" w:eastAsia="es-ES_tradnl"/>
        </w:rPr>
      </w:pPr>
    </w:p>
    <w:p w14:paraId="0FADA608" w14:textId="77777777" w:rsidR="004534BA" w:rsidRDefault="004534BA" w:rsidP="00500D81">
      <w:pPr>
        <w:spacing w:after="0" w:line="240" w:lineRule="auto"/>
        <w:jc w:val="both"/>
        <w:rPr>
          <w:rFonts w:ascii="Verdana" w:eastAsia="Times New Roman" w:hAnsi="Verdana" w:cs="Arial"/>
          <w:noProof/>
          <w:lang w:val="es-ES_tradnl" w:eastAsia="es-ES_tradnl"/>
        </w:rPr>
      </w:pPr>
    </w:p>
    <w:p w14:paraId="5D061BB4" w14:textId="77777777" w:rsidR="004534BA" w:rsidRDefault="004534BA" w:rsidP="00500D81">
      <w:pPr>
        <w:spacing w:after="0" w:line="240" w:lineRule="auto"/>
        <w:jc w:val="both"/>
        <w:rPr>
          <w:rFonts w:ascii="Verdana" w:eastAsia="Times New Roman" w:hAnsi="Verdana" w:cs="Arial"/>
          <w:noProof/>
          <w:lang w:val="es-ES_tradnl" w:eastAsia="es-ES_tradnl"/>
        </w:rPr>
      </w:pPr>
    </w:p>
    <w:p w14:paraId="12D30086" w14:textId="77777777" w:rsidR="004534BA" w:rsidRDefault="004534BA" w:rsidP="00500D81">
      <w:pPr>
        <w:spacing w:after="0" w:line="240" w:lineRule="auto"/>
        <w:jc w:val="both"/>
        <w:rPr>
          <w:rFonts w:ascii="Verdana" w:eastAsia="Times New Roman" w:hAnsi="Verdana" w:cs="Arial"/>
          <w:noProof/>
          <w:lang w:val="es-ES_tradnl" w:eastAsia="es-ES_tradnl"/>
        </w:rPr>
      </w:pPr>
    </w:p>
    <w:p w14:paraId="616AC2CE" w14:textId="77777777" w:rsidR="004534BA" w:rsidRDefault="004534BA" w:rsidP="00500D81">
      <w:pPr>
        <w:spacing w:after="0" w:line="240" w:lineRule="auto"/>
        <w:jc w:val="both"/>
        <w:rPr>
          <w:rFonts w:ascii="Verdana" w:eastAsia="Times New Roman" w:hAnsi="Verdana" w:cs="Arial"/>
          <w:noProof/>
          <w:lang w:val="es-ES_tradnl" w:eastAsia="es-ES_tradnl"/>
        </w:rPr>
      </w:pPr>
    </w:p>
    <w:p w14:paraId="07F9B3C2" w14:textId="77777777" w:rsidR="004534BA" w:rsidRDefault="004534BA" w:rsidP="00500D81">
      <w:pPr>
        <w:spacing w:after="0" w:line="240" w:lineRule="auto"/>
        <w:jc w:val="both"/>
        <w:rPr>
          <w:rFonts w:ascii="Verdana" w:eastAsia="Times New Roman" w:hAnsi="Verdana" w:cs="Arial"/>
          <w:noProof/>
          <w:lang w:val="es-ES_tradnl" w:eastAsia="es-ES_tradnl"/>
        </w:rPr>
      </w:pPr>
    </w:p>
    <w:p w14:paraId="56BC33B5" w14:textId="77777777" w:rsidR="004534BA" w:rsidRDefault="004534BA" w:rsidP="00500D81">
      <w:pPr>
        <w:spacing w:after="0" w:line="240" w:lineRule="auto"/>
        <w:jc w:val="both"/>
        <w:rPr>
          <w:rFonts w:ascii="Verdana" w:eastAsia="Times New Roman" w:hAnsi="Verdana" w:cs="Arial"/>
          <w:noProof/>
          <w:lang w:val="es-ES_tradnl" w:eastAsia="es-ES_tradnl"/>
        </w:rPr>
      </w:pPr>
    </w:p>
    <w:p w14:paraId="76D8DE1F" w14:textId="77777777" w:rsidR="002E26D7" w:rsidRDefault="002E26D7" w:rsidP="00500D81">
      <w:pPr>
        <w:spacing w:after="0" w:line="240" w:lineRule="auto"/>
        <w:jc w:val="both"/>
        <w:rPr>
          <w:rFonts w:ascii="Verdana" w:eastAsia="Times New Roman" w:hAnsi="Verdana" w:cs="Arial"/>
          <w:noProof/>
          <w:lang w:val="es-ES_tradnl" w:eastAsia="es-ES_tradnl"/>
        </w:rPr>
      </w:pPr>
    </w:p>
    <w:p w14:paraId="1CE1699A" w14:textId="77777777" w:rsidR="002E26D7" w:rsidRDefault="002E26D7" w:rsidP="00500D81">
      <w:pPr>
        <w:spacing w:after="0" w:line="240" w:lineRule="auto"/>
        <w:jc w:val="both"/>
        <w:rPr>
          <w:rFonts w:ascii="Verdana" w:eastAsia="Times New Roman" w:hAnsi="Verdana" w:cs="Arial"/>
          <w:noProof/>
          <w:lang w:val="es-ES_tradnl" w:eastAsia="es-ES_tradnl"/>
        </w:rPr>
      </w:pPr>
    </w:p>
    <w:p w14:paraId="2A94AD44" w14:textId="054D7B12" w:rsidR="000C3835" w:rsidRDefault="00CE446C" w:rsidP="00500D81">
      <w:pPr>
        <w:spacing w:after="0" w:line="240" w:lineRule="auto"/>
        <w:jc w:val="both"/>
        <w:rPr>
          <w:rFonts w:ascii="Verdana" w:eastAsia="Times New Roman" w:hAnsi="Verdana" w:cs="Arial"/>
          <w:noProof/>
          <w:lang w:val="es-ES_tradnl" w:eastAsia="es-ES_tradnl"/>
        </w:rPr>
      </w:pPr>
      <w:r w:rsidRPr="00CE446C">
        <w:rPr>
          <w:rFonts w:ascii="Verdana" w:eastAsia="Times New Roman" w:hAnsi="Verdana" w:cs="Arial"/>
          <w:noProof/>
          <w:lang w:val="es-ES_tradnl" w:eastAsia="es-ES_tradnl"/>
        </w:rPr>
        <w:lastRenderedPageBreak/>
        <w:t xml:space="preserve">Bogotá D.C., </w:t>
      </w:r>
      <w:r w:rsidR="004A2A68">
        <w:rPr>
          <w:rFonts w:ascii="Verdana" w:eastAsia="Times New Roman" w:hAnsi="Verdana" w:cs="Arial"/>
          <w:noProof/>
          <w:lang w:val="es-ES_tradnl" w:eastAsia="es-ES_tradnl"/>
        </w:rPr>
        <w:t>20 de octubre de 2025</w:t>
      </w:r>
    </w:p>
    <w:p w14:paraId="598841FB" w14:textId="77777777" w:rsidR="004A2A68" w:rsidRDefault="004A2A68" w:rsidP="00500D81">
      <w:pPr>
        <w:spacing w:after="0" w:line="240" w:lineRule="auto"/>
        <w:jc w:val="both"/>
        <w:rPr>
          <w:rFonts w:ascii="Verdana" w:eastAsia="Times New Roman" w:hAnsi="Verdana" w:cs="Arial"/>
          <w:noProof/>
          <w:lang w:val="es-ES_tradnl" w:eastAsia="es-ES_tradnl"/>
        </w:rPr>
      </w:pPr>
    </w:p>
    <w:p w14:paraId="5DD6D269" w14:textId="578C2AB6" w:rsidR="004A2A68" w:rsidRDefault="004A2A68" w:rsidP="004A2A68">
      <w:pPr>
        <w:spacing w:after="0" w:line="240" w:lineRule="auto"/>
        <w:jc w:val="right"/>
        <w:rPr>
          <w:rFonts w:ascii="Verdana" w:eastAsia="Times New Roman" w:hAnsi="Verdana" w:cs="Arial"/>
          <w:noProof/>
          <w:lang w:val="es-ES_tradnl" w:eastAsia="es-ES_tradnl"/>
        </w:rPr>
      </w:pPr>
    </w:p>
    <w:p w14:paraId="1F6C0B78" w14:textId="36AA3891" w:rsidR="000C3835" w:rsidRPr="003C692C" w:rsidRDefault="009C0BD8" w:rsidP="00500D81">
      <w:pPr>
        <w:spacing w:after="0" w:line="240" w:lineRule="auto"/>
        <w:jc w:val="both"/>
        <w:rPr>
          <w:rFonts w:ascii="Verdana" w:eastAsia="Times New Roman" w:hAnsi="Verdana" w:cs="Arial"/>
          <w:noProof/>
          <w:lang w:val="es-ES_tradnl" w:eastAsia="es-ES_tradnl"/>
        </w:rPr>
      </w:pPr>
      <w:r w:rsidRPr="004A2A68">
        <w:rPr>
          <w:rFonts w:ascii="Verdana" w:eastAsia="Times New Roman" w:hAnsi="Verdana" w:cs="Arial"/>
          <w:noProof/>
          <w:lang w:val="es-ES_tradnl" w:eastAsia="es-ES_tradnl"/>
        </w:rPr>
        <w:drawing>
          <wp:anchor distT="0" distB="0" distL="114300" distR="114300" simplePos="0" relativeHeight="251658752" behindDoc="0" locked="0" layoutInCell="1" allowOverlap="1" wp14:anchorId="0475DA2F" wp14:editId="2A540CB7">
            <wp:simplePos x="0" y="0"/>
            <wp:positionH relativeFrom="margin">
              <wp:align>right</wp:align>
            </wp:positionH>
            <wp:positionV relativeFrom="paragraph">
              <wp:posOffset>5715</wp:posOffset>
            </wp:positionV>
            <wp:extent cx="3133090" cy="927100"/>
            <wp:effectExtent l="0" t="0" r="0" b="6350"/>
            <wp:wrapSquare wrapText="bothSides"/>
            <wp:docPr id="133795637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956372"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133090" cy="927100"/>
                    </a:xfrm>
                    <a:prstGeom prst="rect">
                      <a:avLst/>
                    </a:prstGeom>
                  </pic:spPr>
                </pic:pic>
              </a:graphicData>
            </a:graphic>
            <wp14:sizeRelH relativeFrom="margin">
              <wp14:pctWidth>0</wp14:pctWidth>
            </wp14:sizeRelH>
            <wp14:sizeRelV relativeFrom="margin">
              <wp14:pctHeight>0</wp14:pctHeight>
            </wp14:sizeRelV>
          </wp:anchor>
        </w:drawing>
      </w:r>
    </w:p>
    <w:p w14:paraId="7715522F" w14:textId="09204957" w:rsidR="00500D81" w:rsidRPr="00F17B99" w:rsidRDefault="00500D81" w:rsidP="00500D81">
      <w:pPr>
        <w:spacing w:after="0" w:line="240" w:lineRule="auto"/>
        <w:jc w:val="right"/>
        <w:rPr>
          <w:rFonts w:ascii="Verdana" w:eastAsia="Calibri" w:hAnsi="Verdana" w:cs="Arial"/>
          <w:color w:val="000000"/>
          <w:lang w:val="es-MX"/>
        </w:rPr>
      </w:pPr>
    </w:p>
    <w:p w14:paraId="07FED189" w14:textId="5A1587C0" w:rsidR="00500D81" w:rsidRPr="000C555D" w:rsidRDefault="00500D81" w:rsidP="00500D81">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55B91D01" w14:textId="76DB6744" w:rsidR="00500D81" w:rsidRPr="00583C7F" w:rsidRDefault="00DD7325" w:rsidP="00500D81">
      <w:pPr>
        <w:spacing w:after="0" w:line="240" w:lineRule="auto"/>
        <w:rPr>
          <w:rFonts w:ascii="Verdana" w:eastAsia="Calibri" w:hAnsi="Verdana" w:cs="Arial"/>
          <w:b/>
          <w:lang w:val="es-ES" w:eastAsia="es-ES"/>
        </w:rPr>
      </w:pPr>
      <w:r>
        <w:rPr>
          <w:rFonts w:ascii="Verdana" w:eastAsia="Calibri" w:hAnsi="Verdana" w:cs="Arial"/>
          <w:b/>
          <w:lang w:val="es-ES" w:eastAsia="es-ES"/>
        </w:rPr>
        <w:t>Carlos Andrés Merizalde</w:t>
      </w:r>
    </w:p>
    <w:p w14:paraId="399A9DF5" w14:textId="47A9024D" w:rsidR="00500D81" w:rsidRPr="00F56A67" w:rsidRDefault="00DD7325" w:rsidP="00DD7325">
      <w:pPr>
        <w:spacing w:after="0" w:line="240" w:lineRule="auto"/>
        <w:rPr>
          <w:rFonts w:ascii="Verdana" w:eastAsia="Calibri" w:hAnsi="Verdana" w:cs="Arial"/>
          <w:lang w:eastAsia="es-ES"/>
        </w:rPr>
      </w:pPr>
      <w:r w:rsidRPr="00DD7325">
        <w:rPr>
          <w:rFonts w:ascii="Verdana" w:eastAsia="Calibri" w:hAnsi="Verdana" w:cs="Arial"/>
          <w:lang w:eastAsia="es-ES"/>
        </w:rPr>
        <w:t>Camr83@hotmail.co</w:t>
      </w:r>
      <w:r>
        <w:rPr>
          <w:rFonts w:ascii="Verdana" w:eastAsia="Calibri" w:hAnsi="Verdana" w:cs="Arial"/>
          <w:lang w:eastAsia="es-ES"/>
        </w:rPr>
        <w:t>m</w:t>
      </w:r>
      <w:r w:rsidR="00500D81" w:rsidRPr="00F56A67">
        <w:rPr>
          <w:rFonts w:ascii="Verdana" w:eastAsia="Calibri" w:hAnsi="Verdana" w:cs="Arial"/>
          <w:lang w:eastAsia="es-ES"/>
        </w:rPr>
        <w:cr/>
      </w:r>
      <w:r>
        <w:rPr>
          <w:rFonts w:ascii="Verdana" w:eastAsia="Calibri" w:hAnsi="Verdana" w:cs="Arial"/>
          <w:lang w:eastAsia="es-ES"/>
        </w:rPr>
        <w:t>Ciudad</w:t>
      </w:r>
    </w:p>
    <w:p w14:paraId="7BAA9DBC" w14:textId="77777777" w:rsidR="00500D81" w:rsidRPr="00F56A67" w:rsidRDefault="00500D81" w:rsidP="00500D81">
      <w:pPr>
        <w:spacing w:after="0" w:line="240" w:lineRule="auto"/>
        <w:rPr>
          <w:rFonts w:ascii="Verdana" w:eastAsia="Calibri" w:hAnsi="Verdana" w:cs="Arial"/>
          <w:b/>
          <w:bCs/>
          <w:color w:val="000000"/>
          <w:lang w:eastAsia="es-ES_tradnl"/>
        </w:rPr>
      </w:pPr>
    </w:p>
    <w:p w14:paraId="5B723E6A" w14:textId="77777777" w:rsidR="00500D81" w:rsidRPr="00F56A67" w:rsidRDefault="00500D81" w:rsidP="00500D81">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00D81" w:rsidRPr="00593A5F" w14:paraId="56BA6302" w14:textId="77777777" w:rsidTr="00DA4134">
        <w:trPr>
          <w:trHeight w:val="208"/>
        </w:trPr>
        <w:tc>
          <w:tcPr>
            <w:tcW w:w="2689" w:type="dxa"/>
          </w:tcPr>
          <w:p w14:paraId="48D151EF" w14:textId="77777777" w:rsidR="00500D81" w:rsidRPr="00F56A67" w:rsidRDefault="00500D81" w:rsidP="005A3D07">
            <w:pPr>
              <w:jc w:val="both"/>
              <w:rPr>
                <w:rFonts w:ascii="Verdana" w:eastAsia="Calibri" w:hAnsi="Verdana" w:cs="Arial"/>
                <w:b/>
                <w:bCs/>
                <w:color w:val="7030A0"/>
                <w:lang w:eastAsia="es-ES_tradnl"/>
              </w:rPr>
            </w:pPr>
          </w:p>
        </w:tc>
        <w:tc>
          <w:tcPr>
            <w:tcW w:w="6100" w:type="dxa"/>
          </w:tcPr>
          <w:p w14:paraId="116522CF" w14:textId="6159E090" w:rsidR="005C2E14" w:rsidRDefault="00500D81" w:rsidP="005A3D07">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sidR="00CE446C">
              <w:rPr>
                <w:rFonts w:ascii="Verdana" w:eastAsia="Calibri" w:hAnsi="Verdana" w:cs="Arial"/>
                <w:b/>
                <w:bCs/>
                <w:lang w:val="es-ES" w:eastAsia="es-ES"/>
              </w:rPr>
              <w:t>1359</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p w14:paraId="2141071B" w14:textId="62F37BDA" w:rsidR="008A07D3" w:rsidRPr="00C00976" w:rsidRDefault="008A07D3" w:rsidP="005A3D07">
            <w:pPr>
              <w:jc w:val="both"/>
              <w:rPr>
                <w:rFonts w:ascii="Verdana" w:eastAsia="Calibri" w:hAnsi="Verdana" w:cs="Arial"/>
                <w:b/>
                <w:bCs/>
                <w:color w:val="7030A0"/>
                <w:lang w:val="es-ES" w:eastAsia="es-ES"/>
              </w:rPr>
            </w:pPr>
          </w:p>
        </w:tc>
      </w:tr>
      <w:tr w:rsidR="00500D81" w:rsidRPr="00593A5F" w14:paraId="3343F337" w14:textId="77777777" w:rsidTr="005A3D07">
        <w:trPr>
          <w:trHeight w:val="884"/>
        </w:trPr>
        <w:tc>
          <w:tcPr>
            <w:tcW w:w="2689" w:type="dxa"/>
          </w:tcPr>
          <w:p w14:paraId="47753984" w14:textId="77777777" w:rsidR="00500D81" w:rsidRPr="00593A5F" w:rsidRDefault="00500D81" w:rsidP="005A3D0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72C451B" w14:textId="474DD8AE" w:rsidR="00500D81" w:rsidRPr="00A11406" w:rsidRDefault="00500D81" w:rsidP="005A3D07">
            <w:pPr>
              <w:jc w:val="both"/>
              <w:rPr>
                <w:rFonts w:ascii="Verdana" w:eastAsia="Calibri" w:hAnsi="Verdana" w:cs="Arial"/>
                <w:lang w:val="es-ES" w:eastAsia="es-ES"/>
              </w:rPr>
            </w:pPr>
            <w:r w:rsidRPr="00940024">
              <w:rPr>
                <w:rFonts w:ascii="Verdana" w:eastAsia="Calibri" w:hAnsi="Verdana" w:cs="Arial"/>
                <w:lang w:val="es-ES" w:eastAsia="es-ES"/>
              </w:rPr>
              <w:t>SEGURIDAD SOCIAL INTEGRAL – Verificación</w:t>
            </w:r>
            <w:r>
              <w:rPr>
                <w:rFonts w:ascii="Verdana" w:eastAsia="Calibri" w:hAnsi="Verdana" w:cs="Arial"/>
                <w:lang w:val="es-ES" w:eastAsia="es-ES"/>
              </w:rPr>
              <w:t xml:space="preserve"> </w:t>
            </w:r>
            <w:r w:rsidRPr="000E3658">
              <w:rPr>
                <w:rFonts w:ascii="Verdana" w:eastAsia="Calibri" w:hAnsi="Verdana" w:cs="Arial"/>
                <w:lang w:val="es-ES" w:eastAsia="es-ES"/>
              </w:rPr>
              <w:t>– Persona natural – Persona jurídica</w:t>
            </w:r>
            <w:r>
              <w:rPr>
                <w:rFonts w:ascii="Verdana" w:eastAsia="Calibri" w:hAnsi="Verdana" w:cs="Arial"/>
                <w:lang w:val="es-ES" w:eastAsia="es-ES"/>
              </w:rPr>
              <w:t xml:space="preserve"> </w:t>
            </w:r>
            <w:r w:rsidRPr="00940024">
              <w:rPr>
                <w:rFonts w:ascii="Verdana" w:eastAsia="Calibri" w:hAnsi="Verdana" w:cs="Arial"/>
                <w:lang w:val="es-ES" w:eastAsia="es-ES"/>
              </w:rPr>
              <w:t>/ SEGURIDAD SOCIAL INTEGRAL – Régimen jurídico – Afiliación y aporte – Obligación legal – Ejecución del contrato</w:t>
            </w:r>
            <w:r>
              <w:rPr>
                <w:rFonts w:ascii="Verdana" w:eastAsia="Calibri" w:hAnsi="Verdana" w:cs="Arial"/>
                <w:lang w:val="es-ES" w:eastAsia="es-ES"/>
              </w:rPr>
              <w:t xml:space="preserve"> </w:t>
            </w:r>
            <w:r w:rsidRPr="00940024">
              <w:rPr>
                <w:rFonts w:ascii="Verdana" w:eastAsia="Calibri" w:hAnsi="Verdana" w:cs="Arial"/>
                <w:lang w:val="es-ES" w:eastAsia="es-ES"/>
              </w:rPr>
              <w:t>/</w:t>
            </w:r>
            <w:r>
              <w:rPr>
                <w:rFonts w:ascii="Verdana" w:eastAsia="Calibri" w:hAnsi="Verdana" w:cs="Arial"/>
                <w:lang w:val="es-ES" w:eastAsia="es-ES"/>
              </w:rPr>
              <w:t xml:space="preserve"> </w:t>
            </w:r>
            <w:r w:rsidR="008813F7" w:rsidRPr="008813F7">
              <w:rPr>
                <w:rFonts w:ascii="Verdana" w:eastAsia="Calibri" w:hAnsi="Verdana" w:cs="Arial"/>
                <w:lang w:val="es-ES" w:eastAsia="es-ES"/>
              </w:rPr>
              <w:t>SEGURIDAD SOCIAL INTEGRAL – Honorarios – Ingreso Base de Cotización (IBC)</w:t>
            </w:r>
            <w:r w:rsidR="008813F7">
              <w:rPr>
                <w:rFonts w:ascii="Verdana" w:eastAsia="Calibri" w:hAnsi="Verdana" w:cs="Arial"/>
                <w:lang w:val="es-ES" w:eastAsia="es-ES"/>
              </w:rPr>
              <w:t xml:space="preserve"> / </w:t>
            </w:r>
            <w:r w:rsidRPr="00940024">
              <w:rPr>
                <w:rFonts w:ascii="Verdana" w:eastAsia="Calibri" w:hAnsi="Verdana" w:cs="Arial"/>
                <w:lang w:val="es-ES" w:eastAsia="es-ES"/>
              </w:rPr>
              <w:t>LEY 2381 DE 2024 – Reglamentación – Cotizaciones – Entidades estatales – Contratos de prestación de servicios – Directrices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86419F0" w14:textId="77777777" w:rsidR="00500D81" w:rsidRPr="00593A5F" w:rsidRDefault="00500D81" w:rsidP="005A3D07">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00D81" w:rsidRPr="008E6AD9" w14:paraId="00B8BF52" w14:textId="77777777" w:rsidTr="005A3D07">
        <w:tc>
          <w:tcPr>
            <w:tcW w:w="2689" w:type="dxa"/>
          </w:tcPr>
          <w:p w14:paraId="50D65587" w14:textId="77777777" w:rsidR="00500D81" w:rsidRPr="008E6AD9" w:rsidRDefault="00500D81" w:rsidP="005A3D0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99BFFFF" w14:textId="4F6CAC5A" w:rsidR="00500D81" w:rsidRPr="00B92340" w:rsidRDefault="00500D81" w:rsidP="005A3D07">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00CE446C" w:rsidRPr="00CE446C">
              <w:rPr>
                <w:rFonts w:ascii="Verdana" w:eastAsia="Calibri" w:hAnsi="Verdana" w:cs="Arial"/>
                <w:lang w:val="es-ES_tradnl" w:eastAsia="es-ES_tradnl"/>
              </w:rPr>
              <w:t>1_2025_09_22_010423</w:t>
            </w:r>
          </w:p>
        </w:tc>
      </w:tr>
    </w:tbl>
    <w:p w14:paraId="4A904C8F" w14:textId="77777777" w:rsidR="00500D81" w:rsidRPr="00593A5F" w:rsidRDefault="00500D81" w:rsidP="00500D81">
      <w:pPr>
        <w:spacing w:after="0" w:line="240" w:lineRule="auto"/>
        <w:jc w:val="both"/>
        <w:rPr>
          <w:rFonts w:ascii="Verdana" w:eastAsia="Calibri" w:hAnsi="Verdana" w:cs="Arial"/>
          <w:color w:val="000000"/>
          <w:lang w:val="es-ES_tradnl" w:eastAsia="es-ES_tradnl"/>
        </w:rPr>
      </w:pPr>
    </w:p>
    <w:p w14:paraId="1CD5E464" w14:textId="77777777" w:rsidR="00500D81" w:rsidRPr="00593A5F" w:rsidRDefault="00500D81" w:rsidP="00500D81">
      <w:pPr>
        <w:spacing w:after="0" w:line="240" w:lineRule="auto"/>
        <w:jc w:val="both"/>
        <w:rPr>
          <w:rFonts w:ascii="Verdana" w:eastAsia="Calibri" w:hAnsi="Verdana" w:cs="Arial"/>
          <w:color w:val="000000"/>
          <w:lang w:val="es-ES_tradnl" w:eastAsia="es-ES_tradnl"/>
        </w:rPr>
      </w:pPr>
    </w:p>
    <w:p w14:paraId="54A7987C" w14:textId="76ED7E8E" w:rsidR="00500D81" w:rsidRPr="008E6AD9" w:rsidRDefault="00500D81" w:rsidP="00500D8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sidR="00F77F24">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w:t>
      </w:r>
      <w:r w:rsidR="00F77F24">
        <w:rPr>
          <w:rFonts w:ascii="Verdana" w:eastAsia="Calibri" w:hAnsi="Verdana" w:cs="Arial"/>
          <w:lang w:val="es-ES" w:eastAsia="es-ES"/>
        </w:rPr>
        <w:t xml:space="preserve"> Merizalde</w:t>
      </w:r>
      <w:r w:rsidRPr="008E6AD9">
        <w:rPr>
          <w:rFonts w:ascii="Verdana" w:eastAsia="Calibri" w:hAnsi="Verdana" w:cs="Arial"/>
          <w:lang w:val="es-ES" w:eastAsia="es-ES"/>
        </w:rPr>
        <w:t xml:space="preserve">: </w:t>
      </w:r>
    </w:p>
    <w:p w14:paraId="3C91A3D0" w14:textId="77777777" w:rsidR="00500D81" w:rsidRDefault="00500D81" w:rsidP="00500D8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A464971" w14:textId="2609407C" w:rsidR="00500D81" w:rsidRPr="00593A5F" w:rsidRDefault="00500D81" w:rsidP="00500D8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w:t>
      </w:r>
      <w:r w:rsidR="00F77F24">
        <w:rPr>
          <w:rFonts w:ascii="Verdana" w:eastAsia="Calibri" w:hAnsi="Verdana" w:cs="Arial"/>
          <w:lang w:val="es-ES" w:eastAsia="es-ES"/>
        </w:rPr>
        <w:t>22</w:t>
      </w:r>
      <w:r>
        <w:rPr>
          <w:rFonts w:ascii="Verdana" w:eastAsia="Calibri" w:hAnsi="Verdana" w:cs="Arial"/>
          <w:lang w:val="es-ES" w:eastAsia="es-ES"/>
        </w:rPr>
        <w:t xml:space="preserve"> de </w:t>
      </w:r>
      <w:r w:rsidR="00F77F24">
        <w:rPr>
          <w:rFonts w:ascii="Verdana" w:eastAsia="Calibri" w:hAnsi="Verdana" w:cs="Arial"/>
          <w:lang w:val="es-ES" w:eastAsia="es-ES"/>
        </w:rPr>
        <w:t>septiembre</w:t>
      </w:r>
      <w:r>
        <w:rPr>
          <w:rFonts w:ascii="Verdana" w:eastAsia="Calibri" w:hAnsi="Verdana" w:cs="Arial"/>
          <w:lang w:val="es-ES" w:eastAsia="es-ES"/>
        </w:rPr>
        <w:t xml:space="preserve"> de 2025, sobre </w:t>
      </w:r>
      <w:r w:rsidRPr="00FE4CAC">
        <w:rPr>
          <w:rFonts w:ascii="Verdana" w:eastAsia="Calibri" w:hAnsi="Verdana" w:cs="Arial"/>
          <w:lang w:val="es-ES" w:eastAsia="es-ES"/>
        </w:rPr>
        <w:t>los aportes al sistema de seguridad social</w:t>
      </w:r>
      <w:r>
        <w:rPr>
          <w:rFonts w:ascii="Verdana" w:eastAsia="Calibri" w:hAnsi="Verdana" w:cs="Arial"/>
          <w:lang w:val="es-ES" w:eastAsia="es-ES"/>
        </w:rPr>
        <w:t xml:space="preserve"> en contratos de prestación de servicios por parte de las entidades públicas, usted</w:t>
      </w:r>
      <w:r w:rsidRPr="00FE4CAC">
        <w:rPr>
          <w:rFonts w:ascii="Verdana" w:eastAsia="Calibri" w:hAnsi="Verdana" w:cs="Arial"/>
          <w:lang w:val="es-ES" w:eastAsia="es-ES"/>
        </w:rPr>
        <w:t xml:space="preserve"> </w:t>
      </w:r>
      <w:r>
        <w:rPr>
          <w:rFonts w:ascii="Verdana" w:eastAsia="Calibri" w:hAnsi="Verdana" w:cs="Arial"/>
          <w:lang w:val="es-ES" w:eastAsia="es-ES"/>
        </w:rPr>
        <w:t>pregunta lo siguiente</w:t>
      </w:r>
      <w:r w:rsidRPr="008E6AD9">
        <w:rPr>
          <w:rFonts w:ascii="Verdana" w:eastAsia="Calibri" w:hAnsi="Verdana" w:cs="Arial"/>
          <w:lang w:val="es-ES" w:eastAsia="es-ES"/>
        </w:rPr>
        <w:t xml:space="preserve">: </w:t>
      </w:r>
    </w:p>
    <w:p w14:paraId="357C3697" w14:textId="77777777" w:rsidR="00500D81" w:rsidRPr="00272A7B" w:rsidRDefault="00500D81" w:rsidP="00500D8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0949D6D" w14:textId="13214CDE" w:rsidR="00317F09" w:rsidRPr="00317F09" w:rsidRDefault="00500D81" w:rsidP="00317F09">
      <w:pPr>
        <w:spacing w:after="0" w:line="240" w:lineRule="auto"/>
        <w:ind w:left="709" w:right="709"/>
        <w:jc w:val="both"/>
        <w:rPr>
          <w:rFonts w:ascii="Verdana" w:eastAsia="Century Gothic" w:hAnsi="Verdana" w:cs="Century Gothic"/>
          <w:sz w:val="20"/>
          <w:szCs w:val="20"/>
          <w:lang w:val="es-ES"/>
        </w:rPr>
      </w:pPr>
      <w:bookmarkStart w:id="0" w:name="_Hlk95313578"/>
      <w:r w:rsidRPr="00DA4134">
        <w:rPr>
          <w:rFonts w:ascii="Verdana" w:eastAsia="Century Gothic" w:hAnsi="Verdana" w:cs="Century Gothic"/>
          <w:sz w:val="20"/>
          <w:szCs w:val="20"/>
          <w:lang w:val="es-ES"/>
        </w:rPr>
        <w:t>“</w:t>
      </w:r>
      <w:bookmarkEnd w:id="0"/>
      <w:r w:rsidRPr="00DA4134">
        <w:rPr>
          <w:rFonts w:ascii="Verdana" w:eastAsia="Century Gothic" w:hAnsi="Verdana" w:cs="Century Gothic"/>
          <w:sz w:val="20"/>
          <w:szCs w:val="20"/>
          <w:lang w:val="es-ES"/>
        </w:rPr>
        <w:t xml:space="preserve">1. </w:t>
      </w:r>
      <w:r w:rsidR="00317F09" w:rsidRPr="00317F09">
        <w:rPr>
          <w:rFonts w:ascii="Verdana" w:eastAsia="Century Gothic" w:hAnsi="Verdana" w:cs="Century Gothic"/>
          <w:sz w:val="20"/>
          <w:szCs w:val="20"/>
          <w:lang w:val="es-ES"/>
        </w:rPr>
        <w:t xml:space="preserve">Teniendo suscrito un contrato de prestación de servicios profesionales de consultoría con persona natural el cual se paga por productos, referente al primer pago; </w:t>
      </w:r>
    </w:p>
    <w:p w14:paraId="24284D77" w14:textId="7F8EA56E" w:rsidR="00317F09" w:rsidRPr="00317F09" w:rsidRDefault="00317F09" w:rsidP="00317F09">
      <w:pPr>
        <w:spacing w:after="0" w:line="240" w:lineRule="auto"/>
        <w:ind w:left="709" w:right="709"/>
        <w:jc w:val="both"/>
        <w:rPr>
          <w:rFonts w:ascii="Verdana" w:eastAsia="Century Gothic" w:hAnsi="Verdana" w:cs="Century Gothic"/>
          <w:sz w:val="20"/>
          <w:szCs w:val="20"/>
          <w:lang w:val="es-ES"/>
        </w:rPr>
      </w:pPr>
      <w:r w:rsidRPr="00317F09">
        <w:rPr>
          <w:rFonts w:ascii="Verdana" w:eastAsia="Century Gothic" w:hAnsi="Verdana" w:cs="Century Gothic"/>
          <w:sz w:val="20"/>
          <w:szCs w:val="20"/>
          <w:lang w:val="es-ES"/>
        </w:rPr>
        <w:t>a. ¿Es obligatorio haber realizado los pagos del mes de inicio del contrato?, previo a que me realicen el primer desembolso?</w:t>
      </w:r>
    </w:p>
    <w:p w14:paraId="1562A920" w14:textId="1E6D636D" w:rsidR="00317F09" w:rsidRPr="00317F09" w:rsidRDefault="00317F09" w:rsidP="00317F09">
      <w:pPr>
        <w:spacing w:after="0" w:line="240" w:lineRule="auto"/>
        <w:ind w:left="709" w:right="709"/>
        <w:jc w:val="both"/>
        <w:rPr>
          <w:rFonts w:ascii="Verdana" w:eastAsia="Century Gothic" w:hAnsi="Verdana" w:cs="Century Gothic"/>
          <w:sz w:val="20"/>
          <w:szCs w:val="20"/>
          <w:lang w:val="es-ES"/>
        </w:rPr>
      </w:pPr>
      <w:r w:rsidRPr="00317F09">
        <w:rPr>
          <w:rFonts w:ascii="Verdana" w:eastAsia="Century Gothic" w:hAnsi="Verdana" w:cs="Century Gothic"/>
          <w:sz w:val="20"/>
          <w:szCs w:val="20"/>
          <w:lang w:val="es-ES"/>
        </w:rPr>
        <w:lastRenderedPageBreak/>
        <w:t>b. ¿Es legal que la entidad pública realice el primer pago con las constancias de afiliación como independiente?</w:t>
      </w:r>
    </w:p>
    <w:p w14:paraId="44DD0473" w14:textId="658C06D1" w:rsidR="00317F09" w:rsidRPr="00317F09" w:rsidRDefault="00317F09" w:rsidP="00317F09">
      <w:pPr>
        <w:spacing w:after="0" w:line="240" w:lineRule="auto"/>
        <w:ind w:left="709" w:right="709"/>
        <w:jc w:val="both"/>
        <w:rPr>
          <w:rFonts w:ascii="Verdana" w:eastAsia="Century Gothic" w:hAnsi="Verdana" w:cs="Century Gothic"/>
          <w:sz w:val="20"/>
          <w:szCs w:val="20"/>
          <w:lang w:val="es-ES"/>
        </w:rPr>
      </w:pPr>
      <w:r w:rsidRPr="00317F09">
        <w:rPr>
          <w:rFonts w:ascii="Verdana" w:eastAsia="Century Gothic" w:hAnsi="Verdana" w:cs="Century Gothic"/>
          <w:sz w:val="20"/>
          <w:szCs w:val="20"/>
          <w:lang w:val="es-ES"/>
        </w:rPr>
        <w:t xml:space="preserve">c. ¿si el contrato no establece pagos mensualizados si no por productos, </w:t>
      </w:r>
      <w:proofErr w:type="gramStart"/>
      <w:r w:rsidRPr="00317F09">
        <w:rPr>
          <w:rFonts w:ascii="Verdana" w:eastAsia="Century Gothic" w:hAnsi="Verdana" w:cs="Century Gothic"/>
          <w:sz w:val="20"/>
          <w:szCs w:val="20"/>
          <w:lang w:val="es-ES"/>
        </w:rPr>
        <w:t>cuál debe ser el IBC para realizar cada cobro?</w:t>
      </w:r>
      <w:proofErr w:type="gramEnd"/>
    </w:p>
    <w:p w14:paraId="004E8955" w14:textId="0413BA6C" w:rsidR="00317F09" w:rsidRPr="00317F09" w:rsidRDefault="00317F09" w:rsidP="00317F09">
      <w:pPr>
        <w:spacing w:after="0" w:line="240" w:lineRule="auto"/>
        <w:ind w:left="709" w:right="709"/>
        <w:jc w:val="both"/>
        <w:rPr>
          <w:rFonts w:ascii="Verdana" w:eastAsia="Century Gothic" w:hAnsi="Verdana" w:cs="Century Gothic"/>
          <w:sz w:val="20"/>
          <w:szCs w:val="20"/>
          <w:lang w:val="es-ES"/>
        </w:rPr>
      </w:pPr>
      <w:r w:rsidRPr="00317F09">
        <w:rPr>
          <w:rFonts w:ascii="Verdana" w:eastAsia="Century Gothic" w:hAnsi="Verdana" w:cs="Century Gothic"/>
          <w:sz w:val="20"/>
          <w:szCs w:val="20"/>
          <w:lang w:val="es-ES"/>
        </w:rPr>
        <w:t>d. Si el contrato tiene una duración de 4 meses, pero solo contempla tres pagos, ¿cómo debo liquidar y pagar mis aportes a parafiscales para el momento de la</w:t>
      </w:r>
      <w:r>
        <w:rPr>
          <w:rFonts w:ascii="Verdana" w:eastAsia="Century Gothic" w:hAnsi="Verdana" w:cs="Century Gothic"/>
          <w:sz w:val="20"/>
          <w:szCs w:val="20"/>
          <w:lang w:val="es-ES"/>
        </w:rPr>
        <w:t xml:space="preserve"> </w:t>
      </w:r>
      <w:r w:rsidRPr="00317F09">
        <w:rPr>
          <w:rFonts w:ascii="Verdana" w:eastAsia="Century Gothic" w:hAnsi="Verdana" w:cs="Century Gothic"/>
          <w:sz w:val="20"/>
          <w:szCs w:val="20"/>
          <w:lang w:val="es-ES"/>
        </w:rPr>
        <w:t>liquidación del contrato?</w:t>
      </w:r>
    </w:p>
    <w:p w14:paraId="5FF73DF8" w14:textId="77777777" w:rsidR="00317F09" w:rsidRPr="00317F09" w:rsidRDefault="00317F09" w:rsidP="00317F09">
      <w:pPr>
        <w:spacing w:after="0" w:line="240" w:lineRule="auto"/>
        <w:ind w:left="709" w:right="709"/>
        <w:jc w:val="both"/>
        <w:rPr>
          <w:rFonts w:ascii="Verdana" w:eastAsia="Century Gothic" w:hAnsi="Verdana" w:cs="Century Gothic"/>
          <w:sz w:val="20"/>
          <w:szCs w:val="20"/>
          <w:lang w:val="es-ES"/>
        </w:rPr>
      </w:pPr>
      <w:r w:rsidRPr="00317F09">
        <w:rPr>
          <w:rFonts w:ascii="Verdana" w:eastAsia="Century Gothic" w:hAnsi="Verdana" w:cs="Century Gothic"/>
          <w:sz w:val="20"/>
          <w:szCs w:val="20"/>
          <w:lang w:val="es-ES"/>
        </w:rPr>
        <w:t xml:space="preserve">e. ¿Qué acción puedo iniciar si la entidad me conmina a pagar los aportes </w:t>
      </w:r>
    </w:p>
    <w:p w14:paraId="73897482" w14:textId="2B1146DC" w:rsidR="00500D81" w:rsidRPr="00DA4134" w:rsidRDefault="00317F09" w:rsidP="00317F09">
      <w:pPr>
        <w:spacing w:after="0" w:line="240" w:lineRule="auto"/>
        <w:ind w:left="709" w:right="709"/>
        <w:jc w:val="both"/>
        <w:rPr>
          <w:rFonts w:ascii="Verdana" w:eastAsia="Century Gothic" w:hAnsi="Verdana" w:cs="Century Gothic"/>
          <w:sz w:val="20"/>
          <w:szCs w:val="20"/>
          <w:lang w:val="es-ES"/>
        </w:rPr>
      </w:pPr>
      <w:r w:rsidRPr="00317F09">
        <w:rPr>
          <w:rFonts w:ascii="Verdana" w:eastAsia="Century Gothic" w:hAnsi="Verdana" w:cs="Century Gothic"/>
          <w:sz w:val="20"/>
          <w:szCs w:val="20"/>
          <w:lang w:val="es-ES"/>
        </w:rPr>
        <w:t>parafiscales correspondientes al mes anterior a la suscripción del contrato?</w:t>
      </w:r>
      <w:r w:rsidR="00500D81" w:rsidRPr="00DA4134">
        <w:rPr>
          <w:rFonts w:ascii="Verdana" w:eastAsia="Century Gothic" w:hAnsi="Verdana" w:cs="Century Gothic"/>
          <w:sz w:val="20"/>
          <w:szCs w:val="20"/>
          <w:lang w:val="es-ES"/>
        </w:rPr>
        <w:t>”.</w:t>
      </w:r>
    </w:p>
    <w:p w14:paraId="7B47983C" w14:textId="77777777" w:rsidR="00500D81" w:rsidRPr="008E6AD9" w:rsidRDefault="00500D81" w:rsidP="00500D81">
      <w:pPr>
        <w:pStyle w:val="Prrafodelista"/>
        <w:tabs>
          <w:tab w:val="left" w:pos="142"/>
          <w:tab w:val="left" w:pos="284"/>
        </w:tabs>
        <w:spacing w:after="0" w:line="276" w:lineRule="auto"/>
        <w:ind w:left="0"/>
        <w:jc w:val="both"/>
        <w:rPr>
          <w:rFonts w:ascii="Verdana" w:eastAsia="Century Gothic" w:hAnsi="Verdana" w:cs="Century Gothic"/>
          <w:b/>
          <w:bCs/>
        </w:rPr>
      </w:pPr>
    </w:p>
    <w:p w14:paraId="04A81D20" w14:textId="129E7872" w:rsidR="00500D81" w:rsidRPr="00A652FF" w:rsidRDefault="00500D81" w:rsidP="00500D8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1A0EAC">
        <w:rPr>
          <w:rFonts w:ascii="Verdana" w:eastAsia="Calibri" w:hAnsi="Verdana" w:cs="Arial"/>
          <w:color w:val="000000"/>
          <w:lang w:val="es-ES" w:eastAsia="es-ES"/>
        </w:rPr>
        <w:t xml:space="preserve">la Agencia Nacional de Contratación Pública – </w:t>
      </w:r>
      <w:r w:rsidRPr="00593A5F">
        <w:rPr>
          <w:rFonts w:ascii="Verdana" w:eastAsia="Calibri" w:hAnsi="Verdana" w:cs="Arial"/>
          <w:color w:val="000000"/>
          <w:lang w:val="es-ES" w:eastAsia="es-ES"/>
        </w:rPr>
        <w:t>Colombia</w:t>
      </w:r>
      <w:r w:rsidR="001A0EAC">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0721AAF" w14:textId="647F5D37" w:rsidR="00500D81" w:rsidRDefault="00500D81" w:rsidP="00500D8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sidR="001A0EAC">
        <w:rPr>
          <w:rFonts w:ascii="Verdana" w:eastAsia="Calibri" w:hAnsi="Verdana" w:cs="Arial"/>
          <w:color w:val="000000"/>
          <w:lang w:val="es-ES" w:eastAsia="es-ES"/>
        </w:rPr>
        <w:t>señala</w:t>
      </w:r>
      <w:r w:rsidR="001A0EAC" w:rsidRPr="00593A5F">
        <w:rPr>
          <w:rFonts w:ascii="Verdana" w:eastAsia="Calibri" w:hAnsi="Verdana" w:cs="Arial"/>
          <w:color w:val="000000"/>
          <w:lang w:val="es-ES" w:eastAsia="es-ES"/>
        </w:rPr>
        <w:t xml:space="preserve">ndo </w:t>
      </w:r>
      <w:r w:rsidR="001A0EAC">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4767F0B" w14:textId="77777777" w:rsidR="00500D81" w:rsidRDefault="00500D81" w:rsidP="001A0EAC">
      <w:pPr>
        <w:pStyle w:val="Prrafodelista"/>
        <w:tabs>
          <w:tab w:val="left" w:pos="142"/>
          <w:tab w:val="left" w:pos="284"/>
        </w:tabs>
        <w:spacing w:after="0" w:line="276" w:lineRule="auto"/>
        <w:ind w:left="0"/>
        <w:jc w:val="both"/>
        <w:rPr>
          <w:rFonts w:ascii="Verdana" w:eastAsia="Century Gothic" w:hAnsi="Verdana" w:cs="Century Gothic"/>
          <w:b/>
          <w:bCs/>
        </w:rPr>
      </w:pPr>
    </w:p>
    <w:p w14:paraId="00F4B02D" w14:textId="77777777" w:rsidR="00500D81" w:rsidRPr="002D3E3A" w:rsidRDefault="00500D81" w:rsidP="001A0EAC">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1. </w:t>
      </w:r>
      <w:r w:rsidRPr="002D3E3A">
        <w:rPr>
          <w:rFonts w:ascii="Verdana" w:eastAsia="Century Gothic" w:hAnsi="Verdana" w:cs="Century Gothic"/>
          <w:b/>
          <w:bCs/>
        </w:rPr>
        <w:t>Problema</w:t>
      </w:r>
      <w:r>
        <w:rPr>
          <w:rFonts w:ascii="Verdana" w:eastAsia="Century Gothic" w:hAnsi="Verdana" w:cs="Century Gothic"/>
          <w:b/>
          <w:bCs/>
        </w:rPr>
        <w:t>s</w:t>
      </w:r>
      <w:r w:rsidRPr="002D3E3A">
        <w:rPr>
          <w:rFonts w:ascii="Verdana" w:eastAsia="Century Gothic" w:hAnsi="Verdana" w:cs="Century Gothic"/>
          <w:b/>
          <w:bCs/>
        </w:rPr>
        <w:t xml:space="preserve"> planteado</w:t>
      </w:r>
      <w:r>
        <w:rPr>
          <w:rFonts w:ascii="Verdana" w:eastAsia="Century Gothic" w:hAnsi="Verdana" w:cs="Century Gothic"/>
          <w:b/>
          <w:bCs/>
        </w:rPr>
        <w:t>s</w:t>
      </w:r>
      <w:r w:rsidRPr="002D3E3A">
        <w:rPr>
          <w:rFonts w:ascii="Verdana" w:eastAsia="Century Gothic" w:hAnsi="Verdana" w:cs="Century Gothic"/>
          <w:b/>
          <w:bCs/>
        </w:rPr>
        <w:t>:</w:t>
      </w:r>
    </w:p>
    <w:p w14:paraId="46176678" w14:textId="77777777" w:rsidR="00500D81" w:rsidRPr="00593A5F" w:rsidRDefault="00500D81" w:rsidP="001A0EAC">
      <w:pPr>
        <w:tabs>
          <w:tab w:val="left" w:pos="426"/>
        </w:tabs>
        <w:spacing w:after="0" w:line="276" w:lineRule="auto"/>
        <w:jc w:val="both"/>
        <w:rPr>
          <w:rFonts w:ascii="Verdana" w:eastAsia="Century Gothic" w:hAnsi="Verdana" w:cs="Century Gothic"/>
          <w:lang w:val="es-ES"/>
        </w:rPr>
      </w:pPr>
    </w:p>
    <w:p w14:paraId="0AC2E550" w14:textId="5DC416ED" w:rsidR="00500D81" w:rsidRPr="00593A5F" w:rsidRDefault="00500D81" w:rsidP="001A0EAC">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06BE9">
        <w:rPr>
          <w:rFonts w:ascii="Verdana" w:eastAsia="Century Gothic" w:hAnsi="Verdana" w:cs="Century Gothic"/>
        </w:rPr>
        <w:t xml:space="preserve"> 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 xml:space="preserve">: </w:t>
      </w:r>
      <w:r>
        <w:rPr>
          <w:rFonts w:ascii="Verdana" w:eastAsia="Century Gothic" w:hAnsi="Verdana" w:cs="Century Gothic"/>
        </w:rPr>
        <w:t>i) ¿Qué debe exigir la entidad contratante al contratista de prestación de servicios para verificar sus aportes a seguridad social</w:t>
      </w:r>
      <w:r w:rsidR="009B114D">
        <w:rPr>
          <w:rFonts w:ascii="Verdana" w:eastAsia="Century Gothic" w:hAnsi="Verdana" w:cs="Century Gothic"/>
        </w:rPr>
        <w:t xml:space="preserve"> en el primer pago del contrato</w:t>
      </w:r>
      <w:r>
        <w:rPr>
          <w:rFonts w:ascii="Verdana" w:eastAsia="Century Gothic" w:hAnsi="Verdana" w:cs="Century Gothic"/>
        </w:rPr>
        <w:t>?,</w:t>
      </w:r>
      <w:r w:rsidR="00A91A9E">
        <w:rPr>
          <w:rFonts w:ascii="Verdana" w:eastAsia="Century Gothic" w:hAnsi="Verdana" w:cs="Century Gothic"/>
        </w:rPr>
        <w:t xml:space="preserve"> y</w:t>
      </w:r>
      <w:r>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w:t>
      </w:r>
      <w:r w:rsidR="00C77FCB">
        <w:rPr>
          <w:rFonts w:ascii="Verdana" w:eastAsia="Century Gothic" w:hAnsi="Verdana" w:cs="Century Gothic"/>
        </w:rPr>
        <w:t>Cuál es el IBC para realizar los aportes a seguridad social de un contrato de prestación de servicios por productos</w:t>
      </w:r>
      <w:r w:rsidR="00A91A9E">
        <w:rPr>
          <w:rFonts w:ascii="Verdana" w:eastAsia="Century Gothic" w:hAnsi="Verdana" w:cs="Century Gothic"/>
        </w:rPr>
        <w:t xml:space="preserve"> y cómo realizar los aportes para la liquidación del contrato</w:t>
      </w:r>
      <w:r>
        <w:rPr>
          <w:rFonts w:ascii="Verdana" w:eastAsia="Century Gothic" w:hAnsi="Verdana" w:cs="Century Gothic"/>
        </w:rPr>
        <w:t>?</w:t>
      </w:r>
    </w:p>
    <w:p w14:paraId="71E3D339" w14:textId="77777777" w:rsidR="00500D81" w:rsidRDefault="00500D81" w:rsidP="001A0EA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C2B3581" w14:textId="77777777" w:rsidR="00500D81" w:rsidRPr="00593A5F" w:rsidRDefault="00500D81" w:rsidP="001A0EA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lastRenderedPageBreak/>
        <w:t xml:space="preserve">2. </w:t>
      </w: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30B0832F" w14:textId="77777777" w:rsidR="00500D81" w:rsidRPr="00593A5F" w:rsidRDefault="00500D81" w:rsidP="001A0EA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00D81" w:rsidRPr="00593A5F" w14:paraId="66D690A7" w14:textId="77777777" w:rsidTr="7B7BFACA">
        <w:trPr>
          <w:jc w:val="center"/>
        </w:trPr>
        <w:tc>
          <w:tcPr>
            <w:tcW w:w="8828" w:type="dxa"/>
          </w:tcPr>
          <w:p w14:paraId="14F2509F" w14:textId="2FEC75E9" w:rsidR="006C0F1A" w:rsidRDefault="00500D81" w:rsidP="006C0F1A">
            <w:pPr>
              <w:spacing w:after="120" w:line="276" w:lineRule="auto"/>
              <w:jc w:val="both"/>
              <w:rPr>
                <w:rFonts w:ascii="Verdana" w:hAnsi="Verdana" w:cs="Arial"/>
                <w:lang w:val="es-ES_tradnl"/>
              </w:rPr>
            </w:pPr>
            <w:bookmarkStart w:id="1" w:name="_Hlk171694685"/>
            <w:r>
              <w:rPr>
                <w:rFonts w:ascii="Verdana" w:eastAsia="Arial" w:hAnsi="Verdana" w:cs="Arial"/>
                <w:color w:val="000000" w:themeColor="text1"/>
                <w:lang w:val="es-ES"/>
              </w:rPr>
              <w:t xml:space="preserve">i) </w:t>
            </w:r>
            <w:r w:rsidR="008A4702" w:rsidRPr="008A4702">
              <w:rPr>
                <w:rFonts w:ascii="Verdana" w:eastAsia="Arial" w:hAnsi="Verdana" w:cs="Arial"/>
                <w:color w:val="000000" w:themeColor="text1"/>
                <w:lang w:val="es-ES"/>
              </w:rPr>
              <w:t>Respecto de la verificación de los aportes a seguridad social de una persona natural, en primer lugar, en virtud del artículo 26 de la Ley 1393 de 2010 y del artículo 50 de la Ley 789 de 2002, en caso de que se vaya a celebrar un contrato estatal, es decir, en el momento que se va a perfeccionar el contrato, se verificará la afiliación -no el pago- al Sistema de Seguridad Social de salud y pensiones, siempre y cuando, el contrato se celebre con una persona natural. Posteriormente, la Entidad Estatal verificará el pago al Sistema de Seguridad Social Integral cuando se realicen los pagos del contrato, es decir, durante su ejecución, lo cual puede hacerse a través de las planillas de pago.</w:t>
            </w:r>
            <w:r w:rsidR="006C0F1A">
              <w:rPr>
                <w:rFonts w:ascii="Verdana" w:eastAsia="Arial" w:hAnsi="Verdana" w:cs="Arial"/>
                <w:color w:val="000000" w:themeColor="text1"/>
                <w:lang w:val="es-ES"/>
              </w:rPr>
              <w:t xml:space="preserve"> </w:t>
            </w:r>
            <w:r w:rsidR="006C0F1A">
              <w:rPr>
                <w:rFonts w:ascii="Verdana" w:hAnsi="Verdana" w:cs="Arial"/>
                <w:lang w:val="es-ES_tradnl"/>
              </w:rPr>
              <w:t>Sin embargo</w:t>
            </w:r>
            <w:r w:rsidR="006C0F1A" w:rsidRPr="005C260D">
              <w:rPr>
                <w:rFonts w:ascii="Verdana" w:hAnsi="Verdana" w:cs="Arial"/>
                <w:lang w:val="es-ES_tradnl"/>
              </w:rPr>
              <w:t>, frente</w:t>
            </w:r>
            <w:r w:rsidR="006C0F1A">
              <w:rPr>
                <w:rFonts w:ascii="Verdana" w:hAnsi="Verdana" w:cs="Arial"/>
                <w:lang w:val="es-ES_tradnl"/>
              </w:rPr>
              <w:t xml:space="preserve"> al primer pago,</w:t>
            </w:r>
            <w:r w:rsidR="006C0F1A" w:rsidRPr="005C260D">
              <w:rPr>
                <w:rFonts w:ascii="Verdana" w:hAnsi="Verdana" w:cs="Arial"/>
                <w:lang w:val="es-ES_tradnl"/>
              </w:rPr>
              <w:t xml:space="preserve"> </w:t>
            </w:r>
            <w:r w:rsidR="006C0F1A">
              <w:rPr>
                <w:rFonts w:ascii="Verdana" w:hAnsi="Verdana" w:cs="Arial"/>
                <w:lang w:val="es-ES_tradnl"/>
              </w:rPr>
              <w:t>e</w:t>
            </w:r>
            <w:r w:rsidR="006C0F1A" w:rsidRPr="005C260D">
              <w:rPr>
                <w:rFonts w:ascii="Verdana" w:hAnsi="Verdana" w:cs="Arial"/>
                <w:lang w:val="es-ES_tradnl"/>
              </w:rPr>
              <w:t xml:space="preserve">l pago por mes vencido continúa aplicándose el primer inciso del artículo 3.2.7.6 del Decreto 780 de 2016, norma que dispuso que </w:t>
            </w:r>
            <w:r w:rsidR="006C0F1A" w:rsidRPr="005C260D">
              <w:rPr>
                <w:rFonts w:ascii="Verdana" w:eastAsia="Arial" w:hAnsi="Verdana" w:cs="Arial"/>
                <w:lang w:val="es-ES" w:eastAsia="es-ES" w:bidi="es-ES"/>
              </w:rPr>
              <w:t>“</w:t>
            </w:r>
            <w:r w:rsidR="006C0F1A" w:rsidRPr="005C260D">
              <w:rPr>
                <w:rFonts w:ascii="Verdana" w:hAnsi="Verdana" w:cs="Arial"/>
                <w:lang w:val="es-ES_tradnl"/>
              </w:rPr>
              <w:t>el pago por mes vencido de las cotizaciones se debía efectuar a partir del 1 de octubre de 2018</w:t>
            </w:r>
            <w:r w:rsidR="006C0F1A" w:rsidRPr="005C260D">
              <w:rPr>
                <w:rFonts w:ascii="Verdana" w:eastAsia="Calibri" w:hAnsi="Verdana" w:cs="Arial"/>
                <w:bCs/>
                <w:lang w:val="es-ES_tradnl"/>
              </w:rPr>
              <w:t>”</w:t>
            </w:r>
            <w:r w:rsidR="006C0F1A" w:rsidRPr="005C260D">
              <w:rPr>
                <w:rFonts w:ascii="Verdana" w:hAnsi="Verdana" w:cs="Arial"/>
                <w:lang w:val="es-ES_tradnl"/>
              </w:rPr>
              <w:t>.</w:t>
            </w:r>
          </w:p>
          <w:p w14:paraId="11F35B41" w14:textId="77777777" w:rsidR="008A4702" w:rsidRDefault="008A4702" w:rsidP="005A3D07">
            <w:pPr>
              <w:widowControl w:val="0"/>
              <w:autoSpaceDE w:val="0"/>
              <w:autoSpaceDN w:val="0"/>
              <w:spacing w:after="120" w:line="276" w:lineRule="auto"/>
              <w:ind w:firstLine="709"/>
              <w:jc w:val="both"/>
              <w:rPr>
                <w:rFonts w:ascii="Verdana" w:eastAsia="Arial" w:hAnsi="Verdana" w:cs="Arial"/>
                <w:lang w:val="es-ES"/>
              </w:rPr>
            </w:pPr>
            <w:r w:rsidRPr="008A4702">
              <w:rPr>
                <w:rFonts w:ascii="Verdana" w:eastAsia="Arial" w:hAnsi="Verdana" w:cs="Arial"/>
                <w:lang w:val="es-ES"/>
              </w:rPr>
              <w:t xml:space="preserve">Lo anterior, tuvo un cambio normativo reciente, y conforme a la interpretación general de las normas del sistema de compras públicas, de acuerdo con los artículos 21 de la Ley 2381 de 2024 y 2.2.4.18.7 del Decreto 514 de 2025, en donde se permite que las entidades contratantes descuenten de los honorarios la cotización tanto del sistema de protección social integral para la vejez, invalidez y muerte de origen común como de los sistemas de salud y riesgos laborales. No obstante, las cotizaciones a cargo de las entidades que suscriben contratos de prestación de servicios con personas naturales o jurídicas no rigen de forma automática con la vigencia de la reforma pensional, sino que requiere pacto expreso con los contratistas. Esto supone la modificación de los contratos, pues son los documentos donde constan las obligaciones de las partes. </w:t>
            </w:r>
          </w:p>
          <w:p w14:paraId="7BC17EE8" w14:textId="5F105E02" w:rsidR="00500D81" w:rsidRPr="00B9690D" w:rsidRDefault="00500D81" w:rsidP="005A3D07">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De estar de acuerdo, la entidad contratante descontará de los honorarios la cotización tanto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como de los sistemas de salud y riesgos laborales; además, responderá por el monto de las cotizaciones, </w:t>
            </w:r>
            <w:r w:rsidRPr="001D27BC">
              <w:rPr>
                <w:rFonts w:ascii="Verdana" w:eastAsia="Arial" w:hAnsi="Verdana" w:cs="Arial"/>
                <w:lang w:val="es-ES"/>
              </w:rPr>
              <w:t xml:space="preserve">aún en el evento de que </w:t>
            </w:r>
            <w:r>
              <w:rPr>
                <w:rFonts w:ascii="Verdana" w:eastAsia="Arial" w:hAnsi="Verdana" w:cs="Arial"/>
                <w:lang w:val="es-ES"/>
              </w:rPr>
              <w:t>no efectuar</w:t>
            </w:r>
            <w:r w:rsidRPr="001D27BC">
              <w:rPr>
                <w:rFonts w:ascii="Verdana" w:eastAsia="Arial" w:hAnsi="Verdana" w:cs="Arial"/>
                <w:lang w:val="es-ES"/>
              </w:rPr>
              <w:t xml:space="preserve"> descuento</w:t>
            </w:r>
            <w:r>
              <w:rPr>
                <w:rFonts w:ascii="Verdana" w:eastAsia="Arial" w:hAnsi="Verdana" w:cs="Arial"/>
                <w:lang w:val="es-ES"/>
              </w:rPr>
              <w:t>s</w:t>
            </w:r>
            <w:r w:rsidRPr="001D27BC">
              <w:rPr>
                <w:rFonts w:ascii="Verdana" w:eastAsia="Arial" w:hAnsi="Verdana" w:cs="Arial"/>
                <w:lang w:val="es-ES"/>
              </w:rPr>
              <w:t xml:space="preserve"> a</w:t>
            </w:r>
            <w:r>
              <w:rPr>
                <w:rFonts w:ascii="Verdana" w:eastAsia="Arial" w:hAnsi="Verdana" w:cs="Arial"/>
                <w:lang w:val="es-ES"/>
              </w:rPr>
              <w:t xml:space="preserve"> </w:t>
            </w:r>
            <w:r w:rsidRPr="001D27BC">
              <w:rPr>
                <w:rFonts w:ascii="Verdana" w:eastAsia="Arial" w:hAnsi="Verdana" w:cs="Arial"/>
                <w:lang w:val="es-ES"/>
              </w:rPr>
              <w:t>l</w:t>
            </w:r>
            <w:r>
              <w:rPr>
                <w:rFonts w:ascii="Verdana" w:eastAsia="Arial" w:hAnsi="Verdana" w:cs="Arial"/>
                <w:lang w:val="es-ES"/>
              </w:rPr>
              <w:t>os</w:t>
            </w:r>
            <w:r w:rsidRPr="001D27BC">
              <w:rPr>
                <w:rFonts w:ascii="Verdana" w:eastAsia="Arial" w:hAnsi="Verdana" w:cs="Arial"/>
                <w:lang w:val="es-ES"/>
              </w:rPr>
              <w:t xml:space="preserve"> contratista</w:t>
            </w:r>
            <w:r>
              <w:rPr>
                <w:rFonts w:ascii="Verdana" w:eastAsia="Arial" w:hAnsi="Verdana" w:cs="Arial"/>
                <w:lang w:val="es-ES"/>
              </w:rPr>
              <w:t xml:space="preserve">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w:t>
            </w:r>
            <w:r>
              <w:rPr>
                <w:rFonts w:ascii="Verdana" w:eastAsia="Arial" w:hAnsi="Verdana" w:cs="Arial"/>
                <w:lang w:val="es-ES"/>
              </w:rPr>
              <w:lastRenderedPageBreak/>
              <w:t>facultativa, no obligatoria.</w:t>
            </w:r>
          </w:p>
          <w:p w14:paraId="492E8876" w14:textId="77777777" w:rsidR="00500D81" w:rsidRDefault="00500D81" w:rsidP="005A3D07">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lang w:val="es-ES"/>
              </w:rPr>
              <w:t xml:space="preserve">Con todo, en caso de que, conforme a lo dispuesto en el artículo </w:t>
            </w:r>
            <w:r w:rsidRPr="00341036">
              <w:rPr>
                <w:rFonts w:ascii="Verdana" w:eastAsia="Arial" w:hAnsi="Verdana" w:cs="Arial"/>
                <w:lang w:val="es-ES"/>
              </w:rPr>
              <w:t>2.2.4.18.7</w:t>
            </w:r>
            <w:r>
              <w:rPr>
                <w:rFonts w:ascii="Verdana" w:eastAsia="Arial" w:hAnsi="Verdana" w:cs="Arial"/>
                <w:lang w:val="es-ES"/>
              </w:rPr>
              <w:t xml:space="preserve"> del Decreto 514 de 2025, se acuerde que la entidad contratante será la responsable de realizar el pago de las cotizaciones, ésta deberá aplicar lo dispuesto en la Resolución 2388 de 2016</w:t>
            </w:r>
            <w:r>
              <w:rPr>
                <w:rFonts w:ascii="Verdana" w:eastAsia="Arial" w:hAnsi="Verdana" w:cs="Arial"/>
              </w:rPr>
              <w:t xml:space="preserve"> del Ministerio de Salud y Protección Social </w:t>
            </w:r>
            <w:r w:rsidRPr="00225440">
              <w:rPr>
                <w:rFonts w:ascii="Verdana" w:eastAsia="Arial" w:hAnsi="Verdana" w:cs="Arial"/>
                <w:i/>
                <w:iCs/>
              </w:rPr>
              <w:t>“Por la cual se</w:t>
            </w:r>
            <w:r>
              <w:rPr>
                <w:rFonts w:ascii="Verdana" w:eastAsia="Arial" w:hAnsi="Verdana" w:cs="Arial"/>
                <w:i/>
                <w:iCs/>
              </w:rPr>
              <w:t xml:space="preserve"> </w:t>
            </w:r>
            <w:r w:rsidRPr="00225440">
              <w:rPr>
                <w:rFonts w:ascii="Verdana" w:eastAsia="Arial" w:hAnsi="Verdana" w:cs="Arial"/>
                <w:i/>
                <w:iCs/>
              </w:rPr>
              <w:t>unifican las reglas para el recaudo de aportes al Sistema de Seguridad Social</w:t>
            </w:r>
            <w:r>
              <w:rPr>
                <w:rFonts w:ascii="Verdana" w:eastAsia="Arial" w:hAnsi="Verdana" w:cs="Arial"/>
                <w:i/>
                <w:iCs/>
              </w:rPr>
              <w:t xml:space="preserve"> </w:t>
            </w:r>
            <w:r w:rsidRPr="00225440">
              <w:rPr>
                <w:rFonts w:ascii="Verdana" w:eastAsia="Arial" w:hAnsi="Verdana" w:cs="Arial"/>
                <w:i/>
                <w:iCs/>
              </w:rPr>
              <w:t>Integral y Parafiscales"</w:t>
            </w:r>
            <w:r>
              <w:rPr>
                <w:rFonts w:ascii="Verdana" w:eastAsia="Arial" w:hAnsi="Verdana" w:cs="Arial"/>
                <w:i/>
                <w:iCs/>
              </w:rPr>
              <w:t xml:space="preserve">, </w:t>
            </w:r>
            <w:r>
              <w:rPr>
                <w:rFonts w:ascii="Verdana" w:eastAsia="Arial" w:hAnsi="Verdana" w:cs="Arial"/>
              </w:rPr>
              <w:t xml:space="preserve">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 </w:t>
            </w:r>
          </w:p>
          <w:p w14:paraId="1935EC37" w14:textId="77777777" w:rsidR="00500D81" w:rsidRDefault="00500D81" w:rsidP="005A3D07">
            <w:pPr>
              <w:widowControl w:val="0"/>
              <w:autoSpaceDE w:val="0"/>
              <w:autoSpaceDN w:val="0"/>
              <w:spacing w:after="120" w:line="276" w:lineRule="auto"/>
              <w:ind w:firstLine="709"/>
              <w:jc w:val="both"/>
              <w:rPr>
                <w:rFonts w:ascii="Verdana" w:hAnsi="Verdana" w:cs="Arial"/>
                <w:lang w:val="es-ES"/>
              </w:rPr>
            </w:pPr>
            <w:proofErr w:type="spellStart"/>
            <w:r>
              <w:rPr>
                <w:rFonts w:ascii="Verdana" w:eastAsia="Arial" w:hAnsi="Verdana" w:cs="Arial"/>
              </w:rPr>
              <w:t>ii</w:t>
            </w:r>
            <w:proofErr w:type="spellEnd"/>
            <w:r>
              <w:rPr>
                <w:rFonts w:ascii="Verdana" w:eastAsia="Arial" w:hAnsi="Verdana" w:cs="Arial"/>
              </w:rPr>
              <w:t xml:space="preserve">) De acuerdo con el artículo 50 de la Ley 789 de 2002 </w:t>
            </w:r>
            <w:r w:rsidRPr="0085437D">
              <w:rPr>
                <w:rFonts w:ascii="Verdana" w:hAnsi="Verdana" w:cs="Arial"/>
                <w:lang w:val="es-ES"/>
              </w:rPr>
              <w:t xml:space="preserve">la verificación de los aportes al Sistema de Seguridad Social Integral cambia, dependiendo si se trata de una persona natural o de una jurídica: i) si es una </w:t>
            </w:r>
            <w:r>
              <w:rPr>
                <w:rFonts w:ascii="Verdana" w:hAnsi="Verdana" w:cs="Arial"/>
                <w:i/>
                <w:iCs/>
                <w:lang w:val="es-ES"/>
              </w:rPr>
              <w:t xml:space="preserve">persona </w:t>
            </w:r>
            <w:r w:rsidRPr="0085437D">
              <w:rPr>
                <w:rFonts w:ascii="Verdana" w:hAnsi="Verdana" w:cs="Arial"/>
                <w:i/>
                <w:lang w:val="es-ES"/>
              </w:rPr>
              <w:t>natural</w:t>
            </w:r>
            <w:r w:rsidRPr="0085437D">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Pr="0085437D">
              <w:rPr>
                <w:rFonts w:ascii="Verdana" w:hAnsi="Verdana" w:cs="Arial"/>
                <w:lang w:val="es-ES"/>
              </w:rPr>
              <w:t>ii</w:t>
            </w:r>
            <w:proofErr w:type="spellEnd"/>
            <w:r w:rsidRPr="0085437D">
              <w:rPr>
                <w:rFonts w:ascii="Verdana" w:hAnsi="Verdana" w:cs="Arial"/>
                <w:lang w:val="es-ES"/>
              </w:rPr>
              <w:t xml:space="preserve">) si se refiere a una </w:t>
            </w:r>
            <w:r w:rsidRPr="0085437D">
              <w:rPr>
                <w:rFonts w:ascii="Verdana" w:hAnsi="Verdana" w:cs="Arial"/>
                <w:i/>
                <w:lang w:val="es-ES"/>
              </w:rPr>
              <w:t>persona jurídica</w:t>
            </w:r>
            <w:r w:rsidRPr="0085437D">
              <w:rPr>
                <w:rFonts w:ascii="Verdana" w:hAnsi="Verdana" w:cs="Arial"/>
                <w:lang w:val="es-ES"/>
              </w:rPr>
              <w:t>,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3B6E5A8C" w14:textId="78CF184E" w:rsidR="00500D81" w:rsidRDefault="00500D81" w:rsidP="005A3D07">
            <w:pPr>
              <w:spacing w:after="120" w:line="276" w:lineRule="auto"/>
              <w:ind w:firstLine="709"/>
              <w:jc w:val="both"/>
              <w:rPr>
                <w:rFonts w:ascii="Verdana" w:hAnsi="Verdana" w:cs="Arial"/>
                <w:lang w:val="es-ES_tradnl"/>
              </w:rPr>
            </w:pPr>
            <w:r w:rsidRPr="0089349D">
              <w:rPr>
                <w:rFonts w:ascii="Verdana" w:hAnsi="Verdana" w:cs="Arial"/>
                <w:lang w:val="es-ES_tradnl"/>
              </w:rPr>
              <w:t>Sobre</w:t>
            </w:r>
            <w:r>
              <w:rPr>
                <w:rFonts w:ascii="Verdana" w:eastAsia="Arial" w:hAnsi="Verdana" w:cs="Arial"/>
              </w:rPr>
              <w:t xml:space="preserve"> el valor del aporte y la periodicidad, se debe cotizar durante todo el periodo de ejecución contractual</w:t>
            </w:r>
            <w:r w:rsidR="00454896">
              <w:rPr>
                <w:rFonts w:ascii="Verdana" w:eastAsia="Arial" w:hAnsi="Verdana" w:cs="Arial"/>
              </w:rPr>
              <w:t xml:space="preserve"> y cada vez que se realice un pago en el contrato</w:t>
            </w:r>
            <w:r w:rsidR="009236A9">
              <w:rPr>
                <w:rFonts w:ascii="Verdana" w:eastAsia="Arial" w:hAnsi="Verdana" w:cs="Arial"/>
              </w:rPr>
              <w:t xml:space="preserve">, </w:t>
            </w:r>
            <w:r w:rsidR="00924D1F">
              <w:rPr>
                <w:rFonts w:ascii="Verdana" w:eastAsia="Arial" w:hAnsi="Verdana" w:cs="Arial"/>
              </w:rPr>
              <w:t>como cuando se pactan</w:t>
            </w:r>
            <w:r w:rsidR="009236A9">
              <w:rPr>
                <w:rFonts w:ascii="Verdana" w:eastAsia="Arial" w:hAnsi="Verdana" w:cs="Arial"/>
              </w:rPr>
              <w:t xml:space="preserve"> pagos por productos</w:t>
            </w:r>
            <w:r w:rsidR="0089349D">
              <w:rPr>
                <w:rFonts w:ascii="Verdana" w:eastAsia="Arial" w:hAnsi="Verdana" w:cs="Arial"/>
              </w:rPr>
              <w:t xml:space="preserve">; y </w:t>
            </w:r>
            <w:r w:rsidR="0089349D" w:rsidRPr="00FA285C">
              <w:rPr>
                <w:rFonts w:ascii="Verdana" w:hAnsi="Verdana" w:cs="Arial"/>
                <w:lang w:val="es-ES"/>
              </w:rPr>
              <w:t>conforme al marco jurídico actual, al pago al Sistema de Seguridad Social Integral por parte de</w:t>
            </w:r>
            <w:r w:rsidR="0089349D">
              <w:rPr>
                <w:rFonts w:ascii="Verdana" w:hAnsi="Verdana" w:cs="Arial"/>
                <w:lang w:val="es-ES"/>
              </w:rPr>
              <w:t xml:space="preserve"> contratistas estatales, en calidad de</w:t>
            </w:r>
            <w:r w:rsidR="0089349D" w:rsidRPr="00FA285C">
              <w:rPr>
                <w:rFonts w:ascii="Verdana" w:hAnsi="Verdana" w:cs="Arial"/>
                <w:lang w:val="es-ES"/>
              </w:rPr>
              <w:t xml:space="preserve"> trabajadores independientes,</w:t>
            </w:r>
            <w:r w:rsidR="0089349D">
              <w:rPr>
                <w:rFonts w:ascii="Verdana" w:hAnsi="Verdana" w:cs="Arial"/>
                <w:lang w:val="es-ES"/>
              </w:rPr>
              <w:t xml:space="preserve"> </w:t>
            </w:r>
            <w:r w:rsidR="0089349D" w:rsidRPr="00FA285C">
              <w:rPr>
                <w:rFonts w:ascii="Verdana" w:hAnsi="Verdana" w:cs="Arial"/>
                <w:lang w:val="es-ES"/>
              </w:rPr>
              <w:t xml:space="preserve">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0089349D" w:rsidRPr="00FA285C">
              <w:rPr>
                <w:rFonts w:ascii="Verdana" w:hAnsi="Verdana" w:cs="Arial"/>
                <w:lang w:val="es-ES"/>
              </w:rPr>
              <w:t>ii</w:t>
            </w:r>
            <w:proofErr w:type="spellEnd"/>
            <w:r w:rsidR="0089349D" w:rsidRPr="00FA285C">
              <w:rPr>
                <w:rFonts w:ascii="Verdana" w:hAnsi="Verdana" w:cs="Arial"/>
                <w:lang w:val="es-ES"/>
              </w:rPr>
              <w:t xml:space="preserve">) la base mínima de cotización es el cuarenta por ciento (40%) del valor mensualizado de ingresos o del contrato, </w:t>
            </w:r>
            <w:proofErr w:type="spellStart"/>
            <w:r w:rsidR="0089349D" w:rsidRPr="00FA285C">
              <w:rPr>
                <w:rFonts w:ascii="Verdana" w:hAnsi="Verdana" w:cs="Arial"/>
                <w:lang w:val="es-ES"/>
              </w:rPr>
              <w:t>iii</w:t>
            </w:r>
            <w:proofErr w:type="spellEnd"/>
            <w:r w:rsidR="0089349D" w:rsidRPr="00FA285C">
              <w:rPr>
                <w:rFonts w:ascii="Verdana" w:hAnsi="Verdana" w:cs="Arial"/>
                <w:lang w:val="es-ES"/>
              </w:rPr>
              <w:t xml:space="preserve">) la cotización se realizará mes vencido, y finalmente, </w:t>
            </w:r>
            <w:proofErr w:type="spellStart"/>
            <w:r w:rsidR="0089349D" w:rsidRPr="00FA285C">
              <w:rPr>
                <w:rFonts w:ascii="Verdana" w:hAnsi="Verdana" w:cs="Arial"/>
                <w:lang w:val="es-ES"/>
              </w:rPr>
              <w:t>iv</w:t>
            </w:r>
            <w:proofErr w:type="spellEnd"/>
            <w:r w:rsidR="0089349D" w:rsidRPr="00FA285C">
              <w:rPr>
                <w:rFonts w:ascii="Verdana" w:hAnsi="Verdana" w:cs="Arial"/>
                <w:lang w:val="es-ES"/>
              </w:rPr>
              <w:t xml:space="preserve">) el pago lo efectuará directamente el trabajador independiente. </w:t>
            </w:r>
          </w:p>
          <w:p w14:paraId="13948AF9" w14:textId="77777777" w:rsidR="00500D81" w:rsidRDefault="00500D81" w:rsidP="7B7BFACA">
            <w:pPr>
              <w:spacing w:after="120" w:line="276" w:lineRule="auto"/>
              <w:ind w:firstLine="709"/>
              <w:jc w:val="both"/>
              <w:rPr>
                <w:rFonts w:ascii="Verdana" w:hAnsi="Verdana" w:cs="Arial"/>
                <w:lang w:val="es-ES"/>
              </w:rPr>
            </w:pPr>
            <w:r w:rsidRPr="7B7BFACA">
              <w:rPr>
                <w:rFonts w:ascii="Verdana" w:hAnsi="Verdana" w:cs="Arial"/>
                <w:lang w:val="es-ES"/>
              </w:rPr>
              <w:lastRenderedPageBreak/>
              <w:t>Para finalizar, en virtud del artículo 50 de la Ley 789 de 2002, la entidad verificará, tanto para las personas naturales como para las jurídicas, la realización de los aportes al Sistema de Seguridad Social Integral, al momento de la liquidación del contrato, y dejarán constancia del cumplimiento de las obligaciones del contratista frente a los aportes mencionados durante toda su vigencia, estableciendo una correcta relación entre el monto cancelado y las sumas que debieron cotizar. Para esto, la entidad contratante determinará la documentación que le permita comprobar la realización de los aportes, como las planillas de pago, entre otros.</w:t>
            </w:r>
          </w:p>
          <w:p w14:paraId="691F0A2F" w14:textId="2933453F" w:rsidR="00500D81" w:rsidRPr="001941FD" w:rsidRDefault="00BB522E" w:rsidP="005A3D07">
            <w:pPr>
              <w:spacing w:after="120" w:line="276" w:lineRule="auto"/>
              <w:ind w:right="51" w:firstLine="737"/>
              <w:jc w:val="both"/>
              <w:rPr>
                <w:rFonts w:ascii="Verdana" w:eastAsia="Calibri" w:hAnsi="Verdana" w:cs="Arial"/>
                <w:bCs/>
                <w:color w:val="000000" w:themeColor="text1"/>
              </w:rPr>
            </w:pPr>
            <w:r>
              <w:rPr>
                <w:rStyle w:val="s15"/>
                <w:rFonts w:ascii="Verdana" w:hAnsi="Verdana"/>
                <w:color w:val="000000"/>
              </w:rPr>
              <w:t>Por último</w:t>
            </w:r>
            <w:r w:rsidR="00500D81">
              <w:rPr>
                <w:rStyle w:val="s15"/>
                <w:rFonts w:ascii="Verdana" w:hAnsi="Verdana"/>
                <w:color w:val="000000"/>
              </w:rPr>
              <w:t xml:space="preserve">, respecto de su pregunta sobre </w:t>
            </w:r>
            <w:r w:rsidR="00370B23">
              <w:rPr>
                <w:rStyle w:val="s15"/>
                <w:rFonts w:ascii="Verdana" w:hAnsi="Verdana"/>
                <w:color w:val="000000"/>
              </w:rPr>
              <w:t>posibles acciones contra la entidad contratante</w:t>
            </w:r>
            <w:r w:rsidR="00500D81">
              <w:rPr>
                <w:rStyle w:val="s15"/>
                <w:rFonts w:ascii="Verdana" w:hAnsi="Verdana"/>
                <w:color w:val="000000"/>
              </w:rPr>
              <w:t>,</w:t>
            </w:r>
            <w:r w:rsidR="00500D81" w:rsidRPr="001941FD">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la aclaración preliminar del present</w:t>
            </w:r>
            <w:r w:rsidR="00500D81">
              <w:rPr>
                <w:rStyle w:val="s15"/>
                <w:rFonts w:ascii="Verdana" w:hAnsi="Verdana"/>
                <w:color w:val="000000"/>
              </w:rPr>
              <w:t>e concepto</w:t>
            </w:r>
            <w:r w:rsidR="00500D81" w:rsidRPr="001941FD">
              <w:rPr>
                <w:rStyle w:val="s15"/>
                <w:rFonts w:ascii="Verdana" w:hAnsi="Verdana"/>
                <w:color w:val="000000"/>
              </w:rPr>
              <w:t>.</w:t>
            </w:r>
            <w:r w:rsidR="00500D81" w:rsidRPr="001941FD">
              <w:rPr>
                <w:rStyle w:val="apple-converted-space"/>
                <w:rFonts w:ascii="Verdana" w:hAnsi="Verdana"/>
                <w:color w:val="000000"/>
              </w:rPr>
              <w:t> </w:t>
            </w:r>
            <w:r w:rsidR="00500D81" w:rsidRPr="001941FD">
              <w:rPr>
                <w:rStyle w:val="s15"/>
                <w:rFonts w:ascii="Verdana" w:hAnsi="Verdana"/>
                <w:color w:val="000000"/>
              </w:rPr>
              <w:t>Por lo anterior, previo</w:t>
            </w:r>
            <w:r w:rsidR="00500D81" w:rsidRPr="001941FD">
              <w:rPr>
                <w:rStyle w:val="apple-converted-space"/>
                <w:rFonts w:ascii="Verdana" w:hAnsi="Verdana"/>
                <w:color w:val="000000"/>
              </w:rPr>
              <w:t> </w:t>
            </w:r>
            <w:r w:rsidR="00500D81"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w:t>
            </w:r>
            <w:r w:rsidR="001D35C1">
              <w:rPr>
                <w:rStyle w:val="s15"/>
                <w:rFonts w:ascii="Verdana" w:hAnsi="Verdana"/>
                <w:color w:val="000000"/>
              </w:rPr>
              <w:t xml:space="preserve"> y proponente</w:t>
            </w:r>
            <w:r w:rsidR="00500D81" w:rsidRPr="001941FD">
              <w:rPr>
                <w:rStyle w:val="s15"/>
                <w:rFonts w:ascii="Verdana" w:hAnsi="Verdana"/>
                <w:color w:val="000000"/>
              </w:rPr>
              <w:t xml:space="preserve"> definirá la forma de adelantar su gestión contractual, sin que sea atribución de Colombia Compra Eficiente validar sus actuaciones.</w:t>
            </w:r>
          </w:p>
        </w:tc>
      </w:tr>
    </w:tbl>
    <w:p w14:paraId="50783FDE" w14:textId="77777777" w:rsidR="00500D81" w:rsidRPr="00593A5F" w:rsidRDefault="00500D81" w:rsidP="00500D81">
      <w:pPr>
        <w:tabs>
          <w:tab w:val="left" w:pos="142"/>
          <w:tab w:val="left" w:pos="284"/>
        </w:tabs>
        <w:spacing w:after="0" w:line="276" w:lineRule="auto"/>
        <w:jc w:val="both"/>
        <w:rPr>
          <w:rFonts w:ascii="Verdana" w:eastAsia="Century Gothic" w:hAnsi="Verdana" w:cs="Century Gothic"/>
          <w:b/>
          <w:bCs/>
          <w:lang w:val="es-ES"/>
        </w:rPr>
      </w:pPr>
    </w:p>
    <w:bookmarkEnd w:id="1"/>
    <w:p w14:paraId="30370263" w14:textId="77777777" w:rsidR="00500D81" w:rsidRPr="00593A5F" w:rsidRDefault="00500D81" w:rsidP="00500D8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3. </w:t>
      </w: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49636888" w14:textId="77777777" w:rsidR="00500D81" w:rsidRPr="00593A5F" w:rsidRDefault="00500D81" w:rsidP="00500D81">
      <w:pPr>
        <w:spacing w:after="0" w:line="276" w:lineRule="auto"/>
        <w:jc w:val="both"/>
        <w:rPr>
          <w:rFonts w:ascii="Verdana" w:eastAsia="Calibri" w:hAnsi="Verdana" w:cs="Arial"/>
          <w:color w:val="7030A0"/>
          <w:lang w:val="es-ES"/>
        </w:rPr>
      </w:pPr>
    </w:p>
    <w:p w14:paraId="05ADF7B6" w14:textId="77777777" w:rsidR="00500D81" w:rsidRDefault="00500D81" w:rsidP="00500D8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E04AD79" w14:textId="77777777" w:rsidR="00500D81" w:rsidRDefault="00500D81" w:rsidP="00500D81">
      <w:pPr>
        <w:spacing w:after="0" w:line="276" w:lineRule="auto"/>
        <w:jc w:val="both"/>
        <w:rPr>
          <w:rFonts w:ascii="Verdana" w:eastAsia="Calibri" w:hAnsi="Verdana" w:cs="Arial"/>
          <w:lang w:val="es-ES"/>
        </w:rPr>
      </w:pPr>
    </w:p>
    <w:p w14:paraId="147FE92E" w14:textId="77777777" w:rsidR="00500D81" w:rsidRPr="001F41BC" w:rsidRDefault="00500D81" w:rsidP="00500D81">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 xml:space="preserve">i. </w:t>
      </w:r>
      <w:r w:rsidRPr="001F41BC">
        <w:rPr>
          <w:rFonts w:ascii="Verdana" w:eastAsia="Arial" w:hAnsi="Verdana" w:cs="Arial"/>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reducción</w:t>
      </w:r>
      <w:r w:rsidRPr="001F41BC">
        <w:rPr>
          <w:rFonts w:ascii="Verdana" w:eastAsia="Arial" w:hAnsi="Verdana" w:cs="Arial"/>
          <w:spacing w:val="-6"/>
          <w:lang w:val="es-ES"/>
        </w:rPr>
        <w:t xml:space="preserve"> </w:t>
      </w:r>
      <w:r w:rsidRPr="001F41BC">
        <w:rPr>
          <w:rFonts w:ascii="Verdana" w:eastAsia="Arial" w:hAnsi="Verdana" w:cs="Arial"/>
          <w:lang w:val="es-ES"/>
        </w:rPr>
        <w:t>o</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pérdida</w:t>
      </w:r>
      <w:r w:rsidRPr="001F41BC">
        <w:rPr>
          <w:rFonts w:ascii="Verdana" w:eastAsia="Arial" w:hAnsi="Verdana" w:cs="Arial"/>
          <w:spacing w:val="-4"/>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los</w:t>
      </w:r>
      <w:r w:rsidRPr="001F41BC">
        <w:rPr>
          <w:rFonts w:ascii="Verdana" w:eastAsia="Arial" w:hAnsi="Verdana" w:cs="Arial"/>
          <w:spacing w:val="-5"/>
          <w:lang w:val="es-ES"/>
        </w:rPr>
        <w:t xml:space="preserve"> </w:t>
      </w:r>
      <w:r w:rsidRPr="001F41BC">
        <w:rPr>
          <w:rFonts w:ascii="Verdana" w:eastAsia="Arial" w:hAnsi="Verdana" w:cs="Arial"/>
          <w:lang w:val="es-ES"/>
        </w:rPr>
        <w:t>ingresos</w:t>
      </w:r>
      <w:r w:rsidRPr="001F41BC">
        <w:rPr>
          <w:rFonts w:ascii="Verdana" w:eastAsia="Arial" w:hAnsi="Verdana" w:cs="Arial"/>
          <w:spacing w:val="-4"/>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causa</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contingencias</w:t>
      </w:r>
      <w:r w:rsidRPr="001F41BC">
        <w:rPr>
          <w:rFonts w:ascii="Verdana" w:eastAsia="Arial" w:hAnsi="Verdana" w:cs="Arial"/>
          <w:spacing w:val="-5"/>
          <w:lang w:val="es-ES"/>
        </w:rPr>
        <w:t xml:space="preserve"> </w:t>
      </w:r>
      <w:r w:rsidRPr="001F41BC">
        <w:rPr>
          <w:rFonts w:ascii="Verdana" w:eastAsia="Arial" w:hAnsi="Verdana" w:cs="Arial"/>
          <w:lang w:val="es-ES"/>
        </w:rPr>
        <w:t>como</w:t>
      </w:r>
      <w:r w:rsidRPr="001F41BC">
        <w:rPr>
          <w:rFonts w:ascii="Verdana" w:eastAsia="Arial" w:hAnsi="Verdana" w:cs="Arial"/>
          <w:spacing w:val="-6"/>
          <w:lang w:val="es-ES"/>
        </w:rPr>
        <w:t xml:space="preserve"> </w:t>
      </w:r>
      <w:r w:rsidRPr="001F41BC">
        <w:rPr>
          <w:rFonts w:ascii="Verdana" w:eastAsia="Arial" w:hAnsi="Verdana" w:cs="Arial"/>
          <w:lang w:val="es-ES"/>
        </w:rPr>
        <w:t>la enfermedad,</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accidentes,</w:t>
      </w:r>
      <w:r w:rsidRPr="001F41BC">
        <w:rPr>
          <w:rFonts w:ascii="Verdana" w:eastAsia="Arial" w:hAnsi="Verdana" w:cs="Arial"/>
          <w:spacing w:val="-8"/>
          <w:lang w:val="es-ES"/>
        </w:rPr>
        <w:t xml:space="preserve"> </w:t>
      </w:r>
      <w:r w:rsidRPr="001F41BC">
        <w:rPr>
          <w:rFonts w:ascii="Verdana" w:eastAsia="Arial" w:hAnsi="Verdana" w:cs="Arial"/>
          <w:lang w:val="es-ES"/>
        </w:rPr>
        <w:t>la</w:t>
      </w:r>
      <w:r w:rsidRPr="001F41BC">
        <w:rPr>
          <w:rFonts w:ascii="Verdana" w:eastAsia="Arial" w:hAnsi="Verdana" w:cs="Arial"/>
          <w:spacing w:val="-8"/>
          <w:lang w:val="es-ES"/>
        </w:rPr>
        <w:t xml:space="preserve"> </w:t>
      </w:r>
      <w:r w:rsidRPr="001F41BC">
        <w:rPr>
          <w:rFonts w:ascii="Verdana" w:eastAsia="Arial" w:hAnsi="Verdana" w:cs="Arial"/>
          <w:lang w:val="es-ES"/>
        </w:rPr>
        <w:t>maternidad</w:t>
      </w:r>
      <w:r w:rsidRPr="001F41BC">
        <w:rPr>
          <w:rFonts w:ascii="Verdana" w:eastAsia="Arial" w:hAnsi="Verdana" w:cs="Arial"/>
          <w:spacing w:val="-7"/>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desempleo,</w:t>
      </w:r>
      <w:r w:rsidRPr="001F41BC">
        <w:rPr>
          <w:rFonts w:ascii="Verdana" w:eastAsia="Arial" w:hAnsi="Verdana" w:cs="Arial"/>
          <w:spacing w:val="-8"/>
          <w:lang w:val="es-ES"/>
        </w:rPr>
        <w:t xml:space="preserve"> </w:t>
      </w:r>
      <w:r w:rsidRPr="001F41BC">
        <w:rPr>
          <w:rFonts w:ascii="Verdana" w:eastAsia="Arial" w:hAnsi="Verdana" w:cs="Arial"/>
          <w:lang w:val="es-ES"/>
        </w:rPr>
        <w:t>entre</w:t>
      </w:r>
      <w:r w:rsidRPr="001F41BC">
        <w:rPr>
          <w:rFonts w:ascii="Verdana" w:eastAsia="Arial" w:hAnsi="Verdana" w:cs="Arial"/>
          <w:spacing w:val="-8"/>
          <w:lang w:val="es-ES"/>
        </w:rPr>
        <w:t xml:space="preserve"> </w:t>
      </w:r>
      <w:r w:rsidRPr="001F41BC">
        <w:rPr>
          <w:rFonts w:ascii="Verdana" w:eastAsia="Arial" w:hAnsi="Verdana" w:cs="Arial"/>
          <w:lang w:val="es-ES"/>
        </w:rPr>
        <w:t>otras.</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 la Ley 100 de 1993,</w:t>
      </w:r>
      <w:r>
        <w:rPr>
          <w:rFonts w:ascii="Verdana" w:eastAsia="Arial" w:hAnsi="Verdana" w:cs="Arial"/>
          <w:lang w:val="es-ES"/>
        </w:rPr>
        <w:t xml:space="preserve"> modificada en lo pertinente por la Ley 2381 de 2024,</w:t>
      </w:r>
      <w:r w:rsidRPr="001F41BC">
        <w:rPr>
          <w:rFonts w:ascii="Verdana" w:eastAsia="Arial" w:hAnsi="Verdana" w:cs="Arial"/>
          <w:lang w:val="es-ES"/>
        </w:rPr>
        <w:t xml:space="preserve"> el Sistema de Seguridad Social Integral en Colombia se</w:t>
      </w:r>
      <w:r w:rsidRPr="001F41BC">
        <w:rPr>
          <w:rFonts w:ascii="Verdana" w:eastAsia="Arial" w:hAnsi="Verdana" w:cs="Arial"/>
          <w:spacing w:val="59"/>
          <w:lang w:val="es-ES"/>
        </w:rPr>
        <w:t xml:space="preserve"> </w:t>
      </w:r>
      <w:r w:rsidRPr="001F41BC">
        <w:rPr>
          <w:rFonts w:ascii="Verdana" w:eastAsia="Arial" w:hAnsi="Verdana" w:cs="Arial"/>
          <w:lang w:val="es-ES"/>
        </w:rPr>
        <w:t>compone de</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sistemas</w:t>
      </w:r>
      <w:r w:rsidRPr="001F41BC">
        <w:rPr>
          <w:rFonts w:ascii="Verdana" w:eastAsia="Arial" w:hAnsi="Verdana" w:cs="Arial"/>
          <w:spacing w:val="-10"/>
          <w:lang w:val="es-ES"/>
        </w:rPr>
        <w:t xml:space="preserve"> </w:t>
      </w:r>
      <w:r w:rsidRPr="001F41BC">
        <w:rPr>
          <w:rFonts w:ascii="Verdana" w:eastAsia="Arial" w:hAnsi="Verdana" w:cs="Arial"/>
          <w:lang w:val="es-ES"/>
        </w:rPr>
        <w:t>de protección social integral para la vejez, invalidez y muerte de origen común,</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salud</w:t>
      </w:r>
      <w:r w:rsidRPr="001F41BC">
        <w:rPr>
          <w:rFonts w:ascii="Verdana" w:eastAsia="Arial" w:hAnsi="Verdana" w:cs="Arial"/>
          <w:spacing w:val="-11"/>
          <w:lang w:val="es-ES"/>
        </w:rPr>
        <w:t xml:space="preserve"> </w:t>
      </w:r>
      <w:r w:rsidRPr="001F41BC">
        <w:rPr>
          <w:rFonts w:ascii="Verdana" w:eastAsia="Arial" w:hAnsi="Verdana" w:cs="Arial"/>
          <w:lang w:val="es-ES"/>
        </w:rPr>
        <w:t>y</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riesgos</w:t>
      </w:r>
      <w:r w:rsidRPr="001F41BC">
        <w:rPr>
          <w:rFonts w:ascii="Verdana" w:eastAsia="Arial" w:hAnsi="Verdana" w:cs="Arial"/>
          <w:spacing w:val="-11"/>
          <w:lang w:val="es-ES"/>
        </w:rPr>
        <w:t xml:space="preserve"> </w:t>
      </w:r>
      <w:r w:rsidRPr="001F41BC">
        <w:rPr>
          <w:rFonts w:ascii="Verdana" w:eastAsia="Arial" w:hAnsi="Verdana" w:cs="Arial"/>
          <w:lang w:val="es-ES"/>
        </w:rPr>
        <w:t>laborales</w:t>
      </w:r>
      <w:r>
        <w:rPr>
          <w:rFonts w:ascii="Verdana" w:eastAsia="Arial" w:hAnsi="Verdana" w:cs="Arial"/>
          <w:spacing w:val="-11"/>
          <w:lang w:val="es-ES"/>
        </w:rPr>
        <w:t>, así como</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servicios</w:t>
      </w:r>
      <w:r w:rsidRPr="001F41BC">
        <w:rPr>
          <w:rFonts w:ascii="Verdana" w:eastAsia="Arial" w:hAnsi="Verdana" w:cs="Arial"/>
          <w:spacing w:val="-10"/>
          <w:lang w:val="es-ES"/>
        </w:rPr>
        <w:t xml:space="preserve"> </w:t>
      </w:r>
      <w:r w:rsidRPr="001F41BC">
        <w:rPr>
          <w:rFonts w:ascii="Verdana" w:eastAsia="Arial" w:hAnsi="Verdana" w:cs="Arial"/>
          <w:lang w:val="es-ES"/>
        </w:rPr>
        <w:t>sociales complementarios.</w:t>
      </w:r>
    </w:p>
    <w:p w14:paraId="0A2144AF" w14:textId="77777777" w:rsidR="00500D81" w:rsidRPr="001F41BC" w:rsidRDefault="00500D81" w:rsidP="00500D81">
      <w:pPr>
        <w:widowControl w:val="0"/>
        <w:autoSpaceDE w:val="0"/>
        <w:autoSpaceDN w:val="0"/>
        <w:spacing w:line="276" w:lineRule="auto"/>
        <w:jc w:val="both"/>
        <w:rPr>
          <w:rFonts w:ascii="Verdana" w:eastAsia="Arial" w:hAnsi="Verdana" w:cs="Arial"/>
          <w:lang w:val="es-ES"/>
        </w:rPr>
      </w:pPr>
      <w:r w:rsidRPr="001F41BC">
        <w:rPr>
          <w:rFonts w:ascii="Verdana" w:eastAsia="Arial" w:hAnsi="Verdana" w:cs="Arial"/>
          <w:lang w:val="es-ES"/>
        </w:rPr>
        <w:tab/>
        <w:t>En materia de contratación estatal, el texto original del artículo 41 de la Ley 80 de 1993 dispuso que los requisitos para perfeccionar</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contrato</w:t>
      </w:r>
      <w:r w:rsidRPr="001F41BC">
        <w:rPr>
          <w:rFonts w:ascii="Verdana" w:eastAsia="Arial" w:hAnsi="Verdana" w:cs="Arial"/>
          <w:spacing w:val="-7"/>
          <w:lang w:val="es-ES"/>
        </w:rPr>
        <w:t xml:space="preserve"> </w:t>
      </w:r>
      <w:r w:rsidRPr="001F41BC">
        <w:rPr>
          <w:rFonts w:ascii="Verdana" w:eastAsia="Arial" w:hAnsi="Verdana" w:cs="Arial"/>
          <w:lang w:val="es-ES"/>
        </w:rPr>
        <w:t>son:</w:t>
      </w:r>
      <w:r w:rsidRPr="001F41BC">
        <w:rPr>
          <w:rFonts w:ascii="Verdana" w:eastAsia="Arial" w:hAnsi="Verdana" w:cs="Arial"/>
          <w:spacing w:val="-7"/>
          <w:lang w:val="es-ES"/>
        </w:rPr>
        <w:t xml:space="preserve"> </w:t>
      </w:r>
      <w:r w:rsidRPr="001F41BC">
        <w:rPr>
          <w:rFonts w:ascii="Verdana" w:eastAsia="Arial" w:hAnsi="Verdana" w:cs="Arial"/>
          <w:lang w:val="es-ES"/>
        </w:rPr>
        <w:t>i)</w:t>
      </w:r>
      <w:r w:rsidRPr="001F41BC">
        <w:rPr>
          <w:rFonts w:ascii="Verdana" w:eastAsia="Arial" w:hAnsi="Verdana" w:cs="Arial"/>
          <w:spacing w:val="-7"/>
          <w:lang w:val="es-ES"/>
        </w:rPr>
        <w:t xml:space="preserve"> </w:t>
      </w:r>
      <w:r w:rsidRPr="001F41BC">
        <w:rPr>
          <w:rFonts w:ascii="Verdana" w:eastAsia="Arial" w:hAnsi="Verdana" w:cs="Arial"/>
          <w:lang w:val="es-ES"/>
        </w:rPr>
        <w:lastRenderedPageBreak/>
        <w:t>el</w:t>
      </w:r>
      <w:r w:rsidRPr="001F41BC">
        <w:rPr>
          <w:rFonts w:ascii="Verdana" w:eastAsia="Arial" w:hAnsi="Verdana" w:cs="Arial"/>
          <w:spacing w:val="-6"/>
          <w:lang w:val="es-ES"/>
        </w:rPr>
        <w:t xml:space="preserve"> </w:t>
      </w:r>
      <w:r w:rsidRPr="001F41BC">
        <w:rPr>
          <w:rFonts w:ascii="Verdana" w:eastAsia="Arial" w:hAnsi="Verdana" w:cs="Arial"/>
          <w:lang w:val="es-ES"/>
        </w:rPr>
        <w:t>acuerdo</w:t>
      </w:r>
      <w:r w:rsidRPr="001F41BC">
        <w:rPr>
          <w:rFonts w:ascii="Verdana" w:eastAsia="Arial" w:hAnsi="Verdana" w:cs="Arial"/>
          <w:spacing w:val="-6"/>
          <w:lang w:val="es-ES"/>
        </w:rPr>
        <w:t xml:space="preserve"> </w:t>
      </w:r>
      <w:r w:rsidRPr="001F41BC">
        <w:rPr>
          <w:rFonts w:ascii="Verdana" w:eastAsia="Arial" w:hAnsi="Verdana" w:cs="Arial"/>
          <w:lang w:val="es-ES"/>
        </w:rPr>
        <w:t>sobre</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7"/>
          <w:lang w:val="es-ES"/>
        </w:rPr>
        <w:t xml:space="preserve"> </w:t>
      </w:r>
      <w:r w:rsidRPr="001F41BC">
        <w:rPr>
          <w:rFonts w:ascii="Verdana" w:eastAsia="Arial" w:hAnsi="Verdana" w:cs="Arial"/>
          <w:lang w:val="es-ES"/>
        </w:rPr>
        <w:t>y</w:t>
      </w:r>
      <w:r w:rsidRPr="001F41BC">
        <w:rPr>
          <w:rFonts w:ascii="Verdana" w:eastAsia="Arial" w:hAnsi="Verdana" w:cs="Arial"/>
          <w:spacing w:val="-7"/>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 xml:space="preserve">contraprestación, y </w:t>
      </w:r>
      <w:proofErr w:type="spellStart"/>
      <w:r w:rsidRPr="001F41BC">
        <w:rPr>
          <w:rFonts w:ascii="Verdana" w:eastAsia="Arial" w:hAnsi="Verdana" w:cs="Arial"/>
          <w:lang w:val="es-ES"/>
        </w:rPr>
        <w:t>ii</w:t>
      </w:r>
      <w:proofErr w:type="spellEnd"/>
      <w:r w:rsidRPr="001F41BC">
        <w:rPr>
          <w:rFonts w:ascii="Verdana" w:eastAsia="Arial" w:hAnsi="Verdana" w:cs="Arial"/>
          <w:lang w:val="es-ES"/>
        </w:rPr>
        <w:t>) que conste por escrito. Por su parte, para iniciar la ejecución se requiere: i) la constitución</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7"/>
          <w:lang w:val="es-ES"/>
        </w:rPr>
        <w:t xml:space="preserve"> </w:t>
      </w:r>
      <w:r w:rsidRPr="001F41BC">
        <w:rPr>
          <w:rFonts w:ascii="Verdana" w:eastAsia="Arial" w:hAnsi="Verdana" w:cs="Arial"/>
          <w:lang w:val="es-ES"/>
        </w:rPr>
        <w:t>aprobación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garantía</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6"/>
          <w:lang w:val="es-ES"/>
        </w:rPr>
        <w:t xml:space="preserve"> </w:t>
      </w:r>
      <w:proofErr w:type="spellStart"/>
      <w:r w:rsidRPr="001F41BC">
        <w:rPr>
          <w:rFonts w:ascii="Verdana" w:eastAsia="Arial" w:hAnsi="Verdana" w:cs="Arial"/>
          <w:lang w:val="es-ES"/>
        </w:rPr>
        <w:t>ii</w:t>
      </w:r>
      <w:proofErr w:type="spellEnd"/>
      <w:r w:rsidRPr="001F41BC">
        <w:rPr>
          <w:rFonts w:ascii="Verdana" w:eastAsia="Arial" w:hAnsi="Verdana" w:cs="Arial"/>
          <w:lang w:val="es-ES"/>
        </w:rPr>
        <w:t>)</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existencia</w:t>
      </w:r>
      <w:r w:rsidRPr="001F41BC">
        <w:rPr>
          <w:rFonts w:ascii="Verdana" w:eastAsia="Arial" w:hAnsi="Verdana" w:cs="Arial"/>
          <w:spacing w:val="-16"/>
          <w:lang w:val="es-ES"/>
        </w:rPr>
        <w:t xml:space="preserve"> </w:t>
      </w:r>
      <w:r w:rsidRPr="001F41BC">
        <w:rPr>
          <w:rFonts w:ascii="Verdana" w:eastAsia="Arial" w:hAnsi="Verdana" w:cs="Arial"/>
          <w:lang w:val="es-ES"/>
        </w:rPr>
        <w:t>del</w:t>
      </w:r>
      <w:r w:rsidRPr="001F41BC">
        <w:rPr>
          <w:rFonts w:ascii="Verdana" w:eastAsia="Arial" w:hAnsi="Verdana" w:cs="Arial"/>
          <w:spacing w:val="-16"/>
          <w:lang w:val="es-ES"/>
        </w:rPr>
        <w:t xml:space="preserve"> </w:t>
      </w:r>
      <w:r w:rsidRPr="001F41BC">
        <w:rPr>
          <w:rFonts w:ascii="Verdana" w:eastAsia="Arial" w:hAnsi="Verdana" w:cs="Arial"/>
          <w:lang w:val="es-ES"/>
        </w:rPr>
        <w:t>registro</w:t>
      </w:r>
      <w:r w:rsidRPr="001F41BC">
        <w:rPr>
          <w:rFonts w:ascii="Verdana" w:eastAsia="Arial" w:hAnsi="Verdana" w:cs="Arial"/>
          <w:spacing w:val="-16"/>
          <w:lang w:val="es-ES"/>
        </w:rPr>
        <w:t xml:space="preserve"> </w:t>
      </w:r>
      <w:r w:rsidRPr="001F41BC">
        <w:rPr>
          <w:rFonts w:ascii="Verdana" w:eastAsia="Arial" w:hAnsi="Verdana" w:cs="Arial"/>
          <w:lang w:val="es-ES"/>
        </w:rPr>
        <w:t>presupuestal,</w:t>
      </w:r>
      <w:r w:rsidRPr="001F41BC">
        <w:rPr>
          <w:rFonts w:ascii="Verdana" w:eastAsia="Arial" w:hAnsi="Verdana" w:cs="Arial"/>
          <w:spacing w:val="-16"/>
          <w:lang w:val="es-ES"/>
        </w:rPr>
        <w:t xml:space="preserve"> </w:t>
      </w:r>
      <w:r w:rsidRPr="001F41BC">
        <w:rPr>
          <w:rFonts w:ascii="Verdana" w:eastAsia="Arial" w:hAnsi="Verdana" w:cs="Arial"/>
          <w:lang w:val="es-ES"/>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1F41BC">
        <w:rPr>
          <w:rFonts w:ascii="Verdana" w:eastAsia="Arial" w:hAnsi="Verdana" w:cs="Arial"/>
          <w:spacing w:val="-26"/>
          <w:lang w:val="es-ES"/>
        </w:rPr>
        <w:t xml:space="preserve"> </w:t>
      </w:r>
      <w:r w:rsidRPr="001F41BC">
        <w:rPr>
          <w:rFonts w:ascii="Verdana" w:eastAsia="Arial" w:hAnsi="Verdana" w:cs="Arial"/>
          <w:lang w:val="es-ES"/>
        </w:rPr>
        <w:t>Integral.</w:t>
      </w:r>
    </w:p>
    <w:p w14:paraId="39549F2D" w14:textId="77777777" w:rsidR="00500D81" w:rsidRPr="001F41BC" w:rsidRDefault="00500D81" w:rsidP="00500D81">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Por su parte, el artículo 50 de la</w:t>
      </w:r>
      <w:r w:rsidRPr="001F41BC">
        <w:rPr>
          <w:rFonts w:ascii="Verdana" w:eastAsia="Arial" w:hAnsi="Verdana" w:cs="Arial"/>
          <w:spacing w:val="-17"/>
          <w:lang w:val="es-ES"/>
        </w:rPr>
        <w:t xml:space="preserve"> </w:t>
      </w:r>
      <w:r w:rsidRPr="001F41BC">
        <w:rPr>
          <w:rFonts w:ascii="Verdana" w:eastAsia="Arial" w:hAnsi="Verdana" w:cs="Arial"/>
          <w:lang w:val="es-ES"/>
        </w:rPr>
        <w:t>Ley</w:t>
      </w:r>
      <w:r w:rsidRPr="001F41BC">
        <w:rPr>
          <w:rFonts w:ascii="Verdana" w:eastAsia="Arial" w:hAnsi="Verdana" w:cs="Arial"/>
          <w:spacing w:val="-16"/>
          <w:lang w:val="es-ES"/>
        </w:rPr>
        <w:t xml:space="preserve"> </w:t>
      </w:r>
      <w:r w:rsidRPr="001F41BC">
        <w:rPr>
          <w:rFonts w:ascii="Verdana" w:eastAsia="Arial" w:hAnsi="Verdana" w:cs="Arial"/>
          <w:lang w:val="es-ES"/>
        </w:rPr>
        <w:t>789</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2002</w:t>
      </w:r>
      <w:r w:rsidRPr="001F41BC">
        <w:rPr>
          <w:rFonts w:ascii="Verdana" w:eastAsia="Arial" w:hAnsi="Verdana" w:cs="Arial"/>
          <w:spacing w:val="-16"/>
          <w:lang w:val="es-ES"/>
        </w:rPr>
        <w:t xml:space="preserve"> </w:t>
      </w:r>
      <w:r w:rsidRPr="001F41BC">
        <w:rPr>
          <w:rFonts w:ascii="Verdana" w:eastAsia="Arial" w:hAnsi="Verdana" w:cs="Arial"/>
          <w:lang w:val="es-ES"/>
        </w:rPr>
        <w:t>dispuso como</w:t>
      </w:r>
      <w:r w:rsidRPr="001F41BC">
        <w:rPr>
          <w:rFonts w:ascii="Verdana" w:eastAsia="Arial" w:hAnsi="Verdana" w:cs="Arial"/>
          <w:spacing w:val="-16"/>
          <w:lang w:val="es-ES"/>
        </w:rPr>
        <w:t xml:space="preserve"> </w:t>
      </w:r>
      <w:r w:rsidRPr="001F41BC">
        <w:rPr>
          <w:rFonts w:ascii="Verdana" w:eastAsia="Arial" w:hAnsi="Verdana" w:cs="Arial"/>
          <w:lang w:val="es-ES"/>
        </w:rPr>
        <w:t>obligación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quien</w:t>
      </w:r>
      <w:r w:rsidRPr="001F41BC">
        <w:rPr>
          <w:rFonts w:ascii="Verdana" w:eastAsia="Arial" w:hAnsi="Verdana" w:cs="Arial"/>
          <w:spacing w:val="-17"/>
          <w:lang w:val="es-ES"/>
        </w:rPr>
        <w:t xml:space="preserve"> </w:t>
      </w:r>
      <w:r w:rsidRPr="001F41BC">
        <w:rPr>
          <w:rFonts w:ascii="Verdana" w:eastAsia="Arial" w:hAnsi="Verdana" w:cs="Arial"/>
          <w:lang w:val="es-ES"/>
        </w:rPr>
        <w:t xml:space="preserve">quiere </w:t>
      </w:r>
      <w:r w:rsidRPr="001F41BC">
        <w:rPr>
          <w:rFonts w:ascii="Verdana" w:eastAsia="Arial" w:hAnsi="Verdana" w:cs="Arial"/>
          <w:i/>
          <w:iCs/>
          <w:lang w:val="es-ES"/>
        </w:rPr>
        <w:t>celebrar, renovar o liquidar</w:t>
      </w:r>
      <w:r w:rsidRPr="001F41BC">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F41BC">
        <w:rPr>
          <w:rFonts w:ascii="Verdana" w:eastAsia="Arial" w:hAnsi="Verdana" w:cs="Arial"/>
          <w:i/>
          <w:iCs/>
          <w:lang w:val="es-ES"/>
        </w:rPr>
        <w:t>liquidar</w:t>
      </w:r>
      <w:r w:rsidRPr="001F41BC">
        <w:rPr>
          <w:rFonts w:ascii="Verdana" w:eastAsia="Arial" w:hAnsi="Verdana" w:cs="Arial"/>
          <w:lang w:val="es-ES"/>
        </w:rPr>
        <w:t xml:space="preserve"> los contratos, para verificar y dejar constancia del cumplimiento de las obligaciones del contratista frente a los aportes mencionados durante</w:t>
      </w:r>
      <w:r w:rsidRPr="001F41BC">
        <w:rPr>
          <w:rFonts w:ascii="Verdana" w:eastAsia="Arial" w:hAnsi="Verdana" w:cs="Arial"/>
          <w:spacing w:val="-5"/>
          <w:lang w:val="es-ES"/>
        </w:rPr>
        <w:t xml:space="preserve"> </w:t>
      </w:r>
      <w:r w:rsidRPr="001F41BC">
        <w:rPr>
          <w:rFonts w:ascii="Verdana" w:eastAsia="Arial" w:hAnsi="Verdana" w:cs="Arial"/>
          <w:lang w:val="es-ES"/>
        </w:rPr>
        <w:t>toda</w:t>
      </w:r>
      <w:r w:rsidRPr="001F41BC">
        <w:rPr>
          <w:rFonts w:ascii="Verdana" w:eastAsia="Arial" w:hAnsi="Verdana" w:cs="Arial"/>
          <w:spacing w:val="-4"/>
          <w:lang w:val="es-ES"/>
        </w:rPr>
        <w:t xml:space="preserve"> </w:t>
      </w:r>
      <w:r w:rsidRPr="001F41BC">
        <w:rPr>
          <w:rFonts w:ascii="Verdana" w:eastAsia="Arial" w:hAnsi="Verdana" w:cs="Arial"/>
          <w:lang w:val="es-ES"/>
        </w:rPr>
        <w:t>su</w:t>
      </w:r>
      <w:r w:rsidRPr="001F41BC">
        <w:rPr>
          <w:rFonts w:ascii="Verdana" w:eastAsia="Arial" w:hAnsi="Verdana" w:cs="Arial"/>
          <w:spacing w:val="-5"/>
          <w:lang w:val="es-ES"/>
        </w:rPr>
        <w:t xml:space="preserve"> </w:t>
      </w:r>
      <w:r w:rsidRPr="001F41BC">
        <w:rPr>
          <w:rFonts w:ascii="Verdana" w:eastAsia="Arial" w:hAnsi="Verdana" w:cs="Arial"/>
          <w:lang w:val="es-ES"/>
        </w:rPr>
        <w:t>vigencia,</w:t>
      </w:r>
      <w:r w:rsidRPr="001F41BC">
        <w:rPr>
          <w:rFonts w:ascii="Verdana" w:eastAsia="Arial" w:hAnsi="Verdana" w:cs="Arial"/>
          <w:spacing w:val="-4"/>
          <w:lang w:val="es-ES"/>
        </w:rPr>
        <w:t xml:space="preserve"> </w:t>
      </w:r>
      <w:r w:rsidRPr="001F41BC">
        <w:rPr>
          <w:rFonts w:ascii="Verdana" w:eastAsia="Arial" w:hAnsi="Verdana" w:cs="Arial"/>
          <w:lang w:val="es-ES"/>
        </w:rPr>
        <w:t>estableciendo</w:t>
      </w:r>
      <w:r w:rsidRPr="001F41BC">
        <w:rPr>
          <w:rFonts w:ascii="Verdana" w:eastAsia="Arial" w:hAnsi="Verdana" w:cs="Arial"/>
          <w:spacing w:val="-5"/>
          <w:lang w:val="es-ES"/>
        </w:rPr>
        <w:t xml:space="preserve"> </w:t>
      </w:r>
      <w:r w:rsidRPr="001F41BC">
        <w:rPr>
          <w:rFonts w:ascii="Verdana" w:eastAsia="Arial" w:hAnsi="Verdana" w:cs="Arial"/>
          <w:lang w:val="es-ES"/>
        </w:rPr>
        <w:t>una</w:t>
      </w:r>
      <w:r w:rsidRPr="001F41BC">
        <w:rPr>
          <w:rFonts w:ascii="Verdana" w:eastAsia="Arial" w:hAnsi="Verdana" w:cs="Arial"/>
          <w:spacing w:val="-4"/>
          <w:lang w:val="es-ES"/>
        </w:rPr>
        <w:t xml:space="preserve"> </w:t>
      </w:r>
      <w:r w:rsidRPr="001F41BC">
        <w:rPr>
          <w:rFonts w:ascii="Verdana" w:eastAsia="Arial" w:hAnsi="Verdana" w:cs="Arial"/>
          <w:lang w:val="es-ES"/>
        </w:rPr>
        <w:t>correcta</w:t>
      </w:r>
      <w:r w:rsidRPr="001F41BC">
        <w:rPr>
          <w:rFonts w:ascii="Verdana" w:eastAsia="Arial" w:hAnsi="Verdana" w:cs="Arial"/>
          <w:spacing w:val="-4"/>
          <w:lang w:val="es-ES"/>
        </w:rPr>
        <w:t xml:space="preserve"> </w:t>
      </w:r>
      <w:r w:rsidRPr="001F41BC">
        <w:rPr>
          <w:rFonts w:ascii="Verdana" w:eastAsia="Arial" w:hAnsi="Verdana" w:cs="Arial"/>
          <w:lang w:val="es-ES"/>
        </w:rPr>
        <w:t>relación</w:t>
      </w:r>
      <w:r w:rsidRPr="001F41BC">
        <w:rPr>
          <w:rFonts w:ascii="Verdana" w:eastAsia="Arial" w:hAnsi="Verdana" w:cs="Arial"/>
          <w:spacing w:val="-5"/>
          <w:lang w:val="es-ES"/>
        </w:rPr>
        <w:t xml:space="preserve"> </w:t>
      </w:r>
      <w:r w:rsidRPr="001F41BC">
        <w:rPr>
          <w:rFonts w:ascii="Verdana" w:eastAsia="Arial" w:hAnsi="Verdana" w:cs="Arial"/>
          <w:lang w:val="es-ES"/>
        </w:rPr>
        <w:t>entre</w:t>
      </w:r>
      <w:r w:rsidRPr="001F41BC">
        <w:rPr>
          <w:rFonts w:ascii="Verdana" w:eastAsia="Arial" w:hAnsi="Verdana" w:cs="Arial"/>
          <w:spacing w:val="-4"/>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monto</w:t>
      </w:r>
      <w:r w:rsidRPr="001F41BC">
        <w:rPr>
          <w:rFonts w:ascii="Verdana" w:eastAsia="Arial" w:hAnsi="Verdana" w:cs="Arial"/>
          <w:spacing w:val="-4"/>
          <w:lang w:val="es-ES"/>
        </w:rPr>
        <w:t xml:space="preserve"> </w:t>
      </w:r>
      <w:r w:rsidRPr="001F41BC">
        <w:rPr>
          <w:rFonts w:ascii="Verdana" w:eastAsia="Arial" w:hAnsi="Verdana" w:cs="Arial"/>
          <w:lang w:val="es-ES"/>
        </w:rPr>
        <w:t>cancelado y las sumas que debió</w:t>
      </w:r>
      <w:r w:rsidRPr="001F41BC">
        <w:rPr>
          <w:rFonts w:ascii="Verdana" w:eastAsia="Arial" w:hAnsi="Verdana" w:cs="Arial"/>
          <w:spacing w:val="-6"/>
          <w:lang w:val="es-ES"/>
        </w:rPr>
        <w:t xml:space="preserve"> </w:t>
      </w:r>
      <w:r w:rsidRPr="001F41BC">
        <w:rPr>
          <w:rFonts w:ascii="Verdana" w:eastAsia="Arial" w:hAnsi="Verdana" w:cs="Arial"/>
          <w:lang w:val="es-ES"/>
        </w:rPr>
        <w:t>cotizar</w:t>
      </w:r>
      <w:r w:rsidRPr="001F41BC">
        <w:rPr>
          <w:rStyle w:val="Refdenotaalpie"/>
          <w:rFonts w:ascii="Verdana" w:eastAsia="Arial" w:hAnsi="Verdana" w:cs="Arial"/>
          <w:lang w:val="es-ES"/>
        </w:rPr>
        <w:footnoteReference w:id="1"/>
      </w:r>
      <w:r w:rsidRPr="001F41BC">
        <w:rPr>
          <w:rFonts w:ascii="Verdana" w:eastAsia="Arial" w:hAnsi="Verdana" w:cs="Arial"/>
          <w:lang w:val="es-ES"/>
        </w:rPr>
        <w:t>.</w:t>
      </w:r>
    </w:p>
    <w:p w14:paraId="7E6B64A0" w14:textId="77777777" w:rsidR="00500D81" w:rsidRPr="001F41BC" w:rsidRDefault="00500D81" w:rsidP="00500D81">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lastRenderedPageBreak/>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1F41BC">
        <w:rPr>
          <w:rFonts w:ascii="Verdana" w:eastAsia="Arial" w:hAnsi="Verdana" w:cs="Arial"/>
          <w:spacing w:val="-10"/>
          <w:lang w:val="es-ES"/>
        </w:rPr>
        <w:t xml:space="preserve"> </w:t>
      </w:r>
      <w:r w:rsidRPr="001F41BC">
        <w:rPr>
          <w:rFonts w:ascii="Verdana" w:eastAsia="Arial" w:hAnsi="Verdana" w:cs="Arial"/>
          <w:i/>
          <w:iCs/>
          <w:lang w:val="es-ES"/>
        </w:rPr>
        <w:t>para</w:t>
      </w:r>
      <w:r w:rsidRPr="001F41BC">
        <w:rPr>
          <w:rFonts w:ascii="Verdana" w:eastAsia="Arial" w:hAnsi="Verdana" w:cs="Arial"/>
          <w:i/>
          <w:iCs/>
          <w:spacing w:val="-10"/>
          <w:lang w:val="es-ES"/>
        </w:rPr>
        <w:t xml:space="preserve"> </w:t>
      </w:r>
      <w:r w:rsidRPr="001F41BC">
        <w:rPr>
          <w:rFonts w:ascii="Verdana" w:eastAsia="Arial" w:hAnsi="Verdana" w:cs="Arial"/>
          <w:i/>
          <w:iCs/>
          <w:lang w:val="es-ES"/>
        </w:rPr>
        <w:t>presentar</w:t>
      </w:r>
      <w:r w:rsidRPr="001F41BC">
        <w:rPr>
          <w:rFonts w:ascii="Verdana" w:eastAsia="Arial" w:hAnsi="Verdana" w:cs="Arial"/>
          <w:i/>
          <w:iCs/>
          <w:spacing w:val="-10"/>
          <w:lang w:val="es-ES"/>
        </w:rPr>
        <w:t xml:space="preserve"> </w:t>
      </w:r>
      <w:r w:rsidRPr="001F41BC">
        <w:rPr>
          <w:rFonts w:ascii="Verdana" w:eastAsia="Arial" w:hAnsi="Verdana" w:cs="Arial"/>
          <w:i/>
          <w:iCs/>
          <w:lang w:val="es-ES"/>
        </w:rPr>
        <w:t>la</w:t>
      </w:r>
      <w:r w:rsidRPr="001F41BC">
        <w:rPr>
          <w:rFonts w:ascii="Verdana" w:eastAsia="Arial" w:hAnsi="Verdana" w:cs="Arial"/>
          <w:i/>
          <w:iCs/>
          <w:spacing w:val="-10"/>
          <w:lang w:val="es-ES"/>
        </w:rPr>
        <w:t xml:space="preserve"> </w:t>
      </w:r>
      <w:r w:rsidRPr="001F41BC">
        <w:rPr>
          <w:rFonts w:ascii="Verdana" w:eastAsia="Arial" w:hAnsi="Verdana" w:cs="Arial"/>
          <w:i/>
          <w:iCs/>
          <w:lang w:val="es-ES"/>
        </w:rPr>
        <w:t>oferta</w:t>
      </w:r>
      <w:r w:rsidRPr="001F41BC">
        <w:rPr>
          <w:rFonts w:ascii="Verdana" w:eastAsia="Arial" w:hAnsi="Verdana" w:cs="Arial"/>
          <w:spacing w:val="-9"/>
          <w:lang w:val="es-ES"/>
        </w:rPr>
        <w:t xml:space="preserve"> </w:t>
      </w:r>
      <w:r w:rsidRPr="001F41BC">
        <w:rPr>
          <w:rFonts w:ascii="Verdana" w:eastAsia="Arial" w:hAnsi="Verdana" w:cs="Arial"/>
          <w:lang w:val="es-ES"/>
        </w:rPr>
        <w:t>las</w:t>
      </w:r>
      <w:r w:rsidRPr="001F41BC">
        <w:rPr>
          <w:rFonts w:ascii="Verdana" w:eastAsia="Arial" w:hAnsi="Verdana" w:cs="Arial"/>
          <w:spacing w:val="-10"/>
          <w:lang w:val="es-ES"/>
        </w:rPr>
        <w:t xml:space="preserve"> </w:t>
      </w:r>
      <w:r w:rsidRPr="001F41BC">
        <w:rPr>
          <w:rFonts w:ascii="Verdana" w:eastAsia="Arial" w:hAnsi="Verdana" w:cs="Arial"/>
          <w:lang w:val="es-ES"/>
        </w:rPr>
        <w:t>personas</w:t>
      </w:r>
      <w:r w:rsidRPr="001F41BC">
        <w:rPr>
          <w:rFonts w:ascii="Verdana" w:eastAsia="Arial" w:hAnsi="Verdana" w:cs="Arial"/>
          <w:spacing w:val="-10"/>
          <w:lang w:val="es-ES"/>
        </w:rPr>
        <w:t xml:space="preserve"> </w:t>
      </w:r>
      <w:r w:rsidRPr="001F41BC">
        <w:rPr>
          <w:rFonts w:ascii="Verdana" w:eastAsia="Arial" w:hAnsi="Verdana" w:cs="Arial"/>
          <w:lang w:val="es-ES"/>
        </w:rPr>
        <w:t>jurídicas</w:t>
      </w:r>
      <w:r w:rsidRPr="001F41BC">
        <w:rPr>
          <w:rFonts w:ascii="Verdana" w:eastAsia="Arial" w:hAnsi="Verdana" w:cs="Arial"/>
          <w:spacing w:val="-10"/>
          <w:lang w:val="es-ES"/>
        </w:rPr>
        <w:t xml:space="preserve"> </w:t>
      </w:r>
      <w:r w:rsidRPr="001F41BC">
        <w:rPr>
          <w:rFonts w:ascii="Verdana" w:eastAsia="Arial" w:hAnsi="Verdana" w:cs="Arial"/>
          <w:lang w:val="es-ES"/>
        </w:rPr>
        <w:t>deben</w:t>
      </w:r>
      <w:r w:rsidRPr="001F41BC">
        <w:rPr>
          <w:rFonts w:ascii="Verdana" w:eastAsia="Arial" w:hAnsi="Verdana" w:cs="Arial"/>
          <w:spacing w:val="-9"/>
          <w:lang w:val="es-ES"/>
        </w:rPr>
        <w:t xml:space="preserve"> </w:t>
      </w:r>
      <w:r w:rsidRPr="001F41BC">
        <w:rPr>
          <w:rFonts w:ascii="Verdana" w:eastAsia="Arial" w:hAnsi="Verdana" w:cs="Arial"/>
          <w:lang w:val="es-ES"/>
        </w:rPr>
        <w:t>acreditar</w:t>
      </w:r>
      <w:r w:rsidRPr="001F41BC">
        <w:rPr>
          <w:rFonts w:ascii="Verdana" w:eastAsia="Arial" w:hAnsi="Verdana" w:cs="Arial"/>
          <w:spacing w:val="-10"/>
          <w:lang w:val="es-ES"/>
        </w:rPr>
        <w:t xml:space="preserve"> </w:t>
      </w:r>
      <w:r w:rsidRPr="001F41BC">
        <w:rPr>
          <w:rFonts w:ascii="Verdana" w:eastAsia="Arial" w:hAnsi="Verdana" w:cs="Arial"/>
          <w:lang w:val="es-ES"/>
        </w:rPr>
        <w:t>el</w:t>
      </w:r>
      <w:r w:rsidRPr="001F41BC">
        <w:rPr>
          <w:rFonts w:ascii="Verdana" w:eastAsia="Arial" w:hAnsi="Verdana" w:cs="Arial"/>
          <w:spacing w:val="-10"/>
          <w:lang w:val="es-ES"/>
        </w:rPr>
        <w:t xml:space="preserve"> </w:t>
      </w:r>
      <w:r w:rsidRPr="001F41BC">
        <w:rPr>
          <w:rFonts w:ascii="Verdana" w:eastAsia="Arial" w:hAnsi="Verdana" w:cs="Arial"/>
          <w:lang w:val="es-ES"/>
        </w:rPr>
        <w:t>requisito</w:t>
      </w:r>
      <w:r w:rsidRPr="001F41BC">
        <w:rPr>
          <w:rFonts w:ascii="Verdana" w:eastAsia="Arial" w:hAnsi="Verdana" w:cs="Arial"/>
          <w:spacing w:val="-10"/>
          <w:lang w:val="es-ES"/>
        </w:rPr>
        <w:t xml:space="preserve"> </w:t>
      </w:r>
      <w:r w:rsidRPr="001F41BC">
        <w:rPr>
          <w:rFonts w:ascii="Verdana" w:eastAsia="Arial" w:hAnsi="Verdana" w:cs="Arial"/>
          <w:lang w:val="es-ES"/>
        </w:rPr>
        <w:t>señalado anteriormente.</w:t>
      </w:r>
    </w:p>
    <w:p w14:paraId="790041D0" w14:textId="77777777" w:rsidR="00500D81" w:rsidRPr="001F41BC" w:rsidRDefault="00500D81" w:rsidP="00500D81">
      <w:pPr>
        <w:widowControl w:val="0"/>
        <w:autoSpaceDE w:val="0"/>
        <w:autoSpaceDN w:val="0"/>
        <w:spacing w:before="70" w:after="0" w:line="276" w:lineRule="auto"/>
        <w:ind w:firstLine="708"/>
        <w:jc w:val="both"/>
        <w:rPr>
          <w:rFonts w:ascii="Verdana" w:eastAsia="Arial" w:hAnsi="Verdana" w:cs="Arial"/>
          <w:lang w:val="es-ES"/>
        </w:rPr>
      </w:pPr>
      <w:r w:rsidRPr="001F41BC">
        <w:rPr>
          <w:rFonts w:ascii="Verdana" w:eastAsia="Arial" w:hAnsi="Verdana" w:cs="Arial"/>
          <w:lang w:val="es-ES"/>
        </w:rPr>
        <w:t>Esta norma fue analizada por la Sección Tercera del Consejo de Estado, que consideró</w:t>
      </w:r>
      <w:r w:rsidRPr="001F41BC">
        <w:rPr>
          <w:rFonts w:ascii="Verdana" w:eastAsia="Arial" w:hAnsi="Verdana" w:cs="Arial"/>
          <w:spacing w:val="-6"/>
          <w:lang w:val="es-ES"/>
        </w:rPr>
        <w:t xml:space="preserve"> </w:t>
      </w:r>
      <w:r w:rsidRPr="001F41BC">
        <w:rPr>
          <w:rFonts w:ascii="Verdana" w:eastAsia="Arial" w:hAnsi="Verdana" w:cs="Arial"/>
          <w:lang w:val="es-ES"/>
        </w:rPr>
        <w:t>que</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2002</w:t>
      </w:r>
      <w:r w:rsidRPr="001F41BC">
        <w:rPr>
          <w:rFonts w:ascii="Verdana" w:eastAsia="Arial" w:hAnsi="Verdana" w:cs="Arial"/>
          <w:spacing w:val="-5"/>
          <w:lang w:val="es-ES"/>
        </w:rPr>
        <w:t xml:space="preserve"> </w:t>
      </w:r>
      <w:r w:rsidRPr="001F41BC">
        <w:rPr>
          <w:rFonts w:ascii="Verdana" w:eastAsia="Arial" w:hAnsi="Verdana" w:cs="Arial"/>
          <w:lang w:val="es-ES"/>
        </w:rPr>
        <w:t>tiene</w:t>
      </w:r>
      <w:r w:rsidRPr="001F41BC">
        <w:rPr>
          <w:rFonts w:ascii="Verdana" w:eastAsia="Arial" w:hAnsi="Verdana" w:cs="Arial"/>
          <w:spacing w:val="-5"/>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5"/>
          <w:lang w:val="es-ES"/>
        </w:rPr>
        <w:t xml:space="preserve"> </w:t>
      </w:r>
      <w:r w:rsidRPr="001F41BC">
        <w:rPr>
          <w:rFonts w:ascii="Verdana" w:eastAsia="Arial" w:hAnsi="Verdana" w:cs="Arial"/>
          <w:lang w:val="es-ES"/>
        </w:rPr>
        <w:t>evitar</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evasión</w:t>
      </w:r>
      <w:r w:rsidRPr="001F41BC">
        <w:rPr>
          <w:rFonts w:ascii="Verdana" w:eastAsia="Arial" w:hAnsi="Verdana" w:cs="Arial"/>
          <w:spacing w:val="-6"/>
          <w:lang w:val="es-ES"/>
        </w:rPr>
        <w:t xml:space="preserve"> </w:t>
      </w:r>
      <w:r w:rsidRPr="001F41BC">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1F41BC">
        <w:rPr>
          <w:rFonts w:ascii="Verdana" w:eastAsia="Arial" w:hAnsi="Verdana" w:cs="Arial"/>
          <w:spacing w:val="-9"/>
          <w:lang w:val="es-ES"/>
        </w:rPr>
        <w:t xml:space="preserve"> </w:t>
      </w:r>
      <w:r w:rsidRPr="001F41BC">
        <w:rPr>
          <w:rFonts w:ascii="Verdana" w:eastAsia="Arial" w:hAnsi="Verdana" w:cs="Arial"/>
          <w:lang w:val="es-ES"/>
        </w:rPr>
        <w:t>hayan</w:t>
      </w:r>
      <w:r w:rsidRPr="001F41BC">
        <w:rPr>
          <w:rFonts w:ascii="Verdana" w:eastAsia="Arial" w:hAnsi="Verdana" w:cs="Arial"/>
          <w:spacing w:val="-8"/>
          <w:lang w:val="es-ES"/>
        </w:rPr>
        <w:t xml:space="preserve"> </w:t>
      </w:r>
      <w:r w:rsidRPr="001F41BC">
        <w:rPr>
          <w:rFonts w:ascii="Verdana" w:eastAsia="Arial" w:hAnsi="Verdana" w:cs="Arial"/>
          <w:lang w:val="es-ES"/>
        </w:rPr>
        <w:t>realizado</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aportes</w:t>
      </w:r>
      <w:r w:rsidRPr="001F41BC">
        <w:rPr>
          <w:rFonts w:ascii="Verdana" w:eastAsia="Arial" w:hAnsi="Verdana" w:cs="Arial"/>
          <w:spacing w:val="-9"/>
          <w:lang w:val="es-ES"/>
        </w:rPr>
        <w:t xml:space="preserve"> </w:t>
      </w:r>
      <w:r w:rsidRPr="001F41BC">
        <w:rPr>
          <w:rFonts w:ascii="Verdana" w:eastAsia="Arial" w:hAnsi="Verdana" w:cs="Arial"/>
          <w:lang w:val="es-ES"/>
        </w:rPr>
        <w:t>al</w:t>
      </w:r>
      <w:r w:rsidRPr="001F41BC">
        <w:rPr>
          <w:rFonts w:ascii="Verdana" w:eastAsia="Arial" w:hAnsi="Verdana" w:cs="Arial"/>
          <w:spacing w:val="-8"/>
          <w:lang w:val="es-ES"/>
        </w:rPr>
        <w:t xml:space="preserve"> </w:t>
      </w:r>
      <w:r w:rsidRPr="001F41BC">
        <w:rPr>
          <w:rFonts w:ascii="Verdana" w:eastAsia="Arial" w:hAnsi="Verdana" w:cs="Arial"/>
          <w:lang w:val="es-ES"/>
        </w:rPr>
        <w:t>Sistema</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Seguridad</w:t>
      </w:r>
      <w:r w:rsidRPr="001F41BC">
        <w:rPr>
          <w:rFonts w:ascii="Verdana" w:eastAsia="Arial" w:hAnsi="Verdana" w:cs="Arial"/>
          <w:spacing w:val="-7"/>
          <w:lang w:val="es-ES"/>
        </w:rPr>
        <w:t xml:space="preserve"> </w:t>
      </w:r>
      <w:r w:rsidRPr="001F41BC">
        <w:rPr>
          <w:rFonts w:ascii="Verdana" w:eastAsia="Arial" w:hAnsi="Verdana" w:cs="Arial"/>
          <w:lang w:val="es-ES"/>
        </w:rPr>
        <w:t>Social</w:t>
      </w:r>
      <w:r w:rsidRPr="001F41BC">
        <w:rPr>
          <w:rFonts w:ascii="Verdana" w:eastAsia="Arial" w:hAnsi="Verdana" w:cs="Arial"/>
          <w:spacing w:val="-7"/>
          <w:lang w:val="es-ES"/>
        </w:rPr>
        <w:t xml:space="preserve"> </w:t>
      </w:r>
      <w:r w:rsidRPr="001F41BC">
        <w:rPr>
          <w:rFonts w:ascii="Verdana" w:eastAsia="Arial" w:hAnsi="Verdana" w:cs="Arial"/>
          <w:lang w:val="es-ES"/>
        </w:rPr>
        <w:t>Integral</w:t>
      </w:r>
      <w:r w:rsidRPr="001F41BC">
        <w:rPr>
          <w:rStyle w:val="Refdenotaalpie"/>
          <w:rFonts w:ascii="Verdana" w:eastAsia="Arial" w:hAnsi="Verdana" w:cs="Arial"/>
          <w:lang w:val="es-ES"/>
        </w:rPr>
        <w:footnoteReference w:id="2"/>
      </w:r>
      <w:r w:rsidRPr="001F41BC">
        <w:rPr>
          <w:rFonts w:ascii="Verdana" w:eastAsia="Arial" w:hAnsi="Verdana" w:cs="Arial"/>
          <w:sz w:val="21"/>
          <w:lang w:val="es-ES"/>
        </w:rPr>
        <w:t>.</w:t>
      </w:r>
      <w:r w:rsidRPr="001F41BC">
        <w:rPr>
          <w:rFonts w:ascii="Verdana" w:eastAsia="Arial" w:hAnsi="Verdana" w:cs="Arial"/>
          <w:spacing w:val="-8"/>
          <w:sz w:val="21"/>
          <w:lang w:val="es-ES"/>
        </w:rPr>
        <w:t xml:space="preserve"> </w:t>
      </w:r>
      <w:r w:rsidRPr="001F41BC">
        <w:rPr>
          <w:rFonts w:ascii="Verdana" w:eastAsia="Arial" w:hAnsi="Verdana" w:cs="Arial"/>
          <w:lang w:val="es-ES"/>
        </w:rPr>
        <w:t>Por</w:t>
      </w:r>
      <w:r w:rsidRPr="001F41BC">
        <w:rPr>
          <w:rFonts w:ascii="Verdana" w:eastAsia="Arial" w:hAnsi="Verdana" w:cs="Arial"/>
          <w:spacing w:val="-8"/>
          <w:lang w:val="es-ES"/>
        </w:rPr>
        <w:t xml:space="preserve"> </w:t>
      </w:r>
      <w:r w:rsidRPr="001F41BC">
        <w:rPr>
          <w:rFonts w:ascii="Verdana" w:eastAsia="Arial" w:hAnsi="Verdana" w:cs="Arial"/>
          <w:lang w:val="es-ES"/>
        </w:rPr>
        <w:t xml:space="preserve">lo tanto, la jurisprudencia reiteró la necesidad de que las entidades estatales, </w:t>
      </w:r>
      <w:r w:rsidRPr="001F41BC">
        <w:rPr>
          <w:rFonts w:ascii="Verdana" w:eastAsia="Arial" w:hAnsi="Verdana" w:cs="Arial"/>
          <w:i/>
          <w:iCs/>
          <w:lang w:val="es-ES"/>
        </w:rPr>
        <w:t>durante la ejecución de un contrato</w:t>
      </w:r>
      <w:r w:rsidRPr="001F41BC">
        <w:rPr>
          <w:rFonts w:ascii="Verdana" w:eastAsia="Arial" w:hAnsi="Verdana" w:cs="Arial"/>
          <w:lang w:val="es-ES"/>
        </w:rPr>
        <w:t>, verifiquen el cumplimiento de las obligaciones del sistema de seguridad</w:t>
      </w:r>
      <w:r w:rsidRPr="001F41BC">
        <w:rPr>
          <w:rFonts w:ascii="Verdana" w:eastAsia="Arial" w:hAnsi="Verdana" w:cs="Arial"/>
          <w:spacing w:val="-18"/>
          <w:lang w:val="es-ES"/>
        </w:rPr>
        <w:t xml:space="preserve"> </w:t>
      </w:r>
      <w:r w:rsidRPr="001F41BC">
        <w:rPr>
          <w:rFonts w:ascii="Verdana" w:eastAsia="Arial" w:hAnsi="Verdana" w:cs="Arial"/>
          <w:lang w:val="es-ES"/>
        </w:rPr>
        <w:t>social</w:t>
      </w:r>
      <w:r w:rsidRPr="001F41BC">
        <w:rPr>
          <w:rFonts w:ascii="Verdana" w:eastAsia="Arial" w:hAnsi="Verdana" w:cs="Arial"/>
          <w:spacing w:val="-17"/>
          <w:lang w:val="es-ES"/>
        </w:rPr>
        <w:t xml:space="preserve"> </w:t>
      </w:r>
      <w:r w:rsidRPr="001F41BC">
        <w:rPr>
          <w:rFonts w:ascii="Verdana" w:eastAsia="Arial" w:hAnsi="Verdana" w:cs="Arial"/>
          <w:lang w:val="es-ES"/>
        </w:rPr>
        <w:t>por</w:t>
      </w:r>
      <w:r w:rsidRPr="001F41BC">
        <w:rPr>
          <w:rFonts w:ascii="Verdana" w:eastAsia="Arial" w:hAnsi="Verdana" w:cs="Arial"/>
          <w:spacing w:val="-17"/>
          <w:lang w:val="es-ES"/>
        </w:rPr>
        <w:t xml:space="preserve"> </w:t>
      </w:r>
      <w:r w:rsidRPr="001F41BC">
        <w:rPr>
          <w:rFonts w:ascii="Verdana" w:eastAsia="Arial" w:hAnsi="Verdana" w:cs="Arial"/>
          <w:lang w:val="es-ES"/>
        </w:rPr>
        <w:t>parte</w:t>
      </w:r>
      <w:r w:rsidRPr="001F41BC">
        <w:rPr>
          <w:rFonts w:ascii="Verdana" w:eastAsia="Arial" w:hAnsi="Verdana" w:cs="Arial"/>
          <w:spacing w:val="-18"/>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los</w:t>
      </w:r>
      <w:r w:rsidRPr="001F41BC">
        <w:rPr>
          <w:rFonts w:ascii="Verdana" w:eastAsia="Arial" w:hAnsi="Verdana" w:cs="Arial"/>
          <w:spacing w:val="-17"/>
          <w:lang w:val="es-ES"/>
        </w:rPr>
        <w:t xml:space="preserve"> </w:t>
      </w:r>
      <w:r w:rsidRPr="001F41BC">
        <w:rPr>
          <w:rFonts w:ascii="Verdana" w:eastAsia="Arial" w:hAnsi="Verdana" w:cs="Arial"/>
          <w:lang w:val="es-ES"/>
        </w:rPr>
        <w:t>oferentes.</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8"/>
          <w:lang w:val="es-ES"/>
        </w:rPr>
        <w:t xml:space="preserve"> </w:t>
      </w:r>
      <w:r w:rsidRPr="001F41BC">
        <w:rPr>
          <w:rFonts w:ascii="Verdana" w:eastAsia="Arial" w:hAnsi="Verdana" w:cs="Arial"/>
          <w:lang w:val="es-ES"/>
        </w:rPr>
        <w:t>esta</w:t>
      </w:r>
      <w:r w:rsidRPr="001F41BC">
        <w:rPr>
          <w:rFonts w:ascii="Verdana" w:eastAsia="Arial" w:hAnsi="Verdana" w:cs="Arial"/>
          <w:spacing w:val="-17"/>
          <w:lang w:val="es-ES"/>
        </w:rPr>
        <w:t xml:space="preserve"> </w:t>
      </w:r>
      <w:r w:rsidRPr="001F41BC">
        <w:rPr>
          <w:rFonts w:ascii="Verdana" w:eastAsia="Arial" w:hAnsi="Verdana" w:cs="Arial"/>
          <w:lang w:val="es-ES"/>
        </w:rPr>
        <w:t>manera,</w:t>
      </w:r>
      <w:r w:rsidRPr="001F41BC">
        <w:rPr>
          <w:rFonts w:ascii="Verdana" w:eastAsia="Arial" w:hAnsi="Verdana" w:cs="Arial"/>
          <w:spacing w:val="-17"/>
          <w:lang w:val="es-ES"/>
        </w:rPr>
        <w:t xml:space="preserve"> </w:t>
      </w:r>
      <w:r w:rsidRPr="001F41BC">
        <w:rPr>
          <w:rFonts w:ascii="Verdana" w:eastAsia="Arial" w:hAnsi="Verdana" w:cs="Arial"/>
          <w:lang w:val="es-ES"/>
        </w:rPr>
        <w:t>el</w:t>
      </w:r>
      <w:r w:rsidRPr="001F41BC">
        <w:rPr>
          <w:rFonts w:ascii="Verdana" w:eastAsia="Arial" w:hAnsi="Verdana" w:cs="Arial"/>
          <w:spacing w:val="-18"/>
          <w:lang w:val="es-ES"/>
        </w:rPr>
        <w:t xml:space="preserve"> </w:t>
      </w:r>
      <w:r w:rsidRPr="001F41BC">
        <w:rPr>
          <w:rFonts w:ascii="Verdana" w:eastAsia="Arial" w:hAnsi="Verdana" w:cs="Arial"/>
          <w:lang w:val="es-ES"/>
        </w:rPr>
        <w:t>artículo</w:t>
      </w:r>
      <w:r w:rsidRPr="001F41BC">
        <w:rPr>
          <w:rFonts w:ascii="Verdana" w:eastAsia="Arial" w:hAnsi="Verdana" w:cs="Arial"/>
          <w:spacing w:val="-17"/>
          <w:lang w:val="es-ES"/>
        </w:rPr>
        <w:t xml:space="preserve"> </w:t>
      </w:r>
      <w:r w:rsidRPr="001F41BC">
        <w:rPr>
          <w:rFonts w:ascii="Verdana" w:eastAsia="Arial" w:hAnsi="Verdana" w:cs="Arial"/>
          <w:lang w:val="es-ES"/>
        </w:rPr>
        <w:t>23</w:t>
      </w:r>
      <w:r w:rsidRPr="001F41BC">
        <w:rPr>
          <w:rFonts w:ascii="Verdana" w:eastAsia="Arial" w:hAnsi="Verdana" w:cs="Arial"/>
          <w:spacing w:val="-17"/>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la</w:t>
      </w:r>
      <w:r w:rsidRPr="001F41BC">
        <w:rPr>
          <w:rFonts w:ascii="Verdana" w:eastAsia="Arial" w:hAnsi="Verdana" w:cs="Arial"/>
          <w:spacing w:val="-18"/>
          <w:lang w:val="es-ES"/>
        </w:rPr>
        <w:t xml:space="preserve"> </w:t>
      </w:r>
      <w:r w:rsidRPr="001F41BC">
        <w:rPr>
          <w:rFonts w:ascii="Verdana" w:eastAsia="Arial" w:hAnsi="Verdana" w:cs="Arial"/>
          <w:lang w:val="es-ES"/>
        </w:rPr>
        <w:t>Ley</w:t>
      </w:r>
      <w:r w:rsidRPr="001F41BC">
        <w:rPr>
          <w:rFonts w:ascii="Verdana" w:eastAsia="Arial" w:hAnsi="Verdana" w:cs="Arial"/>
          <w:spacing w:val="-17"/>
          <w:lang w:val="es-ES"/>
        </w:rPr>
        <w:t xml:space="preserve"> </w:t>
      </w:r>
      <w:r w:rsidRPr="001F41BC">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1F41BC">
        <w:rPr>
          <w:rFonts w:ascii="Verdana" w:eastAsia="Arial" w:hAnsi="Verdana" w:cs="Arial"/>
          <w:spacing w:val="-16"/>
          <w:lang w:val="es-ES"/>
        </w:rPr>
        <w:t xml:space="preserve"> </w:t>
      </w:r>
      <w:r w:rsidRPr="001F41BC">
        <w:rPr>
          <w:rFonts w:ascii="Verdana" w:eastAsia="Arial" w:hAnsi="Verdana" w:cs="Arial"/>
          <w:lang w:val="es-ES"/>
        </w:rPr>
        <w:t>señalar:</w:t>
      </w:r>
    </w:p>
    <w:p w14:paraId="19E9B3CA" w14:textId="77777777" w:rsidR="00500D81" w:rsidRPr="001F41BC" w:rsidRDefault="00500D81" w:rsidP="00500D81">
      <w:pPr>
        <w:widowControl w:val="0"/>
        <w:autoSpaceDE w:val="0"/>
        <w:autoSpaceDN w:val="0"/>
        <w:spacing w:before="1" w:after="0" w:line="276" w:lineRule="auto"/>
        <w:rPr>
          <w:rFonts w:ascii="Verdana" w:eastAsia="Arial" w:hAnsi="Verdana" w:cs="Arial"/>
          <w:lang w:val="es-ES"/>
        </w:rPr>
      </w:pPr>
    </w:p>
    <w:p w14:paraId="35A2FD29" w14:textId="77777777" w:rsidR="00500D81" w:rsidRPr="00DA4134" w:rsidRDefault="00500D81" w:rsidP="00500D81">
      <w:pPr>
        <w:widowControl w:val="0"/>
        <w:autoSpaceDE w:val="0"/>
        <w:autoSpaceDN w:val="0"/>
        <w:spacing w:before="1"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48D6F140" w14:textId="77777777" w:rsidR="00500D81" w:rsidRPr="00DA4134" w:rsidRDefault="00500D81" w:rsidP="00500D81">
      <w:pPr>
        <w:widowControl w:val="0"/>
        <w:autoSpaceDE w:val="0"/>
        <w:autoSpaceDN w:val="0"/>
        <w:spacing w:before="120"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78F1F88B" w14:textId="77777777" w:rsidR="00500D81" w:rsidRPr="00DA4134" w:rsidRDefault="00500D81" w:rsidP="00500D81">
      <w:pPr>
        <w:widowControl w:val="0"/>
        <w:autoSpaceDE w:val="0"/>
        <w:autoSpaceDN w:val="0"/>
        <w:spacing w:before="120" w:after="0"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El servidor público que sin justa causa no verifique el pago de los aportes a que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se</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refiere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el</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presente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artículo,</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incurrirá</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en</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causal</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de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mala</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conducta,</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lastRenderedPageBreak/>
        <w:t>que será sancionada con arreglo al régimen disciplinario</w:t>
      </w:r>
      <w:r w:rsidRPr="00DA4134">
        <w:rPr>
          <w:rFonts w:ascii="Verdana" w:eastAsia="Arial" w:hAnsi="Verdana" w:cs="Arial"/>
          <w:spacing w:val="-12"/>
          <w:sz w:val="20"/>
          <w:szCs w:val="20"/>
          <w:lang w:val="es-ES"/>
        </w:rPr>
        <w:t xml:space="preserve"> </w:t>
      </w:r>
      <w:r w:rsidRPr="00DA4134">
        <w:rPr>
          <w:rFonts w:ascii="Verdana" w:eastAsia="Arial" w:hAnsi="Verdana" w:cs="Arial"/>
          <w:sz w:val="20"/>
          <w:szCs w:val="20"/>
          <w:lang w:val="es-ES"/>
        </w:rPr>
        <w:t>vigente”.</w:t>
      </w:r>
    </w:p>
    <w:p w14:paraId="75D8D398" w14:textId="77777777" w:rsidR="00500D81" w:rsidRPr="001F41BC" w:rsidRDefault="00500D81" w:rsidP="00500D81">
      <w:pPr>
        <w:widowControl w:val="0"/>
        <w:autoSpaceDE w:val="0"/>
        <w:autoSpaceDN w:val="0"/>
        <w:spacing w:after="0" w:line="276" w:lineRule="auto"/>
        <w:ind w:left="709" w:right="709"/>
        <w:jc w:val="both"/>
        <w:rPr>
          <w:rFonts w:ascii="Verdana" w:eastAsia="Arial" w:hAnsi="Verdana" w:cs="Arial"/>
          <w:lang w:val="es-ES"/>
        </w:rPr>
      </w:pPr>
    </w:p>
    <w:p w14:paraId="1A3A6C07" w14:textId="77777777" w:rsidR="00500D81" w:rsidRDefault="00500D81" w:rsidP="00500D81">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Del artículo 23 de la Ley 1150 de 2007 se concluye que</w:t>
      </w:r>
      <w:r>
        <w:rPr>
          <w:rFonts w:ascii="Verdana" w:eastAsia="Arial" w:hAnsi="Verdana" w:cs="Arial"/>
          <w:lang w:val="es-ES"/>
        </w:rPr>
        <w:t>,</w:t>
      </w:r>
      <w:r w:rsidRPr="001F41BC">
        <w:rPr>
          <w:rFonts w:ascii="Verdana" w:eastAsia="Arial" w:hAnsi="Verdana" w:cs="Arial"/>
          <w:lang w:val="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4E4EFB1E" w14:textId="77777777" w:rsidR="00500D81" w:rsidRPr="001F41BC" w:rsidRDefault="00500D81" w:rsidP="00500D81">
      <w:pPr>
        <w:widowControl w:val="0"/>
        <w:autoSpaceDE w:val="0"/>
        <w:autoSpaceDN w:val="0"/>
        <w:spacing w:after="0" w:line="276" w:lineRule="auto"/>
        <w:ind w:firstLine="709"/>
        <w:jc w:val="both"/>
        <w:rPr>
          <w:rFonts w:ascii="Verdana" w:eastAsia="Arial" w:hAnsi="Verdana" w:cs="Arial"/>
          <w:lang w:val="es-ES"/>
        </w:rPr>
      </w:pPr>
    </w:p>
    <w:p w14:paraId="47049F0A" w14:textId="77777777" w:rsidR="00500D81" w:rsidRPr="001F41BC" w:rsidRDefault="00500D81" w:rsidP="003861F5">
      <w:pPr>
        <w:widowControl w:val="0"/>
        <w:autoSpaceDE w:val="0"/>
        <w:autoSpaceDN w:val="0"/>
        <w:spacing w:after="120" w:line="276" w:lineRule="auto"/>
        <w:jc w:val="both"/>
        <w:rPr>
          <w:rFonts w:ascii="Verdana" w:eastAsia="Arial" w:hAnsi="Verdana" w:cs="Arial"/>
          <w:lang w:val="es-ES"/>
        </w:rPr>
      </w:pPr>
      <w:proofErr w:type="spellStart"/>
      <w:r>
        <w:rPr>
          <w:rFonts w:ascii="Verdana" w:eastAsia="Arial" w:hAnsi="Verdana" w:cs="Arial"/>
          <w:lang w:val="es-ES"/>
        </w:rPr>
        <w:t>ii</w:t>
      </w:r>
      <w:proofErr w:type="spellEnd"/>
      <w:r>
        <w:rPr>
          <w:rFonts w:ascii="Verdana" w:eastAsia="Arial" w:hAnsi="Verdana" w:cs="Arial"/>
          <w:lang w:val="es-ES"/>
        </w:rPr>
        <w:t xml:space="preserve">. </w:t>
      </w:r>
      <w:r w:rsidRPr="001F41B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diferentes momentos del proceso contractual, tal como se detalla a continuación. </w:t>
      </w:r>
    </w:p>
    <w:p w14:paraId="1756271D" w14:textId="77777777" w:rsidR="00500D81" w:rsidRDefault="00500D81" w:rsidP="00DA4134">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1.</w:t>
      </w:r>
      <w:r w:rsidRPr="001F41BC">
        <w:rPr>
          <w:rFonts w:ascii="Verdana" w:eastAsia="Arial" w:hAnsi="Verdana" w:cs="Arial"/>
          <w:lang w:val="es-ES"/>
        </w:rPr>
        <w:t xml:space="preserve"> </w:t>
      </w:r>
      <w:r w:rsidRPr="001F41BC">
        <w:rPr>
          <w:rFonts w:ascii="Verdana" w:eastAsia="Arial" w:hAnsi="Verdana" w:cs="Arial"/>
          <w:i/>
          <w:iCs/>
          <w:lang w:val="es-ES"/>
        </w:rPr>
        <w:t>Para presentar la oferta</w:t>
      </w:r>
      <w:r w:rsidRPr="001F41BC">
        <w:rPr>
          <w:rFonts w:ascii="Verdana" w:eastAsia="Arial" w:hAnsi="Verdana" w:cs="Arial"/>
          <w:lang w:val="es-ES"/>
        </w:rPr>
        <w:t xml:space="preserve"> los proponentes deben acreditar el pago de los aportes de sus</w:t>
      </w:r>
      <w:r w:rsidRPr="001F41BC">
        <w:rPr>
          <w:rFonts w:ascii="Verdana" w:eastAsia="Arial" w:hAnsi="Verdana" w:cs="Arial"/>
          <w:spacing w:val="-6"/>
          <w:lang w:val="es-ES"/>
        </w:rPr>
        <w:t xml:space="preserve"> </w:t>
      </w:r>
      <w:r w:rsidRPr="001F41BC">
        <w:rPr>
          <w:rFonts w:ascii="Verdana" w:eastAsia="Arial" w:hAnsi="Verdana" w:cs="Arial"/>
          <w:lang w:val="es-ES"/>
        </w:rPr>
        <w:t>empleados,</w:t>
      </w:r>
      <w:r w:rsidRPr="001F41BC">
        <w:rPr>
          <w:rFonts w:ascii="Verdana" w:eastAsia="Arial" w:hAnsi="Verdana" w:cs="Arial"/>
          <w:spacing w:val="-6"/>
          <w:lang w:val="es-ES"/>
        </w:rPr>
        <w:t xml:space="preserve"> </w:t>
      </w:r>
      <w:r w:rsidRPr="001F41BC">
        <w:rPr>
          <w:rFonts w:ascii="Verdana" w:eastAsia="Arial" w:hAnsi="Verdana" w:cs="Arial"/>
          <w:lang w:val="es-ES"/>
        </w:rPr>
        <w:t>mediante</w:t>
      </w:r>
      <w:r w:rsidRPr="001F41BC">
        <w:rPr>
          <w:rFonts w:ascii="Verdana" w:eastAsia="Arial" w:hAnsi="Verdana" w:cs="Arial"/>
          <w:spacing w:val="-6"/>
          <w:lang w:val="es-ES"/>
        </w:rPr>
        <w:t xml:space="preserve"> </w:t>
      </w:r>
      <w:r w:rsidRPr="001F41BC">
        <w:rPr>
          <w:rFonts w:ascii="Verdana" w:eastAsia="Arial" w:hAnsi="Verdana" w:cs="Arial"/>
          <w:lang w:val="es-ES"/>
        </w:rPr>
        <w:t>certificación</w:t>
      </w:r>
      <w:r w:rsidRPr="001F41BC">
        <w:rPr>
          <w:rFonts w:ascii="Verdana" w:eastAsia="Arial" w:hAnsi="Verdana" w:cs="Arial"/>
          <w:spacing w:val="-6"/>
          <w:lang w:val="es-ES"/>
        </w:rPr>
        <w:t xml:space="preserve"> </w:t>
      </w:r>
      <w:r w:rsidRPr="001F41BC">
        <w:rPr>
          <w:rFonts w:ascii="Verdana" w:eastAsia="Arial" w:hAnsi="Verdana" w:cs="Arial"/>
          <w:lang w:val="es-ES"/>
        </w:rPr>
        <w:t>expedida</w:t>
      </w:r>
      <w:r w:rsidRPr="001F41BC">
        <w:rPr>
          <w:rFonts w:ascii="Verdana" w:eastAsia="Arial" w:hAnsi="Verdana" w:cs="Arial"/>
          <w:spacing w:val="-6"/>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revisor</w:t>
      </w:r>
      <w:r w:rsidRPr="001F41BC">
        <w:rPr>
          <w:rFonts w:ascii="Verdana" w:eastAsia="Arial" w:hAnsi="Verdana" w:cs="Arial"/>
          <w:spacing w:val="-6"/>
          <w:lang w:val="es-ES"/>
        </w:rPr>
        <w:t xml:space="preserve"> </w:t>
      </w:r>
      <w:r w:rsidRPr="001F41BC">
        <w:rPr>
          <w:rFonts w:ascii="Verdana" w:eastAsia="Arial" w:hAnsi="Verdana" w:cs="Arial"/>
          <w:lang w:val="es-ES"/>
        </w:rPr>
        <w:t>fiscal,</w:t>
      </w:r>
      <w:r w:rsidRPr="001F41BC">
        <w:rPr>
          <w:rFonts w:ascii="Verdana" w:eastAsia="Arial" w:hAnsi="Verdana" w:cs="Arial"/>
          <w:spacing w:val="-5"/>
          <w:lang w:val="es-ES"/>
        </w:rPr>
        <w:t xml:space="preserve"> </w:t>
      </w:r>
      <w:r w:rsidRPr="001F41BC">
        <w:rPr>
          <w:rFonts w:ascii="Verdana" w:eastAsia="Arial" w:hAnsi="Verdana" w:cs="Arial"/>
          <w:lang w:val="es-ES"/>
        </w:rPr>
        <w:t>cuando</w:t>
      </w:r>
      <w:r w:rsidRPr="001F41BC">
        <w:rPr>
          <w:rFonts w:ascii="Verdana" w:eastAsia="Arial" w:hAnsi="Verdana" w:cs="Arial"/>
          <w:spacing w:val="-6"/>
          <w:lang w:val="es-ES"/>
        </w:rPr>
        <w:t xml:space="preserve"> </w:t>
      </w:r>
      <w:r w:rsidRPr="001F41BC">
        <w:rPr>
          <w:rFonts w:ascii="Verdana" w:eastAsia="Arial" w:hAnsi="Verdana" w:cs="Arial"/>
          <w:lang w:val="es-ES"/>
        </w:rPr>
        <w:t>este</w:t>
      </w:r>
      <w:r w:rsidRPr="001F41BC">
        <w:rPr>
          <w:rFonts w:ascii="Verdana" w:eastAsia="Arial" w:hAnsi="Verdana" w:cs="Arial"/>
          <w:spacing w:val="-6"/>
          <w:lang w:val="es-ES"/>
        </w:rPr>
        <w:t xml:space="preserve"> </w:t>
      </w:r>
      <w:r w:rsidRPr="001F41BC">
        <w:rPr>
          <w:rFonts w:ascii="Verdana" w:eastAsia="Arial" w:hAnsi="Verdana" w:cs="Arial"/>
          <w:lang w:val="es-ES"/>
        </w:rPr>
        <w:t>exista de</w:t>
      </w:r>
      <w:r w:rsidRPr="001F41BC">
        <w:rPr>
          <w:rFonts w:ascii="Verdana" w:eastAsia="Arial" w:hAnsi="Verdana" w:cs="Arial"/>
          <w:spacing w:val="-9"/>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requerimientos</w:t>
      </w:r>
      <w:r w:rsidRPr="001F41BC">
        <w:rPr>
          <w:rFonts w:ascii="Verdana" w:eastAsia="Arial" w:hAnsi="Verdana" w:cs="Arial"/>
          <w:spacing w:val="-9"/>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ley,</w:t>
      </w:r>
      <w:r w:rsidRPr="001F41BC">
        <w:rPr>
          <w:rFonts w:ascii="Verdana" w:eastAsia="Arial" w:hAnsi="Verdana" w:cs="Arial"/>
          <w:spacing w:val="-8"/>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por</w:t>
      </w:r>
      <w:r w:rsidRPr="001F41BC">
        <w:rPr>
          <w:rFonts w:ascii="Verdana" w:eastAsia="Arial" w:hAnsi="Verdana" w:cs="Arial"/>
          <w:spacing w:val="-9"/>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representante</w:t>
      </w:r>
      <w:r w:rsidRPr="001F41BC">
        <w:rPr>
          <w:rFonts w:ascii="Verdana" w:eastAsia="Arial" w:hAnsi="Verdana" w:cs="Arial"/>
          <w:spacing w:val="-8"/>
          <w:lang w:val="es-ES"/>
        </w:rPr>
        <w:t xml:space="preserve"> </w:t>
      </w:r>
      <w:r w:rsidRPr="001F41BC">
        <w:rPr>
          <w:rFonts w:ascii="Verdana" w:eastAsia="Arial" w:hAnsi="Verdana" w:cs="Arial"/>
          <w:lang w:val="es-ES"/>
        </w:rPr>
        <w:t>legal,</w:t>
      </w:r>
      <w:r w:rsidRPr="001F41BC">
        <w:rPr>
          <w:rFonts w:ascii="Verdana" w:eastAsia="Arial" w:hAnsi="Verdana" w:cs="Arial"/>
          <w:spacing w:val="-8"/>
          <w:lang w:val="es-ES"/>
        </w:rPr>
        <w:t xml:space="preserve"> </w:t>
      </w:r>
      <w:r w:rsidRPr="001F41BC">
        <w:rPr>
          <w:rFonts w:ascii="Verdana" w:eastAsia="Arial" w:hAnsi="Verdana" w:cs="Arial"/>
          <w:lang w:val="es-ES"/>
        </w:rPr>
        <w:t>durante</w:t>
      </w:r>
      <w:r w:rsidRPr="001F41BC">
        <w:rPr>
          <w:rFonts w:ascii="Verdana" w:eastAsia="Arial" w:hAnsi="Verdana" w:cs="Arial"/>
          <w:spacing w:val="-9"/>
          <w:lang w:val="es-ES"/>
        </w:rPr>
        <w:t xml:space="preserve"> </w:t>
      </w:r>
      <w:r w:rsidRPr="001F41BC">
        <w:rPr>
          <w:rFonts w:ascii="Verdana" w:eastAsia="Arial" w:hAnsi="Verdana" w:cs="Arial"/>
          <w:lang w:val="es-ES"/>
        </w:rPr>
        <w:t>un</w:t>
      </w:r>
      <w:r w:rsidRPr="001F41BC">
        <w:rPr>
          <w:rFonts w:ascii="Verdana" w:eastAsia="Arial" w:hAnsi="Verdana" w:cs="Arial"/>
          <w:spacing w:val="-8"/>
          <w:lang w:val="es-ES"/>
        </w:rPr>
        <w:t xml:space="preserve"> </w:t>
      </w:r>
      <w:r w:rsidRPr="001F41BC">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1F41BC">
        <w:rPr>
          <w:rStyle w:val="Refdenotaalpie"/>
          <w:rFonts w:ascii="Verdana" w:eastAsia="Arial" w:hAnsi="Verdana" w:cs="Arial"/>
          <w:lang w:val="es-ES"/>
        </w:rPr>
        <w:footnoteReference w:id="3"/>
      </w:r>
      <w:r w:rsidRPr="001F41BC">
        <w:rPr>
          <w:rFonts w:ascii="Verdana" w:eastAsia="Arial" w:hAnsi="Verdana" w:cs="Arial"/>
          <w:lang w:val="es-ES"/>
        </w:rPr>
        <w:t>. Si bien este certificado no es un requisito</w:t>
      </w:r>
      <w:r w:rsidRPr="001F41BC">
        <w:rPr>
          <w:rFonts w:ascii="Verdana" w:eastAsia="Arial" w:hAnsi="Verdana" w:cs="Arial"/>
          <w:spacing w:val="45"/>
          <w:lang w:val="es-ES"/>
        </w:rPr>
        <w:t xml:space="preserve"> </w:t>
      </w:r>
      <w:r w:rsidRPr="001F41B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1F41BC">
        <w:rPr>
          <w:rFonts w:ascii="Verdana" w:eastAsia="Arial" w:hAnsi="Verdana" w:cs="Arial"/>
          <w:i/>
          <w:iCs/>
          <w:lang w:val="es-ES"/>
        </w:rPr>
        <w:t xml:space="preserve">personas jurídicas </w:t>
      </w:r>
      <w:r w:rsidRPr="001F41BC">
        <w:rPr>
          <w:rFonts w:ascii="Verdana" w:eastAsia="Arial" w:hAnsi="Verdana" w:cs="Arial"/>
          <w:lang w:val="es-ES"/>
        </w:rPr>
        <w:t>–Ley 789 de 2002, art. 50, inciso 3°–.</w:t>
      </w:r>
    </w:p>
    <w:p w14:paraId="5F274D43" w14:textId="77777777" w:rsidR="00500D81" w:rsidRDefault="00500D81" w:rsidP="003861F5">
      <w:pPr>
        <w:spacing w:after="120" w:line="276" w:lineRule="auto"/>
        <w:ind w:firstLine="709"/>
        <w:jc w:val="both"/>
        <w:rPr>
          <w:rFonts w:ascii="Verdana" w:hAnsi="Verdana" w:cs="Arial"/>
          <w:lang w:val="es-ES"/>
        </w:rPr>
      </w:pPr>
      <w:r w:rsidRPr="0085437D">
        <w:rPr>
          <w:rFonts w:ascii="Verdana" w:hAnsi="Verdana" w:cs="Arial"/>
          <w:lang w:val="es-ES"/>
        </w:rPr>
        <w:lastRenderedPageBreak/>
        <w:t xml:space="preserve">En este sentido, la verificación de los aportes al Sistema de Seguridad Social Integral cambia, dependiendo si se trata de una persona natural o de una jurídica: i) si es una </w:t>
      </w:r>
      <w:r>
        <w:rPr>
          <w:rFonts w:ascii="Verdana" w:hAnsi="Verdana" w:cs="Arial"/>
          <w:i/>
          <w:iCs/>
          <w:lang w:val="es-ES"/>
        </w:rPr>
        <w:t xml:space="preserve">persona </w:t>
      </w:r>
      <w:r w:rsidRPr="0085437D">
        <w:rPr>
          <w:rFonts w:ascii="Verdana" w:hAnsi="Verdana" w:cs="Arial"/>
          <w:i/>
          <w:lang w:val="es-ES"/>
        </w:rPr>
        <w:t>natural</w:t>
      </w:r>
      <w:r w:rsidRPr="0085437D">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Pr="0085437D">
        <w:rPr>
          <w:rFonts w:ascii="Verdana" w:hAnsi="Verdana" w:cs="Arial"/>
          <w:lang w:val="es-ES"/>
        </w:rPr>
        <w:t>ii</w:t>
      </w:r>
      <w:proofErr w:type="spellEnd"/>
      <w:r w:rsidRPr="0085437D">
        <w:rPr>
          <w:rFonts w:ascii="Verdana" w:hAnsi="Verdana" w:cs="Arial"/>
          <w:lang w:val="es-ES"/>
        </w:rPr>
        <w:t xml:space="preserve">) si se refiere a una </w:t>
      </w:r>
      <w:r w:rsidRPr="0085437D">
        <w:rPr>
          <w:rFonts w:ascii="Verdana" w:hAnsi="Verdana" w:cs="Arial"/>
          <w:i/>
          <w:lang w:val="es-ES"/>
        </w:rPr>
        <w:t>persona jurídica</w:t>
      </w:r>
      <w:r w:rsidRPr="0085437D">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01CBF95B" w14:textId="77777777" w:rsidR="00500D81" w:rsidRPr="001F41BC" w:rsidRDefault="00500D81" w:rsidP="003861F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2.</w:t>
      </w:r>
      <w:r w:rsidRPr="001F41BC">
        <w:rPr>
          <w:rFonts w:ascii="Verdana" w:eastAsia="Arial" w:hAnsi="Verdana" w:cs="Arial"/>
          <w:lang w:val="es-ES"/>
        </w:rPr>
        <w:t xml:space="preserve"> En el momento del </w:t>
      </w:r>
      <w:r w:rsidRPr="001F41BC">
        <w:rPr>
          <w:rFonts w:ascii="Verdana" w:eastAsia="Arial" w:hAnsi="Verdana" w:cs="Arial"/>
          <w:i/>
          <w:iCs/>
          <w:lang w:val="es-ES"/>
        </w:rPr>
        <w:t>perfeccionamiento del contrato estatal</w:t>
      </w:r>
      <w:r w:rsidRPr="001F41BC">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0929CEC3" w14:textId="77777777" w:rsidR="00500D81" w:rsidRPr="001F41BC" w:rsidRDefault="00500D81" w:rsidP="003861F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3.</w:t>
      </w:r>
      <w:r w:rsidRPr="001F41BC">
        <w:rPr>
          <w:rFonts w:ascii="Verdana" w:eastAsia="Arial" w:hAnsi="Verdana" w:cs="Arial"/>
          <w:lang w:val="es-ES"/>
        </w:rPr>
        <w:t xml:space="preserve"> El pago de los aportes de seguridad social 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23EDB2E2" w14:textId="77777777" w:rsidR="00500D81" w:rsidRPr="001F41BC" w:rsidRDefault="00500D81" w:rsidP="003861F5">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70F460BB" w14:textId="77777777" w:rsidR="00500D81" w:rsidRPr="001F41BC" w:rsidRDefault="00500D81" w:rsidP="003861F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lastRenderedPageBreak/>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6A2FD251" w14:textId="77777777" w:rsidR="00500D81" w:rsidRDefault="00500D81" w:rsidP="00F34E63">
      <w:pPr>
        <w:spacing w:after="120" w:line="276" w:lineRule="auto"/>
        <w:ind w:firstLine="708"/>
        <w:jc w:val="both"/>
        <w:rPr>
          <w:rFonts w:ascii="Verdana" w:eastAsia="Arial" w:hAnsi="Verdana" w:cs="Arial"/>
          <w:lang w:val="es-ES"/>
        </w:rPr>
      </w:pPr>
      <w:r w:rsidRPr="001F41BC">
        <w:rPr>
          <w:rFonts w:ascii="Verdana" w:eastAsia="Arial" w:hAnsi="Verdana" w:cs="Arial"/>
          <w:lang w:val="es-ES"/>
        </w:rPr>
        <w:t xml:space="preserve"> 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w:t>
      </w:r>
      <w:r w:rsidRPr="00F34E63">
        <w:rPr>
          <w:rFonts w:ascii="Verdana" w:hAnsi="Verdana" w:cs="Arial"/>
          <w:lang w:val="es-ES_tradnl"/>
        </w:rPr>
        <w:t>independientemente</w:t>
      </w:r>
      <w:r w:rsidRPr="001F41BC">
        <w:rPr>
          <w:rFonts w:ascii="Verdana" w:eastAsia="Arial" w:hAnsi="Verdana" w:cs="Arial"/>
          <w:lang w:val="es-ES"/>
        </w:rPr>
        <w:t xml:space="preserve"> de su naturaleza o modalidad de selección. </w:t>
      </w:r>
      <w:bookmarkStart w:id="2" w:name="_Hlk80881612"/>
    </w:p>
    <w:p w14:paraId="732FA049" w14:textId="3955C816" w:rsidR="00F34E63" w:rsidRPr="0005702E" w:rsidRDefault="00F34E63" w:rsidP="00F34E63">
      <w:pPr>
        <w:spacing w:after="120" w:line="276" w:lineRule="auto"/>
        <w:ind w:firstLine="708"/>
        <w:jc w:val="both"/>
        <w:rPr>
          <w:rFonts w:ascii="Verdana" w:hAnsi="Verdana" w:cs="Arial"/>
          <w:lang w:val="es-ES_tradnl"/>
        </w:rPr>
      </w:pPr>
      <w:r>
        <w:rPr>
          <w:rFonts w:ascii="Verdana" w:eastAsia="Arial" w:hAnsi="Verdana" w:cs="Arial"/>
          <w:lang w:val="es-ES"/>
        </w:rPr>
        <w:t xml:space="preserve">Adicionalmente, </w:t>
      </w:r>
      <w:r w:rsidRPr="0005702E">
        <w:rPr>
          <w:rFonts w:ascii="Verdana" w:hAnsi="Verdana" w:cs="Arial"/>
          <w:lang w:val="es-ES_tradnl"/>
        </w:rPr>
        <w:t xml:space="preserve">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05702E">
        <w:rPr>
          <w:rFonts w:ascii="Verdana" w:hAnsi="Verdana" w:cs="Arial"/>
          <w:i/>
          <w:lang w:val="es-ES_tradnl"/>
        </w:rPr>
        <w:t>mes vencido</w:t>
      </w:r>
      <w:r w:rsidRPr="0005702E">
        <w:rPr>
          <w:rFonts w:ascii="Verdana" w:hAnsi="Verdana" w:cs="Arial"/>
          <w:lang w:val="es-ES_tradnl"/>
        </w:rPr>
        <w:t xml:space="preserve"> al Sistema de Seguridad Social Integral sobre una base mínima del cuarenta por ciento (40%) del valor mensualizado del contrato, sin incluir el valor del Impuesto al Valor Agregado (IVA)</w:t>
      </w:r>
      <w:r w:rsidRPr="0005702E">
        <w:rPr>
          <w:rFonts w:ascii="Verdana" w:hAnsi="Verdana" w:cs="Arial"/>
          <w:vertAlign w:val="superscript"/>
          <w:lang w:val="es-ES_tradnl"/>
        </w:rPr>
        <w:footnoteReference w:id="4"/>
      </w:r>
      <w:r w:rsidRPr="0005702E">
        <w:rPr>
          <w:rFonts w:ascii="Verdana" w:hAnsi="Verdana" w:cs="Arial"/>
          <w:lang w:val="es-ES_tradnl"/>
        </w:rPr>
        <w:t>.</w:t>
      </w:r>
    </w:p>
    <w:p w14:paraId="052507CF" w14:textId="77777777" w:rsidR="00F34E63" w:rsidRPr="0005702E" w:rsidRDefault="00F34E63" w:rsidP="00F34E63">
      <w:pPr>
        <w:spacing w:after="120" w:line="276" w:lineRule="auto"/>
        <w:ind w:firstLine="709"/>
        <w:jc w:val="both"/>
        <w:rPr>
          <w:rFonts w:ascii="Verdana" w:hAnsi="Verdana" w:cs="Arial"/>
          <w:lang w:val="es-ES_tradnl"/>
        </w:rPr>
      </w:pPr>
      <w:r w:rsidRPr="0005702E">
        <w:rPr>
          <w:rFonts w:ascii="Verdana" w:hAnsi="Verdana" w:cs="Arial"/>
          <w:lang w:val="es-ES_tradnl"/>
        </w:rPr>
        <w:lastRenderedPageBreak/>
        <w:t>Dicha norma fue declara inexequible por la Corte Constitucional en la sentencia C-068 de 2020 por infringir el principio de unidad de materia, no obstante, el fallo difirió los efectos de esta decisión hasta el vencimiento de las dos legislaturas posteriores a la notificación del fallo</w:t>
      </w:r>
      <w:r w:rsidRPr="0005702E">
        <w:rPr>
          <w:rFonts w:ascii="Verdana" w:hAnsi="Verdana" w:cs="Arial"/>
          <w:vertAlign w:val="superscript"/>
          <w:lang w:val="es-ES_tradnl"/>
        </w:rPr>
        <w:footnoteReference w:id="5"/>
      </w:r>
      <w:r w:rsidRPr="0005702E">
        <w:rPr>
          <w:rFonts w:ascii="Verdana" w:hAnsi="Verdana" w:cs="Arial"/>
          <w:lang w:val="es-ES_tradnl"/>
        </w:rPr>
        <w:t xml:space="preserve">, condición que se cumplió en el mes de junio del año 2022. En consecuencia, dicho artículo ya no está vigente a la fecha. </w:t>
      </w:r>
    </w:p>
    <w:p w14:paraId="78A94A44" w14:textId="77777777" w:rsidR="00F34E63" w:rsidRPr="0005702E" w:rsidRDefault="00F34E63" w:rsidP="00F34E63">
      <w:pPr>
        <w:spacing w:after="120" w:line="276" w:lineRule="auto"/>
        <w:ind w:firstLine="709"/>
        <w:jc w:val="both"/>
        <w:rPr>
          <w:rFonts w:ascii="Verdana" w:hAnsi="Verdana" w:cs="Arial"/>
          <w:lang w:val="es-ES_tradnl"/>
        </w:rPr>
      </w:pPr>
      <w:r w:rsidRPr="0005702E">
        <w:rPr>
          <w:rFonts w:ascii="Verdana" w:hAnsi="Verdana" w:cs="Arial"/>
          <w:lang w:val="es-ES_tradnl"/>
        </w:rPr>
        <w:t xml:space="preserve">Sin perjuicio de lo anterior, el Ministerio de Trabajo emitió el Concepto Unificado rad. 08SE202223000000035861 de 2 de agosto de 2022, con ocasión de la efectividad de la </w:t>
      </w:r>
      <w:proofErr w:type="spellStart"/>
      <w:r w:rsidRPr="0005702E">
        <w:rPr>
          <w:rFonts w:ascii="Verdana" w:hAnsi="Verdana" w:cs="Arial"/>
          <w:lang w:val="es-ES_tradnl"/>
        </w:rPr>
        <w:t>exequibilidad</w:t>
      </w:r>
      <w:proofErr w:type="spellEnd"/>
      <w:r w:rsidRPr="0005702E">
        <w:rPr>
          <w:rFonts w:ascii="Verdana" w:hAnsi="Verdana" w:cs="Arial"/>
          <w:lang w:val="es-ES_tradnl"/>
        </w:rPr>
        <w:t xml:space="preserve"> del artículo 244 de la Ley 1955 de 2019 y la forma en que cotizan los trabajadores independientes, para concluir que esta no cambió, toda vez que operó la reviviscencia del </w:t>
      </w:r>
      <w:r w:rsidRPr="0005702E">
        <w:rPr>
          <w:rFonts w:ascii="Verdana" w:eastAsia="Arial" w:hAnsi="Verdana" w:cs="Arial"/>
          <w:lang w:val="es-ES" w:eastAsia="es-ES" w:bidi="es-ES"/>
        </w:rPr>
        <w:t>“</w:t>
      </w:r>
      <w:r w:rsidRPr="0005702E">
        <w:rPr>
          <w:rFonts w:ascii="Verdana" w:hAnsi="Verdana" w:cs="Arial"/>
          <w:lang w:val="es-ES_tradnl"/>
        </w:rPr>
        <w:t xml:space="preserve">artículo 18 de la Ley 1122 de 2007, norma que establece que la cotización de los independientes contratistas de prestación de servicios se efectuará: “(…) </w:t>
      </w:r>
      <w:r w:rsidRPr="0005702E">
        <w:rPr>
          <w:rFonts w:ascii="Verdana" w:hAnsi="Verdana" w:cs="Arial"/>
          <w:i/>
          <w:iCs/>
          <w:lang w:val="es-ES_tradnl"/>
        </w:rPr>
        <w:t>sobre una base de la cotización máxima de un 40% del valor mensualizado del contrato</w:t>
      </w:r>
      <w:r w:rsidRPr="0005702E">
        <w:rPr>
          <w:rFonts w:ascii="Verdana" w:hAnsi="Verdana" w:cs="Arial"/>
          <w:lang w:val="es-ES_tradnl"/>
        </w:rPr>
        <w:t>”</w:t>
      </w:r>
      <w:r w:rsidRPr="0005702E">
        <w:rPr>
          <w:rFonts w:ascii="Verdana" w:eastAsia="Calibri" w:hAnsi="Verdana" w:cs="Arial"/>
          <w:bCs/>
          <w:lang w:val="es-ES_tradnl"/>
        </w:rPr>
        <w:t>”</w:t>
      </w:r>
      <w:r w:rsidRPr="0005702E">
        <w:rPr>
          <w:rFonts w:ascii="Verdana" w:hAnsi="Verdana" w:cs="Arial"/>
          <w:lang w:val="es-ES_tradnl"/>
        </w:rPr>
        <w:t xml:space="preserve">. De igual forma, frente al pago por mes vencido continúa aplicándose el primer inciso del artículo 3.2.7.6 del Decreto 780 de 2016, norma que dispuso que </w:t>
      </w:r>
      <w:r w:rsidRPr="0005702E">
        <w:rPr>
          <w:rFonts w:ascii="Verdana" w:eastAsia="Arial" w:hAnsi="Verdana" w:cs="Arial"/>
          <w:lang w:val="es-ES" w:eastAsia="es-ES" w:bidi="es-ES"/>
        </w:rPr>
        <w:t>“</w:t>
      </w:r>
      <w:r w:rsidRPr="0005702E">
        <w:rPr>
          <w:rFonts w:ascii="Verdana" w:hAnsi="Verdana" w:cs="Arial"/>
          <w:lang w:val="es-ES_tradnl"/>
        </w:rPr>
        <w:t>el pago por mes vencido de las cotizaciones se debía efectuar a partir del 1 de octubre de 2018</w:t>
      </w:r>
      <w:r w:rsidRPr="0005702E">
        <w:rPr>
          <w:rFonts w:ascii="Verdana" w:eastAsia="Calibri" w:hAnsi="Verdana" w:cs="Arial"/>
          <w:bCs/>
          <w:lang w:val="es-ES_tradnl"/>
        </w:rPr>
        <w:t>”</w:t>
      </w:r>
      <w:r w:rsidRPr="0005702E">
        <w:rPr>
          <w:rFonts w:ascii="Verdana" w:hAnsi="Verdana" w:cs="Arial"/>
          <w:lang w:val="es-ES_tradnl"/>
        </w:rPr>
        <w:t>.</w:t>
      </w:r>
    </w:p>
    <w:p w14:paraId="11930A24" w14:textId="77777777" w:rsidR="00F34E63" w:rsidRPr="0005702E" w:rsidRDefault="00F34E63" w:rsidP="00F34E63">
      <w:pPr>
        <w:spacing w:after="120" w:line="276" w:lineRule="auto"/>
        <w:ind w:firstLine="709"/>
        <w:jc w:val="both"/>
        <w:rPr>
          <w:rFonts w:ascii="Verdana" w:hAnsi="Verdana" w:cs="Arial"/>
          <w:lang w:val="es-ES"/>
        </w:rPr>
      </w:pPr>
      <w:r w:rsidRPr="0005702E">
        <w:rPr>
          <w:rFonts w:ascii="Verdana" w:hAnsi="Verdana" w:cs="Arial"/>
          <w:lang w:val="es-ES"/>
        </w:rPr>
        <w:t xml:space="preserve">Conforme a lo anterior, actualmente, </w:t>
      </w:r>
      <w:bookmarkStart w:id="3" w:name="_Hlk176971373"/>
      <w:r w:rsidRPr="0005702E">
        <w:rPr>
          <w:rFonts w:ascii="Verdana" w:hAnsi="Verdana" w:cs="Arial"/>
          <w:lang w:val="es-ES"/>
        </w:rPr>
        <w:t xml:space="preserve">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05702E">
        <w:rPr>
          <w:rFonts w:ascii="Verdana" w:hAnsi="Verdana" w:cs="Arial"/>
          <w:lang w:val="es-ES"/>
        </w:rPr>
        <w:t>ii</w:t>
      </w:r>
      <w:proofErr w:type="spellEnd"/>
      <w:r w:rsidRPr="0005702E">
        <w:rPr>
          <w:rFonts w:ascii="Verdana" w:hAnsi="Verdana" w:cs="Arial"/>
          <w:lang w:val="es-ES"/>
        </w:rPr>
        <w:t xml:space="preserve">) la base mínima de cotización es el cuarenta por ciento (40%) del valor mensualizado de ingresos o del contrato, </w:t>
      </w:r>
      <w:proofErr w:type="spellStart"/>
      <w:r w:rsidRPr="0005702E">
        <w:rPr>
          <w:rFonts w:ascii="Verdana" w:hAnsi="Verdana" w:cs="Arial"/>
          <w:lang w:val="es-ES"/>
        </w:rPr>
        <w:t>iii</w:t>
      </w:r>
      <w:proofErr w:type="spellEnd"/>
      <w:r w:rsidRPr="0005702E">
        <w:rPr>
          <w:rFonts w:ascii="Verdana" w:hAnsi="Verdana" w:cs="Arial"/>
          <w:lang w:val="es-ES"/>
        </w:rPr>
        <w:t xml:space="preserve">) la cotización se realizará mes vencido, y finalmente, </w:t>
      </w:r>
      <w:proofErr w:type="spellStart"/>
      <w:r w:rsidRPr="0005702E">
        <w:rPr>
          <w:rFonts w:ascii="Verdana" w:hAnsi="Verdana" w:cs="Arial"/>
          <w:lang w:val="es-ES"/>
        </w:rPr>
        <w:t>iv</w:t>
      </w:r>
      <w:proofErr w:type="spellEnd"/>
      <w:r w:rsidRPr="0005702E">
        <w:rPr>
          <w:rFonts w:ascii="Verdana" w:hAnsi="Verdana" w:cs="Arial"/>
          <w:lang w:val="es-ES"/>
        </w:rPr>
        <w:t xml:space="preserve">) el pago lo efectuará directamente el trabajador independiente. </w:t>
      </w:r>
    </w:p>
    <w:bookmarkEnd w:id="3"/>
    <w:p w14:paraId="50F8CF3C" w14:textId="77777777" w:rsidR="00F34E63" w:rsidRPr="0005702E" w:rsidRDefault="00F34E63" w:rsidP="00F34E63">
      <w:pPr>
        <w:spacing w:after="120" w:line="276" w:lineRule="auto"/>
        <w:ind w:firstLine="709"/>
        <w:jc w:val="both"/>
        <w:rPr>
          <w:rFonts w:ascii="Verdana" w:hAnsi="Verdana" w:cs="Arial"/>
        </w:rPr>
      </w:pPr>
      <w:r w:rsidRPr="0005702E">
        <w:rPr>
          <w:rFonts w:ascii="Verdana" w:hAnsi="Verdana" w:cs="Arial"/>
          <w:lang w:val="es-ES_tradnl"/>
        </w:rPr>
        <w:lastRenderedPageBreak/>
        <w:t>Respecto de la oportunidad para el pago de los aportes, conviene mencionar que</w:t>
      </w:r>
      <w:r>
        <w:rPr>
          <w:rFonts w:ascii="Verdana" w:hAnsi="Verdana" w:cs="Arial"/>
          <w:lang w:val="es-ES_tradnl"/>
        </w:rPr>
        <w:t xml:space="preserve"> las</w:t>
      </w:r>
      <w:r w:rsidRPr="0005702E">
        <w:rPr>
          <w:rFonts w:ascii="Verdana" w:hAnsi="Verdana" w:cs="Arial"/>
          <w:lang w:val="es-ES_tradnl"/>
        </w:rPr>
        <w:t xml:space="preserve"> </w:t>
      </w:r>
      <w:r w:rsidRPr="0005702E">
        <w:rPr>
          <w:rFonts w:ascii="Verdana" w:hAnsi="Verdana" w:cs="Arial"/>
        </w:rPr>
        <w:t xml:space="preserve">Entidades Estatales deben respetar el derecho del contratista a hacer los aportes al Sistema de Seguridad Social Integral a más tardar en las fechas indicadas en el </w:t>
      </w:r>
      <w:bookmarkStart w:id="4" w:name="_Hlk176971306"/>
      <w:r w:rsidRPr="0005702E">
        <w:rPr>
          <w:rFonts w:ascii="Verdana" w:hAnsi="Verdana" w:cs="Arial"/>
        </w:rPr>
        <w:t xml:space="preserve">artículo 3.2.2.1. del Decreto 1990 de 2016 </w:t>
      </w:r>
      <w:bookmarkEnd w:id="4"/>
      <w:r w:rsidRPr="0005702E">
        <w:rPr>
          <w:rFonts w:ascii="Verdana" w:hAnsi="Verdana" w:cs="Arial"/>
        </w:rPr>
        <w:t xml:space="preserve">y de conformidad con el artículo 18 de la Ley 1122 de 2007, que establece que la cotización se realiza mes vencido sobre el cuarenta por ciento (40%) del valor mensualizado del contrato (sin contar el valor del IVA que no comporta un ingreso del cotizante). Por tanto, el supervisor debe verificar que el contratista haya hecho sus aportes por lo devengado en el mes inmediatamente anterior. </w:t>
      </w:r>
    </w:p>
    <w:p w14:paraId="74330790" w14:textId="77777777" w:rsidR="00F34E63" w:rsidRPr="000A2CD2" w:rsidRDefault="00F34E63" w:rsidP="00F34E63">
      <w:pPr>
        <w:spacing w:after="0" w:line="276" w:lineRule="auto"/>
        <w:ind w:firstLine="709"/>
        <w:jc w:val="both"/>
        <w:rPr>
          <w:rFonts w:ascii="Verdana" w:hAnsi="Verdana" w:cs="Arial"/>
        </w:rPr>
      </w:pPr>
      <w:bookmarkStart w:id="5" w:name="_Hlk176971416"/>
      <w:r w:rsidRPr="000A2CD2">
        <w:rPr>
          <w:rFonts w:ascii="Verdana" w:hAnsi="Verdana" w:cs="Arial"/>
        </w:rPr>
        <w:t xml:space="preserve">Ahora bien, en atención a pregunta planteada, debe señalarse que el Ministerio de Salud y Protección Social expidió el </w:t>
      </w:r>
      <w:bookmarkStart w:id="6" w:name="_Hlk176971338"/>
      <w:r w:rsidRPr="000A2CD2">
        <w:rPr>
          <w:rFonts w:ascii="Verdana" w:hAnsi="Verdana" w:cs="Arial"/>
        </w:rPr>
        <w:t>Decreto 1273 de 2018</w:t>
      </w:r>
      <w:bookmarkEnd w:id="6"/>
      <w:r w:rsidRPr="000A2CD2">
        <w:rPr>
          <w:rFonts w:ascii="Verdana" w:hAnsi="Verdana" w:cs="Arial"/>
        </w:rPr>
        <w:t xml:space="preserve">, por medio del cual se reglamenta el pago de la cotización por mes vencido al Sistema de Seguridad Social Integral (SSSI) de los trabajadores independientes, así como la retención de aportes cuando se ha celebrado un contrato de prestación de servicios personales. En el primer inciso del </w:t>
      </w:r>
      <w:bookmarkStart w:id="7" w:name="_Hlk176971349"/>
      <w:r w:rsidRPr="000A2CD2">
        <w:rPr>
          <w:rFonts w:ascii="Verdana" w:hAnsi="Verdana" w:cs="Arial"/>
        </w:rPr>
        <w:t>artículo 3.2.7.1.</w:t>
      </w:r>
      <w:bookmarkEnd w:id="7"/>
      <w:r w:rsidRPr="000A2CD2">
        <w:rPr>
          <w:rFonts w:ascii="Verdana" w:hAnsi="Verdana" w:cs="Arial"/>
        </w:rPr>
        <w:t xml:space="preserve">, se señala lo siguiente respecto al Ingreso Base de Cotización – en adelante IBC: </w:t>
      </w:r>
    </w:p>
    <w:p w14:paraId="64B60630" w14:textId="77777777" w:rsidR="00F34E63" w:rsidRPr="000A2CD2" w:rsidRDefault="00F34E63" w:rsidP="00F34E63">
      <w:pPr>
        <w:spacing w:after="0" w:line="276" w:lineRule="auto"/>
        <w:ind w:firstLine="709"/>
        <w:jc w:val="both"/>
        <w:rPr>
          <w:rFonts w:ascii="Verdana" w:hAnsi="Verdana" w:cs="Arial"/>
        </w:rPr>
      </w:pPr>
    </w:p>
    <w:p w14:paraId="3618486A" w14:textId="77777777" w:rsidR="00F34E63" w:rsidRPr="000A2CD2" w:rsidRDefault="00F34E63" w:rsidP="00F34E63">
      <w:pPr>
        <w:spacing w:after="0" w:line="240" w:lineRule="auto"/>
        <w:ind w:left="709" w:right="709"/>
        <w:jc w:val="both"/>
        <w:rPr>
          <w:rFonts w:ascii="Verdana" w:hAnsi="Verdana" w:cs="Arial"/>
          <w:sz w:val="20"/>
          <w:szCs w:val="20"/>
        </w:rPr>
      </w:pPr>
      <w:r w:rsidRPr="000A2CD2">
        <w:rPr>
          <w:rFonts w:ascii="Verdana" w:hAnsi="Verdana" w:cs="Arial"/>
          <w:sz w:val="20"/>
          <w:szCs w:val="20"/>
        </w:rPr>
        <w:t>“</w:t>
      </w:r>
      <w:r w:rsidRPr="000A2CD2">
        <w:rPr>
          <w:rFonts w:ascii="Verdana" w:hAnsi="Verdana" w:cs="Arial"/>
          <w:b/>
          <w:bCs/>
          <w:sz w:val="20"/>
          <w:szCs w:val="20"/>
        </w:rPr>
        <w:t>Artículo. 3.2.7.1. Ingreso Base de Cotización (IBC) del trabajador independiente con contrato de prestación de servicios personales.</w:t>
      </w:r>
      <w:r w:rsidRPr="000A2CD2">
        <w:rPr>
          <w:rFonts w:ascii="Verdana" w:hAnsi="Verdana" w:cs="Arial"/>
          <w:sz w:val="20"/>
          <w:szCs w:val="20"/>
        </w:rPr>
        <w:t xml:space="preserve"> El ingreso base de cotización (IBC) al Sistema de Seguridad Social Integral del trabajador independiente con contrato de prestación de servicios personales relacionados con las funciones de la entidad contratante corresponde mínimo al cuarenta por ciento (40%) del valor mensualizado de cada contrato, sin incluir el valor total del Impuesto al Valor Agregado (IVA) cuando a ello haya lugar. </w:t>
      </w:r>
      <w:r w:rsidRPr="000A2CD2">
        <w:rPr>
          <w:rFonts w:ascii="Verdana" w:hAnsi="Verdana" w:cs="Arial"/>
          <w:i/>
          <w:iCs/>
          <w:sz w:val="20"/>
          <w:szCs w:val="20"/>
        </w:rPr>
        <w:t xml:space="preserve">En ningún caso el IBC podrá ser inferior al salario mínimo mensual legal vigente ni superior a 25 veces el salario mínimo mensual legal vigente </w:t>
      </w:r>
      <w:r w:rsidRPr="000A2CD2">
        <w:rPr>
          <w:rFonts w:ascii="Verdana" w:hAnsi="Verdana" w:cs="Arial"/>
          <w:sz w:val="20"/>
          <w:szCs w:val="20"/>
        </w:rPr>
        <w:t xml:space="preserve">[…]” (Énfasis fuera del texto original). </w:t>
      </w:r>
    </w:p>
    <w:p w14:paraId="5C9ED057" w14:textId="77777777" w:rsidR="00F34E63" w:rsidRPr="00D146C2" w:rsidRDefault="00F34E63" w:rsidP="00F34E63">
      <w:pPr>
        <w:spacing w:after="0" w:line="276" w:lineRule="auto"/>
        <w:ind w:firstLine="709"/>
        <w:jc w:val="both"/>
        <w:rPr>
          <w:rFonts w:ascii="Verdana" w:hAnsi="Verdana" w:cs="Arial"/>
          <w:highlight w:val="yellow"/>
        </w:rPr>
      </w:pPr>
    </w:p>
    <w:p w14:paraId="53AB7E88" w14:textId="77777777" w:rsidR="00F34E63" w:rsidRPr="00B9480E" w:rsidRDefault="00F34E63" w:rsidP="00F34E63">
      <w:pPr>
        <w:spacing w:after="120" w:line="276" w:lineRule="auto"/>
        <w:ind w:firstLine="709"/>
        <w:jc w:val="both"/>
        <w:rPr>
          <w:rFonts w:ascii="Verdana" w:hAnsi="Verdana" w:cs="Arial"/>
        </w:rPr>
      </w:pPr>
      <w:bookmarkStart w:id="8" w:name="_Hlk176971600"/>
      <w:r w:rsidRPr="000A2CD2">
        <w:rPr>
          <w:rFonts w:ascii="Verdana" w:hAnsi="Verdana" w:cs="Arial"/>
        </w:rPr>
        <w:t>Conforme el artículo citado, 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w:t>
      </w:r>
    </w:p>
    <w:bookmarkEnd w:id="5"/>
    <w:bookmarkEnd w:id="8"/>
    <w:p w14:paraId="75221AF1" w14:textId="77777777" w:rsidR="00F34E63" w:rsidRPr="0005702E" w:rsidRDefault="00F34E63" w:rsidP="00F34E63">
      <w:pPr>
        <w:spacing w:after="0" w:line="276" w:lineRule="auto"/>
        <w:ind w:firstLine="709"/>
        <w:jc w:val="both"/>
        <w:rPr>
          <w:rFonts w:ascii="Verdana" w:hAnsi="Verdana" w:cs="Arial"/>
        </w:rPr>
      </w:pPr>
      <w:r w:rsidRPr="0005702E">
        <w:rPr>
          <w:rFonts w:ascii="Verdana" w:hAnsi="Verdana" w:cs="Arial"/>
        </w:rPr>
        <w:t xml:space="preserve">Por otro lado, se debe tener en cuenta que el contrato estatal se puede celebrar con la persona natural, verificándose que se encuentre </w:t>
      </w:r>
      <w:r w:rsidRPr="0005702E">
        <w:rPr>
          <w:rFonts w:ascii="Verdana" w:hAnsi="Verdana" w:cs="Arial"/>
          <w:i/>
        </w:rPr>
        <w:t>afiliada</w:t>
      </w:r>
      <w:r w:rsidRPr="0005702E">
        <w:rPr>
          <w:rFonts w:ascii="Verdana" w:hAnsi="Verdana" w:cs="Arial"/>
        </w:rPr>
        <w:t xml:space="preserve"> al Sistema de Seguridad Social Integral, así lo esté en calidad de cotizante dependiente; pero la persona, una vez celebrado el contrato, debe efectuar el reporte de la novedad de afiliación como trabajador independiente a cada </w:t>
      </w:r>
      <w:r w:rsidRPr="0005702E">
        <w:rPr>
          <w:rFonts w:ascii="Verdana" w:hAnsi="Verdana" w:cs="Arial"/>
        </w:rPr>
        <w:lastRenderedPageBreak/>
        <w:t>subsistema –salud, pensiones y riesgos laborales–, pues, es así como debe cotizar mes vencido, según la normativa actualmente aplicable. De manera que, si la persona natural se encontraba afiliada como cotizante dependiente al régimen contributivo y celebra un contrato de prestación de servicios profesionales o de apoyo a la gestión con una Entidad Estatal, debe reportar la novedad de afiliación como independiente y cotizar en esta calidad, demostrando el cumplimiento de este deber, como requisito para el pago, en los términos del artículo 23 de la Ley 1150 de 2007.</w:t>
      </w:r>
    </w:p>
    <w:p w14:paraId="47A450B5" w14:textId="77777777" w:rsidR="00500D81" w:rsidRDefault="00500D81" w:rsidP="00500D81">
      <w:pPr>
        <w:widowControl w:val="0"/>
        <w:autoSpaceDE w:val="0"/>
        <w:autoSpaceDN w:val="0"/>
        <w:spacing w:after="0" w:line="276" w:lineRule="auto"/>
        <w:ind w:firstLine="709"/>
        <w:jc w:val="both"/>
        <w:rPr>
          <w:rFonts w:ascii="Verdana" w:eastAsia="Arial" w:hAnsi="Verdana" w:cs="Arial"/>
          <w:lang w:val="es-ES"/>
        </w:rPr>
      </w:pPr>
    </w:p>
    <w:p w14:paraId="05B8FD15" w14:textId="77777777" w:rsidR="00500D81" w:rsidRDefault="00500D81" w:rsidP="00500D81">
      <w:pPr>
        <w:widowControl w:val="0"/>
        <w:autoSpaceDE w:val="0"/>
        <w:autoSpaceDN w:val="0"/>
        <w:spacing w:line="276" w:lineRule="auto"/>
        <w:jc w:val="both"/>
        <w:rPr>
          <w:rFonts w:ascii="Verdana" w:eastAsia="Arial" w:hAnsi="Verdana" w:cs="Arial"/>
          <w:lang w:val="es-ES"/>
        </w:rPr>
      </w:pPr>
      <w:proofErr w:type="spellStart"/>
      <w:r>
        <w:rPr>
          <w:rFonts w:ascii="Verdana" w:eastAsia="Arial" w:hAnsi="Verdana" w:cs="Arial"/>
          <w:lang w:val="es-ES"/>
        </w:rPr>
        <w:t>iii</w:t>
      </w:r>
      <w:proofErr w:type="spellEnd"/>
      <w:r>
        <w:rPr>
          <w:rFonts w:ascii="Verdana" w:eastAsia="Arial" w:hAnsi="Verdana" w:cs="Arial"/>
          <w:lang w:val="es-ES"/>
        </w:rPr>
        <w:t xml:space="preserve">. Ahora bien, la Ley 2381 de 2024 transforma el sistema de pensiones en 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Para efectos de las cotizaciones, el artículo 21 </w:t>
      </w:r>
      <w:r w:rsidRPr="00191494">
        <w:rPr>
          <w:rFonts w:ascii="Verdana" w:eastAsia="Arial" w:hAnsi="Verdana" w:cs="Arial"/>
          <w:i/>
          <w:iCs/>
          <w:lang w:val="es-ES"/>
        </w:rPr>
        <w:t>ibidem</w:t>
      </w:r>
      <w:r>
        <w:rPr>
          <w:rFonts w:ascii="Verdana" w:eastAsia="Arial" w:hAnsi="Verdana" w:cs="Arial"/>
          <w:lang w:val="es-ES"/>
        </w:rPr>
        <w:t xml:space="preserve"> dispone que “</w:t>
      </w:r>
      <w:r w:rsidRPr="00191494">
        <w:rPr>
          <w:rFonts w:ascii="Verdana" w:eastAsia="Arial" w:hAnsi="Verdana" w:cs="Arial"/>
          <w:lang w:val="es-ES"/>
        </w:rPr>
        <w:t>Responsabilidad por el pago de las cotizaciones. El(la) empleador(a), contratante de prestación de servicios o contratista, será responsable de realizar la cotización al Sistema de Protección Social Integral para la Vejez, invalidez y sobreviviente</w:t>
      </w:r>
      <w:r>
        <w:rPr>
          <w:rFonts w:ascii="Verdana" w:eastAsia="Arial" w:hAnsi="Verdana" w:cs="Arial"/>
          <w:lang w:val="es-ES"/>
        </w:rPr>
        <w:t>” –inciso 1–, de manera que “</w:t>
      </w:r>
      <w:r w:rsidRPr="00191494">
        <w:rPr>
          <w:rFonts w:ascii="Verdana" w:eastAsia="Arial" w:hAnsi="Verdana" w:cs="Arial"/>
          <w:lang w:val="es-ES"/>
        </w:rPr>
        <w:t>El(la) empleador(a), contratante de prestación de servicios o contratista asumirá el porcentaje que le corresponde y descontará el porcentaje del salario y/o honorarios a cargo del(la) trabajador(a) o contratista, en el momento del pago, si a ello hubiere lugar</w:t>
      </w:r>
      <w:r>
        <w:rPr>
          <w:rFonts w:ascii="Verdana" w:eastAsia="Arial" w:hAnsi="Verdana" w:cs="Arial"/>
          <w:lang w:val="es-ES"/>
        </w:rPr>
        <w:t>” –inciso 2–</w:t>
      </w:r>
      <w:r w:rsidRPr="00191494">
        <w:rPr>
          <w:rFonts w:ascii="Verdana" w:eastAsia="Arial" w:hAnsi="Verdana" w:cs="Arial"/>
          <w:lang w:val="es-ES"/>
        </w:rPr>
        <w:t>.</w:t>
      </w:r>
      <w:r>
        <w:rPr>
          <w:rFonts w:ascii="Verdana" w:eastAsia="Arial" w:hAnsi="Verdana" w:cs="Arial"/>
          <w:lang w:val="es-ES"/>
        </w:rPr>
        <w:t xml:space="preserve"> Con anterioridad a la reforma, donde el pago de la seguridad social en los contratos de prestación de servicios era responsabilidad exclusiva del contratista, la norma citada permite que la cotización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esté a cargo de la entidad contratante</w:t>
      </w:r>
      <w:r>
        <w:rPr>
          <w:rStyle w:val="Refdenotaalpie"/>
          <w:rFonts w:ascii="Verdana" w:eastAsia="Arial" w:hAnsi="Verdana" w:cs="Arial"/>
          <w:lang w:val="es-ES"/>
        </w:rPr>
        <w:footnoteReference w:id="6"/>
      </w:r>
      <w:r>
        <w:rPr>
          <w:rFonts w:ascii="Verdana" w:eastAsia="Arial" w:hAnsi="Verdana" w:cs="Arial"/>
          <w:lang w:val="es-ES"/>
        </w:rPr>
        <w:t xml:space="preserve">. </w:t>
      </w:r>
    </w:p>
    <w:p w14:paraId="24D1D37D" w14:textId="77777777" w:rsidR="00500D81" w:rsidRDefault="00500D81" w:rsidP="00500D81">
      <w:pPr>
        <w:widowControl w:val="0"/>
        <w:autoSpaceDE w:val="0"/>
        <w:autoSpaceDN w:val="0"/>
        <w:spacing w:after="0" w:line="276" w:lineRule="auto"/>
        <w:ind w:firstLine="708"/>
        <w:jc w:val="both"/>
        <w:rPr>
          <w:rFonts w:ascii="Verdana" w:eastAsia="Arial" w:hAnsi="Verdana" w:cs="Arial"/>
          <w:lang w:val="es-ES"/>
        </w:rPr>
      </w:pPr>
      <w:r>
        <w:rPr>
          <w:rFonts w:ascii="Verdana" w:eastAsia="Arial" w:hAnsi="Verdana" w:cs="Arial"/>
          <w:lang w:val="es-ES"/>
        </w:rPr>
        <w:lastRenderedPageBreak/>
        <w:t>Así, el artículo 21 de la Ley 2381 de 2024 indica que “</w:t>
      </w:r>
      <w:r w:rsidRPr="005134B9">
        <w:rPr>
          <w:rFonts w:ascii="Verdana" w:eastAsia="Arial" w:hAnsi="Verdana" w:cs="Arial"/>
          <w:lang w:val="es-ES"/>
        </w:rPr>
        <w:t>El(la) empleador(a)</w:t>
      </w:r>
      <w:r>
        <w:rPr>
          <w:rFonts w:ascii="Verdana" w:eastAsia="Arial" w:hAnsi="Verdana" w:cs="Arial"/>
          <w:lang w:val="es-ES"/>
        </w:rPr>
        <w:t>,</w:t>
      </w:r>
      <w:r w:rsidRPr="005134B9">
        <w:rPr>
          <w:rFonts w:ascii="Verdana" w:eastAsia="Arial" w:hAnsi="Verdana" w:cs="Arial"/>
          <w:lang w:val="es-ES"/>
        </w:rPr>
        <w:t xml:space="preserve"> contratante de prestación de servicios o contratista responderá por la totalidad de la cotización aún en el evento de que no hubiere efectuado el descuento al(la) trabajador(a), o afiliado</w:t>
      </w:r>
      <w:r>
        <w:rPr>
          <w:rFonts w:ascii="Verdana" w:eastAsia="Arial" w:hAnsi="Verdana" w:cs="Arial"/>
          <w:lang w:val="es-ES"/>
        </w:rPr>
        <w:t>” –inciso 3–. En todo caso, “</w:t>
      </w:r>
      <w:r w:rsidRPr="005134B9">
        <w:rPr>
          <w:rFonts w:ascii="Verdana" w:eastAsia="Arial" w:hAnsi="Verdana" w:cs="Arial"/>
          <w:lang w:val="es-ES"/>
        </w:rPr>
        <w:t>El(la) trabajador(a) independiente es el responsable de su propio pago. Los aportes podrán ser realizados por terceros a favor del afiliado sin que tal hecho implique por sí solo la existencia de una relación laboral, sin que por ello se entiendan habilitadas formas de contratación prohibidas expresamente por la ley</w:t>
      </w:r>
      <w:r>
        <w:rPr>
          <w:rFonts w:ascii="Verdana" w:eastAsia="Arial" w:hAnsi="Verdana" w:cs="Arial"/>
          <w:lang w:val="es-ES"/>
        </w:rPr>
        <w:t xml:space="preserve"> […]” –inciso 4–. Por lo demás, l</w:t>
      </w:r>
      <w:r w:rsidRPr="007610FC">
        <w:rPr>
          <w:rFonts w:ascii="Verdana" w:eastAsia="Arial" w:hAnsi="Verdana" w:cs="Arial"/>
          <w:lang w:val="es-ES"/>
        </w:rPr>
        <w:t>as cotizaciones que no se consignen dentro de los plazos señalados para el efecto gener</w:t>
      </w:r>
      <w:r>
        <w:rPr>
          <w:rFonts w:ascii="Verdana" w:eastAsia="Arial" w:hAnsi="Verdana" w:cs="Arial"/>
          <w:lang w:val="es-ES"/>
        </w:rPr>
        <w:t>an</w:t>
      </w:r>
      <w:r w:rsidRPr="007610FC">
        <w:rPr>
          <w:rFonts w:ascii="Verdana" w:eastAsia="Arial" w:hAnsi="Verdana" w:cs="Arial"/>
          <w:lang w:val="es-ES"/>
        </w:rPr>
        <w:t xml:space="preserve"> interés moratorio</w:t>
      </w:r>
      <w:r>
        <w:rPr>
          <w:rFonts w:ascii="Verdana" w:eastAsia="Arial" w:hAnsi="Verdana" w:cs="Arial"/>
          <w:lang w:val="es-ES"/>
        </w:rPr>
        <w:t xml:space="preserve">, el cual </w:t>
      </w:r>
      <w:r w:rsidRPr="007610FC">
        <w:rPr>
          <w:rFonts w:ascii="Verdana" w:eastAsia="Arial" w:hAnsi="Verdana" w:cs="Arial"/>
          <w:lang w:val="es-ES"/>
        </w:rPr>
        <w:t>se abonará proporcionalmente al fondo de reparto del Componente de Prima Media o en la cuenta individual del Componente Complementario de Ahorro Individual, según corresponda</w:t>
      </w:r>
      <w:r>
        <w:rPr>
          <w:rFonts w:ascii="Verdana" w:eastAsia="Arial" w:hAnsi="Verdana" w:cs="Arial"/>
          <w:lang w:val="es-ES"/>
        </w:rPr>
        <w:t xml:space="preserve"> –incisos 5 y 6–.</w:t>
      </w:r>
      <w:r w:rsidRPr="007610FC">
        <w:rPr>
          <w:rFonts w:ascii="Verdana" w:eastAsia="Arial" w:hAnsi="Verdana" w:cs="Arial"/>
          <w:lang w:val="es-ES"/>
        </w:rPr>
        <w:t xml:space="preserve"> </w:t>
      </w:r>
      <w:r>
        <w:rPr>
          <w:rFonts w:ascii="Verdana" w:eastAsia="Arial" w:hAnsi="Verdana" w:cs="Arial"/>
          <w:lang w:val="es-ES"/>
        </w:rPr>
        <w:t xml:space="preserve">Dicha norma está reglamentada en el artículo </w:t>
      </w:r>
      <w:r w:rsidRPr="00341036">
        <w:rPr>
          <w:rFonts w:ascii="Verdana" w:eastAsia="Arial" w:hAnsi="Verdana" w:cs="Arial"/>
          <w:lang w:val="es-ES"/>
        </w:rPr>
        <w:t>2.2.4.18.7</w:t>
      </w:r>
      <w:r>
        <w:rPr>
          <w:rFonts w:ascii="Verdana" w:eastAsia="Arial" w:hAnsi="Verdana" w:cs="Arial"/>
          <w:lang w:val="es-ES"/>
        </w:rPr>
        <w:t xml:space="preserve"> del Decreto 514 de 2025 en los siguientes términos:</w:t>
      </w:r>
    </w:p>
    <w:p w14:paraId="20AB397B" w14:textId="77777777" w:rsidR="00500D81" w:rsidRDefault="00500D81" w:rsidP="00500D81">
      <w:pPr>
        <w:widowControl w:val="0"/>
        <w:autoSpaceDE w:val="0"/>
        <w:autoSpaceDN w:val="0"/>
        <w:spacing w:after="0" w:line="276" w:lineRule="auto"/>
        <w:ind w:firstLine="708"/>
        <w:jc w:val="both"/>
        <w:rPr>
          <w:rFonts w:ascii="Verdana" w:eastAsia="Arial" w:hAnsi="Verdana" w:cs="Arial"/>
          <w:lang w:val="es-ES"/>
        </w:rPr>
      </w:pPr>
    </w:p>
    <w:p w14:paraId="63C8D9B4" w14:textId="77777777" w:rsidR="00500D81" w:rsidRPr="00DA4134" w:rsidRDefault="00500D81" w:rsidP="00500D81">
      <w:pPr>
        <w:widowControl w:val="0"/>
        <w:autoSpaceDE w:val="0"/>
        <w:autoSpaceDN w:val="0"/>
        <w:spacing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“En el marco de lo dispuesto por el artículo 21 de la Ley 2381 de 2024 cuando se celebren contratos de prestación de servicios el contratante y el contratista podrán acordar que será responsabilidad del contratante realizar la cotización al Sistema de Protección Social Integral para la Vejez, Invalidez y Muerte de origen común.</w:t>
      </w:r>
    </w:p>
    <w:p w14:paraId="2B54CD2C" w14:textId="77777777" w:rsidR="00500D81" w:rsidRPr="00DA4134" w:rsidRDefault="00500D81" w:rsidP="00500D81">
      <w:pPr>
        <w:widowControl w:val="0"/>
        <w:autoSpaceDE w:val="0"/>
        <w:autoSpaceDN w:val="0"/>
        <w:spacing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 xml:space="preserve">En este evento y, en virtud del principio de integralidad que rige el Sistema de Seguridad Social Integral, el contratante no solo será responsable de descontar de los honorarios del contratista, en el momento de su pago, el porcentaje de la cotización correspondiente al Sistema de Protección Social Integral para la Vejez, Invalidez y Muerte de origen común, </w:t>
      </w:r>
      <w:proofErr w:type="gramStart"/>
      <w:r w:rsidRPr="00DA4134">
        <w:rPr>
          <w:rFonts w:ascii="Verdana" w:eastAsia="Arial" w:hAnsi="Verdana" w:cs="Arial"/>
          <w:sz w:val="20"/>
          <w:szCs w:val="20"/>
          <w:lang w:val="es-ES"/>
        </w:rPr>
        <w:t>sino</w:t>
      </w:r>
      <w:proofErr w:type="gramEnd"/>
      <w:r w:rsidRPr="00DA4134">
        <w:rPr>
          <w:rFonts w:ascii="Verdana" w:eastAsia="Arial" w:hAnsi="Verdana" w:cs="Arial"/>
          <w:sz w:val="20"/>
          <w:szCs w:val="20"/>
          <w:lang w:val="es-ES"/>
        </w:rPr>
        <w:t xml:space="preserve"> además, los porcentajes de cotización correspondientes a los Sistemas Generales de Seguridad Social en Salud y de Riesgos Laborales.</w:t>
      </w:r>
    </w:p>
    <w:p w14:paraId="6F4FD158" w14:textId="77777777" w:rsidR="00500D81" w:rsidRPr="00DA4134" w:rsidRDefault="00500D81" w:rsidP="00500D81">
      <w:pPr>
        <w:widowControl w:val="0"/>
        <w:autoSpaceDE w:val="0"/>
        <w:autoSpaceDN w:val="0"/>
        <w:spacing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El contratante responderá por la totalidad de las cotizaciones a pensiones, salud y riesgos laborales, aún en el evento de que no hubiere efectuado el descuento al contratista.</w:t>
      </w:r>
    </w:p>
    <w:p w14:paraId="641F1E4B" w14:textId="77777777" w:rsidR="00500D81" w:rsidRPr="00DA4134" w:rsidRDefault="00500D81" w:rsidP="00500D81">
      <w:pPr>
        <w:widowControl w:val="0"/>
        <w:autoSpaceDE w:val="0"/>
        <w:autoSpaceDN w:val="0"/>
        <w:spacing w:after="0"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Parágrafo 1°. En caso de que no se acuerde que el pago de los aportes al Sistema de Seguridad Social Integral quedará a cargo del contratante, el contratista seguirá siendo el responsable de su propio pago”.</w:t>
      </w:r>
    </w:p>
    <w:p w14:paraId="18DA10DE" w14:textId="77777777" w:rsidR="00500D81" w:rsidRDefault="00500D81" w:rsidP="00500D81">
      <w:pPr>
        <w:widowControl w:val="0"/>
        <w:autoSpaceDE w:val="0"/>
        <w:autoSpaceDN w:val="0"/>
        <w:spacing w:after="0" w:line="276" w:lineRule="auto"/>
        <w:jc w:val="both"/>
        <w:rPr>
          <w:rFonts w:ascii="Verdana" w:eastAsia="Arial" w:hAnsi="Verdana" w:cs="Arial"/>
          <w:lang w:val="es-ES"/>
        </w:rPr>
      </w:pPr>
    </w:p>
    <w:p w14:paraId="00C5E487" w14:textId="77777777" w:rsidR="00500D81" w:rsidRDefault="00500D81" w:rsidP="00DA4134">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ab/>
        <w:t xml:space="preserve">De esta manera, las cotizaciones a cargo de las entidades que suscriben contratos de prestación de servicios no rigen de forma automática con la vigencia </w:t>
      </w:r>
      <w:r>
        <w:rPr>
          <w:rFonts w:ascii="Verdana" w:eastAsia="Arial" w:hAnsi="Verdana" w:cs="Arial"/>
          <w:lang w:val="es-ES"/>
        </w:rPr>
        <w:lastRenderedPageBreak/>
        <w:t xml:space="preserve">de la reforma pensional, sino que requiere pacto expreso con los contratistas. Esto supone la modificación de los contratos, pues son los documentos donde constan las obligaciones de las partes. De estar de acuerdo, la entidad contratante descontará de los honorarios la cotización tanto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como de los sistemas de salud y riesgos laborales; además, responderá por el monto de las cotizaciones, </w:t>
      </w:r>
      <w:r w:rsidRPr="001D27BC">
        <w:rPr>
          <w:rFonts w:ascii="Verdana" w:eastAsia="Arial" w:hAnsi="Verdana" w:cs="Arial"/>
          <w:lang w:val="es-ES"/>
        </w:rPr>
        <w:t xml:space="preserve">aún en el evento de que </w:t>
      </w:r>
      <w:r>
        <w:rPr>
          <w:rFonts w:ascii="Verdana" w:eastAsia="Arial" w:hAnsi="Verdana" w:cs="Arial"/>
          <w:lang w:val="es-ES"/>
        </w:rPr>
        <w:t>no efectuar</w:t>
      </w:r>
      <w:r w:rsidRPr="001D27BC">
        <w:rPr>
          <w:rFonts w:ascii="Verdana" w:eastAsia="Arial" w:hAnsi="Verdana" w:cs="Arial"/>
          <w:lang w:val="es-ES"/>
        </w:rPr>
        <w:t xml:space="preserve"> descuento</w:t>
      </w:r>
      <w:r>
        <w:rPr>
          <w:rFonts w:ascii="Verdana" w:eastAsia="Arial" w:hAnsi="Verdana" w:cs="Arial"/>
          <w:lang w:val="es-ES"/>
        </w:rPr>
        <w:t>s</w:t>
      </w:r>
      <w:r w:rsidRPr="001D27BC">
        <w:rPr>
          <w:rFonts w:ascii="Verdana" w:eastAsia="Arial" w:hAnsi="Verdana" w:cs="Arial"/>
          <w:lang w:val="es-ES"/>
        </w:rPr>
        <w:t xml:space="preserve"> a</w:t>
      </w:r>
      <w:r>
        <w:rPr>
          <w:rFonts w:ascii="Verdana" w:eastAsia="Arial" w:hAnsi="Verdana" w:cs="Arial"/>
          <w:lang w:val="es-ES"/>
        </w:rPr>
        <w:t xml:space="preserve"> </w:t>
      </w:r>
      <w:r w:rsidRPr="001D27BC">
        <w:rPr>
          <w:rFonts w:ascii="Verdana" w:eastAsia="Arial" w:hAnsi="Verdana" w:cs="Arial"/>
          <w:lang w:val="es-ES"/>
        </w:rPr>
        <w:t>l</w:t>
      </w:r>
      <w:r>
        <w:rPr>
          <w:rFonts w:ascii="Verdana" w:eastAsia="Arial" w:hAnsi="Verdana" w:cs="Arial"/>
          <w:lang w:val="es-ES"/>
        </w:rPr>
        <w:t>os</w:t>
      </w:r>
      <w:r w:rsidRPr="001D27BC">
        <w:rPr>
          <w:rFonts w:ascii="Verdana" w:eastAsia="Arial" w:hAnsi="Verdana" w:cs="Arial"/>
          <w:lang w:val="es-ES"/>
        </w:rPr>
        <w:t xml:space="preserve"> contratista</w:t>
      </w:r>
      <w:r>
        <w:rPr>
          <w:rFonts w:ascii="Verdana" w:eastAsia="Arial" w:hAnsi="Verdana" w:cs="Arial"/>
          <w:lang w:val="es-ES"/>
        </w:rPr>
        <w:t>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facultativa, no obligatoria.</w:t>
      </w:r>
    </w:p>
    <w:p w14:paraId="42DCB448" w14:textId="77777777" w:rsidR="00500D81" w:rsidRPr="00225440" w:rsidRDefault="00500D81" w:rsidP="00DA4134">
      <w:pPr>
        <w:widowControl w:val="0"/>
        <w:autoSpaceDE w:val="0"/>
        <w:autoSpaceDN w:val="0"/>
        <w:spacing w:after="120" w:line="276" w:lineRule="auto"/>
        <w:ind w:firstLine="708"/>
        <w:jc w:val="both"/>
        <w:rPr>
          <w:rFonts w:ascii="Verdana" w:eastAsia="Arial" w:hAnsi="Verdana" w:cs="Arial"/>
          <w:lang w:val="es-ES"/>
        </w:rPr>
      </w:pPr>
      <w:r>
        <w:rPr>
          <w:rFonts w:ascii="Verdana" w:eastAsia="Arial" w:hAnsi="Verdana" w:cs="Arial"/>
          <w:lang w:val="es-ES"/>
        </w:rPr>
        <w:t xml:space="preserve">Con todo, en caso de que, conforme a lo dispuesto en el artículo </w:t>
      </w:r>
      <w:r w:rsidRPr="00341036">
        <w:rPr>
          <w:rFonts w:ascii="Verdana" w:eastAsia="Arial" w:hAnsi="Verdana" w:cs="Arial"/>
          <w:lang w:val="es-ES"/>
        </w:rPr>
        <w:t>2.2.4.18.7</w:t>
      </w:r>
      <w:r>
        <w:rPr>
          <w:rFonts w:ascii="Verdana" w:eastAsia="Arial" w:hAnsi="Verdana" w:cs="Arial"/>
          <w:lang w:val="es-ES"/>
        </w:rPr>
        <w:t xml:space="preserve"> del Decreto 514 de 2025, se acuerde que la entidad contratante será la responsable de realizar el pago de las cotizaciones, ésta deberá aplicar lo dispuesto en la Resolución 2388 de 2016</w:t>
      </w:r>
      <w:r>
        <w:rPr>
          <w:rFonts w:ascii="Verdana" w:eastAsia="Arial" w:hAnsi="Verdana" w:cs="Arial"/>
        </w:rPr>
        <w:t xml:space="preserve"> del Ministerio de Salud y Protección Social </w:t>
      </w:r>
      <w:r w:rsidRPr="00225440">
        <w:rPr>
          <w:rFonts w:ascii="Verdana" w:eastAsia="Arial" w:hAnsi="Verdana" w:cs="Arial"/>
          <w:i/>
          <w:iCs/>
        </w:rPr>
        <w:t>“Por la cual se</w:t>
      </w:r>
      <w:r>
        <w:rPr>
          <w:rFonts w:ascii="Verdana" w:eastAsia="Arial" w:hAnsi="Verdana" w:cs="Arial"/>
          <w:i/>
          <w:iCs/>
        </w:rPr>
        <w:t xml:space="preserve"> </w:t>
      </w:r>
      <w:r w:rsidRPr="00225440">
        <w:rPr>
          <w:rFonts w:ascii="Verdana" w:eastAsia="Arial" w:hAnsi="Verdana" w:cs="Arial"/>
          <w:i/>
          <w:iCs/>
        </w:rPr>
        <w:t>unifican las reglas para el recaudo de aportes al Sistema de Seguridad Social</w:t>
      </w:r>
      <w:r>
        <w:rPr>
          <w:rFonts w:ascii="Verdana" w:eastAsia="Arial" w:hAnsi="Verdana" w:cs="Arial"/>
          <w:i/>
          <w:iCs/>
        </w:rPr>
        <w:t xml:space="preserve"> </w:t>
      </w:r>
      <w:r w:rsidRPr="00225440">
        <w:rPr>
          <w:rFonts w:ascii="Verdana" w:eastAsia="Arial" w:hAnsi="Verdana" w:cs="Arial"/>
          <w:i/>
          <w:iCs/>
        </w:rPr>
        <w:t>Integral y Parafiscales"</w:t>
      </w:r>
      <w:r>
        <w:rPr>
          <w:rFonts w:ascii="Verdana" w:eastAsia="Arial" w:hAnsi="Verdana" w:cs="Arial"/>
          <w:i/>
          <w:iCs/>
        </w:rPr>
        <w:t xml:space="preserve">, </w:t>
      </w:r>
      <w:r>
        <w:rPr>
          <w:rFonts w:ascii="Verdana" w:eastAsia="Arial" w:hAnsi="Verdana" w:cs="Arial"/>
        </w:rPr>
        <w:t xml:space="preserve">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 </w:t>
      </w:r>
    </w:p>
    <w:p w14:paraId="27FD1290" w14:textId="77777777" w:rsidR="00500D81" w:rsidRDefault="00500D81" w:rsidP="00DA4134">
      <w:pPr>
        <w:widowControl w:val="0"/>
        <w:autoSpaceDE w:val="0"/>
        <w:autoSpaceDN w:val="0"/>
        <w:spacing w:after="120" w:line="276" w:lineRule="auto"/>
        <w:ind w:firstLine="708"/>
        <w:jc w:val="both"/>
        <w:rPr>
          <w:rFonts w:ascii="Verdana" w:hAnsi="Verdana" w:cs="Arial"/>
        </w:rPr>
      </w:pPr>
      <w:r>
        <w:rPr>
          <w:rFonts w:ascii="Verdana" w:eastAsia="Arial" w:hAnsi="Verdana" w:cs="Arial"/>
          <w:lang w:val="es-ES"/>
        </w:rPr>
        <w:t xml:space="preserve">Finalmente, los artículos 21 de la Ley 2381 de 2024 y </w:t>
      </w:r>
      <w:r w:rsidRPr="00341036">
        <w:rPr>
          <w:rFonts w:ascii="Verdana" w:eastAsia="Arial" w:hAnsi="Verdana" w:cs="Arial"/>
          <w:lang w:val="es-ES"/>
        </w:rPr>
        <w:t>2.2.4.18.7</w:t>
      </w:r>
      <w:r>
        <w:rPr>
          <w:rFonts w:ascii="Verdana" w:eastAsia="Arial" w:hAnsi="Verdana" w:cs="Arial"/>
          <w:lang w:val="es-ES"/>
        </w:rPr>
        <w:t xml:space="preserve"> del Decreto 514 de 2025 son aplicables tanto a los contratos de prestación de servicios con personas naturales como a aquellos suscritos con personas jurídicas, pues de las normas citadas no se desprende un trato diferencial al respecto. </w:t>
      </w:r>
      <w:r>
        <w:rPr>
          <w:rFonts w:ascii="Verdana" w:hAnsi="Verdana" w:cs="Arial"/>
        </w:rPr>
        <w:t xml:space="preserve">Aunque </w:t>
      </w:r>
      <w:r w:rsidRPr="001D2AE5">
        <w:rPr>
          <w:rFonts w:ascii="Verdana" w:eastAsia="Calibri" w:hAnsi="Verdana" w:cs="Arial"/>
          <w:bCs/>
          <w:lang w:val="es-MX" w:eastAsia="es-ES_tradnl"/>
        </w:rPr>
        <w:t>el artículo 32.3</w:t>
      </w:r>
      <w:r>
        <w:rPr>
          <w:rFonts w:ascii="Verdana" w:eastAsia="Calibri" w:hAnsi="Verdana" w:cs="Arial"/>
          <w:bCs/>
          <w:lang w:val="es-MX" w:eastAsia="es-ES_tradnl"/>
        </w:rPr>
        <w:t xml:space="preserve"> del EGCAP dispone que “[…]</w:t>
      </w:r>
      <w:r w:rsidRPr="00D932B3">
        <w:rPr>
          <w:rFonts w:ascii="Verdana" w:eastAsia="Calibri" w:hAnsi="Verdana" w:cs="Arial"/>
          <w:bCs/>
          <w:lang w:val="es-MX" w:eastAsia="es-ES_tradnl"/>
        </w:rPr>
        <w:t xml:space="preserve"> </w:t>
      </w:r>
      <w:r w:rsidRPr="00DB2931">
        <w:rPr>
          <w:rFonts w:ascii="Verdana" w:eastAsia="Calibri" w:hAnsi="Verdana" w:cs="Arial"/>
          <w:bCs/>
          <w:lang w:val="es-MX" w:eastAsia="es-ES_tradnl"/>
        </w:rPr>
        <w:t>sólo podrán celebrarse con personas naturales cuando dichas actividades no puedan realizarse con personal de planta o requieran conocimientos especializados</w:t>
      </w:r>
      <w:r>
        <w:rPr>
          <w:rFonts w:ascii="Verdana" w:eastAsia="Calibri" w:hAnsi="Verdana" w:cs="Arial"/>
          <w:bCs/>
          <w:lang w:val="es-MX" w:eastAsia="es-ES_tradnl"/>
        </w:rPr>
        <w:t xml:space="preserve">”, </w:t>
      </w:r>
      <w:r>
        <w:rPr>
          <w:rFonts w:ascii="Verdana" w:hAnsi="Verdana" w:cs="Arial"/>
        </w:rPr>
        <w:t>la Sección Tercera del Consejo de Estado también ha sostenido que “</w:t>
      </w:r>
      <w:r w:rsidRPr="001F45BC">
        <w:rPr>
          <w:rFonts w:ascii="Verdana" w:hAnsi="Verdana" w:cs="Arial"/>
        </w:rPr>
        <w:t xml:space="preserve">Es posible su celebración con personas naturales o con personas jurídicas. Con personas naturales cuando se trate de desarrollar actividades relacionadas con la administración o el funcionamiento de la entidad que no puedan realizarse con personal de planta o requieran conocimientos especializados. Y, </w:t>
      </w:r>
      <w:r w:rsidRPr="001F45BC">
        <w:rPr>
          <w:rFonts w:ascii="Verdana" w:hAnsi="Verdana" w:cs="Arial"/>
          <w:i/>
          <w:iCs/>
        </w:rPr>
        <w:t xml:space="preserve">no obstante que la norma no lo señala, es conforme a derecho concluir que también es admisible </w:t>
      </w:r>
      <w:r w:rsidRPr="001F45BC">
        <w:rPr>
          <w:rFonts w:ascii="Verdana" w:hAnsi="Verdana" w:cs="Arial"/>
          <w:i/>
          <w:iCs/>
        </w:rPr>
        <w:lastRenderedPageBreak/>
        <w:t>suscribir este tipo de contratos con personas jurídicas</w:t>
      </w:r>
      <w:r>
        <w:rPr>
          <w:rFonts w:ascii="Verdana" w:hAnsi="Verdana" w:cs="Arial"/>
        </w:rPr>
        <w:t xml:space="preserve"> […]”</w:t>
      </w:r>
      <w:r>
        <w:rPr>
          <w:rStyle w:val="Refdenotaalpie"/>
          <w:rFonts w:ascii="Verdana" w:hAnsi="Verdana" w:cs="Arial"/>
        </w:rPr>
        <w:footnoteReference w:id="7"/>
      </w:r>
      <w:r>
        <w:rPr>
          <w:rFonts w:ascii="Verdana" w:hAnsi="Verdana" w:cs="Arial"/>
        </w:rPr>
        <w:t xml:space="preserve"> (Énfasis fuera de texto)</w:t>
      </w:r>
      <w:bookmarkEnd w:id="2"/>
    </w:p>
    <w:p w14:paraId="58CC2C47" w14:textId="77777777" w:rsidR="00500D81" w:rsidRPr="008415A2" w:rsidRDefault="00500D81" w:rsidP="00500D81">
      <w:pPr>
        <w:spacing w:after="120" w:line="276" w:lineRule="auto"/>
        <w:jc w:val="both"/>
        <w:rPr>
          <w:rFonts w:ascii="Verdana" w:hAnsi="Verdana"/>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BCB9548" w14:textId="77777777" w:rsidR="00500D81" w:rsidRDefault="00500D81" w:rsidP="00500D81">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E853DE">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3C2ABDCD" w14:textId="77777777" w:rsidR="00500D81" w:rsidRPr="00046677" w:rsidRDefault="00500D81" w:rsidP="00046677">
      <w:pPr>
        <w:spacing w:after="0" w:line="276" w:lineRule="auto"/>
        <w:ind w:firstLine="708"/>
        <w:jc w:val="both"/>
        <w:rPr>
          <w:rFonts w:ascii="Verdana" w:eastAsia="Calibri" w:hAnsi="Verdana" w:cs="Arial"/>
          <w:bCs/>
          <w:color w:val="000000" w:themeColor="text1"/>
        </w:rPr>
      </w:pPr>
    </w:p>
    <w:p w14:paraId="4EC048B9" w14:textId="77777777" w:rsidR="00500D81" w:rsidRPr="00046677" w:rsidRDefault="00500D81" w:rsidP="00046677">
      <w:pPr>
        <w:spacing w:after="0" w:line="276" w:lineRule="auto"/>
        <w:jc w:val="both"/>
        <w:rPr>
          <w:rFonts w:ascii="Verdana" w:eastAsia="Calibri" w:hAnsi="Verdana" w:cs="Arial"/>
          <w:bCs/>
          <w:color w:val="000000" w:themeColor="text1"/>
        </w:rPr>
      </w:pPr>
      <w:r w:rsidRPr="00046677">
        <w:rPr>
          <w:rFonts w:ascii="Verdana" w:eastAsia="Century Gothic" w:hAnsi="Verdana" w:cs="Century Gothic"/>
          <w:b/>
          <w:bCs/>
        </w:rPr>
        <w:t>4. Referencias normativas:</w:t>
      </w:r>
    </w:p>
    <w:p w14:paraId="41B2C696" w14:textId="77777777" w:rsidR="00500D81" w:rsidRPr="00046677" w:rsidRDefault="00500D81" w:rsidP="0004667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0D81" w:rsidRPr="00046677" w14:paraId="42B2EA66" w14:textId="77777777" w:rsidTr="005A3D07">
        <w:trPr>
          <w:trHeight w:val="870"/>
          <w:jc w:val="center"/>
        </w:trPr>
        <w:tc>
          <w:tcPr>
            <w:tcW w:w="8647" w:type="dxa"/>
          </w:tcPr>
          <w:p w14:paraId="0279391E" w14:textId="77777777" w:rsidR="00500D81" w:rsidRPr="00046677" w:rsidRDefault="00500D81" w:rsidP="00046677">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80 de 1993, artículo 32 y 41.</w:t>
            </w:r>
          </w:p>
          <w:p w14:paraId="7F90F874" w14:textId="77777777" w:rsidR="00500D81" w:rsidRPr="00046677" w:rsidRDefault="00500D81" w:rsidP="00046677">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789 de 2002, artículo 50.</w:t>
            </w:r>
          </w:p>
          <w:p w14:paraId="7798820F" w14:textId="77777777" w:rsidR="00500D81" w:rsidRPr="00046677" w:rsidRDefault="00500D81" w:rsidP="00046677">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2381 de 2024, artículos 7 y 21.</w:t>
            </w:r>
          </w:p>
          <w:p w14:paraId="30C27D66" w14:textId="77777777" w:rsidR="00500D81" w:rsidRPr="00046677" w:rsidRDefault="00500D81" w:rsidP="00046677">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Decreto 514 de 2025, artículo 2.2.4.18.7.</w:t>
            </w:r>
          </w:p>
          <w:p w14:paraId="305186F3" w14:textId="77777777" w:rsidR="00500D81" w:rsidRPr="00046677" w:rsidRDefault="00500D81" w:rsidP="00046677">
            <w:pPr>
              <w:pStyle w:val="Prrafodelista"/>
              <w:widowControl w:val="0"/>
              <w:numPr>
                <w:ilvl w:val="0"/>
                <w:numId w:val="16"/>
              </w:numPr>
              <w:autoSpaceDE w:val="0"/>
              <w:autoSpaceDN w:val="0"/>
              <w:spacing w:line="276" w:lineRule="auto"/>
              <w:ind w:left="714" w:hanging="357"/>
              <w:contextualSpacing w:val="0"/>
              <w:jc w:val="both"/>
              <w:rPr>
                <w:rFonts w:ascii="Verdana" w:hAnsi="Verdana" w:cs="Arial"/>
              </w:rPr>
            </w:pPr>
            <w:r w:rsidRPr="00046677">
              <w:rPr>
                <w:rFonts w:ascii="Verdana" w:hAnsi="Verdana" w:cs="Arial"/>
              </w:rPr>
              <w:t xml:space="preserve">Resoluciones </w:t>
            </w:r>
            <w:r w:rsidRPr="00046677">
              <w:rPr>
                <w:rFonts w:ascii="Verdana" w:eastAsia="Arial" w:hAnsi="Verdana" w:cs="Arial"/>
              </w:rPr>
              <w:t>2388 de 2016 y 467 de 2025 del Ministerio de Salud y Protección Social.</w:t>
            </w:r>
          </w:p>
        </w:tc>
      </w:tr>
    </w:tbl>
    <w:p w14:paraId="64D727E4" w14:textId="77777777" w:rsidR="00500D81" w:rsidRPr="00046677" w:rsidRDefault="00500D81" w:rsidP="0004667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D2231B1" w14:textId="77777777" w:rsidR="00500D81" w:rsidRPr="00046677" w:rsidRDefault="00500D81" w:rsidP="0004667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046677">
        <w:rPr>
          <w:rFonts w:ascii="Verdana" w:eastAsia="Century Gothic" w:hAnsi="Verdana" w:cs="Century Gothic"/>
          <w:b/>
          <w:bCs/>
        </w:rPr>
        <w:t>5. Doctrina de la Agencia Nacional de Contratación Pública:</w:t>
      </w:r>
    </w:p>
    <w:p w14:paraId="13D9214E" w14:textId="77777777" w:rsidR="00500D81" w:rsidRPr="00046677" w:rsidRDefault="00500D81" w:rsidP="00046677">
      <w:pPr>
        <w:widowControl w:val="0"/>
        <w:autoSpaceDE w:val="0"/>
        <w:autoSpaceDN w:val="0"/>
        <w:spacing w:after="0" w:line="276" w:lineRule="auto"/>
        <w:jc w:val="both"/>
        <w:rPr>
          <w:rFonts w:ascii="Verdana" w:hAnsi="Verdana" w:cs="Arial"/>
        </w:rPr>
      </w:pPr>
    </w:p>
    <w:p w14:paraId="0BDF6430" w14:textId="71839CF8" w:rsidR="00500D81" w:rsidRPr="00046677" w:rsidRDefault="00500D81" w:rsidP="00046677">
      <w:pPr>
        <w:widowControl w:val="0"/>
        <w:autoSpaceDE w:val="0"/>
        <w:autoSpaceDN w:val="0"/>
        <w:spacing w:after="0" w:line="276" w:lineRule="auto"/>
        <w:jc w:val="both"/>
        <w:rPr>
          <w:rStyle w:val="normaltextrun"/>
          <w:rFonts w:ascii="Verdana" w:hAnsi="Verdana" w:cs="Arial"/>
          <w:shd w:val="clear" w:color="auto" w:fill="FFFFFF"/>
        </w:rPr>
      </w:pPr>
      <w:r w:rsidRPr="00046677">
        <w:rPr>
          <w:rFonts w:ascii="Verdana" w:hAnsi="Verdana" w:cs="Arial"/>
          <w:shd w:val="clear" w:color="auto" w:fill="FFFFFF"/>
        </w:rPr>
        <w:t>Esta Subdirección se ha pronunciado sobre el régimen de seguridad social en los Conceptos 42019130000005594 de 30 de septiembre de 2019, 4201913000006384 de 21 de octubre de 2019, 4201912000007492 de 17 de diciembre de 2019, C-040 de 5 de febrero de 2020, C-042 de 5 de febrero de 2020, C-134 del 7 de abril 2021, C-038 del 1° de marzo de 2022, C-712 del 13 de octubre del 2022, C-192 del 13 de junio del 2023, C-054 del 19 de abril del 2023, C-423 del 12 de octubre de 2023, C-448 del 26 de diciembre de 2023</w:t>
      </w:r>
      <w:r w:rsidR="00DA6FC6">
        <w:rPr>
          <w:rFonts w:ascii="Verdana" w:hAnsi="Verdana" w:cs="Arial"/>
          <w:shd w:val="clear" w:color="auto" w:fill="FFFFFF"/>
        </w:rPr>
        <w:t>, C-559 del 11 de septiembre de 2024,</w:t>
      </w:r>
      <w:r w:rsidRPr="00046677">
        <w:rPr>
          <w:rFonts w:ascii="Verdana" w:hAnsi="Verdana" w:cs="Arial"/>
          <w:shd w:val="clear" w:color="auto" w:fill="FFFFFF"/>
        </w:rPr>
        <w:t xml:space="preserve"> C-585 del 24 de junio de 2025</w:t>
      </w:r>
      <w:r w:rsidR="00CE446C">
        <w:rPr>
          <w:rFonts w:ascii="Verdana" w:hAnsi="Verdana" w:cs="Arial"/>
          <w:shd w:val="clear" w:color="auto" w:fill="FFFFFF"/>
        </w:rPr>
        <w:t>,</w:t>
      </w:r>
      <w:r w:rsidRPr="00046677">
        <w:rPr>
          <w:rFonts w:ascii="Verdana" w:hAnsi="Verdana" w:cs="Arial"/>
          <w:shd w:val="clear" w:color="auto" w:fill="FFFFFF"/>
        </w:rPr>
        <w:t xml:space="preserve"> C-655 del 17 de junio de 2025</w:t>
      </w:r>
      <w:r w:rsidR="00CE446C">
        <w:rPr>
          <w:rFonts w:ascii="Verdana" w:hAnsi="Verdana" w:cs="Arial"/>
          <w:shd w:val="clear" w:color="auto" w:fill="FFFFFF"/>
        </w:rPr>
        <w:t xml:space="preserve"> y C-918 del 18 de agosto de 2025</w:t>
      </w:r>
      <w:r w:rsidRPr="00046677">
        <w:rPr>
          <w:rFonts w:ascii="Verdana" w:hAnsi="Verdana" w:cs="Arial"/>
          <w:shd w:val="clear" w:color="auto" w:fill="FFFFFF"/>
        </w:rPr>
        <w:t>. Estos y otros se encuentran disponibles para consulta en el Sistema de relatoría de la Agencia, al cual puede accederse a través del siguiente enlace:</w:t>
      </w:r>
      <w:r w:rsidRPr="00046677">
        <w:rPr>
          <w:rStyle w:val="normaltextrun"/>
          <w:rFonts w:ascii="Verdana" w:hAnsi="Verdana" w:cs="Arial"/>
          <w:shd w:val="clear" w:color="auto" w:fill="FFFFFF"/>
        </w:rPr>
        <w:t xml:space="preserve"> </w:t>
      </w:r>
      <w:hyperlink r:id="rId12" w:history="1">
        <w:r w:rsidRPr="00046677">
          <w:rPr>
            <w:rStyle w:val="Hipervnculo"/>
            <w:rFonts w:ascii="Verdana" w:hAnsi="Verdana" w:cs="Arial"/>
            <w:shd w:val="clear" w:color="auto" w:fill="FFFFFF"/>
          </w:rPr>
          <w:t>https://relatoria.colombiacompra.gov.co/busqueda/conceptos</w:t>
        </w:r>
      </w:hyperlink>
    </w:p>
    <w:p w14:paraId="1413376B" w14:textId="77777777" w:rsidR="00500D81" w:rsidRPr="00046677" w:rsidRDefault="00500D81" w:rsidP="00046677">
      <w:pPr>
        <w:widowControl w:val="0"/>
        <w:autoSpaceDE w:val="0"/>
        <w:autoSpaceDN w:val="0"/>
        <w:spacing w:after="0" w:line="276" w:lineRule="auto"/>
        <w:jc w:val="both"/>
        <w:rPr>
          <w:rFonts w:ascii="Verdana" w:hAnsi="Verdana" w:cs="Arial"/>
          <w:color w:val="000000" w:themeColor="text1"/>
          <w:shd w:val="clear" w:color="auto" w:fill="FFFFFF"/>
        </w:rPr>
      </w:pPr>
    </w:p>
    <w:p w14:paraId="4041BD44" w14:textId="77777777" w:rsidR="00500D81" w:rsidRPr="00046677" w:rsidRDefault="00500D81" w:rsidP="00046677">
      <w:pPr>
        <w:shd w:val="clear" w:color="auto" w:fill="FFFFFF"/>
        <w:spacing w:after="0" w:line="276" w:lineRule="auto"/>
        <w:jc w:val="both"/>
        <w:rPr>
          <w:rFonts w:ascii="Verdana" w:hAnsi="Verdana"/>
          <w:color w:val="467886"/>
          <w:u w:val="single"/>
        </w:rPr>
      </w:pPr>
      <w:r w:rsidRPr="00046677">
        <w:rPr>
          <w:rFonts w:ascii="Verdana" w:hAnsi="Verdana"/>
          <w:color w:val="000000"/>
        </w:rPr>
        <w:t>Te informamos que ya se encuentra disponible la </w:t>
      </w:r>
      <w:r w:rsidRPr="00046677">
        <w:rPr>
          <w:rFonts w:ascii="Verdana" w:hAnsi="Verdana"/>
          <w:b/>
          <w:bCs/>
          <w:color w:val="000000"/>
        </w:rPr>
        <w:t>Guía de lineamientos de transparencia y selección objetiva para el departamento de La Guajira – Objetivo sexto constitucional de la Sentencia T-302 del 2017. </w:t>
      </w:r>
      <w:r w:rsidRPr="00046677">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46677">
        <w:rPr>
          <w:rFonts w:ascii="Verdana" w:hAnsi="Verdana"/>
          <w:color w:val="000000"/>
        </w:rPr>
        <w:t>Wayúu</w:t>
      </w:r>
      <w:proofErr w:type="spellEnd"/>
      <w:r w:rsidRPr="00046677">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46677">
          <w:rPr>
            <w:rStyle w:val="Hipervnculo"/>
            <w:rFonts w:ascii="Verdana" w:hAnsi="Verdana"/>
          </w:rPr>
          <w:t xml:space="preserve">Guía de lineamientos de transparencia y selección </w:t>
        </w:r>
        <w:r w:rsidRPr="00046677">
          <w:rPr>
            <w:rStyle w:val="Hipervnculo"/>
            <w:rFonts w:ascii="Verdana" w:hAnsi="Verdana"/>
          </w:rPr>
          <w:lastRenderedPageBreak/>
          <w:t>objetiva para el departamento de La Guajira – Objetivo sexto constitucional de la Sentencia T-302 del 2017</w:t>
        </w:r>
      </w:hyperlink>
      <w:r w:rsidRPr="00046677">
        <w:rPr>
          <w:rFonts w:ascii="Verdana" w:hAnsi="Verdana"/>
          <w:color w:val="000000"/>
          <w:u w:val="single"/>
        </w:rPr>
        <w:t>".</w:t>
      </w:r>
    </w:p>
    <w:p w14:paraId="3506B8CA" w14:textId="77777777" w:rsidR="00500D81" w:rsidRPr="00046677" w:rsidRDefault="00500D81" w:rsidP="00046677">
      <w:pPr>
        <w:shd w:val="clear" w:color="auto" w:fill="FFFFFF"/>
        <w:spacing w:after="0" w:line="276" w:lineRule="auto"/>
        <w:jc w:val="both"/>
        <w:rPr>
          <w:rFonts w:ascii="Verdana" w:hAnsi="Verdana" w:cs="Arial"/>
          <w:color w:val="FF0000"/>
          <w:shd w:val="clear" w:color="auto" w:fill="FFFFFF"/>
          <w:lang w:val="es-ES_tradnl"/>
        </w:rPr>
      </w:pPr>
      <w:r w:rsidRPr="00046677">
        <w:rPr>
          <w:rFonts w:ascii="Verdana" w:hAnsi="Verdana" w:cs="Arial"/>
          <w:color w:val="000000" w:themeColor="text1"/>
          <w:shd w:val="clear" w:color="auto" w:fill="FFFFFF"/>
          <w:lang w:val="es-ES_tradnl"/>
        </w:rPr>
        <w:t xml:space="preserve"> </w:t>
      </w:r>
      <w:r w:rsidRPr="00046677">
        <w:rPr>
          <w:rStyle w:val="normaltextrun"/>
          <w:rFonts w:ascii="Verdana" w:hAnsi="Verdana" w:cs="Arial"/>
          <w:color w:val="FF0000"/>
          <w:shd w:val="clear" w:color="auto" w:fill="FFFFFF"/>
          <w:lang w:val="es-ES_tradnl"/>
        </w:rPr>
        <w:t xml:space="preserve">        </w:t>
      </w:r>
    </w:p>
    <w:p w14:paraId="5DEBE41D" w14:textId="77777777" w:rsidR="00500D81" w:rsidRPr="00046677" w:rsidRDefault="00500D81" w:rsidP="00046677">
      <w:pPr>
        <w:widowControl w:val="0"/>
        <w:autoSpaceDE w:val="0"/>
        <w:autoSpaceDN w:val="0"/>
        <w:spacing w:after="0" w:line="276" w:lineRule="auto"/>
        <w:jc w:val="both"/>
        <w:rPr>
          <w:rFonts w:ascii="Verdana" w:hAnsi="Verdana" w:cs="Arial"/>
          <w:lang w:val="es-ES_tradnl"/>
        </w:rPr>
      </w:pPr>
      <w:r w:rsidRPr="00046677">
        <w:rPr>
          <w:rFonts w:ascii="Verdana" w:hAnsi="Verdana" w:cs="Arial"/>
        </w:rPr>
        <w:t xml:space="preserve">Este concepto tiene el alcance previsto en el artículo 28 del Código de Procedimiento Administrativo y de lo Contencioso Administrativo </w:t>
      </w:r>
      <w:r w:rsidRPr="00046677">
        <w:rPr>
          <w:rFonts w:ascii="Verdana" w:hAnsi="Verdana" w:cs="Arial"/>
          <w:lang w:val="es-ES_tradnl"/>
        </w:rPr>
        <w:t>y las expresiones aquí utilizadas con mayúscula inicial deben ser entendidas con el significado que les otorga el artículo 2.2.1.1.1.3.1. del Decreto 1082 de 2015.</w:t>
      </w:r>
    </w:p>
    <w:p w14:paraId="3D9B185C" w14:textId="77777777" w:rsidR="00500D81" w:rsidRPr="00046677" w:rsidRDefault="00500D81" w:rsidP="00046677">
      <w:pPr>
        <w:widowControl w:val="0"/>
        <w:autoSpaceDE w:val="0"/>
        <w:autoSpaceDN w:val="0"/>
        <w:spacing w:after="0" w:line="276" w:lineRule="auto"/>
        <w:jc w:val="both"/>
        <w:rPr>
          <w:rFonts w:ascii="Verdana" w:hAnsi="Verdana" w:cs="Arial"/>
        </w:rPr>
      </w:pPr>
    </w:p>
    <w:p w14:paraId="02024383" w14:textId="77777777" w:rsidR="00500D81" w:rsidRPr="00046677" w:rsidRDefault="00500D81" w:rsidP="00DA4134">
      <w:pPr>
        <w:spacing w:after="0" w:line="276" w:lineRule="auto"/>
        <w:rPr>
          <w:rFonts w:ascii="Verdana" w:hAnsi="Verdana" w:cs="Arial"/>
          <w:lang w:eastAsia="es-CO"/>
        </w:rPr>
      </w:pPr>
      <w:r w:rsidRPr="00046677">
        <w:rPr>
          <w:rFonts w:ascii="Verdana" w:eastAsia="Times New Roman" w:hAnsi="Verdana" w:cs="Arial"/>
          <w:lang w:eastAsia="es-CO"/>
        </w:rPr>
        <w:t>Atentamente,</w:t>
      </w:r>
      <w:r w:rsidRPr="00046677">
        <w:rPr>
          <w:rFonts w:ascii="Verdana" w:hAnsi="Verdana" w:cs="Arial"/>
          <w:lang w:eastAsia="es-CO"/>
        </w:rPr>
        <w:t xml:space="preserve"> </w:t>
      </w:r>
    </w:p>
    <w:p w14:paraId="2BE4B402" w14:textId="0F2C6010" w:rsidR="00500D81" w:rsidRPr="00593A5F" w:rsidRDefault="002621D5" w:rsidP="00500D81">
      <w:pPr>
        <w:spacing w:line="276" w:lineRule="auto"/>
        <w:jc w:val="center"/>
        <w:rPr>
          <w:rFonts w:ascii="Verdana" w:hAnsi="Verdana" w:cs="Arial"/>
          <w:color w:val="000000"/>
          <w:lang w:val="es-ES_tradnl" w:eastAsia="es-CO"/>
        </w:rPr>
      </w:pPr>
      <w:r>
        <w:rPr>
          <w:noProof/>
        </w:rPr>
        <w:drawing>
          <wp:inline distT="0" distB="0" distL="0" distR="0" wp14:anchorId="346DFB16" wp14:editId="7A465A73">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00D81" w:rsidRPr="00593A5F" w14:paraId="16EF88F1" w14:textId="77777777" w:rsidTr="005A3D07">
        <w:trPr>
          <w:trHeight w:val="315"/>
        </w:trPr>
        <w:tc>
          <w:tcPr>
            <w:tcW w:w="893" w:type="dxa"/>
            <w:vAlign w:val="center"/>
            <w:hideMark/>
          </w:tcPr>
          <w:p w14:paraId="7FDA8C23" w14:textId="77777777" w:rsidR="00500D81" w:rsidRPr="003751C7" w:rsidRDefault="00500D81" w:rsidP="005A3D0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3F22A2" w14:textId="77777777" w:rsidR="00500D81" w:rsidRPr="00254A7A" w:rsidRDefault="00500D81" w:rsidP="005A3D07">
            <w:pPr>
              <w:contextualSpacing/>
              <w:rPr>
                <w:rStyle w:val="normaltextrun"/>
                <w:rFonts w:ascii="Verdana" w:hAnsi="Verdana"/>
                <w:sz w:val="16"/>
                <w:szCs w:val="16"/>
              </w:rPr>
            </w:pPr>
            <w:r>
              <w:rPr>
                <w:rStyle w:val="normaltextrun"/>
                <w:rFonts w:ascii="Verdana" w:hAnsi="Verdana"/>
                <w:sz w:val="16"/>
                <w:szCs w:val="16"/>
              </w:rPr>
              <w:t>Ximena Ríos López</w:t>
            </w:r>
          </w:p>
          <w:p w14:paraId="57208DDF" w14:textId="77777777" w:rsidR="00500D81" w:rsidRPr="00254A7A" w:rsidRDefault="00500D81" w:rsidP="005A3D07">
            <w:pPr>
              <w:contextualSpacing/>
              <w:rPr>
                <w:rFonts w:ascii="Verdana" w:eastAsia="Arial" w:hAnsi="Verdana" w:cs="Arial"/>
                <w:sz w:val="16"/>
                <w:szCs w:val="16"/>
              </w:rPr>
            </w:pPr>
            <w:r w:rsidRPr="001B6B73">
              <w:rPr>
                <w:rStyle w:val="normaltextrun"/>
                <w:rFonts w:ascii="Verdana" w:hAnsi="Verdana" w:cs="Arial"/>
                <w:sz w:val="16"/>
                <w:szCs w:val="16"/>
                <w:lang w:val="es-ES_tradnl"/>
              </w:rPr>
              <w:t>Gestor T1 ‒ 1</w:t>
            </w:r>
            <w:r>
              <w:rPr>
                <w:rStyle w:val="normaltextrun"/>
                <w:rFonts w:ascii="Verdana" w:hAnsi="Verdana" w:cs="Arial"/>
                <w:sz w:val="16"/>
                <w:szCs w:val="16"/>
                <w:lang w:val="es-ES_tradnl"/>
              </w:rPr>
              <w:t>1</w:t>
            </w:r>
            <w:r w:rsidRPr="00254A7A">
              <w:rPr>
                <w:rStyle w:val="normaltextrun"/>
                <w:rFonts w:ascii="Verdana" w:hAnsi="Verdana"/>
                <w:sz w:val="16"/>
                <w:szCs w:val="16"/>
              </w:rPr>
              <w:t xml:space="preserve"> de la Subdirección de Gestión Contractual</w:t>
            </w:r>
          </w:p>
        </w:tc>
      </w:tr>
      <w:tr w:rsidR="00500D81" w:rsidRPr="00593A5F" w14:paraId="22BC2629" w14:textId="77777777" w:rsidTr="005A3D07">
        <w:trPr>
          <w:trHeight w:val="330"/>
        </w:trPr>
        <w:tc>
          <w:tcPr>
            <w:tcW w:w="893" w:type="dxa"/>
            <w:vAlign w:val="center"/>
            <w:hideMark/>
          </w:tcPr>
          <w:p w14:paraId="7E6552B9" w14:textId="77777777" w:rsidR="00500D81" w:rsidRPr="003751C7" w:rsidRDefault="00500D81" w:rsidP="005A3D0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2386DC" w14:textId="6C6F8ADC" w:rsidR="00500D81" w:rsidRPr="001B6B73" w:rsidRDefault="00235F63" w:rsidP="005A3D07">
            <w:pPr>
              <w:pStyle w:val="paragraph"/>
              <w:spacing w:after="0"/>
              <w:contextualSpacing/>
              <w:textAlignment w:val="baseline"/>
              <w:rPr>
                <w:rStyle w:val="normaltextrun"/>
                <w:rFonts w:ascii="Verdana" w:hAnsi="Verdana" w:cs="Arial"/>
                <w:sz w:val="16"/>
                <w:szCs w:val="16"/>
                <w:lang w:val="es-ES_tradnl"/>
              </w:rPr>
            </w:pPr>
            <w:r>
              <w:rPr>
                <w:rStyle w:val="normaltextrun"/>
                <w:rFonts w:ascii="Verdana" w:hAnsi="Verdana" w:cs="Arial"/>
                <w:sz w:val="16"/>
                <w:szCs w:val="16"/>
                <w:lang w:val="es-ES_tradnl"/>
              </w:rPr>
              <w:t xml:space="preserve">Juan Carlos </w:t>
            </w:r>
            <w:proofErr w:type="spellStart"/>
            <w:r>
              <w:rPr>
                <w:rStyle w:val="normaltextrun"/>
                <w:rFonts w:ascii="Verdana" w:hAnsi="Verdana" w:cs="Arial"/>
                <w:sz w:val="16"/>
                <w:szCs w:val="16"/>
                <w:lang w:val="es-ES_tradnl"/>
              </w:rPr>
              <w:t>Gonzalez</w:t>
            </w:r>
            <w:proofErr w:type="spellEnd"/>
          </w:p>
          <w:p w14:paraId="3DF95EF1" w14:textId="77777777" w:rsidR="00500D81" w:rsidRPr="00254A7A" w:rsidRDefault="00500D81" w:rsidP="005A3D07">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_tradnl"/>
              </w:rPr>
              <w:t>Contratista</w:t>
            </w:r>
            <w:r w:rsidRPr="001B6B73">
              <w:rPr>
                <w:rStyle w:val="normaltextrun"/>
                <w:rFonts w:ascii="Verdana" w:hAnsi="Verdana" w:cs="Arial"/>
                <w:sz w:val="16"/>
                <w:szCs w:val="16"/>
                <w:lang w:val="es-ES_tradnl"/>
              </w:rPr>
              <w:t xml:space="preserve"> de la Subdirección de Gestión Contractual</w:t>
            </w:r>
          </w:p>
        </w:tc>
      </w:tr>
      <w:tr w:rsidR="00500D81" w:rsidRPr="00593A5F" w14:paraId="71BDF782" w14:textId="77777777" w:rsidTr="005A3D07">
        <w:trPr>
          <w:trHeight w:val="300"/>
        </w:trPr>
        <w:tc>
          <w:tcPr>
            <w:tcW w:w="893" w:type="dxa"/>
            <w:vAlign w:val="center"/>
          </w:tcPr>
          <w:p w14:paraId="2710A7DF" w14:textId="77777777" w:rsidR="00500D81" w:rsidRPr="003751C7" w:rsidRDefault="00500D81" w:rsidP="005A3D0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04D999" w14:textId="77777777" w:rsidR="00500D81" w:rsidRPr="003751C7" w:rsidRDefault="00500D81" w:rsidP="005A3D07">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61C9646" w14:textId="77777777" w:rsidR="00500D81" w:rsidRPr="003751C7" w:rsidRDefault="00500D81" w:rsidP="005A3D07">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FCD2EA3" w14:textId="77777777" w:rsidR="00500D81" w:rsidRPr="00543BFE" w:rsidRDefault="00500D81" w:rsidP="00500D81"/>
    <w:p w14:paraId="1D82F929" w14:textId="77777777" w:rsidR="00500D81" w:rsidRPr="00543BFE" w:rsidRDefault="00500D81" w:rsidP="00500D81"/>
    <w:p w14:paraId="449D5A7C" w14:textId="77777777" w:rsidR="00500D81" w:rsidRPr="00B36323" w:rsidRDefault="00500D81" w:rsidP="00500D81"/>
    <w:p w14:paraId="63A5108D" w14:textId="77777777" w:rsidR="00500D81" w:rsidRPr="00DD40BD" w:rsidRDefault="00500D81" w:rsidP="00500D81"/>
    <w:p w14:paraId="4E78D254" w14:textId="77777777" w:rsidR="00500D81" w:rsidRPr="003D4E5C" w:rsidRDefault="00500D81" w:rsidP="00500D81"/>
    <w:p w14:paraId="3900974D" w14:textId="77777777" w:rsidR="003D5B0D" w:rsidRPr="00500D81" w:rsidRDefault="003D5B0D" w:rsidP="00500D81"/>
    <w:sectPr w:rsidR="003D5B0D" w:rsidRPr="00500D8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F7EC3" w14:textId="77777777" w:rsidR="002B5749" w:rsidRDefault="002B5749" w:rsidP="004A1847">
      <w:pPr>
        <w:spacing w:after="0" w:line="240" w:lineRule="auto"/>
      </w:pPr>
      <w:r>
        <w:separator/>
      </w:r>
    </w:p>
  </w:endnote>
  <w:endnote w:type="continuationSeparator" w:id="0">
    <w:p w14:paraId="59C28D83" w14:textId="77777777" w:rsidR="002B5749" w:rsidRDefault="002B574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88646" w14:textId="77777777" w:rsidR="002B5749" w:rsidRDefault="002B5749" w:rsidP="004A1847">
      <w:pPr>
        <w:spacing w:after="0" w:line="240" w:lineRule="auto"/>
      </w:pPr>
      <w:r>
        <w:separator/>
      </w:r>
    </w:p>
  </w:footnote>
  <w:footnote w:type="continuationSeparator" w:id="0">
    <w:p w14:paraId="0DA67939" w14:textId="77777777" w:rsidR="002B5749" w:rsidRDefault="002B5749" w:rsidP="004A1847">
      <w:pPr>
        <w:spacing w:after="0" w:line="240" w:lineRule="auto"/>
      </w:pPr>
      <w:r>
        <w:continuationSeparator/>
      </w:r>
    </w:p>
  </w:footnote>
  <w:footnote w:id="1">
    <w:p w14:paraId="1B481695" w14:textId="77777777" w:rsidR="00500D81" w:rsidRPr="001F41BC" w:rsidRDefault="00500D81" w:rsidP="00500D81">
      <w:pPr>
        <w:widowControl w:val="0"/>
        <w:autoSpaceDE w:val="0"/>
        <w:autoSpaceDN w:val="0"/>
        <w:spacing w:after="0"/>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obligaciones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salud,</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riesgos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profesionales,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pensiones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y</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Cajas de Compensación Familiar, Instituto Colombiano de Bienestar Familiar y Servicio Nacional de Aprendizaje,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cuando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ello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haya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lugar.</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Entidades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públicas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momento</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liquidar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cotizadas.</w:t>
      </w:r>
    </w:p>
    <w:p w14:paraId="3797218E" w14:textId="77777777" w:rsidR="00500D81" w:rsidRPr="001F41BC" w:rsidRDefault="00500D81" w:rsidP="00500D81">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3BEF0CBE" w14:textId="77777777" w:rsidR="00500D81" w:rsidRPr="001F41BC" w:rsidRDefault="00500D81" w:rsidP="00500D81">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Cuando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contratación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realice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deberá</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acreditar</w:t>
      </w:r>
      <w:r w:rsidRPr="001F41BC">
        <w:rPr>
          <w:rFonts w:ascii="Verdana" w:eastAsia="Arial" w:hAnsi="Verdana" w:cs="Arial"/>
          <w:spacing w:val="-7"/>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pago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los 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empleados,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mencionados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mediante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certificación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expedida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1F41BC">
        <w:rPr>
          <w:rFonts w:ascii="Verdana" w:eastAsia="Arial" w:hAnsi="Verdana" w:cs="Arial"/>
          <w:spacing w:val="-20"/>
          <w:sz w:val="16"/>
          <w:szCs w:val="16"/>
          <w:lang w:val="es-ES"/>
        </w:rPr>
        <w:t xml:space="preserve"> </w:t>
      </w:r>
      <w:r w:rsidRPr="001F41BC">
        <w:rPr>
          <w:rFonts w:ascii="Verdana" w:eastAsia="Arial" w:hAnsi="Verdana" w:cs="Arial"/>
          <w:sz w:val="16"/>
          <w:szCs w:val="16"/>
          <w:lang w:val="es-ES"/>
        </w:rPr>
        <w:t>constitución.</w:t>
      </w:r>
    </w:p>
    <w:p w14:paraId="5CC8ABCA" w14:textId="77777777" w:rsidR="00500D81" w:rsidRPr="001F41BC" w:rsidRDefault="00500D81" w:rsidP="00500D81">
      <w:pPr>
        <w:pStyle w:val="Textonotapie"/>
        <w:jc w:val="both"/>
        <w:rPr>
          <w:rFonts w:ascii="Verdana" w:eastAsia="Arial" w:hAnsi="Verdana" w:cs="Arial"/>
          <w:sz w:val="16"/>
          <w:szCs w:val="16"/>
          <w:lang w:val="es-ES"/>
        </w:rPr>
      </w:pPr>
      <w:r w:rsidRPr="001F41BC">
        <w:rPr>
          <w:rFonts w:ascii="Verdana" w:eastAsia="Arial" w:hAnsi="Verdana" w:cs="Arial"/>
          <w:sz w:val="16"/>
          <w:szCs w:val="16"/>
          <w:lang w:val="es-ES"/>
        </w:rPr>
        <w:tab/>
        <w:t>Para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presentación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ofertas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parte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será</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indispensable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1F41BC">
        <w:rPr>
          <w:rFonts w:ascii="Verdana" w:eastAsia="Arial" w:hAnsi="Verdana" w:cs="Arial"/>
          <w:spacing w:val="-12"/>
          <w:sz w:val="16"/>
          <w:szCs w:val="16"/>
          <w:lang w:val="es-ES"/>
        </w:rPr>
        <w:t xml:space="preserve"> </w:t>
      </w:r>
      <w:r w:rsidRPr="001F41BC">
        <w:rPr>
          <w:rFonts w:ascii="Verdana" w:eastAsia="Arial" w:hAnsi="Verdana" w:cs="Arial"/>
          <w:sz w:val="16"/>
          <w:szCs w:val="16"/>
          <w:lang w:val="es-ES"/>
        </w:rPr>
        <w:t>conducta”.</w:t>
      </w:r>
    </w:p>
  </w:footnote>
  <w:footnote w:id="2">
    <w:p w14:paraId="19734B43" w14:textId="77777777" w:rsidR="00500D81" w:rsidRPr="001F41BC" w:rsidRDefault="00500D81" w:rsidP="00500D81">
      <w:pPr>
        <w:pStyle w:val="Textonotapie"/>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Consejo de Estado. Sección Tercera. Subsección C. Sentencia del 8 de junio de 2011. Exp. 20001-23-31-000-2005-00409-01(AP), C.P. Enrique Gil Botero.</w:t>
      </w:r>
    </w:p>
  </w:footnote>
  <w:footnote w:id="3">
    <w:p w14:paraId="771B0BE0" w14:textId="77777777" w:rsidR="00500D81" w:rsidRPr="001F41BC" w:rsidRDefault="00500D81" w:rsidP="00500D81">
      <w:pPr>
        <w:pStyle w:val="Textonotapie"/>
        <w:ind w:firstLine="708"/>
        <w:jc w:val="both"/>
        <w:rPr>
          <w:rFonts w:ascii="Verdana" w:hAnsi="Verdana" w:cs="Arial"/>
          <w:sz w:val="16"/>
          <w:szCs w:val="16"/>
          <w:lang w:val="es-CO"/>
        </w:rPr>
      </w:pPr>
      <w:r w:rsidRPr="001F41BC">
        <w:rPr>
          <w:rStyle w:val="Refdenotaalpie"/>
          <w:rFonts w:ascii="Verdana" w:hAnsi="Verdana" w:cs="Arial"/>
          <w:sz w:val="16"/>
          <w:szCs w:val="16"/>
        </w:rPr>
        <w:footnoteRef/>
      </w:r>
      <w:r w:rsidRPr="001F41BC">
        <w:rPr>
          <w:rFonts w:ascii="Verdana" w:hAnsi="Verdana" w:cs="Arial"/>
          <w:sz w:val="16"/>
          <w:szCs w:val="16"/>
        </w:rPr>
        <w:t xml:space="preserve"> Respecto a la revisoría fiscal de las sociedades extranjeras con sucursal en Colombia, el artículo 472.6 del Código de Comercio dispone que </w:t>
      </w:r>
      <w:r w:rsidRPr="001F41BC">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63A3759A" w14:textId="77777777" w:rsidR="00500D81" w:rsidRPr="001F41BC" w:rsidRDefault="00500D81" w:rsidP="00500D81">
      <w:pPr>
        <w:pStyle w:val="Textonotapie"/>
        <w:ind w:firstLine="708"/>
        <w:jc w:val="both"/>
        <w:rPr>
          <w:rFonts w:ascii="Verdana" w:hAnsi="Verdana" w:cs="Arial"/>
          <w:sz w:val="16"/>
          <w:szCs w:val="16"/>
        </w:rPr>
      </w:pPr>
      <w:r w:rsidRPr="001F41BC">
        <w:rPr>
          <w:rFonts w:ascii="Verdana" w:hAnsi="Verdana" w:cs="Arial"/>
          <w:sz w:val="16"/>
          <w:szCs w:val="16"/>
          <w:lang w:val="es-CO"/>
        </w:rPr>
        <w:t xml:space="preserve">Por lo demás, el artículo el artículo 489 </w:t>
      </w:r>
      <w:r w:rsidRPr="001F41BC">
        <w:rPr>
          <w:rFonts w:ascii="Verdana" w:hAnsi="Verdana" w:cs="Arial"/>
          <w:i/>
          <w:iCs/>
          <w:sz w:val="16"/>
          <w:szCs w:val="16"/>
          <w:lang w:val="es-CO"/>
        </w:rPr>
        <w:t>ibidem</w:t>
      </w:r>
      <w:r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51CBEAE9" w14:textId="77777777" w:rsidR="00F34E63" w:rsidRPr="000F3712" w:rsidRDefault="00F34E63" w:rsidP="00F34E63">
      <w:pPr>
        <w:pStyle w:val="Textonotapie"/>
        <w:ind w:firstLine="709"/>
        <w:contextualSpacing/>
        <w:jc w:val="both"/>
        <w:rPr>
          <w:rFonts w:ascii="Verdana" w:hAnsi="Verdana" w:cs="Arial"/>
          <w:iCs/>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w:t>
      </w:r>
      <w:r w:rsidRPr="000F3712">
        <w:rPr>
          <w:rFonts w:ascii="Verdana" w:hAnsi="Verdana" w:cs="Arial"/>
          <w:iCs/>
          <w:color w:val="000000" w:themeColor="text1"/>
          <w:sz w:val="16"/>
          <w:szCs w:val="16"/>
        </w:rPr>
        <w:t>Ley 1955 de 2019: “Artículo 244. Ingreso base de cotización [IBC] de los independientes.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6FFCF41" w14:textId="77777777" w:rsidR="00F34E63" w:rsidRPr="000F3712" w:rsidRDefault="00F34E63" w:rsidP="00F34E63">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6EBEA596" w14:textId="77777777" w:rsidR="00F34E63" w:rsidRPr="000F3712" w:rsidRDefault="00F34E63" w:rsidP="00F34E63">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El Gobierno nacional reglamentará el mecanismo para realizar la mensualización de que trata el presente artículo.</w:t>
      </w:r>
    </w:p>
    <w:p w14:paraId="22E35571" w14:textId="77777777" w:rsidR="00F34E63" w:rsidRPr="000F3712" w:rsidRDefault="00F34E63" w:rsidP="00F34E63">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Parágrafo.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0651A3E6" w14:textId="77777777" w:rsidR="00F34E63" w:rsidRPr="000F3712" w:rsidRDefault="00F34E63" w:rsidP="00F34E63">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footnote>
  <w:footnote w:id="5">
    <w:p w14:paraId="05096BDA" w14:textId="77777777" w:rsidR="00F34E63" w:rsidRPr="000F3712" w:rsidRDefault="00F34E63" w:rsidP="00F34E63">
      <w:pPr>
        <w:pStyle w:val="Textonotapie"/>
        <w:ind w:firstLine="709"/>
        <w:contextualSpacing/>
        <w:jc w:val="both"/>
        <w:rPr>
          <w:rFonts w:ascii="Verdana" w:hAnsi="Verdana" w:cs="Arial"/>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La Corte expuso lo siguiente como síntesis de la decisión: “</w:t>
      </w:r>
      <w:r w:rsidRPr="000F3712">
        <w:rPr>
          <w:rFonts w:ascii="Verdana" w:hAnsi="Verdana" w:cs="Arial"/>
          <w:sz w:val="16"/>
          <w:szCs w:val="16"/>
        </w:rPr>
        <w:t>[…]</w:t>
      </w:r>
      <w:r w:rsidRPr="000F3712">
        <w:rPr>
          <w:rFonts w:ascii="Verdana" w:hAnsi="Verdana" w:cs="Arial"/>
          <w:color w:val="000000" w:themeColor="text1"/>
          <w:sz w:val="16"/>
          <w:szCs w:val="16"/>
        </w:rPr>
        <w:t>164. Los demandantes propusieron la inconstitucionalidad del artículo 244 de la Ley 1955 de 2019, por desconocimiento del principio de unidad de materia. Luego de avalar la integración normativa y advertir la inexistencia de cosa juzgada, la Corte concluyó que era procedente adelantar el juicio de constitucionalidad.</w:t>
      </w:r>
    </w:p>
    <w:p w14:paraId="557B2DA3" w14:textId="77777777" w:rsidR="00F34E63" w:rsidRPr="000F3712" w:rsidRDefault="00F34E63" w:rsidP="00F34E63">
      <w:pPr>
        <w:pStyle w:val="Textonotapie"/>
        <w:ind w:firstLine="709"/>
        <w:contextualSpacing/>
        <w:jc w:val="both"/>
        <w:rPr>
          <w:rFonts w:ascii="Verdana" w:hAnsi="Verdana" w:cs="Arial"/>
          <w:color w:val="000000" w:themeColor="text1"/>
          <w:sz w:val="16"/>
          <w:szCs w:val="16"/>
        </w:rPr>
      </w:pPr>
      <w:r w:rsidRPr="000F3712">
        <w:rPr>
          <w:rFonts w:ascii="Verdana" w:hAnsi="Verdana" w:cs="Arial"/>
          <w:color w:val="000000" w:themeColor="text1"/>
          <w:sz w:val="16"/>
          <w:szCs w:val="16"/>
        </w:rPr>
        <w:t>165. En tal sentido, la Sala concluyó que el artículo 244 de la Ley 1955 de 2019, adicionado por el artículo 139 de la Ley 2010 de 2019, desconoce el mandato constitucional de unidad de materia previsto en el artículo 158 del Texto Superior, toda vez que no existe una conexidad directa o inmediata entre la regulación del Ingreso Base de Cotización para los trabajadores independientes con contratos diferentes al de prestación de servicios y los objetivos, metas o estrategias previstos en el Plan Nacional de Desarrollo. Sin embargo, difiere los efectos de esta decisión a las dos próximas legislaturas a fin no afectar derechos y principios constitucionales relacionados con la base de cotización de trabajadores independientes al Sistema Integral de Seguridad Social”. Corte Constitucional. Sentencia C-068 del 19 de febrero de 2020. M.P. Diana Fajardo Rivera.</w:t>
      </w:r>
    </w:p>
  </w:footnote>
  <w:footnote w:id="6">
    <w:p w14:paraId="10E37E13" w14:textId="77777777" w:rsidR="00500D81" w:rsidRPr="00D808AA" w:rsidRDefault="00500D81" w:rsidP="00500D81">
      <w:pPr>
        <w:pStyle w:val="Textonotapie"/>
        <w:ind w:firstLine="708"/>
        <w:jc w:val="both"/>
        <w:rPr>
          <w:rFonts w:ascii="Verdana" w:hAnsi="Verdana"/>
          <w:sz w:val="16"/>
          <w:szCs w:val="16"/>
        </w:rPr>
      </w:pPr>
      <w:r w:rsidRPr="00D808AA">
        <w:rPr>
          <w:rStyle w:val="Refdenotaalpie"/>
          <w:rFonts w:ascii="Verdana" w:hAnsi="Verdana"/>
          <w:sz w:val="16"/>
          <w:szCs w:val="16"/>
        </w:rPr>
        <w:footnoteRef/>
      </w:r>
      <w:r w:rsidRPr="00D808AA">
        <w:rPr>
          <w:rFonts w:ascii="Verdana" w:hAnsi="Verdana"/>
          <w:sz w:val="16"/>
          <w:szCs w:val="16"/>
        </w:rPr>
        <w:t xml:space="preserve"> En </w:t>
      </w:r>
      <w:r>
        <w:rPr>
          <w:rFonts w:ascii="Verdana" w:hAnsi="Verdana"/>
          <w:sz w:val="16"/>
          <w:szCs w:val="16"/>
        </w:rPr>
        <w:t>concordancia, el artículo 7 de la Ley 2381 de 2024 precisa lo siguiente: “</w:t>
      </w:r>
      <w:r w:rsidRPr="00D808AA">
        <w:rPr>
          <w:rFonts w:ascii="Verdana" w:hAnsi="Verdana"/>
          <w:sz w:val="16"/>
          <w:szCs w:val="16"/>
        </w:rPr>
        <w:t>Corresponde a los(as) Empleadores(as) y contratantes de prestación de servicios dentro del Sistema de Protección Social Integral para la Vejez, invalidez y muerte de origen común:</w:t>
      </w:r>
    </w:p>
    <w:p w14:paraId="02684C50" w14:textId="77777777" w:rsidR="00500D81" w:rsidRPr="00D808AA" w:rsidRDefault="00500D81" w:rsidP="00500D81">
      <w:pPr>
        <w:pStyle w:val="Textonotapie"/>
        <w:ind w:firstLine="708"/>
        <w:jc w:val="both"/>
        <w:rPr>
          <w:rFonts w:ascii="Verdana" w:hAnsi="Verdana"/>
          <w:sz w:val="16"/>
          <w:szCs w:val="16"/>
        </w:rPr>
      </w:pPr>
      <w:r w:rsidRPr="00D808AA">
        <w:rPr>
          <w:rFonts w:ascii="Verdana" w:hAnsi="Verdana"/>
          <w:sz w:val="16"/>
          <w:szCs w:val="16"/>
        </w:rPr>
        <w:t>1) Realizar el pago de su aporte y del aporte de los(as) trabajadores(as) o contratistas de prestación de servicios a su servicio en el Pilar Contributivo. Para tal efecto, descontará del salario, y/o honorarios de cada persona, al momento de su pago, el monto de las cotizaciones obligatorias y realizará el descuento de las cotizaciones voluntarias que expresamente haya autorizado por escrito el(la) trabajador(a) o contratista de prestación de servicios.</w:t>
      </w:r>
    </w:p>
    <w:p w14:paraId="76444F62" w14:textId="77777777" w:rsidR="00500D81" w:rsidRPr="00D808AA" w:rsidRDefault="00500D81" w:rsidP="00500D81">
      <w:pPr>
        <w:pStyle w:val="Textonotapie"/>
        <w:ind w:firstLine="708"/>
        <w:jc w:val="both"/>
        <w:rPr>
          <w:rFonts w:ascii="Verdana" w:hAnsi="Verdana"/>
          <w:sz w:val="16"/>
          <w:szCs w:val="16"/>
        </w:rPr>
      </w:pPr>
      <w:r w:rsidRPr="00D808AA">
        <w:rPr>
          <w:rFonts w:ascii="Verdana" w:hAnsi="Verdana"/>
          <w:sz w:val="16"/>
          <w:szCs w:val="16"/>
        </w:rPr>
        <w:t>2) Efectuar el pago de las cotizaciones a través de los mecanismos de recaudo establecidos, dentro de los plazos que determine el Gobierno nacional.</w:t>
      </w:r>
    </w:p>
    <w:p w14:paraId="35A656E5" w14:textId="77777777" w:rsidR="00500D81" w:rsidRPr="00D808AA" w:rsidRDefault="00500D81" w:rsidP="00500D81">
      <w:pPr>
        <w:pStyle w:val="Textonotapie"/>
        <w:ind w:firstLine="708"/>
        <w:jc w:val="both"/>
        <w:rPr>
          <w:rFonts w:ascii="Verdana" w:hAnsi="Verdana"/>
          <w:sz w:val="16"/>
          <w:szCs w:val="16"/>
        </w:rPr>
      </w:pPr>
      <w:r w:rsidRPr="00D808AA">
        <w:rPr>
          <w:rFonts w:ascii="Verdana" w:hAnsi="Verdana"/>
          <w:sz w:val="16"/>
          <w:szCs w:val="16"/>
        </w:rPr>
        <w:t>3) Reportar y mantener actualizada toda la información que se requiera para la correcta y adecuada liquidación y pago de las contribuciones parafiscales del Sistema de Protección Integral para la Vejez.</w:t>
      </w:r>
    </w:p>
    <w:p w14:paraId="49605626" w14:textId="77777777" w:rsidR="00500D81" w:rsidRPr="00D808AA" w:rsidRDefault="00500D81" w:rsidP="00500D81">
      <w:pPr>
        <w:pStyle w:val="Textonotapie"/>
        <w:ind w:firstLine="708"/>
        <w:jc w:val="both"/>
        <w:rPr>
          <w:rFonts w:ascii="Verdana" w:hAnsi="Verdana"/>
          <w:sz w:val="16"/>
          <w:szCs w:val="16"/>
        </w:rPr>
      </w:pPr>
      <w:r w:rsidRPr="00D808AA">
        <w:rPr>
          <w:rFonts w:ascii="Verdana" w:hAnsi="Verdana"/>
          <w:sz w:val="16"/>
          <w:szCs w:val="16"/>
        </w:rPr>
        <w:t>4) Responder por la totalidad del aporte aún en el evento que no hubiere efectuado el descuento a él(la) trabajador(a) o contratista de prestación de servicios con las sanciones a que haya lugar en caso de incumplimiento.</w:t>
      </w:r>
    </w:p>
    <w:p w14:paraId="0FD5CA2C" w14:textId="77777777" w:rsidR="00500D81" w:rsidRPr="00D808AA" w:rsidRDefault="00500D81" w:rsidP="00500D81">
      <w:pPr>
        <w:pStyle w:val="Textonotapie"/>
        <w:ind w:firstLine="708"/>
        <w:jc w:val="both"/>
        <w:rPr>
          <w:rFonts w:ascii="Verdana" w:hAnsi="Verdana"/>
          <w:sz w:val="16"/>
          <w:szCs w:val="16"/>
        </w:rPr>
      </w:pPr>
      <w:r w:rsidRPr="00D808AA">
        <w:rPr>
          <w:rFonts w:ascii="Verdana" w:hAnsi="Verdana"/>
          <w:sz w:val="16"/>
          <w:szCs w:val="16"/>
        </w:rPr>
        <w:t>5) Facilitar el acceso a información oportuna relacionada con la elección del fondo de pensiones de ahorro individual de preferencia de los afiliados, respetar su decisión y abstenerse de realizar afiliaciones o modificaciones sin su consentimiento.</w:t>
      </w:r>
    </w:p>
    <w:p w14:paraId="17B9AFB6" w14:textId="77777777" w:rsidR="00500D81" w:rsidRPr="00D808AA" w:rsidRDefault="00500D81" w:rsidP="00500D81">
      <w:pPr>
        <w:pStyle w:val="Textonotapie"/>
        <w:ind w:firstLine="708"/>
        <w:jc w:val="both"/>
        <w:rPr>
          <w:rFonts w:ascii="Verdana" w:hAnsi="Verdana"/>
          <w:sz w:val="16"/>
          <w:szCs w:val="16"/>
          <w:lang w:val="es-CO"/>
        </w:rPr>
      </w:pPr>
      <w:r w:rsidRPr="00D808AA">
        <w:rPr>
          <w:rFonts w:ascii="Verdana" w:hAnsi="Verdana"/>
          <w:sz w:val="16"/>
          <w:szCs w:val="16"/>
        </w:rPr>
        <w:t>6) Informar las novedades laborales de sus trabajadores o contratistas de prestación de servicios a la entidad a la cual están afiliados, en materias tales como ingreso base de cotización y sus cambios, las vinculaciones y retiros de trabajadores; así mismo, informar a los trabajadores y contratistas de prestación de servicios sobre las garantías y las obligaciones que les asisten en el Sistema General de Seguridad Social</w:t>
      </w:r>
      <w:r>
        <w:rPr>
          <w:rFonts w:ascii="Verdana" w:hAnsi="Verdana"/>
          <w:sz w:val="16"/>
          <w:szCs w:val="16"/>
        </w:rPr>
        <w:t>”</w:t>
      </w:r>
      <w:r w:rsidRPr="00D808AA">
        <w:rPr>
          <w:rFonts w:ascii="Verdana" w:hAnsi="Verdana"/>
          <w:sz w:val="16"/>
          <w:szCs w:val="16"/>
        </w:rPr>
        <w:t>.</w:t>
      </w:r>
    </w:p>
  </w:footnote>
  <w:footnote w:id="7">
    <w:p w14:paraId="499695A9" w14:textId="77777777" w:rsidR="00500D81" w:rsidRPr="001F45BC" w:rsidRDefault="00500D81" w:rsidP="00500D81">
      <w:pPr>
        <w:pStyle w:val="Textonotapie"/>
        <w:ind w:firstLine="708"/>
        <w:jc w:val="both"/>
        <w:rPr>
          <w:rFonts w:ascii="Verdana" w:hAnsi="Verdana"/>
          <w:sz w:val="16"/>
          <w:szCs w:val="16"/>
        </w:rPr>
      </w:pPr>
      <w:r w:rsidRPr="001F45BC">
        <w:rPr>
          <w:rStyle w:val="Refdenotaalpie"/>
          <w:rFonts w:ascii="Verdana" w:hAnsi="Verdana"/>
          <w:sz w:val="16"/>
          <w:szCs w:val="16"/>
        </w:rPr>
        <w:footnoteRef/>
      </w:r>
      <w:r w:rsidRPr="001F45BC">
        <w:rPr>
          <w:rFonts w:ascii="Verdana" w:hAnsi="Verdana"/>
          <w:sz w:val="16"/>
          <w:szCs w:val="16"/>
        </w:rPr>
        <w:t xml:space="preserve"> </w:t>
      </w:r>
      <w:r>
        <w:rPr>
          <w:rFonts w:ascii="Verdana" w:hAnsi="Verdana"/>
          <w:sz w:val="16"/>
          <w:szCs w:val="16"/>
        </w:rPr>
        <w:t xml:space="preserve">CONSEJO DE ESTADO. Sección Tercera. Sentencia del 3 de diciembre de 2007. Exp. 24715. C.P. </w:t>
      </w:r>
      <w:r w:rsidRPr="001F45BC">
        <w:rPr>
          <w:rFonts w:ascii="Verdana" w:hAnsi="Verdana"/>
          <w:sz w:val="16"/>
          <w:szCs w:val="16"/>
        </w:rPr>
        <w:t>Ruth Stella Correa Palacio</w:t>
      </w:r>
      <w:r>
        <w:rPr>
          <w:rFonts w:ascii="Verdana" w:hAnsi="Verdana"/>
          <w:sz w:val="16"/>
          <w:szCs w:val="16"/>
        </w:rPr>
        <w:t xml:space="preserve">. Para la doctrina, </w:t>
      </w:r>
      <w:r w:rsidRPr="007E478B">
        <w:rPr>
          <w:rFonts w:ascii="Verdana" w:hAnsi="Verdana"/>
          <w:sz w:val="16"/>
          <w:szCs w:val="16"/>
        </w:rPr>
        <w:t>“[…] al decir la norma que ‘estos contratos sólo podrán celebrarse con personas naturales (…)’, ello no significa que solo autorice su celebración con estos sujetos; es decir que no prohíbe que las personas jurídicas también suscriban contratos de prestación de servicios. Precisado lo anterior, resulta válido entender […] que el aparte normativo en cuestión consagra límites sobre la celebración de contratos de prestación de servicios con personas naturales, no con personas jurídicas. Expresado en otras palabras, la exigencia de que únicamente tales contratos se celebren cuando las actividades de administración o funcionamiento de las entidad ‘no puedan realizarse con personal de planta o requieran conocimientos especializados’ opera solo para la suscripción de contratos de prestación de servicios con personas naturales, no solo porque el referido numeral así lo prevé textualmente, sino porque lo que se busca evitar con tal norma es que, a través de dichos contratos, se constituyan las llamadas ‘nóminas paralelas’, es decir, cargas económicas adicionales para las entidades públicas, que se producen por la duplicación de un cargo de planta a través de la celebración de contratos de prestación de servicios con personas naturales. Si bien podría pensarse que la externalización de ciertas labores administrativas o de funcionamiento, mediante la celebración de tales contratos con personas jurídicas, también ofrece el riesgo de que se repita la actividad de algunos empleos o se vacíen ciertas competencias de la entidad, estos son defectos del funcionamiento del contrato de prestación de servicios que deben evitarse en la práctica, para garantizar los principios que orientan la actividad contractual del Estado. Sin embargo, lo cierto es que el numeral 3 del artículo 32 de la Ley 80 de 1993 permite indirectamente que se celebren contratos de prestación de servicios con personas jurídicas, a pesar de que haya personal de planta que pueda encargarse de las labores que se contratan o aunque estas últimas no requieran conocimientos especializados”</w:t>
      </w:r>
      <w:r>
        <w:rPr>
          <w:rFonts w:ascii="Verdana" w:hAnsi="Verdana"/>
          <w:sz w:val="16"/>
          <w:szCs w:val="16"/>
        </w:rPr>
        <w:t xml:space="preserve"> (Cfr. </w:t>
      </w:r>
      <w:r w:rsidRPr="007E478B">
        <w:rPr>
          <w:rFonts w:ascii="Verdana" w:hAnsi="Verdana"/>
          <w:sz w:val="16"/>
          <w:szCs w:val="16"/>
        </w:rPr>
        <w:t xml:space="preserve">DÍAZ DÍEZ, Cristian Andrés &amp; GÓMEZ VELÁSQUEZ, Alejandro. El contrato de prestación de servicios en el estatuto general de contratación de la administración pública: un tipo contractual de compleja celebración. Consultado el </w:t>
      </w:r>
      <w:r>
        <w:rPr>
          <w:rFonts w:ascii="Verdana" w:hAnsi="Verdana"/>
          <w:sz w:val="16"/>
          <w:szCs w:val="16"/>
        </w:rPr>
        <w:t xml:space="preserve">11 de junio de 2025 </w:t>
      </w:r>
      <w:r w:rsidRPr="007E478B">
        <w:rPr>
          <w:rFonts w:ascii="Verdana" w:hAnsi="Verdana"/>
          <w:sz w:val="16"/>
          <w:szCs w:val="16"/>
        </w:rPr>
        <w:t xml:space="preserve">en la página web </w:t>
      </w:r>
      <w:hyperlink r:id="rId1" w:anchor="fn22" w:history="1">
        <w:r w:rsidRPr="001F47FD">
          <w:rPr>
            <w:rStyle w:val="Hipervnculo"/>
            <w:rFonts w:ascii="Verdana" w:hAnsi="Verdana"/>
            <w:sz w:val="16"/>
            <w:szCs w:val="16"/>
          </w:rPr>
          <w:t>https://revistas.javeriana.edu.co/files-articulos/VJ/139%20(2019-II)/82562148007/#fn22</w:t>
        </w:r>
      </w:hyperlink>
      <w:r>
        <w:rPr>
          <w:rFonts w:ascii="Verdana" w:hAnsi="Verdana"/>
          <w:sz w:val="16"/>
          <w:szCs w:val="16"/>
        </w:rPr>
        <w:t>)</w:t>
      </w:r>
      <w:r w:rsidRPr="007E478B">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95A"/>
    <w:rsid w:val="00016F78"/>
    <w:rsid w:val="00046677"/>
    <w:rsid w:val="00046945"/>
    <w:rsid w:val="00061B2A"/>
    <w:rsid w:val="00082362"/>
    <w:rsid w:val="000915E4"/>
    <w:rsid w:val="000A5317"/>
    <w:rsid w:val="000A683E"/>
    <w:rsid w:val="000B19B9"/>
    <w:rsid w:val="000C3835"/>
    <w:rsid w:val="000D0334"/>
    <w:rsid w:val="000F6486"/>
    <w:rsid w:val="00125105"/>
    <w:rsid w:val="00127233"/>
    <w:rsid w:val="001511A0"/>
    <w:rsid w:val="001A0EAC"/>
    <w:rsid w:val="001D35C1"/>
    <w:rsid w:val="001E4177"/>
    <w:rsid w:val="001F7DC6"/>
    <w:rsid w:val="00235F63"/>
    <w:rsid w:val="002421BB"/>
    <w:rsid w:val="0025796E"/>
    <w:rsid w:val="002621D5"/>
    <w:rsid w:val="002707A2"/>
    <w:rsid w:val="002951A0"/>
    <w:rsid w:val="002962BC"/>
    <w:rsid w:val="002A093D"/>
    <w:rsid w:val="002A0DD0"/>
    <w:rsid w:val="002A49AC"/>
    <w:rsid w:val="002A64FD"/>
    <w:rsid w:val="002B5749"/>
    <w:rsid w:val="002C7A84"/>
    <w:rsid w:val="002E26D7"/>
    <w:rsid w:val="002E4FD9"/>
    <w:rsid w:val="00317F09"/>
    <w:rsid w:val="00322A85"/>
    <w:rsid w:val="00324168"/>
    <w:rsid w:val="003448F4"/>
    <w:rsid w:val="00370B23"/>
    <w:rsid w:val="00374F5E"/>
    <w:rsid w:val="00377E3E"/>
    <w:rsid w:val="003861F5"/>
    <w:rsid w:val="003A779E"/>
    <w:rsid w:val="003D0F4D"/>
    <w:rsid w:val="003D5B0D"/>
    <w:rsid w:val="003E0499"/>
    <w:rsid w:val="003F3941"/>
    <w:rsid w:val="00405AF8"/>
    <w:rsid w:val="00406575"/>
    <w:rsid w:val="00414C74"/>
    <w:rsid w:val="0042722E"/>
    <w:rsid w:val="0044528D"/>
    <w:rsid w:val="004534BA"/>
    <w:rsid w:val="00454896"/>
    <w:rsid w:val="004A1847"/>
    <w:rsid w:val="004A2A68"/>
    <w:rsid w:val="004A305D"/>
    <w:rsid w:val="004B141A"/>
    <w:rsid w:val="004D7CFB"/>
    <w:rsid w:val="004E7142"/>
    <w:rsid w:val="004F21C4"/>
    <w:rsid w:val="004F685F"/>
    <w:rsid w:val="00500D81"/>
    <w:rsid w:val="005566E8"/>
    <w:rsid w:val="00574867"/>
    <w:rsid w:val="00591460"/>
    <w:rsid w:val="005B0310"/>
    <w:rsid w:val="005B3816"/>
    <w:rsid w:val="005B4A23"/>
    <w:rsid w:val="005C2E14"/>
    <w:rsid w:val="005C3777"/>
    <w:rsid w:val="005C5CDC"/>
    <w:rsid w:val="005D476C"/>
    <w:rsid w:val="006219F8"/>
    <w:rsid w:val="0064230E"/>
    <w:rsid w:val="00665D70"/>
    <w:rsid w:val="006900D9"/>
    <w:rsid w:val="006B7010"/>
    <w:rsid w:val="006C0F1A"/>
    <w:rsid w:val="00706C16"/>
    <w:rsid w:val="00742730"/>
    <w:rsid w:val="00756841"/>
    <w:rsid w:val="007649AB"/>
    <w:rsid w:val="00771D0C"/>
    <w:rsid w:val="007833AC"/>
    <w:rsid w:val="007B268C"/>
    <w:rsid w:val="007B7171"/>
    <w:rsid w:val="007C0C0F"/>
    <w:rsid w:val="007C3DC2"/>
    <w:rsid w:val="007E5497"/>
    <w:rsid w:val="00806F5F"/>
    <w:rsid w:val="00820278"/>
    <w:rsid w:val="00867F95"/>
    <w:rsid w:val="008813F7"/>
    <w:rsid w:val="008843B6"/>
    <w:rsid w:val="00891928"/>
    <w:rsid w:val="0089349D"/>
    <w:rsid w:val="008A07D3"/>
    <w:rsid w:val="008A446D"/>
    <w:rsid w:val="008A4702"/>
    <w:rsid w:val="008A5718"/>
    <w:rsid w:val="008D180B"/>
    <w:rsid w:val="008F0EA7"/>
    <w:rsid w:val="009236A9"/>
    <w:rsid w:val="00923EEF"/>
    <w:rsid w:val="00924D1F"/>
    <w:rsid w:val="00932450"/>
    <w:rsid w:val="009419F9"/>
    <w:rsid w:val="0095685E"/>
    <w:rsid w:val="00961B09"/>
    <w:rsid w:val="00965334"/>
    <w:rsid w:val="0097093E"/>
    <w:rsid w:val="00986AC5"/>
    <w:rsid w:val="0099784D"/>
    <w:rsid w:val="009A0DFA"/>
    <w:rsid w:val="009B114D"/>
    <w:rsid w:val="009B2D26"/>
    <w:rsid w:val="009C0BD8"/>
    <w:rsid w:val="009C71FA"/>
    <w:rsid w:val="009C72E7"/>
    <w:rsid w:val="009D3058"/>
    <w:rsid w:val="009F3A13"/>
    <w:rsid w:val="00A122D3"/>
    <w:rsid w:val="00A15915"/>
    <w:rsid w:val="00A17F13"/>
    <w:rsid w:val="00A20739"/>
    <w:rsid w:val="00A33C78"/>
    <w:rsid w:val="00A648CD"/>
    <w:rsid w:val="00A91A9E"/>
    <w:rsid w:val="00AA54D1"/>
    <w:rsid w:val="00AB0ADB"/>
    <w:rsid w:val="00B01B1A"/>
    <w:rsid w:val="00B66319"/>
    <w:rsid w:val="00B72CD3"/>
    <w:rsid w:val="00B72FFF"/>
    <w:rsid w:val="00BB522E"/>
    <w:rsid w:val="00BC3D36"/>
    <w:rsid w:val="00BD7F72"/>
    <w:rsid w:val="00BE226A"/>
    <w:rsid w:val="00C04FB3"/>
    <w:rsid w:val="00C330EB"/>
    <w:rsid w:val="00C41061"/>
    <w:rsid w:val="00C754BE"/>
    <w:rsid w:val="00C76B1C"/>
    <w:rsid w:val="00C77FCB"/>
    <w:rsid w:val="00CB6357"/>
    <w:rsid w:val="00CC1B26"/>
    <w:rsid w:val="00CE446C"/>
    <w:rsid w:val="00D423A2"/>
    <w:rsid w:val="00D520D8"/>
    <w:rsid w:val="00D63AC2"/>
    <w:rsid w:val="00D7383B"/>
    <w:rsid w:val="00D766A6"/>
    <w:rsid w:val="00DA231B"/>
    <w:rsid w:val="00DA4134"/>
    <w:rsid w:val="00DA6FC6"/>
    <w:rsid w:val="00DC39FC"/>
    <w:rsid w:val="00DD7325"/>
    <w:rsid w:val="00DF5254"/>
    <w:rsid w:val="00E12932"/>
    <w:rsid w:val="00E16408"/>
    <w:rsid w:val="00E20894"/>
    <w:rsid w:val="00E245AB"/>
    <w:rsid w:val="00E2764C"/>
    <w:rsid w:val="00E27F2E"/>
    <w:rsid w:val="00E50AFE"/>
    <w:rsid w:val="00E75C92"/>
    <w:rsid w:val="00E771DC"/>
    <w:rsid w:val="00E8772A"/>
    <w:rsid w:val="00E90F6B"/>
    <w:rsid w:val="00E92C27"/>
    <w:rsid w:val="00EA0E3D"/>
    <w:rsid w:val="00EA5295"/>
    <w:rsid w:val="00EC1F65"/>
    <w:rsid w:val="00EC38A7"/>
    <w:rsid w:val="00ED7384"/>
    <w:rsid w:val="00EE1AA8"/>
    <w:rsid w:val="00F3156E"/>
    <w:rsid w:val="00F31EDC"/>
    <w:rsid w:val="00F34E63"/>
    <w:rsid w:val="00F462B3"/>
    <w:rsid w:val="00F5381D"/>
    <w:rsid w:val="00F5664F"/>
    <w:rsid w:val="00F666C4"/>
    <w:rsid w:val="00F76AFC"/>
    <w:rsid w:val="00F77F24"/>
    <w:rsid w:val="00FA47C0"/>
    <w:rsid w:val="00FB5DD1"/>
    <w:rsid w:val="00FC2B5D"/>
    <w:rsid w:val="00FD1D0B"/>
    <w:rsid w:val="00FF1449"/>
    <w:rsid w:val="00FF2664"/>
    <w:rsid w:val="165E9519"/>
    <w:rsid w:val="382536D9"/>
    <w:rsid w:val="6EFDAB80"/>
    <w:rsid w:val="7B6AA7A6"/>
    <w:rsid w:val="7B7BFACA"/>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00D8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00D81"/>
    <w:rPr>
      <w:rFonts w:ascii="Geomanist Light" w:hAnsi="Geomanist Light"/>
      <w:lang w:val="es-ES"/>
    </w:rPr>
  </w:style>
  <w:style w:type="character" w:customStyle="1" w:styleId="s15">
    <w:name w:val="s15"/>
    <w:basedOn w:val="Fuentedeprrafopredeter"/>
    <w:rsid w:val="00500D81"/>
  </w:style>
  <w:style w:type="character" w:customStyle="1" w:styleId="apple-converted-space">
    <w:name w:val="apple-converted-space"/>
    <w:basedOn w:val="Fuentedeprrafopredeter"/>
    <w:rsid w:val="00500D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revistas.javeriana.edu.co/files-articulos/VJ/139%20(2019-II)/8256214800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http://purl.org/dc/elements/1.1/"/>
    <ds:schemaRef ds:uri="http://schemas.microsoft.com/office/2006/metadata/properties"/>
    <ds:schemaRef ds:uri="http://purl.org/dc/terms/"/>
    <ds:schemaRef ds:uri="http://schemas.microsoft.com/office/2006/documentManagement/types"/>
    <ds:schemaRef ds:uri="http://schemas.microsoft.com/office/infopath/2007/PartnerControls"/>
    <ds:schemaRef ds:uri="http://purl.org/dc/dcmitype/"/>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F9639EFD-2D11-4F1A-971F-E432BBF33E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E26C8D-130D-47EA-BBB0-B422B48F8A3D}">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21</Pages>
  <Words>7249</Words>
  <Characters>37918</Characters>
  <Application>Microsoft Office Word</Application>
  <DocSecurity>0</DocSecurity>
  <Lines>729</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2025-10-20T17:39:00Z</dcterms:created>
  <dcterms:modified xsi:type="dcterms:W3CDTF">2025-10-20T17:39:00Z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