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097203" w14:textId="77777777" w:rsidR="00A7247D" w:rsidRPr="0040166C" w:rsidRDefault="00A7247D" w:rsidP="00A7247D">
      <w:pPr>
        <w:spacing w:after="240"/>
        <w:jc w:val="both"/>
        <w:rPr>
          <w:rFonts w:ascii="Verdana" w:hAnsi="Verdana" w:cs="Arial"/>
          <w:b/>
          <w:bCs/>
        </w:rPr>
      </w:pPr>
      <w:r w:rsidRPr="0040166C">
        <w:rPr>
          <w:rFonts w:ascii="Verdana" w:eastAsia="Calibri" w:hAnsi="Verdana" w:cs="Arial"/>
          <w:b/>
          <w:bCs/>
        </w:rPr>
        <w:t xml:space="preserve">CONTRATOS Y </w:t>
      </w:r>
      <w:r w:rsidRPr="0040166C">
        <w:rPr>
          <w:rFonts w:ascii="Verdana" w:hAnsi="Verdana" w:cs="Arial"/>
          <w:b/>
          <w:bCs/>
        </w:rPr>
        <w:t xml:space="preserve">CONVENIOS INTERADMINISTRATIVOS – Noción – Criterio orgánico </w:t>
      </w:r>
    </w:p>
    <w:p w14:paraId="364791B0" w14:textId="6AD9E8EF" w:rsidR="00A7247D" w:rsidRPr="003C3067" w:rsidRDefault="00A7247D" w:rsidP="00A7247D">
      <w:pPr>
        <w:jc w:val="both"/>
        <w:rPr>
          <w:rFonts w:ascii="Verdana" w:eastAsia="Arial" w:hAnsi="Verdana" w:cs="Arial"/>
          <w:color w:val="000000"/>
          <w:sz w:val="20"/>
          <w:szCs w:val="20"/>
          <w:lang w:val="es-ES"/>
        </w:rPr>
      </w:pPr>
      <w:r w:rsidRPr="003C3067">
        <w:rPr>
          <w:rFonts w:ascii="Verdana" w:eastAsia="Arial" w:hAnsi="Verdana" w:cs="Arial"/>
          <w:sz w:val="20"/>
          <w:szCs w:val="20"/>
          <w:lang w:val="es-ES"/>
        </w:rPr>
        <w:t>[…] sobre</w:t>
      </w:r>
      <w:r w:rsidRPr="003C3067">
        <w:rPr>
          <w:rFonts w:ascii="Verdana" w:eastAsia="Calibri" w:hAnsi="Verdana" w:cs="Arial"/>
          <w:bCs/>
          <w:color w:val="000000"/>
          <w:sz w:val="20"/>
          <w:szCs w:val="20"/>
          <w:lang w:val="es-ES"/>
        </w:rPr>
        <w:t xml:space="preserve"> la tipología de convenios o contratos interadministrativos conviene precisar que, </w:t>
      </w:r>
      <w:r w:rsidRPr="003C3067">
        <w:rPr>
          <w:rFonts w:ascii="Verdana" w:eastAsia="Arial" w:hAnsi="Verdana" w:cs="Arial"/>
          <w:color w:val="000000"/>
          <w:sz w:val="20"/>
          <w:szCs w:val="20"/>
          <w:lang w:val="es-ES"/>
        </w:rPr>
        <w:t>aunque la ley no la definió ni desarrolló, el Decreto 1082 de 2015 se refiere como interadministrativa a aquella contratación entre entidades estatales</w:t>
      </w:r>
      <w:r w:rsidRPr="003C3067">
        <w:rPr>
          <w:rFonts w:ascii="Verdana" w:eastAsia="Arial" w:hAnsi="Verdana" w:cs="Arial"/>
          <w:color w:val="000000"/>
          <w:sz w:val="20"/>
          <w:szCs w:val="20"/>
          <w:vertAlign w:val="superscript"/>
          <w:lang w:val="es-ES"/>
        </w:rPr>
        <w:footnoteReference w:id="2"/>
      </w:r>
      <w:r w:rsidRPr="003C3067">
        <w:rPr>
          <w:rFonts w:ascii="Verdana" w:eastAsia="Arial" w:hAnsi="Verdana" w:cs="Arial"/>
          <w:color w:val="000000"/>
          <w:sz w:val="20"/>
          <w:szCs w:val="20"/>
          <w:lang w:val="es-ES"/>
        </w:rPr>
        <w:t>. De acuerdo con lo anterior, es interadministrativo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3C3067">
        <w:rPr>
          <w:rFonts w:ascii="Verdana" w:eastAsia="Arial" w:hAnsi="Verdana" w:cs="Arial"/>
          <w:color w:val="000000"/>
          <w:spacing w:val="-6"/>
          <w:sz w:val="20"/>
          <w:szCs w:val="20"/>
          <w:lang w:val="es-ES"/>
        </w:rPr>
        <w:t xml:space="preserve"> </w:t>
      </w:r>
      <w:r w:rsidRPr="003C3067">
        <w:rPr>
          <w:rFonts w:ascii="Verdana" w:eastAsia="Arial" w:hAnsi="Verdana" w:cs="Arial"/>
          <w:color w:val="000000"/>
          <w:sz w:val="20"/>
          <w:szCs w:val="20"/>
          <w:lang w:val="es-ES"/>
        </w:rPr>
        <w:t>estatales.</w:t>
      </w:r>
    </w:p>
    <w:p w14:paraId="6C7A84D8" w14:textId="685C4543" w:rsidR="00A7247D" w:rsidRPr="003C3067" w:rsidRDefault="00A7247D" w:rsidP="003C3067">
      <w:pPr>
        <w:jc w:val="both"/>
        <w:rPr>
          <w:rFonts w:ascii="Verdana" w:hAnsi="Verdana" w:cs="Arial"/>
          <w:b/>
        </w:rPr>
      </w:pPr>
      <w:r w:rsidRPr="008707A3">
        <w:rPr>
          <w:rFonts w:ascii="Verdana" w:eastAsia="Calibri" w:hAnsi="Verdana" w:cs="Arial"/>
          <w:b/>
          <w:lang w:val="es-ES" w:eastAsia="es-ES"/>
        </w:rPr>
        <w:t xml:space="preserve">PRINCIPIO DE SELECCIÓN OBJETIVA </w:t>
      </w:r>
      <w:r w:rsidRPr="008707A3">
        <w:rPr>
          <w:rFonts w:ascii="Verdana" w:eastAsia="Calibri" w:hAnsi="Verdana" w:cs="Arial"/>
          <w:b/>
          <w:lang w:eastAsia="es-ES"/>
        </w:rPr>
        <w:t>–</w:t>
      </w:r>
      <w:r w:rsidRPr="008707A3">
        <w:rPr>
          <w:rFonts w:ascii="Verdana" w:eastAsia="Calibri" w:hAnsi="Verdana" w:cs="Arial"/>
          <w:b/>
          <w:lang w:val="es-ES" w:eastAsia="es-ES"/>
        </w:rPr>
        <w:t xml:space="preserve"> Contratación directa </w:t>
      </w:r>
      <w:r w:rsidRPr="008707A3">
        <w:rPr>
          <w:rFonts w:ascii="Verdana" w:eastAsia="Calibri" w:hAnsi="Verdana" w:cs="Arial"/>
          <w:b/>
          <w:lang w:eastAsia="es-ES"/>
        </w:rPr>
        <w:t xml:space="preserve">– Contratos y convenios interadministrativos </w:t>
      </w:r>
    </w:p>
    <w:p w14:paraId="33474616" w14:textId="77777777" w:rsidR="00A7247D" w:rsidRDefault="00A7247D" w:rsidP="00A7247D">
      <w:pPr>
        <w:spacing w:after="0" w:line="240" w:lineRule="auto"/>
        <w:jc w:val="both"/>
        <w:rPr>
          <w:rFonts w:ascii="Verdana" w:hAnsi="Verdana" w:cs="Arial"/>
          <w:bCs/>
          <w:color w:val="000000" w:themeColor="text1"/>
          <w:sz w:val="20"/>
          <w:szCs w:val="20"/>
          <w:lang w:val="es-ES"/>
        </w:rPr>
      </w:pPr>
      <w:r w:rsidRPr="009347A3">
        <w:rPr>
          <w:rFonts w:ascii="Verdana" w:hAnsi="Verdana" w:cs="Arial"/>
          <w:bCs/>
          <w:color w:val="000000" w:themeColor="text1"/>
          <w:sz w:val="20"/>
          <w:szCs w:val="20"/>
          <w:lang w:val="es-ES"/>
        </w:rPr>
        <w:t>L</w:t>
      </w:r>
      <w:r w:rsidRPr="00837FAF">
        <w:rPr>
          <w:rFonts w:ascii="Verdana" w:hAnsi="Verdana" w:cs="Arial"/>
          <w:bCs/>
          <w:color w:val="000000" w:themeColor="text1"/>
          <w:sz w:val="20"/>
          <w:szCs w:val="20"/>
          <w:lang w:val="es-ES"/>
        </w:rPr>
        <w:t xml:space="preserve">a Ley 1150 de 2007 permite que los contratos interadministrativos pueden celebrarse directamente, sin perjuicio de que, eventualmente, se celebren en el marco de un proceso de selección competitivo. Por ello, al tratarse de una causal de contratación directa establecida por el legislador no será obligatorio contar con varias ofertas para escoger libremente a la entidad estatal con la cual se suscribirá el convenio o contrato interadministrativo. </w:t>
      </w:r>
    </w:p>
    <w:p w14:paraId="505877F5" w14:textId="77777777" w:rsidR="00A7247D" w:rsidRDefault="00A7247D" w:rsidP="00A7247D">
      <w:pPr>
        <w:spacing w:after="0" w:line="240" w:lineRule="auto"/>
        <w:jc w:val="both"/>
        <w:rPr>
          <w:rFonts w:ascii="Verdana" w:hAnsi="Verdana" w:cs="Arial"/>
          <w:bCs/>
          <w:color w:val="000000" w:themeColor="text1"/>
          <w:sz w:val="20"/>
          <w:szCs w:val="20"/>
          <w:lang w:val="es-ES"/>
        </w:rPr>
      </w:pPr>
    </w:p>
    <w:p w14:paraId="6CFED428" w14:textId="77777777" w:rsidR="00A7247D" w:rsidRPr="009347A3" w:rsidRDefault="00A7247D" w:rsidP="00A7247D">
      <w:pPr>
        <w:spacing w:after="0" w:line="240" w:lineRule="auto"/>
        <w:jc w:val="both"/>
        <w:rPr>
          <w:rFonts w:ascii="Verdana" w:hAnsi="Verdana" w:cs="Arial"/>
          <w:bCs/>
          <w:color w:val="000000" w:themeColor="text1"/>
          <w:sz w:val="20"/>
          <w:szCs w:val="20"/>
          <w:lang w:val="es-ES"/>
        </w:rPr>
      </w:pPr>
      <w:r>
        <w:rPr>
          <w:rFonts w:ascii="Verdana" w:hAnsi="Verdana" w:cs="Arial"/>
          <w:bCs/>
          <w:color w:val="000000" w:themeColor="text1"/>
          <w:sz w:val="20"/>
          <w:szCs w:val="20"/>
          <w:lang w:val="es-ES"/>
        </w:rPr>
        <w:t>(…)</w:t>
      </w:r>
    </w:p>
    <w:p w14:paraId="071E00CA" w14:textId="77777777" w:rsidR="00A7247D" w:rsidRPr="00837FAF" w:rsidRDefault="00A7247D" w:rsidP="00A7247D">
      <w:pPr>
        <w:spacing w:after="0" w:line="240" w:lineRule="auto"/>
        <w:jc w:val="both"/>
        <w:rPr>
          <w:rFonts w:ascii="Verdana" w:hAnsi="Verdana" w:cs="Arial"/>
          <w:bCs/>
          <w:color w:val="000000" w:themeColor="text1"/>
          <w:sz w:val="20"/>
          <w:szCs w:val="20"/>
          <w:lang w:val="es-ES"/>
        </w:rPr>
      </w:pPr>
    </w:p>
    <w:p w14:paraId="2510FB68" w14:textId="77777777" w:rsidR="00A7247D" w:rsidRPr="009347A3" w:rsidRDefault="00A7247D" w:rsidP="00A7247D">
      <w:pPr>
        <w:spacing w:after="0" w:line="240" w:lineRule="auto"/>
        <w:jc w:val="both"/>
        <w:rPr>
          <w:rFonts w:ascii="Verdana" w:eastAsia="Calibri" w:hAnsi="Verdana" w:cs="Arial"/>
          <w:color w:val="000000"/>
          <w:sz w:val="20"/>
          <w:szCs w:val="20"/>
        </w:rPr>
      </w:pPr>
      <w:r w:rsidRPr="009347A3">
        <w:rPr>
          <w:rFonts w:ascii="Verdana" w:eastAsia="Arial" w:hAnsi="Verdana" w:cs="Arial"/>
          <w:color w:val="000000" w:themeColor="text1"/>
          <w:sz w:val="20"/>
          <w:szCs w:val="20"/>
          <w:lang w:val="es-ES"/>
        </w:rPr>
        <w:t>Sin embargo, esto no significa que esta contratación esté exenta</w:t>
      </w:r>
      <w:r w:rsidRPr="009347A3">
        <w:rPr>
          <w:rFonts w:ascii="Verdana" w:eastAsia="Calibri" w:hAnsi="Verdana" w:cs="Arial"/>
          <w:color w:val="000000"/>
          <w:sz w:val="20"/>
          <w:szCs w:val="20"/>
          <w:lang w:val="es-ES_tradnl"/>
        </w:rPr>
        <w:t xml:space="preserve"> del cumplimiento de los principios de transparencia y selección objetiva que rigen la contratación pública. En la contratación directa la entidad también deberá realizar un análisis previo a la suscripción del contrato, en el que se verifique que el contratista cumple con lo requerido para satisfacer la necesidad </w:t>
      </w:r>
      <w:r w:rsidRPr="009347A3">
        <w:rPr>
          <w:rFonts w:ascii="Verdana" w:eastAsia="Calibri" w:hAnsi="Verdana" w:cs="Arial"/>
          <w:sz w:val="20"/>
          <w:szCs w:val="20"/>
        </w:rPr>
        <w:t>contractual</w:t>
      </w:r>
      <w:r w:rsidRPr="009347A3">
        <w:rPr>
          <w:rFonts w:ascii="Verdana" w:eastAsia="Calibri" w:hAnsi="Verdana" w:cs="Arial"/>
          <w:color w:val="000000"/>
          <w:sz w:val="20"/>
          <w:szCs w:val="20"/>
          <w:lang w:val="es-ES_tradnl"/>
        </w:rPr>
        <w:t>. Por tanto, la entidad tiene la obligación de escoger al contratista de manera objetiva, es decir, que “</w:t>
      </w:r>
      <w:r w:rsidRPr="009347A3">
        <w:rPr>
          <w:rFonts w:ascii="Verdana" w:eastAsia="Calibri" w:hAnsi="Verdana" w:cs="Arial"/>
          <w:color w:val="000000"/>
          <w:sz w:val="20"/>
          <w:szCs w:val="20"/>
        </w:rPr>
        <w:t>el contratista elegido no lo sea por razones políticas, o de amistad, o de recomendación basada en criterios caprichosos, sino en motivos como la buena calidad del trabajo, la experiencia profesional reconocida, la imagen pública de su actividad profesional, entre otros factores objetivos y criterios de valoración profesional que alejan la arbitrariedad, la subjetividad y el capricho de la selección del contratista, cuando se escoge en forma directa</w:t>
      </w:r>
      <w:r w:rsidRPr="009347A3">
        <w:rPr>
          <w:rFonts w:ascii="Verdana" w:eastAsia="Calibri" w:hAnsi="Verdana" w:cs="Arial"/>
          <w:color w:val="000000"/>
          <w:sz w:val="20"/>
          <w:szCs w:val="20"/>
          <w:lang w:val="es-ES_tradnl"/>
        </w:rPr>
        <w:t>”</w:t>
      </w:r>
      <w:r w:rsidRPr="009347A3">
        <w:rPr>
          <w:rFonts w:ascii="Verdana" w:eastAsia="Calibri" w:hAnsi="Verdana" w:cs="Arial"/>
          <w:color w:val="000000"/>
          <w:sz w:val="20"/>
          <w:szCs w:val="20"/>
        </w:rPr>
        <w:t>.</w:t>
      </w:r>
    </w:p>
    <w:p w14:paraId="67BE7C68" w14:textId="77777777" w:rsidR="003C3067" w:rsidRDefault="003C3067" w:rsidP="00A7247D">
      <w:pPr>
        <w:spacing w:after="0" w:line="240" w:lineRule="auto"/>
        <w:jc w:val="both"/>
        <w:rPr>
          <w:rFonts w:ascii="Verdana" w:eastAsia="Calibri" w:hAnsi="Verdana" w:cs="Arial"/>
          <w:color w:val="000000"/>
          <w:sz w:val="20"/>
          <w:szCs w:val="20"/>
        </w:rPr>
      </w:pPr>
    </w:p>
    <w:p w14:paraId="17899D33" w14:textId="4CD3D1F6" w:rsidR="00A7247D" w:rsidRPr="009347A3" w:rsidRDefault="00A7247D" w:rsidP="00A7247D">
      <w:pPr>
        <w:spacing w:after="0" w:line="240" w:lineRule="auto"/>
        <w:jc w:val="both"/>
        <w:rPr>
          <w:rFonts w:ascii="Verdana" w:eastAsia="Calibri" w:hAnsi="Verdana" w:cs="Arial"/>
          <w:color w:val="000000"/>
          <w:sz w:val="20"/>
          <w:szCs w:val="20"/>
        </w:rPr>
      </w:pPr>
      <w:r w:rsidRPr="009347A3">
        <w:rPr>
          <w:rFonts w:ascii="Verdana" w:eastAsia="Calibri" w:hAnsi="Verdana" w:cs="Arial"/>
          <w:color w:val="000000"/>
          <w:sz w:val="20"/>
          <w:szCs w:val="20"/>
        </w:rPr>
        <w:t>(…)</w:t>
      </w:r>
    </w:p>
    <w:p w14:paraId="15606DE5" w14:textId="77777777" w:rsidR="00A7247D" w:rsidRDefault="00A7247D" w:rsidP="00A7247D">
      <w:pPr>
        <w:spacing w:after="0" w:line="240" w:lineRule="auto"/>
        <w:jc w:val="both"/>
        <w:rPr>
          <w:rFonts w:ascii="Verdana" w:eastAsia="Calibri" w:hAnsi="Verdana" w:cs="Arial"/>
          <w:color w:val="000000"/>
          <w:sz w:val="20"/>
          <w:szCs w:val="20"/>
        </w:rPr>
      </w:pPr>
    </w:p>
    <w:p w14:paraId="2F649ECB" w14:textId="77777777" w:rsidR="00A7247D" w:rsidRPr="009347A3" w:rsidRDefault="00A7247D" w:rsidP="00A7247D">
      <w:pPr>
        <w:spacing w:after="0" w:line="240" w:lineRule="auto"/>
        <w:jc w:val="both"/>
        <w:rPr>
          <w:rFonts w:ascii="Verdana" w:eastAsia="Calibri" w:hAnsi="Verdana" w:cs="Arial"/>
          <w:color w:val="000000"/>
          <w:sz w:val="20"/>
          <w:szCs w:val="20"/>
        </w:rPr>
      </w:pPr>
      <w:r w:rsidRPr="009347A3">
        <w:rPr>
          <w:rFonts w:ascii="Verdana" w:eastAsia="Calibri" w:hAnsi="Verdana" w:cs="Arial"/>
          <w:color w:val="000000"/>
          <w:sz w:val="20"/>
          <w:szCs w:val="20"/>
        </w:rPr>
        <w:t xml:space="preserve">Así las cosas, en la causal de contratación directa de contratos interadministrativos es necesario que la entidad justifique las razones por las cuales se contratará directamente con la entidad estatal basado en criterios objetivos como la experiencia, la idoneidad, capacidad técnica y operativa, entre otros. De esta manera, la entidad estatal, además de verificar el cumplimiento de los requisitos señalados en el literal c del numeral 4 del artículo 2 de la Ley 1150 de 2007, deberá constatar que la entidad con la cual se </w:t>
      </w:r>
      <w:r w:rsidRPr="009347A3">
        <w:rPr>
          <w:rFonts w:ascii="Verdana" w:eastAsia="Calibri" w:hAnsi="Verdana" w:cs="Arial"/>
          <w:color w:val="000000"/>
          <w:sz w:val="20"/>
          <w:szCs w:val="20"/>
        </w:rPr>
        <w:lastRenderedPageBreak/>
        <w:t xml:space="preserve">celebrará el contrato está en capacidad de ejecutar el objeto contractual y que haya demostrado la idoneidad para cumplirlo, sin que sea necesario obtener previamente varias ofertas, de lo cual se deberá dejar la constancia respectiva. </w:t>
      </w:r>
    </w:p>
    <w:p w14:paraId="422C98DA" w14:textId="77777777" w:rsidR="00A7247D" w:rsidRDefault="00A7247D" w:rsidP="00A7247D">
      <w:pPr>
        <w:jc w:val="both"/>
        <w:rPr>
          <w:rFonts w:ascii="Verdana" w:eastAsia="Arial" w:hAnsi="Verdana" w:cs="Arial"/>
          <w:color w:val="000000"/>
          <w:lang w:val="es-ES"/>
        </w:rPr>
      </w:pPr>
    </w:p>
    <w:p w14:paraId="43F0CB7F" w14:textId="77777777" w:rsidR="00A7247D" w:rsidRDefault="00A7247D" w:rsidP="00A7247D">
      <w:pPr>
        <w:jc w:val="both"/>
        <w:rPr>
          <w:rFonts w:ascii="Verdana" w:eastAsia="Arial" w:hAnsi="Verdana" w:cs="Arial"/>
          <w:color w:val="000000"/>
          <w:lang w:val="es-ES"/>
        </w:rPr>
      </w:pPr>
    </w:p>
    <w:p w14:paraId="07BB9AFC" w14:textId="77777777" w:rsidR="00A7247D" w:rsidRDefault="00A7247D" w:rsidP="00A7247D">
      <w:pPr>
        <w:jc w:val="both"/>
        <w:rPr>
          <w:rFonts w:ascii="Verdana" w:eastAsia="Arial" w:hAnsi="Verdana" w:cs="Arial"/>
          <w:color w:val="000000"/>
          <w:lang w:val="es-ES"/>
        </w:rPr>
      </w:pPr>
    </w:p>
    <w:p w14:paraId="433572D7" w14:textId="77777777" w:rsidR="00A7247D" w:rsidRDefault="00A7247D" w:rsidP="00A7247D">
      <w:pPr>
        <w:jc w:val="both"/>
        <w:rPr>
          <w:rFonts w:ascii="Verdana" w:eastAsia="Arial" w:hAnsi="Verdana" w:cs="Arial"/>
          <w:color w:val="000000"/>
          <w:lang w:val="es-ES"/>
        </w:rPr>
      </w:pPr>
    </w:p>
    <w:p w14:paraId="74836BE8" w14:textId="77777777" w:rsidR="00A7247D" w:rsidRDefault="00A7247D" w:rsidP="00A7247D">
      <w:pPr>
        <w:jc w:val="both"/>
        <w:rPr>
          <w:rFonts w:ascii="Verdana" w:eastAsia="Arial" w:hAnsi="Verdana" w:cs="Arial"/>
          <w:color w:val="000000"/>
          <w:lang w:val="es-ES"/>
        </w:rPr>
      </w:pPr>
    </w:p>
    <w:p w14:paraId="70CFA042" w14:textId="77777777" w:rsidR="00A7247D" w:rsidRDefault="00A7247D" w:rsidP="00A7247D">
      <w:pPr>
        <w:jc w:val="both"/>
        <w:rPr>
          <w:rFonts w:ascii="Verdana" w:eastAsia="Arial" w:hAnsi="Verdana" w:cs="Arial"/>
          <w:color w:val="000000"/>
          <w:lang w:val="es-ES"/>
        </w:rPr>
      </w:pPr>
    </w:p>
    <w:p w14:paraId="68440347" w14:textId="77777777" w:rsidR="00A7247D" w:rsidRDefault="00A7247D" w:rsidP="00A7247D">
      <w:pPr>
        <w:jc w:val="both"/>
        <w:rPr>
          <w:rFonts w:ascii="Verdana" w:eastAsia="Arial" w:hAnsi="Verdana" w:cs="Arial"/>
          <w:color w:val="000000"/>
          <w:lang w:val="es-ES"/>
        </w:rPr>
      </w:pPr>
    </w:p>
    <w:p w14:paraId="143EAC03" w14:textId="77777777" w:rsidR="00A7247D" w:rsidRDefault="00A7247D" w:rsidP="00A7247D">
      <w:pPr>
        <w:jc w:val="both"/>
        <w:rPr>
          <w:rFonts w:ascii="Verdana" w:eastAsia="Arial" w:hAnsi="Verdana" w:cs="Arial"/>
          <w:color w:val="000000"/>
          <w:lang w:val="es-ES"/>
        </w:rPr>
      </w:pPr>
    </w:p>
    <w:p w14:paraId="4359B42D" w14:textId="77777777" w:rsidR="00A7247D" w:rsidRDefault="00A7247D" w:rsidP="00A7247D">
      <w:pPr>
        <w:jc w:val="both"/>
        <w:rPr>
          <w:rFonts w:ascii="Verdana" w:eastAsia="Arial" w:hAnsi="Verdana" w:cs="Arial"/>
          <w:color w:val="000000"/>
          <w:lang w:val="es-ES"/>
        </w:rPr>
      </w:pPr>
    </w:p>
    <w:p w14:paraId="6361E7F4" w14:textId="77777777" w:rsidR="00A7247D" w:rsidRDefault="00A7247D" w:rsidP="00A7247D">
      <w:pPr>
        <w:jc w:val="both"/>
        <w:rPr>
          <w:rFonts w:ascii="Verdana" w:eastAsia="Arial" w:hAnsi="Verdana" w:cs="Arial"/>
          <w:color w:val="000000"/>
          <w:lang w:val="es-ES"/>
        </w:rPr>
      </w:pPr>
    </w:p>
    <w:p w14:paraId="3E0C7207" w14:textId="77777777" w:rsidR="00A7247D" w:rsidRDefault="00A7247D" w:rsidP="00A7247D">
      <w:pPr>
        <w:jc w:val="both"/>
        <w:rPr>
          <w:rFonts w:ascii="Verdana" w:eastAsia="Arial" w:hAnsi="Verdana" w:cs="Arial"/>
          <w:color w:val="000000"/>
          <w:lang w:val="es-ES"/>
        </w:rPr>
      </w:pPr>
    </w:p>
    <w:p w14:paraId="7E7F5014" w14:textId="77777777" w:rsidR="00A7247D" w:rsidRDefault="00A7247D" w:rsidP="00A7247D">
      <w:pPr>
        <w:jc w:val="both"/>
        <w:rPr>
          <w:rFonts w:ascii="Verdana" w:eastAsia="Arial" w:hAnsi="Verdana" w:cs="Arial"/>
          <w:color w:val="000000"/>
          <w:lang w:val="es-ES"/>
        </w:rPr>
      </w:pPr>
    </w:p>
    <w:p w14:paraId="753011CA" w14:textId="77777777" w:rsidR="00A7247D" w:rsidRDefault="00A7247D" w:rsidP="00A7247D">
      <w:pPr>
        <w:jc w:val="both"/>
        <w:rPr>
          <w:rFonts w:ascii="Verdana" w:eastAsia="Arial" w:hAnsi="Verdana" w:cs="Arial"/>
          <w:color w:val="000000"/>
          <w:lang w:val="es-ES"/>
        </w:rPr>
      </w:pPr>
    </w:p>
    <w:p w14:paraId="50275C68" w14:textId="77777777" w:rsidR="00A7247D" w:rsidRDefault="00A7247D" w:rsidP="00A7247D">
      <w:pPr>
        <w:jc w:val="both"/>
        <w:rPr>
          <w:rFonts w:ascii="Verdana" w:eastAsia="Arial" w:hAnsi="Verdana" w:cs="Arial"/>
          <w:color w:val="000000"/>
          <w:lang w:val="es-ES"/>
        </w:rPr>
      </w:pPr>
    </w:p>
    <w:p w14:paraId="1110DC86" w14:textId="77777777" w:rsidR="00A7247D" w:rsidRDefault="00A7247D" w:rsidP="00A7247D">
      <w:pPr>
        <w:jc w:val="both"/>
        <w:rPr>
          <w:rFonts w:ascii="Verdana" w:eastAsia="Arial" w:hAnsi="Verdana" w:cs="Arial"/>
          <w:color w:val="000000"/>
          <w:lang w:val="es-ES"/>
        </w:rPr>
      </w:pPr>
    </w:p>
    <w:p w14:paraId="4EE8B2E2" w14:textId="77777777" w:rsidR="00A7247D" w:rsidRDefault="00A7247D" w:rsidP="00A7247D">
      <w:pPr>
        <w:jc w:val="both"/>
        <w:rPr>
          <w:rFonts w:ascii="Verdana" w:eastAsia="Arial" w:hAnsi="Verdana" w:cs="Arial"/>
          <w:color w:val="000000"/>
          <w:lang w:val="es-ES"/>
        </w:rPr>
      </w:pPr>
    </w:p>
    <w:p w14:paraId="50235667" w14:textId="77777777" w:rsidR="00A7247D" w:rsidRDefault="00A7247D" w:rsidP="00A7247D">
      <w:pPr>
        <w:jc w:val="both"/>
        <w:rPr>
          <w:rFonts w:ascii="Verdana" w:eastAsia="Arial" w:hAnsi="Verdana" w:cs="Arial"/>
          <w:color w:val="000000"/>
          <w:lang w:val="es-ES"/>
        </w:rPr>
      </w:pPr>
    </w:p>
    <w:p w14:paraId="76B68023" w14:textId="77777777" w:rsidR="00A7247D" w:rsidRDefault="00A7247D" w:rsidP="00A7247D">
      <w:pPr>
        <w:jc w:val="both"/>
        <w:rPr>
          <w:rFonts w:ascii="Verdana" w:eastAsia="Arial" w:hAnsi="Verdana" w:cs="Arial"/>
          <w:color w:val="000000"/>
          <w:lang w:val="es-ES"/>
        </w:rPr>
      </w:pPr>
    </w:p>
    <w:p w14:paraId="525EACEF" w14:textId="77777777" w:rsidR="00A7247D" w:rsidRDefault="00A7247D" w:rsidP="00A7247D">
      <w:pPr>
        <w:jc w:val="both"/>
        <w:rPr>
          <w:rFonts w:ascii="Verdana" w:eastAsia="Arial" w:hAnsi="Verdana" w:cs="Arial"/>
          <w:color w:val="000000"/>
          <w:lang w:val="es-ES"/>
        </w:rPr>
      </w:pPr>
    </w:p>
    <w:p w14:paraId="151D2E29" w14:textId="77777777" w:rsidR="00A7247D" w:rsidRDefault="00A7247D" w:rsidP="00A7247D">
      <w:pPr>
        <w:jc w:val="both"/>
        <w:rPr>
          <w:rFonts w:ascii="Verdana" w:eastAsia="Arial" w:hAnsi="Verdana" w:cs="Arial"/>
          <w:color w:val="000000"/>
          <w:lang w:val="es-ES"/>
        </w:rPr>
      </w:pPr>
    </w:p>
    <w:p w14:paraId="1B808C80" w14:textId="77777777" w:rsidR="00A7247D" w:rsidRDefault="00A7247D" w:rsidP="00A7247D">
      <w:pPr>
        <w:jc w:val="both"/>
        <w:rPr>
          <w:rFonts w:ascii="Verdana" w:eastAsia="Arial" w:hAnsi="Verdana" w:cs="Arial"/>
          <w:color w:val="000000"/>
          <w:lang w:val="es-ES"/>
        </w:rPr>
      </w:pPr>
    </w:p>
    <w:p w14:paraId="2D9AC76B" w14:textId="77777777" w:rsidR="00A7247D" w:rsidRDefault="00A7247D" w:rsidP="00A7247D">
      <w:pPr>
        <w:jc w:val="both"/>
        <w:rPr>
          <w:rFonts w:ascii="Verdana" w:eastAsia="Arial" w:hAnsi="Verdana" w:cs="Arial"/>
          <w:color w:val="000000"/>
          <w:lang w:val="es-ES"/>
        </w:rPr>
      </w:pPr>
    </w:p>
    <w:p w14:paraId="7E9CE5ED" w14:textId="77777777" w:rsidR="003C3067" w:rsidRDefault="003C3067" w:rsidP="00A7247D">
      <w:pPr>
        <w:jc w:val="both"/>
        <w:rPr>
          <w:rFonts w:ascii="Verdana" w:eastAsia="Geomanist Light" w:hAnsi="Verdana" w:cs="Arial"/>
        </w:rPr>
      </w:pPr>
    </w:p>
    <w:p w14:paraId="456C40EE" w14:textId="77777777" w:rsidR="003C3067" w:rsidRDefault="003C3067" w:rsidP="00A7247D">
      <w:pPr>
        <w:jc w:val="both"/>
        <w:rPr>
          <w:rFonts w:ascii="Verdana" w:eastAsia="Geomanist Light" w:hAnsi="Verdana" w:cs="Arial"/>
        </w:rPr>
      </w:pPr>
    </w:p>
    <w:p w14:paraId="25E12133" w14:textId="642DA051" w:rsidR="00A7247D" w:rsidRPr="00E13AC4" w:rsidRDefault="00A7247D" w:rsidP="00A7247D">
      <w:pPr>
        <w:jc w:val="both"/>
        <w:rPr>
          <w:rFonts w:ascii="Verdana" w:eastAsia="Calibri" w:hAnsi="Verdana" w:cs="Arial"/>
          <w:bCs/>
          <w:lang w:eastAsia="es-ES_tradnl"/>
        </w:rPr>
      </w:pPr>
      <w:r w:rsidRPr="00073A28">
        <w:rPr>
          <w:rFonts w:ascii="Verdana" w:eastAsia="Geomanist Light" w:hAnsi="Verdana" w:cs="Arial"/>
        </w:rPr>
        <w:lastRenderedPageBreak/>
        <w:t>Bogotá D.C., [Día] de [</w:t>
      </w:r>
      <w:proofErr w:type="spellStart"/>
      <w:r w:rsidRPr="00073A28">
        <w:rPr>
          <w:rFonts w:ascii="Verdana" w:eastAsia="Geomanist Light" w:hAnsi="Verdana" w:cs="Arial"/>
        </w:rPr>
        <w:t>Mes.NombreCapitalizado</w:t>
      </w:r>
      <w:proofErr w:type="spellEnd"/>
      <w:r w:rsidRPr="00073A28">
        <w:rPr>
          <w:rFonts w:ascii="Verdana" w:eastAsia="Geomanist Light" w:hAnsi="Verdana" w:cs="Arial"/>
        </w:rPr>
        <w:t>] de [Año]</w:t>
      </w:r>
    </w:p>
    <w:p w14:paraId="48C36663" w14:textId="080F097E" w:rsidR="00A7247D" w:rsidRDefault="00A7247D" w:rsidP="00A7247D">
      <w:pPr>
        <w:spacing w:after="0" w:line="240" w:lineRule="auto"/>
        <w:jc w:val="both"/>
        <w:rPr>
          <w:rFonts w:ascii="Verdana" w:eastAsia="Calibri" w:hAnsi="Verdana" w:cs="Arial"/>
          <w:lang w:eastAsia="es-ES"/>
        </w:rPr>
      </w:pPr>
    </w:p>
    <w:p w14:paraId="0B3BBB09" w14:textId="43EBD96D" w:rsidR="00A7247D" w:rsidRPr="00073A28" w:rsidRDefault="003C3067" w:rsidP="00A7247D">
      <w:pPr>
        <w:spacing w:after="0" w:line="240" w:lineRule="auto"/>
        <w:jc w:val="both"/>
        <w:rPr>
          <w:rFonts w:ascii="Verdana" w:eastAsia="Calibri" w:hAnsi="Verdana" w:cs="Arial"/>
          <w:lang w:eastAsia="es-ES"/>
        </w:rPr>
      </w:pPr>
      <w:r w:rsidRPr="00F67016">
        <w:rPr>
          <w:rFonts w:ascii="Verdana" w:eastAsia="Calibri" w:hAnsi="Verdana" w:cs="Arial"/>
          <w:noProof/>
          <w:lang w:eastAsia="es-ES"/>
        </w:rPr>
        <w:drawing>
          <wp:anchor distT="0" distB="0" distL="114300" distR="114300" simplePos="0" relativeHeight="251658240" behindDoc="1" locked="0" layoutInCell="1" allowOverlap="1" wp14:anchorId="15EC7178" wp14:editId="11009266">
            <wp:simplePos x="0" y="0"/>
            <wp:positionH relativeFrom="margin">
              <wp:posOffset>2513330</wp:posOffset>
            </wp:positionH>
            <wp:positionV relativeFrom="paragraph">
              <wp:posOffset>5080</wp:posOffset>
            </wp:positionV>
            <wp:extent cx="3094355" cy="882015"/>
            <wp:effectExtent l="0" t="0" r="0" b="0"/>
            <wp:wrapSquare wrapText="bothSides"/>
            <wp:docPr id="112164187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641871"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094355" cy="882015"/>
                    </a:xfrm>
                    <a:prstGeom prst="rect">
                      <a:avLst/>
                    </a:prstGeom>
                  </pic:spPr>
                </pic:pic>
              </a:graphicData>
            </a:graphic>
            <wp14:sizeRelH relativeFrom="page">
              <wp14:pctWidth>0</wp14:pctWidth>
            </wp14:sizeRelH>
            <wp14:sizeRelV relativeFrom="page">
              <wp14:pctHeight>0</wp14:pctHeight>
            </wp14:sizeRelV>
          </wp:anchor>
        </w:drawing>
      </w:r>
      <w:r w:rsidR="00A7247D" w:rsidRPr="00073A28">
        <w:rPr>
          <w:rFonts w:ascii="Verdana" w:eastAsia="Calibri" w:hAnsi="Verdana" w:cs="Arial"/>
          <w:lang w:eastAsia="es-ES"/>
        </w:rPr>
        <w:t>Señor</w:t>
      </w:r>
    </w:p>
    <w:p w14:paraId="0D82FE4C" w14:textId="4AAF5828" w:rsidR="00A7247D" w:rsidRPr="00073A28" w:rsidRDefault="00A7247D" w:rsidP="00A7247D">
      <w:pPr>
        <w:spacing w:after="0" w:line="240" w:lineRule="auto"/>
        <w:jc w:val="both"/>
        <w:rPr>
          <w:rFonts w:ascii="Verdana" w:eastAsia="Calibri" w:hAnsi="Verdana" w:cs="Arial"/>
          <w:b/>
          <w:bCs/>
          <w:lang w:eastAsia="es-ES"/>
        </w:rPr>
      </w:pPr>
      <w:r>
        <w:rPr>
          <w:rFonts w:ascii="Verdana" w:eastAsia="Calibri" w:hAnsi="Verdana" w:cs="Arial"/>
          <w:b/>
          <w:bCs/>
          <w:lang w:eastAsia="es-ES"/>
        </w:rPr>
        <w:t>Edison Vera Prada</w:t>
      </w:r>
    </w:p>
    <w:p w14:paraId="75625BA9" w14:textId="5549B4C1" w:rsidR="00A7247D" w:rsidRPr="00073A28" w:rsidRDefault="00A7247D" w:rsidP="00A7247D">
      <w:pPr>
        <w:spacing w:after="0" w:line="240" w:lineRule="auto"/>
        <w:jc w:val="both"/>
        <w:rPr>
          <w:rFonts w:ascii="Verdana" w:eastAsia="Calibri" w:hAnsi="Verdana" w:cs="Arial"/>
          <w:lang w:eastAsia="es-ES"/>
        </w:rPr>
      </w:pPr>
      <w:r>
        <w:rPr>
          <w:rFonts w:ascii="Verdana" w:eastAsia="Calibri" w:hAnsi="Verdana" w:cs="Arial"/>
          <w:lang w:eastAsia="es-ES"/>
        </w:rPr>
        <w:t>veredison@hotmail.com</w:t>
      </w:r>
      <w:r w:rsidR="00F67016" w:rsidRPr="00F67016">
        <w:rPr>
          <w:noProof/>
        </w:rPr>
        <w:t xml:space="preserve"> </w:t>
      </w:r>
    </w:p>
    <w:p w14:paraId="5963491F" w14:textId="77777777" w:rsidR="00A7247D" w:rsidRPr="00073A28" w:rsidRDefault="00A7247D" w:rsidP="00A7247D">
      <w:pPr>
        <w:spacing w:after="0" w:line="240" w:lineRule="auto"/>
        <w:jc w:val="both"/>
        <w:rPr>
          <w:rFonts w:ascii="Verdana" w:eastAsia="Calibri" w:hAnsi="Verdana" w:cs="Arial"/>
          <w:b/>
          <w:bCs/>
          <w:lang w:eastAsia="es-ES"/>
        </w:rPr>
      </w:pPr>
      <w:r w:rsidRPr="00073A28">
        <w:rPr>
          <w:rFonts w:ascii="Verdana" w:eastAsia="Calibri" w:hAnsi="Verdana" w:cs="Arial"/>
          <w:lang w:eastAsia="es-ES"/>
        </w:rPr>
        <w:t>Bogotá, Cundinamarca</w:t>
      </w:r>
    </w:p>
    <w:p w14:paraId="50F9054D" w14:textId="77777777" w:rsidR="00A7247D" w:rsidRPr="00073A28" w:rsidRDefault="00A7247D" w:rsidP="00A7247D">
      <w:pPr>
        <w:spacing w:after="0" w:line="240" w:lineRule="auto"/>
        <w:jc w:val="both"/>
        <w:rPr>
          <w:rFonts w:ascii="Verdana" w:eastAsia="Calibri" w:hAnsi="Verdana" w:cs="Arial"/>
          <w:b/>
          <w:bCs/>
          <w:lang w:eastAsia="es-ES_tradnl"/>
        </w:rPr>
      </w:pPr>
    </w:p>
    <w:p w14:paraId="7C4D290B" w14:textId="77777777" w:rsidR="00A7247D" w:rsidRPr="00073A28" w:rsidRDefault="00A7247D" w:rsidP="00A7247D">
      <w:pPr>
        <w:spacing w:after="0" w:line="240" w:lineRule="auto"/>
        <w:jc w:val="both"/>
        <w:rPr>
          <w:rFonts w:ascii="Verdana" w:eastAsia="Calibri" w:hAnsi="Verdana" w:cs="Arial"/>
          <w:b/>
          <w:bCs/>
          <w:lang w:eastAsia="es-ES_tradnl"/>
        </w:rPr>
      </w:pPr>
    </w:p>
    <w:tbl>
      <w:tblPr>
        <w:tblStyle w:val="Tablaconcuadrcula"/>
        <w:tblW w:w="8789" w:type="dxa"/>
        <w:tblCellMar>
          <w:left w:w="0" w:type="dxa"/>
          <w:right w:w="0" w:type="dxa"/>
        </w:tblCellMar>
        <w:tblLook w:val="04A0" w:firstRow="1" w:lastRow="0" w:firstColumn="1" w:lastColumn="0" w:noHBand="0" w:noVBand="1"/>
      </w:tblPr>
      <w:tblGrid>
        <w:gridCol w:w="2127"/>
        <w:gridCol w:w="6662"/>
      </w:tblGrid>
      <w:tr w:rsidR="00A7247D" w:rsidRPr="00073A28" w14:paraId="0B3E7179" w14:textId="77777777" w:rsidTr="004C6484">
        <w:trPr>
          <w:trHeight w:val="190"/>
        </w:trPr>
        <w:tc>
          <w:tcPr>
            <w:tcW w:w="2127" w:type="dxa"/>
          </w:tcPr>
          <w:p w14:paraId="372C958A" w14:textId="77777777" w:rsidR="00A7247D" w:rsidRPr="00073A28" w:rsidRDefault="00A7247D" w:rsidP="0086494C">
            <w:pPr>
              <w:jc w:val="both"/>
              <w:rPr>
                <w:rFonts w:ascii="Verdana" w:eastAsia="Calibri" w:hAnsi="Verdana" w:cs="Arial"/>
                <w:b/>
                <w:bCs/>
                <w:lang w:eastAsia="es-ES_tradnl"/>
              </w:rPr>
            </w:pPr>
          </w:p>
        </w:tc>
        <w:tc>
          <w:tcPr>
            <w:tcW w:w="6662" w:type="dxa"/>
          </w:tcPr>
          <w:p w14:paraId="4471A36D" w14:textId="77777777" w:rsidR="00A7247D" w:rsidRPr="00073A28" w:rsidRDefault="00A7247D" w:rsidP="0086494C">
            <w:pPr>
              <w:jc w:val="both"/>
              <w:rPr>
                <w:rFonts w:ascii="Verdana" w:eastAsia="Calibri" w:hAnsi="Verdana" w:cs="Arial"/>
                <w:b/>
                <w:bCs/>
                <w:lang w:eastAsia="es-ES"/>
              </w:rPr>
            </w:pPr>
            <w:r w:rsidRPr="00073A28">
              <w:rPr>
                <w:rFonts w:ascii="Verdana" w:eastAsia="Calibri" w:hAnsi="Verdana" w:cs="Arial"/>
                <w:b/>
                <w:bCs/>
                <w:lang w:eastAsia="es-ES"/>
              </w:rPr>
              <w:t>Concepto C- 13</w:t>
            </w:r>
            <w:r>
              <w:rPr>
                <w:rFonts w:ascii="Verdana" w:eastAsia="Calibri" w:hAnsi="Verdana" w:cs="Arial"/>
                <w:b/>
                <w:bCs/>
                <w:lang w:eastAsia="es-ES"/>
              </w:rPr>
              <w:t>61</w:t>
            </w:r>
            <w:r w:rsidRPr="00073A28">
              <w:rPr>
                <w:rFonts w:ascii="Verdana" w:eastAsia="Calibri" w:hAnsi="Verdana" w:cs="Arial"/>
                <w:b/>
                <w:bCs/>
                <w:lang w:eastAsia="es-ES"/>
              </w:rPr>
              <w:t xml:space="preserve"> de 2025</w:t>
            </w:r>
          </w:p>
          <w:p w14:paraId="569773B3" w14:textId="77777777" w:rsidR="00A7247D" w:rsidRPr="00073A28" w:rsidRDefault="00A7247D" w:rsidP="0086494C">
            <w:pPr>
              <w:jc w:val="both"/>
              <w:rPr>
                <w:rFonts w:ascii="Verdana" w:eastAsia="Calibri" w:hAnsi="Verdana" w:cs="Arial"/>
                <w:b/>
                <w:bCs/>
                <w:lang w:eastAsia="es-ES"/>
              </w:rPr>
            </w:pPr>
          </w:p>
        </w:tc>
      </w:tr>
      <w:tr w:rsidR="00A7247D" w:rsidRPr="00073A28" w14:paraId="55972D00" w14:textId="77777777" w:rsidTr="004C6484">
        <w:trPr>
          <w:trHeight w:val="884"/>
        </w:trPr>
        <w:tc>
          <w:tcPr>
            <w:tcW w:w="2127" w:type="dxa"/>
          </w:tcPr>
          <w:p w14:paraId="7593E175" w14:textId="15F71D84" w:rsidR="00A7247D" w:rsidRPr="00073A28" w:rsidRDefault="00A7247D" w:rsidP="0086494C">
            <w:pPr>
              <w:jc w:val="both"/>
              <w:rPr>
                <w:rFonts w:ascii="Verdana" w:eastAsia="Calibri" w:hAnsi="Verdana" w:cs="Arial"/>
                <w:lang w:eastAsia="es-ES_tradnl"/>
              </w:rPr>
            </w:pPr>
            <w:r w:rsidRPr="00073A28">
              <w:rPr>
                <w:rFonts w:ascii="Verdana" w:eastAsia="Calibri" w:hAnsi="Verdana" w:cs="Arial"/>
                <w:b/>
                <w:lang w:eastAsia="es-ES_tradnl"/>
              </w:rPr>
              <w:t>Tema:</w:t>
            </w:r>
            <w:r w:rsidRPr="00073A28">
              <w:rPr>
                <w:rFonts w:ascii="Verdana" w:eastAsia="Calibri" w:hAnsi="Verdana" w:cs="Arial"/>
                <w:lang w:eastAsia="es-ES_tradnl"/>
              </w:rPr>
              <w:t xml:space="preserve">                   </w:t>
            </w:r>
          </w:p>
        </w:tc>
        <w:tc>
          <w:tcPr>
            <w:tcW w:w="6662" w:type="dxa"/>
          </w:tcPr>
          <w:p w14:paraId="2B13C55B" w14:textId="13E15063" w:rsidR="00D13CA2" w:rsidRPr="00D13CA2" w:rsidRDefault="00D13CA2" w:rsidP="00D13CA2">
            <w:pPr>
              <w:jc w:val="both"/>
              <w:rPr>
                <w:rFonts w:ascii="Verdana" w:hAnsi="Verdana" w:cs="Arial"/>
              </w:rPr>
            </w:pPr>
            <w:r w:rsidRPr="00D13CA2">
              <w:rPr>
                <w:rFonts w:ascii="Verdana" w:eastAsia="Calibri" w:hAnsi="Verdana" w:cs="Arial"/>
              </w:rPr>
              <w:t xml:space="preserve">CONTRATOS Y </w:t>
            </w:r>
            <w:r w:rsidRPr="00D13CA2">
              <w:rPr>
                <w:rFonts w:ascii="Verdana" w:hAnsi="Verdana" w:cs="Arial"/>
              </w:rPr>
              <w:t>CONVENIOS INTERADMINISTRATIVOS – Noción – Criterio orgánico/</w:t>
            </w:r>
            <w:r w:rsidRPr="00D13CA2">
              <w:rPr>
                <w:rFonts w:ascii="Verdana" w:eastAsia="Calibri" w:hAnsi="Verdana" w:cs="Arial"/>
                <w:lang w:val="es-ES" w:eastAsia="es-ES"/>
              </w:rPr>
              <w:t xml:space="preserve"> PRINCIPIO DE SELECCIÓN OBJETIVA </w:t>
            </w:r>
            <w:r w:rsidRPr="00D13CA2">
              <w:rPr>
                <w:rFonts w:ascii="Verdana" w:eastAsia="Calibri" w:hAnsi="Verdana" w:cs="Arial"/>
                <w:lang w:eastAsia="es-ES"/>
              </w:rPr>
              <w:t>–</w:t>
            </w:r>
            <w:r w:rsidRPr="00D13CA2">
              <w:rPr>
                <w:rFonts w:ascii="Verdana" w:eastAsia="Calibri" w:hAnsi="Verdana" w:cs="Arial"/>
                <w:lang w:val="es-ES" w:eastAsia="es-ES"/>
              </w:rPr>
              <w:t xml:space="preserve"> Contratación directa </w:t>
            </w:r>
            <w:r w:rsidRPr="00D13CA2">
              <w:rPr>
                <w:rFonts w:ascii="Verdana" w:eastAsia="Calibri" w:hAnsi="Verdana" w:cs="Arial"/>
                <w:lang w:eastAsia="es-ES"/>
              </w:rPr>
              <w:t xml:space="preserve">– Contratos y convenios interadministrativos </w:t>
            </w:r>
          </w:p>
          <w:p w14:paraId="575AE885" w14:textId="77777777" w:rsidR="00A7247D" w:rsidRPr="00073A28" w:rsidRDefault="00A7247D" w:rsidP="00D13CA2">
            <w:pPr>
              <w:spacing w:line="276" w:lineRule="auto"/>
              <w:jc w:val="both"/>
              <w:rPr>
                <w:rFonts w:ascii="Verdana" w:eastAsia="Calibri" w:hAnsi="Verdana" w:cs="Arial"/>
                <w:lang w:eastAsia="es-ES"/>
              </w:rPr>
            </w:pPr>
          </w:p>
        </w:tc>
      </w:tr>
      <w:tr w:rsidR="00A7247D" w:rsidRPr="00073A28" w14:paraId="2D7C6A73" w14:textId="77777777" w:rsidTr="004C6484">
        <w:tc>
          <w:tcPr>
            <w:tcW w:w="2127" w:type="dxa"/>
          </w:tcPr>
          <w:p w14:paraId="23A64E6A" w14:textId="77777777" w:rsidR="00A7247D" w:rsidRPr="00073A28" w:rsidRDefault="00A7247D" w:rsidP="0086494C">
            <w:pPr>
              <w:jc w:val="both"/>
              <w:rPr>
                <w:rFonts w:ascii="Verdana" w:eastAsia="Calibri" w:hAnsi="Verdana" w:cs="Arial"/>
                <w:b/>
                <w:lang w:eastAsia="es-ES_tradnl"/>
              </w:rPr>
            </w:pPr>
            <w:r w:rsidRPr="00073A28">
              <w:rPr>
                <w:rFonts w:ascii="Verdana" w:eastAsia="Calibri" w:hAnsi="Verdana" w:cs="Arial"/>
                <w:b/>
                <w:lang w:eastAsia="es-ES_tradnl"/>
              </w:rPr>
              <w:t>Radicación:</w:t>
            </w:r>
            <w:r w:rsidRPr="00073A28">
              <w:rPr>
                <w:rFonts w:ascii="Verdana" w:eastAsia="Calibri" w:hAnsi="Verdana" w:cs="Arial"/>
                <w:lang w:eastAsia="es-ES_tradnl"/>
              </w:rPr>
              <w:t xml:space="preserve">               </w:t>
            </w:r>
          </w:p>
        </w:tc>
        <w:tc>
          <w:tcPr>
            <w:tcW w:w="6662" w:type="dxa"/>
          </w:tcPr>
          <w:p w14:paraId="3E1B0430" w14:textId="77777777" w:rsidR="00A7247D" w:rsidRPr="00073A28" w:rsidRDefault="00A7247D" w:rsidP="0086494C">
            <w:pPr>
              <w:jc w:val="both"/>
              <w:rPr>
                <w:rFonts w:ascii="Verdana" w:eastAsia="Calibri" w:hAnsi="Verdana" w:cs="Arial"/>
                <w:lang w:eastAsia="es-ES_tradnl"/>
              </w:rPr>
            </w:pPr>
            <w:r w:rsidRPr="00073A28">
              <w:rPr>
                <w:rFonts w:ascii="Verdana" w:eastAsia="Calibri" w:hAnsi="Verdana" w:cs="Arial"/>
                <w:lang w:eastAsia="es-ES_tradnl"/>
              </w:rPr>
              <w:t xml:space="preserve">Respuesta a consulta con radicado </w:t>
            </w:r>
            <w:proofErr w:type="gramStart"/>
            <w:r w:rsidRPr="00073A28">
              <w:rPr>
                <w:rFonts w:ascii="Verdana" w:eastAsia="Calibri" w:hAnsi="Verdana" w:cs="Arial"/>
                <w:lang w:eastAsia="es-ES_tradnl"/>
              </w:rPr>
              <w:t xml:space="preserve">No. </w:t>
            </w:r>
            <w:r>
              <w:rPr>
                <w:rFonts w:ascii="Verdana" w:eastAsia="Calibri" w:hAnsi="Verdana" w:cs="Arial"/>
                <w:lang w:eastAsia="es-ES_tradnl"/>
              </w:rPr>
              <w:t xml:space="preserve"> </w:t>
            </w:r>
            <w:r w:rsidRPr="00BA4BEB">
              <w:rPr>
                <w:rFonts w:ascii="Verdana" w:eastAsia="Calibri" w:hAnsi="Verdana" w:cs="Arial"/>
                <w:lang w:eastAsia="es-ES_tradnl"/>
              </w:rPr>
              <w:t>1</w:t>
            </w:r>
            <w:proofErr w:type="gramEnd"/>
            <w:r w:rsidRPr="00BA4BEB">
              <w:rPr>
                <w:rFonts w:ascii="Verdana" w:eastAsia="Calibri" w:hAnsi="Verdana" w:cs="Arial"/>
                <w:lang w:eastAsia="es-ES_tradnl"/>
              </w:rPr>
              <w:t>_2025_09_22_010433</w:t>
            </w:r>
          </w:p>
        </w:tc>
      </w:tr>
    </w:tbl>
    <w:p w14:paraId="190C7C6C" w14:textId="77777777" w:rsidR="00A7247D" w:rsidRPr="00073A28" w:rsidRDefault="00A7247D" w:rsidP="00A7247D">
      <w:pPr>
        <w:spacing w:after="0" w:line="240" w:lineRule="auto"/>
        <w:jc w:val="both"/>
        <w:rPr>
          <w:rFonts w:ascii="Verdana" w:eastAsia="Calibri" w:hAnsi="Verdana" w:cs="Arial"/>
          <w:lang w:eastAsia="es-ES_tradnl"/>
        </w:rPr>
      </w:pPr>
    </w:p>
    <w:p w14:paraId="0F0DE905" w14:textId="77777777" w:rsidR="00A7247D" w:rsidRPr="00073A28" w:rsidRDefault="00A7247D" w:rsidP="00A7247D">
      <w:pPr>
        <w:spacing w:after="0" w:line="240" w:lineRule="auto"/>
        <w:jc w:val="both"/>
        <w:rPr>
          <w:rFonts w:ascii="Verdana" w:eastAsia="Calibri" w:hAnsi="Verdana" w:cs="Arial"/>
          <w:lang w:eastAsia="es-ES_tradnl"/>
        </w:rPr>
      </w:pPr>
    </w:p>
    <w:p w14:paraId="23B1179F" w14:textId="77777777" w:rsidR="00A7247D" w:rsidRPr="00073A28" w:rsidRDefault="00A7247D" w:rsidP="00A7247D">
      <w:pPr>
        <w:spacing w:after="0" w:line="276" w:lineRule="auto"/>
        <w:jc w:val="both"/>
        <w:rPr>
          <w:rFonts w:ascii="Verdana" w:eastAsia="Calibri" w:hAnsi="Verdana" w:cs="Arial"/>
          <w:lang w:eastAsia="es-ES"/>
        </w:rPr>
      </w:pPr>
      <w:r w:rsidRPr="00073A28">
        <w:rPr>
          <w:rFonts w:ascii="Verdana" w:eastAsia="Calibri" w:hAnsi="Verdana" w:cs="Arial"/>
          <w:lang w:eastAsia="es-ES"/>
        </w:rPr>
        <w:t>Estimad</w:t>
      </w:r>
      <w:r>
        <w:rPr>
          <w:rFonts w:ascii="Verdana" w:eastAsia="Calibri" w:hAnsi="Verdana" w:cs="Arial"/>
          <w:lang w:eastAsia="es-ES"/>
        </w:rPr>
        <w:t>o</w:t>
      </w:r>
      <w:r w:rsidRPr="00073A28">
        <w:rPr>
          <w:rFonts w:ascii="Verdana" w:eastAsia="Calibri" w:hAnsi="Verdana" w:cs="Arial"/>
          <w:lang w:eastAsia="es-ES"/>
        </w:rPr>
        <w:t xml:space="preserve"> señor </w:t>
      </w:r>
      <w:r>
        <w:rPr>
          <w:rFonts w:ascii="Verdana" w:eastAsia="Calibri" w:hAnsi="Verdana" w:cs="Arial"/>
          <w:lang w:eastAsia="es-ES"/>
        </w:rPr>
        <w:t>Vera</w:t>
      </w:r>
      <w:r w:rsidRPr="00073A28">
        <w:rPr>
          <w:rFonts w:ascii="Verdana" w:eastAsia="Calibri" w:hAnsi="Verdana" w:cs="Arial"/>
          <w:lang w:eastAsia="es-ES"/>
        </w:rPr>
        <w:t xml:space="preserve">: </w:t>
      </w:r>
    </w:p>
    <w:p w14:paraId="5BE3E815" w14:textId="77777777" w:rsidR="00A7247D" w:rsidRPr="00073A28" w:rsidRDefault="00A7247D" w:rsidP="00A7247D">
      <w:pPr>
        <w:tabs>
          <w:tab w:val="left" w:pos="3768"/>
        </w:tabs>
        <w:spacing w:after="0" w:line="276" w:lineRule="auto"/>
        <w:jc w:val="both"/>
        <w:rPr>
          <w:rFonts w:ascii="Verdana" w:eastAsia="Calibri" w:hAnsi="Verdana" w:cs="Arial"/>
          <w:lang w:eastAsia="es-ES"/>
        </w:rPr>
      </w:pPr>
    </w:p>
    <w:p w14:paraId="514B45BE" w14:textId="77777777" w:rsidR="00A7247D" w:rsidRPr="00245F51" w:rsidRDefault="00A7247D" w:rsidP="00A7247D">
      <w:pPr>
        <w:spacing w:after="0" w:line="276" w:lineRule="auto"/>
        <w:jc w:val="both"/>
        <w:rPr>
          <w:rFonts w:ascii="Verdana" w:eastAsia="Calibri" w:hAnsi="Verdana" w:cs="Arial"/>
          <w:sz w:val="20"/>
          <w:szCs w:val="20"/>
          <w:lang w:eastAsia="es-ES"/>
        </w:rPr>
      </w:pPr>
      <w:r w:rsidRPr="00073A28">
        <w:rPr>
          <w:rFonts w:ascii="Verdana" w:eastAsia="Calibri" w:hAnsi="Verdana" w:cs="Arial"/>
          <w:lang w:eastAsia="es-ES"/>
        </w:rPr>
        <w:t>En ejercicio de la competencia otorgada por los artículos 3, numeral 5º, y 11, numeral 8º, del Decreto Ley 4170 de 2011,</w:t>
      </w:r>
      <w:r w:rsidRPr="00073A28">
        <w:rPr>
          <w:rFonts w:ascii="Verdana" w:eastAsia="Arial MT" w:hAnsi="Verdana" w:cs="Arial MT"/>
          <w:lang w:eastAsia="es-ES"/>
        </w:rPr>
        <w:t xml:space="preserve"> </w:t>
      </w:r>
      <w:r w:rsidRPr="00073A28">
        <w:rPr>
          <w:rFonts w:ascii="Verdana" w:hAnsi="Verdana" w:cs="Arial"/>
        </w:rPr>
        <w:t xml:space="preserve">así como lo establecido en el artículo 4 de la Resolución 1707 de 2018 expedida por esta Entidad, </w:t>
      </w:r>
      <w:r w:rsidRPr="00073A28">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22</w:t>
      </w:r>
      <w:r w:rsidRPr="00073A28">
        <w:rPr>
          <w:rFonts w:ascii="Verdana" w:eastAsia="Calibri" w:hAnsi="Verdana" w:cs="Arial"/>
          <w:lang w:eastAsia="es-ES"/>
        </w:rPr>
        <w:t xml:space="preserve"> de septiembre de 2025, en la cual manifiesta lo siguiente: </w:t>
      </w:r>
    </w:p>
    <w:p w14:paraId="4FBF7B3D" w14:textId="77777777" w:rsidR="00A7247D" w:rsidRPr="00245F51" w:rsidRDefault="00A7247D" w:rsidP="00A7247D">
      <w:pPr>
        <w:spacing w:after="0" w:line="276" w:lineRule="auto"/>
        <w:jc w:val="both"/>
        <w:rPr>
          <w:rFonts w:ascii="Verdana" w:eastAsia="Calibri" w:hAnsi="Verdana" w:cs="Arial"/>
          <w:sz w:val="20"/>
          <w:szCs w:val="20"/>
          <w:lang w:eastAsia="es-ES"/>
        </w:rPr>
      </w:pPr>
    </w:p>
    <w:p w14:paraId="7FE7BE9B" w14:textId="77777777" w:rsidR="00A7247D" w:rsidRPr="00245F51" w:rsidRDefault="00A7247D" w:rsidP="00A7247D">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“Cómo una EAT nueva puede acreditar experiencia y si es necesario acreditarla para la realización de un convenio </w:t>
      </w:r>
      <w:proofErr w:type="spellStart"/>
      <w:r>
        <w:rPr>
          <w:rFonts w:ascii="Verdana" w:eastAsia="Calibri" w:hAnsi="Verdana" w:cs="Arial"/>
          <w:sz w:val="20"/>
          <w:szCs w:val="20"/>
          <w:lang w:eastAsia="es-ES"/>
        </w:rPr>
        <w:t>inter-administrativo</w:t>
      </w:r>
      <w:proofErr w:type="spellEnd"/>
      <w:r>
        <w:rPr>
          <w:rFonts w:ascii="Verdana" w:eastAsia="Calibri" w:hAnsi="Verdana" w:cs="Arial"/>
          <w:sz w:val="20"/>
          <w:szCs w:val="20"/>
          <w:lang w:eastAsia="es-ES"/>
        </w:rPr>
        <w:t xml:space="preserve"> entre un municipio y la EAT, donde le municipio es el </w:t>
      </w:r>
      <w:proofErr w:type="spellStart"/>
      <w:r>
        <w:rPr>
          <w:rFonts w:ascii="Verdana" w:eastAsia="Calibri" w:hAnsi="Verdana" w:cs="Arial"/>
          <w:sz w:val="20"/>
          <w:szCs w:val="20"/>
          <w:lang w:eastAsia="es-ES"/>
        </w:rPr>
        <w:t>adjudicante</w:t>
      </w:r>
      <w:proofErr w:type="spellEnd"/>
      <w:r w:rsidRPr="00245F51">
        <w:rPr>
          <w:rFonts w:ascii="Verdana" w:eastAsia="Calibri" w:hAnsi="Verdana" w:cs="Arial"/>
          <w:sz w:val="20"/>
          <w:szCs w:val="20"/>
          <w:lang w:eastAsia="es-ES"/>
        </w:rPr>
        <w:t>”.</w:t>
      </w:r>
    </w:p>
    <w:p w14:paraId="78882C47" w14:textId="77777777" w:rsidR="00A7247D" w:rsidRPr="00245F51" w:rsidRDefault="00A7247D" w:rsidP="00A7247D">
      <w:pPr>
        <w:spacing w:after="0" w:line="240" w:lineRule="auto"/>
        <w:ind w:left="709" w:right="709"/>
        <w:jc w:val="both"/>
        <w:rPr>
          <w:rFonts w:ascii="Verdana" w:eastAsia="Calibri" w:hAnsi="Verdana" w:cs="Arial"/>
          <w:sz w:val="20"/>
          <w:szCs w:val="20"/>
          <w:lang w:eastAsia="es-ES"/>
        </w:rPr>
      </w:pPr>
    </w:p>
    <w:p w14:paraId="1B179642" w14:textId="77777777" w:rsidR="00A7247D" w:rsidRPr="00073A28" w:rsidRDefault="00A7247D" w:rsidP="00A7247D">
      <w:pPr>
        <w:spacing w:after="120" w:line="276" w:lineRule="auto"/>
        <w:ind w:firstLine="709"/>
        <w:jc w:val="both"/>
        <w:rPr>
          <w:rFonts w:ascii="Verdana" w:eastAsia="Calibri" w:hAnsi="Verdana" w:cs="Arial"/>
          <w:lang w:eastAsia="es-ES_tradnl"/>
        </w:rPr>
      </w:pPr>
      <w:r w:rsidRPr="00073A28">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w:t>
      </w:r>
      <w:r w:rsidRPr="00073A28">
        <w:rPr>
          <w:rFonts w:ascii="Verdana" w:eastAsia="Calibri" w:hAnsi="Verdana" w:cs="Arial"/>
          <w:lang w:eastAsia="es-ES"/>
        </w:rPr>
        <w:lastRenderedPageBreak/>
        <w:t xml:space="preserve">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73A28">
        <w:rPr>
          <w:rFonts w:ascii="Verdana" w:eastAsia="Calibri" w:hAnsi="Verdana" w:cs="Arial"/>
          <w:lang w:eastAsia="es-ES_tradnl"/>
        </w:rPr>
        <w:tab/>
      </w:r>
    </w:p>
    <w:p w14:paraId="72EC1C31" w14:textId="77777777" w:rsidR="00A7247D" w:rsidRPr="00073A28" w:rsidRDefault="00A7247D" w:rsidP="00A7247D">
      <w:pPr>
        <w:spacing w:after="0" w:line="276" w:lineRule="auto"/>
        <w:ind w:firstLine="709"/>
        <w:jc w:val="both"/>
        <w:rPr>
          <w:rFonts w:ascii="Verdana" w:eastAsia="Calibri" w:hAnsi="Verdana" w:cs="Arial"/>
          <w:lang w:eastAsia="es-ES"/>
        </w:rPr>
      </w:pPr>
      <w:r w:rsidRPr="00073A28">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702892C" w14:textId="77777777" w:rsidR="00A7247D" w:rsidRPr="00073A28" w:rsidRDefault="00A7247D" w:rsidP="00A7247D">
      <w:pPr>
        <w:spacing w:after="0" w:line="276" w:lineRule="auto"/>
        <w:ind w:firstLine="709"/>
        <w:jc w:val="both"/>
        <w:rPr>
          <w:rFonts w:ascii="Verdana" w:eastAsia="Calibri" w:hAnsi="Verdana" w:cs="Arial"/>
          <w:lang w:eastAsia="es-ES"/>
        </w:rPr>
      </w:pPr>
    </w:p>
    <w:p w14:paraId="6755431C" w14:textId="77777777" w:rsidR="00A7247D" w:rsidRPr="00073A28" w:rsidRDefault="00A7247D" w:rsidP="00A724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Problema planteado:</w:t>
      </w:r>
    </w:p>
    <w:p w14:paraId="4CFC791D" w14:textId="77777777" w:rsidR="00A7247D" w:rsidRPr="00073A28" w:rsidRDefault="00A7247D" w:rsidP="00A7247D">
      <w:pPr>
        <w:tabs>
          <w:tab w:val="left" w:pos="426"/>
        </w:tabs>
        <w:spacing w:after="0" w:line="276" w:lineRule="auto"/>
        <w:jc w:val="both"/>
        <w:rPr>
          <w:rFonts w:ascii="Verdana" w:eastAsia="Century Gothic" w:hAnsi="Verdana" w:cs="Century Gothic"/>
        </w:rPr>
      </w:pPr>
    </w:p>
    <w:p w14:paraId="0CBF359D" w14:textId="77777777" w:rsidR="00A7247D" w:rsidRPr="00073A28" w:rsidRDefault="00A7247D" w:rsidP="00A7247D">
      <w:pPr>
        <w:spacing w:after="0" w:line="276" w:lineRule="auto"/>
        <w:jc w:val="both"/>
        <w:rPr>
          <w:rFonts w:ascii="Verdana" w:eastAsia="Century Gothic" w:hAnsi="Verdana" w:cs="Century Gothic"/>
        </w:rPr>
      </w:pPr>
      <w:r w:rsidRPr="00073A28">
        <w:rPr>
          <w:rFonts w:ascii="Verdana" w:eastAsia="Century Gothic" w:hAnsi="Verdana" w:cs="Century Gothic"/>
        </w:rPr>
        <w:t xml:space="preserve">De acuerdo con el contenido de su solicitud, esta Agencia resolverá el siguiente problema jurídico: </w:t>
      </w:r>
      <w:r w:rsidRPr="008D7ADE">
        <w:rPr>
          <w:rFonts w:ascii="Verdana" w:eastAsia="Century Gothic" w:hAnsi="Verdana" w:cs="Century Gothic"/>
        </w:rPr>
        <w:t>¿Es jurídicamente exigible que una Entidad Asociativa de Trabajo (EAT)</w:t>
      </w:r>
      <w:r>
        <w:rPr>
          <w:rFonts w:ascii="Verdana" w:eastAsia="Century Gothic" w:hAnsi="Verdana" w:cs="Century Gothic"/>
        </w:rPr>
        <w:t xml:space="preserve"> nueva</w:t>
      </w:r>
      <w:r w:rsidRPr="008D7ADE">
        <w:rPr>
          <w:rFonts w:ascii="Verdana" w:eastAsia="Century Gothic" w:hAnsi="Verdana" w:cs="Century Gothic"/>
        </w:rPr>
        <w:t xml:space="preserve"> acredite experiencia para la celebración de un convenio interadministrativo con una entidad territorial?</w:t>
      </w:r>
    </w:p>
    <w:p w14:paraId="1E7886FA" w14:textId="77777777" w:rsidR="00A7247D" w:rsidRPr="00073A28" w:rsidRDefault="00A7247D" w:rsidP="00A7247D">
      <w:pPr>
        <w:spacing w:after="0" w:line="276" w:lineRule="auto"/>
        <w:jc w:val="both"/>
        <w:rPr>
          <w:rFonts w:ascii="Verdana" w:eastAsia="Century Gothic" w:hAnsi="Verdana" w:cs="Century Gothic"/>
        </w:rPr>
      </w:pPr>
    </w:p>
    <w:p w14:paraId="10DEEE7A" w14:textId="77777777" w:rsidR="00A7247D" w:rsidRPr="00073A28" w:rsidRDefault="00A7247D" w:rsidP="00A724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Respuesta:</w:t>
      </w:r>
    </w:p>
    <w:p w14:paraId="536F8700" w14:textId="77777777" w:rsidR="00A7247D" w:rsidRPr="00073A28" w:rsidRDefault="00A7247D" w:rsidP="00A7247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7247D" w:rsidRPr="00073A28" w14:paraId="20CE1564" w14:textId="77777777" w:rsidTr="0086494C">
        <w:tc>
          <w:tcPr>
            <w:tcW w:w="8828" w:type="dxa"/>
          </w:tcPr>
          <w:p w14:paraId="789AEC2E" w14:textId="443415AA" w:rsidR="00A7247D" w:rsidRDefault="000F6885" w:rsidP="000F6885">
            <w:pPr>
              <w:spacing w:line="276" w:lineRule="auto"/>
              <w:jc w:val="both"/>
              <w:rPr>
                <w:rFonts w:ascii="Verdana" w:eastAsia="Calibri" w:hAnsi="Verdana" w:cs="Arial"/>
              </w:rPr>
            </w:pPr>
            <w:r>
              <w:rPr>
                <w:rFonts w:ascii="Verdana" w:eastAsia="Calibri" w:hAnsi="Verdana" w:cs="Arial"/>
              </w:rPr>
              <w:t>En primer lugar, l</w:t>
            </w:r>
            <w:r w:rsidR="00A7247D" w:rsidRPr="004C0D72">
              <w:rPr>
                <w:rFonts w:ascii="Verdana" w:eastAsia="Calibri" w:hAnsi="Verdana" w:cs="Arial"/>
              </w:rPr>
              <w:t>os convenios interadministrativos se definen por un criterio orgánico, esto es, por las calidades establecidas por la ley en cabeza de las partes que los suscriben. Dichas calidades corresponden a la condición de entidades estatales o personas jurídicas de derecho público que actúan en desarrollo de los fines y funciones del Estado. En consecuencia, lo que determina la naturaleza interadministrativa de un convenio no es la modalidad de selección ni las condiciones de experiencia, sino la calidad jurídica de los sujetos contratantes, conforme a lo previsto en la Ley 80 de 1993, la Ley 489 de 1998 y el Decreto 1082 de 2015</w:t>
            </w:r>
          </w:p>
          <w:p w14:paraId="6A63911A" w14:textId="77777777" w:rsidR="00A7247D" w:rsidRPr="004C0D72" w:rsidRDefault="00A7247D" w:rsidP="0086494C">
            <w:pPr>
              <w:spacing w:line="276" w:lineRule="auto"/>
              <w:ind w:firstLine="709"/>
              <w:jc w:val="both"/>
              <w:rPr>
                <w:rFonts w:ascii="Verdana" w:eastAsia="Calibri" w:hAnsi="Verdana" w:cs="Arial"/>
              </w:rPr>
            </w:pPr>
            <w:r w:rsidRPr="004C0D72">
              <w:rPr>
                <w:rFonts w:ascii="Verdana" w:eastAsia="Calibri" w:hAnsi="Verdana" w:cs="Arial"/>
              </w:rPr>
              <w:t>De acuerdo con lo anterior, corresponde a la entidad estatal contratante verificar si la persona jurídica con la que pretende celebrar el convenio reúne las calidades exigidas por la ley para ser considerada sujeto habilitado dentro de esta tipología contractual. Una vez verificado lo anterior, la entidad podrá definir, dentro del marco del convenio, las condiciones que aseguren la idoneidad, capacidad técnica o experiencia del ejecutor, en aplicación de los principios de planeación, transparencia y selección objetiva.</w:t>
            </w:r>
          </w:p>
          <w:p w14:paraId="08C27DF9" w14:textId="77777777" w:rsidR="00A7247D" w:rsidRPr="004C0D72" w:rsidRDefault="00A7247D" w:rsidP="0086494C">
            <w:pPr>
              <w:spacing w:line="276" w:lineRule="auto"/>
              <w:ind w:firstLine="709"/>
              <w:jc w:val="both"/>
              <w:rPr>
                <w:rFonts w:ascii="Verdana" w:eastAsia="Calibri" w:hAnsi="Verdana" w:cs="Arial"/>
              </w:rPr>
            </w:pPr>
            <w:r w:rsidRPr="004C0D72">
              <w:rPr>
                <w:rFonts w:ascii="Verdana" w:eastAsia="Calibri" w:hAnsi="Verdana" w:cs="Arial"/>
              </w:rPr>
              <w:lastRenderedPageBreak/>
              <w:t>Por tanto, no existe una disposición legal que imponga de manera general la obligación de acreditar experiencia previa para la celebración de convenios interadministrativos. Cada entidad contratante, en ejercicio de su autonomía y en atención a las particularidades del objeto y de los fines perseguidos, podrá definir si considera necesario incluir criterios de experiencia o de capacidad técnica dentro de la estructuración del convenio, dejando la respectiva justificación en los estudios previos o en el documento contractual.</w:t>
            </w:r>
          </w:p>
          <w:p w14:paraId="28675FAC" w14:textId="77777777" w:rsidR="00A7247D" w:rsidRPr="00073A28" w:rsidRDefault="00A7247D" w:rsidP="0086494C">
            <w:pPr>
              <w:spacing w:line="276" w:lineRule="auto"/>
              <w:ind w:firstLine="709"/>
              <w:jc w:val="both"/>
              <w:rPr>
                <w:rFonts w:ascii="Verdana" w:eastAsia="Calibri" w:hAnsi="Verdana" w:cs="Arial"/>
              </w:rPr>
            </w:pPr>
            <w:r w:rsidRPr="004C0D72">
              <w:rPr>
                <w:rFonts w:ascii="Verdana" w:eastAsia="Calibri" w:hAnsi="Verdana" w:cs="Arial"/>
              </w:rPr>
              <w:t>En conclusión, la exigencia de acreditar experiencia en la celebración de convenios interadministrativos no se deriva expresamente de la ley, por lo que su procedencia dependerá del análisis que realice la entidad estatal al estructurar el convenio, en atención a la naturaleza del acuerdo, las funciones de las partes y los principios de planeación, transparencia y selección objetiva que orientan la contratación pública.</w:t>
            </w:r>
          </w:p>
        </w:tc>
      </w:tr>
    </w:tbl>
    <w:p w14:paraId="1D1750E2" w14:textId="77777777" w:rsidR="00A7247D" w:rsidRPr="00073A28" w:rsidRDefault="00A7247D" w:rsidP="00A7247D">
      <w:pPr>
        <w:tabs>
          <w:tab w:val="left" w:pos="142"/>
          <w:tab w:val="left" w:pos="284"/>
        </w:tabs>
        <w:spacing w:after="0" w:line="276" w:lineRule="auto"/>
        <w:jc w:val="both"/>
        <w:rPr>
          <w:rFonts w:ascii="Verdana" w:eastAsia="Century Gothic" w:hAnsi="Verdana" w:cs="Century Gothic"/>
          <w:b/>
          <w:bCs/>
        </w:rPr>
      </w:pPr>
    </w:p>
    <w:p w14:paraId="2286A061" w14:textId="77777777" w:rsidR="00A7247D" w:rsidRPr="00073A28" w:rsidRDefault="00A7247D" w:rsidP="00A724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73A28">
        <w:rPr>
          <w:rFonts w:ascii="Verdana" w:eastAsia="Century Gothic" w:hAnsi="Verdana" w:cs="Century Gothic"/>
          <w:b/>
          <w:bCs/>
          <w:lang w:val="es-CO"/>
        </w:rPr>
        <w:t>Razones de la respuesta:</w:t>
      </w:r>
    </w:p>
    <w:p w14:paraId="21C37E82" w14:textId="77777777" w:rsidR="00A7247D" w:rsidRPr="00073A28" w:rsidRDefault="00A7247D" w:rsidP="00A7247D">
      <w:pPr>
        <w:spacing w:after="0" w:line="276" w:lineRule="auto"/>
        <w:jc w:val="both"/>
        <w:rPr>
          <w:rFonts w:ascii="Verdana" w:eastAsia="Calibri" w:hAnsi="Verdana" w:cs="Arial"/>
        </w:rPr>
      </w:pPr>
    </w:p>
    <w:p w14:paraId="63D90FD3" w14:textId="77777777" w:rsidR="00A7247D" w:rsidRPr="00073A28" w:rsidRDefault="00A7247D" w:rsidP="00A7247D">
      <w:pPr>
        <w:spacing w:after="0" w:line="276" w:lineRule="auto"/>
        <w:jc w:val="both"/>
        <w:rPr>
          <w:rFonts w:ascii="Verdana" w:eastAsia="Calibri" w:hAnsi="Verdana" w:cs="Arial"/>
        </w:rPr>
      </w:pPr>
      <w:r w:rsidRPr="00073A28">
        <w:rPr>
          <w:rFonts w:ascii="Verdana" w:eastAsia="Calibri" w:hAnsi="Verdana" w:cs="Arial"/>
        </w:rPr>
        <w:t xml:space="preserve">Lo anterior se sustenta en las siguientes consideraciones: </w:t>
      </w:r>
    </w:p>
    <w:p w14:paraId="19410040" w14:textId="77777777" w:rsidR="00A7247D" w:rsidRPr="00073A28" w:rsidRDefault="00A7247D" w:rsidP="00A7247D">
      <w:pPr>
        <w:spacing w:after="0" w:line="276" w:lineRule="auto"/>
        <w:jc w:val="both"/>
        <w:rPr>
          <w:rFonts w:ascii="Verdana" w:eastAsia="Calibri" w:hAnsi="Verdana" w:cs="Arial"/>
        </w:rPr>
      </w:pPr>
    </w:p>
    <w:p w14:paraId="6DB34E9F" w14:textId="77777777" w:rsidR="00A7247D" w:rsidRPr="001A2EE1" w:rsidRDefault="00A7247D" w:rsidP="00A7247D">
      <w:pPr>
        <w:spacing w:after="120" w:line="276" w:lineRule="auto"/>
        <w:jc w:val="both"/>
        <w:rPr>
          <w:rFonts w:ascii="Verdana" w:hAnsi="Verdana" w:cs="Arial"/>
          <w:lang w:val="es-ES_tradnl"/>
        </w:rPr>
      </w:pPr>
      <w:r w:rsidRPr="001A2EE1">
        <w:rPr>
          <w:rFonts w:ascii="Verdana" w:hAnsi="Verdana" w:cs="Arial"/>
          <w:lang w:val="es-ES_tradnl"/>
        </w:rPr>
        <w:t>La contratación Estatal constituye un instrumento a través del cual las entidades públicas realizan el aprovisionamiento de sus bienes, obras y servicios, con el propósito de satisfacer las necesidades e intereses colectivos</w:t>
      </w:r>
      <w:r w:rsidRPr="001A2EE1">
        <w:rPr>
          <w:rFonts w:ascii="Verdana" w:hAnsi="Verdana" w:cs="Arial"/>
          <w:vertAlign w:val="superscript"/>
        </w:rPr>
        <w:footnoteReference w:id="3"/>
      </w:r>
      <w:r w:rsidRPr="001A2EE1">
        <w:rPr>
          <w:rFonts w:ascii="Verdana" w:hAnsi="Verdana" w:cs="Arial"/>
          <w:lang w:val="es-ES_tradnl"/>
        </w:rPr>
        <w:t>. Para este propósito se sirve de la colaboración de los particulares o de otras entidades que integran la administración pública.</w:t>
      </w:r>
    </w:p>
    <w:p w14:paraId="12DC0C85" w14:textId="77777777" w:rsidR="00A7247D" w:rsidRPr="001A2EE1" w:rsidRDefault="00A7247D" w:rsidP="00A7247D">
      <w:pPr>
        <w:spacing w:before="120" w:after="120" w:line="276" w:lineRule="auto"/>
        <w:ind w:firstLine="709"/>
        <w:jc w:val="both"/>
        <w:rPr>
          <w:rFonts w:ascii="Verdana" w:eastAsia="Calibri" w:hAnsi="Verdana" w:cs="Arial"/>
          <w:color w:val="000000"/>
          <w:lang w:val="es-ES_tradnl"/>
        </w:rPr>
      </w:pPr>
      <w:r w:rsidRPr="001A2EE1">
        <w:rPr>
          <w:rFonts w:ascii="Verdana" w:hAnsi="Verdana" w:cs="Arial"/>
        </w:rPr>
        <w:t xml:space="preserve">Cuando se trata de contratos celebrados por dos entidades estatales, tales negocios jurídicos se han denominado como interadministrativos, en el entendido de que son celebrados entre entidades públicas. En efecto, la doctrina ha señalado que </w:t>
      </w:r>
      <w:r>
        <w:rPr>
          <w:rFonts w:ascii="Verdana" w:hAnsi="Verdana" w:cs="Arial"/>
        </w:rPr>
        <w:t>“</w:t>
      </w:r>
      <w:r w:rsidRPr="001A2EE1">
        <w:rPr>
          <w:rFonts w:ascii="Verdana" w:hAnsi="Verdana" w:cs="Arial"/>
        </w:rPr>
        <w:t>se denominan contratos interadministrativos los contratos bilaterales celebrados entre dos entidades estatales</w:t>
      </w:r>
      <w:r>
        <w:rPr>
          <w:rFonts w:ascii="Verdana" w:hAnsi="Verdana" w:cs="Arial"/>
        </w:rPr>
        <w:t>”</w:t>
      </w:r>
      <w:r w:rsidRPr="001A2EE1">
        <w:rPr>
          <w:rFonts w:ascii="Verdana" w:hAnsi="Verdana" w:cs="Arial"/>
          <w:vertAlign w:val="superscript"/>
        </w:rPr>
        <w:footnoteReference w:id="4"/>
      </w:r>
      <w:r w:rsidRPr="001A2EE1">
        <w:rPr>
          <w:rFonts w:ascii="Verdana" w:hAnsi="Verdana" w:cs="Arial"/>
        </w:rPr>
        <w:t xml:space="preserve">. </w:t>
      </w:r>
      <w:r w:rsidRPr="001A2EE1">
        <w:rPr>
          <w:rFonts w:ascii="Verdana" w:eastAsia="Calibri" w:hAnsi="Verdana" w:cs="Arial"/>
          <w:color w:val="000000"/>
          <w:lang w:val="es-ES_tradnl"/>
        </w:rPr>
        <w:t>Sobre la tipología de contrato interadministrativo, conviene señalar que</w:t>
      </w:r>
      <w:r>
        <w:rPr>
          <w:rFonts w:ascii="Verdana" w:eastAsia="Calibri" w:hAnsi="Verdana" w:cs="Arial"/>
          <w:color w:val="000000"/>
          <w:lang w:val="es-ES_tradnl"/>
        </w:rPr>
        <w:t>,</w:t>
      </w:r>
      <w:r w:rsidRPr="001A2EE1">
        <w:rPr>
          <w:rFonts w:ascii="Verdana" w:eastAsia="Calibri" w:hAnsi="Verdana" w:cs="Arial"/>
          <w:color w:val="000000"/>
          <w:lang w:val="es-ES_tradnl"/>
        </w:rPr>
        <w:t xml:space="preserve"> aunque la Ley 80 de 1993 no lo definió ni desarrolló, el Decreto 1082 de 2015, </w:t>
      </w:r>
      <w:r>
        <w:rPr>
          <w:rFonts w:ascii="Verdana" w:eastAsia="Calibri" w:hAnsi="Verdana" w:cs="Arial"/>
          <w:color w:val="000000"/>
          <w:lang w:val="es-ES_tradnl"/>
        </w:rPr>
        <w:t>“</w:t>
      </w:r>
      <w:r w:rsidRPr="001A2EE1">
        <w:rPr>
          <w:rFonts w:ascii="Verdana" w:eastAsia="Calibri" w:hAnsi="Verdana" w:cs="Arial"/>
          <w:color w:val="000000"/>
          <w:lang w:val="es-ES_tradnl"/>
        </w:rPr>
        <w:t xml:space="preserve">Por medio del cual se expide el Decreto único reglamentario del sector administrativo de planeación </w:t>
      </w:r>
      <w:r w:rsidRPr="001A2EE1">
        <w:rPr>
          <w:rFonts w:ascii="Verdana" w:eastAsia="Calibri" w:hAnsi="Verdana" w:cs="Arial"/>
          <w:color w:val="000000"/>
          <w:lang w:val="es-ES_tradnl"/>
        </w:rPr>
        <w:lastRenderedPageBreak/>
        <w:t>nacional</w:t>
      </w:r>
      <w:r>
        <w:rPr>
          <w:rFonts w:ascii="Verdana" w:eastAsia="Calibri" w:hAnsi="Verdana" w:cs="Arial"/>
          <w:color w:val="000000"/>
          <w:lang w:val="es-ES_tradnl"/>
        </w:rPr>
        <w:t>”</w:t>
      </w:r>
      <w:r w:rsidRPr="001A2EE1">
        <w:rPr>
          <w:rFonts w:ascii="Verdana" w:eastAsia="Calibri" w:hAnsi="Verdana" w:cs="Arial"/>
          <w:color w:val="000000"/>
          <w:lang w:val="es-ES_tradnl"/>
        </w:rPr>
        <w:t>, califica a los convenios o contratos interadministrativos como aquella contratación entre entidades estatales</w:t>
      </w:r>
      <w:r w:rsidRPr="001A2EE1">
        <w:rPr>
          <w:rFonts w:ascii="Verdana" w:eastAsia="Calibri" w:hAnsi="Verdana" w:cs="Arial"/>
          <w:color w:val="000000"/>
          <w:vertAlign w:val="superscript"/>
          <w:lang w:val="es-ES_tradnl"/>
        </w:rPr>
        <w:footnoteReference w:id="5"/>
      </w:r>
      <w:r w:rsidRPr="001A2EE1">
        <w:rPr>
          <w:rFonts w:ascii="Verdana" w:eastAsia="Calibri" w:hAnsi="Verdana" w:cs="Arial"/>
          <w:color w:val="000000"/>
          <w:lang w:val="es-ES_tradnl"/>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nominados en la Ley 80 de 1993 están determinados por un criterio orgánico, pues es necesario que los extremos de la relación contractual sean entidades estatales.</w:t>
      </w:r>
    </w:p>
    <w:p w14:paraId="1ED90D61" w14:textId="77777777" w:rsidR="00A7247D" w:rsidRPr="001A2EE1" w:rsidRDefault="00A7247D" w:rsidP="00A7247D">
      <w:pPr>
        <w:spacing w:before="120" w:after="120" w:line="276" w:lineRule="auto"/>
        <w:ind w:firstLine="708"/>
        <w:jc w:val="both"/>
        <w:rPr>
          <w:rFonts w:ascii="Verdana" w:eastAsia="Calibri" w:hAnsi="Verdana" w:cs="Arial"/>
          <w:color w:val="000000"/>
          <w:lang w:val="es-ES_tradnl"/>
        </w:rPr>
      </w:pPr>
      <w:r w:rsidRPr="001A2EE1">
        <w:rPr>
          <w:rFonts w:ascii="Verdana" w:eastAsia="Calibri" w:hAnsi="Verdana" w:cs="Arial"/>
          <w:color w:val="000000"/>
          <w:lang w:val="es-ES_tradnl"/>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de Ley 80 de 1993 celebrar esta clase de convenios con una entidad estatal de régimen especial y no por ello dejará de ser un contrato o convenio interadministrativo, caso en el cual su ejecución estará sometida a la Ley 80 de 1993.</w:t>
      </w:r>
    </w:p>
    <w:p w14:paraId="07E30B86" w14:textId="77777777" w:rsidR="00A7247D" w:rsidRPr="001A2EE1" w:rsidRDefault="00A7247D" w:rsidP="00A7247D">
      <w:pPr>
        <w:spacing w:before="120" w:after="120" w:line="276" w:lineRule="auto"/>
        <w:ind w:firstLine="708"/>
        <w:jc w:val="both"/>
        <w:rPr>
          <w:rFonts w:ascii="Verdana" w:eastAsia="Calibri" w:hAnsi="Verdana" w:cs="Arial"/>
          <w:color w:val="000000"/>
          <w:lang w:val="es-ES_tradnl"/>
        </w:rPr>
      </w:pPr>
      <w:r w:rsidRPr="001A2EE1">
        <w:rPr>
          <w:rFonts w:ascii="Verdana" w:eastAsia="Calibri" w:hAnsi="Verdana" w:cs="Arial"/>
          <w:color w:val="000000"/>
          <w:lang w:val="es-ES_tradnl"/>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1A2EE1">
        <w:rPr>
          <w:rFonts w:ascii="Verdana" w:eastAsia="Calibri" w:hAnsi="Verdana" w:cs="Arial"/>
          <w:color w:val="000000"/>
          <w:vertAlign w:val="superscript"/>
          <w:lang w:val="es-ES_tradnl"/>
        </w:rPr>
        <w:footnoteReference w:id="6"/>
      </w:r>
      <w:r w:rsidRPr="001A2EE1">
        <w:rPr>
          <w:rFonts w:ascii="Verdana" w:eastAsia="Calibri" w:hAnsi="Verdana" w:cs="Arial"/>
          <w:color w:val="000000"/>
          <w:lang w:val="es-ES_tradnl"/>
        </w:rPr>
        <w:t>. Nótese que, en este caso, lo que cambia es la modalidad de selección y no la naturaleza de contrato interadministrativo.</w:t>
      </w:r>
    </w:p>
    <w:p w14:paraId="2C3DB985" w14:textId="77777777" w:rsidR="00A7247D" w:rsidRPr="001A2EE1" w:rsidRDefault="00A7247D" w:rsidP="00A7247D">
      <w:pPr>
        <w:spacing w:before="120" w:after="120" w:line="276" w:lineRule="auto"/>
        <w:ind w:firstLine="708"/>
        <w:jc w:val="both"/>
        <w:rPr>
          <w:rFonts w:ascii="Verdana" w:eastAsia="Calibri" w:hAnsi="Verdana" w:cs="Arial"/>
          <w:color w:val="000000"/>
          <w:lang w:val="es-ES_tradnl"/>
        </w:rPr>
      </w:pPr>
      <w:r w:rsidRPr="001A2EE1">
        <w:rPr>
          <w:rFonts w:ascii="Verdana" w:eastAsia="Calibri" w:hAnsi="Verdana" w:cs="Arial"/>
          <w:color w:val="000000"/>
          <w:lang w:val="es-ES_tradnl"/>
        </w:rPr>
        <w:t xml:space="preserve">Además, es necesario tener en cuenta que para que un contrato o convenio interadministrativo exista debe cumplir con los siguientes elementos: </w:t>
      </w:r>
      <w:r w:rsidRPr="001A2EE1">
        <w:rPr>
          <w:rFonts w:ascii="Verdana" w:eastAsia="Calibri" w:hAnsi="Verdana" w:cs="Arial"/>
          <w:color w:val="000000"/>
          <w:lang w:val="es-ES_tradnl"/>
        </w:rPr>
        <w:lastRenderedPageBreak/>
        <w:t>acuerdo sobre el objeto y la contraprestación y que conste por escrito</w:t>
      </w:r>
      <w:r w:rsidRPr="001A2EE1">
        <w:rPr>
          <w:rFonts w:ascii="Verdana" w:eastAsia="Calibri" w:hAnsi="Verdana" w:cs="Arial"/>
          <w:color w:val="000000"/>
          <w:vertAlign w:val="superscript"/>
          <w:lang w:val="es-ES_tradnl"/>
        </w:rPr>
        <w:footnoteReference w:id="7"/>
      </w:r>
      <w:r w:rsidRPr="001A2EE1">
        <w:rPr>
          <w:rFonts w:ascii="Verdana" w:eastAsia="Calibri" w:hAnsi="Verdana" w:cs="Arial"/>
          <w:color w:val="000000"/>
          <w:lang w:val="es-ES_tradnl"/>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702F2BD" w14:textId="77777777" w:rsidR="00A7247D" w:rsidRPr="001A2EE1" w:rsidRDefault="00A7247D" w:rsidP="00A7247D">
      <w:pPr>
        <w:spacing w:before="120" w:after="120" w:line="276" w:lineRule="auto"/>
        <w:ind w:firstLine="708"/>
        <w:jc w:val="both"/>
        <w:rPr>
          <w:rFonts w:ascii="Verdana" w:eastAsia="Calibri" w:hAnsi="Verdana" w:cs="Arial"/>
          <w:color w:val="000000"/>
          <w:lang w:val="es-ES_tradnl"/>
        </w:rPr>
      </w:pPr>
      <w:r w:rsidRPr="001A2EE1">
        <w:rPr>
          <w:rFonts w:ascii="Verdana" w:eastAsia="Calibri" w:hAnsi="Verdana" w:cs="Arial"/>
          <w:color w:val="000000"/>
          <w:lang w:val="es-ES_tradnl"/>
        </w:rPr>
        <w:t>La Corte Constitucional expresó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1A2EE1">
        <w:rPr>
          <w:rFonts w:ascii="Verdana" w:eastAsia="Calibri" w:hAnsi="Verdana" w:cs="Arial"/>
          <w:color w:val="000000"/>
          <w:vertAlign w:val="superscript"/>
          <w:lang w:val="es-ES_tradnl"/>
        </w:rPr>
        <w:footnoteReference w:id="8"/>
      </w:r>
      <w:r w:rsidRPr="001A2EE1">
        <w:rPr>
          <w:rFonts w:ascii="Verdana" w:eastAsia="Calibri" w:hAnsi="Verdana" w:cs="Arial"/>
          <w:color w:val="000000"/>
          <w:lang w:val="es-ES_tradnl"/>
        </w:rPr>
        <w:t>, pues, de acuerdo con lo anotado,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 que:</w:t>
      </w:r>
    </w:p>
    <w:p w14:paraId="27272B2E" w14:textId="77777777" w:rsidR="00A7247D" w:rsidRPr="00967F6F" w:rsidRDefault="00A7247D" w:rsidP="00A7247D">
      <w:pPr>
        <w:ind w:left="709" w:right="709"/>
        <w:jc w:val="both"/>
        <w:rPr>
          <w:rFonts w:ascii="Verdana" w:eastAsia="Calibri" w:hAnsi="Verdana" w:cs="Arial"/>
          <w:color w:val="000000"/>
          <w:sz w:val="20"/>
          <w:szCs w:val="20"/>
          <w:lang w:val="es-ES_tradnl"/>
        </w:rPr>
      </w:pPr>
      <w:r w:rsidRPr="00967F6F">
        <w:rPr>
          <w:rFonts w:ascii="Verdana" w:eastAsia="Calibri" w:hAnsi="Verdana" w:cs="Arial"/>
          <w:color w:val="000000"/>
          <w:sz w:val="20"/>
          <w:szCs w:val="20"/>
          <w:lang w:val="es-ES_tradnl"/>
        </w:rPr>
        <w:t>“[…] se puede señalar que los convenios o contratos interadministrativos tienen como características principales las siguientes:</w:t>
      </w:r>
    </w:p>
    <w:p w14:paraId="24B05A7B" w14:textId="77777777" w:rsidR="00A7247D" w:rsidRPr="004D053F" w:rsidRDefault="00A7247D" w:rsidP="00A7247D">
      <w:pPr>
        <w:ind w:left="709" w:right="709"/>
        <w:jc w:val="both"/>
        <w:rPr>
          <w:rFonts w:ascii="Verdana" w:eastAsia="Calibri" w:hAnsi="Verdana" w:cs="Arial"/>
          <w:color w:val="000000"/>
          <w:sz w:val="20"/>
          <w:szCs w:val="20"/>
          <w:lang w:val="es-ES"/>
        </w:rPr>
      </w:pPr>
      <w:r w:rsidRPr="00967F6F">
        <w:rPr>
          <w:rFonts w:ascii="Verdana" w:eastAsia="Calibri" w:hAnsi="Verdana" w:cs="Arial"/>
          <w:color w:val="000000"/>
          <w:sz w:val="20"/>
          <w:szCs w:val="20"/>
          <w:lang w:val="es-ES"/>
        </w:rPr>
        <w:t>(i) constituyen verdaderos contratos en los términos del Código de Comercio cuando su objeto lo constituyen obligaciones patrimoniales; (</w:t>
      </w:r>
      <w:proofErr w:type="spellStart"/>
      <w:r w:rsidRPr="00967F6F">
        <w:rPr>
          <w:rFonts w:ascii="Verdana" w:eastAsia="Calibri" w:hAnsi="Verdana" w:cs="Arial"/>
          <w:color w:val="000000"/>
          <w:sz w:val="20"/>
          <w:szCs w:val="20"/>
          <w:lang w:val="es-ES"/>
        </w:rPr>
        <w:t>ii</w:t>
      </w:r>
      <w:proofErr w:type="spellEnd"/>
      <w:r w:rsidRPr="00967F6F">
        <w:rPr>
          <w:rFonts w:ascii="Verdana" w:eastAsia="Calibri" w:hAnsi="Verdana" w:cs="Arial"/>
          <w:color w:val="000000"/>
          <w:sz w:val="20"/>
          <w:szCs w:val="20"/>
          <w:lang w:val="es-ES"/>
        </w:rPr>
        <w:t>) tienen como fuente la autonomía contractual; (</w:t>
      </w:r>
      <w:proofErr w:type="spellStart"/>
      <w:r w:rsidRPr="00967F6F">
        <w:rPr>
          <w:rFonts w:ascii="Verdana" w:eastAsia="Calibri" w:hAnsi="Verdana" w:cs="Arial"/>
          <w:color w:val="000000"/>
          <w:sz w:val="20"/>
          <w:szCs w:val="20"/>
          <w:lang w:val="es-ES"/>
        </w:rPr>
        <w:t>iii</w:t>
      </w:r>
      <w:proofErr w:type="spellEnd"/>
      <w:r w:rsidRPr="00967F6F">
        <w:rPr>
          <w:rFonts w:ascii="Verdana" w:eastAsia="Calibri" w:hAnsi="Verdana" w:cs="Arial"/>
          <w:color w:val="000000"/>
          <w:sz w:val="20"/>
          <w:szCs w:val="20"/>
          <w:lang w:val="es-ES"/>
        </w:rPr>
        <w:t>) son contratos nominados puesto que están mencionados en la ley; (</w:t>
      </w:r>
      <w:proofErr w:type="spellStart"/>
      <w:r w:rsidRPr="00967F6F">
        <w:rPr>
          <w:rFonts w:ascii="Verdana" w:eastAsia="Calibri" w:hAnsi="Verdana" w:cs="Arial"/>
          <w:color w:val="000000"/>
          <w:sz w:val="20"/>
          <w:szCs w:val="20"/>
          <w:lang w:val="es-ES"/>
        </w:rPr>
        <w:t>iv</w:t>
      </w:r>
      <w:proofErr w:type="spellEnd"/>
      <w:r w:rsidRPr="00967F6F">
        <w:rPr>
          <w:rFonts w:ascii="Verdana" w:eastAsia="Calibri" w:hAnsi="Verdana" w:cs="Arial"/>
          <w:color w:val="000000"/>
          <w:sz w:val="20"/>
          <w:szCs w:val="20"/>
          <w:lang w:val="es-ES"/>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967F6F">
        <w:rPr>
          <w:rFonts w:ascii="Verdana" w:eastAsia="Calibri" w:hAnsi="Verdana" w:cs="Arial"/>
          <w:color w:val="000000"/>
          <w:sz w:val="20"/>
          <w:szCs w:val="20"/>
          <w:lang w:val="es-ES"/>
        </w:rPr>
        <w:t>vii</w:t>
      </w:r>
      <w:proofErr w:type="spellEnd"/>
      <w:r w:rsidRPr="00967F6F">
        <w:rPr>
          <w:rFonts w:ascii="Verdana" w:eastAsia="Calibri" w:hAnsi="Verdana" w:cs="Arial"/>
          <w:color w:val="000000"/>
          <w:sz w:val="20"/>
          <w:szCs w:val="20"/>
          <w:lang w:val="es-ES"/>
        </w:rPr>
        <w:t>) persiguen una finalidad común a través de la realización de intereses compartidos entre las entidades vinculadas; (</w:t>
      </w:r>
      <w:proofErr w:type="spellStart"/>
      <w:r w:rsidRPr="00967F6F">
        <w:rPr>
          <w:rFonts w:ascii="Verdana" w:eastAsia="Calibri" w:hAnsi="Verdana" w:cs="Arial"/>
          <w:color w:val="000000"/>
          <w:sz w:val="20"/>
          <w:szCs w:val="20"/>
          <w:lang w:val="es-ES"/>
        </w:rPr>
        <w:t>viii</w:t>
      </w:r>
      <w:proofErr w:type="spellEnd"/>
      <w:r w:rsidRPr="00967F6F">
        <w:rPr>
          <w:rFonts w:ascii="Verdana" w:eastAsia="Calibri" w:hAnsi="Verdana" w:cs="Arial"/>
          <w:color w:val="000000"/>
          <w:sz w:val="20"/>
          <w:szCs w:val="20"/>
          <w:lang w:val="es-ES"/>
        </w:rPr>
        <w:t xml:space="preserve">) la acción mediante la cual se deben ventilar </w:t>
      </w:r>
      <w:r w:rsidRPr="00967F6F">
        <w:rPr>
          <w:rFonts w:ascii="Verdana" w:eastAsia="Calibri" w:hAnsi="Verdana" w:cs="Arial"/>
          <w:color w:val="000000"/>
          <w:sz w:val="20"/>
          <w:szCs w:val="20"/>
          <w:lang w:val="es-ES"/>
        </w:rPr>
        <w:lastRenderedPageBreak/>
        <w:t>las diferencias que sobre el particular surjan es la de controversias contractuales</w:t>
      </w:r>
      <w:r w:rsidRPr="00967F6F">
        <w:rPr>
          <w:rFonts w:ascii="Verdana" w:eastAsia="Calibri" w:hAnsi="Verdana" w:cs="Arial"/>
          <w:color w:val="000000"/>
          <w:sz w:val="20"/>
          <w:szCs w:val="20"/>
          <w:vertAlign w:val="superscript"/>
          <w:lang w:val="es-ES"/>
        </w:rPr>
        <w:footnoteReference w:id="9"/>
      </w:r>
      <w:r w:rsidRPr="00967F6F">
        <w:rPr>
          <w:rFonts w:ascii="Verdana" w:eastAsia="Calibri" w:hAnsi="Verdana" w:cs="Arial"/>
          <w:color w:val="000000"/>
          <w:sz w:val="20"/>
          <w:szCs w:val="20"/>
          <w:lang w:val="es-ES"/>
        </w:rPr>
        <w:t>”.</w:t>
      </w:r>
    </w:p>
    <w:p w14:paraId="1C8BE133" w14:textId="77777777" w:rsidR="00A7247D" w:rsidRPr="001A2EE1" w:rsidRDefault="00A7247D" w:rsidP="00A7247D">
      <w:pPr>
        <w:spacing w:line="276" w:lineRule="auto"/>
        <w:ind w:firstLine="709"/>
        <w:jc w:val="both"/>
        <w:rPr>
          <w:rFonts w:ascii="Verdana" w:eastAsia="Calibri" w:hAnsi="Verdana" w:cs="Arial"/>
          <w:color w:val="000000" w:themeColor="text1"/>
          <w:lang w:val="es-ES"/>
        </w:rPr>
      </w:pPr>
      <w:r w:rsidRPr="4430C1A5">
        <w:rPr>
          <w:rFonts w:ascii="Verdana" w:eastAsia="Calibri" w:hAnsi="Verdana" w:cs="Arial"/>
          <w:color w:val="000000" w:themeColor="text1"/>
          <w:lang w:val="es-ES"/>
        </w:rPr>
        <w:t xml:space="preserve">En relación con la modalidad de selección aplicable a la celebración de contratos interadministrativos, la Ley 1150 de 2007 establece que las entidades estatales pueden suscribirlos de manera directa, siempre que las obligaciones derivadas de los mismos tengan relación con el objeto de la entidad ejecutora. Sin embargo, esa misma ley establece excepciones concretas a esta facultad, aplicable a los supuestos en que ciertas tipologías contractuales sean ejecutadas por alguna de las entidades estatales enlistadas en dicha restricción. De esta manera, el artículo 2, numeral 4, literal c), de la mencionada ley –modificado por el artículo 92 de la Ley 1474 de 2011–, estableció lo siguiente: </w:t>
      </w:r>
    </w:p>
    <w:p w14:paraId="3D4B2410" w14:textId="77777777" w:rsidR="00A7247D" w:rsidRPr="001A2EE1" w:rsidRDefault="00A7247D" w:rsidP="00A7247D">
      <w:pPr>
        <w:spacing w:after="0" w:line="276" w:lineRule="auto"/>
        <w:ind w:firstLine="709"/>
        <w:jc w:val="both"/>
        <w:rPr>
          <w:rFonts w:ascii="Verdana" w:eastAsia="Calibri" w:hAnsi="Verdana" w:cs="Arial"/>
          <w:color w:val="000000" w:themeColor="text1"/>
          <w:highlight w:val="cyan"/>
          <w:lang w:val="es-ES_tradnl"/>
        </w:rPr>
      </w:pPr>
    </w:p>
    <w:p w14:paraId="06B35F0B" w14:textId="77777777" w:rsidR="00A7247D" w:rsidRPr="00967F6F" w:rsidRDefault="00A7247D" w:rsidP="00A7247D">
      <w:pPr>
        <w:spacing w:after="120"/>
        <w:ind w:left="709" w:right="709"/>
        <w:jc w:val="both"/>
        <w:rPr>
          <w:rFonts w:ascii="Verdana" w:hAnsi="Verdana" w:cs="Arial"/>
          <w:color w:val="FF0000"/>
          <w:sz w:val="20"/>
          <w:szCs w:val="20"/>
          <w:lang w:eastAsia="es-CO"/>
        </w:rPr>
      </w:pPr>
      <w:r w:rsidRPr="00967F6F">
        <w:rPr>
          <w:rFonts w:ascii="Verdana" w:hAnsi="Verdana" w:cs="Arial"/>
          <w:sz w:val="20"/>
          <w:szCs w:val="20"/>
          <w:lang w:eastAsia="es-CO"/>
        </w:rPr>
        <w:t>“c) Contratos interadministrativos, siempre que las obligaciones derivadas del mismo tengan relación directa con el objeto de la entidad ejecutora señalado en la ley o en sus reglamentos.</w:t>
      </w:r>
      <w:r w:rsidRPr="00967F6F">
        <w:rPr>
          <w:rFonts w:ascii="Verdana" w:hAnsi="Verdana" w:cs="Arial"/>
          <w:color w:val="FF0000"/>
          <w:sz w:val="20"/>
          <w:szCs w:val="20"/>
          <w:lang w:eastAsia="es-CO"/>
        </w:rPr>
        <w:t xml:space="preserve"> </w:t>
      </w:r>
    </w:p>
    <w:p w14:paraId="2A51EBAF" w14:textId="77777777" w:rsidR="00A7247D" w:rsidRPr="00967F6F" w:rsidRDefault="00A7247D" w:rsidP="00A7247D">
      <w:pPr>
        <w:spacing w:before="120"/>
        <w:ind w:left="709" w:right="709"/>
        <w:jc w:val="both"/>
        <w:rPr>
          <w:rFonts w:ascii="Verdana" w:hAnsi="Verdana" w:cs="Arial"/>
          <w:sz w:val="20"/>
          <w:szCs w:val="20"/>
          <w:lang w:eastAsia="es-CO"/>
        </w:rPr>
      </w:pPr>
      <w:r w:rsidRPr="00967F6F">
        <w:rPr>
          <w:rFonts w:ascii="Verdana" w:hAnsi="Verdana" w:cs="Arial"/>
          <w:sz w:val="20"/>
          <w:szCs w:val="20"/>
          <w:lang w:eastAsia="es-CO"/>
        </w:rPr>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23CB6561" w14:textId="77777777" w:rsidR="00A7247D" w:rsidRPr="00967F6F" w:rsidRDefault="00A7247D" w:rsidP="00A7247D">
      <w:pPr>
        <w:spacing w:before="120"/>
        <w:ind w:left="709" w:right="709"/>
        <w:jc w:val="both"/>
        <w:rPr>
          <w:rFonts w:ascii="Verdana" w:hAnsi="Verdana" w:cs="Arial"/>
          <w:sz w:val="20"/>
          <w:szCs w:val="20"/>
          <w:lang w:eastAsia="es-CO"/>
        </w:rPr>
      </w:pPr>
      <w:r w:rsidRPr="00967F6F">
        <w:rPr>
          <w:rFonts w:ascii="Verdana" w:hAnsi="Verdana" w:cs="Arial"/>
          <w:sz w:val="20"/>
          <w:szCs w:val="20"/>
          <w:lang w:eastAsia="es-CO"/>
        </w:rPr>
        <w:t>En aquellos eventos en que el régimen aplicable a la contratación de la entidad ejecutora no sea el de la Ley </w:t>
      </w:r>
      <w:hyperlink r:id="rId11" w:anchor="1" w:history="1">
        <w:r w:rsidRPr="00967F6F">
          <w:rPr>
            <w:rFonts w:ascii="Verdana" w:hAnsi="Verdana" w:cs="Arial"/>
            <w:sz w:val="20"/>
            <w:szCs w:val="20"/>
            <w:lang w:eastAsia="es-CO"/>
          </w:rPr>
          <w:t>80</w:t>
        </w:r>
      </w:hyperlink>
      <w:r w:rsidRPr="00967F6F">
        <w:rPr>
          <w:rFonts w:ascii="Verdana" w:hAnsi="Verdana" w:cs="Arial"/>
          <w:sz w:val="20"/>
          <w:szCs w:val="20"/>
          <w:lang w:eastAsia="es-CO"/>
        </w:rPr>
        <w:t> 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w:t>
      </w:r>
    </w:p>
    <w:p w14:paraId="4CFCF4AF" w14:textId="77777777" w:rsidR="00A7247D" w:rsidRPr="00967F6F" w:rsidRDefault="00A7247D" w:rsidP="00A7247D">
      <w:pPr>
        <w:spacing w:before="120"/>
        <w:ind w:left="709" w:right="709"/>
        <w:jc w:val="both"/>
        <w:rPr>
          <w:rFonts w:ascii="Verdana" w:hAnsi="Verdana" w:cs="Arial"/>
          <w:sz w:val="20"/>
          <w:szCs w:val="20"/>
          <w:lang w:eastAsia="es-CO"/>
        </w:rPr>
      </w:pPr>
      <w:r w:rsidRPr="00967F6F">
        <w:rPr>
          <w:rFonts w:ascii="Verdana" w:hAnsi="Verdana" w:cs="Arial"/>
          <w:sz w:val="20"/>
          <w:szCs w:val="20"/>
          <w:lang w:eastAsia="es-CO"/>
        </w:rPr>
        <w:t xml:space="preserve">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w:t>
      </w:r>
      <w:r w:rsidRPr="00967F6F">
        <w:rPr>
          <w:rFonts w:ascii="Verdana" w:hAnsi="Verdana" w:cs="Arial"/>
          <w:sz w:val="20"/>
          <w:szCs w:val="20"/>
          <w:lang w:eastAsia="es-CO"/>
        </w:rPr>
        <w:lastRenderedPageBreak/>
        <w:t>y proyectos que tengan relación directa con el objeto del contrato principal.</w:t>
      </w:r>
    </w:p>
    <w:p w14:paraId="1F43AB21" w14:textId="77777777" w:rsidR="00A7247D" w:rsidRPr="00967F6F" w:rsidRDefault="00A7247D" w:rsidP="00A7247D">
      <w:pPr>
        <w:spacing w:before="120"/>
        <w:ind w:left="709" w:right="709"/>
        <w:jc w:val="both"/>
        <w:rPr>
          <w:rFonts w:ascii="Verdana" w:hAnsi="Verdana" w:cs="Arial"/>
          <w:sz w:val="20"/>
          <w:szCs w:val="20"/>
          <w:lang w:eastAsia="es-CO"/>
        </w:rPr>
      </w:pPr>
      <w:r w:rsidRPr="00967F6F">
        <w:rPr>
          <w:rFonts w:ascii="Verdana" w:hAnsi="Verdana" w:cs="Arial"/>
          <w:sz w:val="20"/>
          <w:szCs w:val="20"/>
          <w:lang w:eastAsia="es-CO"/>
        </w:rPr>
        <w:t>Estarán exceptuados de la figura del contrato interadministrativo, los contratos de seguro de las entidades estatales”.</w:t>
      </w:r>
    </w:p>
    <w:p w14:paraId="0208C465" w14:textId="77777777" w:rsidR="00A7247D" w:rsidRPr="001A2EE1" w:rsidRDefault="00A7247D" w:rsidP="00A7247D">
      <w:pPr>
        <w:spacing w:after="120" w:line="276" w:lineRule="auto"/>
        <w:ind w:firstLine="709"/>
        <w:jc w:val="both"/>
        <w:rPr>
          <w:rFonts w:ascii="Verdana" w:eastAsia="Calibri" w:hAnsi="Verdana" w:cs="Arial"/>
          <w:color w:val="000000" w:themeColor="text1"/>
          <w:lang w:val="es-ES_tradnl"/>
        </w:rPr>
      </w:pPr>
      <w:r w:rsidRPr="001A2EE1">
        <w:rPr>
          <w:rFonts w:ascii="Verdana" w:eastAsia="Calibri" w:hAnsi="Verdana" w:cs="Arial"/>
          <w:color w:val="000000" w:themeColor="text1"/>
          <w:lang w:val="es-ES_tradnl"/>
        </w:rPr>
        <w:t xml:space="preserve">Según el inciso primero del literal trascrito, la suscripción de contratos interadministrativos de forma directa, conforme a dicha causal, está sujeta a que las obligaciones del negocio jurídico tengan relación directa con el objeto de la entidad ejecutora, establecido en la ley o en sus reglamentos. La condición impuesta por el legislador para la suscripción de estos contratos se establece a efectos de constatar que el ejecutante cuente con la capacidad jurídica para contraer las obligaciones establecidas en el contrato.    </w:t>
      </w:r>
    </w:p>
    <w:p w14:paraId="2562FB09" w14:textId="77777777" w:rsidR="00A7247D" w:rsidRPr="001A2EE1" w:rsidRDefault="00A7247D" w:rsidP="00A7247D">
      <w:pPr>
        <w:spacing w:before="120" w:after="120" w:line="276" w:lineRule="auto"/>
        <w:ind w:firstLine="708"/>
        <w:jc w:val="both"/>
        <w:rPr>
          <w:rFonts w:ascii="Verdana" w:eastAsia="Arial" w:hAnsi="Verdana" w:cs="Arial"/>
          <w:color w:val="000000" w:themeColor="text1"/>
          <w:lang w:val="es-ES"/>
        </w:rPr>
      </w:pPr>
      <w:r w:rsidRPr="001A2EE1">
        <w:rPr>
          <w:rFonts w:ascii="Verdana" w:eastAsia="Calibri" w:hAnsi="Verdana" w:cs="Arial"/>
        </w:rPr>
        <w:t xml:space="preserve">En este contexto, </w:t>
      </w:r>
      <w:r w:rsidRPr="001A2EE1">
        <w:rPr>
          <w:rFonts w:ascii="Verdana" w:eastAsia="Arial" w:hAnsi="Verdana" w:cs="Arial"/>
          <w:color w:val="000000" w:themeColor="text1"/>
          <w:lang w:val="es-ES"/>
        </w:rPr>
        <w:t xml:space="preserve">la Ley 1150 de 2007 permite que los contratos interadministrativos pueden celebrarse directamente, sin perjuicio de que, eventualmente, se celebren en el marco de un proceso de selección competitivo. Por ello, al tratarse de una causal de contratación directa establecida por el legislador no será obligatorio contar con varias ofertas para escoger libremente a la entidad estatal con la cual se suscribirá el convenio o contrato interadministrativo. </w:t>
      </w:r>
    </w:p>
    <w:p w14:paraId="61453F6B" w14:textId="77777777" w:rsidR="00A7247D" w:rsidRPr="001A2EE1" w:rsidRDefault="00A7247D" w:rsidP="00A7247D">
      <w:pPr>
        <w:spacing w:before="120" w:line="276" w:lineRule="auto"/>
        <w:ind w:firstLine="709"/>
        <w:jc w:val="both"/>
        <w:rPr>
          <w:rFonts w:ascii="Verdana" w:eastAsia="Calibri" w:hAnsi="Verdana" w:cs="Arial"/>
        </w:rPr>
      </w:pPr>
      <w:r w:rsidRPr="001A2EE1">
        <w:rPr>
          <w:rFonts w:ascii="Verdana" w:eastAsia="Arial" w:hAnsi="Verdana" w:cs="Arial"/>
          <w:color w:val="000000" w:themeColor="text1"/>
          <w:lang w:val="es-ES"/>
        </w:rPr>
        <w:t xml:space="preserve">En efecto, </w:t>
      </w:r>
      <w:r w:rsidRPr="001A2EE1">
        <w:rPr>
          <w:rFonts w:ascii="Verdana" w:eastAsia="Calibri" w:hAnsi="Verdana" w:cs="Arial"/>
          <w:color w:val="000000"/>
          <w:lang w:val="es-ES_tradnl"/>
        </w:rPr>
        <w:t xml:space="preserve">la contratación directa es una excepción, de las que puede hacer el legislador, a los principios de </w:t>
      </w:r>
      <w:proofErr w:type="gramStart"/>
      <w:r w:rsidRPr="001A2EE1">
        <w:rPr>
          <w:rFonts w:ascii="Verdana" w:eastAsia="Calibri" w:hAnsi="Verdana" w:cs="Arial"/>
          <w:color w:val="000000"/>
          <w:lang w:val="es-ES_tradnl"/>
        </w:rPr>
        <w:t>libre competencia y libre concurrencia</w:t>
      </w:r>
      <w:proofErr w:type="gramEnd"/>
      <w:r w:rsidRPr="001A2EE1">
        <w:rPr>
          <w:rFonts w:ascii="Verdana" w:eastAsia="Calibri" w:hAnsi="Verdana" w:cs="Arial"/>
          <w:color w:val="000000"/>
          <w:lang w:val="es-ES_tradnl"/>
        </w:rPr>
        <w:t xml:space="preserve">. Lo anterior puesto que no existe competencia </w:t>
      </w:r>
      <w:r w:rsidRPr="001A2EE1">
        <w:rPr>
          <w:rFonts w:ascii="Verdana" w:eastAsia="Calibri" w:hAnsi="Verdana" w:cs="Arial"/>
        </w:rPr>
        <w:t xml:space="preserve">y, por ello, no hay rivalidad entre los posibles proveedores del bien o servicio que requiere la entidad, teniendo en cuenta que al proceso solo concurre la persona que la entidad invita directamente. Esta persona es la única autorizada, por ende, no hay libre concurrencia, porque así lo permiten las características de la modalidad de contratación directa que dispuso el legislador. </w:t>
      </w:r>
    </w:p>
    <w:p w14:paraId="389ED0BA" w14:textId="77777777" w:rsidR="00A7247D" w:rsidRPr="001A2EE1" w:rsidRDefault="00A7247D" w:rsidP="00A7247D">
      <w:pPr>
        <w:spacing w:before="120" w:after="120" w:line="276" w:lineRule="auto"/>
        <w:ind w:firstLine="709"/>
        <w:jc w:val="both"/>
        <w:rPr>
          <w:rFonts w:ascii="Verdana" w:eastAsia="Calibri" w:hAnsi="Verdana" w:cs="Arial"/>
        </w:rPr>
      </w:pPr>
      <w:r w:rsidRPr="001A2EE1">
        <w:rPr>
          <w:rFonts w:ascii="Verdana" w:eastAsia="Calibri" w:hAnsi="Verdana" w:cs="Arial"/>
        </w:rPr>
        <w:t xml:space="preserve">Sobre el particular, el Consejo de Estado ha señalado que la contratación directa es </w:t>
      </w:r>
      <w:r w:rsidRPr="001A2EE1">
        <w:rPr>
          <w:rFonts w:ascii="Verdana" w:eastAsia="Calibri" w:hAnsi="Verdana" w:cs="Arial"/>
          <w:color w:val="000000"/>
          <w:lang w:val="es-ES_tradnl"/>
        </w:rPr>
        <w:t>“</w:t>
      </w:r>
      <w:r w:rsidRPr="001A2EE1">
        <w:rPr>
          <w:rFonts w:ascii="Verdana" w:eastAsia="Calibri" w:hAnsi="Verdana" w:cs="Arial"/>
        </w:rPr>
        <w:t>aquella forma de escoger al contratista donde no es necesario que la administración obtenga dos o más ofertas, toda vez que es la única manera de entender que de verdad la contratación es directa. Si necesitara varias propuestas, la modalidad no sería esta, ya que la expresión contratación directa debe dar la idea de que la contratación se realiza con quien la entidad escoja libremente, de no ser así no sería directa</w:t>
      </w:r>
      <w:r w:rsidRPr="001A2EE1">
        <w:rPr>
          <w:rFonts w:ascii="Verdana" w:eastAsia="Calibri" w:hAnsi="Verdana" w:cs="Arial"/>
          <w:vertAlign w:val="superscript"/>
        </w:rPr>
        <w:footnoteReference w:id="10"/>
      </w:r>
      <w:r w:rsidRPr="001A2EE1">
        <w:rPr>
          <w:rFonts w:ascii="Verdana" w:eastAsia="Calibri" w:hAnsi="Verdana" w:cs="Arial"/>
          <w:color w:val="000000"/>
          <w:lang w:val="es-ES_tradnl"/>
        </w:rPr>
        <w:t>”</w:t>
      </w:r>
      <w:r w:rsidRPr="001A2EE1">
        <w:rPr>
          <w:rFonts w:ascii="Verdana" w:eastAsia="Calibri" w:hAnsi="Verdana" w:cs="Arial"/>
        </w:rPr>
        <w:t xml:space="preserve">. Así mismo, señaló que </w:t>
      </w:r>
      <w:r w:rsidRPr="001A2EE1">
        <w:rPr>
          <w:rFonts w:ascii="Verdana" w:eastAsia="Calibri" w:hAnsi="Verdana" w:cs="Arial"/>
          <w:color w:val="000000"/>
          <w:lang w:val="es-ES_tradnl"/>
        </w:rPr>
        <w:t>“</w:t>
      </w:r>
      <w:r w:rsidRPr="001A2EE1">
        <w:rPr>
          <w:rFonts w:ascii="Verdana" w:eastAsia="Calibri" w:hAnsi="Verdana" w:cs="Arial"/>
        </w:rPr>
        <w:t xml:space="preserve">Del </w:t>
      </w:r>
      <w:r w:rsidRPr="001A2EE1">
        <w:rPr>
          <w:rFonts w:ascii="Verdana" w:eastAsia="Calibri" w:hAnsi="Verdana" w:cs="Arial"/>
        </w:rPr>
        <w:lastRenderedPageBreak/>
        <w:t>articulado mismo de la ley 1.150 se desprende que las causales de contratación directa no requieren de la obtención de un número plural de ofertas. Por el contrario, la escoge libremente, bien pidiendo una sola oferta o incluso ninguna, pudiendo pasarse -en este último caso- a suscribir directamente el contrato</w:t>
      </w:r>
      <w:r w:rsidRPr="001A2EE1">
        <w:rPr>
          <w:rFonts w:ascii="Verdana" w:eastAsia="Calibri" w:hAnsi="Verdana" w:cs="Arial"/>
          <w:color w:val="000000"/>
          <w:lang w:val="es-ES_tradnl"/>
        </w:rPr>
        <w:t>”</w:t>
      </w:r>
      <w:r w:rsidRPr="001A2EE1">
        <w:rPr>
          <w:rFonts w:ascii="Verdana" w:eastAsia="Calibri" w:hAnsi="Verdana" w:cs="Arial"/>
          <w:color w:val="000000"/>
          <w:vertAlign w:val="superscript"/>
          <w:lang w:val="es-ES_tradnl"/>
        </w:rPr>
        <w:footnoteReference w:id="11"/>
      </w:r>
      <w:r w:rsidRPr="001A2EE1">
        <w:rPr>
          <w:rFonts w:ascii="Verdana" w:eastAsia="Calibri" w:hAnsi="Verdana" w:cs="Arial"/>
        </w:rPr>
        <w:t xml:space="preserve">. De ahí que, para esta modalidad de contratación, incluyendo la causal de contratos interadministrativos, no resulta obligatoria la comparación de varias ofertas, pudiendo la entidad celebrar directamente el contrato con aquella entidad que cumpla con los requisitos necesarios para la ejecución </w:t>
      </w:r>
      <w:proofErr w:type="gramStart"/>
      <w:r w:rsidRPr="001A2EE1">
        <w:rPr>
          <w:rFonts w:ascii="Verdana" w:eastAsia="Calibri" w:hAnsi="Verdana" w:cs="Arial"/>
        </w:rPr>
        <w:t>del mismo</w:t>
      </w:r>
      <w:proofErr w:type="gramEnd"/>
      <w:r w:rsidRPr="001A2EE1">
        <w:rPr>
          <w:rFonts w:ascii="Verdana" w:eastAsia="Calibri" w:hAnsi="Verdana" w:cs="Arial"/>
        </w:rPr>
        <w:t>.</w:t>
      </w:r>
    </w:p>
    <w:p w14:paraId="3FBA35C7" w14:textId="77777777" w:rsidR="00A7247D" w:rsidRPr="001A2EE1" w:rsidRDefault="00A7247D" w:rsidP="00A7247D">
      <w:pPr>
        <w:spacing w:line="276" w:lineRule="auto"/>
        <w:ind w:firstLine="720"/>
        <w:jc w:val="both"/>
        <w:rPr>
          <w:rFonts w:ascii="Verdana" w:eastAsia="Calibri" w:hAnsi="Verdana" w:cs="Arial"/>
          <w:color w:val="000000"/>
        </w:rPr>
      </w:pPr>
      <w:r w:rsidRPr="001A2EE1">
        <w:rPr>
          <w:rFonts w:ascii="Verdana" w:eastAsia="Arial" w:hAnsi="Verdana" w:cs="Arial"/>
          <w:color w:val="000000" w:themeColor="text1"/>
          <w:lang w:val="es-ES"/>
        </w:rPr>
        <w:t>Sin embargo, esto no significa que esta contratación esté exenta</w:t>
      </w:r>
      <w:r w:rsidRPr="001A2EE1">
        <w:rPr>
          <w:rFonts w:ascii="Verdana" w:eastAsia="Calibri" w:hAnsi="Verdana" w:cs="Arial"/>
          <w:color w:val="000000"/>
          <w:lang w:val="es-ES_tradnl"/>
        </w:rPr>
        <w:t xml:space="preserve"> del cumplimiento de los principios de transparencia y selección objetiva que rigen la contratación pública. En la contratación directa la entidad también deberá realizar un análisis previo a la suscripción del contrato, en el que se verifique que el contratista cumple con lo requerido para satisfacer la necesidad </w:t>
      </w:r>
      <w:r w:rsidRPr="001A2EE1">
        <w:rPr>
          <w:rFonts w:ascii="Verdana" w:eastAsia="Calibri" w:hAnsi="Verdana" w:cs="Arial"/>
        </w:rPr>
        <w:t>contractual</w:t>
      </w:r>
      <w:r w:rsidRPr="001A2EE1">
        <w:rPr>
          <w:rFonts w:ascii="Verdana" w:eastAsia="Calibri" w:hAnsi="Verdana" w:cs="Arial"/>
          <w:color w:val="000000"/>
          <w:lang w:val="es-ES_tradnl"/>
        </w:rPr>
        <w:t>. Por tanto, la entidad tiene la obligación de escoger al contratista de manera objetiva, es decir, que “</w:t>
      </w:r>
      <w:r w:rsidRPr="001A2EE1">
        <w:rPr>
          <w:rFonts w:ascii="Verdana" w:eastAsia="Calibri" w:hAnsi="Verdana" w:cs="Arial"/>
          <w:color w:val="000000"/>
        </w:rPr>
        <w:t>el contratista elegido no lo sea por razones políticas, o de amistad, o de recomendación basada en criterios caprichosos, sino en motivos como la buena calidad del trabajo, la experiencia profesional reconocida, la imagen pública de su actividad profesional, entre otros factores objetivos y criterios de valoración profesional que alejan la arbitrariedad, la subjetividad y el capricho de la selección del contratista, cuando se escoge en forma directa</w:t>
      </w:r>
      <w:r w:rsidRPr="001A2EE1">
        <w:rPr>
          <w:rFonts w:ascii="Verdana" w:eastAsia="Calibri" w:hAnsi="Verdana" w:cs="Arial"/>
          <w:color w:val="000000"/>
          <w:lang w:val="es-ES_tradnl"/>
        </w:rPr>
        <w:t>”</w:t>
      </w:r>
      <w:r w:rsidRPr="001A2EE1">
        <w:rPr>
          <w:rFonts w:ascii="Verdana" w:eastAsia="Calibri" w:hAnsi="Verdana" w:cs="Arial"/>
          <w:color w:val="000000"/>
          <w:vertAlign w:val="superscript"/>
          <w:lang w:val="es-ES_tradnl"/>
        </w:rPr>
        <w:footnoteReference w:id="12"/>
      </w:r>
      <w:r w:rsidRPr="001A2EE1">
        <w:rPr>
          <w:rFonts w:ascii="Verdana" w:eastAsia="Calibri" w:hAnsi="Verdana" w:cs="Arial"/>
          <w:color w:val="000000"/>
        </w:rPr>
        <w:t>.</w:t>
      </w:r>
      <w:r>
        <w:rPr>
          <w:rFonts w:ascii="Verdana" w:eastAsia="Calibri" w:hAnsi="Verdana" w:cs="Arial"/>
          <w:color w:val="000000"/>
        </w:rPr>
        <w:t xml:space="preserve"> E</w:t>
      </w:r>
      <w:r w:rsidRPr="00967F6F">
        <w:rPr>
          <w:rFonts w:ascii="Verdana" w:eastAsia="Calibri" w:hAnsi="Verdana" w:cs="Arial"/>
          <w:color w:val="000000"/>
        </w:rPr>
        <w:t>n ese sentido, conforme a dichos principios y al marco normativo aplicable, corresponde a la entidad estatal determinar, dentro de la estructuración del convenio interadministrativo, los criterios y condiciones que acrediten la idoneidad de la contraparte, pudiendo definir</w:t>
      </w:r>
      <w:r>
        <w:rPr>
          <w:rFonts w:ascii="Verdana" w:eastAsia="Calibri" w:hAnsi="Verdana" w:cs="Arial"/>
          <w:color w:val="000000"/>
        </w:rPr>
        <w:t xml:space="preserve">, </w:t>
      </w:r>
      <w:r w:rsidRPr="00967F6F">
        <w:rPr>
          <w:rFonts w:ascii="Verdana" w:eastAsia="Calibri" w:hAnsi="Verdana" w:cs="Arial"/>
          <w:color w:val="000000"/>
        </w:rPr>
        <w:t>de acuerdo con la naturaleza del objeto y las necesidades del proceso</w:t>
      </w:r>
      <w:r>
        <w:rPr>
          <w:rFonts w:ascii="Verdana" w:eastAsia="Calibri" w:hAnsi="Verdana" w:cs="Arial"/>
          <w:color w:val="000000"/>
        </w:rPr>
        <w:t>,</w:t>
      </w:r>
      <w:r w:rsidRPr="00967F6F">
        <w:rPr>
          <w:rFonts w:ascii="Verdana" w:eastAsia="Calibri" w:hAnsi="Verdana" w:cs="Arial"/>
          <w:color w:val="000000"/>
        </w:rPr>
        <w:t xml:space="preserve"> el tipo y nivel de experiencia que considere pertinente exigir.</w:t>
      </w:r>
    </w:p>
    <w:p w14:paraId="65ADF4B3" w14:textId="77777777" w:rsidR="00A7247D" w:rsidRDefault="00A7247D" w:rsidP="00A7247D">
      <w:pPr>
        <w:spacing w:line="276" w:lineRule="auto"/>
        <w:ind w:firstLine="720"/>
        <w:jc w:val="both"/>
        <w:rPr>
          <w:rFonts w:ascii="Verdana" w:eastAsia="Calibri" w:hAnsi="Verdana" w:cs="Arial"/>
          <w:color w:val="000000"/>
          <w:lang w:val="es-ES_tradnl"/>
        </w:rPr>
      </w:pPr>
      <w:r w:rsidRPr="001A2EE1">
        <w:rPr>
          <w:rFonts w:ascii="Verdana" w:eastAsia="Calibri" w:hAnsi="Verdana" w:cs="Arial"/>
          <w:color w:val="000000"/>
          <w:lang w:val="es-ES_tradnl"/>
        </w:rPr>
        <w:t xml:space="preserve">En ese sentido, la persona a la que la entidad contrata directamente es aquella que se considera que cumple con lo requerido para satisfacer la necesidad </w:t>
      </w:r>
      <w:r w:rsidRPr="001A2EE1">
        <w:rPr>
          <w:rFonts w:ascii="Verdana" w:eastAsia="Calibri" w:hAnsi="Verdana" w:cs="Arial"/>
          <w:color w:val="000000"/>
        </w:rPr>
        <w:t>contractual</w:t>
      </w:r>
      <w:r w:rsidRPr="001A2EE1">
        <w:rPr>
          <w:rFonts w:ascii="Verdana" w:eastAsia="Calibri" w:hAnsi="Verdana" w:cs="Arial"/>
          <w:color w:val="000000"/>
          <w:lang w:val="es-ES_tradnl"/>
        </w:rPr>
        <w:t xml:space="preserve">. Esa consideración de la entidad contratante será objetiva en la medida en que se cumpla con el principio de planeación, que se refleja principalmente en los estudios previos y en el acto administrativo que justifica la contratación directa, en los casos en que aplica. De esta manera, aunque la contratación sea directa, esto no implica que la entidad no deba definir las condiciones del contratista que está en capacidad de cumplir el contrato, lo cual </w:t>
      </w:r>
      <w:r w:rsidRPr="001A2EE1">
        <w:rPr>
          <w:rFonts w:ascii="Verdana" w:eastAsia="Calibri" w:hAnsi="Verdana" w:cs="Arial"/>
          <w:color w:val="000000"/>
          <w:lang w:val="es-ES_tradnl"/>
        </w:rPr>
        <w:lastRenderedPageBreak/>
        <w:t xml:space="preserve">es un elemento común entre las modalidades de selección competitivas y no competitivas. </w:t>
      </w:r>
    </w:p>
    <w:p w14:paraId="5D9155F6" w14:textId="77777777" w:rsidR="00A7247D" w:rsidRDefault="00A7247D" w:rsidP="00A7247D">
      <w:pPr>
        <w:spacing w:line="276" w:lineRule="auto"/>
        <w:ind w:firstLine="709"/>
        <w:jc w:val="both"/>
        <w:rPr>
          <w:rFonts w:ascii="Verdana" w:eastAsia="Calibri" w:hAnsi="Verdana" w:cs="Arial"/>
        </w:rPr>
      </w:pPr>
      <w:r w:rsidRPr="004C0D72">
        <w:rPr>
          <w:rFonts w:ascii="Verdana" w:eastAsia="Calibri" w:hAnsi="Verdana" w:cs="Arial"/>
        </w:rPr>
        <w:t>En conclusión, la exigencia de acreditar experiencia en la celebración de convenios interadministrativos no se deriva expresamente de la ley, por lo que su procedencia dependerá del análisis que realice la entidad estatal al estructurar el convenio, en atención a la naturaleza del acuerdo, las funciones de las partes y los principios de planeación, transparencia y selección objetiva que orientan la contratación pública.</w:t>
      </w:r>
    </w:p>
    <w:p w14:paraId="2B9B9D87" w14:textId="77777777" w:rsidR="00A7247D" w:rsidRPr="004D053F" w:rsidRDefault="00A7247D" w:rsidP="00A7247D">
      <w:pPr>
        <w:spacing w:after="0" w:line="276" w:lineRule="auto"/>
        <w:ind w:firstLine="709"/>
        <w:jc w:val="both"/>
        <w:rPr>
          <w:rFonts w:ascii="Verdana" w:eastAsia="Calibri" w:hAnsi="Verdana" w:cs="Arial"/>
        </w:rPr>
      </w:pPr>
    </w:p>
    <w:p w14:paraId="0BF711BF" w14:textId="77777777" w:rsidR="00A7247D" w:rsidRPr="00073A28" w:rsidRDefault="00A7247D" w:rsidP="00A724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73A28">
        <w:rPr>
          <w:rFonts w:ascii="Verdana" w:eastAsia="Century Gothic" w:hAnsi="Verdana" w:cs="Century Gothic"/>
          <w:b/>
          <w:bCs/>
        </w:rPr>
        <w:t>Referencias normativas, jurisprudenciales y otras fuentes:</w:t>
      </w:r>
    </w:p>
    <w:p w14:paraId="20708DBA" w14:textId="77777777" w:rsidR="00A7247D" w:rsidRPr="00073A28" w:rsidRDefault="00A7247D" w:rsidP="00A7247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7247D" w:rsidRPr="00073A28" w14:paraId="5A84FA4B" w14:textId="77777777" w:rsidTr="0086494C">
        <w:trPr>
          <w:trHeight w:val="870"/>
        </w:trPr>
        <w:tc>
          <w:tcPr>
            <w:tcW w:w="8647" w:type="dxa"/>
          </w:tcPr>
          <w:p w14:paraId="18F9DB09" w14:textId="77777777" w:rsidR="00A7247D" w:rsidRPr="004D053F" w:rsidRDefault="00A7247D" w:rsidP="00A7247D">
            <w:pPr>
              <w:widowControl w:val="0"/>
              <w:numPr>
                <w:ilvl w:val="0"/>
                <w:numId w:val="17"/>
              </w:numPr>
              <w:autoSpaceDE w:val="0"/>
              <w:autoSpaceDN w:val="0"/>
              <w:spacing w:line="276" w:lineRule="auto"/>
              <w:contextualSpacing/>
              <w:jc w:val="both"/>
              <w:rPr>
                <w:rFonts w:ascii="Verdana" w:hAnsi="Verdana" w:cs="Arial"/>
                <w:lang w:val="es-MX"/>
              </w:rPr>
            </w:pPr>
            <w:r>
              <w:rPr>
                <w:rFonts w:ascii="Verdana" w:hAnsi="Verdana" w:cs="Arial"/>
                <w:lang w:val="es-MX"/>
              </w:rPr>
              <w:t>Ley 80 de 1993.</w:t>
            </w:r>
          </w:p>
          <w:p w14:paraId="4454A02B" w14:textId="77777777" w:rsidR="00A7247D" w:rsidRPr="001A2EE1" w:rsidRDefault="00A7247D" w:rsidP="00A7247D">
            <w:pPr>
              <w:widowControl w:val="0"/>
              <w:numPr>
                <w:ilvl w:val="0"/>
                <w:numId w:val="17"/>
              </w:numPr>
              <w:autoSpaceDE w:val="0"/>
              <w:autoSpaceDN w:val="0"/>
              <w:spacing w:line="276" w:lineRule="auto"/>
              <w:contextualSpacing/>
              <w:jc w:val="both"/>
              <w:rPr>
                <w:rFonts w:ascii="Verdana" w:hAnsi="Verdana" w:cs="Arial"/>
                <w:lang w:val="es-MX"/>
              </w:rPr>
            </w:pPr>
            <w:r w:rsidRPr="001A2EE1">
              <w:rPr>
                <w:rFonts w:ascii="Verdana" w:hAnsi="Verdana" w:cs="Arial"/>
              </w:rPr>
              <w:t>Decreto 1082 de 2015: Artículo 2.2.1.2.1.4.4</w:t>
            </w:r>
          </w:p>
          <w:p w14:paraId="7D91586D" w14:textId="77777777" w:rsidR="00A7247D" w:rsidRDefault="00A7247D" w:rsidP="00A7247D">
            <w:pPr>
              <w:pStyle w:val="Prrafodelista"/>
              <w:numPr>
                <w:ilvl w:val="0"/>
                <w:numId w:val="17"/>
              </w:numPr>
              <w:spacing w:line="278" w:lineRule="auto"/>
              <w:jc w:val="both"/>
              <w:rPr>
                <w:rFonts w:ascii="Verdana" w:eastAsia="Arial" w:hAnsi="Verdana" w:cs="Arial"/>
              </w:rPr>
            </w:pPr>
            <w:r w:rsidRPr="001A2EE1">
              <w:rPr>
                <w:rFonts w:ascii="Verdana" w:hAnsi="Verdana" w:cs="Arial"/>
                <w:lang w:val="es-MX"/>
              </w:rPr>
              <w:t xml:space="preserve">Ley 1150 de 2007: </w:t>
            </w:r>
            <w:r w:rsidRPr="001A2EE1">
              <w:rPr>
                <w:rFonts w:ascii="Verdana" w:hAnsi="Verdana" w:cs="Arial"/>
              </w:rPr>
              <w:t>Artículo 2, numeral 4, literal c)– modificado por el artículo 92 de la Ley 1474 de 2011</w:t>
            </w:r>
            <w:r w:rsidRPr="004B0DF3">
              <w:rPr>
                <w:rFonts w:ascii="Verdana" w:eastAsia="Arial" w:hAnsi="Verdana" w:cs="Arial"/>
              </w:rPr>
              <w:t>.</w:t>
            </w:r>
          </w:p>
          <w:p w14:paraId="4BFA4063" w14:textId="77777777" w:rsidR="00A7247D" w:rsidRPr="004B0DF3" w:rsidRDefault="00A7247D" w:rsidP="00A7247D">
            <w:pPr>
              <w:pStyle w:val="Prrafodelista"/>
              <w:numPr>
                <w:ilvl w:val="0"/>
                <w:numId w:val="17"/>
              </w:numPr>
              <w:spacing w:line="278" w:lineRule="auto"/>
              <w:jc w:val="both"/>
              <w:rPr>
                <w:rFonts w:ascii="Verdana" w:eastAsia="Arial" w:hAnsi="Verdana" w:cs="Arial"/>
              </w:rPr>
            </w:pPr>
            <w:r w:rsidRPr="001A2EE1">
              <w:rPr>
                <w:rFonts w:ascii="Verdana" w:eastAsia="Calibri" w:hAnsi="Verdana" w:cs="Arial"/>
                <w:color w:val="000000"/>
                <w:lang w:val="es-ES_tradnl"/>
              </w:rPr>
              <w:t>Corte Constitucional expresó en la Sentencia C–671 de 2015</w:t>
            </w:r>
          </w:p>
        </w:tc>
      </w:tr>
    </w:tbl>
    <w:p w14:paraId="3A82F167" w14:textId="77777777" w:rsidR="00A7247D" w:rsidRPr="00073A28" w:rsidRDefault="00A7247D" w:rsidP="00A7247D">
      <w:pPr>
        <w:widowControl w:val="0"/>
        <w:autoSpaceDE w:val="0"/>
        <w:autoSpaceDN w:val="0"/>
        <w:spacing w:after="0" w:line="276" w:lineRule="auto"/>
        <w:jc w:val="both"/>
        <w:rPr>
          <w:rFonts w:ascii="Verdana" w:hAnsi="Verdana" w:cs="Arial"/>
        </w:rPr>
      </w:pPr>
    </w:p>
    <w:p w14:paraId="4C73D44F" w14:textId="77777777" w:rsidR="00A7247D" w:rsidRPr="00073A28" w:rsidRDefault="00A7247D" w:rsidP="00A724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73A28">
        <w:rPr>
          <w:rFonts w:ascii="Verdana" w:eastAsia="Century Gothic" w:hAnsi="Verdana" w:cs="Century Gothic"/>
          <w:b/>
          <w:bCs/>
        </w:rPr>
        <w:t>Doctrina de la Agencia Nacional de Contratación Pública:</w:t>
      </w:r>
    </w:p>
    <w:p w14:paraId="12A4B704" w14:textId="77777777" w:rsidR="00A7247D" w:rsidRPr="00073A28" w:rsidRDefault="00A7247D" w:rsidP="00A7247D">
      <w:pPr>
        <w:widowControl w:val="0"/>
        <w:autoSpaceDE w:val="0"/>
        <w:autoSpaceDN w:val="0"/>
        <w:spacing w:after="0" w:line="276" w:lineRule="auto"/>
        <w:jc w:val="both"/>
        <w:rPr>
          <w:rFonts w:ascii="Verdana" w:hAnsi="Verdana" w:cs="Arial"/>
        </w:rPr>
      </w:pPr>
    </w:p>
    <w:p w14:paraId="540DBF89" w14:textId="77777777" w:rsidR="00A7247D" w:rsidRDefault="00A7247D" w:rsidP="00A7247D">
      <w:pPr>
        <w:widowControl w:val="0"/>
        <w:autoSpaceDE w:val="0"/>
        <w:autoSpaceDN w:val="0"/>
        <w:spacing w:after="0" w:line="276" w:lineRule="auto"/>
        <w:jc w:val="both"/>
        <w:rPr>
          <w:rFonts w:ascii="Verdana" w:hAnsi="Verdana" w:cs="Arial"/>
          <w:shd w:val="clear" w:color="auto" w:fill="FFFFFF"/>
          <w:lang w:val="es-ES"/>
        </w:rPr>
      </w:pPr>
      <w:r w:rsidRPr="001A2EE1">
        <w:rPr>
          <w:rFonts w:ascii="Verdana" w:eastAsia="Calibri" w:hAnsi="Verdana" w:cs="Arial"/>
          <w:color w:val="000000" w:themeColor="text1"/>
          <w:lang w:eastAsia="es-ES_tradnl"/>
        </w:rPr>
        <w:t xml:space="preserve">La Agencia Nacional de Contratación Pública – Colombia Compra Eficiente </w:t>
      </w:r>
      <w:r w:rsidRPr="001A2EE1">
        <w:rPr>
          <w:rFonts w:ascii="Verdana" w:eastAsia="Arial" w:hAnsi="Verdana" w:cs="Arial"/>
          <w:lang w:val="es-MX" w:eastAsia="es-ES_tradnl"/>
        </w:rPr>
        <w:t xml:space="preserve">ha analizado diferentes aspectos </w:t>
      </w:r>
      <w:r w:rsidRPr="001A2EE1">
        <w:rPr>
          <w:rFonts w:ascii="Verdana" w:eastAsia="Times New Roman" w:hAnsi="Verdana" w:cs="Arial"/>
          <w:bCs/>
          <w:color w:val="000000" w:themeColor="text1"/>
          <w:lang w:val="es-MX" w:eastAsia="es-ES_tradnl"/>
        </w:rPr>
        <w:t xml:space="preserve">sobre el concepto y régimen jurídico aplicable a los contratos interadministrativos, entre otros, en los Conceptos: </w:t>
      </w:r>
      <w:r w:rsidRPr="001A2EE1">
        <w:rPr>
          <w:rFonts w:ascii="Verdana" w:eastAsia="Calibri" w:hAnsi="Verdana" w:cs="Arial"/>
          <w:color w:val="000000" w:themeColor="text1"/>
          <w:lang w:eastAsia="es-ES_tradnl"/>
        </w:rPr>
        <w:t xml:space="preserve">4201913000004536 del 27 de julio de 2019, C-023 del 3 de febrero de 2020, C-702 del 11 de diciembre de 2020, C-097 de 23 de marzo de 202, C-350 del 16 de julio de 2021, C-352 del 27 de julio de 2021, C-508 del 20 de septiembre de 2021, C-616 del 3 de noviembre de 2021, C-662 del 1 de diciembre de 2022, C-147 del 25 de julio de 2023, C-369 del 12 de septiembre de 2022. Sobre la excepción de celebrar contratos y convenios interadministrativos de forma directa establecida en el inciso segundo </w:t>
      </w:r>
      <w:r w:rsidRPr="001A2EE1">
        <w:rPr>
          <w:rFonts w:ascii="Verdana" w:eastAsia="Calibri" w:hAnsi="Verdana" w:cs="Arial"/>
          <w:color w:val="000000" w:themeColor="text1"/>
          <w:lang w:val="es-ES"/>
        </w:rPr>
        <w:t xml:space="preserve">artículo 2, numeral 4, literal c), de la mencionada ley – modificado por el artículo 92 de la Ley 1474 de 2011 – se ha pronunciado en los conceptos C-157 del 16 de marzo de 2020, C-593 del 9 de octubre de 2020, C-691 del 27 de noviembre de 2020, C-173 del 19 de abril de 2021, C-116 del 30 de marzo de 2021, C-149 del 8 de abril de 2021, C-284 del 16 de junio de 2021, C-508 del 20 de septiembre de 2021, C-033 del 27 de febrero de 2023, C-285 del 19 de julio de 2023, C-379 del 19 de octubre de 2023, C-004 del 22 de enero de 2024 </w:t>
      </w:r>
      <w:r>
        <w:rPr>
          <w:rFonts w:ascii="Verdana" w:eastAsia="Calibri" w:hAnsi="Verdana" w:cs="Arial"/>
          <w:color w:val="000000" w:themeColor="text1"/>
          <w:lang w:val="es-ES"/>
        </w:rPr>
        <w:t xml:space="preserve">, </w:t>
      </w:r>
      <w:r w:rsidRPr="001A2EE1">
        <w:rPr>
          <w:rFonts w:ascii="Verdana" w:eastAsia="Calibri" w:hAnsi="Verdana" w:cs="Arial"/>
          <w:color w:val="000000" w:themeColor="text1"/>
          <w:lang w:val="es-ES"/>
        </w:rPr>
        <w:t>C-139 del 14 de agosto de 2024</w:t>
      </w:r>
      <w:r>
        <w:rPr>
          <w:rFonts w:ascii="Verdana" w:eastAsia="Calibri" w:hAnsi="Verdana" w:cs="Arial"/>
          <w:color w:val="000000" w:themeColor="text1"/>
          <w:lang w:val="es-ES"/>
        </w:rPr>
        <w:t xml:space="preserve"> y C-024 </w:t>
      </w:r>
      <w:r>
        <w:rPr>
          <w:rFonts w:ascii="Verdana" w:eastAsia="Calibri" w:hAnsi="Verdana" w:cs="Arial"/>
          <w:color w:val="000000" w:themeColor="text1"/>
          <w:lang w:val="es-ES"/>
        </w:rPr>
        <w:lastRenderedPageBreak/>
        <w:t>de 2025</w:t>
      </w:r>
      <w:r w:rsidRPr="001A2EE1">
        <w:rPr>
          <w:rFonts w:ascii="Verdana" w:eastAsia="Calibri" w:hAnsi="Verdana" w:cs="Arial"/>
          <w:color w:val="000000" w:themeColor="text1"/>
          <w:lang w:val="es-ES"/>
        </w:rPr>
        <w:t xml:space="preserve">. </w:t>
      </w:r>
    </w:p>
    <w:p w14:paraId="2E79D59E" w14:textId="77777777" w:rsidR="00A7247D" w:rsidRDefault="00A7247D" w:rsidP="00A7247D">
      <w:pPr>
        <w:widowControl w:val="0"/>
        <w:autoSpaceDE w:val="0"/>
        <w:autoSpaceDN w:val="0"/>
        <w:spacing w:after="0" w:line="276" w:lineRule="auto"/>
        <w:jc w:val="both"/>
        <w:rPr>
          <w:rFonts w:ascii="Verdana" w:eastAsia="Calibri" w:hAnsi="Verdana" w:cs="Times New Roman"/>
        </w:rPr>
      </w:pPr>
    </w:p>
    <w:p w14:paraId="1304E8FD" w14:textId="77777777" w:rsidR="00A7247D" w:rsidRPr="00AE7E03" w:rsidRDefault="00A7247D" w:rsidP="00A7247D">
      <w:pPr>
        <w:widowControl w:val="0"/>
        <w:autoSpaceDE w:val="0"/>
        <w:autoSpaceDN w:val="0"/>
        <w:spacing w:after="0" w:line="276" w:lineRule="auto"/>
        <w:jc w:val="both"/>
        <w:rPr>
          <w:rFonts w:ascii="Verdana" w:eastAsia="Arial" w:hAnsi="Verdana" w:cs="Arial"/>
          <w:lang w:val="es-MX" w:eastAsia="es-ES"/>
        </w:rPr>
      </w:pP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E6AFC8A" w14:textId="77777777" w:rsidR="00A7247D" w:rsidRPr="0065720B" w:rsidRDefault="00A7247D" w:rsidP="00A7247D">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96710AD" w14:textId="77777777" w:rsidR="00A7247D" w:rsidRPr="00073A28" w:rsidRDefault="00A7247D" w:rsidP="00A7247D">
      <w:pPr>
        <w:widowControl w:val="0"/>
        <w:autoSpaceDE w:val="0"/>
        <w:autoSpaceDN w:val="0"/>
        <w:spacing w:after="0" w:line="276" w:lineRule="auto"/>
        <w:jc w:val="both"/>
        <w:rPr>
          <w:rFonts w:ascii="Verdana" w:hAnsi="Verdana" w:cs="Arial"/>
          <w:color w:val="000000" w:themeColor="text1"/>
          <w:shd w:val="clear" w:color="auto" w:fill="FFFFFF"/>
        </w:rPr>
      </w:pPr>
    </w:p>
    <w:p w14:paraId="71F78ED1" w14:textId="77777777" w:rsidR="00A7247D" w:rsidRPr="00073A28" w:rsidRDefault="00A7247D" w:rsidP="00A7247D">
      <w:pPr>
        <w:widowControl w:val="0"/>
        <w:autoSpaceDE w:val="0"/>
        <w:autoSpaceDN w:val="0"/>
        <w:spacing w:after="0" w:line="276" w:lineRule="auto"/>
        <w:jc w:val="both"/>
        <w:rPr>
          <w:rFonts w:ascii="Verdana" w:hAnsi="Verdana"/>
        </w:rPr>
      </w:pPr>
      <w:r w:rsidRPr="00073A28">
        <w:rPr>
          <w:rFonts w:ascii="Verdana" w:hAnsi="Verdana" w:cs="Arial"/>
          <w:color w:val="000000" w:themeColor="text1"/>
          <w:shd w:val="clear" w:color="auto" w:fill="FFFFFF"/>
        </w:rPr>
        <w:t xml:space="preserve">También, te contamos que ya publicamos la nueva </w:t>
      </w:r>
      <w:r w:rsidRPr="00073A28">
        <w:rPr>
          <w:rFonts w:ascii="Verdana" w:hAnsi="Verdana" w:cs="Arial"/>
          <w:b/>
          <w:bCs/>
          <w:color w:val="000000" w:themeColor="text1"/>
          <w:shd w:val="clear" w:color="auto" w:fill="FFFFFF"/>
        </w:rPr>
        <w:t>Guía de Contratación Pública Sostenible y Socialmente Responsable</w:t>
      </w:r>
      <w:r w:rsidRPr="00073A28">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073A28">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073A28">
        <w:rPr>
          <w:rFonts w:ascii="Verdana" w:hAnsi="Verdana"/>
        </w:rPr>
        <w:t>.</w:t>
      </w:r>
    </w:p>
    <w:p w14:paraId="412EDD30" w14:textId="77777777" w:rsidR="00A7247D" w:rsidRPr="00073A28" w:rsidRDefault="00A7247D" w:rsidP="00A7247D">
      <w:pPr>
        <w:widowControl w:val="0"/>
        <w:autoSpaceDE w:val="0"/>
        <w:autoSpaceDN w:val="0"/>
        <w:spacing w:after="0" w:line="276" w:lineRule="auto"/>
        <w:jc w:val="both"/>
        <w:rPr>
          <w:rFonts w:ascii="Verdana" w:hAnsi="Verdana"/>
        </w:rPr>
      </w:pPr>
    </w:p>
    <w:p w14:paraId="3DE85E9E" w14:textId="77777777" w:rsidR="00A7247D" w:rsidRPr="00073A28" w:rsidRDefault="00A7247D" w:rsidP="00A7247D">
      <w:pPr>
        <w:widowControl w:val="0"/>
        <w:autoSpaceDE w:val="0"/>
        <w:autoSpaceDN w:val="0"/>
        <w:spacing w:after="0" w:line="276" w:lineRule="auto"/>
        <w:jc w:val="both"/>
        <w:rPr>
          <w:rFonts w:ascii="Verdana" w:hAnsi="Verdana" w:cs="Arial"/>
          <w:lang w:val="es-ES_tradnl"/>
        </w:rPr>
      </w:pPr>
      <w:r w:rsidRPr="00073A28">
        <w:rPr>
          <w:rFonts w:ascii="Verdana" w:hAnsi="Verdana" w:cs="Arial"/>
        </w:rPr>
        <w:t xml:space="preserve">Este concepto tiene el alcance previsto en el artículo 28 del Código de Procedimiento Administrativo y de lo Contencioso Administrativo </w:t>
      </w:r>
      <w:r w:rsidRPr="00073A28">
        <w:rPr>
          <w:rFonts w:ascii="Verdana" w:hAnsi="Verdana" w:cs="Arial"/>
          <w:lang w:val="es-ES_tradnl"/>
        </w:rPr>
        <w:t>y las expresiones aquí utilizadas con mayúscula inicial deben ser entendidas con el significado que les otorga el artículo 2.2.1.1.1.3.1. del Decreto 1082 de 2015.</w:t>
      </w:r>
    </w:p>
    <w:p w14:paraId="1682A79F" w14:textId="77777777" w:rsidR="00A7247D" w:rsidRPr="00073A28" w:rsidRDefault="00A7247D" w:rsidP="00A7247D">
      <w:pPr>
        <w:spacing w:after="0" w:line="276" w:lineRule="auto"/>
        <w:jc w:val="both"/>
        <w:rPr>
          <w:rFonts w:ascii="Verdana" w:eastAsia="Times New Roman" w:hAnsi="Verdana" w:cs="Arial"/>
          <w:lang w:eastAsia="es-CO"/>
        </w:rPr>
      </w:pPr>
    </w:p>
    <w:p w14:paraId="2D653888" w14:textId="77777777" w:rsidR="00A7247D" w:rsidRPr="00073A28" w:rsidRDefault="00A7247D" w:rsidP="00A7247D">
      <w:pPr>
        <w:spacing w:after="0" w:line="276" w:lineRule="auto"/>
        <w:jc w:val="both"/>
        <w:rPr>
          <w:rFonts w:ascii="Verdana" w:hAnsi="Verdana"/>
          <w:noProof/>
        </w:rPr>
      </w:pPr>
      <w:r w:rsidRPr="00073A28">
        <w:rPr>
          <w:rFonts w:ascii="Verdana" w:eastAsia="Times New Roman" w:hAnsi="Verdana" w:cs="Arial"/>
          <w:lang w:eastAsia="es-CO"/>
        </w:rPr>
        <w:t>Atentamente,</w:t>
      </w:r>
      <w:r w:rsidRPr="00073A28">
        <w:rPr>
          <w:rFonts w:ascii="Verdana" w:hAnsi="Verdana" w:cs="Arial"/>
          <w:lang w:eastAsia="es-CO"/>
        </w:rPr>
        <w:t xml:space="preserve"> </w:t>
      </w:r>
    </w:p>
    <w:p w14:paraId="1F3694F9" w14:textId="49DC4DA0" w:rsidR="00A7247D" w:rsidRPr="00073A28" w:rsidRDefault="00F67016" w:rsidP="00A7247D">
      <w:pPr>
        <w:spacing w:line="276" w:lineRule="auto"/>
        <w:jc w:val="center"/>
        <w:rPr>
          <w:rFonts w:ascii="Verdana" w:hAnsi="Verdana"/>
        </w:rPr>
      </w:pPr>
      <w:r>
        <w:rPr>
          <w:rFonts w:ascii="Verdana" w:hAnsi="Verdana"/>
          <w:noProof/>
        </w:rPr>
        <w:drawing>
          <wp:inline distT="0" distB="0" distL="0" distR="0" wp14:anchorId="239AD4E9" wp14:editId="03708D80">
            <wp:extent cx="3639058" cy="1343212"/>
            <wp:effectExtent l="0" t="0" r="0" b="0"/>
            <wp:docPr id="36915912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159120"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A7247D" w:rsidRPr="004B0DF3" w14:paraId="18F4379F" w14:textId="77777777" w:rsidTr="004C6484">
        <w:trPr>
          <w:trHeight w:val="315"/>
        </w:trPr>
        <w:tc>
          <w:tcPr>
            <w:tcW w:w="893" w:type="dxa"/>
            <w:vAlign w:val="center"/>
            <w:hideMark/>
          </w:tcPr>
          <w:p w14:paraId="0BFDC696" w14:textId="77777777" w:rsidR="00A7247D" w:rsidRPr="004B0DF3" w:rsidRDefault="00A7247D" w:rsidP="0086494C">
            <w:pPr>
              <w:contextualSpacing/>
              <w:jc w:val="both"/>
              <w:rPr>
                <w:rFonts w:ascii="Verdana" w:hAnsi="Verdana" w:cs="Arial"/>
                <w:sz w:val="16"/>
                <w:szCs w:val="16"/>
                <w:lang w:eastAsia="es-ES"/>
              </w:rPr>
            </w:pPr>
            <w:bookmarkStart w:id="0" w:name="_Hlk210670112"/>
            <w:r w:rsidRPr="004B0DF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21B82FD3" w14:textId="77777777" w:rsidR="00A7247D" w:rsidRPr="004B0DF3" w:rsidRDefault="00A7247D" w:rsidP="0086494C">
            <w:pPr>
              <w:contextualSpacing/>
              <w:jc w:val="both"/>
              <w:rPr>
                <w:rFonts w:ascii="Verdana" w:hAnsi="Verdana"/>
                <w:sz w:val="16"/>
                <w:szCs w:val="16"/>
              </w:rPr>
            </w:pPr>
            <w:r w:rsidRPr="004B0DF3">
              <w:rPr>
                <w:rFonts w:ascii="Verdana" w:hAnsi="Verdana"/>
                <w:sz w:val="16"/>
                <w:szCs w:val="16"/>
              </w:rPr>
              <w:t>Gloria Elizabeth Arango Builes</w:t>
            </w:r>
          </w:p>
          <w:p w14:paraId="320F887F" w14:textId="77777777" w:rsidR="00A7247D" w:rsidRPr="004B0DF3" w:rsidRDefault="00A7247D" w:rsidP="0086494C">
            <w:pPr>
              <w:contextualSpacing/>
              <w:jc w:val="both"/>
              <w:rPr>
                <w:rFonts w:ascii="Verdana" w:eastAsia="Arial" w:hAnsi="Verdana" w:cs="Arial"/>
                <w:sz w:val="16"/>
                <w:szCs w:val="16"/>
              </w:rPr>
            </w:pPr>
            <w:r w:rsidRPr="004B0DF3">
              <w:rPr>
                <w:rFonts w:ascii="Verdana" w:hAnsi="Verdana"/>
                <w:sz w:val="16"/>
                <w:szCs w:val="16"/>
              </w:rPr>
              <w:t>Contratista de la Subdirección de Gestión Contractual</w:t>
            </w:r>
          </w:p>
        </w:tc>
      </w:tr>
      <w:tr w:rsidR="00A7247D" w:rsidRPr="004B0DF3" w14:paraId="1DDA2C66" w14:textId="77777777" w:rsidTr="004C6484">
        <w:trPr>
          <w:trHeight w:val="330"/>
        </w:trPr>
        <w:tc>
          <w:tcPr>
            <w:tcW w:w="893" w:type="dxa"/>
            <w:vAlign w:val="center"/>
            <w:hideMark/>
          </w:tcPr>
          <w:p w14:paraId="6C068D2D" w14:textId="77777777" w:rsidR="00A7247D" w:rsidRPr="004B0DF3" w:rsidRDefault="00A7247D" w:rsidP="0086494C">
            <w:pPr>
              <w:contextualSpacing/>
              <w:jc w:val="both"/>
              <w:rPr>
                <w:rFonts w:ascii="Verdana" w:hAnsi="Verdana" w:cs="Arial"/>
                <w:sz w:val="16"/>
                <w:szCs w:val="16"/>
                <w:lang w:eastAsia="es-ES"/>
              </w:rPr>
            </w:pPr>
            <w:r w:rsidRPr="004B0DF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262DCF3" w14:textId="77777777" w:rsidR="00A7247D" w:rsidRPr="004B0DF3" w:rsidRDefault="00A7247D" w:rsidP="0086494C">
            <w:pPr>
              <w:spacing w:line="276" w:lineRule="auto"/>
              <w:contextualSpacing/>
              <w:jc w:val="both"/>
              <w:rPr>
                <w:rFonts w:ascii="Verdana" w:hAnsi="Verdana"/>
                <w:sz w:val="16"/>
                <w:szCs w:val="16"/>
              </w:rPr>
            </w:pPr>
            <w:r w:rsidRPr="004B0DF3">
              <w:rPr>
                <w:rFonts w:ascii="Verdana" w:hAnsi="Verdana"/>
                <w:sz w:val="16"/>
                <w:szCs w:val="16"/>
              </w:rPr>
              <w:t>Diana Lucía Saavedra Castañeda</w:t>
            </w:r>
          </w:p>
          <w:p w14:paraId="35C33BCE" w14:textId="77777777" w:rsidR="00A7247D" w:rsidRPr="004B0DF3" w:rsidRDefault="00A7247D" w:rsidP="0086494C">
            <w:pPr>
              <w:spacing w:line="276" w:lineRule="auto"/>
              <w:contextualSpacing/>
              <w:jc w:val="both"/>
              <w:rPr>
                <w:rFonts w:ascii="Verdana" w:hAnsi="Verdana" w:cstheme="minorHAnsi"/>
                <w:sz w:val="16"/>
                <w:szCs w:val="16"/>
              </w:rPr>
            </w:pPr>
            <w:r w:rsidRPr="004B0DF3">
              <w:rPr>
                <w:rStyle w:val="normaltextrun"/>
                <w:rFonts w:ascii="Verdana" w:eastAsia="Arial" w:hAnsi="Verdana"/>
                <w:sz w:val="16"/>
                <w:szCs w:val="16"/>
              </w:rPr>
              <w:t>Contratita de la</w:t>
            </w:r>
            <w:r w:rsidRPr="004B0DF3">
              <w:rPr>
                <w:rStyle w:val="normaltextrun"/>
                <w:rFonts w:ascii="Verdana" w:eastAsia="Arial" w:hAnsi="Verdana" w:cs="Arial"/>
                <w:sz w:val="16"/>
                <w:szCs w:val="16"/>
              </w:rPr>
              <w:t xml:space="preserve"> Subdirección de Gestión Contractual</w:t>
            </w:r>
          </w:p>
        </w:tc>
      </w:tr>
      <w:tr w:rsidR="00A7247D" w:rsidRPr="004B0DF3" w14:paraId="6B1A4E41" w14:textId="77777777" w:rsidTr="004C6484">
        <w:trPr>
          <w:trHeight w:val="330"/>
        </w:trPr>
        <w:tc>
          <w:tcPr>
            <w:tcW w:w="893" w:type="dxa"/>
            <w:vAlign w:val="center"/>
          </w:tcPr>
          <w:p w14:paraId="55E6015F" w14:textId="77777777" w:rsidR="00A7247D" w:rsidRPr="004B0DF3" w:rsidRDefault="00A7247D" w:rsidP="0086494C">
            <w:pPr>
              <w:contextualSpacing/>
              <w:jc w:val="both"/>
              <w:rPr>
                <w:rFonts w:ascii="Verdana" w:hAnsi="Verdana" w:cs="Arial"/>
                <w:sz w:val="16"/>
                <w:szCs w:val="16"/>
                <w:lang w:eastAsia="es-ES"/>
              </w:rPr>
            </w:pPr>
            <w:r w:rsidRPr="004B0DF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CF7BD1" w14:textId="77777777" w:rsidR="00A7247D" w:rsidRPr="004B0DF3" w:rsidRDefault="00A7247D" w:rsidP="0086494C">
            <w:pPr>
              <w:contextualSpacing/>
              <w:jc w:val="both"/>
              <w:rPr>
                <w:rFonts w:ascii="Verdana" w:eastAsia="Calibri" w:hAnsi="Verdana" w:cs="Arial"/>
                <w:sz w:val="16"/>
                <w:szCs w:val="16"/>
                <w:lang w:eastAsia="es-ES"/>
              </w:rPr>
            </w:pPr>
            <w:r w:rsidRPr="004B0DF3">
              <w:rPr>
                <w:rFonts w:ascii="Verdana" w:eastAsia="Calibri" w:hAnsi="Verdana" w:cs="Arial"/>
                <w:sz w:val="16"/>
                <w:szCs w:val="16"/>
                <w:lang w:eastAsia="es-ES"/>
              </w:rPr>
              <w:t xml:space="preserve">Carolina Quintero </w:t>
            </w:r>
            <w:proofErr w:type="spellStart"/>
            <w:r w:rsidRPr="004B0DF3">
              <w:rPr>
                <w:rFonts w:ascii="Verdana" w:eastAsia="Calibri" w:hAnsi="Verdana" w:cs="Arial"/>
                <w:sz w:val="16"/>
                <w:szCs w:val="16"/>
                <w:lang w:eastAsia="es-ES"/>
              </w:rPr>
              <w:t>Gacharná</w:t>
            </w:r>
            <w:proofErr w:type="spellEnd"/>
          </w:p>
          <w:p w14:paraId="79CDE6C0" w14:textId="77777777" w:rsidR="00A7247D" w:rsidRPr="004B0DF3" w:rsidRDefault="00A7247D" w:rsidP="0086494C">
            <w:pPr>
              <w:spacing w:line="276" w:lineRule="auto"/>
              <w:contextualSpacing/>
              <w:jc w:val="both"/>
              <w:rPr>
                <w:rFonts w:ascii="Verdana" w:hAnsi="Verdana"/>
                <w:sz w:val="16"/>
                <w:szCs w:val="16"/>
              </w:rPr>
            </w:pPr>
            <w:r w:rsidRPr="004B0DF3">
              <w:rPr>
                <w:rFonts w:ascii="Verdana" w:eastAsia="Calibri" w:hAnsi="Verdana" w:cs="Arial"/>
                <w:sz w:val="16"/>
                <w:szCs w:val="16"/>
                <w:lang w:eastAsia="es-ES"/>
              </w:rPr>
              <w:t xml:space="preserve">Subdirectora de Gestión </w:t>
            </w:r>
            <w:proofErr w:type="spellStart"/>
            <w:r w:rsidRPr="004B0DF3">
              <w:rPr>
                <w:rFonts w:ascii="Verdana" w:eastAsia="Calibri" w:hAnsi="Verdana" w:cs="Arial"/>
                <w:sz w:val="16"/>
                <w:szCs w:val="16"/>
                <w:lang w:eastAsia="es-ES"/>
              </w:rPr>
              <w:t>Contratual</w:t>
            </w:r>
            <w:proofErr w:type="spellEnd"/>
            <w:r w:rsidRPr="004B0DF3">
              <w:rPr>
                <w:rFonts w:ascii="Verdana" w:eastAsia="Calibri" w:hAnsi="Verdana" w:cs="Arial"/>
                <w:sz w:val="16"/>
                <w:szCs w:val="16"/>
                <w:lang w:eastAsia="es-ES"/>
              </w:rPr>
              <w:t xml:space="preserve"> - ANCP – CCE</w:t>
            </w:r>
          </w:p>
        </w:tc>
      </w:tr>
      <w:bookmarkEnd w:id="0"/>
    </w:tbl>
    <w:p w14:paraId="6B391337" w14:textId="77777777" w:rsidR="00A7247D" w:rsidRPr="00073A28" w:rsidRDefault="00A7247D" w:rsidP="00A7247D">
      <w:pPr>
        <w:jc w:val="both"/>
        <w:rPr>
          <w:rFonts w:ascii="Verdana" w:hAnsi="Verdana"/>
        </w:rPr>
      </w:pPr>
    </w:p>
    <w:p w14:paraId="5278C091" w14:textId="77777777" w:rsidR="00A7247D" w:rsidRPr="00073A28" w:rsidRDefault="00A7247D" w:rsidP="00A7247D">
      <w:pPr>
        <w:jc w:val="both"/>
        <w:rPr>
          <w:rFonts w:ascii="Verdana" w:hAnsi="Verdana"/>
        </w:rPr>
      </w:pPr>
    </w:p>
    <w:p w14:paraId="7D80521D" w14:textId="77777777" w:rsidR="00A7247D" w:rsidRPr="00073A28" w:rsidRDefault="00A7247D" w:rsidP="00A7247D">
      <w:pPr>
        <w:jc w:val="both"/>
        <w:rPr>
          <w:rFonts w:ascii="Verdana" w:hAnsi="Verdana"/>
        </w:rPr>
      </w:pPr>
    </w:p>
    <w:p w14:paraId="0F293BF4" w14:textId="4983BB1F" w:rsidR="00127233" w:rsidRPr="00A7247D" w:rsidRDefault="00127233" w:rsidP="00A7247D"/>
    <w:sectPr w:rsidR="00127233" w:rsidRPr="00A7247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E6B7A8" w14:textId="77777777" w:rsidR="00837ED2" w:rsidRDefault="00837ED2" w:rsidP="004A1847">
      <w:pPr>
        <w:spacing w:after="0" w:line="240" w:lineRule="auto"/>
      </w:pPr>
      <w:r>
        <w:separator/>
      </w:r>
    </w:p>
  </w:endnote>
  <w:endnote w:type="continuationSeparator" w:id="0">
    <w:p w14:paraId="5CB2252D" w14:textId="77777777" w:rsidR="00837ED2" w:rsidRDefault="00837ED2" w:rsidP="004A1847">
      <w:pPr>
        <w:spacing w:after="0" w:line="240" w:lineRule="auto"/>
      </w:pPr>
      <w:r>
        <w:continuationSeparator/>
      </w:r>
    </w:p>
  </w:endnote>
  <w:endnote w:type="continuationNotice" w:id="1">
    <w:p w14:paraId="441A2F47" w14:textId="77777777" w:rsidR="00837ED2" w:rsidRDefault="00837E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6AD14" w14:textId="77777777" w:rsidR="00837ED2" w:rsidRDefault="00837ED2" w:rsidP="004A1847">
      <w:pPr>
        <w:spacing w:after="0" w:line="240" w:lineRule="auto"/>
      </w:pPr>
      <w:r>
        <w:separator/>
      </w:r>
    </w:p>
  </w:footnote>
  <w:footnote w:type="continuationSeparator" w:id="0">
    <w:p w14:paraId="32FED531" w14:textId="77777777" w:rsidR="00837ED2" w:rsidRDefault="00837ED2" w:rsidP="004A1847">
      <w:pPr>
        <w:spacing w:after="0" w:line="240" w:lineRule="auto"/>
      </w:pPr>
      <w:r>
        <w:continuationSeparator/>
      </w:r>
    </w:p>
  </w:footnote>
  <w:footnote w:type="continuationNotice" w:id="1">
    <w:p w14:paraId="057F98A3" w14:textId="77777777" w:rsidR="00837ED2" w:rsidRDefault="00837ED2">
      <w:pPr>
        <w:spacing w:after="0" w:line="240" w:lineRule="auto"/>
      </w:pPr>
    </w:p>
  </w:footnote>
  <w:footnote w:id="2">
    <w:p w14:paraId="7AFDBB6E" w14:textId="77777777" w:rsidR="00A7247D" w:rsidRPr="0041256A" w:rsidRDefault="00A7247D" w:rsidP="00A7247D">
      <w:pPr>
        <w:ind w:firstLine="709"/>
        <w:jc w:val="both"/>
        <w:rPr>
          <w:rFonts w:ascii="Geomanist Light" w:hAnsi="Geomanist Light" w:cs="Arial"/>
          <w:sz w:val="16"/>
          <w:szCs w:val="16"/>
        </w:rPr>
      </w:pPr>
    </w:p>
  </w:footnote>
  <w:footnote w:id="3">
    <w:p w14:paraId="730C5295" w14:textId="77777777" w:rsidR="00A7247D" w:rsidRPr="009C59B0" w:rsidRDefault="00A7247D" w:rsidP="00A7247D">
      <w:pPr>
        <w:pStyle w:val="Textonotapie"/>
        <w:ind w:firstLine="708"/>
        <w:jc w:val="both"/>
        <w:rPr>
          <w:rFonts w:ascii="Verdana" w:hAnsi="Verdana" w:cs="Arial"/>
          <w:sz w:val="14"/>
          <w:szCs w:val="14"/>
        </w:rPr>
      </w:pPr>
      <w:r w:rsidRPr="009C59B0">
        <w:rPr>
          <w:rStyle w:val="Refdenotaalpie"/>
          <w:rFonts w:ascii="Verdana" w:hAnsi="Verdana" w:cs="Arial"/>
          <w:sz w:val="14"/>
          <w:szCs w:val="14"/>
        </w:rPr>
        <w:footnoteRef/>
      </w:r>
      <w:r w:rsidRPr="009C59B0">
        <w:rPr>
          <w:rFonts w:ascii="Verdana" w:hAnsi="Verdana" w:cs="Arial"/>
          <w:sz w:val="14"/>
          <w:szCs w:val="14"/>
        </w:rPr>
        <w:t xml:space="preserve"> </w:t>
      </w:r>
      <w:r w:rsidRPr="009C59B0">
        <w:rPr>
          <w:rFonts w:ascii="Verdana" w:hAnsi="Verdana" w:cs="Arial"/>
          <w:spacing w:val="-2"/>
          <w:sz w:val="14"/>
          <w:szCs w:val="14"/>
          <w:lang w:val="es-CO"/>
        </w:rPr>
        <w:t xml:space="preserve">Corte Constitucional, Sentencia C-449 de 1992, y Consejo de Estado, Sala de lo Contencioso Administrativo, Sección Tercera, </w:t>
      </w:r>
      <w:r w:rsidRPr="009C59B0">
        <w:rPr>
          <w:rFonts w:ascii="Verdana" w:hAnsi="Verdana" w:cs="Arial"/>
          <w:sz w:val="14"/>
          <w:szCs w:val="14"/>
        </w:rPr>
        <w:t>Sentencia del 3 de diciembre de 2007, expedientes acumulados: (25206, 25409, 24524, 27834, 25410, 26105, 28244, 31447).</w:t>
      </w:r>
    </w:p>
    <w:p w14:paraId="3AC9266D" w14:textId="77777777" w:rsidR="00A7247D" w:rsidRPr="009C59B0" w:rsidRDefault="00A7247D" w:rsidP="00A7247D">
      <w:pPr>
        <w:pStyle w:val="Textonotapie"/>
        <w:ind w:firstLine="708"/>
        <w:jc w:val="both"/>
        <w:rPr>
          <w:rFonts w:ascii="Verdana" w:hAnsi="Verdana" w:cs="Arial"/>
          <w:sz w:val="14"/>
          <w:szCs w:val="14"/>
        </w:rPr>
      </w:pPr>
    </w:p>
  </w:footnote>
  <w:footnote w:id="4">
    <w:p w14:paraId="51D3E6A8" w14:textId="77777777" w:rsidR="00A7247D" w:rsidRPr="009C59B0" w:rsidRDefault="00A7247D" w:rsidP="00A7247D">
      <w:pPr>
        <w:pStyle w:val="Textonotapie"/>
        <w:ind w:firstLine="708"/>
        <w:jc w:val="both"/>
        <w:rPr>
          <w:rFonts w:ascii="Verdana" w:hAnsi="Verdana" w:cs="Arial"/>
          <w:sz w:val="14"/>
          <w:szCs w:val="14"/>
        </w:rPr>
      </w:pPr>
      <w:r w:rsidRPr="009C59B0">
        <w:rPr>
          <w:rStyle w:val="Refdenotaalpie"/>
          <w:rFonts w:ascii="Verdana" w:hAnsi="Verdana" w:cs="Arial"/>
          <w:sz w:val="14"/>
          <w:szCs w:val="14"/>
        </w:rPr>
        <w:footnoteRef/>
      </w:r>
      <w:r w:rsidRPr="009C59B0">
        <w:rPr>
          <w:rFonts w:ascii="Verdana" w:hAnsi="Verdana" w:cs="Arial"/>
          <w:sz w:val="14"/>
          <w:szCs w:val="14"/>
        </w:rPr>
        <w:t xml:space="preserve"> DÁVILA VINUEZA. Luis Guillermo. Régimen jurídico de la contratación estatal. 3ª ed. Bogotá: Temis, 2016. p. 494.</w:t>
      </w:r>
    </w:p>
    <w:p w14:paraId="4944AAAD" w14:textId="77777777" w:rsidR="00A7247D" w:rsidRPr="009C59B0" w:rsidRDefault="00A7247D" w:rsidP="00A7247D">
      <w:pPr>
        <w:pStyle w:val="Textonotapie"/>
        <w:ind w:firstLine="708"/>
        <w:jc w:val="both"/>
        <w:rPr>
          <w:rFonts w:ascii="Verdana" w:hAnsi="Verdana" w:cs="Arial"/>
          <w:sz w:val="14"/>
          <w:szCs w:val="14"/>
        </w:rPr>
      </w:pPr>
    </w:p>
  </w:footnote>
  <w:footnote w:id="5">
    <w:p w14:paraId="6A547B0C" w14:textId="77777777" w:rsidR="00A7247D" w:rsidRPr="009C59B0" w:rsidRDefault="00A7247D" w:rsidP="00A7247D">
      <w:pPr>
        <w:pStyle w:val="Textonotapie"/>
        <w:ind w:firstLine="709"/>
        <w:jc w:val="both"/>
        <w:rPr>
          <w:rFonts w:ascii="Verdana" w:hAnsi="Verdana" w:cs="Arial"/>
          <w:color w:val="000000"/>
          <w:sz w:val="14"/>
          <w:szCs w:val="14"/>
        </w:rPr>
      </w:pPr>
      <w:r w:rsidRPr="009C59B0">
        <w:rPr>
          <w:rStyle w:val="Refdenotaalpie"/>
          <w:rFonts w:ascii="Verdana" w:hAnsi="Verdana" w:cs="Arial"/>
          <w:color w:val="000000"/>
          <w:sz w:val="14"/>
          <w:szCs w:val="14"/>
        </w:rPr>
        <w:footnoteRef/>
      </w:r>
      <w:r w:rsidRPr="009C59B0">
        <w:rPr>
          <w:rFonts w:ascii="Verdana" w:hAnsi="Verdana" w:cs="Arial"/>
          <w:color w:val="000000"/>
          <w:sz w:val="14"/>
          <w:szCs w:val="14"/>
        </w:rPr>
        <w:t xml:space="preserve"> Decreto 1082 de 2015: «Artículo 2.2.1.2.1.4.4. Convenios o contratos interadministrativos. La modalidad de selección para la contratación entre Entidades Estatales es la contratación directa; </w:t>
      </w:r>
      <w:proofErr w:type="gramStart"/>
      <w:r w:rsidRPr="009C59B0">
        <w:rPr>
          <w:rFonts w:ascii="Verdana" w:hAnsi="Verdana" w:cs="Arial"/>
          <w:color w:val="000000"/>
          <w:sz w:val="14"/>
          <w:szCs w:val="14"/>
        </w:rPr>
        <w:t>y</w:t>
      </w:r>
      <w:proofErr w:type="gramEnd"/>
      <w:r w:rsidRPr="009C59B0">
        <w:rPr>
          <w:rFonts w:ascii="Verdana" w:hAnsi="Verdana" w:cs="Arial"/>
          <w:color w:val="000000"/>
          <w:sz w:val="14"/>
          <w:szCs w:val="14"/>
        </w:rPr>
        <w:t xml:space="preserve"> en consecuencia, le es aplicable lo establecido en el artículo 2.2.1.2.1.4.1 del presente decreto.</w:t>
      </w:r>
    </w:p>
    <w:p w14:paraId="46017126" w14:textId="77777777" w:rsidR="00A7247D" w:rsidRPr="009C59B0" w:rsidRDefault="00A7247D" w:rsidP="00A7247D">
      <w:pPr>
        <w:pStyle w:val="Textonotapie"/>
        <w:ind w:firstLine="709"/>
        <w:jc w:val="both"/>
        <w:rPr>
          <w:rFonts w:ascii="Verdana" w:hAnsi="Verdana" w:cs="Arial"/>
          <w:color w:val="000000"/>
          <w:sz w:val="14"/>
          <w:szCs w:val="14"/>
        </w:rPr>
      </w:pPr>
      <w:proofErr w:type="gramStart"/>
      <w:r w:rsidRPr="009C59B0">
        <w:rPr>
          <w:rFonts w:ascii="Verdana" w:hAnsi="Verdana" w:cs="Arial"/>
          <w:color w:val="000000"/>
          <w:sz w:val="14"/>
          <w:szCs w:val="14"/>
        </w:rPr>
        <w:t>»Cuando</w:t>
      </w:r>
      <w:proofErr w:type="gramEnd"/>
      <w:r w:rsidRPr="009C59B0">
        <w:rPr>
          <w:rFonts w:ascii="Verdana" w:hAnsi="Verdana" w:cs="Arial"/>
          <w:color w:val="000000"/>
          <w:sz w:val="14"/>
          <w:szCs w:val="14"/>
        </w:rPr>
        <w:t xml:space="preserve">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p w14:paraId="405E86F6" w14:textId="77777777" w:rsidR="00A7247D" w:rsidRPr="009C59B0" w:rsidRDefault="00A7247D" w:rsidP="00A7247D">
      <w:pPr>
        <w:pStyle w:val="Textonotapie"/>
        <w:ind w:firstLine="709"/>
        <w:jc w:val="both"/>
        <w:rPr>
          <w:rFonts w:ascii="Verdana" w:hAnsi="Verdana" w:cs="Arial"/>
          <w:color w:val="000000"/>
          <w:sz w:val="14"/>
          <w:szCs w:val="14"/>
        </w:rPr>
      </w:pPr>
    </w:p>
  </w:footnote>
  <w:footnote w:id="6">
    <w:p w14:paraId="056C6223" w14:textId="77777777" w:rsidR="00A7247D" w:rsidRPr="009C59B0" w:rsidRDefault="00A7247D" w:rsidP="00A7247D">
      <w:pPr>
        <w:ind w:firstLine="709"/>
        <w:jc w:val="both"/>
        <w:rPr>
          <w:rFonts w:ascii="Verdana" w:hAnsi="Verdana" w:cs="Arial"/>
          <w:color w:val="000000"/>
          <w:sz w:val="14"/>
          <w:szCs w:val="14"/>
        </w:rPr>
      </w:pPr>
      <w:r w:rsidRPr="009C59B0">
        <w:rPr>
          <w:rStyle w:val="Refdenotaalpie"/>
          <w:rFonts w:ascii="Verdana" w:hAnsi="Verdana" w:cs="Arial"/>
          <w:color w:val="000000"/>
          <w:sz w:val="14"/>
          <w:szCs w:val="14"/>
        </w:rPr>
        <w:footnoteRef/>
      </w:r>
      <w:r w:rsidRPr="009C59B0">
        <w:rPr>
          <w:rStyle w:val="Refdenotaalpie"/>
          <w:rFonts w:ascii="Verdana" w:hAnsi="Verdana" w:cs="Arial"/>
          <w:color w:val="000000"/>
          <w:sz w:val="14"/>
          <w:szCs w:val="14"/>
        </w:rPr>
        <w:t xml:space="preserve"> </w:t>
      </w:r>
      <w:r w:rsidRPr="009C59B0">
        <w:rPr>
          <w:rFonts w:ascii="Verdana" w:hAnsi="Verdana" w:cs="Arial"/>
          <w:color w:val="000000"/>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7">
    <w:p w14:paraId="29FD993B" w14:textId="77777777" w:rsidR="00A7247D" w:rsidRPr="009C59B0" w:rsidRDefault="00A7247D" w:rsidP="00A7247D">
      <w:pPr>
        <w:pStyle w:val="Textonotapie"/>
        <w:ind w:firstLine="709"/>
        <w:jc w:val="both"/>
        <w:rPr>
          <w:rFonts w:ascii="Verdana" w:hAnsi="Verdana" w:cs="Arial"/>
          <w:color w:val="000000"/>
          <w:sz w:val="14"/>
          <w:szCs w:val="14"/>
        </w:rPr>
      </w:pPr>
      <w:r w:rsidRPr="009C59B0">
        <w:rPr>
          <w:rStyle w:val="Refdenotaalpie"/>
          <w:rFonts w:ascii="Verdana" w:hAnsi="Verdana" w:cs="Arial"/>
          <w:color w:val="000000"/>
          <w:sz w:val="14"/>
          <w:szCs w:val="14"/>
        </w:rPr>
        <w:footnoteRef/>
      </w:r>
      <w:r w:rsidRPr="009C59B0">
        <w:rPr>
          <w:rFonts w:ascii="Verdana" w:hAnsi="Verdana" w:cs="Arial"/>
          <w:color w:val="000000"/>
          <w:sz w:val="14"/>
          <w:szCs w:val="14"/>
        </w:rPr>
        <w:t xml:space="preserve"> Ley 80 de 1993: «Artículo 41. Del perfeccionamiento del contrato. Los contratos del Estado se perfeccionan cuando se logre acuerdo sobre el objeto y la contraprestación y éste se eleve a escrito.</w:t>
      </w:r>
    </w:p>
    <w:p w14:paraId="00EC2EF9" w14:textId="77777777" w:rsidR="00A7247D" w:rsidRPr="009C59B0" w:rsidRDefault="00A7247D" w:rsidP="00A7247D">
      <w:pPr>
        <w:pStyle w:val="Textonotapie"/>
        <w:ind w:firstLine="709"/>
        <w:jc w:val="both"/>
        <w:rPr>
          <w:rFonts w:ascii="Verdana" w:hAnsi="Verdana" w:cs="Arial"/>
          <w:color w:val="000000"/>
          <w:sz w:val="14"/>
          <w:szCs w:val="14"/>
        </w:rPr>
      </w:pPr>
      <w:r w:rsidRPr="009C59B0">
        <w:rPr>
          <w:rFonts w:ascii="Verdana" w:hAnsi="Verdana" w:cs="Arial"/>
          <w:color w:val="000000"/>
          <w:sz w:val="14"/>
          <w:szCs w:val="14"/>
        </w:rPr>
        <w:t>[…]».</w:t>
      </w:r>
    </w:p>
    <w:p w14:paraId="7FD2C551" w14:textId="77777777" w:rsidR="00A7247D" w:rsidRPr="009C59B0" w:rsidRDefault="00A7247D" w:rsidP="00A7247D">
      <w:pPr>
        <w:pStyle w:val="Textonotapie"/>
        <w:ind w:firstLine="709"/>
        <w:jc w:val="both"/>
        <w:rPr>
          <w:rFonts w:ascii="Verdana" w:hAnsi="Verdana" w:cs="Arial"/>
          <w:color w:val="000000"/>
          <w:sz w:val="14"/>
          <w:szCs w:val="14"/>
          <w:lang w:val="es-ES"/>
        </w:rPr>
      </w:pPr>
    </w:p>
  </w:footnote>
  <w:footnote w:id="8">
    <w:p w14:paraId="53E8C3D7" w14:textId="77777777" w:rsidR="00A7247D" w:rsidRPr="009C59B0" w:rsidRDefault="00A7247D" w:rsidP="00A7247D">
      <w:pPr>
        <w:pStyle w:val="Textonotapie"/>
        <w:ind w:firstLine="709"/>
        <w:jc w:val="both"/>
        <w:rPr>
          <w:rFonts w:ascii="Verdana" w:hAnsi="Verdana" w:cs="Arial"/>
          <w:color w:val="000000"/>
          <w:sz w:val="14"/>
          <w:szCs w:val="14"/>
        </w:rPr>
      </w:pPr>
      <w:r w:rsidRPr="009C59B0">
        <w:rPr>
          <w:rStyle w:val="Refdenotaalpie"/>
          <w:rFonts w:ascii="Verdana" w:hAnsi="Verdana" w:cs="Arial"/>
          <w:color w:val="000000"/>
          <w:sz w:val="14"/>
          <w:szCs w:val="14"/>
        </w:rPr>
        <w:footnoteRef/>
      </w:r>
      <w:r w:rsidRPr="009C59B0">
        <w:rPr>
          <w:rFonts w:ascii="Verdana" w:hAnsi="Verdana" w:cs="Arial"/>
          <w:color w:val="000000"/>
          <w:sz w:val="14"/>
          <w:szCs w:val="14"/>
        </w:rPr>
        <w:t xml:space="preserve"> Código Civil: «Artículo 27. Cuando el sentido de la ley sea claro, no se desatenderá su tenor a pretexto de consultar su espíritu».</w:t>
      </w:r>
    </w:p>
  </w:footnote>
  <w:footnote w:id="9">
    <w:p w14:paraId="23ADE773" w14:textId="77777777" w:rsidR="00A7247D" w:rsidRPr="009C59B0" w:rsidRDefault="00A7247D" w:rsidP="00A7247D">
      <w:pPr>
        <w:pStyle w:val="Textonotapie"/>
        <w:ind w:firstLine="709"/>
        <w:jc w:val="both"/>
        <w:rPr>
          <w:rFonts w:ascii="Verdana" w:hAnsi="Verdana" w:cs="Arial"/>
          <w:color w:val="000000"/>
          <w:sz w:val="14"/>
          <w:szCs w:val="14"/>
        </w:rPr>
      </w:pPr>
      <w:r w:rsidRPr="009C59B0">
        <w:rPr>
          <w:rStyle w:val="Refdenotaalpie"/>
          <w:rFonts w:ascii="Verdana" w:hAnsi="Verdana" w:cs="Arial"/>
          <w:color w:val="000000"/>
          <w:sz w:val="14"/>
          <w:szCs w:val="14"/>
        </w:rPr>
        <w:footnoteRef/>
      </w:r>
      <w:r w:rsidRPr="009C59B0">
        <w:rPr>
          <w:rFonts w:ascii="Verdana" w:hAnsi="Verdana" w:cs="Arial"/>
          <w:color w:val="000000"/>
          <w:sz w:val="14"/>
          <w:szCs w:val="14"/>
        </w:rPr>
        <w:t xml:space="preserve"> Consejo de Estado. Sección Tercera. Sentencia del 23 de junio de 2010. Radicación No. 66001-23-31-000-1998-00261-01(17.860). Consejero Ponente: Mauricio Fajardo Gómez.</w:t>
      </w:r>
    </w:p>
    <w:p w14:paraId="6194E02C" w14:textId="77777777" w:rsidR="00A7247D" w:rsidRPr="009C59B0" w:rsidRDefault="00A7247D" w:rsidP="00A7247D">
      <w:pPr>
        <w:pStyle w:val="Textonotapie"/>
        <w:ind w:firstLine="709"/>
        <w:jc w:val="both"/>
        <w:rPr>
          <w:rFonts w:ascii="Verdana" w:hAnsi="Verdana" w:cs="Arial"/>
          <w:color w:val="000000"/>
          <w:sz w:val="14"/>
          <w:szCs w:val="14"/>
          <w:lang w:val="es-ES"/>
        </w:rPr>
      </w:pPr>
    </w:p>
  </w:footnote>
  <w:footnote w:id="10">
    <w:p w14:paraId="2768D712" w14:textId="77777777" w:rsidR="00A7247D" w:rsidRPr="009C59B0" w:rsidRDefault="00A7247D" w:rsidP="00A7247D">
      <w:pPr>
        <w:pStyle w:val="Textonotapie"/>
        <w:ind w:firstLine="709"/>
        <w:jc w:val="both"/>
        <w:rPr>
          <w:rFonts w:ascii="Verdana" w:hAnsi="Verdana"/>
          <w:sz w:val="14"/>
          <w:szCs w:val="14"/>
          <w:lang w:val="es-CO"/>
        </w:rPr>
      </w:pPr>
      <w:r w:rsidRPr="009C59B0">
        <w:rPr>
          <w:rStyle w:val="Refdenotaalpie"/>
          <w:rFonts w:ascii="Verdana" w:hAnsi="Verdana"/>
          <w:sz w:val="14"/>
          <w:szCs w:val="14"/>
        </w:rPr>
        <w:footnoteRef/>
      </w:r>
      <w:r w:rsidRPr="009C59B0">
        <w:rPr>
          <w:rFonts w:ascii="Verdana" w:hAnsi="Verdana"/>
          <w:sz w:val="14"/>
          <w:szCs w:val="14"/>
        </w:rPr>
        <w:t xml:space="preserve"> </w:t>
      </w:r>
      <w:r w:rsidRPr="009C59B0">
        <w:rPr>
          <w:rFonts w:ascii="Verdana" w:hAnsi="Verdana" w:cs="Arial"/>
          <w:color w:val="000000"/>
          <w:sz w:val="14"/>
          <w:szCs w:val="14"/>
        </w:rPr>
        <w:t xml:space="preserve">Consejo de Estado. Sección Tercera. Subsección A. Sentencia del 7 de marzo de 2011. </w:t>
      </w:r>
      <w:proofErr w:type="spellStart"/>
      <w:r w:rsidRPr="009C59B0">
        <w:rPr>
          <w:rFonts w:ascii="Verdana" w:hAnsi="Verdana" w:cs="Arial"/>
          <w:color w:val="000000"/>
          <w:sz w:val="14"/>
          <w:szCs w:val="14"/>
        </w:rPr>
        <w:t>Exp</w:t>
      </w:r>
      <w:proofErr w:type="spellEnd"/>
      <w:r w:rsidRPr="009C59B0">
        <w:rPr>
          <w:rFonts w:ascii="Verdana" w:hAnsi="Verdana" w:cs="Arial"/>
          <w:color w:val="000000"/>
          <w:sz w:val="14"/>
          <w:szCs w:val="14"/>
        </w:rPr>
        <w:t>. 37.044. Consejero Ponente: Enrique Gil Botero.</w:t>
      </w:r>
    </w:p>
  </w:footnote>
  <w:footnote w:id="11">
    <w:p w14:paraId="7C0F9445" w14:textId="77777777" w:rsidR="00A7247D" w:rsidRPr="009C59B0" w:rsidRDefault="00A7247D" w:rsidP="00A7247D">
      <w:pPr>
        <w:pStyle w:val="Textonotapie"/>
        <w:ind w:firstLine="709"/>
        <w:jc w:val="both"/>
        <w:rPr>
          <w:rFonts w:ascii="Verdana" w:hAnsi="Verdana" w:cs="Arial"/>
          <w:sz w:val="14"/>
          <w:szCs w:val="14"/>
          <w:lang w:val="es-CO"/>
        </w:rPr>
      </w:pPr>
      <w:r w:rsidRPr="009C59B0">
        <w:rPr>
          <w:rStyle w:val="Refdenotaalpie"/>
          <w:rFonts w:ascii="Verdana" w:hAnsi="Verdana" w:cs="Arial"/>
          <w:sz w:val="14"/>
          <w:szCs w:val="14"/>
        </w:rPr>
        <w:footnoteRef/>
      </w:r>
      <w:r w:rsidRPr="009C59B0">
        <w:rPr>
          <w:rFonts w:ascii="Verdana" w:hAnsi="Verdana" w:cs="Arial"/>
          <w:sz w:val="14"/>
          <w:szCs w:val="14"/>
        </w:rPr>
        <w:t xml:space="preserve">  </w:t>
      </w:r>
      <w:r w:rsidRPr="009C59B0">
        <w:rPr>
          <w:rFonts w:ascii="Verdana" w:hAnsi="Verdana" w:cs="Arial"/>
          <w:i/>
          <w:iCs/>
          <w:sz w:val="14"/>
          <w:szCs w:val="14"/>
        </w:rPr>
        <w:t xml:space="preserve">Ibidem </w:t>
      </w:r>
    </w:p>
  </w:footnote>
  <w:footnote w:id="12">
    <w:p w14:paraId="7CB806E3" w14:textId="77777777" w:rsidR="00A7247D" w:rsidRPr="009C59B0" w:rsidRDefault="00A7247D" w:rsidP="00A7247D">
      <w:pPr>
        <w:pStyle w:val="Textonotapie"/>
        <w:ind w:firstLine="709"/>
        <w:jc w:val="both"/>
        <w:rPr>
          <w:rFonts w:ascii="Verdana" w:hAnsi="Verdana" w:cs="Arial"/>
          <w:sz w:val="14"/>
          <w:szCs w:val="14"/>
          <w:lang w:val="es-CO"/>
        </w:rPr>
      </w:pPr>
      <w:r w:rsidRPr="009C59B0">
        <w:rPr>
          <w:rStyle w:val="Refdenotaalpie"/>
          <w:rFonts w:ascii="Verdana" w:hAnsi="Verdana" w:cs="Arial"/>
          <w:sz w:val="14"/>
          <w:szCs w:val="14"/>
        </w:rPr>
        <w:footnoteRef/>
      </w:r>
      <w:r w:rsidRPr="009C59B0">
        <w:rPr>
          <w:rFonts w:ascii="Verdana" w:hAnsi="Verdana" w:cs="Arial"/>
          <w:sz w:val="14"/>
          <w:szCs w:val="14"/>
        </w:rPr>
        <w:t xml:space="preserve"> </w:t>
      </w:r>
      <w:r w:rsidRPr="009C59B0">
        <w:rPr>
          <w:rFonts w:ascii="Verdana" w:hAnsi="Verdana" w:cs="Arial"/>
          <w:i/>
          <w:iCs/>
          <w:sz w:val="14"/>
          <w:szCs w:val="14"/>
          <w:lang w:val="es-CO"/>
        </w:rPr>
        <w:t>Ibidem</w:t>
      </w:r>
      <w:r w:rsidRPr="009C59B0">
        <w:rPr>
          <w:rFonts w:ascii="Verdana" w:hAnsi="Verdana" w:cs="Arial"/>
          <w:sz w:val="14"/>
          <w:szCs w:val="14"/>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22826869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64A7"/>
    <w:rsid w:val="000F6486"/>
    <w:rsid w:val="000F6885"/>
    <w:rsid w:val="00125105"/>
    <w:rsid w:val="00127233"/>
    <w:rsid w:val="001921C9"/>
    <w:rsid w:val="001E4177"/>
    <w:rsid w:val="001F7DC6"/>
    <w:rsid w:val="002421BB"/>
    <w:rsid w:val="0025796E"/>
    <w:rsid w:val="002707A2"/>
    <w:rsid w:val="002951A0"/>
    <w:rsid w:val="002962BC"/>
    <w:rsid w:val="002A093D"/>
    <w:rsid w:val="002A0DD0"/>
    <w:rsid w:val="002A49AC"/>
    <w:rsid w:val="002A64FD"/>
    <w:rsid w:val="002C7A84"/>
    <w:rsid w:val="002E4F73"/>
    <w:rsid w:val="002E4FD9"/>
    <w:rsid w:val="00322A85"/>
    <w:rsid w:val="00324168"/>
    <w:rsid w:val="003448F4"/>
    <w:rsid w:val="00374F5E"/>
    <w:rsid w:val="00377E3E"/>
    <w:rsid w:val="0039155B"/>
    <w:rsid w:val="003A779E"/>
    <w:rsid w:val="003C3067"/>
    <w:rsid w:val="003D0F4D"/>
    <w:rsid w:val="003D5B0D"/>
    <w:rsid w:val="003E0499"/>
    <w:rsid w:val="003F3941"/>
    <w:rsid w:val="00406575"/>
    <w:rsid w:val="00414C74"/>
    <w:rsid w:val="0042722E"/>
    <w:rsid w:val="0044528D"/>
    <w:rsid w:val="004A1847"/>
    <w:rsid w:val="004A305D"/>
    <w:rsid w:val="004C6484"/>
    <w:rsid w:val="004F21C4"/>
    <w:rsid w:val="004F685F"/>
    <w:rsid w:val="005566E8"/>
    <w:rsid w:val="00574867"/>
    <w:rsid w:val="00591460"/>
    <w:rsid w:val="005C3777"/>
    <w:rsid w:val="005C5CDC"/>
    <w:rsid w:val="005D476C"/>
    <w:rsid w:val="00621058"/>
    <w:rsid w:val="006219F8"/>
    <w:rsid w:val="006302F7"/>
    <w:rsid w:val="006361F4"/>
    <w:rsid w:val="00665D70"/>
    <w:rsid w:val="006900D9"/>
    <w:rsid w:val="006A760C"/>
    <w:rsid w:val="006D3B78"/>
    <w:rsid w:val="00706C16"/>
    <w:rsid w:val="007178DB"/>
    <w:rsid w:val="00756841"/>
    <w:rsid w:val="00761B41"/>
    <w:rsid w:val="007649AB"/>
    <w:rsid w:val="00771D0C"/>
    <w:rsid w:val="007833AC"/>
    <w:rsid w:val="007B268C"/>
    <w:rsid w:val="007B7171"/>
    <w:rsid w:val="007C0C0F"/>
    <w:rsid w:val="007C3DC2"/>
    <w:rsid w:val="007E5497"/>
    <w:rsid w:val="00806F5F"/>
    <w:rsid w:val="00820278"/>
    <w:rsid w:val="00837ED2"/>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7247D"/>
    <w:rsid w:val="00AB0ADB"/>
    <w:rsid w:val="00AB2C1D"/>
    <w:rsid w:val="00B00C0E"/>
    <w:rsid w:val="00B01B1A"/>
    <w:rsid w:val="00B14142"/>
    <w:rsid w:val="00B44A47"/>
    <w:rsid w:val="00B72CD3"/>
    <w:rsid w:val="00B72FFF"/>
    <w:rsid w:val="00BC3D36"/>
    <w:rsid w:val="00BD7F72"/>
    <w:rsid w:val="00C04FB3"/>
    <w:rsid w:val="00C330EB"/>
    <w:rsid w:val="00C754BE"/>
    <w:rsid w:val="00C76B1C"/>
    <w:rsid w:val="00CB6357"/>
    <w:rsid w:val="00CC1B26"/>
    <w:rsid w:val="00CD06CE"/>
    <w:rsid w:val="00CF2ED5"/>
    <w:rsid w:val="00D13CA2"/>
    <w:rsid w:val="00D14CDB"/>
    <w:rsid w:val="00D423A2"/>
    <w:rsid w:val="00D520D8"/>
    <w:rsid w:val="00D63AC2"/>
    <w:rsid w:val="00D7383B"/>
    <w:rsid w:val="00DA231B"/>
    <w:rsid w:val="00DC39FC"/>
    <w:rsid w:val="00DE0203"/>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462B3"/>
    <w:rsid w:val="00F5664F"/>
    <w:rsid w:val="00F666C4"/>
    <w:rsid w:val="00F67016"/>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7247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247D"/>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ley_0080_1993.html"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EDBFD45-86A1-4BBB-BEA9-ADF9D384E9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documentManagement/types"/>
    <ds:schemaRef ds:uri="http://purl.org/dc/elements/1.1/"/>
    <ds:schemaRef ds:uri="9d85dbaf-23eb-4e57-a637-93dcacc8b1a1"/>
    <ds:schemaRef ds:uri="http://schemas.openxmlformats.org/package/2006/metadata/core-properties"/>
    <ds:schemaRef ds:uri="http://schemas.microsoft.com/office/infopath/2007/PartnerControls"/>
    <ds:schemaRef ds:uri="http://purl.org/dc/terms/"/>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3863</Words>
  <Characters>21329</Characters>
  <Application>Microsoft Office Word</Application>
  <DocSecurity>0</DocSecurity>
  <Lines>435</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25102</CharactersWithSpaces>
  <SharedDoc>false</SharedDoc>
  <HLinks>
    <vt:vector size="18" baseType="variant">
      <vt:variant>
        <vt:i4>7733357</vt:i4>
      </vt:variant>
      <vt:variant>
        <vt:i4>6</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3735575</vt:i4>
      </vt:variant>
      <vt:variant>
        <vt:i4>0</vt:i4>
      </vt:variant>
      <vt:variant>
        <vt:i4>0</vt:i4>
      </vt:variant>
      <vt:variant>
        <vt:i4>5</vt:i4>
      </vt:variant>
      <vt:variant>
        <vt:lpwstr>http://www.secretariasenado.gov.co/senado/basedoc/ley_0080_1993.html</vt:lpwstr>
      </vt:variant>
      <vt:variant>
        <vt:lpwstr>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2025-10-29T22:34:00Z</dcterms:created>
  <dcterms:modified xsi:type="dcterms:W3CDTF">2025-10-29T22:34:00Z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