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A2253" w14:textId="523374DC" w:rsidR="00210244" w:rsidRDefault="00210244" w:rsidP="00BD1CEE">
      <w:pPr>
        <w:rPr>
          <w:rFonts w:ascii="Verdana" w:eastAsia="Calibri" w:hAnsi="Verdana" w:cs="Arial"/>
          <w:b/>
          <w:bCs/>
          <w:lang w:val="es-ES" w:eastAsia="es-ES"/>
        </w:rPr>
      </w:pPr>
      <w:bookmarkStart w:id="0" w:name="_Hlk181029960"/>
      <w:r w:rsidRPr="00210244">
        <w:rPr>
          <w:rFonts w:ascii="Verdana" w:eastAsia="Calibri" w:hAnsi="Verdana" w:cs="Arial"/>
          <w:b/>
          <w:bCs/>
          <w:lang w:val="es-ES" w:eastAsia="es-ES"/>
        </w:rPr>
        <w:t>TERMINACIÓN UNILATERAL – Articulo 17 de la Ley 80 de 1993 – Causales – Acto Administrativo – Motivación</w:t>
      </w:r>
    </w:p>
    <w:p w14:paraId="0A137481" w14:textId="77777777" w:rsidR="00210244" w:rsidRDefault="00210244" w:rsidP="00210244">
      <w:pPr>
        <w:spacing w:line="278" w:lineRule="auto"/>
        <w:jc w:val="both"/>
        <w:rPr>
          <w:rFonts w:ascii="Verdana" w:eastAsia="Calibri" w:hAnsi="Verdana" w:cs="Arial"/>
        </w:rPr>
      </w:pPr>
      <w:r w:rsidRPr="00052FAE">
        <w:rPr>
          <w:rFonts w:ascii="Verdana" w:eastAsia="Calibri" w:hAnsi="Verdana" w:cs="Arial"/>
        </w:rPr>
        <w:t xml:space="preserve">En lo atinente a la terminación unilateral del contrato, si bien la ley otorga a las entidades públicas la potestad de actuar en ejercicio de una </w:t>
      </w:r>
      <w:r w:rsidRPr="1065807C">
        <w:rPr>
          <w:rFonts w:ascii="Verdana" w:eastAsia="Calibri" w:hAnsi="Verdana" w:cs="Arial"/>
        </w:rPr>
        <w:t>facultad</w:t>
      </w:r>
      <w:r w:rsidRPr="00052FAE">
        <w:rPr>
          <w:rFonts w:ascii="Verdana" w:eastAsia="Calibri" w:hAnsi="Verdana" w:cs="Arial"/>
        </w:rPr>
        <w:t xml:space="preserve"> exorbitante, les 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052FAE">
        <w:rPr>
          <w:rFonts w:ascii="Verdana" w:eastAsia="Calibri" w:hAnsi="Verdana" w:cs="Arial"/>
        </w:rPr>
        <w:t>ii</w:t>
      </w:r>
      <w:proofErr w:type="spellEnd"/>
      <w:r w:rsidRPr="00052FAE">
        <w:rPr>
          <w:rFonts w:ascii="Verdana" w:eastAsia="Calibri" w:hAnsi="Verdana" w:cs="Arial"/>
        </w:rPr>
        <w:t xml:space="preserve">) que dicho acto debe ser el resultado de un análisis soportado en la realidad del contrato, es decir, debe estar debidamente motivado y </w:t>
      </w:r>
      <w:proofErr w:type="spellStart"/>
      <w:r w:rsidRPr="00052FAE">
        <w:rPr>
          <w:rFonts w:ascii="Verdana" w:eastAsia="Calibri" w:hAnsi="Verdana" w:cs="Arial"/>
        </w:rPr>
        <w:t>iii</w:t>
      </w:r>
      <w:proofErr w:type="spellEnd"/>
      <w:r w:rsidRPr="00052FAE">
        <w:rPr>
          <w:rFonts w:ascii="Verdana" w:eastAsia="Calibri" w:hAnsi="Verdana" w:cs="Arial"/>
        </w:rPr>
        <w:t>) que la causal que se alegue en la decisión se encuentre enmarcada en los eventos que la ley ha dispuesto.</w:t>
      </w:r>
    </w:p>
    <w:p w14:paraId="538416AB" w14:textId="11675CAA" w:rsidR="00210244" w:rsidRPr="00052FAE" w:rsidRDefault="00210244" w:rsidP="00210244">
      <w:pPr>
        <w:spacing w:line="278" w:lineRule="auto"/>
        <w:jc w:val="both"/>
        <w:rPr>
          <w:rFonts w:ascii="Verdana" w:hAnsi="Verdana"/>
        </w:rPr>
      </w:pPr>
      <w:r>
        <w:rPr>
          <w:rFonts w:ascii="Verdana" w:eastAsia="Calibri" w:hAnsi="Verdana" w:cs="Arial"/>
        </w:rPr>
        <w:t xml:space="preserve">[…] </w:t>
      </w:r>
    </w:p>
    <w:p w14:paraId="13203C3C" w14:textId="77777777" w:rsidR="00210244" w:rsidRDefault="00210244" w:rsidP="00210244">
      <w:pPr>
        <w:spacing w:line="278" w:lineRule="auto"/>
        <w:jc w:val="both"/>
        <w:rPr>
          <w:rFonts w:ascii="Verdana" w:hAnsi="Verdana"/>
        </w:rPr>
      </w:pPr>
      <w:r w:rsidRPr="00052FAE">
        <w:rPr>
          <w:rFonts w:ascii="Verdana" w:hAnsi="Verdana"/>
        </w:rPr>
        <w:t>Esta potestad excepcional obedece a la naturaleza misional y prioritaria del interés general dentro de la contratación estatal, y debe ejercerse mediante acto administrativo debidamente motivado, en el cual se expongan de manera clara y sustentada los hechos y fundamentos jurídicos que justifiquen la decisión, atendiendo las particularidades del contrato en cuestión.</w:t>
      </w:r>
    </w:p>
    <w:p w14:paraId="56B37A93" w14:textId="77777777" w:rsidR="00210244" w:rsidRPr="004627A4" w:rsidRDefault="00210244" w:rsidP="00210244">
      <w:pPr>
        <w:spacing w:line="278" w:lineRule="auto"/>
        <w:jc w:val="both"/>
        <w:rPr>
          <w:rFonts w:ascii="Verdana" w:hAnsi="Verdana"/>
        </w:rPr>
      </w:pPr>
      <w:r w:rsidRPr="004627A4">
        <w:rPr>
          <w:rFonts w:ascii="Verdana" w:hAnsi="Verdana"/>
        </w:rPr>
        <w:t>Ahora bien, es importante señalar que las causales previstas en el 17 de la Ley 80 de 1993, referidas a la terminación unilateral del contrato por razones de orden público o exigencias del servicio, deben ser interpretadas de manera restrictiva, en virtud del principio de legalidad que rige las actuaciones administrativas.</w:t>
      </w:r>
    </w:p>
    <w:p w14:paraId="3E723CC2" w14:textId="77777777" w:rsidR="00210244" w:rsidRPr="004627A4" w:rsidRDefault="00210244" w:rsidP="00210244">
      <w:pPr>
        <w:spacing w:line="278" w:lineRule="auto"/>
        <w:jc w:val="both"/>
        <w:rPr>
          <w:rFonts w:ascii="Verdana" w:hAnsi="Verdana"/>
        </w:rPr>
      </w:pPr>
      <w:r w:rsidRPr="004627A4">
        <w:rPr>
          <w:rFonts w:ascii="Verdana" w:hAnsi="Verdana"/>
        </w:rPr>
        <w:t>En consecuencia, dichas causales únicamente son aplicables a la figura jurídica de la terminación unilateral del contrato, no siendo extensibles ni susceptibles de reinterpretación para justificar otras figuras contractuales distintas, como lo es la cesión del contrato.</w:t>
      </w:r>
    </w:p>
    <w:p w14:paraId="3821F727" w14:textId="77777777" w:rsidR="00210244" w:rsidRPr="00210244" w:rsidRDefault="00210244" w:rsidP="00BD1CEE">
      <w:pPr>
        <w:rPr>
          <w:rFonts w:ascii="Verdana" w:eastAsia="Times New Roman" w:hAnsi="Verdana" w:cs="Arial"/>
          <w:b/>
          <w:bCs/>
          <w:lang w:eastAsia="es-ES_tradnl"/>
        </w:rPr>
      </w:pPr>
    </w:p>
    <w:p w14:paraId="3F9B85A2" w14:textId="77777777" w:rsidR="00210244" w:rsidRDefault="00210244" w:rsidP="00BD1CEE">
      <w:pPr>
        <w:rPr>
          <w:rFonts w:ascii="Verdana" w:eastAsia="Times New Roman" w:hAnsi="Verdana" w:cs="Arial"/>
          <w:lang w:eastAsia="es-ES_tradnl"/>
        </w:rPr>
      </w:pPr>
    </w:p>
    <w:p w14:paraId="776E47F2" w14:textId="77777777" w:rsidR="00210244" w:rsidRDefault="00210244" w:rsidP="00BD1CEE">
      <w:pPr>
        <w:rPr>
          <w:rFonts w:ascii="Verdana" w:eastAsia="Times New Roman" w:hAnsi="Verdana" w:cs="Arial"/>
          <w:lang w:eastAsia="es-ES_tradnl"/>
        </w:rPr>
      </w:pPr>
    </w:p>
    <w:p w14:paraId="71F3878A" w14:textId="77777777" w:rsidR="00210244" w:rsidRDefault="00210244" w:rsidP="00BD1CEE">
      <w:pPr>
        <w:rPr>
          <w:rFonts w:ascii="Verdana" w:eastAsia="Times New Roman" w:hAnsi="Verdana" w:cs="Arial"/>
          <w:lang w:eastAsia="es-ES_tradnl"/>
        </w:rPr>
      </w:pPr>
    </w:p>
    <w:p w14:paraId="72A802F3" w14:textId="77777777" w:rsidR="00210244" w:rsidRDefault="00210244" w:rsidP="00BD1CEE">
      <w:pPr>
        <w:rPr>
          <w:rFonts w:ascii="Verdana" w:eastAsia="Times New Roman" w:hAnsi="Verdana" w:cs="Arial"/>
          <w:lang w:eastAsia="es-ES_tradnl"/>
        </w:rPr>
      </w:pPr>
    </w:p>
    <w:p w14:paraId="6BD7B07A" w14:textId="1E29E80E" w:rsidR="00BD1CEE" w:rsidRDefault="00BD1CEE" w:rsidP="00BD1CEE">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210244">
        <w:rPr>
          <w:rFonts w:ascii="Verdana" w:eastAsia="Times New Roman" w:hAnsi="Verdana" w:cs="Arial"/>
          <w:lang w:eastAsia="es-ES_tradnl"/>
        </w:rPr>
        <w:t xml:space="preserve">17 </w:t>
      </w:r>
      <w:r w:rsidRPr="00093B55">
        <w:rPr>
          <w:rFonts w:ascii="Verdana" w:eastAsia="Times New Roman" w:hAnsi="Verdana" w:cs="Arial"/>
          <w:lang w:eastAsia="es-ES_tradnl"/>
        </w:rPr>
        <w:t xml:space="preserve">de </w:t>
      </w:r>
      <w:r w:rsidR="00210244">
        <w:rPr>
          <w:rFonts w:ascii="Verdana" w:eastAsia="Times New Roman" w:hAnsi="Verdana" w:cs="Arial"/>
          <w:lang w:eastAsia="es-ES_tradnl"/>
        </w:rPr>
        <w:t xml:space="preserve">octubre </w:t>
      </w:r>
      <w:r w:rsidRPr="00093B55">
        <w:rPr>
          <w:rFonts w:ascii="Verdana" w:eastAsia="Times New Roman" w:hAnsi="Verdana" w:cs="Arial"/>
          <w:lang w:eastAsia="es-ES_tradnl"/>
        </w:rPr>
        <w:t xml:space="preserve">de </w:t>
      </w:r>
      <w:r w:rsidR="00210244">
        <w:rPr>
          <w:rFonts w:ascii="Verdana" w:eastAsia="Times New Roman" w:hAnsi="Verdana" w:cs="Arial"/>
          <w:lang w:eastAsia="es-ES_tradnl"/>
        </w:rPr>
        <w:t>octubre</w:t>
      </w:r>
    </w:p>
    <w:p w14:paraId="70066CF4" w14:textId="044BFDB8" w:rsidR="00210244" w:rsidRDefault="00210244" w:rsidP="00210244">
      <w:pPr>
        <w:spacing w:after="0"/>
        <w:ind w:left="4956"/>
        <w:rPr>
          <w:rFonts w:ascii="Verdana" w:eastAsia="Geomanist Light" w:hAnsi="Verdana" w:cs="Arial"/>
          <w:color w:val="201F1E"/>
          <w:lang w:val="es-MX"/>
        </w:rPr>
      </w:pPr>
      <w:r w:rsidRPr="00210244">
        <w:rPr>
          <w:rFonts w:ascii="Verdana" w:eastAsia="Geomanist Light" w:hAnsi="Verdana" w:cs="Arial"/>
          <w:noProof/>
          <w:color w:val="201F1E"/>
          <w:lang w:val="es-MX"/>
        </w:rPr>
        <w:drawing>
          <wp:inline distT="0" distB="0" distL="0" distR="0" wp14:anchorId="72511B89" wp14:editId="2C9A509B">
            <wp:extent cx="2695951" cy="762106"/>
            <wp:effectExtent l="0" t="0" r="9525" b="0"/>
            <wp:docPr id="11347352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735294" name=""/>
                    <pic:cNvPicPr/>
                  </pic:nvPicPr>
                  <pic:blipFill>
                    <a:blip r:embed="rId10"/>
                    <a:stretch>
                      <a:fillRect/>
                    </a:stretch>
                  </pic:blipFill>
                  <pic:spPr>
                    <a:xfrm>
                      <a:off x="0" y="0"/>
                      <a:ext cx="2695951" cy="762106"/>
                    </a:xfrm>
                    <a:prstGeom prst="rect">
                      <a:avLst/>
                    </a:prstGeom>
                  </pic:spPr>
                </pic:pic>
              </a:graphicData>
            </a:graphic>
          </wp:inline>
        </w:drawing>
      </w:r>
    </w:p>
    <w:p w14:paraId="1D865588" w14:textId="77777777" w:rsidR="00210244" w:rsidRDefault="00210244" w:rsidP="00210244">
      <w:pPr>
        <w:spacing w:after="0"/>
        <w:rPr>
          <w:rFonts w:ascii="Verdana" w:eastAsia="Geomanist Light" w:hAnsi="Verdana" w:cs="Arial"/>
          <w:color w:val="201F1E"/>
          <w:lang w:val="es-MX"/>
        </w:rPr>
      </w:pPr>
    </w:p>
    <w:p w14:paraId="4C9A2198" w14:textId="418EC773" w:rsidR="00BD1CEE" w:rsidRDefault="00BD1CEE" w:rsidP="00210244">
      <w:pPr>
        <w:spacing w:after="0"/>
        <w:rPr>
          <w:rFonts w:ascii="Verdana" w:eastAsia="Times New Roman" w:hAnsi="Verdana" w:cs="Times New Roman"/>
          <w:lang w:eastAsia="es-ES"/>
        </w:rPr>
      </w:pPr>
      <w:r w:rsidRPr="0071334E">
        <w:rPr>
          <w:rFonts w:ascii="Verdana" w:eastAsia="Calibri" w:hAnsi="Verdana" w:cs="Arial"/>
          <w:lang w:val="es-ES" w:eastAsia="es-ES"/>
        </w:rPr>
        <w:t>Señor</w:t>
      </w:r>
    </w:p>
    <w:p w14:paraId="5007A600" w14:textId="4C8A7D9A" w:rsidR="00BD1CEE" w:rsidRPr="00BD72A4" w:rsidRDefault="00BD1CEE" w:rsidP="00BD1CEE">
      <w:pPr>
        <w:spacing w:after="0"/>
        <w:rPr>
          <w:rFonts w:ascii="Verdana" w:eastAsia="Times New Roman" w:hAnsi="Verdana" w:cs="Times New Roman"/>
          <w:lang w:eastAsia="es-ES"/>
        </w:rPr>
      </w:pPr>
      <w:r w:rsidRPr="00E50F4D">
        <w:rPr>
          <w:rFonts w:ascii="Verdana" w:eastAsia="Calibri" w:hAnsi="Verdana" w:cs="Arial"/>
          <w:b/>
          <w:lang w:eastAsia="es-ES_tradnl"/>
        </w:rPr>
        <w:t xml:space="preserve">German Javier Fernando Cruz </w:t>
      </w:r>
      <w:r w:rsidR="00F53D76" w:rsidRPr="00E50F4D">
        <w:rPr>
          <w:rFonts w:ascii="Verdana" w:eastAsia="Calibri" w:hAnsi="Verdana" w:cs="Arial"/>
          <w:b/>
          <w:lang w:eastAsia="es-ES_tradnl"/>
        </w:rPr>
        <w:t>Rincón</w:t>
      </w:r>
    </w:p>
    <w:p w14:paraId="50782969" w14:textId="77777777" w:rsidR="00BD1CEE" w:rsidRPr="00E50F4D" w:rsidRDefault="00BD1CEE" w:rsidP="00BD1CEE">
      <w:pPr>
        <w:spacing w:after="0" w:line="240" w:lineRule="auto"/>
        <w:rPr>
          <w:rFonts w:ascii="Verdana" w:eastAsia="Calibri" w:hAnsi="Verdana" w:cs="Arial"/>
          <w:u w:val="single"/>
          <w:lang w:eastAsia="es-ES"/>
        </w:rPr>
      </w:pPr>
      <w:hyperlink r:id="rId11" w:history="1">
        <w:r w:rsidRPr="00E50F4D">
          <w:rPr>
            <w:rStyle w:val="Hipervnculo"/>
            <w:rFonts w:ascii="Verdana" w:eastAsia="Calibri" w:hAnsi="Verdana" w:cs="Arial"/>
            <w:lang w:eastAsia="es-ES"/>
          </w:rPr>
          <w:t>Brood24@hotmail.com</w:t>
        </w:r>
      </w:hyperlink>
      <w:r w:rsidRPr="00E50F4D">
        <w:rPr>
          <w:rFonts w:ascii="Verdana" w:eastAsia="Calibri" w:hAnsi="Verdana" w:cs="Arial"/>
          <w:lang w:eastAsia="es-ES"/>
        </w:rPr>
        <w:t xml:space="preserve">; </w:t>
      </w:r>
    </w:p>
    <w:p w14:paraId="2CD99210" w14:textId="77777777" w:rsidR="00BD1CEE" w:rsidRPr="00E50F4D" w:rsidRDefault="00BD1CEE" w:rsidP="00BD1CEE">
      <w:pPr>
        <w:spacing w:after="0" w:line="240" w:lineRule="auto"/>
        <w:rPr>
          <w:rFonts w:ascii="Verdana" w:eastAsia="Calibri" w:hAnsi="Verdana" w:cs="Arial"/>
          <w:b/>
          <w:bCs/>
          <w:lang w:eastAsia="es-ES"/>
        </w:rPr>
      </w:pPr>
      <w:r w:rsidRPr="00E50F4D">
        <w:rPr>
          <w:rFonts w:ascii="Verdana" w:eastAsia="Calibri" w:hAnsi="Verdana" w:cs="Arial"/>
          <w:lang w:eastAsia="es-ES"/>
        </w:rPr>
        <w:t>Ciudad</w:t>
      </w:r>
    </w:p>
    <w:p w14:paraId="31C53F63" w14:textId="77777777" w:rsidR="00BD1CEE" w:rsidRPr="00E50F4D" w:rsidRDefault="00BD1CEE" w:rsidP="00BD1CEE">
      <w:pPr>
        <w:spacing w:after="0" w:line="240" w:lineRule="auto"/>
        <w:rPr>
          <w:rFonts w:ascii="Verdana" w:eastAsia="Calibri" w:hAnsi="Verdana" w:cs="Arial"/>
          <w:b/>
          <w:bCs/>
          <w:color w:val="000000"/>
          <w:lang w:eastAsia="es-ES_tradnl"/>
        </w:rPr>
      </w:pPr>
    </w:p>
    <w:p w14:paraId="771D8F0E" w14:textId="77777777" w:rsidR="00BD1CEE" w:rsidRPr="00E50F4D" w:rsidRDefault="00BD1CEE" w:rsidP="00BD1CEE">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D1CEE" w:rsidRPr="00DC7EB7" w14:paraId="47545F7C" w14:textId="77777777" w:rsidTr="00EC403E">
        <w:trPr>
          <w:trHeight w:val="884"/>
        </w:trPr>
        <w:tc>
          <w:tcPr>
            <w:tcW w:w="2689" w:type="dxa"/>
          </w:tcPr>
          <w:p w14:paraId="440600F9" w14:textId="77777777" w:rsidR="00BD1CEE" w:rsidRPr="00E50F4D" w:rsidRDefault="00BD1CEE" w:rsidP="00EC403E">
            <w:pPr>
              <w:jc w:val="both"/>
              <w:rPr>
                <w:rFonts w:ascii="Verdana" w:eastAsia="Calibri" w:hAnsi="Verdana" w:cs="Arial"/>
                <w:b/>
                <w:bCs/>
                <w:lang w:eastAsia="es-ES_tradnl"/>
              </w:rPr>
            </w:pPr>
          </w:p>
        </w:tc>
        <w:tc>
          <w:tcPr>
            <w:tcW w:w="6100" w:type="dxa"/>
          </w:tcPr>
          <w:p w14:paraId="35603815" w14:textId="77777777" w:rsidR="00BD1CEE" w:rsidRPr="00DC7EB7" w:rsidRDefault="00BD1CEE" w:rsidP="00EC403E">
            <w:pPr>
              <w:jc w:val="both"/>
              <w:rPr>
                <w:rFonts w:ascii="Verdana" w:eastAsia="Calibri" w:hAnsi="Verdana" w:cs="Arial"/>
                <w:b/>
                <w:bCs/>
                <w:lang w:val="es-ES" w:eastAsia="es-ES"/>
              </w:rPr>
            </w:pPr>
            <w:r w:rsidRPr="00DC7EB7">
              <w:rPr>
                <w:rFonts w:ascii="Verdana" w:eastAsia="Calibri" w:hAnsi="Verdana" w:cs="Arial"/>
                <w:b/>
                <w:bCs/>
                <w:lang w:val="es-ES" w:eastAsia="es-ES"/>
              </w:rPr>
              <w:t xml:space="preserve">Concepto </w:t>
            </w:r>
            <w:r w:rsidRPr="005B096A">
              <w:rPr>
                <w:rFonts w:ascii="Verdana" w:eastAsia="Calibri" w:hAnsi="Verdana" w:cs="Arial"/>
                <w:b/>
                <w:bCs/>
                <w:lang w:val="es-ES" w:eastAsia="es-ES"/>
              </w:rPr>
              <w:t>C-1365</w:t>
            </w:r>
            <w:r w:rsidRPr="00DC7EB7">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BD1CEE" w:rsidRPr="00DC7EB7" w14:paraId="7B9B0425" w14:textId="77777777" w:rsidTr="00EC403E">
        <w:trPr>
          <w:trHeight w:val="884"/>
        </w:trPr>
        <w:tc>
          <w:tcPr>
            <w:tcW w:w="2689" w:type="dxa"/>
          </w:tcPr>
          <w:p w14:paraId="0ADFFA6E" w14:textId="77777777" w:rsidR="00BD1CEE" w:rsidRPr="00DC7EB7" w:rsidRDefault="00BD1CEE" w:rsidP="00EC403E">
            <w:pPr>
              <w:jc w:val="both"/>
              <w:rPr>
                <w:rFonts w:ascii="Verdana" w:eastAsia="Calibri" w:hAnsi="Verdana" w:cs="Arial"/>
                <w:lang w:val="es-ES_tradnl" w:eastAsia="es-ES_tradnl"/>
              </w:rPr>
            </w:pPr>
            <w:r w:rsidRPr="00DC7EB7">
              <w:rPr>
                <w:rFonts w:ascii="Verdana" w:eastAsia="Calibri" w:hAnsi="Verdana" w:cs="Arial"/>
                <w:b/>
                <w:lang w:val="es-ES_tradnl" w:eastAsia="es-ES_tradnl"/>
              </w:rPr>
              <w:t>Temas:</w:t>
            </w:r>
            <w:r w:rsidRPr="00DC7EB7">
              <w:rPr>
                <w:rFonts w:ascii="Verdana" w:eastAsia="Calibri" w:hAnsi="Verdana" w:cs="Arial"/>
                <w:lang w:val="es-ES_tradnl" w:eastAsia="es-ES_tradnl"/>
              </w:rPr>
              <w:t xml:space="preserve">                   </w:t>
            </w:r>
          </w:p>
        </w:tc>
        <w:tc>
          <w:tcPr>
            <w:tcW w:w="6100" w:type="dxa"/>
          </w:tcPr>
          <w:p w14:paraId="4D971465" w14:textId="49343E7B" w:rsidR="00BD1CEE" w:rsidRDefault="00BD1CEE" w:rsidP="00EC403E">
            <w:pPr>
              <w:spacing w:line="276" w:lineRule="auto"/>
              <w:jc w:val="both"/>
              <w:rPr>
                <w:rFonts w:ascii="Verdana" w:eastAsia="Calibri" w:hAnsi="Verdana" w:cs="Arial"/>
                <w:lang w:val="es-ES" w:eastAsia="es-ES"/>
              </w:rPr>
            </w:pPr>
            <w:r w:rsidRPr="008C70E4">
              <w:rPr>
                <w:rFonts w:ascii="Verdana" w:eastAsia="Calibri" w:hAnsi="Verdana" w:cs="Arial"/>
                <w:lang w:val="es-ES" w:eastAsia="es-ES"/>
              </w:rPr>
              <w:t>TERMINACIÓN UNILATERA</w:t>
            </w:r>
            <w:r>
              <w:rPr>
                <w:rFonts w:ascii="Verdana" w:eastAsia="Calibri" w:hAnsi="Verdana" w:cs="Arial"/>
                <w:lang w:val="es-ES" w:eastAsia="es-ES"/>
              </w:rPr>
              <w:t>L – Articulo 17 de la Ley 80 de 1993 – Causales – Acto Administrativo – Motivación</w:t>
            </w:r>
            <w:r w:rsidR="14EAAF2D" w:rsidRPr="1065807C">
              <w:rPr>
                <w:rFonts w:ascii="Verdana" w:eastAsia="Calibri" w:hAnsi="Verdana" w:cs="Arial"/>
                <w:lang w:val="es-ES" w:eastAsia="es-ES"/>
              </w:rPr>
              <w:t>.</w:t>
            </w:r>
          </w:p>
          <w:p w14:paraId="37F636A4" w14:textId="77777777" w:rsidR="00BD1CEE" w:rsidRPr="00DC7EB7" w:rsidRDefault="00BD1CEE" w:rsidP="00EC403E">
            <w:pPr>
              <w:spacing w:line="276" w:lineRule="auto"/>
              <w:jc w:val="both"/>
              <w:rPr>
                <w:rFonts w:ascii="Verdana" w:eastAsia="Calibri" w:hAnsi="Verdana" w:cs="Arial"/>
                <w:lang w:val="es-ES" w:eastAsia="es-ES"/>
              </w:rPr>
            </w:pPr>
          </w:p>
        </w:tc>
      </w:tr>
      <w:tr w:rsidR="00BD1CEE" w:rsidRPr="00DC7EB7" w14:paraId="0E6988E5" w14:textId="77777777" w:rsidTr="00EC403E">
        <w:tc>
          <w:tcPr>
            <w:tcW w:w="2689" w:type="dxa"/>
          </w:tcPr>
          <w:p w14:paraId="04FB0617" w14:textId="77777777" w:rsidR="00BD1CEE" w:rsidRPr="00DC7EB7" w:rsidRDefault="00BD1CEE" w:rsidP="00EC403E">
            <w:pPr>
              <w:jc w:val="both"/>
              <w:rPr>
                <w:rFonts w:ascii="Verdana" w:eastAsia="Calibri" w:hAnsi="Verdana" w:cs="Arial"/>
                <w:b/>
                <w:lang w:val="es-ES_tradnl" w:eastAsia="es-ES_tradnl"/>
              </w:rPr>
            </w:pPr>
            <w:r w:rsidRPr="00DC7EB7">
              <w:rPr>
                <w:rFonts w:ascii="Verdana" w:eastAsia="Calibri" w:hAnsi="Verdana" w:cs="Arial"/>
                <w:b/>
                <w:lang w:val="es-ES_tradnl" w:eastAsia="es-ES_tradnl"/>
              </w:rPr>
              <w:t>Radicación:</w:t>
            </w:r>
            <w:r w:rsidRPr="00DC7EB7">
              <w:rPr>
                <w:rFonts w:ascii="Verdana" w:eastAsia="Calibri" w:hAnsi="Verdana" w:cs="Arial"/>
                <w:lang w:val="es-ES_tradnl" w:eastAsia="es-ES_tradnl"/>
              </w:rPr>
              <w:t xml:space="preserve">               </w:t>
            </w:r>
          </w:p>
        </w:tc>
        <w:tc>
          <w:tcPr>
            <w:tcW w:w="6100" w:type="dxa"/>
          </w:tcPr>
          <w:p w14:paraId="2D256391" w14:textId="77777777" w:rsidR="00BD1CEE" w:rsidRPr="00DC7EB7" w:rsidRDefault="00BD1CEE" w:rsidP="00EC403E">
            <w:pPr>
              <w:jc w:val="both"/>
              <w:rPr>
                <w:rFonts w:ascii="Verdana" w:eastAsia="Calibri" w:hAnsi="Verdana" w:cs="Arial"/>
                <w:lang w:val="es-ES_tradnl" w:eastAsia="es-ES_tradnl"/>
              </w:rPr>
            </w:pPr>
            <w:r w:rsidRPr="00DC7EB7">
              <w:rPr>
                <w:rFonts w:ascii="Verdana" w:eastAsia="Calibri" w:hAnsi="Verdana" w:cs="Arial"/>
                <w:lang w:val="es-ES_tradnl" w:eastAsia="es-ES_tradnl"/>
              </w:rPr>
              <w:t xml:space="preserve">Respuesta a consulta con radicado No. </w:t>
            </w:r>
            <w:r w:rsidRPr="005B096A">
              <w:rPr>
                <w:rFonts w:ascii="Verdana" w:eastAsia="Calibri" w:hAnsi="Verdana" w:cs="Arial"/>
                <w:lang w:val="es-ES_tradnl" w:eastAsia="es-ES_tradnl"/>
              </w:rPr>
              <w:t>1_2025_09_23_010468</w:t>
            </w:r>
          </w:p>
        </w:tc>
      </w:tr>
    </w:tbl>
    <w:p w14:paraId="01B57D28" w14:textId="77777777" w:rsidR="00BD1CEE" w:rsidRPr="00DC7EB7" w:rsidRDefault="00BD1CEE" w:rsidP="00BD1CEE">
      <w:pPr>
        <w:spacing w:after="0" w:line="240" w:lineRule="auto"/>
        <w:jc w:val="both"/>
        <w:rPr>
          <w:rFonts w:ascii="Verdana" w:eastAsia="Calibri" w:hAnsi="Verdana" w:cs="Arial"/>
          <w:lang w:val="es-ES_tradnl" w:eastAsia="es-ES_tradnl"/>
        </w:rPr>
      </w:pPr>
    </w:p>
    <w:p w14:paraId="2A8F1158" w14:textId="77777777" w:rsidR="00BD1CEE" w:rsidRPr="00DC7EB7" w:rsidRDefault="00BD1CEE" w:rsidP="00BD1CEE">
      <w:pPr>
        <w:spacing w:after="0" w:line="240" w:lineRule="auto"/>
        <w:jc w:val="both"/>
        <w:rPr>
          <w:rFonts w:ascii="Verdana" w:eastAsia="Calibri" w:hAnsi="Verdana" w:cs="Arial"/>
          <w:lang w:val="es-ES_tradnl" w:eastAsia="es-ES_tradnl"/>
        </w:rPr>
      </w:pPr>
    </w:p>
    <w:p w14:paraId="4D991E15" w14:textId="77777777" w:rsidR="00BD1CEE" w:rsidRPr="00DC7EB7" w:rsidRDefault="00BD1CEE" w:rsidP="00BD1CEE">
      <w:pPr>
        <w:spacing w:after="0" w:line="276" w:lineRule="auto"/>
        <w:jc w:val="both"/>
        <w:rPr>
          <w:rFonts w:ascii="Verdana" w:eastAsia="Calibri" w:hAnsi="Verdana" w:cs="Arial"/>
          <w:lang w:val="es-ES" w:eastAsia="es-ES"/>
        </w:rPr>
      </w:pPr>
      <w:r w:rsidRPr="00DC7EB7">
        <w:rPr>
          <w:rFonts w:ascii="Verdana" w:eastAsia="Calibri" w:hAnsi="Verdana" w:cs="Arial"/>
          <w:lang w:val="es-ES" w:eastAsia="es-ES"/>
        </w:rPr>
        <w:t>Estimad</w:t>
      </w:r>
      <w:r>
        <w:rPr>
          <w:rFonts w:ascii="Verdana" w:eastAsia="Calibri" w:hAnsi="Verdana" w:cs="Arial"/>
          <w:lang w:val="es-ES" w:eastAsia="es-ES"/>
        </w:rPr>
        <w:t>o</w:t>
      </w:r>
      <w:r w:rsidRPr="00DC7EB7">
        <w:rPr>
          <w:rFonts w:ascii="Verdana" w:eastAsia="Calibri" w:hAnsi="Verdana" w:cs="Arial"/>
          <w:lang w:val="es-ES" w:eastAsia="es-ES"/>
        </w:rPr>
        <w:t xml:space="preserve"> señor </w:t>
      </w:r>
      <w:r>
        <w:rPr>
          <w:rFonts w:ascii="Verdana" w:eastAsia="Calibri" w:hAnsi="Verdana" w:cs="Arial"/>
          <w:lang w:val="es-ES" w:eastAsia="es-ES"/>
        </w:rPr>
        <w:t>Cruz</w:t>
      </w:r>
      <w:r w:rsidRPr="00DC7EB7">
        <w:rPr>
          <w:rFonts w:ascii="Verdana" w:eastAsia="Calibri" w:hAnsi="Verdana" w:cs="Arial"/>
          <w:lang w:val="es-ES" w:eastAsia="es-ES"/>
        </w:rPr>
        <w:t xml:space="preserve">: </w:t>
      </w:r>
    </w:p>
    <w:p w14:paraId="0623F68E" w14:textId="77777777" w:rsidR="00BD1CEE" w:rsidRPr="00DC7EB7" w:rsidRDefault="00BD1CEE" w:rsidP="00BD1CEE">
      <w:pPr>
        <w:tabs>
          <w:tab w:val="left" w:pos="3768"/>
        </w:tabs>
        <w:spacing w:after="0" w:line="276" w:lineRule="auto"/>
        <w:jc w:val="both"/>
        <w:rPr>
          <w:rFonts w:ascii="Verdana" w:eastAsia="Calibri" w:hAnsi="Verdana" w:cs="Arial"/>
          <w:lang w:val="es-ES" w:eastAsia="es-ES"/>
        </w:rPr>
      </w:pPr>
      <w:r w:rsidRPr="00DC7EB7">
        <w:rPr>
          <w:rFonts w:ascii="Verdana" w:eastAsia="Calibri" w:hAnsi="Verdana" w:cs="Arial"/>
          <w:lang w:val="es-ES" w:eastAsia="es-ES"/>
        </w:rPr>
        <w:tab/>
      </w:r>
    </w:p>
    <w:p w14:paraId="2CB660C8" w14:textId="77777777" w:rsidR="00BD1CEE" w:rsidRPr="00DC7EB7" w:rsidRDefault="00BD1CEE" w:rsidP="00BD1CEE">
      <w:pPr>
        <w:spacing w:after="0" w:line="276" w:lineRule="auto"/>
        <w:jc w:val="both"/>
        <w:rPr>
          <w:rFonts w:ascii="Verdana" w:eastAsia="Calibri" w:hAnsi="Verdana" w:cs="Arial"/>
          <w:lang w:val="es-ES" w:eastAsia="es-ES"/>
        </w:rPr>
      </w:pPr>
      <w:r w:rsidRPr="00DC7EB7">
        <w:rPr>
          <w:rFonts w:ascii="Verdana" w:eastAsia="Calibri" w:hAnsi="Verdana" w:cs="Arial"/>
          <w:lang w:val="es-ES" w:eastAsia="es-ES"/>
        </w:rPr>
        <w:t>En ejercicio de la competencia otorgada por los artículos 3, numeral 5º, y 11, numeral 8º, del Decreto Ley 4170 de 2011,</w:t>
      </w:r>
      <w:r w:rsidRPr="00DC7EB7">
        <w:rPr>
          <w:rFonts w:ascii="Verdana" w:eastAsia="Arial MT" w:hAnsi="Verdana" w:cs="Arial MT"/>
          <w:lang w:val="es-ES" w:eastAsia="es-ES"/>
        </w:rPr>
        <w:t xml:space="preserve"> </w:t>
      </w:r>
      <w:r w:rsidRPr="00DC7EB7">
        <w:rPr>
          <w:rFonts w:ascii="Verdana" w:hAnsi="Verdana" w:cs="Arial"/>
        </w:rPr>
        <w:t xml:space="preserve">así como lo establecido en el artículo 4 de la Resolución 1707 de 2018 expedida por esta Entidad, </w:t>
      </w:r>
      <w:r w:rsidRPr="00DC7EB7">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w:t>
      </w:r>
      <w:r w:rsidRPr="00DC7EB7">
        <w:rPr>
          <w:rFonts w:ascii="Verdana" w:eastAsia="Calibri" w:hAnsi="Verdana" w:cs="Arial"/>
          <w:lang w:val="es-ES" w:eastAsia="es-ES"/>
        </w:rPr>
        <w:t>3 de septiembre de 202</w:t>
      </w:r>
      <w:r>
        <w:rPr>
          <w:rFonts w:ascii="Verdana" w:eastAsia="Calibri" w:hAnsi="Verdana" w:cs="Arial"/>
          <w:lang w:val="es-ES" w:eastAsia="es-ES"/>
        </w:rPr>
        <w:t>5</w:t>
      </w:r>
      <w:r w:rsidRPr="00DC7EB7">
        <w:rPr>
          <w:rFonts w:ascii="Verdana" w:eastAsia="Calibri" w:hAnsi="Verdana" w:cs="Arial"/>
          <w:lang w:val="es-ES" w:eastAsia="es-ES"/>
        </w:rPr>
        <w:t xml:space="preserve">, en la cual manifiesta lo siguiente: </w:t>
      </w:r>
    </w:p>
    <w:p w14:paraId="6BAB9F29" w14:textId="77777777" w:rsidR="00BD1CEE" w:rsidRPr="00DC7EB7" w:rsidRDefault="00BD1CEE" w:rsidP="00BD1CEE">
      <w:pPr>
        <w:pStyle w:val="Prrafodelista"/>
        <w:tabs>
          <w:tab w:val="left" w:pos="142"/>
          <w:tab w:val="left" w:pos="284"/>
        </w:tabs>
        <w:spacing w:line="276" w:lineRule="auto"/>
        <w:ind w:left="0"/>
        <w:jc w:val="both"/>
        <w:rPr>
          <w:rFonts w:ascii="Verdana" w:eastAsia="Century Gothic" w:hAnsi="Verdana" w:cs="Century Gothic"/>
          <w:b/>
          <w:bCs/>
        </w:rPr>
      </w:pPr>
    </w:p>
    <w:p w14:paraId="3205E52D" w14:textId="77777777" w:rsidR="00BD1CEE" w:rsidRDefault="00BD1CEE" w:rsidP="00BD1CEE">
      <w:pPr>
        <w:spacing w:after="0" w:line="240" w:lineRule="auto"/>
        <w:ind w:left="709" w:right="709"/>
        <w:jc w:val="both"/>
        <w:rPr>
          <w:rFonts w:ascii="Verdana" w:eastAsia="Century Gothic" w:hAnsi="Verdana" w:cs="Century Gothic"/>
          <w:sz w:val="20"/>
          <w:szCs w:val="20"/>
          <w:lang w:val="es-ES"/>
        </w:rPr>
      </w:pPr>
      <w:bookmarkStart w:id="1" w:name="_Hlk95313578"/>
      <w:r w:rsidRPr="005B096A">
        <w:rPr>
          <w:rFonts w:ascii="Verdana" w:eastAsia="Century Gothic" w:hAnsi="Verdana" w:cs="Century Gothic"/>
          <w:i/>
          <w:iCs/>
          <w:sz w:val="20"/>
          <w:szCs w:val="20"/>
          <w:lang w:val="es-ES"/>
        </w:rPr>
        <w:t xml:space="preserve">“[…] </w:t>
      </w:r>
      <w:r w:rsidRPr="005B096A">
        <w:rPr>
          <w:rFonts w:ascii="Verdana" w:hAnsi="Verdana" w:cs="Arial"/>
          <w:i/>
          <w:iCs/>
          <w:sz w:val="20"/>
          <w:szCs w:val="20"/>
          <w:shd w:val="clear" w:color="auto" w:fill="FFFFFF"/>
        </w:rPr>
        <w:t xml:space="preserve">Un cordial saludo. De manera atenta y con fundamento en el derecho de petición consagrado en el ART. 23 de la CP de 1991 y Ley 1755 de 2015, solicito respuesta desde el plano jurídico a la siguiente inquietud. Es posible dar por TERMINADO UNILATERALMENTE un contrato de prestación de servicios entre persona natural y entidad pública, única y exclusivamente, bajo el argumento de que dicha terminación se da por motivos de servicio público?; La duda surge porque bajo esa denominación abierta y amplia se pueden generar abusos y desconocimiento de los derechos del contratista, en tanto que solo basta para terminar unilateralmente el contrato, aducir la expresión exigencias del servicio </w:t>
      </w:r>
      <w:r w:rsidRPr="005B096A">
        <w:rPr>
          <w:rFonts w:ascii="Verdana" w:hAnsi="Verdana" w:cs="Arial"/>
          <w:i/>
          <w:iCs/>
          <w:sz w:val="20"/>
          <w:szCs w:val="20"/>
          <w:shd w:val="clear" w:color="auto" w:fill="FFFFFF"/>
        </w:rPr>
        <w:lastRenderedPageBreak/>
        <w:t xml:space="preserve">público del art. 17 de la Ley 80 de 1993, sin tener razones objetivas, documentadas o justas para adoptar esa decisión. </w:t>
      </w:r>
      <w:proofErr w:type="gramStart"/>
      <w:r w:rsidRPr="005B096A">
        <w:rPr>
          <w:rFonts w:ascii="Verdana" w:hAnsi="Verdana" w:cs="Arial"/>
          <w:i/>
          <w:iCs/>
          <w:sz w:val="20"/>
          <w:szCs w:val="20"/>
          <w:shd w:val="clear" w:color="auto" w:fill="FFFFFF"/>
        </w:rPr>
        <w:t xml:space="preserve">En el mismo sentido, es aceptable que bajo esa mera argumentación se solicite a un contratista ceder su contrato, antes de la fecha </w:t>
      </w:r>
      <w:proofErr w:type="spellStart"/>
      <w:r w:rsidRPr="005B096A">
        <w:rPr>
          <w:rFonts w:ascii="Verdana" w:hAnsi="Verdana" w:cs="Arial"/>
          <w:i/>
          <w:iCs/>
          <w:sz w:val="20"/>
          <w:szCs w:val="20"/>
          <w:shd w:val="clear" w:color="auto" w:fill="FFFFFF"/>
        </w:rPr>
        <w:t>estiupulada</w:t>
      </w:r>
      <w:proofErr w:type="spellEnd"/>
      <w:r w:rsidRPr="005B096A">
        <w:rPr>
          <w:rFonts w:ascii="Verdana" w:hAnsi="Verdana" w:cs="Arial"/>
          <w:i/>
          <w:iCs/>
          <w:sz w:val="20"/>
          <w:szCs w:val="20"/>
          <w:shd w:val="clear" w:color="auto" w:fill="FFFFFF"/>
        </w:rPr>
        <w:t xml:space="preserve"> de la terminación?</w:t>
      </w:r>
      <w:proofErr w:type="gramEnd"/>
      <w:r w:rsidRPr="005B096A">
        <w:rPr>
          <w:rFonts w:ascii="Verdana" w:hAnsi="Verdana" w:cs="Arial"/>
          <w:i/>
          <w:iCs/>
          <w:sz w:val="20"/>
          <w:szCs w:val="20"/>
          <w:shd w:val="clear" w:color="auto" w:fill="FFFFFF"/>
        </w:rPr>
        <w:t xml:space="preserve"> […]</w:t>
      </w:r>
      <w:r w:rsidRPr="005B096A">
        <w:rPr>
          <w:rFonts w:ascii="Verdana" w:eastAsia="Century Gothic" w:hAnsi="Verdana" w:cs="Century Gothic"/>
          <w:i/>
          <w:iCs/>
          <w:sz w:val="20"/>
          <w:szCs w:val="20"/>
          <w:lang w:val="es-ES"/>
        </w:rPr>
        <w:t>”</w:t>
      </w:r>
      <w:bookmarkEnd w:id="1"/>
      <w:r w:rsidRPr="005B096A">
        <w:rPr>
          <w:rFonts w:ascii="Verdana" w:eastAsia="Century Gothic" w:hAnsi="Verdana" w:cs="Century Gothic"/>
          <w:i/>
          <w:iCs/>
          <w:sz w:val="20"/>
          <w:szCs w:val="20"/>
          <w:lang w:val="es-ES"/>
        </w:rPr>
        <w:t>.</w:t>
      </w:r>
      <w:r>
        <w:rPr>
          <w:rFonts w:ascii="Verdana" w:eastAsia="Century Gothic" w:hAnsi="Verdana" w:cs="Century Gothic"/>
          <w:sz w:val="20"/>
          <w:szCs w:val="20"/>
          <w:lang w:val="es-ES"/>
        </w:rPr>
        <w:t xml:space="preserve"> (SIC)</w:t>
      </w:r>
    </w:p>
    <w:p w14:paraId="2735BDCD" w14:textId="77777777" w:rsidR="00BD1CEE" w:rsidRPr="005B096A" w:rsidRDefault="00BD1CEE" w:rsidP="00BD1CEE">
      <w:pPr>
        <w:spacing w:after="0" w:line="240" w:lineRule="auto"/>
        <w:ind w:left="709" w:right="709"/>
        <w:jc w:val="both"/>
        <w:rPr>
          <w:rFonts w:ascii="Verdana" w:hAnsi="Verdana" w:cs="Arial"/>
          <w:sz w:val="20"/>
          <w:szCs w:val="20"/>
          <w:shd w:val="clear" w:color="auto" w:fill="FFFFFF"/>
        </w:rPr>
      </w:pPr>
    </w:p>
    <w:p w14:paraId="53BF1BC4" w14:textId="77777777" w:rsidR="00BD1CEE" w:rsidRPr="0071334E" w:rsidRDefault="00BD1CEE" w:rsidP="00BD1CEE">
      <w:pPr>
        <w:spacing w:after="120" w:line="276" w:lineRule="auto"/>
        <w:ind w:firstLine="709"/>
        <w:jc w:val="both"/>
        <w:rPr>
          <w:rFonts w:ascii="Verdana" w:eastAsia="Calibri" w:hAnsi="Verdana" w:cs="Arial"/>
          <w:color w:val="000000"/>
          <w:szCs w:val="24"/>
          <w:lang w:val="es-ES_tradnl" w:eastAsia="es-ES_tradnl"/>
        </w:rPr>
      </w:pPr>
      <w:r w:rsidRPr="00DC7EB7">
        <w:rPr>
          <w:rFonts w:ascii="Verdana" w:eastAsia="Calibri" w:hAnsi="Verdana" w:cs="Arial"/>
          <w:lang w:val="es-ES" w:eastAsia="es-ES"/>
        </w:rPr>
        <w:t xml:space="preserve">De manera preliminar, resulta necesario acotar que esta entidad solo tiene competencia para responder consultas </w:t>
      </w:r>
      <w:r w:rsidRPr="0071334E">
        <w:rPr>
          <w:rFonts w:ascii="Verdana" w:eastAsia="Calibri" w:hAnsi="Verdana" w:cs="Arial"/>
          <w:color w:val="000000"/>
          <w:lang w:val="es-ES" w:eastAsia="es-ES"/>
        </w:rPr>
        <w:t xml:space="preserve">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1334E">
        <w:rPr>
          <w:rFonts w:ascii="Verdana" w:eastAsia="Calibri" w:hAnsi="Verdana" w:cs="Arial"/>
          <w:color w:val="000000"/>
          <w:szCs w:val="24"/>
          <w:lang w:val="es-ES_tradnl" w:eastAsia="es-ES_tradnl"/>
        </w:rPr>
        <w:tab/>
      </w:r>
    </w:p>
    <w:p w14:paraId="6599142E" w14:textId="77777777" w:rsidR="00BD1CEE" w:rsidRPr="0071334E" w:rsidRDefault="00BD1CEE" w:rsidP="00BD1CEE">
      <w:pPr>
        <w:spacing w:after="0" w:line="276" w:lineRule="auto"/>
        <w:ind w:firstLine="709"/>
        <w:jc w:val="both"/>
        <w:rPr>
          <w:rFonts w:ascii="Verdana" w:eastAsia="Calibri" w:hAnsi="Verdana" w:cs="Arial"/>
          <w:color w:val="000000"/>
          <w:lang w:val="es-ES" w:eastAsia="es-ES"/>
        </w:rPr>
      </w:pPr>
      <w:r w:rsidRPr="0071334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71334E">
        <w:rPr>
          <w:rFonts w:ascii="Verdana" w:eastAsia="Calibri" w:hAnsi="Verdana" w:cs="Arial"/>
          <w:color w:val="7030A0"/>
          <w:lang w:val="es-ES" w:eastAsia="es-ES"/>
        </w:rPr>
        <w:t xml:space="preserve"> </w:t>
      </w:r>
      <w:r w:rsidRPr="0071334E">
        <w:rPr>
          <w:rFonts w:ascii="Verdana" w:eastAsia="Calibri" w:hAnsi="Verdana" w:cs="Arial"/>
          <w:color w:val="000000"/>
          <w:lang w:val="es-ES" w:eastAsia="es-ES"/>
        </w:rPr>
        <w:t>jurídico</w:t>
      </w:r>
      <w:r w:rsidRPr="0071334E">
        <w:rPr>
          <w:rFonts w:ascii="Verdana" w:eastAsia="Calibri" w:hAnsi="Verdana" w:cs="Arial"/>
          <w:color w:val="7030A0"/>
          <w:lang w:val="es-ES" w:eastAsia="es-ES"/>
        </w:rPr>
        <w:t xml:space="preserve"> </w:t>
      </w:r>
      <w:r w:rsidRPr="0071334E">
        <w:rPr>
          <w:rFonts w:ascii="Verdana" w:eastAsia="Calibri" w:hAnsi="Verdana" w:cs="Arial"/>
          <w:color w:val="000000"/>
          <w:lang w:val="es-ES" w:eastAsia="es-ES"/>
        </w:rPr>
        <w:t xml:space="preserve">de su consulta. </w:t>
      </w:r>
    </w:p>
    <w:p w14:paraId="3CA80AB8" w14:textId="77777777" w:rsidR="00BD1CEE" w:rsidRPr="0071334E" w:rsidRDefault="00BD1CEE" w:rsidP="00BD1CEE">
      <w:pPr>
        <w:spacing w:after="0" w:line="276" w:lineRule="auto"/>
        <w:ind w:firstLine="709"/>
        <w:jc w:val="both"/>
        <w:rPr>
          <w:rFonts w:ascii="Verdana" w:eastAsia="Calibri" w:hAnsi="Verdana" w:cs="Arial"/>
          <w:color w:val="000000"/>
          <w:lang w:val="es-ES" w:eastAsia="es-ES"/>
        </w:rPr>
      </w:pPr>
    </w:p>
    <w:p w14:paraId="15AFFECD" w14:textId="77777777" w:rsidR="00BD1CEE" w:rsidRPr="0071334E" w:rsidRDefault="00BD1CEE" w:rsidP="00BD1CE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71334E">
        <w:rPr>
          <w:rFonts w:ascii="Verdana" w:eastAsia="Century Gothic" w:hAnsi="Verdana" w:cs="Century Gothic"/>
          <w:b/>
          <w:bCs/>
        </w:rPr>
        <w:t>Problema planteado:</w:t>
      </w:r>
    </w:p>
    <w:p w14:paraId="1BCEBCAA" w14:textId="77777777" w:rsidR="00BD1CEE" w:rsidRPr="0071334E" w:rsidRDefault="00BD1CEE" w:rsidP="00BD1CEE">
      <w:pPr>
        <w:tabs>
          <w:tab w:val="left" w:pos="426"/>
        </w:tabs>
        <w:spacing w:after="0" w:line="276" w:lineRule="auto"/>
        <w:jc w:val="both"/>
        <w:rPr>
          <w:rFonts w:ascii="Verdana" w:eastAsia="Century Gothic" w:hAnsi="Verdana" w:cs="Century Gothic"/>
          <w:lang w:val="es-ES"/>
        </w:rPr>
      </w:pPr>
    </w:p>
    <w:p w14:paraId="65289674" w14:textId="792FAD7A" w:rsidR="00BD1CEE" w:rsidRPr="00DC7EB7" w:rsidRDefault="00BD1CEE" w:rsidP="00BD1CEE">
      <w:pPr>
        <w:spacing w:after="0" w:line="276" w:lineRule="auto"/>
        <w:jc w:val="both"/>
        <w:rPr>
          <w:rFonts w:ascii="Verdana" w:eastAsia="Century Gothic" w:hAnsi="Verdana" w:cs="Century Gothic"/>
        </w:rPr>
      </w:pPr>
      <w:r w:rsidRPr="0071334E">
        <w:rPr>
          <w:rFonts w:ascii="Verdana" w:eastAsia="Century Gothic" w:hAnsi="Verdana" w:cs="Century Gothic"/>
        </w:rPr>
        <w:t xml:space="preserve">De acuerdo con el contenido de su solicitud, esta Agencia resolverá el siguiente </w:t>
      </w:r>
      <w:r w:rsidRPr="00DC7EB7">
        <w:rPr>
          <w:rFonts w:ascii="Verdana" w:eastAsia="Century Gothic" w:hAnsi="Verdana" w:cs="Century Gothic"/>
        </w:rPr>
        <w:t xml:space="preserve">problema jurídico: </w:t>
      </w:r>
      <w:r w:rsidRPr="00052FAE">
        <w:rPr>
          <w:rFonts w:ascii="Verdana" w:eastAsia="Century Gothic" w:hAnsi="Verdana" w:cs="Century Gothic"/>
        </w:rPr>
        <w:t>¿</w:t>
      </w:r>
      <w:r w:rsidR="10B5E664" w:rsidRPr="1065807C">
        <w:rPr>
          <w:rFonts w:ascii="Verdana" w:eastAsia="Century Gothic" w:hAnsi="Verdana" w:cs="Century Gothic"/>
        </w:rPr>
        <w:t>Cu</w:t>
      </w:r>
      <w:r w:rsidR="25650235" w:rsidRPr="1065807C">
        <w:rPr>
          <w:rFonts w:ascii="Verdana" w:eastAsia="Century Gothic" w:hAnsi="Verdana" w:cs="Century Gothic"/>
        </w:rPr>
        <w:t>á</w:t>
      </w:r>
      <w:r w:rsidR="10B5E664" w:rsidRPr="1065807C">
        <w:rPr>
          <w:rFonts w:ascii="Verdana" w:eastAsia="Century Gothic" w:hAnsi="Verdana" w:cs="Century Gothic"/>
        </w:rPr>
        <w:t xml:space="preserve">les son los postulados necesarios para </w:t>
      </w:r>
      <w:r w:rsidR="7656A411" w:rsidRPr="1065807C">
        <w:rPr>
          <w:rFonts w:ascii="Verdana" w:eastAsia="Century Gothic" w:hAnsi="Verdana" w:cs="Century Gothic"/>
        </w:rPr>
        <w:t xml:space="preserve">aplicar la causal </w:t>
      </w:r>
      <w:r w:rsidR="42E2C173" w:rsidRPr="1065807C">
        <w:rPr>
          <w:rFonts w:ascii="Verdana" w:eastAsia="Century Gothic" w:hAnsi="Verdana" w:cs="Century Gothic"/>
        </w:rPr>
        <w:t>prevista en e</w:t>
      </w:r>
      <w:r w:rsidR="7656A411" w:rsidRPr="1065807C">
        <w:rPr>
          <w:rFonts w:ascii="Verdana" w:eastAsia="Century Gothic" w:hAnsi="Verdana" w:cs="Century Gothic"/>
        </w:rPr>
        <w:t xml:space="preserve">l numeral 1° del artículo 17 de la ley 80 de </w:t>
      </w:r>
      <w:proofErr w:type="gramStart"/>
      <w:r w:rsidR="7656A411" w:rsidRPr="1065807C">
        <w:rPr>
          <w:rFonts w:ascii="Verdana" w:eastAsia="Century Gothic" w:hAnsi="Verdana" w:cs="Century Gothic"/>
        </w:rPr>
        <w:t xml:space="preserve">1993 </w:t>
      </w:r>
      <w:r w:rsidRPr="00052FAE">
        <w:rPr>
          <w:rFonts w:ascii="Verdana" w:eastAsia="Century Gothic" w:hAnsi="Verdana" w:cs="Century Gothic"/>
        </w:rPr>
        <w:t xml:space="preserve"> </w:t>
      </w:r>
      <w:r w:rsidR="6B91587C" w:rsidRPr="1065807C">
        <w:rPr>
          <w:rFonts w:ascii="Verdana" w:eastAsia="Century Gothic" w:hAnsi="Verdana" w:cs="Century Gothic"/>
        </w:rPr>
        <w:t>en</w:t>
      </w:r>
      <w:proofErr w:type="gramEnd"/>
      <w:r w:rsidR="6B91587C" w:rsidRPr="1065807C">
        <w:rPr>
          <w:rFonts w:ascii="Verdana" w:eastAsia="Century Gothic" w:hAnsi="Verdana" w:cs="Century Gothic"/>
        </w:rPr>
        <w:t xml:space="preserve"> el </w:t>
      </w:r>
      <w:r w:rsidR="3872429B" w:rsidRPr="1065807C">
        <w:rPr>
          <w:rFonts w:ascii="Verdana" w:eastAsia="Century Gothic" w:hAnsi="Verdana" w:cs="Century Gothic"/>
        </w:rPr>
        <w:t>evento</w:t>
      </w:r>
      <w:r w:rsidR="6B91587C" w:rsidRPr="1065807C">
        <w:rPr>
          <w:rFonts w:ascii="Verdana" w:eastAsia="Century Gothic" w:hAnsi="Verdana" w:cs="Century Gothic"/>
        </w:rPr>
        <w:t xml:space="preserve"> de </w:t>
      </w:r>
      <w:r w:rsidRPr="00052FAE">
        <w:rPr>
          <w:rFonts w:ascii="Verdana" w:eastAsia="Century Gothic" w:hAnsi="Verdana" w:cs="Century Gothic"/>
        </w:rPr>
        <w:t>terminar unilateralmente un contrato de prestación de servicios</w:t>
      </w:r>
      <w:r w:rsidR="7216906A" w:rsidRPr="1065807C">
        <w:rPr>
          <w:rFonts w:ascii="Verdana" w:eastAsia="Century Gothic" w:hAnsi="Verdana" w:cs="Century Gothic"/>
        </w:rPr>
        <w:t>?</w:t>
      </w:r>
      <w:r w:rsidRPr="00052FAE">
        <w:rPr>
          <w:rFonts w:ascii="Verdana" w:eastAsia="Century Gothic" w:hAnsi="Verdana" w:cs="Century Gothic"/>
        </w:rPr>
        <w:t>?</w:t>
      </w:r>
      <w:r w:rsidRPr="00DC7EB7">
        <w:rPr>
          <w:rFonts w:ascii="Verdana" w:eastAsia="Century Gothic" w:hAnsi="Verdana" w:cs="Century Gothic"/>
        </w:rPr>
        <w:t xml:space="preserve"> </w:t>
      </w:r>
    </w:p>
    <w:p w14:paraId="6120D208" w14:textId="77777777" w:rsidR="00BD1CEE" w:rsidRPr="00DC7EB7" w:rsidRDefault="00BD1CEE" w:rsidP="00BD1CEE">
      <w:pPr>
        <w:spacing w:after="0" w:line="276" w:lineRule="auto"/>
        <w:jc w:val="both"/>
        <w:rPr>
          <w:rFonts w:ascii="Verdana" w:eastAsia="Calibri" w:hAnsi="Verdana" w:cs="Arial"/>
          <w:lang w:val="es-ES"/>
        </w:rPr>
      </w:pPr>
    </w:p>
    <w:p w14:paraId="43265A58" w14:textId="77777777" w:rsidR="00BD1CEE" w:rsidRPr="00DC7EB7" w:rsidRDefault="00BD1CEE" w:rsidP="00BD1C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7EB7">
        <w:rPr>
          <w:rFonts w:ascii="Verdana" w:eastAsia="Century Gothic" w:hAnsi="Verdana" w:cs="Century Gothic"/>
          <w:b/>
          <w:bCs/>
        </w:rPr>
        <w:t>Respuesta:</w:t>
      </w:r>
    </w:p>
    <w:p w14:paraId="3164A8DA" w14:textId="77777777" w:rsidR="00BD1CEE" w:rsidRPr="00DC7EB7" w:rsidRDefault="00BD1CEE" w:rsidP="00BD1CE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D1CEE" w:rsidRPr="00DC7EB7" w14:paraId="2FBCDC79" w14:textId="77777777" w:rsidTr="00EC403E">
        <w:tc>
          <w:tcPr>
            <w:tcW w:w="8828" w:type="dxa"/>
          </w:tcPr>
          <w:p w14:paraId="7DAE8696" w14:textId="0991717B" w:rsidR="00BD1CEE" w:rsidRPr="00052FAE" w:rsidRDefault="00BD1CEE" w:rsidP="00EC403E">
            <w:pPr>
              <w:spacing w:after="160" w:line="278" w:lineRule="auto"/>
              <w:jc w:val="both"/>
              <w:rPr>
                <w:rFonts w:ascii="Verdana" w:hAnsi="Verdana"/>
              </w:rPr>
            </w:pPr>
            <w:r w:rsidRPr="00052FAE">
              <w:rPr>
                <w:rFonts w:ascii="Verdana" w:eastAsia="Calibri" w:hAnsi="Verdana" w:cs="Arial"/>
              </w:rPr>
              <w:t xml:space="preserve">En lo atinente a la terminación unilateral del contrato, si bien la ley otorga a las entidades públicas la potestad de actuar en ejercicio de una </w:t>
            </w:r>
            <w:r w:rsidRPr="1065807C">
              <w:rPr>
                <w:rFonts w:ascii="Verdana" w:eastAsia="Calibri" w:hAnsi="Verdana" w:cs="Arial"/>
              </w:rPr>
              <w:t>faculta</w:t>
            </w:r>
            <w:r w:rsidR="07318F06" w:rsidRPr="1065807C">
              <w:rPr>
                <w:rFonts w:ascii="Verdana" w:eastAsia="Calibri" w:hAnsi="Verdana" w:cs="Arial"/>
              </w:rPr>
              <w:t>d</w:t>
            </w:r>
            <w:r w:rsidRPr="00052FAE">
              <w:rPr>
                <w:rFonts w:ascii="Verdana" w:eastAsia="Calibri" w:hAnsi="Verdana" w:cs="Arial"/>
              </w:rPr>
              <w:t xml:space="preserve"> exorbitante, les impone el cumplimiento de presupuestos de forzosa aplicación y a la vez restringe la medida a los eventos previstos en la misma. Efectivamente, para declarar la terminación unilateral se requiere i) que la </w:t>
            </w:r>
            <w:r w:rsidRPr="00052FAE">
              <w:rPr>
                <w:rFonts w:ascii="Verdana" w:eastAsia="Calibri" w:hAnsi="Verdana" w:cs="Arial"/>
              </w:rPr>
              <w:lastRenderedPageBreak/>
              <w:t xml:space="preserve">manifestación de la voluntad de la administración se materialice en un acto administrativo, </w:t>
            </w:r>
            <w:proofErr w:type="spellStart"/>
            <w:r w:rsidRPr="00052FAE">
              <w:rPr>
                <w:rFonts w:ascii="Verdana" w:eastAsia="Calibri" w:hAnsi="Verdana" w:cs="Arial"/>
              </w:rPr>
              <w:t>ii</w:t>
            </w:r>
            <w:proofErr w:type="spellEnd"/>
            <w:r w:rsidRPr="00052FAE">
              <w:rPr>
                <w:rFonts w:ascii="Verdana" w:eastAsia="Calibri" w:hAnsi="Verdana" w:cs="Arial"/>
              </w:rPr>
              <w:t xml:space="preserve">) que dicho acto debe ser el resultado de un análisis soportado en la realidad del contrato, es decir, debe estar debidamente motivado y </w:t>
            </w:r>
            <w:proofErr w:type="spellStart"/>
            <w:r w:rsidRPr="00052FAE">
              <w:rPr>
                <w:rFonts w:ascii="Verdana" w:eastAsia="Calibri" w:hAnsi="Verdana" w:cs="Arial"/>
              </w:rPr>
              <w:t>iii</w:t>
            </w:r>
            <w:proofErr w:type="spellEnd"/>
            <w:r w:rsidRPr="00052FAE">
              <w:rPr>
                <w:rFonts w:ascii="Verdana" w:eastAsia="Calibri" w:hAnsi="Verdana" w:cs="Arial"/>
              </w:rPr>
              <w:t>) que la causal que se alegue en la decisión se encuentre enmarcada en los eventos que la ley ha dispuesto.</w:t>
            </w:r>
          </w:p>
          <w:p w14:paraId="2B6E2F11" w14:textId="77777777" w:rsidR="00BD1CEE" w:rsidRPr="00052FAE" w:rsidRDefault="00BD1CEE" w:rsidP="00EC403E">
            <w:pPr>
              <w:spacing w:after="160" w:line="278" w:lineRule="auto"/>
              <w:jc w:val="both"/>
              <w:rPr>
                <w:rFonts w:ascii="Verdana" w:hAnsi="Verdana"/>
              </w:rPr>
            </w:pPr>
            <w:r w:rsidRPr="00052FAE">
              <w:rPr>
                <w:rFonts w:ascii="Verdana" w:hAnsi="Verdana"/>
              </w:rPr>
              <w:t>Conforme a lo establecido en el numeral 1 del artículo 17 de la Ley 80 de 1993, la entidad estatal contratante podrá declarar la terminación unilateral del contrato estatal en los eventos en que:</w:t>
            </w:r>
          </w:p>
          <w:p w14:paraId="3D105B58" w14:textId="77777777" w:rsidR="00BD1CEE" w:rsidRPr="00052FAE" w:rsidRDefault="00BD1CEE" w:rsidP="00BD1CEE">
            <w:pPr>
              <w:numPr>
                <w:ilvl w:val="0"/>
                <w:numId w:val="18"/>
              </w:numPr>
              <w:spacing w:after="160" w:line="278" w:lineRule="auto"/>
              <w:jc w:val="both"/>
              <w:rPr>
                <w:rFonts w:ascii="Verdana" w:hAnsi="Verdana"/>
              </w:rPr>
            </w:pPr>
            <w:r w:rsidRPr="00052FAE">
              <w:rPr>
                <w:rFonts w:ascii="Verdana" w:hAnsi="Verdana"/>
              </w:rPr>
              <w:t>Las exigencias del servicio público lo requieran, o</w:t>
            </w:r>
          </w:p>
          <w:p w14:paraId="378D1357" w14:textId="77777777" w:rsidR="00BD1CEE" w:rsidRPr="00052FAE" w:rsidRDefault="00BD1CEE" w:rsidP="00BD1CEE">
            <w:pPr>
              <w:numPr>
                <w:ilvl w:val="0"/>
                <w:numId w:val="18"/>
              </w:numPr>
              <w:spacing w:after="160" w:line="278" w:lineRule="auto"/>
              <w:jc w:val="both"/>
              <w:rPr>
                <w:rFonts w:ascii="Verdana" w:hAnsi="Verdana"/>
              </w:rPr>
            </w:pPr>
            <w:r w:rsidRPr="00052FAE">
              <w:rPr>
                <w:rFonts w:ascii="Verdana" w:hAnsi="Verdana"/>
              </w:rPr>
              <w:t>La situación de orden público lo imponga.</w:t>
            </w:r>
          </w:p>
          <w:p w14:paraId="3A2BB850" w14:textId="77777777" w:rsidR="00BD1CEE" w:rsidRDefault="00BD1CEE" w:rsidP="00EC403E">
            <w:pPr>
              <w:spacing w:after="160" w:line="278" w:lineRule="auto"/>
              <w:jc w:val="both"/>
              <w:rPr>
                <w:rFonts w:ascii="Verdana" w:hAnsi="Verdana"/>
              </w:rPr>
            </w:pPr>
            <w:r w:rsidRPr="00052FAE">
              <w:rPr>
                <w:rFonts w:ascii="Verdana" w:hAnsi="Verdana"/>
              </w:rPr>
              <w:t>Esta potestad excepcional obedece a la naturaleza misional y prioritaria del interés general dentro de la contratación estatal, y debe ejercerse mediante acto administrativo debidamente motivado, en el cual se expongan de manera clara y sustentada los hechos y fundamentos jurídicos que justifiquen la decisión, atendiendo las particularidades del contrato en cuestión.</w:t>
            </w:r>
          </w:p>
          <w:p w14:paraId="3A4AA862" w14:textId="77777777" w:rsidR="00BD1CEE" w:rsidRPr="004627A4" w:rsidRDefault="00BD1CEE" w:rsidP="00EC403E">
            <w:pPr>
              <w:spacing w:after="160" w:line="278" w:lineRule="auto"/>
              <w:jc w:val="both"/>
              <w:rPr>
                <w:rFonts w:ascii="Verdana" w:hAnsi="Verdana"/>
              </w:rPr>
            </w:pPr>
            <w:r w:rsidRPr="004627A4">
              <w:rPr>
                <w:rFonts w:ascii="Verdana" w:hAnsi="Verdana"/>
              </w:rPr>
              <w:t>Ahora bien, es importante señalar que las causales previstas en el 17 de la Ley 80 de 1993, referidas a la terminación unilateral del contrato por razones de orden público o exigencias del servicio, deben ser interpretadas de manera restrictiva, en virtud del principio de legalidad que rige las actuaciones administrativas.</w:t>
            </w:r>
          </w:p>
          <w:p w14:paraId="5D2A90D7" w14:textId="77777777" w:rsidR="00BD1CEE" w:rsidRPr="004627A4" w:rsidRDefault="00BD1CEE" w:rsidP="00EC403E">
            <w:pPr>
              <w:spacing w:after="160" w:line="278" w:lineRule="auto"/>
              <w:jc w:val="both"/>
              <w:rPr>
                <w:rFonts w:ascii="Verdana" w:hAnsi="Verdana"/>
              </w:rPr>
            </w:pPr>
            <w:r w:rsidRPr="004627A4">
              <w:rPr>
                <w:rFonts w:ascii="Verdana" w:hAnsi="Verdana"/>
              </w:rPr>
              <w:t>En consecuencia, dichas causales únicamente son aplicables a la figura jurídica de la terminación unilateral del contrato, no siendo extensibles ni susceptibles de reinterpretación para justificar otras figuras contractuales distintas, como lo es la cesión del contrato.</w:t>
            </w:r>
          </w:p>
          <w:p w14:paraId="45036EC2" w14:textId="77777777" w:rsidR="00BD1CEE" w:rsidRPr="004627A4" w:rsidRDefault="00BD1CEE" w:rsidP="00EC403E">
            <w:pPr>
              <w:spacing w:after="160" w:line="278" w:lineRule="auto"/>
              <w:jc w:val="both"/>
              <w:rPr>
                <w:rFonts w:ascii="Verdana" w:hAnsi="Verdana"/>
              </w:rPr>
            </w:pPr>
            <w:r w:rsidRPr="001941FD">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Así, cada entidad definirá la forma de adelantar su gestión </w:t>
            </w:r>
            <w:r w:rsidRPr="001941FD">
              <w:rPr>
                <w:rStyle w:val="s15"/>
                <w:rFonts w:ascii="Verdana" w:hAnsi="Verdana"/>
                <w:color w:val="000000"/>
              </w:rPr>
              <w:lastRenderedPageBreak/>
              <w:t>contractual, sin que sea atribución de Colombia Compra Eficiente validar sus actuaciones.</w:t>
            </w:r>
          </w:p>
        </w:tc>
      </w:tr>
    </w:tbl>
    <w:p w14:paraId="7B62D92F" w14:textId="77777777" w:rsidR="00BD1CEE" w:rsidRPr="0071334E" w:rsidRDefault="00BD1CEE" w:rsidP="00BD1CEE">
      <w:pPr>
        <w:tabs>
          <w:tab w:val="left" w:pos="142"/>
          <w:tab w:val="left" w:pos="284"/>
        </w:tabs>
        <w:spacing w:after="0" w:line="276" w:lineRule="auto"/>
        <w:jc w:val="both"/>
        <w:rPr>
          <w:rFonts w:ascii="Verdana" w:eastAsia="Century Gothic" w:hAnsi="Verdana" w:cs="Century Gothic"/>
          <w:b/>
          <w:bCs/>
          <w:lang w:val="es-ES"/>
        </w:rPr>
      </w:pPr>
    </w:p>
    <w:p w14:paraId="1A32C801" w14:textId="77777777" w:rsidR="00BD1CEE" w:rsidRPr="0071334E" w:rsidRDefault="00BD1CEE" w:rsidP="00BD1C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334E">
        <w:rPr>
          <w:rFonts w:ascii="Verdana" w:eastAsia="Century Gothic" w:hAnsi="Verdana" w:cs="Century Gothic"/>
          <w:b/>
          <w:bCs/>
        </w:rPr>
        <w:t>Razones de la respuesta:</w:t>
      </w:r>
    </w:p>
    <w:p w14:paraId="292F7F71" w14:textId="77777777" w:rsidR="00BD1CEE" w:rsidRPr="0071334E" w:rsidRDefault="00BD1CEE" w:rsidP="00BD1CEE">
      <w:pPr>
        <w:spacing w:after="0" w:line="276" w:lineRule="auto"/>
        <w:jc w:val="both"/>
        <w:rPr>
          <w:rFonts w:ascii="Verdana" w:eastAsia="Calibri" w:hAnsi="Verdana" w:cs="Arial"/>
          <w:color w:val="7030A0"/>
          <w:lang w:val="es-ES"/>
        </w:rPr>
      </w:pPr>
    </w:p>
    <w:p w14:paraId="1E38EAEB" w14:textId="77777777" w:rsidR="00BD1CEE" w:rsidRPr="0071334E" w:rsidRDefault="00BD1CEE" w:rsidP="00BD1CEE">
      <w:pPr>
        <w:spacing w:after="0" w:line="276" w:lineRule="auto"/>
        <w:jc w:val="both"/>
        <w:rPr>
          <w:rFonts w:ascii="Verdana" w:eastAsia="Calibri" w:hAnsi="Verdana" w:cs="Arial"/>
          <w:lang w:val="es-ES"/>
        </w:rPr>
      </w:pPr>
      <w:r w:rsidRPr="0071334E">
        <w:rPr>
          <w:rFonts w:ascii="Verdana" w:eastAsia="Calibri" w:hAnsi="Verdana" w:cs="Arial"/>
          <w:lang w:val="es-ES"/>
        </w:rPr>
        <w:t xml:space="preserve">Lo anterior se sustenta en las siguientes consideraciones: </w:t>
      </w:r>
    </w:p>
    <w:p w14:paraId="0898FD2F" w14:textId="77777777" w:rsidR="00BD1CEE" w:rsidRPr="0071334E" w:rsidRDefault="00BD1CEE" w:rsidP="00BD1CEE">
      <w:pPr>
        <w:spacing w:after="0" w:line="276" w:lineRule="auto"/>
        <w:jc w:val="both"/>
        <w:rPr>
          <w:rFonts w:ascii="Verdana" w:hAnsi="Verdana" w:cs="Arial"/>
        </w:rPr>
      </w:pPr>
    </w:p>
    <w:p w14:paraId="7035B64F" w14:textId="77777777" w:rsidR="00BD1CEE" w:rsidRPr="00792E4B" w:rsidRDefault="00BD1CEE" w:rsidP="00BD1CEE">
      <w:pPr>
        <w:spacing w:after="120" w:line="276" w:lineRule="auto"/>
        <w:ind w:firstLine="708"/>
        <w:jc w:val="both"/>
        <w:rPr>
          <w:rFonts w:ascii="Verdana" w:hAnsi="Verdana" w:cs="Arial"/>
          <w:color w:val="000000" w:themeColor="text1"/>
          <w:lang w:val="es-MX"/>
        </w:rPr>
      </w:pPr>
      <w:r w:rsidRPr="00792E4B">
        <w:rPr>
          <w:rFonts w:ascii="Verdana" w:hAnsi="Verdana" w:cs="Arial"/>
          <w:color w:val="000000" w:themeColor="text1"/>
          <w:lang w:val="es-MX"/>
        </w:rPr>
        <w:t>El artículo 3 de la Ley 80 de 1993 dispone que en la celebración de los contratos y en la ejecución de estos, las entidades y los servidores públicos deben tener en cuenta el cumplimiento de los fines estatales, la continua y eficiente prestación de los servicios públicos y la efectividad de los derechos e intereses de los administrados que colaboran con ellas en la consecución de dichos fines. Los particulares, por su parte, también deben contribuir al logro y satisfacción del interés general, cumpliendo de esta forma una función social en desarrollo de sus obligaciones contractuales como colaboradores del Estado.</w:t>
      </w:r>
    </w:p>
    <w:p w14:paraId="579FE46B" w14:textId="77777777" w:rsidR="00BD1CEE" w:rsidRPr="00792E4B" w:rsidRDefault="00BD1CEE" w:rsidP="00BD1CEE">
      <w:pPr>
        <w:spacing w:before="120" w:after="120" w:line="276" w:lineRule="auto"/>
        <w:ind w:firstLine="708"/>
        <w:jc w:val="both"/>
        <w:rPr>
          <w:rFonts w:ascii="Verdana" w:hAnsi="Verdana" w:cs="Arial"/>
          <w:color w:val="000000" w:themeColor="text1"/>
          <w:lang w:val="es-MX"/>
        </w:rPr>
      </w:pPr>
      <w:r w:rsidRPr="00792E4B">
        <w:rPr>
          <w:rFonts w:ascii="Verdana" w:hAnsi="Verdana" w:cs="Arial"/>
          <w:color w:val="000000" w:themeColor="text1"/>
          <w:lang w:val="es-MX"/>
        </w:rPr>
        <w:t xml:space="preserve">Para el cumplimiento de los fines de la contratación, las entidades estatales tendrán la dirección general y la responsabilidad de ejercer el control y vigilancia de la ejecución del contrato. En consecuencia, en el marco de lo señalado en el artículo 14 de la Ley 80 de 1993 y con el único objeto de evitar la paralización o la afectación grave de los servicios públicos y asegurar la inmediata, continua y adecuada prestación de los mismos, dichas entidades podrán interpretar los documentos contractuales y las estipulaciones en ellos contenidas, introducir modificaciones a lo pactado y, cuando las condiciones particulares de la prestación así lo exijan, terminar unilateralmente el contrato celebrado. Es decir, las entidades estatales pueden usar estas potestades “[…] como manifestación de su </w:t>
      </w:r>
      <w:proofErr w:type="spellStart"/>
      <w:r w:rsidRPr="00792E4B">
        <w:rPr>
          <w:rFonts w:ascii="Verdana" w:hAnsi="Verdana" w:cs="Arial"/>
          <w:i/>
          <w:iCs/>
          <w:color w:val="000000" w:themeColor="text1"/>
          <w:lang w:val="es-MX"/>
        </w:rPr>
        <w:t>imperium</w:t>
      </w:r>
      <w:proofErr w:type="spellEnd"/>
      <w:r w:rsidRPr="00792E4B">
        <w:rPr>
          <w:rFonts w:ascii="Verdana" w:hAnsi="Verdana" w:cs="Arial"/>
          <w:i/>
          <w:iCs/>
          <w:color w:val="000000" w:themeColor="text1"/>
          <w:lang w:val="es-MX"/>
        </w:rPr>
        <w:t xml:space="preserve"> </w:t>
      </w:r>
      <w:r w:rsidRPr="00792E4B">
        <w:rPr>
          <w:rFonts w:ascii="Verdana" w:hAnsi="Verdana" w:cs="Arial"/>
          <w:color w:val="000000" w:themeColor="text1"/>
          <w:lang w:val="es-MX"/>
        </w:rPr>
        <w:t>o poder de Estado, que se concreta en el poder jurídico para imponer coactivamente su voluntad, lo cual debe matizarse, dado que estás prerrogativas solo podrán ser ejercidas en las situaciones en las situaciones de hecho previamente establecidas por la ley y dentro de los limites señalados por la misma”</w:t>
      </w:r>
      <w:r w:rsidRPr="0071334E">
        <w:rPr>
          <w:vertAlign w:val="superscript"/>
          <w:lang w:val="es-MX"/>
        </w:rPr>
        <w:footnoteReference w:id="1"/>
      </w:r>
      <w:r w:rsidRPr="00792E4B">
        <w:rPr>
          <w:rFonts w:ascii="Verdana" w:hAnsi="Verdana" w:cs="Arial"/>
          <w:color w:val="000000" w:themeColor="text1"/>
          <w:lang w:val="es-MX"/>
        </w:rPr>
        <w:t xml:space="preserve">.  </w:t>
      </w:r>
    </w:p>
    <w:p w14:paraId="2C0AB01E" w14:textId="77777777" w:rsidR="00BD1CEE" w:rsidRPr="00792E4B" w:rsidRDefault="00BD1CEE" w:rsidP="00BD1CEE">
      <w:pPr>
        <w:spacing w:before="120" w:after="120" w:line="276" w:lineRule="auto"/>
        <w:ind w:firstLine="360"/>
        <w:jc w:val="both"/>
        <w:rPr>
          <w:rFonts w:ascii="Verdana" w:hAnsi="Verdana" w:cs="Arial"/>
          <w:color w:val="000000" w:themeColor="text1"/>
          <w:lang w:val="es-MX"/>
        </w:rPr>
      </w:pPr>
      <w:r w:rsidRPr="00792E4B">
        <w:rPr>
          <w:rFonts w:ascii="Verdana" w:hAnsi="Verdana" w:cs="Arial"/>
          <w:color w:val="000000" w:themeColor="text1"/>
          <w:lang w:val="es-MX"/>
        </w:rPr>
        <w:t xml:space="preserve">En lo relacionado con las cláusulas excepcionales al derecho común de terminación, interpretación y modificación unilaterales, el numeral 2 del mencionado artículo 14 regula su ejercicio en atención al tipo de contrato de que </w:t>
      </w:r>
      <w:r w:rsidRPr="00792E4B">
        <w:rPr>
          <w:rFonts w:ascii="Verdana" w:hAnsi="Verdana" w:cs="Arial"/>
          <w:color w:val="000000" w:themeColor="text1"/>
          <w:lang w:val="es-MX"/>
        </w:rPr>
        <w:lastRenderedPageBreak/>
        <w:t>se trate. En la exposición de motivos de la Ley 80 de 1993</w:t>
      </w:r>
      <w:r w:rsidRPr="0071334E">
        <w:rPr>
          <w:vertAlign w:val="superscript"/>
          <w:lang w:val="es-MX"/>
        </w:rPr>
        <w:footnoteReference w:id="2"/>
      </w:r>
      <w:r w:rsidRPr="00792E4B">
        <w:rPr>
          <w:rFonts w:ascii="Verdana" w:hAnsi="Verdana" w:cs="Arial"/>
          <w:color w:val="000000" w:themeColor="text1"/>
          <w:lang w:val="es-MX"/>
        </w:rPr>
        <w:t xml:space="preserve"> se establece que la administración debe estar dotada de mecanismos eficaces, así fueren excepcionales, que contribuyan a la adecuada realización de la finalidad contractual y de los fines estatales. Es por eso por lo que, cuando se presenten circunstancias que amenacen la paralización de los servicios, las entidades públicas pueden tomar medidas que conduzcan a garantizar la continua y adecuada prestación del servicio, con fundamento en la prevalencia del interés público sobre el particular.</w:t>
      </w:r>
    </w:p>
    <w:p w14:paraId="3113412C" w14:textId="77777777" w:rsidR="00BD1CEE" w:rsidRPr="00792E4B" w:rsidRDefault="00BD1CEE" w:rsidP="00BD1CEE">
      <w:pPr>
        <w:spacing w:before="120" w:after="120" w:line="276" w:lineRule="auto"/>
        <w:ind w:firstLine="360"/>
        <w:jc w:val="both"/>
        <w:rPr>
          <w:rFonts w:ascii="Verdana" w:hAnsi="Verdana" w:cs="Arial"/>
          <w:color w:val="000000" w:themeColor="text1"/>
          <w:lang w:val="es-MX"/>
        </w:rPr>
      </w:pPr>
      <w:r w:rsidRPr="00792E4B">
        <w:rPr>
          <w:rFonts w:ascii="Verdana" w:hAnsi="Verdana" w:cs="Arial"/>
          <w:color w:val="000000" w:themeColor="text1"/>
          <w:lang w:val="es-MX"/>
        </w:rPr>
        <w:t>En este sentido, los motivos aducidos por la entidad estatal para ejercer las cláusulas excepcionales deben ser graves, ya que no cualquier hecho puede provocarla pues son inescindibles al interés general, sin que se pueda desconocer las compensaciones e indemnizaciones a que tendrán derecho las personas objeto de tales medidas, traducida en la contraprestación necesaria para mantener la igualdad contractual.</w:t>
      </w:r>
    </w:p>
    <w:p w14:paraId="4AB7F965" w14:textId="2E22EE5B" w:rsidR="00BD1CEE" w:rsidRPr="00792E4B" w:rsidRDefault="00BD1CEE" w:rsidP="00BD1CEE">
      <w:pPr>
        <w:spacing w:before="120" w:after="120" w:line="276" w:lineRule="auto"/>
        <w:ind w:firstLine="360"/>
        <w:jc w:val="both"/>
        <w:rPr>
          <w:rFonts w:ascii="Verdana" w:hAnsi="Verdana" w:cs="Arial"/>
          <w:color w:val="000000" w:themeColor="text1"/>
          <w:lang w:val="es-MX"/>
        </w:rPr>
      </w:pPr>
      <w:r w:rsidRPr="00792E4B">
        <w:rPr>
          <w:rFonts w:ascii="Verdana" w:hAnsi="Verdana" w:cs="Arial"/>
          <w:color w:val="000000" w:themeColor="text1"/>
          <w:lang w:val="es-MX"/>
        </w:rPr>
        <w:t xml:space="preserve">En lo atinente a la terminación unilateral del contrato, si bien la ley otorga a las entidades públicas la potestad de actuar en ejercicio de una </w:t>
      </w:r>
      <w:r w:rsidRPr="1065807C">
        <w:rPr>
          <w:rFonts w:ascii="Verdana" w:hAnsi="Verdana" w:cs="Arial"/>
          <w:color w:val="000000" w:themeColor="text1"/>
          <w:lang w:val="es-MX"/>
        </w:rPr>
        <w:t>faculta</w:t>
      </w:r>
      <w:r w:rsidR="03B35EE4" w:rsidRPr="1065807C">
        <w:rPr>
          <w:rFonts w:ascii="Verdana" w:hAnsi="Verdana" w:cs="Arial"/>
          <w:color w:val="000000" w:themeColor="text1"/>
          <w:lang w:val="es-MX"/>
        </w:rPr>
        <w:t>d</w:t>
      </w:r>
      <w:r w:rsidRPr="00792E4B">
        <w:rPr>
          <w:rFonts w:ascii="Verdana" w:hAnsi="Verdana" w:cs="Arial"/>
          <w:color w:val="000000" w:themeColor="text1"/>
          <w:lang w:val="es-MX"/>
        </w:rPr>
        <w:t xml:space="preserve"> exorbitante, les impone el cumplimiento de presupuestos de forzosa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792E4B">
        <w:rPr>
          <w:rFonts w:ascii="Verdana" w:hAnsi="Verdana" w:cs="Arial"/>
          <w:color w:val="000000" w:themeColor="text1"/>
          <w:lang w:val="es-MX"/>
        </w:rPr>
        <w:t>ii</w:t>
      </w:r>
      <w:proofErr w:type="spellEnd"/>
      <w:r w:rsidRPr="00792E4B">
        <w:rPr>
          <w:rFonts w:ascii="Verdana" w:hAnsi="Verdana" w:cs="Arial"/>
          <w:color w:val="000000" w:themeColor="text1"/>
          <w:lang w:val="es-MX"/>
        </w:rPr>
        <w:t xml:space="preserve">) que dicho acto debe ser el resultado de un análisis soportado en la realidad del contrato, es decir, debe estar debidamente motivado y </w:t>
      </w:r>
      <w:proofErr w:type="spellStart"/>
      <w:r w:rsidRPr="00792E4B">
        <w:rPr>
          <w:rFonts w:ascii="Verdana" w:hAnsi="Verdana" w:cs="Arial"/>
          <w:color w:val="000000" w:themeColor="text1"/>
          <w:lang w:val="es-MX"/>
        </w:rPr>
        <w:t>iii</w:t>
      </w:r>
      <w:proofErr w:type="spellEnd"/>
      <w:r w:rsidRPr="00792E4B">
        <w:rPr>
          <w:rFonts w:ascii="Verdana" w:hAnsi="Verdana" w:cs="Arial"/>
          <w:color w:val="000000" w:themeColor="text1"/>
          <w:lang w:val="es-MX"/>
        </w:rPr>
        <w:t>) que la causal que se alegue en la decisión se encuentre enmarcada en los eventos que la ley ha dispuesto.</w:t>
      </w:r>
    </w:p>
    <w:p w14:paraId="0EE76B51" w14:textId="77777777" w:rsidR="00BD1CEE" w:rsidRPr="00792E4B" w:rsidRDefault="00BD1CEE" w:rsidP="00BD1CEE">
      <w:pPr>
        <w:spacing w:before="120" w:after="200" w:line="276" w:lineRule="auto"/>
        <w:ind w:firstLine="360"/>
        <w:jc w:val="both"/>
        <w:rPr>
          <w:rFonts w:ascii="Verdana" w:hAnsi="Verdana" w:cs="Arial"/>
          <w:color w:val="000000" w:themeColor="text1"/>
          <w:lang w:val="es-MX"/>
        </w:rPr>
      </w:pPr>
      <w:r w:rsidRPr="00792E4B">
        <w:rPr>
          <w:rFonts w:ascii="Verdana" w:hAnsi="Verdana" w:cs="Arial"/>
          <w:color w:val="000000" w:themeColor="text1"/>
          <w:lang w:val="es-MX"/>
        </w:rPr>
        <w:t>El artículo 17 de la Ley 80 de 1993 establece expresamente en que eventos procede la terminación unilateral del contrato. Al efecto, la norma establece las siguientes causales:</w:t>
      </w:r>
    </w:p>
    <w:p w14:paraId="5F0CAAD0" w14:textId="77777777" w:rsidR="00BD1CEE" w:rsidRPr="0071334E" w:rsidRDefault="00BD1CEE" w:rsidP="00BD1CEE">
      <w:pPr>
        <w:pStyle w:val="Prrafodelista"/>
        <w:rPr>
          <w:rFonts w:ascii="Verdana" w:hAnsi="Verdana" w:cs="Arial"/>
          <w:color w:val="000000" w:themeColor="text1"/>
          <w:lang w:val="es-MX"/>
        </w:rPr>
      </w:pPr>
    </w:p>
    <w:p w14:paraId="0401C3BC" w14:textId="77777777" w:rsidR="00BD1CEE" w:rsidRPr="0071334E" w:rsidRDefault="00BD1CEE" w:rsidP="00BD1CEE">
      <w:pPr>
        <w:pStyle w:val="Prrafodelista"/>
        <w:spacing w:after="200" w:line="240" w:lineRule="auto"/>
        <w:ind w:left="1491" w:right="357"/>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Artículo 17. De la terminación unilateral</w:t>
      </w:r>
      <w:r w:rsidRPr="0071334E">
        <w:rPr>
          <w:rFonts w:ascii="Verdana" w:hAnsi="Verdana" w:cs="Arial"/>
          <w:b/>
          <w:bCs/>
          <w:color w:val="000000"/>
          <w:sz w:val="20"/>
          <w:szCs w:val="20"/>
          <w:lang w:val="es-MX" w:eastAsia="es-CO"/>
        </w:rPr>
        <w:t>.</w:t>
      </w:r>
      <w:r w:rsidRPr="0071334E">
        <w:rPr>
          <w:rFonts w:ascii="Verdana" w:hAnsi="Verdana" w:cs="Arial"/>
          <w:color w:val="000000"/>
          <w:sz w:val="20"/>
          <w:szCs w:val="20"/>
          <w:lang w:val="es-MX" w:eastAsia="es-CO"/>
        </w:rPr>
        <w:t> La entidad en acto administrativo debidamente motivado dispondrá la terminación anticipada del contrato en los siguientes eventos: </w:t>
      </w:r>
    </w:p>
    <w:p w14:paraId="52BEB26D" w14:textId="77777777" w:rsidR="00BD1CEE" w:rsidRPr="00792E4B" w:rsidRDefault="00BD1CEE" w:rsidP="00BD1CEE">
      <w:pPr>
        <w:pStyle w:val="Prrafodelista"/>
        <w:spacing w:after="200" w:line="240" w:lineRule="auto"/>
        <w:ind w:left="1491" w:right="357"/>
        <w:jc w:val="both"/>
        <w:rPr>
          <w:rFonts w:ascii="Verdana" w:hAnsi="Verdana" w:cs="Arial"/>
          <w:color w:val="000000"/>
          <w:sz w:val="20"/>
          <w:szCs w:val="20"/>
          <w:u w:val="single"/>
          <w:lang w:val="es-MX" w:eastAsia="es-CO"/>
        </w:rPr>
      </w:pPr>
      <w:r w:rsidRPr="00792E4B">
        <w:rPr>
          <w:rFonts w:ascii="Verdana" w:hAnsi="Verdana" w:cs="Arial"/>
          <w:color w:val="000000"/>
          <w:sz w:val="20"/>
          <w:szCs w:val="20"/>
          <w:u w:val="single"/>
          <w:lang w:val="es-MX" w:eastAsia="es-CO"/>
        </w:rPr>
        <w:t>1o. Cuando las exigencias del servicio público lo requieran o la situación de orden público lo imponga. </w:t>
      </w:r>
    </w:p>
    <w:p w14:paraId="78CFE319" w14:textId="77777777" w:rsidR="00BD1CEE" w:rsidRPr="00792E4B" w:rsidRDefault="00BD1CEE" w:rsidP="00BD1CEE">
      <w:pPr>
        <w:pStyle w:val="Prrafodelista"/>
        <w:spacing w:after="200" w:line="240" w:lineRule="auto"/>
        <w:ind w:left="1491" w:right="357"/>
        <w:jc w:val="both"/>
        <w:rPr>
          <w:rFonts w:ascii="Verdana" w:hAnsi="Verdana" w:cs="Arial"/>
          <w:i/>
          <w:iCs/>
          <w:color w:val="000000"/>
          <w:sz w:val="20"/>
          <w:szCs w:val="20"/>
          <w:lang w:val="es-MX" w:eastAsia="es-CO"/>
        </w:rPr>
      </w:pPr>
      <w:r w:rsidRPr="00792E4B">
        <w:rPr>
          <w:rFonts w:ascii="Verdana" w:hAnsi="Verdana" w:cs="Arial"/>
          <w:i/>
          <w:iCs/>
          <w:color w:val="000000"/>
          <w:sz w:val="20"/>
          <w:szCs w:val="20"/>
          <w:lang w:val="es-MX" w:eastAsia="es-CO"/>
        </w:rPr>
        <w:lastRenderedPageBreak/>
        <w:t>2o. Por muerte o incapacidad física permanente del contratista, si es persona natural, o por disolución de la persona jurídica del contratista. </w:t>
      </w:r>
    </w:p>
    <w:p w14:paraId="5A483EAD" w14:textId="77777777" w:rsidR="00BD1CEE" w:rsidRPr="0071334E" w:rsidRDefault="00BD1CEE" w:rsidP="00BD1CEE">
      <w:pPr>
        <w:pStyle w:val="Prrafodelista"/>
        <w:spacing w:after="200" w:line="240" w:lineRule="auto"/>
        <w:ind w:left="1491" w:right="357"/>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3o. Por interdicción judicial o declaración de quiebra del contratista. </w:t>
      </w:r>
    </w:p>
    <w:p w14:paraId="209951C9" w14:textId="77777777" w:rsidR="00BD1CEE" w:rsidRPr="0071334E" w:rsidRDefault="00BD1CEE" w:rsidP="00BD1CEE">
      <w:pPr>
        <w:pStyle w:val="Prrafodelista"/>
        <w:spacing w:after="200" w:line="240" w:lineRule="auto"/>
        <w:ind w:left="1491" w:right="357"/>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4o. Por cesación de pagos, concurso de acreedores o embargos judiciales del contratista que afecten de manera grave el cumplimiento del contrato. </w:t>
      </w:r>
    </w:p>
    <w:p w14:paraId="34E344D1" w14:textId="77777777" w:rsidR="00BD1CEE" w:rsidRPr="0071334E" w:rsidRDefault="00BD1CEE" w:rsidP="00BD1CEE">
      <w:pPr>
        <w:pStyle w:val="Prrafodelista"/>
        <w:spacing w:after="200" w:line="240" w:lineRule="auto"/>
        <w:ind w:left="1491" w:right="357"/>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Sin embargo, en los casos a que se refieren los numerales 2o. y 3o. de este artículo podrá continuarse la ejecución con el garante de la obligación. </w:t>
      </w:r>
    </w:p>
    <w:p w14:paraId="0DD3D3A1" w14:textId="77777777" w:rsidR="00BD1CEE" w:rsidRPr="0071334E" w:rsidRDefault="00BD1CEE" w:rsidP="00BD1CEE">
      <w:pPr>
        <w:pStyle w:val="Prrafodelista"/>
        <w:spacing w:after="200" w:line="240" w:lineRule="auto"/>
        <w:ind w:left="1491" w:right="357"/>
        <w:jc w:val="both"/>
        <w:rPr>
          <w:rFonts w:ascii="Verdana" w:hAnsi="Verdana" w:cs="Arial"/>
          <w:color w:val="000000"/>
          <w:sz w:val="20"/>
          <w:szCs w:val="20"/>
          <w:lang w:val="es-MX" w:eastAsia="es-CO"/>
        </w:rPr>
      </w:pPr>
      <w:r w:rsidRPr="0071334E">
        <w:rPr>
          <w:rFonts w:ascii="Verdana" w:hAnsi="Verdana" w:cs="Arial"/>
          <w:color w:val="000000"/>
          <w:sz w:val="20"/>
          <w:szCs w:val="20"/>
          <w:lang w:val="es-MX" w:eastAsia="es-CO"/>
        </w:rPr>
        <w:t>La iniciación de trámite concordatario no dará lugar a la declaratoria de terminación unilateral. En tal evento la ejecución se hará con sujeción a las normas sobre administración de negocios del deudor en concordato. La entidad dispondrá las medidas de inspección, control y vigilancia necesarias para asegurar el cumplimiento del objeto contractual e impedir la paralización del servicio. [Énfasis fuera de texto]</w:t>
      </w:r>
    </w:p>
    <w:p w14:paraId="126A88D4" w14:textId="77777777" w:rsidR="00BD1CEE" w:rsidRPr="0071334E" w:rsidRDefault="00BD1CEE" w:rsidP="00BD1CEE">
      <w:pPr>
        <w:pStyle w:val="Prrafodelista"/>
        <w:spacing w:after="200" w:line="240" w:lineRule="auto"/>
        <w:ind w:right="709"/>
        <w:jc w:val="both"/>
        <w:rPr>
          <w:rFonts w:ascii="Verdana" w:hAnsi="Verdana" w:cs="Arial"/>
          <w:color w:val="000000"/>
          <w:sz w:val="21"/>
          <w:szCs w:val="21"/>
          <w:lang w:val="es-MX" w:eastAsia="es-CO"/>
        </w:rPr>
      </w:pPr>
    </w:p>
    <w:p w14:paraId="1C0FEF7B" w14:textId="77777777" w:rsidR="00BD1CEE" w:rsidRPr="00792E4B" w:rsidRDefault="00BD1CEE" w:rsidP="00BD1CEE">
      <w:pPr>
        <w:spacing w:after="200" w:line="276" w:lineRule="auto"/>
        <w:ind w:firstLine="708"/>
        <w:jc w:val="both"/>
        <w:rPr>
          <w:rFonts w:ascii="Verdana" w:hAnsi="Verdana" w:cs="Arial"/>
          <w:color w:val="000000" w:themeColor="text1"/>
          <w:lang w:val="es-MX"/>
        </w:rPr>
      </w:pPr>
      <w:r w:rsidRPr="00792E4B">
        <w:rPr>
          <w:rFonts w:ascii="Verdana" w:hAnsi="Verdana" w:cs="Arial"/>
          <w:color w:val="000000" w:themeColor="text1"/>
          <w:lang w:val="es-MX"/>
        </w:rPr>
        <w:t>Esta figura no tiene como finalidad sancionar al contratista, sino que se encuentra dirigida a evitar la paralización del contrato estatal y garantizar su correcta ejecución. La doctrina ha considerado que “[…] el artículo 17 de la Ley 80 de 1993 consagra, en virtud del principio de legalidad regente para toda la actividad administrativa, la potestad de las entidades estatales de finiquitar la relación contractual con su contratista a partir de la configuración de cualquiera de las causales expresadas en dicha norma […]”</w:t>
      </w:r>
      <w:r w:rsidRPr="0071334E">
        <w:rPr>
          <w:vertAlign w:val="superscript"/>
          <w:lang w:val="es-MX"/>
        </w:rPr>
        <w:footnoteReference w:id="3"/>
      </w:r>
      <w:r w:rsidRPr="00792E4B">
        <w:rPr>
          <w:rFonts w:ascii="Verdana" w:hAnsi="Verdana" w:cs="Arial"/>
          <w:color w:val="000000" w:themeColor="text1"/>
          <w:lang w:val="es-MX"/>
        </w:rPr>
        <w:t xml:space="preserve">. En igual sentido lo ha reconocido el Consejo de Estado al poner de presente que: </w:t>
      </w:r>
    </w:p>
    <w:p w14:paraId="2A62F995" w14:textId="77777777" w:rsidR="00BD1CEE" w:rsidRPr="0071334E" w:rsidRDefault="00BD1CEE" w:rsidP="00BD1CEE">
      <w:pPr>
        <w:pStyle w:val="Prrafodelista"/>
        <w:spacing w:after="200" w:line="276" w:lineRule="auto"/>
        <w:jc w:val="both"/>
        <w:rPr>
          <w:rFonts w:ascii="Verdana" w:hAnsi="Verdana" w:cs="Arial"/>
          <w:color w:val="000000" w:themeColor="text1"/>
          <w:lang w:val="es-MX"/>
        </w:rPr>
      </w:pPr>
    </w:p>
    <w:p w14:paraId="320D8FF0" w14:textId="77777777" w:rsidR="00BD1CEE" w:rsidRPr="005141DF" w:rsidRDefault="00BD1CEE" w:rsidP="00BD1CEE">
      <w:pPr>
        <w:pStyle w:val="Prrafodelista"/>
        <w:spacing w:after="0" w:line="240" w:lineRule="auto"/>
        <w:ind w:left="1491" w:right="357"/>
        <w:jc w:val="both"/>
        <w:rPr>
          <w:rFonts w:ascii="Verdana" w:eastAsia="Times New Roman" w:hAnsi="Verdana" w:cs="Arial"/>
          <w:sz w:val="20"/>
          <w:szCs w:val="20"/>
          <w:lang w:eastAsia="es-CO"/>
        </w:rPr>
      </w:pPr>
      <w:r>
        <w:rPr>
          <w:rFonts w:ascii="Verdana" w:eastAsia="Times New Roman" w:hAnsi="Verdana" w:cs="Arial"/>
          <w:sz w:val="20"/>
          <w:szCs w:val="20"/>
          <w:lang w:eastAsia="es-CO"/>
        </w:rPr>
        <w:t>“</w:t>
      </w:r>
      <w:r w:rsidRPr="005141DF">
        <w:rPr>
          <w:rFonts w:ascii="Verdana" w:eastAsia="Times New Roman" w:hAnsi="Verdana" w:cs="Arial"/>
          <w:sz w:val="20"/>
          <w:szCs w:val="20"/>
          <w:lang w:eastAsia="es-CO"/>
        </w:rPr>
        <w:t xml:space="preserve">Según los explícitos dictados de la referida Ley 80, es claro que dicha forma de terminación unilateral tiene </w:t>
      </w:r>
      <w:r w:rsidRPr="005141DF">
        <w:rPr>
          <w:rFonts w:ascii="Verdana" w:eastAsia="Times New Roman" w:hAnsi="Verdana" w:cs="Arial"/>
          <w:i/>
          <w:iCs/>
          <w:sz w:val="20"/>
          <w:szCs w:val="20"/>
          <w:lang w:eastAsia="es-CO"/>
        </w:rPr>
        <w:t xml:space="preserve">“(...) el exclusivo objeto de evitar la paralización o la afectación grave de los servicios públicos a su cargo </w:t>
      </w:r>
      <w:r w:rsidRPr="005141DF">
        <w:rPr>
          <w:rFonts w:ascii="Verdana" w:eastAsia="Times New Roman" w:hAnsi="Verdana" w:cs="Arial"/>
          <w:sz w:val="20"/>
          <w:szCs w:val="20"/>
          <w:lang w:eastAsia="es-CO"/>
        </w:rPr>
        <w:t xml:space="preserve">[se refiere a la entidad estatal contratante] </w:t>
      </w:r>
      <w:r w:rsidRPr="005141DF">
        <w:rPr>
          <w:rFonts w:ascii="Verdana" w:eastAsia="Times New Roman" w:hAnsi="Verdana" w:cs="Arial"/>
          <w:i/>
          <w:iCs/>
          <w:sz w:val="20"/>
          <w:szCs w:val="20"/>
          <w:lang w:eastAsia="es-CO"/>
        </w:rPr>
        <w:t xml:space="preserve">y asegurar la inmediata, continua y adecuada prestación (...)” </w:t>
      </w:r>
      <w:r w:rsidRPr="005141DF">
        <w:rPr>
          <w:rFonts w:ascii="Verdana" w:eastAsia="Times New Roman" w:hAnsi="Verdana" w:cs="Arial"/>
          <w:sz w:val="20"/>
          <w:szCs w:val="20"/>
          <w:lang w:eastAsia="es-CO"/>
        </w:rPr>
        <w:t xml:space="preserve">de los mismos. </w:t>
      </w:r>
    </w:p>
    <w:p w14:paraId="4D57B69D" w14:textId="77777777" w:rsidR="00BD1CEE" w:rsidRPr="005141DF" w:rsidRDefault="00BD1CEE" w:rsidP="00BD1CEE">
      <w:pPr>
        <w:pStyle w:val="Prrafodelista"/>
        <w:spacing w:after="0" w:line="240" w:lineRule="auto"/>
        <w:ind w:left="1491" w:right="357"/>
        <w:jc w:val="both"/>
        <w:rPr>
          <w:rFonts w:ascii="Verdana" w:eastAsia="Times New Roman" w:hAnsi="Verdana" w:cs="Arial"/>
          <w:sz w:val="20"/>
          <w:szCs w:val="20"/>
          <w:lang w:eastAsia="es-CO"/>
        </w:rPr>
      </w:pPr>
    </w:p>
    <w:p w14:paraId="3905895D" w14:textId="77777777" w:rsidR="00BD1CEE" w:rsidRPr="005141DF" w:rsidRDefault="00BD1CEE" w:rsidP="00BD1CEE">
      <w:pPr>
        <w:pStyle w:val="Prrafodelista"/>
        <w:spacing w:after="0" w:line="240" w:lineRule="auto"/>
        <w:ind w:left="1491" w:right="357"/>
        <w:jc w:val="both"/>
        <w:rPr>
          <w:rFonts w:ascii="Verdana" w:eastAsia="Times New Roman" w:hAnsi="Verdana" w:cs="Arial"/>
          <w:sz w:val="20"/>
          <w:szCs w:val="20"/>
          <w:lang w:eastAsia="es-CO"/>
        </w:rPr>
      </w:pPr>
      <w:r w:rsidRPr="005141DF">
        <w:rPr>
          <w:rFonts w:ascii="Verdana" w:eastAsia="Times New Roman" w:hAnsi="Verdana" w:cs="Arial"/>
          <w:sz w:val="20"/>
          <w:szCs w:val="20"/>
          <w:lang w:eastAsia="es-CO"/>
        </w:rPr>
        <w:t xml:space="preserve">Esta modalidad de terminación unilateral únicamente puede tener aplicación respecto de aquellos específicos contratos estatales señalados en el numeral 2o del artículo 14 de la Ley 80, esto es: </w:t>
      </w:r>
      <w:r w:rsidRPr="005141DF">
        <w:rPr>
          <w:rFonts w:ascii="Verdana" w:eastAsia="Times New Roman" w:hAnsi="Verdana" w:cs="Arial"/>
          <w:i/>
          <w:iCs/>
          <w:sz w:val="20"/>
          <w:szCs w:val="20"/>
          <w:lang w:eastAsia="es-CO"/>
        </w:rPr>
        <w:t xml:space="preserve">a) “en los contratos que tengan por objeto el ejercicio de una actividad que constituya monopolio estatal”; b) </w:t>
      </w:r>
      <w:r w:rsidRPr="005141DF">
        <w:rPr>
          <w:rFonts w:ascii="Verdana" w:eastAsia="Times New Roman" w:hAnsi="Verdana" w:cs="Arial"/>
          <w:sz w:val="20"/>
          <w:szCs w:val="20"/>
          <w:lang w:eastAsia="es-CO"/>
        </w:rPr>
        <w:t xml:space="preserve">en los contratos que tengan por objeto </w:t>
      </w:r>
      <w:r w:rsidRPr="005141DF">
        <w:rPr>
          <w:rFonts w:ascii="Verdana" w:eastAsia="Times New Roman" w:hAnsi="Verdana" w:cs="Arial"/>
          <w:i/>
          <w:iCs/>
          <w:sz w:val="20"/>
          <w:szCs w:val="20"/>
          <w:lang w:eastAsia="es-CO"/>
        </w:rPr>
        <w:t xml:space="preserve">“la prestación de servicios públicos”; c) </w:t>
      </w:r>
      <w:r w:rsidRPr="005141DF">
        <w:rPr>
          <w:rFonts w:ascii="Verdana" w:eastAsia="Times New Roman" w:hAnsi="Verdana" w:cs="Arial"/>
          <w:sz w:val="20"/>
          <w:szCs w:val="20"/>
          <w:lang w:eastAsia="es-CO"/>
        </w:rPr>
        <w:t xml:space="preserve">en los contratos que tengan por objeto </w:t>
      </w:r>
      <w:r w:rsidRPr="005141DF">
        <w:rPr>
          <w:rFonts w:ascii="Verdana" w:eastAsia="Times New Roman" w:hAnsi="Verdana" w:cs="Arial"/>
          <w:i/>
          <w:iCs/>
          <w:sz w:val="20"/>
          <w:szCs w:val="20"/>
          <w:lang w:eastAsia="es-CO"/>
        </w:rPr>
        <w:t xml:space="preserve">“la explotación y concesión de bienes del Estado” </w:t>
      </w:r>
      <w:r w:rsidRPr="005141DF">
        <w:rPr>
          <w:rFonts w:ascii="Verdana" w:eastAsia="Times New Roman" w:hAnsi="Verdana" w:cs="Arial"/>
          <w:sz w:val="20"/>
          <w:szCs w:val="20"/>
          <w:lang w:eastAsia="es-CO"/>
        </w:rPr>
        <w:t xml:space="preserve">y </w:t>
      </w:r>
      <w:r w:rsidRPr="005141DF">
        <w:rPr>
          <w:rFonts w:ascii="Verdana" w:eastAsia="Times New Roman" w:hAnsi="Verdana" w:cs="Arial"/>
          <w:i/>
          <w:iCs/>
          <w:sz w:val="20"/>
          <w:szCs w:val="20"/>
          <w:lang w:eastAsia="es-CO"/>
        </w:rPr>
        <w:lastRenderedPageBreak/>
        <w:t>d) “en los contratos de obra”</w:t>
      </w:r>
      <w:r w:rsidRPr="005141DF">
        <w:rPr>
          <w:rFonts w:ascii="Verdana" w:eastAsia="Times New Roman" w:hAnsi="Verdana" w:cs="Arial"/>
          <w:sz w:val="20"/>
          <w:szCs w:val="20"/>
          <w:lang w:eastAsia="es-CO"/>
        </w:rPr>
        <w:t xml:space="preserve">, en cuanto en todos ellos resulta imperativa la inclusión de la cláusula excepcional de terminación unilateral; así́ mismo podría aplicarse en aquellos </w:t>
      </w:r>
      <w:r w:rsidRPr="005141DF">
        <w:rPr>
          <w:rFonts w:ascii="Verdana" w:eastAsia="Times New Roman" w:hAnsi="Verdana" w:cs="Arial"/>
          <w:i/>
          <w:iCs/>
          <w:sz w:val="20"/>
          <w:szCs w:val="20"/>
          <w:lang w:eastAsia="es-CO"/>
        </w:rPr>
        <w:t xml:space="preserve">f) “contratos de suministro” </w:t>
      </w:r>
      <w:r w:rsidRPr="005141DF">
        <w:rPr>
          <w:rFonts w:ascii="Verdana" w:eastAsia="Times New Roman" w:hAnsi="Verdana" w:cs="Arial"/>
          <w:sz w:val="20"/>
          <w:szCs w:val="20"/>
          <w:lang w:eastAsia="es-CO"/>
        </w:rPr>
        <w:t xml:space="preserve">y </w:t>
      </w:r>
      <w:r w:rsidRPr="005141DF">
        <w:rPr>
          <w:rFonts w:ascii="Verdana" w:eastAsia="Times New Roman" w:hAnsi="Verdana" w:cs="Arial"/>
          <w:i/>
          <w:iCs/>
          <w:sz w:val="20"/>
          <w:szCs w:val="20"/>
          <w:lang w:eastAsia="es-CO"/>
        </w:rPr>
        <w:t xml:space="preserve">g) </w:t>
      </w:r>
      <w:r w:rsidRPr="005141DF">
        <w:rPr>
          <w:rFonts w:ascii="Verdana" w:eastAsia="Times New Roman" w:hAnsi="Verdana" w:cs="Arial"/>
          <w:sz w:val="20"/>
          <w:szCs w:val="20"/>
          <w:lang w:eastAsia="es-CO"/>
        </w:rPr>
        <w:t xml:space="preserve">contratos </w:t>
      </w:r>
      <w:r w:rsidRPr="005141DF">
        <w:rPr>
          <w:rFonts w:ascii="Verdana" w:eastAsia="Times New Roman" w:hAnsi="Verdana" w:cs="Arial"/>
          <w:i/>
          <w:iCs/>
          <w:sz w:val="20"/>
          <w:szCs w:val="20"/>
          <w:lang w:eastAsia="es-CO"/>
        </w:rPr>
        <w:t xml:space="preserve">“de prestación de servicios”, </w:t>
      </w:r>
      <w:r w:rsidRPr="005141DF">
        <w:rPr>
          <w:rFonts w:ascii="Verdana" w:eastAsia="Times New Roman" w:hAnsi="Verdana" w:cs="Arial"/>
          <w:sz w:val="20"/>
          <w:szCs w:val="20"/>
          <w:lang w:eastAsia="es-CO"/>
        </w:rPr>
        <w:t xml:space="preserve">en los cuales se hubiere incluido expresamente esa cláusula excepcional, comoquiera que en estos dos (2) últimos dicha estipulación resulta facultativa y, por tanto, se encuentra expresamente autorizada por la ley su inclusión. </w:t>
      </w:r>
    </w:p>
    <w:p w14:paraId="247396F1" w14:textId="77777777" w:rsidR="00BD1CEE" w:rsidRPr="005141DF" w:rsidRDefault="00BD1CEE" w:rsidP="00BD1CEE">
      <w:pPr>
        <w:pStyle w:val="Prrafodelista"/>
        <w:spacing w:after="0" w:line="240" w:lineRule="auto"/>
        <w:ind w:left="1491" w:right="357"/>
        <w:jc w:val="both"/>
        <w:rPr>
          <w:rFonts w:ascii="Verdana" w:eastAsia="Times New Roman" w:hAnsi="Verdana" w:cs="Arial"/>
          <w:sz w:val="20"/>
          <w:szCs w:val="20"/>
          <w:lang w:eastAsia="es-CO"/>
        </w:rPr>
      </w:pPr>
    </w:p>
    <w:p w14:paraId="01727372" w14:textId="77777777" w:rsidR="00BD1CEE" w:rsidRPr="005141DF" w:rsidRDefault="00BD1CEE" w:rsidP="00BD1CEE">
      <w:pPr>
        <w:pStyle w:val="Prrafodelista"/>
        <w:spacing w:after="0" w:line="240" w:lineRule="auto"/>
        <w:ind w:left="1491" w:right="357"/>
        <w:jc w:val="both"/>
        <w:rPr>
          <w:rFonts w:ascii="Verdana" w:eastAsia="Times New Roman" w:hAnsi="Verdana" w:cs="Arial"/>
          <w:sz w:val="20"/>
          <w:szCs w:val="20"/>
          <w:lang w:eastAsia="es-CO"/>
        </w:rPr>
      </w:pPr>
      <w:r w:rsidRPr="005141DF">
        <w:rPr>
          <w:rFonts w:ascii="Verdana" w:eastAsia="Times New Roman" w:hAnsi="Verdana" w:cs="Arial"/>
          <w:sz w:val="20"/>
          <w:szCs w:val="20"/>
          <w:lang w:eastAsia="es-CO"/>
        </w:rPr>
        <w:t xml:space="preserve">Tal como lo ordena el inciso 2o del numeral 1o del citado artículo 14 de la Ley 80, cada vez que una entidad estatal ejerza esta potestad excepcional de terminación unilateral </w:t>
      </w:r>
      <w:r w:rsidRPr="005141DF">
        <w:rPr>
          <w:rFonts w:ascii="Verdana" w:eastAsia="Times New Roman" w:hAnsi="Verdana" w:cs="Arial"/>
          <w:i/>
          <w:iCs/>
          <w:sz w:val="20"/>
          <w:szCs w:val="20"/>
          <w:lang w:eastAsia="es-CO"/>
        </w:rPr>
        <w:t xml:space="preserve">“(...) deberá́ procederse al reconocimiento y orden de pago de las compensación e indemnizaciones a que tengan derecho las personas objeto de tales medidas y se aplicarán los mecanismos de ajuste de las condiciones y términos contractuales a que haya lugar, todo ello con el fin de mantener la ecuación o equilibrio inicial”. </w:t>
      </w:r>
    </w:p>
    <w:p w14:paraId="1EC3925D" w14:textId="77777777" w:rsidR="00BD1CEE" w:rsidRPr="005141DF" w:rsidRDefault="00BD1CEE" w:rsidP="00BD1CEE">
      <w:pPr>
        <w:pStyle w:val="Prrafodelista"/>
        <w:spacing w:after="0" w:line="240" w:lineRule="auto"/>
        <w:ind w:left="1491" w:right="357"/>
        <w:jc w:val="both"/>
        <w:rPr>
          <w:rFonts w:ascii="Verdana" w:eastAsia="Times New Roman" w:hAnsi="Verdana" w:cs="Arial"/>
          <w:sz w:val="20"/>
          <w:szCs w:val="20"/>
          <w:lang w:eastAsia="es-CO"/>
        </w:rPr>
      </w:pPr>
    </w:p>
    <w:p w14:paraId="4FD2CB3C" w14:textId="77777777" w:rsidR="00BD1CEE" w:rsidRPr="005141DF" w:rsidRDefault="00BD1CEE" w:rsidP="00BD1CEE">
      <w:pPr>
        <w:pStyle w:val="Prrafodelista"/>
        <w:spacing w:after="0" w:line="240" w:lineRule="auto"/>
        <w:ind w:left="1491" w:right="357"/>
        <w:jc w:val="both"/>
        <w:rPr>
          <w:rFonts w:ascii="Verdana" w:eastAsia="Times New Roman" w:hAnsi="Verdana" w:cs="Arial"/>
          <w:sz w:val="20"/>
          <w:szCs w:val="20"/>
          <w:lang w:eastAsia="es-CO"/>
        </w:rPr>
      </w:pPr>
      <w:r w:rsidRPr="005141DF">
        <w:rPr>
          <w:rFonts w:ascii="Verdana" w:eastAsia="Times New Roman" w:hAnsi="Verdana" w:cs="Arial"/>
          <w:sz w:val="20"/>
          <w:szCs w:val="20"/>
          <w:lang w:eastAsia="es-CO"/>
        </w:rPr>
        <w:t>El aspecto que se acaba de destacar pone de manifiesto que esta especie o modalidad de terminación unilateral de los contratos estatales no comporta la imposición de sanción alguna y, por tanto, a partir de su ejecutoria no se genera inhabilidad alguna en relación con el contratista afectado, lo cual, además, encuentra explicación suficiente en las causales, expresamente consagradas en la ley, que dan lugar a su aplicación</w:t>
      </w:r>
      <w:r>
        <w:rPr>
          <w:rFonts w:ascii="Verdana" w:eastAsia="Times New Roman" w:hAnsi="Verdana" w:cs="Arial"/>
          <w:sz w:val="20"/>
          <w:szCs w:val="20"/>
          <w:lang w:eastAsia="es-CO"/>
        </w:rPr>
        <w:t>”</w:t>
      </w:r>
      <w:r w:rsidRPr="005141DF">
        <w:rPr>
          <w:rFonts w:ascii="Verdana" w:eastAsia="Times New Roman" w:hAnsi="Verdana" w:cs="Arial"/>
          <w:sz w:val="20"/>
          <w:szCs w:val="20"/>
          <w:lang w:eastAsia="es-CO"/>
        </w:rPr>
        <w:t>.</w:t>
      </w:r>
      <w:r w:rsidRPr="005141DF">
        <w:rPr>
          <w:rFonts w:ascii="Verdana" w:hAnsi="Verdana"/>
          <w:sz w:val="20"/>
          <w:szCs w:val="20"/>
          <w:vertAlign w:val="superscript"/>
          <w:lang w:eastAsia="es-CO"/>
        </w:rPr>
        <w:footnoteReference w:id="4"/>
      </w:r>
    </w:p>
    <w:p w14:paraId="64CB8CC8" w14:textId="77777777" w:rsidR="00BD1CEE" w:rsidRPr="0071334E" w:rsidRDefault="00BD1CEE" w:rsidP="00BD1CEE">
      <w:pPr>
        <w:pStyle w:val="Prrafodelista"/>
        <w:spacing w:after="0" w:line="276" w:lineRule="auto"/>
        <w:ind w:right="709"/>
        <w:jc w:val="both"/>
        <w:rPr>
          <w:rFonts w:ascii="Verdana" w:eastAsia="Times New Roman" w:hAnsi="Verdana" w:cs="Arial"/>
          <w:sz w:val="21"/>
          <w:szCs w:val="21"/>
          <w:lang w:eastAsia="es-CO"/>
        </w:rPr>
      </w:pPr>
    </w:p>
    <w:p w14:paraId="6FE4BDDA" w14:textId="77777777" w:rsidR="00BD1CEE" w:rsidRPr="00792E4B" w:rsidRDefault="00BD1CEE" w:rsidP="00BD1CEE">
      <w:pPr>
        <w:spacing w:after="120" w:line="276" w:lineRule="auto"/>
        <w:ind w:firstLine="360"/>
        <w:jc w:val="both"/>
        <w:rPr>
          <w:rFonts w:ascii="Verdana" w:hAnsi="Verdana" w:cs="Arial"/>
          <w:color w:val="000000"/>
          <w:shd w:val="clear" w:color="auto" w:fill="FFFFFF"/>
          <w:lang w:val="es-MX" w:eastAsia="es-CO"/>
        </w:rPr>
      </w:pPr>
      <w:r w:rsidRPr="00792E4B">
        <w:rPr>
          <w:rFonts w:ascii="Verdana" w:hAnsi="Verdana" w:cs="Arial"/>
          <w:lang w:val="es-MX"/>
        </w:rPr>
        <w:t xml:space="preserve">Conforme a lo anterior, la terminación unilateral del contrato </w:t>
      </w:r>
      <w:r w:rsidRPr="00792E4B">
        <w:rPr>
          <w:rFonts w:ascii="Verdana" w:hAnsi="Verdana" w:cs="Arial"/>
          <w:color w:val="000000"/>
          <w:shd w:val="clear" w:color="auto" w:fill="FFFFFF"/>
          <w:lang w:val="es-MX"/>
        </w:rPr>
        <w:t xml:space="preserve">es una prerrogativa excepcional que, lejos de fungir como un acto represivo contra el contratista o en contra de la ejecución del contrato mismo, constituye una herramienta cuyo fin exclusivo es el de lograr el cabal cumplimiento de los cometidos estatales. En todo caso, el ejercicio de esta potestad supone el reconocimiento y pago de las compensaciones e indemnizaciones a las que haya lugar, así como la aplicación de los mecanismos de reajuste. </w:t>
      </w:r>
      <w:r w:rsidRPr="00792E4B">
        <w:rPr>
          <w:rFonts w:ascii="Verdana" w:hAnsi="Verdana" w:cs="Arial"/>
          <w:color w:val="000000"/>
          <w:shd w:val="clear" w:color="auto" w:fill="FFFFFF"/>
          <w:lang w:val="es-MX" w:eastAsia="es-CO"/>
        </w:rPr>
        <w:t xml:space="preserve">Lo anterior indica que la terminación unilateral del contrato estatal no entraña una sanción, por lo que, a partir de su ejecutoria no se genera inhabilidad para el contratista por este solo hecho. </w:t>
      </w:r>
    </w:p>
    <w:p w14:paraId="3554554C" w14:textId="77777777" w:rsidR="00BD1CEE" w:rsidRDefault="00BD1CEE" w:rsidP="00BD1CEE">
      <w:pPr>
        <w:spacing w:after="120" w:line="276" w:lineRule="auto"/>
        <w:ind w:firstLine="360"/>
        <w:jc w:val="both"/>
        <w:rPr>
          <w:rFonts w:ascii="Verdana" w:hAnsi="Verdana" w:cs="Arial"/>
          <w:noProof/>
          <w:lang w:val="es-ES_tradnl"/>
        </w:rPr>
      </w:pPr>
      <w:r w:rsidRPr="00792E4B">
        <w:rPr>
          <w:rFonts w:ascii="Verdana" w:hAnsi="Verdana" w:cs="Arial"/>
          <w:noProof/>
          <w:lang w:val="es-ES_tradnl"/>
        </w:rPr>
        <w:t xml:space="preserve">De este modo, conforme a lo considerado en el presente concepto, en la </w:t>
      </w:r>
      <w:r>
        <w:rPr>
          <w:rFonts w:ascii="Verdana" w:hAnsi="Verdana" w:cs="Arial"/>
          <w:noProof/>
          <w:lang w:val="es-ES_tradnl"/>
        </w:rPr>
        <w:t xml:space="preserve">etapa de </w:t>
      </w:r>
      <w:r w:rsidRPr="00792E4B">
        <w:rPr>
          <w:rFonts w:ascii="Verdana" w:hAnsi="Verdana" w:cs="Arial"/>
          <w:noProof/>
          <w:lang w:val="es-ES_tradnl"/>
        </w:rPr>
        <w:t xml:space="preserve">liquidación se deberá proceder a realizar las respectivas </w:t>
      </w:r>
      <w:r w:rsidRPr="00792E4B">
        <w:rPr>
          <w:rFonts w:ascii="Verdana" w:hAnsi="Verdana" w:cs="Arial"/>
          <w:noProof/>
          <w:lang w:val="es-ES_tradnl"/>
        </w:rPr>
        <w:lastRenderedPageBreak/>
        <w:t>indemnizaciones, compensaciones y reajustes a los que haya lugar en favor de los involucrados.</w:t>
      </w:r>
    </w:p>
    <w:p w14:paraId="7F591D3F" w14:textId="77777777" w:rsidR="00BD1CEE" w:rsidRPr="00792E4B" w:rsidRDefault="00BD1CEE" w:rsidP="00BD1CEE">
      <w:pPr>
        <w:spacing w:after="120" w:line="276" w:lineRule="auto"/>
        <w:ind w:firstLine="360"/>
        <w:jc w:val="both"/>
        <w:rPr>
          <w:rFonts w:ascii="Verdana" w:hAnsi="Verdana" w:cs="Arial"/>
          <w:noProof/>
          <w:lang w:val="es-ES_tradnl"/>
        </w:rPr>
      </w:pPr>
      <w:r>
        <w:rPr>
          <w:rFonts w:ascii="Verdana" w:hAnsi="Verdana" w:cs="Arial"/>
          <w:noProof/>
          <w:lang w:val="es-ES_tradnl"/>
        </w:rPr>
        <w:t xml:space="preserve">Ahora bien, </w:t>
      </w:r>
      <w:r>
        <w:rPr>
          <w:rStyle w:val="s15"/>
          <w:rFonts w:ascii="Verdana" w:hAnsi="Verdana"/>
          <w:color w:val="000000"/>
        </w:rPr>
        <w:t>a</w:t>
      </w:r>
      <w:r w:rsidRPr="001941FD">
        <w:rPr>
          <w:rStyle w:val="s15"/>
          <w:rFonts w:ascii="Verdana" w:hAnsi="Verdana"/>
          <w:color w:val="000000"/>
        </w:rPr>
        <w:t>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18C3F585" w14:textId="77777777" w:rsidR="00BD1CEE" w:rsidRPr="00BD72A4" w:rsidRDefault="00BD1CEE" w:rsidP="00BD1CEE">
      <w:pPr>
        <w:tabs>
          <w:tab w:val="left" w:pos="426"/>
        </w:tabs>
        <w:spacing w:after="0" w:line="240" w:lineRule="auto"/>
        <w:ind w:right="357"/>
        <w:jc w:val="both"/>
        <w:rPr>
          <w:rFonts w:ascii="Verdana" w:hAnsi="Verdana" w:cs="Arial"/>
          <w:sz w:val="20"/>
          <w:szCs w:val="20"/>
          <w:lang w:val="es-MX"/>
        </w:rPr>
      </w:pPr>
    </w:p>
    <w:p w14:paraId="30AEBE11" w14:textId="77777777" w:rsidR="00BD1CEE" w:rsidRPr="0071334E" w:rsidRDefault="00BD1CEE" w:rsidP="00BD1C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334E">
        <w:rPr>
          <w:rFonts w:ascii="Verdana" w:eastAsia="Century Gothic" w:hAnsi="Verdana" w:cs="Century Gothic"/>
          <w:b/>
          <w:bCs/>
        </w:rPr>
        <w:t>Referencias normativas, jurisprudenciales y otras fuentes:</w:t>
      </w:r>
    </w:p>
    <w:p w14:paraId="3ABE6858" w14:textId="77777777" w:rsidR="00BD1CEE" w:rsidRPr="0071334E" w:rsidRDefault="00BD1CEE" w:rsidP="00BD1CE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D1CEE" w:rsidRPr="0071334E" w14:paraId="1B554F56" w14:textId="77777777" w:rsidTr="00EC403E">
        <w:trPr>
          <w:trHeight w:val="870"/>
        </w:trPr>
        <w:tc>
          <w:tcPr>
            <w:tcW w:w="8647" w:type="dxa"/>
          </w:tcPr>
          <w:p w14:paraId="35B5CD76" w14:textId="77777777" w:rsidR="00BD1CEE" w:rsidRPr="00291D8F" w:rsidRDefault="00BD1CEE" w:rsidP="00BD1CEE">
            <w:pPr>
              <w:pStyle w:val="Prrafodelista"/>
              <w:widowControl w:val="0"/>
              <w:numPr>
                <w:ilvl w:val="0"/>
                <w:numId w:val="17"/>
              </w:numPr>
              <w:autoSpaceDE w:val="0"/>
              <w:autoSpaceDN w:val="0"/>
              <w:spacing w:before="120" w:after="120" w:line="276" w:lineRule="auto"/>
              <w:jc w:val="both"/>
              <w:rPr>
                <w:rFonts w:ascii="Verdana" w:hAnsi="Verdana" w:cs="Arial"/>
              </w:rPr>
            </w:pPr>
            <w:r w:rsidRPr="00272E0E">
              <w:rPr>
                <w:rFonts w:ascii="Verdana" w:hAnsi="Verdana" w:cs="Arial"/>
                <w:lang w:val="es-MX"/>
              </w:rPr>
              <w:t xml:space="preserve">Ley 153 de 1887: </w:t>
            </w:r>
            <w:r w:rsidRPr="00272E0E">
              <w:rPr>
                <w:rFonts w:ascii="Verdana" w:hAnsi="Verdana" w:cs="Arial"/>
                <w:lang w:val="es-ES_tradnl"/>
              </w:rPr>
              <w:t xml:space="preserve">artículo </w:t>
            </w:r>
            <w:r w:rsidRPr="00272E0E">
              <w:rPr>
                <w:rFonts w:ascii="Verdana" w:hAnsi="Verdana" w:cs="Arial"/>
                <w:lang w:val="es-MX"/>
              </w:rPr>
              <w:t>8.</w:t>
            </w:r>
          </w:p>
          <w:p w14:paraId="1A980B60" w14:textId="77777777" w:rsidR="00BD1CEE" w:rsidRPr="00272E0E" w:rsidRDefault="00BD1CEE" w:rsidP="00BD1CEE">
            <w:pPr>
              <w:pStyle w:val="Prrafodelista"/>
              <w:widowControl w:val="0"/>
              <w:numPr>
                <w:ilvl w:val="0"/>
                <w:numId w:val="17"/>
              </w:numPr>
              <w:autoSpaceDE w:val="0"/>
              <w:autoSpaceDN w:val="0"/>
              <w:spacing w:before="120" w:after="120" w:line="276" w:lineRule="auto"/>
              <w:jc w:val="both"/>
              <w:rPr>
                <w:rFonts w:ascii="Verdana" w:hAnsi="Verdana" w:cs="Arial"/>
              </w:rPr>
            </w:pPr>
            <w:r w:rsidRPr="00272E0E">
              <w:rPr>
                <w:rFonts w:ascii="Verdana" w:hAnsi="Verdana" w:cs="Arial"/>
              </w:rPr>
              <w:t xml:space="preserve">Ley </w:t>
            </w:r>
            <w:r w:rsidRPr="00272E0E">
              <w:rPr>
                <w:rFonts w:ascii="Verdana" w:hAnsi="Verdana" w:cs="Arial"/>
                <w:lang w:val="es-MX"/>
              </w:rPr>
              <w:t xml:space="preserve">80 de 1993: artículos 3, </w:t>
            </w:r>
            <w:r>
              <w:rPr>
                <w:rFonts w:ascii="Verdana" w:hAnsi="Verdana" w:cs="Arial"/>
                <w:lang w:val="es-MX"/>
              </w:rPr>
              <w:t xml:space="preserve">13, </w:t>
            </w:r>
            <w:r w:rsidRPr="00272E0E">
              <w:rPr>
                <w:rFonts w:ascii="Verdana" w:hAnsi="Verdana" w:cs="Arial"/>
                <w:lang w:val="es-MX"/>
              </w:rPr>
              <w:t xml:space="preserve">14 numeral 2, 17, y </w:t>
            </w:r>
            <w:r w:rsidRPr="00272E0E">
              <w:rPr>
                <w:rFonts w:ascii="Verdana" w:hAnsi="Verdana" w:cs="Arial"/>
              </w:rPr>
              <w:t>41</w:t>
            </w:r>
            <w:r w:rsidRPr="00272E0E">
              <w:rPr>
                <w:rFonts w:ascii="Verdana" w:hAnsi="Verdana" w:cs="Arial"/>
                <w:lang w:val="es-MX"/>
              </w:rPr>
              <w:t xml:space="preserve"> </w:t>
            </w:r>
            <w:r w:rsidRPr="00272E0E">
              <w:rPr>
                <w:rFonts w:ascii="Verdana" w:hAnsi="Verdana" w:cs="Arial"/>
              </w:rPr>
              <w:t>inciso 3º.</w:t>
            </w:r>
          </w:p>
          <w:p w14:paraId="55F91DBE" w14:textId="77777777" w:rsidR="00BD1CEE" w:rsidRPr="00272E0E" w:rsidRDefault="00BD1CEE" w:rsidP="00BD1CEE">
            <w:pPr>
              <w:pStyle w:val="Prrafodelista"/>
              <w:widowControl w:val="0"/>
              <w:numPr>
                <w:ilvl w:val="0"/>
                <w:numId w:val="17"/>
              </w:numPr>
              <w:autoSpaceDE w:val="0"/>
              <w:autoSpaceDN w:val="0"/>
              <w:spacing w:before="120" w:after="120" w:line="276" w:lineRule="auto"/>
              <w:jc w:val="both"/>
              <w:rPr>
                <w:rFonts w:ascii="Verdana" w:hAnsi="Verdana" w:cs="Arial"/>
              </w:rPr>
            </w:pPr>
            <w:r w:rsidRPr="00272E0E">
              <w:rPr>
                <w:rFonts w:ascii="Verdana" w:hAnsi="Verdana" w:cs="Arial"/>
              </w:rPr>
              <w:t xml:space="preserve">CONSEJO DE ESTADO. Sección Tercera. Subsección B. Sentencia de 8 de mayo de 2019. </w:t>
            </w:r>
            <w:proofErr w:type="spellStart"/>
            <w:r w:rsidRPr="00272E0E">
              <w:rPr>
                <w:rFonts w:ascii="Verdana" w:hAnsi="Verdana" w:cs="Arial"/>
              </w:rPr>
              <w:t>Exp</w:t>
            </w:r>
            <w:proofErr w:type="spellEnd"/>
            <w:r w:rsidRPr="00272E0E">
              <w:rPr>
                <w:rFonts w:ascii="Verdana" w:hAnsi="Verdana" w:cs="Arial"/>
              </w:rPr>
              <w:t>: 56343. MP: Martin Bermúdez Muñoz.</w:t>
            </w:r>
          </w:p>
          <w:p w14:paraId="50F6E0E2" w14:textId="77777777" w:rsidR="00BD1CEE" w:rsidRPr="00272E0E" w:rsidRDefault="00BD1CEE" w:rsidP="00BD1CEE">
            <w:pPr>
              <w:pStyle w:val="Prrafodelista"/>
              <w:widowControl w:val="0"/>
              <w:numPr>
                <w:ilvl w:val="0"/>
                <w:numId w:val="17"/>
              </w:numPr>
              <w:autoSpaceDE w:val="0"/>
              <w:autoSpaceDN w:val="0"/>
              <w:spacing w:before="120" w:after="120" w:line="276" w:lineRule="auto"/>
              <w:jc w:val="both"/>
              <w:rPr>
                <w:rFonts w:ascii="Verdana" w:hAnsi="Verdana" w:cs="Arial"/>
              </w:rPr>
            </w:pPr>
            <w:r w:rsidRPr="00272E0E">
              <w:rPr>
                <w:rFonts w:ascii="Verdana" w:hAnsi="Verdana" w:cs="Arial"/>
              </w:rPr>
              <w:t>PINO RICCI, Jorge. El régimen jurídico de los contratos estatales. Primera edición, 2005, Universidad Externado de Colombia. pp. 354.</w:t>
            </w:r>
          </w:p>
          <w:p w14:paraId="2A1E164B" w14:textId="77777777" w:rsidR="00BD1CEE" w:rsidRPr="00272E0E" w:rsidRDefault="00BD1CEE" w:rsidP="00BD1CEE">
            <w:pPr>
              <w:pStyle w:val="Prrafodelista"/>
              <w:widowControl w:val="0"/>
              <w:numPr>
                <w:ilvl w:val="0"/>
                <w:numId w:val="17"/>
              </w:numPr>
              <w:autoSpaceDE w:val="0"/>
              <w:autoSpaceDN w:val="0"/>
              <w:spacing w:before="120" w:after="120" w:line="276" w:lineRule="auto"/>
              <w:jc w:val="both"/>
              <w:rPr>
                <w:rFonts w:ascii="Verdana" w:hAnsi="Verdana" w:cs="Arial"/>
              </w:rPr>
            </w:pPr>
            <w:r w:rsidRPr="00272E0E">
              <w:rPr>
                <w:rFonts w:ascii="Verdana" w:hAnsi="Verdana" w:cs="Arial"/>
              </w:rPr>
              <w:t>EXPÓSITO VÉLEZ, Juan Carlos. Forma y contenido del contrato estatal, Bogotá: Universidad Externado de Colombia, 2013, p. 190, 202, 203, y 207 a 210.</w:t>
            </w:r>
          </w:p>
          <w:p w14:paraId="5F4A0D11" w14:textId="77777777" w:rsidR="00BD1CEE" w:rsidRPr="00272E0E" w:rsidRDefault="00BD1CEE" w:rsidP="00BD1CEE">
            <w:pPr>
              <w:pStyle w:val="Prrafodelista"/>
              <w:widowControl w:val="0"/>
              <w:numPr>
                <w:ilvl w:val="0"/>
                <w:numId w:val="17"/>
              </w:numPr>
              <w:autoSpaceDE w:val="0"/>
              <w:autoSpaceDN w:val="0"/>
              <w:spacing w:before="120" w:after="120" w:line="276" w:lineRule="auto"/>
              <w:jc w:val="both"/>
              <w:rPr>
                <w:rFonts w:ascii="Verdana" w:hAnsi="Verdana" w:cs="Arial"/>
              </w:rPr>
            </w:pPr>
            <w:r w:rsidRPr="00272E0E">
              <w:rPr>
                <w:rFonts w:ascii="Verdana" w:hAnsi="Verdana" w:cs="Arial"/>
              </w:rPr>
              <w:t xml:space="preserve">PALACIO HINCAPIÉ, Juan A. La contratación de entidades estatales. Octava edición. 2020. Librería Jurídica Sánchez. p 565-566.  </w:t>
            </w:r>
          </w:p>
          <w:p w14:paraId="36E42C81" w14:textId="77777777" w:rsidR="00BD1CEE" w:rsidRPr="0071334E" w:rsidRDefault="00BD1CEE" w:rsidP="00BD1CE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C26FA4">
              <w:rPr>
                <w:rFonts w:ascii="Verdana" w:hAnsi="Verdana" w:cs="Arial"/>
              </w:rPr>
              <w:t xml:space="preserve">Jurisprudencia del Consejo de Estado. Disponible en: </w:t>
            </w:r>
            <w:hyperlink r:id="rId12" w:history="1">
              <w:r w:rsidRPr="0071334E">
                <w:rPr>
                  <w:rStyle w:val="Hipervnculo"/>
                  <w:rFonts w:ascii="Verdana" w:hAnsi="Verdana" w:cs="Arial"/>
                </w:rPr>
                <w:t>https://relatoria.colombiacompra.gov.co/providencias-consejo-de-estado/</w:t>
              </w:r>
            </w:hyperlink>
            <w:r w:rsidRPr="0071334E">
              <w:rPr>
                <w:rFonts w:ascii="Verdana" w:hAnsi="Verdana" w:cs="Arial"/>
              </w:rPr>
              <w:t xml:space="preserve"> </w:t>
            </w:r>
          </w:p>
          <w:p w14:paraId="6A8C16D8" w14:textId="77777777" w:rsidR="00BD1CEE" w:rsidRPr="00062A55" w:rsidRDefault="00BD1CEE" w:rsidP="00BD1CEE">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C26FA4">
              <w:rPr>
                <w:rFonts w:ascii="Verdana" w:hAnsi="Verdana" w:cs="Arial"/>
              </w:rPr>
              <w:t>Guías y manuales expedidos por la ANCP-CCE. Disponible en:</w:t>
            </w:r>
            <w:r w:rsidRPr="00C26FA4">
              <w:rPr>
                <w:rFonts w:ascii="Verdana" w:hAnsi="Verdana"/>
              </w:rPr>
              <w:t xml:space="preserve"> </w:t>
            </w:r>
            <w:hyperlink r:id="rId13" w:history="1">
              <w:r w:rsidRPr="0071334E">
                <w:rPr>
                  <w:rStyle w:val="Hipervnculo"/>
                  <w:rFonts w:ascii="Verdana" w:hAnsi="Verdana" w:cs="Arial"/>
                </w:rPr>
                <w:t>https://www.colombiacompra.gov.co/manuales-guias-y-pliegos-tipo/manuales-y-guias</w:t>
              </w:r>
            </w:hyperlink>
            <w:r w:rsidRPr="0071334E">
              <w:rPr>
                <w:rFonts w:ascii="Verdana" w:hAnsi="Verdana" w:cs="Arial"/>
              </w:rPr>
              <w:t xml:space="preserve"> </w:t>
            </w:r>
          </w:p>
        </w:tc>
      </w:tr>
    </w:tbl>
    <w:p w14:paraId="32D15B2D" w14:textId="77777777" w:rsidR="00BD1CEE" w:rsidRPr="0071334E" w:rsidRDefault="00BD1CEE" w:rsidP="00BD1CEE">
      <w:pPr>
        <w:widowControl w:val="0"/>
        <w:autoSpaceDE w:val="0"/>
        <w:autoSpaceDN w:val="0"/>
        <w:spacing w:after="0" w:line="276" w:lineRule="auto"/>
        <w:jc w:val="both"/>
        <w:rPr>
          <w:rFonts w:ascii="Verdana" w:hAnsi="Verdana" w:cs="Arial"/>
        </w:rPr>
      </w:pPr>
    </w:p>
    <w:p w14:paraId="24A3AB62" w14:textId="77777777" w:rsidR="00BD1CEE" w:rsidRPr="0071334E" w:rsidRDefault="00BD1CEE" w:rsidP="00BD1C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334E">
        <w:rPr>
          <w:rFonts w:ascii="Verdana" w:eastAsia="Century Gothic" w:hAnsi="Verdana" w:cs="Century Gothic"/>
          <w:b/>
          <w:bCs/>
        </w:rPr>
        <w:t>Doctrina de la Agencia Nacional de Contratación Pública:</w:t>
      </w:r>
    </w:p>
    <w:p w14:paraId="35F2A6DE" w14:textId="77777777" w:rsidR="00BD1CEE" w:rsidRPr="0071334E" w:rsidRDefault="00BD1CEE" w:rsidP="00BD1CEE">
      <w:pPr>
        <w:widowControl w:val="0"/>
        <w:autoSpaceDE w:val="0"/>
        <w:autoSpaceDN w:val="0"/>
        <w:spacing w:after="0" w:line="276" w:lineRule="auto"/>
        <w:jc w:val="both"/>
        <w:rPr>
          <w:rFonts w:ascii="Verdana" w:hAnsi="Verdana" w:cs="Arial"/>
        </w:rPr>
      </w:pPr>
    </w:p>
    <w:p w14:paraId="38F86B70" w14:textId="77777777" w:rsidR="00BD1CEE" w:rsidRPr="0071334E" w:rsidRDefault="00BD1CEE" w:rsidP="00BD1CEE">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Style w:val="normaltextrun"/>
          <w:rFonts w:ascii="Verdana" w:hAnsi="Verdana" w:cs="Arial"/>
          <w:shd w:val="clear" w:color="auto" w:fill="FFFFFF"/>
        </w:rPr>
        <w:lastRenderedPageBreak/>
        <w:t>E</w:t>
      </w:r>
      <w:r w:rsidRPr="00FB3675">
        <w:rPr>
          <w:rStyle w:val="normaltextrun"/>
          <w:rFonts w:ascii="Verdana" w:hAnsi="Verdana" w:cs="Arial"/>
          <w:shd w:val="clear" w:color="auto" w:fill="FFFFFF"/>
          <w:lang w:val="es-ES"/>
        </w:rPr>
        <w:t>n los conceptos C-286 del 12 de mayo de 2022, C-805 del 23 de noviembre de 2022, C-514 del 10 de agosto del 2022, y C-873 del 21 de diciembre de 2022 se estudió la</w:t>
      </w:r>
      <w:r>
        <w:rPr>
          <w:rStyle w:val="normaltextrun"/>
          <w:rFonts w:ascii="Verdana" w:hAnsi="Verdana" w:cs="Arial"/>
          <w:shd w:val="clear" w:color="auto" w:fill="FFFFFF"/>
          <w:lang w:val="es-ES"/>
        </w:rPr>
        <w:t>s</w:t>
      </w:r>
      <w:r w:rsidRPr="00FB3675">
        <w:rPr>
          <w:rStyle w:val="normaltextrun"/>
          <w:rFonts w:ascii="Verdana" w:hAnsi="Verdana" w:cs="Arial"/>
          <w:shd w:val="clear" w:color="auto" w:fill="FFFFFF"/>
          <w:lang w:val="es-ES"/>
        </w:rPr>
        <w:t xml:space="preserve"> causal</w:t>
      </w:r>
      <w:r>
        <w:rPr>
          <w:rStyle w:val="normaltextrun"/>
          <w:rFonts w:ascii="Verdana" w:hAnsi="Verdana" w:cs="Arial"/>
          <w:shd w:val="clear" w:color="auto" w:fill="FFFFFF"/>
          <w:lang w:val="es-ES"/>
        </w:rPr>
        <w:t>es</w:t>
      </w:r>
      <w:r w:rsidRPr="00FB3675">
        <w:rPr>
          <w:rStyle w:val="normaltextrun"/>
          <w:rFonts w:ascii="Verdana" w:hAnsi="Verdana" w:cs="Arial"/>
          <w:shd w:val="clear" w:color="auto" w:fill="FFFFFF"/>
          <w:lang w:val="es-ES"/>
        </w:rPr>
        <w:t xml:space="preserve"> de </w:t>
      </w:r>
      <w:r>
        <w:rPr>
          <w:rStyle w:val="normaltextrun"/>
          <w:rFonts w:ascii="Verdana" w:hAnsi="Verdana" w:cs="Arial"/>
          <w:shd w:val="clear" w:color="auto" w:fill="FFFFFF"/>
          <w:lang w:val="es-ES"/>
        </w:rPr>
        <w:t>termin</w:t>
      </w:r>
      <w:r w:rsidRPr="00FB3675">
        <w:rPr>
          <w:rStyle w:val="normaltextrun"/>
          <w:rFonts w:ascii="Verdana" w:hAnsi="Verdana" w:cs="Arial"/>
          <w:shd w:val="clear" w:color="auto" w:fill="FFFFFF"/>
          <w:lang w:val="es-ES"/>
        </w:rPr>
        <w:t xml:space="preserve">ación </w:t>
      </w:r>
      <w:r>
        <w:rPr>
          <w:rStyle w:val="normaltextrun"/>
          <w:rFonts w:ascii="Verdana" w:hAnsi="Verdana" w:cs="Arial"/>
          <w:shd w:val="clear" w:color="auto" w:fill="FFFFFF"/>
          <w:lang w:val="es-ES"/>
        </w:rPr>
        <w:t>u</w:t>
      </w:r>
      <w:r w:rsidRPr="00FB3675">
        <w:rPr>
          <w:rStyle w:val="normaltextrun"/>
          <w:rFonts w:ascii="Verdana" w:hAnsi="Verdana" w:cs="Arial"/>
          <w:shd w:val="clear" w:color="auto" w:fill="FFFFFF"/>
          <w:lang w:val="es-ES"/>
        </w:rPr>
        <w:t xml:space="preserve">nilateral </w:t>
      </w:r>
      <w:r>
        <w:rPr>
          <w:rStyle w:val="normaltextrun"/>
          <w:rFonts w:ascii="Verdana" w:hAnsi="Verdana" w:cs="Arial"/>
          <w:shd w:val="clear" w:color="auto" w:fill="FFFFFF"/>
          <w:lang w:val="es-ES"/>
        </w:rPr>
        <w:t xml:space="preserve">contenidas en </w:t>
      </w:r>
      <w:proofErr w:type="gramStart"/>
      <w:r>
        <w:rPr>
          <w:rStyle w:val="normaltextrun"/>
          <w:rFonts w:ascii="Verdana" w:hAnsi="Verdana" w:cs="Arial"/>
          <w:shd w:val="clear" w:color="auto" w:fill="FFFFFF"/>
          <w:lang w:val="es-ES"/>
        </w:rPr>
        <w:t xml:space="preserve">el </w:t>
      </w:r>
      <w:r w:rsidRPr="00FB3675">
        <w:rPr>
          <w:rStyle w:val="normaltextrun"/>
          <w:rFonts w:ascii="Verdana" w:hAnsi="Verdana" w:cs="Arial"/>
          <w:shd w:val="clear" w:color="auto" w:fill="FFFFFF"/>
          <w:lang w:val="es-ES"/>
        </w:rPr>
        <w:t xml:space="preserve"> artículo</w:t>
      </w:r>
      <w:proofErr w:type="gramEnd"/>
      <w:r w:rsidRPr="00FB3675">
        <w:rPr>
          <w:rStyle w:val="normaltextrun"/>
          <w:rFonts w:ascii="Verdana" w:hAnsi="Verdana" w:cs="Arial"/>
          <w:shd w:val="clear" w:color="auto" w:fill="FFFFFF"/>
          <w:lang w:val="es-ES"/>
        </w:rPr>
        <w:t xml:space="preserve"> 17 de la Ley 80 de 1993. </w:t>
      </w:r>
      <w:r w:rsidRPr="0071334E">
        <w:rPr>
          <w:rStyle w:val="normaltextrun"/>
          <w:rFonts w:ascii="Verdana" w:hAnsi="Verdana" w:cs="Arial"/>
          <w:shd w:val="clear" w:color="auto" w:fill="FFFFFF"/>
          <w:lang w:val="es-ES"/>
        </w:rPr>
        <w:t>Es</w:t>
      </w:r>
      <w:r w:rsidRPr="0071334E">
        <w:rPr>
          <w:rFonts w:ascii="Verdana" w:hAnsi="Verdana"/>
        </w:rPr>
        <w:t>tos y otros conceptos se encuentran disponibles para consulta en el Sistema de relatoría de la Agencia, al cual se puede acceder a través del siguiente enlace:</w:t>
      </w:r>
      <w:r w:rsidRPr="0071334E">
        <w:rPr>
          <w:rStyle w:val="normaltextrun"/>
          <w:rFonts w:ascii="Verdana" w:hAnsi="Verdana" w:cs="Arial"/>
          <w:shd w:val="clear" w:color="auto" w:fill="FFFFFF"/>
          <w:lang w:val="es-ES"/>
        </w:rPr>
        <w:t xml:space="preserve"> </w:t>
      </w:r>
      <w:hyperlink r:id="rId14" w:history="1">
        <w:r w:rsidRPr="0071334E">
          <w:rPr>
            <w:rStyle w:val="Hipervnculo"/>
            <w:rFonts w:ascii="Verdana" w:hAnsi="Verdana" w:cs="Arial"/>
            <w:shd w:val="clear" w:color="auto" w:fill="FFFFFF"/>
            <w:lang w:val="es-ES"/>
          </w:rPr>
          <w:t>https://relatoria.colombiacompra.gov.co/busqueda/conceptos</w:t>
        </w:r>
      </w:hyperlink>
      <w:r w:rsidRPr="0071334E">
        <w:rPr>
          <w:rStyle w:val="normaltextrun"/>
          <w:rFonts w:ascii="Verdana" w:hAnsi="Verdana" w:cs="Arial"/>
          <w:color w:val="FF0000"/>
          <w:shd w:val="clear" w:color="auto" w:fill="FFFFFF"/>
          <w:lang w:val="es-ES"/>
        </w:rPr>
        <w:t xml:space="preserve">. </w:t>
      </w:r>
    </w:p>
    <w:p w14:paraId="2D3E8AE5" w14:textId="77777777" w:rsidR="00BD1CEE" w:rsidRPr="0071334E" w:rsidRDefault="00BD1CEE" w:rsidP="00BD1CEE">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363398C" w14:textId="77777777" w:rsidR="00BD1CEE" w:rsidRPr="0071334E" w:rsidRDefault="00BD1CEE" w:rsidP="00BD1CEE">
      <w:pPr>
        <w:spacing w:after="0" w:line="240" w:lineRule="auto"/>
        <w:jc w:val="both"/>
        <w:rPr>
          <w:rFonts w:ascii="Verdana" w:hAnsi="Verdana"/>
        </w:rPr>
      </w:pPr>
      <w:r w:rsidRPr="0071334E">
        <w:rPr>
          <w:rFonts w:ascii="Verdana" w:hAnsi="Verdana"/>
        </w:rPr>
        <w:t xml:space="preserve">Por último, lo invitamos a seguirnos en las redes sociales en las cuales se difunde información institucional: </w:t>
      </w:r>
    </w:p>
    <w:p w14:paraId="20A39F34" w14:textId="77777777" w:rsidR="00BD1CEE" w:rsidRPr="0071334E" w:rsidRDefault="00BD1CEE" w:rsidP="00BD1CEE">
      <w:pPr>
        <w:spacing w:after="0" w:line="240" w:lineRule="auto"/>
        <w:jc w:val="both"/>
        <w:rPr>
          <w:rFonts w:ascii="Verdana" w:hAnsi="Verdana"/>
        </w:rPr>
      </w:pPr>
    </w:p>
    <w:p w14:paraId="401F6495" w14:textId="77777777" w:rsidR="00BD1CEE" w:rsidRPr="0071334E" w:rsidRDefault="00BD1CEE" w:rsidP="00BD1CEE">
      <w:pPr>
        <w:spacing w:after="0" w:line="240" w:lineRule="auto"/>
        <w:jc w:val="both"/>
        <w:rPr>
          <w:rFonts w:ascii="Verdana" w:hAnsi="Verdana"/>
        </w:rPr>
      </w:pPr>
      <w:r w:rsidRPr="0071334E">
        <w:rPr>
          <w:rFonts w:ascii="Verdana" w:hAnsi="Verdana"/>
        </w:rPr>
        <w:t xml:space="preserve">Twitter: </w:t>
      </w:r>
      <w:r w:rsidRPr="0071334E">
        <w:rPr>
          <w:rStyle w:val="Hipervnculo"/>
          <w:rFonts w:ascii="Verdana" w:hAnsi="Verdana"/>
          <w:color w:val="4472C4" w:themeColor="accent1"/>
        </w:rPr>
        <w:t>@colombiacompra</w:t>
      </w:r>
      <w:r w:rsidRPr="0071334E">
        <w:rPr>
          <w:rFonts w:ascii="Verdana" w:hAnsi="Verdana"/>
          <w:color w:val="4472C4" w:themeColor="accent1"/>
        </w:rPr>
        <w:t xml:space="preserve"> </w:t>
      </w:r>
    </w:p>
    <w:p w14:paraId="0F62880A" w14:textId="77777777" w:rsidR="00BD1CEE" w:rsidRPr="0071334E" w:rsidRDefault="00BD1CEE" w:rsidP="00BD1CEE">
      <w:pPr>
        <w:spacing w:after="0" w:line="240" w:lineRule="auto"/>
        <w:jc w:val="both"/>
        <w:rPr>
          <w:rFonts w:ascii="Verdana" w:hAnsi="Verdana"/>
        </w:rPr>
      </w:pPr>
      <w:r w:rsidRPr="0071334E">
        <w:rPr>
          <w:rFonts w:ascii="Verdana" w:hAnsi="Verdana"/>
        </w:rPr>
        <w:t xml:space="preserve">Facebook: </w:t>
      </w:r>
      <w:proofErr w:type="spellStart"/>
      <w:r w:rsidRPr="0071334E">
        <w:rPr>
          <w:rStyle w:val="Hipervnculo"/>
          <w:rFonts w:ascii="Verdana" w:hAnsi="Verdana"/>
          <w:color w:val="4472C4" w:themeColor="accent1"/>
        </w:rPr>
        <w:t>ColombiaCompraEficiente</w:t>
      </w:r>
      <w:proofErr w:type="spellEnd"/>
    </w:p>
    <w:p w14:paraId="5209AE4A" w14:textId="77777777" w:rsidR="00BD1CEE" w:rsidRPr="0071334E" w:rsidRDefault="00BD1CEE" w:rsidP="00BD1CEE">
      <w:pPr>
        <w:spacing w:after="0" w:line="240" w:lineRule="auto"/>
        <w:jc w:val="both"/>
        <w:rPr>
          <w:rFonts w:ascii="Verdana" w:hAnsi="Verdana"/>
        </w:rPr>
      </w:pPr>
      <w:r w:rsidRPr="0071334E">
        <w:rPr>
          <w:rFonts w:ascii="Verdana" w:hAnsi="Verdana"/>
        </w:rPr>
        <w:t xml:space="preserve">LinkedIn: </w:t>
      </w:r>
      <w:r w:rsidRPr="0071334E">
        <w:rPr>
          <w:rStyle w:val="Hipervnculo"/>
          <w:rFonts w:ascii="Verdana" w:hAnsi="Verdana"/>
          <w:color w:val="4472C4" w:themeColor="accent1"/>
        </w:rPr>
        <w:t>Agencia Nacional de Contratación Pública - Colombia Compra Eficiente</w:t>
      </w:r>
      <w:r w:rsidRPr="0071334E">
        <w:rPr>
          <w:rFonts w:ascii="Verdana" w:hAnsi="Verdana"/>
          <w:color w:val="4472C4" w:themeColor="accent1"/>
        </w:rPr>
        <w:t xml:space="preserve"> </w:t>
      </w:r>
      <w:r w:rsidRPr="0071334E">
        <w:rPr>
          <w:rFonts w:ascii="Verdana" w:hAnsi="Verdana"/>
        </w:rPr>
        <w:t xml:space="preserve">Instagram: </w:t>
      </w:r>
      <w:r w:rsidRPr="0071334E">
        <w:rPr>
          <w:rStyle w:val="Hipervnculo"/>
          <w:rFonts w:ascii="Verdana" w:hAnsi="Verdana"/>
          <w:color w:val="4472C4" w:themeColor="accent1"/>
        </w:rPr>
        <w:t>@colombiacompraeficiente_cce</w:t>
      </w:r>
    </w:p>
    <w:p w14:paraId="587031BC" w14:textId="77777777" w:rsidR="00BD1CEE" w:rsidRPr="0071334E" w:rsidRDefault="00BD1CEE" w:rsidP="00BD1CEE">
      <w:pPr>
        <w:widowControl w:val="0"/>
        <w:autoSpaceDE w:val="0"/>
        <w:autoSpaceDN w:val="0"/>
        <w:spacing w:after="0" w:line="276" w:lineRule="auto"/>
        <w:jc w:val="both"/>
        <w:rPr>
          <w:rFonts w:ascii="Verdana" w:hAnsi="Verdana" w:cs="Arial"/>
        </w:rPr>
      </w:pPr>
    </w:p>
    <w:p w14:paraId="6330E5DE" w14:textId="77777777" w:rsidR="00BD1CEE" w:rsidRPr="0071334E" w:rsidRDefault="00BD1CEE" w:rsidP="00BD1CEE">
      <w:pPr>
        <w:widowControl w:val="0"/>
        <w:autoSpaceDE w:val="0"/>
        <w:autoSpaceDN w:val="0"/>
        <w:spacing w:after="0" w:line="276" w:lineRule="auto"/>
        <w:jc w:val="both"/>
        <w:rPr>
          <w:rFonts w:ascii="Verdana" w:hAnsi="Verdana" w:cs="Arial"/>
          <w:lang w:val="es-ES_tradnl"/>
        </w:rPr>
      </w:pPr>
      <w:r w:rsidRPr="0071334E">
        <w:rPr>
          <w:rFonts w:ascii="Verdana" w:hAnsi="Verdana" w:cs="Arial"/>
        </w:rPr>
        <w:t xml:space="preserve">Este concepto tiene el alcance previsto en el artículo 28 del Código de Procedimiento Administrativo y de lo Contencioso Administrativo </w:t>
      </w:r>
      <w:r w:rsidRPr="0071334E">
        <w:rPr>
          <w:rFonts w:ascii="Verdana" w:hAnsi="Verdana" w:cs="Arial"/>
          <w:lang w:val="es-ES_tradnl"/>
        </w:rPr>
        <w:t>y las expresiones aquí utilizadas con mayúscula inicial deben ser entendidas con el significado que les otorga el artículo 2.2.1.1.1.3.1. del Decreto 1082 de 2015.</w:t>
      </w:r>
    </w:p>
    <w:p w14:paraId="65EF570E" w14:textId="77777777" w:rsidR="00BD1CEE" w:rsidRPr="0071334E" w:rsidRDefault="00BD1CEE" w:rsidP="00BD1CEE">
      <w:pPr>
        <w:widowControl w:val="0"/>
        <w:autoSpaceDE w:val="0"/>
        <w:autoSpaceDN w:val="0"/>
        <w:spacing w:after="0" w:line="276" w:lineRule="auto"/>
        <w:jc w:val="both"/>
        <w:rPr>
          <w:rFonts w:ascii="Verdana" w:hAnsi="Verdana" w:cs="Arial"/>
        </w:rPr>
      </w:pPr>
    </w:p>
    <w:p w14:paraId="29EB9306" w14:textId="77777777" w:rsidR="00BD1CEE" w:rsidRPr="0071334E" w:rsidRDefault="00BD1CEE" w:rsidP="00BD1CEE">
      <w:pPr>
        <w:spacing w:after="0" w:line="240" w:lineRule="auto"/>
        <w:rPr>
          <w:rFonts w:ascii="Verdana" w:hAnsi="Verdana" w:cs="Arial"/>
          <w:lang w:eastAsia="es-CO"/>
        </w:rPr>
      </w:pPr>
      <w:r w:rsidRPr="0071334E">
        <w:rPr>
          <w:rFonts w:ascii="Verdana" w:eastAsia="Times New Roman" w:hAnsi="Verdana" w:cs="Arial"/>
          <w:lang w:eastAsia="es-CO"/>
        </w:rPr>
        <w:t>Atentamente,</w:t>
      </w:r>
      <w:r w:rsidRPr="0071334E">
        <w:rPr>
          <w:rFonts w:ascii="Verdana" w:hAnsi="Verdana" w:cs="Arial"/>
          <w:lang w:eastAsia="es-CO"/>
        </w:rPr>
        <w:t xml:space="preserve"> </w:t>
      </w:r>
    </w:p>
    <w:p w14:paraId="77161585" w14:textId="3C1B4FFE" w:rsidR="00BD1CEE" w:rsidRPr="00210244" w:rsidRDefault="00210244" w:rsidP="00210244">
      <w:pPr>
        <w:spacing w:line="276" w:lineRule="auto"/>
        <w:jc w:val="center"/>
        <w:rPr>
          <w:rFonts w:ascii="Verdana" w:hAnsi="Verdana" w:cs="Arial"/>
          <w:color w:val="000000"/>
          <w:lang w:val="es-MX" w:eastAsia="es-CO"/>
        </w:rPr>
      </w:pPr>
      <w:r w:rsidRPr="002C3AD6">
        <w:rPr>
          <w:rFonts w:ascii="Century Gothic" w:hAnsi="Century Gothic"/>
          <w:noProof/>
        </w:rPr>
        <w:drawing>
          <wp:inline distT="0" distB="0" distL="0" distR="0" wp14:anchorId="0E318CE2" wp14:editId="1DF6736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D1CEE" w:rsidRPr="00ED55E0" w14:paraId="70C87EE4" w14:textId="77777777" w:rsidTr="00EC403E">
        <w:trPr>
          <w:trHeight w:val="315"/>
        </w:trPr>
        <w:tc>
          <w:tcPr>
            <w:tcW w:w="893" w:type="dxa"/>
            <w:vAlign w:val="center"/>
            <w:hideMark/>
          </w:tcPr>
          <w:p w14:paraId="25447705" w14:textId="77777777" w:rsidR="00BD1CEE" w:rsidRPr="00ED55E0" w:rsidRDefault="00BD1CEE" w:rsidP="00EC403E">
            <w:pPr>
              <w:contextualSpacing/>
              <w:rPr>
                <w:rFonts w:ascii="Verdana" w:hAnsi="Verdana" w:cs="Arial"/>
                <w:sz w:val="14"/>
                <w:szCs w:val="14"/>
                <w:lang w:val="es-ES" w:eastAsia="es-ES"/>
              </w:rPr>
            </w:pPr>
            <w:r w:rsidRPr="00ED55E0">
              <w:rPr>
                <w:rFonts w:ascii="Verdana" w:hAnsi="Verdana" w:cs="Arial"/>
                <w:sz w:val="14"/>
                <w:szCs w:val="14"/>
                <w:lang w:val="es-ES" w:eastAsia="es-ES"/>
              </w:rPr>
              <w:t>Elaboró:</w:t>
            </w:r>
          </w:p>
        </w:tc>
        <w:tc>
          <w:tcPr>
            <w:tcW w:w="5628" w:type="dxa"/>
            <w:tcBorders>
              <w:top w:val="nil"/>
              <w:left w:val="nil"/>
              <w:bottom w:val="dotted" w:sz="4" w:space="0" w:color="7F7F7F" w:themeColor="text1" w:themeTint="80"/>
              <w:right w:val="nil"/>
            </w:tcBorders>
            <w:vAlign w:val="center"/>
            <w:hideMark/>
          </w:tcPr>
          <w:p w14:paraId="4E96BD47" w14:textId="77777777" w:rsidR="00BD1CEE" w:rsidRPr="00ED55E0" w:rsidRDefault="00BD1CEE" w:rsidP="00EC403E">
            <w:pPr>
              <w:contextualSpacing/>
              <w:rPr>
                <w:rStyle w:val="normaltextrun"/>
                <w:rFonts w:ascii="Verdana" w:hAnsi="Verdana"/>
                <w:sz w:val="14"/>
                <w:szCs w:val="14"/>
              </w:rPr>
            </w:pPr>
            <w:r>
              <w:rPr>
                <w:rStyle w:val="normaltextrun"/>
                <w:rFonts w:ascii="Verdana" w:hAnsi="Verdana"/>
                <w:sz w:val="14"/>
                <w:szCs w:val="14"/>
              </w:rPr>
              <w:t xml:space="preserve">Richard Andrés Montenegro </w:t>
            </w:r>
            <w:proofErr w:type="spellStart"/>
            <w:r>
              <w:rPr>
                <w:rStyle w:val="normaltextrun"/>
                <w:rFonts w:ascii="Verdana" w:hAnsi="Verdana"/>
                <w:sz w:val="14"/>
                <w:szCs w:val="14"/>
              </w:rPr>
              <w:t>Siefken</w:t>
            </w:r>
            <w:proofErr w:type="spellEnd"/>
          </w:p>
          <w:p w14:paraId="07E82B0E" w14:textId="77777777" w:rsidR="00BD1CEE" w:rsidRPr="00ED55E0" w:rsidRDefault="00BD1CEE" w:rsidP="00EC403E">
            <w:pPr>
              <w:contextualSpacing/>
              <w:rPr>
                <w:rFonts w:ascii="Verdana" w:eastAsia="Arial" w:hAnsi="Verdana" w:cs="Arial"/>
                <w:sz w:val="14"/>
                <w:szCs w:val="14"/>
              </w:rPr>
            </w:pPr>
            <w:r w:rsidRPr="00ED55E0">
              <w:rPr>
                <w:rStyle w:val="normaltextrun"/>
                <w:rFonts w:ascii="Verdana" w:hAnsi="Verdana"/>
                <w:sz w:val="14"/>
                <w:szCs w:val="14"/>
              </w:rPr>
              <w:t xml:space="preserve">Contratista </w:t>
            </w:r>
            <w:r w:rsidRPr="00ED55E0">
              <w:rPr>
                <w:rStyle w:val="normaltextrun"/>
                <w:rFonts w:ascii="Verdana" w:eastAsia="Arial" w:hAnsi="Verdana" w:cs="Arial"/>
                <w:sz w:val="14"/>
                <w:szCs w:val="14"/>
              </w:rPr>
              <w:t>de la Subdirección de Gestión Contractual</w:t>
            </w:r>
          </w:p>
        </w:tc>
      </w:tr>
      <w:tr w:rsidR="00BD1CEE" w:rsidRPr="00ED55E0" w14:paraId="3F541C76" w14:textId="77777777" w:rsidTr="00EC403E">
        <w:trPr>
          <w:trHeight w:val="330"/>
        </w:trPr>
        <w:tc>
          <w:tcPr>
            <w:tcW w:w="893" w:type="dxa"/>
            <w:vAlign w:val="center"/>
            <w:hideMark/>
          </w:tcPr>
          <w:p w14:paraId="56B8E39E" w14:textId="77777777" w:rsidR="00BD1CEE" w:rsidRPr="00ED55E0" w:rsidRDefault="00BD1CEE" w:rsidP="00EC403E">
            <w:pPr>
              <w:contextualSpacing/>
              <w:rPr>
                <w:rFonts w:ascii="Verdana" w:hAnsi="Verdana" w:cs="Arial"/>
                <w:sz w:val="14"/>
                <w:szCs w:val="14"/>
                <w:lang w:val="es-ES" w:eastAsia="es-ES"/>
              </w:rPr>
            </w:pPr>
            <w:r w:rsidRPr="00ED55E0">
              <w:rPr>
                <w:rFonts w:ascii="Verdana" w:hAnsi="Verdana" w:cs="Arial"/>
                <w:sz w:val="14"/>
                <w:szCs w:val="14"/>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0108BB" w14:textId="77777777" w:rsidR="00BD1CEE" w:rsidRPr="00ED55E0" w:rsidRDefault="00BD1CEE" w:rsidP="00EC403E">
            <w:pPr>
              <w:pStyle w:val="paragraph"/>
              <w:spacing w:after="0"/>
              <w:contextualSpacing/>
              <w:textAlignment w:val="baseline"/>
              <w:rPr>
                <w:rStyle w:val="normaltextrun"/>
                <w:rFonts w:ascii="Verdana" w:hAnsi="Verdana" w:cs="Arial"/>
                <w:sz w:val="14"/>
                <w:szCs w:val="14"/>
                <w:lang w:val="es-ES"/>
              </w:rPr>
            </w:pPr>
            <w:r>
              <w:rPr>
                <w:rStyle w:val="normaltextrun"/>
                <w:rFonts w:ascii="Verdana" w:hAnsi="Verdana" w:cs="Arial"/>
                <w:sz w:val="14"/>
                <w:szCs w:val="14"/>
                <w:lang w:val="es-ES"/>
              </w:rPr>
              <w:t xml:space="preserve">Juan Carlos González Vásquez </w:t>
            </w:r>
          </w:p>
          <w:p w14:paraId="58B8A9BA" w14:textId="77777777" w:rsidR="00BD1CEE" w:rsidRPr="00ED55E0" w:rsidRDefault="00BD1CEE" w:rsidP="00EC403E">
            <w:pPr>
              <w:pStyle w:val="paragraph"/>
              <w:spacing w:before="0" w:beforeAutospacing="0" w:after="0" w:afterAutospacing="0"/>
              <w:contextualSpacing/>
              <w:textAlignment w:val="baseline"/>
              <w:rPr>
                <w:rFonts w:ascii="Verdana" w:hAnsi="Verdana" w:cs="Segoe UI"/>
                <w:sz w:val="14"/>
                <w:szCs w:val="14"/>
              </w:rPr>
            </w:pPr>
            <w:r>
              <w:rPr>
                <w:rStyle w:val="normaltextrun"/>
                <w:rFonts w:ascii="Verdana" w:hAnsi="Verdana" w:cs="Arial"/>
                <w:sz w:val="14"/>
                <w:szCs w:val="14"/>
                <w:lang w:val="es-ES"/>
              </w:rPr>
              <w:t xml:space="preserve">Contratista </w:t>
            </w:r>
            <w:r w:rsidRPr="00ED55E0">
              <w:rPr>
                <w:rStyle w:val="normaltextrun"/>
                <w:rFonts w:ascii="Verdana" w:hAnsi="Verdana" w:cs="Arial"/>
                <w:sz w:val="14"/>
                <w:szCs w:val="14"/>
                <w:lang w:val="es-ES"/>
              </w:rPr>
              <w:t>de la Subdirección de Gestión Contractual</w:t>
            </w:r>
          </w:p>
        </w:tc>
      </w:tr>
      <w:tr w:rsidR="00BD1CEE" w:rsidRPr="00ED55E0" w14:paraId="598781D3" w14:textId="77777777" w:rsidTr="00EC403E">
        <w:trPr>
          <w:trHeight w:val="300"/>
        </w:trPr>
        <w:tc>
          <w:tcPr>
            <w:tcW w:w="893" w:type="dxa"/>
            <w:vAlign w:val="center"/>
          </w:tcPr>
          <w:p w14:paraId="18D4B72E" w14:textId="77777777" w:rsidR="00BD1CEE" w:rsidRPr="00ED55E0" w:rsidRDefault="00BD1CEE" w:rsidP="00EC403E">
            <w:pPr>
              <w:contextualSpacing/>
              <w:rPr>
                <w:rFonts w:ascii="Verdana" w:hAnsi="Verdana" w:cs="Arial"/>
                <w:sz w:val="14"/>
                <w:szCs w:val="14"/>
                <w:lang w:val="es-ES" w:eastAsia="es-ES"/>
              </w:rPr>
            </w:pPr>
            <w:r w:rsidRPr="00ED55E0">
              <w:rPr>
                <w:rFonts w:ascii="Verdana" w:hAnsi="Verdana" w:cs="Arial"/>
                <w:sz w:val="14"/>
                <w:szCs w:val="14"/>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843129" w14:textId="77777777" w:rsidR="00BD1CEE" w:rsidRPr="00ED55E0" w:rsidRDefault="00BD1CEE" w:rsidP="00EC403E">
            <w:pPr>
              <w:contextualSpacing/>
              <w:rPr>
                <w:rFonts w:ascii="Verdana" w:eastAsia="Calibri" w:hAnsi="Verdana" w:cs="Arial"/>
                <w:sz w:val="14"/>
                <w:szCs w:val="14"/>
                <w:lang w:val="pt-BR" w:eastAsia="es-ES"/>
              </w:rPr>
            </w:pPr>
            <w:r w:rsidRPr="00ED55E0">
              <w:rPr>
                <w:rFonts w:ascii="Verdana" w:eastAsia="Calibri" w:hAnsi="Verdana" w:cs="Arial"/>
                <w:sz w:val="14"/>
                <w:szCs w:val="14"/>
                <w:lang w:val="pt-BR" w:eastAsia="es-ES"/>
              </w:rPr>
              <w:t xml:space="preserve">Carolina Quintero </w:t>
            </w:r>
            <w:proofErr w:type="spellStart"/>
            <w:r w:rsidRPr="00ED55E0">
              <w:rPr>
                <w:rFonts w:ascii="Verdana" w:eastAsia="Calibri" w:hAnsi="Verdana" w:cs="Arial"/>
                <w:sz w:val="14"/>
                <w:szCs w:val="14"/>
                <w:lang w:val="pt-BR" w:eastAsia="es-ES"/>
              </w:rPr>
              <w:t>Gacharná</w:t>
            </w:r>
            <w:proofErr w:type="spellEnd"/>
          </w:p>
          <w:p w14:paraId="715EB660" w14:textId="77777777" w:rsidR="00BD1CEE" w:rsidRPr="00ED55E0" w:rsidRDefault="00BD1CEE" w:rsidP="00EC403E">
            <w:pPr>
              <w:contextualSpacing/>
              <w:rPr>
                <w:rFonts w:ascii="Verdana" w:eastAsia="Calibri" w:hAnsi="Verdana" w:cs="Arial"/>
                <w:sz w:val="14"/>
                <w:szCs w:val="14"/>
                <w:lang w:val="pt-BR" w:eastAsia="es-ES"/>
              </w:rPr>
            </w:pPr>
            <w:r w:rsidRPr="00ED55E0">
              <w:rPr>
                <w:rFonts w:ascii="Verdana" w:eastAsia="Calibri" w:hAnsi="Verdana" w:cs="Arial"/>
                <w:sz w:val="14"/>
                <w:szCs w:val="14"/>
                <w:lang w:eastAsia="es-ES"/>
              </w:rPr>
              <w:t>Subdirectora</w:t>
            </w:r>
            <w:r w:rsidRPr="00ED55E0">
              <w:rPr>
                <w:rFonts w:ascii="Verdana" w:eastAsia="Calibri" w:hAnsi="Verdana" w:cs="Arial"/>
                <w:sz w:val="14"/>
                <w:szCs w:val="14"/>
                <w:lang w:val="pt-BR" w:eastAsia="es-ES"/>
              </w:rPr>
              <w:t xml:space="preserve"> de Gestión </w:t>
            </w:r>
            <w:proofErr w:type="spellStart"/>
            <w:r w:rsidRPr="00ED55E0">
              <w:rPr>
                <w:rFonts w:ascii="Verdana" w:eastAsia="Calibri" w:hAnsi="Verdana" w:cs="Arial"/>
                <w:sz w:val="14"/>
                <w:szCs w:val="14"/>
                <w:lang w:val="pt-BR" w:eastAsia="es-ES"/>
              </w:rPr>
              <w:t>Contractual</w:t>
            </w:r>
            <w:proofErr w:type="spellEnd"/>
            <w:r w:rsidRPr="00ED55E0">
              <w:rPr>
                <w:rFonts w:ascii="Verdana" w:eastAsia="Calibri" w:hAnsi="Verdana" w:cs="Arial"/>
                <w:sz w:val="14"/>
                <w:szCs w:val="14"/>
                <w:lang w:val="pt-BR" w:eastAsia="es-ES"/>
              </w:rPr>
              <w:t xml:space="preserve"> ANCP – CCE</w:t>
            </w:r>
          </w:p>
        </w:tc>
      </w:tr>
      <w:bookmarkEnd w:id="0"/>
    </w:tbl>
    <w:p w14:paraId="3E8C6CB8" w14:textId="77777777" w:rsidR="00BD1CEE" w:rsidRPr="006B5F4A" w:rsidRDefault="00BD1CEE" w:rsidP="00BD1CEE"/>
    <w:p w14:paraId="0F293BF4" w14:textId="10AD9B5A" w:rsidR="00127233" w:rsidRPr="007A5F85" w:rsidRDefault="00127233" w:rsidP="007A5F85"/>
    <w:sectPr w:rsidR="00127233" w:rsidRPr="007A5F85"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2BB2D" w14:textId="77777777" w:rsidR="0069280A" w:rsidRDefault="0069280A" w:rsidP="004A1847">
      <w:pPr>
        <w:spacing w:after="0" w:line="240" w:lineRule="auto"/>
      </w:pPr>
      <w:r>
        <w:separator/>
      </w:r>
    </w:p>
  </w:endnote>
  <w:endnote w:type="continuationSeparator" w:id="0">
    <w:p w14:paraId="503C4414" w14:textId="77777777" w:rsidR="0069280A" w:rsidRDefault="0069280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E3131F" w14:textId="77777777" w:rsidR="0069280A" w:rsidRDefault="0069280A" w:rsidP="004A1847">
      <w:pPr>
        <w:spacing w:after="0" w:line="240" w:lineRule="auto"/>
      </w:pPr>
      <w:r>
        <w:separator/>
      </w:r>
    </w:p>
  </w:footnote>
  <w:footnote w:type="continuationSeparator" w:id="0">
    <w:p w14:paraId="023B774D" w14:textId="77777777" w:rsidR="0069280A" w:rsidRDefault="0069280A" w:rsidP="004A1847">
      <w:pPr>
        <w:spacing w:after="0" w:line="240" w:lineRule="auto"/>
      </w:pPr>
      <w:r>
        <w:continuationSeparator/>
      </w:r>
    </w:p>
  </w:footnote>
  <w:footnote w:id="1">
    <w:p w14:paraId="0EF875EC" w14:textId="77777777" w:rsidR="00BD1CEE" w:rsidRPr="000F233E" w:rsidRDefault="00BD1CEE" w:rsidP="00BD1CEE">
      <w:pPr>
        <w:pStyle w:val="Textonotapie"/>
        <w:ind w:firstLine="708"/>
        <w:jc w:val="both"/>
        <w:rPr>
          <w:rFonts w:ascii="Verdana" w:hAnsi="Verdana" w:cs="Arial"/>
          <w:sz w:val="16"/>
          <w:szCs w:val="16"/>
        </w:rPr>
      </w:pPr>
      <w:r w:rsidRPr="000F233E">
        <w:rPr>
          <w:rStyle w:val="Refdenotaalpie"/>
          <w:rFonts w:ascii="Verdana" w:hAnsi="Verdana" w:cs="Arial"/>
          <w:sz w:val="16"/>
          <w:szCs w:val="16"/>
        </w:rPr>
        <w:footnoteRef/>
      </w:r>
      <w:r w:rsidRPr="000F233E">
        <w:rPr>
          <w:rFonts w:ascii="Verdana" w:hAnsi="Verdana" w:cs="Arial"/>
          <w:sz w:val="16"/>
          <w:szCs w:val="16"/>
        </w:rPr>
        <w:t xml:space="preserve"> EXPÓSITO VÉLEZ, Juan Carlos. Forma y contenido del contrato estatal, Bogotá: Universidad Externado de Colombia, 2013, p. 190. </w:t>
      </w:r>
    </w:p>
    <w:p w14:paraId="6CD098F4" w14:textId="77777777" w:rsidR="00BD1CEE" w:rsidRPr="000F233E" w:rsidRDefault="00BD1CEE" w:rsidP="00BD1CEE">
      <w:pPr>
        <w:pStyle w:val="Textonotapie"/>
        <w:ind w:firstLine="708"/>
        <w:jc w:val="both"/>
        <w:rPr>
          <w:rFonts w:ascii="Verdana" w:hAnsi="Verdana" w:cs="Arial"/>
          <w:sz w:val="16"/>
          <w:szCs w:val="16"/>
        </w:rPr>
      </w:pPr>
    </w:p>
  </w:footnote>
  <w:footnote w:id="2">
    <w:p w14:paraId="1988A7A7" w14:textId="77777777" w:rsidR="00BD1CEE" w:rsidRPr="000F233E" w:rsidRDefault="00BD1CEE" w:rsidP="00BD1CEE">
      <w:pPr>
        <w:spacing w:after="0"/>
        <w:ind w:firstLine="708"/>
        <w:jc w:val="both"/>
        <w:rPr>
          <w:rFonts w:ascii="Verdana" w:hAnsi="Verdana" w:cs="Arial"/>
          <w:color w:val="000000" w:themeColor="text1"/>
          <w:sz w:val="16"/>
          <w:szCs w:val="16"/>
        </w:rPr>
      </w:pPr>
      <w:r w:rsidRPr="000F233E">
        <w:rPr>
          <w:rStyle w:val="Refdenotaalpie"/>
          <w:rFonts w:ascii="Verdana" w:hAnsi="Verdana" w:cs="Arial"/>
          <w:color w:val="000000" w:themeColor="text1"/>
          <w:sz w:val="16"/>
          <w:szCs w:val="16"/>
        </w:rPr>
        <w:footnoteRef/>
      </w:r>
      <w:r w:rsidRPr="000F233E">
        <w:rPr>
          <w:rFonts w:ascii="Verdana" w:hAnsi="Verdana" w:cs="Arial"/>
          <w:color w:val="000000" w:themeColor="text1"/>
          <w:sz w:val="16"/>
          <w:szCs w:val="16"/>
        </w:rPr>
        <w:t xml:space="preserve"> Diario Oficial No. 41.094 de 28 de octubre de 1993</w:t>
      </w:r>
    </w:p>
  </w:footnote>
  <w:footnote w:id="3">
    <w:p w14:paraId="2A94716F" w14:textId="77777777" w:rsidR="00BD1CEE" w:rsidRPr="000F233E" w:rsidRDefault="00BD1CEE" w:rsidP="00BD1CEE">
      <w:pPr>
        <w:pStyle w:val="Textonotapie"/>
        <w:ind w:firstLine="708"/>
        <w:jc w:val="both"/>
        <w:rPr>
          <w:rFonts w:ascii="Verdana" w:hAnsi="Verdana" w:cs="Arial"/>
          <w:sz w:val="16"/>
          <w:szCs w:val="16"/>
        </w:rPr>
      </w:pPr>
      <w:r w:rsidRPr="000F233E">
        <w:rPr>
          <w:rStyle w:val="Refdenotaalpie"/>
          <w:rFonts w:ascii="Verdana" w:hAnsi="Verdana" w:cs="Arial"/>
          <w:sz w:val="16"/>
          <w:szCs w:val="16"/>
        </w:rPr>
        <w:footnoteRef/>
      </w:r>
      <w:r w:rsidRPr="000F233E">
        <w:rPr>
          <w:rFonts w:ascii="Verdana" w:hAnsi="Verdana" w:cs="Arial"/>
          <w:sz w:val="16"/>
          <w:szCs w:val="16"/>
        </w:rPr>
        <w:t xml:space="preserve"> EXPÓSITO VÉLEZ, Juan Carlos. Forma y contenido del contrato estatal, Bogotá: Universidad Externado de Colombia, 2013, p. 202 y 203. </w:t>
      </w:r>
    </w:p>
  </w:footnote>
  <w:footnote w:id="4">
    <w:p w14:paraId="1BD078E8" w14:textId="77777777" w:rsidR="00BD1CEE" w:rsidRPr="000F233E" w:rsidRDefault="00BD1CEE" w:rsidP="00BD1CEE">
      <w:pPr>
        <w:pStyle w:val="Textonotapie"/>
        <w:ind w:firstLine="708"/>
        <w:jc w:val="both"/>
        <w:rPr>
          <w:rFonts w:ascii="Verdana" w:hAnsi="Verdana" w:cs="Arial"/>
          <w:sz w:val="16"/>
          <w:szCs w:val="16"/>
          <w:lang w:val="es-ES"/>
        </w:rPr>
      </w:pPr>
      <w:r w:rsidRPr="000F233E">
        <w:rPr>
          <w:rStyle w:val="Refdenotaalpie"/>
          <w:rFonts w:ascii="Verdana" w:hAnsi="Verdana" w:cs="Arial"/>
          <w:sz w:val="16"/>
          <w:szCs w:val="16"/>
        </w:rPr>
        <w:footnoteRef/>
      </w:r>
      <w:r w:rsidRPr="000F233E">
        <w:rPr>
          <w:rFonts w:ascii="Verdana" w:hAnsi="Verdana" w:cs="Arial"/>
          <w:sz w:val="16"/>
          <w:szCs w:val="16"/>
        </w:rPr>
        <w:t xml:space="preserve"> </w:t>
      </w:r>
      <w:r w:rsidRPr="000F233E">
        <w:rPr>
          <w:rFonts w:ascii="Verdana" w:hAnsi="Verdana" w:cs="Arial"/>
          <w:sz w:val="16"/>
          <w:szCs w:val="16"/>
          <w:lang w:val="es-ES"/>
        </w:rPr>
        <w:t>CONSEJO DE ESTADO. Sección Tercera. Subsección A. Sentencia de 9 de mayo de 2012. Exp. 20.968. C.P. Mauricio Fajardo Gómez.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8102AC"/>
    <w:multiLevelType w:val="multilevel"/>
    <w:tmpl w:val="49B86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7908247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10244"/>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E099A"/>
    <w:rsid w:val="003F3941"/>
    <w:rsid w:val="00406575"/>
    <w:rsid w:val="00414C74"/>
    <w:rsid w:val="0042722E"/>
    <w:rsid w:val="00430FB0"/>
    <w:rsid w:val="0044528D"/>
    <w:rsid w:val="00451B0A"/>
    <w:rsid w:val="004A1847"/>
    <w:rsid w:val="004A305D"/>
    <w:rsid w:val="004B1C4B"/>
    <w:rsid w:val="004F21C4"/>
    <w:rsid w:val="004F685F"/>
    <w:rsid w:val="005566E8"/>
    <w:rsid w:val="00574867"/>
    <w:rsid w:val="00591460"/>
    <w:rsid w:val="005C3777"/>
    <w:rsid w:val="005C5CDC"/>
    <w:rsid w:val="005D476C"/>
    <w:rsid w:val="006219F8"/>
    <w:rsid w:val="006302F7"/>
    <w:rsid w:val="00665D70"/>
    <w:rsid w:val="006900D9"/>
    <w:rsid w:val="0069280A"/>
    <w:rsid w:val="006A760C"/>
    <w:rsid w:val="00706C16"/>
    <w:rsid w:val="00747108"/>
    <w:rsid w:val="00756841"/>
    <w:rsid w:val="007649AB"/>
    <w:rsid w:val="00771D0C"/>
    <w:rsid w:val="007833AC"/>
    <w:rsid w:val="007A5F85"/>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A53B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1CEE"/>
    <w:rsid w:val="00BD7F72"/>
    <w:rsid w:val="00C04FB3"/>
    <w:rsid w:val="00C330EB"/>
    <w:rsid w:val="00C754BE"/>
    <w:rsid w:val="00C76B1C"/>
    <w:rsid w:val="00CB6357"/>
    <w:rsid w:val="00CC1B26"/>
    <w:rsid w:val="00CE3CD7"/>
    <w:rsid w:val="00D423A2"/>
    <w:rsid w:val="00D520D8"/>
    <w:rsid w:val="00D63AC2"/>
    <w:rsid w:val="00D7383B"/>
    <w:rsid w:val="00DA231B"/>
    <w:rsid w:val="00DB6234"/>
    <w:rsid w:val="00DC39FC"/>
    <w:rsid w:val="00DF112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3D76"/>
    <w:rsid w:val="00F5664F"/>
    <w:rsid w:val="00F666C4"/>
    <w:rsid w:val="00F76AFC"/>
    <w:rsid w:val="00FA47C0"/>
    <w:rsid w:val="00FB5DD1"/>
    <w:rsid w:val="00FC2B5D"/>
    <w:rsid w:val="00FD6F78"/>
    <w:rsid w:val="00FF1449"/>
    <w:rsid w:val="03B35EE4"/>
    <w:rsid w:val="07318F06"/>
    <w:rsid w:val="0CD9B2FE"/>
    <w:rsid w:val="0E21B574"/>
    <w:rsid w:val="1065807C"/>
    <w:rsid w:val="10B5E664"/>
    <w:rsid w:val="14EAAF2D"/>
    <w:rsid w:val="178F1397"/>
    <w:rsid w:val="25650235"/>
    <w:rsid w:val="3872429B"/>
    <w:rsid w:val="41A78B44"/>
    <w:rsid w:val="42E2C173"/>
    <w:rsid w:val="532BA1E1"/>
    <w:rsid w:val="64388478"/>
    <w:rsid w:val="6B91587C"/>
    <w:rsid w:val="70F31EC0"/>
    <w:rsid w:val="7216906A"/>
    <w:rsid w:val="76175B27"/>
    <w:rsid w:val="7656A41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D1CE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D1CEE"/>
    <w:rPr>
      <w:rFonts w:ascii="Geomanist Light" w:hAnsi="Geomanist Light"/>
      <w:lang w:val="es-ES"/>
    </w:rPr>
  </w:style>
  <w:style w:type="character" w:customStyle="1" w:styleId="s15">
    <w:name w:val="s15"/>
    <w:basedOn w:val="Fuentedeprrafopredeter"/>
    <w:rsid w:val="00BD1CEE"/>
  </w:style>
  <w:style w:type="character" w:customStyle="1" w:styleId="apple-converted-space">
    <w:name w:val="apple-converted-space"/>
    <w:basedOn w:val="Fuentedeprrafopredeter"/>
    <w:rsid w:val="00BD1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manuales-guias-y-pliegos-tipo/manuales-y-guia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rood24@hot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3847E6A-63A7-4B28-AB14-EC60B25270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a6cb9e4b-f1d1-4245-83ec-6cad768d538a"/>
    <ds:schemaRef ds:uri="http://schemas.openxmlformats.org/package/2006/metadata/core-properties"/>
    <ds:schemaRef ds:uri="http://schemas.microsoft.com/office/infopath/2007/PartnerControls"/>
    <ds:schemaRef ds:uri="9d85dbaf-23eb-4e57-a637-93dcacc8b1a1"/>
    <ds:schemaRef ds:uri="http://purl.org/dc/terms/"/>
    <ds:schemaRef ds:uri="http://schemas.microsoft.com/office/2006/documentManagement/types"/>
    <ds:schemaRef ds:uri="http://purl.org/dc/elements/1.1/"/>
    <ds:schemaRef ds:uri="http://purl.org/dc/dcmitype/"/>
    <ds:schemaRef ds:uri="http://schemas.microsoft.com/office/2006/metadata/properties"/>
    <ds:schemaRef ds:uri="http://www.w3.org/XML/1998/namespac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10</Pages>
  <Words>3110</Words>
  <Characters>17110</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2025-10-21T15:31:00Z</dcterms:created>
  <dcterms:modified xsi:type="dcterms:W3CDTF">2025-10-21T15:31:00Z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