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49A58" w14:textId="77777777" w:rsidR="00500D81" w:rsidRPr="00123DAA" w:rsidRDefault="00500D81" w:rsidP="00500D81">
      <w:pPr>
        <w:spacing w:after="0" w:line="240" w:lineRule="auto"/>
        <w:jc w:val="both"/>
        <w:rPr>
          <w:rFonts w:ascii="Verdana" w:eastAsia="Calibri" w:hAnsi="Verdana" w:cs="Arial"/>
          <w:b/>
          <w:bCs/>
          <w:lang w:val="es-ES_tradnl" w:eastAsia="es-ES"/>
        </w:rPr>
      </w:pPr>
      <w:r w:rsidRPr="00940024">
        <w:rPr>
          <w:rFonts w:ascii="Verdana" w:eastAsia="Calibri" w:hAnsi="Verdana" w:cs="Arial"/>
          <w:b/>
          <w:bCs/>
          <w:lang w:val="es-ES_tradnl" w:eastAsia="es-ES"/>
        </w:rPr>
        <w:t>SEGURIDAD SOCIAL INTEGRAL – Verificación</w:t>
      </w:r>
      <w:r>
        <w:rPr>
          <w:rFonts w:ascii="Verdana" w:eastAsia="Calibri" w:hAnsi="Verdana" w:cs="Arial"/>
          <w:b/>
          <w:bCs/>
          <w:lang w:val="es-ES_tradnl" w:eastAsia="es-ES"/>
        </w:rPr>
        <w:t xml:space="preserve"> </w:t>
      </w:r>
      <w:r w:rsidRPr="00940024">
        <w:rPr>
          <w:rFonts w:ascii="Verdana" w:eastAsia="Calibri" w:hAnsi="Verdana" w:cs="Arial"/>
          <w:b/>
          <w:bCs/>
          <w:lang w:val="es-ES_tradnl" w:eastAsia="es-ES"/>
        </w:rPr>
        <w:t>–</w:t>
      </w:r>
      <w:r>
        <w:rPr>
          <w:rFonts w:ascii="Verdana" w:eastAsia="Calibri" w:hAnsi="Verdana" w:cs="Arial"/>
          <w:b/>
          <w:bCs/>
          <w:lang w:val="es-ES_tradnl" w:eastAsia="es-ES"/>
        </w:rPr>
        <w:t xml:space="preserve"> Persona natural </w:t>
      </w:r>
      <w:r w:rsidRPr="00940024">
        <w:rPr>
          <w:rFonts w:ascii="Verdana" w:eastAsia="Calibri" w:hAnsi="Verdana" w:cs="Arial"/>
          <w:b/>
          <w:bCs/>
          <w:lang w:val="es-ES_tradnl" w:eastAsia="es-ES"/>
        </w:rPr>
        <w:t>–</w:t>
      </w:r>
      <w:r>
        <w:rPr>
          <w:rFonts w:ascii="Verdana" w:eastAsia="Calibri" w:hAnsi="Verdana" w:cs="Arial"/>
          <w:b/>
          <w:bCs/>
          <w:lang w:val="es-ES_tradnl" w:eastAsia="es-ES"/>
        </w:rPr>
        <w:t xml:space="preserve"> Persona jurídica</w:t>
      </w:r>
    </w:p>
    <w:p w14:paraId="6861F776" w14:textId="77777777" w:rsidR="00500D81" w:rsidRPr="00123DAA" w:rsidRDefault="00500D81" w:rsidP="00500D81">
      <w:pPr>
        <w:spacing w:after="0" w:line="240" w:lineRule="auto"/>
        <w:jc w:val="both"/>
        <w:rPr>
          <w:rFonts w:ascii="Verdana" w:eastAsia="Calibri" w:hAnsi="Verdana" w:cs="Arial"/>
          <w:sz w:val="20"/>
          <w:szCs w:val="20"/>
          <w:lang w:val="es-ES_tradnl" w:eastAsia="es-ES"/>
        </w:rPr>
      </w:pPr>
    </w:p>
    <w:p w14:paraId="115F4D60" w14:textId="77777777" w:rsidR="00500D81" w:rsidRPr="00940024"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modificada en lo pertinente por la Ley 2381 de 2024, el Sistema de Seguridad Social Integral en Colombia se compone de los sistemas de protección social integral para la vejez, invalidez y muerte de origen común, de salud y de riesgos laborales, así como los servicios sociales complementarios.</w:t>
      </w:r>
    </w:p>
    <w:p w14:paraId="102817BF" w14:textId="77777777" w:rsidR="00500D81" w:rsidRDefault="00500D81" w:rsidP="00500D81">
      <w:pPr>
        <w:spacing w:after="0" w:line="240" w:lineRule="auto"/>
        <w:jc w:val="both"/>
        <w:rPr>
          <w:rFonts w:ascii="Verdana" w:eastAsia="Calibri" w:hAnsi="Verdana" w:cs="Arial"/>
          <w:sz w:val="20"/>
          <w:szCs w:val="20"/>
          <w:lang w:val="es-ES" w:eastAsia="es-ES"/>
        </w:rPr>
      </w:pPr>
    </w:p>
    <w:p w14:paraId="6D23B2E1" w14:textId="77777777" w:rsidR="00500D81"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El artículo 50 de la Ley 789 de 2002 dispuso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r>
        <w:rPr>
          <w:rFonts w:ascii="Verdana" w:eastAsia="Calibri" w:hAnsi="Verdana" w:cs="Arial"/>
          <w:sz w:val="20"/>
          <w:szCs w:val="20"/>
          <w:lang w:val="es-ES" w:eastAsia="es-ES"/>
        </w:rPr>
        <w:t xml:space="preserve"> </w:t>
      </w:r>
    </w:p>
    <w:p w14:paraId="0D92604C" w14:textId="77777777" w:rsidR="00500D81" w:rsidRDefault="00500D81" w:rsidP="00500D81">
      <w:pPr>
        <w:spacing w:after="0" w:line="240" w:lineRule="auto"/>
        <w:jc w:val="both"/>
        <w:rPr>
          <w:rFonts w:ascii="Verdana" w:eastAsia="Calibri" w:hAnsi="Verdana" w:cs="Arial"/>
          <w:sz w:val="20"/>
          <w:szCs w:val="20"/>
          <w:lang w:val="es-ES" w:eastAsia="es-ES"/>
        </w:rPr>
      </w:pPr>
    </w:p>
    <w:p w14:paraId="4384EF25" w14:textId="77777777" w:rsidR="00500D81" w:rsidRDefault="00500D81" w:rsidP="00500D81">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 xml:space="preserve">(…) </w:t>
      </w:r>
    </w:p>
    <w:p w14:paraId="5DD7265F" w14:textId="77777777" w:rsidR="00500D81" w:rsidRPr="00940024" w:rsidRDefault="00500D81" w:rsidP="00500D81">
      <w:pPr>
        <w:spacing w:after="0" w:line="240" w:lineRule="auto"/>
        <w:jc w:val="both"/>
        <w:rPr>
          <w:rFonts w:ascii="Verdana" w:eastAsia="Calibri" w:hAnsi="Verdana" w:cs="Arial"/>
          <w:sz w:val="20"/>
          <w:szCs w:val="20"/>
          <w:lang w:val="es-ES" w:eastAsia="es-ES"/>
        </w:rPr>
      </w:pPr>
      <w:r w:rsidRPr="000E3658">
        <w:rPr>
          <w:rFonts w:ascii="Verdana" w:eastAsia="Calibri" w:hAnsi="Verdana" w:cs="Arial"/>
          <w:sz w:val="20"/>
          <w:szCs w:val="20"/>
          <w:lang w:val="es-ES" w:eastAsia="es-ES"/>
        </w:rPr>
        <w:t xml:space="preserve">En este sentido, la verificación de los aportes al Sistema de Seguridad Social Integral cambia, dependiendo si se trata de una persona natural o de una jurídica: i) si es una persona natural, la Entidad Estatal verificará el pago al Sistema de Seguridad Social Integral cuando se realicen los pagos del contrato, es decir, durante su ejecución y </w:t>
      </w:r>
      <w:proofErr w:type="spellStart"/>
      <w:r w:rsidRPr="000E3658">
        <w:rPr>
          <w:rFonts w:ascii="Verdana" w:eastAsia="Calibri" w:hAnsi="Verdana" w:cs="Arial"/>
          <w:sz w:val="20"/>
          <w:szCs w:val="20"/>
          <w:lang w:val="es-ES" w:eastAsia="es-ES"/>
        </w:rPr>
        <w:t>ii</w:t>
      </w:r>
      <w:proofErr w:type="spellEnd"/>
      <w:r w:rsidRPr="000E3658">
        <w:rPr>
          <w:rFonts w:ascii="Verdana" w:eastAsia="Calibri" w:hAnsi="Verdana" w:cs="Arial"/>
          <w:sz w:val="20"/>
          <w:szCs w:val="20"/>
          <w:lang w:val="es-ES" w:eastAsia="es-ES"/>
        </w:rPr>
        <w:t>) si se refiere a una persona jurídica,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21E7F2BD" w14:textId="77777777" w:rsidR="00500D81" w:rsidRPr="00940024" w:rsidRDefault="00500D81" w:rsidP="00500D81">
      <w:pPr>
        <w:spacing w:after="0" w:line="240" w:lineRule="auto"/>
        <w:jc w:val="both"/>
        <w:rPr>
          <w:rFonts w:ascii="Verdana" w:eastAsia="Calibri" w:hAnsi="Verdana" w:cs="Arial"/>
          <w:sz w:val="20"/>
          <w:szCs w:val="20"/>
          <w:lang w:val="es-ES" w:eastAsia="es-ES"/>
        </w:rPr>
      </w:pPr>
    </w:p>
    <w:p w14:paraId="5A580989" w14:textId="77777777" w:rsidR="00500D81" w:rsidRPr="00123DAA" w:rsidRDefault="00500D81" w:rsidP="00500D81">
      <w:pPr>
        <w:spacing w:after="0" w:line="240" w:lineRule="auto"/>
        <w:jc w:val="both"/>
        <w:rPr>
          <w:rFonts w:ascii="Verdana" w:eastAsia="Calibri" w:hAnsi="Verdana" w:cs="Arial"/>
          <w:sz w:val="20"/>
          <w:szCs w:val="20"/>
          <w:lang w:val="es-ES_tradnl" w:eastAsia="es-ES"/>
        </w:rPr>
      </w:pPr>
      <w:r w:rsidRPr="00940024">
        <w:rPr>
          <w:rFonts w:ascii="Verdana" w:eastAsia="Calibri" w:hAnsi="Verdana" w:cs="Arial"/>
          <w:b/>
          <w:bCs/>
          <w:lang w:val="es-ES_tradnl" w:eastAsia="es-ES"/>
        </w:rPr>
        <w:t>SEGURIDAD SOCIAL INTEGRAL – Régimen jurídico – Afiliación y aporte – Obligación legal – Ejecución del contrato</w:t>
      </w:r>
      <w:r>
        <w:rPr>
          <w:rFonts w:ascii="Verdana" w:eastAsia="Calibri" w:hAnsi="Verdana" w:cs="Arial"/>
          <w:b/>
          <w:bCs/>
          <w:lang w:val="es-ES_tradnl" w:eastAsia="es-ES"/>
        </w:rPr>
        <w:t xml:space="preserve"> </w:t>
      </w:r>
    </w:p>
    <w:p w14:paraId="7E72B48B" w14:textId="77777777" w:rsidR="00500D81" w:rsidRDefault="00500D81" w:rsidP="00500D81">
      <w:pPr>
        <w:spacing w:after="0" w:line="240" w:lineRule="auto"/>
        <w:jc w:val="both"/>
        <w:rPr>
          <w:rFonts w:ascii="Verdana" w:eastAsia="Calibri" w:hAnsi="Verdana" w:cs="Arial"/>
          <w:sz w:val="20"/>
          <w:szCs w:val="20"/>
          <w:lang w:val="es-ES_tradnl" w:eastAsia="es-ES"/>
        </w:rPr>
      </w:pPr>
    </w:p>
    <w:p w14:paraId="1185284B" w14:textId="77777777" w:rsidR="00500D81" w:rsidRPr="00940024"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w:t>
      </w:r>
      <w:r w:rsidRPr="00940024">
        <w:rPr>
          <w:rFonts w:ascii="Verdana" w:eastAsia="Calibri" w:hAnsi="Verdana" w:cs="Arial"/>
          <w:i/>
          <w:iCs/>
          <w:sz w:val="20"/>
          <w:szCs w:val="20"/>
          <w:lang w:val="es-ES" w:eastAsia="es-ES"/>
        </w:rPr>
        <w:t>para presentar la oferta</w:t>
      </w:r>
      <w:r w:rsidRPr="00940024">
        <w:rPr>
          <w:rFonts w:ascii="Verdana" w:eastAsia="Calibri" w:hAnsi="Verdana" w:cs="Arial"/>
          <w:sz w:val="20"/>
          <w:szCs w:val="20"/>
          <w:lang w:val="es-ES" w:eastAsia="es-ES"/>
        </w:rPr>
        <w:t xml:space="preserve"> las personas jurídicas deben acreditar el requisito señalado anteriormente.</w:t>
      </w:r>
    </w:p>
    <w:p w14:paraId="3C677906" w14:textId="77777777" w:rsidR="00500D81" w:rsidRPr="00940024" w:rsidRDefault="00500D81" w:rsidP="00500D81">
      <w:pPr>
        <w:spacing w:after="0" w:line="240" w:lineRule="auto"/>
        <w:jc w:val="both"/>
        <w:rPr>
          <w:rFonts w:ascii="Verdana" w:eastAsia="Calibri" w:hAnsi="Verdana" w:cs="Arial"/>
          <w:sz w:val="20"/>
          <w:szCs w:val="20"/>
          <w:lang w:val="es-ES" w:eastAsia="es-ES"/>
        </w:rPr>
      </w:pPr>
    </w:p>
    <w:p w14:paraId="689AA25C" w14:textId="77777777" w:rsidR="00500D81"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Esta norma fue analizada por la Sección Tercera del Consejo de Estado, que consideró que el artículo 50 de la Ley 789 de 2002 tiene por objeto evitar la evasión por parte de </w:t>
      </w:r>
      <w:r w:rsidRPr="00940024">
        <w:rPr>
          <w:rFonts w:ascii="Verdana" w:eastAsia="Calibri" w:hAnsi="Verdana" w:cs="Arial"/>
          <w:sz w:val="20"/>
          <w:szCs w:val="20"/>
          <w:lang w:val="es-ES" w:eastAsia="es-ES"/>
        </w:rPr>
        <w:lastRenderedPageBreak/>
        <w:t xml:space="preserve">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w:t>
      </w:r>
      <w:r w:rsidRPr="00940024">
        <w:rPr>
          <w:rFonts w:ascii="Verdana" w:eastAsia="Calibri" w:hAnsi="Verdana" w:cs="Arial"/>
          <w:i/>
          <w:iCs/>
          <w:sz w:val="20"/>
          <w:szCs w:val="20"/>
          <w:lang w:val="es-ES" w:eastAsia="es-ES"/>
        </w:rPr>
        <w:t>durante la ejecución de un contrato</w:t>
      </w:r>
      <w:r w:rsidRPr="00940024">
        <w:rPr>
          <w:rFonts w:ascii="Verdana" w:eastAsia="Calibri" w:hAnsi="Verdana" w:cs="Arial"/>
          <w:sz w:val="20"/>
          <w:szCs w:val="20"/>
          <w:lang w:val="es-ES" w:eastAsia="es-ES"/>
        </w:rPr>
        <w:t>,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de Seguridad Social Integral […]</w:t>
      </w:r>
    </w:p>
    <w:p w14:paraId="0F5392B2" w14:textId="77777777" w:rsidR="00500D81" w:rsidRPr="00940024" w:rsidRDefault="00500D81" w:rsidP="00500D81">
      <w:pPr>
        <w:spacing w:after="0" w:line="240" w:lineRule="auto"/>
        <w:jc w:val="both"/>
        <w:rPr>
          <w:rFonts w:ascii="Verdana" w:eastAsia="Calibri" w:hAnsi="Verdana" w:cs="Arial"/>
          <w:sz w:val="20"/>
          <w:szCs w:val="20"/>
          <w:lang w:val="es-ES" w:eastAsia="es-ES"/>
        </w:rPr>
      </w:pPr>
    </w:p>
    <w:p w14:paraId="142F6007" w14:textId="77777777" w:rsidR="00500D81" w:rsidRDefault="00500D81" w:rsidP="00500D8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Del artículo 23 de la Ley 1150 de 2007 se concluye </w:t>
      </w:r>
      <w:proofErr w:type="gramStart"/>
      <w:r w:rsidRPr="00940024">
        <w:rPr>
          <w:rFonts w:ascii="Verdana" w:eastAsia="Calibri" w:hAnsi="Verdana" w:cs="Arial"/>
          <w:sz w:val="20"/>
          <w:szCs w:val="20"/>
          <w:lang w:val="es-ES" w:eastAsia="es-ES"/>
        </w:rPr>
        <w:t>que</w:t>
      </w:r>
      <w:proofErr w:type="gramEnd"/>
      <w:r w:rsidRPr="00940024">
        <w:rPr>
          <w:rFonts w:ascii="Verdana" w:eastAsia="Calibri" w:hAnsi="Verdana" w:cs="Arial"/>
          <w:sz w:val="20"/>
          <w:szCs w:val="20"/>
          <w:lang w:val="es-ES" w:eastAsia="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w:t>
      </w:r>
    </w:p>
    <w:p w14:paraId="7883AA35" w14:textId="77777777" w:rsidR="00500D81" w:rsidRDefault="00500D81" w:rsidP="00500D81">
      <w:pPr>
        <w:spacing w:after="0" w:line="240" w:lineRule="auto"/>
        <w:jc w:val="both"/>
        <w:rPr>
          <w:rFonts w:ascii="Verdana" w:eastAsia="Calibri" w:hAnsi="Verdana" w:cs="Arial"/>
          <w:sz w:val="20"/>
          <w:szCs w:val="20"/>
          <w:lang w:val="es-ES" w:eastAsia="es-ES"/>
        </w:rPr>
      </w:pPr>
    </w:p>
    <w:p w14:paraId="6E082BAF" w14:textId="44E2DE6F" w:rsidR="008E24A7" w:rsidRPr="00123DAA" w:rsidRDefault="008E24A7" w:rsidP="008E24A7">
      <w:pPr>
        <w:spacing w:after="0" w:line="240" w:lineRule="auto"/>
        <w:jc w:val="both"/>
        <w:rPr>
          <w:rFonts w:ascii="Verdana" w:eastAsia="Calibri" w:hAnsi="Verdana" w:cs="Arial"/>
          <w:sz w:val="20"/>
          <w:szCs w:val="20"/>
          <w:lang w:val="es-ES_tradnl" w:eastAsia="es-ES"/>
        </w:rPr>
      </w:pPr>
      <w:r w:rsidRPr="007734FD">
        <w:rPr>
          <w:rFonts w:ascii="Verdana" w:eastAsia="Calibri" w:hAnsi="Verdana" w:cs="Arial"/>
          <w:b/>
          <w:bCs/>
          <w:lang w:val="es-ES_tradnl" w:eastAsia="es-ES"/>
        </w:rPr>
        <w:t>SEGURIDAD SOCIAL INTEGRAL – Instituciones educativas –</w:t>
      </w:r>
      <w:r w:rsidR="00D10C6C" w:rsidRPr="007734FD">
        <w:rPr>
          <w:rFonts w:ascii="Verdana" w:eastAsia="Calibri" w:hAnsi="Verdana" w:cs="Arial"/>
          <w:b/>
          <w:bCs/>
          <w:lang w:val="es-ES_tradnl" w:eastAsia="es-ES"/>
        </w:rPr>
        <w:t xml:space="preserve"> </w:t>
      </w:r>
      <w:r w:rsidR="00896B1F" w:rsidRPr="007734FD">
        <w:rPr>
          <w:rFonts w:ascii="Verdana" w:eastAsia="Calibri" w:hAnsi="Verdana" w:cs="Arial"/>
          <w:b/>
          <w:bCs/>
          <w:lang w:val="es-ES_tradnl" w:eastAsia="es-ES"/>
        </w:rPr>
        <w:t>Contrato de suministro –</w:t>
      </w:r>
      <w:r w:rsidR="00780795" w:rsidRPr="007734FD">
        <w:rPr>
          <w:rFonts w:ascii="Verdana" w:eastAsia="Calibri" w:hAnsi="Verdana" w:cs="Arial"/>
          <w:b/>
          <w:bCs/>
          <w:lang w:val="es-ES_tradnl" w:eastAsia="es-ES"/>
        </w:rPr>
        <w:t xml:space="preserve"> </w:t>
      </w:r>
      <w:r w:rsidR="00D10C6C" w:rsidRPr="007734FD">
        <w:rPr>
          <w:rFonts w:ascii="Verdana" w:eastAsia="Calibri" w:hAnsi="Verdana" w:cs="Arial"/>
          <w:b/>
          <w:bCs/>
          <w:lang w:val="es-ES_tradnl" w:eastAsia="es-ES"/>
        </w:rPr>
        <w:t>Verificación de aportes</w:t>
      </w:r>
      <w:r w:rsidRPr="007734FD">
        <w:rPr>
          <w:rFonts w:ascii="Verdana" w:eastAsia="Calibri" w:hAnsi="Verdana" w:cs="Arial"/>
          <w:b/>
          <w:bCs/>
          <w:lang w:val="es-ES_tradnl" w:eastAsia="es-ES"/>
        </w:rPr>
        <w:t xml:space="preserve"> </w:t>
      </w:r>
      <w:r w:rsidR="00D10C6C" w:rsidRPr="007734FD">
        <w:rPr>
          <w:rFonts w:ascii="Verdana" w:eastAsia="Calibri" w:hAnsi="Verdana" w:cs="Arial"/>
          <w:b/>
          <w:bCs/>
          <w:lang w:val="es-ES_tradnl" w:eastAsia="es-ES"/>
        </w:rPr>
        <w:t xml:space="preserve">– </w:t>
      </w:r>
      <w:r w:rsidR="00896B1F" w:rsidRPr="007734FD">
        <w:rPr>
          <w:rFonts w:ascii="Verdana" w:eastAsia="Calibri" w:hAnsi="Verdana" w:cs="Arial"/>
          <w:b/>
          <w:bCs/>
          <w:lang w:val="es-ES_tradnl" w:eastAsia="es-ES"/>
        </w:rPr>
        <w:t>Ingreso Base de Cotización (IBC)</w:t>
      </w:r>
    </w:p>
    <w:p w14:paraId="4A80C093" w14:textId="77777777" w:rsidR="008E24A7" w:rsidRDefault="008E24A7" w:rsidP="008E24A7">
      <w:pPr>
        <w:spacing w:after="0" w:line="240" w:lineRule="auto"/>
        <w:jc w:val="both"/>
        <w:rPr>
          <w:rFonts w:ascii="Verdana" w:eastAsia="Calibri" w:hAnsi="Verdana" w:cs="Arial"/>
          <w:sz w:val="20"/>
          <w:szCs w:val="20"/>
          <w:lang w:val="es-ES_tradnl" w:eastAsia="es-ES"/>
        </w:rPr>
      </w:pPr>
    </w:p>
    <w:p w14:paraId="0DF6E509" w14:textId="77777777" w:rsidR="00D032DA" w:rsidRDefault="00D032DA" w:rsidP="00D032DA">
      <w:pPr>
        <w:spacing w:after="0" w:line="240" w:lineRule="auto"/>
        <w:jc w:val="both"/>
        <w:rPr>
          <w:rFonts w:ascii="Verdana" w:eastAsia="Calibri" w:hAnsi="Verdana" w:cs="Arial"/>
          <w:sz w:val="20"/>
          <w:szCs w:val="20"/>
          <w:lang w:val="es-ES" w:eastAsia="es-ES"/>
        </w:rPr>
      </w:pPr>
      <w:r w:rsidRPr="00D032DA">
        <w:rPr>
          <w:rFonts w:ascii="Verdana" w:eastAsia="Calibri" w:hAnsi="Verdana" w:cs="Arial"/>
          <w:sz w:val="20"/>
          <w:szCs w:val="20"/>
          <w:lang w:val="es-ES" w:eastAsia="es-ES"/>
        </w:rPr>
        <w:t>La Ley 789 de 2002 dispone, en su artículo 50, que “La celebración,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Instituto Colombiano de Bienestar Familiar y Servicio Nacional de Aprendizaje, cuando a ello haya lugar”. Así pues, y teniendo en cuenta que las instituciones educativas pertenecen a la entidad territorial que haya efectuado su reconocimiento de carácter oficial, y que los fondos de servicios educativos tampoco cuentan con personería jurídica según lo previsto en el artículo 2.3.1.6.3.4 del Decreto 1075 de 2015, Decreto Único Reglamentario del Sector Educación, dichas instituciones deben requerir el cumplimiento del contratista de sus obligaciones con el sistema de seguridad social, ya que esto aplica a los contratos de cualquier naturaleza con entidades del sector público, y esto incluye a los contratos de suministro, referidos en su consulta, y a las entidades territoriales a las que pertenecen las instituciones educativas.</w:t>
      </w:r>
    </w:p>
    <w:p w14:paraId="351A5789" w14:textId="77777777" w:rsidR="00D032DA" w:rsidRPr="00D032DA" w:rsidRDefault="00D032DA" w:rsidP="00D032DA">
      <w:pPr>
        <w:spacing w:after="0" w:line="240" w:lineRule="auto"/>
        <w:jc w:val="both"/>
        <w:rPr>
          <w:rFonts w:ascii="Verdana" w:eastAsia="Calibri" w:hAnsi="Verdana" w:cs="Arial"/>
          <w:sz w:val="20"/>
          <w:szCs w:val="20"/>
          <w:lang w:val="es-ES" w:eastAsia="es-ES"/>
        </w:rPr>
      </w:pPr>
    </w:p>
    <w:p w14:paraId="6C3328D5" w14:textId="41E5987F" w:rsidR="00D032DA" w:rsidRPr="00D032DA" w:rsidRDefault="003807E7" w:rsidP="00D032DA">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w:t>
      </w:r>
    </w:p>
    <w:p w14:paraId="212CB513" w14:textId="77777777" w:rsidR="00D032DA" w:rsidRDefault="00D032DA" w:rsidP="00D032DA">
      <w:pPr>
        <w:spacing w:after="0" w:line="240" w:lineRule="auto"/>
        <w:jc w:val="both"/>
        <w:rPr>
          <w:rFonts w:ascii="Verdana" w:eastAsia="Calibri" w:hAnsi="Verdana" w:cs="Arial"/>
          <w:sz w:val="20"/>
          <w:szCs w:val="20"/>
          <w:lang w:val="es-ES" w:eastAsia="es-ES"/>
        </w:rPr>
      </w:pPr>
      <w:r w:rsidRPr="00D032DA">
        <w:rPr>
          <w:rFonts w:ascii="Verdana" w:eastAsia="Calibri" w:hAnsi="Verdana" w:cs="Arial"/>
          <w:sz w:val="20"/>
          <w:szCs w:val="20"/>
          <w:lang w:val="es-ES" w:eastAsia="es-ES"/>
        </w:rPr>
        <w:t xml:space="preserve">Asimismo, de acuerdo con el artículo 50 de la Ley 789 de 2002 la verificación de los aportes al Sistema de Seguridad Social Integral cambia, dependiendo si se trata de una persona natural o de una jurídica: i) si es una persona natural, la Entidad Estatal verificará el pago al Sistema de Seguridad Social Integral cuando se realicen los pagos </w:t>
      </w:r>
      <w:r w:rsidRPr="00D032DA">
        <w:rPr>
          <w:rFonts w:ascii="Verdana" w:eastAsia="Calibri" w:hAnsi="Verdana" w:cs="Arial"/>
          <w:sz w:val="20"/>
          <w:szCs w:val="20"/>
          <w:lang w:val="es-ES" w:eastAsia="es-ES"/>
        </w:rPr>
        <w:lastRenderedPageBreak/>
        <w:t xml:space="preserve">del contrato, es decir, durante su ejecución y </w:t>
      </w:r>
      <w:proofErr w:type="spellStart"/>
      <w:r w:rsidRPr="00D032DA">
        <w:rPr>
          <w:rFonts w:ascii="Verdana" w:eastAsia="Calibri" w:hAnsi="Verdana" w:cs="Arial"/>
          <w:sz w:val="20"/>
          <w:szCs w:val="20"/>
          <w:lang w:val="es-ES" w:eastAsia="es-ES"/>
        </w:rPr>
        <w:t>ii</w:t>
      </w:r>
      <w:proofErr w:type="spellEnd"/>
      <w:r w:rsidRPr="00D032DA">
        <w:rPr>
          <w:rFonts w:ascii="Verdana" w:eastAsia="Calibri" w:hAnsi="Verdana" w:cs="Arial"/>
          <w:sz w:val="20"/>
          <w:szCs w:val="20"/>
          <w:lang w:val="es-ES" w:eastAsia="es-ES"/>
        </w:rPr>
        <w:t>) si se refiere a una persona jurídica,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377A4887" w14:textId="77777777" w:rsidR="00D032DA" w:rsidRPr="00D032DA" w:rsidRDefault="00D032DA" w:rsidP="00D032DA">
      <w:pPr>
        <w:spacing w:after="0" w:line="240" w:lineRule="auto"/>
        <w:jc w:val="both"/>
        <w:rPr>
          <w:rFonts w:ascii="Verdana" w:eastAsia="Calibri" w:hAnsi="Verdana" w:cs="Arial"/>
          <w:sz w:val="20"/>
          <w:szCs w:val="20"/>
          <w:lang w:val="es-ES" w:eastAsia="es-ES"/>
        </w:rPr>
      </w:pPr>
    </w:p>
    <w:p w14:paraId="4B2B5791" w14:textId="77777777" w:rsidR="00D032DA" w:rsidRPr="00D032DA" w:rsidRDefault="00D032DA" w:rsidP="00D032DA">
      <w:pPr>
        <w:spacing w:after="0" w:line="240" w:lineRule="auto"/>
        <w:jc w:val="both"/>
        <w:rPr>
          <w:rFonts w:ascii="Verdana" w:eastAsia="Calibri" w:hAnsi="Verdana" w:cs="Arial"/>
          <w:sz w:val="20"/>
          <w:szCs w:val="20"/>
          <w:lang w:val="es-ES" w:eastAsia="es-ES"/>
        </w:rPr>
      </w:pPr>
      <w:r w:rsidRPr="00D032DA">
        <w:rPr>
          <w:rFonts w:ascii="Verdana" w:eastAsia="Calibri" w:hAnsi="Verdana" w:cs="Arial"/>
          <w:sz w:val="20"/>
          <w:szCs w:val="20"/>
          <w:lang w:val="es-ES" w:eastAsia="es-ES"/>
        </w:rPr>
        <w:t xml:space="preserve">Sobre el valor del aporte y la periodicidad, se debe cotizar durante todo el periodo de ejecución contractual y cada vez que se realice un pago en el contrato; y conforme al marco jurídico actual, al pago al Sistema de Seguridad Social Integral por parte de contratistas estatales, en calidad de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D032DA">
        <w:rPr>
          <w:rFonts w:ascii="Verdana" w:eastAsia="Calibri" w:hAnsi="Verdana" w:cs="Arial"/>
          <w:sz w:val="20"/>
          <w:szCs w:val="20"/>
          <w:lang w:val="es-ES" w:eastAsia="es-ES"/>
        </w:rPr>
        <w:t>ii</w:t>
      </w:r>
      <w:proofErr w:type="spellEnd"/>
      <w:r w:rsidRPr="00D032DA">
        <w:rPr>
          <w:rFonts w:ascii="Verdana" w:eastAsia="Calibri" w:hAnsi="Verdana" w:cs="Arial"/>
          <w:sz w:val="20"/>
          <w:szCs w:val="20"/>
          <w:lang w:val="es-ES" w:eastAsia="es-ES"/>
        </w:rPr>
        <w:t xml:space="preserve">) la base mínima de cotización es el cuarenta por ciento (40%) del valor mensualizado de ingresos o del contrato, </w:t>
      </w:r>
      <w:proofErr w:type="spellStart"/>
      <w:r w:rsidRPr="00D032DA">
        <w:rPr>
          <w:rFonts w:ascii="Verdana" w:eastAsia="Calibri" w:hAnsi="Verdana" w:cs="Arial"/>
          <w:sz w:val="20"/>
          <w:szCs w:val="20"/>
          <w:lang w:val="es-ES" w:eastAsia="es-ES"/>
        </w:rPr>
        <w:t>iii</w:t>
      </w:r>
      <w:proofErr w:type="spellEnd"/>
      <w:r w:rsidRPr="00D032DA">
        <w:rPr>
          <w:rFonts w:ascii="Verdana" w:eastAsia="Calibri" w:hAnsi="Verdana" w:cs="Arial"/>
          <w:sz w:val="20"/>
          <w:szCs w:val="20"/>
          <w:lang w:val="es-ES" w:eastAsia="es-ES"/>
        </w:rPr>
        <w:t xml:space="preserve">) la cotización se realizará mes vencido, y finalmente, </w:t>
      </w:r>
      <w:proofErr w:type="spellStart"/>
      <w:r w:rsidRPr="00D032DA">
        <w:rPr>
          <w:rFonts w:ascii="Verdana" w:eastAsia="Calibri" w:hAnsi="Verdana" w:cs="Arial"/>
          <w:sz w:val="20"/>
          <w:szCs w:val="20"/>
          <w:lang w:val="es-ES" w:eastAsia="es-ES"/>
        </w:rPr>
        <w:t>iv</w:t>
      </w:r>
      <w:proofErr w:type="spellEnd"/>
      <w:r w:rsidRPr="00D032DA">
        <w:rPr>
          <w:rFonts w:ascii="Verdana" w:eastAsia="Calibri" w:hAnsi="Verdana" w:cs="Arial"/>
          <w:sz w:val="20"/>
          <w:szCs w:val="20"/>
          <w:lang w:val="es-ES" w:eastAsia="es-ES"/>
        </w:rPr>
        <w:t xml:space="preserve">) el pago lo efectuará directamente el trabajador independiente. </w:t>
      </w:r>
    </w:p>
    <w:p w14:paraId="59B932CD" w14:textId="77777777" w:rsidR="00A20E38" w:rsidRPr="00D032DA" w:rsidRDefault="00A20E38" w:rsidP="00D10C6C">
      <w:pPr>
        <w:spacing w:after="0" w:line="240" w:lineRule="auto"/>
        <w:jc w:val="both"/>
        <w:rPr>
          <w:rFonts w:ascii="Verdana" w:eastAsia="Calibri" w:hAnsi="Verdana" w:cs="Arial"/>
          <w:sz w:val="20"/>
          <w:szCs w:val="20"/>
          <w:lang w:val="es-ES_tradnl" w:eastAsia="es-ES"/>
        </w:rPr>
      </w:pPr>
    </w:p>
    <w:p w14:paraId="6CE80F5A" w14:textId="77777777" w:rsidR="00A20E38" w:rsidRDefault="00A20E38" w:rsidP="00D10C6C">
      <w:pPr>
        <w:spacing w:after="0" w:line="240" w:lineRule="auto"/>
        <w:jc w:val="both"/>
        <w:rPr>
          <w:rFonts w:ascii="Verdana" w:eastAsia="Calibri" w:hAnsi="Verdana" w:cs="Arial"/>
          <w:sz w:val="20"/>
          <w:szCs w:val="20"/>
          <w:lang w:val="es-ES" w:eastAsia="es-ES"/>
        </w:rPr>
      </w:pPr>
    </w:p>
    <w:p w14:paraId="65D0FB14" w14:textId="77777777" w:rsidR="00A20E38" w:rsidRDefault="00A20E38" w:rsidP="00D10C6C">
      <w:pPr>
        <w:spacing w:after="0" w:line="240" w:lineRule="auto"/>
        <w:jc w:val="both"/>
        <w:rPr>
          <w:rFonts w:ascii="Verdana" w:eastAsia="Calibri" w:hAnsi="Verdana" w:cs="Arial"/>
          <w:sz w:val="20"/>
          <w:szCs w:val="20"/>
          <w:lang w:val="es-ES" w:eastAsia="es-ES"/>
        </w:rPr>
      </w:pPr>
    </w:p>
    <w:p w14:paraId="4DA874B9" w14:textId="77777777" w:rsidR="00A20E38" w:rsidRDefault="00A20E38" w:rsidP="00D10C6C">
      <w:pPr>
        <w:spacing w:after="0" w:line="240" w:lineRule="auto"/>
        <w:jc w:val="both"/>
        <w:rPr>
          <w:rFonts w:ascii="Verdana" w:eastAsia="Calibri" w:hAnsi="Verdana" w:cs="Arial"/>
          <w:sz w:val="20"/>
          <w:szCs w:val="20"/>
          <w:lang w:val="es-ES" w:eastAsia="es-ES"/>
        </w:rPr>
      </w:pPr>
    </w:p>
    <w:p w14:paraId="64569892" w14:textId="77777777" w:rsidR="00A20E38" w:rsidRDefault="00A20E38" w:rsidP="00D10C6C">
      <w:pPr>
        <w:spacing w:after="0" w:line="240" w:lineRule="auto"/>
        <w:jc w:val="both"/>
        <w:rPr>
          <w:rFonts w:ascii="Verdana" w:eastAsia="Calibri" w:hAnsi="Verdana" w:cs="Arial"/>
          <w:sz w:val="20"/>
          <w:szCs w:val="20"/>
          <w:lang w:val="es-ES" w:eastAsia="es-ES"/>
        </w:rPr>
      </w:pPr>
    </w:p>
    <w:p w14:paraId="3CC2D1BB" w14:textId="77777777" w:rsidR="00A20E38" w:rsidRDefault="00A20E38" w:rsidP="00D10C6C">
      <w:pPr>
        <w:spacing w:after="0" w:line="240" w:lineRule="auto"/>
        <w:jc w:val="both"/>
        <w:rPr>
          <w:rFonts w:ascii="Verdana" w:eastAsia="Calibri" w:hAnsi="Verdana" w:cs="Arial"/>
          <w:sz w:val="20"/>
          <w:szCs w:val="20"/>
          <w:lang w:val="es-ES" w:eastAsia="es-ES"/>
        </w:rPr>
      </w:pPr>
    </w:p>
    <w:p w14:paraId="0007D4A3" w14:textId="77777777" w:rsidR="00A20E38" w:rsidRPr="00940024" w:rsidRDefault="00A20E38" w:rsidP="00D10C6C">
      <w:pPr>
        <w:spacing w:after="0" w:line="240" w:lineRule="auto"/>
        <w:jc w:val="both"/>
        <w:rPr>
          <w:rFonts w:ascii="Verdana" w:eastAsia="Calibri" w:hAnsi="Verdana" w:cs="Arial"/>
          <w:sz w:val="20"/>
          <w:szCs w:val="20"/>
          <w:lang w:val="es-ES" w:eastAsia="es-ES"/>
        </w:rPr>
      </w:pPr>
    </w:p>
    <w:p w14:paraId="0C605050" w14:textId="77777777" w:rsidR="00500D81" w:rsidRPr="00546EB3" w:rsidRDefault="00500D81" w:rsidP="00500D81">
      <w:pPr>
        <w:spacing w:after="0" w:line="240" w:lineRule="auto"/>
        <w:rPr>
          <w:rFonts w:ascii="Verdana" w:eastAsia="Geomanist Light" w:hAnsi="Verdana" w:cs="Arial"/>
          <w:color w:val="000000" w:themeColor="text1"/>
          <w:lang w:val="es-ES"/>
        </w:rPr>
      </w:pPr>
    </w:p>
    <w:p w14:paraId="65F5D31E" w14:textId="77777777" w:rsidR="00500D81" w:rsidRDefault="00500D81" w:rsidP="00500D81">
      <w:pPr>
        <w:spacing w:after="0" w:line="240" w:lineRule="auto"/>
        <w:rPr>
          <w:rFonts w:ascii="Verdana" w:eastAsia="Geomanist Light" w:hAnsi="Verdana" w:cs="Arial"/>
          <w:color w:val="000000" w:themeColor="text1"/>
          <w:lang w:val="es-MX"/>
        </w:rPr>
      </w:pPr>
    </w:p>
    <w:p w14:paraId="22B11FBC" w14:textId="77777777" w:rsidR="00500D81" w:rsidRDefault="00500D81" w:rsidP="00500D81">
      <w:pPr>
        <w:spacing w:after="0" w:line="240" w:lineRule="auto"/>
        <w:rPr>
          <w:rFonts w:ascii="Verdana" w:eastAsia="Geomanist Light" w:hAnsi="Verdana" w:cs="Arial"/>
          <w:color w:val="000000" w:themeColor="text1"/>
          <w:lang w:val="es-MX"/>
        </w:rPr>
      </w:pPr>
    </w:p>
    <w:p w14:paraId="001B301D" w14:textId="77777777" w:rsidR="00500D81" w:rsidRDefault="00500D81" w:rsidP="00500D81">
      <w:pPr>
        <w:spacing w:after="0" w:line="240" w:lineRule="auto"/>
        <w:rPr>
          <w:rFonts w:ascii="Verdana" w:eastAsia="Geomanist Light" w:hAnsi="Verdana" w:cs="Arial"/>
          <w:color w:val="000000" w:themeColor="text1"/>
          <w:lang w:val="es-MX"/>
        </w:rPr>
      </w:pPr>
    </w:p>
    <w:p w14:paraId="2E118095" w14:textId="77777777" w:rsidR="00500D81" w:rsidRDefault="00500D81" w:rsidP="00500D81">
      <w:pPr>
        <w:spacing w:after="0" w:line="240" w:lineRule="auto"/>
        <w:rPr>
          <w:rFonts w:ascii="Verdana" w:eastAsia="Geomanist Light" w:hAnsi="Verdana" w:cs="Arial"/>
          <w:color w:val="000000" w:themeColor="text1"/>
          <w:lang w:val="es-MX"/>
        </w:rPr>
      </w:pPr>
    </w:p>
    <w:p w14:paraId="707EA8DF" w14:textId="77777777" w:rsidR="00500D81" w:rsidRDefault="00500D81" w:rsidP="00500D81">
      <w:pPr>
        <w:spacing w:after="0" w:line="240" w:lineRule="auto"/>
        <w:rPr>
          <w:rFonts w:ascii="Verdana" w:eastAsia="Geomanist Light" w:hAnsi="Verdana" w:cs="Arial"/>
          <w:color w:val="000000" w:themeColor="text1"/>
          <w:lang w:val="es-MX"/>
        </w:rPr>
      </w:pPr>
    </w:p>
    <w:p w14:paraId="46216BF2" w14:textId="77777777" w:rsidR="00500D81" w:rsidRDefault="00500D81" w:rsidP="00500D81">
      <w:pPr>
        <w:spacing w:after="0" w:line="240" w:lineRule="auto"/>
        <w:rPr>
          <w:rFonts w:ascii="Verdana" w:eastAsia="Geomanist Light" w:hAnsi="Verdana" w:cs="Arial"/>
          <w:color w:val="000000" w:themeColor="text1"/>
          <w:lang w:val="es-MX"/>
        </w:rPr>
      </w:pPr>
    </w:p>
    <w:p w14:paraId="0B37035A" w14:textId="77777777" w:rsidR="00500D81" w:rsidRDefault="00500D81" w:rsidP="00500D81">
      <w:pPr>
        <w:spacing w:after="0" w:line="240" w:lineRule="auto"/>
        <w:rPr>
          <w:rFonts w:ascii="Verdana" w:eastAsia="Geomanist Light" w:hAnsi="Verdana" w:cs="Arial"/>
          <w:color w:val="000000" w:themeColor="text1"/>
          <w:lang w:val="es-MX"/>
        </w:rPr>
      </w:pPr>
    </w:p>
    <w:p w14:paraId="58883E67" w14:textId="77777777" w:rsidR="00500D81" w:rsidRDefault="00500D81" w:rsidP="00500D81">
      <w:pPr>
        <w:spacing w:after="0" w:line="240" w:lineRule="auto"/>
        <w:rPr>
          <w:rFonts w:ascii="Verdana" w:eastAsia="Geomanist Light" w:hAnsi="Verdana" w:cs="Arial"/>
          <w:color w:val="000000" w:themeColor="text1"/>
          <w:lang w:val="es-MX"/>
        </w:rPr>
      </w:pPr>
    </w:p>
    <w:p w14:paraId="7DCEE3C9" w14:textId="77777777" w:rsidR="00500D81" w:rsidRDefault="00500D81" w:rsidP="00500D81">
      <w:pPr>
        <w:spacing w:after="0" w:line="240" w:lineRule="auto"/>
        <w:rPr>
          <w:rFonts w:ascii="Verdana" w:eastAsia="Geomanist Light" w:hAnsi="Verdana" w:cs="Arial"/>
          <w:color w:val="000000" w:themeColor="text1"/>
          <w:lang w:val="es-MX"/>
        </w:rPr>
      </w:pPr>
    </w:p>
    <w:p w14:paraId="05058538" w14:textId="77777777" w:rsidR="00500D81" w:rsidRDefault="00500D81" w:rsidP="00500D81">
      <w:pPr>
        <w:spacing w:after="0" w:line="240" w:lineRule="auto"/>
        <w:rPr>
          <w:rFonts w:ascii="Verdana" w:eastAsia="Geomanist Light" w:hAnsi="Verdana" w:cs="Arial"/>
          <w:color w:val="000000" w:themeColor="text1"/>
          <w:lang w:val="es-MX"/>
        </w:rPr>
      </w:pPr>
    </w:p>
    <w:p w14:paraId="3FD457BC" w14:textId="77777777" w:rsidR="00500D81" w:rsidRDefault="00500D81" w:rsidP="00500D81">
      <w:pPr>
        <w:spacing w:after="0" w:line="240" w:lineRule="auto"/>
        <w:rPr>
          <w:rFonts w:ascii="Verdana" w:eastAsia="Geomanist Light" w:hAnsi="Verdana" w:cs="Arial"/>
          <w:color w:val="000000" w:themeColor="text1"/>
          <w:lang w:val="es-MX"/>
        </w:rPr>
      </w:pPr>
    </w:p>
    <w:p w14:paraId="5EDC197B" w14:textId="77777777" w:rsidR="007734FD" w:rsidRDefault="007734FD" w:rsidP="00500D81">
      <w:pPr>
        <w:spacing w:after="0" w:line="240" w:lineRule="auto"/>
        <w:rPr>
          <w:rFonts w:ascii="Verdana" w:eastAsia="Geomanist Light" w:hAnsi="Verdana" w:cs="Arial"/>
          <w:color w:val="000000" w:themeColor="text1"/>
          <w:lang w:val="es-MX"/>
        </w:rPr>
      </w:pPr>
    </w:p>
    <w:p w14:paraId="3EDC5C87" w14:textId="77777777" w:rsidR="007734FD" w:rsidRDefault="007734FD" w:rsidP="00500D81">
      <w:pPr>
        <w:spacing w:after="0" w:line="240" w:lineRule="auto"/>
        <w:rPr>
          <w:rFonts w:ascii="Verdana" w:eastAsia="Geomanist Light" w:hAnsi="Verdana" w:cs="Arial"/>
          <w:color w:val="000000" w:themeColor="text1"/>
          <w:lang w:val="es-MX"/>
        </w:rPr>
      </w:pPr>
    </w:p>
    <w:p w14:paraId="0CCADEE8" w14:textId="77777777" w:rsidR="007734FD" w:rsidRDefault="007734FD" w:rsidP="00500D81">
      <w:pPr>
        <w:spacing w:after="0" w:line="240" w:lineRule="auto"/>
        <w:rPr>
          <w:rFonts w:ascii="Verdana" w:eastAsia="Geomanist Light" w:hAnsi="Verdana" w:cs="Arial"/>
          <w:color w:val="000000" w:themeColor="text1"/>
          <w:lang w:val="es-MX"/>
        </w:rPr>
      </w:pPr>
    </w:p>
    <w:p w14:paraId="7D73A849" w14:textId="77777777" w:rsidR="007734FD" w:rsidRDefault="007734FD" w:rsidP="00500D81">
      <w:pPr>
        <w:spacing w:after="0" w:line="240" w:lineRule="auto"/>
        <w:rPr>
          <w:rFonts w:ascii="Verdana" w:eastAsia="Geomanist Light" w:hAnsi="Verdana" w:cs="Arial"/>
          <w:color w:val="000000" w:themeColor="text1"/>
          <w:lang w:val="es-MX"/>
        </w:rPr>
      </w:pPr>
    </w:p>
    <w:p w14:paraId="3D76AA54" w14:textId="77777777" w:rsidR="007734FD" w:rsidRDefault="007734FD" w:rsidP="00500D81">
      <w:pPr>
        <w:spacing w:after="0" w:line="240" w:lineRule="auto"/>
        <w:rPr>
          <w:rFonts w:ascii="Verdana" w:eastAsia="Geomanist Light" w:hAnsi="Verdana" w:cs="Arial"/>
          <w:color w:val="000000" w:themeColor="text1"/>
          <w:lang w:val="es-MX"/>
        </w:rPr>
      </w:pPr>
    </w:p>
    <w:p w14:paraId="6CB149B9" w14:textId="77777777" w:rsidR="007734FD" w:rsidRDefault="007734FD" w:rsidP="00500D81">
      <w:pPr>
        <w:spacing w:after="0" w:line="240" w:lineRule="auto"/>
        <w:rPr>
          <w:rFonts w:ascii="Verdana" w:eastAsia="Geomanist Light" w:hAnsi="Verdana" w:cs="Arial"/>
          <w:color w:val="000000" w:themeColor="text1"/>
          <w:lang w:val="es-MX"/>
        </w:rPr>
      </w:pPr>
    </w:p>
    <w:p w14:paraId="3064AE25" w14:textId="77777777" w:rsidR="007734FD" w:rsidRDefault="007734FD" w:rsidP="00500D81">
      <w:pPr>
        <w:spacing w:after="0" w:line="240" w:lineRule="auto"/>
        <w:rPr>
          <w:rFonts w:ascii="Verdana" w:eastAsia="Geomanist Light" w:hAnsi="Verdana" w:cs="Arial"/>
          <w:color w:val="000000" w:themeColor="text1"/>
          <w:lang w:val="es-MX"/>
        </w:rPr>
      </w:pPr>
    </w:p>
    <w:p w14:paraId="4E083034" w14:textId="77777777" w:rsidR="007734FD" w:rsidRDefault="007734FD" w:rsidP="00500D81">
      <w:pPr>
        <w:spacing w:after="0" w:line="240" w:lineRule="auto"/>
        <w:rPr>
          <w:rFonts w:ascii="Verdana" w:eastAsia="Geomanist Light" w:hAnsi="Verdana" w:cs="Arial"/>
          <w:color w:val="000000" w:themeColor="text1"/>
          <w:lang w:val="es-MX"/>
        </w:rPr>
      </w:pPr>
    </w:p>
    <w:p w14:paraId="5036AF72" w14:textId="77777777" w:rsidR="00500D81" w:rsidRDefault="00500D81" w:rsidP="00500D81">
      <w:pPr>
        <w:spacing w:after="0" w:line="240" w:lineRule="auto"/>
        <w:rPr>
          <w:rFonts w:ascii="Verdana" w:eastAsia="Geomanist Light" w:hAnsi="Verdana" w:cs="Arial"/>
          <w:color w:val="000000" w:themeColor="text1"/>
          <w:lang w:val="es-MX"/>
        </w:rPr>
      </w:pPr>
    </w:p>
    <w:p w14:paraId="2A94AD44" w14:textId="22FD8492" w:rsidR="000C3835" w:rsidRDefault="00CE446C" w:rsidP="00500D81">
      <w:pPr>
        <w:spacing w:after="0" w:line="240" w:lineRule="auto"/>
        <w:jc w:val="both"/>
        <w:rPr>
          <w:rFonts w:ascii="Verdana" w:eastAsia="Times New Roman" w:hAnsi="Verdana" w:cs="Arial"/>
          <w:noProof/>
          <w:lang w:val="es-ES_tradnl" w:eastAsia="es-ES_tradnl"/>
        </w:rPr>
      </w:pPr>
      <w:r w:rsidRPr="00CE446C">
        <w:rPr>
          <w:rFonts w:ascii="Verdana" w:eastAsia="Times New Roman" w:hAnsi="Verdana" w:cs="Arial"/>
          <w:noProof/>
          <w:lang w:val="es-ES_tradnl" w:eastAsia="es-ES_tradnl"/>
        </w:rPr>
        <w:lastRenderedPageBreak/>
        <w:t xml:space="preserve">Bogotá D.C., </w:t>
      </w:r>
      <w:r w:rsidR="00BE0D9B">
        <w:rPr>
          <w:rFonts w:ascii="Verdana" w:eastAsia="Times New Roman" w:hAnsi="Verdana" w:cs="Arial"/>
          <w:noProof/>
          <w:lang w:val="es-ES_tradnl" w:eastAsia="es-ES_tradnl"/>
        </w:rPr>
        <w:t>18 de octubre de 2025</w:t>
      </w:r>
    </w:p>
    <w:p w14:paraId="3981F21B" w14:textId="77777777" w:rsidR="00BE0D9B" w:rsidRDefault="00BE0D9B" w:rsidP="00500D81">
      <w:pPr>
        <w:spacing w:after="0" w:line="240" w:lineRule="auto"/>
        <w:jc w:val="both"/>
        <w:rPr>
          <w:rFonts w:ascii="Verdana" w:eastAsia="Times New Roman" w:hAnsi="Verdana" w:cs="Arial"/>
          <w:noProof/>
          <w:lang w:val="es-ES_tradnl" w:eastAsia="es-ES_tradnl"/>
        </w:rPr>
      </w:pPr>
    </w:p>
    <w:p w14:paraId="178D5E41" w14:textId="51709389" w:rsidR="00BE0D9B" w:rsidRDefault="00BE0D9B" w:rsidP="00BE0D9B">
      <w:pPr>
        <w:spacing w:after="0" w:line="240" w:lineRule="auto"/>
        <w:jc w:val="right"/>
        <w:rPr>
          <w:rFonts w:ascii="Verdana" w:eastAsia="Times New Roman" w:hAnsi="Verdana" w:cs="Arial"/>
          <w:noProof/>
          <w:lang w:val="es-ES_tradnl" w:eastAsia="es-ES_tradnl"/>
        </w:rPr>
      </w:pPr>
    </w:p>
    <w:p w14:paraId="1F6C0B78" w14:textId="77777777" w:rsidR="000C3835" w:rsidRPr="003C692C" w:rsidRDefault="000C3835" w:rsidP="00500D81">
      <w:pPr>
        <w:spacing w:after="0" w:line="240" w:lineRule="auto"/>
        <w:jc w:val="both"/>
        <w:rPr>
          <w:rFonts w:ascii="Verdana" w:eastAsia="Times New Roman" w:hAnsi="Verdana" w:cs="Arial"/>
          <w:noProof/>
          <w:lang w:val="es-ES_tradnl" w:eastAsia="es-ES_tradnl"/>
        </w:rPr>
      </w:pPr>
    </w:p>
    <w:p w14:paraId="7715522F" w14:textId="7D51DDA2" w:rsidR="00500D81" w:rsidRPr="00F17B99" w:rsidRDefault="00470D28" w:rsidP="00500D81">
      <w:pPr>
        <w:spacing w:after="0" w:line="240" w:lineRule="auto"/>
        <w:jc w:val="right"/>
        <w:rPr>
          <w:rFonts w:ascii="Verdana" w:eastAsia="Calibri" w:hAnsi="Verdana" w:cs="Arial"/>
          <w:color w:val="000000"/>
          <w:lang w:val="es-MX"/>
        </w:rPr>
      </w:pPr>
      <w:r w:rsidRPr="00BE0D9B">
        <w:rPr>
          <w:rFonts w:ascii="Verdana" w:eastAsia="Times New Roman" w:hAnsi="Verdana" w:cs="Arial"/>
          <w:noProof/>
          <w:lang w:val="es-ES_tradnl" w:eastAsia="es-ES_tradnl"/>
        </w:rPr>
        <w:drawing>
          <wp:anchor distT="0" distB="0" distL="114300" distR="114300" simplePos="0" relativeHeight="251659264" behindDoc="0" locked="0" layoutInCell="1" allowOverlap="1" wp14:anchorId="6602D173" wp14:editId="56F40487">
            <wp:simplePos x="0" y="0"/>
            <wp:positionH relativeFrom="margin">
              <wp:posOffset>2603500</wp:posOffset>
            </wp:positionH>
            <wp:positionV relativeFrom="paragraph">
              <wp:posOffset>59055</wp:posOffset>
            </wp:positionV>
            <wp:extent cx="2998470" cy="803275"/>
            <wp:effectExtent l="0" t="0" r="0" b="0"/>
            <wp:wrapSquare wrapText="bothSides"/>
            <wp:docPr id="11581954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19540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998470" cy="803275"/>
                    </a:xfrm>
                    <a:prstGeom prst="rect">
                      <a:avLst/>
                    </a:prstGeom>
                  </pic:spPr>
                </pic:pic>
              </a:graphicData>
            </a:graphic>
            <wp14:sizeRelH relativeFrom="margin">
              <wp14:pctWidth>0</wp14:pctWidth>
            </wp14:sizeRelH>
            <wp14:sizeRelV relativeFrom="margin">
              <wp14:pctHeight>0</wp14:pctHeight>
            </wp14:sizeRelV>
          </wp:anchor>
        </w:drawing>
      </w:r>
    </w:p>
    <w:p w14:paraId="07FED189" w14:textId="0874A104" w:rsidR="00500D81" w:rsidRPr="000C555D" w:rsidRDefault="00500D81" w:rsidP="00500D81">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55B91D01" w14:textId="02FFCA4C" w:rsidR="00500D81" w:rsidRPr="00583C7F" w:rsidRDefault="0061190C" w:rsidP="00500D81">
      <w:pPr>
        <w:spacing w:after="0" w:line="240" w:lineRule="auto"/>
        <w:rPr>
          <w:rFonts w:ascii="Verdana" w:eastAsia="Calibri" w:hAnsi="Verdana" w:cs="Arial"/>
          <w:b/>
          <w:lang w:val="es-ES" w:eastAsia="es-ES"/>
        </w:rPr>
      </w:pPr>
      <w:r>
        <w:rPr>
          <w:rFonts w:ascii="Verdana" w:eastAsia="Calibri" w:hAnsi="Verdana" w:cs="Arial"/>
          <w:b/>
          <w:lang w:val="es-ES" w:eastAsia="es-ES"/>
        </w:rPr>
        <w:t>Miguel Ruiz Castro</w:t>
      </w:r>
    </w:p>
    <w:p w14:paraId="399A9DF5" w14:textId="488BA09D" w:rsidR="00500D81" w:rsidRPr="00F56A67" w:rsidRDefault="00B601B9" w:rsidP="00DD7325">
      <w:pPr>
        <w:spacing w:after="0" w:line="240" w:lineRule="auto"/>
        <w:rPr>
          <w:rFonts w:ascii="Verdana" w:eastAsia="Calibri" w:hAnsi="Verdana" w:cs="Arial"/>
          <w:lang w:eastAsia="es-ES"/>
        </w:rPr>
      </w:pPr>
      <w:r w:rsidRPr="00B601B9">
        <w:rPr>
          <w:rFonts w:ascii="Verdana" w:eastAsia="Calibri" w:hAnsi="Verdana" w:cs="Arial"/>
          <w:lang w:eastAsia="es-ES"/>
        </w:rPr>
        <w:t>migueruizc@hotmail.com</w:t>
      </w:r>
      <w:r w:rsidR="00500D81" w:rsidRPr="00F56A67">
        <w:rPr>
          <w:rFonts w:ascii="Verdana" w:eastAsia="Calibri" w:hAnsi="Verdana" w:cs="Arial"/>
          <w:lang w:eastAsia="es-ES"/>
        </w:rPr>
        <w:cr/>
      </w:r>
      <w:r w:rsidR="00DD7325">
        <w:rPr>
          <w:rFonts w:ascii="Verdana" w:eastAsia="Calibri" w:hAnsi="Verdana" w:cs="Arial"/>
          <w:lang w:eastAsia="es-ES"/>
        </w:rPr>
        <w:t>Ciudad</w:t>
      </w:r>
    </w:p>
    <w:p w14:paraId="7BAA9DBC" w14:textId="77777777" w:rsidR="00500D81" w:rsidRPr="00F56A67" w:rsidRDefault="00500D81" w:rsidP="00500D81">
      <w:pPr>
        <w:spacing w:after="0" w:line="240" w:lineRule="auto"/>
        <w:rPr>
          <w:rFonts w:ascii="Verdana" w:eastAsia="Calibri" w:hAnsi="Verdana" w:cs="Arial"/>
          <w:b/>
          <w:bCs/>
          <w:color w:val="000000"/>
          <w:lang w:eastAsia="es-ES_tradnl"/>
        </w:rPr>
      </w:pPr>
    </w:p>
    <w:p w14:paraId="5B723E6A" w14:textId="77777777" w:rsidR="00500D81" w:rsidRPr="00F56A67" w:rsidRDefault="00500D81" w:rsidP="00500D81">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00D81" w:rsidRPr="00593A5F" w14:paraId="56BA6302" w14:textId="77777777" w:rsidTr="00DA4134">
        <w:trPr>
          <w:trHeight w:val="208"/>
        </w:trPr>
        <w:tc>
          <w:tcPr>
            <w:tcW w:w="2689" w:type="dxa"/>
          </w:tcPr>
          <w:p w14:paraId="48D151EF" w14:textId="77777777" w:rsidR="00500D81" w:rsidRPr="00F56A67" w:rsidRDefault="00500D81" w:rsidP="005A3D07">
            <w:pPr>
              <w:jc w:val="both"/>
              <w:rPr>
                <w:rFonts w:ascii="Verdana" w:eastAsia="Calibri" w:hAnsi="Verdana" w:cs="Arial"/>
                <w:b/>
                <w:bCs/>
                <w:color w:val="7030A0"/>
                <w:lang w:eastAsia="es-ES_tradnl"/>
              </w:rPr>
            </w:pPr>
          </w:p>
        </w:tc>
        <w:tc>
          <w:tcPr>
            <w:tcW w:w="6100" w:type="dxa"/>
          </w:tcPr>
          <w:p w14:paraId="116522CF" w14:textId="5F623FF4" w:rsidR="005C2E14" w:rsidRDefault="00500D81" w:rsidP="005A3D07">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sidR="00CE446C">
              <w:rPr>
                <w:rFonts w:ascii="Verdana" w:eastAsia="Calibri" w:hAnsi="Verdana" w:cs="Arial"/>
                <w:b/>
                <w:bCs/>
                <w:lang w:val="es-ES" w:eastAsia="es-ES"/>
              </w:rPr>
              <w:t>13</w:t>
            </w:r>
            <w:r w:rsidR="00DA25CF">
              <w:rPr>
                <w:rFonts w:ascii="Verdana" w:eastAsia="Calibri" w:hAnsi="Verdana" w:cs="Arial"/>
                <w:b/>
                <w:bCs/>
                <w:lang w:val="es-ES" w:eastAsia="es-ES"/>
              </w:rPr>
              <w:t>71</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p w14:paraId="2141071B" w14:textId="62F37BDA" w:rsidR="008A07D3" w:rsidRPr="00C00976" w:rsidRDefault="008A07D3" w:rsidP="005A3D07">
            <w:pPr>
              <w:jc w:val="both"/>
              <w:rPr>
                <w:rFonts w:ascii="Verdana" w:eastAsia="Calibri" w:hAnsi="Verdana" w:cs="Arial"/>
                <w:b/>
                <w:bCs/>
                <w:color w:val="7030A0"/>
                <w:lang w:val="es-ES" w:eastAsia="es-ES"/>
              </w:rPr>
            </w:pPr>
          </w:p>
        </w:tc>
      </w:tr>
      <w:tr w:rsidR="00500D81" w:rsidRPr="00593A5F" w14:paraId="3343F337" w14:textId="77777777" w:rsidTr="005A3D07">
        <w:trPr>
          <w:trHeight w:val="884"/>
        </w:trPr>
        <w:tc>
          <w:tcPr>
            <w:tcW w:w="2689" w:type="dxa"/>
          </w:tcPr>
          <w:p w14:paraId="47753984" w14:textId="77777777" w:rsidR="00500D81" w:rsidRPr="00593A5F" w:rsidRDefault="00500D81" w:rsidP="005A3D0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86419F0" w14:textId="47989D99" w:rsidR="00500D81" w:rsidRPr="00593A5F" w:rsidRDefault="00500D81" w:rsidP="00C72965">
            <w:pPr>
              <w:jc w:val="both"/>
              <w:rPr>
                <w:rFonts w:ascii="Verdana" w:eastAsia="Calibri" w:hAnsi="Verdana" w:cs="Arial"/>
                <w:lang w:val="es-ES" w:eastAsia="es-ES"/>
              </w:rPr>
            </w:pPr>
            <w:r w:rsidRPr="00940024">
              <w:rPr>
                <w:rFonts w:ascii="Verdana" w:eastAsia="Calibri" w:hAnsi="Verdana" w:cs="Arial"/>
                <w:lang w:val="es-ES" w:eastAsia="es-ES"/>
              </w:rPr>
              <w:t>SEGURIDAD SOCIAL INTEGRAL – Verificación</w:t>
            </w:r>
            <w:r>
              <w:rPr>
                <w:rFonts w:ascii="Verdana" w:eastAsia="Calibri" w:hAnsi="Verdana" w:cs="Arial"/>
                <w:lang w:val="es-ES" w:eastAsia="es-ES"/>
              </w:rPr>
              <w:t xml:space="preserve"> </w:t>
            </w:r>
            <w:r w:rsidRPr="000E3658">
              <w:rPr>
                <w:rFonts w:ascii="Verdana" w:eastAsia="Calibri" w:hAnsi="Verdana" w:cs="Arial"/>
                <w:lang w:val="es-ES" w:eastAsia="es-ES"/>
              </w:rPr>
              <w:t>– Persona natural – Persona jurídica</w:t>
            </w:r>
            <w:r>
              <w:rPr>
                <w:rFonts w:ascii="Verdana" w:eastAsia="Calibri" w:hAnsi="Verdana" w:cs="Arial"/>
                <w:lang w:val="es-ES" w:eastAsia="es-ES"/>
              </w:rPr>
              <w:t xml:space="preserve"> </w:t>
            </w:r>
            <w:r w:rsidRPr="00940024">
              <w:rPr>
                <w:rFonts w:ascii="Verdana" w:eastAsia="Calibri" w:hAnsi="Verdana" w:cs="Arial"/>
                <w:lang w:val="es-ES" w:eastAsia="es-ES"/>
              </w:rPr>
              <w:t>/ SEGURIDAD SOCIAL INTEGRAL – Régimen jurídico – Afiliación y aporte – Obligación legal – Ejecución del contrato</w:t>
            </w:r>
            <w:r>
              <w:rPr>
                <w:rFonts w:ascii="Verdana" w:eastAsia="Calibri" w:hAnsi="Verdana" w:cs="Arial"/>
                <w:lang w:val="es-ES" w:eastAsia="es-ES"/>
              </w:rPr>
              <w:t xml:space="preserve"> </w:t>
            </w:r>
            <w:r w:rsidRPr="00940024">
              <w:rPr>
                <w:rFonts w:ascii="Verdana" w:eastAsia="Calibri" w:hAnsi="Verdana" w:cs="Arial"/>
                <w:lang w:val="es-ES" w:eastAsia="es-ES"/>
              </w:rPr>
              <w:t>/</w:t>
            </w:r>
            <w:r>
              <w:rPr>
                <w:rFonts w:ascii="Verdana" w:eastAsia="Calibri" w:hAnsi="Verdana" w:cs="Arial"/>
                <w:lang w:val="es-ES" w:eastAsia="es-ES"/>
              </w:rPr>
              <w:t xml:space="preserve"> </w:t>
            </w:r>
            <w:r w:rsidR="00C72965" w:rsidRPr="00C72965">
              <w:rPr>
                <w:rFonts w:ascii="Verdana" w:eastAsia="Calibri" w:hAnsi="Verdana" w:cs="Arial"/>
                <w:lang w:val="es-ES" w:eastAsia="es-ES"/>
              </w:rPr>
              <w:t>SEGURIDAD SOCIAL INTEGRAL – Instituciones educativas – Contrato de suministro –</w:t>
            </w:r>
            <w:r w:rsidR="00780795">
              <w:rPr>
                <w:rFonts w:ascii="Verdana" w:eastAsia="Calibri" w:hAnsi="Verdana" w:cs="Arial"/>
                <w:lang w:val="es-ES" w:eastAsia="es-ES"/>
              </w:rPr>
              <w:t xml:space="preserve"> </w:t>
            </w:r>
            <w:r w:rsidR="00C72965" w:rsidRPr="00C72965">
              <w:rPr>
                <w:rFonts w:ascii="Verdana" w:eastAsia="Calibri" w:hAnsi="Verdana" w:cs="Arial"/>
                <w:lang w:val="es-ES" w:eastAsia="es-ES"/>
              </w:rPr>
              <w:t>Verificación de aportes – Ingreso Base de Cotización (IBC)</w:t>
            </w: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00D81" w:rsidRPr="008E6AD9" w14:paraId="00B8BF52" w14:textId="77777777" w:rsidTr="005A3D07">
        <w:tc>
          <w:tcPr>
            <w:tcW w:w="2689" w:type="dxa"/>
          </w:tcPr>
          <w:p w14:paraId="50D65587" w14:textId="77777777" w:rsidR="00500D81" w:rsidRPr="008E6AD9" w:rsidRDefault="00500D81" w:rsidP="005A3D0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99BFFFF" w14:textId="70C5E639" w:rsidR="00500D81" w:rsidRPr="00B92340" w:rsidRDefault="00500D81" w:rsidP="005A3D07">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00DA25CF" w:rsidRPr="00DA25CF">
              <w:rPr>
                <w:rFonts w:ascii="Verdana" w:eastAsia="Calibri" w:hAnsi="Verdana" w:cs="Arial"/>
                <w:lang w:val="es-ES_tradnl" w:eastAsia="es-ES_tradnl"/>
              </w:rPr>
              <w:t>1_2025_09_23_010486</w:t>
            </w:r>
          </w:p>
        </w:tc>
      </w:tr>
    </w:tbl>
    <w:p w14:paraId="4A904C8F" w14:textId="77777777" w:rsidR="00500D81" w:rsidRPr="00593A5F" w:rsidRDefault="00500D81" w:rsidP="00500D81">
      <w:pPr>
        <w:spacing w:after="0" w:line="240" w:lineRule="auto"/>
        <w:jc w:val="both"/>
        <w:rPr>
          <w:rFonts w:ascii="Verdana" w:eastAsia="Calibri" w:hAnsi="Verdana" w:cs="Arial"/>
          <w:color w:val="000000"/>
          <w:lang w:val="es-ES_tradnl" w:eastAsia="es-ES_tradnl"/>
        </w:rPr>
      </w:pPr>
    </w:p>
    <w:p w14:paraId="1CD5E464" w14:textId="77777777" w:rsidR="00500D81" w:rsidRPr="00593A5F" w:rsidRDefault="00500D81" w:rsidP="00500D81">
      <w:pPr>
        <w:spacing w:after="0" w:line="240" w:lineRule="auto"/>
        <w:jc w:val="both"/>
        <w:rPr>
          <w:rFonts w:ascii="Verdana" w:eastAsia="Calibri" w:hAnsi="Verdana" w:cs="Arial"/>
          <w:color w:val="000000"/>
          <w:lang w:val="es-ES_tradnl" w:eastAsia="es-ES_tradnl"/>
        </w:rPr>
      </w:pPr>
    </w:p>
    <w:p w14:paraId="54A7987C" w14:textId="41C1E6AD" w:rsidR="00500D81" w:rsidRPr="008E6AD9" w:rsidRDefault="00500D81" w:rsidP="00500D8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sidR="00F77F24">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w:t>
      </w:r>
      <w:r w:rsidR="00F77F24">
        <w:rPr>
          <w:rFonts w:ascii="Verdana" w:eastAsia="Calibri" w:hAnsi="Verdana" w:cs="Arial"/>
          <w:lang w:val="es-ES" w:eastAsia="es-ES"/>
        </w:rPr>
        <w:t xml:space="preserve"> </w:t>
      </w:r>
      <w:r w:rsidR="0061190C">
        <w:rPr>
          <w:rFonts w:ascii="Verdana" w:eastAsia="Calibri" w:hAnsi="Verdana" w:cs="Arial"/>
          <w:lang w:val="es-ES" w:eastAsia="es-ES"/>
        </w:rPr>
        <w:t>Ruiz</w:t>
      </w:r>
      <w:r w:rsidRPr="008E6AD9">
        <w:rPr>
          <w:rFonts w:ascii="Verdana" w:eastAsia="Calibri" w:hAnsi="Verdana" w:cs="Arial"/>
          <w:lang w:val="es-ES" w:eastAsia="es-ES"/>
        </w:rPr>
        <w:t xml:space="preserve">: </w:t>
      </w:r>
    </w:p>
    <w:p w14:paraId="3C91A3D0" w14:textId="77777777" w:rsidR="00500D81" w:rsidRDefault="00500D81" w:rsidP="00500D8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A464971" w14:textId="003C71AB" w:rsidR="00500D81" w:rsidRPr="00593A5F" w:rsidRDefault="00500D81" w:rsidP="00500D8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w:t>
      </w:r>
      <w:r w:rsidR="00F77F24">
        <w:rPr>
          <w:rFonts w:ascii="Verdana" w:eastAsia="Calibri" w:hAnsi="Verdana" w:cs="Arial"/>
          <w:lang w:val="es-ES" w:eastAsia="es-ES"/>
        </w:rPr>
        <w:t>2</w:t>
      </w:r>
      <w:r w:rsidR="0061190C">
        <w:rPr>
          <w:rFonts w:ascii="Verdana" w:eastAsia="Calibri" w:hAnsi="Verdana" w:cs="Arial"/>
          <w:lang w:val="es-ES" w:eastAsia="es-ES"/>
        </w:rPr>
        <w:t>3</w:t>
      </w:r>
      <w:r>
        <w:rPr>
          <w:rFonts w:ascii="Verdana" w:eastAsia="Calibri" w:hAnsi="Verdana" w:cs="Arial"/>
          <w:lang w:val="es-ES" w:eastAsia="es-ES"/>
        </w:rPr>
        <w:t xml:space="preserve"> de </w:t>
      </w:r>
      <w:r w:rsidR="00F77F24">
        <w:rPr>
          <w:rFonts w:ascii="Verdana" w:eastAsia="Calibri" w:hAnsi="Verdana" w:cs="Arial"/>
          <w:lang w:val="es-ES" w:eastAsia="es-ES"/>
        </w:rPr>
        <w:t>septiembre</w:t>
      </w:r>
      <w:r>
        <w:rPr>
          <w:rFonts w:ascii="Verdana" w:eastAsia="Calibri" w:hAnsi="Verdana" w:cs="Arial"/>
          <w:lang w:val="es-ES" w:eastAsia="es-ES"/>
        </w:rPr>
        <w:t xml:space="preserve"> de 2025, sobre </w:t>
      </w:r>
      <w:r w:rsidRPr="00FE4CAC">
        <w:rPr>
          <w:rFonts w:ascii="Verdana" w:eastAsia="Calibri" w:hAnsi="Verdana" w:cs="Arial"/>
          <w:lang w:val="es-ES" w:eastAsia="es-ES"/>
        </w:rPr>
        <w:t>los aportes al sistema de seguridad social</w:t>
      </w:r>
      <w:r>
        <w:rPr>
          <w:rFonts w:ascii="Verdana" w:eastAsia="Calibri" w:hAnsi="Verdana" w:cs="Arial"/>
          <w:lang w:val="es-ES" w:eastAsia="es-ES"/>
        </w:rPr>
        <w:t xml:space="preserve"> en contratos de </w:t>
      </w:r>
      <w:r w:rsidR="00CE3CDF">
        <w:rPr>
          <w:rFonts w:ascii="Verdana" w:eastAsia="Calibri" w:hAnsi="Verdana" w:cs="Arial"/>
          <w:lang w:val="es-ES" w:eastAsia="es-ES"/>
        </w:rPr>
        <w:t>suministro</w:t>
      </w:r>
      <w:r>
        <w:rPr>
          <w:rFonts w:ascii="Verdana" w:eastAsia="Calibri" w:hAnsi="Verdana" w:cs="Arial"/>
          <w:lang w:val="es-ES" w:eastAsia="es-ES"/>
        </w:rPr>
        <w:t xml:space="preserve"> </w:t>
      </w:r>
      <w:r w:rsidR="00332E73">
        <w:rPr>
          <w:rFonts w:ascii="Verdana" w:eastAsia="Calibri" w:hAnsi="Verdana" w:cs="Arial"/>
          <w:lang w:val="es-ES" w:eastAsia="es-ES"/>
        </w:rPr>
        <w:t xml:space="preserve">celebrados </w:t>
      </w:r>
      <w:r>
        <w:rPr>
          <w:rFonts w:ascii="Verdana" w:eastAsia="Calibri" w:hAnsi="Verdana" w:cs="Arial"/>
          <w:lang w:val="es-ES" w:eastAsia="es-ES"/>
        </w:rPr>
        <w:t xml:space="preserve">por las </w:t>
      </w:r>
      <w:r w:rsidR="00CE3CDF">
        <w:rPr>
          <w:rFonts w:ascii="Verdana" w:eastAsia="Calibri" w:hAnsi="Verdana" w:cs="Arial"/>
          <w:lang w:val="es-ES" w:eastAsia="es-ES"/>
        </w:rPr>
        <w:t>instituciones educativas</w:t>
      </w:r>
      <w:r>
        <w:rPr>
          <w:rFonts w:ascii="Verdana" w:eastAsia="Calibri" w:hAnsi="Verdana" w:cs="Arial"/>
          <w:lang w:val="es-ES" w:eastAsia="es-ES"/>
        </w:rPr>
        <w:t>, usted</w:t>
      </w:r>
      <w:r w:rsidRPr="00FE4CAC">
        <w:rPr>
          <w:rFonts w:ascii="Verdana" w:eastAsia="Calibri" w:hAnsi="Verdana" w:cs="Arial"/>
          <w:lang w:val="es-ES" w:eastAsia="es-ES"/>
        </w:rPr>
        <w:t xml:space="preserve"> </w:t>
      </w:r>
      <w:r>
        <w:rPr>
          <w:rFonts w:ascii="Verdana" w:eastAsia="Calibri" w:hAnsi="Verdana" w:cs="Arial"/>
          <w:lang w:val="es-ES" w:eastAsia="es-ES"/>
        </w:rPr>
        <w:t>pregunta lo siguiente</w:t>
      </w:r>
      <w:r w:rsidRPr="008E6AD9">
        <w:rPr>
          <w:rFonts w:ascii="Verdana" w:eastAsia="Calibri" w:hAnsi="Verdana" w:cs="Arial"/>
          <w:lang w:val="es-ES" w:eastAsia="es-ES"/>
        </w:rPr>
        <w:t xml:space="preserve">: </w:t>
      </w:r>
    </w:p>
    <w:p w14:paraId="357C3697" w14:textId="77777777" w:rsidR="00500D81" w:rsidRPr="00272A7B" w:rsidRDefault="00500D81" w:rsidP="00500D8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763D8D0" w14:textId="7A717440" w:rsidR="00335582" w:rsidRPr="00335582" w:rsidRDefault="00500D81" w:rsidP="00335582">
      <w:pPr>
        <w:spacing w:after="0" w:line="240" w:lineRule="auto"/>
        <w:ind w:left="709" w:right="709"/>
        <w:jc w:val="both"/>
        <w:rPr>
          <w:rFonts w:ascii="Verdana" w:eastAsia="Century Gothic" w:hAnsi="Verdana" w:cs="Century Gothic"/>
          <w:sz w:val="20"/>
          <w:szCs w:val="20"/>
          <w:lang w:val="es-ES"/>
        </w:rPr>
      </w:pPr>
      <w:bookmarkStart w:id="0" w:name="_Hlk95313578"/>
      <w:r w:rsidRPr="00DA4134">
        <w:rPr>
          <w:rFonts w:ascii="Verdana" w:eastAsia="Century Gothic" w:hAnsi="Verdana" w:cs="Century Gothic"/>
          <w:sz w:val="20"/>
          <w:szCs w:val="20"/>
          <w:lang w:val="es-ES"/>
        </w:rPr>
        <w:t>“</w:t>
      </w:r>
      <w:bookmarkEnd w:id="0"/>
      <w:r w:rsidR="00335582" w:rsidRPr="00335582">
        <w:rPr>
          <w:rFonts w:ascii="Verdana" w:eastAsia="Century Gothic" w:hAnsi="Verdana" w:cs="Century Gothic"/>
          <w:sz w:val="20"/>
          <w:szCs w:val="20"/>
          <w:lang w:val="es-ES"/>
        </w:rPr>
        <w:t>En los contratos de suministro que celebren dichas instituciones, con los recursos de los fondos de servicios educativos con personas naturales, se le debe exigir a dicho contratista que acredite el pago de la seguridad social (salud y pensiones) por el 40% mensualizado del valor de dicho contrato.?</w:t>
      </w:r>
    </w:p>
    <w:p w14:paraId="1C815325" w14:textId="77777777" w:rsidR="00335582" w:rsidRPr="00335582" w:rsidRDefault="00335582" w:rsidP="00335582">
      <w:pPr>
        <w:spacing w:after="0" w:line="240" w:lineRule="auto"/>
        <w:ind w:left="709" w:right="709"/>
        <w:jc w:val="both"/>
        <w:rPr>
          <w:rFonts w:ascii="Verdana" w:eastAsia="Century Gothic" w:hAnsi="Verdana" w:cs="Century Gothic"/>
          <w:sz w:val="20"/>
          <w:szCs w:val="20"/>
          <w:lang w:val="es-ES"/>
        </w:rPr>
      </w:pPr>
      <w:r w:rsidRPr="00335582">
        <w:rPr>
          <w:rFonts w:ascii="Verdana" w:eastAsia="Century Gothic" w:hAnsi="Verdana" w:cs="Century Gothic"/>
          <w:sz w:val="20"/>
          <w:szCs w:val="20"/>
          <w:lang w:val="es-ES"/>
        </w:rPr>
        <w:t xml:space="preserve">  </w:t>
      </w:r>
    </w:p>
    <w:p w14:paraId="73897482" w14:textId="3B2A8023" w:rsidR="00500D81" w:rsidRPr="00DA4134" w:rsidRDefault="00335582" w:rsidP="00335582">
      <w:pPr>
        <w:spacing w:after="0" w:line="240" w:lineRule="auto"/>
        <w:ind w:left="709" w:right="709"/>
        <w:jc w:val="both"/>
        <w:rPr>
          <w:rFonts w:ascii="Verdana" w:eastAsia="Century Gothic" w:hAnsi="Verdana" w:cs="Century Gothic"/>
          <w:sz w:val="20"/>
          <w:szCs w:val="20"/>
          <w:lang w:val="es-ES"/>
        </w:rPr>
      </w:pPr>
      <w:proofErr w:type="gramStart"/>
      <w:r w:rsidRPr="00335582">
        <w:rPr>
          <w:rFonts w:ascii="Verdana" w:eastAsia="Century Gothic" w:hAnsi="Verdana" w:cs="Century Gothic"/>
          <w:sz w:val="20"/>
          <w:szCs w:val="20"/>
          <w:lang w:val="es-ES"/>
        </w:rPr>
        <w:lastRenderedPageBreak/>
        <w:t>Si el contrato se celebra con una persona jurídica, se le debe exigir que acredite el cumplimiento del pago de aportes de sus trabajadores a la seguridad social (salud y pensión)?</w:t>
      </w:r>
      <w:proofErr w:type="gramEnd"/>
      <w:r w:rsidR="00500D81" w:rsidRPr="00DA4134">
        <w:rPr>
          <w:rFonts w:ascii="Verdana" w:eastAsia="Century Gothic" w:hAnsi="Verdana" w:cs="Century Gothic"/>
          <w:sz w:val="20"/>
          <w:szCs w:val="20"/>
          <w:lang w:val="es-ES"/>
        </w:rPr>
        <w:t>”.</w:t>
      </w:r>
    </w:p>
    <w:p w14:paraId="7B47983C" w14:textId="77777777" w:rsidR="00500D81" w:rsidRPr="008E6AD9" w:rsidRDefault="00500D81" w:rsidP="00500D81">
      <w:pPr>
        <w:pStyle w:val="Prrafodelista"/>
        <w:tabs>
          <w:tab w:val="left" w:pos="142"/>
          <w:tab w:val="left" w:pos="284"/>
        </w:tabs>
        <w:spacing w:after="0" w:line="276" w:lineRule="auto"/>
        <w:ind w:left="0"/>
        <w:jc w:val="both"/>
        <w:rPr>
          <w:rFonts w:ascii="Verdana" w:eastAsia="Century Gothic" w:hAnsi="Verdana" w:cs="Century Gothic"/>
          <w:b/>
          <w:bCs/>
        </w:rPr>
      </w:pPr>
    </w:p>
    <w:p w14:paraId="04A81D20" w14:textId="129E7872" w:rsidR="00500D81" w:rsidRPr="00A652FF" w:rsidRDefault="00500D81" w:rsidP="00500D8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1A0EAC">
        <w:rPr>
          <w:rFonts w:ascii="Verdana" w:eastAsia="Calibri" w:hAnsi="Verdana" w:cs="Arial"/>
          <w:color w:val="000000"/>
          <w:lang w:val="es-ES" w:eastAsia="es-ES"/>
        </w:rPr>
        <w:t xml:space="preserve">la Agencia Nacional de Contratación Pública – </w:t>
      </w:r>
      <w:r w:rsidRPr="00593A5F">
        <w:rPr>
          <w:rFonts w:ascii="Verdana" w:eastAsia="Calibri" w:hAnsi="Verdana" w:cs="Arial"/>
          <w:color w:val="000000"/>
          <w:lang w:val="es-ES" w:eastAsia="es-ES"/>
        </w:rPr>
        <w:t>Colombia</w:t>
      </w:r>
      <w:r w:rsidR="001A0EAC">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0721AAF" w14:textId="67E1450E" w:rsidR="00500D81" w:rsidRDefault="00500D81" w:rsidP="00500D8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sidR="001A0EAC">
        <w:rPr>
          <w:rFonts w:ascii="Verdana" w:eastAsia="Calibri" w:hAnsi="Verdana" w:cs="Arial"/>
          <w:color w:val="000000"/>
          <w:lang w:val="es-ES" w:eastAsia="es-ES"/>
        </w:rPr>
        <w:t>señala</w:t>
      </w:r>
      <w:r w:rsidR="001A0EAC" w:rsidRPr="00593A5F">
        <w:rPr>
          <w:rFonts w:ascii="Verdana" w:eastAsia="Calibri" w:hAnsi="Verdana" w:cs="Arial"/>
          <w:color w:val="000000"/>
          <w:lang w:val="es-ES" w:eastAsia="es-ES"/>
        </w:rPr>
        <w:t xml:space="preserve">ndo </w:t>
      </w:r>
      <w:r w:rsidR="001A0EAC">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sidR="006A1DC1">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4767F0B" w14:textId="77777777" w:rsidR="00500D81" w:rsidRDefault="00500D81" w:rsidP="001A0EAC">
      <w:pPr>
        <w:pStyle w:val="Prrafodelista"/>
        <w:tabs>
          <w:tab w:val="left" w:pos="142"/>
          <w:tab w:val="left" w:pos="284"/>
        </w:tabs>
        <w:spacing w:after="0" w:line="276" w:lineRule="auto"/>
        <w:ind w:left="0"/>
        <w:jc w:val="both"/>
        <w:rPr>
          <w:rFonts w:ascii="Verdana" w:eastAsia="Century Gothic" w:hAnsi="Verdana" w:cs="Century Gothic"/>
          <w:b/>
          <w:bCs/>
        </w:rPr>
      </w:pPr>
    </w:p>
    <w:p w14:paraId="00F4B02D" w14:textId="02F5A5CA" w:rsidR="00500D81" w:rsidRPr="002D3E3A" w:rsidRDefault="00500D81" w:rsidP="001A0EAC">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1. </w:t>
      </w:r>
      <w:r w:rsidRPr="002D3E3A">
        <w:rPr>
          <w:rFonts w:ascii="Verdana" w:eastAsia="Century Gothic" w:hAnsi="Verdana" w:cs="Century Gothic"/>
          <w:b/>
          <w:bCs/>
        </w:rPr>
        <w:t>Problema planteado:</w:t>
      </w:r>
    </w:p>
    <w:p w14:paraId="46176678" w14:textId="77777777" w:rsidR="00500D81" w:rsidRPr="00593A5F" w:rsidRDefault="00500D81" w:rsidP="001A0EAC">
      <w:pPr>
        <w:tabs>
          <w:tab w:val="left" w:pos="426"/>
        </w:tabs>
        <w:spacing w:after="0" w:line="276" w:lineRule="auto"/>
        <w:jc w:val="both"/>
        <w:rPr>
          <w:rFonts w:ascii="Verdana" w:eastAsia="Century Gothic" w:hAnsi="Verdana" w:cs="Century Gothic"/>
          <w:lang w:val="es-ES"/>
        </w:rPr>
      </w:pPr>
    </w:p>
    <w:p w14:paraId="0AC2E550" w14:textId="30BE4F24" w:rsidR="00500D81" w:rsidRPr="00593A5F" w:rsidRDefault="00500D81" w:rsidP="001A0EAC">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sidR="009A10A4">
        <w:rPr>
          <w:rFonts w:ascii="Verdana" w:eastAsia="Century Gothic" w:hAnsi="Verdana" w:cs="Century Gothic"/>
        </w:rPr>
        <w:t xml:space="preserve">el </w:t>
      </w:r>
      <w:r w:rsidRPr="00906BE9">
        <w:rPr>
          <w:rFonts w:ascii="Verdana" w:eastAsia="Century Gothic" w:hAnsi="Verdana" w:cs="Century Gothic"/>
        </w:rPr>
        <w:t>siguiente</w:t>
      </w:r>
      <w:r>
        <w:rPr>
          <w:rFonts w:ascii="Verdana" w:eastAsia="Century Gothic" w:hAnsi="Verdana" w:cs="Century Gothic"/>
        </w:rPr>
        <w:t xml:space="preserve"> </w:t>
      </w:r>
      <w:r w:rsidRPr="00906BE9">
        <w:rPr>
          <w:rFonts w:ascii="Verdana" w:eastAsia="Century Gothic" w:hAnsi="Verdana" w:cs="Century Gothic"/>
        </w:rPr>
        <w:t>problema jurídico:</w:t>
      </w:r>
      <w:r w:rsidR="00D74EF5">
        <w:rPr>
          <w:rFonts w:ascii="Verdana" w:eastAsia="Century Gothic" w:hAnsi="Verdana" w:cs="Century Gothic"/>
        </w:rPr>
        <w:t xml:space="preserve"> </w:t>
      </w:r>
      <w:r>
        <w:rPr>
          <w:rFonts w:ascii="Verdana" w:eastAsia="Century Gothic" w:hAnsi="Verdana" w:cs="Century Gothic"/>
        </w:rPr>
        <w:t>¿</w:t>
      </w:r>
      <w:r w:rsidR="00C77FCB">
        <w:rPr>
          <w:rFonts w:ascii="Verdana" w:eastAsia="Century Gothic" w:hAnsi="Verdana" w:cs="Century Gothic"/>
        </w:rPr>
        <w:t xml:space="preserve">Cuál es el IBC para realizar los aportes a seguridad social de un contrato de </w:t>
      </w:r>
      <w:r w:rsidR="00D74EF5">
        <w:rPr>
          <w:rFonts w:ascii="Verdana" w:eastAsia="Century Gothic" w:hAnsi="Verdana" w:cs="Century Gothic"/>
        </w:rPr>
        <w:t>suministro</w:t>
      </w:r>
      <w:r w:rsidR="00CA39E3">
        <w:rPr>
          <w:rFonts w:ascii="Verdana" w:eastAsia="Century Gothic" w:hAnsi="Verdana" w:cs="Century Gothic"/>
        </w:rPr>
        <w:t xml:space="preserve"> celebrado por una institución educativa</w:t>
      </w:r>
      <w:r w:rsidR="004923B6">
        <w:rPr>
          <w:rFonts w:ascii="Verdana" w:eastAsia="Century Gothic" w:hAnsi="Verdana" w:cs="Century Gothic"/>
        </w:rPr>
        <w:t>,</w:t>
      </w:r>
      <w:r w:rsidR="00CA39E3">
        <w:rPr>
          <w:rFonts w:ascii="Verdana" w:eastAsia="Century Gothic" w:hAnsi="Verdana" w:cs="Century Gothic"/>
        </w:rPr>
        <w:t xml:space="preserve"> </w:t>
      </w:r>
      <w:r w:rsidR="00A91A9E">
        <w:rPr>
          <w:rFonts w:ascii="Verdana" w:eastAsia="Century Gothic" w:hAnsi="Verdana" w:cs="Century Gothic"/>
        </w:rPr>
        <w:t>y cómo</w:t>
      </w:r>
      <w:r w:rsidR="00D74EF5">
        <w:rPr>
          <w:rFonts w:ascii="Verdana" w:eastAsia="Century Gothic" w:hAnsi="Verdana" w:cs="Century Gothic"/>
        </w:rPr>
        <w:t xml:space="preserve"> se</w:t>
      </w:r>
      <w:r w:rsidR="00A91A9E">
        <w:rPr>
          <w:rFonts w:ascii="Verdana" w:eastAsia="Century Gothic" w:hAnsi="Verdana" w:cs="Century Gothic"/>
        </w:rPr>
        <w:t xml:space="preserve"> </w:t>
      </w:r>
      <w:r w:rsidR="00C52983">
        <w:rPr>
          <w:rFonts w:ascii="Verdana" w:eastAsia="Century Gothic" w:hAnsi="Verdana" w:cs="Century Gothic"/>
        </w:rPr>
        <w:t>acreditan</w:t>
      </w:r>
      <w:r w:rsidR="00A91A9E">
        <w:rPr>
          <w:rFonts w:ascii="Verdana" w:eastAsia="Century Gothic" w:hAnsi="Verdana" w:cs="Century Gothic"/>
        </w:rPr>
        <w:t xml:space="preserve"> los aportes </w:t>
      </w:r>
      <w:r w:rsidR="00D74EF5">
        <w:rPr>
          <w:rFonts w:ascii="Verdana" w:eastAsia="Century Gothic" w:hAnsi="Verdana" w:cs="Century Gothic"/>
        </w:rPr>
        <w:t>si se trata de una persona jurídica</w:t>
      </w:r>
      <w:r>
        <w:rPr>
          <w:rFonts w:ascii="Verdana" w:eastAsia="Century Gothic" w:hAnsi="Verdana" w:cs="Century Gothic"/>
        </w:rPr>
        <w:t>?</w:t>
      </w:r>
    </w:p>
    <w:p w14:paraId="71E3D339" w14:textId="77777777" w:rsidR="00500D81" w:rsidRPr="004923B6" w:rsidRDefault="00500D81" w:rsidP="001A0EA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4C2B3581" w14:textId="7CFAA567" w:rsidR="00500D81" w:rsidRPr="00593A5F" w:rsidRDefault="00500D81" w:rsidP="001A0EA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2. </w:t>
      </w:r>
      <w:r w:rsidRPr="00593A5F">
        <w:rPr>
          <w:rFonts w:ascii="Verdana" w:eastAsia="Century Gothic" w:hAnsi="Verdana" w:cs="Century Gothic"/>
          <w:b/>
          <w:bCs/>
        </w:rPr>
        <w:t>Respuesta:</w:t>
      </w:r>
    </w:p>
    <w:p w14:paraId="30B0832F" w14:textId="77777777" w:rsidR="00500D81" w:rsidRPr="00593A5F" w:rsidRDefault="00500D81" w:rsidP="001A0EA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00D81" w:rsidRPr="00593A5F" w14:paraId="66D690A7" w14:textId="77777777" w:rsidTr="7B7BFACA">
        <w:trPr>
          <w:jc w:val="center"/>
        </w:trPr>
        <w:tc>
          <w:tcPr>
            <w:tcW w:w="8828" w:type="dxa"/>
          </w:tcPr>
          <w:p w14:paraId="6479235F" w14:textId="16014883" w:rsidR="00061289" w:rsidRDefault="00061289" w:rsidP="005A3D07">
            <w:pPr>
              <w:widowControl w:val="0"/>
              <w:autoSpaceDE w:val="0"/>
              <w:autoSpaceDN w:val="0"/>
              <w:spacing w:after="120" w:line="276" w:lineRule="auto"/>
              <w:jc w:val="both"/>
              <w:rPr>
                <w:rFonts w:ascii="Verdana" w:eastAsia="Arial" w:hAnsi="Verdana" w:cs="Arial"/>
                <w:color w:val="000000" w:themeColor="text1"/>
                <w:lang w:val="es-ES"/>
              </w:rPr>
            </w:pPr>
            <w:bookmarkStart w:id="1" w:name="_Hlk171694685"/>
            <w:r>
              <w:rPr>
                <w:rFonts w:ascii="Verdana" w:eastAsia="Arial" w:hAnsi="Verdana" w:cs="Arial"/>
                <w:color w:val="000000" w:themeColor="text1"/>
                <w:lang w:val="es-ES"/>
              </w:rPr>
              <w:t>La Ley 789 de 2002 dispone, en su artículo 50, que “</w:t>
            </w:r>
            <w:r w:rsidRPr="00061289">
              <w:rPr>
                <w:rFonts w:ascii="Verdana" w:eastAsia="Arial" w:hAnsi="Verdana" w:cs="Arial"/>
                <w:i/>
                <w:iCs/>
                <w:color w:val="000000" w:themeColor="text1"/>
                <w:lang w:val="es-ES"/>
              </w:rPr>
              <w:t xml:space="preserve">La celebración,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w:t>
            </w:r>
            <w:r w:rsidRPr="00061289">
              <w:rPr>
                <w:rFonts w:ascii="Verdana" w:eastAsia="Arial" w:hAnsi="Verdana" w:cs="Arial"/>
                <w:i/>
                <w:iCs/>
                <w:color w:val="000000" w:themeColor="text1"/>
                <w:lang w:val="es-ES"/>
              </w:rPr>
              <w:lastRenderedPageBreak/>
              <w:t>Instituto Colombiano de Bienestar Familiar y Servicio Nacional de Aprendizaje, cuando a ello haya lugar</w:t>
            </w:r>
            <w:r>
              <w:rPr>
                <w:rFonts w:ascii="Verdana" w:eastAsia="Arial" w:hAnsi="Verdana" w:cs="Arial"/>
                <w:color w:val="000000" w:themeColor="text1"/>
                <w:lang w:val="es-ES"/>
              </w:rPr>
              <w:t xml:space="preserve">”. Así pues, y teniendo en cuenta que </w:t>
            </w:r>
            <w:r w:rsidRPr="006B5858">
              <w:rPr>
                <w:rFonts w:ascii="Verdana" w:hAnsi="Verdana" w:cs="Arial"/>
                <w:lang w:val="es-MX"/>
                <w14:ligatures w14:val="standardContextual"/>
              </w:rPr>
              <w:t>las instituciones educativas pertenecen a la entidad territorial que haya efectuado su reconocimiento de carácter oficial</w:t>
            </w:r>
            <w:r>
              <w:rPr>
                <w:rFonts w:ascii="Verdana" w:hAnsi="Verdana" w:cs="Arial"/>
                <w:lang w:val="es-MX"/>
                <w14:ligatures w14:val="standardContextual"/>
              </w:rPr>
              <w:t>, y que l</w:t>
            </w:r>
            <w:r w:rsidRPr="006B5858">
              <w:rPr>
                <w:rFonts w:ascii="Verdana" w:hAnsi="Verdana" w:cs="Arial"/>
                <w:lang w:val="es-MX"/>
                <w14:ligatures w14:val="standardContextual"/>
              </w:rPr>
              <w:t xml:space="preserve">os fondos de servicios educativos tampoco cuentan con personería jurídica según lo previsto en el artículo </w:t>
            </w:r>
            <w:bookmarkStart w:id="2" w:name="_Hlk198934350"/>
            <w:r w:rsidRPr="006B5858">
              <w:rPr>
                <w:rFonts w:ascii="Verdana" w:hAnsi="Verdana" w:cs="Arial"/>
                <w:lang w:val="es-MX"/>
                <w14:ligatures w14:val="standardContextual"/>
              </w:rPr>
              <w:t xml:space="preserve">2.3.1.6.3.4 </w:t>
            </w:r>
            <w:bookmarkEnd w:id="2"/>
            <w:r w:rsidRPr="006B5858">
              <w:rPr>
                <w:rFonts w:ascii="Verdana" w:hAnsi="Verdana" w:cs="Arial"/>
                <w:lang w:val="es-MX"/>
                <w14:ligatures w14:val="standardContextual"/>
              </w:rPr>
              <w:t xml:space="preserve">del </w:t>
            </w:r>
            <w:bookmarkStart w:id="3" w:name="_Hlk198934340"/>
            <w:r w:rsidRPr="006B5858">
              <w:rPr>
                <w:rFonts w:ascii="Verdana" w:hAnsi="Verdana" w:cs="Arial"/>
                <w:lang w:val="es-MX"/>
                <w14:ligatures w14:val="standardContextual"/>
              </w:rPr>
              <w:t>Decreto 1075 de 2015</w:t>
            </w:r>
            <w:bookmarkEnd w:id="3"/>
            <w:r w:rsidRPr="006B5858">
              <w:rPr>
                <w:rFonts w:ascii="Verdana" w:hAnsi="Verdana" w:cs="Arial"/>
                <w:lang w:val="es-MX"/>
                <w14:ligatures w14:val="standardContextual"/>
              </w:rPr>
              <w:t>, Decreto Único Reglamentario del Sector Educación</w:t>
            </w:r>
            <w:r>
              <w:rPr>
                <w:rFonts w:ascii="Verdana" w:hAnsi="Verdana" w:cs="Arial"/>
                <w:lang w:val="es-MX"/>
                <w14:ligatures w14:val="standardContextual"/>
              </w:rPr>
              <w:t>, dichas instituciones deben requerir el cumplimiento del contratista de sus obligaciones con el sistema de seguridad social, ya que esto aplica a los contratos de cualquier naturaleza con entidades del sector público, y esto incluye a los contratos de suministro</w:t>
            </w:r>
            <w:r w:rsidR="008E24A7">
              <w:rPr>
                <w:rFonts w:ascii="Verdana" w:hAnsi="Verdana" w:cs="Arial"/>
                <w:lang w:val="es-MX"/>
                <w14:ligatures w14:val="standardContextual"/>
              </w:rPr>
              <w:t>, referidos en su consulta,</w:t>
            </w:r>
            <w:r>
              <w:rPr>
                <w:rFonts w:ascii="Verdana" w:hAnsi="Verdana" w:cs="Arial"/>
                <w:lang w:val="es-MX"/>
                <w14:ligatures w14:val="standardContextual"/>
              </w:rPr>
              <w:t xml:space="preserve"> y a las entidades territoriales a las que pertenecen las instituciones educativas.</w:t>
            </w:r>
          </w:p>
          <w:p w14:paraId="12E40256" w14:textId="0D9AA91C" w:rsidR="00D7755D" w:rsidRDefault="00D7755D" w:rsidP="005A3D07">
            <w:pPr>
              <w:widowControl w:val="0"/>
              <w:autoSpaceDE w:val="0"/>
              <w:autoSpaceDN w:val="0"/>
              <w:spacing w:after="120" w:line="276" w:lineRule="auto"/>
              <w:ind w:firstLine="709"/>
              <w:jc w:val="both"/>
              <w:rPr>
                <w:rFonts w:ascii="Verdana" w:hAnsi="Verdana" w:cs="Arial"/>
                <w:lang w:val="es-ES_tradnl"/>
              </w:rPr>
            </w:pPr>
            <w:r w:rsidRPr="008A4702">
              <w:rPr>
                <w:rFonts w:ascii="Verdana" w:eastAsia="Arial" w:hAnsi="Verdana" w:cs="Arial"/>
                <w:color w:val="000000" w:themeColor="text1"/>
                <w:lang w:val="es-ES"/>
              </w:rPr>
              <w:t xml:space="preserve">Respecto de la verificación de los aportes a seguridad social de una persona natural, en primer lugar, en virtud del artículo 26 de la Ley 1393 de 2010 y del artículo 50 de la Ley 789 de 2002, en caso de que se vaya a celebrar un contrato </w:t>
            </w:r>
            <w:r w:rsidR="00DE2962">
              <w:rPr>
                <w:rFonts w:ascii="Verdana" w:eastAsia="Arial" w:hAnsi="Verdana" w:cs="Arial"/>
                <w:color w:val="000000" w:themeColor="text1"/>
                <w:lang w:val="es-ES"/>
              </w:rPr>
              <w:t>de cualquier naturaleza con una entidad del sector público</w:t>
            </w:r>
            <w:r w:rsidRPr="008A4702">
              <w:rPr>
                <w:rFonts w:ascii="Verdana" w:eastAsia="Arial" w:hAnsi="Verdana" w:cs="Arial"/>
                <w:color w:val="000000" w:themeColor="text1"/>
                <w:lang w:val="es-ES"/>
              </w:rPr>
              <w:t>, es decir, en el momento que se va a perfeccionar el contrato, se verificará la afiliación -no el pago- al Sistema de Seguridad Social de salud y pensiones, siempre y cuando, el contrato se celebre con una persona natural. Posteriormente, la Entidad Estatal verificará el pago al Sistema de Seguridad Social Integral cuando se realicen los pagos del contrato, es decir, durante su ejecución, lo cual puede hacerse a través de las planillas de pago.</w:t>
            </w:r>
            <w:r>
              <w:rPr>
                <w:rFonts w:ascii="Verdana" w:eastAsia="Arial" w:hAnsi="Verdana" w:cs="Arial"/>
                <w:color w:val="000000" w:themeColor="text1"/>
                <w:lang w:val="es-ES"/>
              </w:rPr>
              <w:t xml:space="preserve"> </w:t>
            </w:r>
            <w:r>
              <w:rPr>
                <w:rFonts w:ascii="Verdana" w:hAnsi="Verdana" w:cs="Arial"/>
                <w:lang w:val="es-ES_tradnl"/>
              </w:rPr>
              <w:t>Sin embargo</w:t>
            </w:r>
            <w:r w:rsidRPr="005C260D">
              <w:rPr>
                <w:rFonts w:ascii="Verdana" w:hAnsi="Verdana" w:cs="Arial"/>
                <w:lang w:val="es-ES_tradnl"/>
              </w:rPr>
              <w:t>, frente</w:t>
            </w:r>
            <w:r>
              <w:rPr>
                <w:rFonts w:ascii="Verdana" w:hAnsi="Verdana" w:cs="Arial"/>
                <w:lang w:val="es-ES_tradnl"/>
              </w:rPr>
              <w:t xml:space="preserve"> al primer pago,</w:t>
            </w:r>
            <w:r w:rsidRPr="005C260D">
              <w:rPr>
                <w:rFonts w:ascii="Verdana" w:hAnsi="Verdana" w:cs="Arial"/>
                <w:lang w:val="es-ES_tradnl"/>
              </w:rPr>
              <w:t xml:space="preserve"> </w:t>
            </w:r>
            <w:r>
              <w:rPr>
                <w:rFonts w:ascii="Verdana" w:hAnsi="Verdana" w:cs="Arial"/>
                <w:lang w:val="es-ES_tradnl"/>
              </w:rPr>
              <w:t>e</w:t>
            </w:r>
            <w:r w:rsidRPr="005C260D">
              <w:rPr>
                <w:rFonts w:ascii="Verdana" w:hAnsi="Verdana" w:cs="Arial"/>
                <w:lang w:val="es-ES_tradnl"/>
              </w:rPr>
              <w:t xml:space="preserve">l pago por mes vencido continúa aplicándose el primer inciso del artículo 3.2.7.6 del Decreto 780 de 2016, norma que dispuso que </w:t>
            </w:r>
            <w:r w:rsidRPr="005C260D">
              <w:rPr>
                <w:rFonts w:ascii="Verdana" w:eastAsia="Arial" w:hAnsi="Verdana" w:cs="Arial"/>
                <w:lang w:val="es-ES" w:eastAsia="es-ES" w:bidi="es-ES"/>
              </w:rPr>
              <w:t>“</w:t>
            </w:r>
            <w:r w:rsidRPr="005C260D">
              <w:rPr>
                <w:rFonts w:ascii="Verdana" w:hAnsi="Verdana" w:cs="Arial"/>
                <w:lang w:val="es-ES_tradnl"/>
              </w:rPr>
              <w:t>el pago por mes vencido de las cotizaciones se debía efectuar a partir del 1 de octubre de 2018</w:t>
            </w:r>
            <w:r w:rsidRPr="005C260D">
              <w:rPr>
                <w:rFonts w:ascii="Verdana" w:eastAsia="Calibri" w:hAnsi="Verdana" w:cs="Arial"/>
                <w:bCs/>
                <w:lang w:val="es-ES_tradnl"/>
              </w:rPr>
              <w:t>”</w:t>
            </w:r>
            <w:r w:rsidRPr="005C260D">
              <w:rPr>
                <w:rFonts w:ascii="Verdana" w:hAnsi="Verdana" w:cs="Arial"/>
                <w:lang w:val="es-ES_tradnl"/>
              </w:rPr>
              <w:t>.</w:t>
            </w:r>
          </w:p>
          <w:p w14:paraId="1935EC37" w14:textId="6D41DDB9" w:rsidR="00500D81" w:rsidRDefault="00AB407C" w:rsidP="005A3D07">
            <w:pPr>
              <w:widowControl w:val="0"/>
              <w:autoSpaceDE w:val="0"/>
              <w:autoSpaceDN w:val="0"/>
              <w:spacing w:after="120" w:line="276" w:lineRule="auto"/>
              <w:ind w:firstLine="709"/>
              <w:jc w:val="both"/>
              <w:rPr>
                <w:rFonts w:ascii="Verdana" w:hAnsi="Verdana" w:cs="Arial"/>
                <w:lang w:val="es-ES"/>
              </w:rPr>
            </w:pPr>
            <w:r>
              <w:rPr>
                <w:rFonts w:ascii="Verdana" w:eastAsia="Arial" w:hAnsi="Verdana" w:cs="Arial"/>
              </w:rPr>
              <w:t>Asimismo, d</w:t>
            </w:r>
            <w:r w:rsidR="00500D81">
              <w:rPr>
                <w:rFonts w:ascii="Verdana" w:eastAsia="Arial" w:hAnsi="Verdana" w:cs="Arial"/>
              </w:rPr>
              <w:t xml:space="preserve">e acuerdo con el artículo 50 de la Ley 789 de 2002 </w:t>
            </w:r>
            <w:r w:rsidR="00500D81" w:rsidRPr="0085437D">
              <w:rPr>
                <w:rFonts w:ascii="Verdana" w:hAnsi="Verdana" w:cs="Arial"/>
                <w:lang w:val="es-ES"/>
              </w:rPr>
              <w:t xml:space="preserve">la verificación de los aportes al Sistema de Seguridad Social Integral cambia, dependiendo si se trata de una persona natural o de una jurídica: i) si es una </w:t>
            </w:r>
            <w:r w:rsidR="00500D81">
              <w:rPr>
                <w:rFonts w:ascii="Verdana" w:hAnsi="Verdana" w:cs="Arial"/>
                <w:i/>
                <w:iCs/>
                <w:lang w:val="es-ES"/>
              </w:rPr>
              <w:t xml:space="preserve">persona </w:t>
            </w:r>
            <w:r w:rsidR="00500D81" w:rsidRPr="0085437D">
              <w:rPr>
                <w:rFonts w:ascii="Verdana" w:hAnsi="Verdana" w:cs="Arial"/>
                <w:i/>
                <w:lang w:val="es-ES"/>
              </w:rPr>
              <w:t>natural</w:t>
            </w:r>
            <w:r w:rsidR="00500D81" w:rsidRPr="0085437D">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00500D81" w:rsidRPr="0085437D">
              <w:rPr>
                <w:rFonts w:ascii="Verdana" w:hAnsi="Verdana" w:cs="Arial"/>
                <w:lang w:val="es-ES"/>
              </w:rPr>
              <w:t>ii</w:t>
            </w:r>
            <w:proofErr w:type="spellEnd"/>
            <w:r w:rsidR="00500D81" w:rsidRPr="0085437D">
              <w:rPr>
                <w:rFonts w:ascii="Verdana" w:hAnsi="Verdana" w:cs="Arial"/>
                <w:lang w:val="es-ES"/>
              </w:rPr>
              <w:t xml:space="preserve">) si se refiere a una </w:t>
            </w:r>
            <w:r w:rsidR="00500D81" w:rsidRPr="0085437D">
              <w:rPr>
                <w:rFonts w:ascii="Verdana" w:hAnsi="Verdana" w:cs="Arial"/>
                <w:i/>
                <w:lang w:val="es-ES"/>
              </w:rPr>
              <w:t>persona jurídica</w:t>
            </w:r>
            <w:r w:rsidR="00500D81" w:rsidRPr="0085437D">
              <w:rPr>
                <w:rFonts w:ascii="Verdana" w:hAnsi="Verdana" w:cs="Arial"/>
                <w:lang w:val="es-ES"/>
              </w:rPr>
              <w:t>,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184ED33B" w14:textId="5A4F5C6B" w:rsidR="00D7755D" w:rsidRDefault="00D7755D" w:rsidP="00D7755D">
            <w:pPr>
              <w:spacing w:after="120" w:line="276" w:lineRule="auto"/>
              <w:ind w:firstLine="709"/>
              <w:jc w:val="both"/>
              <w:rPr>
                <w:rFonts w:ascii="Verdana" w:hAnsi="Verdana" w:cs="Arial"/>
                <w:lang w:val="es-ES_tradnl"/>
              </w:rPr>
            </w:pPr>
            <w:r w:rsidRPr="0089349D">
              <w:rPr>
                <w:rFonts w:ascii="Verdana" w:hAnsi="Verdana" w:cs="Arial"/>
                <w:lang w:val="es-ES_tradnl"/>
              </w:rPr>
              <w:lastRenderedPageBreak/>
              <w:t>Sobre</w:t>
            </w:r>
            <w:r>
              <w:rPr>
                <w:rFonts w:ascii="Verdana" w:eastAsia="Arial" w:hAnsi="Verdana" w:cs="Arial"/>
              </w:rPr>
              <w:t xml:space="preserve"> el valor del aporte y la periodicidad, se debe cotizar durante todo el periodo de ejecución contractual y cada vez que se realice un pago en el contrat</w:t>
            </w:r>
            <w:r w:rsidR="00132794">
              <w:rPr>
                <w:rFonts w:ascii="Verdana" w:eastAsia="Arial" w:hAnsi="Verdana" w:cs="Arial"/>
              </w:rPr>
              <w:t>o</w:t>
            </w:r>
            <w:r>
              <w:rPr>
                <w:rFonts w:ascii="Verdana" w:eastAsia="Arial" w:hAnsi="Verdana" w:cs="Arial"/>
              </w:rPr>
              <w:t xml:space="preserve">; y </w:t>
            </w:r>
            <w:r w:rsidRPr="00FA285C">
              <w:rPr>
                <w:rFonts w:ascii="Verdana" w:hAnsi="Verdana" w:cs="Arial"/>
                <w:lang w:val="es-ES"/>
              </w:rPr>
              <w:t>conforme al marco jurídico actual, al pago al Sistema de Seguridad Social Integral por parte de</w:t>
            </w:r>
            <w:r>
              <w:rPr>
                <w:rFonts w:ascii="Verdana" w:hAnsi="Verdana" w:cs="Arial"/>
                <w:lang w:val="es-ES"/>
              </w:rPr>
              <w:t xml:space="preserve"> contratistas estatales, en calidad de</w:t>
            </w:r>
            <w:r w:rsidRPr="00FA285C">
              <w:rPr>
                <w:rFonts w:ascii="Verdana" w:hAnsi="Verdana" w:cs="Arial"/>
                <w:lang w:val="es-ES"/>
              </w:rPr>
              <w:t xml:space="preserve"> trabajadores independientes,</w:t>
            </w:r>
            <w:r>
              <w:rPr>
                <w:rFonts w:ascii="Verdana" w:hAnsi="Verdana" w:cs="Arial"/>
                <w:lang w:val="es-ES"/>
              </w:rPr>
              <w:t xml:space="preserve"> </w:t>
            </w:r>
            <w:r w:rsidRPr="00FA285C">
              <w:rPr>
                <w:rFonts w:ascii="Verdana" w:hAnsi="Verdana" w:cs="Arial"/>
                <w:lang w:val="es-ES"/>
              </w:rPr>
              <w:t xml:space="preserve">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FA285C">
              <w:rPr>
                <w:rFonts w:ascii="Verdana" w:hAnsi="Verdana" w:cs="Arial"/>
                <w:lang w:val="es-ES"/>
              </w:rPr>
              <w:t>ii</w:t>
            </w:r>
            <w:proofErr w:type="spellEnd"/>
            <w:r w:rsidRPr="00FA285C">
              <w:rPr>
                <w:rFonts w:ascii="Verdana" w:hAnsi="Verdana" w:cs="Arial"/>
                <w:lang w:val="es-ES"/>
              </w:rPr>
              <w:t xml:space="preserve">) la base mínima de cotización es el cuarenta por ciento (40%) del valor mensualizado de ingresos o del contrato, </w:t>
            </w:r>
            <w:proofErr w:type="spellStart"/>
            <w:r w:rsidRPr="00FA285C">
              <w:rPr>
                <w:rFonts w:ascii="Verdana" w:hAnsi="Verdana" w:cs="Arial"/>
                <w:lang w:val="es-ES"/>
              </w:rPr>
              <w:t>iii</w:t>
            </w:r>
            <w:proofErr w:type="spellEnd"/>
            <w:r w:rsidRPr="00FA285C">
              <w:rPr>
                <w:rFonts w:ascii="Verdana" w:hAnsi="Verdana" w:cs="Arial"/>
                <w:lang w:val="es-ES"/>
              </w:rPr>
              <w:t xml:space="preserve">) la cotización se realizará mes vencido, y finalmente, </w:t>
            </w:r>
            <w:proofErr w:type="spellStart"/>
            <w:r w:rsidRPr="00FA285C">
              <w:rPr>
                <w:rFonts w:ascii="Verdana" w:hAnsi="Verdana" w:cs="Arial"/>
                <w:lang w:val="es-ES"/>
              </w:rPr>
              <w:t>iv</w:t>
            </w:r>
            <w:proofErr w:type="spellEnd"/>
            <w:r w:rsidRPr="00FA285C">
              <w:rPr>
                <w:rFonts w:ascii="Verdana" w:hAnsi="Verdana" w:cs="Arial"/>
                <w:lang w:val="es-ES"/>
              </w:rPr>
              <w:t xml:space="preserve">) el pago lo efectuará directamente el trabajador independiente. </w:t>
            </w:r>
          </w:p>
          <w:p w14:paraId="691F0A2F" w14:textId="71BAE6F5" w:rsidR="00500D81" w:rsidRPr="001941FD" w:rsidRDefault="00BB522E" w:rsidP="005A3D07">
            <w:pPr>
              <w:spacing w:after="120" w:line="276" w:lineRule="auto"/>
              <w:ind w:right="51" w:firstLine="737"/>
              <w:jc w:val="both"/>
              <w:rPr>
                <w:rFonts w:ascii="Verdana" w:eastAsia="Calibri" w:hAnsi="Verdana" w:cs="Arial"/>
                <w:bCs/>
                <w:color w:val="000000" w:themeColor="text1"/>
              </w:rPr>
            </w:pPr>
            <w:r>
              <w:rPr>
                <w:rStyle w:val="s15"/>
                <w:rFonts w:ascii="Verdana" w:hAnsi="Verdana"/>
                <w:color w:val="000000"/>
              </w:rPr>
              <w:t>Por último</w:t>
            </w:r>
            <w:r w:rsidR="00500D81">
              <w:rPr>
                <w:rStyle w:val="s15"/>
                <w:rFonts w:ascii="Verdana" w:hAnsi="Verdana"/>
                <w:color w:val="000000"/>
              </w:rPr>
              <w:t>,</w:t>
            </w:r>
            <w:r w:rsidR="00500D81" w:rsidRPr="001941FD">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la aclaración preliminar del present</w:t>
            </w:r>
            <w:r w:rsidR="00500D81">
              <w:rPr>
                <w:rStyle w:val="s15"/>
                <w:rFonts w:ascii="Verdana" w:hAnsi="Verdana"/>
                <w:color w:val="000000"/>
              </w:rPr>
              <w:t>e concepto</w:t>
            </w:r>
            <w:r w:rsidR="00500D81" w:rsidRPr="001941FD">
              <w:rPr>
                <w:rStyle w:val="s15"/>
                <w:rFonts w:ascii="Verdana" w:hAnsi="Verdana"/>
                <w:color w:val="000000"/>
              </w:rPr>
              <w:t>.</w:t>
            </w:r>
            <w:r w:rsidR="00500D81" w:rsidRPr="001941FD">
              <w:rPr>
                <w:rStyle w:val="apple-converted-space"/>
                <w:rFonts w:ascii="Verdana" w:hAnsi="Verdana"/>
                <w:color w:val="000000"/>
              </w:rPr>
              <w:t> </w:t>
            </w:r>
            <w:r w:rsidR="00500D81" w:rsidRPr="001941FD">
              <w:rPr>
                <w:rStyle w:val="s15"/>
                <w:rFonts w:ascii="Verdana" w:hAnsi="Verdana"/>
                <w:color w:val="000000"/>
              </w:rPr>
              <w:t>Por lo anterior, previo</w:t>
            </w:r>
            <w:r w:rsidR="00500D81" w:rsidRPr="001941FD">
              <w:rPr>
                <w:rStyle w:val="apple-converted-space"/>
                <w:rFonts w:ascii="Verdana" w:hAnsi="Verdana"/>
                <w:color w:val="000000"/>
              </w:rPr>
              <w:t> </w:t>
            </w:r>
            <w:r w:rsidR="00500D81"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w:t>
            </w:r>
            <w:r w:rsidR="001D35C1">
              <w:rPr>
                <w:rStyle w:val="s15"/>
                <w:rFonts w:ascii="Verdana" w:hAnsi="Verdana"/>
                <w:color w:val="000000"/>
              </w:rPr>
              <w:t xml:space="preserve"> </w:t>
            </w:r>
            <w:r w:rsidR="00500D81" w:rsidRPr="001941FD">
              <w:rPr>
                <w:rStyle w:val="s15"/>
                <w:rFonts w:ascii="Verdana" w:hAnsi="Verdana"/>
                <w:color w:val="000000"/>
              </w:rPr>
              <w:t>definirá la forma de adelantar su gestión contractual, sin que sea atribución de Colombia Compra Eficiente validar sus actuaciones.</w:t>
            </w:r>
          </w:p>
        </w:tc>
      </w:tr>
    </w:tbl>
    <w:p w14:paraId="50783FDE" w14:textId="77777777" w:rsidR="00500D81" w:rsidRPr="00593A5F" w:rsidRDefault="00500D81" w:rsidP="00500D81">
      <w:pPr>
        <w:tabs>
          <w:tab w:val="left" w:pos="142"/>
          <w:tab w:val="left" w:pos="284"/>
        </w:tabs>
        <w:spacing w:after="0" w:line="276" w:lineRule="auto"/>
        <w:jc w:val="both"/>
        <w:rPr>
          <w:rFonts w:ascii="Verdana" w:eastAsia="Century Gothic" w:hAnsi="Verdana" w:cs="Century Gothic"/>
          <w:b/>
          <w:bCs/>
          <w:lang w:val="es-ES"/>
        </w:rPr>
      </w:pPr>
    </w:p>
    <w:bookmarkEnd w:id="1"/>
    <w:p w14:paraId="30370263" w14:textId="7C699A17" w:rsidR="00500D81" w:rsidRPr="00593A5F" w:rsidRDefault="00500D81" w:rsidP="00500D8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3. </w:t>
      </w:r>
      <w:r w:rsidRPr="00593A5F">
        <w:rPr>
          <w:rFonts w:ascii="Verdana" w:eastAsia="Century Gothic" w:hAnsi="Verdana" w:cs="Century Gothic"/>
          <w:b/>
          <w:bCs/>
        </w:rPr>
        <w:t>Razones de la</w:t>
      </w:r>
      <w:r w:rsidR="009A10A4">
        <w:rPr>
          <w:rFonts w:ascii="Verdana" w:eastAsia="Century Gothic" w:hAnsi="Verdana" w:cs="Century Gothic"/>
          <w:b/>
          <w:bCs/>
        </w:rPr>
        <w:t xml:space="preserve"> </w:t>
      </w:r>
      <w:r w:rsidRPr="00593A5F">
        <w:rPr>
          <w:rFonts w:ascii="Verdana" w:eastAsia="Century Gothic" w:hAnsi="Verdana" w:cs="Century Gothic"/>
          <w:b/>
          <w:bCs/>
        </w:rPr>
        <w:t>respuesta:</w:t>
      </w:r>
    </w:p>
    <w:p w14:paraId="49636888" w14:textId="77777777" w:rsidR="00500D81" w:rsidRPr="00593A5F" w:rsidRDefault="00500D81" w:rsidP="00500D81">
      <w:pPr>
        <w:spacing w:after="0" w:line="276" w:lineRule="auto"/>
        <w:jc w:val="both"/>
        <w:rPr>
          <w:rFonts w:ascii="Verdana" w:eastAsia="Calibri" w:hAnsi="Verdana" w:cs="Arial"/>
          <w:color w:val="7030A0"/>
          <w:lang w:val="es-ES"/>
        </w:rPr>
      </w:pPr>
    </w:p>
    <w:p w14:paraId="05ADF7B6" w14:textId="77777777" w:rsidR="00500D81" w:rsidRDefault="00500D81" w:rsidP="00500D8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E04AD79" w14:textId="77777777" w:rsidR="00500D81" w:rsidRDefault="00500D81" w:rsidP="00500D81">
      <w:pPr>
        <w:spacing w:after="0" w:line="276" w:lineRule="auto"/>
        <w:jc w:val="both"/>
        <w:rPr>
          <w:rFonts w:ascii="Verdana" w:eastAsia="Calibri" w:hAnsi="Verdana" w:cs="Arial"/>
          <w:lang w:val="es-ES"/>
        </w:rPr>
      </w:pPr>
    </w:p>
    <w:p w14:paraId="147FE92E" w14:textId="77777777" w:rsidR="00500D81" w:rsidRPr="001F41BC" w:rsidRDefault="00500D81" w:rsidP="00500D81">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 xml:space="preserve">i. </w:t>
      </w:r>
      <w:r w:rsidRPr="001F41BC">
        <w:rPr>
          <w:rFonts w:ascii="Verdana" w:eastAsia="Arial" w:hAnsi="Verdana" w:cs="Arial"/>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reducción</w:t>
      </w:r>
      <w:r w:rsidRPr="001F41BC">
        <w:rPr>
          <w:rFonts w:ascii="Verdana" w:eastAsia="Arial" w:hAnsi="Verdana" w:cs="Arial"/>
          <w:spacing w:val="-6"/>
          <w:lang w:val="es-ES"/>
        </w:rPr>
        <w:t xml:space="preserve"> </w:t>
      </w:r>
      <w:r w:rsidRPr="001F41BC">
        <w:rPr>
          <w:rFonts w:ascii="Verdana" w:eastAsia="Arial" w:hAnsi="Verdana" w:cs="Arial"/>
          <w:lang w:val="es-ES"/>
        </w:rPr>
        <w:t>o</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pérdida</w:t>
      </w:r>
      <w:r w:rsidRPr="001F41BC">
        <w:rPr>
          <w:rFonts w:ascii="Verdana" w:eastAsia="Arial" w:hAnsi="Verdana" w:cs="Arial"/>
          <w:spacing w:val="-4"/>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los</w:t>
      </w:r>
      <w:r w:rsidRPr="001F41BC">
        <w:rPr>
          <w:rFonts w:ascii="Verdana" w:eastAsia="Arial" w:hAnsi="Verdana" w:cs="Arial"/>
          <w:spacing w:val="-5"/>
          <w:lang w:val="es-ES"/>
        </w:rPr>
        <w:t xml:space="preserve"> </w:t>
      </w:r>
      <w:r w:rsidRPr="001F41BC">
        <w:rPr>
          <w:rFonts w:ascii="Verdana" w:eastAsia="Arial" w:hAnsi="Verdana" w:cs="Arial"/>
          <w:lang w:val="es-ES"/>
        </w:rPr>
        <w:t>ingresos</w:t>
      </w:r>
      <w:r w:rsidRPr="001F41BC">
        <w:rPr>
          <w:rFonts w:ascii="Verdana" w:eastAsia="Arial" w:hAnsi="Verdana" w:cs="Arial"/>
          <w:spacing w:val="-4"/>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causa</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contingencias</w:t>
      </w:r>
      <w:r w:rsidRPr="001F41BC">
        <w:rPr>
          <w:rFonts w:ascii="Verdana" w:eastAsia="Arial" w:hAnsi="Verdana" w:cs="Arial"/>
          <w:spacing w:val="-5"/>
          <w:lang w:val="es-ES"/>
        </w:rPr>
        <w:t xml:space="preserve"> </w:t>
      </w:r>
      <w:r w:rsidRPr="001F41BC">
        <w:rPr>
          <w:rFonts w:ascii="Verdana" w:eastAsia="Arial" w:hAnsi="Verdana" w:cs="Arial"/>
          <w:lang w:val="es-ES"/>
        </w:rPr>
        <w:t>como</w:t>
      </w:r>
      <w:r w:rsidRPr="001F41BC">
        <w:rPr>
          <w:rFonts w:ascii="Verdana" w:eastAsia="Arial" w:hAnsi="Verdana" w:cs="Arial"/>
          <w:spacing w:val="-6"/>
          <w:lang w:val="es-ES"/>
        </w:rPr>
        <w:t xml:space="preserve"> </w:t>
      </w:r>
      <w:r w:rsidRPr="001F41BC">
        <w:rPr>
          <w:rFonts w:ascii="Verdana" w:eastAsia="Arial" w:hAnsi="Verdana" w:cs="Arial"/>
          <w:lang w:val="es-ES"/>
        </w:rPr>
        <w:t>la enfermedad,</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accidentes,</w:t>
      </w:r>
      <w:r w:rsidRPr="001F41BC">
        <w:rPr>
          <w:rFonts w:ascii="Verdana" w:eastAsia="Arial" w:hAnsi="Verdana" w:cs="Arial"/>
          <w:spacing w:val="-8"/>
          <w:lang w:val="es-ES"/>
        </w:rPr>
        <w:t xml:space="preserve"> </w:t>
      </w:r>
      <w:r w:rsidRPr="001F41BC">
        <w:rPr>
          <w:rFonts w:ascii="Verdana" w:eastAsia="Arial" w:hAnsi="Verdana" w:cs="Arial"/>
          <w:lang w:val="es-ES"/>
        </w:rPr>
        <w:t>la</w:t>
      </w:r>
      <w:r w:rsidRPr="001F41BC">
        <w:rPr>
          <w:rFonts w:ascii="Verdana" w:eastAsia="Arial" w:hAnsi="Verdana" w:cs="Arial"/>
          <w:spacing w:val="-8"/>
          <w:lang w:val="es-ES"/>
        </w:rPr>
        <w:t xml:space="preserve"> </w:t>
      </w:r>
      <w:r w:rsidRPr="001F41BC">
        <w:rPr>
          <w:rFonts w:ascii="Verdana" w:eastAsia="Arial" w:hAnsi="Verdana" w:cs="Arial"/>
          <w:lang w:val="es-ES"/>
        </w:rPr>
        <w:t>maternidad</w:t>
      </w:r>
      <w:r w:rsidRPr="001F41BC">
        <w:rPr>
          <w:rFonts w:ascii="Verdana" w:eastAsia="Arial" w:hAnsi="Verdana" w:cs="Arial"/>
          <w:spacing w:val="-7"/>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desempleo,</w:t>
      </w:r>
      <w:r w:rsidRPr="001F41BC">
        <w:rPr>
          <w:rFonts w:ascii="Verdana" w:eastAsia="Arial" w:hAnsi="Verdana" w:cs="Arial"/>
          <w:spacing w:val="-8"/>
          <w:lang w:val="es-ES"/>
        </w:rPr>
        <w:t xml:space="preserve"> </w:t>
      </w:r>
      <w:r w:rsidRPr="001F41BC">
        <w:rPr>
          <w:rFonts w:ascii="Verdana" w:eastAsia="Arial" w:hAnsi="Verdana" w:cs="Arial"/>
          <w:lang w:val="es-ES"/>
        </w:rPr>
        <w:t>entre</w:t>
      </w:r>
      <w:r w:rsidRPr="001F41BC">
        <w:rPr>
          <w:rFonts w:ascii="Verdana" w:eastAsia="Arial" w:hAnsi="Verdana" w:cs="Arial"/>
          <w:spacing w:val="-8"/>
          <w:lang w:val="es-ES"/>
        </w:rPr>
        <w:t xml:space="preserve"> </w:t>
      </w:r>
      <w:r w:rsidRPr="001F41BC">
        <w:rPr>
          <w:rFonts w:ascii="Verdana" w:eastAsia="Arial" w:hAnsi="Verdana" w:cs="Arial"/>
          <w:lang w:val="es-ES"/>
        </w:rPr>
        <w:t>otras.</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 la Ley 100 de 1993,</w:t>
      </w:r>
      <w:r>
        <w:rPr>
          <w:rFonts w:ascii="Verdana" w:eastAsia="Arial" w:hAnsi="Verdana" w:cs="Arial"/>
          <w:lang w:val="es-ES"/>
        </w:rPr>
        <w:t xml:space="preserve"> modificada en lo pertinente por la Ley 2381 de 2024,</w:t>
      </w:r>
      <w:r w:rsidRPr="001F41BC">
        <w:rPr>
          <w:rFonts w:ascii="Verdana" w:eastAsia="Arial" w:hAnsi="Verdana" w:cs="Arial"/>
          <w:lang w:val="es-ES"/>
        </w:rPr>
        <w:t xml:space="preserve"> el Sistema de Seguridad Social Integral en Colombia se</w:t>
      </w:r>
      <w:r w:rsidRPr="001F41BC">
        <w:rPr>
          <w:rFonts w:ascii="Verdana" w:eastAsia="Arial" w:hAnsi="Verdana" w:cs="Arial"/>
          <w:spacing w:val="59"/>
          <w:lang w:val="es-ES"/>
        </w:rPr>
        <w:t xml:space="preserve"> </w:t>
      </w:r>
      <w:r w:rsidRPr="001F41BC">
        <w:rPr>
          <w:rFonts w:ascii="Verdana" w:eastAsia="Arial" w:hAnsi="Verdana" w:cs="Arial"/>
          <w:lang w:val="es-ES"/>
        </w:rPr>
        <w:t>compone de</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sistemas</w:t>
      </w:r>
      <w:r w:rsidRPr="001F41BC">
        <w:rPr>
          <w:rFonts w:ascii="Verdana" w:eastAsia="Arial" w:hAnsi="Verdana" w:cs="Arial"/>
          <w:spacing w:val="-10"/>
          <w:lang w:val="es-ES"/>
        </w:rPr>
        <w:t xml:space="preserve"> </w:t>
      </w:r>
      <w:r w:rsidRPr="001F41BC">
        <w:rPr>
          <w:rFonts w:ascii="Verdana" w:eastAsia="Arial" w:hAnsi="Verdana" w:cs="Arial"/>
          <w:lang w:val="es-ES"/>
        </w:rPr>
        <w:t>de protección social integral para la vejez, invalidez y muerte de origen común,</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salud</w:t>
      </w:r>
      <w:r w:rsidRPr="001F41BC">
        <w:rPr>
          <w:rFonts w:ascii="Verdana" w:eastAsia="Arial" w:hAnsi="Verdana" w:cs="Arial"/>
          <w:spacing w:val="-11"/>
          <w:lang w:val="es-ES"/>
        </w:rPr>
        <w:t xml:space="preserve"> </w:t>
      </w:r>
      <w:r w:rsidRPr="001F41BC">
        <w:rPr>
          <w:rFonts w:ascii="Verdana" w:eastAsia="Arial" w:hAnsi="Verdana" w:cs="Arial"/>
          <w:lang w:val="es-ES"/>
        </w:rPr>
        <w:t>y</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riesgos</w:t>
      </w:r>
      <w:r w:rsidRPr="001F41BC">
        <w:rPr>
          <w:rFonts w:ascii="Verdana" w:eastAsia="Arial" w:hAnsi="Verdana" w:cs="Arial"/>
          <w:spacing w:val="-11"/>
          <w:lang w:val="es-ES"/>
        </w:rPr>
        <w:t xml:space="preserve"> </w:t>
      </w:r>
      <w:r w:rsidRPr="001F41BC">
        <w:rPr>
          <w:rFonts w:ascii="Verdana" w:eastAsia="Arial" w:hAnsi="Verdana" w:cs="Arial"/>
          <w:lang w:val="es-ES"/>
        </w:rPr>
        <w:t>laborales</w:t>
      </w:r>
      <w:r>
        <w:rPr>
          <w:rFonts w:ascii="Verdana" w:eastAsia="Arial" w:hAnsi="Verdana" w:cs="Arial"/>
          <w:spacing w:val="-11"/>
          <w:lang w:val="es-ES"/>
        </w:rPr>
        <w:t>, así como</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servicios</w:t>
      </w:r>
      <w:r w:rsidRPr="001F41BC">
        <w:rPr>
          <w:rFonts w:ascii="Verdana" w:eastAsia="Arial" w:hAnsi="Verdana" w:cs="Arial"/>
          <w:spacing w:val="-10"/>
          <w:lang w:val="es-ES"/>
        </w:rPr>
        <w:t xml:space="preserve"> </w:t>
      </w:r>
      <w:r w:rsidRPr="001F41BC">
        <w:rPr>
          <w:rFonts w:ascii="Verdana" w:eastAsia="Arial" w:hAnsi="Verdana" w:cs="Arial"/>
          <w:lang w:val="es-ES"/>
        </w:rPr>
        <w:t>sociales complementarios.</w:t>
      </w:r>
    </w:p>
    <w:p w14:paraId="0A2144AF" w14:textId="77777777" w:rsidR="00500D81" w:rsidRPr="001F41BC" w:rsidRDefault="00500D81" w:rsidP="00500D81">
      <w:pPr>
        <w:widowControl w:val="0"/>
        <w:autoSpaceDE w:val="0"/>
        <w:autoSpaceDN w:val="0"/>
        <w:spacing w:line="276" w:lineRule="auto"/>
        <w:jc w:val="both"/>
        <w:rPr>
          <w:rFonts w:ascii="Verdana" w:eastAsia="Arial" w:hAnsi="Verdana" w:cs="Arial"/>
          <w:lang w:val="es-ES"/>
        </w:rPr>
      </w:pPr>
      <w:r w:rsidRPr="001F41BC">
        <w:rPr>
          <w:rFonts w:ascii="Verdana" w:eastAsia="Arial" w:hAnsi="Verdana" w:cs="Arial"/>
          <w:lang w:val="es-ES"/>
        </w:rPr>
        <w:lastRenderedPageBreak/>
        <w:tab/>
        <w:t>En materia de contratación estatal, el texto original del artículo 41 de la Ley 80 de 1993 dispuso que los requisitos para perfeccionar</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contrato</w:t>
      </w:r>
      <w:r w:rsidRPr="001F41BC">
        <w:rPr>
          <w:rFonts w:ascii="Verdana" w:eastAsia="Arial" w:hAnsi="Verdana" w:cs="Arial"/>
          <w:spacing w:val="-7"/>
          <w:lang w:val="es-ES"/>
        </w:rPr>
        <w:t xml:space="preserve"> </w:t>
      </w:r>
      <w:r w:rsidRPr="001F41BC">
        <w:rPr>
          <w:rFonts w:ascii="Verdana" w:eastAsia="Arial" w:hAnsi="Verdana" w:cs="Arial"/>
          <w:lang w:val="es-ES"/>
        </w:rPr>
        <w:t>son:</w:t>
      </w:r>
      <w:r w:rsidRPr="001F41BC">
        <w:rPr>
          <w:rFonts w:ascii="Verdana" w:eastAsia="Arial" w:hAnsi="Verdana" w:cs="Arial"/>
          <w:spacing w:val="-7"/>
          <w:lang w:val="es-ES"/>
        </w:rPr>
        <w:t xml:space="preserve"> </w:t>
      </w:r>
      <w:r w:rsidRPr="001F41BC">
        <w:rPr>
          <w:rFonts w:ascii="Verdana" w:eastAsia="Arial" w:hAnsi="Verdana" w:cs="Arial"/>
          <w:lang w:val="es-ES"/>
        </w:rPr>
        <w:t>i)</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acuerdo</w:t>
      </w:r>
      <w:r w:rsidRPr="001F41BC">
        <w:rPr>
          <w:rFonts w:ascii="Verdana" w:eastAsia="Arial" w:hAnsi="Verdana" w:cs="Arial"/>
          <w:spacing w:val="-6"/>
          <w:lang w:val="es-ES"/>
        </w:rPr>
        <w:t xml:space="preserve"> </w:t>
      </w:r>
      <w:r w:rsidRPr="001F41BC">
        <w:rPr>
          <w:rFonts w:ascii="Verdana" w:eastAsia="Arial" w:hAnsi="Verdana" w:cs="Arial"/>
          <w:lang w:val="es-ES"/>
        </w:rPr>
        <w:t>sobre</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7"/>
          <w:lang w:val="es-ES"/>
        </w:rPr>
        <w:t xml:space="preserve"> </w:t>
      </w:r>
      <w:r w:rsidRPr="001F41BC">
        <w:rPr>
          <w:rFonts w:ascii="Verdana" w:eastAsia="Arial" w:hAnsi="Verdana" w:cs="Arial"/>
          <w:lang w:val="es-ES"/>
        </w:rPr>
        <w:t>y</w:t>
      </w:r>
      <w:r w:rsidRPr="001F41BC">
        <w:rPr>
          <w:rFonts w:ascii="Verdana" w:eastAsia="Arial" w:hAnsi="Verdana" w:cs="Arial"/>
          <w:spacing w:val="-7"/>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 xml:space="preserve">contraprestación, y </w:t>
      </w:r>
      <w:proofErr w:type="spellStart"/>
      <w:r w:rsidRPr="001F41BC">
        <w:rPr>
          <w:rFonts w:ascii="Verdana" w:eastAsia="Arial" w:hAnsi="Verdana" w:cs="Arial"/>
          <w:lang w:val="es-ES"/>
        </w:rPr>
        <w:t>ii</w:t>
      </w:r>
      <w:proofErr w:type="spellEnd"/>
      <w:r w:rsidRPr="001F41BC">
        <w:rPr>
          <w:rFonts w:ascii="Verdana" w:eastAsia="Arial" w:hAnsi="Verdana" w:cs="Arial"/>
          <w:lang w:val="es-ES"/>
        </w:rPr>
        <w:t>) que conste por escrito. Por su parte, para iniciar la ejecución se requiere: i) la constitución</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7"/>
          <w:lang w:val="es-ES"/>
        </w:rPr>
        <w:t xml:space="preserve"> </w:t>
      </w:r>
      <w:r w:rsidRPr="001F41BC">
        <w:rPr>
          <w:rFonts w:ascii="Verdana" w:eastAsia="Arial" w:hAnsi="Verdana" w:cs="Arial"/>
          <w:lang w:val="es-ES"/>
        </w:rPr>
        <w:t>aprobación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garantía</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6"/>
          <w:lang w:val="es-ES"/>
        </w:rPr>
        <w:t xml:space="preserve"> </w:t>
      </w:r>
      <w:proofErr w:type="spellStart"/>
      <w:r w:rsidRPr="001F41BC">
        <w:rPr>
          <w:rFonts w:ascii="Verdana" w:eastAsia="Arial" w:hAnsi="Verdana" w:cs="Arial"/>
          <w:lang w:val="es-ES"/>
        </w:rPr>
        <w:t>ii</w:t>
      </w:r>
      <w:proofErr w:type="spellEnd"/>
      <w:r w:rsidRPr="001F41BC">
        <w:rPr>
          <w:rFonts w:ascii="Verdana" w:eastAsia="Arial" w:hAnsi="Verdana" w:cs="Arial"/>
          <w:lang w:val="es-ES"/>
        </w:rPr>
        <w:t>)</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existencia</w:t>
      </w:r>
      <w:r w:rsidRPr="001F41BC">
        <w:rPr>
          <w:rFonts w:ascii="Verdana" w:eastAsia="Arial" w:hAnsi="Verdana" w:cs="Arial"/>
          <w:spacing w:val="-16"/>
          <w:lang w:val="es-ES"/>
        </w:rPr>
        <w:t xml:space="preserve"> </w:t>
      </w:r>
      <w:r w:rsidRPr="001F41BC">
        <w:rPr>
          <w:rFonts w:ascii="Verdana" w:eastAsia="Arial" w:hAnsi="Verdana" w:cs="Arial"/>
          <w:lang w:val="es-ES"/>
        </w:rPr>
        <w:t>del</w:t>
      </w:r>
      <w:r w:rsidRPr="001F41BC">
        <w:rPr>
          <w:rFonts w:ascii="Verdana" w:eastAsia="Arial" w:hAnsi="Verdana" w:cs="Arial"/>
          <w:spacing w:val="-16"/>
          <w:lang w:val="es-ES"/>
        </w:rPr>
        <w:t xml:space="preserve"> </w:t>
      </w:r>
      <w:r w:rsidRPr="001F41BC">
        <w:rPr>
          <w:rFonts w:ascii="Verdana" w:eastAsia="Arial" w:hAnsi="Verdana" w:cs="Arial"/>
          <w:lang w:val="es-ES"/>
        </w:rPr>
        <w:t>registro</w:t>
      </w:r>
      <w:r w:rsidRPr="001F41BC">
        <w:rPr>
          <w:rFonts w:ascii="Verdana" w:eastAsia="Arial" w:hAnsi="Verdana" w:cs="Arial"/>
          <w:spacing w:val="-16"/>
          <w:lang w:val="es-ES"/>
        </w:rPr>
        <w:t xml:space="preserve"> </w:t>
      </w:r>
      <w:r w:rsidRPr="001F41BC">
        <w:rPr>
          <w:rFonts w:ascii="Verdana" w:eastAsia="Arial" w:hAnsi="Verdana" w:cs="Arial"/>
          <w:lang w:val="es-ES"/>
        </w:rPr>
        <w:t>presupuestal,</w:t>
      </w:r>
      <w:r w:rsidRPr="001F41BC">
        <w:rPr>
          <w:rFonts w:ascii="Verdana" w:eastAsia="Arial" w:hAnsi="Verdana" w:cs="Arial"/>
          <w:spacing w:val="-16"/>
          <w:lang w:val="es-ES"/>
        </w:rPr>
        <w:t xml:space="preserve"> </w:t>
      </w:r>
      <w:r w:rsidRPr="001F41BC">
        <w:rPr>
          <w:rFonts w:ascii="Verdana" w:eastAsia="Arial" w:hAnsi="Verdana" w:cs="Arial"/>
          <w:lang w:val="es-ES"/>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1F41BC">
        <w:rPr>
          <w:rFonts w:ascii="Verdana" w:eastAsia="Arial" w:hAnsi="Verdana" w:cs="Arial"/>
          <w:spacing w:val="-26"/>
          <w:lang w:val="es-ES"/>
        </w:rPr>
        <w:t xml:space="preserve"> </w:t>
      </w:r>
      <w:r w:rsidRPr="001F41BC">
        <w:rPr>
          <w:rFonts w:ascii="Verdana" w:eastAsia="Arial" w:hAnsi="Verdana" w:cs="Arial"/>
          <w:lang w:val="es-ES"/>
        </w:rPr>
        <w:t>Integral.</w:t>
      </w:r>
    </w:p>
    <w:p w14:paraId="39549F2D" w14:textId="77777777" w:rsidR="00500D81" w:rsidRPr="001F41BC" w:rsidRDefault="00500D81" w:rsidP="00500D81">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Por su parte, el artículo 50 de la</w:t>
      </w:r>
      <w:r w:rsidRPr="001F41BC">
        <w:rPr>
          <w:rFonts w:ascii="Verdana" w:eastAsia="Arial" w:hAnsi="Verdana" w:cs="Arial"/>
          <w:spacing w:val="-17"/>
          <w:lang w:val="es-ES"/>
        </w:rPr>
        <w:t xml:space="preserve"> </w:t>
      </w:r>
      <w:r w:rsidRPr="001F41BC">
        <w:rPr>
          <w:rFonts w:ascii="Verdana" w:eastAsia="Arial" w:hAnsi="Verdana" w:cs="Arial"/>
          <w:lang w:val="es-ES"/>
        </w:rPr>
        <w:t>Ley</w:t>
      </w:r>
      <w:r w:rsidRPr="001F41BC">
        <w:rPr>
          <w:rFonts w:ascii="Verdana" w:eastAsia="Arial" w:hAnsi="Verdana" w:cs="Arial"/>
          <w:spacing w:val="-16"/>
          <w:lang w:val="es-ES"/>
        </w:rPr>
        <w:t xml:space="preserve"> </w:t>
      </w:r>
      <w:r w:rsidRPr="001F41BC">
        <w:rPr>
          <w:rFonts w:ascii="Verdana" w:eastAsia="Arial" w:hAnsi="Verdana" w:cs="Arial"/>
          <w:lang w:val="es-ES"/>
        </w:rPr>
        <w:t>789</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2002</w:t>
      </w:r>
      <w:r w:rsidRPr="001F41BC">
        <w:rPr>
          <w:rFonts w:ascii="Verdana" w:eastAsia="Arial" w:hAnsi="Verdana" w:cs="Arial"/>
          <w:spacing w:val="-16"/>
          <w:lang w:val="es-ES"/>
        </w:rPr>
        <w:t xml:space="preserve"> </w:t>
      </w:r>
      <w:r w:rsidRPr="001F41BC">
        <w:rPr>
          <w:rFonts w:ascii="Verdana" w:eastAsia="Arial" w:hAnsi="Verdana" w:cs="Arial"/>
          <w:lang w:val="es-ES"/>
        </w:rPr>
        <w:t>dispuso como</w:t>
      </w:r>
      <w:r w:rsidRPr="001F41BC">
        <w:rPr>
          <w:rFonts w:ascii="Verdana" w:eastAsia="Arial" w:hAnsi="Verdana" w:cs="Arial"/>
          <w:spacing w:val="-16"/>
          <w:lang w:val="es-ES"/>
        </w:rPr>
        <w:t xml:space="preserve"> </w:t>
      </w:r>
      <w:r w:rsidRPr="001F41BC">
        <w:rPr>
          <w:rFonts w:ascii="Verdana" w:eastAsia="Arial" w:hAnsi="Verdana" w:cs="Arial"/>
          <w:lang w:val="es-ES"/>
        </w:rPr>
        <w:t>obligación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quien</w:t>
      </w:r>
      <w:r w:rsidRPr="001F41BC">
        <w:rPr>
          <w:rFonts w:ascii="Verdana" w:eastAsia="Arial" w:hAnsi="Verdana" w:cs="Arial"/>
          <w:spacing w:val="-17"/>
          <w:lang w:val="es-ES"/>
        </w:rPr>
        <w:t xml:space="preserve"> </w:t>
      </w:r>
      <w:r w:rsidRPr="001F41BC">
        <w:rPr>
          <w:rFonts w:ascii="Verdana" w:eastAsia="Arial" w:hAnsi="Verdana" w:cs="Arial"/>
          <w:lang w:val="es-ES"/>
        </w:rPr>
        <w:t xml:space="preserve">quiere </w:t>
      </w:r>
      <w:r w:rsidRPr="001F41BC">
        <w:rPr>
          <w:rFonts w:ascii="Verdana" w:eastAsia="Arial" w:hAnsi="Verdana" w:cs="Arial"/>
          <w:i/>
          <w:iCs/>
          <w:lang w:val="es-ES"/>
        </w:rPr>
        <w:t>celebrar, renovar o liquidar</w:t>
      </w:r>
      <w:r w:rsidRPr="001F41BC">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F41BC">
        <w:rPr>
          <w:rFonts w:ascii="Verdana" w:eastAsia="Arial" w:hAnsi="Verdana" w:cs="Arial"/>
          <w:i/>
          <w:iCs/>
          <w:lang w:val="es-ES"/>
        </w:rPr>
        <w:t>liquidar</w:t>
      </w:r>
      <w:r w:rsidRPr="001F41BC">
        <w:rPr>
          <w:rFonts w:ascii="Verdana" w:eastAsia="Arial" w:hAnsi="Verdana" w:cs="Arial"/>
          <w:lang w:val="es-ES"/>
        </w:rPr>
        <w:t xml:space="preserve"> los contratos, para verificar y dejar constancia del cumplimiento de las obligaciones del contratista frente a los aportes mencionados durante</w:t>
      </w:r>
      <w:r w:rsidRPr="001F41BC">
        <w:rPr>
          <w:rFonts w:ascii="Verdana" w:eastAsia="Arial" w:hAnsi="Verdana" w:cs="Arial"/>
          <w:spacing w:val="-5"/>
          <w:lang w:val="es-ES"/>
        </w:rPr>
        <w:t xml:space="preserve"> </w:t>
      </w:r>
      <w:r w:rsidRPr="001F41BC">
        <w:rPr>
          <w:rFonts w:ascii="Verdana" w:eastAsia="Arial" w:hAnsi="Verdana" w:cs="Arial"/>
          <w:lang w:val="es-ES"/>
        </w:rPr>
        <w:t>toda</w:t>
      </w:r>
      <w:r w:rsidRPr="001F41BC">
        <w:rPr>
          <w:rFonts w:ascii="Verdana" w:eastAsia="Arial" w:hAnsi="Verdana" w:cs="Arial"/>
          <w:spacing w:val="-4"/>
          <w:lang w:val="es-ES"/>
        </w:rPr>
        <w:t xml:space="preserve"> </w:t>
      </w:r>
      <w:r w:rsidRPr="001F41BC">
        <w:rPr>
          <w:rFonts w:ascii="Verdana" w:eastAsia="Arial" w:hAnsi="Verdana" w:cs="Arial"/>
          <w:lang w:val="es-ES"/>
        </w:rPr>
        <w:t>su</w:t>
      </w:r>
      <w:r w:rsidRPr="001F41BC">
        <w:rPr>
          <w:rFonts w:ascii="Verdana" w:eastAsia="Arial" w:hAnsi="Verdana" w:cs="Arial"/>
          <w:spacing w:val="-5"/>
          <w:lang w:val="es-ES"/>
        </w:rPr>
        <w:t xml:space="preserve"> </w:t>
      </w:r>
      <w:r w:rsidRPr="001F41BC">
        <w:rPr>
          <w:rFonts w:ascii="Verdana" w:eastAsia="Arial" w:hAnsi="Verdana" w:cs="Arial"/>
          <w:lang w:val="es-ES"/>
        </w:rPr>
        <w:t>vigencia,</w:t>
      </w:r>
      <w:r w:rsidRPr="001F41BC">
        <w:rPr>
          <w:rFonts w:ascii="Verdana" w:eastAsia="Arial" w:hAnsi="Verdana" w:cs="Arial"/>
          <w:spacing w:val="-4"/>
          <w:lang w:val="es-ES"/>
        </w:rPr>
        <w:t xml:space="preserve"> </w:t>
      </w:r>
      <w:r w:rsidRPr="001F41BC">
        <w:rPr>
          <w:rFonts w:ascii="Verdana" w:eastAsia="Arial" w:hAnsi="Verdana" w:cs="Arial"/>
          <w:lang w:val="es-ES"/>
        </w:rPr>
        <w:t>estableciendo</w:t>
      </w:r>
      <w:r w:rsidRPr="001F41BC">
        <w:rPr>
          <w:rFonts w:ascii="Verdana" w:eastAsia="Arial" w:hAnsi="Verdana" w:cs="Arial"/>
          <w:spacing w:val="-5"/>
          <w:lang w:val="es-ES"/>
        </w:rPr>
        <w:t xml:space="preserve"> </w:t>
      </w:r>
      <w:r w:rsidRPr="001F41BC">
        <w:rPr>
          <w:rFonts w:ascii="Verdana" w:eastAsia="Arial" w:hAnsi="Verdana" w:cs="Arial"/>
          <w:lang w:val="es-ES"/>
        </w:rPr>
        <w:t>una</w:t>
      </w:r>
      <w:r w:rsidRPr="001F41BC">
        <w:rPr>
          <w:rFonts w:ascii="Verdana" w:eastAsia="Arial" w:hAnsi="Verdana" w:cs="Arial"/>
          <w:spacing w:val="-4"/>
          <w:lang w:val="es-ES"/>
        </w:rPr>
        <w:t xml:space="preserve"> </w:t>
      </w:r>
      <w:r w:rsidRPr="001F41BC">
        <w:rPr>
          <w:rFonts w:ascii="Verdana" w:eastAsia="Arial" w:hAnsi="Verdana" w:cs="Arial"/>
          <w:lang w:val="es-ES"/>
        </w:rPr>
        <w:t>correcta</w:t>
      </w:r>
      <w:r w:rsidRPr="001F41BC">
        <w:rPr>
          <w:rFonts w:ascii="Verdana" w:eastAsia="Arial" w:hAnsi="Verdana" w:cs="Arial"/>
          <w:spacing w:val="-4"/>
          <w:lang w:val="es-ES"/>
        </w:rPr>
        <w:t xml:space="preserve"> </w:t>
      </w:r>
      <w:r w:rsidRPr="001F41BC">
        <w:rPr>
          <w:rFonts w:ascii="Verdana" w:eastAsia="Arial" w:hAnsi="Verdana" w:cs="Arial"/>
          <w:lang w:val="es-ES"/>
        </w:rPr>
        <w:t>relación</w:t>
      </w:r>
      <w:r w:rsidRPr="001F41BC">
        <w:rPr>
          <w:rFonts w:ascii="Verdana" w:eastAsia="Arial" w:hAnsi="Verdana" w:cs="Arial"/>
          <w:spacing w:val="-5"/>
          <w:lang w:val="es-ES"/>
        </w:rPr>
        <w:t xml:space="preserve"> </w:t>
      </w:r>
      <w:r w:rsidRPr="001F41BC">
        <w:rPr>
          <w:rFonts w:ascii="Verdana" w:eastAsia="Arial" w:hAnsi="Verdana" w:cs="Arial"/>
          <w:lang w:val="es-ES"/>
        </w:rPr>
        <w:t>entre</w:t>
      </w:r>
      <w:r w:rsidRPr="001F41BC">
        <w:rPr>
          <w:rFonts w:ascii="Verdana" w:eastAsia="Arial" w:hAnsi="Verdana" w:cs="Arial"/>
          <w:spacing w:val="-4"/>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monto</w:t>
      </w:r>
      <w:r w:rsidRPr="001F41BC">
        <w:rPr>
          <w:rFonts w:ascii="Verdana" w:eastAsia="Arial" w:hAnsi="Verdana" w:cs="Arial"/>
          <w:spacing w:val="-4"/>
          <w:lang w:val="es-ES"/>
        </w:rPr>
        <w:t xml:space="preserve"> </w:t>
      </w:r>
      <w:r w:rsidRPr="001F41BC">
        <w:rPr>
          <w:rFonts w:ascii="Verdana" w:eastAsia="Arial" w:hAnsi="Verdana" w:cs="Arial"/>
          <w:lang w:val="es-ES"/>
        </w:rPr>
        <w:t>cancelado y las sumas que debió</w:t>
      </w:r>
      <w:r w:rsidRPr="001F41BC">
        <w:rPr>
          <w:rFonts w:ascii="Verdana" w:eastAsia="Arial" w:hAnsi="Verdana" w:cs="Arial"/>
          <w:spacing w:val="-6"/>
          <w:lang w:val="es-ES"/>
        </w:rPr>
        <w:t xml:space="preserve"> </w:t>
      </w:r>
      <w:r w:rsidRPr="001F41BC">
        <w:rPr>
          <w:rFonts w:ascii="Verdana" w:eastAsia="Arial" w:hAnsi="Verdana" w:cs="Arial"/>
          <w:lang w:val="es-ES"/>
        </w:rPr>
        <w:t>cotizar</w:t>
      </w:r>
      <w:r w:rsidRPr="001F41BC">
        <w:rPr>
          <w:rStyle w:val="Refdenotaalpie"/>
          <w:rFonts w:ascii="Verdana" w:eastAsia="Arial" w:hAnsi="Verdana" w:cs="Arial"/>
          <w:lang w:val="es-ES"/>
        </w:rPr>
        <w:footnoteReference w:id="1"/>
      </w:r>
      <w:r w:rsidRPr="001F41BC">
        <w:rPr>
          <w:rFonts w:ascii="Verdana" w:eastAsia="Arial" w:hAnsi="Verdana" w:cs="Arial"/>
          <w:lang w:val="es-ES"/>
        </w:rPr>
        <w:t>.</w:t>
      </w:r>
    </w:p>
    <w:p w14:paraId="7E6B64A0" w14:textId="77777777" w:rsidR="00500D81" w:rsidRPr="001F41BC" w:rsidRDefault="00500D81" w:rsidP="00500D81">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lastRenderedPageBreak/>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1F41BC">
        <w:rPr>
          <w:rFonts w:ascii="Verdana" w:eastAsia="Arial" w:hAnsi="Verdana" w:cs="Arial"/>
          <w:spacing w:val="-10"/>
          <w:lang w:val="es-ES"/>
        </w:rPr>
        <w:t xml:space="preserve"> </w:t>
      </w:r>
      <w:r w:rsidRPr="001F41BC">
        <w:rPr>
          <w:rFonts w:ascii="Verdana" w:eastAsia="Arial" w:hAnsi="Verdana" w:cs="Arial"/>
          <w:i/>
          <w:iCs/>
          <w:lang w:val="es-ES"/>
        </w:rPr>
        <w:t>para</w:t>
      </w:r>
      <w:r w:rsidRPr="001F41BC">
        <w:rPr>
          <w:rFonts w:ascii="Verdana" w:eastAsia="Arial" w:hAnsi="Verdana" w:cs="Arial"/>
          <w:i/>
          <w:iCs/>
          <w:spacing w:val="-10"/>
          <w:lang w:val="es-ES"/>
        </w:rPr>
        <w:t xml:space="preserve"> </w:t>
      </w:r>
      <w:r w:rsidRPr="001F41BC">
        <w:rPr>
          <w:rFonts w:ascii="Verdana" w:eastAsia="Arial" w:hAnsi="Verdana" w:cs="Arial"/>
          <w:i/>
          <w:iCs/>
          <w:lang w:val="es-ES"/>
        </w:rPr>
        <w:t>presentar</w:t>
      </w:r>
      <w:r w:rsidRPr="001F41BC">
        <w:rPr>
          <w:rFonts w:ascii="Verdana" w:eastAsia="Arial" w:hAnsi="Verdana" w:cs="Arial"/>
          <w:i/>
          <w:iCs/>
          <w:spacing w:val="-10"/>
          <w:lang w:val="es-ES"/>
        </w:rPr>
        <w:t xml:space="preserve"> </w:t>
      </w:r>
      <w:r w:rsidRPr="001F41BC">
        <w:rPr>
          <w:rFonts w:ascii="Verdana" w:eastAsia="Arial" w:hAnsi="Verdana" w:cs="Arial"/>
          <w:i/>
          <w:iCs/>
          <w:lang w:val="es-ES"/>
        </w:rPr>
        <w:t>la</w:t>
      </w:r>
      <w:r w:rsidRPr="001F41BC">
        <w:rPr>
          <w:rFonts w:ascii="Verdana" w:eastAsia="Arial" w:hAnsi="Verdana" w:cs="Arial"/>
          <w:i/>
          <w:iCs/>
          <w:spacing w:val="-10"/>
          <w:lang w:val="es-ES"/>
        </w:rPr>
        <w:t xml:space="preserve"> </w:t>
      </w:r>
      <w:r w:rsidRPr="001F41BC">
        <w:rPr>
          <w:rFonts w:ascii="Verdana" w:eastAsia="Arial" w:hAnsi="Verdana" w:cs="Arial"/>
          <w:i/>
          <w:iCs/>
          <w:lang w:val="es-ES"/>
        </w:rPr>
        <w:t>oferta</w:t>
      </w:r>
      <w:r w:rsidRPr="001F41BC">
        <w:rPr>
          <w:rFonts w:ascii="Verdana" w:eastAsia="Arial" w:hAnsi="Verdana" w:cs="Arial"/>
          <w:spacing w:val="-9"/>
          <w:lang w:val="es-ES"/>
        </w:rPr>
        <w:t xml:space="preserve"> </w:t>
      </w:r>
      <w:r w:rsidRPr="001F41BC">
        <w:rPr>
          <w:rFonts w:ascii="Verdana" w:eastAsia="Arial" w:hAnsi="Verdana" w:cs="Arial"/>
          <w:lang w:val="es-ES"/>
        </w:rPr>
        <w:t>las</w:t>
      </w:r>
      <w:r w:rsidRPr="001F41BC">
        <w:rPr>
          <w:rFonts w:ascii="Verdana" w:eastAsia="Arial" w:hAnsi="Verdana" w:cs="Arial"/>
          <w:spacing w:val="-10"/>
          <w:lang w:val="es-ES"/>
        </w:rPr>
        <w:t xml:space="preserve"> </w:t>
      </w:r>
      <w:r w:rsidRPr="001F41BC">
        <w:rPr>
          <w:rFonts w:ascii="Verdana" w:eastAsia="Arial" w:hAnsi="Verdana" w:cs="Arial"/>
          <w:lang w:val="es-ES"/>
        </w:rPr>
        <w:t>personas</w:t>
      </w:r>
      <w:r w:rsidRPr="001F41BC">
        <w:rPr>
          <w:rFonts w:ascii="Verdana" w:eastAsia="Arial" w:hAnsi="Verdana" w:cs="Arial"/>
          <w:spacing w:val="-10"/>
          <w:lang w:val="es-ES"/>
        </w:rPr>
        <w:t xml:space="preserve"> </w:t>
      </w:r>
      <w:r w:rsidRPr="001F41BC">
        <w:rPr>
          <w:rFonts w:ascii="Verdana" w:eastAsia="Arial" w:hAnsi="Verdana" w:cs="Arial"/>
          <w:lang w:val="es-ES"/>
        </w:rPr>
        <w:t>jurídicas</w:t>
      </w:r>
      <w:r w:rsidRPr="001F41BC">
        <w:rPr>
          <w:rFonts w:ascii="Verdana" w:eastAsia="Arial" w:hAnsi="Verdana" w:cs="Arial"/>
          <w:spacing w:val="-10"/>
          <w:lang w:val="es-ES"/>
        </w:rPr>
        <w:t xml:space="preserve"> </w:t>
      </w:r>
      <w:r w:rsidRPr="001F41BC">
        <w:rPr>
          <w:rFonts w:ascii="Verdana" w:eastAsia="Arial" w:hAnsi="Verdana" w:cs="Arial"/>
          <w:lang w:val="es-ES"/>
        </w:rPr>
        <w:t>deben</w:t>
      </w:r>
      <w:r w:rsidRPr="001F41BC">
        <w:rPr>
          <w:rFonts w:ascii="Verdana" w:eastAsia="Arial" w:hAnsi="Verdana" w:cs="Arial"/>
          <w:spacing w:val="-9"/>
          <w:lang w:val="es-ES"/>
        </w:rPr>
        <w:t xml:space="preserve"> </w:t>
      </w:r>
      <w:r w:rsidRPr="001F41BC">
        <w:rPr>
          <w:rFonts w:ascii="Verdana" w:eastAsia="Arial" w:hAnsi="Verdana" w:cs="Arial"/>
          <w:lang w:val="es-ES"/>
        </w:rPr>
        <w:t>acreditar</w:t>
      </w:r>
      <w:r w:rsidRPr="001F41BC">
        <w:rPr>
          <w:rFonts w:ascii="Verdana" w:eastAsia="Arial" w:hAnsi="Verdana" w:cs="Arial"/>
          <w:spacing w:val="-10"/>
          <w:lang w:val="es-ES"/>
        </w:rPr>
        <w:t xml:space="preserve"> </w:t>
      </w:r>
      <w:r w:rsidRPr="001F41BC">
        <w:rPr>
          <w:rFonts w:ascii="Verdana" w:eastAsia="Arial" w:hAnsi="Verdana" w:cs="Arial"/>
          <w:lang w:val="es-ES"/>
        </w:rPr>
        <w:t>el</w:t>
      </w:r>
      <w:r w:rsidRPr="001F41BC">
        <w:rPr>
          <w:rFonts w:ascii="Verdana" w:eastAsia="Arial" w:hAnsi="Verdana" w:cs="Arial"/>
          <w:spacing w:val="-10"/>
          <w:lang w:val="es-ES"/>
        </w:rPr>
        <w:t xml:space="preserve"> </w:t>
      </w:r>
      <w:r w:rsidRPr="001F41BC">
        <w:rPr>
          <w:rFonts w:ascii="Verdana" w:eastAsia="Arial" w:hAnsi="Verdana" w:cs="Arial"/>
          <w:lang w:val="es-ES"/>
        </w:rPr>
        <w:t>requisito</w:t>
      </w:r>
      <w:r w:rsidRPr="001F41BC">
        <w:rPr>
          <w:rFonts w:ascii="Verdana" w:eastAsia="Arial" w:hAnsi="Verdana" w:cs="Arial"/>
          <w:spacing w:val="-10"/>
          <w:lang w:val="es-ES"/>
        </w:rPr>
        <w:t xml:space="preserve"> </w:t>
      </w:r>
      <w:r w:rsidRPr="001F41BC">
        <w:rPr>
          <w:rFonts w:ascii="Verdana" w:eastAsia="Arial" w:hAnsi="Verdana" w:cs="Arial"/>
          <w:lang w:val="es-ES"/>
        </w:rPr>
        <w:t>señalado anteriormente.</w:t>
      </w:r>
    </w:p>
    <w:p w14:paraId="790041D0" w14:textId="77777777" w:rsidR="00500D81" w:rsidRPr="001F41BC" w:rsidRDefault="00500D81" w:rsidP="00500D81">
      <w:pPr>
        <w:widowControl w:val="0"/>
        <w:autoSpaceDE w:val="0"/>
        <w:autoSpaceDN w:val="0"/>
        <w:spacing w:before="70" w:after="0" w:line="276" w:lineRule="auto"/>
        <w:ind w:firstLine="708"/>
        <w:jc w:val="both"/>
        <w:rPr>
          <w:rFonts w:ascii="Verdana" w:eastAsia="Arial" w:hAnsi="Verdana" w:cs="Arial"/>
          <w:lang w:val="es-ES"/>
        </w:rPr>
      </w:pPr>
      <w:r w:rsidRPr="001F41BC">
        <w:rPr>
          <w:rFonts w:ascii="Verdana" w:eastAsia="Arial" w:hAnsi="Verdana" w:cs="Arial"/>
          <w:lang w:val="es-ES"/>
        </w:rPr>
        <w:t>Esta norma fue analizada por la Sección Tercera del Consejo de Estado, que consideró</w:t>
      </w:r>
      <w:r w:rsidRPr="001F41BC">
        <w:rPr>
          <w:rFonts w:ascii="Verdana" w:eastAsia="Arial" w:hAnsi="Verdana" w:cs="Arial"/>
          <w:spacing w:val="-6"/>
          <w:lang w:val="es-ES"/>
        </w:rPr>
        <w:t xml:space="preserve"> </w:t>
      </w:r>
      <w:r w:rsidRPr="001F41BC">
        <w:rPr>
          <w:rFonts w:ascii="Verdana" w:eastAsia="Arial" w:hAnsi="Verdana" w:cs="Arial"/>
          <w:lang w:val="es-ES"/>
        </w:rPr>
        <w:t>que</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2002</w:t>
      </w:r>
      <w:r w:rsidRPr="001F41BC">
        <w:rPr>
          <w:rFonts w:ascii="Verdana" w:eastAsia="Arial" w:hAnsi="Verdana" w:cs="Arial"/>
          <w:spacing w:val="-5"/>
          <w:lang w:val="es-ES"/>
        </w:rPr>
        <w:t xml:space="preserve"> </w:t>
      </w:r>
      <w:r w:rsidRPr="001F41BC">
        <w:rPr>
          <w:rFonts w:ascii="Verdana" w:eastAsia="Arial" w:hAnsi="Verdana" w:cs="Arial"/>
          <w:lang w:val="es-ES"/>
        </w:rPr>
        <w:t>tiene</w:t>
      </w:r>
      <w:r w:rsidRPr="001F41BC">
        <w:rPr>
          <w:rFonts w:ascii="Verdana" w:eastAsia="Arial" w:hAnsi="Verdana" w:cs="Arial"/>
          <w:spacing w:val="-5"/>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5"/>
          <w:lang w:val="es-ES"/>
        </w:rPr>
        <w:t xml:space="preserve"> </w:t>
      </w:r>
      <w:r w:rsidRPr="001F41BC">
        <w:rPr>
          <w:rFonts w:ascii="Verdana" w:eastAsia="Arial" w:hAnsi="Verdana" w:cs="Arial"/>
          <w:lang w:val="es-ES"/>
        </w:rPr>
        <w:t>evitar</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evasión</w:t>
      </w:r>
      <w:r w:rsidRPr="001F41BC">
        <w:rPr>
          <w:rFonts w:ascii="Verdana" w:eastAsia="Arial" w:hAnsi="Verdana" w:cs="Arial"/>
          <w:spacing w:val="-6"/>
          <w:lang w:val="es-ES"/>
        </w:rPr>
        <w:t xml:space="preserve"> </w:t>
      </w:r>
      <w:r w:rsidRPr="001F41BC">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1F41BC">
        <w:rPr>
          <w:rFonts w:ascii="Verdana" w:eastAsia="Arial" w:hAnsi="Verdana" w:cs="Arial"/>
          <w:spacing w:val="-9"/>
          <w:lang w:val="es-ES"/>
        </w:rPr>
        <w:t xml:space="preserve"> </w:t>
      </w:r>
      <w:r w:rsidRPr="001F41BC">
        <w:rPr>
          <w:rFonts w:ascii="Verdana" w:eastAsia="Arial" w:hAnsi="Verdana" w:cs="Arial"/>
          <w:lang w:val="es-ES"/>
        </w:rPr>
        <w:t>hayan</w:t>
      </w:r>
      <w:r w:rsidRPr="001F41BC">
        <w:rPr>
          <w:rFonts w:ascii="Verdana" w:eastAsia="Arial" w:hAnsi="Verdana" w:cs="Arial"/>
          <w:spacing w:val="-8"/>
          <w:lang w:val="es-ES"/>
        </w:rPr>
        <w:t xml:space="preserve"> </w:t>
      </w:r>
      <w:r w:rsidRPr="001F41BC">
        <w:rPr>
          <w:rFonts w:ascii="Verdana" w:eastAsia="Arial" w:hAnsi="Verdana" w:cs="Arial"/>
          <w:lang w:val="es-ES"/>
        </w:rPr>
        <w:t>realizado</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aportes</w:t>
      </w:r>
      <w:r w:rsidRPr="001F41BC">
        <w:rPr>
          <w:rFonts w:ascii="Verdana" w:eastAsia="Arial" w:hAnsi="Verdana" w:cs="Arial"/>
          <w:spacing w:val="-9"/>
          <w:lang w:val="es-ES"/>
        </w:rPr>
        <w:t xml:space="preserve"> </w:t>
      </w:r>
      <w:r w:rsidRPr="001F41BC">
        <w:rPr>
          <w:rFonts w:ascii="Verdana" w:eastAsia="Arial" w:hAnsi="Verdana" w:cs="Arial"/>
          <w:lang w:val="es-ES"/>
        </w:rPr>
        <w:t>al</w:t>
      </w:r>
      <w:r w:rsidRPr="001F41BC">
        <w:rPr>
          <w:rFonts w:ascii="Verdana" w:eastAsia="Arial" w:hAnsi="Verdana" w:cs="Arial"/>
          <w:spacing w:val="-8"/>
          <w:lang w:val="es-ES"/>
        </w:rPr>
        <w:t xml:space="preserve"> </w:t>
      </w:r>
      <w:r w:rsidRPr="001F41BC">
        <w:rPr>
          <w:rFonts w:ascii="Verdana" w:eastAsia="Arial" w:hAnsi="Verdana" w:cs="Arial"/>
          <w:lang w:val="es-ES"/>
        </w:rPr>
        <w:t>Sistema</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Seguridad</w:t>
      </w:r>
      <w:r w:rsidRPr="001F41BC">
        <w:rPr>
          <w:rFonts w:ascii="Verdana" w:eastAsia="Arial" w:hAnsi="Verdana" w:cs="Arial"/>
          <w:spacing w:val="-7"/>
          <w:lang w:val="es-ES"/>
        </w:rPr>
        <w:t xml:space="preserve"> </w:t>
      </w:r>
      <w:r w:rsidRPr="001F41BC">
        <w:rPr>
          <w:rFonts w:ascii="Verdana" w:eastAsia="Arial" w:hAnsi="Verdana" w:cs="Arial"/>
          <w:lang w:val="es-ES"/>
        </w:rPr>
        <w:t>Social</w:t>
      </w:r>
      <w:r w:rsidRPr="001F41BC">
        <w:rPr>
          <w:rFonts w:ascii="Verdana" w:eastAsia="Arial" w:hAnsi="Verdana" w:cs="Arial"/>
          <w:spacing w:val="-7"/>
          <w:lang w:val="es-ES"/>
        </w:rPr>
        <w:t xml:space="preserve"> </w:t>
      </w:r>
      <w:r w:rsidRPr="001F41BC">
        <w:rPr>
          <w:rFonts w:ascii="Verdana" w:eastAsia="Arial" w:hAnsi="Verdana" w:cs="Arial"/>
          <w:lang w:val="es-ES"/>
        </w:rPr>
        <w:t>Integral</w:t>
      </w:r>
      <w:r w:rsidRPr="001F41BC">
        <w:rPr>
          <w:rStyle w:val="Refdenotaalpie"/>
          <w:rFonts w:ascii="Verdana" w:eastAsia="Arial" w:hAnsi="Verdana" w:cs="Arial"/>
          <w:lang w:val="es-ES"/>
        </w:rPr>
        <w:footnoteReference w:id="2"/>
      </w:r>
      <w:r w:rsidRPr="001F41BC">
        <w:rPr>
          <w:rFonts w:ascii="Verdana" w:eastAsia="Arial" w:hAnsi="Verdana" w:cs="Arial"/>
          <w:sz w:val="21"/>
          <w:lang w:val="es-ES"/>
        </w:rPr>
        <w:t>.</w:t>
      </w:r>
      <w:r w:rsidRPr="001F41BC">
        <w:rPr>
          <w:rFonts w:ascii="Verdana" w:eastAsia="Arial" w:hAnsi="Verdana" w:cs="Arial"/>
          <w:spacing w:val="-8"/>
          <w:sz w:val="21"/>
          <w:lang w:val="es-ES"/>
        </w:rPr>
        <w:t xml:space="preserve"> </w:t>
      </w:r>
      <w:r w:rsidRPr="001F41BC">
        <w:rPr>
          <w:rFonts w:ascii="Verdana" w:eastAsia="Arial" w:hAnsi="Verdana" w:cs="Arial"/>
          <w:lang w:val="es-ES"/>
        </w:rPr>
        <w:t>Por</w:t>
      </w:r>
      <w:r w:rsidRPr="001F41BC">
        <w:rPr>
          <w:rFonts w:ascii="Verdana" w:eastAsia="Arial" w:hAnsi="Verdana" w:cs="Arial"/>
          <w:spacing w:val="-8"/>
          <w:lang w:val="es-ES"/>
        </w:rPr>
        <w:t xml:space="preserve"> </w:t>
      </w:r>
      <w:r w:rsidRPr="001F41BC">
        <w:rPr>
          <w:rFonts w:ascii="Verdana" w:eastAsia="Arial" w:hAnsi="Verdana" w:cs="Arial"/>
          <w:lang w:val="es-ES"/>
        </w:rPr>
        <w:t xml:space="preserve">lo tanto, la jurisprudencia reiteró la necesidad de que las entidades estatales, </w:t>
      </w:r>
      <w:r w:rsidRPr="001F41BC">
        <w:rPr>
          <w:rFonts w:ascii="Verdana" w:eastAsia="Arial" w:hAnsi="Verdana" w:cs="Arial"/>
          <w:i/>
          <w:iCs/>
          <w:lang w:val="es-ES"/>
        </w:rPr>
        <w:t>durante la ejecución de un contrato</w:t>
      </w:r>
      <w:r w:rsidRPr="001F41BC">
        <w:rPr>
          <w:rFonts w:ascii="Verdana" w:eastAsia="Arial" w:hAnsi="Verdana" w:cs="Arial"/>
          <w:lang w:val="es-ES"/>
        </w:rPr>
        <w:t>, verifiquen el cumplimiento de las obligaciones del sistema de seguridad</w:t>
      </w:r>
      <w:r w:rsidRPr="001F41BC">
        <w:rPr>
          <w:rFonts w:ascii="Verdana" w:eastAsia="Arial" w:hAnsi="Verdana" w:cs="Arial"/>
          <w:spacing w:val="-18"/>
          <w:lang w:val="es-ES"/>
        </w:rPr>
        <w:t xml:space="preserve"> </w:t>
      </w:r>
      <w:r w:rsidRPr="001F41BC">
        <w:rPr>
          <w:rFonts w:ascii="Verdana" w:eastAsia="Arial" w:hAnsi="Verdana" w:cs="Arial"/>
          <w:lang w:val="es-ES"/>
        </w:rPr>
        <w:t>social</w:t>
      </w:r>
      <w:r w:rsidRPr="001F41BC">
        <w:rPr>
          <w:rFonts w:ascii="Verdana" w:eastAsia="Arial" w:hAnsi="Verdana" w:cs="Arial"/>
          <w:spacing w:val="-17"/>
          <w:lang w:val="es-ES"/>
        </w:rPr>
        <w:t xml:space="preserve"> </w:t>
      </w:r>
      <w:r w:rsidRPr="001F41BC">
        <w:rPr>
          <w:rFonts w:ascii="Verdana" w:eastAsia="Arial" w:hAnsi="Verdana" w:cs="Arial"/>
          <w:lang w:val="es-ES"/>
        </w:rPr>
        <w:t>por</w:t>
      </w:r>
      <w:r w:rsidRPr="001F41BC">
        <w:rPr>
          <w:rFonts w:ascii="Verdana" w:eastAsia="Arial" w:hAnsi="Verdana" w:cs="Arial"/>
          <w:spacing w:val="-17"/>
          <w:lang w:val="es-ES"/>
        </w:rPr>
        <w:t xml:space="preserve"> </w:t>
      </w:r>
      <w:r w:rsidRPr="001F41BC">
        <w:rPr>
          <w:rFonts w:ascii="Verdana" w:eastAsia="Arial" w:hAnsi="Verdana" w:cs="Arial"/>
          <w:lang w:val="es-ES"/>
        </w:rPr>
        <w:t>parte</w:t>
      </w:r>
      <w:r w:rsidRPr="001F41BC">
        <w:rPr>
          <w:rFonts w:ascii="Verdana" w:eastAsia="Arial" w:hAnsi="Verdana" w:cs="Arial"/>
          <w:spacing w:val="-18"/>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los</w:t>
      </w:r>
      <w:r w:rsidRPr="001F41BC">
        <w:rPr>
          <w:rFonts w:ascii="Verdana" w:eastAsia="Arial" w:hAnsi="Verdana" w:cs="Arial"/>
          <w:spacing w:val="-17"/>
          <w:lang w:val="es-ES"/>
        </w:rPr>
        <w:t xml:space="preserve"> </w:t>
      </w:r>
      <w:r w:rsidRPr="001F41BC">
        <w:rPr>
          <w:rFonts w:ascii="Verdana" w:eastAsia="Arial" w:hAnsi="Verdana" w:cs="Arial"/>
          <w:lang w:val="es-ES"/>
        </w:rPr>
        <w:t>oferentes.</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8"/>
          <w:lang w:val="es-ES"/>
        </w:rPr>
        <w:t xml:space="preserve"> </w:t>
      </w:r>
      <w:r w:rsidRPr="001F41BC">
        <w:rPr>
          <w:rFonts w:ascii="Verdana" w:eastAsia="Arial" w:hAnsi="Verdana" w:cs="Arial"/>
          <w:lang w:val="es-ES"/>
        </w:rPr>
        <w:t>esta</w:t>
      </w:r>
      <w:r w:rsidRPr="001F41BC">
        <w:rPr>
          <w:rFonts w:ascii="Verdana" w:eastAsia="Arial" w:hAnsi="Verdana" w:cs="Arial"/>
          <w:spacing w:val="-17"/>
          <w:lang w:val="es-ES"/>
        </w:rPr>
        <w:t xml:space="preserve"> </w:t>
      </w:r>
      <w:r w:rsidRPr="001F41BC">
        <w:rPr>
          <w:rFonts w:ascii="Verdana" w:eastAsia="Arial" w:hAnsi="Verdana" w:cs="Arial"/>
          <w:lang w:val="es-ES"/>
        </w:rPr>
        <w:t>manera,</w:t>
      </w:r>
      <w:r w:rsidRPr="001F41BC">
        <w:rPr>
          <w:rFonts w:ascii="Verdana" w:eastAsia="Arial" w:hAnsi="Verdana" w:cs="Arial"/>
          <w:spacing w:val="-17"/>
          <w:lang w:val="es-ES"/>
        </w:rPr>
        <w:t xml:space="preserve"> </w:t>
      </w:r>
      <w:r w:rsidRPr="001F41BC">
        <w:rPr>
          <w:rFonts w:ascii="Verdana" w:eastAsia="Arial" w:hAnsi="Verdana" w:cs="Arial"/>
          <w:lang w:val="es-ES"/>
        </w:rPr>
        <w:t>el</w:t>
      </w:r>
      <w:r w:rsidRPr="001F41BC">
        <w:rPr>
          <w:rFonts w:ascii="Verdana" w:eastAsia="Arial" w:hAnsi="Verdana" w:cs="Arial"/>
          <w:spacing w:val="-18"/>
          <w:lang w:val="es-ES"/>
        </w:rPr>
        <w:t xml:space="preserve"> </w:t>
      </w:r>
      <w:r w:rsidRPr="001F41BC">
        <w:rPr>
          <w:rFonts w:ascii="Verdana" w:eastAsia="Arial" w:hAnsi="Verdana" w:cs="Arial"/>
          <w:lang w:val="es-ES"/>
        </w:rPr>
        <w:t>artículo</w:t>
      </w:r>
      <w:r w:rsidRPr="001F41BC">
        <w:rPr>
          <w:rFonts w:ascii="Verdana" w:eastAsia="Arial" w:hAnsi="Verdana" w:cs="Arial"/>
          <w:spacing w:val="-17"/>
          <w:lang w:val="es-ES"/>
        </w:rPr>
        <w:t xml:space="preserve"> </w:t>
      </w:r>
      <w:r w:rsidRPr="001F41BC">
        <w:rPr>
          <w:rFonts w:ascii="Verdana" w:eastAsia="Arial" w:hAnsi="Verdana" w:cs="Arial"/>
          <w:lang w:val="es-ES"/>
        </w:rPr>
        <w:t>23</w:t>
      </w:r>
      <w:r w:rsidRPr="001F41BC">
        <w:rPr>
          <w:rFonts w:ascii="Verdana" w:eastAsia="Arial" w:hAnsi="Verdana" w:cs="Arial"/>
          <w:spacing w:val="-17"/>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la</w:t>
      </w:r>
      <w:r w:rsidRPr="001F41BC">
        <w:rPr>
          <w:rFonts w:ascii="Verdana" w:eastAsia="Arial" w:hAnsi="Verdana" w:cs="Arial"/>
          <w:spacing w:val="-18"/>
          <w:lang w:val="es-ES"/>
        </w:rPr>
        <w:t xml:space="preserve"> </w:t>
      </w:r>
      <w:r w:rsidRPr="001F41BC">
        <w:rPr>
          <w:rFonts w:ascii="Verdana" w:eastAsia="Arial" w:hAnsi="Verdana" w:cs="Arial"/>
          <w:lang w:val="es-ES"/>
        </w:rPr>
        <w:t>Ley</w:t>
      </w:r>
      <w:r w:rsidRPr="001F41BC">
        <w:rPr>
          <w:rFonts w:ascii="Verdana" w:eastAsia="Arial" w:hAnsi="Verdana" w:cs="Arial"/>
          <w:spacing w:val="-17"/>
          <w:lang w:val="es-ES"/>
        </w:rPr>
        <w:t xml:space="preserve"> </w:t>
      </w:r>
      <w:r w:rsidRPr="001F41BC">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1F41BC">
        <w:rPr>
          <w:rFonts w:ascii="Verdana" w:eastAsia="Arial" w:hAnsi="Verdana" w:cs="Arial"/>
          <w:spacing w:val="-16"/>
          <w:lang w:val="es-ES"/>
        </w:rPr>
        <w:t xml:space="preserve"> </w:t>
      </w:r>
      <w:r w:rsidRPr="001F41BC">
        <w:rPr>
          <w:rFonts w:ascii="Verdana" w:eastAsia="Arial" w:hAnsi="Verdana" w:cs="Arial"/>
          <w:lang w:val="es-ES"/>
        </w:rPr>
        <w:t>señalar:</w:t>
      </w:r>
    </w:p>
    <w:p w14:paraId="19E9B3CA" w14:textId="77777777" w:rsidR="00500D81" w:rsidRPr="001F41BC" w:rsidRDefault="00500D81" w:rsidP="00500D81">
      <w:pPr>
        <w:widowControl w:val="0"/>
        <w:autoSpaceDE w:val="0"/>
        <w:autoSpaceDN w:val="0"/>
        <w:spacing w:before="1" w:after="0" w:line="276" w:lineRule="auto"/>
        <w:rPr>
          <w:rFonts w:ascii="Verdana" w:eastAsia="Arial" w:hAnsi="Verdana" w:cs="Arial"/>
          <w:lang w:val="es-ES"/>
        </w:rPr>
      </w:pPr>
    </w:p>
    <w:p w14:paraId="35A2FD29" w14:textId="77777777" w:rsidR="00500D81" w:rsidRPr="00DA4134" w:rsidRDefault="00500D81" w:rsidP="00500D81">
      <w:pPr>
        <w:widowControl w:val="0"/>
        <w:autoSpaceDE w:val="0"/>
        <w:autoSpaceDN w:val="0"/>
        <w:spacing w:before="1"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48D6F140" w14:textId="77777777" w:rsidR="00500D81" w:rsidRPr="00DA4134" w:rsidRDefault="00500D81" w:rsidP="00500D81">
      <w:pPr>
        <w:widowControl w:val="0"/>
        <w:autoSpaceDE w:val="0"/>
        <w:autoSpaceDN w:val="0"/>
        <w:spacing w:before="120"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78F1F88B" w14:textId="77777777" w:rsidR="00500D81" w:rsidRPr="00DA4134" w:rsidRDefault="00500D81" w:rsidP="00500D81">
      <w:pPr>
        <w:widowControl w:val="0"/>
        <w:autoSpaceDE w:val="0"/>
        <w:autoSpaceDN w:val="0"/>
        <w:spacing w:before="120" w:after="0"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lastRenderedPageBreak/>
        <w:t>El servidor público que sin justa causa no verifique el pago de los aportes a que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se</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refiere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el</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presente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artículo,</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incurrirá</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en</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causal</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de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mala</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conducta,</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que será sancionada con arreglo al régimen disciplinario</w:t>
      </w:r>
      <w:r w:rsidRPr="00DA4134">
        <w:rPr>
          <w:rFonts w:ascii="Verdana" w:eastAsia="Arial" w:hAnsi="Verdana" w:cs="Arial"/>
          <w:spacing w:val="-12"/>
          <w:sz w:val="20"/>
          <w:szCs w:val="20"/>
          <w:lang w:val="es-ES"/>
        </w:rPr>
        <w:t xml:space="preserve"> </w:t>
      </w:r>
      <w:r w:rsidRPr="00DA4134">
        <w:rPr>
          <w:rFonts w:ascii="Verdana" w:eastAsia="Arial" w:hAnsi="Verdana" w:cs="Arial"/>
          <w:sz w:val="20"/>
          <w:szCs w:val="20"/>
          <w:lang w:val="es-ES"/>
        </w:rPr>
        <w:t>vigente”.</w:t>
      </w:r>
    </w:p>
    <w:p w14:paraId="75D8D398" w14:textId="77777777" w:rsidR="00500D81" w:rsidRPr="001F41BC" w:rsidRDefault="00500D81" w:rsidP="00500D81">
      <w:pPr>
        <w:widowControl w:val="0"/>
        <w:autoSpaceDE w:val="0"/>
        <w:autoSpaceDN w:val="0"/>
        <w:spacing w:after="0" w:line="276" w:lineRule="auto"/>
        <w:ind w:left="709" w:right="709"/>
        <w:jc w:val="both"/>
        <w:rPr>
          <w:rFonts w:ascii="Verdana" w:eastAsia="Arial" w:hAnsi="Verdana" w:cs="Arial"/>
          <w:lang w:val="es-ES"/>
        </w:rPr>
      </w:pPr>
    </w:p>
    <w:p w14:paraId="1A3A6C07" w14:textId="77777777" w:rsidR="00500D81" w:rsidRDefault="00500D81" w:rsidP="00500D81">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Del artículo 23 de la Ley 1150 de 2007 se concluye que</w:t>
      </w:r>
      <w:r>
        <w:rPr>
          <w:rFonts w:ascii="Verdana" w:eastAsia="Arial" w:hAnsi="Verdana" w:cs="Arial"/>
          <w:lang w:val="es-ES"/>
        </w:rPr>
        <w:t>,</w:t>
      </w:r>
      <w:r w:rsidRPr="001F41BC">
        <w:rPr>
          <w:rFonts w:ascii="Verdana" w:eastAsia="Arial" w:hAnsi="Verdana" w:cs="Arial"/>
          <w:lang w:val="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4E4EFB1E" w14:textId="77777777" w:rsidR="00500D81" w:rsidRPr="001F41BC" w:rsidRDefault="00500D81" w:rsidP="00500D81">
      <w:pPr>
        <w:widowControl w:val="0"/>
        <w:autoSpaceDE w:val="0"/>
        <w:autoSpaceDN w:val="0"/>
        <w:spacing w:after="0" w:line="276" w:lineRule="auto"/>
        <w:ind w:firstLine="709"/>
        <w:jc w:val="both"/>
        <w:rPr>
          <w:rFonts w:ascii="Verdana" w:eastAsia="Arial" w:hAnsi="Verdana" w:cs="Arial"/>
          <w:lang w:val="es-ES"/>
        </w:rPr>
      </w:pPr>
    </w:p>
    <w:p w14:paraId="47049F0A" w14:textId="77777777" w:rsidR="00500D81" w:rsidRPr="001F41BC" w:rsidRDefault="00500D81" w:rsidP="003861F5">
      <w:pPr>
        <w:widowControl w:val="0"/>
        <w:autoSpaceDE w:val="0"/>
        <w:autoSpaceDN w:val="0"/>
        <w:spacing w:after="120" w:line="276" w:lineRule="auto"/>
        <w:jc w:val="both"/>
        <w:rPr>
          <w:rFonts w:ascii="Verdana" w:eastAsia="Arial" w:hAnsi="Verdana" w:cs="Arial"/>
          <w:lang w:val="es-ES"/>
        </w:rPr>
      </w:pPr>
      <w:proofErr w:type="spellStart"/>
      <w:r>
        <w:rPr>
          <w:rFonts w:ascii="Verdana" w:eastAsia="Arial" w:hAnsi="Verdana" w:cs="Arial"/>
          <w:lang w:val="es-ES"/>
        </w:rPr>
        <w:t>ii</w:t>
      </w:r>
      <w:proofErr w:type="spellEnd"/>
      <w:r>
        <w:rPr>
          <w:rFonts w:ascii="Verdana" w:eastAsia="Arial" w:hAnsi="Verdana" w:cs="Arial"/>
          <w:lang w:val="es-ES"/>
        </w:rPr>
        <w:t xml:space="preserve">. </w:t>
      </w:r>
      <w:r w:rsidRPr="001F41B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diferentes momentos del proceso contractual, tal como se detalla a continuación. </w:t>
      </w:r>
    </w:p>
    <w:p w14:paraId="1756271D" w14:textId="77777777" w:rsidR="00500D81" w:rsidRDefault="00500D81" w:rsidP="00DA4134">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1.</w:t>
      </w:r>
      <w:r w:rsidRPr="001F41BC">
        <w:rPr>
          <w:rFonts w:ascii="Verdana" w:eastAsia="Arial" w:hAnsi="Verdana" w:cs="Arial"/>
          <w:lang w:val="es-ES"/>
        </w:rPr>
        <w:t xml:space="preserve"> </w:t>
      </w:r>
      <w:r w:rsidRPr="001F41BC">
        <w:rPr>
          <w:rFonts w:ascii="Verdana" w:eastAsia="Arial" w:hAnsi="Verdana" w:cs="Arial"/>
          <w:i/>
          <w:iCs/>
          <w:lang w:val="es-ES"/>
        </w:rPr>
        <w:t>Para presentar la oferta</w:t>
      </w:r>
      <w:r w:rsidRPr="001F41BC">
        <w:rPr>
          <w:rFonts w:ascii="Verdana" w:eastAsia="Arial" w:hAnsi="Verdana" w:cs="Arial"/>
          <w:lang w:val="es-ES"/>
        </w:rPr>
        <w:t xml:space="preserve"> los proponentes deben acreditar el pago de los aportes de sus</w:t>
      </w:r>
      <w:r w:rsidRPr="001F41BC">
        <w:rPr>
          <w:rFonts w:ascii="Verdana" w:eastAsia="Arial" w:hAnsi="Verdana" w:cs="Arial"/>
          <w:spacing w:val="-6"/>
          <w:lang w:val="es-ES"/>
        </w:rPr>
        <w:t xml:space="preserve"> </w:t>
      </w:r>
      <w:r w:rsidRPr="001F41BC">
        <w:rPr>
          <w:rFonts w:ascii="Verdana" w:eastAsia="Arial" w:hAnsi="Verdana" w:cs="Arial"/>
          <w:lang w:val="es-ES"/>
        </w:rPr>
        <w:t>empleados,</w:t>
      </w:r>
      <w:r w:rsidRPr="001F41BC">
        <w:rPr>
          <w:rFonts w:ascii="Verdana" w:eastAsia="Arial" w:hAnsi="Verdana" w:cs="Arial"/>
          <w:spacing w:val="-6"/>
          <w:lang w:val="es-ES"/>
        </w:rPr>
        <w:t xml:space="preserve"> </w:t>
      </w:r>
      <w:r w:rsidRPr="001F41BC">
        <w:rPr>
          <w:rFonts w:ascii="Verdana" w:eastAsia="Arial" w:hAnsi="Verdana" w:cs="Arial"/>
          <w:lang w:val="es-ES"/>
        </w:rPr>
        <w:t>mediante</w:t>
      </w:r>
      <w:r w:rsidRPr="001F41BC">
        <w:rPr>
          <w:rFonts w:ascii="Verdana" w:eastAsia="Arial" w:hAnsi="Verdana" w:cs="Arial"/>
          <w:spacing w:val="-6"/>
          <w:lang w:val="es-ES"/>
        </w:rPr>
        <w:t xml:space="preserve"> </w:t>
      </w:r>
      <w:r w:rsidRPr="001F41BC">
        <w:rPr>
          <w:rFonts w:ascii="Verdana" w:eastAsia="Arial" w:hAnsi="Verdana" w:cs="Arial"/>
          <w:lang w:val="es-ES"/>
        </w:rPr>
        <w:t>certificación</w:t>
      </w:r>
      <w:r w:rsidRPr="001F41BC">
        <w:rPr>
          <w:rFonts w:ascii="Verdana" w:eastAsia="Arial" w:hAnsi="Verdana" w:cs="Arial"/>
          <w:spacing w:val="-6"/>
          <w:lang w:val="es-ES"/>
        </w:rPr>
        <w:t xml:space="preserve"> </w:t>
      </w:r>
      <w:r w:rsidRPr="001F41BC">
        <w:rPr>
          <w:rFonts w:ascii="Verdana" w:eastAsia="Arial" w:hAnsi="Verdana" w:cs="Arial"/>
          <w:lang w:val="es-ES"/>
        </w:rPr>
        <w:t>expedida</w:t>
      </w:r>
      <w:r w:rsidRPr="001F41BC">
        <w:rPr>
          <w:rFonts w:ascii="Verdana" w:eastAsia="Arial" w:hAnsi="Verdana" w:cs="Arial"/>
          <w:spacing w:val="-6"/>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revisor</w:t>
      </w:r>
      <w:r w:rsidRPr="001F41BC">
        <w:rPr>
          <w:rFonts w:ascii="Verdana" w:eastAsia="Arial" w:hAnsi="Verdana" w:cs="Arial"/>
          <w:spacing w:val="-6"/>
          <w:lang w:val="es-ES"/>
        </w:rPr>
        <w:t xml:space="preserve"> </w:t>
      </w:r>
      <w:r w:rsidRPr="001F41BC">
        <w:rPr>
          <w:rFonts w:ascii="Verdana" w:eastAsia="Arial" w:hAnsi="Verdana" w:cs="Arial"/>
          <w:lang w:val="es-ES"/>
        </w:rPr>
        <w:t>fiscal,</w:t>
      </w:r>
      <w:r w:rsidRPr="001F41BC">
        <w:rPr>
          <w:rFonts w:ascii="Verdana" w:eastAsia="Arial" w:hAnsi="Verdana" w:cs="Arial"/>
          <w:spacing w:val="-5"/>
          <w:lang w:val="es-ES"/>
        </w:rPr>
        <w:t xml:space="preserve"> </w:t>
      </w:r>
      <w:r w:rsidRPr="001F41BC">
        <w:rPr>
          <w:rFonts w:ascii="Verdana" w:eastAsia="Arial" w:hAnsi="Verdana" w:cs="Arial"/>
          <w:lang w:val="es-ES"/>
        </w:rPr>
        <w:t>cuando</w:t>
      </w:r>
      <w:r w:rsidRPr="001F41BC">
        <w:rPr>
          <w:rFonts w:ascii="Verdana" w:eastAsia="Arial" w:hAnsi="Verdana" w:cs="Arial"/>
          <w:spacing w:val="-6"/>
          <w:lang w:val="es-ES"/>
        </w:rPr>
        <w:t xml:space="preserve"> </w:t>
      </w:r>
      <w:r w:rsidRPr="001F41BC">
        <w:rPr>
          <w:rFonts w:ascii="Verdana" w:eastAsia="Arial" w:hAnsi="Verdana" w:cs="Arial"/>
          <w:lang w:val="es-ES"/>
        </w:rPr>
        <w:t>este</w:t>
      </w:r>
      <w:r w:rsidRPr="001F41BC">
        <w:rPr>
          <w:rFonts w:ascii="Verdana" w:eastAsia="Arial" w:hAnsi="Verdana" w:cs="Arial"/>
          <w:spacing w:val="-6"/>
          <w:lang w:val="es-ES"/>
        </w:rPr>
        <w:t xml:space="preserve"> </w:t>
      </w:r>
      <w:r w:rsidRPr="001F41BC">
        <w:rPr>
          <w:rFonts w:ascii="Verdana" w:eastAsia="Arial" w:hAnsi="Verdana" w:cs="Arial"/>
          <w:lang w:val="es-ES"/>
        </w:rPr>
        <w:t>exista de</w:t>
      </w:r>
      <w:r w:rsidRPr="001F41BC">
        <w:rPr>
          <w:rFonts w:ascii="Verdana" w:eastAsia="Arial" w:hAnsi="Verdana" w:cs="Arial"/>
          <w:spacing w:val="-9"/>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requerimientos</w:t>
      </w:r>
      <w:r w:rsidRPr="001F41BC">
        <w:rPr>
          <w:rFonts w:ascii="Verdana" w:eastAsia="Arial" w:hAnsi="Verdana" w:cs="Arial"/>
          <w:spacing w:val="-9"/>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ley,</w:t>
      </w:r>
      <w:r w:rsidRPr="001F41BC">
        <w:rPr>
          <w:rFonts w:ascii="Verdana" w:eastAsia="Arial" w:hAnsi="Verdana" w:cs="Arial"/>
          <w:spacing w:val="-8"/>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por</w:t>
      </w:r>
      <w:r w:rsidRPr="001F41BC">
        <w:rPr>
          <w:rFonts w:ascii="Verdana" w:eastAsia="Arial" w:hAnsi="Verdana" w:cs="Arial"/>
          <w:spacing w:val="-9"/>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representante</w:t>
      </w:r>
      <w:r w:rsidRPr="001F41BC">
        <w:rPr>
          <w:rFonts w:ascii="Verdana" w:eastAsia="Arial" w:hAnsi="Verdana" w:cs="Arial"/>
          <w:spacing w:val="-8"/>
          <w:lang w:val="es-ES"/>
        </w:rPr>
        <w:t xml:space="preserve"> </w:t>
      </w:r>
      <w:r w:rsidRPr="001F41BC">
        <w:rPr>
          <w:rFonts w:ascii="Verdana" w:eastAsia="Arial" w:hAnsi="Verdana" w:cs="Arial"/>
          <w:lang w:val="es-ES"/>
        </w:rPr>
        <w:t>legal,</w:t>
      </w:r>
      <w:r w:rsidRPr="001F41BC">
        <w:rPr>
          <w:rFonts w:ascii="Verdana" w:eastAsia="Arial" w:hAnsi="Verdana" w:cs="Arial"/>
          <w:spacing w:val="-8"/>
          <w:lang w:val="es-ES"/>
        </w:rPr>
        <w:t xml:space="preserve"> </w:t>
      </w:r>
      <w:r w:rsidRPr="001F41BC">
        <w:rPr>
          <w:rFonts w:ascii="Verdana" w:eastAsia="Arial" w:hAnsi="Verdana" w:cs="Arial"/>
          <w:lang w:val="es-ES"/>
        </w:rPr>
        <w:t>durante</w:t>
      </w:r>
      <w:r w:rsidRPr="001F41BC">
        <w:rPr>
          <w:rFonts w:ascii="Verdana" w:eastAsia="Arial" w:hAnsi="Verdana" w:cs="Arial"/>
          <w:spacing w:val="-9"/>
          <w:lang w:val="es-ES"/>
        </w:rPr>
        <w:t xml:space="preserve"> </w:t>
      </w:r>
      <w:r w:rsidRPr="001F41BC">
        <w:rPr>
          <w:rFonts w:ascii="Verdana" w:eastAsia="Arial" w:hAnsi="Verdana" w:cs="Arial"/>
          <w:lang w:val="es-ES"/>
        </w:rPr>
        <w:t>un</w:t>
      </w:r>
      <w:r w:rsidRPr="001F41BC">
        <w:rPr>
          <w:rFonts w:ascii="Verdana" w:eastAsia="Arial" w:hAnsi="Verdana" w:cs="Arial"/>
          <w:spacing w:val="-8"/>
          <w:lang w:val="es-ES"/>
        </w:rPr>
        <w:t xml:space="preserve"> </w:t>
      </w:r>
      <w:r w:rsidRPr="001F41BC">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1F41BC">
        <w:rPr>
          <w:rStyle w:val="Refdenotaalpie"/>
          <w:rFonts w:ascii="Verdana" w:eastAsia="Arial" w:hAnsi="Verdana" w:cs="Arial"/>
          <w:lang w:val="es-ES"/>
        </w:rPr>
        <w:footnoteReference w:id="3"/>
      </w:r>
      <w:r w:rsidRPr="001F41BC">
        <w:rPr>
          <w:rFonts w:ascii="Verdana" w:eastAsia="Arial" w:hAnsi="Verdana" w:cs="Arial"/>
          <w:lang w:val="es-ES"/>
        </w:rPr>
        <w:t>. Si bien este certificado no es un requisito</w:t>
      </w:r>
      <w:r w:rsidRPr="001F41BC">
        <w:rPr>
          <w:rFonts w:ascii="Verdana" w:eastAsia="Arial" w:hAnsi="Verdana" w:cs="Arial"/>
          <w:spacing w:val="45"/>
          <w:lang w:val="es-ES"/>
        </w:rPr>
        <w:t xml:space="preserve"> </w:t>
      </w:r>
      <w:r w:rsidRPr="001F41B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1F41BC">
        <w:rPr>
          <w:rFonts w:ascii="Verdana" w:eastAsia="Arial" w:hAnsi="Verdana" w:cs="Arial"/>
          <w:i/>
          <w:iCs/>
          <w:lang w:val="es-ES"/>
        </w:rPr>
        <w:lastRenderedPageBreak/>
        <w:t xml:space="preserve">personas jurídicas </w:t>
      </w:r>
      <w:r w:rsidRPr="001F41BC">
        <w:rPr>
          <w:rFonts w:ascii="Verdana" w:eastAsia="Arial" w:hAnsi="Verdana" w:cs="Arial"/>
          <w:lang w:val="es-ES"/>
        </w:rPr>
        <w:t>–Ley 789 de 2002, art. 50, inciso 3°–.</w:t>
      </w:r>
    </w:p>
    <w:p w14:paraId="5F274D43" w14:textId="77777777" w:rsidR="00500D81" w:rsidRDefault="00500D81" w:rsidP="003861F5">
      <w:pPr>
        <w:spacing w:after="120" w:line="276" w:lineRule="auto"/>
        <w:ind w:firstLine="709"/>
        <w:jc w:val="both"/>
        <w:rPr>
          <w:rFonts w:ascii="Verdana" w:hAnsi="Verdana" w:cs="Arial"/>
          <w:lang w:val="es-ES"/>
        </w:rPr>
      </w:pPr>
      <w:r w:rsidRPr="0085437D">
        <w:rPr>
          <w:rFonts w:ascii="Verdana" w:hAnsi="Verdana" w:cs="Arial"/>
          <w:lang w:val="es-ES"/>
        </w:rPr>
        <w:t xml:space="preserve">En este sentido, la verificación de los aportes al Sistema de Seguridad Social Integral cambia, dependiendo si se trata de una persona natural o de una jurídica: i) si es una </w:t>
      </w:r>
      <w:r>
        <w:rPr>
          <w:rFonts w:ascii="Verdana" w:hAnsi="Verdana" w:cs="Arial"/>
          <w:i/>
          <w:iCs/>
          <w:lang w:val="es-ES"/>
        </w:rPr>
        <w:t xml:space="preserve">persona </w:t>
      </w:r>
      <w:r w:rsidRPr="0085437D">
        <w:rPr>
          <w:rFonts w:ascii="Verdana" w:hAnsi="Verdana" w:cs="Arial"/>
          <w:i/>
          <w:lang w:val="es-ES"/>
        </w:rPr>
        <w:t>natural</w:t>
      </w:r>
      <w:r w:rsidRPr="0085437D">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Pr="0085437D">
        <w:rPr>
          <w:rFonts w:ascii="Verdana" w:hAnsi="Verdana" w:cs="Arial"/>
          <w:lang w:val="es-ES"/>
        </w:rPr>
        <w:t>ii</w:t>
      </w:r>
      <w:proofErr w:type="spellEnd"/>
      <w:r w:rsidRPr="0085437D">
        <w:rPr>
          <w:rFonts w:ascii="Verdana" w:hAnsi="Verdana" w:cs="Arial"/>
          <w:lang w:val="es-ES"/>
        </w:rPr>
        <w:t xml:space="preserve">) si se refiere a una </w:t>
      </w:r>
      <w:r w:rsidRPr="0085437D">
        <w:rPr>
          <w:rFonts w:ascii="Verdana" w:hAnsi="Verdana" w:cs="Arial"/>
          <w:i/>
          <w:lang w:val="es-ES"/>
        </w:rPr>
        <w:t>persona jurídica</w:t>
      </w:r>
      <w:r w:rsidRPr="0085437D">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01CBF95B" w14:textId="77777777" w:rsidR="00500D81" w:rsidRPr="001F41BC" w:rsidRDefault="00500D81" w:rsidP="003861F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2.</w:t>
      </w:r>
      <w:r w:rsidRPr="001F41BC">
        <w:rPr>
          <w:rFonts w:ascii="Verdana" w:eastAsia="Arial" w:hAnsi="Verdana" w:cs="Arial"/>
          <w:lang w:val="es-ES"/>
        </w:rPr>
        <w:t xml:space="preserve"> En el momento del </w:t>
      </w:r>
      <w:r w:rsidRPr="001F41BC">
        <w:rPr>
          <w:rFonts w:ascii="Verdana" w:eastAsia="Arial" w:hAnsi="Verdana" w:cs="Arial"/>
          <w:i/>
          <w:iCs/>
          <w:lang w:val="es-ES"/>
        </w:rPr>
        <w:t>perfeccionamiento del contrato estatal</w:t>
      </w:r>
      <w:r w:rsidRPr="001F41BC">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0929CEC3" w14:textId="77777777" w:rsidR="00500D81" w:rsidRPr="001F41BC" w:rsidRDefault="00500D81" w:rsidP="003861F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3.</w:t>
      </w:r>
      <w:r w:rsidRPr="001F41BC">
        <w:rPr>
          <w:rFonts w:ascii="Verdana" w:eastAsia="Arial" w:hAnsi="Verdana" w:cs="Arial"/>
          <w:lang w:val="es-ES"/>
        </w:rPr>
        <w:t xml:space="preserve"> El pago de los aportes de seguridad social 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23EDB2E2" w14:textId="77777777" w:rsidR="00500D81" w:rsidRPr="001F41BC" w:rsidRDefault="00500D81" w:rsidP="003861F5">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70F460BB" w14:textId="77777777" w:rsidR="00500D81" w:rsidRPr="001F41BC" w:rsidRDefault="00500D81" w:rsidP="003861F5">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lastRenderedPageBreak/>
        <w:tab/>
      </w: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6A2FD251" w14:textId="5DAA9F90" w:rsidR="00500D81" w:rsidRDefault="00500D81" w:rsidP="00D33130">
      <w:pPr>
        <w:widowControl w:val="0"/>
        <w:autoSpaceDE w:val="0"/>
        <w:autoSpaceDN w:val="0"/>
        <w:spacing w:after="120" w:line="276" w:lineRule="auto"/>
        <w:ind w:firstLine="708"/>
        <w:jc w:val="both"/>
        <w:rPr>
          <w:rFonts w:ascii="Verdana" w:eastAsia="Arial" w:hAnsi="Verdana" w:cs="Arial"/>
          <w:lang w:val="es-ES"/>
        </w:rPr>
      </w:pPr>
      <w:r w:rsidRPr="001F41BC">
        <w:rPr>
          <w:rFonts w:ascii="Verdana" w:eastAsia="Arial" w:hAnsi="Verdana" w:cs="Arial"/>
          <w:lang w:val="es-ES"/>
        </w:rPr>
        <w:t>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w:t>
      </w:r>
      <w:r w:rsidRPr="00D33130">
        <w:rPr>
          <w:rFonts w:ascii="Verdana" w:eastAsia="Arial" w:hAnsi="Verdana" w:cs="Arial"/>
          <w:spacing w:val="-9"/>
          <w:lang w:val="es-ES"/>
        </w:rPr>
        <w:t>independientemente</w:t>
      </w:r>
      <w:r w:rsidRPr="001F41BC">
        <w:rPr>
          <w:rFonts w:ascii="Verdana" w:eastAsia="Arial" w:hAnsi="Verdana" w:cs="Arial"/>
          <w:lang w:val="es-ES"/>
        </w:rPr>
        <w:t xml:space="preserve"> de su naturaleza o modalidad de selección. </w:t>
      </w:r>
      <w:bookmarkStart w:id="4" w:name="_Hlk80881612"/>
    </w:p>
    <w:p w14:paraId="30C8ED24" w14:textId="77777777" w:rsidR="00D33130" w:rsidRPr="0005702E" w:rsidRDefault="00D33130" w:rsidP="00D33130">
      <w:pPr>
        <w:spacing w:after="120" w:line="276" w:lineRule="auto"/>
        <w:ind w:firstLine="708"/>
        <w:jc w:val="both"/>
        <w:rPr>
          <w:rFonts w:ascii="Verdana" w:hAnsi="Verdana" w:cs="Arial"/>
          <w:lang w:val="es-ES_tradnl"/>
        </w:rPr>
      </w:pPr>
      <w:r>
        <w:rPr>
          <w:rFonts w:ascii="Verdana" w:eastAsia="Arial" w:hAnsi="Verdana" w:cs="Arial"/>
          <w:lang w:val="es-ES"/>
        </w:rPr>
        <w:t xml:space="preserve">Adicionalmente, </w:t>
      </w:r>
      <w:r w:rsidRPr="0005702E">
        <w:rPr>
          <w:rFonts w:ascii="Verdana" w:hAnsi="Verdana" w:cs="Arial"/>
          <w:lang w:val="es-ES_tradnl"/>
        </w:rPr>
        <w:t xml:space="preserve">la Ley 1955 de 2019 reguló el tema de las cotizaciones al Sistema de Seguridad Social Integral en el artículo 244, señalando que los trabajadores independientes con ingresos superiores a un (1) salario mínimo legal mensual vigente, que celebren contratos de prestación de servicios personales, cotizarán </w:t>
      </w:r>
      <w:r w:rsidRPr="0005702E">
        <w:rPr>
          <w:rFonts w:ascii="Verdana" w:hAnsi="Verdana" w:cs="Arial"/>
          <w:i/>
          <w:lang w:val="es-ES_tradnl"/>
        </w:rPr>
        <w:t>mes vencido</w:t>
      </w:r>
      <w:r w:rsidRPr="0005702E">
        <w:rPr>
          <w:rFonts w:ascii="Verdana" w:hAnsi="Verdana" w:cs="Arial"/>
          <w:lang w:val="es-ES_tradnl"/>
        </w:rPr>
        <w:t xml:space="preserve"> al Sistema de Seguridad Social Integral sobre una base mínima del cuarenta por ciento (40%) del valor mensualizado del contrato, sin incluir el valor del Impuesto al Valor Agregado (IVA)</w:t>
      </w:r>
      <w:r w:rsidRPr="0005702E">
        <w:rPr>
          <w:rFonts w:ascii="Verdana" w:hAnsi="Verdana" w:cs="Arial"/>
          <w:vertAlign w:val="superscript"/>
          <w:lang w:val="es-ES_tradnl"/>
        </w:rPr>
        <w:footnoteReference w:id="4"/>
      </w:r>
      <w:r w:rsidRPr="0005702E">
        <w:rPr>
          <w:rFonts w:ascii="Verdana" w:hAnsi="Verdana" w:cs="Arial"/>
          <w:lang w:val="es-ES_tradnl"/>
        </w:rPr>
        <w:t>.</w:t>
      </w:r>
    </w:p>
    <w:p w14:paraId="273E4689" w14:textId="77777777" w:rsidR="00D33130" w:rsidRPr="0005702E" w:rsidRDefault="00D33130" w:rsidP="00D33130">
      <w:pPr>
        <w:spacing w:after="120" w:line="276" w:lineRule="auto"/>
        <w:ind w:firstLine="709"/>
        <w:jc w:val="both"/>
        <w:rPr>
          <w:rFonts w:ascii="Verdana" w:hAnsi="Verdana" w:cs="Arial"/>
          <w:lang w:val="es-ES_tradnl"/>
        </w:rPr>
      </w:pPr>
      <w:r w:rsidRPr="0005702E">
        <w:rPr>
          <w:rFonts w:ascii="Verdana" w:hAnsi="Verdana" w:cs="Arial"/>
          <w:lang w:val="es-ES_tradnl"/>
        </w:rPr>
        <w:lastRenderedPageBreak/>
        <w:t>Dicha norma fue declara inexequible por la Corte Constitucional en la sentencia C-068 de 2020 por infringir el principio de unidad de materia, no obstante, el fallo difirió los efectos de esta decisión hasta el vencimiento de las dos legislaturas posteriores a la notificación del fallo</w:t>
      </w:r>
      <w:r w:rsidRPr="0005702E">
        <w:rPr>
          <w:rFonts w:ascii="Verdana" w:hAnsi="Verdana" w:cs="Arial"/>
          <w:vertAlign w:val="superscript"/>
          <w:lang w:val="es-ES_tradnl"/>
        </w:rPr>
        <w:footnoteReference w:id="5"/>
      </w:r>
      <w:r w:rsidRPr="0005702E">
        <w:rPr>
          <w:rFonts w:ascii="Verdana" w:hAnsi="Verdana" w:cs="Arial"/>
          <w:lang w:val="es-ES_tradnl"/>
        </w:rPr>
        <w:t xml:space="preserve">, condición que se cumplió en el mes de junio del año 2022. En consecuencia, dicho artículo ya no está vigente a la fecha. </w:t>
      </w:r>
    </w:p>
    <w:p w14:paraId="1B24C20D" w14:textId="77777777" w:rsidR="00D33130" w:rsidRPr="0005702E" w:rsidRDefault="00D33130" w:rsidP="00D33130">
      <w:pPr>
        <w:spacing w:after="120" w:line="276" w:lineRule="auto"/>
        <w:ind w:firstLine="709"/>
        <w:jc w:val="both"/>
        <w:rPr>
          <w:rFonts w:ascii="Verdana" w:hAnsi="Verdana" w:cs="Arial"/>
          <w:lang w:val="es-ES_tradnl"/>
        </w:rPr>
      </w:pPr>
      <w:r w:rsidRPr="0005702E">
        <w:rPr>
          <w:rFonts w:ascii="Verdana" w:hAnsi="Verdana" w:cs="Arial"/>
          <w:lang w:val="es-ES_tradnl"/>
        </w:rPr>
        <w:t xml:space="preserve">Sin perjuicio de lo anterior, el Ministerio de Trabajo emitió el Concepto Unificado rad. 08SE202223000000035861 de 2 de agosto de 2022, con ocasión de la efectividad de la </w:t>
      </w:r>
      <w:proofErr w:type="spellStart"/>
      <w:r w:rsidRPr="0005702E">
        <w:rPr>
          <w:rFonts w:ascii="Verdana" w:hAnsi="Verdana" w:cs="Arial"/>
          <w:lang w:val="es-ES_tradnl"/>
        </w:rPr>
        <w:t>exequibilidad</w:t>
      </w:r>
      <w:proofErr w:type="spellEnd"/>
      <w:r w:rsidRPr="0005702E">
        <w:rPr>
          <w:rFonts w:ascii="Verdana" w:hAnsi="Verdana" w:cs="Arial"/>
          <w:lang w:val="es-ES_tradnl"/>
        </w:rPr>
        <w:t xml:space="preserve"> del artículo 244 de la Ley 1955 de 2019 y la forma en que cotizan los trabajadores independientes, para concluir que esta no cambió, toda vez que operó la reviviscencia del </w:t>
      </w:r>
      <w:r w:rsidRPr="0005702E">
        <w:rPr>
          <w:rFonts w:ascii="Verdana" w:eastAsia="Arial" w:hAnsi="Verdana" w:cs="Arial"/>
          <w:lang w:val="es-ES" w:eastAsia="es-ES" w:bidi="es-ES"/>
        </w:rPr>
        <w:t>“</w:t>
      </w:r>
      <w:r w:rsidRPr="0005702E">
        <w:rPr>
          <w:rFonts w:ascii="Verdana" w:hAnsi="Verdana" w:cs="Arial"/>
          <w:lang w:val="es-ES_tradnl"/>
        </w:rPr>
        <w:t xml:space="preserve">artículo 18 de la Ley 1122 de 2007, norma que establece que la cotización de los independientes contratistas de prestación de servicios se efectuará: “(…) </w:t>
      </w:r>
      <w:r w:rsidRPr="0005702E">
        <w:rPr>
          <w:rFonts w:ascii="Verdana" w:hAnsi="Verdana" w:cs="Arial"/>
          <w:i/>
          <w:iCs/>
          <w:lang w:val="es-ES_tradnl"/>
        </w:rPr>
        <w:t>sobre una base de la cotización máxima de un 40% del valor mensualizado del contrato</w:t>
      </w:r>
      <w:r w:rsidRPr="0005702E">
        <w:rPr>
          <w:rFonts w:ascii="Verdana" w:hAnsi="Verdana" w:cs="Arial"/>
          <w:lang w:val="es-ES_tradnl"/>
        </w:rPr>
        <w:t>”</w:t>
      </w:r>
      <w:r w:rsidRPr="0005702E">
        <w:rPr>
          <w:rFonts w:ascii="Verdana" w:eastAsia="Calibri" w:hAnsi="Verdana" w:cs="Arial"/>
          <w:bCs/>
          <w:lang w:val="es-ES_tradnl"/>
        </w:rPr>
        <w:t>”</w:t>
      </w:r>
      <w:r w:rsidRPr="0005702E">
        <w:rPr>
          <w:rFonts w:ascii="Verdana" w:hAnsi="Verdana" w:cs="Arial"/>
          <w:lang w:val="es-ES_tradnl"/>
        </w:rPr>
        <w:t xml:space="preserve">. De igual forma, frente al pago por mes vencido continúa aplicándose el primer inciso del artículo 3.2.7.6 del Decreto 780 de 2016, norma que dispuso que </w:t>
      </w:r>
      <w:r w:rsidRPr="0005702E">
        <w:rPr>
          <w:rFonts w:ascii="Verdana" w:eastAsia="Arial" w:hAnsi="Verdana" w:cs="Arial"/>
          <w:lang w:val="es-ES" w:eastAsia="es-ES" w:bidi="es-ES"/>
        </w:rPr>
        <w:t>“</w:t>
      </w:r>
      <w:r w:rsidRPr="0005702E">
        <w:rPr>
          <w:rFonts w:ascii="Verdana" w:hAnsi="Verdana" w:cs="Arial"/>
          <w:lang w:val="es-ES_tradnl"/>
        </w:rPr>
        <w:t>el pago por mes vencido de las cotizaciones se debía efectuar a partir del 1 de octubre de 2018</w:t>
      </w:r>
      <w:r w:rsidRPr="0005702E">
        <w:rPr>
          <w:rFonts w:ascii="Verdana" w:eastAsia="Calibri" w:hAnsi="Verdana" w:cs="Arial"/>
          <w:bCs/>
          <w:lang w:val="es-ES_tradnl"/>
        </w:rPr>
        <w:t>”</w:t>
      </w:r>
      <w:r w:rsidRPr="0005702E">
        <w:rPr>
          <w:rFonts w:ascii="Verdana" w:hAnsi="Verdana" w:cs="Arial"/>
          <w:lang w:val="es-ES_tradnl"/>
        </w:rPr>
        <w:t>.</w:t>
      </w:r>
    </w:p>
    <w:p w14:paraId="6C351CC0" w14:textId="77777777" w:rsidR="00D33130" w:rsidRPr="0005702E" w:rsidRDefault="00D33130" w:rsidP="00D33130">
      <w:pPr>
        <w:spacing w:after="120" w:line="276" w:lineRule="auto"/>
        <w:ind w:firstLine="709"/>
        <w:jc w:val="both"/>
        <w:rPr>
          <w:rFonts w:ascii="Verdana" w:hAnsi="Verdana" w:cs="Arial"/>
          <w:lang w:val="es-ES"/>
        </w:rPr>
      </w:pPr>
      <w:r w:rsidRPr="0005702E">
        <w:rPr>
          <w:rFonts w:ascii="Verdana" w:hAnsi="Verdana" w:cs="Arial"/>
          <w:lang w:val="es-ES"/>
        </w:rPr>
        <w:t xml:space="preserve">Conforme a lo anterior, actualmente, </w:t>
      </w:r>
      <w:bookmarkStart w:id="5" w:name="_Hlk176971373"/>
      <w:r w:rsidRPr="0005702E">
        <w:rPr>
          <w:rFonts w:ascii="Verdana" w:hAnsi="Verdana" w:cs="Arial"/>
          <w:lang w:val="es-ES"/>
        </w:rPr>
        <w:t xml:space="preserve">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w:t>
      </w:r>
      <w:proofErr w:type="spellStart"/>
      <w:r w:rsidRPr="0005702E">
        <w:rPr>
          <w:rFonts w:ascii="Verdana" w:hAnsi="Verdana" w:cs="Arial"/>
          <w:lang w:val="es-ES"/>
        </w:rPr>
        <w:t>ii</w:t>
      </w:r>
      <w:proofErr w:type="spellEnd"/>
      <w:r w:rsidRPr="0005702E">
        <w:rPr>
          <w:rFonts w:ascii="Verdana" w:hAnsi="Verdana" w:cs="Arial"/>
          <w:lang w:val="es-ES"/>
        </w:rPr>
        <w:t xml:space="preserve">) la base mínima de cotización es el cuarenta por ciento (40%) del valor mensualizado de ingresos o </w:t>
      </w:r>
      <w:r w:rsidRPr="0005702E">
        <w:rPr>
          <w:rFonts w:ascii="Verdana" w:hAnsi="Verdana" w:cs="Arial"/>
          <w:lang w:val="es-ES"/>
        </w:rPr>
        <w:lastRenderedPageBreak/>
        <w:t xml:space="preserve">del contrato, </w:t>
      </w:r>
      <w:proofErr w:type="spellStart"/>
      <w:r w:rsidRPr="0005702E">
        <w:rPr>
          <w:rFonts w:ascii="Verdana" w:hAnsi="Verdana" w:cs="Arial"/>
          <w:lang w:val="es-ES"/>
        </w:rPr>
        <w:t>iii</w:t>
      </w:r>
      <w:proofErr w:type="spellEnd"/>
      <w:r w:rsidRPr="0005702E">
        <w:rPr>
          <w:rFonts w:ascii="Verdana" w:hAnsi="Verdana" w:cs="Arial"/>
          <w:lang w:val="es-ES"/>
        </w:rPr>
        <w:t xml:space="preserve">) la cotización se realizará mes vencido, y finalmente, </w:t>
      </w:r>
      <w:proofErr w:type="spellStart"/>
      <w:r w:rsidRPr="0005702E">
        <w:rPr>
          <w:rFonts w:ascii="Verdana" w:hAnsi="Verdana" w:cs="Arial"/>
          <w:lang w:val="es-ES"/>
        </w:rPr>
        <w:t>iv</w:t>
      </w:r>
      <w:proofErr w:type="spellEnd"/>
      <w:r w:rsidRPr="0005702E">
        <w:rPr>
          <w:rFonts w:ascii="Verdana" w:hAnsi="Verdana" w:cs="Arial"/>
          <w:lang w:val="es-ES"/>
        </w:rPr>
        <w:t xml:space="preserve">) el pago lo efectuará directamente el trabajador independiente. </w:t>
      </w:r>
    </w:p>
    <w:bookmarkEnd w:id="5"/>
    <w:p w14:paraId="4C9CDC26" w14:textId="77777777" w:rsidR="00D33130" w:rsidRPr="0005702E" w:rsidRDefault="00D33130" w:rsidP="00D33130">
      <w:pPr>
        <w:spacing w:after="120" w:line="276" w:lineRule="auto"/>
        <w:ind w:firstLine="709"/>
        <w:jc w:val="both"/>
        <w:rPr>
          <w:rFonts w:ascii="Verdana" w:hAnsi="Verdana" w:cs="Arial"/>
        </w:rPr>
      </w:pPr>
      <w:r w:rsidRPr="0005702E">
        <w:rPr>
          <w:rFonts w:ascii="Verdana" w:hAnsi="Verdana" w:cs="Arial"/>
          <w:lang w:val="es-ES_tradnl"/>
        </w:rPr>
        <w:t>Respecto de la oportunidad para el pago de los aportes, conviene mencionar que</w:t>
      </w:r>
      <w:r>
        <w:rPr>
          <w:rFonts w:ascii="Verdana" w:hAnsi="Verdana" w:cs="Arial"/>
          <w:lang w:val="es-ES_tradnl"/>
        </w:rPr>
        <w:t xml:space="preserve"> las</w:t>
      </w:r>
      <w:r w:rsidRPr="0005702E">
        <w:rPr>
          <w:rFonts w:ascii="Verdana" w:hAnsi="Verdana" w:cs="Arial"/>
          <w:lang w:val="es-ES_tradnl"/>
        </w:rPr>
        <w:t xml:space="preserve"> </w:t>
      </w:r>
      <w:r w:rsidRPr="0005702E">
        <w:rPr>
          <w:rFonts w:ascii="Verdana" w:hAnsi="Verdana" w:cs="Arial"/>
        </w:rPr>
        <w:t xml:space="preserve">Entidades Estatales deben respetar el derecho del contratista a hacer los aportes al Sistema de Seguridad Social Integral a más tardar en las fechas indicadas en el </w:t>
      </w:r>
      <w:bookmarkStart w:id="6" w:name="_Hlk176971306"/>
      <w:r w:rsidRPr="0005702E">
        <w:rPr>
          <w:rFonts w:ascii="Verdana" w:hAnsi="Verdana" w:cs="Arial"/>
        </w:rPr>
        <w:t xml:space="preserve">artículo 3.2.2.1. del Decreto 1990 de 2016 </w:t>
      </w:r>
      <w:bookmarkEnd w:id="6"/>
      <w:r w:rsidRPr="0005702E">
        <w:rPr>
          <w:rFonts w:ascii="Verdana" w:hAnsi="Verdana" w:cs="Arial"/>
        </w:rPr>
        <w:t xml:space="preserve">y de conformidad con el artículo 18 de la Ley 1122 de 2007, que establece que la cotización se realiza mes vencido sobre el cuarenta por ciento (40%) del valor mensualizado del contrato (sin contar el valor del IVA que no comporta un ingreso del cotizante). Por tanto, el supervisor debe verificar que el contratista haya hecho sus aportes por lo devengado en el mes inmediatamente anterior. </w:t>
      </w:r>
    </w:p>
    <w:p w14:paraId="38B674F2" w14:textId="77777777" w:rsidR="00D33130" w:rsidRPr="000A2CD2" w:rsidRDefault="00D33130" w:rsidP="00D33130">
      <w:pPr>
        <w:spacing w:after="0" w:line="276" w:lineRule="auto"/>
        <w:ind w:firstLine="709"/>
        <w:jc w:val="both"/>
        <w:rPr>
          <w:rFonts w:ascii="Verdana" w:hAnsi="Verdana" w:cs="Arial"/>
        </w:rPr>
      </w:pPr>
      <w:bookmarkStart w:id="7" w:name="_Hlk176971416"/>
      <w:r w:rsidRPr="000A2CD2">
        <w:rPr>
          <w:rFonts w:ascii="Verdana" w:hAnsi="Verdana" w:cs="Arial"/>
        </w:rPr>
        <w:t xml:space="preserve">Ahora bien, en atención a pregunta planteada, debe señalarse que el Ministerio de Salud y Protección Social expidió el </w:t>
      </w:r>
      <w:bookmarkStart w:id="8" w:name="_Hlk176971338"/>
      <w:r w:rsidRPr="000A2CD2">
        <w:rPr>
          <w:rFonts w:ascii="Verdana" w:hAnsi="Verdana" w:cs="Arial"/>
        </w:rPr>
        <w:t>Decreto 1273 de 2018</w:t>
      </w:r>
      <w:bookmarkEnd w:id="8"/>
      <w:r w:rsidRPr="000A2CD2">
        <w:rPr>
          <w:rFonts w:ascii="Verdana" w:hAnsi="Verdana" w:cs="Arial"/>
        </w:rPr>
        <w:t xml:space="preserve">, por medio del cual se reglamenta el pago de la cotización por mes vencido al Sistema de Seguridad Social Integral (SSSI) de los trabajadores independientes, así como la retención de aportes cuando se ha celebrado un contrato de prestación de servicios personales. En el primer inciso del </w:t>
      </w:r>
      <w:bookmarkStart w:id="9" w:name="_Hlk176971349"/>
      <w:r w:rsidRPr="000A2CD2">
        <w:rPr>
          <w:rFonts w:ascii="Verdana" w:hAnsi="Verdana" w:cs="Arial"/>
        </w:rPr>
        <w:t>artículo 3.2.7.1.</w:t>
      </w:r>
      <w:bookmarkEnd w:id="9"/>
      <w:r w:rsidRPr="000A2CD2">
        <w:rPr>
          <w:rFonts w:ascii="Verdana" w:hAnsi="Verdana" w:cs="Arial"/>
        </w:rPr>
        <w:t xml:space="preserve">, se señala lo siguiente respecto al Ingreso Base de Cotización – en adelante IBC: </w:t>
      </w:r>
    </w:p>
    <w:p w14:paraId="4AB14B45" w14:textId="77777777" w:rsidR="00D33130" w:rsidRPr="000A2CD2" w:rsidRDefault="00D33130" w:rsidP="00D33130">
      <w:pPr>
        <w:spacing w:after="0" w:line="276" w:lineRule="auto"/>
        <w:ind w:firstLine="709"/>
        <w:jc w:val="both"/>
        <w:rPr>
          <w:rFonts w:ascii="Verdana" w:hAnsi="Verdana" w:cs="Arial"/>
        </w:rPr>
      </w:pPr>
    </w:p>
    <w:p w14:paraId="0EA16A5D" w14:textId="77777777" w:rsidR="00D33130" w:rsidRPr="000A2CD2" w:rsidRDefault="00D33130" w:rsidP="00D33130">
      <w:pPr>
        <w:spacing w:after="0" w:line="240" w:lineRule="auto"/>
        <w:ind w:left="709" w:right="709"/>
        <w:jc w:val="both"/>
        <w:rPr>
          <w:rFonts w:ascii="Verdana" w:hAnsi="Verdana" w:cs="Arial"/>
          <w:sz w:val="20"/>
          <w:szCs w:val="20"/>
        </w:rPr>
      </w:pPr>
      <w:r w:rsidRPr="000A2CD2">
        <w:rPr>
          <w:rFonts w:ascii="Verdana" w:hAnsi="Verdana" w:cs="Arial"/>
          <w:sz w:val="20"/>
          <w:szCs w:val="20"/>
        </w:rPr>
        <w:t>“</w:t>
      </w:r>
      <w:r w:rsidRPr="000A2CD2">
        <w:rPr>
          <w:rFonts w:ascii="Verdana" w:hAnsi="Verdana" w:cs="Arial"/>
          <w:b/>
          <w:bCs/>
          <w:sz w:val="20"/>
          <w:szCs w:val="20"/>
        </w:rPr>
        <w:t>Artículo. 3.2.7.1. Ingreso Base de Cotización (IBC) del trabajador independiente con contrato de prestación de servicios personales.</w:t>
      </w:r>
      <w:r w:rsidRPr="000A2CD2">
        <w:rPr>
          <w:rFonts w:ascii="Verdana" w:hAnsi="Verdana" w:cs="Arial"/>
          <w:sz w:val="20"/>
          <w:szCs w:val="20"/>
        </w:rPr>
        <w:t xml:space="preserve"> El ingreso base de cotización (IBC) al Sistema de Seguridad Social Integral del trabajador independiente con contrato de prestación de servicios personales relacionados con las funciones de la entidad contratante corresponde mínimo al cuarenta por ciento (40%) del valor mensualizado de cada contrato, sin incluir el valor total del Impuesto al Valor Agregado (IVA) cuando a ello haya lugar. </w:t>
      </w:r>
      <w:r w:rsidRPr="000A2CD2">
        <w:rPr>
          <w:rFonts w:ascii="Verdana" w:hAnsi="Verdana" w:cs="Arial"/>
          <w:i/>
          <w:iCs/>
          <w:sz w:val="20"/>
          <w:szCs w:val="20"/>
        </w:rPr>
        <w:t xml:space="preserve">En ningún caso el IBC podrá ser inferior al salario mínimo mensual legal vigente ni superior a 25 veces el salario mínimo mensual legal vigente </w:t>
      </w:r>
      <w:r w:rsidRPr="000A2CD2">
        <w:rPr>
          <w:rFonts w:ascii="Verdana" w:hAnsi="Verdana" w:cs="Arial"/>
          <w:sz w:val="20"/>
          <w:szCs w:val="20"/>
        </w:rPr>
        <w:t xml:space="preserve">[…]” (Énfasis fuera del texto original). </w:t>
      </w:r>
    </w:p>
    <w:p w14:paraId="617A3286" w14:textId="77777777" w:rsidR="00D33130" w:rsidRPr="00D146C2" w:rsidRDefault="00D33130" w:rsidP="00D33130">
      <w:pPr>
        <w:spacing w:after="0" w:line="276" w:lineRule="auto"/>
        <w:ind w:firstLine="709"/>
        <w:jc w:val="both"/>
        <w:rPr>
          <w:rFonts w:ascii="Verdana" w:hAnsi="Verdana" w:cs="Arial"/>
          <w:highlight w:val="yellow"/>
        </w:rPr>
      </w:pPr>
    </w:p>
    <w:p w14:paraId="27F1161F" w14:textId="77777777" w:rsidR="00D33130" w:rsidRPr="00B9480E" w:rsidRDefault="00D33130" w:rsidP="00D33130">
      <w:pPr>
        <w:spacing w:after="120" w:line="276" w:lineRule="auto"/>
        <w:ind w:firstLine="709"/>
        <w:jc w:val="both"/>
        <w:rPr>
          <w:rFonts w:ascii="Verdana" w:hAnsi="Verdana" w:cs="Arial"/>
        </w:rPr>
      </w:pPr>
      <w:bookmarkStart w:id="10" w:name="_Hlk176971600"/>
      <w:r w:rsidRPr="000A2CD2">
        <w:rPr>
          <w:rFonts w:ascii="Verdana" w:hAnsi="Verdana" w:cs="Arial"/>
        </w:rPr>
        <w:t>Conforme el artículo citado, 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w:t>
      </w:r>
    </w:p>
    <w:bookmarkEnd w:id="7"/>
    <w:bookmarkEnd w:id="10"/>
    <w:p w14:paraId="66EA7C20" w14:textId="77777777" w:rsidR="00D33130" w:rsidRPr="0005702E" w:rsidRDefault="00D33130" w:rsidP="00D33130">
      <w:pPr>
        <w:spacing w:after="0" w:line="276" w:lineRule="auto"/>
        <w:ind w:firstLine="709"/>
        <w:jc w:val="both"/>
        <w:rPr>
          <w:rFonts w:ascii="Verdana" w:hAnsi="Verdana" w:cs="Arial"/>
        </w:rPr>
      </w:pPr>
      <w:r w:rsidRPr="0005702E">
        <w:rPr>
          <w:rFonts w:ascii="Verdana" w:hAnsi="Verdana" w:cs="Arial"/>
        </w:rPr>
        <w:t xml:space="preserve">Por otro lado, se debe tener en cuenta que el contrato estatal se puede celebrar con la persona natural, verificándose que se encuentre </w:t>
      </w:r>
      <w:r w:rsidRPr="0005702E">
        <w:rPr>
          <w:rFonts w:ascii="Verdana" w:hAnsi="Verdana" w:cs="Arial"/>
          <w:i/>
        </w:rPr>
        <w:t>afiliada</w:t>
      </w:r>
      <w:r w:rsidRPr="0005702E">
        <w:rPr>
          <w:rFonts w:ascii="Verdana" w:hAnsi="Verdana" w:cs="Arial"/>
        </w:rPr>
        <w:t xml:space="preserve"> al Sistema de Seguridad Social Integral, así lo esté en calidad de cotizante </w:t>
      </w:r>
      <w:r w:rsidRPr="0005702E">
        <w:rPr>
          <w:rFonts w:ascii="Verdana" w:hAnsi="Verdana" w:cs="Arial"/>
        </w:rPr>
        <w:lastRenderedPageBreak/>
        <w:t>dependiente; pero la persona, una vez celebrado el contrato, debe efectuar el reporte de la novedad de afiliación como trabajador independiente a cada subsistema –salud, pensiones y riesgos laborales–, pues, es así como debe cotizar mes vencido, según la normativa actualmente aplicable. De manera que, si la persona natural se encontraba afiliada como cotizante dependiente al régimen contributivo y celebra un contrato de prestación de servicios profesionales o de apoyo a la gestión con una Entidad Estatal, debe reportar la novedad de afiliación como independiente y cotizar en esta calidad, demostrando el cumplimiento de este deber, como requisito para el pago, en los términos del artículo 23 de la Ley 1150 de 2007.</w:t>
      </w:r>
    </w:p>
    <w:p w14:paraId="47A450B5" w14:textId="77777777" w:rsidR="00500D81" w:rsidRPr="00D33130" w:rsidRDefault="00500D81" w:rsidP="00500D81">
      <w:pPr>
        <w:widowControl w:val="0"/>
        <w:autoSpaceDE w:val="0"/>
        <w:autoSpaceDN w:val="0"/>
        <w:spacing w:after="0" w:line="276" w:lineRule="auto"/>
        <w:ind w:firstLine="709"/>
        <w:jc w:val="both"/>
        <w:rPr>
          <w:rFonts w:ascii="Verdana" w:eastAsia="Arial" w:hAnsi="Verdana" w:cs="Arial"/>
        </w:rPr>
      </w:pPr>
    </w:p>
    <w:p w14:paraId="53D77287" w14:textId="28FDDF0C" w:rsidR="000F3CED" w:rsidRPr="006B5858" w:rsidRDefault="00500D81" w:rsidP="000F3CED">
      <w:pPr>
        <w:spacing w:after="120" w:line="276" w:lineRule="auto"/>
        <w:jc w:val="both"/>
        <w:rPr>
          <w:rFonts w:ascii="Verdana" w:hAnsi="Verdana" w:cs="Arial"/>
          <w:lang w:val="es-MX"/>
          <w14:ligatures w14:val="standardContextual"/>
        </w:rPr>
      </w:pPr>
      <w:proofErr w:type="spellStart"/>
      <w:r>
        <w:rPr>
          <w:rFonts w:ascii="Verdana" w:eastAsia="Arial" w:hAnsi="Verdana" w:cs="Arial"/>
          <w:lang w:val="es-ES"/>
        </w:rPr>
        <w:t>iii</w:t>
      </w:r>
      <w:proofErr w:type="spellEnd"/>
      <w:r>
        <w:rPr>
          <w:rFonts w:ascii="Verdana" w:eastAsia="Arial" w:hAnsi="Verdana" w:cs="Arial"/>
          <w:lang w:val="es-ES"/>
        </w:rPr>
        <w:t xml:space="preserve">. Ahora bien, </w:t>
      </w:r>
      <w:bookmarkStart w:id="11" w:name="_Hlk198934308"/>
      <w:bookmarkEnd w:id="4"/>
      <w:r w:rsidR="000F3CED">
        <w:rPr>
          <w:rFonts w:ascii="Verdana" w:hAnsi="Verdana" w:cs="Arial"/>
          <w:lang w:val="es-MX"/>
          <w14:ligatures w14:val="standardContextual"/>
        </w:rPr>
        <w:t>l</w:t>
      </w:r>
      <w:r w:rsidR="000F3CED" w:rsidRPr="006B5858">
        <w:rPr>
          <w:rFonts w:ascii="Verdana" w:hAnsi="Verdana" w:cs="Arial"/>
          <w:lang w:val="es-MX"/>
          <w14:ligatures w14:val="standardContextual"/>
        </w:rPr>
        <w:t>as Leyes 60 de 1993 y 715 de 200</w:t>
      </w:r>
      <w:bookmarkEnd w:id="11"/>
      <w:r w:rsidR="000F3CED" w:rsidRPr="006B5858">
        <w:rPr>
          <w:rFonts w:ascii="Verdana" w:hAnsi="Verdana" w:cs="Arial"/>
          <w:lang w:val="es-MX"/>
          <w14:ligatures w14:val="standardContextual"/>
        </w:rPr>
        <w:t xml:space="preserve">1 descentralizaron el sistema educativo en Colombia, asignándoles a los departamentos, distritos y municipios las competencias y los recursos para dirigir las instituciones educativas. Es decir, el sistema educativo está descentralizado por las competencias propias que se les ha otorgado a las entidades territoriales para administrar las instituciones educativas, que pueden ser de los diferentes niveles, pero estas no son entidades descentralizadas. </w:t>
      </w:r>
    </w:p>
    <w:p w14:paraId="0B5195AA" w14:textId="77777777" w:rsidR="000F3CED" w:rsidRPr="006B5858" w:rsidRDefault="000F3CED" w:rsidP="000F3CED">
      <w:pPr>
        <w:spacing w:after="120" w:line="276" w:lineRule="auto"/>
        <w:ind w:firstLine="709"/>
        <w:jc w:val="both"/>
        <w:rPr>
          <w:rFonts w:ascii="Verdana" w:hAnsi="Verdana" w:cs="Arial"/>
          <w:lang w:val="es-MX"/>
          <w14:ligatures w14:val="standardContextual"/>
        </w:rPr>
      </w:pPr>
      <w:r w:rsidRPr="006B5858">
        <w:rPr>
          <w:rFonts w:ascii="Verdana" w:hAnsi="Verdana" w:cs="Arial"/>
          <w:lang w:val="es-MX"/>
          <w14:ligatures w14:val="standardContextual"/>
        </w:rPr>
        <w:t>Conforme a lo anterior,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les permiten a las instituciones realizar la gestión y ejecución presupuestal de los recursos que reciben los establecimientos educativos</w:t>
      </w:r>
      <w:r w:rsidRPr="006B5858">
        <w:rPr>
          <w:rFonts w:ascii="Verdana" w:hAnsi="Verdana" w:cs="Arial"/>
          <w:vertAlign w:val="superscript"/>
          <w:lang w:val="es-MX"/>
          <w14:ligatures w14:val="standardContextual"/>
        </w:rPr>
        <w:footnoteReference w:id="6"/>
      </w:r>
      <w:r w:rsidRPr="006B5858">
        <w:rPr>
          <w:rFonts w:ascii="Verdana" w:hAnsi="Verdana" w:cs="Arial"/>
          <w:lang w:val="es-MX"/>
          <w14:ligatures w14:val="standardContextual"/>
        </w:rPr>
        <w:t>.</w:t>
      </w:r>
    </w:p>
    <w:p w14:paraId="53E74E75" w14:textId="77777777" w:rsidR="000F3CED" w:rsidRPr="006B5858" w:rsidRDefault="000F3CED" w:rsidP="000F3CED">
      <w:pPr>
        <w:spacing w:after="0" w:line="276" w:lineRule="auto"/>
        <w:ind w:firstLine="709"/>
        <w:jc w:val="both"/>
        <w:rPr>
          <w:rFonts w:ascii="Verdana" w:hAnsi="Verdana" w:cs="Arial"/>
          <w:lang w:val="es-MX"/>
          <w14:ligatures w14:val="standardContextual"/>
        </w:rPr>
      </w:pPr>
      <w:r w:rsidRPr="006B5858">
        <w:rPr>
          <w:rFonts w:ascii="Verdana" w:hAnsi="Verdana" w:cs="Arial"/>
          <w:lang w:val="es-MX"/>
          <w14:ligatures w14:val="standardContextual"/>
        </w:rPr>
        <w:t>Los fondos de servicios educativos tampoco cuentan con personería jurídica según lo previsto en el artículo 2.3.1.6.3.4 del Decreto 1075 de 2015, Decreto Único Reglamentario del Sector Educación:</w:t>
      </w:r>
    </w:p>
    <w:p w14:paraId="6BB9C514" w14:textId="77777777" w:rsidR="000F3CED" w:rsidRPr="006B5858" w:rsidRDefault="000F3CED" w:rsidP="000F3CED">
      <w:pPr>
        <w:spacing w:after="0" w:line="276" w:lineRule="auto"/>
        <w:ind w:firstLine="709"/>
        <w:contextualSpacing/>
        <w:jc w:val="both"/>
        <w:rPr>
          <w:rFonts w:ascii="Verdana" w:hAnsi="Verdana" w:cs="Arial"/>
          <w:lang w:val="es-MX"/>
          <w14:ligatures w14:val="standardContextual"/>
        </w:rPr>
      </w:pPr>
    </w:p>
    <w:p w14:paraId="50CA83A8" w14:textId="77777777" w:rsidR="000F3CED" w:rsidRPr="006B5858" w:rsidRDefault="000F3CED" w:rsidP="000F3CED">
      <w:pPr>
        <w:spacing w:after="0" w:line="240" w:lineRule="auto"/>
        <w:ind w:left="709" w:right="709"/>
        <w:contextualSpacing/>
        <w:jc w:val="both"/>
        <w:rPr>
          <w:rFonts w:ascii="Verdana" w:hAnsi="Verdana" w:cs="Arial"/>
          <w:lang w:val="es-MX"/>
          <w14:ligatures w14:val="standardContextual"/>
        </w:rPr>
      </w:pPr>
      <w:r w:rsidRPr="006B5858">
        <w:rPr>
          <w:rFonts w:ascii="Verdana" w:hAnsi="Verdana" w:cs="Arial"/>
          <w:lang w:val="es-MX"/>
          <w14:ligatures w14:val="standardContextual"/>
        </w:rPr>
        <w:t xml:space="preserve">“Artículo 2.3.1.6.3.4. Ordenación del gasto. Los fondos de servicios educativos carecen de personería jurídica. El rector o director rural </w:t>
      </w:r>
      <w:r w:rsidRPr="006B5858">
        <w:rPr>
          <w:rFonts w:ascii="Verdana" w:hAnsi="Verdana" w:cs="Arial"/>
          <w:lang w:val="es-MX"/>
          <w14:ligatures w14:val="standardContextual"/>
        </w:rPr>
        <w:lastRenderedPageBreak/>
        <w:t>es el ordenador del gasto del Fondo de Servicios Educativos y su ejercicio no implica representación legal”</w:t>
      </w:r>
      <w:r w:rsidRPr="006B5858">
        <w:rPr>
          <w:rFonts w:ascii="Verdana" w:hAnsi="Verdana" w:cs="Arial"/>
          <w:vertAlign w:val="superscript"/>
          <w:lang w:val="es-MX"/>
          <w14:ligatures w14:val="standardContextual"/>
        </w:rPr>
        <w:footnoteReference w:id="7"/>
      </w:r>
      <w:r w:rsidRPr="006B5858">
        <w:rPr>
          <w:rFonts w:ascii="Verdana" w:hAnsi="Verdana" w:cs="Arial"/>
          <w:lang w:val="es-MX"/>
          <w14:ligatures w14:val="standardContextual"/>
        </w:rPr>
        <w:t>.</w:t>
      </w:r>
    </w:p>
    <w:p w14:paraId="04299362" w14:textId="77777777" w:rsidR="000F3CED" w:rsidRPr="006B5858" w:rsidRDefault="000F3CED" w:rsidP="000F3CED">
      <w:pPr>
        <w:spacing w:after="0" w:line="276" w:lineRule="auto"/>
        <w:contextualSpacing/>
        <w:jc w:val="both"/>
        <w:rPr>
          <w:rFonts w:ascii="Verdana" w:hAnsi="Verdana" w:cs="Arial"/>
          <w:lang w:val="es-MX"/>
          <w14:ligatures w14:val="standardContextual"/>
        </w:rPr>
      </w:pPr>
    </w:p>
    <w:p w14:paraId="4A07D7CA" w14:textId="77777777" w:rsidR="000F3CED" w:rsidRPr="006B5858" w:rsidRDefault="000F3CED" w:rsidP="000F3CED">
      <w:pPr>
        <w:spacing w:after="120" w:line="276" w:lineRule="auto"/>
        <w:ind w:firstLine="709"/>
        <w:jc w:val="both"/>
        <w:rPr>
          <w:rFonts w:ascii="Verdana" w:hAnsi="Verdana" w:cs="Arial"/>
          <w:lang w:val="es-MX"/>
          <w14:ligatures w14:val="standardContextual"/>
        </w:rPr>
      </w:pPr>
      <w:bookmarkStart w:id="13" w:name="_Hlk114553994"/>
      <w:r w:rsidRPr="006B5858">
        <w:rPr>
          <w:rFonts w:ascii="Verdana" w:hAnsi="Verdana" w:cs="Arial"/>
          <w:lang w:val="es-MX"/>
          <w14:ligatures w14:val="standardContextual"/>
        </w:rPr>
        <w:t>Respecto de la capacidad para contratar con la que cuentan las instituciones educativas por medio de los fondos de servicios educativos, hay que precisar que cuando se trata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6B5858">
        <w:rPr>
          <w:rFonts w:ascii="Verdana" w:hAnsi="Verdana" w:cs="Arial"/>
          <w:vertAlign w:val="superscript"/>
          <w:lang w:val="es-MX"/>
          <w14:ligatures w14:val="standardContextual"/>
        </w:rPr>
        <w:footnoteReference w:id="8"/>
      </w:r>
      <w:r w:rsidRPr="006B5858">
        <w:rPr>
          <w:rFonts w:ascii="Verdana" w:hAnsi="Verdana" w:cs="Arial"/>
          <w:lang w:val="es-MX"/>
          <w14:ligatures w14:val="standardContextual"/>
        </w:rPr>
        <w:t xml:space="preserve">. </w:t>
      </w:r>
    </w:p>
    <w:p w14:paraId="29EE3B46" w14:textId="77777777" w:rsidR="000F3CED" w:rsidRPr="006B5858" w:rsidRDefault="000F3CED" w:rsidP="000F3CED">
      <w:pPr>
        <w:spacing w:after="120" w:line="276" w:lineRule="auto"/>
        <w:ind w:firstLine="709"/>
        <w:jc w:val="both"/>
        <w:rPr>
          <w:rFonts w:ascii="Verdana" w:hAnsi="Verdana" w:cs="Arial"/>
          <w:lang w:val="es-MX"/>
          <w14:ligatures w14:val="standardContextual"/>
        </w:rPr>
      </w:pPr>
      <w:r w:rsidRPr="006B5858">
        <w:rPr>
          <w:rFonts w:ascii="Verdana" w:hAnsi="Verdana" w:cs="Arial"/>
          <w:lang w:val="es-MX"/>
          <w14:ligatures w14:val="standardContextual"/>
        </w:rPr>
        <w:t xml:space="preserve">Esto significa que la contratación que realicen las instituciones educativas, siempre que se ubique por debajo del referido umbral, no aplicará las reglas del EGCAP, sino a las determinadas por el reglamento expedido por el consejo directivo de la institución educativa conforme al artículo 13 de la Ley 715 de 2001, que implica que tales reglamentos se expidan de conformidad con los principios de igualdad, moralidad, imparcialidad y publicidad,  así como de acuerdo con la experiencia y el análisis concreto de las necesidades del establecimiento, determinando los trámites, garantías y constancias que deben cumplirse para que el rector o director celebre cualquier acto o contrato que cree, extinga o modifique obligaciones con cargo al respectivo fondo de servicios educativos. </w:t>
      </w:r>
    </w:p>
    <w:p w14:paraId="3364AC92" w14:textId="77777777" w:rsidR="000F3CED" w:rsidRPr="006B5858" w:rsidRDefault="000F3CED" w:rsidP="000F3CED">
      <w:pPr>
        <w:spacing w:after="120" w:line="276" w:lineRule="auto"/>
        <w:ind w:firstLine="709"/>
        <w:jc w:val="both"/>
        <w:rPr>
          <w:rFonts w:ascii="Verdana" w:eastAsia="Times New Roman" w:hAnsi="Verdana" w:cs="Arial"/>
          <w:lang w:eastAsia="es-MX"/>
          <w14:ligatures w14:val="standardContextual"/>
        </w:rPr>
      </w:pPr>
      <w:bookmarkStart w:id="14" w:name="_Hlk114554080"/>
      <w:bookmarkEnd w:id="13"/>
      <w:r w:rsidRPr="006B5858">
        <w:rPr>
          <w:rFonts w:ascii="Verdana" w:eastAsia="Times New Roman" w:hAnsi="Verdana" w:cs="Arial"/>
          <w:lang w:eastAsia="es-MX"/>
          <w14:ligatures w14:val="standardContextual"/>
        </w:rPr>
        <w:lastRenderedPageBreak/>
        <w:t xml:space="preserve">En ese sentido, tratándose de la contratación realizada por dichas instituciones por debajo de la cuantía de veinte (20) salarios mínimos legales mensuales vigentes, es el consejo directivo quien tiene la competencia para establecer las reglas conforme a las cuales debe realizarse la adquisición de bienes, obras y servicios, incluidos los procedimientos, mecanismos, requisitos y formalidades que deben respetarse en estos procesos de contratación. </w:t>
      </w:r>
    </w:p>
    <w:p w14:paraId="383D2319" w14:textId="77777777" w:rsidR="000F3CED" w:rsidRPr="006B5858" w:rsidRDefault="000F3CED" w:rsidP="000F3CED">
      <w:pPr>
        <w:spacing w:after="120" w:line="276" w:lineRule="auto"/>
        <w:ind w:firstLine="709"/>
        <w:jc w:val="both"/>
        <w:rPr>
          <w:rFonts w:ascii="Verdana" w:eastAsia="Times New Roman" w:hAnsi="Verdana" w:cs="Arial"/>
          <w:lang w:eastAsia="es-MX"/>
          <w14:ligatures w14:val="standardContextual"/>
        </w:rPr>
      </w:pPr>
      <w:r w:rsidRPr="006B5858">
        <w:rPr>
          <w:rFonts w:ascii="Verdana" w:eastAsia="Times New Roman" w:hAnsi="Verdana" w:cs="Arial"/>
          <w:lang w:eastAsia="es-MX"/>
          <w14:ligatures w14:val="standardContextual"/>
        </w:rPr>
        <w:t>Por el contrario, cuando la celebración de contratos a que haya lugar con recursos del fondo de servicios educativos supere la cuantía de los veinte (20) salarios mínimos legales mensuales vigentes, debe hacerse con estricta sujeción a lo dispuesto en la Ley 80 de 1993. Es decir, las reglas a las que deben sujetarse los procedimientos dentro de los que se enmarque esta contratación son las del EGCAP, procediendo la aplicación de las modalidades de selección definidas en la Ley 1150 de 2007, así como los requisitos y formalidades establecidos en el Decreto 1082 del 2015 y demás normas aplicables.</w:t>
      </w:r>
    </w:p>
    <w:bookmarkEnd w:id="14"/>
    <w:p w14:paraId="55A3723C" w14:textId="77777777" w:rsidR="000F3CED" w:rsidRDefault="000F3CED" w:rsidP="00500D81">
      <w:pPr>
        <w:spacing w:after="120" w:line="276" w:lineRule="auto"/>
        <w:jc w:val="both"/>
        <w:rPr>
          <w:rFonts w:ascii="Verdana" w:eastAsia="Calibri" w:hAnsi="Verdana" w:cs="Arial"/>
          <w:bCs/>
          <w:color w:val="000000" w:themeColor="text1"/>
        </w:rPr>
      </w:pPr>
    </w:p>
    <w:p w14:paraId="58CC2C47" w14:textId="5DD87F95" w:rsidR="00500D81" w:rsidRPr="008415A2" w:rsidRDefault="00500D81" w:rsidP="00500D81">
      <w:pPr>
        <w:spacing w:after="120" w:line="276" w:lineRule="auto"/>
        <w:jc w:val="both"/>
        <w:rPr>
          <w:rFonts w:ascii="Verdana" w:hAnsi="Verdana"/>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BCB9548" w14:textId="77777777" w:rsidR="00500D81" w:rsidRDefault="00500D81" w:rsidP="00500D81">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C2ABDCD" w14:textId="77777777" w:rsidR="00500D81" w:rsidRPr="00046677" w:rsidRDefault="00500D81" w:rsidP="00046677">
      <w:pPr>
        <w:spacing w:after="0" w:line="276" w:lineRule="auto"/>
        <w:ind w:firstLine="708"/>
        <w:jc w:val="both"/>
        <w:rPr>
          <w:rFonts w:ascii="Verdana" w:eastAsia="Calibri" w:hAnsi="Verdana" w:cs="Arial"/>
          <w:bCs/>
          <w:color w:val="000000" w:themeColor="text1"/>
        </w:rPr>
      </w:pPr>
    </w:p>
    <w:p w14:paraId="4EC048B9" w14:textId="77777777" w:rsidR="00500D81" w:rsidRPr="00046677" w:rsidRDefault="00500D81" w:rsidP="00046677">
      <w:pPr>
        <w:spacing w:after="0" w:line="276" w:lineRule="auto"/>
        <w:jc w:val="both"/>
        <w:rPr>
          <w:rFonts w:ascii="Verdana" w:eastAsia="Calibri" w:hAnsi="Verdana" w:cs="Arial"/>
          <w:bCs/>
          <w:color w:val="000000" w:themeColor="text1"/>
        </w:rPr>
      </w:pPr>
      <w:r w:rsidRPr="00046677">
        <w:rPr>
          <w:rFonts w:ascii="Verdana" w:eastAsia="Century Gothic" w:hAnsi="Verdana" w:cs="Century Gothic"/>
          <w:b/>
          <w:bCs/>
        </w:rPr>
        <w:t>4. Referencias normativas:</w:t>
      </w:r>
    </w:p>
    <w:p w14:paraId="41B2C696" w14:textId="77777777" w:rsidR="00500D81" w:rsidRPr="00046677" w:rsidRDefault="00500D81" w:rsidP="0004667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0D81" w:rsidRPr="00046677" w14:paraId="42B2EA66" w14:textId="77777777" w:rsidTr="005A3D07">
        <w:trPr>
          <w:trHeight w:val="870"/>
          <w:jc w:val="center"/>
        </w:trPr>
        <w:tc>
          <w:tcPr>
            <w:tcW w:w="8647" w:type="dxa"/>
          </w:tcPr>
          <w:p w14:paraId="093858A2" w14:textId="77777777" w:rsidR="000F3CED" w:rsidRPr="000F3CED" w:rsidRDefault="000F3CED" w:rsidP="000F3CED">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F3CED">
              <w:rPr>
                <w:rFonts w:ascii="Verdana" w:hAnsi="Verdana" w:cs="Arial"/>
              </w:rPr>
              <w:t>Ley 60 de 1993.</w:t>
            </w:r>
          </w:p>
          <w:p w14:paraId="51ACF5D9" w14:textId="77777777" w:rsidR="000F3CED" w:rsidRPr="000F3CED" w:rsidRDefault="000F3CED" w:rsidP="000F3CED">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F3CED">
              <w:rPr>
                <w:rFonts w:ascii="Verdana" w:hAnsi="Verdana" w:cs="Arial"/>
              </w:rPr>
              <w:t xml:space="preserve">Ley 715 de 2001. Artículo 13. </w:t>
            </w:r>
          </w:p>
          <w:p w14:paraId="73606C1B" w14:textId="77777777" w:rsidR="000F3CED" w:rsidRPr="000F3CED" w:rsidRDefault="000F3CED" w:rsidP="000F3CED">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F3CED">
              <w:rPr>
                <w:rFonts w:ascii="Verdana" w:hAnsi="Verdana" w:cs="Arial"/>
              </w:rPr>
              <w:t>Decreto 4791 de 2008. Artículo 2.</w:t>
            </w:r>
          </w:p>
          <w:p w14:paraId="552045B0" w14:textId="77777777" w:rsidR="000F3CED" w:rsidRPr="000F3CED" w:rsidRDefault="000F3CED" w:rsidP="000F3CED">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F3CED">
              <w:rPr>
                <w:rFonts w:ascii="Verdana" w:hAnsi="Verdana" w:cs="Arial"/>
              </w:rPr>
              <w:t>Decreto 1075 de 2015. Artículos 2.3.1.6.3.3., 2.3.1.3.6.5., 2.3.1.6.3.4., 2.3.1.6.3.17.</w:t>
            </w:r>
          </w:p>
          <w:p w14:paraId="0279391E" w14:textId="30231AFA" w:rsidR="00500D81" w:rsidRPr="00046677" w:rsidRDefault="00500D81" w:rsidP="00046677">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80 de 1993, artículo 32 y 41.</w:t>
            </w:r>
          </w:p>
          <w:p w14:paraId="7F90F874" w14:textId="77777777" w:rsidR="00500D81" w:rsidRPr="00046677" w:rsidRDefault="00500D81" w:rsidP="00046677">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789 de 2002, artículo 50.</w:t>
            </w:r>
          </w:p>
          <w:p w14:paraId="305186F3" w14:textId="6E1C8806" w:rsidR="00500D81" w:rsidRPr="00046677" w:rsidRDefault="002B7A94" w:rsidP="000F3CED">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2B7A94">
              <w:rPr>
                <w:rFonts w:ascii="Verdana" w:hAnsi="Verdana" w:cs="Arial"/>
              </w:rPr>
              <w:t>Ley 1122 de 2007</w:t>
            </w:r>
            <w:r>
              <w:rPr>
                <w:rFonts w:ascii="Verdana" w:hAnsi="Verdana" w:cs="Arial"/>
              </w:rPr>
              <w:t xml:space="preserve">, </w:t>
            </w:r>
            <w:r w:rsidRPr="002B7A94">
              <w:rPr>
                <w:rFonts w:ascii="Verdana" w:hAnsi="Verdana" w:cs="Arial"/>
              </w:rPr>
              <w:t>artículo 18</w:t>
            </w:r>
            <w:r>
              <w:rPr>
                <w:rFonts w:ascii="Verdana" w:hAnsi="Verdana" w:cs="Arial"/>
              </w:rPr>
              <w:t>.</w:t>
            </w:r>
          </w:p>
        </w:tc>
      </w:tr>
    </w:tbl>
    <w:p w14:paraId="64D727E4" w14:textId="77777777" w:rsidR="00500D81" w:rsidRPr="00046677" w:rsidRDefault="00500D81" w:rsidP="0004667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D2231B1" w14:textId="77777777" w:rsidR="00500D81" w:rsidRPr="00046677" w:rsidRDefault="00500D81" w:rsidP="0004667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046677">
        <w:rPr>
          <w:rFonts w:ascii="Verdana" w:eastAsia="Century Gothic" w:hAnsi="Verdana" w:cs="Century Gothic"/>
          <w:b/>
          <w:bCs/>
        </w:rPr>
        <w:t>5. Doctrina de la Agencia Nacional de Contratación Pública:</w:t>
      </w:r>
    </w:p>
    <w:p w14:paraId="13D9214E" w14:textId="77777777" w:rsidR="00500D81" w:rsidRPr="00046677" w:rsidRDefault="00500D81" w:rsidP="00046677">
      <w:pPr>
        <w:widowControl w:val="0"/>
        <w:autoSpaceDE w:val="0"/>
        <w:autoSpaceDN w:val="0"/>
        <w:spacing w:after="0" w:line="276" w:lineRule="auto"/>
        <w:jc w:val="both"/>
        <w:rPr>
          <w:rFonts w:ascii="Verdana" w:hAnsi="Verdana" w:cs="Arial"/>
        </w:rPr>
      </w:pPr>
    </w:p>
    <w:p w14:paraId="4FFEDD85" w14:textId="77777777" w:rsidR="005E73FB" w:rsidRPr="00046677" w:rsidRDefault="005E73FB" w:rsidP="005E73FB">
      <w:pPr>
        <w:widowControl w:val="0"/>
        <w:autoSpaceDE w:val="0"/>
        <w:autoSpaceDN w:val="0"/>
        <w:spacing w:after="0" w:line="276" w:lineRule="auto"/>
        <w:jc w:val="both"/>
        <w:rPr>
          <w:rStyle w:val="normaltextrun"/>
          <w:rFonts w:ascii="Verdana" w:hAnsi="Verdana" w:cs="Arial"/>
          <w:shd w:val="clear" w:color="auto" w:fill="FFFFFF"/>
        </w:rPr>
      </w:pPr>
      <w:r w:rsidRPr="00046677">
        <w:rPr>
          <w:rFonts w:ascii="Verdana" w:hAnsi="Verdana" w:cs="Arial"/>
          <w:shd w:val="clear" w:color="auto" w:fill="FFFFFF"/>
        </w:rPr>
        <w:t>Esta Subdirección se ha pronunciado sobre el régimen de seguridad social en los Conceptos 42019130000005594 de 30 de septiembre de 2019, 4201913000006384 de 21 de octubre de 2019, 4201912000007492 de 17 de diciembre de 2019, C-040 de 5 de febrero de 2020, C-042 de 5 de febrero de 2020, C-134 del 7 de abril 2021, C-038 del 1° de marzo de 2022, C-712 del 13 de octubre del 2022, C-192 del 13 de junio del 2023, C-054 del 19 de abril del 2023, C-423 del 12 de octubre de 2023, C-448 del 26 de diciembre de 2023</w:t>
      </w:r>
      <w:r>
        <w:rPr>
          <w:rFonts w:ascii="Verdana" w:hAnsi="Verdana" w:cs="Arial"/>
          <w:shd w:val="clear" w:color="auto" w:fill="FFFFFF"/>
        </w:rPr>
        <w:t>, C-559 del 11 de septiembre de 2024,</w:t>
      </w:r>
      <w:r w:rsidRPr="00046677">
        <w:rPr>
          <w:rFonts w:ascii="Verdana" w:hAnsi="Verdana" w:cs="Arial"/>
          <w:shd w:val="clear" w:color="auto" w:fill="FFFFFF"/>
        </w:rPr>
        <w:t xml:space="preserve"> C-585 del 24 de junio de 2025</w:t>
      </w:r>
      <w:r>
        <w:rPr>
          <w:rFonts w:ascii="Verdana" w:hAnsi="Verdana" w:cs="Arial"/>
          <w:shd w:val="clear" w:color="auto" w:fill="FFFFFF"/>
        </w:rPr>
        <w:t>,</w:t>
      </w:r>
      <w:r w:rsidRPr="00046677">
        <w:rPr>
          <w:rFonts w:ascii="Verdana" w:hAnsi="Verdana" w:cs="Arial"/>
          <w:shd w:val="clear" w:color="auto" w:fill="FFFFFF"/>
        </w:rPr>
        <w:t xml:space="preserve"> C-655 del 17 de junio de 2025</w:t>
      </w:r>
      <w:r>
        <w:rPr>
          <w:rFonts w:ascii="Verdana" w:hAnsi="Verdana" w:cs="Arial"/>
          <w:shd w:val="clear" w:color="auto" w:fill="FFFFFF"/>
        </w:rPr>
        <w:t xml:space="preserve"> y C-918 del 18 de agosto de 2025</w:t>
      </w:r>
      <w:r w:rsidRPr="00046677">
        <w:rPr>
          <w:rFonts w:ascii="Verdana" w:hAnsi="Verdana" w:cs="Arial"/>
          <w:shd w:val="clear" w:color="auto" w:fill="FFFFFF"/>
        </w:rPr>
        <w:t>. Estos y otros se encuentran disponibles para consulta en el Sistema de relatoría de la Agencia, al cual puede accederse a través del siguiente enlace:</w:t>
      </w:r>
      <w:r w:rsidRPr="00046677">
        <w:rPr>
          <w:rStyle w:val="normaltextrun"/>
          <w:rFonts w:ascii="Verdana" w:hAnsi="Verdana" w:cs="Arial"/>
          <w:shd w:val="clear" w:color="auto" w:fill="FFFFFF"/>
        </w:rPr>
        <w:t xml:space="preserve"> </w:t>
      </w:r>
      <w:hyperlink r:id="rId12" w:history="1">
        <w:r w:rsidRPr="00046677">
          <w:rPr>
            <w:rStyle w:val="Hipervnculo"/>
            <w:rFonts w:ascii="Verdana" w:hAnsi="Verdana" w:cs="Arial"/>
            <w:shd w:val="clear" w:color="auto" w:fill="FFFFFF"/>
          </w:rPr>
          <w:t>https://relatoria.colombiacompra.gov.co/busqueda/conceptos</w:t>
        </w:r>
      </w:hyperlink>
    </w:p>
    <w:p w14:paraId="1413376B" w14:textId="77777777" w:rsidR="00500D81" w:rsidRPr="00046677" w:rsidRDefault="00500D81" w:rsidP="00046677">
      <w:pPr>
        <w:widowControl w:val="0"/>
        <w:autoSpaceDE w:val="0"/>
        <w:autoSpaceDN w:val="0"/>
        <w:spacing w:after="0" w:line="276" w:lineRule="auto"/>
        <w:jc w:val="both"/>
        <w:rPr>
          <w:rFonts w:ascii="Verdana" w:hAnsi="Verdana" w:cs="Arial"/>
          <w:color w:val="000000" w:themeColor="text1"/>
          <w:shd w:val="clear" w:color="auto" w:fill="FFFFFF"/>
        </w:rPr>
      </w:pPr>
    </w:p>
    <w:p w14:paraId="4041BD44" w14:textId="77777777" w:rsidR="00500D81" w:rsidRPr="00046677" w:rsidRDefault="00500D81" w:rsidP="00046677">
      <w:pPr>
        <w:shd w:val="clear" w:color="auto" w:fill="FFFFFF"/>
        <w:spacing w:after="0" w:line="276" w:lineRule="auto"/>
        <w:jc w:val="both"/>
        <w:rPr>
          <w:rFonts w:ascii="Verdana" w:hAnsi="Verdana"/>
          <w:color w:val="467886"/>
          <w:u w:val="single"/>
        </w:rPr>
      </w:pPr>
      <w:r w:rsidRPr="00046677">
        <w:rPr>
          <w:rFonts w:ascii="Verdana" w:hAnsi="Verdana"/>
          <w:color w:val="000000"/>
        </w:rPr>
        <w:t>Te informamos que ya se encuentra disponible la </w:t>
      </w:r>
      <w:r w:rsidRPr="00046677">
        <w:rPr>
          <w:rFonts w:ascii="Verdana" w:hAnsi="Verdana"/>
          <w:b/>
          <w:bCs/>
          <w:color w:val="000000"/>
        </w:rPr>
        <w:t>Guía de lineamientos de transparencia y selección objetiva para el departamento de La Guajira – Objetivo sexto constitucional de la Sentencia T-302 del 2017. </w:t>
      </w:r>
      <w:r w:rsidRPr="00046677">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46677">
        <w:rPr>
          <w:rFonts w:ascii="Verdana" w:hAnsi="Verdana"/>
          <w:color w:val="000000"/>
        </w:rPr>
        <w:t>Wayúu</w:t>
      </w:r>
      <w:proofErr w:type="spellEnd"/>
      <w:r w:rsidRPr="00046677">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46677">
          <w:rPr>
            <w:rStyle w:val="Hipervnculo"/>
            <w:rFonts w:ascii="Verdana" w:hAnsi="Verdana"/>
          </w:rPr>
          <w:t xml:space="preserve">Guía de lineamientos de transparencia y selección </w:t>
        </w:r>
        <w:r w:rsidRPr="00046677">
          <w:rPr>
            <w:rStyle w:val="Hipervnculo"/>
            <w:rFonts w:ascii="Verdana" w:hAnsi="Verdana"/>
          </w:rPr>
          <w:lastRenderedPageBreak/>
          <w:t>objetiva para el departamento de La Guajira – Objetivo sexto constitucional de la Sentencia T-302 del 2017</w:t>
        </w:r>
      </w:hyperlink>
      <w:r w:rsidRPr="00046677">
        <w:rPr>
          <w:rFonts w:ascii="Verdana" w:hAnsi="Verdana"/>
          <w:color w:val="000000"/>
          <w:u w:val="single"/>
        </w:rPr>
        <w:t>".</w:t>
      </w:r>
    </w:p>
    <w:p w14:paraId="3506B8CA" w14:textId="77777777" w:rsidR="00500D81" w:rsidRPr="00046677" w:rsidRDefault="00500D81" w:rsidP="00046677">
      <w:pPr>
        <w:shd w:val="clear" w:color="auto" w:fill="FFFFFF"/>
        <w:spacing w:after="0" w:line="276" w:lineRule="auto"/>
        <w:jc w:val="both"/>
        <w:rPr>
          <w:rFonts w:ascii="Verdana" w:hAnsi="Verdana" w:cs="Arial"/>
          <w:color w:val="FF0000"/>
          <w:shd w:val="clear" w:color="auto" w:fill="FFFFFF"/>
          <w:lang w:val="es-ES_tradnl"/>
        </w:rPr>
      </w:pPr>
      <w:r w:rsidRPr="00046677">
        <w:rPr>
          <w:rFonts w:ascii="Verdana" w:hAnsi="Verdana" w:cs="Arial"/>
          <w:color w:val="000000" w:themeColor="text1"/>
          <w:shd w:val="clear" w:color="auto" w:fill="FFFFFF"/>
          <w:lang w:val="es-ES_tradnl"/>
        </w:rPr>
        <w:t xml:space="preserve"> </w:t>
      </w:r>
      <w:r w:rsidRPr="00046677">
        <w:rPr>
          <w:rStyle w:val="normaltextrun"/>
          <w:rFonts w:ascii="Verdana" w:hAnsi="Verdana" w:cs="Arial"/>
          <w:color w:val="FF0000"/>
          <w:shd w:val="clear" w:color="auto" w:fill="FFFFFF"/>
          <w:lang w:val="es-ES_tradnl"/>
        </w:rPr>
        <w:t xml:space="preserve">        </w:t>
      </w:r>
    </w:p>
    <w:p w14:paraId="5DEBE41D" w14:textId="77777777" w:rsidR="00500D81" w:rsidRPr="00046677" w:rsidRDefault="00500D81" w:rsidP="00046677">
      <w:pPr>
        <w:widowControl w:val="0"/>
        <w:autoSpaceDE w:val="0"/>
        <w:autoSpaceDN w:val="0"/>
        <w:spacing w:after="0" w:line="276" w:lineRule="auto"/>
        <w:jc w:val="both"/>
        <w:rPr>
          <w:rFonts w:ascii="Verdana" w:hAnsi="Verdana" w:cs="Arial"/>
          <w:lang w:val="es-ES_tradnl"/>
        </w:rPr>
      </w:pPr>
      <w:r w:rsidRPr="00046677">
        <w:rPr>
          <w:rFonts w:ascii="Verdana" w:hAnsi="Verdana" w:cs="Arial"/>
        </w:rPr>
        <w:t xml:space="preserve">Este concepto tiene el alcance previsto en el artículo 28 del Código de Procedimiento Administrativo y de lo Contencioso Administrativo </w:t>
      </w:r>
      <w:r w:rsidRPr="00046677">
        <w:rPr>
          <w:rFonts w:ascii="Verdana" w:hAnsi="Verdana" w:cs="Arial"/>
          <w:lang w:val="es-ES_tradnl"/>
        </w:rPr>
        <w:t>y las expresiones aquí utilizadas con mayúscula inicial deben ser entendidas con el significado que les otorga el artículo 2.2.1.1.1.3.1. del Decreto 1082 de 2015.</w:t>
      </w:r>
    </w:p>
    <w:p w14:paraId="3D9B185C" w14:textId="77777777" w:rsidR="00500D81" w:rsidRPr="00046677" w:rsidRDefault="00500D81" w:rsidP="00046677">
      <w:pPr>
        <w:widowControl w:val="0"/>
        <w:autoSpaceDE w:val="0"/>
        <w:autoSpaceDN w:val="0"/>
        <w:spacing w:after="0" w:line="276" w:lineRule="auto"/>
        <w:jc w:val="both"/>
        <w:rPr>
          <w:rFonts w:ascii="Verdana" w:hAnsi="Verdana" w:cs="Arial"/>
        </w:rPr>
      </w:pPr>
    </w:p>
    <w:p w14:paraId="02024383" w14:textId="77777777" w:rsidR="00500D81" w:rsidRPr="00046677" w:rsidRDefault="00500D81" w:rsidP="00DA4134">
      <w:pPr>
        <w:spacing w:after="0" w:line="276" w:lineRule="auto"/>
        <w:rPr>
          <w:rFonts w:ascii="Verdana" w:hAnsi="Verdana" w:cs="Arial"/>
          <w:lang w:eastAsia="es-CO"/>
        </w:rPr>
      </w:pPr>
      <w:r w:rsidRPr="00046677">
        <w:rPr>
          <w:rFonts w:ascii="Verdana" w:eastAsia="Times New Roman" w:hAnsi="Verdana" w:cs="Arial"/>
          <w:lang w:eastAsia="es-CO"/>
        </w:rPr>
        <w:t>Atentamente,</w:t>
      </w:r>
      <w:r w:rsidRPr="00046677">
        <w:rPr>
          <w:rFonts w:ascii="Verdana" w:hAnsi="Verdana" w:cs="Arial"/>
          <w:lang w:eastAsia="es-CO"/>
        </w:rPr>
        <w:t xml:space="preserve"> </w:t>
      </w:r>
    </w:p>
    <w:p w14:paraId="2BE4B402" w14:textId="05BAE4D5" w:rsidR="00500D81" w:rsidRPr="00593A5F" w:rsidRDefault="00BE0D9B" w:rsidP="00500D81">
      <w:pPr>
        <w:spacing w:line="276" w:lineRule="auto"/>
        <w:jc w:val="center"/>
        <w:rPr>
          <w:rFonts w:ascii="Verdana" w:hAnsi="Verdana" w:cs="Arial"/>
          <w:color w:val="000000"/>
          <w:lang w:val="es-ES_tradnl" w:eastAsia="es-CO"/>
        </w:rPr>
      </w:pPr>
      <w:r>
        <w:rPr>
          <w:noProof/>
        </w:rPr>
        <w:drawing>
          <wp:inline distT="0" distB="0" distL="0" distR="0" wp14:anchorId="6DE985BC" wp14:editId="32BC6CA4">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00D81" w:rsidRPr="00593A5F" w14:paraId="16EF88F1" w14:textId="77777777" w:rsidTr="005A3D07">
        <w:trPr>
          <w:trHeight w:val="315"/>
        </w:trPr>
        <w:tc>
          <w:tcPr>
            <w:tcW w:w="893" w:type="dxa"/>
            <w:vAlign w:val="center"/>
            <w:hideMark/>
          </w:tcPr>
          <w:p w14:paraId="7FDA8C23" w14:textId="77777777" w:rsidR="00500D81" w:rsidRPr="003751C7" w:rsidRDefault="00500D81" w:rsidP="005A3D0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3F22A2" w14:textId="77777777" w:rsidR="00500D81" w:rsidRPr="00254A7A" w:rsidRDefault="00500D81" w:rsidP="005A3D07">
            <w:pPr>
              <w:contextualSpacing/>
              <w:rPr>
                <w:rStyle w:val="normaltextrun"/>
                <w:rFonts w:ascii="Verdana" w:hAnsi="Verdana"/>
                <w:sz w:val="16"/>
                <w:szCs w:val="16"/>
              </w:rPr>
            </w:pPr>
            <w:r>
              <w:rPr>
                <w:rStyle w:val="normaltextrun"/>
                <w:rFonts w:ascii="Verdana" w:hAnsi="Verdana"/>
                <w:sz w:val="16"/>
                <w:szCs w:val="16"/>
              </w:rPr>
              <w:t>Ximena Ríos López</w:t>
            </w:r>
          </w:p>
          <w:p w14:paraId="57208DDF" w14:textId="77777777" w:rsidR="00500D81" w:rsidRPr="00254A7A" w:rsidRDefault="00500D81" w:rsidP="005A3D07">
            <w:pPr>
              <w:contextualSpacing/>
              <w:rPr>
                <w:rFonts w:ascii="Verdana" w:eastAsia="Arial" w:hAnsi="Verdana" w:cs="Arial"/>
                <w:sz w:val="16"/>
                <w:szCs w:val="16"/>
              </w:rPr>
            </w:pPr>
            <w:r w:rsidRPr="001B6B73">
              <w:rPr>
                <w:rStyle w:val="normaltextrun"/>
                <w:rFonts w:ascii="Verdana" w:hAnsi="Verdana" w:cs="Arial"/>
                <w:sz w:val="16"/>
                <w:szCs w:val="16"/>
                <w:lang w:val="es-ES_tradnl"/>
              </w:rPr>
              <w:t>Gestor T1 ‒ 1</w:t>
            </w:r>
            <w:r>
              <w:rPr>
                <w:rStyle w:val="normaltextrun"/>
                <w:rFonts w:ascii="Verdana" w:hAnsi="Verdana" w:cs="Arial"/>
                <w:sz w:val="16"/>
                <w:szCs w:val="16"/>
                <w:lang w:val="es-ES_tradnl"/>
              </w:rPr>
              <w:t>1</w:t>
            </w:r>
            <w:r w:rsidRPr="00254A7A">
              <w:rPr>
                <w:rStyle w:val="normaltextrun"/>
                <w:rFonts w:ascii="Verdana" w:hAnsi="Verdana"/>
                <w:sz w:val="16"/>
                <w:szCs w:val="16"/>
              </w:rPr>
              <w:t xml:space="preserve"> de la Subdirección de Gestión Contractual</w:t>
            </w:r>
          </w:p>
        </w:tc>
      </w:tr>
      <w:tr w:rsidR="00500D81" w:rsidRPr="00593A5F" w14:paraId="22BC2629" w14:textId="77777777" w:rsidTr="005A3D07">
        <w:trPr>
          <w:trHeight w:val="330"/>
        </w:trPr>
        <w:tc>
          <w:tcPr>
            <w:tcW w:w="893" w:type="dxa"/>
            <w:vAlign w:val="center"/>
            <w:hideMark/>
          </w:tcPr>
          <w:p w14:paraId="7E6552B9" w14:textId="77777777" w:rsidR="00500D81" w:rsidRPr="003751C7" w:rsidRDefault="00500D81" w:rsidP="005A3D0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2386DC" w14:textId="6C6F8ADC" w:rsidR="00500D81" w:rsidRPr="001B6B73" w:rsidRDefault="00235F63" w:rsidP="005A3D07">
            <w:pPr>
              <w:pStyle w:val="paragraph"/>
              <w:spacing w:after="0"/>
              <w:contextualSpacing/>
              <w:textAlignment w:val="baseline"/>
              <w:rPr>
                <w:rStyle w:val="normaltextrun"/>
                <w:rFonts w:ascii="Verdana" w:hAnsi="Verdana" w:cs="Arial"/>
                <w:sz w:val="16"/>
                <w:szCs w:val="16"/>
                <w:lang w:val="es-ES_tradnl"/>
              </w:rPr>
            </w:pPr>
            <w:r>
              <w:rPr>
                <w:rStyle w:val="normaltextrun"/>
                <w:rFonts w:ascii="Verdana" w:hAnsi="Verdana" w:cs="Arial"/>
                <w:sz w:val="16"/>
                <w:szCs w:val="16"/>
                <w:lang w:val="es-ES_tradnl"/>
              </w:rPr>
              <w:t xml:space="preserve">Juan Carlos </w:t>
            </w:r>
            <w:proofErr w:type="spellStart"/>
            <w:r>
              <w:rPr>
                <w:rStyle w:val="normaltextrun"/>
                <w:rFonts w:ascii="Verdana" w:hAnsi="Verdana" w:cs="Arial"/>
                <w:sz w:val="16"/>
                <w:szCs w:val="16"/>
                <w:lang w:val="es-ES_tradnl"/>
              </w:rPr>
              <w:t>Gonzalez</w:t>
            </w:r>
            <w:proofErr w:type="spellEnd"/>
          </w:p>
          <w:p w14:paraId="3DF95EF1" w14:textId="77777777" w:rsidR="00500D81" w:rsidRPr="00254A7A" w:rsidRDefault="00500D81" w:rsidP="005A3D07">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_tradnl"/>
              </w:rPr>
              <w:t>Contratista</w:t>
            </w:r>
            <w:r w:rsidRPr="001B6B73">
              <w:rPr>
                <w:rStyle w:val="normaltextrun"/>
                <w:rFonts w:ascii="Verdana" w:hAnsi="Verdana" w:cs="Arial"/>
                <w:sz w:val="16"/>
                <w:szCs w:val="16"/>
                <w:lang w:val="es-ES_tradnl"/>
              </w:rPr>
              <w:t xml:space="preserve"> de la Subdirección de Gestión Contractual</w:t>
            </w:r>
          </w:p>
        </w:tc>
      </w:tr>
      <w:tr w:rsidR="00500D81" w:rsidRPr="00593A5F" w14:paraId="71BDF782" w14:textId="77777777" w:rsidTr="005A3D07">
        <w:trPr>
          <w:trHeight w:val="300"/>
        </w:trPr>
        <w:tc>
          <w:tcPr>
            <w:tcW w:w="893" w:type="dxa"/>
            <w:vAlign w:val="center"/>
          </w:tcPr>
          <w:p w14:paraId="2710A7DF" w14:textId="77777777" w:rsidR="00500D81" w:rsidRPr="003751C7" w:rsidRDefault="00500D81" w:rsidP="005A3D0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04D999" w14:textId="77777777" w:rsidR="00500D81" w:rsidRPr="003751C7" w:rsidRDefault="00500D81" w:rsidP="005A3D07">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61C9646" w14:textId="77777777" w:rsidR="00500D81" w:rsidRPr="003751C7" w:rsidRDefault="00500D81" w:rsidP="005A3D07">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FCD2EA3" w14:textId="77777777" w:rsidR="00500D81" w:rsidRPr="00543BFE" w:rsidRDefault="00500D81" w:rsidP="00500D81"/>
    <w:p w14:paraId="1D82F929" w14:textId="77777777" w:rsidR="00500D81" w:rsidRPr="00543BFE" w:rsidRDefault="00500D81" w:rsidP="00500D81"/>
    <w:p w14:paraId="449D5A7C" w14:textId="77777777" w:rsidR="00500D81" w:rsidRPr="00B36323" w:rsidRDefault="00500D81" w:rsidP="00500D81"/>
    <w:p w14:paraId="63A5108D" w14:textId="77777777" w:rsidR="00500D81" w:rsidRPr="00DD40BD" w:rsidRDefault="00500D81" w:rsidP="00500D81"/>
    <w:p w14:paraId="4E78D254" w14:textId="77777777" w:rsidR="00500D81" w:rsidRPr="003D4E5C" w:rsidRDefault="00500D81" w:rsidP="00500D81"/>
    <w:p w14:paraId="3900974D" w14:textId="77777777" w:rsidR="003D5B0D" w:rsidRPr="00500D81" w:rsidRDefault="003D5B0D" w:rsidP="00500D81"/>
    <w:sectPr w:rsidR="003D5B0D" w:rsidRPr="00500D8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E80AA" w14:textId="77777777" w:rsidR="00196584" w:rsidRDefault="00196584" w:rsidP="004A1847">
      <w:pPr>
        <w:spacing w:after="0" w:line="240" w:lineRule="auto"/>
      </w:pPr>
      <w:r>
        <w:separator/>
      </w:r>
    </w:p>
  </w:endnote>
  <w:endnote w:type="continuationSeparator" w:id="0">
    <w:p w14:paraId="127A2A53" w14:textId="77777777" w:rsidR="00196584" w:rsidRDefault="0019658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06BB1" w14:textId="77777777" w:rsidR="00196584" w:rsidRDefault="00196584" w:rsidP="004A1847">
      <w:pPr>
        <w:spacing w:after="0" w:line="240" w:lineRule="auto"/>
      </w:pPr>
      <w:r>
        <w:separator/>
      </w:r>
    </w:p>
  </w:footnote>
  <w:footnote w:type="continuationSeparator" w:id="0">
    <w:p w14:paraId="385D7F5E" w14:textId="77777777" w:rsidR="00196584" w:rsidRDefault="00196584" w:rsidP="004A1847">
      <w:pPr>
        <w:spacing w:after="0" w:line="240" w:lineRule="auto"/>
      </w:pPr>
      <w:r>
        <w:continuationSeparator/>
      </w:r>
    </w:p>
  </w:footnote>
  <w:footnote w:id="1">
    <w:p w14:paraId="1B481695" w14:textId="77777777" w:rsidR="00500D81" w:rsidRPr="001F41BC" w:rsidRDefault="00500D81" w:rsidP="00500D81">
      <w:pPr>
        <w:widowControl w:val="0"/>
        <w:autoSpaceDE w:val="0"/>
        <w:autoSpaceDN w:val="0"/>
        <w:spacing w:after="0"/>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obligaciones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salud,</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riesgos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profesionales,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pensiones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y</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Cajas de Compensación Familiar, Instituto Colombiano de Bienestar Familiar y Servicio Nacional de Aprendizaje,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cuando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ello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haya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lugar.</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Entidades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públicas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momento</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liquidar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cotizadas.</w:t>
      </w:r>
    </w:p>
    <w:p w14:paraId="3797218E" w14:textId="77777777" w:rsidR="00500D81" w:rsidRPr="001F41BC" w:rsidRDefault="00500D81" w:rsidP="00500D81">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3BEF0CBE" w14:textId="77777777" w:rsidR="00500D81" w:rsidRPr="001F41BC" w:rsidRDefault="00500D81" w:rsidP="00500D81">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Cuando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contratación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realice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deberá</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acreditar</w:t>
      </w:r>
      <w:r w:rsidRPr="001F41BC">
        <w:rPr>
          <w:rFonts w:ascii="Verdana" w:eastAsia="Arial" w:hAnsi="Verdana" w:cs="Arial"/>
          <w:spacing w:val="-7"/>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pago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los 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empleados,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mencionados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mediante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certificación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expedida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1F41BC">
        <w:rPr>
          <w:rFonts w:ascii="Verdana" w:eastAsia="Arial" w:hAnsi="Verdana" w:cs="Arial"/>
          <w:spacing w:val="-20"/>
          <w:sz w:val="16"/>
          <w:szCs w:val="16"/>
          <w:lang w:val="es-ES"/>
        </w:rPr>
        <w:t xml:space="preserve"> </w:t>
      </w:r>
      <w:r w:rsidRPr="001F41BC">
        <w:rPr>
          <w:rFonts w:ascii="Verdana" w:eastAsia="Arial" w:hAnsi="Verdana" w:cs="Arial"/>
          <w:sz w:val="16"/>
          <w:szCs w:val="16"/>
          <w:lang w:val="es-ES"/>
        </w:rPr>
        <w:t>constitución.</w:t>
      </w:r>
    </w:p>
    <w:p w14:paraId="5CC8ABCA" w14:textId="77777777" w:rsidR="00500D81" w:rsidRPr="001F41BC" w:rsidRDefault="00500D81" w:rsidP="00500D81">
      <w:pPr>
        <w:pStyle w:val="Textonotapie"/>
        <w:jc w:val="both"/>
        <w:rPr>
          <w:rFonts w:ascii="Verdana" w:eastAsia="Arial" w:hAnsi="Verdana" w:cs="Arial"/>
          <w:sz w:val="16"/>
          <w:szCs w:val="16"/>
          <w:lang w:val="es-ES"/>
        </w:rPr>
      </w:pPr>
      <w:r w:rsidRPr="001F41BC">
        <w:rPr>
          <w:rFonts w:ascii="Verdana" w:eastAsia="Arial" w:hAnsi="Verdana" w:cs="Arial"/>
          <w:sz w:val="16"/>
          <w:szCs w:val="16"/>
          <w:lang w:val="es-ES"/>
        </w:rPr>
        <w:tab/>
        <w:t>Para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presentación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ofertas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parte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será</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indispensable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1F41BC">
        <w:rPr>
          <w:rFonts w:ascii="Verdana" w:eastAsia="Arial" w:hAnsi="Verdana" w:cs="Arial"/>
          <w:spacing w:val="-12"/>
          <w:sz w:val="16"/>
          <w:szCs w:val="16"/>
          <w:lang w:val="es-ES"/>
        </w:rPr>
        <w:t xml:space="preserve"> </w:t>
      </w:r>
      <w:r w:rsidRPr="001F41BC">
        <w:rPr>
          <w:rFonts w:ascii="Verdana" w:eastAsia="Arial" w:hAnsi="Verdana" w:cs="Arial"/>
          <w:sz w:val="16"/>
          <w:szCs w:val="16"/>
          <w:lang w:val="es-ES"/>
        </w:rPr>
        <w:t>conducta”.</w:t>
      </w:r>
    </w:p>
  </w:footnote>
  <w:footnote w:id="2">
    <w:p w14:paraId="19734B43" w14:textId="77777777" w:rsidR="00500D81" w:rsidRPr="001F41BC" w:rsidRDefault="00500D81" w:rsidP="00500D81">
      <w:pPr>
        <w:pStyle w:val="Textonotapie"/>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Consejo de Estado. Sección Tercera. Subsección C. Sentencia del 8 de junio de 2011. Exp. 20001-23-31-000-2005-00409-01(AP), C.P. Enrique Gil Botero.</w:t>
      </w:r>
    </w:p>
  </w:footnote>
  <w:footnote w:id="3">
    <w:p w14:paraId="771B0BE0" w14:textId="77777777" w:rsidR="00500D81" w:rsidRPr="001F41BC" w:rsidRDefault="00500D81" w:rsidP="00500D81">
      <w:pPr>
        <w:pStyle w:val="Textonotapie"/>
        <w:ind w:firstLine="708"/>
        <w:jc w:val="both"/>
        <w:rPr>
          <w:rFonts w:ascii="Verdana" w:hAnsi="Verdana" w:cs="Arial"/>
          <w:sz w:val="16"/>
          <w:szCs w:val="16"/>
          <w:lang w:val="es-CO"/>
        </w:rPr>
      </w:pPr>
      <w:r w:rsidRPr="001F41BC">
        <w:rPr>
          <w:rStyle w:val="Refdenotaalpie"/>
          <w:rFonts w:ascii="Verdana" w:hAnsi="Verdana" w:cs="Arial"/>
          <w:sz w:val="16"/>
          <w:szCs w:val="16"/>
        </w:rPr>
        <w:footnoteRef/>
      </w:r>
      <w:r w:rsidRPr="001F41BC">
        <w:rPr>
          <w:rFonts w:ascii="Verdana" w:hAnsi="Verdana" w:cs="Arial"/>
          <w:sz w:val="16"/>
          <w:szCs w:val="16"/>
        </w:rPr>
        <w:t xml:space="preserve"> Respecto a la revisoría fiscal de las sociedades extranjeras con sucursal en Colombia, el artículo 472.6 del Código de Comercio dispone que </w:t>
      </w:r>
      <w:r w:rsidRPr="001F41BC">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63A3759A" w14:textId="77777777" w:rsidR="00500D81" w:rsidRPr="001F41BC" w:rsidRDefault="00500D81" w:rsidP="00500D81">
      <w:pPr>
        <w:pStyle w:val="Textonotapie"/>
        <w:ind w:firstLine="708"/>
        <w:jc w:val="both"/>
        <w:rPr>
          <w:rFonts w:ascii="Verdana" w:hAnsi="Verdana" w:cs="Arial"/>
          <w:sz w:val="16"/>
          <w:szCs w:val="16"/>
        </w:rPr>
      </w:pPr>
      <w:r w:rsidRPr="001F41BC">
        <w:rPr>
          <w:rFonts w:ascii="Verdana" w:hAnsi="Verdana" w:cs="Arial"/>
          <w:sz w:val="16"/>
          <w:szCs w:val="16"/>
          <w:lang w:val="es-CO"/>
        </w:rPr>
        <w:t xml:space="preserve">Por lo demás, el artículo el artículo 489 </w:t>
      </w:r>
      <w:r w:rsidRPr="001F41BC">
        <w:rPr>
          <w:rFonts w:ascii="Verdana" w:hAnsi="Verdana" w:cs="Arial"/>
          <w:i/>
          <w:iCs/>
          <w:sz w:val="16"/>
          <w:szCs w:val="16"/>
          <w:lang w:val="es-CO"/>
        </w:rPr>
        <w:t>ibidem</w:t>
      </w:r>
      <w:r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4CA8C1CC" w14:textId="77777777" w:rsidR="00D33130" w:rsidRPr="000F3712" w:rsidRDefault="00D33130" w:rsidP="00D33130">
      <w:pPr>
        <w:pStyle w:val="Textonotapie"/>
        <w:ind w:firstLine="709"/>
        <w:contextualSpacing/>
        <w:jc w:val="both"/>
        <w:rPr>
          <w:rFonts w:ascii="Verdana" w:hAnsi="Verdana" w:cs="Arial"/>
          <w:iCs/>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w:t>
      </w:r>
      <w:r w:rsidRPr="000F3712">
        <w:rPr>
          <w:rFonts w:ascii="Verdana" w:hAnsi="Verdana" w:cs="Arial"/>
          <w:iCs/>
          <w:color w:val="000000" w:themeColor="text1"/>
          <w:sz w:val="16"/>
          <w:szCs w:val="16"/>
        </w:rPr>
        <w:t>Ley 1955 de 2019: “Artículo 244. Ingreso base de cotización [IBC] de los independientes.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11F97B7" w14:textId="77777777" w:rsidR="00D33130" w:rsidRPr="000F3712" w:rsidRDefault="00D33130" w:rsidP="00D33130">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340BEA79" w14:textId="77777777" w:rsidR="00D33130" w:rsidRPr="000F3712" w:rsidRDefault="00D33130" w:rsidP="00D33130">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El Gobierno nacional reglamentará el mecanismo para realizar la mensualización de que trata el presente artículo.</w:t>
      </w:r>
    </w:p>
    <w:p w14:paraId="482EF721" w14:textId="77777777" w:rsidR="00D33130" w:rsidRPr="000F3712" w:rsidRDefault="00D33130" w:rsidP="00D33130">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Parágrafo.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4CCB83CB" w14:textId="77777777" w:rsidR="00D33130" w:rsidRPr="000F3712" w:rsidRDefault="00D33130" w:rsidP="00D33130">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footnote>
  <w:footnote w:id="5">
    <w:p w14:paraId="368BD9F7" w14:textId="77777777" w:rsidR="00D33130" w:rsidRPr="000F3712" w:rsidRDefault="00D33130" w:rsidP="00D33130">
      <w:pPr>
        <w:pStyle w:val="Textonotapie"/>
        <w:ind w:firstLine="709"/>
        <w:contextualSpacing/>
        <w:jc w:val="both"/>
        <w:rPr>
          <w:rFonts w:ascii="Verdana" w:hAnsi="Verdana" w:cs="Arial"/>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La Corte expuso lo siguiente como síntesis de la decisión: “</w:t>
      </w:r>
      <w:r w:rsidRPr="000F3712">
        <w:rPr>
          <w:rFonts w:ascii="Verdana" w:hAnsi="Verdana" w:cs="Arial"/>
          <w:sz w:val="16"/>
          <w:szCs w:val="16"/>
        </w:rPr>
        <w:t>[…]</w:t>
      </w:r>
      <w:r w:rsidRPr="000F3712">
        <w:rPr>
          <w:rFonts w:ascii="Verdana" w:hAnsi="Verdana" w:cs="Arial"/>
          <w:color w:val="000000" w:themeColor="text1"/>
          <w:sz w:val="16"/>
          <w:szCs w:val="16"/>
        </w:rPr>
        <w:t>164. Los demandantes propusieron la inconstitucionalidad del artículo 244 de la Ley 1955 de 2019, por desconocimiento del principio de unidad de materia. Luego de avalar la integración normativa y advertir la inexistencia de cosa juzgada, la Corte concluyó que era procedente adelantar el juicio de constitucionalidad.</w:t>
      </w:r>
    </w:p>
    <w:p w14:paraId="2E359CB1" w14:textId="77777777" w:rsidR="00D33130" w:rsidRPr="000F3712" w:rsidRDefault="00D33130" w:rsidP="00D33130">
      <w:pPr>
        <w:pStyle w:val="Textonotapie"/>
        <w:ind w:firstLine="709"/>
        <w:contextualSpacing/>
        <w:jc w:val="both"/>
        <w:rPr>
          <w:rFonts w:ascii="Verdana" w:hAnsi="Verdana" w:cs="Arial"/>
          <w:color w:val="000000" w:themeColor="text1"/>
          <w:sz w:val="16"/>
          <w:szCs w:val="16"/>
        </w:rPr>
      </w:pPr>
      <w:r w:rsidRPr="000F3712">
        <w:rPr>
          <w:rFonts w:ascii="Verdana" w:hAnsi="Verdana" w:cs="Arial"/>
          <w:color w:val="000000" w:themeColor="text1"/>
          <w:sz w:val="16"/>
          <w:szCs w:val="16"/>
        </w:rPr>
        <w:t>165. En tal sentido, la Sala concluyó que el artículo 244 de la Ley 1955 de 2019, adicionado por el artículo 139 de la Ley 2010 de 2019, desconoce el mandato constitucional de unidad de materia previsto en el artículo 158 del Texto Superior, toda vez que no existe una conexidad directa o inmediata entre la regulación del Ingreso Base de Cotización para los trabajadores independientes con contratos diferentes al de prestación de servicios y los objetivos, metas o estrategias previstos en el Plan Nacional de Desarrollo. Sin embargo, difiere los efectos de esta decisión a las dos próximas legislaturas a fin no afectar derechos y principios constitucionales relacionados con la base de cotización de trabajadores independientes al Sistema Integral de Seguridad Social”. Corte Constitucional. Sentencia C-068 del 19 de febrero de 2020. M.P. Diana Fajardo Rivera.</w:t>
      </w:r>
    </w:p>
  </w:footnote>
  <w:footnote w:id="6">
    <w:p w14:paraId="4DAA8D66" w14:textId="77777777" w:rsidR="000F3CED" w:rsidRPr="0002171C" w:rsidRDefault="000F3CED" w:rsidP="000F3CED">
      <w:pPr>
        <w:pStyle w:val="Textonotapie"/>
        <w:ind w:firstLine="708"/>
        <w:contextualSpacing/>
        <w:jc w:val="both"/>
        <w:rPr>
          <w:rFonts w:ascii="Verdana" w:hAnsi="Verdana" w:cs="Arial"/>
          <w:color w:val="000000" w:themeColor="text1"/>
          <w:sz w:val="14"/>
          <w:szCs w:val="14"/>
        </w:rPr>
      </w:pPr>
      <w:r w:rsidRPr="0002171C">
        <w:rPr>
          <w:rStyle w:val="Refdenotaalpie"/>
          <w:rFonts w:ascii="Verdana" w:hAnsi="Verdana" w:cs="Arial"/>
          <w:color w:val="000000" w:themeColor="text1"/>
          <w:sz w:val="14"/>
          <w:szCs w:val="14"/>
        </w:rPr>
        <w:footnoteRef/>
      </w:r>
      <w:r w:rsidRPr="0002171C">
        <w:rPr>
          <w:rStyle w:val="Refdenotaalpie"/>
          <w:rFonts w:ascii="Verdana" w:hAnsi="Verdana" w:cs="Arial"/>
          <w:color w:val="000000" w:themeColor="text1"/>
          <w:sz w:val="14"/>
          <w:szCs w:val="14"/>
        </w:rPr>
        <w:t xml:space="preserve"> </w:t>
      </w:r>
      <w:bookmarkStart w:id="12" w:name="_Hlk198934365"/>
      <w:r w:rsidRPr="0002171C">
        <w:rPr>
          <w:rFonts w:ascii="Verdana" w:hAnsi="Verdana" w:cs="Arial"/>
          <w:color w:val="000000" w:themeColor="text1"/>
          <w:sz w:val="14"/>
          <w:szCs w:val="14"/>
        </w:rPr>
        <w:t>Decreto 4791 de 2008 artículo 2</w:t>
      </w:r>
      <w:bookmarkEnd w:id="12"/>
      <w:r w:rsidRPr="0002171C">
        <w:rPr>
          <w:rFonts w:ascii="Verdana" w:hAnsi="Verdana" w:cs="Arial"/>
          <w:color w:val="000000" w:themeColor="text1"/>
          <w:sz w:val="14"/>
          <w:szCs w:val="14"/>
        </w:rPr>
        <w:t xml:space="preserve">. </w:t>
      </w:r>
      <w:r w:rsidRPr="0002171C">
        <w:rPr>
          <w:rFonts w:ascii="Verdana" w:hAnsi="Verdana" w:cs="Arial"/>
          <w:color w:val="000000" w:themeColor="text1"/>
          <w:sz w:val="14"/>
          <w:szCs w:val="14"/>
          <w:lang w:val="es-CO"/>
        </w:rPr>
        <w:t xml:space="preserve">Los fondos de servicios educativos son cuentas contables creadas por la ley como un mecanismo de gestión presupuestal y de ejecución de los recursos de los establecimientos educativos estatales para la adecuada administración de sus ingresos y para atender sus gastos de funcionamiento e inversión distintos a los de personal. Parágrafo. Con sujeción a lo establecido en la normatividad vigente, la administración y ejecución de estos recursos por parte de las autoridades del establecimiento educativo, es autónoma. Los ingresos del Fondo de Servicios Educativos son recursos propios de carácter público sometidos al control de las autoridades administrativas y fiscales de los órdenes nacional y territorial. Compilado mediante el Decreto </w:t>
      </w:r>
      <w:r>
        <w:rPr>
          <w:rFonts w:ascii="Verdana" w:hAnsi="Verdana" w:cs="Arial"/>
          <w:color w:val="000000" w:themeColor="text1"/>
          <w:sz w:val="14"/>
          <w:szCs w:val="14"/>
          <w:lang w:val="es-CO"/>
        </w:rPr>
        <w:t xml:space="preserve">único reglamentario del sector educación No. </w:t>
      </w:r>
      <w:r w:rsidRPr="0002171C">
        <w:rPr>
          <w:rFonts w:ascii="Verdana" w:hAnsi="Verdana" w:cs="Arial"/>
          <w:color w:val="000000" w:themeColor="text1"/>
          <w:sz w:val="14"/>
          <w:szCs w:val="14"/>
          <w:lang w:val="es-CO"/>
        </w:rPr>
        <w:t xml:space="preserve">1075 de 2025 artículo 2.3.1.6.3.2. </w:t>
      </w:r>
    </w:p>
    <w:p w14:paraId="22FF6077" w14:textId="77777777" w:rsidR="000F3CED" w:rsidRPr="0002171C" w:rsidRDefault="000F3CED" w:rsidP="000F3CED">
      <w:pPr>
        <w:pStyle w:val="Textonotapie"/>
        <w:contextualSpacing/>
        <w:jc w:val="both"/>
        <w:rPr>
          <w:rFonts w:ascii="Verdana" w:hAnsi="Verdana" w:cs="Arial"/>
          <w:color w:val="000000" w:themeColor="text1"/>
          <w:sz w:val="14"/>
          <w:szCs w:val="14"/>
        </w:rPr>
      </w:pPr>
    </w:p>
  </w:footnote>
  <w:footnote w:id="7">
    <w:p w14:paraId="3A2489FA" w14:textId="77777777" w:rsidR="000F3CED" w:rsidRPr="0002171C" w:rsidRDefault="000F3CED" w:rsidP="000F3CED">
      <w:pPr>
        <w:pStyle w:val="Textonotapie"/>
        <w:ind w:firstLine="708"/>
        <w:contextualSpacing/>
        <w:jc w:val="both"/>
        <w:rPr>
          <w:rFonts w:ascii="Verdana" w:hAnsi="Verdana" w:cs="Arial"/>
          <w:color w:val="000000" w:themeColor="text1"/>
          <w:sz w:val="14"/>
          <w:szCs w:val="14"/>
        </w:rPr>
      </w:pPr>
      <w:r w:rsidRPr="0002171C">
        <w:rPr>
          <w:rStyle w:val="Refdenotaalpie"/>
          <w:rFonts w:ascii="Verdana" w:hAnsi="Verdana" w:cs="Arial"/>
          <w:color w:val="000000" w:themeColor="text1"/>
          <w:sz w:val="14"/>
          <w:szCs w:val="14"/>
        </w:rPr>
        <w:footnoteRef/>
      </w:r>
      <w:r w:rsidRPr="0002171C">
        <w:rPr>
          <w:rFonts w:ascii="Verdana" w:hAnsi="Verdana" w:cs="Arial"/>
          <w:color w:val="000000" w:themeColor="text1"/>
          <w:sz w:val="14"/>
          <w:szCs w:val="14"/>
        </w:rPr>
        <w:t xml:space="preserve"> “Artículo 2.3.1.6.3.4. Ordenación del gasto. Los fondos de servicios educativos carecen de personería jurídica”.</w:t>
      </w:r>
    </w:p>
    <w:p w14:paraId="26CE0002" w14:textId="77777777" w:rsidR="000F3CED" w:rsidRPr="0002171C" w:rsidRDefault="000F3CED" w:rsidP="000F3CED">
      <w:pPr>
        <w:pStyle w:val="Textonotapie"/>
        <w:contextualSpacing/>
        <w:jc w:val="both"/>
        <w:rPr>
          <w:rFonts w:ascii="Verdana" w:hAnsi="Verdana" w:cs="Arial"/>
          <w:color w:val="000000" w:themeColor="text1"/>
          <w:sz w:val="14"/>
          <w:szCs w:val="14"/>
        </w:rPr>
      </w:pPr>
    </w:p>
  </w:footnote>
  <w:footnote w:id="8">
    <w:p w14:paraId="47E30B71" w14:textId="77777777" w:rsidR="000F3CED" w:rsidRPr="0002171C" w:rsidRDefault="000F3CED" w:rsidP="000F3CED">
      <w:pPr>
        <w:pStyle w:val="NormalWeb"/>
        <w:spacing w:before="0" w:beforeAutospacing="0" w:after="0" w:afterAutospacing="0"/>
        <w:ind w:firstLine="708"/>
        <w:contextualSpacing/>
        <w:jc w:val="both"/>
        <w:rPr>
          <w:rFonts w:ascii="Verdana" w:hAnsi="Verdana" w:cs="Arial"/>
          <w:sz w:val="14"/>
          <w:szCs w:val="14"/>
        </w:rPr>
      </w:pPr>
      <w:r w:rsidRPr="0002171C">
        <w:rPr>
          <w:rStyle w:val="Refdenotaalpie"/>
          <w:rFonts w:ascii="Verdana" w:hAnsi="Verdana" w:cs="Arial"/>
          <w:sz w:val="14"/>
          <w:szCs w:val="14"/>
        </w:rPr>
        <w:footnoteRef/>
      </w:r>
      <w:r w:rsidRPr="0002171C">
        <w:rPr>
          <w:rStyle w:val="Refdenotaalpie"/>
          <w:rFonts w:ascii="Verdana" w:hAnsi="Verdana" w:cs="Arial"/>
          <w:sz w:val="14"/>
          <w:szCs w:val="14"/>
        </w:rPr>
        <w:t xml:space="preserve"> </w:t>
      </w:r>
      <w:r w:rsidRPr="0002171C">
        <w:rPr>
          <w:rFonts w:ascii="Verdana" w:hAnsi="Verdana" w:cs="Arial"/>
          <w:sz w:val="14"/>
          <w:szCs w:val="14"/>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6C3AC929" w14:textId="77777777" w:rsidR="000F3CED" w:rsidRPr="0002171C" w:rsidRDefault="000F3CED" w:rsidP="000F3CED">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i/>
          <w:iCs/>
          <w:sz w:val="14"/>
          <w:szCs w:val="14"/>
          <w:lang w:eastAsia="es-CO"/>
        </w:rPr>
        <w:t>Los actos y contratos de cuantía superior a veinte (20) salarios mínimos mensuales se regirán por las reglas de la contratación estatal</w:t>
      </w:r>
      <w:r w:rsidRPr="0002171C">
        <w:rPr>
          <w:rFonts w:ascii="Verdana" w:eastAsia="Times New Roman" w:hAnsi="Verdana" w:cs="Arial"/>
          <w:sz w:val="14"/>
          <w:szCs w:val="14"/>
          <w:lang w:eastAsia="es-CO"/>
        </w:rPr>
        <w:t xml:space="preserve">, teniendo en cuenta su valor y naturaleza, y las circunstancias en las que se celebren. El Gobierno Nacional podrá indicar los casos en los cuales la cuantía señalada en el presente inciso será menor. </w:t>
      </w:r>
    </w:p>
    <w:p w14:paraId="2644254E" w14:textId="77777777" w:rsidR="000F3CED" w:rsidRPr="0002171C" w:rsidRDefault="000F3CED" w:rsidP="000F3CED">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sz w:val="14"/>
          <w:szCs w:val="14"/>
          <w:lang w:eastAsia="es-CO"/>
        </w:rPr>
        <w:t>El rector o director celebrará los contratos que hayan de pagarse con cargo a los recursos vinculados a los Fondos, en las condiciones y dentro de los límites que fijen los reglamentos.</w:t>
      </w:r>
    </w:p>
    <w:p w14:paraId="1F57DB1C" w14:textId="77777777" w:rsidR="000F3CED" w:rsidRPr="0002171C" w:rsidRDefault="000F3CED" w:rsidP="000F3CED">
      <w:pPr>
        <w:spacing w:after="0" w:line="240" w:lineRule="auto"/>
        <w:ind w:firstLine="708"/>
        <w:contextualSpacing/>
        <w:jc w:val="both"/>
        <w:rPr>
          <w:rFonts w:ascii="Verdana" w:eastAsia="Times New Roman" w:hAnsi="Verdana" w:cs="Arial"/>
          <w:sz w:val="14"/>
          <w:szCs w:val="14"/>
          <w:lang w:eastAsia="es-CO"/>
        </w:rPr>
      </w:pPr>
      <w:r w:rsidRPr="0002171C">
        <w:rPr>
          <w:rFonts w:ascii="Verdana" w:eastAsia="Times New Roman" w:hAnsi="Verdana" w:cs="Arial"/>
          <w:i/>
          <w:iCs/>
          <w:sz w:val="14"/>
          <w:szCs w:val="14"/>
          <w:lang w:eastAsia="es-CO"/>
        </w:rPr>
        <w:t>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los trámites, garantías y constancias que deben cumplirse para que el rector o director celebre cualquier acto o contrato que cree, extinga o modifique obligaciones que deban registrarse en el Fondo, y cuya cuantía sea inferior a veinte (20) salarios mínimos mensuales. El Consejo puede exigir, además, que ciertos actos o contratos requieran una autorización suya específica</w:t>
      </w:r>
      <w:r w:rsidRPr="0002171C">
        <w:rPr>
          <w:rFonts w:ascii="Verdana" w:eastAsia="Times New Roman" w:hAnsi="Verdana" w:cs="Arial"/>
          <w:sz w:val="14"/>
          <w:szCs w:val="14"/>
          <w:lang w:eastAsia="es-CO"/>
        </w:rPr>
        <w:t>”</w:t>
      </w:r>
      <w:r>
        <w:rPr>
          <w:rFonts w:ascii="Verdana" w:eastAsia="Times New Roman" w:hAnsi="Verdana" w:cs="Arial"/>
          <w:sz w:val="14"/>
          <w:szCs w:val="14"/>
          <w:lang w:eastAsia="es-CO"/>
        </w:rPr>
        <w:t>.</w:t>
      </w:r>
    </w:p>
    <w:p w14:paraId="087D7660" w14:textId="77777777" w:rsidR="000F3CED" w:rsidRPr="0002171C" w:rsidRDefault="000F3CED" w:rsidP="000F3CED">
      <w:pPr>
        <w:pStyle w:val="Textonotapie"/>
        <w:ind w:firstLine="708"/>
        <w:contextualSpacing/>
        <w:jc w:val="both"/>
        <w:rPr>
          <w:rFonts w:ascii="Verdana" w:hAnsi="Verdana" w:cs="Arial"/>
          <w:color w:val="000000" w:themeColor="text1"/>
          <w:sz w:val="14"/>
          <w:szCs w:val="14"/>
        </w:rPr>
      </w:pPr>
    </w:p>
    <w:p w14:paraId="5032F300" w14:textId="77777777" w:rsidR="000F3CED" w:rsidRDefault="000F3CED" w:rsidP="000F3CED">
      <w:pPr>
        <w:pStyle w:val="Textonotapie"/>
        <w:ind w:firstLine="708"/>
        <w:contextualSpacing/>
        <w:jc w:val="both"/>
        <w:rPr>
          <w:rFonts w:ascii="Verdana" w:hAnsi="Verdana" w:cs="Arial"/>
          <w:color w:val="000000" w:themeColor="text1"/>
          <w:sz w:val="14"/>
          <w:szCs w:val="14"/>
        </w:rPr>
      </w:pPr>
      <w:r w:rsidRPr="0002171C">
        <w:rPr>
          <w:rFonts w:ascii="Verdana" w:hAnsi="Verdana" w:cs="Arial"/>
          <w:color w:val="000000" w:themeColor="text1"/>
          <w:sz w:val="14"/>
          <w:szCs w:val="14"/>
        </w:rPr>
        <w:t>Decreto 1075 de 2015: “Artículo 2.3.1.6.3.5. Funciones del Consejo Directivo. (…) 6. Reglamentar mediante acuerdo los procedimientos, formalidades y garantías para toda contratación que no supere los veinte (20) salarios mínimos legales mensuales vigentes (SMLMV)”.</w:t>
      </w:r>
    </w:p>
    <w:p w14:paraId="4DA134B2" w14:textId="77777777" w:rsidR="000F3CED" w:rsidRPr="002D7BEE" w:rsidRDefault="000F3CED" w:rsidP="000F3CED">
      <w:pPr>
        <w:pStyle w:val="Textonotapie"/>
        <w:ind w:firstLine="708"/>
        <w:contextualSpacing/>
        <w:jc w:val="both"/>
        <w:rPr>
          <w:rFonts w:ascii="Arial" w:hAnsi="Arial" w:cs="Arial"/>
          <w:color w:val="000000" w:themeColor="text1"/>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95A"/>
    <w:rsid w:val="00016F78"/>
    <w:rsid w:val="00046677"/>
    <w:rsid w:val="00046945"/>
    <w:rsid w:val="000535FF"/>
    <w:rsid w:val="00061289"/>
    <w:rsid w:val="00061B2A"/>
    <w:rsid w:val="00082362"/>
    <w:rsid w:val="0009054E"/>
    <w:rsid w:val="000915E4"/>
    <w:rsid w:val="000A5317"/>
    <w:rsid w:val="000A683E"/>
    <w:rsid w:val="000B19B9"/>
    <w:rsid w:val="000C3835"/>
    <w:rsid w:val="000D0334"/>
    <w:rsid w:val="000F3CED"/>
    <w:rsid w:val="000F6486"/>
    <w:rsid w:val="00125105"/>
    <w:rsid w:val="00127233"/>
    <w:rsid w:val="00132794"/>
    <w:rsid w:val="001511A0"/>
    <w:rsid w:val="001565EB"/>
    <w:rsid w:val="00196584"/>
    <w:rsid w:val="001A0EAC"/>
    <w:rsid w:val="001D35C1"/>
    <w:rsid w:val="001E4177"/>
    <w:rsid w:val="001F7DC6"/>
    <w:rsid w:val="00207729"/>
    <w:rsid w:val="00235F63"/>
    <w:rsid w:val="002421BB"/>
    <w:rsid w:val="0025796E"/>
    <w:rsid w:val="002707A2"/>
    <w:rsid w:val="002951A0"/>
    <w:rsid w:val="002962BC"/>
    <w:rsid w:val="002A093D"/>
    <w:rsid w:val="002A0DD0"/>
    <w:rsid w:val="002A49AC"/>
    <w:rsid w:val="002A64FD"/>
    <w:rsid w:val="002B7A94"/>
    <w:rsid w:val="002C7A84"/>
    <w:rsid w:val="002E26D7"/>
    <w:rsid w:val="002E4FD9"/>
    <w:rsid w:val="00317F09"/>
    <w:rsid w:val="00322A85"/>
    <w:rsid w:val="00324168"/>
    <w:rsid w:val="00332E73"/>
    <w:rsid w:val="00335582"/>
    <w:rsid w:val="003448F4"/>
    <w:rsid w:val="00374F5E"/>
    <w:rsid w:val="00377E3E"/>
    <w:rsid w:val="003807E7"/>
    <w:rsid w:val="003861F5"/>
    <w:rsid w:val="003A779E"/>
    <w:rsid w:val="003D0F4D"/>
    <w:rsid w:val="003D5B0D"/>
    <w:rsid w:val="003E0499"/>
    <w:rsid w:val="003F3941"/>
    <w:rsid w:val="00405AF8"/>
    <w:rsid w:val="00406575"/>
    <w:rsid w:val="00414C74"/>
    <w:rsid w:val="0042722E"/>
    <w:rsid w:val="0044528D"/>
    <w:rsid w:val="00453D39"/>
    <w:rsid w:val="00470D28"/>
    <w:rsid w:val="004923B6"/>
    <w:rsid w:val="004A1847"/>
    <w:rsid w:val="004A305D"/>
    <w:rsid w:val="004D7CFB"/>
    <w:rsid w:val="004E7142"/>
    <w:rsid w:val="004F21C4"/>
    <w:rsid w:val="004F685F"/>
    <w:rsid w:val="00500D81"/>
    <w:rsid w:val="005566E8"/>
    <w:rsid w:val="00574867"/>
    <w:rsid w:val="00591460"/>
    <w:rsid w:val="005B0310"/>
    <w:rsid w:val="005B3816"/>
    <w:rsid w:val="005B4A23"/>
    <w:rsid w:val="005C2E14"/>
    <w:rsid w:val="005C3777"/>
    <w:rsid w:val="005C5CDC"/>
    <w:rsid w:val="005D476C"/>
    <w:rsid w:val="005E73FB"/>
    <w:rsid w:val="0061190C"/>
    <w:rsid w:val="006219F8"/>
    <w:rsid w:val="00665D70"/>
    <w:rsid w:val="006900D9"/>
    <w:rsid w:val="006A1DC1"/>
    <w:rsid w:val="00706C16"/>
    <w:rsid w:val="007135E0"/>
    <w:rsid w:val="00742730"/>
    <w:rsid w:val="007524AD"/>
    <w:rsid w:val="00756841"/>
    <w:rsid w:val="007649AB"/>
    <w:rsid w:val="00771D0C"/>
    <w:rsid w:val="007734FD"/>
    <w:rsid w:val="00780795"/>
    <w:rsid w:val="007833AC"/>
    <w:rsid w:val="007B268C"/>
    <w:rsid w:val="007B7171"/>
    <w:rsid w:val="007C0C0F"/>
    <w:rsid w:val="007C3DC2"/>
    <w:rsid w:val="007E5497"/>
    <w:rsid w:val="00806F5F"/>
    <w:rsid w:val="00820278"/>
    <w:rsid w:val="00867F95"/>
    <w:rsid w:val="008843B6"/>
    <w:rsid w:val="00891928"/>
    <w:rsid w:val="00896B1F"/>
    <w:rsid w:val="008A07D3"/>
    <w:rsid w:val="008A446D"/>
    <w:rsid w:val="008A4702"/>
    <w:rsid w:val="008D180B"/>
    <w:rsid w:val="008E24A7"/>
    <w:rsid w:val="008F0EA7"/>
    <w:rsid w:val="008F18AF"/>
    <w:rsid w:val="009236A9"/>
    <w:rsid w:val="00923EEF"/>
    <w:rsid w:val="00932450"/>
    <w:rsid w:val="009419F9"/>
    <w:rsid w:val="0095685E"/>
    <w:rsid w:val="00961B09"/>
    <w:rsid w:val="00965334"/>
    <w:rsid w:val="0097093E"/>
    <w:rsid w:val="00986AC5"/>
    <w:rsid w:val="009A0DFA"/>
    <w:rsid w:val="009A10A4"/>
    <w:rsid w:val="009B114D"/>
    <w:rsid w:val="009B2D26"/>
    <w:rsid w:val="009C1B37"/>
    <w:rsid w:val="009C71FA"/>
    <w:rsid w:val="009C72E7"/>
    <w:rsid w:val="009D3058"/>
    <w:rsid w:val="009F3A13"/>
    <w:rsid w:val="00A122D3"/>
    <w:rsid w:val="00A15915"/>
    <w:rsid w:val="00A17F13"/>
    <w:rsid w:val="00A20739"/>
    <w:rsid w:val="00A20E38"/>
    <w:rsid w:val="00A33C78"/>
    <w:rsid w:val="00A648CD"/>
    <w:rsid w:val="00A91A9E"/>
    <w:rsid w:val="00AA54D1"/>
    <w:rsid w:val="00AB0ADB"/>
    <w:rsid w:val="00AB407C"/>
    <w:rsid w:val="00B01B1A"/>
    <w:rsid w:val="00B601B9"/>
    <w:rsid w:val="00B66319"/>
    <w:rsid w:val="00B72CD3"/>
    <w:rsid w:val="00B72FFF"/>
    <w:rsid w:val="00BB522E"/>
    <w:rsid w:val="00BC3D36"/>
    <w:rsid w:val="00BD7F72"/>
    <w:rsid w:val="00BE0D9B"/>
    <w:rsid w:val="00BE226A"/>
    <w:rsid w:val="00C04FB3"/>
    <w:rsid w:val="00C330EB"/>
    <w:rsid w:val="00C41061"/>
    <w:rsid w:val="00C52983"/>
    <w:rsid w:val="00C72965"/>
    <w:rsid w:val="00C754BE"/>
    <w:rsid w:val="00C76B1C"/>
    <w:rsid w:val="00C77FCB"/>
    <w:rsid w:val="00CA39E3"/>
    <w:rsid w:val="00CB6357"/>
    <w:rsid w:val="00CC1B26"/>
    <w:rsid w:val="00CE3CDF"/>
    <w:rsid w:val="00CE446C"/>
    <w:rsid w:val="00D032DA"/>
    <w:rsid w:val="00D10C6C"/>
    <w:rsid w:val="00D33130"/>
    <w:rsid w:val="00D423A2"/>
    <w:rsid w:val="00D520D8"/>
    <w:rsid w:val="00D63AC2"/>
    <w:rsid w:val="00D64866"/>
    <w:rsid w:val="00D7383B"/>
    <w:rsid w:val="00D74EF5"/>
    <w:rsid w:val="00D75893"/>
    <w:rsid w:val="00D766A6"/>
    <w:rsid w:val="00D7755D"/>
    <w:rsid w:val="00DA231B"/>
    <w:rsid w:val="00DA25CF"/>
    <w:rsid w:val="00DA4134"/>
    <w:rsid w:val="00DC39FC"/>
    <w:rsid w:val="00DD7325"/>
    <w:rsid w:val="00DE2962"/>
    <w:rsid w:val="00DF5254"/>
    <w:rsid w:val="00E16408"/>
    <w:rsid w:val="00E20894"/>
    <w:rsid w:val="00E245AB"/>
    <w:rsid w:val="00E2764C"/>
    <w:rsid w:val="00E27F2E"/>
    <w:rsid w:val="00E50AFE"/>
    <w:rsid w:val="00E75C92"/>
    <w:rsid w:val="00E771DC"/>
    <w:rsid w:val="00E8772A"/>
    <w:rsid w:val="00E90F6B"/>
    <w:rsid w:val="00E92C27"/>
    <w:rsid w:val="00EA0E3D"/>
    <w:rsid w:val="00EA5295"/>
    <w:rsid w:val="00EC38A7"/>
    <w:rsid w:val="00ED7384"/>
    <w:rsid w:val="00EE1AA8"/>
    <w:rsid w:val="00F3156E"/>
    <w:rsid w:val="00F31EDC"/>
    <w:rsid w:val="00F462B3"/>
    <w:rsid w:val="00F5381D"/>
    <w:rsid w:val="00F5664F"/>
    <w:rsid w:val="00F666C4"/>
    <w:rsid w:val="00F76AFC"/>
    <w:rsid w:val="00F77F24"/>
    <w:rsid w:val="00F86496"/>
    <w:rsid w:val="00FA47C0"/>
    <w:rsid w:val="00FB5DD1"/>
    <w:rsid w:val="00FC2B5D"/>
    <w:rsid w:val="00FD1D0B"/>
    <w:rsid w:val="00FF1449"/>
    <w:rsid w:val="165E9519"/>
    <w:rsid w:val="382536D9"/>
    <w:rsid w:val="6EFDAB80"/>
    <w:rsid w:val="7B6AA7A6"/>
    <w:rsid w:val="7B7BFACA"/>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00D8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00D81"/>
    <w:rPr>
      <w:rFonts w:ascii="Geomanist Light" w:hAnsi="Geomanist Light"/>
      <w:lang w:val="es-ES"/>
    </w:rPr>
  </w:style>
  <w:style w:type="character" w:customStyle="1" w:styleId="s15">
    <w:name w:val="s15"/>
    <w:basedOn w:val="Fuentedeprrafopredeter"/>
    <w:rsid w:val="00500D81"/>
  </w:style>
  <w:style w:type="character" w:customStyle="1" w:styleId="apple-converted-space">
    <w:name w:val="apple-converted-space"/>
    <w:basedOn w:val="Fuentedeprrafopredeter"/>
    <w:rsid w:val="00500D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http://schemas.openxmlformats.org/package/2006/metadata/core-properties"/>
    <ds:schemaRef ds:uri="http://purl.org/dc/elements/1.1/"/>
    <ds:schemaRef ds:uri="http://schemas.microsoft.com/office/2006/metadata/properties"/>
    <ds:schemaRef ds:uri="http://schemas.microsoft.com/office/2006/documentManagement/types"/>
    <ds:schemaRef ds:uri="http://purl.org/dc/terms/"/>
    <ds:schemaRef ds:uri="http://schemas.microsoft.com/office/infopath/2007/PartnerControl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BE26C8D-130D-47EA-BBB0-B422B48F8A3D}">
  <ds:schemaRefs>
    <ds:schemaRef ds:uri="http://schemas.openxmlformats.org/officeDocument/2006/bibliography"/>
  </ds:schemaRefs>
</ds:datastoreItem>
</file>

<file path=customXml/itemProps4.xml><?xml version="1.0" encoding="utf-8"?>
<ds:datastoreItem xmlns:ds="http://schemas.openxmlformats.org/officeDocument/2006/customXml" ds:itemID="{78A63A07-14C0-45FB-9118-8218BA7DD6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19</Pages>
  <Words>6481</Words>
  <Characters>34290</Characters>
  <Application>Microsoft Office Word</Application>
  <DocSecurity>0</DocSecurity>
  <Lines>672</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2025-10-20T15:08:00Z</dcterms:created>
  <dcterms:modified xsi:type="dcterms:W3CDTF">2025-10-20T15:08:00Z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