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AA5C9F" w14:textId="53B0370C" w:rsidR="008C2AAD" w:rsidRPr="008C2AAD" w:rsidRDefault="008C2AAD" w:rsidP="008C2AAD">
      <w:pPr>
        <w:jc w:val="both"/>
        <w:rPr>
          <w:rFonts w:ascii="Verdana" w:eastAsia="Times New Roman" w:hAnsi="Verdana" w:cs="Arial"/>
          <w:b/>
          <w:lang w:eastAsia="es-ES_tradnl"/>
        </w:rPr>
      </w:pPr>
      <w:bookmarkStart w:id="0" w:name="_Hlk143780582"/>
      <w:r w:rsidRPr="008C2AAD">
        <w:rPr>
          <w:rFonts w:ascii="Verdana" w:hAnsi="Verdana" w:cs="Arial"/>
          <w:b/>
          <w:lang w:eastAsia="es-ES" w:bidi="es-ES"/>
        </w:rPr>
        <w:t>MODIFICACIÓN DE LOS CONTRATOS ESTATALES – Aspectos generales – Límites – Procedencia – condiciones - Límites</w:t>
      </w:r>
    </w:p>
    <w:p w14:paraId="5E8F1846" w14:textId="7478C828" w:rsidR="008C2AAD" w:rsidRPr="00B31C7B" w:rsidRDefault="008C2AAD" w:rsidP="008C2AAD">
      <w:pPr>
        <w:spacing w:after="120" w:line="276" w:lineRule="auto"/>
        <w:jc w:val="both"/>
        <w:rPr>
          <w:rFonts w:ascii="Verdana" w:hAnsi="Verdana" w:cs="Arial"/>
          <w:color w:val="000000"/>
          <w:szCs w:val="24"/>
          <w:lang w:eastAsia="es-ES_tradnl"/>
        </w:rPr>
      </w:pPr>
      <w:r>
        <w:rPr>
          <w:rFonts w:ascii="Verdana" w:hAnsi="Verdana" w:cs="Arial"/>
          <w:color w:val="000000"/>
          <w:szCs w:val="24"/>
          <w:lang w:eastAsia="es-ES_tradnl"/>
        </w:rPr>
        <w:t xml:space="preserve">[…] </w:t>
      </w:r>
      <w:proofErr w:type="gramStart"/>
      <w:r w:rsidRPr="00B31C7B">
        <w:rPr>
          <w:rFonts w:ascii="Verdana" w:hAnsi="Verdana" w:cs="Arial"/>
          <w:color w:val="000000"/>
          <w:szCs w:val="24"/>
          <w:lang w:eastAsia="es-ES_tradnl"/>
        </w:rPr>
        <w:t>En relación al</w:t>
      </w:r>
      <w:proofErr w:type="gramEnd"/>
      <w:r w:rsidRPr="00B31C7B">
        <w:rPr>
          <w:rFonts w:ascii="Verdana" w:hAnsi="Verdana" w:cs="Arial"/>
          <w:color w:val="000000"/>
          <w:szCs w:val="24"/>
          <w:lang w:eastAsia="es-ES_tradnl"/>
        </w:rPr>
        <w:t xml:space="preserve"> criterio cuantitativo se señala que cualquier incremento del valor inicial del contrato, independiente del nombre que se le dé al acuerdo -otrosí, adición, modificación, entre otros-, aplica el límite previsto en el parágrafo del artículo 40 de la Ley 80 de 1993: “Los contratos no podrán adicionarse en más del cincuenta por ciento (50%) de su valor inicial, expresado éste en salarios mínimos legales mensuales”. Dicha norma además de consagrar una prohibición trae implícita una autorización, consistente en la posibilidad de adicionar los contratos estatales, siempre que no se supere el tope establecido. De manera que, aunque es posible celebrar todos los tipos de acuerdos indicados, siempre debe observarse esta última disposición, la cual aplica a los contratos estatales, cuyos destinatarios son entidades sujetas al Estatuto General de Contratación de la Administración Pública –en adelante EGCAP–.</w:t>
      </w:r>
    </w:p>
    <w:p w14:paraId="32A3212D" w14:textId="77777777" w:rsidR="008C2AAD" w:rsidRPr="00B31C7B" w:rsidRDefault="008C2AAD" w:rsidP="008C2AAD">
      <w:pPr>
        <w:spacing w:after="120" w:line="276" w:lineRule="auto"/>
        <w:jc w:val="both"/>
        <w:rPr>
          <w:rFonts w:ascii="Verdana" w:eastAsia="Arial" w:hAnsi="Verdana" w:cs="Arial"/>
          <w:color w:val="000000"/>
          <w:lang w:val="es-ES" w:eastAsia="es-ES" w:bidi="es-ES"/>
        </w:rPr>
      </w:pPr>
      <w:r w:rsidRPr="00B31C7B">
        <w:rPr>
          <w:rFonts w:ascii="Verdana" w:hAnsi="Verdana" w:cs="Arial"/>
          <w:color w:val="000000"/>
          <w:szCs w:val="24"/>
          <w:lang w:eastAsia="es-ES_tradnl"/>
        </w:rPr>
        <w:t xml:space="preserve">Debe tenerse en cuenta que el límite debe establecerse en salarios mínimos para que el cálculo del tope sea preciso. Para tales efectos, para adicionar un contrato debe dividirse el valor inicial por el salario mínimo legal mensual vigente – en adelante SMLMV – al momento de la suscripción del contrato, y luego dividirlo por dos (2);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ya que las modificaciones podrían hacerse en diferentes vigencias fiscales, porque si el contrato se ejecuta sin existir variación en el valor del salario mínimo la operación sería la misma si se toma el monto en pesos. </w:t>
      </w:r>
    </w:p>
    <w:p w14:paraId="373C9CD5" w14:textId="77777777" w:rsidR="008C2AAD" w:rsidRPr="00B31C7B" w:rsidRDefault="008C2AAD" w:rsidP="008C2AAD">
      <w:pPr>
        <w:widowControl w:val="0"/>
        <w:autoSpaceDE w:val="0"/>
        <w:autoSpaceDN w:val="0"/>
        <w:spacing w:after="120" w:line="276" w:lineRule="auto"/>
        <w:jc w:val="both"/>
        <w:rPr>
          <w:rFonts w:ascii="Verdana" w:hAnsi="Verdana" w:cs="Arial"/>
        </w:rPr>
      </w:pPr>
      <w:proofErr w:type="spellStart"/>
      <w:r w:rsidRPr="00B31C7B">
        <w:rPr>
          <w:rFonts w:ascii="Verdana" w:hAnsi="Verdana" w:cs="Arial"/>
        </w:rPr>
        <w:t>ii</w:t>
      </w:r>
      <w:proofErr w:type="spellEnd"/>
      <w:r w:rsidRPr="00B31C7B">
        <w:rPr>
          <w:rFonts w:ascii="Verdana" w:hAnsi="Verdana" w:cs="Arial"/>
        </w:rPr>
        <w:t xml:space="preserve">) </w:t>
      </w:r>
      <w:r w:rsidRPr="00B31C7B">
        <w:rPr>
          <w:rFonts w:ascii="Verdana" w:hAnsi="Verdana"/>
        </w:rPr>
        <w:t xml:space="preserve">Los límites de orden temporal están comprendidos por: </w:t>
      </w:r>
      <w:r w:rsidRPr="00B31C7B">
        <w:rPr>
          <w:rFonts w:ascii="Verdana" w:eastAsia="Arial" w:hAnsi="Verdana" w:cs="Arial"/>
          <w:lang w:val="es-MX" w:eastAsia="es-ES" w:bidi="es-ES"/>
        </w:rPr>
        <w:t>1. la vigencia del contrato, pues no podría modificarse un contrato cuyo plazo ha culminado o finalizado y; 2. la prohibición de consagrar prórrogas automáticas, sucesivas o indefinidas, en tanto resultan contrarias al derecho esencial de la libertad de competencia.</w:t>
      </w:r>
      <w:r w:rsidRPr="00B31C7B">
        <w:rPr>
          <w:rFonts w:ascii="Verdana" w:hAnsi="Verdana" w:cs="Arial"/>
        </w:rPr>
        <w:t xml:space="preserve"> </w:t>
      </w:r>
    </w:p>
    <w:p w14:paraId="2B5956EB" w14:textId="77777777" w:rsidR="008C2AAD" w:rsidRPr="00F037D5" w:rsidRDefault="008C2AAD" w:rsidP="008C2AAD">
      <w:pPr>
        <w:widowControl w:val="0"/>
        <w:autoSpaceDE w:val="0"/>
        <w:autoSpaceDN w:val="0"/>
        <w:spacing w:after="120" w:line="276" w:lineRule="auto"/>
        <w:jc w:val="both"/>
        <w:rPr>
          <w:rFonts w:ascii="Verdana" w:eastAsia="Arial" w:hAnsi="Verdana" w:cs="Arial"/>
          <w:lang w:val="es-MX" w:eastAsia="es-ES" w:bidi="es-ES"/>
        </w:rPr>
      </w:pPr>
      <w:proofErr w:type="spellStart"/>
      <w:r w:rsidRPr="00B31C7B">
        <w:rPr>
          <w:rFonts w:ascii="Verdana" w:hAnsi="Verdana" w:cs="Arial"/>
        </w:rPr>
        <w:t>iii</w:t>
      </w:r>
      <w:proofErr w:type="spellEnd"/>
      <w:r w:rsidRPr="00B31C7B">
        <w:rPr>
          <w:rFonts w:ascii="Verdana" w:hAnsi="Verdana" w:cs="Arial"/>
        </w:rPr>
        <w:t xml:space="preserve">) Frente a los límites de orden formal, debe señalarse que, por un lado, es necesario que, la </w:t>
      </w:r>
      <w:r w:rsidRPr="00B31C7B">
        <w:rPr>
          <w:rFonts w:ascii="Verdana" w:eastAsia="Arial" w:hAnsi="Verdana" w:cs="Arial"/>
          <w:lang w:val="es-MX" w:eastAsia="es-ES" w:bidi="es-ES"/>
        </w:rPr>
        <w:t xml:space="preserve">modificación de los contratos conste por escrito, dado el carácter solemne del contrato estatal y que sea firmado por el jefe o representante legal o su delegado, de conformidad con los artículos 11 y 12 de la Ley 80 de 1993, así como el deber de la existencia de las disponibilidades </w:t>
      </w:r>
      <w:r w:rsidRPr="00B31C7B">
        <w:rPr>
          <w:rFonts w:ascii="Verdana" w:eastAsia="Arial" w:hAnsi="Verdana" w:cs="Arial"/>
          <w:lang w:val="es-MX" w:eastAsia="es-ES" w:bidi="es-ES"/>
        </w:rPr>
        <w:lastRenderedPageBreak/>
        <w:t xml:space="preserve">presupuestales para el cumplimiento de las obligaciones contractuales. </w:t>
      </w:r>
      <w:r w:rsidRPr="00B31C7B">
        <w:rPr>
          <w:rFonts w:ascii="Verdana" w:eastAsia="Arial" w:hAnsi="Verdana" w:cs="Arial"/>
          <w:color w:val="000000"/>
          <w:lang w:val="es-MX" w:eastAsia="es-ES" w:bidi="es-ES"/>
        </w:rPr>
        <w:t xml:space="preserve">Es importante precisar que </w:t>
      </w:r>
      <w:r w:rsidRPr="00B31C7B">
        <w:rPr>
          <w:rFonts w:ascii="Verdana" w:eastAsia="Arial" w:hAnsi="Verdana" w:cs="Arial"/>
          <w:color w:val="000000"/>
          <w:lang w:val="es-ES" w:eastAsia="es-ES" w:bidi="es-ES"/>
        </w:rPr>
        <w:t xml:space="preserve">la norma no contempló la forma cómo debe adelantarse una modificación de un contrato estatal, sino que se debe acudir al manual de contratación de la entidad estatal. No obstante, es más que claro que </w:t>
      </w:r>
      <w:r w:rsidRPr="00B31C7B">
        <w:rPr>
          <w:rFonts w:ascii="Verdana" w:eastAsia="Arial" w:hAnsi="Verdana" w:cs="Arial"/>
          <w:color w:val="000000"/>
          <w:lang w:eastAsia="es-ES" w:bidi="es-ES"/>
        </w:rPr>
        <w:t xml:space="preserve">en esencia, los contratos estatales, por regla general, son contratos solemnes, lo que de conformidad al artículo 1500 del Código Civil implica que están sujetos a la observancia de ciertas formalidades especiales, de manera que sin ellas no producen efecto. Por tanto, la modificación </w:t>
      </w:r>
      <w:proofErr w:type="gramStart"/>
      <w:r w:rsidRPr="00B31C7B">
        <w:rPr>
          <w:rFonts w:ascii="Verdana" w:eastAsia="Arial" w:hAnsi="Verdana" w:cs="Arial"/>
          <w:color w:val="000000"/>
          <w:lang w:eastAsia="es-ES" w:bidi="es-ES"/>
        </w:rPr>
        <w:t>del mismo</w:t>
      </w:r>
      <w:proofErr w:type="gramEnd"/>
      <w:r w:rsidRPr="00B31C7B">
        <w:rPr>
          <w:rFonts w:ascii="Verdana" w:eastAsia="Arial" w:hAnsi="Verdana" w:cs="Arial"/>
          <w:color w:val="000000"/>
          <w:lang w:eastAsia="es-ES" w:bidi="es-ES"/>
        </w:rPr>
        <w:t xml:space="preserve"> debe revestir de dicha solemnidad, es decir, debe suscribirse mediante un documento firmado por ambas partes, independiente de su denominación.</w:t>
      </w:r>
    </w:p>
    <w:p w14:paraId="1D685069" w14:textId="77777777" w:rsidR="008C2AAD" w:rsidRPr="00B31C7B" w:rsidRDefault="008C2AAD" w:rsidP="008C2AAD">
      <w:pPr>
        <w:widowControl w:val="0"/>
        <w:autoSpaceDE w:val="0"/>
        <w:autoSpaceDN w:val="0"/>
        <w:spacing w:after="120" w:line="276" w:lineRule="auto"/>
        <w:jc w:val="both"/>
        <w:rPr>
          <w:rFonts w:ascii="Verdana" w:eastAsia="Arial" w:hAnsi="Verdana" w:cs="Arial"/>
          <w:color w:val="000000"/>
          <w:lang w:val="es-ES" w:eastAsia="es-ES" w:bidi="es-ES"/>
        </w:rPr>
      </w:pPr>
      <w:proofErr w:type="spellStart"/>
      <w:r w:rsidRPr="00B31C7B">
        <w:rPr>
          <w:rFonts w:ascii="Verdana" w:hAnsi="Verdana" w:cs="Arial"/>
        </w:rPr>
        <w:t>iv</w:t>
      </w:r>
      <w:proofErr w:type="spellEnd"/>
      <w:r w:rsidRPr="00B31C7B">
        <w:rPr>
          <w:rFonts w:ascii="Verdana" w:hAnsi="Verdana" w:cs="Arial"/>
        </w:rPr>
        <w:t xml:space="preserve">) Los límites materiales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 xml:space="preserve">“habiendo figurado en el procedimiento inicial, hubiera permitido la participación de otros interesados aparte de los inicialmente admitidos, o seleccionar una oferta distinta de la inicialmente seleccionada”. </w:t>
      </w:r>
      <w:r w:rsidRPr="00B31C7B">
        <w:rPr>
          <w:rFonts w:ascii="Verdana" w:eastAsia="Arial" w:hAnsi="Verdana" w:cs="Arial"/>
          <w:color w:val="000000"/>
          <w:lang w:val="es-ES" w:eastAsia="es-ES" w:bidi="es-ES"/>
        </w:rPr>
        <w:t xml:space="preserve">En esta línea, para establecer si un contrato determinado puede ser susceptible de modificación, se hace necesario que la Administración analice, en cada caso, la concurrencia de los aspectos antes referidos. </w:t>
      </w:r>
    </w:p>
    <w:p w14:paraId="73FDE7D1" w14:textId="77777777" w:rsidR="008C2AAD" w:rsidRPr="008C2AAD" w:rsidRDefault="008C2AAD" w:rsidP="002506A5">
      <w:pPr>
        <w:rPr>
          <w:rFonts w:ascii="Verdana" w:eastAsia="Times New Roman" w:hAnsi="Verdana" w:cs="Arial"/>
          <w:lang w:val="es-ES" w:eastAsia="es-ES_tradnl"/>
        </w:rPr>
      </w:pPr>
    </w:p>
    <w:p w14:paraId="6A90CB83" w14:textId="77777777" w:rsidR="008C2AAD" w:rsidRDefault="008C2AAD" w:rsidP="002506A5">
      <w:pPr>
        <w:rPr>
          <w:rFonts w:ascii="Verdana" w:eastAsia="Times New Roman" w:hAnsi="Verdana" w:cs="Arial"/>
          <w:lang w:eastAsia="es-ES_tradnl"/>
        </w:rPr>
      </w:pPr>
    </w:p>
    <w:p w14:paraId="52F8EEBF" w14:textId="77777777" w:rsidR="008C2AAD" w:rsidRDefault="008C2AAD" w:rsidP="002506A5">
      <w:pPr>
        <w:rPr>
          <w:rFonts w:ascii="Verdana" w:eastAsia="Times New Roman" w:hAnsi="Verdana" w:cs="Arial"/>
          <w:lang w:eastAsia="es-ES_tradnl"/>
        </w:rPr>
      </w:pPr>
    </w:p>
    <w:p w14:paraId="2278BC65" w14:textId="77777777" w:rsidR="008C2AAD" w:rsidRDefault="008C2AAD" w:rsidP="002506A5">
      <w:pPr>
        <w:rPr>
          <w:rFonts w:ascii="Verdana" w:eastAsia="Times New Roman" w:hAnsi="Verdana" w:cs="Arial"/>
          <w:lang w:eastAsia="es-ES_tradnl"/>
        </w:rPr>
      </w:pPr>
    </w:p>
    <w:p w14:paraId="19F28407" w14:textId="77777777" w:rsidR="008C2AAD" w:rsidRDefault="008C2AAD" w:rsidP="002506A5">
      <w:pPr>
        <w:rPr>
          <w:rFonts w:ascii="Verdana" w:eastAsia="Times New Roman" w:hAnsi="Verdana" w:cs="Arial"/>
          <w:lang w:eastAsia="es-ES_tradnl"/>
        </w:rPr>
      </w:pPr>
    </w:p>
    <w:p w14:paraId="635833BB" w14:textId="77777777" w:rsidR="008C2AAD" w:rsidRDefault="008C2AAD" w:rsidP="002506A5">
      <w:pPr>
        <w:rPr>
          <w:rFonts w:ascii="Verdana" w:eastAsia="Times New Roman" w:hAnsi="Verdana" w:cs="Arial"/>
          <w:lang w:eastAsia="es-ES_tradnl"/>
        </w:rPr>
      </w:pPr>
    </w:p>
    <w:p w14:paraId="3A7C6C9F" w14:textId="77777777" w:rsidR="008C2AAD" w:rsidRDefault="008C2AAD" w:rsidP="002506A5">
      <w:pPr>
        <w:rPr>
          <w:rFonts w:ascii="Verdana" w:eastAsia="Times New Roman" w:hAnsi="Verdana" w:cs="Arial"/>
          <w:lang w:eastAsia="es-ES_tradnl"/>
        </w:rPr>
      </w:pPr>
    </w:p>
    <w:p w14:paraId="42B18037" w14:textId="77777777" w:rsidR="008C2AAD" w:rsidRDefault="008C2AAD" w:rsidP="002506A5">
      <w:pPr>
        <w:rPr>
          <w:rFonts w:ascii="Verdana" w:eastAsia="Times New Roman" w:hAnsi="Verdana" w:cs="Arial"/>
          <w:lang w:eastAsia="es-ES_tradnl"/>
        </w:rPr>
      </w:pPr>
    </w:p>
    <w:p w14:paraId="7BB2C9BE" w14:textId="77777777" w:rsidR="008C2AAD" w:rsidRDefault="008C2AAD" w:rsidP="002506A5">
      <w:pPr>
        <w:rPr>
          <w:rFonts w:ascii="Verdana" w:eastAsia="Times New Roman" w:hAnsi="Verdana" w:cs="Arial"/>
          <w:lang w:eastAsia="es-ES_tradnl"/>
        </w:rPr>
      </w:pPr>
    </w:p>
    <w:p w14:paraId="35AAAB33" w14:textId="77777777" w:rsidR="008C2AAD" w:rsidRDefault="008C2AAD" w:rsidP="002506A5">
      <w:pPr>
        <w:rPr>
          <w:rFonts w:ascii="Verdana" w:eastAsia="Times New Roman" w:hAnsi="Verdana" w:cs="Arial"/>
          <w:lang w:eastAsia="es-ES_tradnl"/>
        </w:rPr>
      </w:pPr>
    </w:p>
    <w:p w14:paraId="34AB0EE2" w14:textId="77777777" w:rsidR="008C2AAD" w:rsidRDefault="008C2AAD" w:rsidP="002506A5">
      <w:pPr>
        <w:rPr>
          <w:rFonts w:ascii="Verdana" w:eastAsia="Times New Roman" w:hAnsi="Verdana" w:cs="Arial"/>
          <w:lang w:eastAsia="es-ES_tradnl"/>
        </w:rPr>
      </w:pPr>
    </w:p>
    <w:p w14:paraId="7C655158" w14:textId="77777777" w:rsidR="008C2AAD" w:rsidRDefault="008C2AAD" w:rsidP="002506A5">
      <w:pPr>
        <w:rPr>
          <w:rFonts w:ascii="Verdana" w:eastAsia="Times New Roman" w:hAnsi="Verdana" w:cs="Arial"/>
          <w:lang w:eastAsia="es-ES_tradnl"/>
        </w:rPr>
      </w:pPr>
    </w:p>
    <w:p w14:paraId="3EEAE8E7" w14:textId="77777777" w:rsidR="008C2AAD" w:rsidRDefault="008C2AAD" w:rsidP="002506A5">
      <w:pPr>
        <w:rPr>
          <w:rFonts w:ascii="Verdana" w:eastAsia="Times New Roman" w:hAnsi="Verdana" w:cs="Arial"/>
          <w:lang w:eastAsia="es-ES_tradnl"/>
        </w:rPr>
      </w:pPr>
    </w:p>
    <w:p w14:paraId="79A5638F" w14:textId="365D68FB" w:rsidR="002506A5" w:rsidRPr="006F44C3" w:rsidRDefault="002506A5" w:rsidP="002506A5">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8C2AAD">
        <w:rPr>
          <w:rFonts w:ascii="Verdana" w:eastAsia="Times New Roman" w:hAnsi="Verdana" w:cs="Arial"/>
          <w:lang w:eastAsia="es-ES_tradnl"/>
        </w:rPr>
        <w:t>20</w:t>
      </w:r>
      <w:r w:rsidRPr="00093B55">
        <w:rPr>
          <w:rFonts w:ascii="Verdana" w:eastAsia="Times New Roman" w:hAnsi="Verdana" w:cs="Arial"/>
          <w:lang w:eastAsia="es-ES_tradnl"/>
        </w:rPr>
        <w:t xml:space="preserve"> de </w:t>
      </w:r>
      <w:r w:rsidR="008C2AAD">
        <w:rPr>
          <w:rFonts w:ascii="Verdana" w:eastAsia="Times New Roman" w:hAnsi="Verdana" w:cs="Arial"/>
          <w:lang w:eastAsia="es-ES_tradnl"/>
        </w:rPr>
        <w:t xml:space="preserve">octubre </w:t>
      </w:r>
      <w:r w:rsidRPr="00093B55">
        <w:rPr>
          <w:rFonts w:ascii="Verdana" w:eastAsia="Times New Roman" w:hAnsi="Verdana" w:cs="Arial"/>
          <w:lang w:eastAsia="es-ES_tradnl"/>
        </w:rPr>
        <w:t xml:space="preserve">de </w:t>
      </w:r>
      <w:r w:rsidR="008C2AAD">
        <w:rPr>
          <w:rFonts w:ascii="Verdana" w:eastAsia="Times New Roman" w:hAnsi="Verdana" w:cs="Arial"/>
          <w:lang w:eastAsia="es-ES_tradnl"/>
        </w:rPr>
        <w:t>2025</w:t>
      </w:r>
    </w:p>
    <w:p w14:paraId="58E94E26" w14:textId="77777777" w:rsidR="002506A5" w:rsidRDefault="002506A5" w:rsidP="002506A5">
      <w:pPr>
        <w:spacing w:after="0" w:line="240" w:lineRule="auto"/>
        <w:jc w:val="both"/>
        <w:rPr>
          <w:rFonts w:ascii="Verdana" w:hAnsi="Verdana" w:cs="Arial"/>
          <w:bCs/>
          <w:lang w:eastAsia="es-ES" w:bidi="es-ES"/>
        </w:rPr>
      </w:pPr>
    </w:p>
    <w:p w14:paraId="2B947B00" w14:textId="31F445EC" w:rsidR="008C2AAD" w:rsidRDefault="008C2AAD" w:rsidP="008C2AAD">
      <w:pPr>
        <w:spacing w:after="0" w:line="240" w:lineRule="auto"/>
        <w:ind w:left="3540"/>
        <w:jc w:val="both"/>
        <w:rPr>
          <w:rFonts w:ascii="Verdana" w:hAnsi="Verdana" w:cs="Arial"/>
          <w:bCs/>
          <w:lang w:eastAsia="es-ES" w:bidi="es-ES"/>
        </w:rPr>
      </w:pPr>
      <w:r w:rsidRPr="008C2AAD">
        <w:rPr>
          <w:rFonts w:ascii="Verdana" w:hAnsi="Verdana" w:cs="Arial"/>
          <w:bCs/>
          <w:noProof/>
          <w:lang w:eastAsia="es-ES" w:bidi="es-ES"/>
        </w:rPr>
        <w:drawing>
          <wp:inline distT="0" distB="0" distL="0" distR="0" wp14:anchorId="032B4A00" wp14:editId="7610469D">
            <wp:extent cx="3371850" cy="1104819"/>
            <wp:effectExtent l="0" t="0" r="0" b="635"/>
            <wp:docPr id="1882027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02716" name=""/>
                    <pic:cNvPicPr/>
                  </pic:nvPicPr>
                  <pic:blipFill>
                    <a:blip r:embed="rId10"/>
                    <a:stretch>
                      <a:fillRect/>
                    </a:stretch>
                  </pic:blipFill>
                  <pic:spPr>
                    <a:xfrm>
                      <a:off x="0" y="0"/>
                      <a:ext cx="3381065" cy="1107839"/>
                    </a:xfrm>
                    <a:prstGeom prst="rect">
                      <a:avLst/>
                    </a:prstGeom>
                  </pic:spPr>
                </pic:pic>
              </a:graphicData>
            </a:graphic>
          </wp:inline>
        </w:drawing>
      </w:r>
    </w:p>
    <w:p w14:paraId="0967E28C" w14:textId="1FEB93DE" w:rsidR="002506A5" w:rsidRPr="007072F5" w:rsidRDefault="002506A5" w:rsidP="002506A5">
      <w:pPr>
        <w:spacing w:after="0" w:line="240" w:lineRule="auto"/>
        <w:jc w:val="both"/>
        <w:rPr>
          <w:rFonts w:ascii="Verdana" w:hAnsi="Verdana" w:cs="Arial"/>
          <w:bCs/>
          <w:lang w:eastAsia="es-ES" w:bidi="es-ES"/>
        </w:rPr>
      </w:pPr>
      <w:r w:rsidRPr="007072F5">
        <w:rPr>
          <w:rFonts w:ascii="Verdana" w:hAnsi="Verdana" w:cs="Arial"/>
          <w:bCs/>
          <w:lang w:eastAsia="es-ES" w:bidi="es-ES"/>
        </w:rPr>
        <w:t>Señor</w:t>
      </w:r>
      <w:r>
        <w:rPr>
          <w:rFonts w:ascii="Verdana" w:hAnsi="Verdana" w:cs="Arial"/>
          <w:bCs/>
          <w:lang w:eastAsia="es-ES" w:bidi="es-ES"/>
        </w:rPr>
        <w:t>a</w:t>
      </w:r>
    </w:p>
    <w:p w14:paraId="716AC70F" w14:textId="77777777" w:rsidR="002506A5" w:rsidRPr="002506A5" w:rsidRDefault="002506A5" w:rsidP="002506A5">
      <w:pPr>
        <w:spacing w:after="0" w:line="240" w:lineRule="auto"/>
        <w:jc w:val="both"/>
        <w:rPr>
          <w:rFonts w:ascii="Verdana" w:hAnsi="Verdana" w:cs="Arial"/>
          <w:b/>
          <w:bCs/>
          <w:lang w:eastAsia="es-ES" w:bidi="es-ES"/>
        </w:rPr>
      </w:pPr>
      <w:r w:rsidRPr="002506A5">
        <w:rPr>
          <w:rFonts w:ascii="Verdana" w:hAnsi="Verdana" w:cs="Arial"/>
          <w:b/>
          <w:bCs/>
          <w:lang w:eastAsia="es-ES" w:bidi="es-ES"/>
        </w:rPr>
        <w:t>Paula Daniela Reyes Rico</w:t>
      </w:r>
    </w:p>
    <w:p w14:paraId="28637F1D" w14:textId="77777777" w:rsidR="002506A5" w:rsidRPr="002506A5" w:rsidRDefault="002506A5" w:rsidP="002506A5">
      <w:pPr>
        <w:spacing w:after="0" w:line="240" w:lineRule="auto"/>
        <w:jc w:val="both"/>
        <w:rPr>
          <w:rFonts w:ascii="Verdana" w:hAnsi="Verdana"/>
        </w:rPr>
      </w:pPr>
      <w:hyperlink r:id="rId11" w:history="1">
        <w:r w:rsidRPr="002506A5">
          <w:rPr>
            <w:rStyle w:val="Hipervnculo"/>
            <w:rFonts w:ascii="Verdana" w:hAnsi="Verdana"/>
          </w:rPr>
          <w:t>obras@arbelaez-cundinamarca.gov.co</w:t>
        </w:r>
      </w:hyperlink>
      <w:r w:rsidRPr="002506A5">
        <w:rPr>
          <w:rFonts w:ascii="Verdana" w:hAnsi="Verdana"/>
        </w:rPr>
        <w:t xml:space="preserve">; </w:t>
      </w:r>
    </w:p>
    <w:p w14:paraId="0C104E56" w14:textId="77777777" w:rsidR="002506A5" w:rsidRPr="00B31C7B" w:rsidRDefault="002506A5" w:rsidP="002506A5">
      <w:pPr>
        <w:spacing w:after="0" w:line="240" w:lineRule="auto"/>
        <w:jc w:val="both"/>
        <w:rPr>
          <w:rFonts w:ascii="Verdana" w:hAnsi="Verdana" w:cs="Arial"/>
          <w:bCs/>
          <w:lang w:val="es-MX" w:eastAsia="es-ES" w:bidi="es-ES"/>
        </w:rPr>
      </w:pPr>
      <w:r>
        <w:rPr>
          <w:rFonts w:ascii="Verdana" w:hAnsi="Verdana" w:cs="Arial"/>
          <w:bCs/>
          <w:lang w:val="es-MX" w:eastAsia="es-ES" w:bidi="es-ES"/>
        </w:rPr>
        <w:t>Arbeláez, Cundinamarca</w:t>
      </w:r>
    </w:p>
    <w:p w14:paraId="6899E1B4" w14:textId="77777777" w:rsidR="002506A5" w:rsidRPr="00B31C7B" w:rsidRDefault="002506A5" w:rsidP="002506A5">
      <w:pPr>
        <w:spacing w:after="0" w:line="240" w:lineRule="auto"/>
        <w:jc w:val="both"/>
        <w:rPr>
          <w:rFonts w:ascii="Verdana" w:hAnsi="Verdana" w:cs="Arial"/>
          <w:b/>
          <w:bCs/>
          <w:lang w:val="es-ES_tradnl" w:eastAsia="es-ES" w:bidi="es-ES"/>
        </w:rPr>
      </w:pPr>
    </w:p>
    <w:p w14:paraId="72749386" w14:textId="77777777" w:rsidR="002506A5" w:rsidRPr="00B31C7B" w:rsidRDefault="002506A5" w:rsidP="002506A5">
      <w:pPr>
        <w:tabs>
          <w:tab w:val="left" w:pos="7184"/>
        </w:tabs>
        <w:spacing w:after="0" w:line="240" w:lineRule="auto"/>
        <w:jc w:val="both"/>
        <w:rPr>
          <w:rFonts w:ascii="Verdana" w:hAnsi="Verdana" w:cs="Arial"/>
          <w:b/>
          <w:bCs/>
          <w:lang w:val="es-ES_tradnl" w:eastAsia="es-ES" w:bidi="es-ES"/>
        </w:rPr>
      </w:pPr>
      <w:r w:rsidRPr="00B31C7B">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2506A5" w:rsidRPr="00B31C7B" w14:paraId="249A83D5" w14:textId="77777777" w:rsidTr="00EC403E">
        <w:trPr>
          <w:trHeight w:val="312"/>
        </w:trPr>
        <w:tc>
          <w:tcPr>
            <w:tcW w:w="2689" w:type="dxa"/>
          </w:tcPr>
          <w:p w14:paraId="7D4C7369" w14:textId="77777777" w:rsidR="002506A5" w:rsidRPr="00B31C7B" w:rsidRDefault="002506A5" w:rsidP="00EC403E">
            <w:pPr>
              <w:jc w:val="both"/>
              <w:rPr>
                <w:rFonts w:ascii="Verdana" w:hAnsi="Verdana" w:cs="Arial"/>
                <w:b/>
                <w:bCs/>
                <w:lang w:val="es-ES_tradnl" w:eastAsia="es-ES" w:bidi="es-ES"/>
              </w:rPr>
            </w:pPr>
          </w:p>
        </w:tc>
        <w:tc>
          <w:tcPr>
            <w:tcW w:w="6242" w:type="dxa"/>
          </w:tcPr>
          <w:p w14:paraId="78F48D89" w14:textId="77777777" w:rsidR="002506A5" w:rsidRPr="00B31C7B" w:rsidRDefault="002506A5" w:rsidP="00EC403E">
            <w:pPr>
              <w:tabs>
                <w:tab w:val="right" w:pos="6242"/>
              </w:tabs>
              <w:jc w:val="both"/>
              <w:rPr>
                <w:rFonts w:ascii="Verdana" w:hAnsi="Verdana" w:cs="Arial"/>
                <w:b/>
                <w:bCs/>
                <w:lang w:val="es-MX" w:eastAsia="es-ES" w:bidi="es-ES"/>
              </w:rPr>
            </w:pPr>
            <w:r w:rsidRPr="00B31C7B">
              <w:rPr>
                <w:rFonts w:ascii="Verdana" w:hAnsi="Verdana" w:cs="Arial"/>
                <w:b/>
                <w:bCs/>
                <w:lang w:val="es-MX" w:eastAsia="es-ES" w:bidi="es-ES"/>
              </w:rPr>
              <w:t xml:space="preserve">Concepto C- </w:t>
            </w:r>
            <w:r>
              <w:rPr>
                <w:rFonts w:ascii="Verdana" w:hAnsi="Verdana" w:cs="Arial"/>
                <w:b/>
                <w:bCs/>
                <w:lang w:val="es-MX" w:eastAsia="es-ES" w:bidi="es-ES"/>
              </w:rPr>
              <w:t>1379</w:t>
            </w:r>
            <w:r w:rsidRPr="00B31C7B">
              <w:rPr>
                <w:rFonts w:ascii="Verdana" w:hAnsi="Verdana" w:cs="Arial"/>
                <w:b/>
                <w:bCs/>
                <w:lang w:val="es-MX" w:eastAsia="es-ES" w:bidi="es-ES"/>
              </w:rPr>
              <w:t xml:space="preserve"> de 2025</w:t>
            </w:r>
            <w:r w:rsidRPr="00B31C7B">
              <w:rPr>
                <w:rFonts w:ascii="Verdana" w:hAnsi="Verdana" w:cs="Arial"/>
                <w:b/>
                <w:bCs/>
                <w:lang w:val="es-MX" w:eastAsia="es-ES" w:bidi="es-ES"/>
              </w:rPr>
              <w:tab/>
            </w:r>
          </w:p>
          <w:p w14:paraId="58E6AD7D" w14:textId="77777777" w:rsidR="002506A5" w:rsidRPr="00B31C7B" w:rsidRDefault="002506A5" w:rsidP="00EC403E">
            <w:pPr>
              <w:jc w:val="both"/>
              <w:rPr>
                <w:rFonts w:ascii="Verdana" w:hAnsi="Verdana" w:cs="Arial"/>
                <w:b/>
                <w:bCs/>
                <w:lang w:val="es-MX" w:eastAsia="es-ES" w:bidi="es-ES"/>
              </w:rPr>
            </w:pPr>
          </w:p>
        </w:tc>
      </w:tr>
      <w:tr w:rsidR="002506A5" w:rsidRPr="00B31C7B" w14:paraId="47ED9D3F" w14:textId="77777777" w:rsidTr="00EC403E">
        <w:trPr>
          <w:trHeight w:val="884"/>
        </w:trPr>
        <w:tc>
          <w:tcPr>
            <w:tcW w:w="2689" w:type="dxa"/>
          </w:tcPr>
          <w:p w14:paraId="56C039AD" w14:textId="77777777" w:rsidR="002506A5" w:rsidRPr="00B31C7B" w:rsidRDefault="002506A5" w:rsidP="00EC403E">
            <w:pPr>
              <w:jc w:val="both"/>
              <w:rPr>
                <w:rFonts w:ascii="Verdana" w:hAnsi="Verdana" w:cs="Arial"/>
                <w:bCs/>
                <w:lang w:val="es-MX" w:eastAsia="es-ES" w:bidi="es-ES"/>
              </w:rPr>
            </w:pPr>
            <w:r w:rsidRPr="00B31C7B">
              <w:rPr>
                <w:rFonts w:ascii="Verdana" w:hAnsi="Verdana" w:cs="Arial"/>
                <w:bCs/>
                <w:lang w:val="es-MX" w:eastAsia="es-ES" w:bidi="es-ES"/>
              </w:rPr>
              <w:t xml:space="preserve">Temas:                   </w:t>
            </w:r>
          </w:p>
        </w:tc>
        <w:tc>
          <w:tcPr>
            <w:tcW w:w="6242" w:type="dxa"/>
          </w:tcPr>
          <w:p w14:paraId="27717DA3" w14:textId="77777777" w:rsidR="002506A5" w:rsidRPr="00B31C7B" w:rsidRDefault="002506A5" w:rsidP="00EC403E">
            <w:pPr>
              <w:jc w:val="both"/>
              <w:rPr>
                <w:rFonts w:ascii="Verdana" w:hAnsi="Verdana" w:cs="Arial"/>
                <w:bCs/>
                <w:highlight w:val="yellow"/>
                <w:lang w:val="es-MX" w:eastAsia="es-ES" w:bidi="es-ES"/>
              </w:rPr>
            </w:pPr>
            <w:r w:rsidRPr="00B31C7B">
              <w:rPr>
                <w:rFonts w:ascii="Verdana" w:hAnsi="Verdana" w:cs="Arial"/>
                <w:bCs/>
                <w:lang w:eastAsia="es-ES" w:bidi="es-ES"/>
              </w:rPr>
              <w:t>MODIFICACI</w:t>
            </w:r>
            <w:r>
              <w:rPr>
                <w:rFonts w:ascii="Verdana" w:hAnsi="Verdana" w:cs="Arial"/>
                <w:bCs/>
                <w:lang w:eastAsia="es-ES" w:bidi="es-ES"/>
              </w:rPr>
              <w:t>Ó</w:t>
            </w:r>
            <w:r w:rsidRPr="00B31C7B">
              <w:rPr>
                <w:rFonts w:ascii="Verdana" w:hAnsi="Verdana" w:cs="Arial"/>
                <w:bCs/>
                <w:lang w:eastAsia="es-ES" w:bidi="es-ES"/>
              </w:rPr>
              <w:t>N DE LOS CONTRATOS ESTATALES – Aspectos generales – Límites</w:t>
            </w:r>
            <w:r>
              <w:rPr>
                <w:rFonts w:ascii="Verdana" w:hAnsi="Verdana" w:cs="Arial"/>
                <w:bCs/>
                <w:lang w:eastAsia="es-ES" w:bidi="es-ES"/>
              </w:rPr>
              <w:t xml:space="preserve"> </w:t>
            </w:r>
            <w:r w:rsidRPr="00B31C7B">
              <w:rPr>
                <w:rFonts w:ascii="Verdana" w:hAnsi="Verdana" w:cs="Arial"/>
                <w:bCs/>
                <w:lang w:eastAsia="es-ES" w:bidi="es-ES"/>
              </w:rPr>
              <w:t xml:space="preserve">– Procedencia – condiciones - Límites </w:t>
            </w:r>
          </w:p>
        </w:tc>
      </w:tr>
      <w:tr w:rsidR="002506A5" w:rsidRPr="00B31C7B" w14:paraId="7713F8FA" w14:textId="77777777" w:rsidTr="00EC403E">
        <w:tc>
          <w:tcPr>
            <w:tcW w:w="2689" w:type="dxa"/>
          </w:tcPr>
          <w:p w14:paraId="01B65B39" w14:textId="77777777" w:rsidR="002506A5" w:rsidRPr="00B31C7B" w:rsidRDefault="002506A5" w:rsidP="00EC403E">
            <w:pPr>
              <w:jc w:val="both"/>
              <w:rPr>
                <w:rFonts w:ascii="Verdana" w:hAnsi="Verdana" w:cs="Arial"/>
                <w:bCs/>
                <w:lang w:val="es-MX" w:eastAsia="es-ES" w:bidi="es-ES"/>
              </w:rPr>
            </w:pPr>
            <w:r w:rsidRPr="00B31C7B">
              <w:rPr>
                <w:rFonts w:ascii="Verdana" w:hAnsi="Verdana" w:cs="Arial"/>
                <w:bCs/>
                <w:lang w:val="es-MX" w:eastAsia="es-ES" w:bidi="es-ES"/>
              </w:rPr>
              <w:t xml:space="preserve">Radicación:               </w:t>
            </w:r>
          </w:p>
        </w:tc>
        <w:tc>
          <w:tcPr>
            <w:tcW w:w="6242" w:type="dxa"/>
          </w:tcPr>
          <w:p w14:paraId="4BD64B4F" w14:textId="77777777" w:rsidR="002506A5" w:rsidRPr="00B31C7B" w:rsidRDefault="002506A5" w:rsidP="00EC403E">
            <w:pPr>
              <w:jc w:val="both"/>
              <w:rPr>
                <w:rFonts w:ascii="Verdana" w:hAnsi="Verdana" w:cs="Arial"/>
                <w:bCs/>
                <w:lang w:val="es-MX" w:eastAsia="es-ES" w:bidi="es-ES"/>
              </w:rPr>
            </w:pPr>
            <w:r w:rsidRPr="00B31C7B">
              <w:rPr>
                <w:rFonts w:ascii="Verdana" w:hAnsi="Verdana" w:cs="Arial"/>
                <w:bCs/>
                <w:lang w:val="es-MX" w:eastAsia="es-ES" w:bidi="es-ES"/>
              </w:rPr>
              <w:t xml:space="preserve">Respuesta a consulta con radicado No. </w:t>
            </w:r>
            <w:r w:rsidRPr="007072F5">
              <w:rPr>
                <w:rFonts w:ascii="Verdana" w:hAnsi="Verdana" w:cs="Arial"/>
                <w:bCs/>
                <w:lang w:val="es-MX" w:eastAsia="es-ES" w:bidi="es-ES"/>
              </w:rPr>
              <w:t>1_2025_09_24_010558</w:t>
            </w:r>
          </w:p>
        </w:tc>
      </w:tr>
    </w:tbl>
    <w:p w14:paraId="54439983" w14:textId="77777777" w:rsidR="002506A5" w:rsidRPr="00B31C7B" w:rsidRDefault="002506A5" w:rsidP="002506A5">
      <w:pPr>
        <w:spacing w:after="0" w:line="240" w:lineRule="auto"/>
        <w:jc w:val="both"/>
        <w:rPr>
          <w:rFonts w:ascii="Verdana" w:hAnsi="Verdana" w:cs="Arial"/>
          <w:bCs/>
          <w:lang w:val="es-ES_tradnl" w:eastAsia="es-ES" w:bidi="es-ES"/>
        </w:rPr>
      </w:pPr>
    </w:p>
    <w:p w14:paraId="406518D2" w14:textId="77777777" w:rsidR="002506A5" w:rsidRPr="00B31C7B" w:rsidRDefault="002506A5" w:rsidP="002506A5">
      <w:pPr>
        <w:spacing w:after="0" w:line="240" w:lineRule="auto"/>
        <w:jc w:val="both"/>
        <w:rPr>
          <w:rFonts w:ascii="Verdana" w:hAnsi="Verdana" w:cs="Arial"/>
          <w:bCs/>
          <w:lang w:val="es-ES_tradnl" w:eastAsia="es-ES" w:bidi="es-ES"/>
        </w:rPr>
      </w:pPr>
    </w:p>
    <w:p w14:paraId="01760F27" w14:textId="77777777" w:rsidR="002506A5" w:rsidRPr="00B31C7B" w:rsidRDefault="002506A5" w:rsidP="002506A5">
      <w:pPr>
        <w:spacing w:after="0" w:line="276" w:lineRule="auto"/>
        <w:jc w:val="both"/>
        <w:rPr>
          <w:rFonts w:ascii="Verdana" w:hAnsi="Verdana" w:cs="Arial"/>
          <w:bCs/>
          <w:lang w:val="es-MX" w:eastAsia="es-ES" w:bidi="es-ES"/>
        </w:rPr>
      </w:pPr>
      <w:r w:rsidRPr="00B31C7B">
        <w:rPr>
          <w:rFonts w:ascii="Verdana" w:hAnsi="Verdana" w:cs="Arial"/>
          <w:bCs/>
          <w:lang w:val="es-MX" w:eastAsia="es-ES" w:bidi="es-ES"/>
        </w:rPr>
        <w:t>Estimado Señor</w:t>
      </w:r>
      <w:r>
        <w:rPr>
          <w:rFonts w:ascii="Verdana" w:hAnsi="Verdana" w:cs="Arial"/>
          <w:bCs/>
          <w:lang w:val="es-MX" w:eastAsia="es-ES" w:bidi="es-ES"/>
        </w:rPr>
        <w:t>a Reyes</w:t>
      </w:r>
      <w:r w:rsidRPr="00B31C7B">
        <w:rPr>
          <w:rFonts w:ascii="Verdana" w:hAnsi="Verdana" w:cs="Arial"/>
          <w:bCs/>
          <w:lang w:val="es-MX" w:eastAsia="es-ES" w:bidi="es-ES"/>
        </w:rPr>
        <w:t>:</w:t>
      </w:r>
    </w:p>
    <w:p w14:paraId="292FFCFF" w14:textId="77777777" w:rsidR="002506A5" w:rsidRPr="00B31C7B" w:rsidRDefault="002506A5" w:rsidP="002506A5">
      <w:pPr>
        <w:spacing w:after="0" w:line="276" w:lineRule="auto"/>
        <w:jc w:val="both"/>
        <w:rPr>
          <w:rFonts w:ascii="Verdana" w:hAnsi="Verdana" w:cs="Arial"/>
          <w:bCs/>
          <w:lang w:val="es-ES" w:eastAsia="es-ES" w:bidi="es-ES"/>
        </w:rPr>
      </w:pPr>
      <w:r w:rsidRPr="00B31C7B">
        <w:rPr>
          <w:rFonts w:ascii="Verdana" w:hAnsi="Verdana" w:cs="Arial"/>
          <w:bCs/>
          <w:lang w:val="es-ES" w:eastAsia="es-ES" w:bidi="es-ES"/>
        </w:rPr>
        <w:tab/>
      </w:r>
    </w:p>
    <w:p w14:paraId="31099476" w14:textId="77777777" w:rsidR="002506A5" w:rsidRPr="00B31C7B" w:rsidRDefault="002506A5" w:rsidP="002506A5">
      <w:pPr>
        <w:spacing w:after="0" w:line="276" w:lineRule="auto"/>
        <w:jc w:val="both"/>
        <w:rPr>
          <w:rFonts w:ascii="Verdana" w:hAnsi="Verdana" w:cs="Arial"/>
          <w:bCs/>
          <w:lang w:val="es-ES" w:eastAsia="es-ES" w:bidi="es-ES"/>
        </w:rPr>
      </w:pPr>
      <w:r w:rsidRPr="00B31C7B">
        <w:rPr>
          <w:rFonts w:ascii="Verdana" w:hAnsi="Verdana" w:cs="Arial"/>
          <w:bCs/>
          <w:lang w:val="es-ES" w:eastAsia="es-ES" w:bidi="es-ES"/>
        </w:rPr>
        <w:t xml:space="preserve">En ejercicio de la competencia otorgada por los artículos 3, numeral 5º, y 11, numeral 8º, del Decreto Ley 4170 de 2011, </w:t>
      </w:r>
      <w:r w:rsidRPr="00B31C7B">
        <w:rPr>
          <w:rFonts w:ascii="Verdana" w:hAnsi="Verdana" w:cs="Arial"/>
          <w:bCs/>
          <w:lang w:eastAsia="es-ES" w:bidi="es-ES"/>
        </w:rPr>
        <w:t xml:space="preserve">así como lo establecido en el artículo 4 de la Resolución 1707 de 2018 expedida por esta Entidad, </w:t>
      </w:r>
      <w:r w:rsidRPr="00B31C7B">
        <w:rPr>
          <w:rFonts w:ascii="Verdana" w:hAnsi="Verdana" w:cs="Arial"/>
          <w:bCs/>
          <w:lang w:val="es-ES" w:eastAsia="es-ES" w:bidi="es-ES"/>
        </w:rPr>
        <w:t xml:space="preserve">la Agencia Nacional de Contratación Pública – Colombia Compra Eficiente– responde su solicitud de consulta de fecha del </w:t>
      </w:r>
      <w:r>
        <w:rPr>
          <w:rFonts w:ascii="Verdana" w:hAnsi="Verdana" w:cs="Arial"/>
          <w:bCs/>
          <w:lang w:val="es-ES" w:eastAsia="es-ES" w:bidi="es-ES"/>
        </w:rPr>
        <w:t>24</w:t>
      </w:r>
      <w:r w:rsidRPr="00B31C7B">
        <w:rPr>
          <w:rFonts w:ascii="Verdana" w:hAnsi="Verdana" w:cs="Arial"/>
          <w:bCs/>
          <w:lang w:val="es-ES" w:eastAsia="es-ES" w:bidi="es-ES"/>
        </w:rPr>
        <w:t xml:space="preserve"> de </w:t>
      </w:r>
      <w:r>
        <w:rPr>
          <w:rFonts w:ascii="Verdana" w:hAnsi="Verdana" w:cs="Arial"/>
          <w:bCs/>
          <w:lang w:val="es-ES" w:eastAsia="es-ES" w:bidi="es-ES"/>
        </w:rPr>
        <w:t>septiembre</w:t>
      </w:r>
      <w:r w:rsidRPr="00B31C7B">
        <w:rPr>
          <w:rFonts w:ascii="Verdana" w:hAnsi="Verdana" w:cs="Arial"/>
          <w:bCs/>
          <w:lang w:val="es-ES" w:eastAsia="es-ES" w:bidi="es-ES"/>
        </w:rPr>
        <w:t xml:space="preserve"> de 2025, en la cual manifiesta lo siguiente: </w:t>
      </w:r>
    </w:p>
    <w:p w14:paraId="57913F55" w14:textId="77777777" w:rsidR="002506A5" w:rsidRPr="00B31C7B" w:rsidRDefault="002506A5" w:rsidP="002506A5">
      <w:pPr>
        <w:spacing w:after="0" w:line="276" w:lineRule="auto"/>
        <w:ind w:right="709"/>
        <w:jc w:val="both"/>
        <w:rPr>
          <w:rFonts w:ascii="Verdana" w:hAnsi="Verdana" w:cs="Arial"/>
          <w:bCs/>
          <w:sz w:val="21"/>
          <w:szCs w:val="21"/>
          <w:lang w:eastAsia="es-ES" w:bidi="es-ES"/>
        </w:rPr>
      </w:pPr>
    </w:p>
    <w:p w14:paraId="7A377482" w14:textId="77777777" w:rsidR="002506A5" w:rsidRPr="008C00C0" w:rsidRDefault="002506A5" w:rsidP="002506A5">
      <w:pPr>
        <w:spacing w:after="0" w:line="276" w:lineRule="auto"/>
        <w:ind w:left="709" w:right="709"/>
        <w:jc w:val="both"/>
        <w:rPr>
          <w:rFonts w:ascii="Verdana" w:hAnsi="Verdana" w:cs="Arial"/>
          <w:bCs/>
          <w:i/>
          <w:iCs/>
          <w:sz w:val="21"/>
          <w:szCs w:val="21"/>
          <w:lang w:eastAsia="es-ES" w:bidi="es-ES"/>
        </w:rPr>
      </w:pPr>
      <w:r w:rsidRPr="008C00C0">
        <w:rPr>
          <w:rFonts w:ascii="Verdana" w:hAnsi="Verdana" w:cs="Arial"/>
          <w:bCs/>
          <w:i/>
          <w:iCs/>
          <w:sz w:val="21"/>
          <w:szCs w:val="21"/>
          <w:lang w:eastAsia="es-ES" w:bidi="es-ES"/>
        </w:rPr>
        <w:t xml:space="preserve">“[…] </w:t>
      </w:r>
      <w:proofErr w:type="gramStart"/>
      <w:r w:rsidRPr="007072F5">
        <w:rPr>
          <w:rFonts w:ascii="Verdana" w:hAnsi="Verdana" w:cs="Arial"/>
          <w:bCs/>
          <w:i/>
          <w:iCs/>
          <w:sz w:val="21"/>
          <w:szCs w:val="21"/>
          <w:lang w:eastAsia="es-ES" w:bidi="es-ES"/>
        </w:rPr>
        <w:t>Si se realice un balance de mayores y menores cantidades en un contrato o</w:t>
      </w:r>
      <w:r w:rsidRPr="008C00C0">
        <w:rPr>
          <w:rFonts w:ascii="Verdana" w:hAnsi="Verdana" w:cs="Arial"/>
          <w:bCs/>
          <w:i/>
          <w:iCs/>
          <w:sz w:val="21"/>
          <w:szCs w:val="21"/>
          <w:lang w:eastAsia="es-ES" w:bidi="es-ES"/>
        </w:rPr>
        <w:t xml:space="preserve"> </w:t>
      </w:r>
      <w:r w:rsidRPr="007072F5">
        <w:rPr>
          <w:rFonts w:ascii="Verdana" w:hAnsi="Verdana" w:cs="Arial"/>
          <w:bCs/>
          <w:i/>
          <w:iCs/>
          <w:sz w:val="21"/>
          <w:szCs w:val="21"/>
          <w:lang w:eastAsia="es-ES" w:bidi="es-ES"/>
        </w:rPr>
        <w:t>convenio solidario sin afectar el valor inicial del contrato, se debe suscribir</w:t>
      </w:r>
      <w:r w:rsidRPr="008C00C0">
        <w:rPr>
          <w:rFonts w:ascii="Verdana" w:hAnsi="Verdana" w:cs="Arial"/>
          <w:bCs/>
          <w:i/>
          <w:iCs/>
          <w:sz w:val="21"/>
          <w:szCs w:val="21"/>
          <w:lang w:eastAsia="es-ES" w:bidi="es-ES"/>
        </w:rPr>
        <w:t xml:space="preserve"> modificatorio?</w:t>
      </w:r>
      <w:proofErr w:type="gramEnd"/>
      <w:r w:rsidRPr="008C00C0">
        <w:rPr>
          <w:rFonts w:ascii="Verdana" w:hAnsi="Verdana" w:cs="Arial"/>
          <w:bCs/>
          <w:i/>
          <w:iCs/>
          <w:sz w:val="21"/>
          <w:szCs w:val="21"/>
          <w:lang w:eastAsia="es-ES" w:bidi="es-ES"/>
        </w:rPr>
        <w:t xml:space="preserve"> […]”</w:t>
      </w:r>
    </w:p>
    <w:p w14:paraId="3C7D9278" w14:textId="77777777" w:rsidR="002506A5" w:rsidRPr="00B31C7B" w:rsidRDefault="002506A5" w:rsidP="002506A5">
      <w:pPr>
        <w:spacing w:after="0" w:line="276" w:lineRule="auto"/>
        <w:jc w:val="both"/>
        <w:rPr>
          <w:rFonts w:ascii="Verdana" w:hAnsi="Verdana" w:cs="Arial"/>
          <w:bCs/>
          <w:lang w:eastAsia="es-ES" w:bidi="es-ES"/>
        </w:rPr>
      </w:pPr>
    </w:p>
    <w:p w14:paraId="3868C728" w14:textId="77777777" w:rsidR="002506A5" w:rsidRPr="00B31C7B" w:rsidRDefault="002506A5" w:rsidP="002506A5">
      <w:pPr>
        <w:spacing w:after="120" w:line="276" w:lineRule="auto"/>
        <w:ind w:firstLine="709"/>
        <w:jc w:val="both"/>
        <w:rPr>
          <w:rFonts w:ascii="Verdana" w:eastAsia="Calibri" w:hAnsi="Verdana" w:cs="Times New Roman"/>
          <w:lang w:val="es-ES"/>
        </w:rPr>
      </w:pPr>
      <w:r w:rsidRPr="00B31C7B">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B31C7B">
        <w:rPr>
          <w:rFonts w:ascii="Verdana" w:eastAsia="Calibri" w:hAnsi="Verdana" w:cs="Times New Roman"/>
          <w:lang w:val="es-ES"/>
        </w:rPr>
        <w:lastRenderedPageBreak/>
        <w:t>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6AD20E6" w14:textId="77777777" w:rsidR="002506A5" w:rsidRPr="00B31C7B" w:rsidRDefault="002506A5" w:rsidP="002506A5">
      <w:pPr>
        <w:spacing w:after="0" w:line="276" w:lineRule="auto"/>
        <w:ind w:firstLine="708"/>
        <w:jc w:val="both"/>
        <w:rPr>
          <w:rFonts w:ascii="Verdana" w:eastAsia="Calibri" w:hAnsi="Verdana" w:cs="Times New Roman"/>
          <w:lang w:val="es-ES"/>
        </w:rPr>
      </w:pPr>
      <w:r w:rsidRPr="00B31C7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w:t>
      </w:r>
    </w:p>
    <w:p w14:paraId="5AD3E973" w14:textId="77777777" w:rsidR="002506A5" w:rsidRPr="00B31C7B" w:rsidRDefault="002506A5" w:rsidP="002506A5">
      <w:pPr>
        <w:spacing w:after="0" w:line="256" w:lineRule="auto"/>
        <w:rPr>
          <w:rFonts w:ascii="Verdana" w:eastAsia="Calibri" w:hAnsi="Verdana" w:cs="Times New Roman"/>
          <w:lang w:val="es-ES"/>
        </w:rPr>
      </w:pPr>
    </w:p>
    <w:p w14:paraId="0EAFCF13" w14:textId="77777777" w:rsidR="002506A5" w:rsidRPr="00B31C7B" w:rsidRDefault="002506A5" w:rsidP="002506A5">
      <w:pPr>
        <w:numPr>
          <w:ilvl w:val="0"/>
          <w:numId w:val="16"/>
        </w:numPr>
        <w:spacing w:after="0" w:line="256" w:lineRule="auto"/>
        <w:contextualSpacing/>
        <w:rPr>
          <w:rFonts w:ascii="Verdana" w:eastAsia="Calibri" w:hAnsi="Verdana" w:cs="Times New Roman"/>
          <w:b/>
          <w:bCs/>
          <w:lang w:val="es-ES"/>
        </w:rPr>
      </w:pPr>
      <w:r w:rsidRPr="00B31C7B">
        <w:rPr>
          <w:rFonts w:ascii="Verdana" w:eastAsia="Calibri" w:hAnsi="Verdana" w:cs="Times New Roman"/>
          <w:b/>
          <w:bCs/>
          <w:lang w:val="es-ES"/>
        </w:rPr>
        <w:t>Problema planteado:</w:t>
      </w:r>
    </w:p>
    <w:p w14:paraId="09A7CDC5" w14:textId="77777777" w:rsidR="002506A5" w:rsidRPr="00B31C7B" w:rsidRDefault="002506A5" w:rsidP="002506A5">
      <w:pPr>
        <w:spacing w:after="0" w:line="256" w:lineRule="auto"/>
        <w:rPr>
          <w:rFonts w:ascii="Verdana" w:eastAsia="Calibri" w:hAnsi="Verdana" w:cs="Times New Roman"/>
        </w:rPr>
      </w:pPr>
    </w:p>
    <w:p w14:paraId="058DA515" w14:textId="77777777" w:rsidR="002506A5" w:rsidRPr="00B31C7B" w:rsidRDefault="002506A5" w:rsidP="002506A5">
      <w:pPr>
        <w:spacing w:after="0" w:line="276" w:lineRule="auto"/>
        <w:jc w:val="both"/>
        <w:rPr>
          <w:rFonts w:ascii="Verdana" w:eastAsia="Calibri" w:hAnsi="Verdana" w:cs="Times New Roman"/>
        </w:rPr>
      </w:pPr>
      <w:r w:rsidRPr="00B31C7B">
        <w:rPr>
          <w:rFonts w:ascii="Verdana" w:eastAsia="Calibri" w:hAnsi="Verdana" w:cs="Times New Roman"/>
        </w:rPr>
        <w:t xml:space="preserve">De acuerdo con el contenido </w:t>
      </w:r>
      <w:r>
        <w:rPr>
          <w:rFonts w:ascii="Verdana" w:eastAsia="Calibri" w:hAnsi="Verdana" w:cs="Times New Roman"/>
        </w:rPr>
        <w:t>de su solicitud esta Agencia abordará el siguiente problema jurídico</w:t>
      </w:r>
      <w:r w:rsidRPr="00B31C7B">
        <w:rPr>
          <w:rFonts w:ascii="Verdana" w:eastAsia="Calibri" w:hAnsi="Verdana" w:cs="Times New Roman"/>
        </w:rPr>
        <w:t>: ¿</w:t>
      </w:r>
      <w:r w:rsidRPr="00B31C7B">
        <w:rPr>
          <w:rFonts w:ascii="Verdana" w:eastAsia="Calibri" w:hAnsi="Verdana" w:cs="Arial"/>
        </w:rPr>
        <w:t>cuáles son los criterios, condiciones o reglas que deben tenerse en cuenta</w:t>
      </w:r>
      <w:r>
        <w:rPr>
          <w:rFonts w:ascii="Verdana" w:eastAsia="Calibri" w:hAnsi="Verdana" w:cs="Arial"/>
        </w:rPr>
        <w:t xml:space="preserve"> para</w:t>
      </w:r>
      <w:r w:rsidRPr="00B31C7B">
        <w:rPr>
          <w:rFonts w:ascii="Verdana" w:eastAsia="Calibri" w:hAnsi="Verdana" w:cs="Arial"/>
        </w:rPr>
        <w:t xml:space="preserve"> la modificación </w:t>
      </w:r>
      <w:r>
        <w:rPr>
          <w:rFonts w:ascii="Verdana" w:eastAsia="Calibri" w:hAnsi="Verdana" w:cs="Arial"/>
        </w:rPr>
        <w:t>de los contratos estatales</w:t>
      </w:r>
      <w:r w:rsidRPr="00B31C7B">
        <w:rPr>
          <w:rFonts w:ascii="Verdana" w:eastAsia="Calibri" w:hAnsi="Verdana" w:cs="Arial"/>
        </w:rPr>
        <w:t xml:space="preserve">? </w:t>
      </w:r>
    </w:p>
    <w:p w14:paraId="2602D80B" w14:textId="77777777" w:rsidR="002506A5" w:rsidRPr="00B31C7B" w:rsidRDefault="002506A5" w:rsidP="002506A5">
      <w:pPr>
        <w:spacing w:after="0" w:line="276" w:lineRule="auto"/>
        <w:jc w:val="both"/>
        <w:rPr>
          <w:rFonts w:ascii="Verdana" w:eastAsia="Calibri" w:hAnsi="Verdana" w:cs="Times New Roman"/>
        </w:rPr>
      </w:pPr>
    </w:p>
    <w:p w14:paraId="5626E76D" w14:textId="77777777" w:rsidR="002506A5" w:rsidRPr="00B31C7B" w:rsidRDefault="002506A5" w:rsidP="002506A5">
      <w:pPr>
        <w:numPr>
          <w:ilvl w:val="0"/>
          <w:numId w:val="16"/>
        </w:numPr>
        <w:spacing w:after="0" w:line="256" w:lineRule="auto"/>
        <w:contextualSpacing/>
        <w:rPr>
          <w:rFonts w:ascii="Verdana" w:eastAsia="Calibri" w:hAnsi="Verdana" w:cs="Times New Roman"/>
          <w:b/>
          <w:bCs/>
          <w:lang w:val="es-ES"/>
        </w:rPr>
      </w:pPr>
      <w:r w:rsidRPr="00B31C7B">
        <w:rPr>
          <w:rFonts w:ascii="Verdana" w:eastAsia="Calibri" w:hAnsi="Verdana" w:cs="Times New Roman"/>
          <w:b/>
          <w:bCs/>
          <w:lang w:val="es-ES"/>
        </w:rPr>
        <w:t>Respuesta:</w:t>
      </w:r>
    </w:p>
    <w:p w14:paraId="2D891ABD" w14:textId="77777777" w:rsidR="002506A5" w:rsidRPr="00B31C7B" w:rsidRDefault="002506A5" w:rsidP="002506A5">
      <w:pPr>
        <w:spacing w:after="0" w:line="240"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506A5" w:rsidRPr="00B31C7B" w14:paraId="03728DB0" w14:textId="77777777" w:rsidTr="00EC403E">
        <w:trPr>
          <w:trHeight w:val="870"/>
          <w:jc w:val="center"/>
        </w:trPr>
        <w:tc>
          <w:tcPr>
            <w:tcW w:w="8647" w:type="dxa"/>
          </w:tcPr>
          <w:p w14:paraId="7FD38BD7" w14:textId="77777777" w:rsidR="002506A5" w:rsidRPr="00B31C7B" w:rsidRDefault="002506A5" w:rsidP="00EC403E">
            <w:pPr>
              <w:spacing w:after="120" w:line="276" w:lineRule="auto"/>
              <w:jc w:val="both"/>
              <w:rPr>
                <w:rFonts w:ascii="Verdana" w:hAnsi="Verdana" w:cs="Arial"/>
                <w:bCs/>
                <w:color w:val="000000" w:themeColor="text1"/>
              </w:rPr>
            </w:pPr>
            <w:r w:rsidRPr="00B31C7B">
              <w:rPr>
                <w:rFonts w:ascii="Verdana" w:hAnsi="Verdana" w:cs="Arial"/>
                <w:bCs/>
                <w:color w:val="000000" w:themeColor="text1"/>
              </w:rPr>
              <w:t>En torno al problema jurídico objeto de consulta, se señala que los criterios, condiciones o reglas que deben tenerse en cuenta para la suscripción de contrato o la modificación y/o adición de estos son muy variados y dependen de las circunstancias fácticas que se presenten dentro del contrato respectivo, lo cual será objeto de revisión por cada una de las entidades estatales. Sin embargo, deben tenerse en cuenta como mínimo las siguientes condiciones o criterios:</w:t>
            </w:r>
          </w:p>
          <w:p w14:paraId="71A8A65F" w14:textId="77777777" w:rsidR="002506A5" w:rsidRPr="00B31C7B" w:rsidRDefault="002506A5" w:rsidP="00EC403E">
            <w:pPr>
              <w:spacing w:after="120" w:line="276" w:lineRule="auto"/>
              <w:ind w:firstLine="709"/>
              <w:jc w:val="both"/>
              <w:rPr>
                <w:rFonts w:ascii="Verdana" w:hAnsi="Verdana" w:cs="Arial"/>
                <w:color w:val="000000"/>
                <w:szCs w:val="24"/>
                <w:lang w:eastAsia="es-ES_tradnl"/>
              </w:rPr>
            </w:pPr>
            <w:r w:rsidRPr="00B31C7B">
              <w:rPr>
                <w:rFonts w:ascii="Verdana" w:hAnsi="Verdana" w:cs="Arial"/>
                <w:color w:val="000000"/>
                <w:szCs w:val="24"/>
                <w:lang w:eastAsia="es-ES_tradnl"/>
              </w:rPr>
              <w:t xml:space="preserve">i) </w:t>
            </w:r>
            <w:proofErr w:type="gramStart"/>
            <w:r w:rsidRPr="00B31C7B">
              <w:rPr>
                <w:rFonts w:ascii="Verdana" w:hAnsi="Verdana" w:cs="Arial"/>
                <w:color w:val="000000"/>
                <w:szCs w:val="24"/>
                <w:lang w:eastAsia="es-ES_tradnl"/>
              </w:rPr>
              <w:t>En relación al</w:t>
            </w:r>
            <w:proofErr w:type="gramEnd"/>
            <w:r w:rsidRPr="00B31C7B">
              <w:rPr>
                <w:rFonts w:ascii="Verdana" w:hAnsi="Verdana" w:cs="Arial"/>
                <w:color w:val="000000"/>
                <w:szCs w:val="24"/>
                <w:lang w:eastAsia="es-ES_tradnl"/>
              </w:rPr>
              <w:t xml:space="preserve"> criterio cuantitativo se señala que cualquier incremento del valor inicial del contrato, independiente del nombre que se le dé al acuerdo -otrosí, adición, modificación, entre otros-, aplica el límite previsto en el parágrafo del artículo 40 de la Ley 80 de 1993: “Los contratos </w:t>
            </w:r>
            <w:r w:rsidRPr="00B31C7B">
              <w:rPr>
                <w:rFonts w:ascii="Verdana" w:hAnsi="Verdana" w:cs="Arial"/>
                <w:color w:val="000000"/>
                <w:szCs w:val="24"/>
                <w:lang w:eastAsia="es-ES_tradnl"/>
              </w:rPr>
              <w:lastRenderedPageBreak/>
              <w:t>no podrán adicionarse en más del cincuenta por ciento (50%) de su valor inicial, expresado éste en salarios mínimos legales mensuales”. Dicha norma además de consagrar una prohibición trae implícita una autorización, consistente en la posibilidad de adicionar los contratos estatales, siempre que no se supere el tope establecido. De manera que, aunque es posible celebrar todos los tipos de acuerdos indicados, siempre debe observarse esta última disposición, la cual aplica a los contratos estatales, cuyos destinatarios son entidades sujetas al Estatuto General de Contratación de la Administración Pública –en adelante EGCAP–.</w:t>
            </w:r>
          </w:p>
          <w:p w14:paraId="6E0380AC" w14:textId="77777777" w:rsidR="002506A5" w:rsidRPr="00B31C7B" w:rsidRDefault="002506A5" w:rsidP="00EC403E">
            <w:pPr>
              <w:spacing w:after="120" w:line="276" w:lineRule="auto"/>
              <w:ind w:firstLine="709"/>
              <w:jc w:val="both"/>
              <w:rPr>
                <w:rFonts w:ascii="Verdana" w:eastAsia="Arial" w:hAnsi="Verdana" w:cs="Arial"/>
                <w:color w:val="000000"/>
                <w:lang w:val="es-ES" w:eastAsia="es-ES" w:bidi="es-ES"/>
              </w:rPr>
            </w:pPr>
            <w:r w:rsidRPr="00B31C7B">
              <w:rPr>
                <w:rFonts w:ascii="Verdana" w:hAnsi="Verdana" w:cs="Arial"/>
                <w:color w:val="000000"/>
                <w:szCs w:val="24"/>
                <w:lang w:eastAsia="es-ES_tradnl"/>
              </w:rPr>
              <w:t xml:space="preserve">Debe tenerse en cuenta que el límite debe establecerse en salarios mínimos para que el cálculo del tope sea preciso. Para tales efectos, para adicionar un contrato debe dividirse el valor inicial por el salario mínimo legal mensual vigente – en adelante SMLMV – al momento de la suscripción del contrato, y luego dividirlo por dos (2);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ya que las modificaciones podrían hacerse en diferentes vigencias fiscales, porque si el contrato se ejecuta sin existir variación en el valor del salario mínimo la operación sería la misma si se toma el monto en pesos. </w:t>
            </w:r>
          </w:p>
          <w:p w14:paraId="176C318F" w14:textId="77777777" w:rsidR="002506A5" w:rsidRPr="00B31C7B" w:rsidRDefault="002506A5" w:rsidP="00EC403E">
            <w:pPr>
              <w:widowControl w:val="0"/>
              <w:autoSpaceDE w:val="0"/>
              <w:autoSpaceDN w:val="0"/>
              <w:spacing w:after="120" w:line="276" w:lineRule="auto"/>
              <w:ind w:firstLine="708"/>
              <w:jc w:val="both"/>
              <w:rPr>
                <w:rFonts w:ascii="Verdana" w:hAnsi="Verdana" w:cs="Arial"/>
              </w:rPr>
            </w:pPr>
            <w:proofErr w:type="spellStart"/>
            <w:r w:rsidRPr="00B31C7B">
              <w:rPr>
                <w:rFonts w:ascii="Verdana" w:hAnsi="Verdana" w:cs="Arial"/>
              </w:rPr>
              <w:t>ii</w:t>
            </w:r>
            <w:proofErr w:type="spellEnd"/>
            <w:r w:rsidRPr="00B31C7B">
              <w:rPr>
                <w:rFonts w:ascii="Verdana" w:hAnsi="Verdana" w:cs="Arial"/>
              </w:rPr>
              <w:t xml:space="preserve">) </w:t>
            </w:r>
            <w:r w:rsidRPr="00B31C7B">
              <w:rPr>
                <w:rFonts w:ascii="Verdana" w:hAnsi="Verdana"/>
              </w:rPr>
              <w:t xml:space="preserve">Los límites de orden temporal están comprendidos por: </w:t>
            </w:r>
            <w:r w:rsidRPr="00B31C7B">
              <w:rPr>
                <w:rFonts w:ascii="Verdana" w:eastAsia="Arial" w:hAnsi="Verdana" w:cs="Arial"/>
                <w:lang w:val="es-MX" w:eastAsia="es-ES" w:bidi="es-ES"/>
              </w:rPr>
              <w:t>1. la vigencia del contrato, pues no podría modificarse un contrato cuyo plazo ha culminado o finalizado y; 2. la prohibición de consagrar prórrogas automáticas, sucesivas o indefinidas, en tanto resultan contrarias al derecho esencial de la libertad de competencia.</w:t>
            </w:r>
            <w:r w:rsidRPr="00B31C7B">
              <w:rPr>
                <w:rFonts w:ascii="Verdana" w:hAnsi="Verdana" w:cs="Arial"/>
              </w:rPr>
              <w:t xml:space="preserve"> </w:t>
            </w:r>
          </w:p>
          <w:p w14:paraId="2CB60428" w14:textId="77777777" w:rsidR="002506A5" w:rsidRPr="00F037D5" w:rsidRDefault="002506A5" w:rsidP="00EC403E">
            <w:pPr>
              <w:widowControl w:val="0"/>
              <w:autoSpaceDE w:val="0"/>
              <w:autoSpaceDN w:val="0"/>
              <w:spacing w:after="120" w:line="276" w:lineRule="auto"/>
              <w:ind w:firstLine="708"/>
              <w:jc w:val="both"/>
              <w:rPr>
                <w:rFonts w:ascii="Verdana" w:eastAsia="Arial" w:hAnsi="Verdana" w:cs="Arial"/>
                <w:lang w:val="es-MX" w:eastAsia="es-ES" w:bidi="es-ES"/>
              </w:rPr>
            </w:pPr>
            <w:proofErr w:type="spellStart"/>
            <w:r w:rsidRPr="00B31C7B">
              <w:rPr>
                <w:rFonts w:ascii="Verdana" w:hAnsi="Verdana" w:cs="Arial"/>
              </w:rPr>
              <w:t>iii</w:t>
            </w:r>
            <w:proofErr w:type="spellEnd"/>
            <w:r w:rsidRPr="00B31C7B">
              <w:rPr>
                <w:rFonts w:ascii="Verdana" w:hAnsi="Verdana" w:cs="Arial"/>
              </w:rPr>
              <w:t xml:space="preserve">) Frente a los límites de orden formal, debe señalarse que, por un lado, es necesario que, la </w:t>
            </w:r>
            <w:r w:rsidRPr="00B31C7B">
              <w:rPr>
                <w:rFonts w:ascii="Verdana" w:eastAsia="Arial" w:hAnsi="Verdana" w:cs="Arial"/>
                <w:lang w:val="es-MX" w:eastAsia="es-ES" w:bidi="es-ES"/>
              </w:rPr>
              <w:t xml:space="preserve">modificación de los contratos conste por escrito, dado el carácter solemne del contrato estatal y que sea firmado por el jefe o representante legal o su delegado, de conformidad con los artículos 11 y 12 de la Ley 80 de 1993, así como el deber de la existencia de las disponibilidades presupuestales para el cumplimiento de las obligaciones contractuales. </w:t>
            </w:r>
            <w:r w:rsidRPr="00B31C7B">
              <w:rPr>
                <w:rFonts w:ascii="Verdana" w:eastAsia="Arial" w:hAnsi="Verdana" w:cs="Arial"/>
                <w:color w:val="000000"/>
                <w:lang w:val="es-MX" w:eastAsia="es-ES" w:bidi="es-ES"/>
              </w:rPr>
              <w:t xml:space="preserve">Es importante precisar que </w:t>
            </w:r>
            <w:r w:rsidRPr="00B31C7B">
              <w:rPr>
                <w:rFonts w:ascii="Verdana" w:eastAsia="Arial" w:hAnsi="Verdana" w:cs="Arial"/>
                <w:color w:val="000000"/>
                <w:lang w:val="es-ES" w:eastAsia="es-ES" w:bidi="es-ES"/>
              </w:rPr>
              <w:t xml:space="preserve">la norma no contempló la forma cómo debe adelantarse una modificación de un contrato estatal, sino que se debe acudir al manual de contratación de la entidad estatal. No obstante, es </w:t>
            </w:r>
            <w:r w:rsidRPr="00B31C7B">
              <w:rPr>
                <w:rFonts w:ascii="Verdana" w:eastAsia="Arial" w:hAnsi="Verdana" w:cs="Arial"/>
                <w:color w:val="000000"/>
                <w:lang w:val="es-ES" w:eastAsia="es-ES" w:bidi="es-ES"/>
              </w:rPr>
              <w:lastRenderedPageBreak/>
              <w:t xml:space="preserve">más que claro que </w:t>
            </w:r>
            <w:r w:rsidRPr="00B31C7B">
              <w:rPr>
                <w:rFonts w:ascii="Verdana" w:eastAsia="Arial" w:hAnsi="Verdana" w:cs="Arial"/>
                <w:color w:val="000000"/>
                <w:lang w:eastAsia="es-ES" w:bidi="es-ES"/>
              </w:rPr>
              <w:t xml:space="preserve">en esencia, los contratos estatales, por regla general, son contratos solemnes, lo que de conformidad al artículo 1500 del Código Civil implica que están sujetos a la observancia de ciertas formalidades especiales, de manera que sin ellas no producen efecto. Por tanto, la modificación </w:t>
            </w:r>
            <w:proofErr w:type="gramStart"/>
            <w:r w:rsidRPr="00B31C7B">
              <w:rPr>
                <w:rFonts w:ascii="Verdana" w:eastAsia="Arial" w:hAnsi="Verdana" w:cs="Arial"/>
                <w:color w:val="000000"/>
                <w:lang w:eastAsia="es-ES" w:bidi="es-ES"/>
              </w:rPr>
              <w:t>del mismo</w:t>
            </w:r>
            <w:proofErr w:type="gramEnd"/>
            <w:r w:rsidRPr="00B31C7B">
              <w:rPr>
                <w:rFonts w:ascii="Verdana" w:eastAsia="Arial" w:hAnsi="Verdana" w:cs="Arial"/>
                <w:color w:val="000000"/>
                <w:lang w:eastAsia="es-ES" w:bidi="es-ES"/>
              </w:rPr>
              <w:t xml:space="preserve"> debe revestir de dicha solemnidad, es decir, debe suscribirse mediante un documento firmado por ambas partes, independiente de su denominación.</w:t>
            </w:r>
          </w:p>
          <w:p w14:paraId="5DCA37C3" w14:textId="77777777" w:rsidR="002506A5" w:rsidRPr="00B31C7B" w:rsidRDefault="002506A5" w:rsidP="00EC403E">
            <w:pPr>
              <w:widowControl w:val="0"/>
              <w:autoSpaceDE w:val="0"/>
              <w:autoSpaceDN w:val="0"/>
              <w:spacing w:after="120" w:line="276" w:lineRule="auto"/>
              <w:ind w:firstLine="708"/>
              <w:jc w:val="both"/>
              <w:rPr>
                <w:rFonts w:ascii="Verdana" w:eastAsia="Arial" w:hAnsi="Verdana" w:cs="Arial"/>
                <w:color w:val="000000"/>
                <w:lang w:val="es-ES" w:eastAsia="es-ES" w:bidi="es-ES"/>
              </w:rPr>
            </w:pPr>
            <w:proofErr w:type="spellStart"/>
            <w:r w:rsidRPr="00B31C7B">
              <w:rPr>
                <w:rFonts w:ascii="Verdana" w:hAnsi="Verdana" w:cs="Arial"/>
              </w:rPr>
              <w:t>iv</w:t>
            </w:r>
            <w:proofErr w:type="spellEnd"/>
            <w:r w:rsidRPr="00B31C7B">
              <w:rPr>
                <w:rFonts w:ascii="Verdana" w:hAnsi="Verdana" w:cs="Arial"/>
              </w:rPr>
              <w:t xml:space="preserve">) Los límites materiales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 xml:space="preserve">“habiendo figurado en el procedimiento inicial, hubiera permitido la participación de otros interesados aparte de los inicialmente admitidos, o seleccionar una oferta distinta de la inicialmente seleccionada”. </w:t>
            </w:r>
            <w:r w:rsidRPr="00B31C7B">
              <w:rPr>
                <w:rFonts w:ascii="Verdana" w:eastAsia="Arial" w:hAnsi="Verdana" w:cs="Arial"/>
                <w:color w:val="000000"/>
                <w:lang w:val="es-ES" w:eastAsia="es-ES" w:bidi="es-ES"/>
              </w:rPr>
              <w:t xml:space="preserve">En esta línea, para establecer si un contrato determinado puede ser susceptible de modificación, se hace necesario que la Administración analice, en cada caso, la concurrencia de los aspectos antes referidos. </w:t>
            </w:r>
          </w:p>
          <w:p w14:paraId="31CA2DC0" w14:textId="77777777" w:rsidR="002506A5" w:rsidRPr="00B31C7B" w:rsidRDefault="002506A5" w:rsidP="00EC403E">
            <w:pPr>
              <w:widowControl w:val="0"/>
              <w:autoSpaceDE w:val="0"/>
              <w:autoSpaceDN w:val="0"/>
              <w:spacing w:after="120" w:line="276" w:lineRule="auto"/>
              <w:ind w:firstLine="708"/>
              <w:jc w:val="both"/>
              <w:rPr>
                <w:rFonts w:ascii="Verdana" w:eastAsia="Arial" w:hAnsi="Verdana" w:cs="Arial"/>
                <w:i/>
                <w:lang w:val="es-MX" w:eastAsia="es-ES" w:bidi="es-ES"/>
              </w:rPr>
            </w:pPr>
            <w:r w:rsidRPr="00B31C7B">
              <w:rPr>
                <w:rFonts w:ascii="Verdana" w:eastAsia="Arial" w:hAnsi="Verdana" w:cs="Arial"/>
                <w:color w:val="000000"/>
                <w:lang w:val="es-ES" w:eastAsia="es-ES" w:bidi="es-ES"/>
              </w:rPr>
              <w:t>Las modificaciones no podrían suponer la variación del objeto de un contrato, pues ello supondría la alteración de su esencia y lo convertiría en otro tipo de negocio jurídico. Si se presentara esta situación lo indicado no sería modificar el contrato sino celebrar uno nuevo. Sobre este último punto, la doctrina</w:t>
            </w:r>
            <w:r w:rsidRPr="00B31C7B">
              <w:rPr>
                <w:rFonts w:ascii="Verdana" w:eastAsia="Arial" w:hAnsi="Verdana" w:cs="Arial"/>
                <w:color w:val="000000"/>
                <w:vertAlign w:val="superscript"/>
                <w:lang w:val="es-ES" w:eastAsia="es-ES" w:bidi="es-ES"/>
              </w:rPr>
              <w:t xml:space="preserve"> </w:t>
            </w:r>
            <w:r w:rsidRPr="00B31C7B">
              <w:rPr>
                <w:rFonts w:ascii="Verdana" w:eastAsia="Arial" w:hAnsi="Verdana" w:cs="Arial"/>
                <w:color w:val="000000"/>
                <w:lang w:val="es-ES" w:eastAsia="es-ES" w:bidi="es-ES"/>
              </w:rPr>
              <w:t xml:space="preserve">ha precisado que cuando </w:t>
            </w:r>
            <w:r w:rsidRPr="00B31C7B">
              <w:rPr>
                <w:rFonts w:ascii="Verdana" w:eastAsia="Arial" w:hAnsi="Verdana" w:cs="Arial"/>
                <w:color w:val="000000"/>
                <w:lang w:val="es-MX" w:eastAsia="es-ES" w:bidi="es-ES"/>
              </w:rPr>
              <w:t>“</w:t>
            </w:r>
            <w:r w:rsidRPr="00B31C7B">
              <w:rPr>
                <w:rFonts w:ascii="Verdana" w:eastAsia="Arial" w:hAnsi="Verdana" w:cs="Arial"/>
                <w:i/>
                <w:iCs/>
                <w:color w:val="000000"/>
                <w:lang w:val="es-ES" w:eastAsia="es-ES" w:bidi="es-ES"/>
              </w:rPr>
              <w:t>se alude a la modificación del contrato se lo hace para referirse a alteraciones, variaciones, sustituciones de calidad, componentes o número de obras, bienes o servicios. No implican la sustitución del género del contrato sino modificaciones que responden a necesidades sobrevivientes o a errores en la fase previa</w:t>
            </w:r>
            <w:r w:rsidRPr="00B31C7B">
              <w:rPr>
                <w:rFonts w:ascii="Verdana" w:eastAsia="Arial" w:hAnsi="Verdana" w:cs="Arial"/>
                <w:i/>
                <w:iCs/>
                <w:color w:val="000000"/>
                <w:lang w:val="es-MX" w:eastAsia="es-ES" w:bidi="es-ES"/>
              </w:rPr>
              <w:t>”</w:t>
            </w:r>
            <w:r w:rsidRPr="00B31C7B">
              <w:rPr>
                <w:rFonts w:ascii="Verdana" w:eastAsia="Arial" w:hAnsi="Verdana" w:cs="Arial"/>
                <w:color w:val="000000"/>
                <w:lang w:val="es-ES" w:eastAsia="es-ES" w:bidi="es-ES"/>
              </w:rPr>
              <w:t xml:space="preserve">. </w:t>
            </w:r>
          </w:p>
          <w:p w14:paraId="3449E688" w14:textId="77777777" w:rsidR="002506A5" w:rsidRDefault="002506A5" w:rsidP="00EC403E">
            <w:pPr>
              <w:widowControl w:val="0"/>
              <w:autoSpaceDE w:val="0"/>
              <w:autoSpaceDN w:val="0"/>
              <w:spacing w:after="120" w:line="276" w:lineRule="auto"/>
              <w:ind w:firstLine="708"/>
              <w:jc w:val="both"/>
              <w:rPr>
                <w:rFonts w:ascii="Verdana" w:hAnsi="Verdana" w:cs="Arial"/>
              </w:rPr>
            </w:pPr>
            <w:r w:rsidRPr="00B31C7B">
              <w:rPr>
                <w:rFonts w:ascii="Verdana" w:eastAsia="Arial" w:hAnsi="Verdana" w:cs="Arial"/>
                <w:lang w:val="es-MX" w:eastAsia="es-ES" w:bidi="es-ES"/>
              </w:rPr>
              <w:t>v)</w:t>
            </w:r>
            <w:r w:rsidRPr="00B31C7B">
              <w:rPr>
                <w:rFonts w:ascii="Verdana" w:eastAsia="Arial" w:hAnsi="Verdana" w:cs="Arial"/>
                <w:i/>
                <w:lang w:val="es-MX" w:eastAsia="es-ES" w:bidi="es-ES"/>
              </w:rPr>
              <w:t xml:space="preserve"> </w:t>
            </w:r>
            <w:r w:rsidRPr="00B31C7B">
              <w:rPr>
                <w:rFonts w:ascii="Verdana" w:eastAsia="Arial" w:hAnsi="Verdana" w:cs="Arial"/>
                <w:lang w:val="es-MX" w:eastAsia="es-ES" w:bidi="es-ES"/>
              </w:rPr>
              <w:t xml:space="preserve">Finalmente, se encuentran los límites axiológicos, los cuales se fundan en la necesidad de preservar los principios de igualdad, transparencia, libertad de concurrencia, selección objetiva y planeación. </w:t>
            </w:r>
            <w:r w:rsidRPr="00B31C7B">
              <w:rPr>
                <w:rFonts w:ascii="Verdana" w:hAnsi="Verdana" w:cs="Arial"/>
                <w:lang w:eastAsia="es-ES_tradnl"/>
              </w:rPr>
              <w:t>Lo anterior, con la finalidad de realizar la escogencia diligente de la mejor oferta, para beneficiar los intereses y fines públicos inmersos en la contratación de las entidades estatales. A modo de ejemplo, l</w:t>
            </w:r>
            <w:r w:rsidRPr="00B31C7B">
              <w:rPr>
                <w:rFonts w:ascii="Verdana" w:hAnsi="Verdana" w:cs="Arial"/>
              </w:rPr>
              <w:t>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como la planeación.</w:t>
            </w:r>
          </w:p>
          <w:p w14:paraId="121DC9B3" w14:textId="77777777" w:rsidR="002506A5" w:rsidRPr="00F037D5" w:rsidRDefault="002506A5" w:rsidP="00EC403E">
            <w:pPr>
              <w:widowControl w:val="0"/>
              <w:autoSpaceDE w:val="0"/>
              <w:autoSpaceDN w:val="0"/>
              <w:spacing w:after="120" w:line="276" w:lineRule="auto"/>
              <w:ind w:firstLine="708"/>
              <w:jc w:val="both"/>
              <w:rPr>
                <w:rFonts w:ascii="Verdana" w:hAnsi="Verdana" w:cs="Arial"/>
              </w:rPr>
            </w:pPr>
            <w:r>
              <w:rPr>
                <w:rFonts w:ascii="Verdana" w:eastAsia="Arial" w:hAnsi="Verdana" w:cs="Arial"/>
                <w:lang w:val="es-MX" w:eastAsia="es-ES" w:bidi="es-ES"/>
              </w:rPr>
              <w:lastRenderedPageBreak/>
              <w:t>Dicho lo anterior</w:t>
            </w:r>
            <w:r w:rsidRPr="00B31C7B">
              <w:rPr>
                <w:rFonts w:ascii="Verdana" w:eastAsia="Arial" w:hAnsi="Verdana" w:cs="Arial"/>
                <w:lang w:val="es-MX" w:eastAsia="es-ES" w:bidi="es-ES"/>
              </w:rPr>
              <w:t xml:space="preserve">, </w:t>
            </w:r>
            <w:r>
              <w:rPr>
                <w:rFonts w:ascii="Verdana" w:eastAsia="Arial" w:hAnsi="Verdana" w:cs="Arial"/>
                <w:lang w:val="es-MX" w:eastAsia="es-ES" w:bidi="es-ES"/>
              </w:rPr>
              <w:t xml:space="preserve">vale mencionar que </w:t>
            </w:r>
            <w:r w:rsidRPr="00B31C7B">
              <w:rPr>
                <w:rFonts w:ascii="Verdana" w:hAnsi="Verdana" w:cs="Arial"/>
              </w:rPr>
              <w:t xml:space="preserve">la entidad debe motivar y justificar la modificación. </w:t>
            </w:r>
            <w:r w:rsidRPr="00B31C7B">
              <w:rPr>
                <w:rFonts w:ascii="Verdana" w:eastAsia="Arial" w:hAnsi="Verdana" w:cs="Arial"/>
                <w:color w:val="000000"/>
                <w:lang w:val="es-ES" w:eastAsia="es-ES" w:bidi="es-ES"/>
              </w:rPr>
              <w:t>En tal sentido, corresponderá a cada Entidad Estatal realizar el análisis respecto a la precedencia de modificar o adicionar en recursos determinado contrato estatal, en el entendido que se respeten las reglas establecidas en el ordenamiento jurídico, de acuerdo con lo expuesto anteriormente. Además, debe definir previamente su procedencia desde la perspectiva jurídica, administrativa, técnica y financiera mediante documentos que lo sustenten por parte de los funcionarios que participan dentro del proceso de contratación, como es el caso del supervisor y/o interventor del contrato y los comités de contratación, teniendo en cuenta las reglas de funcionamiento y de organización de la entidad</w:t>
            </w:r>
          </w:p>
          <w:p w14:paraId="1BCF86C9" w14:textId="77777777" w:rsidR="002506A5" w:rsidRPr="00B31C7B" w:rsidRDefault="002506A5" w:rsidP="00EC403E">
            <w:pPr>
              <w:widowControl w:val="0"/>
              <w:autoSpaceDE w:val="0"/>
              <w:autoSpaceDN w:val="0"/>
              <w:spacing w:after="120" w:line="276" w:lineRule="auto"/>
              <w:ind w:firstLine="708"/>
              <w:jc w:val="both"/>
              <w:rPr>
                <w:rFonts w:ascii="Verdana" w:hAnsi="Verdana" w:cs="Arial"/>
                <w:lang w:val="es-ES"/>
              </w:rPr>
            </w:pPr>
            <w:r>
              <w:rPr>
                <w:rFonts w:ascii="Verdana" w:hAnsi="Verdana" w:cs="Arial"/>
                <w:lang w:val="es-ES"/>
              </w:rPr>
              <w:t>Por último</w:t>
            </w:r>
            <w:r w:rsidRPr="00B31C7B">
              <w:rPr>
                <w:rFonts w:ascii="Verdana" w:hAnsi="Verdana" w:cs="Arial"/>
                <w:lang w:val="es-ES"/>
              </w:rPr>
              <w:t xml:space="preserve">, se precisa que la Agencia Nacional de Contratación Pública –Colombia Compra Eficiente no es un agente que valide las actuaciones de las entidades estatales ni mucho menos le defina cuáles son los documentos para adelantar y celebrar contratos, adiciones y modificaciones, puesto que su competencia como ente rector se limita a interpretar el alcance de las disposiciones generales en contratación y compra pública. </w:t>
            </w:r>
          </w:p>
        </w:tc>
      </w:tr>
    </w:tbl>
    <w:p w14:paraId="5CB2430C" w14:textId="77777777" w:rsidR="002506A5" w:rsidRPr="00B31C7B" w:rsidRDefault="002506A5" w:rsidP="002506A5">
      <w:pPr>
        <w:spacing w:after="0" w:line="276" w:lineRule="auto"/>
        <w:jc w:val="both"/>
        <w:rPr>
          <w:rFonts w:ascii="Verdana" w:eastAsia="Calibri" w:hAnsi="Verdana" w:cs="Arial"/>
          <w:bCs/>
          <w:color w:val="000000" w:themeColor="text1"/>
        </w:rPr>
      </w:pPr>
    </w:p>
    <w:p w14:paraId="3DC30059" w14:textId="77777777" w:rsidR="002506A5" w:rsidRPr="00B31C7B" w:rsidRDefault="002506A5" w:rsidP="002506A5">
      <w:pPr>
        <w:numPr>
          <w:ilvl w:val="0"/>
          <w:numId w:val="16"/>
        </w:numPr>
        <w:spacing w:after="0" w:line="276" w:lineRule="auto"/>
        <w:rPr>
          <w:rFonts w:ascii="Verdana" w:eastAsia="Calibri" w:hAnsi="Verdana" w:cs="Times New Roman"/>
          <w:b/>
          <w:bCs/>
          <w:lang w:val="es-ES"/>
        </w:rPr>
      </w:pPr>
      <w:r w:rsidRPr="00B31C7B">
        <w:rPr>
          <w:rFonts w:ascii="Verdana" w:eastAsia="Calibri" w:hAnsi="Verdana" w:cs="Times New Roman"/>
          <w:b/>
          <w:bCs/>
          <w:lang w:val="es-ES"/>
        </w:rPr>
        <w:t>Razones de la respuesta:</w:t>
      </w:r>
    </w:p>
    <w:p w14:paraId="7CF119C4" w14:textId="77777777" w:rsidR="002506A5" w:rsidRPr="00B31C7B" w:rsidRDefault="002506A5" w:rsidP="002506A5">
      <w:pPr>
        <w:spacing w:after="0" w:line="276" w:lineRule="auto"/>
        <w:rPr>
          <w:rFonts w:ascii="Verdana" w:eastAsia="Calibri" w:hAnsi="Verdana" w:cs="Times New Roman"/>
          <w:b/>
          <w:bCs/>
          <w:lang w:val="es-ES"/>
        </w:rPr>
      </w:pPr>
    </w:p>
    <w:p w14:paraId="48766053" w14:textId="77777777" w:rsidR="002506A5" w:rsidRPr="00B31C7B" w:rsidRDefault="002506A5" w:rsidP="002506A5">
      <w:pPr>
        <w:spacing w:after="0" w:line="276" w:lineRule="auto"/>
        <w:jc w:val="both"/>
        <w:rPr>
          <w:rFonts w:ascii="Verdana" w:eastAsia="Calibri" w:hAnsi="Verdana" w:cs="Arial"/>
          <w:lang w:val="es-ES"/>
        </w:rPr>
      </w:pPr>
      <w:r w:rsidRPr="00B31C7B">
        <w:rPr>
          <w:rFonts w:ascii="Verdana" w:eastAsia="Calibri" w:hAnsi="Verdana" w:cs="Arial"/>
          <w:lang w:val="es-ES"/>
        </w:rPr>
        <w:t xml:space="preserve">Lo anterior se sustenta en las siguientes consideraciones: </w:t>
      </w:r>
    </w:p>
    <w:p w14:paraId="005A2E31" w14:textId="77777777" w:rsidR="002506A5" w:rsidRPr="00B31C7B" w:rsidRDefault="002506A5" w:rsidP="002506A5">
      <w:pPr>
        <w:spacing w:after="0" w:line="276" w:lineRule="auto"/>
        <w:jc w:val="both"/>
        <w:rPr>
          <w:rFonts w:ascii="Verdana" w:hAnsi="Verdana" w:cs="Arial"/>
          <w:bCs/>
          <w:lang w:val="es-ES" w:eastAsia="es-ES" w:bidi="es-ES"/>
        </w:rPr>
      </w:pPr>
    </w:p>
    <w:p w14:paraId="1EAABFB5" w14:textId="77777777" w:rsidR="002506A5" w:rsidRPr="00B31C7B" w:rsidRDefault="002506A5" w:rsidP="002506A5">
      <w:pPr>
        <w:tabs>
          <w:tab w:val="left" w:pos="284"/>
        </w:tabs>
        <w:spacing w:line="276" w:lineRule="auto"/>
        <w:jc w:val="both"/>
        <w:rPr>
          <w:rFonts w:ascii="Verdana" w:eastAsia="Calibri" w:hAnsi="Verdana" w:cs="Arial"/>
          <w:color w:val="000000"/>
        </w:rPr>
      </w:pPr>
      <w:r w:rsidRPr="00B31C7B">
        <w:rPr>
          <w:rFonts w:ascii="Verdana" w:hAnsi="Verdana" w:cs="Arial"/>
          <w:bCs/>
          <w:lang w:val="es-ES" w:eastAsia="es-ES" w:bidi="es-ES"/>
        </w:rPr>
        <w:t xml:space="preserve">i. </w:t>
      </w:r>
      <w:bookmarkStart w:id="1" w:name="_Hlk35876968"/>
      <w:bookmarkStart w:id="2" w:name="_Hlk37183512"/>
      <w:r w:rsidRPr="00B31C7B">
        <w:rPr>
          <w:rFonts w:ascii="Verdana" w:eastAsia="Calibri" w:hAnsi="Verdana" w:cs="Arial"/>
          <w:color w:val="000000"/>
        </w:rPr>
        <w:t>El EGCAP, contenido en las Leyes 80 de 1993 y 1150 de 2007, así como en las normas que las han modificado y las reglamentan, no establecen una regulación expresa sobre la posibilidad de modificar los contratos celebrados por las Entidades Estatales, salvo la potestad exorbitante de modificación unilateral en cierto tipo de contratos y la regulación que fija los porcentajes límite para adicionar los valores inicialmente pactados, como lo dispone el artículo 40 de la Ley 80 de 1993</w:t>
      </w:r>
      <w:r w:rsidRPr="00B31C7B">
        <w:rPr>
          <w:rFonts w:ascii="Verdana" w:eastAsia="Calibri" w:hAnsi="Verdana" w:cs="Arial"/>
          <w:color w:val="000000"/>
          <w:vertAlign w:val="superscript"/>
          <w:lang w:val="es-MX"/>
        </w:rPr>
        <w:footnoteReference w:id="1"/>
      </w:r>
      <w:r w:rsidRPr="00B31C7B">
        <w:rPr>
          <w:rFonts w:ascii="Verdana" w:eastAsia="Calibri" w:hAnsi="Verdana" w:cs="Arial"/>
          <w:color w:val="000000"/>
        </w:rPr>
        <w:t xml:space="preserve">. 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transparencia, economía y </w:t>
      </w:r>
      <w:r w:rsidRPr="00B31C7B">
        <w:rPr>
          <w:rFonts w:ascii="Verdana" w:eastAsia="Calibri" w:hAnsi="Verdana" w:cs="Arial"/>
          <w:color w:val="000000"/>
        </w:rPr>
        <w:lastRenderedPageBreak/>
        <w:t xml:space="preserve">responsabilidad, así como los demás principios de la función administrativa, aplicables al proceso de gestión contractual. </w:t>
      </w:r>
    </w:p>
    <w:p w14:paraId="1789352F" w14:textId="77777777" w:rsidR="002506A5" w:rsidRPr="00B31C7B" w:rsidRDefault="002506A5" w:rsidP="002506A5">
      <w:pPr>
        <w:tabs>
          <w:tab w:val="left" w:pos="284"/>
        </w:tabs>
        <w:spacing w:after="0" w:line="276" w:lineRule="auto"/>
        <w:jc w:val="both"/>
        <w:rPr>
          <w:rFonts w:ascii="Verdana" w:eastAsia="Calibri" w:hAnsi="Verdana" w:cs="Arial"/>
          <w:color w:val="000000"/>
        </w:rPr>
      </w:pPr>
      <w:r w:rsidRPr="00B31C7B">
        <w:rPr>
          <w:rFonts w:ascii="Verdana" w:eastAsia="Calibri" w:hAnsi="Verdana" w:cs="Arial"/>
          <w:color w:val="000000"/>
        </w:rPr>
        <w:tab/>
      </w:r>
      <w:r w:rsidRPr="00B31C7B">
        <w:rPr>
          <w:rFonts w:ascii="Verdana" w:eastAsia="Calibri" w:hAnsi="Verdana" w:cs="Arial"/>
          <w:color w:val="000000"/>
        </w:rPr>
        <w:tab/>
        <w:t>Ahora bien, no existe restricción expresa para modificar los contratos estatales y los mismos principios antes referidos puede poner en evidencia la necesidad de suscribir documentos de modificación, en los cuales se cambie parte de las estipulaciones pactadas en un comienzo. En el contexto antes descrito, la jurisprudencia ha fijado pautas generales conforme a las cuales la Administración Pública debe evaluar, teniendo en cuenta las particularidades de cada caso, si resulta procedente suscribir documentos de modificación a los contratos que ha celebrado. Al respecto, la Corte Constitucional, mediante sentencia C – 300 de 2012</w:t>
      </w:r>
      <w:r w:rsidRPr="00B31C7B">
        <w:rPr>
          <w:rFonts w:ascii="Verdana" w:eastAsia="Calibri" w:hAnsi="Verdana" w:cs="Arial"/>
          <w:color w:val="000000"/>
          <w:vertAlign w:val="superscript"/>
        </w:rPr>
        <w:footnoteReference w:id="2"/>
      </w:r>
      <w:r w:rsidRPr="00B31C7B">
        <w:rPr>
          <w:rFonts w:ascii="Verdana" w:eastAsia="Calibri" w:hAnsi="Verdana" w:cs="Arial"/>
          <w:color w:val="000000"/>
        </w:rPr>
        <w:t>, expresó la posibilidad de modificar los contratos estatales:</w:t>
      </w:r>
    </w:p>
    <w:p w14:paraId="05CA174E" w14:textId="77777777" w:rsidR="002506A5" w:rsidRPr="00B31C7B" w:rsidRDefault="002506A5" w:rsidP="002506A5">
      <w:pPr>
        <w:tabs>
          <w:tab w:val="left" w:pos="284"/>
        </w:tabs>
        <w:spacing w:after="0" w:line="276" w:lineRule="auto"/>
        <w:jc w:val="both"/>
        <w:rPr>
          <w:rFonts w:ascii="Verdana" w:eastAsia="Calibri" w:hAnsi="Verdana" w:cs="Arial"/>
          <w:color w:val="000000"/>
        </w:rPr>
      </w:pPr>
    </w:p>
    <w:p w14:paraId="34ECCCE6" w14:textId="77777777" w:rsidR="002506A5" w:rsidRPr="00B31C7B" w:rsidRDefault="002506A5" w:rsidP="002506A5">
      <w:pPr>
        <w:tabs>
          <w:tab w:val="left" w:pos="284"/>
        </w:tabs>
        <w:spacing w:after="0" w:line="240" w:lineRule="auto"/>
        <w:ind w:left="720" w:right="709"/>
        <w:jc w:val="both"/>
        <w:rPr>
          <w:rFonts w:ascii="Verdana" w:eastAsia="Calibri" w:hAnsi="Verdana" w:cs="Arial"/>
          <w:bCs/>
          <w:color w:val="000000"/>
          <w:sz w:val="20"/>
          <w:szCs w:val="20"/>
          <w:lang w:val="es-ES"/>
        </w:rPr>
      </w:pPr>
      <w:r w:rsidRPr="00B31C7B">
        <w:rPr>
          <w:rFonts w:ascii="Verdana" w:eastAsia="Calibri" w:hAnsi="Verdana" w:cs="Arial"/>
          <w:color w:val="000000"/>
          <w:sz w:val="21"/>
          <w:szCs w:val="21"/>
        </w:rPr>
        <w:t>“</w:t>
      </w:r>
      <w:r w:rsidRPr="00B31C7B">
        <w:rPr>
          <w:rFonts w:ascii="Verdana" w:eastAsia="Calibri" w:hAnsi="Verdana" w:cs="Arial"/>
          <w:bCs/>
          <w:color w:val="000000"/>
          <w:sz w:val="20"/>
          <w:szCs w:val="20"/>
          <w:lang w:val="es-ES"/>
        </w:rPr>
        <w:t xml:space="preserve">Por regla general, </w:t>
      </w:r>
      <w:r w:rsidRPr="00B31C7B">
        <w:rPr>
          <w:rFonts w:ascii="Verdana" w:eastAsia="Calibri" w:hAnsi="Verdana" w:cs="Arial"/>
          <w:b/>
          <w:bCs/>
          <w:color w:val="000000"/>
          <w:sz w:val="20"/>
          <w:szCs w:val="20"/>
          <w:lang w:val="es-ES"/>
        </w:rPr>
        <w:t>los contratos estatales pueden ser modificados cuando sea necesario para lograr su finalidad y en aras de la realización de los fines del Estado</w:t>
      </w:r>
      <w:r w:rsidRPr="00B31C7B">
        <w:rPr>
          <w:rFonts w:ascii="Verdana" w:eastAsia="Calibri" w:hAnsi="Verdana" w:cs="Arial"/>
          <w:bCs/>
          <w:color w:val="000000"/>
          <w:sz w:val="20"/>
          <w:szCs w:val="20"/>
          <w:lang w:val="es-ES"/>
        </w:rPr>
        <w:t>, a los cuales sirve el contrato.</w:t>
      </w:r>
      <w:r w:rsidRPr="00B31C7B">
        <w:rPr>
          <w:rFonts w:ascii="Verdana" w:eastAsia="Calibri" w:hAnsi="Verdana" w:cs="Arial"/>
          <w:bCs/>
          <w:color w:val="000000"/>
          <w:sz w:val="20"/>
          <w:szCs w:val="20"/>
          <w:vertAlign w:val="superscript"/>
          <w:lang w:val="es-ES"/>
        </w:rPr>
        <w:footnoteReference w:id="3"/>
      </w:r>
      <w:r w:rsidRPr="00B31C7B">
        <w:rPr>
          <w:rFonts w:ascii="Verdana" w:eastAsia="Calibri" w:hAnsi="Verdana" w:cs="Arial"/>
          <w:bCs/>
          <w:color w:val="000000"/>
          <w:sz w:val="20"/>
          <w:szCs w:val="20"/>
          <w:lang w:val="es-ES"/>
        </w:rPr>
        <w:t xml:space="preserve"> Así lo prevén por ejemplo los artículos 14 y 16 de la ley 80, los cuales facultan a la entidades contratantes a modificar los contratos de común acuerdo o de forma unilateral, para “(…) evitar la paralización o la afectación grave de los servicios públicos a su cargo y asegurar la inmediata, continua y adecuada prestación”, entre otros. En el mismo sentido, en la </w:t>
      </w:r>
      <w:r w:rsidRPr="00B31C7B">
        <w:rPr>
          <w:rFonts w:ascii="Verdana" w:eastAsia="Calibri" w:hAnsi="Verdana" w:cs="Arial"/>
          <w:b/>
          <w:bCs/>
          <w:color w:val="000000"/>
          <w:sz w:val="20"/>
          <w:szCs w:val="20"/>
          <w:lang w:val="es-ES"/>
        </w:rPr>
        <w:t>sentencia C-949 de 2001</w:t>
      </w:r>
      <w:r w:rsidRPr="00B31C7B">
        <w:rPr>
          <w:rFonts w:ascii="Verdana" w:eastAsia="Calibri" w:hAnsi="Verdana" w:cs="Arial"/>
          <w:bCs/>
          <w:color w:val="000000"/>
          <w:sz w:val="20"/>
          <w:szCs w:val="20"/>
          <w:vertAlign w:val="superscript"/>
          <w:lang w:val="es-ES"/>
        </w:rPr>
        <w:footnoteReference w:id="4"/>
      </w:r>
      <w:r w:rsidRPr="00B31C7B">
        <w:rPr>
          <w:rFonts w:ascii="Verdana" w:eastAsia="Calibri" w:hAnsi="Verdana" w:cs="Arial"/>
          <w:bCs/>
          <w:color w:val="000000"/>
          <w:sz w:val="20"/>
          <w:szCs w:val="20"/>
          <w:lang w:val="es-ES"/>
        </w:rPr>
        <w:t>, la Corte Constitucional señaló que las prórrogas de los contratos –como especie de modificación- pueden ser un instrumento útil para lograr los fines propios de la contratación estatal.</w:t>
      </w:r>
      <w:r w:rsidRPr="00B31C7B">
        <w:rPr>
          <w:rFonts w:ascii="Verdana" w:eastAsia="Calibri" w:hAnsi="Verdana" w:cs="Arial"/>
          <w:bCs/>
          <w:color w:val="000000"/>
          <w:sz w:val="20"/>
          <w:szCs w:val="20"/>
          <w:vertAlign w:val="superscript"/>
          <w:lang w:val="es-ES"/>
        </w:rPr>
        <w:footnoteReference w:id="5"/>
      </w:r>
      <w:r w:rsidRPr="00B31C7B">
        <w:rPr>
          <w:rFonts w:ascii="Verdana" w:eastAsia="Calibri" w:hAnsi="Verdana" w:cs="Arial"/>
          <w:bCs/>
          <w:color w:val="000000"/>
          <w:sz w:val="20"/>
          <w:szCs w:val="20"/>
          <w:lang w:val="es-ES"/>
        </w:rPr>
        <w:t xml:space="preserve"> </w:t>
      </w:r>
    </w:p>
    <w:p w14:paraId="7B7D6AEB" w14:textId="77777777" w:rsidR="002506A5" w:rsidRPr="00B31C7B" w:rsidRDefault="002506A5" w:rsidP="002506A5">
      <w:pPr>
        <w:tabs>
          <w:tab w:val="left" w:pos="284"/>
        </w:tabs>
        <w:spacing w:after="0" w:line="240" w:lineRule="auto"/>
        <w:ind w:left="720" w:right="709"/>
        <w:jc w:val="both"/>
        <w:rPr>
          <w:rFonts w:ascii="Verdana" w:eastAsia="Calibri" w:hAnsi="Verdana" w:cs="Arial"/>
          <w:bCs/>
          <w:color w:val="000000"/>
          <w:sz w:val="20"/>
          <w:szCs w:val="20"/>
          <w:lang w:val="es-ES"/>
        </w:rPr>
      </w:pPr>
      <w:r w:rsidRPr="00B31C7B">
        <w:rPr>
          <w:rFonts w:ascii="Verdana" w:eastAsia="Calibri" w:hAnsi="Verdana" w:cs="Arial"/>
          <w:bCs/>
          <w:color w:val="000000"/>
          <w:sz w:val="20"/>
          <w:szCs w:val="20"/>
          <w:lang w:val="es-ES"/>
        </w:rPr>
        <w:t>[…]</w:t>
      </w:r>
    </w:p>
    <w:p w14:paraId="157BB1A2" w14:textId="77777777" w:rsidR="002506A5" w:rsidRPr="00B31C7B" w:rsidRDefault="002506A5" w:rsidP="002506A5">
      <w:pPr>
        <w:tabs>
          <w:tab w:val="left" w:pos="284"/>
        </w:tabs>
        <w:spacing w:after="0" w:line="240" w:lineRule="auto"/>
        <w:ind w:left="720" w:right="709"/>
        <w:jc w:val="both"/>
        <w:rPr>
          <w:rFonts w:ascii="Verdana" w:eastAsia="Calibri" w:hAnsi="Verdana" w:cs="Arial"/>
          <w:bCs/>
          <w:color w:val="000000"/>
          <w:sz w:val="20"/>
          <w:szCs w:val="20"/>
          <w:lang w:val="es-ES"/>
        </w:rPr>
      </w:pPr>
      <w:r w:rsidRPr="00B31C7B">
        <w:rPr>
          <w:rFonts w:ascii="Verdana" w:eastAsia="Calibri" w:hAnsi="Verdana" w:cs="Arial"/>
          <w:bCs/>
          <w:color w:val="000000"/>
          <w:sz w:val="20"/>
          <w:szCs w:val="20"/>
          <w:lang w:val="es-ES"/>
        </w:rPr>
        <w:t xml:space="preserve">La modificación de los contratos estatales es especialmente importante en aquellos por naturaleza </w:t>
      </w:r>
      <w:r w:rsidRPr="00B31C7B">
        <w:rPr>
          <w:rFonts w:ascii="Verdana" w:eastAsia="Calibri" w:hAnsi="Verdana" w:cs="Arial"/>
          <w:b/>
          <w:color w:val="000000"/>
          <w:sz w:val="20"/>
          <w:szCs w:val="20"/>
          <w:lang w:val="es-ES"/>
        </w:rPr>
        <w:t>incompletos</w:t>
      </w:r>
      <w:r w:rsidRPr="00B31C7B">
        <w:rPr>
          <w:rFonts w:ascii="Verdana" w:eastAsia="Calibri" w:hAnsi="Verdana" w:cs="Arial"/>
          <w:bCs/>
          <w:color w:val="000000"/>
          <w:sz w:val="20"/>
          <w:szCs w:val="20"/>
          <w:lang w:val="es-ES"/>
        </w:rPr>
        <w:t xml:space="preserve">, es decir, </w:t>
      </w:r>
      <w:r w:rsidRPr="00B31C7B">
        <w:rPr>
          <w:rFonts w:ascii="Verdana" w:eastAsia="Calibri" w:hAnsi="Verdana" w:cs="Arial"/>
          <w:b/>
          <w:color w:val="000000"/>
          <w:sz w:val="20"/>
          <w:szCs w:val="20"/>
          <w:lang w:val="es-ES"/>
        </w:rPr>
        <w:t xml:space="preserve">(i) </w:t>
      </w:r>
      <w:r w:rsidRPr="00B31C7B">
        <w:rPr>
          <w:rFonts w:ascii="Verdana" w:eastAsia="Calibri" w:hAnsi="Verdana" w:cs="Arial"/>
          <w:bCs/>
          <w:color w:val="000000"/>
          <w:sz w:val="20"/>
          <w:szCs w:val="20"/>
          <w:lang w:val="es-ES"/>
        </w:rPr>
        <w:t xml:space="preserve">los afectados por asimetrías de información que impiden la previsión de todas las contingencias que pueden afectar su ejecución, y </w:t>
      </w:r>
      <w:r w:rsidRPr="00B31C7B">
        <w:rPr>
          <w:rFonts w:ascii="Verdana" w:eastAsia="Calibri" w:hAnsi="Verdana" w:cs="Arial"/>
          <w:b/>
          <w:color w:val="000000"/>
          <w:sz w:val="20"/>
          <w:szCs w:val="20"/>
          <w:lang w:val="es-ES"/>
        </w:rPr>
        <w:t>(</w:t>
      </w:r>
      <w:proofErr w:type="spellStart"/>
      <w:r w:rsidRPr="00B31C7B">
        <w:rPr>
          <w:rFonts w:ascii="Verdana" w:eastAsia="Calibri" w:hAnsi="Verdana" w:cs="Arial"/>
          <w:b/>
          <w:color w:val="000000"/>
          <w:sz w:val="20"/>
          <w:szCs w:val="20"/>
          <w:lang w:val="es-ES"/>
        </w:rPr>
        <w:t>ii</w:t>
      </w:r>
      <w:proofErr w:type="spellEnd"/>
      <w:r w:rsidRPr="00B31C7B">
        <w:rPr>
          <w:rFonts w:ascii="Verdana" w:eastAsia="Calibri" w:hAnsi="Verdana" w:cs="Arial"/>
          <w:b/>
          <w:color w:val="000000"/>
          <w:sz w:val="20"/>
          <w:szCs w:val="20"/>
          <w:lang w:val="es-ES"/>
        </w:rPr>
        <w:t xml:space="preserve">) </w:t>
      </w:r>
      <w:r w:rsidRPr="00B31C7B">
        <w:rPr>
          <w:rFonts w:ascii="Verdana" w:eastAsia="Calibri" w:hAnsi="Verdana" w:cs="Arial"/>
          <w:bCs/>
          <w:color w:val="000000"/>
          <w:sz w:val="20"/>
          <w:szCs w:val="20"/>
          <w:lang w:val="es-ES"/>
        </w:rPr>
        <w:t xml:space="preserve">en el marco de los cuales, por esa misma razón, es difícil prever </w:t>
      </w:r>
      <w:r w:rsidRPr="00B31C7B">
        <w:rPr>
          <w:rFonts w:ascii="Verdana" w:eastAsia="Calibri" w:hAnsi="Verdana" w:cs="Arial"/>
          <w:bCs/>
          <w:i/>
          <w:iCs/>
          <w:color w:val="000000"/>
          <w:sz w:val="20"/>
          <w:szCs w:val="20"/>
          <w:lang w:val="es-ES"/>
        </w:rPr>
        <w:t xml:space="preserve">ex ante </w:t>
      </w:r>
      <w:r w:rsidRPr="00B31C7B">
        <w:rPr>
          <w:rFonts w:ascii="Verdana" w:eastAsia="Calibri" w:hAnsi="Verdana" w:cs="Arial"/>
          <w:bCs/>
          <w:color w:val="000000"/>
          <w:sz w:val="20"/>
          <w:szCs w:val="20"/>
          <w:lang w:val="es-ES"/>
        </w:rPr>
        <w:t>los remedios necesarios para afrontar tales contingencias, como ocurre por lo general con los contratos de largo plazo.</w:t>
      </w:r>
      <w:r w:rsidRPr="00B31C7B">
        <w:rPr>
          <w:rFonts w:ascii="Verdana" w:eastAsia="Calibri" w:hAnsi="Verdana" w:cs="Arial"/>
          <w:bCs/>
          <w:color w:val="000000"/>
          <w:sz w:val="20"/>
          <w:szCs w:val="20"/>
          <w:vertAlign w:val="superscript"/>
          <w:lang w:val="es-ES"/>
        </w:rPr>
        <w:footnoteReference w:id="6"/>
      </w:r>
      <w:r w:rsidRPr="00B31C7B">
        <w:rPr>
          <w:rFonts w:ascii="Verdana" w:eastAsia="Calibri" w:hAnsi="Verdana" w:cs="Arial"/>
          <w:bCs/>
          <w:color w:val="000000"/>
          <w:sz w:val="20"/>
          <w:szCs w:val="20"/>
          <w:lang w:val="es-ES"/>
        </w:rPr>
        <w:t xml:space="preserve"> En efecto, con el paso del tiempo, </w:t>
      </w:r>
      <w:r w:rsidRPr="00B31C7B">
        <w:rPr>
          <w:rFonts w:ascii="Verdana" w:eastAsia="Calibri" w:hAnsi="Verdana" w:cs="Arial"/>
          <w:bCs/>
          <w:color w:val="000000"/>
          <w:sz w:val="20"/>
          <w:szCs w:val="20"/>
          <w:lang w:val="es-ES"/>
        </w:rPr>
        <w:lastRenderedPageBreak/>
        <w:t>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que las que tampoco era posible, en dicho momento, prever un remedio adecuado y específico. En este tipo de contratos es preciso entonces el diseño de reglas que permitan la adaptación y la resolución pacífica de las controversias para evitar el fracaso (énfasis dentro del texto)</w:t>
      </w:r>
    </w:p>
    <w:p w14:paraId="455A5BDC" w14:textId="77777777" w:rsidR="002506A5" w:rsidRPr="00B31C7B" w:rsidRDefault="002506A5" w:rsidP="002506A5">
      <w:pPr>
        <w:tabs>
          <w:tab w:val="left" w:pos="284"/>
        </w:tabs>
        <w:spacing w:after="0" w:line="240" w:lineRule="auto"/>
        <w:ind w:left="1049" w:right="709"/>
        <w:jc w:val="both"/>
        <w:rPr>
          <w:rFonts w:ascii="Verdana" w:eastAsia="Arial MT" w:hAnsi="Verdana" w:cs="Arial"/>
          <w:color w:val="000000"/>
          <w:sz w:val="21"/>
          <w:szCs w:val="21"/>
        </w:rPr>
      </w:pPr>
    </w:p>
    <w:p w14:paraId="3682CFC1" w14:textId="77777777" w:rsidR="002506A5" w:rsidRPr="00B31C7B" w:rsidRDefault="002506A5" w:rsidP="002506A5">
      <w:pPr>
        <w:widowControl w:val="0"/>
        <w:autoSpaceDE w:val="0"/>
        <w:autoSpaceDN w:val="0"/>
        <w:spacing w:after="0" w:line="276" w:lineRule="auto"/>
        <w:ind w:right="-2" w:firstLine="709"/>
        <w:jc w:val="both"/>
        <w:rPr>
          <w:rFonts w:ascii="Verdana" w:eastAsia="Calibri" w:hAnsi="Verdana" w:cs="Arial"/>
          <w:color w:val="000000"/>
        </w:rPr>
      </w:pPr>
      <w:r w:rsidRPr="00B31C7B">
        <w:rPr>
          <w:rFonts w:ascii="Verdana" w:eastAsia="Calibri" w:hAnsi="Verdana" w:cs="Arial"/>
          <w:color w:val="000000"/>
        </w:rPr>
        <w:t>A su turno, el Consejo de Estado</w:t>
      </w:r>
      <w:r w:rsidRPr="00B31C7B">
        <w:rPr>
          <w:rFonts w:ascii="Verdana" w:eastAsia="Calibri" w:hAnsi="Verdana" w:cs="Arial"/>
          <w:color w:val="000000"/>
          <w:vertAlign w:val="superscript"/>
        </w:rPr>
        <w:footnoteReference w:id="7"/>
      </w:r>
      <w:r w:rsidRPr="00B31C7B">
        <w:rPr>
          <w:rFonts w:ascii="Verdana" w:eastAsia="Calibri" w:hAnsi="Verdana" w:cs="Arial"/>
          <w:color w:val="000000"/>
        </w:rPr>
        <w:t>, ha expresado lo siguiente sobre el asunto:</w:t>
      </w:r>
    </w:p>
    <w:p w14:paraId="5368E7DE" w14:textId="77777777" w:rsidR="002506A5" w:rsidRPr="00B31C7B" w:rsidRDefault="002506A5" w:rsidP="002506A5">
      <w:pPr>
        <w:widowControl w:val="0"/>
        <w:autoSpaceDE w:val="0"/>
        <w:autoSpaceDN w:val="0"/>
        <w:spacing w:after="0" w:line="276" w:lineRule="auto"/>
        <w:ind w:right="-2" w:firstLine="709"/>
        <w:jc w:val="both"/>
        <w:rPr>
          <w:rFonts w:ascii="Verdana" w:eastAsia="Calibri" w:hAnsi="Verdana" w:cs="Arial"/>
          <w:color w:val="000000"/>
        </w:rPr>
      </w:pPr>
    </w:p>
    <w:p w14:paraId="7A9417CC" w14:textId="77777777" w:rsidR="002506A5" w:rsidRPr="00B31C7B" w:rsidRDefault="002506A5" w:rsidP="002506A5">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“La contratación estatal responde de múltiples maneras a ese mandato y, en cuanto al concepto que se emite, se resalta que la posibilidad de modificar los contratos estatales es una especial forma de hacer prevalecer la finalidad del contrato sobre los restantes elementos </w:t>
      </w:r>
      <w:proofErr w:type="gramStart"/>
      <w:r w:rsidRPr="00B31C7B">
        <w:rPr>
          <w:rFonts w:ascii="Verdana" w:eastAsia="Calibri" w:hAnsi="Verdana" w:cs="Arial"/>
          <w:color w:val="000000"/>
          <w:sz w:val="20"/>
          <w:szCs w:val="20"/>
        </w:rPr>
        <w:t>del mismo</w:t>
      </w:r>
      <w:proofErr w:type="gramEnd"/>
      <w:r w:rsidRPr="00B31C7B">
        <w:rPr>
          <w:rFonts w:ascii="Verdana" w:eastAsia="Calibri" w:hAnsi="Verdana" w:cs="Arial"/>
          <w:color w:val="000000"/>
          <w:sz w:val="20"/>
          <w:szCs w:val="20"/>
        </w:rPr>
        <w:t>. Por mutabilidad del contrato estatal se entiende el derecho que tiene la administración de variar, dadas ciertas condiciones, las obligaciones a cargo del contratista particular, cuando sea necesario para el cumplimiento del objeto y de los fines generales del Estado.</w:t>
      </w:r>
    </w:p>
    <w:p w14:paraId="1E61D962" w14:textId="77777777" w:rsidR="002506A5" w:rsidRPr="00B31C7B" w:rsidRDefault="002506A5" w:rsidP="002506A5">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w:t>
      </w:r>
    </w:p>
    <w:p w14:paraId="2ADD4A36" w14:textId="77777777" w:rsidR="002506A5" w:rsidRPr="00B31C7B" w:rsidRDefault="002506A5" w:rsidP="002506A5">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someterse la administración. A manera de ejemplo, se citan las siguientes tomadas del Estatuto General de Contratación de la Administración Pública: mantener las condiciones técnicas, económicas y financieras, (artículo 4.8), no sobrevenga mayor onerosidad, (artículo 4.9), acordarán los mecanismos y procedimientos pertinentes para precaver o solucionar … diferencias, (</w:t>
      </w:r>
      <w:proofErr w:type="spellStart"/>
      <w:r w:rsidRPr="00B31C7B">
        <w:rPr>
          <w:rFonts w:ascii="Verdana" w:eastAsia="Calibri" w:hAnsi="Verdana" w:cs="Arial"/>
          <w:color w:val="000000"/>
          <w:sz w:val="20"/>
          <w:szCs w:val="20"/>
        </w:rPr>
        <w:t>ibídem</w:t>
      </w:r>
      <w:proofErr w:type="spellEnd"/>
      <w:r w:rsidRPr="00B31C7B">
        <w:rPr>
          <w:rFonts w:ascii="Verdana" w:eastAsia="Calibri" w:hAnsi="Verdana" w:cs="Arial"/>
          <w:color w:val="000000"/>
          <w:sz w:val="20"/>
          <w:szCs w:val="20"/>
        </w:rPr>
        <w:t xml:space="preserve">), evitar la paralización y la afectación grave de los servicios públicos a su cargo y asegurar la inmediata, continua y adecuada prestación, (artículo 14); etc. Nótese que, </w:t>
      </w:r>
      <w:r w:rsidRPr="00B31C7B">
        <w:rPr>
          <w:rFonts w:ascii="Verdana" w:eastAsia="Calibri" w:hAnsi="Verdana" w:cs="Arial"/>
          <w:color w:val="000000"/>
          <w:sz w:val="20"/>
          <w:szCs w:val="20"/>
        </w:rPr>
        <w:lastRenderedPageBreak/>
        <w:t>sin embargo, en ellas van inmersas las ideas de una causa cierta y unos fines públicos que hay que salvaguardar.</w:t>
      </w:r>
    </w:p>
    <w:p w14:paraId="0674C9A5" w14:textId="77777777" w:rsidR="002506A5" w:rsidRPr="00B31C7B" w:rsidRDefault="002506A5" w:rsidP="002506A5">
      <w:pPr>
        <w:tabs>
          <w:tab w:val="left" w:pos="284"/>
        </w:tabs>
        <w:spacing w:after="0" w:line="240" w:lineRule="auto"/>
        <w:ind w:left="709" w:right="709"/>
        <w:jc w:val="both"/>
        <w:rPr>
          <w:rFonts w:ascii="Verdana" w:eastAsia="Calibri" w:hAnsi="Verdana" w:cs="Arial"/>
          <w:color w:val="000000"/>
          <w:sz w:val="20"/>
          <w:szCs w:val="20"/>
        </w:rPr>
      </w:pPr>
    </w:p>
    <w:p w14:paraId="4968721E" w14:textId="77777777" w:rsidR="002506A5" w:rsidRPr="00B31C7B" w:rsidRDefault="002506A5" w:rsidP="002506A5">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Puede adicionarse una razón a las expuestas para justificar que la simple voluntad de las partes no es causa de modificación de los contratos estatales, la cual consiste en el respeto por el principio de igualdad de los oferentes. Si se acepta que los contratos pueden modificarse por el simple común acuerdo, fácilmente se podría licitar determinado objeto con el fin de adjudicárselo a cierta persona, a sabiendas de que se cambiarán las obligaciones, una vez celebrado. </w:t>
      </w:r>
    </w:p>
    <w:p w14:paraId="46EEC50F" w14:textId="77777777" w:rsidR="002506A5" w:rsidRPr="00B31C7B" w:rsidRDefault="002506A5" w:rsidP="002506A5">
      <w:pPr>
        <w:tabs>
          <w:tab w:val="left" w:pos="284"/>
        </w:tabs>
        <w:spacing w:after="0" w:line="240" w:lineRule="auto"/>
        <w:ind w:left="709" w:right="709"/>
        <w:jc w:val="both"/>
        <w:rPr>
          <w:rFonts w:ascii="Verdana" w:eastAsia="Calibri" w:hAnsi="Verdana" w:cs="Arial"/>
          <w:color w:val="000000"/>
          <w:sz w:val="20"/>
          <w:szCs w:val="20"/>
        </w:rPr>
      </w:pPr>
    </w:p>
    <w:p w14:paraId="510ABA52" w14:textId="77777777" w:rsidR="002506A5" w:rsidRPr="00B31C7B" w:rsidRDefault="002506A5" w:rsidP="002506A5">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toda modificación debe tener una causa real y cierta, contemplada en la ley, diferente de la mera voluntad de los contratantes”.</w:t>
      </w:r>
    </w:p>
    <w:p w14:paraId="239ACEE2" w14:textId="77777777" w:rsidR="002506A5" w:rsidRPr="00B31C7B" w:rsidRDefault="002506A5" w:rsidP="002506A5">
      <w:pPr>
        <w:tabs>
          <w:tab w:val="left" w:pos="284"/>
        </w:tabs>
        <w:spacing w:after="0" w:line="240" w:lineRule="auto"/>
        <w:ind w:left="709" w:right="709"/>
        <w:jc w:val="both"/>
        <w:rPr>
          <w:rFonts w:ascii="Verdana" w:eastAsia="Calibri" w:hAnsi="Verdana" w:cs="Arial"/>
          <w:color w:val="000000"/>
          <w:sz w:val="21"/>
          <w:szCs w:val="21"/>
        </w:rPr>
      </w:pPr>
    </w:p>
    <w:p w14:paraId="04FF6795" w14:textId="77777777" w:rsidR="002506A5" w:rsidRPr="00B31C7B" w:rsidRDefault="002506A5" w:rsidP="002506A5">
      <w:pPr>
        <w:widowControl w:val="0"/>
        <w:autoSpaceDE w:val="0"/>
        <w:autoSpaceDN w:val="0"/>
        <w:spacing w:after="0" w:line="276" w:lineRule="auto"/>
        <w:ind w:right="-2" w:firstLine="709"/>
        <w:jc w:val="both"/>
        <w:rPr>
          <w:rFonts w:ascii="Verdana" w:eastAsia="Arial" w:hAnsi="Verdana" w:cs="Arial"/>
          <w:color w:val="000000"/>
          <w:lang w:val="es-MX" w:eastAsia="es-ES" w:bidi="es-ES"/>
        </w:rPr>
      </w:pPr>
      <w:r w:rsidRPr="00B31C7B">
        <w:rPr>
          <w:rFonts w:ascii="Verdana" w:eastAsia="Arial" w:hAnsi="Verdana" w:cs="Arial"/>
          <w:color w:val="000000"/>
          <w:lang w:val="es-ES" w:eastAsia="es-ES" w:bidi="es-ES"/>
        </w:rPr>
        <w:t xml:space="preserve">En el mismo sentido, en el Concepto 2263 del 17 de marzo del 2016, la Sala de Consulta y Servicio Civil del Consejo de Estado precisó que </w:t>
      </w:r>
      <w:r w:rsidRPr="00B31C7B">
        <w:rPr>
          <w:rFonts w:ascii="Verdana" w:eastAsia="Arial" w:hAnsi="Verdana" w:cs="Arial"/>
          <w:color w:val="000000"/>
          <w:lang w:val="es-MX" w:eastAsia="es-ES" w:bidi="es-ES"/>
        </w:rPr>
        <w:t>la regla general es la no modificación del contrato, y la vía excepcional su modificación, sometida a límites legales; límites que, en los términos definidos en el referido concepto, corresponden a los siguientes:</w:t>
      </w:r>
    </w:p>
    <w:p w14:paraId="55356A70" w14:textId="77777777" w:rsidR="002506A5" w:rsidRPr="00B31C7B" w:rsidRDefault="002506A5" w:rsidP="002506A5">
      <w:pPr>
        <w:widowControl w:val="0"/>
        <w:autoSpaceDE w:val="0"/>
        <w:autoSpaceDN w:val="0"/>
        <w:spacing w:after="0" w:line="240" w:lineRule="auto"/>
        <w:ind w:right="-2" w:firstLine="709"/>
        <w:jc w:val="both"/>
        <w:rPr>
          <w:rFonts w:ascii="Verdana" w:eastAsia="Arial" w:hAnsi="Verdana" w:cs="Arial"/>
          <w:color w:val="000000"/>
          <w:lang w:val="es-MX" w:eastAsia="es-ES" w:bidi="es-ES"/>
        </w:rPr>
      </w:pPr>
    </w:p>
    <w:p w14:paraId="7D412413"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“1. La necesidad de preservar los principios de igualdad, transparencia y libertad de concurrencia, durante la fase de ejecución del contrato. </w:t>
      </w:r>
    </w:p>
    <w:p w14:paraId="4711E17E"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p>
    <w:p w14:paraId="14046A87"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p>
    <w:p w14:paraId="08778906"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p>
    <w:p w14:paraId="6CD065B2"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Administración y por el contratista, y sus efectos trascienden y se aplican durante la ejecución del contrato y en su liquidación, como garantía de inalterabilidad de lo pactado y de </w:t>
      </w:r>
      <w:r w:rsidRPr="00B31C7B">
        <w:rPr>
          <w:rFonts w:ascii="Verdana" w:eastAsia="Calibri" w:hAnsi="Verdana" w:cs="Arial"/>
          <w:color w:val="000000"/>
          <w:sz w:val="20"/>
          <w:szCs w:val="20"/>
        </w:rPr>
        <w:lastRenderedPageBreak/>
        <w:t>acatamiento a la legalidad de las reglas aplicadas en la actuación previa.</w:t>
      </w:r>
    </w:p>
    <w:p w14:paraId="11DA588D"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p>
    <w:p w14:paraId="0083C882"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2.Límites de orden temporal, entre los que están comprendidos: i) la vigencia del contrato, pues no podría modificarse un contrato cuyo plazo ha culminado y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prohibición de consagrar prórrogas automáticas, sucesivas o indefinidas, en tanto resultan contrarias al derecho esencial de la libertad de competencia.</w:t>
      </w:r>
    </w:p>
    <w:p w14:paraId="5AAFC7F1"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p>
    <w:p w14:paraId="2496428B"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3. Límites de orden formal, que comprenden: i) La solemnidad del contrato de modificación, derivada del carácter solemne del contrato estatal, que exige que la modificación de los contratos conste por escrito</w:t>
      </w:r>
      <w:r w:rsidRPr="00B31C7B">
        <w:rPr>
          <w:rFonts w:ascii="Verdana" w:eastAsia="Calibri" w:hAnsi="Verdana" w:cs="Arial"/>
          <w:color w:val="000000"/>
          <w:sz w:val="20"/>
          <w:szCs w:val="20"/>
          <w:vertAlign w:val="superscript"/>
        </w:rPr>
        <w:footnoteReference w:id="8"/>
      </w:r>
      <w:r w:rsidRPr="00B31C7B">
        <w:rPr>
          <w:rFonts w:ascii="Verdana" w:eastAsia="Calibri" w:hAnsi="Verdana" w:cs="Arial"/>
          <w:color w:val="000000"/>
          <w:sz w:val="20"/>
          <w:szCs w:val="20"/>
        </w:rPr>
        <w:t xml:space="preserve">;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motivación y justificación de la modificación, la cual constituye un elemento esencial que permite determinar la juridicidad y la necesidad de una modificación determinada; así como su racionalidad y la proporcionalidad de su contenido.</w:t>
      </w:r>
    </w:p>
    <w:p w14:paraId="33839335"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p>
    <w:p w14:paraId="59B32162"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p>
    <w:p w14:paraId="4814913B" w14:textId="77777777" w:rsidR="002506A5" w:rsidRPr="00B31C7B" w:rsidRDefault="002506A5" w:rsidP="002506A5">
      <w:pPr>
        <w:tabs>
          <w:tab w:val="left" w:pos="284"/>
        </w:tabs>
        <w:spacing w:after="0" w:line="240" w:lineRule="auto"/>
        <w:ind w:left="1049" w:right="709"/>
        <w:jc w:val="both"/>
        <w:rPr>
          <w:rFonts w:ascii="Verdana" w:eastAsia="Calibri" w:hAnsi="Verdana" w:cs="Arial"/>
          <w:color w:val="000000"/>
          <w:sz w:val="21"/>
          <w:szCs w:val="21"/>
          <w:lang w:val="es-ES_tradnl"/>
        </w:rPr>
      </w:pPr>
    </w:p>
    <w:p w14:paraId="58145C19" w14:textId="77777777" w:rsidR="002506A5" w:rsidRPr="00B31C7B" w:rsidRDefault="002506A5" w:rsidP="002506A5">
      <w:pPr>
        <w:widowControl w:val="0"/>
        <w:autoSpaceDE w:val="0"/>
        <w:autoSpaceDN w:val="0"/>
        <w:spacing w:after="0" w:line="276" w:lineRule="auto"/>
        <w:ind w:right="104" w:firstLine="708"/>
        <w:jc w:val="both"/>
        <w:rPr>
          <w:rFonts w:ascii="Verdana" w:eastAsia="Arial" w:hAnsi="Verdana" w:cs="Arial"/>
          <w:color w:val="000000"/>
          <w:lang w:val="es-MX" w:eastAsia="es-ES" w:bidi="es-ES"/>
        </w:rPr>
      </w:pPr>
      <w:r w:rsidRPr="00B31C7B">
        <w:rPr>
          <w:rFonts w:ascii="Verdana" w:eastAsia="Arial" w:hAnsi="Verdana" w:cs="Arial"/>
          <w:color w:val="000000"/>
          <w:lang w:val="es-MX" w:eastAsia="es-ES" w:bidi="es-ES"/>
        </w:rPr>
        <w:t>Sobre el alcance de dicha prohibición, la Sala de Consulta y Servicio Civil expresó lo siguiente</w:t>
      </w:r>
      <w:r w:rsidRPr="00B31C7B">
        <w:rPr>
          <w:rFonts w:ascii="Verdana" w:eastAsia="Arial" w:hAnsi="Verdana" w:cs="Arial"/>
          <w:color w:val="000000"/>
          <w:vertAlign w:val="superscript"/>
          <w:lang w:val="es-MX" w:eastAsia="es-ES" w:bidi="es-ES"/>
        </w:rPr>
        <w:footnoteReference w:id="9"/>
      </w:r>
      <w:r w:rsidRPr="00B31C7B">
        <w:rPr>
          <w:rFonts w:ascii="Verdana" w:eastAsia="Arial" w:hAnsi="Verdana" w:cs="Arial"/>
          <w:color w:val="000000"/>
          <w:lang w:val="es-MX" w:eastAsia="es-ES" w:bidi="es-ES"/>
        </w:rPr>
        <w:t>:</w:t>
      </w:r>
    </w:p>
    <w:p w14:paraId="201E18DB" w14:textId="77777777" w:rsidR="002506A5" w:rsidRPr="00B31C7B" w:rsidRDefault="002506A5" w:rsidP="002506A5">
      <w:pPr>
        <w:widowControl w:val="0"/>
        <w:autoSpaceDE w:val="0"/>
        <w:autoSpaceDN w:val="0"/>
        <w:spacing w:after="0" w:line="276" w:lineRule="auto"/>
        <w:ind w:right="104" w:firstLine="708"/>
        <w:jc w:val="both"/>
        <w:rPr>
          <w:rFonts w:ascii="Verdana" w:eastAsia="Arial" w:hAnsi="Verdana" w:cs="Arial"/>
          <w:color w:val="000000"/>
          <w:lang w:val="es-MX" w:eastAsia="es-ES" w:bidi="es-ES"/>
        </w:rPr>
      </w:pPr>
    </w:p>
    <w:p w14:paraId="3DAC4102"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Administración sobre esta vía excepcional y sus requisitos:</w:t>
      </w:r>
    </w:p>
    <w:p w14:paraId="1446AD17"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766B0A24"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w:t>
      </w:r>
      <w:r w:rsidRPr="00B31C7B">
        <w:rPr>
          <w:rFonts w:ascii="Verdana" w:eastAsia="Arial" w:hAnsi="Verdana" w:cs="Arial"/>
          <w:bCs/>
          <w:iCs/>
          <w:color w:val="000000"/>
          <w:sz w:val="20"/>
          <w:szCs w:val="20"/>
          <w:lang w:val="es-MX" w:eastAsia="es-ES" w:bidi="es-ES"/>
        </w:rPr>
        <w:lastRenderedPageBreak/>
        <w:t>en un contrato sustancialmente distinto. Si se sustituyen las obras, los suministros o los servicios pactados por otros diferentes, o se modifica el tipo de contratación, o el núcleo esencial del objeto, se presentaría una novación del negocio jurídico y su objeto.</w:t>
      </w:r>
    </w:p>
    <w:p w14:paraId="03710F87"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w:t>
      </w:r>
    </w:p>
    <w:p w14:paraId="236D58AE"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34EFCC40"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6E7B8033"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w:t>
      </w:r>
    </w:p>
    <w:p w14:paraId="12F21346"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6BDA29E3"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-El cumplimiento del límite cuantitativo consagrado en la ley para los contratos adicionales. […]</w:t>
      </w:r>
    </w:p>
    <w:p w14:paraId="2B85D1EB"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47D2DFF0" w14:textId="77777777" w:rsidR="002506A5" w:rsidRPr="00B31C7B" w:rsidRDefault="002506A5" w:rsidP="002506A5">
      <w:pPr>
        <w:widowControl w:val="0"/>
        <w:autoSpaceDE w:val="0"/>
        <w:autoSpaceDN w:val="0"/>
        <w:spacing w:after="0" w:line="240" w:lineRule="auto"/>
        <w:ind w:left="709" w:right="709"/>
        <w:jc w:val="both"/>
        <w:rPr>
          <w:rFonts w:ascii="Verdana" w:eastAsia="Arial" w:hAnsi="Verdana" w:cs="Arial"/>
          <w:bCs/>
          <w:iCs/>
          <w:color w:val="000000"/>
          <w:sz w:val="20"/>
          <w:szCs w:val="20"/>
          <w:lang w:val="es-ES_tradnl" w:eastAsia="es-ES" w:bidi="es-ES"/>
        </w:rPr>
      </w:pPr>
      <w:r w:rsidRPr="00B31C7B">
        <w:rPr>
          <w:rFonts w:ascii="Verdana" w:eastAsia="Arial" w:hAnsi="Verdana" w:cs="Arial"/>
          <w:bCs/>
          <w:iCs/>
          <w:color w:val="000000"/>
          <w:sz w:val="20"/>
          <w:szCs w:val="20"/>
          <w:lang w:val="es-MX" w:eastAsia="es-ES" w:bidi="es-ES"/>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r w:rsidRPr="00B31C7B">
        <w:rPr>
          <w:rFonts w:ascii="Verdana" w:eastAsia="Arial" w:hAnsi="Verdana" w:cs="Arial"/>
          <w:bCs/>
          <w:iCs/>
          <w:color w:val="000000"/>
          <w:sz w:val="20"/>
          <w:szCs w:val="20"/>
          <w:lang w:val="es-ES_tradnl" w:eastAsia="es-ES" w:bidi="es-ES"/>
        </w:rPr>
        <w:t>.”</w:t>
      </w:r>
    </w:p>
    <w:p w14:paraId="7FE5E388" w14:textId="77777777" w:rsidR="002506A5" w:rsidRPr="00B31C7B" w:rsidRDefault="002506A5" w:rsidP="002506A5">
      <w:pPr>
        <w:widowControl w:val="0"/>
        <w:autoSpaceDE w:val="0"/>
        <w:autoSpaceDN w:val="0"/>
        <w:spacing w:after="0" w:line="276" w:lineRule="auto"/>
        <w:ind w:left="709" w:right="709"/>
        <w:jc w:val="both"/>
        <w:rPr>
          <w:rFonts w:ascii="Verdana" w:eastAsia="Arial" w:hAnsi="Verdana" w:cs="Arial"/>
          <w:bCs/>
          <w:iCs/>
          <w:color w:val="000000"/>
          <w:sz w:val="21"/>
          <w:szCs w:val="21"/>
          <w:lang w:val="es-ES_tradnl" w:eastAsia="es-ES" w:bidi="es-ES"/>
        </w:rPr>
      </w:pPr>
    </w:p>
    <w:p w14:paraId="3156E772" w14:textId="77777777" w:rsidR="002506A5" w:rsidRPr="00B31C7B" w:rsidRDefault="002506A5" w:rsidP="002506A5">
      <w:pPr>
        <w:widowControl w:val="0"/>
        <w:autoSpaceDE w:val="0"/>
        <w:autoSpaceDN w:val="0"/>
        <w:spacing w:after="120" w:line="276" w:lineRule="auto"/>
        <w:ind w:right="-2"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Es claro, entonces, que conforme a la regulación legal y a la interpretación que de la misma han hecho el Consejo de Estado y la Corte Constitucional, la cual se comparte por esta Agencia, es viable jurídicamente modificar los contratos estatales, pero esta medida tienen carácter excepcional y solo procede cuando con pretenda garantizarse el interés público, cuando la entidad haya verificado y así pueda constatarse por cualquiera que la causa de la modificación es real y cierta, y cuando se cumpla con las limitaciones y condiciones que establezca la ley. En otras palabras, la modificación contractual encuentra </w:t>
      </w:r>
      <w:r w:rsidRPr="00B31C7B">
        <w:rPr>
          <w:rFonts w:ascii="Verdana" w:eastAsia="Arial" w:hAnsi="Verdana" w:cs="Arial"/>
          <w:color w:val="000000"/>
          <w:lang w:val="es-ES" w:eastAsia="es-ES" w:bidi="es-ES"/>
        </w:rPr>
        <w:lastRenderedPageBreak/>
        <w:t xml:space="preserve">sustento no solo en circunstancias fácticas propias de la ejecución del contrato, sino además debe cumplir con los principios y fines de la contratación estatal, así como con las condiciones y restricciones legales. </w:t>
      </w:r>
    </w:p>
    <w:p w14:paraId="6DF9D0CF" w14:textId="77777777" w:rsidR="002506A5" w:rsidRPr="00B31C7B" w:rsidRDefault="002506A5" w:rsidP="002506A5">
      <w:pPr>
        <w:widowControl w:val="0"/>
        <w:autoSpaceDE w:val="0"/>
        <w:autoSpaceDN w:val="0"/>
        <w:spacing w:after="120" w:line="276" w:lineRule="auto"/>
        <w:ind w:right="-2"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En esta medida, tratándose de modificaciones, estas se refieren a alteraciones, variaciones, cambios, correcciones en las condiciones y cláusulas del contrato, las cuales deben ser suscritas por las partes, sujetándose a lo previsto en la ley, esto es, que se encuentren debidamente justificadas, que no sean el resultado de una indebida planeación y que consten por escrito, de tal manera que de las mismas se predique su existencia, validez y eficacia. </w:t>
      </w:r>
    </w:p>
    <w:p w14:paraId="23CC9195" w14:textId="77777777" w:rsidR="002506A5" w:rsidRPr="00B31C7B" w:rsidRDefault="002506A5" w:rsidP="002506A5">
      <w:pPr>
        <w:widowControl w:val="0"/>
        <w:autoSpaceDE w:val="0"/>
        <w:autoSpaceDN w:val="0"/>
        <w:spacing w:after="120" w:line="276" w:lineRule="auto"/>
        <w:ind w:right="-2"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Según la Ley 80 de 1993, en el artículo 14</w:t>
      </w:r>
      <w:r w:rsidRPr="00B31C7B">
        <w:rPr>
          <w:rFonts w:ascii="Verdana" w:eastAsia="Arial" w:hAnsi="Verdana" w:cs="Arial"/>
          <w:color w:val="000000"/>
          <w:vertAlign w:val="superscript"/>
          <w:lang w:val="es-ES" w:eastAsia="es-ES" w:bidi="es-ES"/>
        </w:rPr>
        <w:footnoteReference w:id="10"/>
      </w:r>
      <w:r w:rsidRPr="00B31C7B">
        <w:rPr>
          <w:rFonts w:ascii="Verdana" w:eastAsia="Arial" w:hAnsi="Verdana" w:cs="Arial"/>
          <w:color w:val="000000"/>
          <w:lang w:val="es-ES" w:eastAsia="es-ES" w:bidi="es-ES"/>
        </w:rPr>
        <w:t xml:space="preserve">, otro mecanismo con el que cuentan las entidades estatales es el uso de la facultad excepcional de modificación unilateral del contrato, lo cual procede siempre y cuando se trate de un contrato que incorpore esa facultad de manera obligatoria o facultativa. En este sentido, el legislador estableció la posibilidad de pactar esta cláusula excepcional en los contratos que tengan por objeto el ejercicio de una actividad </w:t>
      </w:r>
      <w:r w:rsidRPr="00B31C7B">
        <w:rPr>
          <w:rFonts w:ascii="Verdana" w:eastAsia="Arial" w:hAnsi="Verdana" w:cs="Arial"/>
          <w:color w:val="000000"/>
          <w:lang w:val="es-ES" w:eastAsia="es-ES" w:bidi="es-ES"/>
        </w:rPr>
        <w:lastRenderedPageBreak/>
        <w:t>que constituya monopolio estatal, la prestación de servicios públicos o la explotación y concesión de bienes del Estado, en los contratos de obra, así como los contratos relacionados con el programa de alimentación escolar.</w:t>
      </w:r>
    </w:p>
    <w:p w14:paraId="79F9C8AF" w14:textId="77777777" w:rsidR="002506A5" w:rsidRPr="00B31C7B" w:rsidRDefault="002506A5" w:rsidP="002506A5">
      <w:pPr>
        <w:widowControl w:val="0"/>
        <w:autoSpaceDE w:val="0"/>
        <w:autoSpaceDN w:val="0"/>
        <w:spacing w:after="120" w:line="276" w:lineRule="auto"/>
        <w:ind w:right="-2"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Conforme a lo anterior, la modificación unilateral es la facultad que tiene la entidad estatal durante la ejecución del contrato de introducir variaciones al contrato, siempre y cuando no haya acuerdo con el contratista sobre estas. Por lo tanto, le asiste a la entidad estatal la posibilidad de modificar de manera unilateral el contrato a través de acto administrativo motivado. A su vez, la modificación unilateral sólo procede cuando la entidad estatal evidencia que existe una situación que puede afectar o paralizar de manera grave el contrato</w:t>
      </w:r>
      <w:r w:rsidRPr="00B31C7B">
        <w:rPr>
          <w:rFonts w:ascii="Verdana" w:eastAsia="Arial" w:hAnsi="Verdana" w:cs="Arial"/>
          <w:color w:val="000000"/>
          <w:vertAlign w:val="superscript"/>
          <w:lang w:val="es-ES" w:eastAsia="es-ES" w:bidi="es-ES"/>
        </w:rPr>
        <w:footnoteReference w:id="11"/>
      </w:r>
      <w:r w:rsidRPr="00B31C7B">
        <w:rPr>
          <w:rFonts w:ascii="Verdana" w:eastAsia="Arial" w:hAnsi="Verdana" w:cs="Arial"/>
          <w:color w:val="000000"/>
          <w:lang w:val="es-ES" w:eastAsia="es-ES" w:bidi="es-ES"/>
        </w:rPr>
        <w:t>.</w:t>
      </w:r>
    </w:p>
    <w:p w14:paraId="7E94CD51" w14:textId="77777777" w:rsidR="002506A5" w:rsidRPr="00B31C7B" w:rsidRDefault="002506A5" w:rsidP="002506A5">
      <w:pPr>
        <w:widowControl w:val="0"/>
        <w:autoSpaceDE w:val="0"/>
        <w:autoSpaceDN w:val="0"/>
        <w:spacing w:after="120" w:line="276" w:lineRule="auto"/>
        <w:ind w:right="-2"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Sin perjuicio de lo anterior, las modificaciones no podrían suponer la variación del objeto de un contrato, pues implicaría la alteración de su esencia y lo convertiría en otro tipo de negocio jurídico. Si se presentara esta situación lo indicado no sería modificar el contrato sino celebrar uno nuevo. Sobre este último punto, la doctrina</w:t>
      </w:r>
      <w:r w:rsidRPr="00B31C7B">
        <w:rPr>
          <w:rFonts w:ascii="Verdana" w:eastAsia="Arial" w:hAnsi="Verdana" w:cs="Arial"/>
          <w:color w:val="000000"/>
          <w:vertAlign w:val="superscript"/>
          <w:lang w:val="es-ES" w:eastAsia="es-ES" w:bidi="es-ES"/>
        </w:rPr>
        <w:footnoteReference w:id="12"/>
      </w:r>
      <w:r w:rsidRPr="00B31C7B">
        <w:rPr>
          <w:rFonts w:ascii="Verdana" w:eastAsia="Arial" w:hAnsi="Verdana" w:cs="Arial"/>
          <w:color w:val="000000"/>
          <w:lang w:val="es-ES" w:eastAsia="es-ES" w:bidi="es-ES"/>
        </w:rPr>
        <w:t xml:space="preserve"> ha precisado que cuando </w:t>
      </w:r>
      <w:r w:rsidRPr="00B31C7B">
        <w:rPr>
          <w:rFonts w:ascii="Verdana" w:eastAsia="Arial" w:hAnsi="Verdana" w:cs="Arial"/>
          <w:color w:val="000000"/>
          <w:lang w:val="es-MX" w:eastAsia="es-ES" w:bidi="es-ES"/>
        </w:rPr>
        <w:t>“</w:t>
      </w:r>
      <w:r w:rsidRPr="00B31C7B">
        <w:rPr>
          <w:rFonts w:ascii="Verdana" w:eastAsia="Arial" w:hAnsi="Verdana" w:cs="Arial"/>
          <w:i/>
          <w:iCs/>
          <w:color w:val="000000"/>
          <w:lang w:val="es-ES" w:eastAsia="es-ES" w:bidi="es-ES"/>
        </w:rPr>
        <w:t>se alude a la modificación del contrato se lo hace para referirse a alteraciones, variaciones, sustituciones de calidad, componentes o número de obras, bienes o servicios. No implican la sustitución del género del contrato sino modificaciones que responden a necesidades sobrevivientes o a errores en la fase previa</w:t>
      </w:r>
      <w:r w:rsidRPr="00B31C7B">
        <w:rPr>
          <w:rFonts w:ascii="Verdana" w:eastAsia="Arial" w:hAnsi="Verdana" w:cs="Arial"/>
          <w:i/>
          <w:iCs/>
          <w:color w:val="000000"/>
          <w:lang w:val="es-MX" w:eastAsia="es-ES" w:bidi="es-ES"/>
        </w:rPr>
        <w:t>”</w:t>
      </w:r>
      <w:r w:rsidRPr="00B31C7B">
        <w:rPr>
          <w:rFonts w:ascii="Verdana" w:eastAsia="Arial" w:hAnsi="Verdana" w:cs="Arial"/>
          <w:i/>
          <w:iCs/>
          <w:color w:val="000000"/>
          <w:vertAlign w:val="superscript"/>
          <w:lang w:val="es-MX" w:eastAsia="es-ES" w:bidi="es-ES"/>
        </w:rPr>
        <w:footnoteReference w:id="13"/>
      </w:r>
      <w:r w:rsidRPr="00B31C7B">
        <w:rPr>
          <w:rFonts w:ascii="Verdana" w:eastAsia="Arial" w:hAnsi="Verdana" w:cs="Arial"/>
          <w:color w:val="000000"/>
          <w:lang w:val="es-ES" w:eastAsia="es-ES" w:bidi="es-ES"/>
        </w:rPr>
        <w:t xml:space="preserve">. </w:t>
      </w:r>
    </w:p>
    <w:p w14:paraId="2D95A46C" w14:textId="77777777" w:rsidR="002506A5" w:rsidRPr="00B31C7B" w:rsidRDefault="002506A5" w:rsidP="002506A5">
      <w:pPr>
        <w:widowControl w:val="0"/>
        <w:autoSpaceDE w:val="0"/>
        <w:autoSpaceDN w:val="0"/>
        <w:spacing w:after="120" w:line="276" w:lineRule="auto"/>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Para la determinación de los aspectos que no alteran la esencia del contrato estatal y que por ello al variarse no lo convierte en otro contrato, resulta útil remitirse a lo previsto en el artículo 1501 del Código Civil, que establece que los contratos tienen elementos de su esencia, de su naturaleza y accidentales. Las definiciones de cada uno de dichos conceptos efectuadas en el artículo en </w:t>
      </w:r>
      <w:r w:rsidRPr="00B31C7B">
        <w:rPr>
          <w:rFonts w:ascii="Verdana" w:eastAsia="Arial" w:hAnsi="Verdana" w:cs="Arial"/>
          <w:color w:val="000000"/>
          <w:lang w:val="es-ES" w:eastAsia="es-ES" w:bidi="es-ES"/>
        </w:rPr>
        <w:lastRenderedPageBreak/>
        <w:t xml:space="preserve">comento resultarán útiles para establecer, en un caso determinado, si una específica modificación altera la esencia del contrato. En todo caso, corresponderá a cada Entidad Estatal realizar el análisis respecto a la precedencia de modificar determinado contrato estatal, en el entendido que se respeten las reglas establecidas en el ordenamiento jurídico, de acuerdo con lo expuesto anteriormente, además de definir previamente su procedencia desde la perspectiva jurídica, administrativa, técnica y financiera mediante documentos que lo sustenten por parte de los funcionarios que participan dentro del proceso de contratación, como son los supervisores y/o interventores y comités internos de contratación.  </w:t>
      </w:r>
    </w:p>
    <w:p w14:paraId="60D190C9" w14:textId="77777777" w:rsidR="002506A5" w:rsidRPr="00B31C7B" w:rsidRDefault="002506A5" w:rsidP="002506A5">
      <w:pPr>
        <w:widowControl w:val="0"/>
        <w:autoSpaceDE w:val="0"/>
        <w:autoSpaceDN w:val="0"/>
        <w:spacing w:after="0" w:line="276" w:lineRule="auto"/>
        <w:ind w:firstLine="709"/>
        <w:jc w:val="both"/>
        <w:rPr>
          <w:rFonts w:ascii="Verdana" w:eastAsia="Arial" w:hAnsi="Verdana" w:cs="Arial"/>
          <w:color w:val="000000"/>
          <w:lang w:eastAsia="es-ES" w:bidi="es-ES"/>
        </w:rPr>
      </w:pPr>
      <w:r w:rsidRPr="00B31C7B">
        <w:rPr>
          <w:rFonts w:ascii="Verdana" w:eastAsia="Arial" w:hAnsi="Verdana" w:cs="Arial"/>
          <w:color w:val="000000"/>
          <w:lang w:val="es-ES" w:eastAsia="es-ES" w:bidi="es-ES"/>
        </w:rPr>
        <w:t xml:space="preserve">Ahora bien, frente a la forma de cómo debe adelantarse una modificación de un contrato estatal, la norma no contempló un procedimiento al respecto, sino que se debe acudir al manual de contratación de la entidad estatal; no obstante, es más que claro que </w:t>
      </w:r>
      <w:r w:rsidRPr="00B31C7B">
        <w:rPr>
          <w:rFonts w:ascii="Verdana" w:eastAsia="Arial" w:hAnsi="Verdana" w:cs="Arial"/>
          <w:color w:val="000000"/>
          <w:lang w:eastAsia="es-ES" w:bidi="es-ES"/>
        </w:rPr>
        <w:t>en esencia, los contratos estatales, por regla general, son contratos solemnes, lo cual a la luz del artículo 1500 Código Civil significa que están sujetos a la observancia de ciertas formalidades especiales, de manera que sin ellas no producen ningún efecto</w:t>
      </w:r>
      <w:r w:rsidRPr="00B31C7B">
        <w:rPr>
          <w:rFonts w:ascii="Verdana" w:eastAsia="Arial" w:hAnsi="Verdana" w:cs="Arial"/>
          <w:color w:val="000000"/>
          <w:vertAlign w:val="superscript"/>
          <w:lang w:val="es-ES" w:eastAsia="es-ES" w:bidi="es-ES"/>
        </w:rPr>
        <w:footnoteReference w:id="14"/>
      </w:r>
      <w:r w:rsidRPr="00B31C7B">
        <w:rPr>
          <w:rFonts w:ascii="Verdana" w:eastAsia="Arial" w:hAnsi="Verdana" w:cs="Arial"/>
          <w:color w:val="000000"/>
          <w:lang w:eastAsia="es-ES" w:bidi="es-ES"/>
        </w:rPr>
        <w:t xml:space="preserve">, por tanto, la modificación del mismo debe revestir de dicha solemnidad, es decir, debe suscribirse mediante un documento firmado por ambas partes. En todo caso, el competente para suscribir dicho documento será el jefe o representante legal de la entidad, de conformidad con el artículo 11 de la Ley 80 de 1993. </w:t>
      </w:r>
    </w:p>
    <w:p w14:paraId="62AC48C8" w14:textId="77777777" w:rsidR="002506A5" w:rsidRPr="00B31C7B" w:rsidRDefault="002506A5" w:rsidP="002506A5">
      <w:pPr>
        <w:spacing w:after="0" w:line="276" w:lineRule="auto"/>
        <w:jc w:val="both"/>
        <w:rPr>
          <w:rFonts w:ascii="Verdana" w:eastAsia="Arial" w:hAnsi="Verdana" w:cs="Arial"/>
          <w:color w:val="000000"/>
          <w:lang w:eastAsia="es-ES" w:bidi="es-ES"/>
        </w:rPr>
      </w:pPr>
    </w:p>
    <w:p w14:paraId="067111BA" w14:textId="77777777" w:rsidR="002506A5" w:rsidRPr="00B31C7B" w:rsidRDefault="002506A5" w:rsidP="002506A5">
      <w:pPr>
        <w:spacing w:after="120" w:line="276" w:lineRule="auto"/>
        <w:jc w:val="both"/>
        <w:rPr>
          <w:rFonts w:ascii="Verdana" w:eastAsia="Arial" w:hAnsi="Verdana" w:cs="Arial"/>
          <w:color w:val="000000"/>
          <w:lang w:eastAsia="es-ES" w:bidi="es-ES"/>
        </w:rPr>
      </w:pPr>
      <w:proofErr w:type="spellStart"/>
      <w:r w:rsidRPr="00B31C7B">
        <w:rPr>
          <w:rFonts w:ascii="Verdana" w:eastAsia="Arial" w:hAnsi="Verdana" w:cs="Arial"/>
          <w:color w:val="000000"/>
          <w:lang w:eastAsia="es-ES" w:bidi="es-ES"/>
        </w:rPr>
        <w:t>ii</w:t>
      </w:r>
      <w:proofErr w:type="spellEnd"/>
      <w:r w:rsidRPr="00B31C7B">
        <w:rPr>
          <w:rFonts w:ascii="Verdana" w:eastAsia="Arial" w:hAnsi="Verdana" w:cs="Arial"/>
          <w:color w:val="000000"/>
          <w:lang w:eastAsia="es-ES" w:bidi="es-ES"/>
        </w:rPr>
        <w:t xml:space="preserve">. Una de las manifestaciones de modificación de los contratos es mediante la adición. Al respecto, es oportuno explicar que la palabra </w:t>
      </w:r>
      <w:r w:rsidRPr="00B31C7B">
        <w:rPr>
          <w:rFonts w:ascii="Verdana" w:eastAsia="Arial" w:hAnsi="Verdana" w:cs="Arial"/>
          <w:i/>
          <w:iCs/>
          <w:color w:val="000000"/>
          <w:lang w:eastAsia="es-ES" w:bidi="es-ES"/>
        </w:rPr>
        <w:t xml:space="preserve">adición </w:t>
      </w:r>
      <w:r w:rsidRPr="00B31C7B">
        <w:rPr>
          <w:rFonts w:ascii="Verdana" w:eastAsia="Arial" w:hAnsi="Verdana" w:cs="Arial"/>
          <w:color w:val="000000"/>
          <w:lang w:eastAsia="es-ES" w:bidi="es-ES"/>
        </w:rPr>
        <w:t xml:space="preserve">significa “acción y efecto de añadir o agregar”. Los contratos estatales pueden ser objeto de situaciones que impliquen la necesidad de adicionar o modificar las condiciones inicialmente pactadas, conforme lo prescribe el artículo 40 de la Ley 80 de 1993, pudiendo incluirse las modalidades, condiciones y, en general las cláusulas o estipulaciones que las partes consideren necesarias para el cabal cumplimiento del objeto contractual. </w:t>
      </w:r>
    </w:p>
    <w:p w14:paraId="3AC1C3B8" w14:textId="77777777" w:rsidR="002506A5" w:rsidRPr="00B31C7B" w:rsidRDefault="002506A5" w:rsidP="002506A5">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w:t>
      </w:r>
      <w:r w:rsidRPr="00B31C7B">
        <w:rPr>
          <w:rFonts w:ascii="Verdana" w:eastAsia="Calibri" w:hAnsi="Verdana" w:cs="Arial"/>
          <w:color w:val="000000"/>
          <w:szCs w:val="24"/>
          <w:lang w:eastAsia="es-ES_tradnl"/>
        </w:rPr>
        <w:lastRenderedPageBreak/>
        <w:t xml:space="preserve">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B31C7B">
        <w:rPr>
          <w:rFonts w:ascii="Verdana" w:eastAsia="Calibri" w:hAnsi="Verdana" w:cs="Arial"/>
          <w:color w:val="000000"/>
          <w:szCs w:val="24"/>
          <w:lang w:eastAsia="es-ES_tradnl"/>
        </w:rPr>
        <w:t>ii</w:t>
      </w:r>
      <w:proofErr w:type="spellEnd"/>
      <w:r w:rsidRPr="00B31C7B">
        <w:rPr>
          <w:rFonts w:ascii="Verdana" w:eastAsia="Calibri" w:hAnsi="Verdana" w:cs="Arial"/>
          <w:color w:val="000000"/>
          <w:szCs w:val="24"/>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367E37B2" w14:textId="77777777" w:rsidR="002506A5" w:rsidRPr="00B31C7B" w:rsidRDefault="002506A5" w:rsidP="002506A5">
      <w:pPr>
        <w:spacing w:after="120" w:line="276" w:lineRule="auto"/>
        <w:ind w:firstLine="709"/>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Lo importante es que, frente a cualquier incremento del valor inicial del contrato</w:t>
      </w:r>
      <w:r w:rsidRPr="00B31C7B">
        <w:rPr>
          <w:rFonts w:ascii="Verdana" w:eastAsia="Calibri" w:hAnsi="Verdana" w:cs="Arial"/>
          <w:i/>
          <w:iCs/>
          <w:color w:val="000000"/>
          <w:szCs w:val="24"/>
          <w:lang w:eastAsia="es-ES_tradnl"/>
        </w:rPr>
        <w:t xml:space="preserve"> </w:t>
      </w:r>
      <w:r w:rsidRPr="00B31C7B">
        <w:rPr>
          <w:rFonts w:ascii="Verdana" w:eastAsia="Calibri" w:hAnsi="Verdana" w:cs="Arial"/>
          <w:color w:val="000000"/>
          <w:szCs w:val="24"/>
          <w:lang w:eastAsia="es-ES_tradnl"/>
        </w:rPr>
        <w:t>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EGCAP</w:t>
      </w:r>
      <w:r w:rsidRPr="00B31C7B">
        <w:rPr>
          <w:rFonts w:ascii="Verdana" w:eastAsia="Calibri" w:hAnsi="Verdana" w:cs="Arial"/>
          <w:color w:val="000000"/>
          <w:szCs w:val="24"/>
          <w:vertAlign w:val="superscript"/>
          <w:lang w:eastAsia="es-ES_tradnl"/>
        </w:rPr>
        <w:footnoteReference w:id="15"/>
      </w:r>
      <w:r w:rsidRPr="00B31C7B">
        <w:rPr>
          <w:rFonts w:ascii="Verdana" w:eastAsia="Calibri" w:hAnsi="Verdana" w:cs="Arial"/>
          <w:color w:val="000000"/>
          <w:szCs w:val="24"/>
          <w:lang w:eastAsia="es-ES_tradnl"/>
        </w:rPr>
        <w:t>.</w:t>
      </w:r>
    </w:p>
    <w:p w14:paraId="232B76F1" w14:textId="77777777" w:rsidR="002506A5" w:rsidRPr="00B31C7B" w:rsidRDefault="002506A5" w:rsidP="002506A5">
      <w:pPr>
        <w:spacing w:after="120" w:line="276" w:lineRule="auto"/>
        <w:ind w:firstLine="709"/>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dos (2); el resultado obtenido constituirá el número de SMLMV por los cuales podrá adicionarse el contrato. En este sentido, para evitar equivocaciones, lo ideal es que cada vez que se efectúe una adición, se estime </w:t>
      </w:r>
      <w:r w:rsidRPr="00B31C7B">
        <w:rPr>
          <w:rFonts w:ascii="Verdana" w:eastAsia="Calibri" w:hAnsi="Verdana" w:cs="Arial"/>
          <w:color w:val="000000"/>
          <w:szCs w:val="24"/>
          <w:lang w:eastAsia="es-ES_tradnl"/>
        </w:rPr>
        <w:lastRenderedPageBreak/>
        <w:t xml:space="preserve">su valor en salarios mínimos, que se calcularán con base en el vigente al 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 </w:t>
      </w:r>
    </w:p>
    <w:p w14:paraId="557EB5C5" w14:textId="77777777" w:rsidR="002506A5" w:rsidRPr="00B31C7B" w:rsidRDefault="002506A5" w:rsidP="002506A5">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El razonamiento anterior se fundamenta en la forma como la Ley 80 de 1993 estableció el tope para las adiciones, acudiendo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 y valga la redundancia, el valor inicial es el contemplado en el contrato originario y cualquier alteración a ese valor constituirá, técnicamente, una adición, independientemente de cuál sea su causa. Sin perjuicio de lo anterior, actualmente existe una posibilidad para adicionar contratos en más del cincuenta por ciento (50%) y es la contenida en el artículo 85 de la Ley 1474 de 2011, para los contratos de interventoría que, por su naturaleza de seguimiento técnico, deberá someterse al plazo en que haya sido prorrogado el contrato objeto de vigilancia. Esta disposición, cumple con el objetivo de fortalecer la figura de la interventoría, como una herramienta integral, para proteger los intereses públicos y no causar un daño antijurídico al abandonar la vigilancia del contrato principal, por limitaciones presupuestales. </w:t>
      </w:r>
    </w:p>
    <w:p w14:paraId="79102593" w14:textId="77777777" w:rsidR="002506A5" w:rsidRPr="00B31C7B" w:rsidRDefault="002506A5" w:rsidP="002506A5">
      <w:pPr>
        <w:widowControl w:val="0"/>
        <w:autoSpaceDE w:val="0"/>
        <w:autoSpaceDN w:val="0"/>
        <w:spacing w:after="120" w:line="276" w:lineRule="auto"/>
        <w:ind w:firstLine="708"/>
        <w:jc w:val="both"/>
        <w:rPr>
          <w:rFonts w:ascii="Verdana" w:hAnsi="Verdana"/>
        </w:rPr>
      </w:pPr>
      <w:r w:rsidRPr="00B31C7B">
        <w:rPr>
          <w:rFonts w:ascii="Verdana" w:eastAsia="Calibri" w:hAnsi="Verdana" w:cs="Arial"/>
        </w:rPr>
        <w:t xml:space="preserve">Sin perjuicio de lo expuesto, </w:t>
      </w:r>
      <w:r w:rsidRPr="00B31C7B">
        <w:rPr>
          <w:rFonts w:ascii="Verdana" w:hAnsi="Verdana"/>
        </w:rPr>
        <w:t>fuera de los límites cuantitativos señalados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a preservar los principios de origen legal como es el principio de planeación, de selección objetiva de libertad de concurrencia, de transparencia, de igualdad, entre otros, tal y como se explicará a continuación</w:t>
      </w:r>
      <w:r w:rsidRPr="00B31C7B">
        <w:rPr>
          <w:rFonts w:ascii="Verdana" w:hAnsi="Verdana"/>
          <w:vertAlign w:val="superscript"/>
        </w:rPr>
        <w:footnoteReference w:id="16"/>
      </w:r>
      <w:r w:rsidRPr="00B31C7B">
        <w:rPr>
          <w:rFonts w:ascii="Verdana" w:hAnsi="Verdana"/>
        </w:rPr>
        <w:t xml:space="preserve">. </w:t>
      </w:r>
    </w:p>
    <w:p w14:paraId="7B7E5E87" w14:textId="77777777" w:rsidR="002506A5" w:rsidRPr="00B31C7B" w:rsidRDefault="002506A5" w:rsidP="002506A5">
      <w:pPr>
        <w:widowControl w:val="0"/>
        <w:autoSpaceDE w:val="0"/>
        <w:autoSpaceDN w:val="0"/>
        <w:spacing w:after="0" w:line="276" w:lineRule="auto"/>
        <w:ind w:firstLine="708"/>
        <w:jc w:val="both"/>
        <w:rPr>
          <w:rFonts w:ascii="Verdana" w:hAnsi="Verdana"/>
          <w:b/>
          <w:i/>
        </w:rPr>
      </w:pPr>
      <w:r w:rsidRPr="00B31C7B">
        <w:rPr>
          <w:rFonts w:ascii="Verdana" w:hAnsi="Verdana"/>
        </w:rPr>
        <w:lastRenderedPageBreak/>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 xml:space="preserve">i) la vigencia del contrato, pues no podría modificarse un contrato cuyo plazo ha culminado y; </w:t>
      </w:r>
      <w:proofErr w:type="spellStart"/>
      <w:r w:rsidRPr="00B31C7B">
        <w:rPr>
          <w:rFonts w:ascii="Verdana" w:eastAsia="Arial" w:hAnsi="Verdana" w:cs="Arial"/>
          <w:lang w:val="es-MX" w:eastAsia="es-ES" w:bidi="es-ES"/>
        </w:rPr>
        <w:t>ii</w:t>
      </w:r>
      <w:proofErr w:type="spellEnd"/>
      <w:r w:rsidRPr="00B31C7B">
        <w:rPr>
          <w:rFonts w:ascii="Verdana" w:eastAsia="Arial" w:hAnsi="Verdana" w:cs="Arial"/>
          <w:lang w:val="es-MX" w:eastAsia="es-ES" w:bidi="es-ES"/>
        </w:rPr>
        <w:t>) la prohibición de consagrar prórrogas automáticas, sucesivas o indefinidas, en tanto resultan contrarias al derecho esencial de la libertad de competencia.</w:t>
      </w:r>
      <w:r w:rsidRPr="00B31C7B">
        <w:rPr>
          <w:rFonts w:ascii="Verdana" w:eastAsia="Calibri" w:hAnsi="Verdana" w:cs="Arial"/>
        </w:rPr>
        <w:t xml:space="preserve"> 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17"/>
      </w:r>
      <w:r w:rsidRPr="00B31C7B">
        <w:rPr>
          <w:rFonts w:ascii="Verdana" w:eastAsia="Arial" w:hAnsi="Verdana" w:cs="Arial"/>
          <w:lang w:val="es-MX" w:eastAsia="es-ES" w:bidi="es-ES"/>
        </w:rPr>
        <w:t xml:space="preserve"> y 12 de la Ley 80 de 1993</w:t>
      </w:r>
      <w:r w:rsidRPr="00B31C7B">
        <w:rPr>
          <w:rFonts w:ascii="Verdana" w:eastAsia="Arial" w:hAnsi="Verdana" w:cs="Arial"/>
          <w:vertAlign w:val="superscript"/>
          <w:lang w:val="es-MX" w:eastAsia="es-ES" w:bidi="es-ES"/>
        </w:rPr>
        <w:footnoteReference w:id="18"/>
      </w:r>
      <w:r w:rsidRPr="00B31C7B">
        <w:rPr>
          <w:rFonts w:ascii="Verdana" w:eastAsia="Arial" w:hAnsi="Verdana" w:cs="Arial"/>
          <w:lang w:val="es-MX" w:eastAsia="es-ES" w:bidi="es-ES"/>
        </w:rPr>
        <w:t xml:space="preserve">, así como el deber de la existencia de las disponibilidades presupuestales para el cumplimiento de las obligaciones. Por otro lado, </w:t>
      </w:r>
      <w:r w:rsidRPr="00B31C7B">
        <w:rPr>
          <w:rFonts w:ascii="Verdana" w:eastAsia="Calibri" w:hAnsi="Verdana" w:cs="Arial"/>
        </w:rPr>
        <w:t>la entidad debe motivar y justificar la modificación. Al respecto el Consejo de Estado ha señalado:</w:t>
      </w:r>
    </w:p>
    <w:p w14:paraId="39FD5110" w14:textId="77777777" w:rsidR="002506A5" w:rsidRPr="00B31C7B" w:rsidRDefault="002506A5" w:rsidP="002506A5">
      <w:pPr>
        <w:spacing w:after="0" w:line="276" w:lineRule="auto"/>
        <w:jc w:val="both"/>
        <w:rPr>
          <w:rFonts w:ascii="Verdana" w:hAnsi="Verdana"/>
          <w:i/>
        </w:rPr>
      </w:pPr>
    </w:p>
    <w:p w14:paraId="461B9B91" w14:textId="77777777" w:rsidR="002506A5" w:rsidRPr="00B31C7B" w:rsidRDefault="002506A5" w:rsidP="002506A5">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w:t>
      </w:r>
      <w:r w:rsidRPr="00B31C7B">
        <w:rPr>
          <w:rFonts w:ascii="Verdana" w:hAnsi="Verdana"/>
          <w:sz w:val="20"/>
          <w:szCs w:val="20"/>
        </w:rPr>
        <w:lastRenderedPageBreak/>
        <w:t xml:space="preserve">del deber de planeación para el contrato inicial se imponen como requisito previo del contrato modificatorio. </w:t>
      </w:r>
    </w:p>
    <w:p w14:paraId="2C2BF1D4" w14:textId="77777777" w:rsidR="002506A5" w:rsidRPr="00B31C7B" w:rsidRDefault="002506A5" w:rsidP="002506A5">
      <w:pPr>
        <w:spacing w:after="0" w:line="240" w:lineRule="auto"/>
        <w:ind w:left="709" w:right="709"/>
        <w:jc w:val="both"/>
        <w:rPr>
          <w:rFonts w:ascii="Verdana" w:hAnsi="Verdana"/>
          <w:sz w:val="20"/>
          <w:szCs w:val="20"/>
        </w:rPr>
      </w:pPr>
    </w:p>
    <w:p w14:paraId="2CE917ED" w14:textId="77777777" w:rsidR="002506A5" w:rsidRPr="00B31C7B" w:rsidRDefault="002506A5" w:rsidP="002506A5">
      <w:pPr>
        <w:spacing w:after="0" w:line="240" w:lineRule="auto"/>
        <w:ind w:left="709" w:right="709"/>
        <w:jc w:val="both"/>
        <w:rPr>
          <w:rFonts w:ascii="Verdana" w:hAnsi="Verdana"/>
          <w:sz w:val="20"/>
          <w:szCs w:val="20"/>
        </w:rPr>
      </w:pPr>
      <w:r w:rsidRPr="00B31C7B">
        <w:rPr>
          <w:rFonts w:ascii="Verdana" w:hAnsi="Verdana"/>
          <w:sz w:val="20"/>
          <w:szCs w:val="20"/>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0547A4A3" w14:textId="77777777" w:rsidR="002506A5" w:rsidRPr="00B31C7B" w:rsidRDefault="002506A5" w:rsidP="002506A5">
      <w:pPr>
        <w:spacing w:after="0" w:line="240" w:lineRule="auto"/>
        <w:ind w:left="709" w:right="709"/>
        <w:jc w:val="both"/>
        <w:rPr>
          <w:rFonts w:ascii="Verdana" w:hAnsi="Verdana"/>
          <w:sz w:val="20"/>
          <w:szCs w:val="20"/>
        </w:rPr>
      </w:pPr>
    </w:p>
    <w:p w14:paraId="2883A3E9" w14:textId="77777777" w:rsidR="002506A5" w:rsidRPr="00B31C7B" w:rsidRDefault="002506A5" w:rsidP="002506A5">
      <w:pPr>
        <w:spacing w:after="0" w:line="240" w:lineRule="auto"/>
        <w:ind w:left="709" w:right="709"/>
        <w:jc w:val="both"/>
        <w:rPr>
          <w:rFonts w:ascii="Verdana" w:hAnsi="Verdana"/>
          <w:sz w:val="20"/>
          <w:szCs w:val="20"/>
        </w:rPr>
      </w:pPr>
      <w:r w:rsidRPr="00B31C7B">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19"/>
      </w:r>
      <w:r w:rsidRPr="00B31C7B">
        <w:rPr>
          <w:rFonts w:ascii="Verdana" w:hAnsi="Verdana"/>
          <w:sz w:val="20"/>
          <w:szCs w:val="20"/>
        </w:rPr>
        <w:t>.</w:t>
      </w:r>
    </w:p>
    <w:p w14:paraId="5D33D8F1" w14:textId="77777777" w:rsidR="002506A5" w:rsidRPr="00B31C7B" w:rsidRDefault="002506A5" w:rsidP="002506A5">
      <w:pPr>
        <w:widowControl w:val="0"/>
        <w:autoSpaceDE w:val="0"/>
        <w:autoSpaceDN w:val="0"/>
        <w:spacing w:after="0" w:line="276" w:lineRule="auto"/>
        <w:jc w:val="both"/>
        <w:rPr>
          <w:rFonts w:ascii="Verdana" w:eastAsia="Calibri" w:hAnsi="Verdana" w:cs="Arial"/>
        </w:rPr>
      </w:pPr>
      <w:r w:rsidRPr="00B31C7B">
        <w:rPr>
          <w:rFonts w:ascii="Verdana" w:eastAsia="Calibri" w:hAnsi="Verdana" w:cs="Arial"/>
        </w:rPr>
        <w:t xml:space="preserve"> </w:t>
      </w:r>
    </w:p>
    <w:p w14:paraId="29167157" w14:textId="77777777" w:rsidR="002506A5" w:rsidRPr="00B31C7B" w:rsidRDefault="002506A5" w:rsidP="002506A5">
      <w:pPr>
        <w:widowControl w:val="0"/>
        <w:autoSpaceDE w:val="0"/>
        <w:autoSpaceDN w:val="0"/>
        <w:spacing w:after="120" w:line="276" w:lineRule="auto"/>
        <w:ind w:firstLine="708"/>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sidRPr="00B31C7B">
        <w:rPr>
          <w:rFonts w:ascii="Verdana" w:eastAsia="Arial" w:hAnsi="Verdana" w:cs="Arial"/>
          <w:i/>
          <w:vertAlign w:val="superscript"/>
          <w:lang w:val="es-MX" w:eastAsia="es-ES" w:bidi="es-ES"/>
        </w:rPr>
        <w:footnoteReference w:id="20"/>
      </w:r>
      <w:r w:rsidRPr="00B31C7B">
        <w:rPr>
          <w:rFonts w:ascii="Verdana" w:eastAsia="Arial" w:hAnsi="Verdana" w:cs="Arial"/>
          <w:i/>
          <w:lang w:val="es-MX" w:eastAsia="es-ES" w:bidi="es-ES"/>
        </w:rPr>
        <w:t xml:space="preserve">. </w:t>
      </w: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Lo anterior, con la finalidad de realizar la escogencia diligente de la mejor oferta, para beneficiar los intereses y fines públicos inmersos en la contratación de las Entidades Estatales. A modo de ejemplo, l</w:t>
      </w:r>
      <w:r w:rsidRPr="00B31C7B">
        <w:rPr>
          <w:rFonts w:ascii="Verdana" w:eastAsia="Calibri" w:hAnsi="Verdana" w:cs="Arial"/>
        </w:rPr>
        <w:t xml:space="preserve">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5D06DDA3" w14:textId="77777777" w:rsidR="002506A5" w:rsidRPr="00B31C7B" w:rsidRDefault="002506A5" w:rsidP="002506A5">
      <w:pPr>
        <w:widowControl w:val="0"/>
        <w:autoSpaceDE w:val="0"/>
        <w:autoSpaceDN w:val="0"/>
        <w:spacing w:after="120" w:line="276" w:lineRule="auto"/>
        <w:ind w:firstLine="708"/>
        <w:jc w:val="both"/>
        <w:rPr>
          <w:rFonts w:ascii="Verdana" w:eastAsia="Calibri" w:hAnsi="Verdana" w:cs="Arial"/>
          <w:lang w:val="es-MX" w:eastAsia="es-ES_tradnl"/>
        </w:rPr>
      </w:pPr>
      <w:r w:rsidRPr="00B31C7B">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xml:space="preserve">. Esto supone que la selección objetiva de la oferta más favorable se dirige a salvaguardar el interés público y, por lo tanto, celebrado el contrato en esas condiciones, su eventual modificación debe asegurar que lo </w:t>
      </w:r>
      <w:r w:rsidRPr="00B31C7B">
        <w:rPr>
          <w:rFonts w:ascii="Verdana" w:eastAsia="Arial" w:hAnsi="Verdana" w:cs="Arial"/>
          <w:lang w:val="es-MX" w:eastAsia="es-ES" w:bidi="es-ES"/>
        </w:rPr>
        <w:lastRenderedPageBreak/>
        <w:t>adjudicado, y posteriormente alterado, consulte la mejor opción para el servicio público.</w:t>
      </w:r>
      <w:r w:rsidRPr="00B31C7B">
        <w:rPr>
          <w:rFonts w:ascii="Verdana" w:eastAsia="Calibri" w:hAnsi="Verdana" w:cs="Arial"/>
          <w:lang w:val="es-MX" w:eastAsia="es-ES_tradnl"/>
        </w:rPr>
        <w:t xml:space="preserve"> </w:t>
      </w:r>
    </w:p>
    <w:p w14:paraId="6B71978B" w14:textId="77777777" w:rsidR="002506A5" w:rsidRPr="00B31C7B" w:rsidRDefault="002506A5" w:rsidP="002506A5">
      <w:pPr>
        <w:widowControl w:val="0"/>
        <w:autoSpaceDE w:val="0"/>
        <w:autoSpaceDN w:val="0"/>
        <w:spacing w:after="0" w:line="276" w:lineRule="auto"/>
        <w:ind w:firstLine="709"/>
        <w:jc w:val="both"/>
        <w:rPr>
          <w:rFonts w:ascii="Verdana" w:eastAsia="Calibri" w:hAnsi="Verdana" w:cs="Arial"/>
          <w:lang w:val="es-ES"/>
        </w:rPr>
      </w:pPr>
      <w:r w:rsidRPr="00B31C7B">
        <w:rPr>
          <w:rFonts w:ascii="Verdana" w:eastAsia="Calibri" w:hAnsi="Verdana" w:cs="Arial"/>
          <w:lang w:val="es-ES"/>
        </w:rPr>
        <w:t xml:space="preserve">Sin embargo, se precisa que la Agencia Nacional de Contratación Pública –Colombia Compra Eficiente no es un agente que valide las actuaciones de las entidades estatales ni mucho menos le defina cuáles son los documentos para adelantar y celebrar contratos, adiciones y modificaciones, puesto que su competencia como ente rector se limita a interpretar el alcance de las disposiciones generales en contratación y compra pública. </w:t>
      </w:r>
    </w:p>
    <w:bookmarkEnd w:id="1"/>
    <w:bookmarkEnd w:id="2"/>
    <w:p w14:paraId="7FCFADD2" w14:textId="77777777" w:rsidR="002506A5" w:rsidRPr="00B31C7B" w:rsidRDefault="002506A5" w:rsidP="002506A5">
      <w:pPr>
        <w:spacing w:after="0" w:line="276" w:lineRule="auto"/>
        <w:jc w:val="both"/>
        <w:rPr>
          <w:rFonts w:ascii="Verdana" w:eastAsia="Calibri" w:hAnsi="Verdana" w:cs="Arial"/>
          <w:lang w:val="es-ES_tradnl" w:eastAsia="es-ES_tradnl"/>
        </w:rPr>
      </w:pPr>
    </w:p>
    <w:p w14:paraId="5D4C5B15" w14:textId="77777777" w:rsidR="002506A5" w:rsidRPr="00B31C7B" w:rsidRDefault="002506A5" w:rsidP="002506A5">
      <w:pPr>
        <w:numPr>
          <w:ilvl w:val="0"/>
          <w:numId w:val="16"/>
        </w:numPr>
        <w:spacing w:after="0" w:line="256" w:lineRule="auto"/>
        <w:rPr>
          <w:rFonts w:ascii="Verdana" w:eastAsia="Calibri" w:hAnsi="Verdana" w:cs="Times New Roman"/>
          <w:b/>
          <w:bCs/>
          <w:lang w:val="es-ES"/>
        </w:rPr>
      </w:pPr>
      <w:r w:rsidRPr="00B31C7B">
        <w:rPr>
          <w:rFonts w:ascii="Verdana" w:eastAsia="Calibri" w:hAnsi="Verdana" w:cs="Times New Roman"/>
          <w:b/>
          <w:bCs/>
          <w:lang w:val="es-ES"/>
        </w:rPr>
        <w:t>Referencias normativas:</w:t>
      </w:r>
    </w:p>
    <w:p w14:paraId="554F0FF7" w14:textId="77777777" w:rsidR="002506A5" w:rsidRPr="00B31C7B" w:rsidRDefault="002506A5" w:rsidP="002506A5">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506A5" w:rsidRPr="00B31C7B" w14:paraId="7E43F50D" w14:textId="77777777" w:rsidTr="00EC403E">
        <w:trPr>
          <w:trHeight w:val="870"/>
          <w:jc w:val="center"/>
        </w:trPr>
        <w:tc>
          <w:tcPr>
            <w:tcW w:w="8647" w:type="dxa"/>
          </w:tcPr>
          <w:p w14:paraId="552460AE" w14:textId="77777777" w:rsidR="002506A5" w:rsidRPr="00B31C7B" w:rsidRDefault="002506A5" w:rsidP="002506A5">
            <w:pPr>
              <w:widowControl w:val="0"/>
              <w:numPr>
                <w:ilvl w:val="0"/>
                <w:numId w:val="17"/>
              </w:numPr>
              <w:autoSpaceDE w:val="0"/>
              <w:autoSpaceDN w:val="0"/>
              <w:spacing w:line="360" w:lineRule="auto"/>
              <w:contextualSpacing/>
              <w:jc w:val="both"/>
              <w:rPr>
                <w:rFonts w:ascii="Verdana" w:hAnsi="Verdana" w:cs="Arial"/>
                <w:color w:val="000000" w:themeColor="text1"/>
                <w:lang w:val="es-ES"/>
              </w:rPr>
            </w:pPr>
            <w:r w:rsidRPr="00B31C7B">
              <w:rPr>
                <w:rFonts w:ascii="Verdana" w:hAnsi="Verdana" w:cs="Arial"/>
                <w:color w:val="000000" w:themeColor="text1"/>
                <w:lang w:val="es-ES"/>
              </w:rPr>
              <w:t xml:space="preserve">Constitución Política, artículo 209. </w:t>
            </w:r>
          </w:p>
          <w:p w14:paraId="6F9DC6E7" w14:textId="77777777" w:rsidR="002506A5" w:rsidRPr="00B31C7B" w:rsidRDefault="002506A5" w:rsidP="002506A5">
            <w:pPr>
              <w:widowControl w:val="0"/>
              <w:numPr>
                <w:ilvl w:val="0"/>
                <w:numId w:val="17"/>
              </w:numPr>
              <w:autoSpaceDE w:val="0"/>
              <w:autoSpaceDN w:val="0"/>
              <w:spacing w:line="360" w:lineRule="auto"/>
              <w:contextualSpacing/>
              <w:jc w:val="both"/>
              <w:rPr>
                <w:rFonts w:ascii="Verdana" w:hAnsi="Verdana" w:cs="Arial"/>
                <w:color w:val="000000" w:themeColor="text1"/>
                <w:lang w:val="es-ES"/>
              </w:rPr>
            </w:pPr>
            <w:r w:rsidRPr="00B31C7B">
              <w:rPr>
                <w:rFonts w:ascii="Verdana" w:hAnsi="Verdana" w:cs="Arial"/>
                <w:color w:val="000000" w:themeColor="text1"/>
                <w:lang w:val="es-ES"/>
              </w:rPr>
              <w:t>Ley 80 de 1993, artículos 11, 12, 14, 16, 25 y 40.</w:t>
            </w:r>
          </w:p>
          <w:p w14:paraId="12E48801" w14:textId="77777777" w:rsidR="002506A5" w:rsidRPr="00B31C7B" w:rsidRDefault="002506A5" w:rsidP="002506A5">
            <w:pPr>
              <w:widowControl w:val="0"/>
              <w:numPr>
                <w:ilvl w:val="0"/>
                <w:numId w:val="17"/>
              </w:numPr>
              <w:autoSpaceDE w:val="0"/>
              <w:autoSpaceDN w:val="0"/>
              <w:spacing w:line="360" w:lineRule="auto"/>
              <w:contextualSpacing/>
              <w:jc w:val="both"/>
              <w:rPr>
                <w:rFonts w:ascii="Verdana" w:hAnsi="Verdana" w:cs="Arial"/>
                <w:color w:val="000000" w:themeColor="text1"/>
                <w:lang w:val="es-ES"/>
              </w:rPr>
            </w:pPr>
            <w:r w:rsidRPr="00B31C7B">
              <w:rPr>
                <w:rFonts w:ascii="Verdana" w:hAnsi="Verdana" w:cs="Arial"/>
                <w:color w:val="000000" w:themeColor="text1"/>
                <w:lang w:val="es-ES"/>
              </w:rPr>
              <w:t xml:space="preserve">Ley 1150 de 2007, artículo 21. </w:t>
            </w:r>
          </w:p>
          <w:p w14:paraId="64423A0B" w14:textId="77777777" w:rsidR="002506A5" w:rsidRPr="00B31C7B" w:rsidRDefault="002506A5" w:rsidP="002506A5">
            <w:pPr>
              <w:widowControl w:val="0"/>
              <w:numPr>
                <w:ilvl w:val="0"/>
                <w:numId w:val="17"/>
              </w:numPr>
              <w:autoSpaceDE w:val="0"/>
              <w:autoSpaceDN w:val="0"/>
              <w:spacing w:line="360" w:lineRule="auto"/>
              <w:contextualSpacing/>
              <w:jc w:val="both"/>
              <w:rPr>
                <w:rFonts w:ascii="Verdana" w:hAnsi="Verdana" w:cs="Arial"/>
                <w:color w:val="000000" w:themeColor="text1"/>
                <w:lang w:val="es-ES"/>
              </w:rPr>
            </w:pPr>
            <w:r w:rsidRPr="00B31C7B">
              <w:rPr>
                <w:rFonts w:ascii="Verdana" w:hAnsi="Verdana" w:cs="Arial"/>
                <w:color w:val="000000" w:themeColor="text1"/>
                <w:lang w:val="es-ES"/>
              </w:rPr>
              <w:t xml:space="preserve">Ley 1474 de 2011, artículos 83, 84 y 85. </w:t>
            </w:r>
          </w:p>
          <w:p w14:paraId="5BB9B43A" w14:textId="77777777" w:rsidR="002506A5" w:rsidRPr="00B31C7B" w:rsidRDefault="002506A5" w:rsidP="002506A5">
            <w:pPr>
              <w:widowControl w:val="0"/>
              <w:numPr>
                <w:ilvl w:val="0"/>
                <w:numId w:val="17"/>
              </w:numPr>
              <w:tabs>
                <w:tab w:val="left" w:pos="8419"/>
              </w:tabs>
              <w:autoSpaceDE w:val="0"/>
              <w:autoSpaceDN w:val="0"/>
              <w:spacing w:line="360" w:lineRule="auto"/>
              <w:contextualSpacing/>
              <w:jc w:val="both"/>
              <w:rPr>
                <w:rFonts w:ascii="Verdana" w:hAnsi="Verdana" w:cs="Arial"/>
                <w:lang w:val="es-ES"/>
              </w:rPr>
            </w:pPr>
            <w:r w:rsidRPr="00B31C7B">
              <w:rPr>
                <w:rFonts w:ascii="Verdana" w:hAnsi="Verdana" w:cs="Arial"/>
                <w:color w:val="000000" w:themeColor="text1"/>
                <w:lang w:val="es-ES"/>
              </w:rPr>
              <w:t>Código Civil, artículos 1500 y 1501.</w:t>
            </w:r>
          </w:p>
        </w:tc>
      </w:tr>
    </w:tbl>
    <w:p w14:paraId="101CE7B7" w14:textId="77777777" w:rsidR="002506A5" w:rsidRPr="00B31C7B" w:rsidRDefault="002506A5" w:rsidP="002506A5">
      <w:pPr>
        <w:spacing w:after="0" w:line="276" w:lineRule="auto"/>
        <w:ind w:right="709"/>
        <w:jc w:val="both"/>
        <w:rPr>
          <w:rFonts w:ascii="Verdana" w:hAnsi="Verdana" w:cs="Arial"/>
          <w:color w:val="000000" w:themeColor="text1"/>
          <w:lang w:val="es-ES_tradnl"/>
        </w:rPr>
      </w:pPr>
    </w:p>
    <w:p w14:paraId="3FF211DA" w14:textId="77777777" w:rsidR="002506A5" w:rsidRPr="00B31C7B" w:rsidRDefault="002506A5" w:rsidP="002506A5">
      <w:pPr>
        <w:numPr>
          <w:ilvl w:val="0"/>
          <w:numId w:val="16"/>
        </w:numPr>
        <w:spacing w:after="0" w:line="256" w:lineRule="auto"/>
        <w:rPr>
          <w:rFonts w:ascii="Verdana" w:eastAsia="Calibri" w:hAnsi="Verdana" w:cs="Times New Roman"/>
          <w:b/>
          <w:bCs/>
          <w:lang w:val="es-ES"/>
        </w:rPr>
      </w:pPr>
      <w:r w:rsidRPr="00B31C7B">
        <w:rPr>
          <w:rFonts w:ascii="Verdana" w:eastAsia="Calibri" w:hAnsi="Verdana" w:cs="Times New Roman"/>
          <w:b/>
          <w:bCs/>
          <w:lang w:val="es-ES"/>
        </w:rPr>
        <w:t>Doctrina de la Agencia Nacional de Contratación Pública:</w:t>
      </w:r>
    </w:p>
    <w:p w14:paraId="44A39EC7" w14:textId="77777777" w:rsidR="002506A5" w:rsidRPr="00B31C7B" w:rsidRDefault="002506A5" w:rsidP="002506A5">
      <w:pPr>
        <w:widowControl w:val="0"/>
        <w:autoSpaceDE w:val="0"/>
        <w:autoSpaceDN w:val="0"/>
        <w:spacing w:after="0" w:line="276" w:lineRule="auto"/>
        <w:jc w:val="both"/>
        <w:rPr>
          <w:rFonts w:ascii="Verdana" w:hAnsi="Verdana" w:cs="Arial"/>
          <w:bCs/>
          <w:shd w:val="clear" w:color="auto" w:fill="FFFFFF"/>
        </w:rPr>
      </w:pPr>
    </w:p>
    <w:p w14:paraId="540F162D" w14:textId="77777777" w:rsidR="002506A5" w:rsidRPr="00B31C7B" w:rsidRDefault="002506A5" w:rsidP="002506A5">
      <w:pPr>
        <w:widowControl w:val="0"/>
        <w:autoSpaceDE w:val="0"/>
        <w:autoSpaceDN w:val="0"/>
        <w:spacing w:after="0" w:line="276" w:lineRule="auto"/>
        <w:jc w:val="both"/>
        <w:rPr>
          <w:rFonts w:ascii="Verdana" w:hAnsi="Verdana" w:cs="Arial"/>
          <w:bCs/>
          <w:shd w:val="clear" w:color="auto" w:fill="FFFFFF"/>
        </w:rPr>
      </w:pPr>
      <w:r w:rsidRPr="00B31C7B">
        <w:rPr>
          <w:rFonts w:ascii="Verdana" w:hAnsi="Verdana" w:cs="Arial"/>
          <w:bCs/>
          <w:shd w:val="clear" w:color="auto" w:fill="FFFFFF"/>
        </w:rPr>
        <w:t xml:space="preserve">La Agencia Nacional de Contratación Pública – Colombia Compra Eficiente, se ha pronunciado en diferentes conceptos sobre las </w:t>
      </w:r>
      <w:r w:rsidRPr="00B31C7B">
        <w:rPr>
          <w:rFonts w:ascii="Verdana" w:hAnsi="Verdana" w:cs="Arial"/>
          <w:bCs/>
          <w:shd w:val="clear" w:color="auto" w:fill="FFFFFF"/>
          <w:lang w:val="es-ES_tradnl"/>
        </w:rPr>
        <w:t>modificaciones y adiciones en los contratos estatales en los Conceptos Nro. C-277 de 21 de junio de 2021, C-644 de 18 de noviembre de 2021, C-755 de 21 de enero de 2022, C-152 de 1 de abril de 2022, C-267 de 5 de mayo de 2022, C-432 de 13 de julio de 2022, C-630 del 29 de septiembre de 2022, C784 del 21 de noviembre del 2022, C-398 del 27 de septiembre de 2023, C-452 del 7 de noviembre de 2023, C-463 del 22 de noviembre de 2023, C-471 del 25 de enero del 2024, C-329 del 22 de agosto de 2024, C-563 del 21 de octubre de 2024, C-903 del 2 de enero de 2024, C-1008 del 30 de enero de 2025</w:t>
      </w:r>
      <w:r w:rsidRPr="00B31C7B">
        <w:rPr>
          <w:rFonts w:ascii="Verdana" w:hAnsi="Verdana" w:cs="Arial"/>
          <w:bCs/>
          <w:shd w:val="clear" w:color="auto" w:fill="FFFFFF"/>
          <w:lang w:val="es-ES"/>
        </w:rPr>
        <w:t>,</w:t>
      </w:r>
      <w:r w:rsidRPr="00B31C7B">
        <w:rPr>
          <w:rFonts w:ascii="Verdana" w:hAnsi="Verdana" w:cs="Arial"/>
          <w:bCs/>
          <w:shd w:val="clear" w:color="auto" w:fill="FFFFFF"/>
        </w:rPr>
        <w:t xml:space="preserve"> entre otros, así como nuevas consideraciones y precisiones expuestas en este concepto. </w:t>
      </w:r>
      <w:r w:rsidRPr="00B31C7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1D2AD0A" w14:textId="77777777" w:rsidR="002506A5" w:rsidRPr="00B31C7B" w:rsidRDefault="002506A5" w:rsidP="002506A5">
      <w:pPr>
        <w:spacing w:after="0" w:line="256" w:lineRule="auto"/>
        <w:jc w:val="both"/>
        <w:rPr>
          <w:rFonts w:ascii="Verdana" w:eastAsia="Calibri" w:hAnsi="Verdana" w:cs="Times New Roman"/>
        </w:rPr>
      </w:pPr>
      <w:hyperlink r:id="rId12" w:history="1">
        <w:r w:rsidRPr="00B31C7B">
          <w:rPr>
            <w:rFonts w:ascii="Verdana" w:eastAsia="Calibri" w:hAnsi="Verdana" w:cs="Times New Roman"/>
            <w:color w:val="0000FF"/>
            <w:u w:val="single"/>
            <w:lang w:val="es-ES"/>
          </w:rPr>
          <w:t>https://relatoria.colombiacompra.gov.co/busqueda/conceptos</w:t>
        </w:r>
      </w:hyperlink>
      <w:r w:rsidRPr="00B31C7B">
        <w:rPr>
          <w:rFonts w:ascii="Verdana" w:eastAsia="Calibri" w:hAnsi="Verdana" w:cs="Times New Roman"/>
        </w:rPr>
        <w:t xml:space="preserve">. </w:t>
      </w:r>
    </w:p>
    <w:p w14:paraId="6A4539AA" w14:textId="77777777" w:rsidR="002506A5" w:rsidRPr="00B31C7B" w:rsidRDefault="002506A5" w:rsidP="002506A5">
      <w:pPr>
        <w:spacing w:after="0" w:line="256" w:lineRule="auto"/>
        <w:jc w:val="both"/>
        <w:rPr>
          <w:rFonts w:ascii="Verdana" w:eastAsia="Calibri" w:hAnsi="Verdana" w:cs="Times New Roman"/>
        </w:rPr>
      </w:pPr>
    </w:p>
    <w:p w14:paraId="7CC21136" w14:textId="77777777" w:rsidR="002506A5" w:rsidRPr="00B31C7B" w:rsidRDefault="002506A5" w:rsidP="002506A5">
      <w:pPr>
        <w:spacing w:after="0" w:line="256" w:lineRule="auto"/>
        <w:jc w:val="both"/>
        <w:rPr>
          <w:rFonts w:ascii="Verdana" w:eastAsia="Calibri" w:hAnsi="Verdana" w:cs="Times New Roman"/>
        </w:rPr>
      </w:pPr>
      <w:r w:rsidRPr="00B31C7B">
        <w:rPr>
          <w:rFonts w:ascii="Verdana" w:eastAsia="Calibri" w:hAnsi="Verdana" w:cs="Times New Roman"/>
        </w:rPr>
        <w:t>Le informamos que ya se encuentran publicados las nuevas versiones de los Documentos Tipo de Interventoría y Consultoría de Infraestructura de Transporte. Conoce todos los detalles en los siguientes enlaces: </w:t>
      </w:r>
      <w:hyperlink r:id="rId13" w:tgtFrame="_blank" w:tooltip="Dirección URL original: https://www.colombiacompra.gov.co/content/borrador-de-documentos-tipo-de-consultoria-de-obra-publica-de-infraestructura-de-transporte. Haga clic o pulse si confía en este vínculo." w:history="1">
        <w:r w:rsidRPr="00B31C7B">
          <w:rPr>
            <w:rFonts w:ascii="Verdana" w:eastAsia="Calibri" w:hAnsi="Verdana" w:cs="Times New Roman"/>
            <w:color w:val="0000FF"/>
            <w:u w:val="single"/>
          </w:rPr>
          <w:t>https://www.colombiacompra.gov.co/content/borrador-de-documentos-tipo-de-consultoria-de-obra-publica-de-infraestructura-de-transporte</w:t>
        </w:r>
      </w:hyperlink>
      <w:r w:rsidRPr="00B31C7B">
        <w:rPr>
          <w:rFonts w:ascii="Verdana" w:eastAsia="Calibri" w:hAnsi="Verdana" w:cs="Times New Roman"/>
        </w:rPr>
        <w:t> y </w:t>
      </w:r>
      <w:hyperlink r:id="rId14" w:tgtFrame="_blank" w:tooltip="Dirección URL original: https://www.colombiacompra.gov.co/content/borrador-de-documentos-tipo-de-interventoria-de-obra-publica-de-infraestructura-de. Haga clic o pulse si confía en este vínculo." w:history="1">
        <w:r w:rsidRPr="00B31C7B">
          <w:rPr>
            <w:rFonts w:ascii="Verdana" w:eastAsia="Calibri" w:hAnsi="Verdana" w:cs="Times New Roman"/>
            <w:color w:val="0000FF"/>
            <w:u w:val="single"/>
          </w:rPr>
          <w:t>https://www.colombiacompra.gov.co/content/borrador-de-documentos-tipo-de-interventoria-de-obra-publica-de-infraestructura-de</w:t>
        </w:r>
      </w:hyperlink>
      <w:r w:rsidRPr="00B31C7B">
        <w:rPr>
          <w:rFonts w:ascii="Verdana" w:eastAsia="Calibri" w:hAnsi="Verdana" w:cs="Times New Roman"/>
        </w:rPr>
        <w:t> .</w:t>
      </w:r>
    </w:p>
    <w:p w14:paraId="3C1B3862" w14:textId="77777777" w:rsidR="002506A5" w:rsidRPr="00B31C7B" w:rsidRDefault="002506A5" w:rsidP="002506A5">
      <w:pPr>
        <w:spacing w:after="0" w:line="256" w:lineRule="auto"/>
        <w:jc w:val="both"/>
        <w:rPr>
          <w:rFonts w:ascii="Verdana" w:eastAsia="Calibri" w:hAnsi="Verdana" w:cs="Times New Roman"/>
          <w:lang w:val="es-ES"/>
        </w:rPr>
      </w:pPr>
    </w:p>
    <w:p w14:paraId="7B4ED380" w14:textId="77777777" w:rsidR="002506A5" w:rsidRPr="00B31C7B" w:rsidRDefault="002506A5" w:rsidP="002506A5">
      <w:pPr>
        <w:spacing w:after="0"/>
        <w:jc w:val="both"/>
        <w:rPr>
          <w:rFonts w:ascii="Verdana" w:hAnsi="Verdana"/>
        </w:rPr>
      </w:pPr>
      <w:r w:rsidRPr="00B31C7B">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A14D5C8" w14:textId="77777777" w:rsidR="002506A5" w:rsidRPr="00B31C7B" w:rsidRDefault="002506A5" w:rsidP="002506A5">
      <w:pPr>
        <w:spacing w:after="0" w:line="240" w:lineRule="auto"/>
        <w:jc w:val="both"/>
        <w:rPr>
          <w:rFonts w:ascii="Verdana" w:hAnsi="Verdana"/>
        </w:rPr>
      </w:pPr>
    </w:p>
    <w:p w14:paraId="2C5A0BEF" w14:textId="77777777" w:rsidR="002506A5" w:rsidRPr="00B31C7B" w:rsidRDefault="002506A5" w:rsidP="002506A5">
      <w:pPr>
        <w:numPr>
          <w:ilvl w:val="0"/>
          <w:numId w:val="15"/>
        </w:numPr>
        <w:spacing w:after="0" w:line="240" w:lineRule="auto"/>
        <w:contextualSpacing/>
        <w:jc w:val="both"/>
        <w:rPr>
          <w:rFonts w:ascii="Verdana" w:hAnsi="Verdana"/>
          <w:lang w:val="es-ES"/>
        </w:rPr>
      </w:pPr>
      <w:r w:rsidRPr="00B31C7B">
        <w:rPr>
          <w:rFonts w:ascii="Verdana" w:hAnsi="Verdana"/>
          <w:lang w:val="es-ES"/>
        </w:rPr>
        <w:t>Línea nacional gratuita o servicio a la ciudadanía: 01800 0520808</w:t>
      </w:r>
    </w:p>
    <w:p w14:paraId="1588A518" w14:textId="77777777" w:rsidR="002506A5" w:rsidRPr="00B31C7B" w:rsidRDefault="002506A5" w:rsidP="002506A5">
      <w:pPr>
        <w:numPr>
          <w:ilvl w:val="0"/>
          <w:numId w:val="15"/>
        </w:numPr>
        <w:spacing w:after="0" w:line="240" w:lineRule="auto"/>
        <w:contextualSpacing/>
        <w:jc w:val="both"/>
        <w:rPr>
          <w:rFonts w:ascii="Verdana" w:hAnsi="Verdana"/>
          <w:lang w:val="es-ES"/>
        </w:rPr>
      </w:pPr>
      <w:r w:rsidRPr="00B31C7B">
        <w:rPr>
          <w:rFonts w:ascii="Verdana" w:hAnsi="Verdana"/>
          <w:lang w:val="es-ES"/>
        </w:rPr>
        <w:t>Línea en Bogotá (Mesa de servicio): +57 601 7456788</w:t>
      </w:r>
    </w:p>
    <w:p w14:paraId="36325852" w14:textId="77777777" w:rsidR="002506A5" w:rsidRPr="00B31C7B" w:rsidRDefault="002506A5" w:rsidP="002506A5">
      <w:pPr>
        <w:numPr>
          <w:ilvl w:val="0"/>
          <w:numId w:val="15"/>
        </w:numPr>
        <w:spacing w:after="0" w:line="240" w:lineRule="auto"/>
        <w:contextualSpacing/>
        <w:jc w:val="both"/>
        <w:rPr>
          <w:rFonts w:ascii="Verdana" w:hAnsi="Verdana"/>
          <w:lang w:val="es-ES"/>
        </w:rPr>
      </w:pPr>
      <w:r w:rsidRPr="00B31C7B">
        <w:rPr>
          <w:rFonts w:ascii="Verdana" w:hAnsi="Verdana"/>
          <w:lang w:val="es-ES"/>
        </w:rPr>
        <w:t>Línea de servicio y atención al ciudadano: +57 601 7956600</w:t>
      </w:r>
    </w:p>
    <w:p w14:paraId="44730A05" w14:textId="77777777" w:rsidR="002506A5" w:rsidRPr="00B31C7B" w:rsidRDefault="002506A5" w:rsidP="002506A5">
      <w:pPr>
        <w:numPr>
          <w:ilvl w:val="0"/>
          <w:numId w:val="15"/>
        </w:numPr>
        <w:spacing w:after="0" w:line="240" w:lineRule="auto"/>
        <w:contextualSpacing/>
        <w:jc w:val="both"/>
        <w:rPr>
          <w:rFonts w:ascii="Verdana" w:hAnsi="Verdana"/>
          <w:lang w:val="es-ES"/>
        </w:rPr>
      </w:pPr>
      <w:r w:rsidRPr="00B31C7B">
        <w:rPr>
          <w:rFonts w:ascii="Verdana" w:hAnsi="Verdana"/>
          <w:lang w:val="es-ES"/>
        </w:rPr>
        <w:t xml:space="preserve">Página web: </w:t>
      </w:r>
      <w:hyperlink r:id="rId15" w:history="1">
        <w:r w:rsidRPr="00B31C7B">
          <w:rPr>
            <w:rFonts w:ascii="Verdana" w:hAnsi="Verdana"/>
            <w:color w:val="0000FF"/>
            <w:u w:val="single"/>
            <w:lang w:val="es-ES"/>
          </w:rPr>
          <w:t>www.colombiacompra.gov.co</w:t>
        </w:r>
      </w:hyperlink>
    </w:p>
    <w:p w14:paraId="0C543F8E" w14:textId="77777777" w:rsidR="002506A5" w:rsidRPr="00B31C7B" w:rsidRDefault="002506A5" w:rsidP="002506A5">
      <w:pPr>
        <w:spacing w:after="0" w:line="240" w:lineRule="auto"/>
        <w:ind w:left="785"/>
        <w:contextualSpacing/>
        <w:jc w:val="both"/>
        <w:rPr>
          <w:rFonts w:ascii="Verdana" w:hAnsi="Verdana"/>
          <w:lang w:val="es-ES"/>
        </w:rPr>
      </w:pPr>
    </w:p>
    <w:p w14:paraId="1716E6FB" w14:textId="77777777" w:rsidR="002506A5" w:rsidRPr="00B31C7B" w:rsidRDefault="002506A5" w:rsidP="002506A5">
      <w:pPr>
        <w:spacing w:after="0" w:line="240" w:lineRule="auto"/>
        <w:jc w:val="both"/>
        <w:rPr>
          <w:rFonts w:ascii="Verdana" w:hAnsi="Verdana"/>
        </w:rPr>
      </w:pPr>
      <w:r w:rsidRPr="00B31C7B">
        <w:rPr>
          <w:rFonts w:ascii="Verdana" w:hAnsi="Verdana"/>
        </w:rPr>
        <w:t xml:space="preserve">Por último, lo invitamos a seguirnos en las redes sociales en las cuales se difunde información institucional: </w:t>
      </w:r>
    </w:p>
    <w:p w14:paraId="64A7EE18" w14:textId="77777777" w:rsidR="002506A5" w:rsidRPr="00B31C7B" w:rsidRDefault="002506A5" w:rsidP="002506A5">
      <w:pPr>
        <w:spacing w:after="0" w:line="240" w:lineRule="auto"/>
        <w:jc w:val="both"/>
        <w:rPr>
          <w:rFonts w:ascii="Verdana" w:hAnsi="Verdana"/>
        </w:rPr>
      </w:pPr>
    </w:p>
    <w:p w14:paraId="1965F06E" w14:textId="77777777" w:rsidR="002506A5" w:rsidRPr="00B31C7B" w:rsidRDefault="002506A5" w:rsidP="002506A5">
      <w:pPr>
        <w:spacing w:after="0" w:line="240" w:lineRule="auto"/>
        <w:jc w:val="both"/>
        <w:rPr>
          <w:rFonts w:ascii="Verdana" w:hAnsi="Verdana"/>
        </w:rPr>
      </w:pPr>
      <w:r w:rsidRPr="00B31C7B">
        <w:rPr>
          <w:rFonts w:ascii="Verdana" w:hAnsi="Verdana"/>
        </w:rPr>
        <w:t xml:space="preserve">Twitter: </w:t>
      </w:r>
      <w:r w:rsidRPr="00B31C7B">
        <w:rPr>
          <w:rFonts w:ascii="Verdana" w:hAnsi="Verdana"/>
          <w:color w:val="0000FF"/>
          <w:u w:val="single"/>
        </w:rPr>
        <w:t>@colombiacompra</w:t>
      </w:r>
      <w:r w:rsidRPr="00B31C7B">
        <w:rPr>
          <w:rFonts w:ascii="Verdana" w:hAnsi="Verdana"/>
        </w:rPr>
        <w:t xml:space="preserve"> </w:t>
      </w:r>
    </w:p>
    <w:p w14:paraId="76C55A0A" w14:textId="77777777" w:rsidR="002506A5" w:rsidRPr="00B31C7B" w:rsidRDefault="002506A5" w:rsidP="002506A5">
      <w:pPr>
        <w:spacing w:after="0" w:line="240" w:lineRule="auto"/>
        <w:jc w:val="both"/>
        <w:rPr>
          <w:rFonts w:ascii="Verdana" w:hAnsi="Verdana"/>
        </w:rPr>
      </w:pPr>
      <w:r w:rsidRPr="00B31C7B">
        <w:rPr>
          <w:rFonts w:ascii="Verdana" w:hAnsi="Verdana"/>
        </w:rPr>
        <w:t xml:space="preserve">Facebook: </w:t>
      </w:r>
      <w:proofErr w:type="spellStart"/>
      <w:r w:rsidRPr="00B31C7B">
        <w:rPr>
          <w:rFonts w:ascii="Verdana" w:hAnsi="Verdana"/>
          <w:color w:val="0000FF"/>
          <w:u w:val="single"/>
        </w:rPr>
        <w:t>ColombiaCompraEficiente</w:t>
      </w:r>
      <w:proofErr w:type="spellEnd"/>
    </w:p>
    <w:p w14:paraId="0C1C26AD" w14:textId="77777777" w:rsidR="002506A5" w:rsidRPr="00B31C7B" w:rsidRDefault="002506A5" w:rsidP="002506A5">
      <w:pPr>
        <w:spacing w:after="0" w:line="240" w:lineRule="auto"/>
        <w:jc w:val="both"/>
        <w:rPr>
          <w:rFonts w:ascii="Verdana" w:hAnsi="Verdana"/>
        </w:rPr>
      </w:pPr>
      <w:r w:rsidRPr="00B31C7B">
        <w:rPr>
          <w:rFonts w:ascii="Verdana" w:hAnsi="Verdana"/>
        </w:rPr>
        <w:t xml:space="preserve">LinkedIn: </w:t>
      </w:r>
      <w:r w:rsidRPr="00B31C7B">
        <w:rPr>
          <w:rFonts w:ascii="Verdana" w:hAnsi="Verdana"/>
          <w:color w:val="0000FF"/>
          <w:u w:val="single"/>
        </w:rPr>
        <w:t>Agencia Nacional de Contratación Pública - Colombia Compra Eficiente</w:t>
      </w:r>
      <w:r w:rsidRPr="00B31C7B">
        <w:rPr>
          <w:rFonts w:ascii="Verdana" w:hAnsi="Verdana"/>
        </w:rPr>
        <w:t xml:space="preserve"> Instagram: </w:t>
      </w:r>
      <w:r w:rsidRPr="00B31C7B">
        <w:rPr>
          <w:rFonts w:ascii="Verdana" w:hAnsi="Verdana"/>
          <w:color w:val="0000FF"/>
          <w:u w:val="single"/>
        </w:rPr>
        <w:t>@colombiacompraeficiente_cce</w:t>
      </w:r>
    </w:p>
    <w:p w14:paraId="2F0463D6" w14:textId="77777777" w:rsidR="002506A5" w:rsidRPr="00B31C7B" w:rsidRDefault="002506A5" w:rsidP="002506A5">
      <w:pPr>
        <w:spacing w:after="0" w:line="240" w:lineRule="auto"/>
        <w:jc w:val="both"/>
        <w:rPr>
          <w:rFonts w:ascii="Verdana" w:hAnsi="Verdana"/>
        </w:rPr>
      </w:pPr>
    </w:p>
    <w:p w14:paraId="5676C9EE" w14:textId="77777777" w:rsidR="002506A5" w:rsidRPr="00B31C7B" w:rsidRDefault="002506A5" w:rsidP="002506A5">
      <w:pPr>
        <w:spacing w:after="0" w:line="256" w:lineRule="auto"/>
        <w:jc w:val="both"/>
        <w:rPr>
          <w:rFonts w:ascii="Verdana" w:eastAsia="Calibri" w:hAnsi="Verdana" w:cs="Times New Roman"/>
          <w:bCs/>
          <w:lang w:val="es-ES_tradnl"/>
        </w:rPr>
      </w:pPr>
      <w:r w:rsidRPr="00B31C7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62D8A5A" w14:textId="77777777" w:rsidR="002506A5" w:rsidRPr="00B31C7B" w:rsidRDefault="002506A5" w:rsidP="002506A5">
      <w:pPr>
        <w:spacing w:after="0" w:line="256" w:lineRule="auto"/>
        <w:jc w:val="both"/>
        <w:rPr>
          <w:rFonts w:ascii="Verdana" w:eastAsia="Calibri" w:hAnsi="Verdana" w:cs="Times New Roman"/>
        </w:rPr>
      </w:pPr>
    </w:p>
    <w:p w14:paraId="3C215ED6" w14:textId="77777777" w:rsidR="002506A5" w:rsidRPr="00B31C7B" w:rsidRDefault="002506A5" w:rsidP="002506A5">
      <w:pPr>
        <w:spacing w:after="0" w:line="256" w:lineRule="auto"/>
        <w:jc w:val="both"/>
        <w:rPr>
          <w:rFonts w:ascii="Verdana" w:eastAsia="Calibri" w:hAnsi="Verdana" w:cs="Times New Roman"/>
        </w:rPr>
      </w:pPr>
      <w:r w:rsidRPr="00B31C7B">
        <w:rPr>
          <w:rFonts w:ascii="Verdana" w:eastAsia="Calibri" w:hAnsi="Verdana" w:cs="Times New Roman"/>
        </w:rPr>
        <w:t>Atentamente,</w:t>
      </w:r>
    </w:p>
    <w:p w14:paraId="673FFDCC" w14:textId="77777777" w:rsidR="002506A5" w:rsidRDefault="002506A5" w:rsidP="002506A5">
      <w:pPr>
        <w:spacing w:after="0" w:line="256" w:lineRule="auto"/>
        <w:jc w:val="center"/>
        <w:rPr>
          <w:rFonts w:ascii="Verdana" w:eastAsia="Times New Roman" w:hAnsi="Verdana" w:cs="Arial"/>
          <w:noProof/>
          <w:sz w:val="24"/>
          <w:szCs w:val="24"/>
          <w:lang w:val="en-US"/>
        </w:rPr>
      </w:pPr>
    </w:p>
    <w:p w14:paraId="1CF874F2" w14:textId="472FF7B0" w:rsidR="002506A5" w:rsidRPr="00B31C7B" w:rsidRDefault="008C2AAD" w:rsidP="002506A5">
      <w:pPr>
        <w:spacing w:after="0" w:line="256" w:lineRule="auto"/>
        <w:jc w:val="center"/>
        <w:rPr>
          <w:rFonts w:ascii="Verdana" w:eastAsia="Calibri" w:hAnsi="Verdana" w:cs="Times New Roman"/>
          <w:lang w:val="es-ES"/>
        </w:rPr>
      </w:pPr>
      <w:r w:rsidRPr="002C3AD6">
        <w:rPr>
          <w:rFonts w:ascii="Century Gothic" w:hAnsi="Century Gothic"/>
          <w:noProof/>
        </w:rPr>
        <w:lastRenderedPageBreak/>
        <w:drawing>
          <wp:inline distT="0" distB="0" distL="0" distR="0" wp14:anchorId="163DF4C8" wp14:editId="61E447F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02AB28BB" w14:textId="77777777" w:rsidR="002506A5" w:rsidRPr="00B31C7B" w:rsidRDefault="002506A5" w:rsidP="002506A5">
      <w:pPr>
        <w:spacing w:after="0" w:line="256" w:lineRule="auto"/>
        <w:jc w:val="center"/>
        <w:rPr>
          <w:rFonts w:ascii="Verdana" w:eastAsia="Calibri" w:hAnsi="Verdana" w:cs="Times New Roman"/>
          <w:lang w:val="es-E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506A5" w:rsidRPr="00B31C7B" w14:paraId="43D31F51" w14:textId="77777777" w:rsidTr="00EC403E">
        <w:trPr>
          <w:trHeight w:val="409"/>
        </w:trPr>
        <w:tc>
          <w:tcPr>
            <w:tcW w:w="817" w:type="dxa"/>
            <w:tcBorders>
              <w:top w:val="nil"/>
              <w:left w:val="nil"/>
              <w:bottom w:val="nil"/>
              <w:right w:val="nil"/>
            </w:tcBorders>
            <w:vAlign w:val="center"/>
            <w:hideMark/>
          </w:tcPr>
          <w:p w14:paraId="7B4645FA" w14:textId="77777777" w:rsidR="002506A5" w:rsidRPr="00B31C7B" w:rsidRDefault="002506A5" w:rsidP="00EC403E">
            <w:pPr>
              <w:spacing w:after="0" w:line="240" w:lineRule="auto"/>
              <w:rPr>
                <w:rFonts w:ascii="Verdana" w:eastAsia="Calibri" w:hAnsi="Verdana" w:cs="Times New Roman"/>
                <w:sz w:val="16"/>
                <w:szCs w:val="16"/>
              </w:rPr>
            </w:pPr>
            <w:r w:rsidRPr="00B31C7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1F782EE" w14:textId="77777777" w:rsidR="002506A5" w:rsidRPr="00B31C7B" w:rsidRDefault="002506A5" w:rsidP="00EC403E">
            <w:pPr>
              <w:spacing w:after="0" w:line="240" w:lineRule="auto"/>
              <w:rPr>
                <w:rFonts w:ascii="Verdana" w:eastAsia="Calibri" w:hAnsi="Verdana" w:cs="Times New Roman"/>
                <w:sz w:val="16"/>
                <w:szCs w:val="16"/>
              </w:rPr>
            </w:pPr>
            <w:r>
              <w:rPr>
                <w:rFonts w:ascii="Verdana" w:eastAsia="Calibri" w:hAnsi="Verdana" w:cs="Times New Roman"/>
                <w:sz w:val="16"/>
                <w:szCs w:val="16"/>
              </w:rPr>
              <w:t xml:space="preserve">Richard Andrés Montenegro </w:t>
            </w:r>
            <w:proofErr w:type="spellStart"/>
            <w:r>
              <w:rPr>
                <w:rFonts w:ascii="Verdana" w:eastAsia="Calibri" w:hAnsi="Verdana" w:cs="Times New Roman"/>
                <w:sz w:val="16"/>
                <w:szCs w:val="16"/>
              </w:rPr>
              <w:t>Siefken</w:t>
            </w:r>
            <w:proofErr w:type="spellEnd"/>
          </w:p>
          <w:p w14:paraId="1F66BFA7" w14:textId="77777777" w:rsidR="002506A5" w:rsidRPr="00B31C7B" w:rsidRDefault="002506A5" w:rsidP="00EC403E">
            <w:pPr>
              <w:spacing w:after="0" w:line="240" w:lineRule="auto"/>
              <w:rPr>
                <w:rFonts w:ascii="Verdana" w:eastAsia="Calibri" w:hAnsi="Verdana" w:cs="Times New Roman"/>
                <w:sz w:val="16"/>
                <w:szCs w:val="16"/>
              </w:rPr>
            </w:pPr>
            <w:r w:rsidRPr="00B31C7B">
              <w:rPr>
                <w:rFonts w:ascii="Verdana" w:eastAsia="Calibri" w:hAnsi="Verdana" w:cs="Times New Roman"/>
                <w:sz w:val="16"/>
                <w:szCs w:val="16"/>
              </w:rPr>
              <w:t>Contratista de la Subdirección de Gestión Contractual</w:t>
            </w:r>
          </w:p>
        </w:tc>
      </w:tr>
      <w:tr w:rsidR="002506A5" w:rsidRPr="00B31C7B" w14:paraId="5FC1629B" w14:textId="77777777" w:rsidTr="00EC403E">
        <w:trPr>
          <w:trHeight w:val="409"/>
        </w:trPr>
        <w:tc>
          <w:tcPr>
            <w:tcW w:w="817" w:type="dxa"/>
            <w:tcBorders>
              <w:top w:val="nil"/>
              <w:left w:val="nil"/>
              <w:bottom w:val="nil"/>
              <w:right w:val="nil"/>
            </w:tcBorders>
            <w:vAlign w:val="center"/>
            <w:hideMark/>
          </w:tcPr>
          <w:p w14:paraId="1565425E" w14:textId="77777777" w:rsidR="002506A5" w:rsidRPr="00B31C7B" w:rsidRDefault="002506A5" w:rsidP="00EC403E">
            <w:pPr>
              <w:spacing w:after="0" w:line="240" w:lineRule="auto"/>
              <w:rPr>
                <w:rFonts w:ascii="Verdana" w:eastAsia="Calibri" w:hAnsi="Verdana" w:cs="Times New Roman"/>
                <w:sz w:val="16"/>
                <w:szCs w:val="16"/>
              </w:rPr>
            </w:pPr>
            <w:r w:rsidRPr="00B31C7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8AFBEC0" w14:textId="77777777" w:rsidR="002506A5" w:rsidRPr="00B31C7B" w:rsidRDefault="002506A5" w:rsidP="00EC403E">
            <w:pPr>
              <w:spacing w:after="0" w:line="240" w:lineRule="auto"/>
              <w:rPr>
                <w:rFonts w:ascii="Verdana" w:eastAsia="Calibri" w:hAnsi="Verdana" w:cs="Times New Roman"/>
                <w:sz w:val="16"/>
                <w:szCs w:val="16"/>
              </w:rPr>
            </w:pPr>
            <w:r>
              <w:rPr>
                <w:rFonts w:ascii="Verdana" w:eastAsia="Calibri" w:hAnsi="Verdana" w:cs="Times New Roman"/>
                <w:sz w:val="16"/>
                <w:szCs w:val="16"/>
              </w:rPr>
              <w:t>Juan Carlos Gonzales Vásquez</w:t>
            </w:r>
          </w:p>
          <w:p w14:paraId="3935CB34" w14:textId="77777777" w:rsidR="002506A5" w:rsidRPr="00B31C7B" w:rsidRDefault="002506A5" w:rsidP="00EC403E">
            <w:pPr>
              <w:spacing w:after="0" w:line="240" w:lineRule="auto"/>
              <w:rPr>
                <w:rFonts w:ascii="Verdana" w:eastAsia="Calibri" w:hAnsi="Verdana" w:cs="Times New Roman"/>
                <w:sz w:val="16"/>
                <w:szCs w:val="16"/>
                <w:highlight w:val="yellow"/>
              </w:rPr>
            </w:pPr>
            <w:r w:rsidRPr="00B31C7B">
              <w:rPr>
                <w:rFonts w:ascii="Verdana" w:eastAsia="Calibri" w:hAnsi="Verdana" w:cs="Times New Roman"/>
                <w:sz w:val="16"/>
                <w:szCs w:val="16"/>
              </w:rPr>
              <w:t>Contratista de la Subdirección de Gestión Contractual </w:t>
            </w:r>
          </w:p>
        </w:tc>
      </w:tr>
      <w:tr w:rsidR="002506A5" w:rsidRPr="00B31C7B" w14:paraId="15CA58D5" w14:textId="77777777" w:rsidTr="00EC403E">
        <w:trPr>
          <w:trHeight w:val="389"/>
        </w:trPr>
        <w:tc>
          <w:tcPr>
            <w:tcW w:w="817" w:type="dxa"/>
            <w:tcBorders>
              <w:top w:val="nil"/>
              <w:left w:val="nil"/>
              <w:bottom w:val="nil"/>
              <w:right w:val="nil"/>
            </w:tcBorders>
            <w:vAlign w:val="center"/>
            <w:hideMark/>
          </w:tcPr>
          <w:p w14:paraId="18F0B08C" w14:textId="77777777" w:rsidR="002506A5" w:rsidRPr="00B31C7B" w:rsidRDefault="002506A5" w:rsidP="00EC403E">
            <w:pPr>
              <w:spacing w:after="0" w:line="240" w:lineRule="auto"/>
              <w:rPr>
                <w:rFonts w:ascii="Verdana" w:eastAsia="Calibri" w:hAnsi="Verdana" w:cs="Times New Roman"/>
                <w:sz w:val="16"/>
                <w:szCs w:val="16"/>
              </w:rPr>
            </w:pPr>
            <w:r w:rsidRPr="00B31C7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4B1B556" w14:textId="77777777" w:rsidR="002506A5" w:rsidRPr="00B31C7B" w:rsidRDefault="002506A5" w:rsidP="00EC403E">
            <w:pPr>
              <w:spacing w:after="0" w:line="240" w:lineRule="auto"/>
              <w:rPr>
                <w:rFonts w:ascii="Verdana" w:eastAsia="Calibri" w:hAnsi="Verdana" w:cs="Times New Roman"/>
                <w:sz w:val="16"/>
                <w:szCs w:val="16"/>
              </w:rPr>
            </w:pPr>
            <w:r w:rsidRPr="00B31C7B">
              <w:rPr>
                <w:rFonts w:ascii="Verdana" w:eastAsia="Calibri" w:hAnsi="Verdana" w:cs="Times New Roman"/>
                <w:sz w:val="16"/>
                <w:szCs w:val="16"/>
              </w:rPr>
              <w:t xml:space="preserve">Carolina Quintero </w:t>
            </w:r>
            <w:proofErr w:type="spellStart"/>
            <w:r w:rsidRPr="00B31C7B">
              <w:rPr>
                <w:rFonts w:ascii="Verdana" w:eastAsia="Calibri" w:hAnsi="Verdana" w:cs="Times New Roman"/>
                <w:sz w:val="16"/>
                <w:szCs w:val="16"/>
              </w:rPr>
              <w:t>Gacharná</w:t>
            </w:r>
            <w:proofErr w:type="spellEnd"/>
          </w:p>
          <w:p w14:paraId="10869337" w14:textId="77777777" w:rsidR="002506A5" w:rsidRPr="00B31C7B" w:rsidRDefault="002506A5" w:rsidP="00EC403E">
            <w:pPr>
              <w:spacing w:after="0" w:line="240" w:lineRule="auto"/>
              <w:rPr>
                <w:rFonts w:ascii="Verdana" w:eastAsia="Calibri" w:hAnsi="Verdana" w:cs="Times New Roman"/>
                <w:sz w:val="16"/>
                <w:szCs w:val="16"/>
              </w:rPr>
            </w:pPr>
            <w:r w:rsidRPr="00B31C7B">
              <w:rPr>
                <w:rFonts w:ascii="Verdana" w:eastAsia="Calibri" w:hAnsi="Verdana" w:cs="Times New Roman"/>
                <w:sz w:val="16"/>
                <w:szCs w:val="16"/>
              </w:rPr>
              <w:t>Subdirectora de Gestión Contractual ANCP – CCE</w:t>
            </w:r>
          </w:p>
        </w:tc>
      </w:tr>
      <w:bookmarkEnd w:id="0"/>
    </w:tbl>
    <w:p w14:paraId="0F293BF4" w14:textId="7FCBA84A" w:rsidR="00127233" w:rsidRPr="00AB4F01" w:rsidRDefault="00127233" w:rsidP="00AB4F01"/>
    <w:sectPr w:rsidR="00127233" w:rsidRPr="00AB4F0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9747C" w14:textId="77777777" w:rsidR="00DD20D0" w:rsidRDefault="00DD20D0" w:rsidP="004A1847">
      <w:pPr>
        <w:spacing w:after="0" w:line="240" w:lineRule="auto"/>
      </w:pPr>
      <w:r>
        <w:separator/>
      </w:r>
    </w:p>
  </w:endnote>
  <w:endnote w:type="continuationSeparator" w:id="0">
    <w:p w14:paraId="6AD5B8A6" w14:textId="77777777" w:rsidR="00DD20D0" w:rsidRDefault="00DD20D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24193" w14:textId="77777777" w:rsidR="00DD20D0" w:rsidRDefault="00DD20D0" w:rsidP="004A1847">
      <w:pPr>
        <w:spacing w:after="0" w:line="240" w:lineRule="auto"/>
      </w:pPr>
      <w:r>
        <w:separator/>
      </w:r>
    </w:p>
  </w:footnote>
  <w:footnote w:type="continuationSeparator" w:id="0">
    <w:p w14:paraId="7A73747C" w14:textId="77777777" w:rsidR="00DD20D0" w:rsidRDefault="00DD20D0" w:rsidP="004A1847">
      <w:pPr>
        <w:spacing w:after="0" w:line="240" w:lineRule="auto"/>
      </w:pPr>
      <w:r>
        <w:continuationSeparator/>
      </w:r>
    </w:p>
  </w:footnote>
  <w:footnote w:id="1">
    <w:p w14:paraId="4CA57C71" w14:textId="77777777" w:rsidR="002506A5" w:rsidRPr="00ED7AD8" w:rsidRDefault="002506A5" w:rsidP="002506A5">
      <w:pPr>
        <w:pStyle w:val="Textonotapie"/>
        <w:ind w:firstLine="708"/>
        <w:jc w:val="both"/>
        <w:rPr>
          <w:rFonts w:ascii="Verdana" w:hAnsi="Verdana" w:cs="Arial"/>
          <w:sz w:val="16"/>
          <w:szCs w:val="16"/>
          <w:lang w:val="es-CO"/>
        </w:rPr>
      </w:pPr>
      <w:r w:rsidRPr="00ED7AD8">
        <w:rPr>
          <w:rStyle w:val="Refdenotaalpie"/>
          <w:rFonts w:ascii="Verdana" w:hAnsi="Verdana" w:cs="Arial"/>
          <w:sz w:val="16"/>
          <w:szCs w:val="16"/>
        </w:rPr>
        <w:footnoteRef/>
      </w:r>
      <w:r w:rsidRPr="00ED7AD8">
        <w:rPr>
          <w:rFonts w:ascii="Verdana" w:hAnsi="Verdana" w:cs="Arial"/>
          <w:sz w:val="16"/>
          <w:szCs w:val="16"/>
        </w:rPr>
        <w:t xml:space="preserve"> </w:t>
      </w:r>
      <w:r w:rsidRPr="00ED7AD8">
        <w:rPr>
          <w:rFonts w:ascii="Verdana" w:hAnsi="Verdana" w:cs="Arial"/>
          <w:sz w:val="16"/>
          <w:szCs w:val="16"/>
          <w:lang w:val="es-CO"/>
        </w:rPr>
        <w:t>El artículo 40 de la Ley 80 de 1993 dispone que los contratos no podrán adicionarse en más del 50% de su valor inicial, expresado en SMLMV.</w:t>
      </w:r>
    </w:p>
  </w:footnote>
  <w:footnote w:id="2">
    <w:p w14:paraId="03A3EA9F" w14:textId="77777777" w:rsidR="002506A5" w:rsidRPr="00ED7AD8" w:rsidRDefault="002506A5" w:rsidP="002506A5">
      <w:pPr>
        <w:pStyle w:val="Textonotapie"/>
        <w:ind w:firstLine="708"/>
        <w:rPr>
          <w:rFonts w:ascii="Verdana" w:hAnsi="Verdana"/>
          <w:sz w:val="16"/>
          <w:szCs w:val="16"/>
          <w:lang w:val="pt-BR"/>
        </w:rPr>
      </w:pPr>
      <w:r w:rsidRPr="00ED7AD8">
        <w:rPr>
          <w:rStyle w:val="Refdenotaalpie"/>
          <w:rFonts w:ascii="Verdana" w:hAnsi="Verdana"/>
          <w:sz w:val="16"/>
          <w:szCs w:val="16"/>
        </w:rPr>
        <w:footnoteRef/>
      </w:r>
      <w:r w:rsidRPr="00ED7AD8">
        <w:rPr>
          <w:rFonts w:ascii="Verdana" w:hAnsi="Verdana"/>
          <w:sz w:val="16"/>
          <w:szCs w:val="16"/>
          <w:lang w:val="pt-BR"/>
        </w:rPr>
        <w:t xml:space="preserve"> Corte Constitucional. Sentencia C-300 de 2012. M.P. Jorge Ignacio Pretelt Chaljub. </w:t>
      </w:r>
    </w:p>
  </w:footnote>
  <w:footnote w:id="3">
    <w:p w14:paraId="426C9AFF" w14:textId="77777777" w:rsidR="002506A5" w:rsidRPr="00ED7AD8" w:rsidRDefault="002506A5" w:rsidP="002506A5">
      <w:pPr>
        <w:pStyle w:val="Textonotapie"/>
        <w:ind w:firstLine="708"/>
        <w:jc w:val="both"/>
        <w:rPr>
          <w:rFonts w:ascii="Verdana" w:hAnsi="Verdana"/>
          <w:sz w:val="16"/>
          <w:szCs w:val="16"/>
        </w:rPr>
      </w:pPr>
      <w:r w:rsidRPr="00ED7AD8">
        <w:rPr>
          <w:rStyle w:val="Refdenotaalpie"/>
          <w:rFonts w:ascii="Verdana" w:hAnsi="Verdana"/>
          <w:sz w:val="16"/>
          <w:szCs w:val="16"/>
        </w:rPr>
        <w:footnoteRef/>
      </w:r>
      <w:r w:rsidRPr="00ED7AD8">
        <w:rPr>
          <w:rFonts w:ascii="Verdana" w:hAnsi="Verdana"/>
          <w:sz w:val="16"/>
          <w:szCs w:val="16"/>
        </w:rPr>
        <w:t xml:space="preserve"> Sobre la naturaleza instrumental del contrato para alcanzar los fines propios del estado social de derecho, ver la sentencia C-932 de </w:t>
      </w:r>
      <w:smartTag w:uri="urn:schemas-microsoft-com:office:smarttags" w:element="metricconverter">
        <w:smartTagPr>
          <w:attr w:name="ProductID" w:val="2007, M"/>
        </w:smartTagPr>
        <w:r w:rsidRPr="00ED7AD8">
          <w:rPr>
            <w:rFonts w:ascii="Verdana" w:hAnsi="Verdana"/>
            <w:sz w:val="16"/>
            <w:szCs w:val="16"/>
          </w:rPr>
          <w:t>2007, M</w:t>
        </w:r>
      </w:smartTag>
      <w:r w:rsidRPr="00ED7AD8">
        <w:rPr>
          <w:rFonts w:ascii="Verdana" w:hAnsi="Verdana"/>
          <w:sz w:val="16"/>
          <w:szCs w:val="16"/>
        </w:rPr>
        <w:t>.P. Marco Gerardo Monroy Cabra.</w:t>
      </w:r>
    </w:p>
  </w:footnote>
  <w:footnote w:id="4">
    <w:p w14:paraId="5B82FC2E" w14:textId="77777777" w:rsidR="002506A5" w:rsidRPr="00ED7AD8" w:rsidRDefault="002506A5" w:rsidP="002506A5">
      <w:pPr>
        <w:pStyle w:val="Textonotapie"/>
        <w:ind w:firstLine="708"/>
        <w:jc w:val="both"/>
        <w:rPr>
          <w:rFonts w:ascii="Verdana" w:hAnsi="Verdana"/>
          <w:sz w:val="16"/>
          <w:szCs w:val="16"/>
        </w:rPr>
      </w:pPr>
      <w:r w:rsidRPr="00ED7AD8">
        <w:rPr>
          <w:rStyle w:val="Refdenotaalpie"/>
          <w:rFonts w:ascii="Verdana" w:hAnsi="Verdana"/>
          <w:sz w:val="16"/>
          <w:szCs w:val="16"/>
        </w:rPr>
        <w:footnoteRef/>
      </w:r>
      <w:r w:rsidRPr="00ED7AD8">
        <w:rPr>
          <w:rFonts w:ascii="Verdana" w:hAnsi="Verdana"/>
          <w:sz w:val="16"/>
          <w:szCs w:val="16"/>
        </w:rPr>
        <w:t xml:space="preserve"> M.P. Clara Inés Vargas Hernández.</w:t>
      </w:r>
    </w:p>
  </w:footnote>
  <w:footnote w:id="5">
    <w:p w14:paraId="4B115EDB" w14:textId="77777777" w:rsidR="002506A5" w:rsidRPr="00ED7AD8" w:rsidRDefault="002506A5" w:rsidP="002506A5">
      <w:pPr>
        <w:pStyle w:val="Textonotapie"/>
        <w:ind w:firstLine="708"/>
        <w:jc w:val="both"/>
        <w:rPr>
          <w:rFonts w:ascii="Verdana" w:hAnsi="Verdana"/>
          <w:sz w:val="16"/>
          <w:szCs w:val="16"/>
        </w:rPr>
      </w:pPr>
      <w:r w:rsidRPr="00ED7AD8">
        <w:rPr>
          <w:rStyle w:val="Refdenotaalpie"/>
          <w:rFonts w:ascii="Verdana" w:hAnsi="Verdana"/>
          <w:sz w:val="16"/>
          <w:szCs w:val="16"/>
        </w:rPr>
        <w:footnoteRef/>
      </w:r>
      <w:r w:rsidRPr="00ED7AD8">
        <w:rPr>
          <w:rFonts w:ascii="Verdana" w:hAnsi="Verdana"/>
          <w:sz w:val="16"/>
          <w:szCs w:val="16"/>
        </w:rPr>
        <w:t xml:space="preserve"> Ver también la sentencia C-068 de </w:t>
      </w:r>
      <w:smartTag w:uri="urn:schemas-microsoft-com:office:smarttags" w:element="metricconverter">
        <w:smartTagPr>
          <w:attr w:name="ProductID" w:val="2009, M"/>
        </w:smartTagPr>
        <w:r w:rsidRPr="00ED7AD8">
          <w:rPr>
            <w:rFonts w:ascii="Verdana" w:hAnsi="Verdana"/>
            <w:sz w:val="16"/>
            <w:szCs w:val="16"/>
          </w:rPr>
          <w:t>2009, M</w:t>
        </w:r>
      </w:smartTag>
      <w:r w:rsidRPr="00ED7AD8">
        <w:rPr>
          <w:rFonts w:ascii="Verdana" w:hAnsi="Verdana"/>
          <w:sz w:val="16"/>
          <w:szCs w:val="16"/>
        </w:rPr>
        <w:t>.P. Mauricio González Cuervo</w:t>
      </w:r>
      <w:r w:rsidRPr="00ED7AD8">
        <w:rPr>
          <w:rFonts w:ascii="Verdana" w:hAnsi="Verdana"/>
          <w:b/>
          <w:sz w:val="16"/>
          <w:szCs w:val="16"/>
        </w:rPr>
        <w:t xml:space="preserve">, </w:t>
      </w:r>
      <w:r w:rsidRPr="00ED7AD8">
        <w:rPr>
          <w:rFonts w:ascii="Verdana" w:hAnsi="Verdana"/>
          <w:sz w:val="16"/>
          <w:szCs w:val="16"/>
        </w:rPr>
        <w:t>sobre la constitucional</w:t>
      </w:r>
      <w:r w:rsidRPr="00ED7AD8">
        <w:rPr>
          <w:rFonts w:ascii="Verdana" w:hAnsi="Verdana"/>
          <w:b/>
          <w:sz w:val="16"/>
          <w:szCs w:val="16"/>
        </w:rPr>
        <w:t xml:space="preserve"> </w:t>
      </w:r>
      <w:r w:rsidRPr="00ED7AD8">
        <w:rPr>
          <w:rFonts w:ascii="Verdana" w:hAnsi="Verdana"/>
          <w:sz w:val="16"/>
          <w:szCs w:val="16"/>
          <w:lang w:val="es-CO"/>
        </w:rPr>
        <w:t>de la posibilidad de prorrogar los contratos de concesión portuaria (artículo 8º  de la ley 1º de 1991).</w:t>
      </w:r>
    </w:p>
  </w:footnote>
  <w:footnote w:id="6">
    <w:p w14:paraId="7470D1D8" w14:textId="77777777" w:rsidR="002506A5" w:rsidRPr="00ED7AD8" w:rsidRDefault="002506A5" w:rsidP="002506A5">
      <w:pPr>
        <w:pStyle w:val="Textonotapie"/>
        <w:ind w:firstLine="708"/>
        <w:jc w:val="both"/>
        <w:rPr>
          <w:rFonts w:ascii="Verdana" w:hAnsi="Verdana"/>
          <w:sz w:val="16"/>
          <w:szCs w:val="16"/>
        </w:rPr>
      </w:pPr>
      <w:r w:rsidRPr="00ED7AD8">
        <w:rPr>
          <w:rStyle w:val="Refdenotaalpie"/>
          <w:rFonts w:ascii="Verdana" w:hAnsi="Verdana"/>
          <w:sz w:val="16"/>
          <w:szCs w:val="16"/>
        </w:rPr>
        <w:footnoteRef/>
      </w:r>
      <w:r w:rsidRPr="00ED7AD8">
        <w:rPr>
          <w:rFonts w:ascii="Verdana" w:hAnsi="Verdana"/>
          <w:sz w:val="16"/>
          <w:szCs w:val="16"/>
        </w:rPr>
        <w:t xml:space="preserve"> Esta clasificación es tomada de la literatura del análisis económico del derecho. </w:t>
      </w:r>
      <w:r w:rsidRPr="00ED7AD8">
        <w:rPr>
          <w:rFonts w:ascii="Verdana" w:hAnsi="Verdana"/>
          <w:sz w:val="16"/>
          <w:szCs w:val="16"/>
          <w:lang w:val="en-US"/>
        </w:rPr>
        <w:t xml:space="preserve">Ver WILLIAMSON, Oliver E. “Transaction-Cost Economics: The Governance of Contractual Relations”. En: Journal of Law and Economics, Vol. 22, No. 2 (Oct., 1979), pp. 233-261. SHAVELL, Steven. “Foundations of Economic Analysis of Law”. Harvard University Press, 2004. </w:t>
      </w:r>
      <w:r w:rsidRPr="00ED7AD8">
        <w:rPr>
          <w:rFonts w:ascii="Verdana" w:hAnsi="Verdana"/>
          <w:sz w:val="16"/>
          <w:szCs w:val="16"/>
        </w:rPr>
        <w:t>Dentro de esta literatura, también se señalan como causas de los contratos incompletos, (i) los altos costos de estructuración del contrato, esto es, las altas inversiones que deben realizar las partes para prever las contingencias y diseñar remedios; cuando tales costos exceden los beneficios esperados por las partes, estas últimas pueden optar por celebrar contratos incompletos y dejar por fuera, por ejemplo, previsiones o cláusulas relacionadas con contingencias de baja probabilidad. (ii) Los altos costos de hacer cumplir ciertas cláusulas, y (iii) la dificultad posterior de probar en sede judicial la ocurrencia de ciertas contingencias o variables, entre otras. Vale la pena mencionar que por estas razones la mayoría de los contratos tienden a ser incompletos.</w:t>
      </w:r>
    </w:p>
  </w:footnote>
  <w:footnote w:id="7">
    <w:p w14:paraId="272F46F4" w14:textId="77777777" w:rsidR="002506A5" w:rsidRPr="00ED7AD8" w:rsidRDefault="002506A5" w:rsidP="002506A5">
      <w:pPr>
        <w:pStyle w:val="Textonotapie"/>
        <w:ind w:firstLine="708"/>
        <w:jc w:val="both"/>
        <w:rPr>
          <w:rFonts w:ascii="Verdana" w:hAnsi="Verdana" w:cs="Arial"/>
          <w:sz w:val="16"/>
          <w:szCs w:val="16"/>
        </w:rPr>
      </w:pPr>
      <w:r w:rsidRPr="00ED7AD8">
        <w:rPr>
          <w:rStyle w:val="Refdenotaalpie"/>
          <w:rFonts w:ascii="Verdana" w:hAnsi="Verdana" w:cs="Arial"/>
          <w:sz w:val="16"/>
          <w:szCs w:val="16"/>
        </w:rPr>
        <w:footnoteRef/>
      </w:r>
      <w:r w:rsidRPr="00ED7AD8">
        <w:rPr>
          <w:rFonts w:ascii="Verdana" w:hAnsi="Verdana" w:cs="Arial"/>
          <w:sz w:val="16"/>
          <w:szCs w:val="16"/>
        </w:rPr>
        <w:t xml:space="preserve"> </w:t>
      </w:r>
      <w:r w:rsidRPr="00ED7AD8">
        <w:rPr>
          <w:rFonts w:ascii="Verdana" w:hAnsi="Verdana" w:cs="Arial"/>
          <w:i/>
          <w:sz w:val="16"/>
          <w:szCs w:val="16"/>
        </w:rPr>
        <w:t xml:space="preserve">Cfr. </w:t>
      </w:r>
      <w:r w:rsidRPr="00ED7AD8">
        <w:rPr>
          <w:rFonts w:ascii="Verdana" w:hAnsi="Verdana" w:cs="Arial"/>
          <w:sz w:val="16"/>
          <w:szCs w:val="16"/>
        </w:rPr>
        <w:t xml:space="preserve">Consejo de Estado, Sala de Consulta y Servicio Civil, concepto del 13 de agosto de 2009, rad. </w:t>
      </w:r>
      <w:r w:rsidRPr="00ED7AD8">
        <w:rPr>
          <w:rFonts w:ascii="Verdana" w:hAnsi="Verdana" w:cs="Arial"/>
          <w:bCs/>
          <w:sz w:val="16"/>
          <w:szCs w:val="16"/>
        </w:rPr>
        <w:t>1.952, C.P. Enrique José Arboleda Perdomo. En este concepto la Sala de Consulta se ocupó, entre otras preguntas, de la siguiente formulada por el Ministerio de Transporte: “</w:t>
      </w:r>
      <w:r w:rsidRPr="00ED7AD8">
        <w:rPr>
          <w:rFonts w:ascii="Verdana" w:hAnsi="Verdana" w:cs="Arial"/>
          <w:bCs/>
          <w:iCs/>
          <w:sz w:val="16"/>
          <w:szCs w:val="16"/>
          <w:lang w:val="es-ES_tradnl"/>
        </w:rPr>
        <w:t>1. ¿Bajo el supuesto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8">
    <w:p w14:paraId="5BC1BF4D" w14:textId="77777777" w:rsidR="002506A5" w:rsidRPr="00ED7AD8" w:rsidRDefault="002506A5" w:rsidP="002506A5">
      <w:pPr>
        <w:pStyle w:val="Textonotapie"/>
        <w:ind w:firstLine="708"/>
        <w:jc w:val="both"/>
        <w:rPr>
          <w:rFonts w:ascii="Verdana" w:hAnsi="Verdana" w:cs="Arial"/>
          <w:sz w:val="16"/>
          <w:szCs w:val="16"/>
          <w:lang w:val="es-CO"/>
        </w:rPr>
      </w:pPr>
      <w:r w:rsidRPr="00ED7AD8">
        <w:rPr>
          <w:rStyle w:val="Refdenotaalpie"/>
          <w:rFonts w:ascii="Verdana" w:hAnsi="Verdana" w:cs="Arial"/>
          <w:sz w:val="16"/>
          <w:szCs w:val="16"/>
        </w:rPr>
        <w:footnoteRef/>
      </w:r>
      <w:r w:rsidRPr="00ED7AD8">
        <w:rPr>
          <w:rFonts w:ascii="Verdana" w:hAnsi="Verdana" w:cs="Arial"/>
          <w:sz w:val="16"/>
          <w:szCs w:val="16"/>
        </w:rPr>
        <w:t xml:space="preserve"> 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r w:rsidRPr="00ED7AD8">
        <w:rPr>
          <w:rFonts w:ascii="Verdana" w:hAnsi="Verdana" w:cs="Arial"/>
          <w:bCs/>
          <w:iCs/>
          <w:sz w:val="16"/>
          <w:szCs w:val="16"/>
          <w:lang w:val="es-ES_tradnl"/>
        </w:rPr>
        <w:t>”.</w:t>
      </w:r>
    </w:p>
  </w:footnote>
  <w:footnote w:id="9">
    <w:p w14:paraId="32D4E3CF" w14:textId="77777777" w:rsidR="002506A5" w:rsidRPr="00ED7AD8" w:rsidRDefault="002506A5" w:rsidP="002506A5">
      <w:pPr>
        <w:pStyle w:val="Textonotapie"/>
        <w:ind w:firstLine="708"/>
        <w:jc w:val="both"/>
        <w:rPr>
          <w:rFonts w:ascii="Verdana" w:hAnsi="Verdana" w:cs="Arial"/>
          <w:sz w:val="16"/>
          <w:szCs w:val="16"/>
          <w:lang w:val="es-CO"/>
        </w:rPr>
      </w:pPr>
      <w:r w:rsidRPr="00ED7AD8">
        <w:rPr>
          <w:rStyle w:val="Refdenotaalpie"/>
          <w:rFonts w:ascii="Verdana" w:hAnsi="Verdana" w:cs="Arial"/>
          <w:sz w:val="16"/>
          <w:szCs w:val="16"/>
        </w:rPr>
        <w:footnoteRef/>
      </w:r>
      <w:r w:rsidRPr="00ED7AD8">
        <w:rPr>
          <w:rFonts w:ascii="Verdana" w:hAnsi="Verdana" w:cs="Arial"/>
          <w:sz w:val="16"/>
          <w:szCs w:val="16"/>
        </w:rPr>
        <w:t xml:space="preserve"> Ibídem</w:t>
      </w:r>
    </w:p>
  </w:footnote>
  <w:footnote w:id="10">
    <w:p w14:paraId="2C345930" w14:textId="77777777" w:rsidR="002506A5" w:rsidRPr="00ED7AD8" w:rsidRDefault="002506A5" w:rsidP="002506A5">
      <w:pPr>
        <w:pStyle w:val="Textonotapie"/>
        <w:ind w:firstLine="708"/>
        <w:jc w:val="both"/>
        <w:rPr>
          <w:rFonts w:ascii="Verdana" w:hAnsi="Verdana"/>
          <w:sz w:val="16"/>
          <w:szCs w:val="16"/>
          <w:lang w:val="es-CO"/>
        </w:rPr>
      </w:pPr>
      <w:r w:rsidRPr="00ED7AD8">
        <w:rPr>
          <w:rStyle w:val="Refdenotaalpie"/>
          <w:rFonts w:ascii="Verdana" w:hAnsi="Verdana"/>
          <w:sz w:val="16"/>
          <w:szCs w:val="16"/>
        </w:rPr>
        <w:footnoteRef/>
      </w:r>
      <w:r w:rsidRPr="00ED7AD8">
        <w:rPr>
          <w:rFonts w:ascii="Verdana" w:hAnsi="Verdana"/>
          <w:sz w:val="16"/>
          <w:szCs w:val="16"/>
        </w:rPr>
        <w:t xml:space="preserve"> </w:t>
      </w:r>
      <w:r w:rsidRPr="00ED7AD8">
        <w:rPr>
          <w:rFonts w:ascii="Verdana" w:hAnsi="Verdana"/>
          <w:bCs/>
          <w:sz w:val="16"/>
          <w:szCs w:val="16"/>
          <w:lang w:val="es-CO"/>
        </w:rPr>
        <w:t>ARTICULO 14. DE LOS MEDIOS QUE PUEDEN UTILIZAR LAS ENTIDADES ESTATALES PARA EL CUMPLIMIENTO DEL OBJETO CONTRACTUAL.</w:t>
      </w:r>
      <w:r w:rsidRPr="00ED7AD8">
        <w:rPr>
          <w:rFonts w:ascii="Verdana" w:hAnsi="Verdana"/>
          <w:b/>
          <w:bCs/>
          <w:sz w:val="16"/>
          <w:szCs w:val="16"/>
          <w:lang w:val="es-CO"/>
        </w:rPr>
        <w:t> </w:t>
      </w:r>
      <w:r w:rsidRPr="00ED7AD8">
        <w:rPr>
          <w:rFonts w:ascii="Verdana" w:hAnsi="Verdana"/>
          <w:sz w:val="16"/>
          <w:szCs w:val="16"/>
          <w:lang w:val="es-CO"/>
        </w:rPr>
        <w:t>Para el cumplimiento de los fines de la contratación, las entidades estatales al celebrar un contrato: </w:t>
      </w:r>
    </w:p>
    <w:p w14:paraId="6F4E49DF" w14:textId="77777777" w:rsidR="002506A5" w:rsidRPr="00ED7AD8" w:rsidRDefault="002506A5" w:rsidP="002506A5">
      <w:pPr>
        <w:pStyle w:val="Textonotapie"/>
        <w:ind w:firstLine="708"/>
        <w:jc w:val="both"/>
        <w:rPr>
          <w:rFonts w:ascii="Verdana" w:hAnsi="Verdana"/>
          <w:sz w:val="16"/>
          <w:szCs w:val="16"/>
          <w:lang w:val="es-CO"/>
        </w:rPr>
      </w:pPr>
      <w:r w:rsidRPr="00ED7AD8">
        <w:rPr>
          <w:rFonts w:ascii="Verdana" w:hAnsi="Verdana"/>
          <w:sz w:val="16"/>
          <w:szCs w:val="16"/>
          <w:lang w:val="es-CO"/>
        </w:rPr>
        <w:t>1o. Tendrán la dirección general y la responsabilidad de ejercer el control y vigilancia de la ejecución del contrato. En consecuencia, con el exclusivo objeto de evitar la paralización o la afectación grave de los servicios públicos a su cargo y asegurar la inmediata, continua y adecuada prestación, podrán, en los casos previstos en el numeral 2o. de este artículo, interpretar los documentos contractuales y las estipulaciones en ellos convenidas, introducir modificaciones a lo contratado y, cuando las condiciones particulares de la prestación así lo exijan, terminar unilateralmente el contrato celebrado. </w:t>
      </w:r>
    </w:p>
    <w:p w14:paraId="2974DC23" w14:textId="77777777" w:rsidR="002506A5" w:rsidRPr="00ED7AD8" w:rsidRDefault="002506A5" w:rsidP="002506A5">
      <w:pPr>
        <w:pStyle w:val="Textonotapie"/>
        <w:ind w:firstLine="708"/>
        <w:jc w:val="both"/>
        <w:rPr>
          <w:rFonts w:ascii="Verdana" w:hAnsi="Verdana"/>
          <w:sz w:val="16"/>
          <w:szCs w:val="16"/>
          <w:lang w:val="es-CO"/>
        </w:rPr>
      </w:pPr>
      <w:r w:rsidRPr="00ED7AD8">
        <w:rPr>
          <w:rFonts w:ascii="Verdana" w:hAnsi="Verdana"/>
          <w:sz w:val="16"/>
          <w:szCs w:val="16"/>
          <w:lang w:val="es-CO"/>
        </w:rPr>
        <w:t>En los actos en que se ejercite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la ecuación o equilibrio inicial. </w:t>
      </w:r>
    </w:p>
    <w:p w14:paraId="032DE264" w14:textId="77777777" w:rsidR="002506A5" w:rsidRPr="00ED7AD8" w:rsidRDefault="002506A5" w:rsidP="002506A5">
      <w:pPr>
        <w:pStyle w:val="Textonotapie"/>
        <w:ind w:firstLine="708"/>
        <w:jc w:val="both"/>
        <w:rPr>
          <w:rFonts w:ascii="Verdana" w:hAnsi="Verdana"/>
          <w:sz w:val="16"/>
          <w:szCs w:val="16"/>
          <w:lang w:val="es-CO"/>
        </w:rPr>
      </w:pPr>
      <w:r w:rsidRPr="00ED7AD8">
        <w:rPr>
          <w:rFonts w:ascii="Verdana" w:hAnsi="Verdana"/>
          <w:sz w:val="16"/>
          <w:szCs w:val="16"/>
          <w:lang w:val="es-CO"/>
        </w:rPr>
        <w:t>Contra los actos administrativos que ordenen la interpretación, modificación y terminación unilaterales, procederá el recurso de reposición, sin perjuicio de la acción contractual que puede intentar el contratista, según lo previsto en el artículo 77 de esta ley. </w:t>
      </w:r>
    </w:p>
    <w:p w14:paraId="1252C83C" w14:textId="77777777" w:rsidR="002506A5" w:rsidRPr="00ED7AD8" w:rsidRDefault="002506A5" w:rsidP="002506A5">
      <w:pPr>
        <w:pStyle w:val="Textonotapie"/>
        <w:ind w:firstLine="708"/>
        <w:jc w:val="both"/>
        <w:rPr>
          <w:rFonts w:ascii="Verdana" w:hAnsi="Verdana"/>
          <w:sz w:val="16"/>
          <w:szCs w:val="16"/>
          <w:lang w:val="es-CO"/>
        </w:rPr>
      </w:pPr>
      <w:r w:rsidRPr="00ED7AD8">
        <w:rPr>
          <w:rFonts w:ascii="Verdana" w:hAnsi="Verdana"/>
          <w:sz w:val="16"/>
          <w:szCs w:val="16"/>
          <w:lang w:val="es-CO"/>
        </w:rPr>
        <w:t>2o. Pactaran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 </w:t>
      </w:r>
    </w:p>
    <w:p w14:paraId="0CD8583B" w14:textId="77777777" w:rsidR="002506A5" w:rsidRPr="00ED7AD8" w:rsidRDefault="002506A5" w:rsidP="002506A5">
      <w:pPr>
        <w:pStyle w:val="Textonotapie"/>
        <w:ind w:firstLine="708"/>
        <w:jc w:val="both"/>
        <w:rPr>
          <w:rFonts w:ascii="Verdana" w:hAnsi="Verdana"/>
          <w:sz w:val="16"/>
          <w:szCs w:val="16"/>
          <w:lang w:val="es-CO"/>
        </w:rPr>
      </w:pPr>
      <w:r w:rsidRPr="00ED7AD8">
        <w:rPr>
          <w:rFonts w:ascii="Verdana" w:hAnsi="Verdana"/>
          <w:sz w:val="16"/>
          <w:szCs w:val="16"/>
          <w:lang w:val="es-CO"/>
        </w:rPr>
        <w:t>Las entidades estatales podrán pactar estas cláusulas en los contratos de suministro y de prestación de servicios.  </w:t>
      </w:r>
    </w:p>
    <w:p w14:paraId="62BD7CEA" w14:textId="77777777" w:rsidR="002506A5" w:rsidRPr="00ED7AD8" w:rsidRDefault="002506A5" w:rsidP="002506A5">
      <w:pPr>
        <w:pStyle w:val="Textonotapie"/>
        <w:ind w:firstLine="708"/>
        <w:jc w:val="both"/>
        <w:rPr>
          <w:rFonts w:ascii="Verdana" w:hAnsi="Verdana"/>
          <w:sz w:val="16"/>
          <w:szCs w:val="16"/>
          <w:lang w:val="es-CO"/>
        </w:rPr>
      </w:pPr>
      <w:r w:rsidRPr="00ED7AD8">
        <w:rPr>
          <w:rFonts w:ascii="Verdana" w:hAnsi="Verdana"/>
          <w:sz w:val="16"/>
          <w:szCs w:val="16"/>
          <w:lang w:val="es-CO"/>
        </w:rPr>
        <w:t>En los casos previstos en este numeral, las cláusulas excepcionales se entienden pactadas aun cuando no se consignen expresamente. </w:t>
      </w:r>
    </w:p>
    <w:p w14:paraId="1A6E00AA" w14:textId="77777777" w:rsidR="002506A5" w:rsidRPr="00ED7AD8" w:rsidRDefault="002506A5" w:rsidP="002506A5">
      <w:pPr>
        <w:pStyle w:val="Textonotapie"/>
        <w:ind w:firstLine="708"/>
        <w:jc w:val="both"/>
        <w:rPr>
          <w:rFonts w:ascii="Verdana" w:hAnsi="Verdana"/>
          <w:sz w:val="16"/>
          <w:szCs w:val="16"/>
          <w:lang w:val="es-CO"/>
        </w:rPr>
      </w:pPr>
      <w:r w:rsidRPr="00ED7AD8">
        <w:rPr>
          <w:rFonts w:ascii="Verdana" w:hAnsi="Verdana"/>
          <w:bCs/>
          <w:sz w:val="16"/>
          <w:szCs w:val="16"/>
          <w:lang w:val="es-CO"/>
        </w:rPr>
        <w:t>PARAGRAFO.</w:t>
      </w:r>
      <w:r w:rsidRPr="00ED7AD8">
        <w:rPr>
          <w:rFonts w:ascii="Verdana" w:hAnsi="Verdana"/>
          <w:sz w:val="16"/>
          <w:szCs w:val="16"/>
          <w:lang w:val="es-CO"/>
        </w:rPr>
        <w:t> En los contratos que se celebren con personas públicas internacionales, o de cooperación, ayuda o asistencia; en los interadministrativos; en los de empréstito, donación y arrendamiento y en los contratos que tengan por objeto actividades comerciales o industriales de las entidades estatales que no correspondan a las señaladas en el numeral 2o. de este artículo, o que tengan por objeto el desarrollo directo de actividades científicas o tecnológicas, así como en los contratos de seguro tomados por las entidades estatales, se prescindirá de la utilización de las cláusulas o estipulaciones excepcionales. </w:t>
      </w:r>
    </w:p>
    <w:p w14:paraId="091C4391" w14:textId="77777777" w:rsidR="002506A5" w:rsidRPr="00ED7AD8" w:rsidRDefault="002506A5" w:rsidP="002506A5">
      <w:pPr>
        <w:pStyle w:val="Textonotapie"/>
        <w:rPr>
          <w:sz w:val="16"/>
          <w:szCs w:val="16"/>
          <w:lang w:val="es-CO"/>
        </w:rPr>
      </w:pPr>
    </w:p>
  </w:footnote>
  <w:footnote w:id="11">
    <w:p w14:paraId="1C58C1EF" w14:textId="77777777" w:rsidR="002506A5" w:rsidRPr="00ED7AD8" w:rsidRDefault="002506A5" w:rsidP="002506A5">
      <w:pPr>
        <w:pStyle w:val="Textonotapie"/>
        <w:ind w:firstLine="708"/>
        <w:jc w:val="both"/>
        <w:rPr>
          <w:rFonts w:ascii="Verdana" w:hAnsi="Verdana"/>
          <w:sz w:val="16"/>
          <w:szCs w:val="16"/>
          <w:lang w:val="es-CO"/>
        </w:rPr>
      </w:pPr>
      <w:r w:rsidRPr="00ED7AD8">
        <w:rPr>
          <w:rStyle w:val="Refdenotaalpie"/>
          <w:rFonts w:ascii="Verdana" w:hAnsi="Verdana"/>
          <w:sz w:val="16"/>
          <w:szCs w:val="16"/>
        </w:rPr>
        <w:footnoteRef/>
      </w:r>
      <w:r w:rsidRPr="00ED7AD8">
        <w:rPr>
          <w:rFonts w:ascii="Verdana" w:hAnsi="Verdana"/>
          <w:sz w:val="16"/>
          <w:szCs w:val="16"/>
        </w:rPr>
        <w:t xml:space="preserve"> </w:t>
      </w:r>
      <w:r w:rsidRPr="00ED7AD8">
        <w:rPr>
          <w:rFonts w:ascii="Verdana" w:hAnsi="Verdana"/>
          <w:bCs/>
          <w:sz w:val="16"/>
          <w:szCs w:val="16"/>
          <w:lang w:val="es-CO"/>
        </w:rPr>
        <w:t>ARTICULO 16. DE LA MODIFICACION UNILATERAL.</w:t>
      </w:r>
      <w:r w:rsidRPr="00ED7AD8">
        <w:rPr>
          <w:rFonts w:ascii="Verdana" w:hAnsi="Verdana"/>
          <w:sz w:val="16"/>
          <w:szCs w:val="16"/>
          <w:lang w:val="es-CO"/>
        </w:rPr>
        <w:t> Si durante la ejecución del contrato y para evitar la paralización o la afectación grave del servicio público que se deba satisfacer con él, fuere necesario introducir variaciones en el contrato y previamente las partes no llegan al acuerdo respectivo, la entidad en acto administrativo debidamente motivado, lo modificará mediante la supresión o adición de obras, trabajos, suministros o servicios. </w:t>
      </w:r>
    </w:p>
    <w:p w14:paraId="1414A067" w14:textId="77777777" w:rsidR="002506A5" w:rsidRPr="00ED7AD8" w:rsidRDefault="002506A5" w:rsidP="002506A5">
      <w:pPr>
        <w:pStyle w:val="Textonotapie"/>
        <w:ind w:firstLine="708"/>
        <w:jc w:val="both"/>
        <w:rPr>
          <w:rFonts w:ascii="Verdana" w:hAnsi="Verdana"/>
          <w:sz w:val="16"/>
          <w:szCs w:val="16"/>
          <w:lang w:val="es-CO"/>
        </w:rPr>
      </w:pPr>
      <w:r w:rsidRPr="00ED7AD8">
        <w:rPr>
          <w:rFonts w:ascii="Verdana" w:hAnsi="Verdana"/>
          <w:sz w:val="16"/>
          <w:szCs w:val="16"/>
          <w:lang w:val="es-CO"/>
        </w:rPr>
        <w:t>Si las modificaciones alteran el valor del contrato en un veinte por ciento (20%) o más del valor inicial, el contratista podrá renunciar a la continuación de la ejecución. En este evento, se ordenará la liquidación del contrato y la entidad adoptará de manera inmediata las medidas que fueren necesarias para garantizar la terminación del objeto del mismo.</w:t>
      </w:r>
    </w:p>
    <w:p w14:paraId="765A5A32" w14:textId="77777777" w:rsidR="002506A5" w:rsidRPr="00ED7AD8" w:rsidRDefault="002506A5" w:rsidP="002506A5">
      <w:pPr>
        <w:pStyle w:val="Textonotapie"/>
        <w:ind w:firstLine="708"/>
        <w:jc w:val="both"/>
        <w:rPr>
          <w:rFonts w:ascii="Verdana" w:hAnsi="Verdana"/>
          <w:sz w:val="16"/>
          <w:szCs w:val="16"/>
          <w:lang w:val="es-CO"/>
        </w:rPr>
      </w:pPr>
    </w:p>
  </w:footnote>
  <w:footnote w:id="12">
    <w:p w14:paraId="034314A6" w14:textId="77777777" w:rsidR="002506A5" w:rsidRPr="00ED7AD8" w:rsidRDefault="002506A5" w:rsidP="002506A5">
      <w:pPr>
        <w:pStyle w:val="Textonotapie"/>
        <w:ind w:firstLine="708"/>
        <w:jc w:val="both"/>
        <w:rPr>
          <w:rFonts w:ascii="Verdana" w:hAnsi="Verdana" w:cs="Arial"/>
          <w:sz w:val="16"/>
          <w:szCs w:val="16"/>
        </w:rPr>
      </w:pPr>
      <w:r w:rsidRPr="00ED7AD8">
        <w:rPr>
          <w:rStyle w:val="Refdenotaalpie"/>
          <w:rFonts w:ascii="Verdana" w:hAnsi="Verdana" w:cs="Arial"/>
          <w:sz w:val="16"/>
          <w:szCs w:val="16"/>
        </w:rPr>
        <w:footnoteRef/>
      </w:r>
      <w:r w:rsidRPr="00ED7AD8">
        <w:rPr>
          <w:rFonts w:ascii="Verdana" w:hAnsi="Verdana" w:cs="Arial"/>
          <w:sz w:val="16"/>
          <w:szCs w:val="16"/>
        </w:rPr>
        <w:t xml:space="preserve"> </w:t>
      </w:r>
      <w:r w:rsidRPr="00ED7AD8">
        <w:rPr>
          <w:rFonts w:ascii="Verdana" w:hAnsi="Verdana" w:cs="Arial"/>
          <w:bCs/>
          <w:i/>
          <w:sz w:val="16"/>
          <w:szCs w:val="16"/>
        </w:rPr>
        <w:t xml:space="preserve">Cfr. </w:t>
      </w:r>
      <w:r w:rsidRPr="00ED7AD8">
        <w:rPr>
          <w:rFonts w:ascii="Verdana" w:hAnsi="Verdana" w:cs="Arial"/>
          <w:sz w:val="16"/>
          <w:szCs w:val="16"/>
        </w:rPr>
        <w:t>DAVILA VINUEZA Luis Guillermo. Régimen Jurídico de la contratación estatal. Bogotá: Editorial Legis, 2001, p. 387.</w:t>
      </w:r>
    </w:p>
    <w:p w14:paraId="3F7BC7BF" w14:textId="77777777" w:rsidR="002506A5" w:rsidRPr="00ED7AD8" w:rsidRDefault="002506A5" w:rsidP="002506A5">
      <w:pPr>
        <w:pStyle w:val="Textonotapie"/>
        <w:jc w:val="both"/>
        <w:rPr>
          <w:rFonts w:ascii="Verdana" w:hAnsi="Verdana" w:cs="Arial"/>
          <w:sz w:val="16"/>
          <w:szCs w:val="16"/>
          <w:lang w:val="es-CO"/>
        </w:rPr>
      </w:pPr>
    </w:p>
  </w:footnote>
  <w:footnote w:id="13">
    <w:p w14:paraId="0AAAC102" w14:textId="77777777" w:rsidR="002506A5" w:rsidRPr="00ED7AD8" w:rsidRDefault="002506A5" w:rsidP="002506A5">
      <w:pPr>
        <w:pStyle w:val="Textonotapie"/>
        <w:ind w:firstLine="708"/>
        <w:jc w:val="both"/>
        <w:rPr>
          <w:rFonts w:ascii="Verdana" w:eastAsia="Times New Roman" w:hAnsi="Verdana" w:cs="Arial"/>
          <w:bCs/>
          <w:sz w:val="16"/>
          <w:szCs w:val="16"/>
          <w:lang w:val="es-ES" w:eastAsia="es-ES"/>
        </w:rPr>
      </w:pPr>
      <w:r w:rsidRPr="00ED7AD8">
        <w:rPr>
          <w:rStyle w:val="Refdenotaalpie"/>
          <w:rFonts w:ascii="Verdana" w:hAnsi="Verdana" w:cs="Arial"/>
          <w:sz w:val="16"/>
          <w:szCs w:val="16"/>
        </w:rPr>
        <w:footnoteRef/>
      </w:r>
      <w:r w:rsidRPr="00ED7AD8">
        <w:rPr>
          <w:rFonts w:ascii="Verdana" w:hAnsi="Verdana" w:cs="Arial"/>
          <w:sz w:val="16"/>
          <w:szCs w:val="16"/>
        </w:rPr>
        <w:t xml:space="preserve"> </w:t>
      </w:r>
      <w:r w:rsidRPr="00ED7AD8">
        <w:rPr>
          <w:rFonts w:ascii="Verdana" w:hAnsi="Verdana" w:cs="Arial"/>
          <w:sz w:val="16"/>
          <w:szCs w:val="16"/>
          <w:lang w:val="es-CO"/>
        </w:rPr>
        <w:t>Sobre el particular resultan pertinentes las consideraciones efectuadas en el mismo sentido por la</w:t>
      </w:r>
      <w:r w:rsidRPr="00ED7AD8">
        <w:rPr>
          <w:rFonts w:ascii="Verdana" w:eastAsia="Times New Roman" w:hAnsi="Verdana" w:cs="Arial"/>
          <w:sz w:val="16"/>
          <w:szCs w:val="16"/>
          <w:lang w:val="es-ES" w:eastAsia="es-ES"/>
        </w:rPr>
        <w:t xml:space="preserve"> Sala de Consulta y Servicio Civil del Consejo de Estado en el concepto del 13 de agosto de 2009, rad. </w:t>
      </w:r>
      <w:r w:rsidRPr="00ED7AD8">
        <w:rPr>
          <w:rFonts w:ascii="Verdana" w:eastAsia="Times New Roman" w:hAnsi="Verdana" w:cs="Arial"/>
          <w:bCs/>
          <w:sz w:val="16"/>
          <w:szCs w:val="16"/>
          <w:lang w:val="es-ES" w:eastAsia="es-ES"/>
        </w:rPr>
        <w:t xml:space="preserve">1.952, C.P. Enrique José Arboleda Perdomo y por la Corte Constitucional en la sentencia C-300 de 2012. </w:t>
      </w:r>
    </w:p>
    <w:p w14:paraId="53BB334E" w14:textId="77777777" w:rsidR="002506A5" w:rsidRPr="00ED7AD8" w:rsidRDefault="002506A5" w:rsidP="002506A5">
      <w:pPr>
        <w:pStyle w:val="Textonotapie"/>
        <w:ind w:firstLine="708"/>
        <w:jc w:val="both"/>
        <w:rPr>
          <w:rFonts w:ascii="Verdana" w:hAnsi="Verdana" w:cs="Arial"/>
          <w:sz w:val="16"/>
          <w:szCs w:val="16"/>
          <w:lang w:val="es-CO"/>
        </w:rPr>
      </w:pPr>
    </w:p>
  </w:footnote>
  <w:footnote w:id="14">
    <w:p w14:paraId="4FAC1F69" w14:textId="77777777" w:rsidR="002506A5" w:rsidRPr="00ED7AD8" w:rsidRDefault="002506A5" w:rsidP="002506A5">
      <w:pPr>
        <w:pStyle w:val="Textonotapie"/>
        <w:ind w:firstLine="708"/>
        <w:jc w:val="both"/>
        <w:rPr>
          <w:rFonts w:ascii="Verdana" w:hAnsi="Verdana"/>
          <w:sz w:val="16"/>
          <w:szCs w:val="16"/>
          <w:lang w:val="es-ES"/>
        </w:rPr>
      </w:pPr>
      <w:r w:rsidRPr="00ED7AD8">
        <w:rPr>
          <w:rStyle w:val="Refdenotaalpie"/>
          <w:rFonts w:ascii="Verdana" w:hAnsi="Verdana"/>
          <w:sz w:val="16"/>
          <w:szCs w:val="16"/>
        </w:rPr>
        <w:footnoteRef/>
      </w:r>
      <w:r w:rsidRPr="00ED7AD8">
        <w:rPr>
          <w:rFonts w:ascii="Verdana" w:hAnsi="Verdana"/>
          <w:sz w:val="16"/>
          <w:szCs w:val="16"/>
        </w:rPr>
        <w:t xml:space="preserve"> </w:t>
      </w:r>
      <w:r w:rsidRPr="00ED7AD8">
        <w:rPr>
          <w:rFonts w:ascii="Verdana" w:hAnsi="Verdana"/>
          <w:sz w:val="16"/>
          <w:szCs w:val="16"/>
          <w:lang w:val="es-CO"/>
        </w:rPr>
        <w:t>Jaime Orlando Santofimio Gamboa. Delitos de celebración indebida de contratos, Bogotá, Universidad Externado de Colombia, 2000, p. 290.</w:t>
      </w:r>
    </w:p>
  </w:footnote>
  <w:footnote w:id="15">
    <w:p w14:paraId="193DE473" w14:textId="77777777" w:rsidR="002506A5" w:rsidRPr="00ED7AD8" w:rsidRDefault="002506A5" w:rsidP="002506A5">
      <w:pPr>
        <w:pStyle w:val="Textonotapie"/>
        <w:ind w:firstLine="708"/>
        <w:jc w:val="both"/>
        <w:rPr>
          <w:rFonts w:ascii="Verdana" w:hAnsi="Verdana" w:cs="Arial"/>
          <w:color w:val="000000"/>
          <w:sz w:val="16"/>
          <w:szCs w:val="16"/>
        </w:rPr>
      </w:pPr>
      <w:r w:rsidRPr="00ED7AD8">
        <w:rPr>
          <w:rStyle w:val="Refdenotaalpie"/>
          <w:rFonts w:ascii="Verdana" w:hAnsi="Verdana" w:cs="Arial"/>
          <w:color w:val="000000"/>
          <w:sz w:val="16"/>
          <w:szCs w:val="16"/>
        </w:rPr>
        <w:footnoteRef/>
      </w:r>
      <w:r w:rsidRPr="00ED7AD8">
        <w:rPr>
          <w:rFonts w:ascii="Verdana" w:hAnsi="Verdana" w:cs="Arial"/>
          <w:color w:val="000000"/>
          <w:sz w:val="16"/>
          <w:szCs w:val="16"/>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p w14:paraId="7671D96E" w14:textId="77777777" w:rsidR="002506A5" w:rsidRPr="00ED7AD8" w:rsidRDefault="002506A5" w:rsidP="002506A5">
      <w:pPr>
        <w:pStyle w:val="Textonotapie"/>
        <w:ind w:firstLine="708"/>
        <w:jc w:val="both"/>
        <w:rPr>
          <w:rFonts w:ascii="Verdana" w:hAnsi="Verdana" w:cs="Arial"/>
          <w:color w:val="000000"/>
          <w:sz w:val="16"/>
          <w:szCs w:val="16"/>
          <w:lang w:val="es-CO"/>
        </w:rPr>
      </w:pPr>
    </w:p>
  </w:footnote>
  <w:footnote w:id="16">
    <w:p w14:paraId="08AF4002" w14:textId="77777777" w:rsidR="002506A5" w:rsidRPr="00ED7AD8" w:rsidRDefault="002506A5" w:rsidP="002506A5">
      <w:pPr>
        <w:spacing w:after="0" w:line="240" w:lineRule="auto"/>
        <w:ind w:firstLine="708"/>
        <w:jc w:val="both"/>
        <w:rPr>
          <w:rFonts w:ascii="Verdana" w:hAnsi="Verdana"/>
          <w:sz w:val="16"/>
          <w:szCs w:val="16"/>
        </w:rPr>
      </w:pPr>
    </w:p>
    <w:p w14:paraId="463747B2" w14:textId="77777777" w:rsidR="002506A5" w:rsidRPr="00ED7AD8" w:rsidRDefault="002506A5" w:rsidP="002506A5">
      <w:pPr>
        <w:spacing w:after="0" w:line="240" w:lineRule="auto"/>
        <w:ind w:firstLine="709"/>
        <w:jc w:val="both"/>
        <w:rPr>
          <w:rFonts w:ascii="Verdana" w:hAnsi="Verdana"/>
          <w:sz w:val="16"/>
          <w:szCs w:val="16"/>
        </w:rPr>
      </w:pPr>
      <w:r w:rsidRPr="00ED7AD8">
        <w:rPr>
          <w:rStyle w:val="Refdenotaalpie"/>
          <w:rFonts w:ascii="Verdana" w:hAnsi="Verdana"/>
          <w:sz w:val="16"/>
          <w:szCs w:val="16"/>
        </w:rPr>
        <w:footnoteRef/>
      </w:r>
      <w:r w:rsidRPr="00ED7AD8">
        <w:rPr>
          <w:rFonts w:ascii="Verdana" w:hAnsi="Verdana"/>
          <w:sz w:val="16"/>
          <w:szCs w:val="16"/>
        </w:rPr>
        <w:t xml:space="preserve"> CONSEJO DE ESTADO. Sala de Consulta y Servicio Civil.</w:t>
      </w:r>
      <w:r w:rsidRPr="00ED7AD8">
        <w:rPr>
          <w:rFonts w:ascii="Verdana" w:hAnsi="Verdana"/>
          <w:i/>
          <w:iCs/>
          <w:sz w:val="16"/>
          <w:szCs w:val="16"/>
        </w:rPr>
        <w:t xml:space="preserve"> </w:t>
      </w:r>
      <w:r w:rsidRPr="00ED7AD8">
        <w:rPr>
          <w:rFonts w:ascii="Verdana" w:hAnsi="Verdana"/>
          <w:sz w:val="16"/>
          <w:szCs w:val="16"/>
        </w:rPr>
        <w:t>C.P.: Óscar Daría Amaya Navas. Concepto del 06 de junio 2018. Radicación número: 2369.</w:t>
      </w:r>
    </w:p>
    <w:p w14:paraId="51C64FA1" w14:textId="77777777" w:rsidR="002506A5" w:rsidRPr="00ED7AD8" w:rsidRDefault="002506A5" w:rsidP="002506A5">
      <w:pPr>
        <w:spacing w:after="0" w:line="240" w:lineRule="auto"/>
        <w:ind w:firstLine="709"/>
        <w:jc w:val="both"/>
        <w:rPr>
          <w:rFonts w:ascii="Verdana" w:hAnsi="Verdana"/>
          <w:i/>
          <w:iCs/>
          <w:sz w:val="16"/>
          <w:szCs w:val="16"/>
        </w:rPr>
      </w:pPr>
    </w:p>
  </w:footnote>
  <w:footnote w:id="17">
    <w:p w14:paraId="3FE9B6C5" w14:textId="77777777" w:rsidR="002506A5" w:rsidRPr="00ED7AD8" w:rsidRDefault="002506A5" w:rsidP="002506A5">
      <w:pPr>
        <w:pStyle w:val="Textonotapie"/>
        <w:ind w:firstLine="709"/>
        <w:jc w:val="both"/>
        <w:rPr>
          <w:rFonts w:ascii="Verdana" w:hAnsi="Verdana"/>
          <w:sz w:val="16"/>
          <w:szCs w:val="16"/>
          <w:lang w:val="es-CO"/>
        </w:rPr>
      </w:pPr>
      <w:r w:rsidRPr="00ED7AD8">
        <w:rPr>
          <w:rStyle w:val="Refdenotaalpie"/>
          <w:rFonts w:ascii="Verdana" w:hAnsi="Verdana"/>
          <w:sz w:val="16"/>
          <w:szCs w:val="16"/>
        </w:rPr>
        <w:footnoteRef/>
      </w:r>
      <w:r w:rsidRPr="00ED7AD8">
        <w:rPr>
          <w:rFonts w:ascii="Verdana" w:hAnsi="Verdana"/>
          <w:sz w:val="16"/>
          <w:szCs w:val="16"/>
        </w:rPr>
        <w:t xml:space="preserve"> </w:t>
      </w:r>
      <w:r w:rsidRPr="00ED7AD8">
        <w:rPr>
          <w:rFonts w:ascii="Verdana" w:hAnsi="Verdana"/>
          <w:bCs/>
          <w:sz w:val="16"/>
          <w:szCs w:val="16"/>
          <w:lang w:val="es-CO"/>
        </w:rPr>
        <w:t>ARTICULO 11. DE LA COMPETENCIA PARA DIRIGIR LICITACIONES O CONCURSOS Y PARA CELEBRAR CONTRATOS ESTATALES. </w:t>
      </w:r>
      <w:r w:rsidRPr="00ED7AD8">
        <w:rPr>
          <w:rFonts w:ascii="Verdana" w:hAnsi="Verdana"/>
          <w:sz w:val="16"/>
          <w:szCs w:val="16"/>
          <w:lang w:val="es-CO"/>
        </w:rPr>
        <w:t>En las entidades estatales a que se refiere el artículo 2o.: </w:t>
      </w:r>
    </w:p>
    <w:p w14:paraId="041570E5" w14:textId="77777777" w:rsidR="002506A5" w:rsidRPr="00ED7AD8" w:rsidRDefault="002506A5" w:rsidP="002506A5">
      <w:pPr>
        <w:pStyle w:val="Textonotapie"/>
        <w:ind w:firstLine="709"/>
        <w:jc w:val="both"/>
        <w:rPr>
          <w:rFonts w:ascii="Verdana" w:hAnsi="Verdana"/>
          <w:sz w:val="16"/>
          <w:szCs w:val="16"/>
          <w:lang w:val="es-CO"/>
        </w:rPr>
      </w:pPr>
      <w:r w:rsidRPr="00ED7AD8">
        <w:rPr>
          <w:rFonts w:ascii="Verdana" w:hAnsi="Verdana"/>
          <w:sz w:val="16"/>
          <w:szCs w:val="16"/>
          <w:lang w:val="es-CO"/>
        </w:rPr>
        <w:t>1o. La competencia para ordenar y dirigir la celebración de licitaciones o concursos y para escoger contratistas será del jefe o representante de la entidad, según el caso. </w:t>
      </w:r>
    </w:p>
    <w:p w14:paraId="4598C60D" w14:textId="77777777" w:rsidR="002506A5" w:rsidRPr="00ED7AD8" w:rsidRDefault="002506A5" w:rsidP="002506A5">
      <w:pPr>
        <w:pStyle w:val="Textonotapie"/>
        <w:ind w:firstLine="709"/>
        <w:jc w:val="both"/>
        <w:rPr>
          <w:rFonts w:ascii="Verdana" w:hAnsi="Verdana"/>
          <w:sz w:val="16"/>
          <w:szCs w:val="16"/>
          <w:lang w:val="es-CO"/>
        </w:rPr>
      </w:pPr>
      <w:r w:rsidRPr="00ED7AD8">
        <w:rPr>
          <w:rFonts w:ascii="Verdana" w:hAnsi="Verdana"/>
          <w:sz w:val="16"/>
          <w:szCs w:val="16"/>
          <w:lang w:val="es-CO"/>
        </w:rPr>
        <w:t>2o. Tiene competencia para celebrar contratos a nombre de la Nación, el Presidente de la República. </w:t>
      </w:r>
    </w:p>
    <w:p w14:paraId="10F2B7CB" w14:textId="77777777" w:rsidR="002506A5" w:rsidRPr="00ED7AD8" w:rsidRDefault="002506A5" w:rsidP="002506A5">
      <w:pPr>
        <w:pStyle w:val="Textonotapie"/>
        <w:ind w:firstLine="709"/>
        <w:jc w:val="both"/>
        <w:rPr>
          <w:rFonts w:ascii="Verdana" w:hAnsi="Verdana"/>
          <w:sz w:val="16"/>
          <w:szCs w:val="16"/>
          <w:lang w:val="es-CO"/>
        </w:rPr>
      </w:pPr>
      <w:r w:rsidRPr="00ED7AD8">
        <w:rPr>
          <w:rFonts w:ascii="Verdana" w:hAnsi="Verdana"/>
          <w:sz w:val="16"/>
          <w:szCs w:val="16"/>
          <w:lang w:val="es-CO"/>
        </w:rPr>
        <w:t>3o. Tienen competencia para celebrar contratos a nombre de la entidad respectiva: </w:t>
      </w:r>
    </w:p>
    <w:p w14:paraId="4A819CC5" w14:textId="77777777" w:rsidR="002506A5" w:rsidRPr="00ED7AD8" w:rsidRDefault="002506A5" w:rsidP="002506A5">
      <w:pPr>
        <w:pStyle w:val="Textonotapie"/>
        <w:ind w:firstLine="709"/>
        <w:jc w:val="both"/>
        <w:rPr>
          <w:rFonts w:ascii="Verdana" w:hAnsi="Verdana"/>
          <w:sz w:val="16"/>
          <w:szCs w:val="16"/>
          <w:lang w:val="es-CO"/>
        </w:rPr>
      </w:pPr>
      <w:r w:rsidRPr="00ED7AD8">
        <w:rPr>
          <w:rFonts w:ascii="Verdana" w:hAnsi="Verdana"/>
          <w:sz w:val="16"/>
          <w:szCs w:val="16"/>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696809FB" w14:textId="77777777" w:rsidR="002506A5" w:rsidRPr="00ED7AD8" w:rsidRDefault="002506A5" w:rsidP="002506A5">
      <w:pPr>
        <w:pStyle w:val="Textonotapie"/>
        <w:ind w:firstLine="709"/>
        <w:jc w:val="both"/>
        <w:rPr>
          <w:rFonts w:ascii="Verdana" w:hAnsi="Verdana"/>
          <w:sz w:val="16"/>
          <w:szCs w:val="16"/>
          <w:lang w:val="es-CO"/>
        </w:rPr>
      </w:pPr>
      <w:r w:rsidRPr="00ED7AD8">
        <w:rPr>
          <w:rFonts w:ascii="Verdana" w:hAnsi="Verdana"/>
          <w:sz w:val="16"/>
          <w:szCs w:val="16"/>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5753C8E9" w14:textId="77777777" w:rsidR="002506A5" w:rsidRPr="00ED7AD8" w:rsidRDefault="002506A5" w:rsidP="002506A5">
      <w:pPr>
        <w:pStyle w:val="Textonotapie"/>
        <w:ind w:firstLine="709"/>
        <w:jc w:val="both"/>
        <w:rPr>
          <w:rFonts w:ascii="Verdana" w:hAnsi="Verdana"/>
          <w:sz w:val="16"/>
          <w:szCs w:val="16"/>
          <w:lang w:val="es-CO"/>
        </w:rPr>
      </w:pPr>
      <w:r w:rsidRPr="00ED7AD8">
        <w:rPr>
          <w:rFonts w:ascii="Verdana" w:hAnsi="Verdana"/>
          <w:sz w:val="16"/>
          <w:szCs w:val="16"/>
          <w:lang w:val="es-CO"/>
        </w:rPr>
        <w:t>c) Los representantes legales de las entidades descentralizadas en todos los órdenes y niveles. </w:t>
      </w:r>
      <w:bookmarkStart w:id="3" w:name="ver_30161404"/>
      <w:bookmarkStart w:id="4" w:name="ver_1790120"/>
      <w:bookmarkEnd w:id="3"/>
      <w:bookmarkEnd w:id="4"/>
    </w:p>
    <w:p w14:paraId="444F6D9C" w14:textId="77777777" w:rsidR="002506A5" w:rsidRPr="00ED7AD8" w:rsidRDefault="002506A5" w:rsidP="002506A5">
      <w:pPr>
        <w:pStyle w:val="Textonotapie"/>
        <w:ind w:firstLine="709"/>
        <w:jc w:val="both"/>
        <w:rPr>
          <w:rFonts w:ascii="Verdana" w:hAnsi="Verdana"/>
          <w:sz w:val="16"/>
          <w:szCs w:val="16"/>
          <w:lang w:val="es-CO"/>
        </w:rPr>
      </w:pPr>
    </w:p>
  </w:footnote>
  <w:footnote w:id="18">
    <w:p w14:paraId="362CC0C8" w14:textId="77777777" w:rsidR="002506A5" w:rsidRPr="00ED7AD8" w:rsidRDefault="002506A5" w:rsidP="002506A5">
      <w:pPr>
        <w:pStyle w:val="Textonotapie"/>
        <w:ind w:firstLine="709"/>
        <w:jc w:val="both"/>
        <w:rPr>
          <w:rFonts w:ascii="Verdana" w:hAnsi="Verdana"/>
          <w:sz w:val="16"/>
          <w:szCs w:val="16"/>
          <w:lang w:val="es-CO"/>
        </w:rPr>
      </w:pPr>
      <w:r w:rsidRPr="00ED7AD8">
        <w:rPr>
          <w:rStyle w:val="Refdenotaalpie"/>
          <w:rFonts w:ascii="Verdana" w:hAnsi="Verdana"/>
          <w:sz w:val="16"/>
          <w:szCs w:val="16"/>
        </w:rPr>
        <w:footnoteRef/>
      </w:r>
      <w:r w:rsidRPr="00ED7AD8">
        <w:rPr>
          <w:rFonts w:ascii="Verdana" w:hAnsi="Verdana"/>
          <w:sz w:val="16"/>
          <w:szCs w:val="16"/>
        </w:rPr>
        <w:t xml:space="preserve"> </w:t>
      </w:r>
      <w:r w:rsidRPr="00ED7AD8">
        <w:rPr>
          <w:rFonts w:ascii="Verdana" w:hAnsi="Verdana"/>
          <w:bCs/>
          <w:sz w:val="16"/>
          <w:szCs w:val="16"/>
          <w:lang w:val="es-CO"/>
        </w:rPr>
        <w:t>ARTICULO 12. DE LA DELEGACION PARA CONTRATAR.</w:t>
      </w:r>
      <w:r w:rsidRPr="00ED7AD8">
        <w:rPr>
          <w:rFonts w:ascii="Verdana" w:hAnsi="Verdana"/>
          <w:sz w:val="16"/>
          <w:szCs w:val="16"/>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6DEC7A97" w14:textId="77777777" w:rsidR="002506A5" w:rsidRPr="00ED7AD8" w:rsidRDefault="002506A5" w:rsidP="002506A5">
      <w:pPr>
        <w:pStyle w:val="Textonotapie"/>
        <w:ind w:firstLine="709"/>
        <w:jc w:val="both"/>
        <w:rPr>
          <w:rFonts w:ascii="Verdana" w:hAnsi="Verdana"/>
          <w:sz w:val="16"/>
          <w:szCs w:val="16"/>
          <w:lang w:val="es-CO"/>
        </w:rPr>
      </w:pPr>
      <w:r w:rsidRPr="00ED7AD8">
        <w:rPr>
          <w:rFonts w:ascii="Verdana" w:hAnsi="Verdana"/>
          <w:sz w:val="16"/>
          <w:szCs w:val="16"/>
          <w:lang w:val="es-CO"/>
        </w:rPr>
        <w:t>En ningún caso, los jefes y representantes legales de las entidades estatales quedarán exonerados por virtud de la delegación de sus deberes de control y vigilancia de la actividad precontractual y contractual.  </w:t>
      </w:r>
    </w:p>
    <w:p w14:paraId="2427ED11" w14:textId="77777777" w:rsidR="002506A5" w:rsidRPr="00ED7AD8" w:rsidRDefault="002506A5" w:rsidP="002506A5">
      <w:pPr>
        <w:pStyle w:val="Textonotapie"/>
        <w:ind w:firstLine="708"/>
        <w:jc w:val="both"/>
        <w:rPr>
          <w:rFonts w:ascii="Verdana" w:hAnsi="Verdana"/>
          <w:sz w:val="16"/>
          <w:szCs w:val="16"/>
          <w:lang w:val="es-ES"/>
        </w:rPr>
      </w:pPr>
      <w:r w:rsidRPr="00ED7AD8">
        <w:rPr>
          <w:rFonts w:ascii="Verdana" w:hAnsi="Verdana"/>
          <w:bCs/>
          <w:sz w:val="16"/>
          <w:szCs w:val="16"/>
          <w:lang w:val="es-CO"/>
        </w:rPr>
        <w:t>Parágrafo. </w:t>
      </w:r>
      <w:r w:rsidRPr="00ED7AD8">
        <w:rPr>
          <w:rFonts w:ascii="Verdana" w:hAnsi="Verdana"/>
          <w:sz w:val="16"/>
          <w:szCs w:val="16"/>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19">
    <w:p w14:paraId="2ABE628B" w14:textId="77777777" w:rsidR="002506A5" w:rsidRPr="00ED7AD8" w:rsidRDefault="002506A5" w:rsidP="002506A5">
      <w:pPr>
        <w:spacing w:after="0" w:line="240" w:lineRule="auto"/>
        <w:ind w:firstLine="708"/>
        <w:jc w:val="both"/>
        <w:rPr>
          <w:rFonts w:ascii="Verdana" w:hAnsi="Verdana"/>
          <w:sz w:val="16"/>
          <w:szCs w:val="16"/>
        </w:rPr>
      </w:pPr>
      <w:r w:rsidRPr="00ED7AD8">
        <w:rPr>
          <w:rStyle w:val="Refdenotaalpie"/>
          <w:rFonts w:ascii="Verdana" w:hAnsi="Verdana"/>
          <w:sz w:val="16"/>
          <w:szCs w:val="16"/>
        </w:rPr>
        <w:footnoteRef/>
      </w:r>
      <w:r w:rsidRPr="00ED7AD8">
        <w:rPr>
          <w:rFonts w:ascii="Verdana" w:hAnsi="Verdana"/>
          <w:sz w:val="16"/>
          <w:szCs w:val="16"/>
        </w:rPr>
        <w:t xml:space="preserve"> CONSEJO DE ESTADO. Sala de Consulta y Servicio Civil. C.P.: Óscar Daría Amaya Navas. Concepto del 6 de junio de 2018. Radicación número: 2369.</w:t>
      </w:r>
    </w:p>
    <w:p w14:paraId="64D73F44" w14:textId="77777777" w:rsidR="002506A5" w:rsidRPr="00ED7AD8" w:rsidRDefault="002506A5" w:rsidP="002506A5">
      <w:pPr>
        <w:pStyle w:val="Textonotapie"/>
        <w:jc w:val="both"/>
        <w:rPr>
          <w:rFonts w:ascii="Verdana" w:hAnsi="Verdana"/>
          <w:sz w:val="16"/>
          <w:szCs w:val="16"/>
        </w:rPr>
      </w:pPr>
    </w:p>
  </w:footnote>
  <w:footnote w:id="20">
    <w:p w14:paraId="30A30C90" w14:textId="77777777" w:rsidR="002506A5" w:rsidRPr="00ED7AD8" w:rsidRDefault="002506A5" w:rsidP="002506A5">
      <w:pPr>
        <w:pStyle w:val="Textonotapie"/>
        <w:ind w:firstLine="708"/>
        <w:jc w:val="both"/>
        <w:rPr>
          <w:rFonts w:ascii="Verdana" w:hAnsi="Verdana"/>
          <w:sz w:val="16"/>
          <w:szCs w:val="16"/>
        </w:rPr>
      </w:pPr>
      <w:r w:rsidRPr="00ED7AD8">
        <w:rPr>
          <w:rStyle w:val="Refdenotaalpie"/>
          <w:rFonts w:ascii="Verdana" w:hAnsi="Verdana"/>
          <w:sz w:val="16"/>
          <w:szCs w:val="16"/>
        </w:rPr>
        <w:footnoteRef/>
      </w:r>
      <w:r w:rsidRPr="00ED7AD8">
        <w:rPr>
          <w:rFonts w:ascii="Verdana" w:hAnsi="Verdana"/>
          <w:sz w:val="16"/>
          <w:szCs w:val="16"/>
        </w:rPr>
        <w:t xml:space="preserve"> Ibidem.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076974439">
    <w:abstractNumId w:val="3"/>
  </w:num>
  <w:num w:numId="17" w16cid:durableId="20408595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421BB"/>
    <w:rsid w:val="002506A5"/>
    <w:rsid w:val="0025796E"/>
    <w:rsid w:val="002707A2"/>
    <w:rsid w:val="002951A0"/>
    <w:rsid w:val="002962BC"/>
    <w:rsid w:val="002A093D"/>
    <w:rsid w:val="002A0DD0"/>
    <w:rsid w:val="002A49AC"/>
    <w:rsid w:val="002A64FD"/>
    <w:rsid w:val="002C7A84"/>
    <w:rsid w:val="002E4FD9"/>
    <w:rsid w:val="003051AC"/>
    <w:rsid w:val="00322A85"/>
    <w:rsid w:val="00324168"/>
    <w:rsid w:val="003448F4"/>
    <w:rsid w:val="00374F5E"/>
    <w:rsid w:val="00377E3E"/>
    <w:rsid w:val="003A779E"/>
    <w:rsid w:val="003D0F4D"/>
    <w:rsid w:val="003D5B0D"/>
    <w:rsid w:val="003E0499"/>
    <w:rsid w:val="003E099A"/>
    <w:rsid w:val="003F3941"/>
    <w:rsid w:val="00406575"/>
    <w:rsid w:val="00414C74"/>
    <w:rsid w:val="00416692"/>
    <w:rsid w:val="0042722E"/>
    <w:rsid w:val="00430FB0"/>
    <w:rsid w:val="0044528D"/>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C2AA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AB4F01"/>
    <w:rsid w:val="00B00C0E"/>
    <w:rsid w:val="00B01B1A"/>
    <w:rsid w:val="00B44A47"/>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A231B"/>
    <w:rsid w:val="00DC39FC"/>
    <w:rsid w:val="00DD20D0"/>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1E24"/>
    <w:rsid w:val="00F31EDC"/>
    <w:rsid w:val="00F462B3"/>
    <w:rsid w:val="00F5664F"/>
    <w:rsid w:val="00F666C4"/>
    <w:rsid w:val="00F76AFC"/>
    <w:rsid w:val="00FA47C0"/>
    <w:rsid w:val="00FB5DD1"/>
    <w:rsid w:val="00FC2B5D"/>
    <w:rsid w:val="00FD6F78"/>
    <w:rsid w:val="00FE68F2"/>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506A5"/>
    <w:pPr>
      <w:spacing w:line="240" w:lineRule="exact"/>
    </w:pPr>
    <w:rPr>
      <w:vertAlign w:val="superscript"/>
    </w:rPr>
  </w:style>
  <w:style w:type="table" w:customStyle="1" w:styleId="Tablaconcuadrcula11">
    <w:name w:val="Tabla con cuadrícula11"/>
    <w:basedOn w:val="Tablanormal"/>
    <w:next w:val="Tablaconcuadrcula"/>
    <w:uiPriority w:val="39"/>
    <w:qFormat/>
    <w:rsid w:val="002506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ontent%2Fborrador-de-documentos-tipo-de-consultoria-de-obra-publica-de-infraestructura-de-transporte&amp;data=05%7C02%7Cgustavo.hinestroza%40colombiacompra.gov.co%7C096eca3fdcca424ff1c708dcf932f947%7C7b09041e245149d08cb179d5e3d8c1be%7C0%7C0%7C638659244558969426%7CUnknown%7CTWFpbGZsb3d8eyJWIjoiMC4wLjAwMDAiLCJQIjoiV2luMzIiLCJBTiI6Ik1haWwiLCJXVCI6Mn0%3D%7C0%7C%7C%7C&amp;sdata=euNN%2Bobln1e4Sfw7QkQf2cxPj3R%2FsCFmoL55MX5p9SA%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bras@arbelaez-cundinamarca.gov.co" TargetMode="External"/><Relationship Id="rId5" Type="http://schemas.openxmlformats.org/officeDocument/2006/relationships/styles" Target="styles.xml"/><Relationship Id="rId15" Type="http://schemas.openxmlformats.org/officeDocument/2006/relationships/hyperlink" Target="http://www.colombiacompra.gov.co"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ontent%2Fborrador-de-documentos-tipo-de-interventoria-de-obra-publica-de-infraestructura-de&amp;data=05%7C02%7Cgustavo.hinestroza%40colombiacompra.gov.co%7C096eca3fdcca424ff1c708dcf932f947%7C7b09041e245149d08cb179d5e3d8c1be%7C0%7C0%7C638659244559009305%7CUnknown%7CTWFpbGZsb3d8eyJWIjoiMC4wLjAwMDAiLCJQIjoiV2luMzIiLCJBTiI6Ik1haWwiLCJXVCI6Mn0%3D%7C0%7C%7C%7C&amp;sdata=tGFfBDNA2UfgZjTR6YetCGGZnlJ3HZEAOL1Y%2FgjLdQA%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A214C00-F298-42C3-8D8F-A70E2D2359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2006/metadata/properties"/>
    <ds:schemaRef ds:uri="http://purl.org/dc/terms/"/>
    <ds:schemaRef ds:uri="9d85dbaf-23eb-4e57-a637-93dcacc8b1a1"/>
    <ds:schemaRef ds:uri="http://purl.org/dc/dcmitype/"/>
    <ds:schemaRef ds:uri="http://schemas.microsoft.com/office/infopath/2007/PartnerControls"/>
    <ds:schemaRef ds:uri="http://schemas.openxmlformats.org/package/2006/metadata/core-properties"/>
    <ds:schemaRef ds:uri="a6cb9e4b-f1d1-4245-83ec-6cad768d538a"/>
    <ds:schemaRef ds:uri="http://www.w3.org/XML/1998/namespace"/>
    <ds:schemaRef ds:uri="http://purl.org/dc/elements/1.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22</Pages>
  <Words>7091</Words>
  <Characters>39006</Characters>
  <Application>Microsoft Office Word</Application>
  <DocSecurity>0</DocSecurity>
  <Lines>325</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2025-10-21T15:33:00Z</dcterms:created>
  <dcterms:modified xsi:type="dcterms:W3CDTF">2025-10-21T15:33:00Z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