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C8819" w14:textId="77777777" w:rsidR="00E14143" w:rsidRPr="00655984" w:rsidRDefault="00E14143" w:rsidP="00E14143">
      <w:pPr>
        <w:spacing w:after="0" w:line="240" w:lineRule="auto"/>
        <w:jc w:val="both"/>
        <w:rPr>
          <w:rFonts w:ascii="Verdana" w:eastAsia="Calibri" w:hAnsi="Verdana" w:cs="Arial"/>
          <w:b/>
          <w:sz w:val="20"/>
          <w:szCs w:val="20"/>
          <w:lang w:val="es-ES_tradnl"/>
        </w:rPr>
      </w:pPr>
    </w:p>
    <w:p w14:paraId="1C3E0D96" w14:textId="77777777" w:rsidR="00E14143" w:rsidRPr="0091122A" w:rsidRDefault="00E14143" w:rsidP="00E14143">
      <w:pPr>
        <w:spacing w:after="0"/>
        <w:jc w:val="both"/>
        <w:rPr>
          <w:rFonts w:ascii="Verdana" w:hAnsi="Verdana" w:cs="Arial"/>
          <w:b/>
          <w:bCs/>
          <w:lang w:val="es-ES_tradnl" w:eastAsia="es-ES" w:bidi="es-ES"/>
        </w:rPr>
      </w:pPr>
      <w:r w:rsidRPr="0091122A">
        <w:rPr>
          <w:rFonts w:ascii="Verdana" w:eastAsia="Arial" w:hAnsi="Verdana" w:cs="Arial"/>
          <w:b/>
          <w:lang w:val="es-ES"/>
        </w:rPr>
        <w:t>PRINCIPIO DE PUBLICIDAD – Concepto – Fundamento axiológico – Fundamento constitucional</w:t>
      </w:r>
      <w:r w:rsidRPr="0091122A">
        <w:rPr>
          <w:rFonts w:ascii="Verdana" w:hAnsi="Verdana" w:cs="Arial"/>
          <w:b/>
          <w:bCs/>
          <w:lang w:val="es-ES_tradnl" w:eastAsia="es-ES" w:bidi="es-ES"/>
        </w:rPr>
        <w:t xml:space="preserve"> </w:t>
      </w:r>
    </w:p>
    <w:p w14:paraId="139BF98E" w14:textId="77777777" w:rsidR="00E14143" w:rsidRPr="0091122A" w:rsidRDefault="00E14143" w:rsidP="00E14143">
      <w:pPr>
        <w:spacing w:after="0" w:line="240" w:lineRule="auto"/>
        <w:jc w:val="both"/>
        <w:rPr>
          <w:rFonts w:ascii="Verdana" w:hAnsi="Verdana" w:cs="Arial"/>
          <w:b/>
          <w:bCs/>
          <w:sz w:val="20"/>
          <w:szCs w:val="20"/>
          <w:lang w:val="es-ES_tradnl" w:eastAsia="es-ES" w:bidi="es-ES"/>
        </w:rPr>
      </w:pPr>
    </w:p>
    <w:p w14:paraId="61C169B1" w14:textId="77777777" w:rsidR="00E14143" w:rsidRPr="0091122A" w:rsidRDefault="00E14143" w:rsidP="00E14143">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t xml:space="preserve">Uno de los postulados más importantes de un Estado social y democrático de derecho es el principio de </w:t>
      </w:r>
      <w:r w:rsidRPr="0091122A">
        <w:rPr>
          <w:rFonts w:ascii="Verdana" w:eastAsia="Times New Roman" w:hAnsi="Verdana" w:cs="Arial"/>
          <w:i/>
          <w:iCs/>
          <w:sz w:val="20"/>
          <w:szCs w:val="20"/>
          <w:lang w:val="es-ES" w:eastAsia="es-ES"/>
          <w14:ligatures w14:val="standardContextual"/>
        </w:rPr>
        <w:t>publicidad</w:t>
      </w:r>
      <w:r w:rsidRPr="0091122A">
        <w:rPr>
          <w:rFonts w:ascii="Verdana" w:eastAsia="Times New Roman" w:hAnsi="Verdana" w:cs="Arial"/>
          <w:sz w:val="20"/>
          <w:szCs w:val="20"/>
          <w:lang w:val="es-ES" w:eastAsia="es-ES"/>
          <w14:ligatures w14:val="standardContextual"/>
        </w:rPr>
        <w:t xml:space="preserve">,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 la publicidad de las actuaciones de los poderes públicos. </w:t>
      </w:r>
    </w:p>
    <w:p w14:paraId="5400927A" w14:textId="77777777" w:rsidR="00E14143" w:rsidRDefault="00E14143" w:rsidP="00E14143">
      <w:pPr>
        <w:spacing w:after="0" w:line="240" w:lineRule="auto"/>
        <w:jc w:val="both"/>
        <w:rPr>
          <w:rFonts w:ascii="Verdana" w:eastAsia="Times New Roman" w:hAnsi="Verdana" w:cs="Arial"/>
          <w:sz w:val="20"/>
          <w:szCs w:val="20"/>
          <w:lang w:val="es-ES" w:eastAsia="es-ES"/>
          <w14:ligatures w14:val="standardContextual"/>
        </w:rPr>
      </w:pPr>
    </w:p>
    <w:p w14:paraId="350030BB" w14:textId="77777777" w:rsidR="00E14143" w:rsidRPr="0091122A" w:rsidRDefault="00E14143" w:rsidP="00E14143">
      <w:pPr>
        <w:spacing w:after="0" w:line="240" w:lineRule="auto"/>
        <w:jc w:val="both"/>
        <w:rPr>
          <w:rFonts w:ascii="Verdana" w:eastAsia="Times New Roman" w:hAnsi="Verdana" w:cs="Arial"/>
          <w:sz w:val="20"/>
          <w:szCs w:val="20"/>
          <w:lang w:val="es-ES" w:eastAsia="es-ES"/>
          <w14:ligatures w14:val="standardContextual"/>
        </w:rPr>
      </w:pPr>
      <w:r w:rsidRPr="0091122A">
        <w:rPr>
          <w:rFonts w:ascii="Verdana" w:eastAsia="Times New Roman" w:hAnsi="Verdana" w:cs="Arial"/>
          <w:sz w:val="20"/>
          <w:szCs w:val="20"/>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635A4AAD" w14:textId="77777777" w:rsidR="00E14143" w:rsidRPr="0091122A" w:rsidRDefault="00E14143" w:rsidP="00E14143">
      <w:pPr>
        <w:spacing w:after="0"/>
        <w:jc w:val="both"/>
        <w:rPr>
          <w:rFonts w:ascii="Verdana" w:hAnsi="Verdana" w:cs="Arial"/>
          <w:b/>
          <w:bCs/>
          <w:lang w:val="es-ES" w:eastAsia="es-ES" w:bidi="es-ES"/>
        </w:rPr>
      </w:pPr>
    </w:p>
    <w:p w14:paraId="19EFB966" w14:textId="77777777" w:rsidR="00E14143" w:rsidRPr="0091122A" w:rsidRDefault="00E14143" w:rsidP="00E14143">
      <w:pPr>
        <w:spacing w:after="0"/>
        <w:jc w:val="both"/>
        <w:rPr>
          <w:rFonts w:ascii="Verdana" w:hAnsi="Verdana" w:cs="Arial"/>
          <w:b/>
          <w:bCs/>
          <w:lang w:val="es-ES_tradnl" w:eastAsia="es-ES" w:bidi="es-ES"/>
        </w:rPr>
      </w:pPr>
      <w:r w:rsidRPr="0091122A">
        <w:rPr>
          <w:rFonts w:ascii="Verdana" w:hAnsi="Verdana" w:cs="Arial"/>
          <w:b/>
          <w:bCs/>
          <w:lang w:val="es-ES_tradnl" w:eastAsia="es-ES" w:bidi="es-ES"/>
        </w:rPr>
        <w:t xml:space="preserve">PRINCIPIO DE PUBLICIDAD – SECOP – Documentos del proceso – Deber de publicación </w:t>
      </w:r>
    </w:p>
    <w:p w14:paraId="1CA83CC6" w14:textId="77777777" w:rsidR="00E14143" w:rsidRDefault="00E14143" w:rsidP="00E14143">
      <w:pPr>
        <w:spacing w:after="0"/>
        <w:jc w:val="both"/>
        <w:rPr>
          <w:rFonts w:ascii="Verdana" w:hAnsi="Verdana"/>
          <w:b/>
        </w:rPr>
      </w:pPr>
    </w:p>
    <w:p w14:paraId="7D302CAD" w14:textId="77777777" w:rsidR="00E14143" w:rsidRPr="0091122A" w:rsidRDefault="00E14143" w:rsidP="00E14143">
      <w:pPr>
        <w:spacing w:after="0" w:line="240" w:lineRule="auto"/>
        <w:jc w:val="both"/>
        <w:rPr>
          <w:rFonts w:ascii="Verdana" w:eastAsia="Times New Roman" w:hAnsi="Verdana" w:cs="Arial"/>
          <w:sz w:val="20"/>
          <w:szCs w:val="20"/>
          <w:lang w:val="es-ES_tradnl" w:eastAsia="es-ES_tradnl"/>
          <w14:ligatures w14:val="standardContextual"/>
        </w:rPr>
      </w:pPr>
      <w:r w:rsidRPr="0091122A">
        <w:rPr>
          <w:rFonts w:ascii="Verdana" w:eastAsia="Times New Roman" w:hAnsi="Verdana" w:cs="Arial"/>
          <w:sz w:val="20"/>
          <w:szCs w:val="20"/>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3C2EE441" w14:textId="77777777" w:rsidR="00E14143" w:rsidRDefault="00E14143" w:rsidP="00E14143">
      <w:pPr>
        <w:tabs>
          <w:tab w:val="left" w:pos="709"/>
        </w:tabs>
        <w:spacing w:after="0" w:line="240" w:lineRule="auto"/>
        <w:jc w:val="both"/>
        <w:rPr>
          <w:rFonts w:ascii="Verdana" w:hAnsi="Verdana" w:cs="Arial"/>
          <w:sz w:val="20"/>
          <w:szCs w:val="20"/>
          <w:shd w:val="clear" w:color="auto" w:fill="FFFFFF"/>
        </w:rPr>
      </w:pPr>
    </w:p>
    <w:p w14:paraId="6DF771BE" w14:textId="77777777" w:rsidR="00E14143" w:rsidRPr="0091122A" w:rsidRDefault="00E14143" w:rsidP="00E14143">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 xml:space="preserve">La expresión </w:t>
      </w:r>
      <w:r w:rsidRPr="0091122A">
        <w:rPr>
          <w:rFonts w:ascii="Verdana" w:hAnsi="Verdana" w:cs="Arial"/>
          <w:i/>
          <w:iCs/>
          <w:sz w:val="20"/>
          <w:szCs w:val="20"/>
          <w:shd w:val="clear" w:color="auto" w:fill="FFFFFF"/>
        </w:rPr>
        <w:t xml:space="preserve">Documentos del Proceso </w:t>
      </w:r>
      <w:r w:rsidRPr="0091122A">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91122A">
        <w:rPr>
          <w:rFonts w:ascii="Verdana" w:hAnsi="Verdana" w:cs="Arial"/>
          <w:i/>
          <w:iCs/>
          <w:sz w:val="20"/>
          <w:szCs w:val="20"/>
          <w:shd w:val="clear" w:color="auto" w:fill="FFFFFF"/>
        </w:rPr>
        <w:t>y cualquier otro documento expedido por la Entidad Estatal durante el Proceso de Contratación</w:t>
      </w:r>
      <w:r w:rsidRPr="0091122A">
        <w:rPr>
          <w:rFonts w:ascii="Verdana" w:hAnsi="Verdana" w:cs="Arial"/>
          <w:sz w:val="20"/>
          <w:szCs w:val="20"/>
          <w:shd w:val="clear" w:color="auto" w:fill="FFFFFF"/>
        </w:rPr>
        <w:t>”. [Énfasis fuera de texto]</w:t>
      </w:r>
    </w:p>
    <w:p w14:paraId="48D387F3" w14:textId="77777777" w:rsidR="00E14143" w:rsidRDefault="00E14143" w:rsidP="00E14143">
      <w:pPr>
        <w:tabs>
          <w:tab w:val="left" w:pos="709"/>
        </w:tabs>
        <w:spacing w:after="0" w:line="240" w:lineRule="auto"/>
        <w:jc w:val="both"/>
        <w:rPr>
          <w:rFonts w:ascii="Verdana" w:hAnsi="Verdana" w:cs="Arial"/>
          <w:sz w:val="20"/>
          <w:szCs w:val="20"/>
          <w:shd w:val="clear" w:color="auto" w:fill="FFFFFF"/>
        </w:rPr>
      </w:pPr>
    </w:p>
    <w:p w14:paraId="76134DC4" w14:textId="77777777" w:rsidR="00E14143" w:rsidRPr="0091122A" w:rsidRDefault="00E14143" w:rsidP="00E14143">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91122A">
        <w:rPr>
          <w:rFonts w:ascii="Verdana" w:hAnsi="Verdana" w:cs="Arial"/>
          <w:i/>
          <w:iCs/>
          <w:sz w:val="20"/>
          <w:szCs w:val="20"/>
          <w:shd w:val="clear" w:color="auto" w:fill="FFFFFF"/>
        </w:rPr>
        <w:t>Ibidem</w:t>
      </w:r>
      <w:r w:rsidRPr="0091122A">
        <w:rPr>
          <w:rFonts w:ascii="Verdana" w:hAnsi="Verdana" w:cs="Arial"/>
          <w:sz w:val="20"/>
          <w:szCs w:val="20"/>
          <w:shd w:val="clear" w:color="auto" w:fill="FFFFFF"/>
        </w:rPr>
        <w:t xml:space="preserve"> recoge en la noción de Documentos del Proceso “cualquier otro documento expedido por la Entidad Estatal durante el Proceso de Contratación”. </w:t>
      </w:r>
    </w:p>
    <w:p w14:paraId="5D9B45E6" w14:textId="77777777" w:rsidR="00E14143" w:rsidRDefault="00E14143" w:rsidP="00E14143">
      <w:pPr>
        <w:tabs>
          <w:tab w:val="left" w:pos="709"/>
        </w:tabs>
        <w:spacing w:after="0" w:line="240" w:lineRule="auto"/>
        <w:jc w:val="both"/>
        <w:rPr>
          <w:rFonts w:ascii="Verdana" w:hAnsi="Verdana" w:cs="Arial"/>
          <w:sz w:val="20"/>
          <w:szCs w:val="20"/>
          <w:shd w:val="clear" w:color="auto" w:fill="FFFFFF"/>
        </w:rPr>
      </w:pPr>
    </w:p>
    <w:p w14:paraId="28D55F66" w14:textId="77777777" w:rsidR="00E14143" w:rsidRPr="0091122A" w:rsidRDefault="00E14143" w:rsidP="00E14143">
      <w:pPr>
        <w:tabs>
          <w:tab w:val="left" w:pos="709"/>
        </w:tabs>
        <w:spacing w:after="0" w:line="240" w:lineRule="auto"/>
        <w:jc w:val="both"/>
        <w:rPr>
          <w:rFonts w:ascii="Verdana" w:hAnsi="Verdana" w:cs="Arial"/>
          <w:sz w:val="20"/>
          <w:szCs w:val="20"/>
          <w:shd w:val="clear" w:color="auto" w:fill="FFFFFF"/>
        </w:rPr>
      </w:pPr>
      <w:r w:rsidRPr="0091122A">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1CB9938A" w14:textId="77777777" w:rsidR="00E14143" w:rsidRPr="0091122A" w:rsidRDefault="00E14143" w:rsidP="00E14143">
      <w:pPr>
        <w:spacing w:after="0"/>
        <w:jc w:val="both"/>
        <w:rPr>
          <w:rFonts w:ascii="Verdana" w:hAnsi="Verdana"/>
          <w:b/>
        </w:rPr>
      </w:pPr>
    </w:p>
    <w:p w14:paraId="165DD38D" w14:textId="77777777" w:rsidR="00E14143" w:rsidRPr="0091122A" w:rsidRDefault="00E14143" w:rsidP="00E14143">
      <w:pPr>
        <w:spacing w:after="0"/>
        <w:jc w:val="both"/>
        <w:rPr>
          <w:rFonts w:ascii="Verdana" w:hAnsi="Verdana" w:cs="Arial"/>
          <w:b/>
          <w:bCs/>
          <w:lang w:eastAsia="es-ES" w:bidi="es-ES"/>
        </w:rPr>
      </w:pPr>
      <w:r w:rsidRPr="0091122A">
        <w:rPr>
          <w:rFonts w:ascii="Verdana" w:hAnsi="Verdana" w:cs="Arial"/>
          <w:b/>
          <w:bCs/>
          <w:lang w:eastAsia="es-ES" w:bidi="es-ES"/>
        </w:rPr>
        <w:t xml:space="preserve">ENTIDADES CON RÉGIMEN ESPECIAL – Deber de publicar en SECOP – Artículo 53 Ley 2195 de 2022 </w:t>
      </w:r>
    </w:p>
    <w:p w14:paraId="28898777" w14:textId="77777777" w:rsidR="00E14143" w:rsidRPr="00AE3717" w:rsidRDefault="00E14143" w:rsidP="00E14143">
      <w:pPr>
        <w:spacing w:after="0"/>
        <w:jc w:val="both"/>
        <w:rPr>
          <w:rFonts w:ascii="Verdana" w:hAnsi="Verdana" w:cs="Arial"/>
          <w:b/>
          <w:bCs/>
          <w:sz w:val="20"/>
          <w:szCs w:val="20"/>
          <w:lang w:eastAsia="es-ES" w:bidi="es-ES"/>
        </w:rPr>
      </w:pPr>
    </w:p>
    <w:p w14:paraId="3F1E9F65" w14:textId="77777777" w:rsidR="00E14143" w:rsidRDefault="00E14143" w:rsidP="00E14143">
      <w:pPr>
        <w:tabs>
          <w:tab w:val="left" w:pos="709"/>
        </w:tabs>
        <w:spacing w:after="0" w:line="240" w:lineRule="auto"/>
        <w:jc w:val="both"/>
        <w:rPr>
          <w:rFonts w:ascii="Verdana" w:eastAsia="Calibri" w:hAnsi="Verdana" w:cs="Arial"/>
          <w:color w:val="000000"/>
          <w:sz w:val="20"/>
          <w:szCs w:val="20"/>
        </w:rPr>
      </w:pPr>
      <w:r w:rsidRPr="00AE3717">
        <w:rPr>
          <w:rFonts w:ascii="Verdana" w:hAnsi="Verdana" w:cs="Arial"/>
          <w:sz w:val="20"/>
          <w:szCs w:val="20"/>
          <w:shd w:val="clear" w:color="auto" w:fill="FFFFFF"/>
        </w:rPr>
        <w:t xml:space="preserve">[…] </w:t>
      </w:r>
      <w:r w:rsidRPr="00AE3717">
        <w:rPr>
          <w:rFonts w:ascii="Verdana" w:eastAsia="Calibri" w:hAnsi="Verdana" w:cs="Arial"/>
          <w:color w:val="000000"/>
          <w:sz w:val="20"/>
          <w:szCs w:val="20"/>
        </w:rPr>
        <w:t>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post-contractual”.</w:t>
      </w:r>
    </w:p>
    <w:p w14:paraId="14D5C441" w14:textId="77777777" w:rsidR="00E14143" w:rsidRPr="00AE3717" w:rsidRDefault="00E14143" w:rsidP="00E14143">
      <w:pPr>
        <w:tabs>
          <w:tab w:val="left" w:pos="709"/>
        </w:tabs>
        <w:spacing w:after="0" w:line="240" w:lineRule="auto"/>
        <w:jc w:val="both"/>
        <w:rPr>
          <w:rFonts w:ascii="Verdana" w:eastAsia="Calibri" w:hAnsi="Verdana" w:cs="Arial"/>
          <w:color w:val="000000"/>
          <w:sz w:val="20"/>
          <w:szCs w:val="20"/>
        </w:rPr>
      </w:pPr>
    </w:p>
    <w:p w14:paraId="67D6ADEE" w14:textId="77777777" w:rsidR="00E14143" w:rsidRDefault="00E14143" w:rsidP="00E14143">
      <w:pPr>
        <w:spacing w:after="0" w:line="240" w:lineRule="auto"/>
        <w:jc w:val="both"/>
        <w:rPr>
          <w:rFonts w:ascii="Verdana" w:eastAsia="Calibri" w:hAnsi="Verdana" w:cs="Arial"/>
          <w:color w:val="000000"/>
          <w:sz w:val="20"/>
          <w:szCs w:val="20"/>
        </w:rPr>
      </w:pPr>
      <w:r w:rsidRPr="00AE3717">
        <w:rPr>
          <w:rFonts w:ascii="Verdana" w:eastAsia="Calibri" w:hAnsi="Verdana" w:cs="Arial"/>
          <w:color w:val="000000"/>
          <w:sz w:val="20"/>
          <w:szCs w:val="20"/>
        </w:rPr>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w:t>
      </w:r>
    </w:p>
    <w:p w14:paraId="31DB65C5" w14:textId="77777777" w:rsidR="00E14143" w:rsidRPr="00AE3717" w:rsidRDefault="00E14143" w:rsidP="00E14143">
      <w:pPr>
        <w:spacing w:after="0"/>
        <w:jc w:val="both"/>
        <w:rPr>
          <w:rFonts w:ascii="Verdana" w:hAnsi="Verdana" w:cs="Arial"/>
          <w:b/>
          <w:bCs/>
          <w:sz w:val="20"/>
          <w:szCs w:val="20"/>
          <w:lang w:eastAsia="es-ES" w:bidi="es-ES"/>
        </w:rPr>
      </w:pPr>
    </w:p>
    <w:p w14:paraId="48DBF608" w14:textId="77777777" w:rsidR="00E14143" w:rsidRPr="0091122A" w:rsidRDefault="00E14143" w:rsidP="00E14143">
      <w:pPr>
        <w:spacing w:after="0"/>
        <w:jc w:val="both"/>
        <w:rPr>
          <w:rFonts w:ascii="Verdana" w:hAnsi="Verdana"/>
          <w:b/>
        </w:rPr>
      </w:pPr>
      <w:r w:rsidRPr="0091122A">
        <w:rPr>
          <w:rFonts w:ascii="Verdana" w:hAnsi="Verdana" w:cs="Arial"/>
          <w:b/>
          <w:bCs/>
          <w:lang w:eastAsia="es-ES" w:bidi="es-ES"/>
        </w:rPr>
        <w:t>ACCESO A DOCUMENTACIÓN PÚBLICA – Derecho fundamental – Transparencia – Información contractual</w:t>
      </w:r>
    </w:p>
    <w:p w14:paraId="397A64FA" w14:textId="77777777" w:rsidR="00E14143" w:rsidRDefault="00E14143" w:rsidP="00E14143">
      <w:pPr>
        <w:spacing w:after="0"/>
        <w:jc w:val="both"/>
        <w:rPr>
          <w:rFonts w:ascii="Verdana" w:hAnsi="Verdana"/>
          <w:b/>
        </w:rPr>
      </w:pPr>
    </w:p>
    <w:p w14:paraId="27809D05" w14:textId="77777777" w:rsidR="00E14143" w:rsidRDefault="00E14143" w:rsidP="00E14143">
      <w:pPr>
        <w:spacing w:after="0" w:line="240" w:lineRule="auto"/>
        <w:jc w:val="both"/>
        <w:rPr>
          <w:rFonts w:ascii="Verdana" w:eastAsia="Calibri" w:hAnsi="Verdana" w:cs="Arial"/>
          <w:color w:val="000000"/>
          <w:sz w:val="20"/>
          <w:szCs w:val="20"/>
        </w:rPr>
      </w:pPr>
      <w:r w:rsidRPr="00AE3717">
        <w:rPr>
          <w:rFonts w:ascii="Verdana" w:eastAsia="Calibri" w:hAnsi="Verdana" w:cs="Arial"/>
          <w:color w:val="000000"/>
          <w:sz w:val="20"/>
          <w:szCs w:val="20"/>
        </w:rPr>
        <w:t xml:space="preserve">[…] el cumplimiento del deber de publicación de la documentación contractual debe armonizarse con las normas aplicables al tipo de información que estas contienen, teniendo en cuenta que el artículo 74 de la Constitución establece que la información pública debe ser dada a conocer a la ciudadanía y así los documentos que hagan parte de la actividad contractual puedan catalogarse, prima facie, como información pública, salvo que dicha documentación contenga información sometida a alguna reserva, que </w:t>
      </w:r>
      <w:r w:rsidRPr="00AE3717">
        <w:rPr>
          <w:rFonts w:ascii="Verdana" w:eastAsia="Calibri" w:hAnsi="Verdana" w:cs="Arial"/>
          <w:color w:val="000000"/>
          <w:sz w:val="20"/>
          <w:szCs w:val="20"/>
        </w:rPr>
        <w:lastRenderedPageBreak/>
        <w:t>establezca la Constitución o la ley, aplicando algunas restricciones a su publicidad o suministro. Sin embargo, esto no necesariamente convierte el documento completo en reservado, es decir, en un documento que no puede publicarse. Al respecto, la Ley Estatutaria 1712 de 2014 define en el artículo 5° dos tipos de información que tendrá el carácter reservado, como es la información pública clasificada y la información pública reservada</w:t>
      </w:r>
      <w:r>
        <w:rPr>
          <w:rFonts w:ascii="Verdana" w:eastAsia="Calibri" w:hAnsi="Verdana" w:cs="Arial"/>
          <w:color w:val="000000"/>
          <w:sz w:val="20"/>
          <w:szCs w:val="20"/>
        </w:rPr>
        <w:t>.</w:t>
      </w:r>
    </w:p>
    <w:p w14:paraId="0C148643" w14:textId="77777777" w:rsidR="00E14143" w:rsidRDefault="00E14143" w:rsidP="00E14143">
      <w:pPr>
        <w:spacing w:after="0" w:line="240" w:lineRule="auto"/>
        <w:jc w:val="both"/>
        <w:rPr>
          <w:rFonts w:ascii="Verdana" w:eastAsia="Calibri" w:hAnsi="Verdana" w:cs="Arial"/>
          <w:color w:val="000000"/>
          <w:sz w:val="20"/>
          <w:szCs w:val="20"/>
        </w:rPr>
      </w:pPr>
      <w:r>
        <w:rPr>
          <w:rFonts w:ascii="Verdana" w:eastAsia="Calibri" w:hAnsi="Verdana" w:cs="Arial"/>
          <w:color w:val="000000"/>
          <w:sz w:val="20"/>
          <w:szCs w:val="20"/>
        </w:rPr>
        <w:t>[…]</w:t>
      </w:r>
    </w:p>
    <w:p w14:paraId="0A6F69B9" w14:textId="77777777" w:rsidR="00E14143" w:rsidRPr="00AE3717" w:rsidRDefault="00E14143" w:rsidP="00E14143">
      <w:pPr>
        <w:spacing w:after="0" w:line="240" w:lineRule="auto"/>
        <w:jc w:val="both"/>
        <w:rPr>
          <w:rFonts w:ascii="Verdana" w:eastAsia="Calibri" w:hAnsi="Verdana" w:cs="Arial"/>
          <w:color w:val="000000"/>
          <w:sz w:val="20"/>
          <w:szCs w:val="20"/>
        </w:rPr>
      </w:pPr>
      <w:r w:rsidRPr="00AE3717">
        <w:rPr>
          <w:rFonts w:ascii="Verdana" w:eastAsia="Calibri" w:hAnsi="Verdana" w:cs="Arial"/>
          <w:color w:val="000000"/>
          <w:sz w:val="20"/>
          <w:szCs w:val="20"/>
        </w:rPr>
        <w:t>Debe precisarse que, en virtud del principio de transparencia, específicamente por cuenta de lo dispuesto en el numeral 4 del artículo 24 de la ley 80 de 1993, así como por el principio de máxima publicidad establecido en el artículo 2 de la Ley 1712 de 2014, el contenido del expediente en el que reposa la actuación es información pública, independientemente de si se trata de documentos que deban publicarse en SECOP. Por lo anterior, 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pública, cuestión que podría interesar a cualquier ciudadano. Esta posibilidad solo se encuentra limitada</w:t>
      </w:r>
      <w:r w:rsidRPr="00AE3717">
        <w:rPr>
          <w:rFonts w:ascii="Calibri" w:eastAsia="Calibri" w:hAnsi="Calibri" w:cs="Times New Roman"/>
          <w:sz w:val="20"/>
          <w:szCs w:val="20"/>
        </w:rPr>
        <w:t xml:space="preserve"> </w:t>
      </w:r>
      <w:r w:rsidRPr="00AE3717">
        <w:rPr>
          <w:rFonts w:ascii="Verdana" w:eastAsia="Calibri" w:hAnsi="Verdana" w:cs="Arial"/>
          <w:color w:val="000000"/>
          <w:sz w:val="20"/>
          <w:szCs w:val="20"/>
        </w:rPr>
        <w:t>respecto de la documentación que tenga la calidad de reservada, que deberá someterse al tratamiento establecido en el artículo 36 del CPACA, en lo relativo a la formación de cuadernos separados.</w:t>
      </w:r>
    </w:p>
    <w:p w14:paraId="6F378637" w14:textId="77777777" w:rsidR="00E14143" w:rsidRPr="0091122A" w:rsidRDefault="00E14143" w:rsidP="00E14143">
      <w:pPr>
        <w:spacing w:after="0"/>
        <w:jc w:val="both"/>
        <w:rPr>
          <w:rFonts w:ascii="Verdana" w:hAnsi="Verdana"/>
          <w:b/>
        </w:rPr>
      </w:pPr>
    </w:p>
    <w:p w14:paraId="4024EC09" w14:textId="77777777" w:rsidR="00E14143" w:rsidRPr="0091122A" w:rsidRDefault="00E14143" w:rsidP="00E14143">
      <w:pPr>
        <w:spacing w:after="0"/>
        <w:jc w:val="both"/>
        <w:rPr>
          <w:rFonts w:ascii="Verdana" w:hAnsi="Verdana" w:cs="Arial"/>
          <w:b/>
          <w:bCs/>
          <w:lang w:val="es-MX" w:eastAsia="es-ES" w:bidi="es-ES"/>
        </w:rPr>
      </w:pPr>
      <w:r w:rsidRPr="0091122A">
        <w:rPr>
          <w:rFonts w:ascii="Verdana" w:hAnsi="Verdana" w:cs="Arial"/>
          <w:b/>
          <w:bCs/>
          <w:lang w:eastAsia="es-ES" w:bidi="es-ES"/>
        </w:rPr>
        <w:t xml:space="preserve">PRINCIPIO DE PUBLICIDAD -Reserva legal – Excepción – Divulgación parcial de la información- SECOP. </w:t>
      </w:r>
    </w:p>
    <w:p w14:paraId="637FD914" w14:textId="77777777" w:rsidR="00E14143" w:rsidRPr="002A1671" w:rsidRDefault="00E14143" w:rsidP="00E14143">
      <w:pPr>
        <w:spacing w:after="0" w:line="240" w:lineRule="auto"/>
        <w:jc w:val="both"/>
        <w:rPr>
          <w:rFonts w:ascii="Verdana" w:eastAsia="Calibri" w:hAnsi="Verdana" w:cs="Arial"/>
          <w:color w:val="000000"/>
          <w:sz w:val="20"/>
          <w:szCs w:val="20"/>
          <w:lang w:val="es-MX"/>
        </w:rPr>
      </w:pPr>
    </w:p>
    <w:p w14:paraId="3AB7BCDE" w14:textId="77777777" w:rsidR="00E14143" w:rsidRPr="00AE3717" w:rsidRDefault="00E14143" w:rsidP="00E14143">
      <w:pPr>
        <w:spacing w:after="0" w:line="240" w:lineRule="auto"/>
        <w:jc w:val="both"/>
        <w:rPr>
          <w:rFonts w:ascii="Verdana" w:eastAsia="Calibri" w:hAnsi="Verdana" w:cs="Arial"/>
          <w:color w:val="000000"/>
          <w:sz w:val="20"/>
          <w:szCs w:val="20"/>
        </w:rPr>
      </w:pPr>
      <w:r w:rsidRPr="00AE3717">
        <w:rPr>
          <w:rFonts w:ascii="Verdana" w:eastAsia="Calibri" w:hAnsi="Verdana" w:cs="Arial"/>
          <w:color w:val="000000"/>
          <w:sz w:val="20"/>
          <w:szCs w:val="20"/>
        </w:rPr>
        <w:t>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aplica respecto al contenido de un documento público, pero no</w:t>
      </w:r>
      <w:r w:rsidRPr="00AE3717">
        <w:rPr>
          <w:rFonts w:ascii="Calibri" w:eastAsia="Calibri" w:hAnsi="Calibri" w:cs="Times New Roman"/>
          <w:sz w:val="20"/>
          <w:szCs w:val="20"/>
        </w:rPr>
        <w:t xml:space="preserve"> </w:t>
      </w:r>
      <w:r w:rsidRPr="00AE3717">
        <w:rPr>
          <w:rFonts w:ascii="Verdana" w:eastAsia="Calibri" w:hAnsi="Verdana" w:cs="Arial"/>
          <w:color w:val="000000"/>
          <w:sz w:val="20"/>
          <w:szCs w:val="20"/>
        </w:rPr>
        <w:t>respecto de su existencia. Sin perjuicio de lo anterior, es posible que el contenido de todo el documento o expediente no deba ser objeto de publicidad por estar amparado de forma íntegra por la reserva, dada su conexión con las causales establecidas en la Constitución o la ley.</w:t>
      </w:r>
    </w:p>
    <w:p w14:paraId="35D55A01" w14:textId="77777777" w:rsidR="00E14143" w:rsidRDefault="00E14143" w:rsidP="00E14143">
      <w:pPr>
        <w:spacing w:after="0" w:line="240" w:lineRule="auto"/>
        <w:jc w:val="both"/>
        <w:rPr>
          <w:rFonts w:ascii="Verdana" w:eastAsia="Calibri" w:hAnsi="Verdana" w:cs="Arial"/>
          <w:color w:val="000000"/>
          <w:sz w:val="20"/>
          <w:szCs w:val="20"/>
        </w:rPr>
      </w:pPr>
    </w:p>
    <w:p w14:paraId="54EAAB88" w14:textId="77777777" w:rsidR="00E14143" w:rsidRPr="00AE3717" w:rsidRDefault="00E14143" w:rsidP="00E14143">
      <w:pPr>
        <w:spacing w:after="0" w:line="240" w:lineRule="auto"/>
        <w:jc w:val="both"/>
        <w:rPr>
          <w:rFonts w:ascii="Verdana" w:eastAsia="Calibri" w:hAnsi="Verdana" w:cs="Arial"/>
          <w:color w:val="000000"/>
          <w:sz w:val="20"/>
          <w:szCs w:val="20"/>
        </w:rPr>
      </w:pPr>
      <w:r w:rsidRPr="00AE3717">
        <w:rPr>
          <w:rFonts w:ascii="Verdana" w:eastAsia="Calibri" w:hAnsi="Verdana" w:cs="Arial"/>
          <w:color w:val="000000"/>
          <w:sz w:val="20"/>
          <w:szCs w:val="20"/>
        </w:rPr>
        <w:t xml:space="preserve">De esta forma, cuando el documento contractual contenga información sensible, clasificada o reservada, para proteger la reserva de información, las autoridades deben abstenerse de publicar en el SECOP la información que tiene protección especial o está sometida a reserva, o según el caso, suministrarla. Sin embargo, de acuerdo con el segundo inciso del artículo 25 de la Ley 1437 de 2011 “La restricción por reserva legal no se extenderá a otras piezas del respectivo expediente o actuación que no estén cubiertas por ella”. Por ello, la entidad estatal puede no publicar o suministrar algún documento del proceso o aparte del mismo que contenga información clasificada o reservada, para no divulgarlo, pero debe publicar los demás documentos o los apartados de estos, en caso de que estos no gocen de reserva. Lo anterior, sin perjuicio de que, dependiendo de la información en específico, todo el documento o expediente no pueda </w:t>
      </w:r>
      <w:r w:rsidRPr="00AE3717">
        <w:rPr>
          <w:rFonts w:ascii="Verdana" w:eastAsia="Calibri" w:hAnsi="Verdana" w:cs="Arial"/>
          <w:color w:val="000000"/>
          <w:sz w:val="20"/>
          <w:szCs w:val="20"/>
        </w:rPr>
        <w:lastRenderedPageBreak/>
        <w:t xml:space="preserve">publicarse o suministrarse, por ampararse en su integridad en alguna causal de reserva, dada la conexión de su contenido con la información que el constituyente o el legislador decidió limitar en cuanto a su publicidad o suministro. De este modo, cuando el documento contractual tenga información clasificada o reservada, las autoridades deben abstenerse de publicar en el SECOP la información que tenga dicho carácter, por tanto, deberá publicar la información de forma parcial. </w:t>
      </w:r>
    </w:p>
    <w:p w14:paraId="49C37212" w14:textId="77777777" w:rsidR="00E14143" w:rsidRDefault="00E14143" w:rsidP="00E14143">
      <w:pPr>
        <w:spacing w:after="0" w:line="240" w:lineRule="auto"/>
        <w:jc w:val="both"/>
        <w:rPr>
          <w:rFonts w:ascii="Verdana" w:eastAsia="Calibri" w:hAnsi="Verdana" w:cs="Arial"/>
          <w:color w:val="000000"/>
          <w:sz w:val="20"/>
          <w:szCs w:val="20"/>
        </w:rPr>
      </w:pPr>
    </w:p>
    <w:p w14:paraId="69FC0B6E" w14:textId="77777777" w:rsidR="00E14143" w:rsidRPr="00AE3717" w:rsidRDefault="00E14143" w:rsidP="00E14143">
      <w:pPr>
        <w:spacing w:after="0" w:line="240" w:lineRule="auto"/>
        <w:jc w:val="both"/>
        <w:rPr>
          <w:rFonts w:ascii="Verdana" w:eastAsia="Calibri" w:hAnsi="Verdana" w:cs="Arial"/>
          <w:color w:val="000000"/>
          <w:sz w:val="20"/>
          <w:szCs w:val="20"/>
        </w:rPr>
      </w:pPr>
      <w:r w:rsidRPr="00AE3717">
        <w:rPr>
          <w:rFonts w:ascii="Verdana" w:eastAsia="Calibri" w:hAnsi="Verdana" w:cs="Arial"/>
          <w:color w:val="000000"/>
          <w:sz w:val="20"/>
          <w:szCs w:val="20"/>
        </w:rPr>
        <w:t>En línea con todo lo expuesto Al respecto, el Decreto 1081 de 2015 en su artículo 2.1.1.4.3.2 establece que, si un mismo acto o documento contiene información que puede divulgarse y a su vez, información clasificada o reservada, la entidad debe revelar los datos no protegidos y presentar los fundamentos constitucionales y legales por los que retiene los datos que no puede divulgar. De igual modo, deben revisar si los documentos contienen datos que no deban divulgarse, conforme a los fundamentos constitucionales y legales, y por tanto, tachar los apartes clasificados o reservados del documento, anonimizar, transliterar o editar el documento para suprimir la información que no puede difundirse; así como abrir un nuevo expediente con la información pública que pueda divulgar; o en su defecto, acudir a las acciones que sean necesarias para cumplir con su deber de permitir el acceso a toda aquella información que no esté clasificada o reservada, teniendo en cuenta el formato y medio de conservación de la información.</w:t>
      </w:r>
    </w:p>
    <w:p w14:paraId="054F7493" w14:textId="77777777" w:rsidR="00E14143" w:rsidRDefault="00E14143" w:rsidP="00E14143">
      <w:pPr>
        <w:spacing w:after="0" w:line="240" w:lineRule="auto"/>
        <w:jc w:val="both"/>
        <w:rPr>
          <w:rFonts w:ascii="Verdana" w:eastAsia="Calibri" w:hAnsi="Verdana" w:cs="Arial"/>
          <w:color w:val="000000"/>
          <w:sz w:val="20"/>
          <w:szCs w:val="20"/>
        </w:rPr>
      </w:pPr>
    </w:p>
    <w:p w14:paraId="5437D74F" w14:textId="77777777" w:rsidR="00E14143" w:rsidRPr="00AE3717" w:rsidRDefault="00E14143" w:rsidP="00E14143">
      <w:pPr>
        <w:spacing w:after="0" w:line="240" w:lineRule="auto"/>
        <w:jc w:val="both"/>
        <w:rPr>
          <w:rFonts w:ascii="Verdana" w:hAnsi="Verdana"/>
          <w:sz w:val="20"/>
          <w:szCs w:val="20"/>
          <w:lang w:val="es-MX"/>
        </w:rPr>
      </w:pPr>
      <w:r w:rsidRPr="00AE3717">
        <w:rPr>
          <w:rFonts w:ascii="Verdana" w:eastAsia="Calibri" w:hAnsi="Verdana" w:cs="Arial"/>
          <w:color w:val="000000"/>
          <w:sz w:val="20"/>
          <w:szCs w:val="20"/>
        </w:rPr>
        <w:t xml:space="preserve">Así mismo, el Archivo General de la Nación como entidad encargada de liderar la Política de archivo y gestión documental a nivel nacional, expidió el Acuerdo 001 de 2024 “Por el cual se establece el Acuerdo Único de la Función Archivística, se definen los criterios técnicos y jurídicos para su implementación en el Estado Colombiano y se fijan otras disposiciones”, que en su artículo 7.1.3. preciso que </w:t>
      </w:r>
      <w:r w:rsidRPr="00AE3717">
        <w:rPr>
          <w:rFonts w:ascii="Verdana" w:hAnsi="Verdana"/>
          <w:sz w:val="20"/>
          <w:szCs w:val="20"/>
        </w:rPr>
        <w:t>la reserva aplica a la información, no a los documentos, para lo cual el responsable de la información verificará qué información está sometida a reserva, y elaborará una versión pública que mantenga la reserva de los titulares de los datos, con el fin de garantizar el principio de máxima publicidad y conforme a las disposiciones legales sobre el acceso a la información.</w:t>
      </w:r>
    </w:p>
    <w:p w14:paraId="7D4BDC78" w14:textId="77777777" w:rsidR="00E14143" w:rsidRPr="003E23E0" w:rsidRDefault="00E14143" w:rsidP="00E14143">
      <w:pPr>
        <w:spacing w:after="0" w:line="240" w:lineRule="auto"/>
        <w:jc w:val="both"/>
        <w:rPr>
          <w:rFonts w:ascii="Verdana" w:eastAsia="Calibri" w:hAnsi="Verdana" w:cs="Arial"/>
          <w:sz w:val="20"/>
          <w:szCs w:val="20"/>
          <w:lang w:val="es-MX" w:eastAsia="es-ES"/>
        </w:rPr>
      </w:pPr>
    </w:p>
    <w:p w14:paraId="6255E193" w14:textId="77777777" w:rsidR="00E14143" w:rsidRPr="00123DAA" w:rsidRDefault="00E14143" w:rsidP="00E14143">
      <w:pPr>
        <w:spacing w:after="0" w:line="240" w:lineRule="auto"/>
        <w:jc w:val="both"/>
        <w:rPr>
          <w:rFonts w:ascii="Verdana" w:eastAsia="Calibri" w:hAnsi="Verdana" w:cs="Arial"/>
          <w:sz w:val="20"/>
          <w:szCs w:val="20"/>
          <w:lang w:val="es-ES_tradnl" w:eastAsia="es-ES"/>
        </w:rPr>
      </w:pPr>
    </w:p>
    <w:p w14:paraId="13BBB985" w14:textId="77777777" w:rsidR="00E14143" w:rsidRDefault="00E14143" w:rsidP="00E14143">
      <w:pPr>
        <w:spacing w:after="0" w:line="240" w:lineRule="auto"/>
        <w:rPr>
          <w:rFonts w:ascii="Verdana" w:eastAsia="Geomanist Light" w:hAnsi="Verdana" w:cs="Arial"/>
          <w:color w:val="000000" w:themeColor="text1"/>
          <w:lang w:val="es-ES_tradnl"/>
        </w:rPr>
      </w:pPr>
    </w:p>
    <w:p w14:paraId="23C8D31F" w14:textId="77777777" w:rsidR="00E14143" w:rsidRDefault="00E14143" w:rsidP="00E14143">
      <w:pPr>
        <w:spacing w:after="0" w:line="240" w:lineRule="auto"/>
        <w:rPr>
          <w:rFonts w:ascii="Verdana" w:eastAsia="Geomanist Light" w:hAnsi="Verdana" w:cs="Arial"/>
          <w:color w:val="000000" w:themeColor="text1"/>
          <w:lang w:val="es-MX"/>
        </w:rPr>
      </w:pPr>
    </w:p>
    <w:p w14:paraId="6A5821C1" w14:textId="77777777" w:rsidR="00E14143" w:rsidRDefault="00E14143" w:rsidP="00E14143">
      <w:pPr>
        <w:spacing w:after="0" w:line="240" w:lineRule="auto"/>
        <w:rPr>
          <w:rFonts w:ascii="Verdana" w:eastAsia="Geomanist Light" w:hAnsi="Verdana" w:cs="Arial"/>
          <w:color w:val="000000" w:themeColor="text1"/>
          <w:lang w:val="es-MX"/>
        </w:rPr>
      </w:pPr>
    </w:p>
    <w:p w14:paraId="5213CC9E" w14:textId="77777777" w:rsidR="00E14143" w:rsidRDefault="00E14143" w:rsidP="00E14143">
      <w:pPr>
        <w:spacing w:after="0" w:line="240" w:lineRule="auto"/>
        <w:rPr>
          <w:rFonts w:ascii="Verdana" w:eastAsia="Geomanist Light" w:hAnsi="Verdana" w:cs="Arial"/>
          <w:color w:val="000000" w:themeColor="text1"/>
          <w:lang w:val="es-MX"/>
        </w:rPr>
      </w:pPr>
    </w:p>
    <w:p w14:paraId="5C9DABA1" w14:textId="77777777" w:rsidR="00E14143" w:rsidRDefault="00E14143" w:rsidP="00E14143">
      <w:pPr>
        <w:spacing w:after="0" w:line="240" w:lineRule="auto"/>
        <w:rPr>
          <w:rFonts w:ascii="Verdana" w:eastAsia="Geomanist Light" w:hAnsi="Verdana" w:cs="Arial"/>
          <w:color w:val="000000" w:themeColor="text1"/>
          <w:lang w:val="es-MX"/>
        </w:rPr>
      </w:pPr>
    </w:p>
    <w:p w14:paraId="27CE1E59" w14:textId="77777777" w:rsidR="00E14143" w:rsidRDefault="00E14143" w:rsidP="00E14143">
      <w:pPr>
        <w:spacing w:after="0" w:line="240" w:lineRule="auto"/>
        <w:rPr>
          <w:rFonts w:ascii="Verdana" w:eastAsia="Geomanist Light" w:hAnsi="Verdana" w:cs="Arial"/>
          <w:color w:val="000000" w:themeColor="text1"/>
          <w:lang w:val="es-MX"/>
        </w:rPr>
      </w:pPr>
    </w:p>
    <w:p w14:paraId="296F1486" w14:textId="77777777" w:rsidR="00E14143" w:rsidRDefault="00E14143" w:rsidP="00E14143">
      <w:pPr>
        <w:spacing w:after="0" w:line="240" w:lineRule="auto"/>
        <w:rPr>
          <w:rFonts w:ascii="Verdana" w:eastAsia="Geomanist Light" w:hAnsi="Verdana" w:cs="Arial"/>
          <w:color w:val="000000" w:themeColor="text1"/>
          <w:lang w:val="es-MX"/>
        </w:rPr>
      </w:pPr>
    </w:p>
    <w:p w14:paraId="25732A81" w14:textId="77777777" w:rsidR="00E14143" w:rsidRDefault="00E14143" w:rsidP="00E14143">
      <w:pPr>
        <w:spacing w:after="0" w:line="240" w:lineRule="auto"/>
        <w:rPr>
          <w:rFonts w:ascii="Verdana" w:eastAsia="Geomanist Light" w:hAnsi="Verdana" w:cs="Arial"/>
          <w:color w:val="000000" w:themeColor="text1"/>
          <w:lang w:val="es-MX"/>
        </w:rPr>
      </w:pPr>
    </w:p>
    <w:p w14:paraId="4E3257D3" w14:textId="77777777" w:rsidR="00E14143" w:rsidRDefault="00E14143" w:rsidP="00E14143">
      <w:pPr>
        <w:spacing w:after="0" w:line="240" w:lineRule="auto"/>
        <w:rPr>
          <w:rFonts w:ascii="Verdana" w:eastAsia="Geomanist Light" w:hAnsi="Verdana" w:cs="Arial"/>
          <w:color w:val="000000" w:themeColor="text1"/>
          <w:lang w:val="es-MX"/>
        </w:rPr>
      </w:pPr>
    </w:p>
    <w:p w14:paraId="7C6025FF" w14:textId="77777777" w:rsidR="00E14143" w:rsidRDefault="00E14143" w:rsidP="00E14143">
      <w:pPr>
        <w:spacing w:after="0" w:line="240" w:lineRule="auto"/>
        <w:rPr>
          <w:rFonts w:ascii="Verdana" w:eastAsia="Geomanist Light" w:hAnsi="Verdana" w:cs="Arial"/>
          <w:color w:val="000000" w:themeColor="text1"/>
          <w:lang w:val="es-MX"/>
        </w:rPr>
      </w:pPr>
    </w:p>
    <w:p w14:paraId="0F9E9A81" w14:textId="77777777" w:rsidR="00E14143" w:rsidRDefault="00E14143" w:rsidP="00E14143">
      <w:pPr>
        <w:spacing w:after="0" w:line="240" w:lineRule="auto"/>
        <w:rPr>
          <w:rFonts w:ascii="Verdana" w:eastAsia="Geomanist Light" w:hAnsi="Verdana" w:cs="Arial"/>
          <w:color w:val="000000" w:themeColor="text1"/>
          <w:lang w:val="es-MX"/>
        </w:rPr>
      </w:pPr>
    </w:p>
    <w:p w14:paraId="529A0BDF" w14:textId="77777777" w:rsidR="00E14143" w:rsidRDefault="00E14143" w:rsidP="00E14143">
      <w:pPr>
        <w:spacing w:after="0" w:line="240" w:lineRule="auto"/>
        <w:rPr>
          <w:rFonts w:ascii="Verdana" w:eastAsia="Geomanist Light" w:hAnsi="Verdana" w:cs="Arial"/>
          <w:color w:val="000000" w:themeColor="text1"/>
          <w:lang w:val="es-MX"/>
        </w:rPr>
      </w:pPr>
    </w:p>
    <w:p w14:paraId="7AC64F03" w14:textId="77777777" w:rsidR="00E14143" w:rsidRDefault="00E14143" w:rsidP="00E14143">
      <w:pPr>
        <w:spacing w:after="0" w:line="240" w:lineRule="auto"/>
        <w:rPr>
          <w:rFonts w:ascii="Verdana" w:eastAsia="Geomanist Light" w:hAnsi="Verdana" w:cs="Arial"/>
          <w:color w:val="000000" w:themeColor="text1"/>
          <w:lang w:val="es-MX"/>
        </w:rPr>
      </w:pPr>
    </w:p>
    <w:p w14:paraId="28ED4667" w14:textId="77777777" w:rsidR="00E14143" w:rsidRDefault="00E14143" w:rsidP="00CA3D54">
      <w:pPr>
        <w:spacing w:after="0" w:line="240" w:lineRule="auto"/>
        <w:rPr>
          <w:rFonts w:ascii="Verdana" w:eastAsia="Geomanist Light" w:hAnsi="Verdana" w:cs="Arial"/>
          <w:color w:val="000000" w:themeColor="text1"/>
          <w:lang w:val="es-MX"/>
        </w:rPr>
      </w:pPr>
    </w:p>
    <w:p w14:paraId="765DA5AA" w14:textId="0AE9083A" w:rsidR="00CA3D54" w:rsidRPr="00593A5F" w:rsidRDefault="00CA3D54" w:rsidP="00CA3D54">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0F45AC">
        <w:rPr>
          <w:rFonts w:ascii="Verdana" w:eastAsia="Geomanist Light" w:hAnsi="Verdana" w:cs="Arial"/>
          <w:color w:val="000000" w:themeColor="text1"/>
          <w:lang w:val="es-MX"/>
        </w:rPr>
        <w:t>16 de Octubre de 2025</w:t>
      </w:r>
    </w:p>
    <w:p w14:paraId="01A96AE4" w14:textId="77777777" w:rsidR="00CA3D54" w:rsidRDefault="00CA3D54" w:rsidP="00CA3D54">
      <w:pPr>
        <w:spacing w:after="0" w:line="240" w:lineRule="auto"/>
        <w:jc w:val="both"/>
        <w:rPr>
          <w:rFonts w:ascii="Verdana" w:eastAsia="Calibri" w:hAnsi="Verdana" w:cs="Arial"/>
          <w:color w:val="000000"/>
          <w:lang w:val="es-ES"/>
        </w:rPr>
      </w:pPr>
    </w:p>
    <w:p w14:paraId="5B76512B" w14:textId="4C212663" w:rsidR="00CA3D54" w:rsidRDefault="00B5285D" w:rsidP="00B5285D">
      <w:pPr>
        <w:spacing w:after="0" w:line="240" w:lineRule="auto"/>
        <w:jc w:val="right"/>
        <w:rPr>
          <w:rFonts w:ascii="Verdana" w:eastAsia="Calibri" w:hAnsi="Verdana" w:cs="Arial"/>
          <w:color w:val="000000"/>
          <w:lang w:val="es-ES"/>
        </w:rPr>
      </w:pPr>
      <w:r w:rsidRPr="00B5285D">
        <w:rPr>
          <w:rFonts w:ascii="Verdana" w:eastAsia="Calibri" w:hAnsi="Verdana" w:cs="Arial"/>
          <w:noProof/>
          <w:color w:val="000000"/>
          <w:lang w:val="es-ES"/>
        </w:rPr>
        <w:drawing>
          <wp:inline distT="0" distB="0" distL="0" distR="0" wp14:anchorId="2ECA6EE5" wp14:editId="270D133F">
            <wp:extent cx="2400300" cy="622300"/>
            <wp:effectExtent l="0" t="0" r="0" b="0"/>
            <wp:docPr id="7502499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49943" name=""/>
                    <pic:cNvPicPr/>
                  </pic:nvPicPr>
                  <pic:blipFill>
                    <a:blip r:embed="rId10"/>
                    <a:stretch>
                      <a:fillRect/>
                    </a:stretch>
                  </pic:blipFill>
                  <pic:spPr>
                    <a:xfrm>
                      <a:off x="0" y="0"/>
                      <a:ext cx="2400300" cy="622300"/>
                    </a:xfrm>
                    <a:prstGeom prst="rect">
                      <a:avLst/>
                    </a:prstGeom>
                  </pic:spPr>
                </pic:pic>
              </a:graphicData>
            </a:graphic>
          </wp:inline>
        </w:drawing>
      </w:r>
    </w:p>
    <w:p w14:paraId="7D38185C" w14:textId="77777777" w:rsidR="00B5285D" w:rsidRPr="00593A5F" w:rsidRDefault="00B5285D" w:rsidP="00CA3D54">
      <w:pPr>
        <w:spacing w:after="0" w:line="240" w:lineRule="auto"/>
        <w:jc w:val="both"/>
        <w:rPr>
          <w:rFonts w:ascii="Verdana" w:eastAsia="Calibri" w:hAnsi="Verdana" w:cs="Arial"/>
          <w:color w:val="000000"/>
          <w:lang w:val="es-ES"/>
        </w:rPr>
      </w:pPr>
    </w:p>
    <w:p w14:paraId="6514BC21" w14:textId="77777777" w:rsidR="00CA3D54" w:rsidRPr="000C555D" w:rsidRDefault="00CA3D54" w:rsidP="00CA3D54">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67823DAA" w14:textId="77777777" w:rsidR="00CA3D54" w:rsidRDefault="00CA3D54" w:rsidP="00CA3D54">
      <w:pPr>
        <w:spacing w:after="0" w:line="240" w:lineRule="auto"/>
        <w:rPr>
          <w:rFonts w:ascii="Verdana" w:eastAsia="Calibri" w:hAnsi="Verdana" w:cs="Arial"/>
          <w:b/>
          <w:lang w:val="es-ES" w:eastAsia="es-ES"/>
        </w:rPr>
      </w:pPr>
      <w:r w:rsidRPr="008E4878">
        <w:rPr>
          <w:rFonts w:ascii="Verdana" w:eastAsia="Calibri" w:hAnsi="Verdana" w:cs="Arial"/>
          <w:b/>
          <w:lang w:val="es-ES" w:eastAsia="es-ES"/>
        </w:rPr>
        <w:t>Diana Alexandra Villate Rodríguez</w:t>
      </w:r>
    </w:p>
    <w:p w14:paraId="0A849062" w14:textId="77777777" w:rsidR="00CA3D54" w:rsidRPr="00FA6C5F" w:rsidRDefault="00CA3D54" w:rsidP="00CA3D54">
      <w:pPr>
        <w:spacing w:after="0" w:line="240" w:lineRule="auto"/>
        <w:rPr>
          <w:rFonts w:ascii="Verdana" w:hAnsi="Verdana"/>
        </w:rPr>
      </w:pPr>
      <w:hyperlink r:id="rId11" w:history="1">
        <w:r w:rsidRPr="00CD0963">
          <w:rPr>
            <w:rStyle w:val="Hipervnculo"/>
            <w:rFonts w:ascii="Verdana" w:hAnsi="Verdana"/>
          </w:rPr>
          <w:t>dvillate@gmail.com</w:t>
        </w:r>
      </w:hyperlink>
      <w:r>
        <w:rPr>
          <w:rFonts w:ascii="Verdana" w:hAnsi="Verdana"/>
        </w:rPr>
        <w:t xml:space="preserve"> </w:t>
      </w:r>
      <w:r w:rsidRPr="00FA6C5F">
        <w:rPr>
          <w:rFonts w:ascii="Verdana" w:hAnsi="Verdana"/>
        </w:rPr>
        <w:t xml:space="preserve">              </w:t>
      </w:r>
      <w:r w:rsidRPr="00FA6C5F">
        <w:rPr>
          <w:rFonts w:ascii="Verdana" w:eastAsia="Calibri" w:hAnsi="Verdana" w:cs="Arial"/>
          <w:lang w:val="es-ES" w:eastAsia="es-ES"/>
        </w:rPr>
        <w:t xml:space="preserve">    </w:t>
      </w:r>
    </w:p>
    <w:p w14:paraId="1AA3A91D" w14:textId="77777777" w:rsidR="00CA3D54" w:rsidRDefault="00CA3D54" w:rsidP="00CA3D54">
      <w:pPr>
        <w:spacing w:after="0" w:line="240" w:lineRule="auto"/>
        <w:rPr>
          <w:rFonts w:ascii="Verdana" w:eastAsia="Calibri" w:hAnsi="Verdana" w:cs="Arial"/>
          <w:lang w:val="es-ES" w:eastAsia="es-ES"/>
        </w:rPr>
      </w:pPr>
      <w:r w:rsidRPr="008F4464">
        <w:rPr>
          <w:rFonts w:ascii="Verdana" w:eastAsia="Calibri" w:hAnsi="Verdana" w:cs="Arial"/>
          <w:lang w:val="es-ES" w:eastAsia="es-ES"/>
        </w:rPr>
        <w:t>Bogotá D.C.</w:t>
      </w:r>
      <w:r>
        <w:rPr>
          <w:rFonts w:ascii="Verdana" w:eastAsia="Calibri" w:hAnsi="Verdana" w:cs="Arial"/>
          <w:lang w:val="es-ES" w:eastAsia="es-ES"/>
        </w:rPr>
        <w:t xml:space="preserve"> </w:t>
      </w:r>
    </w:p>
    <w:p w14:paraId="139B8924" w14:textId="77777777" w:rsidR="00CA3D54" w:rsidRPr="00593A5F" w:rsidRDefault="00CA3D54" w:rsidP="00CA3D54">
      <w:pPr>
        <w:spacing w:after="0" w:line="240" w:lineRule="auto"/>
        <w:rPr>
          <w:rFonts w:ascii="Verdana" w:eastAsia="Calibri" w:hAnsi="Verdana" w:cs="Arial"/>
          <w:b/>
          <w:bCs/>
          <w:color w:val="000000"/>
          <w:lang w:val="es-ES_tradnl" w:eastAsia="es-ES_tradnl"/>
        </w:rPr>
      </w:pPr>
    </w:p>
    <w:p w14:paraId="50E8E81E" w14:textId="77777777" w:rsidR="00CA3D54" w:rsidRPr="00593A5F" w:rsidRDefault="00CA3D54" w:rsidP="00CA3D5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A3D54" w:rsidRPr="00593A5F" w14:paraId="6CE2ABF6" w14:textId="77777777" w:rsidTr="00AC3511">
        <w:trPr>
          <w:trHeight w:val="884"/>
        </w:trPr>
        <w:tc>
          <w:tcPr>
            <w:tcW w:w="2689" w:type="dxa"/>
          </w:tcPr>
          <w:p w14:paraId="121DB007" w14:textId="77777777" w:rsidR="00CA3D54" w:rsidRPr="00C00976" w:rsidRDefault="00CA3D54" w:rsidP="00AC3511">
            <w:pPr>
              <w:jc w:val="both"/>
              <w:rPr>
                <w:rFonts w:ascii="Verdana" w:eastAsia="Calibri" w:hAnsi="Verdana" w:cs="Arial"/>
                <w:b/>
                <w:bCs/>
                <w:color w:val="7030A0"/>
                <w:lang w:val="es-ES_tradnl" w:eastAsia="es-ES_tradnl"/>
              </w:rPr>
            </w:pPr>
          </w:p>
        </w:tc>
        <w:tc>
          <w:tcPr>
            <w:tcW w:w="6100" w:type="dxa"/>
          </w:tcPr>
          <w:p w14:paraId="17F6A9F4" w14:textId="77777777" w:rsidR="00CA3D54" w:rsidRPr="00C00976" w:rsidRDefault="00CA3D54" w:rsidP="00AC3511">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1381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CA3D54" w:rsidRPr="00593A5F" w14:paraId="360B6A36" w14:textId="77777777" w:rsidTr="00AC3511">
        <w:trPr>
          <w:trHeight w:val="884"/>
        </w:trPr>
        <w:tc>
          <w:tcPr>
            <w:tcW w:w="2689" w:type="dxa"/>
          </w:tcPr>
          <w:p w14:paraId="4EEBF0A8" w14:textId="77777777" w:rsidR="00CA3D54" w:rsidRPr="00593A5F" w:rsidRDefault="00CA3D54" w:rsidP="00AC351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C7C3346" w14:textId="77777777" w:rsidR="00CA3D54" w:rsidRPr="00A11406" w:rsidRDefault="00CA3D54" w:rsidP="00AC3511">
            <w:pPr>
              <w:spacing w:line="276" w:lineRule="auto"/>
              <w:jc w:val="both"/>
              <w:rPr>
                <w:rFonts w:ascii="Verdana" w:eastAsia="Calibri" w:hAnsi="Verdana" w:cs="Arial"/>
                <w:lang w:val="es-ES" w:eastAsia="es-ES"/>
              </w:rPr>
            </w:pPr>
            <w:r w:rsidRPr="0047115F">
              <w:rPr>
                <w:rFonts w:ascii="Verdana" w:eastAsia="Calibri" w:hAnsi="Verdana" w:cs="Arial"/>
                <w:lang w:val="es-ES" w:eastAsia="es-ES"/>
              </w:rPr>
              <w:t>PRINCIPIO DE PUBLICIDAD – Concepto – Fundamento axiológico – Fundamento constitucional / PRINCIPIO DE PUBLICIDAD – SECOP – Documentos del proceso – Deber de publicación / ENTIDADES CON RÉGIMEN ESPECIAL – Deber de publicar en SECOP – Artículo 53 Ley 2195 de 2022 / ACCESO A DOCUMENTACIÓN PÚBLICA – Derecho fundamental – Transparencia – Información contractual / PRINCIPIO DE PUBLICIDAD -Reserva legal – Excepción – Divulgación parcial de la información</w:t>
            </w:r>
            <w:r>
              <w:rPr>
                <w:rFonts w:ascii="Verdana" w:eastAsia="Calibri" w:hAnsi="Verdana" w:cs="Arial"/>
                <w:lang w:val="es-ES" w:eastAsia="es-ES"/>
              </w:rPr>
              <w:t xml:space="preserve"> –</w:t>
            </w:r>
            <w:r w:rsidRPr="0047115F">
              <w:rPr>
                <w:rFonts w:ascii="Verdana" w:eastAsia="Calibri" w:hAnsi="Verdana" w:cs="Arial"/>
                <w:lang w:val="es-ES" w:eastAsia="es-ES"/>
              </w:rPr>
              <w:t xml:space="preserve"> SECOP</w:t>
            </w:r>
            <w:r>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3C7E0E4" w14:textId="77777777" w:rsidR="00CA3D54" w:rsidRPr="00593A5F" w:rsidRDefault="00CA3D54" w:rsidP="00AC3511">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CA3D54" w:rsidRPr="008E6AD9" w14:paraId="3C0BFA05" w14:textId="77777777" w:rsidTr="00AC3511">
        <w:tc>
          <w:tcPr>
            <w:tcW w:w="2689" w:type="dxa"/>
          </w:tcPr>
          <w:p w14:paraId="6EF67C38" w14:textId="77777777" w:rsidR="00CA3D54" w:rsidRPr="008E6AD9" w:rsidRDefault="00CA3D54" w:rsidP="00AC351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108720C" w14:textId="77777777" w:rsidR="00CA3D54" w:rsidRPr="00B92340" w:rsidRDefault="00CA3D54" w:rsidP="00AC3511">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8712E6">
              <w:rPr>
                <w:rFonts w:ascii="Verdana" w:eastAsia="Calibri" w:hAnsi="Verdana" w:cs="Arial"/>
                <w:lang w:val="es-ES_tradnl" w:eastAsia="es-ES_tradnl"/>
              </w:rPr>
              <w:t>1_2025_09_25_010573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2836C7B" w14:textId="77777777" w:rsidR="00CA3D54" w:rsidRPr="00593A5F" w:rsidRDefault="00CA3D54" w:rsidP="00CA3D54">
      <w:pPr>
        <w:spacing w:after="0" w:line="240" w:lineRule="auto"/>
        <w:jc w:val="both"/>
        <w:rPr>
          <w:rFonts w:ascii="Verdana" w:eastAsia="Calibri" w:hAnsi="Verdana" w:cs="Arial"/>
          <w:color w:val="000000"/>
          <w:lang w:val="es-ES_tradnl" w:eastAsia="es-ES_tradnl"/>
        </w:rPr>
      </w:pPr>
    </w:p>
    <w:p w14:paraId="76E587BE" w14:textId="77777777" w:rsidR="00CA3D54" w:rsidRPr="00593A5F" w:rsidRDefault="00CA3D54" w:rsidP="00CA3D54">
      <w:pPr>
        <w:spacing w:after="0" w:line="240" w:lineRule="auto"/>
        <w:jc w:val="both"/>
        <w:rPr>
          <w:rFonts w:ascii="Verdana" w:eastAsia="Calibri" w:hAnsi="Verdana" w:cs="Arial"/>
          <w:color w:val="000000"/>
          <w:lang w:val="es-ES_tradnl" w:eastAsia="es-ES_tradnl"/>
        </w:rPr>
      </w:pPr>
    </w:p>
    <w:p w14:paraId="5E9574CA" w14:textId="77777777" w:rsidR="00CA3D54" w:rsidRPr="008E6AD9" w:rsidRDefault="00CA3D54" w:rsidP="00CA3D5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8F4464">
        <w:rPr>
          <w:rFonts w:ascii="Verdana" w:eastAsia="Calibri" w:hAnsi="Verdana" w:cs="Arial"/>
          <w:lang w:val="es-ES" w:eastAsia="es-ES"/>
        </w:rPr>
        <w:t>Villate Rodríguez</w:t>
      </w:r>
      <w:r w:rsidRPr="008E6AD9">
        <w:rPr>
          <w:rFonts w:ascii="Verdana" w:eastAsia="Calibri" w:hAnsi="Verdana" w:cs="Arial"/>
          <w:lang w:val="es-ES" w:eastAsia="es-ES"/>
        </w:rPr>
        <w:t xml:space="preserve">: </w:t>
      </w:r>
    </w:p>
    <w:p w14:paraId="26AE5176" w14:textId="77777777" w:rsidR="00CA3D54" w:rsidRDefault="00CA3D54" w:rsidP="00CA3D5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877DAD0" w14:textId="77777777" w:rsidR="00CA3D54" w:rsidRPr="00593A5F" w:rsidRDefault="00CA3D54" w:rsidP="00CA3D54">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25 de septiembre de 2025, en la cual pregunta</w:t>
      </w:r>
      <w:r w:rsidRPr="008E6AD9">
        <w:rPr>
          <w:rFonts w:ascii="Verdana" w:eastAsia="Calibri" w:hAnsi="Verdana" w:cs="Arial"/>
          <w:lang w:val="es-ES" w:eastAsia="es-ES"/>
        </w:rPr>
        <w:t xml:space="preserve">: </w:t>
      </w:r>
    </w:p>
    <w:p w14:paraId="791200DA" w14:textId="77777777" w:rsidR="00CA3D54" w:rsidRPr="00272A7B" w:rsidRDefault="00CA3D54" w:rsidP="00CA3D54">
      <w:pPr>
        <w:pStyle w:val="Prrafodelista"/>
        <w:tabs>
          <w:tab w:val="left" w:pos="142"/>
          <w:tab w:val="left" w:pos="284"/>
        </w:tabs>
        <w:spacing w:after="0" w:line="276" w:lineRule="auto"/>
        <w:ind w:left="0"/>
        <w:jc w:val="both"/>
        <w:rPr>
          <w:rFonts w:ascii="Verdana" w:eastAsia="Century Gothic" w:hAnsi="Verdana" w:cs="Century Gothic"/>
          <w:b/>
          <w:bCs/>
        </w:rPr>
      </w:pPr>
    </w:p>
    <w:p w14:paraId="42B79A3D" w14:textId="77777777" w:rsidR="00CA3D54" w:rsidRPr="004F51D9" w:rsidRDefault="00CA3D54" w:rsidP="00CA3D54">
      <w:pPr>
        <w:spacing w:after="0" w:line="240" w:lineRule="auto"/>
        <w:ind w:left="709" w:right="709"/>
        <w:jc w:val="both"/>
        <w:rPr>
          <w:rFonts w:ascii="Verdana" w:eastAsia="Century Gothic" w:hAnsi="Verdana" w:cs="Century Gothic"/>
          <w:sz w:val="20"/>
          <w:szCs w:val="20"/>
          <w:lang w:val="es-ES"/>
        </w:rPr>
      </w:pPr>
      <w:bookmarkStart w:id="0" w:name="_Hlk95313578"/>
      <w:r w:rsidRPr="004F51D9">
        <w:rPr>
          <w:rFonts w:ascii="Verdana" w:eastAsia="Century Gothic" w:hAnsi="Verdana" w:cs="Century Gothic"/>
          <w:sz w:val="20"/>
          <w:szCs w:val="20"/>
          <w:lang w:val="es-ES"/>
        </w:rPr>
        <w:lastRenderedPageBreak/>
        <w:t>“</w:t>
      </w:r>
      <w:bookmarkEnd w:id="0"/>
      <w:r>
        <w:rPr>
          <w:rFonts w:ascii="Verdana" w:eastAsia="Century Gothic" w:hAnsi="Verdana" w:cs="Century Gothic"/>
          <w:sz w:val="20"/>
          <w:szCs w:val="20"/>
          <w:lang w:val="es-ES"/>
        </w:rPr>
        <w:t xml:space="preserve">[…] si </w:t>
      </w:r>
      <w:r w:rsidRPr="00D0318F">
        <w:rPr>
          <w:rFonts w:ascii="Verdana" w:eastAsia="Century Gothic" w:hAnsi="Verdana" w:cs="Century Gothic"/>
          <w:sz w:val="20"/>
          <w:szCs w:val="20"/>
          <w:lang w:val="es-ES"/>
        </w:rPr>
        <w:t xml:space="preserve">las actas de junta de contratación de una entidad estatal, por medio de la cual se delibera y decide sobre la viabilidad de proceder con la contratación de un bien o servicio, deben ser de carácter público? </w:t>
      </w:r>
      <w:proofErr w:type="gramStart"/>
      <w:r w:rsidRPr="00D0318F">
        <w:rPr>
          <w:rFonts w:ascii="Verdana" w:eastAsia="Century Gothic" w:hAnsi="Verdana" w:cs="Century Gothic"/>
          <w:sz w:val="20"/>
          <w:szCs w:val="20"/>
          <w:lang w:val="es-ES"/>
        </w:rPr>
        <w:t>o si por el contrario estás presentan carácter de reserva por estar amparadas en el parágrafo del artículo 19 de la Ley 1712 de 2014?</w:t>
      </w:r>
      <w:proofErr w:type="gramEnd"/>
      <w:r w:rsidRPr="00D0318F">
        <w:rPr>
          <w:rFonts w:ascii="Verdana" w:eastAsia="Century Gothic" w:hAnsi="Verdana" w:cs="Century Gothic"/>
          <w:sz w:val="20"/>
          <w:szCs w:val="20"/>
          <w:lang w:val="es-ES"/>
        </w:rPr>
        <w:t xml:space="preserve"> </w:t>
      </w:r>
      <w:proofErr w:type="gramStart"/>
      <w:r w:rsidRPr="00D0318F">
        <w:rPr>
          <w:rFonts w:ascii="Verdana" w:eastAsia="Century Gothic" w:hAnsi="Verdana" w:cs="Century Gothic"/>
          <w:sz w:val="20"/>
          <w:szCs w:val="20"/>
          <w:lang w:val="es-ES"/>
        </w:rPr>
        <w:t xml:space="preserve">De ser necesaria su publicación, en que parte de la plataforma de </w:t>
      </w:r>
      <w:proofErr w:type="spellStart"/>
      <w:r w:rsidRPr="00D0318F">
        <w:rPr>
          <w:rFonts w:ascii="Verdana" w:eastAsia="Century Gothic" w:hAnsi="Verdana" w:cs="Century Gothic"/>
          <w:sz w:val="20"/>
          <w:szCs w:val="20"/>
          <w:lang w:val="es-ES"/>
        </w:rPr>
        <w:t>secop</w:t>
      </w:r>
      <w:proofErr w:type="spellEnd"/>
      <w:r w:rsidRPr="00D0318F">
        <w:rPr>
          <w:rFonts w:ascii="Verdana" w:eastAsia="Century Gothic" w:hAnsi="Verdana" w:cs="Century Gothic"/>
          <w:sz w:val="20"/>
          <w:szCs w:val="20"/>
          <w:lang w:val="es-ES"/>
        </w:rPr>
        <w:t xml:space="preserve"> se debería realizar?</w:t>
      </w:r>
      <w:proofErr w:type="gramEnd"/>
      <w:r w:rsidRPr="004F51D9">
        <w:rPr>
          <w:rFonts w:ascii="Verdana" w:eastAsia="Century Gothic" w:hAnsi="Verdana" w:cs="Century Gothic"/>
          <w:sz w:val="20"/>
          <w:szCs w:val="20"/>
          <w:lang w:val="es-ES"/>
        </w:rPr>
        <w:t>”.</w:t>
      </w:r>
    </w:p>
    <w:p w14:paraId="18A4F758" w14:textId="77777777" w:rsidR="00CA3D54" w:rsidRPr="008E6AD9" w:rsidRDefault="00CA3D54" w:rsidP="00CA3D54">
      <w:pPr>
        <w:pStyle w:val="Prrafodelista"/>
        <w:tabs>
          <w:tab w:val="left" w:pos="142"/>
          <w:tab w:val="left" w:pos="284"/>
        </w:tabs>
        <w:spacing w:after="0" w:line="276" w:lineRule="auto"/>
        <w:ind w:left="0"/>
        <w:jc w:val="both"/>
        <w:rPr>
          <w:rFonts w:ascii="Verdana" w:eastAsia="Century Gothic" w:hAnsi="Verdana" w:cs="Century Gothic"/>
          <w:b/>
          <w:bCs/>
        </w:rPr>
      </w:pPr>
    </w:p>
    <w:p w14:paraId="0BB1B500" w14:textId="77777777" w:rsidR="00CA3D54" w:rsidRPr="00A652FF" w:rsidRDefault="00CA3D54" w:rsidP="00CA3D5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798629" w14:textId="77777777" w:rsidR="00CA3D54" w:rsidRDefault="00CA3D54" w:rsidP="00CA3D5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01C9F79" w14:textId="77777777" w:rsidR="00CA3D54" w:rsidRPr="00593A5F" w:rsidRDefault="00CA3D54" w:rsidP="00CA3D54">
      <w:pPr>
        <w:spacing w:after="0" w:line="276" w:lineRule="auto"/>
        <w:ind w:firstLine="709"/>
        <w:jc w:val="both"/>
        <w:rPr>
          <w:rFonts w:ascii="Verdana" w:eastAsia="Calibri" w:hAnsi="Verdana" w:cs="Arial"/>
          <w:color w:val="000000"/>
          <w:lang w:val="es-ES" w:eastAsia="es-ES"/>
        </w:rPr>
      </w:pPr>
    </w:p>
    <w:p w14:paraId="251EB0DD" w14:textId="77777777" w:rsidR="00CA3D54" w:rsidRPr="00593A5F" w:rsidRDefault="00CA3D54" w:rsidP="00CA3D5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573C1D6" w14:textId="77777777" w:rsidR="00CA3D54" w:rsidRPr="00593A5F" w:rsidRDefault="00CA3D54" w:rsidP="00CA3D54">
      <w:pPr>
        <w:tabs>
          <w:tab w:val="left" w:pos="426"/>
        </w:tabs>
        <w:spacing w:after="0" w:line="276" w:lineRule="auto"/>
        <w:jc w:val="both"/>
        <w:rPr>
          <w:rFonts w:ascii="Verdana" w:eastAsia="Century Gothic" w:hAnsi="Verdana" w:cs="Century Gothic"/>
          <w:lang w:val="es-ES"/>
        </w:rPr>
      </w:pPr>
    </w:p>
    <w:p w14:paraId="64E00761" w14:textId="6C81F517" w:rsidR="00CA3D54" w:rsidRPr="00593A5F" w:rsidRDefault="00CA3D54" w:rsidP="00CA3D5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00C739FA">
        <w:rPr>
          <w:rFonts w:ascii="Verdana" w:eastAsia="Century Gothic" w:hAnsi="Verdana" w:cs="Century Gothic"/>
        </w:rPr>
        <w:t>R</w:t>
      </w:r>
      <w:r>
        <w:rPr>
          <w:rFonts w:ascii="Verdana" w:eastAsia="Century Gothic" w:hAnsi="Verdana" w:cs="Century Gothic"/>
        </w:rPr>
        <w:t xml:space="preserve">especto a las actas del comité de contratación, </w:t>
      </w:r>
      <w:r w:rsidR="00C739FA">
        <w:rPr>
          <w:rFonts w:ascii="Verdana" w:eastAsia="Century Gothic" w:hAnsi="Verdana" w:cs="Century Gothic"/>
        </w:rPr>
        <w:t>¿</w:t>
      </w:r>
      <w:r>
        <w:rPr>
          <w:rFonts w:ascii="Verdana" w:eastAsia="Century Gothic" w:hAnsi="Verdana" w:cs="Century Gothic"/>
        </w:rPr>
        <w:t>cuál es el marco normativo para analizar la publicidad de la información en el SECOP?</w:t>
      </w:r>
      <w:r w:rsidRPr="00C00976">
        <w:rPr>
          <w:rFonts w:ascii="Verdana" w:eastAsia="Century Gothic" w:hAnsi="Verdana" w:cs="Century Gothic"/>
          <w:color w:val="7030A0"/>
        </w:rPr>
        <w:t xml:space="preserve"> </w:t>
      </w:r>
    </w:p>
    <w:p w14:paraId="01880FE0" w14:textId="77777777" w:rsidR="00CA3D54" w:rsidRPr="004B140F" w:rsidRDefault="00CA3D54" w:rsidP="00CA3D54">
      <w:pPr>
        <w:spacing w:after="0" w:line="276" w:lineRule="auto"/>
        <w:jc w:val="both"/>
        <w:rPr>
          <w:rFonts w:ascii="Verdana" w:eastAsia="Calibri" w:hAnsi="Verdana" w:cs="Arial"/>
          <w:color w:val="7030A0"/>
        </w:rPr>
      </w:pPr>
    </w:p>
    <w:p w14:paraId="5BD5AC9C" w14:textId="77777777" w:rsidR="00CA3D54" w:rsidRPr="00593A5F" w:rsidRDefault="00CA3D54" w:rsidP="00CA3D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F4BCB45" w14:textId="77777777" w:rsidR="00CA3D54" w:rsidRPr="00593A5F" w:rsidRDefault="00CA3D54" w:rsidP="00CA3D5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A3D54" w:rsidRPr="00593A5F" w14:paraId="3217FCE2" w14:textId="77777777" w:rsidTr="00AC3511">
        <w:trPr>
          <w:jc w:val="center"/>
        </w:trPr>
        <w:tc>
          <w:tcPr>
            <w:tcW w:w="8828" w:type="dxa"/>
          </w:tcPr>
          <w:p w14:paraId="09C1D8E8" w14:textId="77777777" w:rsidR="00CA3D54" w:rsidRDefault="00CA3D54" w:rsidP="00AC3511">
            <w:pPr>
              <w:spacing w:after="120" w:line="276" w:lineRule="auto"/>
              <w:jc w:val="both"/>
              <w:rPr>
                <w:rFonts w:ascii="Verdana" w:hAnsi="Verdana" w:cs="Arial"/>
                <w:lang w:val="es-ES"/>
              </w:rPr>
            </w:pPr>
            <w:bookmarkStart w:id="1" w:name="_Hlk171694685"/>
            <w:r>
              <w:rPr>
                <w:rFonts w:ascii="Verdana" w:eastAsia="Arial" w:hAnsi="Verdana" w:cs="Arial"/>
                <w:color w:val="000000" w:themeColor="text1"/>
                <w:lang w:val="es-ES"/>
              </w:rPr>
              <w:t xml:space="preserve">Conforme a la interpretación general de las normas del sistema de compras públicas, </w:t>
            </w:r>
            <w:r>
              <w:rPr>
                <w:rFonts w:ascii="Verdana" w:eastAsia="Calibri" w:hAnsi="Verdana" w:cs="Arial"/>
                <w:color w:val="000000"/>
              </w:rPr>
              <w:t xml:space="preserve">sin perjuicio de la publicidad de los informes de evaluación de acuerdo con los artículos </w:t>
            </w:r>
            <w:r w:rsidRPr="000F53E0">
              <w:rPr>
                <w:rFonts w:ascii="Verdana" w:eastAsia="Calibri" w:hAnsi="Verdana" w:cs="Arial"/>
                <w:color w:val="000000"/>
              </w:rPr>
              <w:t>2.2.1.1.1.3.1</w:t>
            </w:r>
            <w:r>
              <w:rPr>
                <w:rFonts w:ascii="Verdana" w:eastAsia="Calibri" w:hAnsi="Verdana" w:cs="Arial"/>
                <w:color w:val="000000"/>
              </w:rPr>
              <w:t xml:space="preserve"> y </w:t>
            </w:r>
            <w:r w:rsidRPr="00F16D2E">
              <w:rPr>
                <w:rFonts w:ascii="Verdana" w:hAnsi="Verdana" w:cs="Arial"/>
                <w:lang w:val="es-ES"/>
              </w:rPr>
              <w:t>2.2.1.1.1.7.1</w:t>
            </w:r>
            <w:r>
              <w:rPr>
                <w:rFonts w:ascii="Verdana" w:hAnsi="Verdana" w:cs="Arial"/>
                <w:lang w:val="es-ES"/>
              </w:rPr>
              <w:t xml:space="preserve"> del Decreto 1082 de 2015, el parágrafo del artículo 19 de la Ley 1712 de 2014 dispone que “</w:t>
            </w:r>
            <w:r w:rsidRPr="000F53E0">
              <w:rPr>
                <w:rFonts w:ascii="Verdana" w:hAnsi="Verdana" w:cs="Arial"/>
                <w:lang w:val="es-ES"/>
              </w:rPr>
              <w:t>Se exceptúan</w:t>
            </w:r>
            <w:r>
              <w:rPr>
                <w:rFonts w:ascii="Verdana" w:hAnsi="Verdana" w:cs="Arial"/>
                <w:lang w:val="es-ES"/>
              </w:rPr>
              <w:t xml:space="preserve"> […]</w:t>
            </w:r>
            <w:r w:rsidRPr="000F53E0">
              <w:rPr>
                <w:rFonts w:ascii="Verdana" w:hAnsi="Verdana" w:cs="Arial"/>
                <w:lang w:val="es-ES"/>
              </w:rPr>
              <w:t xml:space="preserve"> los documentos que contengan las opiniones o puntos de vista </w:t>
            </w:r>
            <w:r w:rsidRPr="000F53E0">
              <w:rPr>
                <w:rFonts w:ascii="Verdana" w:hAnsi="Verdana" w:cs="Arial"/>
                <w:lang w:val="es-ES"/>
              </w:rPr>
              <w:lastRenderedPageBreak/>
              <w:t>que formen parte del proceso deliberativo de los servidores públicos</w:t>
            </w:r>
            <w:r>
              <w:rPr>
                <w:rFonts w:ascii="Verdana" w:hAnsi="Verdana" w:cs="Arial"/>
                <w:lang w:val="es-ES"/>
              </w:rPr>
              <w:t>”. Conforme al sentido natural y obvio de las palabras de que trata el artículo 28 del Código Civil, el Diccionario de la RAE define la expresión “deliberar” como “</w:t>
            </w:r>
            <w:r w:rsidRPr="003E27C9">
              <w:rPr>
                <w:rFonts w:ascii="Verdana" w:hAnsi="Verdana" w:cs="Arial"/>
                <w:lang w:val="es-ES"/>
              </w:rPr>
              <w:t>Considerar atenta y detenidamente el pro y el contra de los motivos de una decisión, antes de adoptarla, y la razón o sinrazón de los votos antes de emitirlos</w:t>
            </w:r>
            <w:r>
              <w:rPr>
                <w:rFonts w:ascii="Verdana" w:hAnsi="Verdana" w:cs="Arial"/>
                <w:lang w:val="es-ES"/>
              </w:rPr>
              <w:t>”. Además, considera que la “opinión” es un “</w:t>
            </w:r>
            <w:r w:rsidRPr="00E36AC2">
              <w:rPr>
                <w:rFonts w:ascii="Verdana" w:hAnsi="Verdana" w:cs="Arial"/>
                <w:lang w:val="es-ES"/>
              </w:rPr>
              <w:t>Juicio o valoración que se forma una persona respecto de algo o de alguien</w:t>
            </w:r>
            <w:r>
              <w:rPr>
                <w:rFonts w:ascii="Verdana" w:hAnsi="Verdana" w:cs="Arial"/>
                <w:lang w:val="es-ES"/>
              </w:rPr>
              <w:t>”</w:t>
            </w:r>
            <w:r w:rsidRPr="00E36AC2">
              <w:rPr>
                <w:rFonts w:ascii="Verdana" w:hAnsi="Verdana" w:cs="Arial"/>
                <w:lang w:val="es-ES"/>
              </w:rPr>
              <w:t>.</w:t>
            </w:r>
            <w:r>
              <w:rPr>
                <w:rFonts w:ascii="Verdana" w:hAnsi="Verdana" w:cs="Arial"/>
                <w:lang w:val="es-ES"/>
              </w:rPr>
              <w:t xml:space="preserve"> En tanto las actas de los comités de contratación contengan opiniones propias de la deliberación de sus integrantes, dichos puntos de vista están exceptuados del deber de publicidad. </w:t>
            </w:r>
          </w:p>
          <w:p w14:paraId="6CAAF0A7" w14:textId="77777777" w:rsidR="00CA3D54" w:rsidRPr="00394E85" w:rsidRDefault="00CA3D54" w:rsidP="00AC3511">
            <w:pPr>
              <w:spacing w:after="120" w:line="276" w:lineRule="auto"/>
              <w:ind w:firstLine="708"/>
              <w:jc w:val="both"/>
              <w:rPr>
                <w:rFonts w:ascii="Verdana" w:hAnsi="Verdana" w:cs="Arial"/>
                <w:lang w:val="es-ES"/>
              </w:rPr>
            </w:pPr>
            <w:r>
              <w:rPr>
                <w:rFonts w:ascii="Verdana" w:hAnsi="Verdana" w:cs="Arial"/>
                <w:lang w:val="es-ES"/>
              </w:rPr>
              <w:t xml:space="preserve">Lo anterior sin perjuicio de la publicación de los demás datos ajenos a las causales de reserva, la cual deberá realizarse en el SECOP en función de la etapa del procedimiento en que se expida el documento. Para estos efectos, </w:t>
            </w:r>
            <w:r w:rsidRPr="00AD6B46">
              <w:rPr>
                <w:rFonts w:ascii="Verdana" w:eastAsia="Calibri" w:hAnsi="Verdana" w:cs="Arial"/>
                <w:color w:val="000000"/>
              </w:rPr>
              <w:t>de acuerdo con el segundo inciso del artículo 25 de la Ley 1437 de 2011</w:t>
            </w:r>
            <w:r>
              <w:rPr>
                <w:rFonts w:ascii="Verdana" w:eastAsia="Calibri" w:hAnsi="Verdana" w:cs="Arial"/>
                <w:color w:val="000000"/>
              </w:rPr>
              <w:t>,</w:t>
            </w:r>
            <w:r w:rsidRPr="00AD6B46">
              <w:rPr>
                <w:rFonts w:ascii="Verdana" w:eastAsia="Calibri" w:hAnsi="Verdana" w:cs="Arial"/>
                <w:color w:val="000000"/>
              </w:rPr>
              <w:t xml:space="preserve"> “La restricción por reserva legal no se extenderá a otras piezas del respectivo expediente o actuación que no estén cubiertas por ella”. Por ello, la entidad estatal </w:t>
            </w:r>
            <w:r>
              <w:rPr>
                <w:rFonts w:ascii="Verdana" w:eastAsia="Calibri" w:hAnsi="Verdana" w:cs="Arial"/>
                <w:color w:val="000000"/>
              </w:rPr>
              <w:t>no puede</w:t>
            </w:r>
            <w:r w:rsidRPr="00AD6B46">
              <w:rPr>
                <w:rFonts w:ascii="Verdana" w:eastAsia="Calibri" w:hAnsi="Verdana" w:cs="Arial"/>
                <w:color w:val="000000"/>
              </w:rPr>
              <w:t xml:space="preserve"> publicar o suministrar algún documento del proceso o aparte del mismo que contenga información clasificada o reservada, para no divulgarlo, pero debe publicar los demás documentos o los apartados de estos, en caso de que estos no gocen de reserva.</w:t>
            </w:r>
            <w:r>
              <w:rPr>
                <w:rFonts w:ascii="Verdana" w:eastAsia="Calibri" w:hAnsi="Verdana" w:cs="Arial"/>
                <w:color w:val="000000"/>
              </w:rPr>
              <w:t xml:space="preserve"> Asimismo, la información exceptuada del deber de publicidad </w:t>
            </w:r>
            <w:r w:rsidRPr="00AD6B46">
              <w:rPr>
                <w:rFonts w:ascii="Verdana" w:eastAsia="Calibri" w:hAnsi="Verdana" w:cs="Arial"/>
                <w:color w:val="000000"/>
              </w:rPr>
              <w:t>deberá someterse al tratamiento establecido en el artículo 36 del CPACA, en lo relativo a la formación de cuadernos separados</w:t>
            </w:r>
            <w:r>
              <w:rPr>
                <w:rFonts w:ascii="Verdana" w:eastAsia="Calibri" w:hAnsi="Verdana" w:cs="Arial"/>
                <w:color w:val="000000"/>
              </w:rPr>
              <w:t>.</w:t>
            </w:r>
          </w:p>
          <w:p w14:paraId="74DF3598" w14:textId="77777777" w:rsidR="00CA3D54" w:rsidRPr="001941FD" w:rsidRDefault="00CA3D54" w:rsidP="00AC3511">
            <w:pPr>
              <w:spacing w:line="276" w:lineRule="auto"/>
              <w:ind w:right="51" w:firstLine="737"/>
              <w:jc w:val="both"/>
              <w:rPr>
                <w:rFonts w:ascii="Verdana" w:eastAsia="Calibri" w:hAnsi="Verdana" w:cs="Arial"/>
                <w:bCs/>
                <w:color w:val="000000" w:themeColor="text1"/>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D4D3CE5" w14:textId="77777777" w:rsidR="00CA3D54" w:rsidRPr="00593A5F" w:rsidRDefault="00CA3D54" w:rsidP="00CA3D54">
      <w:pPr>
        <w:tabs>
          <w:tab w:val="left" w:pos="142"/>
          <w:tab w:val="left" w:pos="284"/>
        </w:tabs>
        <w:spacing w:after="0" w:line="276" w:lineRule="auto"/>
        <w:jc w:val="both"/>
        <w:rPr>
          <w:rFonts w:ascii="Verdana" w:eastAsia="Century Gothic" w:hAnsi="Verdana" w:cs="Century Gothic"/>
          <w:b/>
          <w:bCs/>
          <w:lang w:val="es-ES"/>
        </w:rPr>
      </w:pPr>
    </w:p>
    <w:bookmarkEnd w:id="1"/>
    <w:p w14:paraId="77261260" w14:textId="77777777" w:rsidR="00CA3D54" w:rsidRPr="00593A5F" w:rsidRDefault="00CA3D54" w:rsidP="00CA3D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A9BF061" w14:textId="77777777" w:rsidR="00CA3D54" w:rsidRPr="00593A5F" w:rsidRDefault="00CA3D54" w:rsidP="00CA3D54">
      <w:pPr>
        <w:spacing w:after="0" w:line="276" w:lineRule="auto"/>
        <w:jc w:val="both"/>
        <w:rPr>
          <w:rFonts w:ascii="Verdana" w:eastAsia="Calibri" w:hAnsi="Verdana" w:cs="Arial"/>
          <w:color w:val="7030A0"/>
          <w:lang w:val="es-ES"/>
        </w:rPr>
      </w:pPr>
    </w:p>
    <w:p w14:paraId="1B616453" w14:textId="77777777" w:rsidR="00CA3D54" w:rsidRDefault="00CA3D54" w:rsidP="00CA3D5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25288A4" w14:textId="77777777" w:rsidR="00CA3D54" w:rsidRDefault="00CA3D54" w:rsidP="00CA3D54">
      <w:pPr>
        <w:spacing w:after="0" w:line="276" w:lineRule="auto"/>
        <w:jc w:val="both"/>
        <w:rPr>
          <w:rFonts w:ascii="Verdana" w:eastAsia="Calibri" w:hAnsi="Verdana" w:cs="Arial"/>
          <w:lang w:val="es-ES"/>
        </w:rPr>
      </w:pPr>
    </w:p>
    <w:p w14:paraId="3350AFCE" w14:textId="77777777" w:rsidR="00CA3D54" w:rsidRPr="00F16D2E" w:rsidRDefault="00CA3D54" w:rsidP="00CA3D54">
      <w:pPr>
        <w:widowControl w:val="0"/>
        <w:tabs>
          <w:tab w:val="left" w:pos="728"/>
        </w:tabs>
        <w:autoSpaceDE w:val="0"/>
        <w:autoSpaceDN w:val="0"/>
        <w:spacing w:after="120" w:line="276" w:lineRule="auto"/>
        <w:jc w:val="both"/>
        <w:rPr>
          <w:rFonts w:ascii="Verdana" w:eastAsia="Arial" w:hAnsi="Verdana" w:cs="Arial"/>
          <w:lang w:val="es-ES"/>
        </w:rPr>
      </w:pPr>
      <w:r>
        <w:rPr>
          <w:rFonts w:ascii="Verdana" w:eastAsia="Calibri" w:hAnsi="Verdana" w:cs="Arial"/>
        </w:rPr>
        <w:t xml:space="preserve">i. </w:t>
      </w:r>
      <w:r w:rsidRPr="00F16D2E">
        <w:rPr>
          <w:rFonts w:ascii="Verdana" w:eastAsia="Arial" w:hAnsi="Verdana" w:cs="Arial"/>
          <w:lang w:val="es-ES"/>
        </w:rPr>
        <w:t xml:space="preserve">El principio de publicidad impone a las autoridades administrativas el deber de dar a conocer sus actos, contratos y decisiones, para que se divulguen y eventualmente se controlen las actuaciones. 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 </w:t>
      </w:r>
    </w:p>
    <w:p w14:paraId="39753C78" w14:textId="77777777" w:rsidR="00CA3D54" w:rsidRPr="00F16D2E" w:rsidRDefault="00CA3D54" w:rsidP="00CA3D54">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De otra parte, la Ley 1712 de 2014 identifica como principios que orientan el acceso a la información pública el de máxima publicidad y el de transparencia en la información. El primero establece que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619D8EC6" w14:textId="77777777" w:rsidR="00CA3D54" w:rsidRPr="00F16D2E" w:rsidRDefault="00CA3D54" w:rsidP="00CA3D54">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La ley citada dispone, en el literal </w:t>
      </w:r>
      <w:r>
        <w:rPr>
          <w:rFonts w:ascii="Verdana" w:eastAsia="Arial" w:hAnsi="Verdana" w:cs="Arial"/>
          <w:lang w:val="es-ES"/>
        </w:rPr>
        <w:t>a</w:t>
      </w:r>
      <w:r w:rsidRPr="00F16D2E">
        <w:rPr>
          <w:rFonts w:ascii="Verdana" w:eastAsia="Arial" w:hAnsi="Verdana" w:cs="Arial"/>
          <w:lang w:val="es-ES"/>
        </w:rPr>
        <w:t xml:space="preserve">) del artículo </w:t>
      </w:r>
      <w:r>
        <w:rPr>
          <w:rFonts w:ascii="Verdana" w:eastAsia="Arial" w:hAnsi="Verdana" w:cs="Arial"/>
          <w:lang w:val="es-ES"/>
        </w:rPr>
        <w:t>5</w:t>
      </w:r>
      <w:r w:rsidRPr="00F16D2E">
        <w:rPr>
          <w:rFonts w:ascii="Verdana" w:eastAsia="Arial" w:hAnsi="Verdana" w:cs="Arial"/>
          <w:lang w:val="es-ES"/>
        </w:rPr>
        <w:t>, que los sujetos obligados, que son todas las entidades públicas, deben publicar la información relativa a su contratación</w:t>
      </w:r>
      <w:r w:rsidRPr="00F16D2E">
        <w:rPr>
          <w:rFonts w:ascii="Verdana" w:eastAsia="Arial" w:hAnsi="Verdana" w:cs="Arial"/>
          <w:vertAlign w:val="superscript"/>
          <w:lang w:val="es-ES"/>
        </w:rPr>
        <w:footnoteReference w:id="2"/>
      </w:r>
      <w:r w:rsidRPr="00F16D2E">
        <w:rPr>
          <w:rFonts w:ascii="Verdana" w:eastAsia="Arial" w:hAnsi="Verdana" w:cs="Arial"/>
          <w:lang w:val="es-ES"/>
        </w:rPr>
        <w:t>. Esta obligación fue en principio desarrollada por el Decreto 103 de 2015, compilado en el Decreto 1081 de 2015, el cual dispuso que la publicación de la información contractual de los sujetos obligados, que contratan con cargo a recursos públicos, debe hacerse en el Sistema Electrónico de Contratación Pública –SECOP–</w:t>
      </w:r>
      <w:r w:rsidRPr="00F16D2E">
        <w:rPr>
          <w:rFonts w:ascii="Verdana" w:eastAsia="Arial" w:hAnsi="Verdana" w:cs="Arial"/>
          <w:vertAlign w:val="superscript"/>
          <w:lang w:val="es-ES"/>
        </w:rPr>
        <w:footnoteReference w:id="3"/>
      </w:r>
      <w:r w:rsidRPr="00F16D2E">
        <w:rPr>
          <w:rFonts w:ascii="Verdana" w:eastAsia="Arial" w:hAnsi="Verdana" w:cs="Arial"/>
          <w:lang w:val="es-ES"/>
        </w:rPr>
        <w:t>.</w:t>
      </w:r>
    </w:p>
    <w:p w14:paraId="747B3132" w14:textId="77777777" w:rsidR="00CA3D54" w:rsidRPr="00F16D2E" w:rsidRDefault="00CA3D54" w:rsidP="00CA3D54">
      <w:pPr>
        <w:widowControl w:val="0"/>
        <w:tabs>
          <w:tab w:val="left" w:pos="728"/>
        </w:tabs>
        <w:autoSpaceDE w:val="0"/>
        <w:autoSpaceDN w:val="0"/>
        <w:spacing w:after="120" w:line="276" w:lineRule="auto"/>
        <w:jc w:val="both"/>
        <w:rPr>
          <w:rFonts w:ascii="Verdana" w:eastAsia="Arial" w:hAnsi="Verdana" w:cs="Arial"/>
          <w:lang w:val="es-ES"/>
        </w:rPr>
      </w:pPr>
      <w:r w:rsidRPr="00F16D2E">
        <w:rPr>
          <w:rFonts w:ascii="Verdana" w:eastAsia="Arial" w:hAnsi="Verdana" w:cs="Arial"/>
          <w:lang w:val="es-ES"/>
        </w:rPr>
        <w:tab/>
        <w:t xml:space="preserve">Asimismo, de acuerdo con el literal g) del artículo 11 de la misma Ley, todos los destinatarios de la ley de transparencia deben garantizar la publicidad de “sus procedimientos, lineamientos, políticas en materia de adquisiciones y </w:t>
      </w:r>
      <w:r w:rsidRPr="00F16D2E">
        <w:rPr>
          <w:rFonts w:ascii="Verdana" w:eastAsia="Arial" w:hAnsi="Verdana" w:cs="Arial"/>
          <w:lang w:val="es-ES"/>
        </w:rPr>
        <w:lastRenderedPageBreak/>
        <w:t xml:space="preserve">compras, así como todos los datos de adjudicación y ejecución de contratos, incluidos concursos y licitaciones”, y esta información también debe estar en el SECOP. </w:t>
      </w:r>
    </w:p>
    <w:p w14:paraId="351B4141" w14:textId="77777777" w:rsidR="00CA3D54" w:rsidRPr="00F16D2E" w:rsidRDefault="00CA3D54" w:rsidP="00CA3D54">
      <w:pPr>
        <w:widowControl w:val="0"/>
        <w:tabs>
          <w:tab w:val="left" w:pos="728"/>
        </w:tabs>
        <w:autoSpaceDE w:val="0"/>
        <w:autoSpaceDN w:val="0"/>
        <w:spacing w:after="120" w:line="276" w:lineRule="auto"/>
        <w:jc w:val="both"/>
        <w:rPr>
          <w:rFonts w:ascii="Verdana" w:hAnsi="Verdana" w:cs="Arial"/>
          <w:lang w:val="es-ES"/>
        </w:rPr>
      </w:pPr>
      <w:r w:rsidRPr="00F16D2E">
        <w:rPr>
          <w:rFonts w:ascii="Verdana" w:eastAsia="Arial" w:hAnsi="Verdana" w:cs="Arial"/>
          <w:lang w:val="es-ES"/>
        </w:rPr>
        <w:tab/>
      </w:r>
      <w:r w:rsidRPr="00F16D2E">
        <w:rPr>
          <w:rFonts w:ascii="Verdana" w:hAnsi="Verdana" w:cs="Arial"/>
          <w:lang w:val="es-ES"/>
        </w:rPr>
        <w:t>El deber de publicidad que se desprende del artículo 3 de la Ley 1150 de 2007 está reglamentado por el artículo 2.2.1.1.1.7.1 del Decreto 1082 de 2015, el cual dispone los documentos que deben publicarse y al SECOP como medio de publicación</w:t>
      </w:r>
      <w:r w:rsidRPr="00F16D2E">
        <w:rPr>
          <w:rFonts w:ascii="Verdana" w:hAnsi="Verdana" w:cs="Arial"/>
          <w:vertAlign w:val="superscript"/>
          <w:lang w:val="es-ES"/>
        </w:rPr>
        <w:footnoteReference w:id="4"/>
      </w:r>
      <w:r w:rsidRPr="00F16D2E">
        <w:rPr>
          <w:rFonts w:ascii="Verdana" w:hAnsi="Verdana" w:cs="Arial"/>
          <w:lang w:val="es-ES"/>
        </w:rPr>
        <w:t>. De acuerdo con esto, las entidades deben cumplir con el principio de publicidad respecto de su actividad contractual como garantía para los administrados, para conocer las actuaciones y participar en el control de estas, siendo el SECOP la herramienta que dispuso el Estado para que las entidades cumplan el principio de publicidad.</w:t>
      </w:r>
    </w:p>
    <w:p w14:paraId="71A31847" w14:textId="77777777" w:rsidR="00CA3D54" w:rsidRPr="00F16D2E" w:rsidRDefault="00CA3D54" w:rsidP="00CA3D54">
      <w:pPr>
        <w:widowControl w:val="0"/>
        <w:tabs>
          <w:tab w:val="left" w:pos="728"/>
        </w:tabs>
        <w:autoSpaceDE w:val="0"/>
        <w:autoSpaceDN w:val="0"/>
        <w:spacing w:after="120" w:line="276" w:lineRule="auto"/>
        <w:jc w:val="both"/>
        <w:rPr>
          <w:rFonts w:ascii="Verdana" w:hAnsi="Verdana" w:cs="Arial"/>
          <w:lang w:val="es-ES"/>
        </w:rPr>
      </w:pPr>
      <w:r w:rsidRPr="00F16D2E">
        <w:rPr>
          <w:rFonts w:ascii="Verdana" w:hAnsi="Verdana" w:cs="Arial"/>
          <w:lang w:val="es-ES"/>
        </w:rPr>
        <w:tab/>
        <w:t>Ahora bien, 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18E74871" w14:textId="77777777" w:rsidR="00CA3D54" w:rsidRPr="00F16D2E" w:rsidRDefault="00CA3D54" w:rsidP="00CA3D54">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r>
        <w:rPr>
          <w:rFonts w:ascii="Verdana" w:eastAsia="Arial" w:hAnsi="Verdana" w:cs="Arial"/>
          <w:i/>
          <w:iCs/>
          <w:lang w:val="es-ES"/>
        </w:rPr>
        <w:t>ibidem</w:t>
      </w:r>
      <w:r w:rsidRPr="00F16D2E">
        <w:rPr>
          <w:rFonts w:ascii="Verdana" w:eastAsia="Arial" w:hAnsi="Verdana" w:cs="Arial"/>
          <w:lang w:val="es-ES"/>
        </w:rPr>
        <w:t xml:space="preserve"> recoge en la noción de </w:t>
      </w:r>
      <w:r w:rsidRPr="00F16D2E">
        <w:rPr>
          <w:rFonts w:ascii="Verdana" w:eastAsia="Arial" w:hAnsi="Verdana" w:cs="Arial"/>
          <w:i/>
          <w:iCs/>
          <w:lang w:val="es-ES"/>
        </w:rPr>
        <w:t>Documentos del Proceso</w:t>
      </w:r>
      <w:r w:rsidRPr="00F16D2E">
        <w:rPr>
          <w:rFonts w:ascii="Verdana" w:eastAsia="Arial" w:hAnsi="Verdana" w:cs="Arial"/>
          <w:lang w:val="es-ES"/>
        </w:rPr>
        <w:t xml:space="preserve"> “cualquier otro documento expedido por la Entidad Estatal durante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Este mismo artículo define la expresión </w:t>
      </w:r>
      <w:r w:rsidRPr="00F16D2E">
        <w:rPr>
          <w:rFonts w:ascii="Verdana" w:eastAsia="Arial" w:hAnsi="Verdana" w:cs="Arial"/>
          <w:i/>
          <w:iCs/>
          <w:lang w:val="es-ES"/>
        </w:rPr>
        <w:t>Proceso de Contratación</w:t>
      </w:r>
      <w:r w:rsidRPr="00F16D2E">
        <w:rPr>
          <w:rFonts w:ascii="Verdana" w:eastAsia="Arial" w:hAnsi="Verdana" w:cs="Arial"/>
          <w:lang w:val="es-ES"/>
        </w:rPr>
        <w:t xml:space="preserve"> como el “Conjunto de actos y actividades, y su secuencia, adelantadas por la Entidad Estatal desde la planeación hasta el vencimiento de las garantías de </w:t>
      </w:r>
      <w:r w:rsidRPr="00F16D2E">
        <w:rPr>
          <w:rFonts w:ascii="Verdana" w:eastAsia="Arial" w:hAnsi="Verdana" w:cs="Arial"/>
          <w:lang w:val="es-ES"/>
        </w:rPr>
        <w:lastRenderedPageBreak/>
        <w:t>calidad, estabilidad y mantenimiento, o las condiciones de disposición final o recuperación ambiental de las obras o bienes o el vencimiento del plazo, lo que ocurra más tarde”. </w:t>
      </w:r>
    </w:p>
    <w:p w14:paraId="7BD2D90F" w14:textId="77777777" w:rsidR="00CA3D54" w:rsidRPr="00F16D2E" w:rsidRDefault="00CA3D54" w:rsidP="00CA3D54">
      <w:pPr>
        <w:widowControl w:val="0"/>
        <w:autoSpaceDE w:val="0"/>
        <w:autoSpaceDN w:val="0"/>
        <w:spacing w:after="120" w:line="276" w:lineRule="auto"/>
        <w:ind w:firstLine="708"/>
        <w:jc w:val="both"/>
        <w:rPr>
          <w:rFonts w:ascii="Verdana" w:eastAsia="Arial" w:hAnsi="Verdana" w:cs="Arial"/>
          <w:lang w:val="es-ES"/>
        </w:rPr>
      </w:pPr>
      <w:r w:rsidRPr="00F16D2E">
        <w:rPr>
          <w:rFonts w:ascii="Verdana" w:eastAsia="Arial" w:hAnsi="Verdana" w:cs="Arial"/>
          <w:lang w:val="es-ES"/>
        </w:rPr>
        <w:t xml:space="preserve">En todo caso, de conformidad con la segunda parte del inciso primero del artículo 2.2.1.1.1.7.1 </w:t>
      </w:r>
      <w:r>
        <w:rPr>
          <w:rFonts w:ascii="Verdana" w:eastAsia="Arial" w:hAnsi="Verdana" w:cs="Arial"/>
          <w:i/>
          <w:iCs/>
          <w:lang w:val="es-ES"/>
        </w:rPr>
        <w:t>i</w:t>
      </w:r>
      <w:r w:rsidRPr="00F16D2E">
        <w:rPr>
          <w:rFonts w:ascii="Verdana" w:eastAsia="Arial" w:hAnsi="Verdana" w:cs="Arial"/>
          <w:i/>
          <w:iCs/>
          <w:lang w:val="es-ES"/>
        </w:rPr>
        <w:t>bidem</w:t>
      </w:r>
      <w:r w:rsidRPr="00F16D2E">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F16D2E">
        <w:rPr>
          <w:rFonts w:ascii="Verdana" w:eastAsia="Arial" w:hAnsi="Verdana" w:cs="Arial"/>
          <w:i/>
          <w:iCs/>
          <w:lang w:val="es-ES"/>
        </w:rPr>
        <w:t xml:space="preserve"> </w:t>
      </w:r>
      <w:r w:rsidRPr="00F16D2E">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62DE15A0" w14:textId="77777777" w:rsidR="00CA3D54" w:rsidRPr="00F16D2E" w:rsidRDefault="00CA3D54" w:rsidP="00CA3D54">
      <w:pPr>
        <w:widowControl w:val="0"/>
        <w:autoSpaceDE w:val="0"/>
        <w:autoSpaceDN w:val="0"/>
        <w:spacing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F16D2E">
        <w:rPr>
          <w:rFonts w:ascii="Verdana" w:eastAsia="Arial" w:hAnsi="Verdana" w:cs="Arial"/>
          <w:i/>
          <w:iCs/>
          <w:lang w:val="es-ES"/>
        </w:rPr>
        <w:t>Proceso de Contratación</w:t>
      </w:r>
      <w:r w:rsidRPr="00F16D2E">
        <w:rPr>
          <w:rFonts w:ascii="Verdana" w:eastAsia="Arial" w:hAnsi="Verdana" w:cs="Arial"/>
          <w:lang w:val="es-ES"/>
        </w:rPr>
        <w:t xml:space="preserve"> expedidos durante las etapas precontractual, de ejecución y </w:t>
      </w:r>
      <w:proofErr w:type="spellStart"/>
      <w:r w:rsidRPr="00F16D2E">
        <w:rPr>
          <w:rFonts w:ascii="Verdana" w:eastAsia="Arial" w:hAnsi="Verdana" w:cs="Arial"/>
          <w:lang w:val="es-ES"/>
        </w:rPr>
        <w:t>postcontractual</w:t>
      </w:r>
      <w:proofErr w:type="spellEnd"/>
      <w:r w:rsidRPr="00F16D2E">
        <w:rPr>
          <w:rFonts w:ascii="Verdana" w:eastAsia="Arial" w:hAnsi="Verdana" w:cs="Arial"/>
          <w:lang w:val="es-ES"/>
        </w:rPr>
        <w:t xml:space="preserve">. Este deber aplica a todas las modalidades de selección y entidades regidas por el Estatuto General de Contratación de la Administración Pública, y solo se encuentran excluidas las ofertas perdedoras y los documentos expedidos en el marco de operaciones de bolsa de productos. </w:t>
      </w:r>
    </w:p>
    <w:p w14:paraId="7CF07AA8" w14:textId="77777777" w:rsidR="00CA3D54" w:rsidRPr="00F16D2E" w:rsidRDefault="00CA3D54" w:rsidP="00CA3D54">
      <w:pPr>
        <w:spacing w:before="120" w:after="120" w:line="276" w:lineRule="auto"/>
        <w:ind w:firstLine="709"/>
        <w:jc w:val="both"/>
        <w:rPr>
          <w:rFonts w:ascii="Verdana" w:eastAsia="Arial" w:hAnsi="Verdana" w:cs="Arial"/>
          <w:lang w:val="es-ES"/>
        </w:rPr>
      </w:pPr>
      <w:r w:rsidRPr="00F16D2E">
        <w:rPr>
          <w:rFonts w:ascii="Verdana" w:eastAsia="Calibri" w:hAnsi="Verdana" w:cs="Arial"/>
          <w:lang w:val="es-ES"/>
        </w:rPr>
        <w:t xml:space="preserve">Adicionalmente, el deber de publicar la actividad contractual de las entidades estatales no solo está regulado en el artículo 3 de la Ley 1150 de 2007 y en el </w:t>
      </w:r>
      <w:r w:rsidRPr="00F16D2E">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F16D2E">
        <w:rPr>
          <w:rFonts w:ascii="Verdana" w:eastAsia="Arial" w:hAnsi="Verdana" w:cs="Arial"/>
          <w:i/>
          <w:iCs/>
          <w:lang w:val="es-ES"/>
        </w:rPr>
        <w:t xml:space="preserve">Documentos del Proceso </w:t>
      </w:r>
      <w:r w:rsidRPr="00F16D2E">
        <w:rPr>
          <w:rFonts w:ascii="Verdana" w:eastAsia="Arial" w:hAnsi="Verdana" w:cs="Arial"/>
          <w:lang w:val="es-ES"/>
        </w:rPr>
        <w:t xml:space="preserve">expedidos por la “entidad estatal”. </w:t>
      </w:r>
    </w:p>
    <w:p w14:paraId="309E6F93" w14:textId="77777777" w:rsidR="00CA3D54" w:rsidRPr="00F16D2E" w:rsidRDefault="00CA3D54" w:rsidP="00CA3D54">
      <w:pPr>
        <w:spacing w:before="120" w:after="120" w:line="276" w:lineRule="auto"/>
        <w:ind w:firstLine="709"/>
        <w:jc w:val="both"/>
        <w:rPr>
          <w:rFonts w:ascii="Verdana" w:eastAsia="Arial" w:hAnsi="Verdana" w:cs="Arial"/>
          <w:lang w:val="es-ES"/>
        </w:rPr>
      </w:pPr>
      <w:r w:rsidRPr="00F16D2E">
        <w:rPr>
          <w:rFonts w:ascii="Verdana" w:eastAsia="Arial" w:hAnsi="Verdana" w:cs="Arial"/>
          <w:lang w:val="es-ES"/>
        </w:rPr>
        <w:t xml:space="preserve">Es necesario tener en cuenta que la Ley de Transparencia define el concepto de información pública. Por un lado, el literal a) del artículo 6 de la Ley 1712 de 2014 dispone que la </w:t>
      </w:r>
      <w:r w:rsidRPr="00F16D2E">
        <w:rPr>
          <w:rFonts w:ascii="Verdana" w:eastAsia="Arial" w:hAnsi="Verdana" w:cs="Arial"/>
          <w:i/>
          <w:iCs/>
          <w:lang w:val="es-ES"/>
        </w:rPr>
        <w:t>información</w:t>
      </w:r>
      <w:r w:rsidRPr="00F16D2E">
        <w:rPr>
          <w:rFonts w:ascii="Verdana" w:eastAsia="Arial" w:hAnsi="Verdana" w:cs="Arial"/>
          <w:lang w:val="es-ES"/>
        </w:rPr>
        <w:t xml:space="preserve"> se “Se refiere a un conjunto organizado de datos contenido en cualquier documento que los sujetos obligados generen, obtengan, adquieran, transformen o controlen”. Además, el literal b) </w:t>
      </w:r>
      <w:r w:rsidRPr="00F16D2E">
        <w:rPr>
          <w:rFonts w:ascii="Verdana" w:eastAsia="Arial" w:hAnsi="Verdana" w:cs="Arial"/>
          <w:i/>
          <w:iCs/>
          <w:lang w:val="es-ES"/>
        </w:rPr>
        <w:t>ibidem</w:t>
      </w:r>
      <w:r w:rsidRPr="00F16D2E">
        <w:rPr>
          <w:rFonts w:ascii="Verdana" w:eastAsia="Arial" w:hAnsi="Verdana" w:cs="Arial"/>
          <w:lang w:val="es-ES"/>
        </w:rPr>
        <w:t xml:space="preserve"> define la </w:t>
      </w:r>
      <w:r w:rsidRPr="00F16D2E">
        <w:rPr>
          <w:rFonts w:ascii="Verdana" w:eastAsia="Arial" w:hAnsi="Verdana" w:cs="Arial"/>
          <w:i/>
          <w:iCs/>
          <w:lang w:val="es-ES"/>
        </w:rPr>
        <w:t>información pública</w:t>
      </w:r>
      <w:r w:rsidRPr="00F16D2E">
        <w:rPr>
          <w:rFonts w:ascii="Verdana" w:eastAsia="Arial" w:hAnsi="Verdana" w:cs="Arial"/>
          <w:lang w:val="es-ES"/>
        </w:rPr>
        <w:t xml:space="preserve"> como “[…] toda información que un sujeto obligado </w:t>
      </w:r>
      <w:proofErr w:type="gramStart"/>
      <w:r w:rsidRPr="00F16D2E">
        <w:rPr>
          <w:rFonts w:ascii="Verdana" w:eastAsia="Arial" w:hAnsi="Verdana" w:cs="Arial"/>
          <w:lang w:val="es-ES"/>
        </w:rPr>
        <w:t>genere,</w:t>
      </w:r>
      <w:proofErr w:type="gramEnd"/>
      <w:r w:rsidRPr="00F16D2E">
        <w:rPr>
          <w:rFonts w:ascii="Verdana" w:eastAsia="Arial" w:hAnsi="Verdana" w:cs="Arial"/>
          <w:lang w:val="es-ES"/>
        </w:rPr>
        <w:t xml:space="preserve"> obtenga, adquiera, o controle en su calidad de tal”.</w:t>
      </w:r>
    </w:p>
    <w:p w14:paraId="492B2D7F" w14:textId="77777777" w:rsidR="00CA3D54" w:rsidRPr="00F16D2E" w:rsidRDefault="00CA3D54" w:rsidP="00CA3D54">
      <w:pPr>
        <w:spacing w:before="120" w:after="120" w:line="276" w:lineRule="auto"/>
        <w:ind w:firstLine="709"/>
        <w:jc w:val="both"/>
        <w:rPr>
          <w:rFonts w:ascii="Verdana" w:eastAsia="Calibri" w:hAnsi="Verdana" w:cs="Arial"/>
          <w:lang w:val="es-ES"/>
        </w:rPr>
      </w:pPr>
      <w:r w:rsidRPr="00F16D2E">
        <w:rPr>
          <w:rFonts w:ascii="Verdana" w:eastAsia="Calibri" w:hAnsi="Verdana" w:cs="Arial"/>
          <w:lang w:val="es-ES"/>
        </w:rPr>
        <w:lastRenderedPageBreak/>
        <w:t xml:space="preserve">Las publicaciones que corresponde efectuar a las entidades estatales, como sujetos obligados por la normativa de la transparencia y acceso a la información pública, antes que una derogación o subrogación del contenido del deber de publicidad regulado por el EGCAP, suponen una ampliación de su alcance, que lo extiende de la simple publicación de la información “producida por la entidad estatal” asociada a la noción de </w:t>
      </w:r>
      <w:r w:rsidRPr="00F16D2E">
        <w:rPr>
          <w:rFonts w:ascii="Verdana" w:eastAsia="Calibri" w:hAnsi="Verdana" w:cs="Arial"/>
          <w:i/>
          <w:iCs/>
          <w:lang w:val="es-ES"/>
        </w:rPr>
        <w:t>Documentos del Proceso</w:t>
      </w:r>
      <w:r w:rsidRPr="00F16D2E">
        <w:rPr>
          <w:rFonts w:ascii="Verdana" w:eastAsia="Calibri" w:hAnsi="Verdana" w:cs="Arial"/>
          <w:lang w:val="es-ES"/>
        </w:rPr>
        <w:t xml:space="preserve">. Esto implica que la publicación que corresponde a las entidades estatales, como sujetos obligados en el marco de la Ley 1712 de 2014, se extiende a todo el desarrollo del procedimiento, desde la etapa de planeación hasta el vencimiento de las garantías, incluyendo cada actuación que se produzca en ese lapso.  </w:t>
      </w:r>
    </w:p>
    <w:p w14:paraId="187D4BD6" w14:textId="77777777" w:rsidR="00CA3D54" w:rsidRPr="00F16D2E" w:rsidRDefault="00CA3D54" w:rsidP="00CA3D54">
      <w:pPr>
        <w:spacing w:line="276" w:lineRule="auto"/>
        <w:ind w:firstLine="709"/>
        <w:contextualSpacing/>
        <w:jc w:val="both"/>
        <w:rPr>
          <w:rFonts w:ascii="Verdana" w:eastAsia="Calibri" w:hAnsi="Verdana" w:cs="Arial"/>
          <w:lang w:val="es-ES_tradnl" w:eastAsia="es-ES_tradnl"/>
        </w:rPr>
      </w:pPr>
      <w:r w:rsidRPr="00F16D2E">
        <w:rPr>
          <w:rFonts w:ascii="Verdana" w:hAnsi="Verdana" w:cs="Arial"/>
          <w:lang w:val="es-ES"/>
        </w:rPr>
        <w:t xml:space="preserve">Para los contratos de régimen exceptuado, el deber de publicidad y transparencia </w:t>
      </w:r>
      <w:bookmarkStart w:id="2" w:name="_Hlk114572097"/>
      <w:bookmarkStart w:id="3" w:name="_Hlk112856043"/>
      <w:bookmarkStart w:id="4" w:name="_Hlk112245356"/>
      <w:r w:rsidRPr="00F16D2E">
        <w:rPr>
          <w:rFonts w:ascii="Verdana" w:hAnsi="Verdana" w:cs="Arial"/>
          <w:lang w:val="es-ES"/>
        </w:rPr>
        <w:t>fue complementado</w:t>
      </w:r>
      <w:r w:rsidRPr="00F16D2E">
        <w:rPr>
          <w:rFonts w:ascii="Verdana" w:hAnsi="Verdana" w:cs="Arial"/>
        </w:rPr>
        <w:t xml:space="preserve"> con la Ley 2195 de 2022. </w:t>
      </w:r>
      <w:r w:rsidRPr="00F16D2E">
        <w:rPr>
          <w:rFonts w:ascii="Verdana" w:eastAsia="Calibri" w:hAnsi="Verdana" w:cs="Arial"/>
          <w:lang w:val="es-ES_tradnl" w:eastAsia="es-ES_tradnl"/>
        </w:rPr>
        <w:t>Según el artículo 1, esta Ley “</w:t>
      </w:r>
      <w:r w:rsidRPr="00F16D2E">
        <w:rPr>
          <w:rFonts w:ascii="Verdana" w:eastAsia="Times New Roman" w:hAnsi="Verdana" w:cs="Arial"/>
          <w:lang w:val="es-ES_tradnl" w:eastAsia="es-ES_tradnl"/>
        </w:rPr>
        <w:t xml:space="preserve">[…] </w:t>
      </w:r>
      <w:r w:rsidRPr="00F16D2E">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19D31D66" w14:textId="77777777" w:rsidR="00CA3D54" w:rsidRPr="00F16D2E" w:rsidRDefault="00CA3D54" w:rsidP="00CA3D54">
      <w:pPr>
        <w:spacing w:line="276" w:lineRule="auto"/>
        <w:ind w:firstLine="709"/>
        <w:contextualSpacing/>
        <w:jc w:val="both"/>
        <w:rPr>
          <w:rFonts w:ascii="Verdana" w:eastAsia="Calibri" w:hAnsi="Verdana" w:cs="Arial"/>
          <w:sz w:val="12"/>
          <w:szCs w:val="12"/>
          <w:lang w:val="es-ES_tradnl" w:eastAsia="es-ES_tradnl"/>
        </w:rPr>
      </w:pPr>
    </w:p>
    <w:p w14:paraId="531B7E90" w14:textId="77777777" w:rsidR="00CA3D54" w:rsidRPr="00F16D2E" w:rsidRDefault="00CA3D54" w:rsidP="00CA3D54">
      <w:pPr>
        <w:spacing w:line="276" w:lineRule="auto"/>
        <w:ind w:firstLine="709"/>
        <w:contextualSpacing/>
        <w:jc w:val="both"/>
        <w:rPr>
          <w:rFonts w:ascii="Verdana" w:hAnsi="Verdana" w:cs="Arial"/>
        </w:rPr>
      </w:pPr>
      <w:r w:rsidRPr="00F16D2E">
        <w:rPr>
          <w:rFonts w:ascii="Verdana" w:eastAsia="Calibri" w:hAnsi="Verdana" w:cs="Arial"/>
          <w:lang w:val="es-ES_tradnl" w:eastAsia="es-ES_tradnl"/>
        </w:rPr>
        <w:t xml:space="preserve">Dentro del capítulo VIII, por el cual se expiden “Disposiciones en materia contractual para la moralización y la transparencia”, se ubica </w:t>
      </w:r>
      <w:r w:rsidRPr="00F16D2E">
        <w:rPr>
          <w:rFonts w:ascii="Verdana" w:hAnsi="Verdana"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w:t>
      </w:r>
      <w:bookmarkEnd w:id="2"/>
      <w:r w:rsidRPr="00F16D2E">
        <w:rPr>
          <w:rFonts w:ascii="Verdana" w:hAnsi="Verdana" w:cs="Arial"/>
        </w:rPr>
        <w:t xml:space="preserve"> </w:t>
      </w:r>
      <w:bookmarkEnd w:id="3"/>
      <w:bookmarkEnd w:id="4"/>
      <w:r w:rsidRPr="00F16D2E">
        <w:rPr>
          <w:rFonts w:ascii="Verdana" w:hAnsi="Verdana" w:cs="Arial"/>
        </w:rPr>
        <w:t>Al respecto, la norma citada dispone lo siguiente:</w:t>
      </w:r>
    </w:p>
    <w:p w14:paraId="60D3301B" w14:textId="77777777" w:rsidR="00CA3D54" w:rsidRPr="00F16D2E" w:rsidRDefault="00CA3D54" w:rsidP="00CA3D54">
      <w:pPr>
        <w:spacing w:line="276" w:lineRule="auto"/>
        <w:ind w:firstLine="301"/>
        <w:contextualSpacing/>
        <w:rPr>
          <w:rFonts w:ascii="Verdana" w:hAnsi="Verdana" w:cs="Arial"/>
        </w:rPr>
      </w:pPr>
    </w:p>
    <w:p w14:paraId="20E954D3" w14:textId="77777777" w:rsidR="00CA3D54" w:rsidRDefault="00CA3D54" w:rsidP="00CA3D54">
      <w:pPr>
        <w:spacing w:after="0" w:line="240" w:lineRule="auto"/>
        <w:ind w:left="709" w:right="709"/>
        <w:contextualSpacing/>
        <w:jc w:val="both"/>
        <w:rPr>
          <w:rFonts w:ascii="Verdana" w:eastAsia="Calibri" w:hAnsi="Verdana" w:cs="Arial"/>
          <w:sz w:val="20"/>
          <w:szCs w:val="20"/>
        </w:rPr>
      </w:pPr>
      <w:r w:rsidRPr="00B31B56">
        <w:rPr>
          <w:rFonts w:ascii="Verdana" w:eastAsia="Calibri" w:hAnsi="Verdana" w:cs="Arial"/>
          <w:sz w:val="20"/>
          <w:szCs w:val="20"/>
        </w:rPr>
        <w:t>“Adiciónese los siguientes incisos al artículo 13 de la Ley 1150 de 2007, el cual quedará así:</w:t>
      </w:r>
    </w:p>
    <w:p w14:paraId="3267F466" w14:textId="77777777" w:rsidR="00CA3D54" w:rsidRPr="00B31B56" w:rsidRDefault="00CA3D54" w:rsidP="00CA3D54">
      <w:pPr>
        <w:spacing w:after="0" w:line="240" w:lineRule="auto"/>
        <w:ind w:left="709" w:right="709"/>
        <w:contextualSpacing/>
        <w:jc w:val="both"/>
        <w:rPr>
          <w:rFonts w:ascii="Verdana" w:eastAsia="Calibri" w:hAnsi="Verdana" w:cs="Arial"/>
          <w:sz w:val="12"/>
          <w:szCs w:val="12"/>
        </w:rPr>
      </w:pPr>
    </w:p>
    <w:p w14:paraId="5917CD69" w14:textId="77777777" w:rsidR="00CA3D54" w:rsidRDefault="00CA3D54" w:rsidP="00CA3D54">
      <w:pPr>
        <w:spacing w:after="0" w:line="240" w:lineRule="auto"/>
        <w:ind w:left="709" w:right="709"/>
        <w:contextualSpacing/>
        <w:jc w:val="both"/>
        <w:rPr>
          <w:rFonts w:ascii="Verdana" w:eastAsia="Calibri" w:hAnsi="Verdana" w:cs="Arial"/>
          <w:sz w:val="20"/>
          <w:szCs w:val="20"/>
        </w:rPr>
      </w:pPr>
      <w:r w:rsidRPr="00B31B56">
        <w:rPr>
          <w:rFonts w:ascii="Verdana" w:eastAsia="Calibri" w:hAnsi="Verdana" w:cs="Arial"/>
          <w:sz w:val="20"/>
          <w:szCs w:val="20"/>
        </w:rPr>
        <w:t xml:space="preserve">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w:t>
      </w:r>
      <w:r w:rsidRPr="00B31B56">
        <w:rPr>
          <w:rFonts w:ascii="Verdana" w:eastAsia="Calibri" w:hAnsi="Verdana" w:cs="Arial"/>
          <w:sz w:val="20"/>
          <w:szCs w:val="20"/>
        </w:rPr>
        <w:lastRenderedPageBreak/>
        <w:t>régimen de inhabilidades e incompatibilidades previsto legalmente para la contratación estatal.</w:t>
      </w:r>
    </w:p>
    <w:p w14:paraId="0130259E" w14:textId="77777777" w:rsidR="00CA3D54" w:rsidRPr="00B31B56" w:rsidRDefault="00CA3D54" w:rsidP="00CA3D54">
      <w:pPr>
        <w:spacing w:after="0" w:line="240" w:lineRule="auto"/>
        <w:ind w:left="709" w:right="709"/>
        <w:contextualSpacing/>
        <w:jc w:val="both"/>
        <w:rPr>
          <w:rFonts w:ascii="Verdana" w:eastAsia="Calibri" w:hAnsi="Verdana" w:cs="Arial"/>
          <w:sz w:val="12"/>
          <w:szCs w:val="12"/>
        </w:rPr>
      </w:pPr>
    </w:p>
    <w:p w14:paraId="2F1FC42A" w14:textId="77777777" w:rsidR="00CA3D54" w:rsidRDefault="00CA3D54" w:rsidP="00CA3D54">
      <w:pPr>
        <w:spacing w:after="0" w:line="240" w:lineRule="auto"/>
        <w:ind w:left="709" w:right="709"/>
        <w:contextualSpacing/>
        <w:jc w:val="both"/>
        <w:rPr>
          <w:rFonts w:ascii="Verdana" w:eastAsia="Calibri" w:hAnsi="Verdana" w:cs="Arial"/>
          <w:i/>
          <w:iCs/>
          <w:sz w:val="20"/>
          <w:szCs w:val="20"/>
        </w:rPr>
      </w:pPr>
      <w:r w:rsidRPr="00B31B56">
        <w:rPr>
          <w:rFonts w:ascii="Verdana" w:eastAsia="Calibri" w:hAnsi="Verdana" w:cs="Arial"/>
          <w:i/>
          <w:iCs/>
          <w:sz w:val="20"/>
          <w:szCs w:val="20"/>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B31B56">
        <w:rPr>
          <w:rFonts w:ascii="Verdana" w:eastAsia="Calibri" w:hAnsi="Verdana" w:cs="Arial"/>
          <w:i/>
          <w:iCs/>
          <w:sz w:val="20"/>
          <w:szCs w:val="20"/>
        </w:rPr>
        <w:t>postcontractual</w:t>
      </w:r>
      <w:proofErr w:type="spellEnd"/>
      <w:r w:rsidRPr="00B31B56">
        <w:rPr>
          <w:rFonts w:ascii="Verdana" w:eastAsia="Calibri" w:hAnsi="Verdana" w:cs="Arial"/>
          <w:i/>
          <w:iCs/>
          <w:sz w:val="20"/>
          <w:szCs w:val="20"/>
        </w:rPr>
        <w:t>.</w:t>
      </w:r>
    </w:p>
    <w:p w14:paraId="70B547B6" w14:textId="77777777" w:rsidR="00CA3D54" w:rsidRPr="00B31B56" w:rsidRDefault="00CA3D54" w:rsidP="00CA3D54">
      <w:pPr>
        <w:spacing w:after="0" w:line="240" w:lineRule="auto"/>
        <w:ind w:left="709" w:right="709"/>
        <w:contextualSpacing/>
        <w:jc w:val="both"/>
        <w:rPr>
          <w:rFonts w:ascii="Verdana" w:eastAsia="Calibri" w:hAnsi="Verdana" w:cs="Arial"/>
          <w:i/>
          <w:iCs/>
          <w:sz w:val="12"/>
          <w:szCs w:val="12"/>
        </w:rPr>
      </w:pPr>
    </w:p>
    <w:p w14:paraId="758D0F42" w14:textId="77777777" w:rsidR="00CA3D54" w:rsidRPr="00B31B56" w:rsidRDefault="00CA3D54" w:rsidP="00CA3D54">
      <w:pPr>
        <w:spacing w:line="240" w:lineRule="auto"/>
        <w:ind w:left="709" w:right="709"/>
        <w:contextualSpacing/>
        <w:jc w:val="both"/>
        <w:rPr>
          <w:rFonts w:ascii="Verdana" w:eastAsia="Calibri" w:hAnsi="Verdana" w:cs="Arial"/>
          <w:sz w:val="20"/>
          <w:szCs w:val="20"/>
        </w:rPr>
      </w:pPr>
      <w:r w:rsidRPr="00B31B56">
        <w:rPr>
          <w:rFonts w:ascii="Verdana" w:eastAsia="Calibri" w:hAnsi="Verdana" w:cs="Arial"/>
          <w:sz w:val="20"/>
          <w:szCs w:val="20"/>
        </w:rPr>
        <w:t>A partir de la entrada en vigencia de la presente Ley, se establecerá un periodo de transición de seis (6) meses, para que las entidades den cumplimiento efectivo a lo aquí establecido” (Énfasis fuera de texto).</w:t>
      </w:r>
    </w:p>
    <w:p w14:paraId="3F8F3C0E" w14:textId="77777777" w:rsidR="00CA3D54" w:rsidRPr="00F16D2E" w:rsidRDefault="00CA3D54" w:rsidP="00CA3D54">
      <w:pPr>
        <w:spacing w:line="276" w:lineRule="auto"/>
        <w:ind w:firstLine="709"/>
        <w:contextualSpacing/>
        <w:jc w:val="both"/>
        <w:rPr>
          <w:rFonts w:ascii="Verdana" w:eastAsia="Calibri" w:hAnsi="Verdana" w:cs="Arial"/>
          <w:lang w:val="es-ES_tradnl"/>
        </w:rPr>
      </w:pPr>
    </w:p>
    <w:p w14:paraId="74FFC045" w14:textId="77777777" w:rsidR="00CA3D54" w:rsidRPr="00F16D2E" w:rsidRDefault="00CA3D54" w:rsidP="00CA3D54">
      <w:pPr>
        <w:spacing w:after="120" w:line="276" w:lineRule="auto"/>
        <w:ind w:firstLine="709"/>
        <w:jc w:val="both"/>
        <w:rPr>
          <w:rFonts w:ascii="Verdana" w:eastAsia="Calibri" w:hAnsi="Verdana" w:cs="Arial"/>
          <w:lang w:val="es-ES_tradnl" w:eastAsia="es-ES_tradnl"/>
        </w:rPr>
      </w:pPr>
      <w:r w:rsidRPr="00F16D2E">
        <w:rPr>
          <w:rFonts w:ascii="Verdana" w:eastAsia="Calibri" w:hAnsi="Verdana" w:cs="Arial"/>
          <w:lang w:val="es-ES_tradnl"/>
        </w:rPr>
        <w:t xml:space="preserve">Cabe destacar que cuando la norma trascrita hace referencia a que el mencionado deber de publicidad debe cumplirse en el SECOP II o </w:t>
      </w:r>
      <w:r w:rsidRPr="00F16D2E">
        <w:rPr>
          <w:rFonts w:ascii="Verdana" w:hAnsi="Verdana" w:cs="Arial"/>
        </w:rPr>
        <w:t>“</w:t>
      </w:r>
      <w:r w:rsidRPr="00F16D2E">
        <w:rPr>
          <w:rFonts w:ascii="Verdana" w:eastAsia="Calibri" w:hAnsi="Verdana" w:cs="Arial"/>
          <w:lang w:val="es-ES_tradnl"/>
        </w:rPr>
        <w:t xml:space="preserve">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w:t>
      </w:r>
      <w:r w:rsidRPr="00F16D2E">
        <w:rPr>
          <w:rFonts w:ascii="Verdana" w:hAnsi="Verdana" w:cs="Arial"/>
        </w:rPr>
        <w:t>“</w:t>
      </w:r>
      <w:r w:rsidRPr="00F16D2E">
        <w:rPr>
          <w:rFonts w:ascii="Verdana" w:eastAsia="Calibri" w:hAnsi="Verdana" w:cs="Arial"/>
          <w:lang w:val="es-ES_tradnl"/>
        </w:rPr>
        <w:t>la plataforma que haga sus veces</w:t>
      </w:r>
      <w:r w:rsidRPr="00F16D2E">
        <w:rPr>
          <w:rFonts w:ascii="Verdana" w:hAnsi="Verdana" w:cs="Arial"/>
        </w:rPr>
        <w:t>”</w:t>
      </w:r>
      <w:r w:rsidRPr="00F16D2E">
        <w:rPr>
          <w:rFonts w:ascii="Verdana" w:eastAsia="Calibri" w:hAnsi="Verdana" w:cs="Arial"/>
          <w:lang w:val="es-ES_tradnl"/>
        </w:rPr>
        <w:t xml:space="preserve"> no puede interpretarse como una autorización para que las entidades obligadas en virtud del artículo 53 de la Ley 2195 de 2022 puedan emplear sus páginas web o sus propios portales electrónicos para cumplir con el deber de publicidad que les asiste. </w:t>
      </w:r>
      <w:r w:rsidRPr="00F16D2E">
        <w:rPr>
          <w:rFonts w:ascii="Verdana" w:eastAsia="Calibri" w:hAnsi="Verdana" w:cs="Arial"/>
          <w:lang w:val="es-ES_tradnl" w:eastAsia="es-ES_tradnl"/>
        </w:rPr>
        <w:t>Con esto se logra que la ciudadanía pueda encontrar en un mismo sistema la gestión de la actividad contractual del Estado, garantizándose en mayor grado la transparencia y el acceso a la información y documentación pública.</w:t>
      </w:r>
    </w:p>
    <w:p w14:paraId="12801972" w14:textId="77777777" w:rsidR="00CA3D54" w:rsidRDefault="00CA3D54" w:rsidP="5D67C491">
      <w:pPr>
        <w:spacing w:before="120" w:after="0" w:line="276" w:lineRule="auto"/>
        <w:ind w:firstLine="709"/>
        <w:jc w:val="both"/>
        <w:rPr>
          <w:rFonts w:ascii="Verdana" w:eastAsia="Calibri" w:hAnsi="Verdana" w:cs="Arial"/>
          <w:lang w:val="es-ES"/>
        </w:rPr>
      </w:pPr>
      <w:bookmarkStart w:id="5" w:name="_Hlk109111956"/>
      <w:bookmarkStart w:id="6" w:name="_Hlk112245392"/>
      <w:r w:rsidRPr="5D67C491">
        <w:rPr>
          <w:rFonts w:ascii="Verdana" w:eastAsia="Calibri" w:hAnsi="Verdana" w:cs="Arial"/>
          <w:lang w:val="es-ES"/>
        </w:rPr>
        <w:t xml:space="preserve">En cuanto a los documentos que deben publicarse en el SECOP II, la norma citada hace referencia a los documentos relacionados con su </w:t>
      </w:r>
      <w:r w:rsidRPr="5D67C491">
        <w:rPr>
          <w:rFonts w:ascii="Verdana" w:eastAsia="Calibri" w:hAnsi="Verdana" w:cs="Arial"/>
          <w:i/>
          <w:iCs/>
          <w:lang w:val="es-ES"/>
        </w:rPr>
        <w:t>actividad contractual,</w:t>
      </w:r>
      <w:r w:rsidRPr="5D67C491">
        <w:rPr>
          <w:rFonts w:ascii="Verdana" w:eastAsia="Calibri" w:hAnsi="Verdana" w:cs="Arial"/>
          <w:lang w:val="es-ES"/>
        </w:rPr>
        <w:t xml:space="preserve"> es decir, “[…] los documentos, contratos, actos e información generada por oferentes, contratista, contratante, supervisor o interventor, tanto en la etapa precontractual, como en la contractual y la </w:t>
      </w:r>
      <w:proofErr w:type="spellStart"/>
      <w:r w:rsidRPr="5D67C491">
        <w:rPr>
          <w:rFonts w:ascii="Verdana" w:eastAsia="Calibri" w:hAnsi="Verdana" w:cs="Arial"/>
          <w:lang w:val="es-ES"/>
        </w:rPr>
        <w:t>postcontractual</w:t>
      </w:r>
      <w:proofErr w:type="spellEnd"/>
      <w:r w:rsidRPr="5D67C491">
        <w:rPr>
          <w:rFonts w:ascii="Verdana" w:eastAsia="Calibri" w:hAnsi="Verdana" w:cs="Arial"/>
          <w:lang w:val="es-ES"/>
        </w:rPr>
        <w:t xml:space="preserve">”. En ese sentido, el artículo 53 de la Ley 2195 de 2022 establece el deber de publicar toda aquella información relacionada con el respectivo contrato, sin incluir ninguna excepción relacionada con la naturaleza u objeto. Por </w:t>
      </w:r>
      <w:bookmarkEnd w:id="5"/>
      <w:r w:rsidRPr="5D67C491">
        <w:rPr>
          <w:rFonts w:ascii="Verdana" w:eastAsia="Calibri" w:hAnsi="Verdana" w:cs="Arial"/>
          <w:lang w:val="es-ES"/>
        </w:rPr>
        <w:t xml:space="preserve">lo tanto, la publicidad de los contratos exceptuados del Estatuto General de que trata el artículo 53 de la Ley 2195 de 2022, requiere que se publique en el SECOP II </w:t>
      </w:r>
      <w:r w:rsidRPr="5D67C491">
        <w:rPr>
          <w:rFonts w:ascii="Verdana" w:eastAsia="Calibri" w:hAnsi="Verdana" w:cs="Arial"/>
          <w:lang w:val="es-ES"/>
        </w:rPr>
        <w:lastRenderedPageBreak/>
        <w:t>todo documento expedido durante las diferentes etapas del proceso contractual, abarcando desde la fase previa a su celebración, pasando por la ejecución y hasta la fase posterior a su ejecución.</w:t>
      </w:r>
      <w:bookmarkEnd w:id="6"/>
    </w:p>
    <w:p w14:paraId="575CDFFD" w14:textId="77777777" w:rsidR="00CA3D54" w:rsidRDefault="00CA3D54" w:rsidP="00CA3D54">
      <w:pPr>
        <w:spacing w:after="0" w:line="276" w:lineRule="auto"/>
        <w:ind w:firstLine="709"/>
        <w:jc w:val="both"/>
        <w:rPr>
          <w:rFonts w:ascii="Verdana" w:eastAsia="Calibri" w:hAnsi="Verdana" w:cs="Arial"/>
          <w:lang w:val="es-ES_tradnl"/>
        </w:rPr>
      </w:pPr>
    </w:p>
    <w:p w14:paraId="2109C1E2" w14:textId="77777777" w:rsidR="00CA3D54" w:rsidRPr="00AD6B46" w:rsidRDefault="00CA3D54" w:rsidP="00CA3D54">
      <w:pPr>
        <w:spacing w:after="0" w:line="276" w:lineRule="auto"/>
        <w:jc w:val="both"/>
        <w:rPr>
          <w:rFonts w:ascii="Verdana" w:eastAsia="Calibri" w:hAnsi="Verdana" w:cs="Arial"/>
          <w:color w:val="000000"/>
        </w:rPr>
      </w:pPr>
      <w:proofErr w:type="spellStart"/>
      <w:r w:rsidRPr="00AD6B46">
        <w:rPr>
          <w:rFonts w:ascii="Verdana" w:eastAsia="Calibri" w:hAnsi="Verdana" w:cs="Arial"/>
          <w:color w:val="000000"/>
        </w:rPr>
        <w:t>ii</w:t>
      </w:r>
      <w:proofErr w:type="spellEnd"/>
      <w:r w:rsidRPr="00AD6B46">
        <w:rPr>
          <w:rFonts w:ascii="Verdana" w:eastAsia="Calibri" w:hAnsi="Verdana" w:cs="Arial"/>
          <w:color w:val="000000"/>
        </w:rPr>
        <w:t xml:space="preserve">. Ahora bien, el cumplimiento del deber de publicación de la documentación contractual debe armonizarse con las normas aplicables al tipo de información que estas contienen, teniendo en cuenta que el artículo 74 de la Constitución establece que la información pública debe ser dada a conocer a la ciudadanía y así los documentos que hagan parte de la actividad contractual puedan catalogarse, prima facie, como información pública, salvo que dicha documentación contenga información sometida a alguna reserva, que establezca la Constitución o la ley, aplicando algunas restricciones a su publicidad o suministro. Sin embargo, esto no necesariamente convierte el documento completo en reservado, es decir, en un documento que no puede publicarse. Al respecto, la Ley Estatutaria 1712 de 2014 define en el artículo 5° dos tipos de información que tendrá el carácter reservado, como es la información pública clasificada y la información pública reservada: </w:t>
      </w:r>
    </w:p>
    <w:p w14:paraId="0E5FADD5" w14:textId="77777777" w:rsidR="00CA3D54" w:rsidRPr="004D1947" w:rsidRDefault="00CA3D54" w:rsidP="00CA3D54">
      <w:pPr>
        <w:spacing w:after="0" w:line="276" w:lineRule="auto"/>
        <w:ind w:right="709"/>
        <w:jc w:val="both"/>
        <w:rPr>
          <w:rFonts w:ascii="Verdana" w:eastAsia="Calibri" w:hAnsi="Verdana" w:cs="Arial"/>
          <w:color w:val="000000"/>
        </w:rPr>
      </w:pPr>
    </w:p>
    <w:p w14:paraId="079C76BC" w14:textId="77777777" w:rsidR="00CA3D54" w:rsidRPr="004D1947" w:rsidRDefault="00CA3D54" w:rsidP="00CA3D54">
      <w:pPr>
        <w:spacing w:after="0" w:line="240" w:lineRule="auto"/>
        <w:ind w:left="709" w:right="709"/>
        <w:jc w:val="both"/>
        <w:rPr>
          <w:rFonts w:ascii="Verdana" w:eastAsia="Calibri" w:hAnsi="Verdana" w:cs="Arial"/>
          <w:color w:val="000000"/>
          <w:sz w:val="20"/>
          <w:szCs w:val="20"/>
        </w:rPr>
      </w:pPr>
      <w:r w:rsidRPr="004D1947">
        <w:rPr>
          <w:rFonts w:ascii="Verdana" w:eastAsia="Calibri" w:hAnsi="Verdana" w:cs="Arial"/>
          <w:bCs/>
          <w:color w:val="000000"/>
          <w:sz w:val="20"/>
          <w:szCs w:val="20"/>
        </w:rPr>
        <w:t xml:space="preserve">“Artículo 6°. </w:t>
      </w:r>
      <w:r w:rsidRPr="004D1947">
        <w:rPr>
          <w:rFonts w:ascii="Verdana" w:eastAsia="Calibri" w:hAnsi="Verdana" w:cs="Arial"/>
          <w:i/>
          <w:iCs/>
          <w:color w:val="000000"/>
          <w:sz w:val="20"/>
          <w:szCs w:val="20"/>
        </w:rPr>
        <w:t>Definiciones</w:t>
      </w:r>
      <w:r w:rsidRPr="004D1947">
        <w:rPr>
          <w:rFonts w:ascii="Verdana" w:eastAsia="Calibri" w:hAnsi="Verdana" w:cs="Arial"/>
          <w:color w:val="000000"/>
          <w:sz w:val="20"/>
          <w:szCs w:val="20"/>
        </w:rPr>
        <w:t xml:space="preserve">. </w:t>
      </w:r>
    </w:p>
    <w:p w14:paraId="1883C02C" w14:textId="77777777" w:rsidR="00CA3D54" w:rsidRPr="004D1947" w:rsidRDefault="00CA3D54" w:rsidP="00CA3D54">
      <w:pPr>
        <w:spacing w:after="120" w:line="240" w:lineRule="auto"/>
        <w:ind w:left="709" w:right="709"/>
        <w:jc w:val="both"/>
        <w:rPr>
          <w:rFonts w:ascii="Verdana" w:eastAsia="Calibri" w:hAnsi="Verdana" w:cs="Arial"/>
          <w:color w:val="000000"/>
          <w:sz w:val="20"/>
          <w:szCs w:val="20"/>
        </w:rPr>
      </w:pPr>
      <w:r w:rsidRPr="004D1947">
        <w:rPr>
          <w:rFonts w:ascii="Verdana" w:eastAsia="Calibri" w:hAnsi="Verdana" w:cs="Arial"/>
          <w:bCs/>
          <w:color w:val="000000"/>
          <w:sz w:val="20"/>
          <w:szCs w:val="20"/>
        </w:rPr>
        <w:t>[</w:t>
      </w:r>
      <w:r w:rsidRPr="004D1947">
        <w:rPr>
          <w:rFonts w:ascii="Verdana" w:eastAsia="Calibri" w:hAnsi="Verdana" w:cs="Arial"/>
          <w:color w:val="000000"/>
          <w:sz w:val="20"/>
          <w:szCs w:val="20"/>
        </w:rPr>
        <w:t>…]</w:t>
      </w:r>
    </w:p>
    <w:p w14:paraId="11702277" w14:textId="77777777" w:rsidR="00CA3D54" w:rsidRPr="004D1947" w:rsidRDefault="00CA3D54" w:rsidP="00CA3D54">
      <w:pPr>
        <w:spacing w:after="120" w:line="240" w:lineRule="auto"/>
        <w:ind w:left="709" w:right="709"/>
        <w:jc w:val="both"/>
        <w:rPr>
          <w:rFonts w:ascii="Verdana" w:eastAsia="Calibri" w:hAnsi="Verdana" w:cs="Arial"/>
          <w:color w:val="000000"/>
          <w:sz w:val="20"/>
          <w:szCs w:val="20"/>
        </w:rPr>
      </w:pPr>
      <w:r w:rsidRPr="004D1947">
        <w:rPr>
          <w:rFonts w:ascii="Verdana" w:eastAsia="Calibri" w:hAnsi="Verdana" w:cs="Arial"/>
          <w:color w:val="000000"/>
          <w:sz w:val="20"/>
          <w:szCs w:val="20"/>
        </w:rPr>
        <w:t>c) </w:t>
      </w:r>
      <w:r w:rsidRPr="004D1947">
        <w:rPr>
          <w:rFonts w:ascii="Verdana" w:eastAsia="Calibri" w:hAnsi="Verdana" w:cs="Arial"/>
          <w:bCs/>
          <w:color w:val="000000"/>
          <w:sz w:val="20"/>
          <w:szCs w:val="20"/>
        </w:rPr>
        <w:t>Información pública clasificada. </w:t>
      </w:r>
      <w:r w:rsidRPr="004D1947">
        <w:rPr>
          <w:rFonts w:ascii="Verdana" w:eastAsia="Calibri" w:hAnsi="Verdana" w:cs="Arial"/>
          <w:color w:val="000000"/>
          <w:sz w:val="20"/>
          <w:szCs w:val="20"/>
        </w:rPr>
        <w:t>Es aquella información que estando en poder o custodia de un sujeto obligado en su calidad de tal, pertenece al ámbito propio, particular y privado o semiprivado de una persona natural o jurídica por lo que su acceso podrá ser negado o exceptuado, siempre que se trate de las circunstancias legítimas y necesarias y los derechos particulares o privados consagrados en el artículo 18 de esta ley; </w:t>
      </w:r>
    </w:p>
    <w:p w14:paraId="15E6F7D7" w14:textId="77777777" w:rsidR="00CA3D54" w:rsidRPr="004D1947" w:rsidRDefault="00CA3D54" w:rsidP="00CA3D54">
      <w:pPr>
        <w:spacing w:after="0" w:line="240" w:lineRule="auto"/>
        <w:ind w:left="709" w:right="709"/>
        <w:jc w:val="both"/>
        <w:rPr>
          <w:rFonts w:ascii="Verdana" w:eastAsia="Calibri" w:hAnsi="Verdana" w:cs="Arial"/>
          <w:color w:val="000000"/>
          <w:sz w:val="20"/>
          <w:szCs w:val="20"/>
        </w:rPr>
      </w:pPr>
      <w:r w:rsidRPr="004D1947">
        <w:rPr>
          <w:rFonts w:ascii="Verdana" w:eastAsia="Calibri" w:hAnsi="Verdana" w:cs="Arial"/>
          <w:color w:val="000000"/>
          <w:sz w:val="20"/>
          <w:szCs w:val="20"/>
        </w:rPr>
        <w:t>d) </w:t>
      </w:r>
      <w:r w:rsidRPr="004D1947">
        <w:rPr>
          <w:rFonts w:ascii="Verdana" w:eastAsia="Calibri" w:hAnsi="Verdana" w:cs="Arial"/>
          <w:bCs/>
          <w:color w:val="000000"/>
          <w:sz w:val="20"/>
          <w:szCs w:val="20"/>
        </w:rPr>
        <w:t>Información pública reservada. </w:t>
      </w:r>
      <w:r w:rsidRPr="004D1947">
        <w:rPr>
          <w:rFonts w:ascii="Verdana" w:eastAsia="Calibri" w:hAnsi="Verdana" w:cs="Arial"/>
          <w:color w:val="000000"/>
          <w:sz w:val="20"/>
          <w:szCs w:val="20"/>
        </w:rPr>
        <w:t>Es aquella información que estando en poder o custodia de un sujeto obligado en su calidad de tal, es exceptuada de acceso a la ciudadanía por daño a intereses públicos y bajo cumplimiento de la totalidad de los requisitos consagrados en el artículo 19 de esta ley”. </w:t>
      </w:r>
    </w:p>
    <w:p w14:paraId="58BEA6F4" w14:textId="77777777" w:rsidR="00CA3D54" w:rsidRPr="00AD6B46" w:rsidRDefault="00CA3D54" w:rsidP="00CA3D54">
      <w:pPr>
        <w:spacing w:after="0" w:line="276" w:lineRule="auto"/>
        <w:jc w:val="both"/>
        <w:rPr>
          <w:rFonts w:ascii="Verdana" w:eastAsia="Calibri" w:hAnsi="Verdana" w:cs="Arial"/>
          <w:color w:val="000000"/>
        </w:rPr>
      </w:pPr>
    </w:p>
    <w:p w14:paraId="2517D328" w14:textId="77777777" w:rsidR="00CA3D54" w:rsidRPr="00AD6B46" w:rsidRDefault="00CA3D54" w:rsidP="00CA3D54">
      <w:pPr>
        <w:spacing w:after="120" w:line="276" w:lineRule="auto"/>
        <w:ind w:firstLine="708"/>
        <w:jc w:val="both"/>
        <w:rPr>
          <w:rFonts w:ascii="Verdana" w:eastAsia="Calibri" w:hAnsi="Verdana" w:cs="Arial"/>
          <w:color w:val="000000"/>
        </w:rPr>
      </w:pPr>
      <w:r w:rsidRPr="00AD6B46">
        <w:rPr>
          <w:rFonts w:ascii="Verdana" w:eastAsia="Calibri" w:hAnsi="Verdana" w:cs="Arial"/>
          <w:color w:val="000000"/>
        </w:rPr>
        <w:lastRenderedPageBreak/>
        <w:t>Estos dos tipos de información están contenidos en los artículos 18</w:t>
      </w:r>
      <w:r w:rsidRPr="00AD6B46">
        <w:rPr>
          <w:rFonts w:ascii="Verdana" w:eastAsia="Calibri" w:hAnsi="Verdana" w:cs="Arial"/>
          <w:color w:val="000000"/>
          <w:vertAlign w:val="superscript"/>
        </w:rPr>
        <w:footnoteReference w:id="5"/>
      </w:r>
      <w:r w:rsidRPr="00AD6B46">
        <w:rPr>
          <w:rFonts w:ascii="Verdana" w:eastAsia="Calibri" w:hAnsi="Verdana" w:cs="Arial"/>
          <w:color w:val="000000"/>
        </w:rPr>
        <w:t xml:space="preserve"> y 19 de la Ley 1712 de 2014</w:t>
      </w:r>
      <w:r w:rsidRPr="00AD6B46">
        <w:rPr>
          <w:rFonts w:ascii="Verdana" w:eastAsia="Calibri" w:hAnsi="Verdana" w:cs="Arial"/>
          <w:color w:val="000000"/>
          <w:vertAlign w:val="superscript"/>
        </w:rPr>
        <w:footnoteReference w:id="6"/>
      </w:r>
      <w:r w:rsidRPr="00AD6B46">
        <w:rPr>
          <w:rFonts w:ascii="Verdana" w:eastAsia="Calibri" w:hAnsi="Verdana" w:cs="Arial"/>
          <w:color w:val="000000"/>
        </w:rPr>
        <w:t xml:space="preserve">. Lo anterior significa que, respecto de datos que contengan información clasificada por protección de derechos particulares o reservada por defensa de intereses públicos, las entidades deberán proceder de conformidad con lo dispuesto en la Ley 1712 de 2014 y sus decretos reglamentarios sobre el manejo de la información que está sometida a reserva. </w:t>
      </w:r>
    </w:p>
    <w:p w14:paraId="1E0C6A51" w14:textId="77777777" w:rsidR="00CA3D54" w:rsidRDefault="00CA3D54" w:rsidP="00CA3D54">
      <w:pPr>
        <w:spacing w:after="120" w:line="276" w:lineRule="auto"/>
        <w:ind w:firstLine="708"/>
        <w:jc w:val="both"/>
        <w:rPr>
          <w:rFonts w:ascii="Verdana" w:eastAsia="Calibri" w:hAnsi="Verdana" w:cs="Arial"/>
          <w:color w:val="000000"/>
        </w:rPr>
      </w:pPr>
      <w:r w:rsidRPr="00AD6B46">
        <w:rPr>
          <w:rFonts w:ascii="Verdana" w:eastAsia="Calibri" w:hAnsi="Verdana" w:cs="Arial"/>
          <w:color w:val="000000"/>
        </w:rPr>
        <w:t>En esta misma línea, el artículo 24 de la Ley 1437 de 2011 sustituido por el artículo 2 de la Ley 1755 de 2015 establece algunas materias que son sujetas de reserva de información</w:t>
      </w:r>
      <w:r w:rsidRPr="00AD6B46">
        <w:rPr>
          <w:rFonts w:ascii="Verdana" w:eastAsia="Calibri" w:hAnsi="Verdana" w:cs="Arial"/>
          <w:color w:val="000000"/>
          <w:vertAlign w:val="superscript"/>
        </w:rPr>
        <w:footnoteReference w:id="7"/>
      </w:r>
      <w:r w:rsidRPr="00AD6B46">
        <w:rPr>
          <w:rFonts w:ascii="Verdana" w:eastAsia="Calibri" w:hAnsi="Verdana" w:cs="Arial"/>
          <w:color w:val="000000"/>
        </w:rPr>
        <w:t xml:space="preserve">. De tal forma, que las reservas de información no </w:t>
      </w:r>
      <w:r w:rsidRPr="00AD6B46">
        <w:rPr>
          <w:rFonts w:ascii="Verdana" w:eastAsia="Calibri" w:hAnsi="Verdana" w:cs="Arial"/>
          <w:color w:val="000000"/>
        </w:rPr>
        <w:lastRenderedPageBreak/>
        <w:t xml:space="preserve">están solo reguladas en la Ley 1712 de 2014 y en el artículo 24 de la Ley 1437 de 2011 sustituido por el artículo 2 de la Ley 1755 de 2015, pues existen otras normatividades, como la Ley 1581 de 2012, Ley 1621 de 2013, entre otras, que establecen reservas a la información pública.  </w:t>
      </w:r>
    </w:p>
    <w:p w14:paraId="5D577586" w14:textId="77777777" w:rsidR="00CA3D54" w:rsidRPr="00E36AC2" w:rsidRDefault="00CA3D54" w:rsidP="00CA3D54">
      <w:pPr>
        <w:spacing w:after="120" w:line="276" w:lineRule="auto"/>
        <w:ind w:firstLine="708"/>
        <w:jc w:val="both"/>
        <w:rPr>
          <w:rFonts w:ascii="Verdana" w:hAnsi="Verdana" w:cs="Arial"/>
          <w:lang w:val="es-ES"/>
        </w:rPr>
      </w:pPr>
      <w:r>
        <w:rPr>
          <w:rFonts w:ascii="Verdana" w:eastAsia="Calibri" w:hAnsi="Verdana" w:cs="Arial"/>
          <w:color w:val="000000"/>
        </w:rPr>
        <w:t xml:space="preserve">Para efectos de la consulta, sin perjuicio de la publicidad de los informes de evaluación de acuerdo con los artículos </w:t>
      </w:r>
      <w:r w:rsidRPr="000F53E0">
        <w:rPr>
          <w:rFonts w:ascii="Verdana" w:eastAsia="Calibri" w:hAnsi="Verdana" w:cs="Arial"/>
          <w:color w:val="000000"/>
        </w:rPr>
        <w:t>2.2.1.1.1.3.1</w:t>
      </w:r>
      <w:r>
        <w:rPr>
          <w:rFonts w:ascii="Verdana" w:eastAsia="Calibri" w:hAnsi="Verdana" w:cs="Arial"/>
          <w:color w:val="000000"/>
        </w:rPr>
        <w:t xml:space="preserve"> y </w:t>
      </w:r>
      <w:r w:rsidRPr="00F16D2E">
        <w:rPr>
          <w:rFonts w:ascii="Verdana" w:hAnsi="Verdana" w:cs="Arial"/>
          <w:lang w:val="es-ES"/>
        </w:rPr>
        <w:t>2.2.1.1.1.7.1</w:t>
      </w:r>
      <w:r>
        <w:rPr>
          <w:rFonts w:ascii="Verdana" w:hAnsi="Verdana" w:cs="Arial"/>
          <w:lang w:val="es-ES"/>
        </w:rPr>
        <w:t xml:space="preserve"> del Decreto 1082 de 2015, el parágrafo del artículo 19 de la Ley 1712 de 2014 dispone que “</w:t>
      </w:r>
      <w:r w:rsidRPr="000F53E0">
        <w:rPr>
          <w:rFonts w:ascii="Verdana" w:hAnsi="Verdana" w:cs="Arial"/>
          <w:lang w:val="es-ES"/>
        </w:rPr>
        <w:t xml:space="preserve">Se exceptúan </w:t>
      </w:r>
      <w:r>
        <w:rPr>
          <w:rFonts w:ascii="Verdana" w:hAnsi="Verdana" w:cs="Arial"/>
          <w:lang w:val="es-ES"/>
        </w:rPr>
        <w:t>[…]</w:t>
      </w:r>
      <w:r w:rsidRPr="000F53E0">
        <w:rPr>
          <w:rFonts w:ascii="Verdana" w:hAnsi="Verdana" w:cs="Arial"/>
          <w:lang w:val="es-ES"/>
        </w:rPr>
        <w:t xml:space="preserve"> los documentos que contengan las opiniones o puntos de vista que formen parte del proceso deliberativo de los servidores públicos</w:t>
      </w:r>
      <w:r>
        <w:rPr>
          <w:rFonts w:ascii="Verdana" w:hAnsi="Verdana" w:cs="Arial"/>
          <w:lang w:val="es-ES"/>
        </w:rPr>
        <w:t>”. Conforme al sentido natural y obvio de las palabras de que trata el artículo 28 del Código Civil, el Diccionario de la RAE define la expresión “deliberar” como “</w:t>
      </w:r>
      <w:r w:rsidRPr="003E27C9">
        <w:rPr>
          <w:rFonts w:ascii="Verdana" w:hAnsi="Verdana" w:cs="Arial"/>
          <w:lang w:val="es-ES"/>
        </w:rPr>
        <w:t>Considerar atenta y detenidamente el pro y el contra de los motivos de una decisión, antes de adoptarla, y la razón o sinrazón de los votos antes de emitirlos</w:t>
      </w:r>
      <w:r>
        <w:rPr>
          <w:rFonts w:ascii="Verdana" w:hAnsi="Verdana" w:cs="Arial"/>
          <w:lang w:val="es-ES"/>
        </w:rPr>
        <w:t>”. Además, considera que la “opinión” es un “</w:t>
      </w:r>
      <w:r w:rsidRPr="00E36AC2">
        <w:rPr>
          <w:rFonts w:ascii="Verdana" w:hAnsi="Verdana" w:cs="Arial"/>
          <w:lang w:val="es-ES"/>
        </w:rPr>
        <w:t>Juicio o valoración que se forma una persona respecto de algo o de alguien</w:t>
      </w:r>
      <w:r>
        <w:rPr>
          <w:rFonts w:ascii="Verdana" w:hAnsi="Verdana" w:cs="Arial"/>
          <w:lang w:val="es-ES"/>
        </w:rPr>
        <w:t>”</w:t>
      </w:r>
      <w:r w:rsidRPr="00E36AC2">
        <w:rPr>
          <w:rFonts w:ascii="Verdana" w:hAnsi="Verdana" w:cs="Arial"/>
          <w:lang w:val="es-ES"/>
        </w:rPr>
        <w:t>.</w:t>
      </w:r>
      <w:r>
        <w:rPr>
          <w:rFonts w:ascii="Verdana" w:hAnsi="Verdana" w:cs="Arial"/>
          <w:lang w:val="es-ES"/>
        </w:rPr>
        <w:t xml:space="preserve"> En tanto las actas de los comités de contratación contengan opiniones propias de la deliberación de sus integrantes, dichos puntos de vista están exceptuados del deber de publicidad. Lo anterior sin perjuicio de la publicación de los demás datos ajenos a las causales de reserva, la cual deberá realizarse en el SECOP en función de la etapa del procedimiento en que se expida el documento.</w:t>
      </w:r>
    </w:p>
    <w:p w14:paraId="7F44762F" w14:textId="77777777" w:rsidR="00CA3D54" w:rsidRPr="00AD6B46" w:rsidRDefault="00CA3D54" w:rsidP="00CA3D54">
      <w:pPr>
        <w:spacing w:after="120" w:line="276" w:lineRule="auto"/>
        <w:jc w:val="both"/>
        <w:rPr>
          <w:rFonts w:ascii="Verdana" w:eastAsia="Calibri" w:hAnsi="Verdana" w:cs="Arial"/>
          <w:color w:val="000000"/>
        </w:rPr>
      </w:pPr>
      <w:r w:rsidRPr="00AD6B46">
        <w:rPr>
          <w:rFonts w:ascii="Verdana" w:eastAsia="Calibri" w:hAnsi="Verdana" w:cs="Arial"/>
          <w:color w:val="000000"/>
        </w:rPr>
        <w:tab/>
        <w:t>Debe precisarse que, en virtud del principio de transparencia, específicamente por cuenta de lo dispuesto en el numeral 4 del artículo 24 de la ley 80 de 1993</w:t>
      </w:r>
      <w:r w:rsidRPr="00AD6B46">
        <w:rPr>
          <w:rFonts w:ascii="Verdana" w:eastAsia="Calibri" w:hAnsi="Verdana" w:cs="Arial"/>
          <w:color w:val="000000"/>
          <w:vertAlign w:val="superscript"/>
        </w:rPr>
        <w:footnoteReference w:id="8"/>
      </w:r>
      <w:r w:rsidRPr="00AD6B46">
        <w:rPr>
          <w:rFonts w:ascii="Verdana" w:eastAsia="Calibri" w:hAnsi="Verdana" w:cs="Arial"/>
          <w:color w:val="000000"/>
        </w:rPr>
        <w:t>, así como por el principio de máxima publicidad establecido en el artículo 2 de la Ley 1712 de 2014</w:t>
      </w:r>
      <w:r w:rsidRPr="00AD6B46">
        <w:rPr>
          <w:rFonts w:ascii="Verdana" w:eastAsia="Calibri" w:hAnsi="Verdana" w:cs="Arial"/>
          <w:color w:val="000000"/>
          <w:vertAlign w:val="superscript"/>
        </w:rPr>
        <w:footnoteReference w:id="9"/>
      </w:r>
      <w:r w:rsidRPr="00AD6B46">
        <w:rPr>
          <w:rFonts w:ascii="Verdana" w:eastAsia="Calibri" w:hAnsi="Verdana" w:cs="Arial"/>
          <w:color w:val="000000"/>
        </w:rPr>
        <w:t xml:space="preserve">, el contenido del expediente en el que reposa la actuación es información pública, independientemente de si se trata de documentos que deban publicarse en SECOP. Por lo anterior, 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w:t>
      </w:r>
      <w:r w:rsidRPr="00AD6B46">
        <w:rPr>
          <w:rFonts w:ascii="Verdana" w:eastAsia="Calibri" w:hAnsi="Verdana" w:cs="Arial"/>
          <w:color w:val="000000"/>
        </w:rPr>
        <w:lastRenderedPageBreak/>
        <w:t>pública, cuestión que podría interesar a cualquier ciudadano</w:t>
      </w:r>
      <w:r w:rsidRPr="00AD6B46">
        <w:rPr>
          <w:rFonts w:ascii="Verdana" w:eastAsia="Calibri" w:hAnsi="Verdana" w:cs="Arial"/>
          <w:color w:val="000000"/>
          <w:vertAlign w:val="superscript"/>
        </w:rPr>
        <w:footnoteReference w:id="10"/>
      </w:r>
      <w:r w:rsidRPr="00AD6B46">
        <w:rPr>
          <w:rFonts w:ascii="Verdana" w:eastAsia="Calibri" w:hAnsi="Verdana" w:cs="Arial"/>
          <w:color w:val="000000"/>
        </w:rPr>
        <w:t>. Esta posibilidad solo se encuentra limitada</w:t>
      </w:r>
      <w:r w:rsidRPr="00AD6B46">
        <w:rPr>
          <w:rFonts w:ascii="Calibri" w:eastAsia="Calibri" w:hAnsi="Calibri" w:cs="Times New Roman"/>
        </w:rPr>
        <w:t xml:space="preserve"> </w:t>
      </w:r>
      <w:r w:rsidRPr="00AD6B46">
        <w:rPr>
          <w:rFonts w:ascii="Verdana" w:eastAsia="Calibri" w:hAnsi="Verdana" w:cs="Arial"/>
          <w:color w:val="000000"/>
        </w:rPr>
        <w:t>respecto de la documentación que tenga la calidad de reservada, que deberá someterse al tratamiento establecido en el artículo 36 del CPACA, en lo relativo a la formación de cuadernos separados</w:t>
      </w:r>
      <w:r w:rsidRPr="00AD6B46">
        <w:rPr>
          <w:rFonts w:ascii="Verdana" w:eastAsia="Calibri" w:hAnsi="Verdana" w:cs="Arial"/>
          <w:color w:val="000000"/>
          <w:vertAlign w:val="superscript"/>
        </w:rPr>
        <w:footnoteReference w:id="11"/>
      </w:r>
      <w:r w:rsidRPr="00AD6B46">
        <w:rPr>
          <w:rFonts w:ascii="Verdana" w:eastAsia="Calibri" w:hAnsi="Verdana" w:cs="Arial"/>
          <w:color w:val="000000"/>
        </w:rPr>
        <w:t>.</w:t>
      </w:r>
    </w:p>
    <w:p w14:paraId="0076E77C" w14:textId="77777777" w:rsidR="00CA3D54" w:rsidRPr="00AD6B46" w:rsidRDefault="00CA3D54" w:rsidP="00CA3D54">
      <w:pPr>
        <w:spacing w:after="120" w:line="276" w:lineRule="auto"/>
        <w:jc w:val="both"/>
        <w:rPr>
          <w:rFonts w:ascii="Verdana" w:eastAsia="Calibri" w:hAnsi="Verdana" w:cs="Arial"/>
          <w:color w:val="000000"/>
        </w:rPr>
      </w:pPr>
      <w:r w:rsidRPr="00AD6B46">
        <w:rPr>
          <w:rFonts w:ascii="Verdana" w:eastAsia="Calibri" w:hAnsi="Verdana" w:cs="Arial"/>
          <w:color w:val="000000"/>
        </w:rPr>
        <w:tab/>
        <w:t>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aplica respecto al contenido de un documento público, pero no</w:t>
      </w:r>
      <w:r w:rsidRPr="00AD6B46">
        <w:rPr>
          <w:rFonts w:ascii="Calibri" w:eastAsia="Calibri" w:hAnsi="Calibri" w:cs="Times New Roman"/>
        </w:rPr>
        <w:t xml:space="preserve"> </w:t>
      </w:r>
      <w:r w:rsidRPr="00AD6B46">
        <w:rPr>
          <w:rFonts w:ascii="Verdana" w:eastAsia="Calibri" w:hAnsi="Verdana" w:cs="Arial"/>
          <w:color w:val="000000"/>
        </w:rPr>
        <w:t>respecto de su existencia</w:t>
      </w:r>
      <w:r w:rsidRPr="00AD6B46">
        <w:rPr>
          <w:rFonts w:ascii="Verdana" w:eastAsia="Calibri" w:hAnsi="Verdana" w:cs="Arial"/>
          <w:color w:val="000000"/>
          <w:vertAlign w:val="superscript"/>
        </w:rPr>
        <w:footnoteReference w:id="12"/>
      </w:r>
      <w:r w:rsidRPr="00AD6B46">
        <w:rPr>
          <w:rFonts w:ascii="Verdana" w:eastAsia="Calibri" w:hAnsi="Verdana" w:cs="Arial"/>
          <w:color w:val="000000"/>
        </w:rPr>
        <w:t>. Sin perjuicio de lo anterior, es posible que el contenido de todo el documento o expediente no deba ser objeto de publicidad por estar amparado de forma íntegra por la reserva, dada su conexión con las causales establecidas en la Constitución o la ley.</w:t>
      </w:r>
    </w:p>
    <w:p w14:paraId="6C9B1DA4" w14:textId="77777777" w:rsidR="00CA3D54" w:rsidRPr="00AD6B46" w:rsidRDefault="00CA3D54" w:rsidP="00CA3D54">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De esta forma, cuando el documento contractual contenga información sensible, clasificada o reservada, para proteger la reserva de información, las autoridades deben abstenerse de publicar en el SECOP la información que tiene protección especial o está sometida a reserva, o según el caso, suministrarla. Sin embargo, de acuerdo con el segundo inciso del artículo 25 de la Ley 1437 de 2011</w:t>
      </w:r>
      <w:r>
        <w:rPr>
          <w:rFonts w:ascii="Verdana" w:eastAsia="Calibri" w:hAnsi="Verdana" w:cs="Arial"/>
          <w:color w:val="000000"/>
        </w:rPr>
        <w:t>,</w:t>
      </w:r>
      <w:r w:rsidRPr="00AD6B46">
        <w:rPr>
          <w:rFonts w:ascii="Verdana" w:eastAsia="Calibri" w:hAnsi="Verdana" w:cs="Arial"/>
          <w:color w:val="000000"/>
        </w:rPr>
        <w:t xml:space="preserve"> “La restricción por reserva legal no se extenderá a otras piezas del respectivo expediente o actuación que no estén cubiertas por ella”. Por ello, la </w:t>
      </w:r>
      <w:r w:rsidRPr="00AD6B46">
        <w:rPr>
          <w:rFonts w:ascii="Verdana" w:eastAsia="Calibri" w:hAnsi="Verdana" w:cs="Arial"/>
          <w:color w:val="000000"/>
        </w:rPr>
        <w:lastRenderedPageBreak/>
        <w:t xml:space="preserve">entidad estatal </w:t>
      </w:r>
      <w:r>
        <w:rPr>
          <w:rFonts w:ascii="Verdana" w:eastAsia="Calibri" w:hAnsi="Verdana" w:cs="Arial"/>
          <w:color w:val="000000"/>
        </w:rPr>
        <w:t>no puede</w:t>
      </w:r>
      <w:r w:rsidRPr="00AD6B46">
        <w:rPr>
          <w:rFonts w:ascii="Verdana" w:eastAsia="Calibri" w:hAnsi="Verdana" w:cs="Arial"/>
          <w:color w:val="000000"/>
        </w:rPr>
        <w:t xml:space="preserve"> publicar o suministrar algún documento del proceso o aparte del mismo que contenga información clasificada o reservada, para no divulgarlo, pero debe publicar los demás documentos o los apartados de estos, en caso de que estos no gocen de reserva. Lo anterior, sin perjuicio de que, dependiendo de la información en específico, todo el documento o expediente no pueda publicarse o suministrarse, por ampararse en su integridad en alguna causal de reserva, dada la conexión de su contenido con la información que el constituyente o el legislador decidió limitar en cuanto a su publicidad o suministro. De este modo, cuando el documento contractual tenga información clasificada o reservada, las autoridades deben abstenerse de publicar en el SECOP la información que tenga dicho carácter, por tanto, deberá publicar la información de forma parcial. </w:t>
      </w:r>
    </w:p>
    <w:p w14:paraId="15CD131E" w14:textId="77777777" w:rsidR="00CA3D54" w:rsidRPr="00AD6B46" w:rsidRDefault="00CA3D54" w:rsidP="00CA3D54">
      <w:pPr>
        <w:spacing w:after="120" w:line="276" w:lineRule="auto"/>
        <w:ind w:firstLine="708"/>
        <w:jc w:val="both"/>
        <w:rPr>
          <w:rFonts w:ascii="Verdana" w:eastAsia="Calibri" w:hAnsi="Verdana" w:cs="Arial"/>
          <w:color w:val="000000"/>
        </w:rPr>
      </w:pPr>
      <w:r w:rsidRPr="00AD6B46">
        <w:rPr>
          <w:rFonts w:ascii="Verdana" w:eastAsia="Calibri" w:hAnsi="Verdana" w:cs="Arial"/>
          <w:color w:val="000000"/>
        </w:rPr>
        <w:t>En línea con todo lo expuesto Al respecto, el Decreto 1081 de 2015 en su artículo 2.1.1.4.3.2 establece que, si un mismo acto o documento contiene información que puede divulgarse y a su vez, información clasificada o reservada, la entidad debe revelar los datos no protegidos y presentar los fundamentos constitucionales y legales por los que retiene los datos que no puede divulgar. De igual modo, deben revisar si los documentos contienen datos que no deban divulgarse, conforme a los fundamentos constitucionales y legales, y por tanto, tachar los apartes clasificados o reservados del documento, anonimizar, transliterar o editar el documento para suprimir la información que no puede difundirse; así como abrir un nuevo expediente con la información pública que pueda divulgar; o en su defecto, acudir a las acciones que sean necesarias para cumplir con su deber de permitir el acceso a toda aquella información que no esté clasificada o reservada, teniendo en cuenta el formato y medio de conservación de la información.</w:t>
      </w:r>
    </w:p>
    <w:p w14:paraId="7763328C" w14:textId="77777777" w:rsidR="00CA3D54" w:rsidRDefault="00CA3D54" w:rsidP="00CA3D54">
      <w:pPr>
        <w:spacing w:after="0" w:line="276" w:lineRule="auto"/>
        <w:ind w:firstLine="708"/>
        <w:jc w:val="both"/>
        <w:rPr>
          <w:rFonts w:ascii="Verdana" w:hAnsi="Verdana"/>
        </w:rPr>
      </w:pPr>
      <w:r w:rsidRPr="00AD6B46">
        <w:rPr>
          <w:rFonts w:ascii="Verdana" w:eastAsia="Calibri" w:hAnsi="Verdana" w:cs="Arial"/>
          <w:color w:val="000000"/>
        </w:rPr>
        <w:t>As</w:t>
      </w:r>
      <w:r>
        <w:rPr>
          <w:rFonts w:ascii="Verdana" w:eastAsia="Calibri" w:hAnsi="Verdana" w:cs="Arial"/>
          <w:color w:val="000000"/>
        </w:rPr>
        <w:t>i</w:t>
      </w:r>
      <w:r w:rsidRPr="00AD6B46">
        <w:rPr>
          <w:rFonts w:ascii="Verdana" w:eastAsia="Calibri" w:hAnsi="Verdana" w:cs="Arial"/>
          <w:color w:val="000000"/>
        </w:rPr>
        <w:t>mismo, el Archivo General de la Nación como entidad encargada de liderar la Política de archivo y gestión documental a nivel nacional, expidió el Acuerdo 001 de 2024</w:t>
      </w:r>
      <w:r>
        <w:rPr>
          <w:rFonts w:ascii="Verdana" w:eastAsia="Calibri" w:hAnsi="Verdana" w:cs="Arial"/>
          <w:color w:val="000000"/>
        </w:rPr>
        <w:t>,</w:t>
      </w:r>
      <w:r w:rsidRPr="00AD6B46">
        <w:rPr>
          <w:rFonts w:ascii="Verdana" w:eastAsia="Calibri" w:hAnsi="Verdana" w:cs="Arial"/>
          <w:color w:val="000000"/>
        </w:rPr>
        <w:t xml:space="preserve"> “Por el cual se establece el Acuerdo Único de la Función Archivística, se definen los criterios técnicos y jurídicos para su implementación en el Estado Colombiano y se fijan otras disposiciones”, que en su artículo 7.1.3</w:t>
      </w:r>
      <w:r w:rsidRPr="00AD6B46">
        <w:rPr>
          <w:rFonts w:ascii="Verdana" w:eastAsia="Calibri" w:hAnsi="Verdana" w:cs="Arial"/>
          <w:color w:val="000000"/>
          <w:vertAlign w:val="superscript"/>
        </w:rPr>
        <w:footnoteReference w:id="13"/>
      </w:r>
      <w:r w:rsidRPr="00AD6B46">
        <w:rPr>
          <w:rFonts w:ascii="Verdana" w:eastAsia="Calibri" w:hAnsi="Verdana" w:cs="Arial"/>
          <w:color w:val="000000"/>
        </w:rPr>
        <w:t xml:space="preserve"> </w:t>
      </w:r>
      <w:r w:rsidRPr="00AD6B46">
        <w:rPr>
          <w:rFonts w:ascii="Verdana" w:eastAsia="Calibri" w:hAnsi="Verdana" w:cs="Arial"/>
          <w:color w:val="000000"/>
        </w:rPr>
        <w:lastRenderedPageBreak/>
        <w:t xml:space="preserve">preciso que </w:t>
      </w:r>
      <w:r w:rsidRPr="00AD6B46">
        <w:rPr>
          <w:rFonts w:ascii="Verdana" w:hAnsi="Verdana"/>
        </w:rPr>
        <w:t>la reserva aplica a la información, no a los documentos, para lo cual el responsable de la información verificará qué información está sometida a reserva, y elaborará una versión pública que mantenga la reserva de los titulares de los datos, con el fin de garantizar el principio de máxima publicidad y conforme a las disposiciones legales sobre el acceso a la información. Al respecto, el parágrafo primero del referenciado artículo dispone algunos criterios para la reserva información:</w:t>
      </w:r>
    </w:p>
    <w:p w14:paraId="33971E18" w14:textId="77777777" w:rsidR="00CA3D54" w:rsidRPr="00AD6B46" w:rsidRDefault="00CA3D54" w:rsidP="00CA3D54">
      <w:pPr>
        <w:spacing w:after="0" w:line="276" w:lineRule="auto"/>
        <w:ind w:firstLine="708"/>
        <w:jc w:val="both"/>
        <w:rPr>
          <w:rFonts w:ascii="Verdana" w:hAnsi="Verdana"/>
        </w:rPr>
      </w:pPr>
    </w:p>
    <w:p w14:paraId="476A5483" w14:textId="77777777" w:rsidR="00CA3D54" w:rsidRPr="004D1947" w:rsidRDefault="00CA3D54" w:rsidP="00CA3D54">
      <w:pPr>
        <w:spacing w:after="120" w:line="240" w:lineRule="auto"/>
        <w:ind w:left="709" w:right="709"/>
        <w:jc w:val="both"/>
        <w:rPr>
          <w:rFonts w:ascii="Verdana" w:hAnsi="Verdana"/>
          <w:sz w:val="20"/>
          <w:szCs w:val="20"/>
        </w:rPr>
      </w:pPr>
      <w:r w:rsidRPr="004D1947">
        <w:rPr>
          <w:rFonts w:ascii="Verdana" w:hAnsi="Verdana"/>
          <w:sz w:val="20"/>
          <w:szCs w:val="20"/>
        </w:rPr>
        <w:t xml:space="preserve">“Parágrafo 1. De existir reserva legal, se aplicarán, como mínimo, los siguientes criterios: </w:t>
      </w:r>
    </w:p>
    <w:p w14:paraId="5538FE9B" w14:textId="77777777" w:rsidR="00CA3D54" w:rsidRPr="004D1947" w:rsidRDefault="00CA3D54" w:rsidP="00CA3D54">
      <w:pPr>
        <w:spacing w:after="120" w:line="240" w:lineRule="auto"/>
        <w:ind w:left="709" w:right="709"/>
        <w:jc w:val="both"/>
        <w:rPr>
          <w:rFonts w:ascii="Verdana" w:hAnsi="Verdana"/>
          <w:sz w:val="20"/>
          <w:szCs w:val="20"/>
        </w:rPr>
      </w:pPr>
      <w:r w:rsidRPr="004D1947">
        <w:rPr>
          <w:rFonts w:ascii="Verdana" w:hAnsi="Verdana"/>
          <w:sz w:val="20"/>
          <w:szCs w:val="20"/>
        </w:rPr>
        <w:t>1. La reserva opera sobre el contenido del documento, no sobre la existencia de este. Estos documentos deben ser identificados de manera clara en los instrumentos de la gestión de información pública.</w:t>
      </w:r>
    </w:p>
    <w:p w14:paraId="068C520F" w14:textId="77777777" w:rsidR="00CA3D54" w:rsidRPr="004D1947" w:rsidRDefault="00CA3D54" w:rsidP="00CA3D54">
      <w:pPr>
        <w:spacing w:after="120" w:line="240" w:lineRule="auto"/>
        <w:ind w:left="709" w:right="709"/>
        <w:jc w:val="both"/>
        <w:rPr>
          <w:rFonts w:ascii="Verdana" w:hAnsi="Verdana"/>
          <w:sz w:val="20"/>
          <w:szCs w:val="20"/>
        </w:rPr>
      </w:pPr>
      <w:r w:rsidRPr="004D1947">
        <w:rPr>
          <w:rFonts w:ascii="Verdana" w:hAnsi="Verdana"/>
          <w:sz w:val="20"/>
          <w:szCs w:val="20"/>
        </w:rPr>
        <w:t>2. La reserva legal solo opera sobre la información que compromete derechos fundamentales o bienes constitucionales, no sobre los procesos o actuaciones de los que hace parte. Para tal efecto se realizarán versiones públicas de estos documentos, que impidan la identificación de los titulares de los datos personales, como lo ordena la normativa vigente.</w:t>
      </w:r>
    </w:p>
    <w:p w14:paraId="5034C371" w14:textId="77777777" w:rsidR="00CA3D54" w:rsidRPr="00AD6B46" w:rsidRDefault="00CA3D54" w:rsidP="00CA3D54">
      <w:pPr>
        <w:spacing w:after="0" w:line="240" w:lineRule="auto"/>
        <w:ind w:left="709" w:right="709"/>
        <w:jc w:val="both"/>
        <w:rPr>
          <w:rFonts w:ascii="Verdana" w:hAnsi="Verdana"/>
          <w:sz w:val="21"/>
          <w:szCs w:val="21"/>
        </w:rPr>
      </w:pPr>
      <w:r w:rsidRPr="004D1947">
        <w:rPr>
          <w:rFonts w:ascii="Verdana" w:hAnsi="Verdana"/>
          <w:sz w:val="20"/>
          <w:szCs w:val="20"/>
        </w:rPr>
        <w:t>3. La reserva deberá ser temporal, como lo determine la Ley”.</w:t>
      </w:r>
      <w:r w:rsidRPr="00AD6B46">
        <w:rPr>
          <w:rFonts w:ascii="Verdana" w:hAnsi="Verdana"/>
          <w:sz w:val="21"/>
          <w:szCs w:val="21"/>
        </w:rPr>
        <w:t xml:space="preserve"> </w:t>
      </w:r>
    </w:p>
    <w:p w14:paraId="133AB685" w14:textId="77777777" w:rsidR="00CA3D54" w:rsidRPr="00AD6B46" w:rsidRDefault="00CA3D54" w:rsidP="00CA3D54">
      <w:pPr>
        <w:spacing w:after="0" w:line="276" w:lineRule="auto"/>
        <w:ind w:firstLine="708"/>
        <w:jc w:val="both"/>
        <w:rPr>
          <w:rFonts w:ascii="Verdana" w:eastAsia="Calibri" w:hAnsi="Verdana" w:cs="Arial"/>
          <w:color w:val="000000"/>
        </w:rPr>
      </w:pPr>
    </w:p>
    <w:p w14:paraId="4E78D871" w14:textId="77777777" w:rsidR="00CA3D54" w:rsidRDefault="00CA3D54" w:rsidP="00CA3D54">
      <w:pPr>
        <w:spacing w:after="0" w:line="276" w:lineRule="auto"/>
        <w:ind w:firstLine="708"/>
        <w:jc w:val="both"/>
        <w:rPr>
          <w:rFonts w:ascii="Verdana" w:eastAsia="Calibri" w:hAnsi="Verdana" w:cs="Arial"/>
          <w:color w:val="000000"/>
          <w:lang w:val="es-ES"/>
        </w:rPr>
      </w:pPr>
      <w:r>
        <w:rPr>
          <w:rFonts w:ascii="Verdana" w:eastAsia="Calibri" w:hAnsi="Verdana" w:cs="Arial"/>
          <w:color w:val="000000"/>
        </w:rPr>
        <w:t>P</w:t>
      </w:r>
      <w:r w:rsidRPr="00AD6B46">
        <w:rPr>
          <w:rFonts w:ascii="Verdana" w:eastAsia="Calibri" w:hAnsi="Verdana" w:cs="Arial"/>
          <w:color w:val="000000"/>
        </w:rPr>
        <w:t>ara elaborar estas versiones públicas</w:t>
      </w:r>
      <w:r w:rsidRPr="00AD6B46">
        <w:rPr>
          <w:rFonts w:ascii="Verdana" w:hAnsi="Verdana"/>
          <w:sz w:val="16"/>
          <w:szCs w:val="16"/>
        </w:rPr>
        <w:t xml:space="preserve"> </w:t>
      </w:r>
      <w:r w:rsidRPr="00AD6B46">
        <w:rPr>
          <w:rFonts w:ascii="Verdana" w:eastAsia="Calibri" w:hAnsi="Verdana" w:cs="Arial"/>
          <w:color w:val="000000"/>
        </w:rPr>
        <w:t xml:space="preserve">que contengan información clasificada o reservada, la entidad debe aplicar estándares para la </w:t>
      </w:r>
      <w:proofErr w:type="spellStart"/>
      <w:r w:rsidRPr="00AD6B46">
        <w:rPr>
          <w:rFonts w:ascii="Verdana" w:eastAsia="Calibri" w:hAnsi="Verdana" w:cs="Arial"/>
          <w:color w:val="000000"/>
        </w:rPr>
        <w:t>anonimización</w:t>
      </w:r>
      <w:proofErr w:type="spellEnd"/>
      <w:r w:rsidRPr="00AD6B46">
        <w:rPr>
          <w:rFonts w:ascii="Verdana" w:eastAsia="Calibri" w:hAnsi="Verdana" w:cs="Arial"/>
          <w:color w:val="000000"/>
        </w:rPr>
        <w:t xml:space="preserve"> de datos, teniendo en cuenta la normativa vigente para la protección de datos personales y acceso a la información, como lo dispone el parágrafo segundo del artículo 7.1.3 del Acuerdo 001 </w:t>
      </w:r>
      <w:r>
        <w:rPr>
          <w:rFonts w:ascii="Verdana" w:eastAsia="Calibri" w:hAnsi="Verdana" w:cs="Arial"/>
          <w:color w:val="000000"/>
        </w:rPr>
        <w:t xml:space="preserve">de 2024 </w:t>
      </w:r>
      <w:r w:rsidRPr="00AD6B46">
        <w:rPr>
          <w:rFonts w:ascii="Verdana" w:eastAsia="Calibri" w:hAnsi="Verdana" w:cs="Arial"/>
          <w:color w:val="000000"/>
        </w:rPr>
        <w:t xml:space="preserve">del Archivo General de la Nación.  </w:t>
      </w:r>
    </w:p>
    <w:p w14:paraId="0D1455E0" w14:textId="77777777" w:rsidR="00CA3D54" w:rsidRPr="004D1947" w:rsidRDefault="00CA3D54" w:rsidP="00CA3D54">
      <w:pPr>
        <w:spacing w:after="0" w:line="276" w:lineRule="auto"/>
        <w:ind w:firstLine="708"/>
        <w:jc w:val="both"/>
        <w:rPr>
          <w:rFonts w:ascii="Verdana" w:eastAsia="Calibri" w:hAnsi="Verdana" w:cs="Arial"/>
          <w:color w:val="000000"/>
          <w:lang w:val="es-ES"/>
        </w:rPr>
      </w:pPr>
    </w:p>
    <w:p w14:paraId="602F1849" w14:textId="77777777" w:rsidR="00CA3D54" w:rsidRPr="004F51D9" w:rsidRDefault="00CA3D54" w:rsidP="00CA3D54">
      <w:pPr>
        <w:widowControl w:val="0"/>
        <w:autoSpaceDE w:val="0"/>
        <w:autoSpaceDN w:val="0"/>
        <w:spacing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E853DE">
        <w:rPr>
          <w:rFonts w:ascii="Verdana" w:eastAsia="Calibri" w:hAnsi="Verdana" w:cs="Arial"/>
          <w:bCs/>
          <w:color w:val="000000" w:themeColor="text1"/>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9C3A547" w14:textId="77777777" w:rsidR="00CA3D54" w:rsidRPr="00185EE9" w:rsidRDefault="00CA3D54" w:rsidP="00CA3D54">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1A858D4" w14:textId="77777777" w:rsidR="00CA3D54" w:rsidRPr="008415A2" w:rsidRDefault="00CA3D54" w:rsidP="00CA3D54">
      <w:pPr>
        <w:spacing w:after="0" w:line="276" w:lineRule="auto"/>
        <w:jc w:val="both"/>
        <w:rPr>
          <w:rFonts w:ascii="Verdana" w:hAnsi="Verdana"/>
        </w:rPr>
      </w:pPr>
      <w:r>
        <w:rPr>
          <w:rFonts w:ascii="Verdana" w:hAnsi="Verdana"/>
        </w:rPr>
        <w:t xml:space="preserve"> </w:t>
      </w:r>
    </w:p>
    <w:p w14:paraId="22649429" w14:textId="77777777" w:rsidR="00CA3D54" w:rsidRPr="00593A5F" w:rsidRDefault="00CA3D54" w:rsidP="00CA3D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794A5E4" w14:textId="77777777" w:rsidR="00CA3D54" w:rsidRPr="00593A5F" w:rsidRDefault="00CA3D54" w:rsidP="00CA3D5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A3D54" w:rsidRPr="002407CE" w14:paraId="3CE6C295" w14:textId="77777777" w:rsidTr="00AC3511">
        <w:trPr>
          <w:trHeight w:val="870"/>
          <w:jc w:val="center"/>
        </w:trPr>
        <w:tc>
          <w:tcPr>
            <w:tcW w:w="8647" w:type="dxa"/>
          </w:tcPr>
          <w:p w14:paraId="6CACC9C2" w14:textId="77777777" w:rsidR="00CA3D54" w:rsidRDefault="00CA3D54" w:rsidP="00AC3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74 y 209.</w:t>
            </w:r>
          </w:p>
          <w:p w14:paraId="3BC4FE94" w14:textId="77777777" w:rsidR="00CA3D54" w:rsidRDefault="00CA3D54" w:rsidP="00AC3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24.</w:t>
            </w:r>
          </w:p>
          <w:p w14:paraId="0F674B36" w14:textId="77777777" w:rsidR="00CA3D54" w:rsidRDefault="00CA3D54" w:rsidP="00AC3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3 y 13.</w:t>
            </w:r>
          </w:p>
          <w:p w14:paraId="08BD091F" w14:textId="77777777" w:rsidR="00CA3D54" w:rsidRDefault="00CA3D54" w:rsidP="00AC3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24, 25 y 36.</w:t>
            </w:r>
          </w:p>
          <w:p w14:paraId="5713AE12" w14:textId="77777777" w:rsidR="00CA3D54" w:rsidRDefault="00CA3D54" w:rsidP="00AC3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1712 de 2014, artículos 2, 5, 6, 11, 21, 18 y 19.</w:t>
            </w:r>
          </w:p>
          <w:p w14:paraId="2909D124" w14:textId="77777777" w:rsidR="00CA3D54" w:rsidRDefault="00CA3D54" w:rsidP="00AC3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53.</w:t>
            </w:r>
          </w:p>
          <w:p w14:paraId="78A91B6E" w14:textId="77777777" w:rsidR="00CA3D54" w:rsidRPr="002D6629" w:rsidRDefault="00CA3D54" w:rsidP="00AC351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1081 de 2015, artículo </w:t>
            </w:r>
            <w:r w:rsidRPr="00AD6B46">
              <w:rPr>
                <w:rFonts w:ascii="Verdana" w:eastAsia="Calibri" w:hAnsi="Verdana" w:cs="Arial"/>
                <w:color w:val="000000"/>
              </w:rPr>
              <w:t>2.1.1.4.3.2</w:t>
            </w:r>
            <w:r>
              <w:rPr>
                <w:rFonts w:ascii="Verdana" w:eastAsia="Calibri" w:hAnsi="Verdana" w:cs="Arial"/>
                <w:color w:val="000000"/>
              </w:rPr>
              <w:t>.</w:t>
            </w:r>
          </w:p>
          <w:p w14:paraId="0A8E4480" w14:textId="77777777" w:rsidR="00CA3D54" w:rsidRDefault="00CA3D54" w:rsidP="00AC3511">
            <w:pPr>
              <w:pStyle w:val="Prrafodelista"/>
              <w:widowControl w:val="0"/>
              <w:numPr>
                <w:ilvl w:val="0"/>
                <w:numId w:val="17"/>
              </w:numPr>
              <w:autoSpaceDE w:val="0"/>
              <w:autoSpaceDN w:val="0"/>
              <w:spacing w:after="160" w:line="276" w:lineRule="auto"/>
              <w:ind w:left="714" w:hanging="357"/>
              <w:contextualSpacing w:val="0"/>
              <w:jc w:val="both"/>
              <w:rPr>
                <w:rFonts w:ascii="Verdana" w:hAnsi="Verdana" w:cs="Arial"/>
              </w:rPr>
            </w:pPr>
            <w:r>
              <w:rPr>
                <w:rFonts w:ascii="Verdana" w:hAnsi="Verdana" w:cs="Arial"/>
              </w:rPr>
              <w:t xml:space="preserve">Decreto 1082 de 2015, artículos </w:t>
            </w:r>
            <w:r w:rsidRPr="002D6629">
              <w:rPr>
                <w:rFonts w:ascii="Verdana" w:hAnsi="Verdana" w:cs="Arial"/>
              </w:rPr>
              <w:t>2.2.1.1.1.3.1</w:t>
            </w:r>
            <w:r>
              <w:rPr>
                <w:rFonts w:ascii="Verdana" w:hAnsi="Verdana" w:cs="Arial"/>
              </w:rPr>
              <w:t xml:space="preserve"> y </w:t>
            </w:r>
            <w:r w:rsidRPr="00F16D2E">
              <w:rPr>
                <w:rFonts w:ascii="Verdana" w:hAnsi="Verdana" w:cs="Arial"/>
              </w:rPr>
              <w:t>2.2.1.1.1.7.1</w:t>
            </w:r>
            <w:r>
              <w:rPr>
                <w:rFonts w:ascii="Verdana" w:hAnsi="Verdana" w:cs="Arial"/>
              </w:rPr>
              <w:t>.</w:t>
            </w:r>
          </w:p>
          <w:p w14:paraId="0EE68771" w14:textId="77777777" w:rsidR="00CA3D54" w:rsidRPr="004F51D9" w:rsidRDefault="00CA3D54" w:rsidP="00AC3511">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28.</w:t>
            </w:r>
          </w:p>
        </w:tc>
      </w:tr>
    </w:tbl>
    <w:p w14:paraId="7BC3A15F" w14:textId="77777777" w:rsidR="00CA3D54" w:rsidRPr="002407CE" w:rsidRDefault="00CA3D54" w:rsidP="00CA3D54">
      <w:pPr>
        <w:widowControl w:val="0"/>
        <w:autoSpaceDE w:val="0"/>
        <w:autoSpaceDN w:val="0"/>
        <w:spacing w:after="0" w:line="276" w:lineRule="auto"/>
        <w:jc w:val="both"/>
        <w:rPr>
          <w:rFonts w:ascii="Verdana" w:hAnsi="Verdana" w:cs="Arial"/>
        </w:rPr>
      </w:pPr>
    </w:p>
    <w:p w14:paraId="1B12B226" w14:textId="77777777" w:rsidR="00CA3D54" w:rsidRPr="00593A5F" w:rsidRDefault="00CA3D54" w:rsidP="00CA3D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7492037" w14:textId="77777777" w:rsidR="00CA3D54" w:rsidRPr="00593A5F" w:rsidRDefault="00CA3D54" w:rsidP="00CA3D54">
      <w:pPr>
        <w:widowControl w:val="0"/>
        <w:autoSpaceDE w:val="0"/>
        <w:autoSpaceDN w:val="0"/>
        <w:spacing w:after="0" w:line="276" w:lineRule="auto"/>
        <w:jc w:val="both"/>
        <w:rPr>
          <w:rFonts w:ascii="Verdana" w:hAnsi="Verdana" w:cs="Arial"/>
        </w:rPr>
      </w:pPr>
    </w:p>
    <w:p w14:paraId="0B65B19B" w14:textId="77777777" w:rsidR="00CA3D54" w:rsidRPr="00ED0098" w:rsidRDefault="00CA3D54" w:rsidP="00CA3D54">
      <w:pPr>
        <w:widowControl w:val="0"/>
        <w:autoSpaceDE w:val="0"/>
        <w:autoSpaceDN w:val="0"/>
        <w:spacing w:after="0" w:line="276" w:lineRule="auto"/>
        <w:jc w:val="both"/>
        <w:rPr>
          <w:rStyle w:val="normaltextrun"/>
          <w:rFonts w:ascii="Verdana" w:hAnsi="Verdana" w:cs="Arial"/>
          <w:shd w:val="clear" w:color="auto" w:fill="FFFFFF"/>
        </w:rPr>
      </w:pPr>
      <w:r w:rsidRPr="00DE6B0B">
        <w:rPr>
          <w:rFonts w:ascii="Verdana" w:hAnsi="Verdana" w:cs="Arial"/>
          <w:shd w:val="clear" w:color="auto" w:fill="FFFFFF"/>
        </w:rPr>
        <w:t xml:space="preserve">La Agencia Nacional de Contratación Pública – Colombia Compra Eficiente, en los conceptos CU-367 del 23 de julio de 2020, </w:t>
      </w:r>
      <w:r>
        <w:rPr>
          <w:rFonts w:ascii="Verdana" w:hAnsi="Verdana" w:cs="Arial"/>
          <w:shd w:val="clear" w:color="auto" w:fill="FFFFFF"/>
        </w:rPr>
        <w:t>C-</w:t>
      </w:r>
      <w:r w:rsidRPr="00DE6B0B">
        <w:rPr>
          <w:rFonts w:ascii="Verdana" w:hAnsi="Verdana" w:cs="Arial"/>
          <w:shd w:val="clear" w:color="auto" w:fill="FFFFFF"/>
        </w:rPr>
        <w:t xml:space="preserve">433 de 24 de julio de 2020, </w:t>
      </w:r>
      <w:r>
        <w:rPr>
          <w:rFonts w:ascii="Verdana" w:hAnsi="Verdana" w:cs="Arial"/>
          <w:shd w:val="clear" w:color="auto" w:fill="FFFFFF"/>
        </w:rPr>
        <w:t>C-</w:t>
      </w:r>
      <w:r w:rsidRPr="00DE6B0B">
        <w:rPr>
          <w:rFonts w:ascii="Verdana" w:hAnsi="Verdana" w:cs="Arial"/>
          <w:shd w:val="clear" w:color="auto" w:fill="FFFFFF"/>
        </w:rPr>
        <w:t xml:space="preserve">468 del 24 de julio de 2020, </w:t>
      </w:r>
      <w:r>
        <w:rPr>
          <w:rFonts w:ascii="Verdana" w:hAnsi="Verdana" w:cs="Arial"/>
          <w:shd w:val="clear" w:color="auto" w:fill="FFFFFF"/>
        </w:rPr>
        <w:t>C-</w:t>
      </w:r>
      <w:r w:rsidRPr="00DE6B0B">
        <w:rPr>
          <w:rFonts w:ascii="Verdana" w:hAnsi="Verdana" w:cs="Arial"/>
          <w:shd w:val="clear" w:color="auto" w:fill="FFFFFF"/>
        </w:rPr>
        <w:t xml:space="preserve">474 de 24 de julio de 2020, </w:t>
      </w:r>
      <w:r>
        <w:rPr>
          <w:rFonts w:ascii="Verdana" w:hAnsi="Verdana" w:cs="Arial"/>
          <w:shd w:val="clear" w:color="auto" w:fill="FFFFFF"/>
        </w:rPr>
        <w:t>C-</w:t>
      </w:r>
      <w:r w:rsidRPr="00DE6B0B">
        <w:rPr>
          <w:rFonts w:ascii="Verdana" w:hAnsi="Verdana" w:cs="Arial"/>
          <w:shd w:val="clear" w:color="auto" w:fill="FFFFFF"/>
        </w:rPr>
        <w:t xml:space="preserve">488 del 28 de julio </w:t>
      </w:r>
      <w:r w:rsidRPr="00DE6B0B">
        <w:rPr>
          <w:rFonts w:ascii="Verdana" w:hAnsi="Verdana" w:cs="Arial"/>
          <w:shd w:val="clear" w:color="auto" w:fill="FFFFFF"/>
        </w:rPr>
        <w:lastRenderedPageBreak/>
        <w:t xml:space="preserve">de 2020, </w:t>
      </w:r>
      <w:r>
        <w:rPr>
          <w:rFonts w:ascii="Verdana" w:hAnsi="Verdana" w:cs="Arial"/>
          <w:shd w:val="clear" w:color="auto" w:fill="FFFFFF"/>
        </w:rPr>
        <w:t>C-</w:t>
      </w:r>
      <w:r w:rsidRPr="00DE6B0B">
        <w:rPr>
          <w:rFonts w:ascii="Verdana" w:hAnsi="Verdana" w:cs="Arial"/>
          <w:shd w:val="clear" w:color="auto" w:fill="FFFFFF"/>
        </w:rPr>
        <w:t xml:space="preserve">544 del 21 de agosto de 2020, </w:t>
      </w:r>
      <w:r>
        <w:rPr>
          <w:rFonts w:ascii="Verdana" w:hAnsi="Verdana" w:cs="Arial"/>
          <w:shd w:val="clear" w:color="auto" w:fill="FFFFFF"/>
        </w:rPr>
        <w:t>C-</w:t>
      </w:r>
      <w:r w:rsidRPr="00DE6B0B">
        <w:rPr>
          <w:rFonts w:ascii="Verdana" w:hAnsi="Verdana" w:cs="Arial"/>
          <w:shd w:val="clear" w:color="auto" w:fill="FFFFFF"/>
        </w:rPr>
        <w:t xml:space="preserve">575 del 27 de agosto de 2020, </w:t>
      </w:r>
      <w:r>
        <w:rPr>
          <w:rFonts w:ascii="Verdana" w:hAnsi="Verdana" w:cs="Arial"/>
          <w:shd w:val="clear" w:color="auto" w:fill="FFFFFF"/>
        </w:rPr>
        <w:t>C-</w:t>
      </w:r>
      <w:r w:rsidRPr="00DE6B0B">
        <w:rPr>
          <w:rFonts w:ascii="Verdana" w:hAnsi="Verdana" w:cs="Arial"/>
          <w:shd w:val="clear" w:color="auto" w:fill="FFFFFF"/>
        </w:rPr>
        <w:t xml:space="preserve">643 del 26 de octubre de 2020, </w:t>
      </w:r>
      <w:r>
        <w:rPr>
          <w:rFonts w:ascii="Verdana" w:hAnsi="Verdana" w:cs="Arial"/>
          <w:shd w:val="clear" w:color="auto" w:fill="FFFFFF"/>
        </w:rPr>
        <w:t>C-</w:t>
      </w:r>
      <w:r w:rsidRPr="00DE6B0B">
        <w:rPr>
          <w:rFonts w:ascii="Verdana" w:hAnsi="Verdana" w:cs="Arial"/>
          <w:shd w:val="clear" w:color="auto" w:fill="FFFFFF"/>
        </w:rPr>
        <w:t xml:space="preserve">661 del 17 de noviembre de 2020, C-094 del 13 de abril de 2021, </w:t>
      </w:r>
      <w:r>
        <w:rPr>
          <w:rFonts w:ascii="Verdana" w:hAnsi="Verdana" w:cs="Arial"/>
          <w:shd w:val="clear" w:color="auto" w:fill="FFFFFF"/>
        </w:rPr>
        <w:t>C-</w:t>
      </w:r>
      <w:r w:rsidRPr="00DE6B0B">
        <w:rPr>
          <w:rFonts w:ascii="Verdana" w:hAnsi="Verdana" w:cs="Arial"/>
          <w:shd w:val="clear" w:color="auto" w:fill="FFFFFF"/>
        </w:rPr>
        <w:t>068 del 22 de abril de 2021, C-185 del 29 de abril de 2021, C-472 del 6 de septiembre de 2021, C-872 del 20 de diciembre de 2024, C-185 del 24 de marzo de 2025, C-292 del 21 de abril de 2025</w:t>
      </w:r>
      <w:r>
        <w:rPr>
          <w:rFonts w:ascii="Verdana" w:hAnsi="Verdana" w:cs="Arial"/>
          <w:shd w:val="clear" w:color="auto" w:fill="FFFFFF"/>
        </w:rPr>
        <w:t>, C-487 del 30 de mayo de 2025,</w:t>
      </w:r>
      <w:r w:rsidRPr="00DE6B0B">
        <w:rPr>
          <w:rFonts w:ascii="Verdana" w:hAnsi="Verdana" w:cs="Arial"/>
          <w:shd w:val="clear" w:color="auto" w:fill="FFFFFF"/>
        </w:rPr>
        <w:t xml:space="preserve"> entre otros</w:t>
      </w:r>
      <w:r w:rsidRPr="00F6599C">
        <w:rPr>
          <w:rFonts w:ascii="Verdana" w:hAnsi="Verdana" w:cs="Arial"/>
          <w:shd w:val="clear" w:color="auto" w:fill="FFFFFF"/>
        </w:rPr>
        <w:t>. Estos y otros se encuentran disponibles para consulta en el Sistema de relatoría de la Agencia, al cual puede accederse a través del siguiente enlace:</w:t>
      </w:r>
      <w:r>
        <w:rPr>
          <w:rStyle w:val="normaltextrun"/>
          <w:rFonts w:ascii="Verdana" w:hAnsi="Verdana" w:cs="Arial"/>
          <w:shd w:val="clear" w:color="auto" w:fill="FFFFFF"/>
        </w:rPr>
        <w:t xml:space="preserve"> </w:t>
      </w:r>
      <w:hyperlink r:id="rId12" w:history="1">
        <w:r w:rsidRPr="001F47FD">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75B2FB2" w14:textId="77777777" w:rsidR="00CA3D54" w:rsidRPr="00096788" w:rsidRDefault="00CA3D54" w:rsidP="00CA3D54">
      <w:pPr>
        <w:widowControl w:val="0"/>
        <w:autoSpaceDE w:val="0"/>
        <w:autoSpaceDN w:val="0"/>
        <w:spacing w:after="0" w:line="276" w:lineRule="auto"/>
        <w:jc w:val="both"/>
        <w:rPr>
          <w:rFonts w:ascii="Verdana" w:hAnsi="Verdana" w:cs="Arial"/>
          <w:color w:val="000000" w:themeColor="text1"/>
          <w:shd w:val="clear" w:color="auto" w:fill="FFFFFF"/>
        </w:rPr>
      </w:pPr>
    </w:p>
    <w:p w14:paraId="604195D4" w14:textId="77777777" w:rsidR="00CA3D54" w:rsidRPr="001205D1" w:rsidRDefault="00CA3D54" w:rsidP="00CA3D54">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4F1DE1DF" w14:textId="77777777" w:rsidR="00CA3D54" w:rsidRPr="009C4035" w:rsidRDefault="00CA3D54" w:rsidP="00CA3D54">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86F0B84" w14:textId="77777777" w:rsidR="00CA3D54" w:rsidRPr="00593A5F" w:rsidRDefault="00CA3D54" w:rsidP="00CA3D5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719A92F" w14:textId="77777777" w:rsidR="00CA3D54" w:rsidRPr="00593A5F" w:rsidRDefault="00CA3D54" w:rsidP="00CA3D54">
      <w:pPr>
        <w:widowControl w:val="0"/>
        <w:autoSpaceDE w:val="0"/>
        <w:autoSpaceDN w:val="0"/>
        <w:spacing w:after="0" w:line="276" w:lineRule="auto"/>
        <w:jc w:val="both"/>
        <w:rPr>
          <w:rFonts w:ascii="Verdana" w:hAnsi="Verdana" w:cs="Arial"/>
        </w:rPr>
      </w:pPr>
    </w:p>
    <w:p w14:paraId="5E7C4EEF" w14:textId="77777777" w:rsidR="00CA3D54" w:rsidRPr="00593A5F" w:rsidRDefault="00CA3D54" w:rsidP="00CA3D5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1ECFF03" w14:textId="11CC96DD" w:rsidR="00CA3D54" w:rsidRPr="00593A5F" w:rsidRDefault="002143B5" w:rsidP="00CA3D54">
      <w:pPr>
        <w:spacing w:line="276" w:lineRule="auto"/>
        <w:jc w:val="center"/>
        <w:rPr>
          <w:rFonts w:ascii="Verdana" w:hAnsi="Verdana" w:cs="Arial"/>
          <w:color w:val="000000"/>
          <w:lang w:val="es-ES_tradnl" w:eastAsia="es-CO"/>
        </w:rPr>
      </w:pPr>
      <w:r>
        <w:rPr>
          <w:noProof/>
        </w:rPr>
        <w:drawing>
          <wp:inline distT="0" distB="0" distL="0" distR="0" wp14:anchorId="70C4450B" wp14:editId="3499B00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A3D54" w:rsidRPr="00593A5F" w14:paraId="3683BD5F" w14:textId="77777777" w:rsidTr="00AC3511">
        <w:trPr>
          <w:trHeight w:val="315"/>
        </w:trPr>
        <w:tc>
          <w:tcPr>
            <w:tcW w:w="893" w:type="dxa"/>
            <w:vAlign w:val="center"/>
            <w:hideMark/>
          </w:tcPr>
          <w:p w14:paraId="5C000E46" w14:textId="77777777" w:rsidR="00CA3D54" w:rsidRPr="003751C7" w:rsidRDefault="00CA3D54" w:rsidP="00AC351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9307AC2" w14:textId="77777777" w:rsidR="00CA3D54" w:rsidRPr="00254A7A" w:rsidRDefault="00CA3D54" w:rsidP="00AC3511">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3E22A76" w14:textId="77777777" w:rsidR="00CA3D54" w:rsidRPr="00254A7A" w:rsidRDefault="00CA3D54" w:rsidP="00AC3511">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A3D54" w:rsidRPr="00593A5F" w14:paraId="35C8BFA8" w14:textId="77777777" w:rsidTr="00AC3511">
        <w:trPr>
          <w:trHeight w:val="330"/>
        </w:trPr>
        <w:tc>
          <w:tcPr>
            <w:tcW w:w="893" w:type="dxa"/>
            <w:vAlign w:val="center"/>
            <w:hideMark/>
          </w:tcPr>
          <w:p w14:paraId="7704AA71" w14:textId="77777777" w:rsidR="00CA3D54" w:rsidRPr="003751C7" w:rsidRDefault="00CA3D54" w:rsidP="00AC3511">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0BB574" w14:textId="77777777" w:rsidR="00CA3D54" w:rsidRPr="001B6B73" w:rsidRDefault="00CA3D54" w:rsidP="00AC3511">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213CD51F" w14:textId="77777777" w:rsidR="00CA3D54" w:rsidRPr="00254A7A" w:rsidRDefault="00CA3D54" w:rsidP="00AC3511">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CA3D54" w:rsidRPr="00593A5F" w14:paraId="25B17327" w14:textId="77777777" w:rsidTr="00AC3511">
        <w:trPr>
          <w:trHeight w:val="300"/>
        </w:trPr>
        <w:tc>
          <w:tcPr>
            <w:tcW w:w="893" w:type="dxa"/>
            <w:vAlign w:val="center"/>
          </w:tcPr>
          <w:p w14:paraId="716D6F1D" w14:textId="77777777" w:rsidR="00CA3D54" w:rsidRPr="003751C7" w:rsidRDefault="00CA3D54" w:rsidP="00AC351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4C98A2" w14:textId="77777777" w:rsidR="00CA3D54" w:rsidRPr="003751C7" w:rsidRDefault="00CA3D54" w:rsidP="00AC3511">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B884450" w14:textId="77777777" w:rsidR="00CA3D54" w:rsidRPr="003751C7" w:rsidRDefault="00CA3D54" w:rsidP="00AC3511">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239B5A97" w14:textId="77777777" w:rsidR="00CA3D54" w:rsidRPr="00543BFE" w:rsidRDefault="00CA3D54" w:rsidP="00CA3D54"/>
    <w:p w14:paraId="19EF07E8" w14:textId="77777777" w:rsidR="00CA3D54" w:rsidRPr="00543BFE" w:rsidRDefault="00CA3D54" w:rsidP="00CA3D54"/>
    <w:p w14:paraId="020F19D7" w14:textId="77777777" w:rsidR="00CA3D54" w:rsidRPr="00B36323" w:rsidRDefault="00CA3D54" w:rsidP="00CA3D54"/>
    <w:p w14:paraId="0F293BF4" w14:textId="64C4A482" w:rsidR="00127233" w:rsidRPr="00C77D1D" w:rsidRDefault="00127233" w:rsidP="00C77D1D"/>
    <w:sectPr w:rsidR="00127233" w:rsidRPr="00C77D1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B4470" w14:textId="77777777" w:rsidR="00AE56A4" w:rsidRDefault="00AE56A4" w:rsidP="004A1847">
      <w:pPr>
        <w:spacing w:after="0" w:line="240" w:lineRule="auto"/>
      </w:pPr>
      <w:r>
        <w:separator/>
      </w:r>
    </w:p>
  </w:endnote>
  <w:endnote w:type="continuationSeparator" w:id="0">
    <w:p w14:paraId="4E38B9A5" w14:textId="77777777" w:rsidR="00AE56A4" w:rsidRDefault="00AE56A4" w:rsidP="004A1847">
      <w:pPr>
        <w:spacing w:after="0" w:line="240" w:lineRule="auto"/>
      </w:pPr>
      <w:r>
        <w:continuationSeparator/>
      </w:r>
    </w:p>
  </w:endnote>
  <w:endnote w:type="continuationNotice" w:id="1">
    <w:p w14:paraId="5CA7BF00" w14:textId="77777777" w:rsidR="00AE56A4" w:rsidRDefault="00AE56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Yu Mincho">
    <w:panose1 w:val="02020400000000000000"/>
    <w:charset w:val="80"/>
    <w:family w:val="roman"/>
    <w:pitch w:val="variable"/>
    <w:sig w:usb0="800002E7" w:usb1="2AC7FCFF" w:usb2="00000012" w:usb3="00000000" w:csb0="0002009F"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F3FF6" w14:textId="77777777" w:rsidR="00AE56A4" w:rsidRDefault="00AE56A4" w:rsidP="004A1847">
      <w:pPr>
        <w:spacing w:after="0" w:line="240" w:lineRule="auto"/>
      </w:pPr>
      <w:r>
        <w:separator/>
      </w:r>
    </w:p>
  </w:footnote>
  <w:footnote w:type="continuationSeparator" w:id="0">
    <w:p w14:paraId="60DD63F1" w14:textId="77777777" w:rsidR="00AE56A4" w:rsidRDefault="00AE56A4" w:rsidP="004A1847">
      <w:pPr>
        <w:spacing w:after="0" w:line="240" w:lineRule="auto"/>
      </w:pPr>
      <w:r>
        <w:continuationSeparator/>
      </w:r>
    </w:p>
  </w:footnote>
  <w:footnote w:type="continuationNotice" w:id="1">
    <w:p w14:paraId="21111A9E" w14:textId="77777777" w:rsidR="00AE56A4" w:rsidRDefault="00AE56A4">
      <w:pPr>
        <w:spacing w:after="0" w:line="240" w:lineRule="auto"/>
      </w:pPr>
    </w:p>
  </w:footnote>
  <w:footnote w:id="2">
    <w:p w14:paraId="70566ED7" w14:textId="77777777" w:rsidR="00CA3D54" w:rsidRPr="00F16D2E" w:rsidRDefault="00CA3D54" w:rsidP="00CA3D54">
      <w:pPr>
        <w:pStyle w:val="Textonotapie"/>
        <w:ind w:right="49" w:firstLine="709"/>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3EE73307" w14:textId="77777777" w:rsidR="00CA3D54" w:rsidRPr="00F16D2E" w:rsidRDefault="00CA3D54" w:rsidP="00CA3D54">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3">
    <w:p w14:paraId="469D7639" w14:textId="77777777" w:rsidR="00CA3D54" w:rsidRPr="00F16D2E" w:rsidRDefault="00CA3D54" w:rsidP="00CA3D54">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vertAlign w:val="superscript"/>
          <w:lang w:val="es-ES" w:eastAsia="es-ES"/>
        </w:rPr>
        <w:footnoteRef/>
      </w:r>
      <w:r w:rsidRPr="00F16D2E">
        <w:rPr>
          <w:rFonts w:ascii="Verdana" w:hAnsi="Verdana" w:cs="Arial"/>
          <w:color w:val="000000" w:themeColor="text1"/>
          <w:sz w:val="16"/>
          <w:szCs w:val="16"/>
          <w:vertAlign w:val="superscript"/>
          <w:lang w:val="es-ES" w:eastAsia="es-ES"/>
        </w:rPr>
        <w:t xml:space="preserve"> </w:t>
      </w:r>
      <w:r w:rsidRPr="00F16D2E">
        <w:rPr>
          <w:rFonts w:ascii="Verdana" w:hAnsi="Verdana" w:cs="Arial"/>
          <w:color w:val="000000" w:themeColor="text1"/>
          <w:sz w:val="16"/>
          <w:szCs w:val="16"/>
          <w:lang w:val="es-ES" w:eastAsia="es-ES"/>
        </w:rPr>
        <w:t>“</w:t>
      </w:r>
      <w:r w:rsidRPr="00F16D2E">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21CD4B04" w14:textId="77777777" w:rsidR="00CA3D54" w:rsidRPr="00F16D2E" w:rsidRDefault="00CA3D54" w:rsidP="00CA3D54">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rPr>
        <w:t>[…].</w:t>
      </w:r>
    </w:p>
    <w:p w14:paraId="5BC397EB" w14:textId="77777777" w:rsidR="00CA3D54" w:rsidRPr="00F16D2E" w:rsidRDefault="00CA3D54" w:rsidP="00CA3D54">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4">
    <w:p w14:paraId="79A7E670" w14:textId="77777777" w:rsidR="00CA3D54" w:rsidRPr="00F16D2E" w:rsidRDefault="00CA3D54" w:rsidP="00CA3D54">
      <w:pPr>
        <w:pStyle w:val="Textonotapie"/>
        <w:ind w:right="49" w:firstLine="708"/>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Decreto 1082 de 2015: “Artículo 2.2.1.1.1.7.1. Publicidad en el SECOP.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39404F3F" w14:textId="77777777" w:rsidR="00CA3D54" w:rsidRPr="00F16D2E" w:rsidRDefault="00CA3D54" w:rsidP="00CA3D54">
      <w:pPr>
        <w:pStyle w:val="Textonotapie"/>
        <w:ind w:right="49" w:firstLine="708"/>
        <w:jc w:val="both"/>
        <w:rPr>
          <w:rFonts w:ascii="Verdana" w:hAnsi="Verdana" w:cs="Arial"/>
          <w:color w:val="000000" w:themeColor="text1"/>
          <w:sz w:val="16"/>
          <w:szCs w:val="16"/>
          <w:lang w:val="es-ES"/>
        </w:rPr>
      </w:pPr>
      <w:r w:rsidRPr="00F16D2E">
        <w:rPr>
          <w:rFonts w:ascii="Verdana" w:hAnsi="Verdana" w:cs="Arial"/>
          <w:color w:val="000000" w:themeColor="text1"/>
          <w:sz w:val="16"/>
          <w:szCs w:val="16"/>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footnote>
  <w:footnote w:id="5">
    <w:p w14:paraId="732D07C3" w14:textId="77777777" w:rsidR="00CA3D54" w:rsidRPr="002A1671" w:rsidRDefault="00CA3D54" w:rsidP="00CA3D54">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18. </w:t>
      </w:r>
      <w:r w:rsidRPr="002A1671">
        <w:rPr>
          <w:rFonts w:ascii="Verdana" w:hAnsi="Verdana"/>
          <w:i/>
          <w:iCs/>
          <w:sz w:val="15"/>
          <w:szCs w:val="15"/>
          <w:lang w:val="es-CO"/>
        </w:rPr>
        <w:t>Información exceptuada por daño de derechos a personas naturales o jurídicas. </w:t>
      </w:r>
      <w:r w:rsidRPr="002A1671">
        <w:rPr>
          <w:rFonts w:ascii="Verdana" w:hAnsi="Verdana"/>
          <w:sz w:val="15"/>
          <w:szCs w:val="15"/>
          <w:lang w:val="es-CO"/>
        </w:rPr>
        <w:t>Es toda aquella información pública clasificada, cuyo acceso podrá ser rechazado o denegado de manera motivada y por escrito, siempre que el acceso pudiere causar un daño a los siguientes derechos: </w:t>
      </w:r>
    </w:p>
    <w:p w14:paraId="218FC8EA"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a) El derecho de toda persona a la intimidad, bajo las limitaciones propias que impone la condición de servidor público, en concordancia con lo estipulado por el artículo 24 de la Ley 1437 de 2011; </w:t>
      </w:r>
    </w:p>
    <w:p w14:paraId="241B8344"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b) El derecho de toda persona a la vida, la salud o la seguridad; </w:t>
      </w:r>
    </w:p>
    <w:p w14:paraId="4E877B67"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c) Los secretos comerciales, industriales y profesionales, así como los estipulados en el parágrafo del artículo 77 de la Ley 1474 de 2011. </w:t>
      </w:r>
    </w:p>
    <w:p w14:paraId="3E9604FF"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Parágrafo. Estas excepciones tienen una duración ilimitada y no deberán aplicarse cuando la persona natural o jurídica ha consentido en la revelación de sus datos personales o privados o bien cuando es claro que la información fue entregada como parte de aquella información que debe estar bajo el régimen de publicidad aplicable.</w:t>
      </w:r>
    </w:p>
  </w:footnote>
  <w:footnote w:id="6">
    <w:p w14:paraId="1C4A77AA" w14:textId="77777777" w:rsidR="00CA3D54" w:rsidRPr="002A1671" w:rsidRDefault="00CA3D54" w:rsidP="00CA3D54">
      <w:pPr>
        <w:pStyle w:val="Textonotapie"/>
        <w:ind w:firstLine="708"/>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19. </w:t>
      </w:r>
      <w:r w:rsidRPr="002A1671">
        <w:rPr>
          <w:rFonts w:ascii="Verdana" w:hAnsi="Verdana"/>
          <w:i/>
          <w:iCs/>
          <w:sz w:val="15"/>
          <w:szCs w:val="15"/>
          <w:lang w:val="es-CO"/>
        </w:rPr>
        <w:t>Información exceptuada por daño a los intereses públicos. </w:t>
      </w:r>
      <w:r w:rsidRPr="002A1671">
        <w:rPr>
          <w:rFonts w:ascii="Verdana" w:hAnsi="Verdana"/>
          <w:sz w:val="15"/>
          <w:szCs w:val="15"/>
          <w:lang w:val="es-CO"/>
        </w:rPr>
        <w:t>Es toda aquella información pública reservada, cuyo acceso podrá ser rechazado o denegado de manera motivada y por escrito en las siguientes circunstancias, siempre que dicho acceso estuviere expresamente prohibido por una norma legal o constitucional:  </w:t>
      </w:r>
    </w:p>
    <w:p w14:paraId="6FDD841B"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a) La defensa y seguridad nacional; </w:t>
      </w:r>
    </w:p>
    <w:p w14:paraId="2021E75D"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b) La seguridad pública; </w:t>
      </w:r>
    </w:p>
    <w:p w14:paraId="4FB58F4F"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c) Las relaciones internacionales; </w:t>
      </w:r>
    </w:p>
    <w:p w14:paraId="0347B035"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d) La prevención, investigación y persecución de los delitos y las faltas disciplinarias, mientras que no se haga efectiva la medida de aseguramiento o se formule pliego de cargos, según el caso; </w:t>
      </w:r>
    </w:p>
    <w:p w14:paraId="703F80F2"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e) El debido proceso y la igualdad de las partes en los procesos judiciales; </w:t>
      </w:r>
    </w:p>
    <w:p w14:paraId="4F42BDC0"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f) La administración efectiva de la justicia; </w:t>
      </w:r>
    </w:p>
    <w:p w14:paraId="4E76467E"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g) Los derechos de la infancia y la adolescencia; </w:t>
      </w:r>
    </w:p>
    <w:p w14:paraId="2A7B1E26"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h) La estabilidad macroeconómica y financiera del país; </w:t>
      </w:r>
    </w:p>
    <w:p w14:paraId="5040717E"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i) La salud pública. </w:t>
      </w:r>
    </w:p>
    <w:p w14:paraId="534ED8DF" w14:textId="77777777" w:rsidR="00CA3D54" w:rsidRPr="002A1671" w:rsidRDefault="00CA3D54" w:rsidP="00CA3D54">
      <w:pPr>
        <w:pStyle w:val="Textonotapie"/>
        <w:ind w:firstLine="708"/>
        <w:rPr>
          <w:rFonts w:ascii="Verdana" w:hAnsi="Verdana"/>
          <w:sz w:val="15"/>
          <w:szCs w:val="15"/>
          <w:lang w:val="es-CO"/>
        </w:rPr>
      </w:pPr>
      <w:r w:rsidRPr="002A1671">
        <w:rPr>
          <w:rFonts w:ascii="Verdana" w:hAnsi="Verdana"/>
          <w:sz w:val="15"/>
          <w:szCs w:val="15"/>
          <w:lang w:val="es-CO"/>
        </w:rPr>
        <w:t>Parágrafo. Se exceptúan también los documentos que contengan las opiniones o puntos de vista que formen parte del proceso deliberativo de los servidores públicos. </w:t>
      </w:r>
    </w:p>
  </w:footnote>
  <w:footnote w:id="7">
    <w:p w14:paraId="12E2C4A5" w14:textId="77777777" w:rsidR="00CA3D54" w:rsidRPr="002A1671" w:rsidRDefault="00CA3D54" w:rsidP="00CA3D54">
      <w:pPr>
        <w:pStyle w:val="Textonotapie"/>
        <w:ind w:firstLine="709"/>
        <w:jc w:val="both"/>
        <w:rPr>
          <w:rFonts w:ascii="Verdana" w:hAnsi="Verdana"/>
          <w:sz w:val="15"/>
          <w:szCs w:val="15"/>
          <w:lang w:val="es-CO"/>
        </w:rPr>
      </w:pPr>
      <w:r w:rsidRPr="002A1671">
        <w:rPr>
          <w:rStyle w:val="Refdenotaalpie"/>
          <w:sz w:val="15"/>
          <w:szCs w:val="15"/>
        </w:rPr>
        <w:footnoteRef/>
      </w:r>
      <w:r w:rsidRPr="002A1671">
        <w:rPr>
          <w:sz w:val="15"/>
          <w:szCs w:val="15"/>
        </w:rPr>
        <w:t xml:space="preserve"> </w:t>
      </w:r>
      <w:r w:rsidRPr="002A1671">
        <w:rPr>
          <w:rFonts w:ascii="Verdana" w:hAnsi="Verdana"/>
          <w:bCs/>
          <w:sz w:val="15"/>
          <w:szCs w:val="15"/>
          <w:lang w:val="es-CO"/>
        </w:rPr>
        <w:t>Artículo 24. </w:t>
      </w:r>
      <w:r w:rsidRPr="002A1671">
        <w:rPr>
          <w:rFonts w:ascii="Verdana" w:hAnsi="Verdana"/>
          <w:bCs/>
          <w:i/>
          <w:iCs/>
          <w:sz w:val="15"/>
          <w:szCs w:val="15"/>
          <w:lang w:val="es-CO"/>
        </w:rPr>
        <w:t xml:space="preserve">Informaciones y documentos reservados. </w:t>
      </w:r>
      <w:r w:rsidRPr="002A1671">
        <w:rPr>
          <w:rFonts w:ascii="Verdana" w:hAnsi="Verdana"/>
          <w:sz w:val="15"/>
          <w:szCs w:val="15"/>
          <w:lang w:val="es-CO"/>
        </w:rPr>
        <w:t>Solo tendrán carácter reservado las informaciones y documentos expresamente sometidos a reserva por la Constitución Política o la ley, y en especial:</w:t>
      </w:r>
    </w:p>
    <w:p w14:paraId="209EBB6B" w14:textId="77777777" w:rsidR="00CA3D54" w:rsidRPr="002A1671" w:rsidRDefault="00CA3D54" w:rsidP="00CA3D54">
      <w:pPr>
        <w:pStyle w:val="Textonotapie"/>
        <w:ind w:firstLine="709"/>
        <w:jc w:val="both"/>
        <w:rPr>
          <w:rFonts w:ascii="Verdana" w:hAnsi="Verdana"/>
          <w:sz w:val="15"/>
          <w:szCs w:val="15"/>
          <w:lang w:val="es-CO"/>
        </w:rPr>
      </w:pPr>
      <w:r w:rsidRPr="002A1671">
        <w:rPr>
          <w:rFonts w:ascii="Verdana" w:hAnsi="Verdana"/>
          <w:sz w:val="15"/>
          <w:szCs w:val="15"/>
          <w:lang w:val="es-CO"/>
        </w:rPr>
        <w:t>1. Los relacionados con la defensa o seguridad nacionales.</w:t>
      </w:r>
    </w:p>
    <w:p w14:paraId="0488CAAC" w14:textId="77777777" w:rsidR="00CA3D54" w:rsidRPr="002A1671" w:rsidRDefault="00CA3D54" w:rsidP="00CA3D54">
      <w:pPr>
        <w:pStyle w:val="Textonotapie"/>
        <w:ind w:firstLine="709"/>
        <w:jc w:val="both"/>
        <w:rPr>
          <w:rFonts w:ascii="Verdana" w:hAnsi="Verdana"/>
          <w:sz w:val="15"/>
          <w:szCs w:val="15"/>
          <w:lang w:val="es-CO"/>
        </w:rPr>
      </w:pPr>
      <w:r w:rsidRPr="002A1671">
        <w:rPr>
          <w:rFonts w:ascii="Verdana" w:hAnsi="Verdana"/>
          <w:sz w:val="15"/>
          <w:szCs w:val="15"/>
          <w:lang w:val="es-CO"/>
        </w:rPr>
        <w:t>2. Las instrucciones en materia diplomática o sobre negociaciones reservadas.  </w:t>
      </w:r>
    </w:p>
    <w:p w14:paraId="0ED3D0F3" w14:textId="77777777" w:rsidR="00CA3D54" w:rsidRPr="002A1671" w:rsidRDefault="00CA3D54" w:rsidP="00CA3D54">
      <w:pPr>
        <w:pStyle w:val="Textonotapie"/>
        <w:ind w:firstLine="709"/>
        <w:jc w:val="both"/>
        <w:rPr>
          <w:rFonts w:ascii="Verdana" w:hAnsi="Verdana"/>
          <w:sz w:val="15"/>
          <w:szCs w:val="15"/>
          <w:lang w:val="es-CO"/>
        </w:rPr>
      </w:pPr>
      <w:r w:rsidRPr="002A1671">
        <w:rPr>
          <w:rFonts w:ascii="Verdana" w:hAnsi="Verdana"/>
          <w:sz w:val="15"/>
          <w:szCs w:val="15"/>
          <w:lang w:val="es-CO"/>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6F03B10C" w14:textId="77777777" w:rsidR="00CA3D54" w:rsidRPr="002A1671" w:rsidRDefault="00CA3D54" w:rsidP="00CA3D54">
      <w:pPr>
        <w:pStyle w:val="Textonotapie"/>
        <w:ind w:firstLine="709"/>
        <w:jc w:val="both"/>
        <w:rPr>
          <w:rFonts w:ascii="Verdana" w:hAnsi="Verdana"/>
          <w:sz w:val="15"/>
          <w:szCs w:val="15"/>
          <w:lang w:val="es-CO"/>
        </w:rPr>
      </w:pPr>
      <w:r w:rsidRPr="002A1671">
        <w:rPr>
          <w:rFonts w:ascii="Verdana" w:hAnsi="Verdana"/>
          <w:sz w:val="15"/>
          <w:szCs w:val="15"/>
          <w:lang w:val="es-CO"/>
        </w:rPr>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7BAC1117" w14:textId="77777777" w:rsidR="00CA3D54" w:rsidRPr="002A1671" w:rsidRDefault="00CA3D54" w:rsidP="00CA3D54">
      <w:pPr>
        <w:pStyle w:val="Textonotapie"/>
        <w:ind w:firstLine="709"/>
        <w:jc w:val="both"/>
        <w:rPr>
          <w:rFonts w:ascii="Verdana" w:hAnsi="Verdana"/>
          <w:sz w:val="15"/>
          <w:szCs w:val="15"/>
          <w:lang w:val="es-CO"/>
        </w:rPr>
      </w:pPr>
      <w:r w:rsidRPr="002A1671">
        <w:rPr>
          <w:rFonts w:ascii="Verdana" w:hAnsi="Verdana"/>
          <w:sz w:val="15"/>
          <w:szCs w:val="15"/>
          <w:lang w:val="es-CO"/>
        </w:rPr>
        <w:t>S. Los datos referentes a la información financiera y comercial, en los términos de la Ley Estatutaria 1266 de 2008.  </w:t>
      </w:r>
    </w:p>
    <w:p w14:paraId="1318A99A" w14:textId="77777777" w:rsidR="00CA3D54" w:rsidRPr="002A1671" w:rsidRDefault="00CA3D54" w:rsidP="00CA3D54">
      <w:pPr>
        <w:pStyle w:val="Textonotapie"/>
        <w:ind w:firstLine="709"/>
        <w:jc w:val="both"/>
        <w:rPr>
          <w:rFonts w:ascii="Verdana" w:hAnsi="Verdana"/>
          <w:sz w:val="15"/>
          <w:szCs w:val="15"/>
          <w:lang w:val="es-CO"/>
        </w:rPr>
      </w:pPr>
      <w:r w:rsidRPr="002A1671">
        <w:rPr>
          <w:rFonts w:ascii="Verdana" w:hAnsi="Verdana"/>
          <w:sz w:val="15"/>
          <w:szCs w:val="15"/>
          <w:lang w:val="es-CO"/>
        </w:rPr>
        <w:t>6. Los protegidos por el secreto comercial o industrial, así como los planes estratégicos de las empresas públicas de servicios públicos.  </w:t>
      </w:r>
    </w:p>
    <w:p w14:paraId="342F315E" w14:textId="77777777" w:rsidR="00CA3D54" w:rsidRPr="002A1671" w:rsidRDefault="00CA3D54" w:rsidP="00CA3D54">
      <w:pPr>
        <w:pStyle w:val="Textonotapie"/>
        <w:ind w:firstLine="709"/>
        <w:jc w:val="both"/>
        <w:rPr>
          <w:rFonts w:ascii="Verdana" w:hAnsi="Verdana"/>
          <w:sz w:val="15"/>
          <w:szCs w:val="15"/>
          <w:lang w:val="es-CO"/>
        </w:rPr>
      </w:pPr>
      <w:r w:rsidRPr="002A1671">
        <w:rPr>
          <w:rFonts w:ascii="Verdana" w:hAnsi="Verdana"/>
          <w:sz w:val="15"/>
          <w:szCs w:val="15"/>
          <w:lang w:val="es-CO"/>
        </w:rPr>
        <w:t>7. Los amparados por el secreto profesional.  </w:t>
      </w:r>
    </w:p>
    <w:p w14:paraId="1185B460" w14:textId="77777777" w:rsidR="00CA3D54" w:rsidRPr="002A1671" w:rsidRDefault="00CA3D54" w:rsidP="00CA3D54">
      <w:pPr>
        <w:pStyle w:val="Textonotapie"/>
        <w:ind w:firstLine="709"/>
        <w:jc w:val="both"/>
        <w:rPr>
          <w:rFonts w:ascii="Verdana" w:hAnsi="Verdana"/>
          <w:sz w:val="15"/>
          <w:szCs w:val="15"/>
          <w:lang w:val="es-CO"/>
        </w:rPr>
      </w:pPr>
      <w:r w:rsidRPr="002A1671">
        <w:rPr>
          <w:rFonts w:ascii="Verdana" w:hAnsi="Verdana"/>
          <w:sz w:val="15"/>
          <w:szCs w:val="15"/>
          <w:lang w:val="es-CO"/>
        </w:rPr>
        <w:t>8. Los datos genéticos humanos.  </w:t>
      </w:r>
    </w:p>
    <w:p w14:paraId="51657674" w14:textId="77777777" w:rsidR="00CA3D54" w:rsidRPr="002A1671" w:rsidRDefault="00CA3D54" w:rsidP="00CA3D54">
      <w:pPr>
        <w:pStyle w:val="Textonotapie"/>
        <w:ind w:firstLine="709"/>
        <w:jc w:val="both"/>
        <w:rPr>
          <w:sz w:val="15"/>
          <w:szCs w:val="15"/>
          <w:lang w:val="es-CO"/>
        </w:rPr>
      </w:pPr>
      <w:r w:rsidRPr="002A1671">
        <w:rPr>
          <w:rFonts w:ascii="Verdana" w:hAnsi="Verdana"/>
          <w:bCs/>
          <w:sz w:val="15"/>
          <w:szCs w:val="15"/>
          <w:lang w:val="es-CO"/>
        </w:rPr>
        <w:t>Parágrafo.</w:t>
      </w:r>
      <w:r w:rsidRPr="002A1671">
        <w:rPr>
          <w:rFonts w:ascii="Verdana" w:hAnsi="Verdana"/>
          <w:sz w:val="15"/>
          <w:szCs w:val="15"/>
          <w:lang w:val="es-CO"/>
        </w:rPr>
        <w:t>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8">
    <w:p w14:paraId="3C7E2718" w14:textId="77777777" w:rsidR="00CA3D54" w:rsidRPr="002A1671" w:rsidRDefault="00CA3D54" w:rsidP="00CA3D54">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Ley 80 de 1993 “Artículo 24. Del principio de transparencia. En virtud de este principio: […] 4o. Las autoridades expedirán a costa de aquellas personas que demuestren interés legítimo, copias de las actuaciones y propuestas recibidas, respetando la reserva de que gocen legalmente las patentes, procedimientos y privilegios”.</w:t>
      </w:r>
    </w:p>
  </w:footnote>
  <w:footnote w:id="9">
    <w:p w14:paraId="4EAE8D39" w14:textId="77777777" w:rsidR="00CA3D54" w:rsidRPr="002A1671" w:rsidRDefault="00CA3D54" w:rsidP="00CA3D54">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Ley 1712 de 2014 “Artículo 2°. Principio de máxima publicidad para titular universal. Toda información en posesión, bajo control o custodia de un sujeto obligado es pública y no podrá ser reservada o limitada sino por disposición constitucional o legal, de conformidad con la presente ley”.</w:t>
      </w:r>
    </w:p>
  </w:footnote>
  <w:footnote w:id="10">
    <w:p w14:paraId="196CA4D1" w14:textId="77777777" w:rsidR="00CA3D54" w:rsidRPr="002A1671" w:rsidRDefault="00CA3D54" w:rsidP="00CA3D54">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MATALLANA CAMACHO Ernesto. Manual de Contratación de la Administración Pública. Reforma a la Ley 80 de 1993. Universidad Externado de Colombia, Cuarta edición, 2015, pp 139.</w:t>
      </w:r>
    </w:p>
  </w:footnote>
  <w:footnote w:id="11">
    <w:p w14:paraId="77FBA8FC" w14:textId="77777777" w:rsidR="00CA3D54" w:rsidRPr="002A1671" w:rsidRDefault="00CA3D54" w:rsidP="00CA3D54">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Resultan relevantes las consideraciones expuestas en el concepto C- 322 del 16 de junio de 2020 –radicado No. 2202013000005088–, sobre la aplicación del artículo 36 del CPACA en torno al manejo de información reservada en cuadernos separados: “tratándose de información sometida a reserva, considera esta Agencia que el tratamiento que corresponde a esta información es el procedente a partir de lo dispuesto en el artículo 36 del CPACA sobre la formación y examen de expedientes, en el que se establece que los documentos sometidos a reserva deberán insertarse en un cuaderno separado del expediente principal, el cual no podrá ser consultado por la ciudadanía o interesados en general. El manejo de estos documentos conforme lo indica esta norma, permite guardar la reserva a la que están sometidos dichos documentos en el marco de procesos de contratación, sin que se vean lesionados los intereses de los titulares de la información o contrariadas las normas del régimen de protección de datos personales”.</w:t>
      </w:r>
    </w:p>
  </w:footnote>
  <w:footnote w:id="12">
    <w:p w14:paraId="0C8EBB32" w14:textId="77777777" w:rsidR="00CA3D54" w:rsidRPr="002A1671" w:rsidRDefault="00CA3D54" w:rsidP="00CA3D54">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 xml:space="preserve">“Artículo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público, pero no de su existencia. </w:t>
      </w:r>
    </w:p>
    <w:p w14:paraId="5AB01300"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 xml:space="preserve">Ninguna autoridad pública puede negarse a indicar si un documento obra o no en su poder o negar la divulgación de un documento, salvo que el daño causado al interés protegido sea mayor al interés público de obtener acceso a la información. </w:t>
      </w:r>
    </w:p>
    <w:p w14:paraId="2FD5DCCA"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Las excepciones de acceso a la información contenidas en la presente ley no aplican en casos de violación de derechos humanos o delitos de lesa humanidad, y en todo caso deberán protegerse los derechos de las víctimas de dichas violaciones”.</w:t>
      </w:r>
    </w:p>
  </w:footnote>
  <w:footnote w:id="13">
    <w:p w14:paraId="3A83F98A" w14:textId="77777777" w:rsidR="00CA3D54" w:rsidRPr="002A1671" w:rsidRDefault="00CA3D54" w:rsidP="00CA3D54">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7.1.3. Reserva de la información. Criterios. En concordancia con lo establecido en la Ley 1712 de 2014, Ley de transparencia y de Acceso a la Información Pública, la reserva aplica a la información, no a los documentos, para lo cual el responsable de la información verificará qué información está sometida a reserva y cuál no, y elaborará una versión pública que mantenga la reserva de los titulares de los datos, para garantizar el principio de máxima publicidad y conforme a las disposiciones legales vigentes sobre el acceso a la información.</w:t>
      </w:r>
    </w:p>
    <w:p w14:paraId="7408F9E6"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 xml:space="preserve">Parágrafo 1. De existir reserva legal, se aplicarán, como mínimo, los siguientes criterios: </w:t>
      </w:r>
    </w:p>
    <w:p w14:paraId="1767D36F"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 xml:space="preserve">1. La reserva opera sobre el contenido del documento, no sobre la existencia de este. Estos documentos deben ser identificados de manera clara en los instrumentos de la gestión de información pública. </w:t>
      </w:r>
    </w:p>
    <w:p w14:paraId="05270BF0"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 xml:space="preserve">2. La reserva legal solo opera sobre la información que compromete derechos fundamentales o bienes constitucionales, no sobre los procesos o actuaciones de los que hace parte. Para tal efecto se realizarán versiones públicas de estos documentos, que impidan la identificación de los titulares de los datos personales, como lo ordena la normativa vigente. </w:t>
      </w:r>
    </w:p>
    <w:p w14:paraId="4601BC05" w14:textId="77777777" w:rsidR="00CA3D54" w:rsidRPr="002A1671" w:rsidRDefault="00CA3D54" w:rsidP="00CA3D54">
      <w:pPr>
        <w:pStyle w:val="Textonotapie"/>
        <w:ind w:firstLine="708"/>
        <w:jc w:val="both"/>
        <w:rPr>
          <w:rFonts w:ascii="Verdana" w:hAnsi="Verdana"/>
          <w:sz w:val="15"/>
          <w:szCs w:val="15"/>
          <w:lang w:val="es-CO"/>
        </w:rPr>
      </w:pPr>
      <w:r w:rsidRPr="002A1671">
        <w:rPr>
          <w:rFonts w:ascii="Verdana" w:hAnsi="Verdana"/>
          <w:sz w:val="15"/>
          <w:szCs w:val="15"/>
          <w:lang w:val="es-CO"/>
        </w:rPr>
        <w:t>3. La reserva deberá ser temporal, como lo determine la Ley.</w:t>
      </w:r>
    </w:p>
    <w:p w14:paraId="4B96F0BF" w14:textId="77777777" w:rsidR="00CA3D54" w:rsidRPr="001605A4" w:rsidRDefault="00CA3D54" w:rsidP="00CA3D54">
      <w:pPr>
        <w:pStyle w:val="Textonotapie"/>
        <w:ind w:firstLine="708"/>
        <w:jc w:val="both"/>
        <w:rPr>
          <w:lang w:val="es-ES"/>
        </w:rPr>
      </w:pPr>
      <w:r w:rsidRPr="002A1671">
        <w:rPr>
          <w:rFonts w:ascii="Verdana" w:hAnsi="Verdana"/>
          <w:sz w:val="15"/>
          <w:szCs w:val="15"/>
          <w:lang w:val="es-CO"/>
        </w:rPr>
        <w:t xml:space="preserve"> Parágrafo 2. Para elaborar versiones públicas de documentos que contengan información clasificada o reservada, la entidad aplicará estándares para la anonimización de datos. El proceso de anonimización de datos requiere una adecuada comprensión del propósito final y uso de la información. Por tal motivo, es importante que el administrador de los documentos identifique los datos objeto de anonimización en articulación con la normativa vigente para la protección de datos personales y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45AC"/>
    <w:rsid w:val="000F6486"/>
    <w:rsid w:val="0011378A"/>
    <w:rsid w:val="00125105"/>
    <w:rsid w:val="00127233"/>
    <w:rsid w:val="001E4177"/>
    <w:rsid w:val="001F7DC6"/>
    <w:rsid w:val="002143B5"/>
    <w:rsid w:val="002421BB"/>
    <w:rsid w:val="0025796E"/>
    <w:rsid w:val="002707A2"/>
    <w:rsid w:val="00273DB5"/>
    <w:rsid w:val="00291EA6"/>
    <w:rsid w:val="002951A0"/>
    <w:rsid w:val="002962BC"/>
    <w:rsid w:val="00297D84"/>
    <w:rsid w:val="002A093D"/>
    <w:rsid w:val="002A0DD0"/>
    <w:rsid w:val="002A49AC"/>
    <w:rsid w:val="002A64FD"/>
    <w:rsid w:val="002C18D8"/>
    <w:rsid w:val="002C7A84"/>
    <w:rsid w:val="002E4FD9"/>
    <w:rsid w:val="002F4902"/>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D5D65"/>
    <w:rsid w:val="004F21C4"/>
    <w:rsid w:val="004F685F"/>
    <w:rsid w:val="005566E8"/>
    <w:rsid w:val="005665C0"/>
    <w:rsid w:val="00574867"/>
    <w:rsid w:val="00591460"/>
    <w:rsid w:val="005C3777"/>
    <w:rsid w:val="005C5CDC"/>
    <w:rsid w:val="005D476C"/>
    <w:rsid w:val="006219F8"/>
    <w:rsid w:val="006302F7"/>
    <w:rsid w:val="00665D70"/>
    <w:rsid w:val="006900D9"/>
    <w:rsid w:val="006A760C"/>
    <w:rsid w:val="006E0A92"/>
    <w:rsid w:val="006F7200"/>
    <w:rsid w:val="00706C16"/>
    <w:rsid w:val="00737606"/>
    <w:rsid w:val="00756841"/>
    <w:rsid w:val="007649AB"/>
    <w:rsid w:val="00771D0C"/>
    <w:rsid w:val="007833AC"/>
    <w:rsid w:val="007B268C"/>
    <w:rsid w:val="007B7171"/>
    <w:rsid w:val="007C0C0F"/>
    <w:rsid w:val="007C3DC2"/>
    <w:rsid w:val="007E5497"/>
    <w:rsid w:val="00806F5F"/>
    <w:rsid w:val="00820278"/>
    <w:rsid w:val="00826C26"/>
    <w:rsid w:val="00855749"/>
    <w:rsid w:val="00867F95"/>
    <w:rsid w:val="008843B6"/>
    <w:rsid w:val="00891928"/>
    <w:rsid w:val="00897A3A"/>
    <w:rsid w:val="008A446D"/>
    <w:rsid w:val="008D180B"/>
    <w:rsid w:val="008F0EA7"/>
    <w:rsid w:val="008F1E60"/>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27927"/>
    <w:rsid w:val="00A33C78"/>
    <w:rsid w:val="00AB0ADB"/>
    <w:rsid w:val="00AC3511"/>
    <w:rsid w:val="00AE56A4"/>
    <w:rsid w:val="00B00C0E"/>
    <w:rsid w:val="00B01B1A"/>
    <w:rsid w:val="00B349B5"/>
    <w:rsid w:val="00B44A47"/>
    <w:rsid w:val="00B5285D"/>
    <w:rsid w:val="00B72CD3"/>
    <w:rsid w:val="00B72FFF"/>
    <w:rsid w:val="00BC3D36"/>
    <w:rsid w:val="00BD7F72"/>
    <w:rsid w:val="00C04FB3"/>
    <w:rsid w:val="00C330EB"/>
    <w:rsid w:val="00C60EE2"/>
    <w:rsid w:val="00C739FA"/>
    <w:rsid w:val="00C754BE"/>
    <w:rsid w:val="00C76B1C"/>
    <w:rsid w:val="00C77D1D"/>
    <w:rsid w:val="00C977F2"/>
    <w:rsid w:val="00CA3D54"/>
    <w:rsid w:val="00CB4904"/>
    <w:rsid w:val="00CB6357"/>
    <w:rsid w:val="00CC1B26"/>
    <w:rsid w:val="00CC67FD"/>
    <w:rsid w:val="00CD50C1"/>
    <w:rsid w:val="00D423A2"/>
    <w:rsid w:val="00D520D8"/>
    <w:rsid w:val="00D63AC2"/>
    <w:rsid w:val="00D7383B"/>
    <w:rsid w:val="00DA231B"/>
    <w:rsid w:val="00DC39FC"/>
    <w:rsid w:val="00DD7DA1"/>
    <w:rsid w:val="00DF5254"/>
    <w:rsid w:val="00E14143"/>
    <w:rsid w:val="00E16408"/>
    <w:rsid w:val="00E20894"/>
    <w:rsid w:val="00E245AB"/>
    <w:rsid w:val="00E2764C"/>
    <w:rsid w:val="00E27F2E"/>
    <w:rsid w:val="00E50AFE"/>
    <w:rsid w:val="00E50D50"/>
    <w:rsid w:val="00E75C92"/>
    <w:rsid w:val="00E771DC"/>
    <w:rsid w:val="00E8772A"/>
    <w:rsid w:val="00E90F6B"/>
    <w:rsid w:val="00E92C27"/>
    <w:rsid w:val="00EA0E3D"/>
    <w:rsid w:val="00EC38A7"/>
    <w:rsid w:val="00EE1AA8"/>
    <w:rsid w:val="00F31EDC"/>
    <w:rsid w:val="00F462B3"/>
    <w:rsid w:val="00F5664F"/>
    <w:rsid w:val="00F666C4"/>
    <w:rsid w:val="00F706E6"/>
    <w:rsid w:val="00F76AFC"/>
    <w:rsid w:val="00FA47C0"/>
    <w:rsid w:val="00FB5DD1"/>
    <w:rsid w:val="00FC2B5D"/>
    <w:rsid w:val="00FF1449"/>
    <w:rsid w:val="5D67C49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241ECE3-E379-3D49-9158-879BD1ACC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A3D5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A3D54"/>
    <w:rPr>
      <w:rFonts w:ascii="Geomanist Light" w:hAnsi="Geomanist Light"/>
      <w:lang w:val="es-ES"/>
    </w:rPr>
  </w:style>
  <w:style w:type="character" w:customStyle="1" w:styleId="s15">
    <w:name w:val="s15"/>
    <w:basedOn w:val="Fuentedeprrafopredeter"/>
    <w:rsid w:val="00CA3D54"/>
  </w:style>
  <w:style w:type="character" w:customStyle="1" w:styleId="apple-converted-space">
    <w:name w:val="apple-converted-space"/>
    <w:basedOn w:val="Fuentedeprrafopredeter"/>
    <w:rsid w:val="00CA3D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villate@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9DE5699-E339-47D0-A7EE-4A52701B3BFE}"/>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21</Pages>
  <Words>6916</Words>
  <Characters>38042</Characters>
  <Application>Microsoft Office Word</Application>
  <DocSecurity>0</DocSecurity>
  <Lines>317</Lines>
  <Paragraphs>89</Paragraphs>
  <ScaleCrop>false</ScaleCrop>
  <Company/>
  <LinksUpToDate>false</LinksUpToDate>
  <CharactersWithSpaces>44869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2023-01-10T18:18:00Z</cp:lastPrinted>
  <dcterms:created xsi:type="dcterms:W3CDTF">2025-10-16T03:55:00Z</dcterms:created>
  <dcterms:modified xsi:type="dcterms:W3CDTF">2025-10-16T21:40:00Z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