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FF0B" w14:textId="77777777" w:rsidR="00271F5B" w:rsidRPr="00E66D81" w:rsidRDefault="00271F5B" w:rsidP="00271F5B">
      <w:pPr>
        <w:spacing w:line="240" w:lineRule="auto"/>
        <w:jc w:val="both"/>
        <w:rPr>
          <w:rFonts w:ascii="Verdana" w:hAnsi="Verdana" w:cs="Arial"/>
          <w:b/>
          <w:color w:val="000000" w:themeColor="text1"/>
          <w:lang w:val="es-ES_tradnl"/>
        </w:rPr>
      </w:pPr>
      <w:bookmarkStart w:id="0" w:name="_Hlk143780582"/>
      <w:r w:rsidRPr="00E66D81">
        <w:rPr>
          <w:rFonts w:ascii="Verdana" w:hAnsi="Verdana" w:cs="Arial"/>
          <w:b/>
          <w:color w:val="000000" w:themeColor="text1"/>
          <w:lang w:val="es-ES_tradnl"/>
        </w:rPr>
        <w:t>LEY DE GARANTÍAS ELECTORALES ‒ Finalidad</w:t>
      </w:r>
    </w:p>
    <w:p w14:paraId="4673ED09" w14:textId="77777777" w:rsidR="00271F5B" w:rsidRDefault="00271F5B" w:rsidP="00271F5B">
      <w:pPr>
        <w:tabs>
          <w:tab w:val="left" w:pos="426"/>
        </w:tabs>
        <w:spacing w:after="120" w:line="276" w:lineRule="auto"/>
        <w:jc w:val="both"/>
        <w:rPr>
          <w:rFonts w:ascii="Verdana" w:eastAsia="Calibri" w:hAnsi="Verdana" w:cs="Arial"/>
          <w:lang w:val="es-ES_tradnl"/>
        </w:rPr>
      </w:pPr>
      <w:r w:rsidRPr="0080284B">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80284B">
        <w:rPr>
          <w:rFonts w:ascii="Verdana" w:eastAsia="Times New Roman" w:hAnsi="Verdana" w:cs="Arial"/>
          <w:sz w:val="20"/>
          <w:szCs w:val="20"/>
          <w:vertAlign w:val="superscript"/>
          <w:lang w:val="es-MX" w:eastAsia="es-CO"/>
        </w:rPr>
        <w:footnoteReference w:id="1"/>
      </w:r>
      <w:r w:rsidRPr="0080284B">
        <w:rPr>
          <w:rFonts w:ascii="Verdana" w:eastAsia="Times New Roman" w:hAnsi="Verdana" w:cs="Arial"/>
          <w:sz w:val="20"/>
          <w:szCs w:val="20"/>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Times New Roman" w:hAnsi="Verdana" w:cs="Arial"/>
          <w:lang w:val="es-MX" w:eastAsia="es-CO"/>
        </w:rPr>
        <w:t>.</w:t>
      </w:r>
      <w:r w:rsidRPr="00E2397D">
        <w:rPr>
          <w:rFonts w:ascii="Verdana" w:eastAsia="Calibri" w:hAnsi="Verdana" w:cs="Arial"/>
          <w:lang w:val="es-ES_tradnl"/>
        </w:rPr>
        <w:t xml:space="preserve"> </w:t>
      </w:r>
    </w:p>
    <w:p w14:paraId="68595A45" w14:textId="77777777" w:rsidR="00271F5B" w:rsidRPr="00E66D81" w:rsidRDefault="00271F5B" w:rsidP="00271F5B">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t xml:space="preserve">LEY DE GARANTÍAS ELECTORALES ‒ Tipos de restricciones </w:t>
      </w:r>
    </w:p>
    <w:p w14:paraId="46E8E767" w14:textId="77777777" w:rsidR="00271F5B" w:rsidRPr="0080284B" w:rsidRDefault="00271F5B" w:rsidP="00271F5B">
      <w:pPr>
        <w:spacing w:after="120" w:line="276" w:lineRule="auto"/>
        <w:jc w:val="both"/>
        <w:rPr>
          <w:rFonts w:ascii="Verdana" w:eastAsia="Arial" w:hAnsi="Verdana" w:cs="Arial"/>
          <w:sz w:val="20"/>
          <w:szCs w:val="20"/>
          <w:lang w:val="es-ES" w:eastAsia="es-ES" w:bidi="es-ES"/>
        </w:rPr>
      </w:pPr>
      <w:r w:rsidRPr="0080284B">
        <w:rPr>
          <w:rFonts w:ascii="Verdana" w:eastAsia="Arial" w:hAnsi="Verdana" w:cs="Arial"/>
          <w:sz w:val="20"/>
          <w:szCs w:val="20"/>
          <w:lang w:val="es-ES" w:eastAsia="es-ES" w:bidi="es-ES"/>
        </w:rPr>
        <w:t xml:space="preserve">[…]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0022831" w14:textId="77777777" w:rsidR="00271F5B" w:rsidRPr="0080284B" w:rsidRDefault="00271F5B" w:rsidP="00271F5B">
      <w:pPr>
        <w:spacing w:line="240" w:lineRule="auto"/>
        <w:jc w:val="both"/>
        <w:rPr>
          <w:rFonts w:ascii="Verdana" w:hAnsi="Verdana" w:cs="Arial"/>
          <w:bCs/>
          <w:color w:val="000000" w:themeColor="text1"/>
          <w:sz w:val="20"/>
          <w:szCs w:val="20"/>
          <w:lang w:val="es-ES_tradnl"/>
        </w:rPr>
      </w:pPr>
      <w:r w:rsidRPr="0080284B">
        <w:rPr>
          <w:rFonts w:ascii="Verdana" w:eastAsia="Calibri" w:hAnsi="Verdana" w:cs="Arial"/>
          <w:sz w:val="20"/>
          <w:szCs w:val="20"/>
          <w:lang w:val="es-ES"/>
        </w:rPr>
        <w:t xml:space="preserve">Las restricciones consagradas en la mencionada Ley se dirigen a dos tipos de campañas electorales: </w:t>
      </w:r>
      <w:r w:rsidRPr="0080284B">
        <w:rPr>
          <w:rFonts w:ascii="Verdana" w:eastAsia="Arial" w:hAnsi="Verdana" w:cs="Arial"/>
          <w:sz w:val="20"/>
          <w:szCs w:val="20"/>
          <w:lang w:val="es-ES" w:eastAsia="es-ES" w:bidi="es-ES"/>
        </w:rPr>
        <w:t>las presidenciales y las demás que se adelanten para la elección de los demás cargos de elección popular, tanto a nivel nacional como territorial […]</w:t>
      </w:r>
    </w:p>
    <w:p w14:paraId="1DCCCE79" w14:textId="77777777" w:rsidR="00271F5B" w:rsidRPr="00E66D81" w:rsidRDefault="00271F5B" w:rsidP="00271F5B">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t xml:space="preserve">LEY DE GARANTÍAS ELECTORALES ‒ Tipos de restricciones – Contratación directa </w:t>
      </w:r>
    </w:p>
    <w:p w14:paraId="5519B65F" w14:textId="77777777" w:rsidR="00271F5B" w:rsidRPr="0080284B" w:rsidRDefault="00271F5B" w:rsidP="00271F5B">
      <w:pPr>
        <w:spacing w:line="240" w:lineRule="auto"/>
        <w:jc w:val="both"/>
        <w:rPr>
          <w:rFonts w:ascii="Verdana" w:hAnsi="Verdana" w:cs="Arial"/>
          <w:bCs/>
          <w:color w:val="000000" w:themeColor="text1"/>
          <w:sz w:val="20"/>
          <w:szCs w:val="20"/>
          <w:lang w:val="es-ES_tradnl"/>
        </w:rPr>
      </w:pPr>
      <w:r w:rsidRPr="0080284B">
        <w:rPr>
          <w:rFonts w:ascii="Verdana" w:eastAsia="Times New Roman" w:hAnsi="Verdana" w:cs="Open Sans"/>
          <w:sz w:val="20"/>
          <w:szCs w:val="20"/>
          <w:lang w:eastAsia="es-CO"/>
        </w:rPr>
        <w:t>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 […]</w:t>
      </w:r>
    </w:p>
    <w:p w14:paraId="5676401D" w14:textId="77777777" w:rsidR="00271F5B" w:rsidRPr="00E66D81" w:rsidRDefault="00271F5B" w:rsidP="00271F5B">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t xml:space="preserve">LEY DE GARANTÍAS ELECTORALES – Convenios interadministrativos </w:t>
      </w:r>
    </w:p>
    <w:p w14:paraId="11867E11" w14:textId="77777777" w:rsidR="00271F5B" w:rsidRPr="0080284B" w:rsidRDefault="00271F5B" w:rsidP="00271F5B">
      <w:pPr>
        <w:spacing w:after="0" w:line="240" w:lineRule="auto"/>
        <w:jc w:val="both"/>
        <w:rPr>
          <w:rFonts w:ascii="Verdana" w:eastAsia="Geomanist Light" w:hAnsi="Verdana" w:cs="Arial"/>
          <w:color w:val="000000" w:themeColor="text1"/>
          <w:sz w:val="20"/>
          <w:szCs w:val="20"/>
          <w:lang w:val="es-MX"/>
        </w:rPr>
      </w:pPr>
      <w:r w:rsidRPr="0080284B">
        <w:rPr>
          <w:rFonts w:ascii="Verdana" w:eastAsia="Geomanist Light" w:hAnsi="Verdana" w:cs="Arial"/>
          <w:color w:val="000000" w:themeColor="text1"/>
          <w:sz w:val="20"/>
          <w:szCs w:val="20"/>
          <w:lang w:val="es-MX"/>
        </w:rPr>
        <w:t xml:space="preserve">[…] el parágrafo del artículo 38 de la Ley 996 de 2005 prohíbe a los </w:t>
      </w:r>
      <w:proofErr w:type="gramStart"/>
      <w:r w:rsidRPr="0080284B">
        <w:rPr>
          <w:rFonts w:ascii="Verdana" w:eastAsia="Geomanist Light" w:hAnsi="Verdana" w:cs="Arial"/>
          <w:color w:val="000000" w:themeColor="text1"/>
          <w:sz w:val="20"/>
          <w:szCs w:val="20"/>
          <w:lang w:val="es-MX"/>
        </w:rPr>
        <w:t>Alcaldes</w:t>
      </w:r>
      <w:proofErr w:type="gramEnd"/>
      <w:r w:rsidRPr="0080284B">
        <w:rPr>
          <w:rFonts w:ascii="Verdana" w:eastAsia="Geomanist Light" w:hAnsi="Verdana" w:cs="Arial"/>
          <w:color w:val="000000" w:themeColor="text1"/>
          <w:sz w:val="20"/>
          <w:szCs w:val="20"/>
          <w:lang w:val="es-MX"/>
        </w:rPr>
        <w:t xml:space="preserve">, Gobernadores, </w:t>
      </w:r>
      <w:proofErr w:type="gramStart"/>
      <w:r w:rsidRPr="0080284B">
        <w:rPr>
          <w:rFonts w:ascii="Verdana" w:eastAsia="Geomanist Light" w:hAnsi="Verdana" w:cs="Arial"/>
          <w:color w:val="000000" w:themeColor="text1"/>
          <w:sz w:val="20"/>
          <w:szCs w:val="20"/>
          <w:lang w:val="es-MX"/>
        </w:rPr>
        <w:t>Secretarios</w:t>
      </w:r>
      <w:proofErr w:type="gramEnd"/>
      <w:r w:rsidRPr="0080284B">
        <w:rPr>
          <w:rFonts w:ascii="Verdana" w:eastAsia="Geomanist Light" w:hAnsi="Verdana" w:cs="Arial"/>
          <w:color w:val="000000" w:themeColor="text1"/>
          <w:sz w:val="20"/>
          <w:szCs w:val="20"/>
          <w:lang w:val="es-MX"/>
        </w:rPr>
        <w:t xml:space="preserve">, Gerentes y </w:t>
      </w:r>
      <w:proofErr w:type="gramStart"/>
      <w:r w:rsidRPr="0080284B">
        <w:rPr>
          <w:rFonts w:ascii="Verdana" w:eastAsia="Geomanist Light" w:hAnsi="Verdana" w:cs="Arial"/>
          <w:color w:val="000000" w:themeColor="text1"/>
          <w:sz w:val="20"/>
          <w:szCs w:val="20"/>
          <w:lang w:val="es-MX"/>
        </w:rPr>
        <w:t>Directores</w:t>
      </w:r>
      <w:proofErr w:type="gramEnd"/>
      <w:r w:rsidRPr="0080284B">
        <w:rPr>
          <w:rFonts w:ascii="Verdana" w:eastAsia="Geomanist Light" w:hAnsi="Verdana" w:cs="Arial"/>
          <w:color w:val="000000" w:themeColor="text1"/>
          <w:sz w:val="20"/>
          <w:szCs w:val="20"/>
          <w:lang w:val="es-MX"/>
        </w:rPr>
        <w:t xml:space="preserve"> de las entidades descentralizadas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w:t>
      </w:r>
      <w:r w:rsidRPr="0080284B">
        <w:rPr>
          <w:rFonts w:ascii="Verdana" w:eastAsia="Geomanist Light" w:hAnsi="Verdana" w:cs="Arial"/>
          <w:color w:val="000000" w:themeColor="text1"/>
          <w:sz w:val="20"/>
          <w:szCs w:val="20"/>
          <w:lang w:val="es-MX"/>
        </w:rPr>
        <w:lastRenderedPageBreak/>
        <w:t>vez que la citada disposición hace referencia a dicha tipología contractual sin que el legislador hubiere contemplado un efecto extensivo a otra tipología.</w:t>
      </w:r>
    </w:p>
    <w:p w14:paraId="6F9F0A5F" w14:textId="77777777" w:rsidR="00271F5B" w:rsidRPr="0080284B" w:rsidRDefault="00271F5B" w:rsidP="00271F5B">
      <w:pPr>
        <w:spacing w:after="0"/>
        <w:rPr>
          <w:rFonts w:ascii="Verdana" w:hAnsi="Verdana"/>
          <w:sz w:val="20"/>
          <w:szCs w:val="20"/>
        </w:rPr>
      </w:pPr>
    </w:p>
    <w:p w14:paraId="435DC131" w14:textId="77777777" w:rsidR="00271F5B" w:rsidRPr="0080284B" w:rsidRDefault="00271F5B" w:rsidP="00271F5B">
      <w:pPr>
        <w:spacing w:after="0"/>
        <w:rPr>
          <w:rFonts w:ascii="Verdana" w:hAnsi="Verdana"/>
          <w:sz w:val="20"/>
          <w:szCs w:val="20"/>
        </w:rPr>
      </w:pPr>
    </w:p>
    <w:p w14:paraId="7EC9572E" w14:textId="77777777" w:rsidR="00271F5B" w:rsidRDefault="00271F5B" w:rsidP="00271F5B">
      <w:pPr>
        <w:spacing w:after="0"/>
        <w:rPr>
          <w:rFonts w:ascii="Verdana" w:hAnsi="Verdana"/>
        </w:rPr>
      </w:pPr>
    </w:p>
    <w:p w14:paraId="0D226C83" w14:textId="77777777" w:rsidR="00271F5B" w:rsidRDefault="00271F5B" w:rsidP="00271F5B">
      <w:pPr>
        <w:spacing w:after="0"/>
        <w:rPr>
          <w:rFonts w:ascii="Verdana" w:hAnsi="Verdana"/>
        </w:rPr>
      </w:pPr>
    </w:p>
    <w:p w14:paraId="51C21166" w14:textId="77777777" w:rsidR="00271F5B" w:rsidRDefault="00271F5B" w:rsidP="00E245AB">
      <w:pPr>
        <w:spacing w:after="0"/>
        <w:rPr>
          <w:rFonts w:ascii="Verdana" w:hAnsi="Verdana"/>
        </w:rPr>
      </w:pPr>
    </w:p>
    <w:p w14:paraId="48573640" w14:textId="77777777" w:rsidR="00271F5B" w:rsidRDefault="00271F5B" w:rsidP="00E245AB">
      <w:pPr>
        <w:spacing w:after="0"/>
        <w:rPr>
          <w:rFonts w:ascii="Verdana" w:hAnsi="Verdana"/>
        </w:rPr>
      </w:pPr>
    </w:p>
    <w:p w14:paraId="421DC277" w14:textId="77777777" w:rsidR="00271F5B" w:rsidRDefault="00271F5B" w:rsidP="00E245AB">
      <w:pPr>
        <w:spacing w:after="0"/>
        <w:rPr>
          <w:rFonts w:ascii="Verdana" w:hAnsi="Verdana"/>
        </w:rPr>
      </w:pPr>
    </w:p>
    <w:p w14:paraId="223F4F4B" w14:textId="77777777" w:rsidR="00271F5B" w:rsidRDefault="00271F5B" w:rsidP="00E245AB">
      <w:pPr>
        <w:spacing w:after="0"/>
        <w:rPr>
          <w:rFonts w:ascii="Verdana" w:hAnsi="Verdana"/>
        </w:rPr>
      </w:pPr>
    </w:p>
    <w:p w14:paraId="12B95F6D" w14:textId="77777777" w:rsidR="00271F5B" w:rsidRDefault="00271F5B" w:rsidP="00E245AB">
      <w:pPr>
        <w:spacing w:after="0"/>
        <w:rPr>
          <w:rFonts w:ascii="Verdana" w:hAnsi="Verdana"/>
        </w:rPr>
      </w:pPr>
    </w:p>
    <w:p w14:paraId="3355C9F0" w14:textId="77777777" w:rsidR="00271F5B" w:rsidRDefault="00271F5B" w:rsidP="00E245AB">
      <w:pPr>
        <w:spacing w:after="0"/>
        <w:rPr>
          <w:rFonts w:ascii="Verdana" w:hAnsi="Verdana"/>
        </w:rPr>
      </w:pPr>
    </w:p>
    <w:p w14:paraId="544DAAB3" w14:textId="77777777" w:rsidR="00271F5B" w:rsidRDefault="00271F5B" w:rsidP="00E245AB">
      <w:pPr>
        <w:spacing w:after="0"/>
        <w:rPr>
          <w:rFonts w:ascii="Verdana" w:hAnsi="Verdana"/>
        </w:rPr>
      </w:pPr>
    </w:p>
    <w:p w14:paraId="39BE8AC5" w14:textId="77777777" w:rsidR="00271F5B" w:rsidRDefault="00271F5B" w:rsidP="00E245AB">
      <w:pPr>
        <w:spacing w:after="0"/>
        <w:rPr>
          <w:rFonts w:ascii="Verdana" w:hAnsi="Verdana"/>
        </w:rPr>
      </w:pPr>
    </w:p>
    <w:p w14:paraId="3A5C985F" w14:textId="77777777" w:rsidR="00271F5B" w:rsidRDefault="00271F5B" w:rsidP="00E245AB">
      <w:pPr>
        <w:spacing w:after="0"/>
        <w:rPr>
          <w:rFonts w:ascii="Verdana" w:hAnsi="Verdana"/>
        </w:rPr>
      </w:pPr>
    </w:p>
    <w:p w14:paraId="0D6EC369" w14:textId="77777777" w:rsidR="00271F5B" w:rsidRDefault="00271F5B" w:rsidP="00E245AB">
      <w:pPr>
        <w:spacing w:after="0"/>
        <w:rPr>
          <w:rFonts w:ascii="Verdana" w:hAnsi="Verdana"/>
        </w:rPr>
      </w:pPr>
    </w:p>
    <w:p w14:paraId="7A8DE2B1" w14:textId="77777777" w:rsidR="00271F5B" w:rsidRDefault="00271F5B" w:rsidP="00E245AB">
      <w:pPr>
        <w:spacing w:after="0"/>
        <w:rPr>
          <w:rFonts w:ascii="Verdana" w:hAnsi="Verdana"/>
        </w:rPr>
      </w:pPr>
    </w:p>
    <w:p w14:paraId="6BB1DCDA" w14:textId="77777777" w:rsidR="00271F5B" w:rsidRDefault="00271F5B" w:rsidP="00E245AB">
      <w:pPr>
        <w:spacing w:after="0"/>
        <w:rPr>
          <w:rFonts w:ascii="Verdana" w:hAnsi="Verdana"/>
        </w:rPr>
      </w:pPr>
    </w:p>
    <w:p w14:paraId="421EAD49" w14:textId="77777777" w:rsidR="00271F5B" w:rsidRDefault="00271F5B" w:rsidP="00E245AB">
      <w:pPr>
        <w:spacing w:after="0"/>
        <w:rPr>
          <w:rFonts w:ascii="Verdana" w:hAnsi="Verdana"/>
        </w:rPr>
      </w:pPr>
    </w:p>
    <w:p w14:paraId="1C5BFFAD" w14:textId="77777777" w:rsidR="00271F5B" w:rsidRDefault="00271F5B" w:rsidP="00E245AB">
      <w:pPr>
        <w:spacing w:after="0"/>
        <w:rPr>
          <w:rFonts w:ascii="Verdana" w:hAnsi="Verdana"/>
        </w:rPr>
      </w:pPr>
    </w:p>
    <w:p w14:paraId="25E9671C" w14:textId="77777777" w:rsidR="00271F5B" w:rsidRDefault="00271F5B" w:rsidP="00E245AB">
      <w:pPr>
        <w:spacing w:after="0"/>
        <w:rPr>
          <w:rFonts w:ascii="Verdana" w:hAnsi="Verdana"/>
        </w:rPr>
      </w:pPr>
    </w:p>
    <w:p w14:paraId="62235000" w14:textId="77777777" w:rsidR="00271F5B" w:rsidRDefault="00271F5B" w:rsidP="00E245AB">
      <w:pPr>
        <w:spacing w:after="0"/>
        <w:rPr>
          <w:rFonts w:ascii="Verdana" w:hAnsi="Verdana"/>
        </w:rPr>
      </w:pPr>
    </w:p>
    <w:p w14:paraId="272B0B07" w14:textId="77777777" w:rsidR="00271F5B" w:rsidRDefault="00271F5B" w:rsidP="00E245AB">
      <w:pPr>
        <w:spacing w:after="0"/>
        <w:rPr>
          <w:rFonts w:ascii="Verdana" w:hAnsi="Verdana"/>
        </w:rPr>
      </w:pPr>
    </w:p>
    <w:p w14:paraId="3B7EBA8D" w14:textId="77777777" w:rsidR="00271F5B" w:rsidRDefault="00271F5B" w:rsidP="00E245AB">
      <w:pPr>
        <w:spacing w:after="0"/>
        <w:rPr>
          <w:rFonts w:ascii="Verdana" w:hAnsi="Verdana"/>
        </w:rPr>
      </w:pPr>
    </w:p>
    <w:p w14:paraId="0CB2398A" w14:textId="77777777" w:rsidR="00271F5B" w:rsidRDefault="00271F5B" w:rsidP="00E245AB">
      <w:pPr>
        <w:spacing w:after="0"/>
        <w:rPr>
          <w:rFonts w:ascii="Verdana" w:hAnsi="Verdana"/>
        </w:rPr>
      </w:pPr>
    </w:p>
    <w:p w14:paraId="00998EB9" w14:textId="77777777" w:rsidR="00271F5B" w:rsidRDefault="00271F5B" w:rsidP="00E245AB">
      <w:pPr>
        <w:spacing w:after="0"/>
        <w:rPr>
          <w:rFonts w:ascii="Verdana" w:hAnsi="Verdana"/>
        </w:rPr>
      </w:pPr>
    </w:p>
    <w:p w14:paraId="419B015E" w14:textId="77777777" w:rsidR="00271F5B" w:rsidRDefault="00271F5B" w:rsidP="00E245AB">
      <w:pPr>
        <w:spacing w:after="0"/>
        <w:rPr>
          <w:rFonts w:ascii="Verdana" w:hAnsi="Verdana"/>
        </w:rPr>
      </w:pPr>
    </w:p>
    <w:p w14:paraId="2546A34A" w14:textId="77777777" w:rsidR="00271F5B" w:rsidRDefault="00271F5B" w:rsidP="00E245AB">
      <w:pPr>
        <w:spacing w:after="0"/>
        <w:rPr>
          <w:rFonts w:ascii="Verdana" w:hAnsi="Verdana"/>
        </w:rPr>
      </w:pPr>
    </w:p>
    <w:p w14:paraId="0550D806" w14:textId="77777777" w:rsidR="00271F5B" w:rsidRDefault="00271F5B" w:rsidP="00E245AB">
      <w:pPr>
        <w:spacing w:after="0"/>
        <w:rPr>
          <w:rFonts w:ascii="Verdana" w:hAnsi="Verdana"/>
        </w:rPr>
      </w:pPr>
    </w:p>
    <w:p w14:paraId="79BDD4AE" w14:textId="77777777" w:rsidR="00271F5B" w:rsidRDefault="00271F5B" w:rsidP="00E245AB">
      <w:pPr>
        <w:spacing w:after="0"/>
        <w:rPr>
          <w:rFonts w:ascii="Verdana" w:hAnsi="Verdana"/>
        </w:rPr>
      </w:pPr>
    </w:p>
    <w:p w14:paraId="2BEC980D" w14:textId="77777777" w:rsidR="00271F5B" w:rsidRDefault="00271F5B" w:rsidP="00E245AB">
      <w:pPr>
        <w:spacing w:after="0"/>
        <w:rPr>
          <w:rFonts w:ascii="Verdana" w:hAnsi="Verdana"/>
        </w:rPr>
      </w:pPr>
    </w:p>
    <w:p w14:paraId="2FC0B3C7" w14:textId="77777777" w:rsidR="00271F5B" w:rsidRDefault="00271F5B" w:rsidP="00E245AB">
      <w:pPr>
        <w:spacing w:after="0"/>
        <w:rPr>
          <w:rFonts w:ascii="Verdana" w:hAnsi="Verdana"/>
        </w:rPr>
      </w:pPr>
    </w:p>
    <w:p w14:paraId="1C88884E" w14:textId="77777777" w:rsidR="00271F5B" w:rsidRDefault="00271F5B" w:rsidP="00E245AB">
      <w:pPr>
        <w:spacing w:after="0"/>
        <w:rPr>
          <w:rFonts w:ascii="Verdana" w:hAnsi="Verdana"/>
        </w:rPr>
      </w:pPr>
    </w:p>
    <w:p w14:paraId="3F31E6C4" w14:textId="77777777" w:rsidR="00271F5B" w:rsidRDefault="00271F5B" w:rsidP="00E245AB">
      <w:pPr>
        <w:spacing w:after="0"/>
        <w:rPr>
          <w:rFonts w:ascii="Verdana" w:hAnsi="Verdana"/>
        </w:rPr>
      </w:pPr>
    </w:p>
    <w:p w14:paraId="4DBCB852" w14:textId="77777777" w:rsidR="00271F5B" w:rsidRDefault="00271F5B" w:rsidP="00E245AB">
      <w:pPr>
        <w:spacing w:after="0"/>
        <w:rPr>
          <w:rFonts w:ascii="Verdana" w:hAnsi="Verdana"/>
        </w:rPr>
      </w:pPr>
    </w:p>
    <w:p w14:paraId="55C786C7" w14:textId="77777777" w:rsidR="00271F5B" w:rsidRDefault="00271F5B" w:rsidP="00E245AB">
      <w:pPr>
        <w:spacing w:after="0"/>
        <w:rPr>
          <w:rFonts w:ascii="Verdana" w:hAnsi="Verdana"/>
        </w:rPr>
      </w:pPr>
    </w:p>
    <w:p w14:paraId="711DD71B" w14:textId="77777777" w:rsidR="00271F5B" w:rsidRDefault="00271F5B" w:rsidP="00E245AB">
      <w:pPr>
        <w:spacing w:after="0"/>
        <w:rPr>
          <w:rFonts w:ascii="Verdana" w:hAnsi="Verdana"/>
        </w:rPr>
      </w:pPr>
    </w:p>
    <w:p w14:paraId="38A5760C" w14:textId="77777777" w:rsidR="00271F5B" w:rsidRDefault="00271F5B" w:rsidP="00E245AB">
      <w:pPr>
        <w:spacing w:after="0"/>
        <w:rPr>
          <w:rFonts w:ascii="Verdana" w:hAnsi="Verdana"/>
        </w:rPr>
      </w:pPr>
    </w:p>
    <w:p w14:paraId="4432B6D1" w14:textId="77777777" w:rsidR="00271F5B" w:rsidRDefault="00271F5B" w:rsidP="00E245AB">
      <w:pPr>
        <w:spacing w:after="0"/>
        <w:rPr>
          <w:rFonts w:ascii="Verdana" w:hAnsi="Verdana"/>
        </w:rPr>
      </w:pPr>
    </w:p>
    <w:p w14:paraId="4F0E92A4" w14:textId="77777777" w:rsidR="00271F5B" w:rsidRDefault="00271F5B" w:rsidP="00E245AB">
      <w:pPr>
        <w:spacing w:after="0"/>
        <w:rPr>
          <w:rFonts w:ascii="Verdana" w:hAnsi="Verdana"/>
        </w:rPr>
      </w:pPr>
    </w:p>
    <w:p w14:paraId="49DBA17F" w14:textId="77777777" w:rsidR="00271F5B" w:rsidRDefault="00271F5B" w:rsidP="00E245AB">
      <w:pPr>
        <w:spacing w:after="0"/>
        <w:rPr>
          <w:rFonts w:ascii="Verdana" w:hAnsi="Verdana"/>
        </w:rPr>
      </w:pPr>
    </w:p>
    <w:p w14:paraId="3FE2184B" w14:textId="7D1C8307" w:rsidR="00E245AB" w:rsidRPr="0044528D" w:rsidRDefault="00897A3A" w:rsidP="00E245AB">
      <w:pPr>
        <w:spacing w:after="0"/>
        <w:rPr>
          <w:rFonts w:ascii="Verdana" w:hAnsi="Verdana"/>
        </w:rPr>
      </w:pPr>
      <w:r w:rsidRPr="0044528D">
        <w:rPr>
          <w:rFonts w:ascii="Verdana" w:hAnsi="Verdana"/>
        </w:rPr>
        <w:lastRenderedPageBreak/>
        <w:t xml:space="preserve">Bogotá D.C., </w:t>
      </w:r>
      <w:r w:rsidR="00A43FDA">
        <w:rPr>
          <w:rFonts w:ascii="Verdana" w:hAnsi="Verdana"/>
        </w:rPr>
        <w:t>20 de octubre de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1EB38F23" w14:textId="48CB6E6A" w:rsidR="00F95AF5" w:rsidRPr="0044528D" w:rsidRDefault="00F95AF5" w:rsidP="00F95AF5">
      <w:pPr>
        <w:spacing w:after="0"/>
        <w:rPr>
          <w:rFonts w:ascii="Verdana" w:hAnsi="Verdana"/>
        </w:rPr>
      </w:pPr>
    </w:p>
    <w:p w14:paraId="6986F260" w14:textId="3F57A9CE" w:rsidR="00F95AF5" w:rsidRPr="0070607C" w:rsidRDefault="00A974C5" w:rsidP="00F95AF5">
      <w:pPr>
        <w:spacing w:after="0" w:line="240" w:lineRule="auto"/>
        <w:jc w:val="both"/>
        <w:rPr>
          <w:rFonts w:ascii="Verdana" w:eastAsia="Calibri" w:hAnsi="Verdana" w:cs="Arial"/>
          <w:color w:val="000000"/>
          <w:lang w:val="pt-BR"/>
        </w:rPr>
      </w:pPr>
      <w:r w:rsidRPr="00A974C5">
        <w:rPr>
          <w:rFonts w:ascii="Verdana" w:eastAsia="Calibri" w:hAnsi="Verdana" w:cs="Arial"/>
          <w:noProof/>
          <w:color w:val="000000"/>
          <w:lang w:val="pt-BR"/>
        </w:rPr>
        <w:drawing>
          <wp:anchor distT="0" distB="0" distL="114300" distR="114300" simplePos="0" relativeHeight="251658240" behindDoc="1" locked="0" layoutInCell="1" allowOverlap="1" wp14:anchorId="3AD09B00" wp14:editId="211A20C0">
            <wp:simplePos x="0" y="0"/>
            <wp:positionH relativeFrom="margin">
              <wp:align>right</wp:align>
            </wp:positionH>
            <wp:positionV relativeFrom="paragraph">
              <wp:posOffset>12065</wp:posOffset>
            </wp:positionV>
            <wp:extent cx="2664411" cy="800100"/>
            <wp:effectExtent l="0" t="0" r="3175" b="0"/>
            <wp:wrapNone/>
            <wp:docPr id="116319811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9811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64411" cy="80010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F95AF5" w:rsidRPr="0070607C">
        <w:rPr>
          <w:rFonts w:ascii="Verdana" w:eastAsia="Calibri" w:hAnsi="Verdana" w:cs="Arial"/>
          <w:color w:val="000000"/>
          <w:lang w:val="pt-BR"/>
        </w:rPr>
        <w:t>Señor</w:t>
      </w:r>
      <w:proofErr w:type="spellEnd"/>
      <w:r w:rsidRPr="00A974C5">
        <w:rPr>
          <w:noProof/>
        </w:rPr>
        <w:t xml:space="preserve"> </w:t>
      </w:r>
    </w:p>
    <w:p w14:paraId="790D43B5" w14:textId="77777777" w:rsidR="00F95AF5" w:rsidRPr="0070607C" w:rsidRDefault="00F95AF5" w:rsidP="00F95AF5">
      <w:pPr>
        <w:spacing w:after="0" w:line="240" w:lineRule="auto"/>
        <w:jc w:val="both"/>
        <w:rPr>
          <w:rFonts w:ascii="Verdana" w:eastAsia="Calibri" w:hAnsi="Verdana" w:cs="Arial"/>
          <w:b/>
          <w:bCs/>
          <w:color w:val="000000"/>
          <w:lang w:val="pt-BR"/>
        </w:rPr>
      </w:pPr>
      <w:r>
        <w:rPr>
          <w:rFonts w:ascii="Verdana" w:eastAsia="Calibri" w:hAnsi="Verdana" w:cs="Arial"/>
          <w:b/>
          <w:bCs/>
          <w:color w:val="000000"/>
          <w:lang w:val="pt-BR"/>
        </w:rPr>
        <w:t>MARCO ANTONIO CUBILLOS GAMBOA</w:t>
      </w:r>
    </w:p>
    <w:p w14:paraId="0CEB7A1B" w14:textId="77777777" w:rsidR="00F95AF5" w:rsidRDefault="00F95AF5" w:rsidP="00F95AF5">
      <w:pPr>
        <w:spacing w:after="0" w:line="240" w:lineRule="auto"/>
        <w:jc w:val="both"/>
        <w:rPr>
          <w:rFonts w:ascii="Verdana" w:eastAsia="Calibri" w:hAnsi="Verdana" w:cs="Arial"/>
          <w:color w:val="000000"/>
          <w:u w:val="single"/>
          <w:lang w:val="pt-BR"/>
        </w:rPr>
      </w:pPr>
      <w:hyperlink r:id="rId11" w:history="1">
        <w:r w:rsidRPr="007D4FCD">
          <w:rPr>
            <w:rStyle w:val="Hipervnculo"/>
            <w:rFonts w:ascii="Verdana" w:eastAsia="Calibri" w:hAnsi="Verdana" w:cs="Arial"/>
            <w:lang w:val="pt-BR"/>
          </w:rPr>
          <w:t>mancuga20@gmail.com</w:t>
        </w:r>
      </w:hyperlink>
    </w:p>
    <w:p w14:paraId="40B82152" w14:textId="77777777" w:rsidR="00F95AF5" w:rsidRPr="0070607C" w:rsidRDefault="00F95AF5" w:rsidP="00F95AF5">
      <w:pPr>
        <w:spacing w:after="0" w:line="240" w:lineRule="auto"/>
        <w:jc w:val="both"/>
        <w:rPr>
          <w:rFonts w:ascii="Verdana" w:eastAsia="Calibri" w:hAnsi="Verdana" w:cs="Arial"/>
          <w:color w:val="000000"/>
          <w:lang w:val="pt-BR"/>
        </w:rPr>
      </w:pPr>
      <w:r>
        <w:rPr>
          <w:rFonts w:ascii="Verdana" w:eastAsia="Calibri" w:hAnsi="Verdana" w:cs="Arial"/>
          <w:color w:val="000000"/>
          <w:lang w:val="pt-BR"/>
        </w:rPr>
        <w:t>Bogotá D.C.</w:t>
      </w:r>
    </w:p>
    <w:p w14:paraId="72E31383" w14:textId="77777777" w:rsidR="00F95AF5" w:rsidRPr="00664FA2" w:rsidRDefault="00F95AF5" w:rsidP="00F95AF5">
      <w:pPr>
        <w:spacing w:after="0" w:line="240" w:lineRule="auto"/>
        <w:rPr>
          <w:rFonts w:ascii="Verdana" w:eastAsia="Calibri" w:hAnsi="Verdana" w:cs="Arial"/>
          <w:b/>
          <w:bCs/>
          <w:color w:val="000000"/>
          <w:lang w:val="it-IT" w:eastAsia="es-ES_tradnl"/>
        </w:rPr>
      </w:pPr>
    </w:p>
    <w:p w14:paraId="0C7088CC" w14:textId="77777777" w:rsidR="00F95AF5" w:rsidRPr="00664FA2" w:rsidRDefault="00F95AF5" w:rsidP="00F95AF5">
      <w:pPr>
        <w:spacing w:after="0" w:line="240" w:lineRule="auto"/>
        <w:jc w:val="right"/>
        <w:rPr>
          <w:rFonts w:ascii="Verdana" w:eastAsia="Calibri" w:hAnsi="Verdana" w:cs="Arial"/>
          <w:b/>
          <w:bCs/>
          <w:color w:val="000000"/>
          <w:lang w:val="it-IT" w:eastAsia="es-ES_tradnl"/>
        </w:rPr>
      </w:pPr>
    </w:p>
    <w:p w14:paraId="543CA57E" w14:textId="77777777" w:rsidR="00F95AF5" w:rsidRPr="00664FA2" w:rsidRDefault="00F95AF5" w:rsidP="00F95AF5">
      <w:pPr>
        <w:spacing w:after="0" w:line="240" w:lineRule="auto"/>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95AF5" w:rsidRPr="00C53B42" w14:paraId="6FD296F9" w14:textId="77777777" w:rsidTr="00216DC5">
        <w:trPr>
          <w:trHeight w:val="218"/>
        </w:trPr>
        <w:tc>
          <w:tcPr>
            <w:tcW w:w="2689" w:type="dxa"/>
          </w:tcPr>
          <w:p w14:paraId="35A5B322" w14:textId="77777777" w:rsidR="00F95AF5" w:rsidRPr="00664FA2" w:rsidRDefault="00F95AF5" w:rsidP="00216DC5">
            <w:pPr>
              <w:jc w:val="both"/>
              <w:rPr>
                <w:rFonts w:ascii="Verdana" w:eastAsia="Calibri" w:hAnsi="Verdana" w:cs="Arial"/>
                <w:b/>
                <w:bCs/>
                <w:color w:val="7030A0"/>
                <w:lang w:val="it-IT" w:eastAsia="es-ES_tradnl"/>
              </w:rPr>
            </w:pPr>
          </w:p>
        </w:tc>
        <w:tc>
          <w:tcPr>
            <w:tcW w:w="6100" w:type="dxa"/>
            <w:hideMark/>
          </w:tcPr>
          <w:p w14:paraId="30D5E975" w14:textId="77777777" w:rsidR="00F95AF5" w:rsidRPr="00C53B42" w:rsidRDefault="00F95AF5" w:rsidP="00216DC5">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1385</w:t>
            </w:r>
            <w:r w:rsidRPr="00C53B42">
              <w:rPr>
                <w:rFonts w:ascii="Verdana" w:eastAsia="Calibri" w:hAnsi="Verdana" w:cs="Arial"/>
                <w:b/>
                <w:bCs/>
                <w:lang w:val="es-ES" w:eastAsia="es-ES"/>
              </w:rPr>
              <w:t xml:space="preserve"> de 2025</w:t>
            </w:r>
          </w:p>
          <w:p w14:paraId="1969F9A2" w14:textId="77777777" w:rsidR="00F95AF5" w:rsidRPr="00C53B42" w:rsidRDefault="00F95AF5" w:rsidP="00216DC5">
            <w:pPr>
              <w:jc w:val="both"/>
              <w:rPr>
                <w:rFonts w:ascii="Verdana" w:eastAsia="Calibri" w:hAnsi="Verdana" w:cs="Arial"/>
                <w:b/>
                <w:bCs/>
                <w:lang w:val="es-ES" w:eastAsia="es-ES"/>
              </w:rPr>
            </w:pPr>
          </w:p>
          <w:p w14:paraId="119A844F" w14:textId="77777777" w:rsidR="00F95AF5" w:rsidRPr="00C53B42" w:rsidRDefault="00F95AF5" w:rsidP="00216DC5">
            <w:pPr>
              <w:jc w:val="both"/>
              <w:rPr>
                <w:rFonts w:ascii="Verdana" w:eastAsia="Calibri" w:hAnsi="Verdana" w:cs="Arial"/>
                <w:b/>
                <w:bCs/>
                <w:lang w:val="es-ES" w:eastAsia="es-ES"/>
              </w:rPr>
            </w:pPr>
          </w:p>
        </w:tc>
      </w:tr>
      <w:tr w:rsidR="00F95AF5" w:rsidRPr="00C53B42" w14:paraId="35450CCB" w14:textId="77777777" w:rsidTr="00216DC5">
        <w:trPr>
          <w:trHeight w:val="884"/>
        </w:trPr>
        <w:tc>
          <w:tcPr>
            <w:tcW w:w="2689" w:type="dxa"/>
            <w:hideMark/>
          </w:tcPr>
          <w:p w14:paraId="7CF6CB36" w14:textId="77777777" w:rsidR="00F95AF5" w:rsidRPr="00C53B42" w:rsidRDefault="00F95AF5" w:rsidP="00216DC5">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22DEC118" w14:textId="77777777" w:rsidR="00F95AF5" w:rsidRDefault="00F95AF5" w:rsidP="00216DC5">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xml:space="preserve">/ </w:t>
            </w:r>
            <w:r w:rsidRPr="00C53B42">
              <w:rPr>
                <w:rFonts w:ascii="Verdana" w:hAnsi="Verdana" w:cs="Arial"/>
                <w:bCs/>
                <w:color w:val="000000" w:themeColor="text1"/>
                <w:lang w:val="es-ES_tradnl"/>
              </w:rPr>
              <w:t xml:space="preserve">LEY DE GARANTÍAS ELECTORALES ‒ Tipos de restricciones – Contratación directa / LEY DE GARANTÍAS ELECTORALES – Convenios interadministrativos </w:t>
            </w:r>
          </w:p>
          <w:p w14:paraId="56A26D8A" w14:textId="77777777" w:rsidR="00F95AF5" w:rsidRDefault="00F95AF5" w:rsidP="00216DC5">
            <w:pPr>
              <w:jc w:val="both"/>
              <w:rPr>
                <w:rFonts w:ascii="Verdana" w:hAnsi="Verdana" w:cs="Arial"/>
                <w:bCs/>
                <w:color w:val="000000" w:themeColor="text1"/>
                <w:lang w:val="es-ES_tradnl"/>
              </w:rPr>
            </w:pPr>
          </w:p>
          <w:p w14:paraId="30512D56" w14:textId="77777777" w:rsidR="00F95AF5" w:rsidRPr="00C53B42" w:rsidRDefault="00F95AF5" w:rsidP="00216DC5">
            <w:pPr>
              <w:jc w:val="both"/>
              <w:rPr>
                <w:rFonts w:ascii="Verdana" w:eastAsia="Calibri" w:hAnsi="Verdana" w:cs="Arial"/>
                <w:lang w:val="es-ES" w:eastAsia="es-ES"/>
              </w:rPr>
            </w:pPr>
          </w:p>
        </w:tc>
      </w:tr>
      <w:tr w:rsidR="00F95AF5" w14:paraId="701F38DD" w14:textId="77777777" w:rsidTr="00216DC5">
        <w:tc>
          <w:tcPr>
            <w:tcW w:w="2689" w:type="dxa"/>
            <w:hideMark/>
          </w:tcPr>
          <w:p w14:paraId="35088557" w14:textId="77777777" w:rsidR="00F95AF5" w:rsidRPr="00C53B42" w:rsidRDefault="00F95AF5" w:rsidP="00216DC5">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22F019EC" w14:textId="270ED6AC" w:rsidR="00F95AF5" w:rsidRPr="00C53B42" w:rsidRDefault="00F95AF5" w:rsidP="00216DC5">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402036">
              <w:rPr>
                <w:rFonts w:ascii="Verdana" w:eastAsia="Calibri" w:hAnsi="Verdana" w:cs="Arial"/>
                <w:lang w:eastAsia="es-ES_tradnl"/>
              </w:rPr>
              <w:t>1_2025_09_25_010621</w:t>
            </w:r>
          </w:p>
        </w:tc>
      </w:tr>
    </w:tbl>
    <w:p w14:paraId="78D57715" w14:textId="77777777" w:rsidR="00F95AF5" w:rsidRDefault="00F95AF5" w:rsidP="00F95AF5">
      <w:pPr>
        <w:spacing w:after="0" w:line="240" w:lineRule="auto"/>
        <w:jc w:val="both"/>
        <w:rPr>
          <w:rFonts w:ascii="Verdana" w:eastAsia="Calibri" w:hAnsi="Verdana" w:cs="Arial"/>
          <w:color w:val="000000"/>
          <w:lang w:val="es-ES_tradnl" w:eastAsia="es-ES_tradnl"/>
        </w:rPr>
      </w:pPr>
    </w:p>
    <w:p w14:paraId="30466A20" w14:textId="77777777" w:rsidR="00F95AF5" w:rsidRDefault="00F95AF5" w:rsidP="00F95AF5">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Cubillos,</w:t>
      </w:r>
    </w:p>
    <w:p w14:paraId="18620D18" w14:textId="77777777" w:rsidR="00F95AF5" w:rsidRDefault="00F95AF5" w:rsidP="00F95AF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49CFF6E" w14:textId="77777777" w:rsidR="00F95AF5" w:rsidRPr="006A09D6" w:rsidRDefault="00F95AF5" w:rsidP="00F95AF5">
      <w:pPr>
        <w:spacing w:after="0" w:line="276" w:lineRule="auto"/>
        <w:jc w:val="both"/>
        <w:rPr>
          <w:rFonts w:ascii="Verdana" w:eastAsia="Calibri" w:hAnsi="Verdana" w:cs="Arial"/>
          <w:lang w:eastAsia="es-ES_tradnl"/>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w:t>
      </w:r>
      <w:r>
        <w:rPr>
          <w:rFonts w:ascii="Verdana" w:eastAsia="Calibri" w:hAnsi="Verdana" w:cs="Arial"/>
          <w:lang w:eastAsia="es-ES_tradnl"/>
        </w:rPr>
        <w:t xml:space="preserve">remitida por el Departamento Administrativo de la Función Pública – DAFP </w:t>
      </w:r>
      <w:r w:rsidRPr="006A09D6">
        <w:rPr>
          <w:rFonts w:ascii="Verdana" w:eastAsia="Calibri" w:hAnsi="Verdana" w:cs="Arial"/>
          <w:lang w:eastAsia="es-ES_tradnl"/>
        </w:rPr>
        <w:t xml:space="preserve">el </w:t>
      </w:r>
      <w:r>
        <w:rPr>
          <w:rFonts w:ascii="Verdana" w:eastAsia="Calibri" w:hAnsi="Verdana" w:cs="Arial"/>
          <w:lang w:eastAsia="es-ES_tradnl"/>
        </w:rPr>
        <w:t>23 de septiembre</w:t>
      </w:r>
      <w:r w:rsidRPr="006A09D6">
        <w:rPr>
          <w:rFonts w:ascii="Verdana" w:eastAsia="Calibri" w:hAnsi="Verdana" w:cs="Arial"/>
          <w:lang w:eastAsia="es-ES_tradnl"/>
        </w:rPr>
        <w:t xml:space="preserve"> de 2025 con número de radicado</w:t>
      </w:r>
      <w:r>
        <w:rPr>
          <w:rFonts w:ascii="Verdana" w:eastAsia="Calibri" w:hAnsi="Verdana" w:cs="Arial"/>
          <w:lang w:eastAsia="es-ES_tradnl"/>
        </w:rPr>
        <w:t xml:space="preserve"> interno </w:t>
      </w:r>
      <w:r w:rsidRPr="00B02CBD">
        <w:rPr>
          <w:rFonts w:ascii="Verdana" w:eastAsia="Calibri" w:hAnsi="Verdana" w:cs="Arial"/>
          <w:lang w:eastAsia="es-ES_tradnl"/>
        </w:rPr>
        <w:t>20259000630442</w:t>
      </w:r>
      <w:r w:rsidRPr="006A09D6">
        <w:rPr>
          <w:rFonts w:ascii="Verdana" w:eastAsia="Calibri" w:hAnsi="Verdana" w:cs="Arial"/>
          <w:lang w:eastAsia="es-ES_tradnl"/>
        </w:rPr>
        <w:t xml:space="preserve"> y radicada en el sistema de gestión documental de esta Agencia el </w:t>
      </w:r>
      <w:r>
        <w:rPr>
          <w:rFonts w:ascii="Verdana" w:eastAsia="Calibri" w:hAnsi="Verdana" w:cs="Arial"/>
          <w:lang w:eastAsia="es-ES_tradnl"/>
        </w:rPr>
        <w:t xml:space="preserve">25 de septiembre </w:t>
      </w:r>
      <w:r w:rsidRPr="006A09D6">
        <w:rPr>
          <w:rFonts w:ascii="Verdana" w:eastAsia="Calibri" w:hAnsi="Verdana" w:cs="Arial"/>
          <w:lang w:eastAsia="es-ES_tradnl"/>
        </w:rPr>
        <w:t>de 2025, consulta hecha en los siguientes términos:</w:t>
      </w:r>
    </w:p>
    <w:p w14:paraId="15FFCACC" w14:textId="77777777" w:rsidR="00F95AF5" w:rsidRPr="00DA5E45" w:rsidRDefault="00F95AF5" w:rsidP="00F95AF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113B18E" w14:textId="77777777" w:rsidR="00F95AF5" w:rsidRPr="00FF007A" w:rsidRDefault="00F95AF5" w:rsidP="00F95AF5">
      <w:pPr>
        <w:spacing w:after="0" w:line="240" w:lineRule="auto"/>
        <w:ind w:left="709" w:right="709"/>
        <w:jc w:val="both"/>
        <w:rPr>
          <w:rFonts w:ascii="Verdana" w:eastAsia="Century Gothic" w:hAnsi="Verdana" w:cs="Century Gothic"/>
          <w:sz w:val="20"/>
          <w:szCs w:val="20"/>
        </w:rPr>
      </w:pPr>
      <w:bookmarkStart w:id="1" w:name="_Hlk192699624"/>
      <w:bookmarkStart w:id="2" w:name="_Hlk199394899"/>
      <w:r w:rsidRPr="00FF007A">
        <w:rPr>
          <w:rFonts w:ascii="Verdana" w:eastAsia="Century Gothic" w:hAnsi="Verdana" w:cs="Century Gothic"/>
          <w:sz w:val="20"/>
          <w:szCs w:val="20"/>
        </w:rPr>
        <w:t>“</w:t>
      </w:r>
      <w:bookmarkEnd w:id="1"/>
      <w:bookmarkEnd w:id="2"/>
      <w:r w:rsidRPr="00121B54">
        <w:rPr>
          <w:rFonts w:ascii="Verdana" w:eastAsia="Century Gothic" w:hAnsi="Verdana" w:cs="Century Gothic"/>
          <w:sz w:val="20"/>
          <w:szCs w:val="20"/>
        </w:rPr>
        <w:t xml:space="preserve">Un municipio del Choco, los contratos de </w:t>
      </w:r>
      <w:proofErr w:type="spellStart"/>
      <w:r w:rsidRPr="00121B54">
        <w:rPr>
          <w:rFonts w:ascii="Verdana" w:eastAsia="Century Gothic" w:hAnsi="Verdana" w:cs="Century Gothic"/>
          <w:sz w:val="20"/>
          <w:szCs w:val="20"/>
        </w:rPr>
        <w:t>prestacion</w:t>
      </w:r>
      <w:proofErr w:type="spellEnd"/>
      <w:r w:rsidRPr="00121B54">
        <w:rPr>
          <w:rFonts w:ascii="Verdana" w:eastAsia="Century Gothic" w:hAnsi="Verdana" w:cs="Century Gothic"/>
          <w:sz w:val="20"/>
          <w:szCs w:val="20"/>
        </w:rPr>
        <w:t xml:space="preserve"> de servicios terminan el 31 de diciembre de 2025, en noviembre de 2025 </w:t>
      </w:r>
      <w:proofErr w:type="gramStart"/>
      <w:r w:rsidRPr="00121B54">
        <w:rPr>
          <w:rFonts w:ascii="Verdana" w:eastAsia="Century Gothic" w:hAnsi="Verdana" w:cs="Century Gothic"/>
          <w:sz w:val="20"/>
          <w:szCs w:val="20"/>
        </w:rPr>
        <w:t>entra en vigencia</w:t>
      </w:r>
      <w:proofErr w:type="gramEnd"/>
      <w:r w:rsidRPr="00121B54">
        <w:rPr>
          <w:rFonts w:ascii="Verdana" w:eastAsia="Century Gothic" w:hAnsi="Verdana" w:cs="Century Gothic"/>
          <w:sz w:val="20"/>
          <w:szCs w:val="20"/>
        </w:rPr>
        <w:t xml:space="preserve"> la ley de </w:t>
      </w:r>
      <w:proofErr w:type="spellStart"/>
      <w:r w:rsidRPr="00121B54">
        <w:rPr>
          <w:rFonts w:ascii="Verdana" w:eastAsia="Century Gothic" w:hAnsi="Verdana" w:cs="Century Gothic"/>
          <w:sz w:val="20"/>
          <w:szCs w:val="20"/>
        </w:rPr>
        <w:t>garantias</w:t>
      </w:r>
      <w:proofErr w:type="spellEnd"/>
      <w:r w:rsidRPr="00121B54">
        <w:rPr>
          <w:rFonts w:ascii="Verdana" w:eastAsia="Century Gothic" w:hAnsi="Verdana" w:cs="Century Gothic"/>
          <w:sz w:val="20"/>
          <w:szCs w:val="20"/>
        </w:rPr>
        <w:t xml:space="preserve"> en Colombia. Se pregunta: </w:t>
      </w:r>
      <w:proofErr w:type="gramStart"/>
      <w:r w:rsidRPr="00121B54">
        <w:rPr>
          <w:rFonts w:ascii="Verdana" w:eastAsia="Century Gothic" w:hAnsi="Verdana" w:cs="Century Gothic"/>
          <w:sz w:val="20"/>
          <w:szCs w:val="20"/>
        </w:rPr>
        <w:t>se puede contratar en OPS con vigencia futuras?</w:t>
      </w:r>
      <w:proofErr w:type="gramEnd"/>
      <w:r w:rsidRPr="00121B54">
        <w:rPr>
          <w:rFonts w:ascii="Verdana" w:eastAsia="Century Gothic" w:hAnsi="Verdana" w:cs="Century Gothic"/>
          <w:sz w:val="20"/>
          <w:szCs w:val="20"/>
        </w:rPr>
        <w:t xml:space="preserve"> </w:t>
      </w:r>
      <w:proofErr w:type="gramStart"/>
      <w:r w:rsidRPr="00121B54">
        <w:rPr>
          <w:rFonts w:ascii="Verdana" w:eastAsia="Century Gothic" w:hAnsi="Verdana" w:cs="Century Gothic"/>
          <w:sz w:val="20"/>
          <w:szCs w:val="20"/>
        </w:rPr>
        <w:t>cual es el procedimiento para contratar el personal o contratistas en el municipio en la modalidad de OPS para la vigencia 2026?</w:t>
      </w:r>
      <w:r w:rsidRPr="00FF007A">
        <w:rPr>
          <w:rFonts w:ascii="Verdana" w:hAnsi="Verdana"/>
          <w:sz w:val="20"/>
          <w:szCs w:val="20"/>
        </w:rPr>
        <w:t>”.</w:t>
      </w:r>
      <w:r>
        <w:rPr>
          <w:rFonts w:ascii="Verdana" w:hAnsi="Verdana"/>
          <w:sz w:val="20"/>
          <w:szCs w:val="20"/>
        </w:rPr>
        <w:t>[</w:t>
      </w:r>
      <w:proofErr w:type="gramEnd"/>
      <w:r>
        <w:rPr>
          <w:rFonts w:ascii="Verdana" w:hAnsi="Verdana"/>
          <w:sz w:val="20"/>
          <w:szCs w:val="20"/>
        </w:rPr>
        <w:t>sic]</w:t>
      </w:r>
    </w:p>
    <w:p w14:paraId="0325CF94" w14:textId="77777777" w:rsidR="009D705E" w:rsidRPr="00FF007A" w:rsidRDefault="009D705E" w:rsidP="00F95AF5">
      <w:pPr>
        <w:spacing w:after="0" w:line="240" w:lineRule="auto"/>
        <w:ind w:left="709" w:right="709"/>
        <w:jc w:val="both"/>
        <w:rPr>
          <w:rFonts w:ascii="Verdana" w:hAnsi="Verdana"/>
          <w:sz w:val="20"/>
          <w:szCs w:val="20"/>
        </w:rPr>
      </w:pPr>
    </w:p>
    <w:p w14:paraId="027BE31C" w14:textId="77777777" w:rsidR="00F95AF5" w:rsidRPr="00FF007A" w:rsidRDefault="00F95AF5" w:rsidP="00F95AF5">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FF007A">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5C45C7F" w14:textId="77777777" w:rsidR="00F95AF5" w:rsidRPr="00983C76" w:rsidRDefault="00F95AF5" w:rsidP="00F95AF5">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91D5E3D" w14:textId="77777777" w:rsidR="00F95AF5" w:rsidRPr="00FF007A" w:rsidRDefault="00F95AF5" w:rsidP="00F95A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FF007A">
        <w:rPr>
          <w:rFonts w:ascii="Verdana" w:eastAsia="Century Gothic" w:hAnsi="Verdana" w:cs="Century Gothic"/>
          <w:b/>
          <w:bCs/>
          <w:lang w:val="es-CO"/>
        </w:rPr>
        <w:t>Problema planteado:</w:t>
      </w:r>
    </w:p>
    <w:p w14:paraId="36B51C6F" w14:textId="77777777" w:rsidR="00F95AF5" w:rsidRPr="00FF007A" w:rsidRDefault="00F95AF5" w:rsidP="00F95AF5">
      <w:pPr>
        <w:spacing w:after="0" w:line="240" w:lineRule="auto"/>
        <w:jc w:val="both"/>
        <w:rPr>
          <w:rFonts w:ascii="Verdana" w:eastAsia="Calibri" w:hAnsi="Verdana" w:cs="Arial"/>
          <w:color w:val="000000"/>
          <w:lang w:eastAsia="es-ES"/>
        </w:rPr>
      </w:pPr>
    </w:p>
    <w:p w14:paraId="5D1092BB" w14:textId="648D5B2B" w:rsidR="00F95AF5" w:rsidRDefault="00F95AF5" w:rsidP="00F95AF5">
      <w:pPr>
        <w:spacing w:after="120"/>
        <w:jc w:val="both"/>
        <w:rPr>
          <w:rFonts w:ascii="Verdana" w:eastAsia="Century Gothic" w:hAnsi="Verdana" w:cs="Century Gothic"/>
          <w:color w:val="000000" w:themeColor="text1"/>
        </w:rPr>
      </w:pPr>
      <w:r w:rsidRPr="00FF007A">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w:t>
      </w:r>
      <w:r w:rsidR="003F5C72">
        <w:rPr>
          <w:rFonts w:ascii="Verdana" w:eastAsia="Calibri" w:hAnsi="Verdana" w:cs="Arial"/>
          <w:color w:val="000000"/>
          <w:lang w:eastAsia="es-ES"/>
        </w:rPr>
        <w:t>¿</w:t>
      </w:r>
      <w:r w:rsidR="003F5C72" w:rsidRPr="003F5C72">
        <w:rPr>
          <w:rFonts w:ascii="Verdana" w:eastAsia="Calibri" w:hAnsi="Verdana" w:cs="Arial"/>
          <w:color w:val="000000"/>
          <w:lang w:eastAsia="es-ES"/>
        </w:rPr>
        <w:t>Cuáles son las medidas que deben adoptar las entidades estatales para gestionar</w:t>
      </w:r>
      <w:r w:rsidR="000863D9">
        <w:rPr>
          <w:rFonts w:ascii="Verdana" w:eastAsia="Calibri" w:hAnsi="Verdana" w:cs="Arial"/>
          <w:color w:val="000000"/>
          <w:lang w:eastAsia="es-ES"/>
        </w:rPr>
        <w:t xml:space="preserve"> </w:t>
      </w:r>
      <w:r w:rsidR="003F5C72" w:rsidRPr="003F5C72">
        <w:rPr>
          <w:rFonts w:ascii="Verdana" w:eastAsia="Calibri" w:hAnsi="Verdana" w:cs="Arial"/>
          <w:color w:val="000000"/>
          <w:lang w:eastAsia="es-ES"/>
        </w:rPr>
        <w:t>los procesos de contratación de servicios profesionales y/o de apoyo a la gestión bajo la modalidad de contratación directa durante la vigencia 2026, considerando las restricciones impuestas por la Ley de Garantías Electorales?</w:t>
      </w:r>
      <w:r w:rsidR="00EF1C58">
        <w:rPr>
          <w:rFonts w:ascii="Verdana" w:eastAsia="Century Gothic" w:hAnsi="Verdana" w:cs="Century Gothic"/>
          <w:color w:val="000000" w:themeColor="text1"/>
        </w:rPr>
        <w:t xml:space="preserve"> </w:t>
      </w:r>
    </w:p>
    <w:p w14:paraId="5FDA09EA" w14:textId="77777777" w:rsidR="00F95AF5" w:rsidRPr="00FF007A" w:rsidRDefault="00F95AF5" w:rsidP="00F95AF5">
      <w:pPr>
        <w:spacing w:after="120"/>
        <w:jc w:val="both"/>
        <w:rPr>
          <w:rFonts w:ascii="Verdana" w:eastAsia="Century Gothic" w:hAnsi="Verdana" w:cs="Century Gothic"/>
          <w:b/>
          <w:bCs/>
        </w:rPr>
      </w:pPr>
      <w:r w:rsidRPr="43C26B61">
        <w:rPr>
          <w:rFonts w:ascii="Verdana" w:eastAsia="Century Gothic" w:hAnsi="Verdana" w:cs="Century Gothic"/>
          <w:color w:val="000000" w:themeColor="text1"/>
        </w:rPr>
        <w:t xml:space="preserve"> </w:t>
      </w:r>
      <w:r w:rsidRPr="43C26B61">
        <w:rPr>
          <w:rFonts w:ascii="Verdana" w:eastAsia="Century Gothic" w:hAnsi="Verdana" w:cs="Century Gothic"/>
          <w:b/>
          <w:bCs/>
        </w:rPr>
        <w:t>2. Respuesta:</w:t>
      </w:r>
    </w:p>
    <w:p w14:paraId="4ABB4B1F" w14:textId="77777777" w:rsidR="00F95AF5" w:rsidRPr="00FF007A" w:rsidRDefault="00F95AF5" w:rsidP="00F95AF5">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95AF5" w:rsidRPr="00FF007A" w14:paraId="58393CA8" w14:textId="77777777" w:rsidTr="79F3ED1A">
        <w:tc>
          <w:tcPr>
            <w:tcW w:w="8828" w:type="dxa"/>
          </w:tcPr>
          <w:p w14:paraId="0E3DBA6F" w14:textId="77777777" w:rsidR="00F95AF5" w:rsidRPr="00FF007A" w:rsidRDefault="00F95AF5" w:rsidP="00216DC5">
            <w:pPr>
              <w:spacing w:after="120" w:line="276" w:lineRule="auto"/>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se dirigen a dos (2) tipos de campañas electorales diferenciadas: </w:t>
            </w:r>
            <w:r>
              <w:rPr>
                <w:rFonts w:ascii="Verdana" w:eastAsia="Arial" w:hAnsi="Verdana" w:cs="Arial"/>
                <w:lang w:eastAsia="es-ES" w:bidi="es-ES"/>
              </w:rPr>
              <w:t xml:space="preserve">i) </w:t>
            </w:r>
            <w:r w:rsidRPr="00FF007A">
              <w:rPr>
                <w:rFonts w:ascii="Verdana" w:eastAsia="Arial" w:hAnsi="Verdana" w:cs="Arial"/>
                <w:lang w:eastAsia="es-ES" w:bidi="es-ES"/>
              </w:rPr>
              <w:t xml:space="preserve">las presidenciales y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las que se adelanten para la elección de los demás cargos de elección popular, tanto a nivel nacional como territorial.</w:t>
            </w:r>
          </w:p>
          <w:p w14:paraId="7125E374" w14:textId="77777777" w:rsidR="00F95AF5" w:rsidRPr="00FF007A" w:rsidRDefault="00F95AF5" w:rsidP="00216DC5">
            <w:pPr>
              <w:spacing w:after="120" w:line="276" w:lineRule="auto"/>
              <w:ind w:firstLine="709"/>
              <w:jc w:val="both"/>
              <w:rPr>
                <w:rFonts w:ascii="Verdana" w:eastAsia="Calibri" w:hAnsi="Verdana" w:cs="Arial"/>
              </w:rPr>
            </w:pPr>
            <w:r>
              <w:rPr>
                <w:rFonts w:ascii="Verdana" w:eastAsia="Calibri" w:hAnsi="Verdana" w:cs="Arial"/>
              </w:rPr>
              <w:t xml:space="preserve">Para las primeras, es decir las presidencias, </w:t>
            </w:r>
            <w:r w:rsidRPr="00FF007A">
              <w:rPr>
                <w:rFonts w:ascii="Verdana" w:eastAsia="Calibri" w:hAnsi="Verdana" w:cs="Arial"/>
              </w:rPr>
              <w:t xml:space="preserve">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w:t>
            </w:r>
            <w:r w:rsidRPr="00FF007A">
              <w:rPr>
                <w:rFonts w:ascii="Verdana" w:eastAsia="Calibri" w:hAnsi="Verdana" w:cs="Arial"/>
              </w:rPr>
              <w:lastRenderedPageBreak/>
              <w:t>terroristas, desastres naturales o casos de fuerza mayor, y los que deban realizar las entidades sanitarias y hospitalarias”.</w:t>
            </w:r>
          </w:p>
          <w:p w14:paraId="5593BCA5" w14:textId="77777777" w:rsidR="00F95AF5" w:rsidRDefault="00F95AF5" w:rsidP="00216DC5">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t>Por otro lado,</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Arial" w:hAnsi="Verdana" w:cs="Arial"/>
                <w:lang w:eastAsia="es-ES" w:bidi="es-ES"/>
              </w:rPr>
              <w:t xml:space="preserve"> </w:t>
            </w:r>
          </w:p>
          <w:p w14:paraId="57151038" w14:textId="2C8896DD" w:rsidR="00A71CFE" w:rsidRDefault="00A71CFE" w:rsidP="00A71CFE">
            <w:pPr>
              <w:spacing w:after="120" w:line="276" w:lineRule="auto"/>
              <w:ind w:firstLine="709"/>
              <w:jc w:val="both"/>
              <w:rPr>
                <w:rFonts w:ascii="Verdana" w:eastAsia="Calibri" w:hAnsi="Verdana" w:cs="Arial"/>
              </w:rPr>
            </w:pPr>
            <w:r>
              <w:rPr>
                <w:rFonts w:ascii="Verdana" w:eastAsia="Calibri" w:hAnsi="Verdana" w:cs="Arial"/>
              </w:rPr>
              <w:t xml:space="preserve">Ahora bien, en respuesta al problema jurídico planteado, </w:t>
            </w:r>
            <w:r w:rsidR="005A4555">
              <w:rPr>
                <w:rFonts w:ascii="Verdana" w:eastAsia="Calibri" w:hAnsi="Verdana" w:cs="Arial"/>
              </w:rPr>
              <w:t>l</w:t>
            </w:r>
            <w:r w:rsidRPr="00FF007A">
              <w:rPr>
                <w:rFonts w:ascii="Verdana" w:eastAsia="Calibri" w:hAnsi="Verdana" w:cs="Arial"/>
              </w:rPr>
              <w:t>a</w:t>
            </w:r>
            <w:r w:rsidRPr="003C4660">
              <w:rPr>
                <w:rFonts w:ascii="Verdana" w:eastAsia="Calibri" w:hAnsi="Verdana" w:cs="Arial"/>
              </w:rPr>
              <w:t xml:space="preserve"> Ley 996 de 2005 establece restricciones a la contratación directa y a los convenios interadministrativos, con el fin </w:t>
            </w:r>
            <w:r w:rsidRPr="00A350B8">
              <w:rPr>
                <w:rFonts w:ascii="Verdana" w:eastAsia="Calibri" w:hAnsi="Verdana" w:cs="Arial"/>
              </w:rPr>
              <w:t xml:space="preserve">de asegurar la transparencia y la igualdad en los procesos democráticos. </w:t>
            </w:r>
            <w:r w:rsidRPr="003C4660">
              <w:rPr>
                <w:rFonts w:ascii="Verdana" w:eastAsia="Calibri" w:hAnsi="Verdana" w:cs="Arial"/>
              </w:rPr>
              <w:t>La restricción a la celebración de convenios interadministrativos aplicable a las entidades territoriales y sus entes descentralizados inicia el 8 de noviembre de 2025, mientras que la restricción general a la contratación directa que cobija a todas la</w:t>
            </w:r>
            <w:r>
              <w:rPr>
                <w:rFonts w:ascii="Verdana" w:eastAsia="Calibri" w:hAnsi="Verdana" w:cs="Arial"/>
              </w:rPr>
              <w:t>s</w:t>
            </w:r>
            <w:r w:rsidRPr="003C4660">
              <w:rPr>
                <w:rFonts w:ascii="Verdana" w:eastAsia="Calibri" w:hAnsi="Verdana" w:cs="Arial"/>
              </w:rPr>
              <w:t xml:space="preserve"> Entidades Estatales comienza a regir a partir del 31 de enero de 2026. Ambas restricciones se mantendrán hasta el 31 de mayo, o hasta el 21 de junio en caso de requerirse segunda vuelta en las elecciones presidenciales.</w:t>
            </w:r>
          </w:p>
          <w:p w14:paraId="5E1C1227" w14:textId="2347F70A" w:rsidR="00A71CFE" w:rsidRPr="003C4660" w:rsidRDefault="00A71CFE" w:rsidP="00A71CFE">
            <w:pPr>
              <w:tabs>
                <w:tab w:val="num" w:pos="720"/>
              </w:tabs>
              <w:spacing w:before="120" w:after="120" w:line="276" w:lineRule="auto"/>
              <w:ind w:firstLine="709"/>
              <w:jc w:val="both"/>
              <w:rPr>
                <w:rFonts w:ascii="Verdana" w:eastAsia="Calibri" w:hAnsi="Verdana" w:cs="Arial"/>
              </w:rPr>
            </w:pPr>
            <w:r w:rsidRPr="79F3ED1A">
              <w:rPr>
                <w:rFonts w:ascii="Verdana" w:eastAsia="Calibri" w:hAnsi="Verdana" w:cs="Arial"/>
              </w:rPr>
              <w:t xml:space="preserve">En consecuencia, las entidades estatales podrán celebrar contratos bajo la modalidad de contratación directa para la vigencia 2026 a partir del primero (1) de enero de 2026 y hasta el 30 de enero de 2026, siempre que se cumplan los requisitos legales y se haya adelantado oportunamente la planeación contractual. Para ello, y en aplicación del principio de planeación, se recomienda a las entidades adoptar anticipadamente las medidas necesarias en su gestión contractual con el fin de evitar que las restricciones impuestas por la Ley de Garantías afecten el funcionamiento de las entidades y el cumplimiento de los fines institucionales, esto implica, entre otras acciones, la estructuración técnica y jurídica, la elaboración oportuna de los estudios previos de los procesos de selección, así como la inclusión adecuada de las necesidades en el Plan Anual de Adquisiciones. Asimismo, resulta aconsejable prever escenarios de contingencia que permitan atender necesidades urgentes o inaplazables, sin incurrir en actuaciones que puedan comprometer las </w:t>
            </w:r>
            <w:r w:rsidRPr="79F3ED1A">
              <w:rPr>
                <w:rFonts w:ascii="Verdana" w:eastAsia="Calibri" w:hAnsi="Verdana" w:cs="Arial"/>
              </w:rPr>
              <w:lastRenderedPageBreak/>
              <w:t>restricciones de la Ley de Garantías</w:t>
            </w:r>
            <w:r w:rsidR="7E721A68" w:rsidRPr="79F3ED1A">
              <w:rPr>
                <w:rFonts w:ascii="Verdana" w:eastAsia="Calibri" w:hAnsi="Verdana" w:cs="Arial"/>
              </w:rPr>
              <w:t>, la</w:t>
            </w:r>
            <w:r w:rsidRPr="79F3ED1A">
              <w:rPr>
                <w:rFonts w:ascii="Verdana" w:eastAsia="Calibri" w:hAnsi="Verdana" w:cs="Arial"/>
              </w:rPr>
              <w:t xml:space="preserve"> legalidad o la transparencia del proceso contractual.</w:t>
            </w:r>
          </w:p>
          <w:p w14:paraId="13AFBED9" w14:textId="44354B59" w:rsidR="00F95AF5" w:rsidRPr="00475122" w:rsidRDefault="00A71CFE" w:rsidP="00216DC5">
            <w:pPr>
              <w:spacing w:before="120" w:after="120" w:line="276" w:lineRule="auto"/>
              <w:ind w:firstLine="709"/>
              <w:jc w:val="both"/>
              <w:rPr>
                <w:rFonts w:ascii="Verdana" w:eastAsia="Calibri" w:hAnsi="Verdana" w:cs="Arial"/>
              </w:rPr>
            </w:pPr>
            <w:r>
              <w:rPr>
                <w:rFonts w:ascii="Verdana" w:eastAsia="Calibri" w:hAnsi="Verdana" w:cs="Arial"/>
              </w:rPr>
              <w:t>Adicionalmente</w:t>
            </w:r>
            <w:r w:rsidR="00F95AF5">
              <w:rPr>
                <w:rFonts w:ascii="Verdana" w:eastAsia="Calibri" w:hAnsi="Verdana" w:cs="Arial"/>
              </w:rPr>
              <w:t xml:space="preserve">, </w:t>
            </w:r>
            <w:r w:rsidR="00F95AF5" w:rsidRPr="003C4660">
              <w:rPr>
                <w:rFonts w:ascii="Verdana" w:eastAsia="Calibri" w:hAnsi="Verdana" w:cs="Arial"/>
              </w:rPr>
              <w:t>Colombia Compra Eficiente</w:t>
            </w:r>
            <w:r w:rsidR="00F95AF5">
              <w:rPr>
                <w:rFonts w:ascii="Verdana" w:eastAsia="Calibri" w:hAnsi="Verdana" w:cs="Arial"/>
              </w:rPr>
              <w:t xml:space="preserve"> le</w:t>
            </w:r>
            <w:r w:rsidR="00F95AF5" w:rsidRPr="003C4660">
              <w:rPr>
                <w:rFonts w:ascii="Verdana" w:eastAsia="Calibri" w:hAnsi="Verdana" w:cs="Arial"/>
              </w:rPr>
              <w:t xml:space="preserve"> invita a consultar la Circular Externa 006 de 2025, donde se detallan las disposiciones, excepciones y lineamientos para las entidades estatales y la ciudadanía</w:t>
            </w:r>
            <w:r w:rsidR="00F95AF5">
              <w:rPr>
                <w:rFonts w:ascii="Verdana" w:eastAsia="Calibri" w:hAnsi="Verdana" w:cs="Arial"/>
              </w:rPr>
              <w:t>, la cual puede ser consultada en el siguiente enlace:</w:t>
            </w:r>
            <w:hyperlink r:id="rId12" w:history="1">
              <w:r w:rsidR="00F95AF5" w:rsidRPr="00A350B8">
                <w:rPr>
                  <w:rStyle w:val="Hipervnculo"/>
                  <w:rFonts w:ascii="Verdana" w:eastAsia="Calibri" w:hAnsi="Verdana" w:cs="Arial"/>
                </w:rPr>
                <w:t>https://www.colombiacompra.gov.co/archivos/circular/circular-externa-006-de-2025</w:t>
              </w:r>
            </w:hyperlink>
          </w:p>
        </w:tc>
      </w:tr>
    </w:tbl>
    <w:p w14:paraId="26D8F138" w14:textId="77777777" w:rsidR="00F95AF5" w:rsidRPr="00FF007A" w:rsidRDefault="00F95AF5" w:rsidP="00F95AF5">
      <w:pPr>
        <w:tabs>
          <w:tab w:val="left" w:pos="142"/>
          <w:tab w:val="left" w:pos="284"/>
        </w:tabs>
        <w:spacing w:after="0" w:line="276" w:lineRule="auto"/>
        <w:jc w:val="both"/>
        <w:rPr>
          <w:rFonts w:ascii="Verdana" w:eastAsia="Century Gothic" w:hAnsi="Verdana" w:cs="Century Gothic"/>
          <w:b/>
          <w:bCs/>
        </w:rPr>
      </w:pPr>
    </w:p>
    <w:p w14:paraId="6BAAB24E" w14:textId="77777777" w:rsidR="00F95AF5" w:rsidRPr="00FF007A" w:rsidRDefault="00F95AF5" w:rsidP="00F95AF5">
      <w:pPr>
        <w:tabs>
          <w:tab w:val="left" w:pos="142"/>
          <w:tab w:val="left" w:pos="284"/>
        </w:tabs>
        <w:spacing w:after="0" w:line="276" w:lineRule="auto"/>
        <w:jc w:val="both"/>
        <w:rPr>
          <w:rFonts w:ascii="Verdana" w:eastAsia="Century Gothic" w:hAnsi="Verdana" w:cs="Century Gothic"/>
          <w:b/>
          <w:bCs/>
        </w:rPr>
      </w:pPr>
      <w:r w:rsidRPr="43C26B61">
        <w:rPr>
          <w:rFonts w:ascii="Verdana" w:eastAsia="Century Gothic" w:hAnsi="Verdana" w:cs="Century Gothic"/>
          <w:b/>
          <w:bCs/>
        </w:rPr>
        <w:t>3. Razones de la respuesta:</w:t>
      </w:r>
    </w:p>
    <w:p w14:paraId="0E8746B0" w14:textId="77777777" w:rsidR="00F95AF5" w:rsidRPr="00FF007A" w:rsidRDefault="00F95AF5" w:rsidP="00F95AF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6AF7439" w14:textId="77777777" w:rsidR="00F95AF5" w:rsidRPr="00FF007A" w:rsidRDefault="00F95AF5" w:rsidP="00F95AF5">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440AA7F1" w14:textId="77777777" w:rsidR="00F95AF5" w:rsidRPr="00FF007A" w:rsidRDefault="00F95AF5" w:rsidP="00F95AF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7D99E7E" w14:textId="1EFAF07A" w:rsidR="00F95AF5" w:rsidRPr="00FF007A" w:rsidRDefault="00F95AF5" w:rsidP="00F95AF5">
      <w:pPr>
        <w:tabs>
          <w:tab w:val="left" w:pos="426"/>
        </w:tabs>
        <w:spacing w:after="120" w:line="276" w:lineRule="auto"/>
        <w:jc w:val="both"/>
        <w:rPr>
          <w:rFonts w:ascii="Verdana" w:eastAsia="Times New Roman" w:hAnsi="Verdana" w:cs="Arial"/>
          <w:lang w:eastAsia="es-CO"/>
        </w:rPr>
      </w:pPr>
      <w:bookmarkStart w:id="3" w:name="_Hlk209416551"/>
      <w:bookmarkStart w:id="4" w:name="_Hlk204854194"/>
      <w:r w:rsidRPr="00FF007A">
        <w:rPr>
          <w:rFonts w:ascii="Verdana" w:eastAsia="Calibri" w:hAnsi="Verdana" w:cs="Arial"/>
        </w:rPr>
        <w:t>El ordenamiento jurídico colombiano contempla medidas para evitar la obtención de beneficios personales en asuntos propios de la administración pública</w:t>
      </w:r>
      <w:r w:rsidRPr="00FF007A">
        <w:rPr>
          <w:rFonts w:ascii="Verdana" w:eastAsia="Calibri" w:hAnsi="Verdana" w:cs="Arial"/>
          <w:i/>
        </w:rPr>
        <w:t xml:space="preserve">. </w:t>
      </w:r>
      <w:r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Pr="00FF007A">
        <w:rPr>
          <w:rFonts w:ascii="Verdana" w:hAnsi="Verdana"/>
          <w:vertAlign w:val="superscript"/>
        </w:rPr>
        <w:footnoteReference w:id="2"/>
      </w:r>
      <w:r w:rsidRPr="00FF007A">
        <w:rPr>
          <w:rFonts w:ascii="Verdana" w:eastAsia="Calibri" w:hAnsi="Verdana" w:cs="Arial"/>
        </w:rPr>
        <w:t xml:space="preserve">. </w:t>
      </w:r>
    </w:p>
    <w:p w14:paraId="22A22EBA" w14:textId="77777777" w:rsidR="00F95AF5" w:rsidRPr="00FF007A" w:rsidRDefault="00F95AF5" w:rsidP="00A03CAD">
      <w:pPr>
        <w:tabs>
          <w:tab w:val="left" w:pos="426"/>
        </w:tabs>
        <w:spacing w:before="120" w:after="120" w:line="276" w:lineRule="auto"/>
        <w:ind w:firstLine="425"/>
        <w:jc w:val="both"/>
        <w:rPr>
          <w:rFonts w:ascii="Verdana" w:eastAsia="Calibri" w:hAnsi="Verdana" w:cs="Arial"/>
        </w:rPr>
      </w:pPr>
      <w:r w:rsidRPr="00FF007A">
        <w:rPr>
          <w:rFonts w:ascii="Verdana" w:eastAsia="Times New Roman" w:hAnsi="Verdana" w:cs="Arial"/>
          <w:lang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3"/>
      </w:r>
      <w:r w:rsidRPr="00FF007A">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42E75F13" w14:textId="77777777" w:rsidR="00F95AF5" w:rsidRPr="00FF007A" w:rsidRDefault="00F95AF5" w:rsidP="00A03CAD">
      <w:pPr>
        <w:tabs>
          <w:tab w:val="left" w:pos="426"/>
        </w:tabs>
        <w:spacing w:before="120" w:after="0" w:line="276" w:lineRule="auto"/>
        <w:ind w:firstLine="425"/>
        <w:jc w:val="both"/>
        <w:rPr>
          <w:rFonts w:ascii="Verdana" w:eastAsia="Calibri" w:hAnsi="Verdana" w:cs="Arial"/>
        </w:rPr>
      </w:pPr>
      <w:r w:rsidRPr="00FF007A">
        <w:rPr>
          <w:rFonts w:ascii="Verdana" w:eastAsia="Times New Roman" w:hAnsi="Verdana" w:cs="Arial"/>
          <w:lang w:eastAsia="es-CO"/>
        </w:rPr>
        <w:lastRenderedPageBreak/>
        <w:t>En armonía con lo anterior, la Corte Constitucional ha abordado la definición de la Ley de Garantías Electorales. De esta manera, explica que tiene como propósito:</w:t>
      </w:r>
    </w:p>
    <w:p w14:paraId="41373D02" w14:textId="77777777" w:rsidR="00F95AF5" w:rsidRPr="00FF007A" w:rsidRDefault="00F95AF5" w:rsidP="00F95AF5">
      <w:pPr>
        <w:spacing w:after="0" w:line="276" w:lineRule="auto"/>
        <w:ind w:right="709"/>
        <w:jc w:val="both"/>
        <w:rPr>
          <w:rFonts w:ascii="Verdana" w:eastAsia="Times New Roman" w:hAnsi="Verdana" w:cs="Arial"/>
          <w:lang w:eastAsia="es-CO"/>
        </w:rPr>
      </w:pPr>
    </w:p>
    <w:p w14:paraId="7F2C5F26" w14:textId="77777777" w:rsidR="00F95AF5" w:rsidRPr="00FF007A" w:rsidRDefault="00F95AF5" w:rsidP="00F95AF5">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w:t>
      </w:r>
    </w:p>
    <w:p w14:paraId="644B2472" w14:textId="77777777" w:rsidR="00F95AF5" w:rsidRPr="00FF007A" w:rsidRDefault="00F95AF5" w:rsidP="00F95AF5">
      <w:pPr>
        <w:spacing w:after="0" w:line="240" w:lineRule="auto"/>
        <w:ind w:left="709" w:right="709"/>
        <w:contextualSpacing/>
        <w:jc w:val="both"/>
        <w:rPr>
          <w:rFonts w:ascii="Verdana" w:eastAsia="Times New Roman" w:hAnsi="Verdana" w:cs="Arial"/>
          <w:sz w:val="20"/>
          <w:szCs w:val="20"/>
          <w:lang w:eastAsia="es-CO"/>
        </w:rPr>
      </w:pPr>
    </w:p>
    <w:p w14:paraId="31C21C21" w14:textId="77777777" w:rsidR="00F95AF5" w:rsidRPr="00FF007A" w:rsidRDefault="00F95AF5" w:rsidP="00F95AF5">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 </w:t>
      </w:r>
    </w:p>
    <w:p w14:paraId="7EBDFB58" w14:textId="77777777" w:rsidR="00F95AF5" w:rsidRPr="00FF007A" w:rsidRDefault="00F95AF5" w:rsidP="00F95AF5">
      <w:pPr>
        <w:spacing w:after="0" w:line="240" w:lineRule="auto"/>
        <w:ind w:left="709" w:right="709"/>
        <w:contextualSpacing/>
        <w:jc w:val="both"/>
        <w:rPr>
          <w:rFonts w:ascii="Verdana" w:eastAsia="Times New Roman" w:hAnsi="Verdana" w:cs="Arial"/>
          <w:sz w:val="20"/>
          <w:szCs w:val="20"/>
          <w:lang w:eastAsia="es-CO"/>
        </w:rPr>
      </w:pPr>
    </w:p>
    <w:p w14:paraId="59606B9C" w14:textId="77777777" w:rsidR="00F95AF5" w:rsidRPr="00FF007A" w:rsidRDefault="00F95AF5" w:rsidP="00F95AF5">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F007A">
        <w:rPr>
          <w:rFonts w:ascii="Verdana" w:eastAsia="Calibri" w:hAnsi="Verdana" w:cs="Arial"/>
          <w:sz w:val="20"/>
          <w:szCs w:val="20"/>
          <w:vertAlign w:val="superscript"/>
        </w:rPr>
        <w:footnoteReference w:id="4"/>
      </w:r>
      <w:r w:rsidRPr="00FF007A">
        <w:rPr>
          <w:rFonts w:ascii="Verdana" w:eastAsia="Times New Roman" w:hAnsi="Verdana" w:cs="Arial"/>
          <w:sz w:val="20"/>
          <w:szCs w:val="20"/>
          <w:lang w:eastAsia="es-CO"/>
        </w:rPr>
        <w:t>.</w:t>
      </w:r>
    </w:p>
    <w:p w14:paraId="630D1743" w14:textId="77777777" w:rsidR="00F95AF5" w:rsidRPr="00FF007A" w:rsidRDefault="00F95AF5" w:rsidP="00F95AF5">
      <w:pPr>
        <w:spacing w:after="0" w:line="276" w:lineRule="auto"/>
        <w:ind w:firstLine="709"/>
        <w:jc w:val="both"/>
        <w:rPr>
          <w:rFonts w:ascii="Verdana" w:eastAsia="Times New Roman" w:hAnsi="Verdana" w:cs="Arial"/>
          <w:lang w:eastAsia="es-CO"/>
        </w:rPr>
      </w:pPr>
    </w:p>
    <w:p w14:paraId="08424C25" w14:textId="77777777" w:rsidR="00F95AF5" w:rsidRPr="00FF007A" w:rsidRDefault="00F95AF5" w:rsidP="00F95AF5">
      <w:pPr>
        <w:spacing w:after="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26FE302" w14:textId="77777777" w:rsidR="00F95AF5" w:rsidRPr="00FF007A" w:rsidRDefault="00F95AF5" w:rsidP="00F95AF5">
      <w:pPr>
        <w:spacing w:after="0" w:line="240" w:lineRule="auto"/>
        <w:ind w:firstLine="709"/>
        <w:jc w:val="both"/>
        <w:rPr>
          <w:rFonts w:ascii="Verdana" w:eastAsia="Times New Roman" w:hAnsi="Verdana" w:cs="Arial"/>
          <w:lang w:eastAsia="es-CO"/>
        </w:rPr>
      </w:pPr>
    </w:p>
    <w:p w14:paraId="4964AD13" w14:textId="77777777" w:rsidR="00F95AF5" w:rsidRPr="00FF007A" w:rsidRDefault="00F95AF5" w:rsidP="00F95AF5">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F007A">
        <w:rPr>
          <w:rFonts w:ascii="Verdana" w:eastAsia="Times New Roman" w:hAnsi="Verdana" w:cs="Arial"/>
          <w:sz w:val="20"/>
          <w:szCs w:val="20"/>
          <w:lang w:eastAsia="es-CO"/>
        </w:rPr>
        <w:t>legis</w:t>
      </w:r>
      <w:proofErr w:type="spellEnd"/>
      <w:r w:rsidRPr="00FF007A">
        <w:rPr>
          <w:rFonts w:ascii="Verdana" w:eastAsia="Times New Roman" w:hAnsi="Verdana" w:cs="Arial"/>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6509ABA" w14:textId="77777777" w:rsidR="00F95AF5" w:rsidRPr="00FF007A" w:rsidRDefault="00F95AF5" w:rsidP="00F95AF5">
      <w:pPr>
        <w:spacing w:after="0" w:line="240" w:lineRule="auto"/>
        <w:ind w:right="709"/>
        <w:jc w:val="both"/>
        <w:rPr>
          <w:rFonts w:ascii="Verdana" w:eastAsia="Times New Roman" w:hAnsi="Verdana" w:cs="Arial"/>
          <w:lang w:eastAsia="es-CO"/>
        </w:rPr>
      </w:pPr>
    </w:p>
    <w:p w14:paraId="4D4CAFD4" w14:textId="77777777" w:rsidR="00F95AF5" w:rsidRPr="00FF007A" w:rsidRDefault="00F95AF5" w:rsidP="00F95AF5">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lastRenderedPageBreak/>
        <w:t>La jurisprudencia de la Corte Constitucional</w:t>
      </w:r>
      <w:r w:rsidRPr="00FF007A">
        <w:rPr>
          <w:rFonts w:ascii="Verdana" w:eastAsia="Times New Roman" w:hAnsi="Verdana" w:cs="Arial"/>
          <w:sz w:val="20"/>
          <w:szCs w:val="20"/>
          <w:vertAlign w:val="superscript"/>
          <w:lang w:eastAsia="es-CO"/>
        </w:rPr>
        <w:footnoteReference w:id="5"/>
      </w:r>
      <w:r w:rsidRPr="00FF007A">
        <w:rPr>
          <w:rFonts w:ascii="Verdana" w:eastAsia="Times New Roman" w:hAnsi="Verdana" w:cs="Arial"/>
          <w:sz w:val="20"/>
          <w:szCs w:val="20"/>
          <w:lang w:eastAsia="es-CO"/>
        </w:rPr>
        <w:t> y del Consejo de Estado</w:t>
      </w:r>
      <w:r w:rsidRPr="00FF007A">
        <w:rPr>
          <w:rFonts w:ascii="Verdana" w:eastAsia="Times New Roman" w:hAnsi="Verdana" w:cs="Arial"/>
          <w:sz w:val="20"/>
          <w:szCs w:val="20"/>
          <w:vertAlign w:val="superscript"/>
          <w:lang w:eastAsia="es-CO"/>
        </w:rPr>
        <w:footnoteReference w:id="6"/>
      </w:r>
      <w:r w:rsidRPr="00FF007A">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F007A">
        <w:rPr>
          <w:rFonts w:ascii="Verdana" w:eastAsia="Times New Roman" w:hAnsi="Verdana" w:cs="Arial"/>
          <w:sz w:val="20"/>
          <w:szCs w:val="20"/>
          <w:vertAlign w:val="superscript"/>
          <w:lang w:eastAsia="es-CO"/>
        </w:rPr>
        <w:footnoteReference w:id="7"/>
      </w:r>
      <w:r w:rsidRPr="00FF007A">
        <w:rPr>
          <w:rFonts w:ascii="Verdana" w:eastAsia="Times New Roman" w:hAnsi="Verdana" w:cs="Arial"/>
          <w:sz w:val="20"/>
          <w:szCs w:val="20"/>
          <w:lang w:eastAsia="es-CO"/>
        </w:rPr>
        <w:t>.</w:t>
      </w:r>
    </w:p>
    <w:p w14:paraId="12024530" w14:textId="77777777" w:rsidR="00F95AF5" w:rsidRPr="00FF007A" w:rsidRDefault="00F95AF5" w:rsidP="00F95AF5">
      <w:pPr>
        <w:spacing w:after="0" w:line="276" w:lineRule="auto"/>
        <w:jc w:val="both"/>
        <w:rPr>
          <w:rFonts w:ascii="Verdana" w:eastAsia="Calibri" w:hAnsi="Verdana" w:cs="Arial"/>
          <w:bCs/>
        </w:rPr>
      </w:pPr>
    </w:p>
    <w:p w14:paraId="7C250EDC" w14:textId="77777777" w:rsidR="00F95AF5" w:rsidRDefault="00F95AF5" w:rsidP="00A03CAD">
      <w:pPr>
        <w:spacing w:before="120" w:after="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5952145" w14:textId="77777777" w:rsidR="00F95AF5" w:rsidRPr="00FF007A" w:rsidRDefault="00F95AF5" w:rsidP="00A03CAD">
      <w:pPr>
        <w:spacing w:before="120"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se dirigen a dos (2) tipos de campañas electorales diferenciadas: </w:t>
      </w:r>
      <w:r>
        <w:rPr>
          <w:rFonts w:ascii="Verdana" w:eastAsia="Arial" w:hAnsi="Verdana" w:cs="Arial"/>
          <w:lang w:eastAsia="es-ES" w:bidi="es-ES"/>
        </w:rPr>
        <w:t xml:space="preserve">i) </w:t>
      </w:r>
      <w:r w:rsidRPr="00FF007A">
        <w:rPr>
          <w:rFonts w:ascii="Verdana" w:eastAsia="Arial" w:hAnsi="Verdana" w:cs="Arial"/>
          <w:lang w:eastAsia="es-ES" w:bidi="es-ES"/>
        </w:rPr>
        <w:t xml:space="preserve">las presidenciales y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las que se adelanten para la elección de los demás cargos de elección popular, tanto a nivel nacional como territorial.</w:t>
      </w:r>
    </w:p>
    <w:p w14:paraId="152A0C91" w14:textId="77777777" w:rsidR="00F95AF5" w:rsidRPr="00FF007A" w:rsidRDefault="00F95AF5" w:rsidP="00A03CAD">
      <w:pPr>
        <w:spacing w:before="120" w:after="120" w:line="276" w:lineRule="auto"/>
        <w:ind w:firstLine="709"/>
        <w:jc w:val="both"/>
        <w:rPr>
          <w:rFonts w:ascii="Verdana" w:eastAsia="Calibri" w:hAnsi="Verdana" w:cs="Arial"/>
        </w:rPr>
      </w:pPr>
      <w:r>
        <w:rPr>
          <w:rFonts w:ascii="Verdana" w:eastAsia="Calibri" w:hAnsi="Verdana" w:cs="Arial"/>
        </w:rPr>
        <w:t xml:space="preserve">Para las primeras, es decir las presidencias, </w:t>
      </w:r>
      <w:r w:rsidRPr="00FF007A">
        <w:rPr>
          <w:rFonts w:ascii="Verdana" w:eastAsia="Calibri" w:hAnsi="Verdana" w:cs="Arial"/>
        </w:rPr>
        <w:t xml:space="preserve">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w:t>
      </w:r>
      <w:r w:rsidRPr="00FF007A">
        <w:rPr>
          <w:rFonts w:ascii="Verdana" w:eastAsia="Calibri" w:hAnsi="Verdana" w:cs="Arial"/>
        </w:rPr>
        <w:lastRenderedPageBreak/>
        <w:t>casos de fuerza mayor, y los que deban realizar las entidades sanitarias y hospitalarias”</w:t>
      </w:r>
      <w:r w:rsidRPr="00FF007A">
        <w:rPr>
          <w:rFonts w:ascii="Verdana" w:eastAsia="Calibri" w:hAnsi="Verdana" w:cs="Arial"/>
          <w:vertAlign w:val="superscript"/>
        </w:rPr>
        <w:footnoteReference w:id="8"/>
      </w:r>
      <w:r w:rsidRPr="00FF007A">
        <w:rPr>
          <w:rFonts w:ascii="Verdana" w:eastAsia="Calibri" w:hAnsi="Verdana" w:cs="Arial"/>
        </w:rPr>
        <w:t>.</w:t>
      </w:r>
    </w:p>
    <w:p w14:paraId="0930C882" w14:textId="77777777" w:rsidR="00F95AF5" w:rsidRPr="00FF007A" w:rsidRDefault="00F95AF5" w:rsidP="00A03CAD">
      <w:pPr>
        <w:widowControl w:val="0"/>
        <w:autoSpaceDE w:val="0"/>
        <w:autoSpaceDN w:val="0"/>
        <w:spacing w:before="120" w:after="120" w:line="276" w:lineRule="auto"/>
        <w:ind w:right="113" w:firstLine="709"/>
        <w:jc w:val="both"/>
        <w:rPr>
          <w:rFonts w:ascii="Verdana" w:eastAsia="Arial" w:hAnsi="Verdana" w:cs="Arial"/>
          <w:lang w:eastAsia="es-ES" w:bidi="es-ES"/>
        </w:rPr>
      </w:pPr>
      <w:r w:rsidRPr="00FF007A">
        <w:rPr>
          <w:rFonts w:ascii="Verdana" w:eastAsia="Calibri" w:hAnsi="Verdana" w:cs="Arial"/>
        </w:rPr>
        <w:t>Por otro lado,</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9"/>
      </w:r>
      <w:r w:rsidRPr="00FF007A">
        <w:rPr>
          <w:rFonts w:ascii="Verdana" w:eastAsia="Calibri" w:hAnsi="Verdana" w:cs="Arial"/>
        </w:rPr>
        <w:t>.</w:t>
      </w:r>
      <w:r w:rsidRPr="00FF007A">
        <w:rPr>
          <w:rFonts w:ascii="Verdana" w:eastAsia="Arial" w:hAnsi="Verdana" w:cs="Arial"/>
          <w:lang w:eastAsia="es-ES" w:bidi="es-ES"/>
        </w:rPr>
        <w:t xml:space="preserve"> </w:t>
      </w:r>
    </w:p>
    <w:p w14:paraId="2F88CEB0" w14:textId="77777777" w:rsidR="00F95AF5" w:rsidRPr="00FF007A" w:rsidRDefault="00F95AF5" w:rsidP="00F95AF5">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FF007A">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señala:</w:t>
      </w:r>
    </w:p>
    <w:p w14:paraId="2E6DF6E7" w14:textId="77777777" w:rsidR="00F95AF5" w:rsidRDefault="00F95AF5" w:rsidP="00F95AF5">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4BA5C1E7" w14:textId="77777777" w:rsidR="00F95AF5" w:rsidRPr="00FF007A" w:rsidRDefault="00F95AF5" w:rsidP="00F95AF5">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FF007A">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F007A">
        <w:rPr>
          <w:rFonts w:ascii="Verdana" w:eastAsia="Arial" w:hAnsi="Verdana" w:cs="Arial"/>
          <w:sz w:val="20"/>
          <w:szCs w:val="20"/>
          <w:lang w:eastAsia="es-ES" w:bidi="es-ES"/>
        </w:rPr>
        <w:t>Presidente</w:t>
      </w:r>
      <w:proofErr w:type="gramEnd"/>
      <w:r w:rsidRPr="00FF007A">
        <w:rPr>
          <w:rFonts w:ascii="Verdana" w:eastAsia="Arial" w:hAnsi="Verdana" w:cs="Arial"/>
          <w:sz w:val="20"/>
          <w:szCs w:val="20"/>
          <w:lang w:eastAsia="es-ES" w:bidi="es-ES"/>
        </w:rPr>
        <w:t xml:space="preserve"> de la República, a las </w:t>
      </w:r>
      <w:r w:rsidRPr="00FF007A">
        <w:rPr>
          <w:rFonts w:ascii="Verdana" w:eastAsia="Arial" w:hAnsi="Verdana" w:cs="Arial"/>
          <w:sz w:val="20"/>
          <w:szCs w:val="20"/>
          <w:lang w:eastAsia="es-ES" w:bidi="es-ES"/>
        </w:rPr>
        <w:lastRenderedPageBreak/>
        <w:t>autoridades territoriales allí mencionadas sólo se aplican las restricciones contenidas en el parágrafo del artículo 38”</w:t>
      </w:r>
      <w:r w:rsidRPr="00FF007A">
        <w:rPr>
          <w:rFonts w:ascii="Verdana" w:eastAsia="Arial" w:hAnsi="Verdana" w:cs="Arial"/>
          <w:sz w:val="20"/>
          <w:szCs w:val="20"/>
          <w:vertAlign w:val="superscript"/>
          <w:lang w:eastAsia="es-ES" w:bidi="es-ES"/>
        </w:rPr>
        <w:footnoteReference w:id="10"/>
      </w:r>
      <w:r w:rsidRPr="00FF007A">
        <w:rPr>
          <w:rFonts w:ascii="Verdana" w:eastAsia="Arial" w:hAnsi="Verdana" w:cs="Arial"/>
          <w:sz w:val="20"/>
          <w:szCs w:val="20"/>
          <w:lang w:eastAsia="es-ES" w:bidi="es-ES"/>
        </w:rPr>
        <w:t>.</w:t>
      </w:r>
    </w:p>
    <w:p w14:paraId="310C876C" w14:textId="77777777" w:rsidR="00F95AF5" w:rsidRPr="00FF007A" w:rsidRDefault="00F95AF5" w:rsidP="00F95AF5">
      <w:pPr>
        <w:widowControl w:val="0"/>
        <w:autoSpaceDE w:val="0"/>
        <w:autoSpaceDN w:val="0"/>
        <w:spacing w:after="0" w:line="276" w:lineRule="auto"/>
        <w:contextualSpacing/>
        <w:rPr>
          <w:rFonts w:ascii="Verdana" w:eastAsia="Arial" w:hAnsi="Verdana" w:cs="Arial"/>
          <w:lang w:eastAsia="es-ES" w:bidi="es-ES"/>
        </w:rPr>
      </w:pPr>
    </w:p>
    <w:p w14:paraId="48B3FF2B" w14:textId="77777777" w:rsidR="00F95AF5" w:rsidRPr="00FF007A" w:rsidRDefault="00F95AF5" w:rsidP="00A03CAD">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De conformidad con lo anterior, la Ley 996 de 2005 establece dos (2) tipos de restricciones en materia de contratación, las cuales coinciden parcialmente. </w:t>
      </w:r>
    </w:p>
    <w:p w14:paraId="3C50F2A8" w14:textId="77777777" w:rsidR="00F95AF5" w:rsidRPr="00FF007A" w:rsidRDefault="00F95AF5" w:rsidP="00A03CAD">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primer lugar</w:t>
      </w:r>
      <w:r w:rsidRPr="00FF007A">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0879EF4D" w14:textId="77777777" w:rsidR="00F95AF5" w:rsidRPr="00FF007A" w:rsidRDefault="00F95AF5" w:rsidP="00A03CAD">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segundo lugar</w:t>
      </w:r>
      <w:r w:rsidRPr="00FF007A">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8DE0F66" w14:textId="77777777" w:rsidR="00F95AF5" w:rsidRPr="00FF007A" w:rsidRDefault="00F95AF5" w:rsidP="00A03CAD">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0A019F43" w14:textId="77777777" w:rsidR="00F95AF5" w:rsidRPr="00FF007A" w:rsidRDefault="00F95AF5" w:rsidP="00A03CAD">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 Corte Constitucional, en la Sentencia C-1153 del 11 de noviembre de 2005, señaló que, para que la garantía sea plena, era necesario que la prohibición se aplicara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o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FF007A">
        <w:rPr>
          <w:rFonts w:ascii="Verdana" w:eastAsia="Arial" w:hAnsi="Verdana" w:cs="Arial"/>
          <w:lang w:eastAsia="es-ES" w:bidi="es-ES"/>
        </w:rPr>
        <w:lastRenderedPageBreak/>
        <w:t xml:space="preserve">momento en que estas restricciones empiezan a regir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y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3FA0303" w14:textId="77777777" w:rsidR="00F95AF5" w:rsidRPr="00FF007A" w:rsidRDefault="00F95AF5" w:rsidP="00A03CAD">
      <w:pPr>
        <w:spacing w:after="120" w:line="276" w:lineRule="auto"/>
        <w:ind w:firstLine="709"/>
        <w:jc w:val="both"/>
        <w:rPr>
          <w:rFonts w:ascii="Verdana" w:eastAsia="Times New Roman" w:hAnsi="Verdana" w:cs="Arial"/>
          <w:bCs/>
          <w:lang w:eastAsia="es-CO"/>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29523A92" w14:textId="77777777" w:rsidR="00F95AF5" w:rsidRPr="005F28C0" w:rsidRDefault="00F95AF5" w:rsidP="00F95AF5">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w:t>
      </w:r>
      <w:proofErr w:type="gramStart"/>
      <w:r w:rsidRPr="00FF007A">
        <w:rPr>
          <w:rFonts w:ascii="Verdana" w:eastAsia="Calibri" w:hAnsi="Verdana" w:cs="Arial"/>
          <w:sz w:val="20"/>
          <w:szCs w:val="20"/>
        </w:rPr>
        <w:t>que</w:t>
      </w:r>
      <w:proofErr w:type="gramEnd"/>
      <w:r w:rsidRPr="00FF007A">
        <w:rPr>
          <w:rFonts w:ascii="Verdana" w:eastAsia="Calibri" w:hAnsi="Verdana" w:cs="Arial"/>
          <w:sz w:val="20"/>
          <w:szCs w:val="20"/>
        </w:rPr>
        <w:t xml:space="preserv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1"/>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2"/>
      </w:r>
      <w:r w:rsidRPr="00FF007A">
        <w:rPr>
          <w:rFonts w:ascii="Verdana" w:eastAsia="Calibri" w:hAnsi="Verdana" w:cs="Arial"/>
          <w:sz w:val="20"/>
          <w:szCs w:val="20"/>
        </w:rPr>
        <w:t>.</w:t>
      </w:r>
    </w:p>
    <w:p w14:paraId="529DBA85" w14:textId="77777777" w:rsidR="00F95AF5" w:rsidRDefault="00F95AF5" w:rsidP="00F95AF5">
      <w:pPr>
        <w:spacing w:after="0" w:line="240" w:lineRule="auto"/>
        <w:ind w:firstLine="709"/>
        <w:jc w:val="both"/>
        <w:rPr>
          <w:rFonts w:ascii="Verdana" w:eastAsia="Times New Roman" w:hAnsi="Verdana" w:cs="Arial"/>
          <w:lang w:eastAsia="x-none"/>
        </w:rPr>
      </w:pPr>
    </w:p>
    <w:p w14:paraId="08096519" w14:textId="77777777" w:rsidR="00F95AF5" w:rsidRPr="00FF007A" w:rsidRDefault="00F95AF5" w:rsidP="00F95AF5">
      <w:pPr>
        <w:spacing w:after="120" w:line="276" w:lineRule="auto"/>
        <w:ind w:firstLine="708"/>
        <w:jc w:val="both"/>
        <w:rPr>
          <w:rFonts w:ascii="Verdana" w:eastAsia="Times New Roman" w:hAnsi="Verdana" w:cs="Arial"/>
          <w:bCs/>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F007A">
        <w:rPr>
          <w:rFonts w:ascii="Verdana" w:eastAsia="Times New Roman" w:hAnsi="Verdana" w:cs="Arial"/>
          <w:vertAlign w:val="superscript"/>
          <w:lang w:eastAsia="x-none"/>
        </w:rPr>
        <w:footnoteReference w:id="13"/>
      </w:r>
      <w:r w:rsidRPr="00FF007A">
        <w:rPr>
          <w:rFonts w:ascii="Verdana" w:eastAsia="Times New Roman" w:hAnsi="Verdana" w:cs="Arial"/>
          <w:lang w:eastAsia="x-none"/>
        </w:rPr>
        <w:t xml:space="preserve"> y sistematizó las causales de contratación directa</w:t>
      </w:r>
      <w:r w:rsidRPr="00FF007A">
        <w:rPr>
          <w:rFonts w:ascii="Verdana" w:eastAsia="Times New Roman" w:hAnsi="Verdana" w:cs="Arial"/>
          <w:vertAlign w:val="superscript"/>
          <w:lang w:eastAsia="x-none"/>
        </w:rPr>
        <w:footnoteReference w:id="14"/>
      </w:r>
      <w:r w:rsidRPr="00FF007A">
        <w:rPr>
          <w:rFonts w:ascii="Verdana" w:eastAsia="Times New Roman" w:hAnsi="Verdana" w:cs="Arial"/>
          <w:lang w:eastAsia="x-none"/>
        </w:rPr>
        <w:t xml:space="preserve">, </w:t>
      </w:r>
      <w:r w:rsidRPr="00FF007A">
        <w:rPr>
          <w:rFonts w:ascii="Verdana" w:eastAsia="Calibri" w:hAnsi="Verdana" w:cs="Arial"/>
          <w:lang w:eastAsia="x-none"/>
        </w:rPr>
        <w:t xml:space="preserve">además lo es con la posterior creación de </w:t>
      </w:r>
      <w:r w:rsidRPr="00FF007A">
        <w:rPr>
          <w:rFonts w:ascii="Verdana" w:eastAsia="Calibri" w:hAnsi="Verdana" w:cs="Arial"/>
          <w:lang w:eastAsia="x-none"/>
        </w:rPr>
        <w:lastRenderedPageBreak/>
        <w:t>la modalidad de mínima cuantía establecida actualmente en el numeral 5 del artículo 2 de la Ley 1150 de 2007, de acuerdo con las modificaciones realizadas por leyes posteriores.</w:t>
      </w:r>
    </w:p>
    <w:p w14:paraId="6B782F52" w14:textId="77777777" w:rsidR="00F95AF5" w:rsidRPr="00FF007A" w:rsidRDefault="00F95AF5" w:rsidP="00F95AF5">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5"/>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7CBC4250" w14:textId="77777777" w:rsidR="00F95AF5" w:rsidRDefault="00F95AF5" w:rsidP="00036A58">
      <w:pPr>
        <w:spacing w:after="120" w:line="276" w:lineRule="auto"/>
        <w:ind w:firstLine="709"/>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3C4E9D8" w14:textId="77777777" w:rsidR="008258C7" w:rsidRPr="00F02C5A" w:rsidRDefault="008258C7" w:rsidP="00036A58">
      <w:pPr>
        <w:spacing w:after="120" w:line="276" w:lineRule="auto"/>
        <w:ind w:firstLine="709"/>
        <w:jc w:val="both"/>
        <w:rPr>
          <w:rFonts w:ascii="Verdana" w:eastAsia="Times New Roman" w:hAnsi="Verdana" w:cs="Arial"/>
          <w:lang w:val="es-MX" w:eastAsia="x-none"/>
        </w:rPr>
      </w:pPr>
      <w:bookmarkStart w:id="5" w:name="_Hlk77237094"/>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5"/>
    </w:p>
    <w:p w14:paraId="53FAB52C" w14:textId="77777777" w:rsidR="00F95AF5" w:rsidRPr="00FF007A" w:rsidRDefault="00F95AF5" w:rsidP="00573D71">
      <w:pPr>
        <w:spacing w:after="120" w:line="276" w:lineRule="auto"/>
        <w:ind w:firstLine="709"/>
        <w:jc w:val="both"/>
        <w:rPr>
          <w:rFonts w:ascii="Verdana" w:eastAsia="Times New Roman" w:hAnsi="Verdana" w:cs="Arial"/>
        </w:rPr>
      </w:pPr>
      <w:r w:rsidRPr="00FF007A">
        <w:rPr>
          <w:rFonts w:ascii="Verdana" w:eastAsia="Times New Roman" w:hAnsi="Verdana" w:cs="Arial"/>
          <w:bCs/>
          <w:lang w:eastAsia="es-CO"/>
        </w:rPr>
        <w:t xml:space="preserve">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 xml:space="preserve">la Ley 996 de 2005 señala expresamente que son </w:t>
      </w:r>
      <w:r w:rsidRPr="00FF007A">
        <w:rPr>
          <w:rFonts w:ascii="Verdana" w:eastAsia="Times New Roman" w:hAnsi="Verdana" w:cs="Arial"/>
        </w:rPr>
        <w:lastRenderedPageBreak/>
        <w:t>“</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54053E23" w14:textId="77777777" w:rsidR="00F95AF5" w:rsidRPr="00FF007A" w:rsidRDefault="00F95AF5" w:rsidP="00F95AF5">
      <w:pPr>
        <w:spacing w:after="0" w:line="276" w:lineRule="auto"/>
        <w:ind w:firstLine="708"/>
        <w:jc w:val="both"/>
        <w:rPr>
          <w:rFonts w:ascii="Verdana" w:eastAsia="Times New Roman" w:hAnsi="Verdana" w:cs="Arial"/>
        </w:rPr>
      </w:pPr>
    </w:p>
    <w:p w14:paraId="682DA6CB" w14:textId="77777777" w:rsidR="00F95AF5" w:rsidRPr="00FF007A" w:rsidRDefault="00F95AF5" w:rsidP="00F95AF5">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6"/>
      </w:r>
      <w:r w:rsidRPr="00FF007A">
        <w:rPr>
          <w:rFonts w:ascii="Verdana" w:eastAsia="Times New Roman" w:hAnsi="Verdana" w:cs="Arial"/>
          <w:bCs/>
          <w:sz w:val="20"/>
          <w:szCs w:val="20"/>
          <w:lang w:eastAsia="es-CO"/>
        </w:rPr>
        <w:t>.</w:t>
      </w:r>
    </w:p>
    <w:p w14:paraId="3A64B108" w14:textId="77777777" w:rsidR="00F95AF5" w:rsidRPr="00FF007A" w:rsidRDefault="00F95AF5" w:rsidP="00036A58">
      <w:pPr>
        <w:spacing w:before="240" w:after="120" w:line="276" w:lineRule="auto"/>
        <w:ind w:firstLine="709"/>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7"/>
      </w:r>
      <w:r w:rsidRPr="00FF007A">
        <w:rPr>
          <w:rFonts w:ascii="Verdana" w:hAnsi="Verdana" w:cs="Arial"/>
          <w:bCs/>
          <w:sz w:val="20"/>
          <w:szCs w:val="20"/>
          <w:lang w:eastAsia="x-none"/>
        </w:rPr>
        <w:t>.</w:t>
      </w:r>
    </w:p>
    <w:p w14:paraId="43E86057" w14:textId="77777777" w:rsidR="00F95AF5" w:rsidRPr="00FF007A" w:rsidRDefault="00F95AF5" w:rsidP="00036A58">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4C4BAAE" w14:textId="77777777" w:rsidR="00F95AF5" w:rsidRPr="00FF007A" w:rsidRDefault="00F95AF5" w:rsidP="00036A58">
      <w:pPr>
        <w:spacing w:before="120" w:after="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lastRenderedPageBreak/>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4A3A6D37" w14:textId="77777777" w:rsidR="00F95AF5" w:rsidRPr="00FF007A" w:rsidRDefault="00F95AF5" w:rsidP="00F95AF5">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3E7CC62D" w14:textId="77777777" w:rsidR="00F95AF5" w:rsidRPr="00FF007A" w:rsidRDefault="00F95AF5" w:rsidP="00F95AF5">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w:t>
      </w:r>
      <w:proofErr w:type="spellEnd"/>
      <w:r w:rsidRPr="00FF007A">
        <w:rPr>
          <w:rFonts w:ascii="Verdana" w:hAnsi="Verdana" w:cs="Arial"/>
          <w:bCs/>
          <w:color w:val="000000" w:themeColor="text1"/>
        </w:rPr>
        <w:t>) Los contratos de crédito público;</w:t>
      </w:r>
    </w:p>
    <w:p w14:paraId="53CB751A" w14:textId="77777777" w:rsidR="00F95AF5" w:rsidRPr="00FF007A" w:rsidRDefault="00F95AF5" w:rsidP="00F95AF5">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iii</w:t>
      </w:r>
      <w:proofErr w:type="spellEnd"/>
      <w:r w:rsidRPr="00FF007A">
        <w:rPr>
          <w:rFonts w:ascii="Verdana" w:hAnsi="Verdana" w:cs="Arial"/>
          <w:bCs/>
          <w:color w:val="000000" w:themeColor="text1"/>
        </w:rPr>
        <w:t xml:space="preserve">) Los contratos requeridos para cubrir las emergencias educativas, sanitarias y desastres; </w:t>
      </w:r>
    </w:p>
    <w:p w14:paraId="3F584E99" w14:textId="77777777" w:rsidR="00F95AF5" w:rsidRPr="00FF007A" w:rsidRDefault="00F95AF5" w:rsidP="00F95AF5">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iv</w:t>
      </w:r>
      <w:proofErr w:type="spellEnd"/>
      <w:r w:rsidRPr="00FF007A">
        <w:rPr>
          <w:rFonts w:ascii="Verdana" w:hAnsi="Verdana" w:cs="Arial"/>
          <w:bCs/>
          <w:color w:val="000000" w:themeColor="text1"/>
        </w:rPr>
        <w:t>) La contratación para la reconstrucción de vías, puentes, carreteras, infraestructura energética y de comunicaciones, en caso de que hayan sido objeto de atentados, acciones terroristas, desastres naturales o casos de fuerza mayor y;</w:t>
      </w:r>
    </w:p>
    <w:p w14:paraId="39CC097E" w14:textId="77777777" w:rsidR="00F95AF5" w:rsidRPr="00FF007A" w:rsidRDefault="00F95AF5" w:rsidP="00F95AF5">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6394EC4E" w14:textId="77777777" w:rsidR="00F95AF5" w:rsidRPr="00FF007A" w:rsidRDefault="00F95AF5" w:rsidP="00036A58">
      <w:pPr>
        <w:spacing w:before="240" w:after="12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8"/>
      </w:r>
      <w:r w:rsidRPr="00FF007A">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33A5BC1" w14:textId="77777777" w:rsidR="00F95AF5" w:rsidRPr="00FF007A" w:rsidRDefault="00F95AF5" w:rsidP="00036A58">
      <w:pPr>
        <w:tabs>
          <w:tab w:val="left" w:pos="426"/>
        </w:tabs>
        <w:spacing w:before="120" w:after="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50DED8C6" w14:textId="77777777" w:rsidR="00F95AF5" w:rsidRDefault="00F95AF5" w:rsidP="00F95AF5">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lastRenderedPageBreak/>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19"/>
      </w:r>
      <w:r w:rsidRPr="00FF007A">
        <w:rPr>
          <w:rFonts w:ascii="Verdana" w:hAnsi="Verdana" w:cs="Arial"/>
          <w:color w:val="000000" w:themeColor="text1"/>
          <w:sz w:val="20"/>
          <w:szCs w:val="20"/>
          <w:lang w:eastAsia="es-CO"/>
        </w:rPr>
        <w:t xml:space="preserve">”. </w:t>
      </w:r>
    </w:p>
    <w:p w14:paraId="30A73A2C" w14:textId="77777777" w:rsidR="00036A58" w:rsidRPr="00FF007A" w:rsidRDefault="00036A58" w:rsidP="00F95AF5">
      <w:pPr>
        <w:shd w:val="clear" w:color="auto" w:fill="FFFFFF"/>
        <w:spacing w:after="0" w:line="240" w:lineRule="auto"/>
        <w:ind w:left="709" w:right="709"/>
        <w:jc w:val="both"/>
        <w:rPr>
          <w:rFonts w:ascii="Verdana" w:hAnsi="Verdana" w:cs="Arial"/>
          <w:color w:val="000000" w:themeColor="text1"/>
          <w:sz w:val="20"/>
          <w:szCs w:val="20"/>
          <w:lang w:eastAsia="es-CO"/>
        </w:rPr>
      </w:pPr>
    </w:p>
    <w:p w14:paraId="102EFFB8" w14:textId="77777777" w:rsidR="00F95AF5" w:rsidRPr="00FF007A" w:rsidRDefault="00F95AF5" w:rsidP="00F95AF5">
      <w:pPr>
        <w:tabs>
          <w:tab w:val="left" w:pos="426"/>
        </w:tabs>
        <w:spacing w:before="120" w:after="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7614FCDF" w14:textId="77777777" w:rsidR="00F95AF5" w:rsidRPr="00FF007A" w:rsidRDefault="00F95AF5" w:rsidP="00F95AF5">
      <w:pPr>
        <w:tabs>
          <w:tab w:val="left" w:pos="426"/>
        </w:tabs>
        <w:spacing w:after="0" w:line="276" w:lineRule="auto"/>
        <w:ind w:firstLine="709"/>
        <w:jc w:val="both"/>
        <w:rPr>
          <w:rFonts w:ascii="Verdana" w:hAnsi="Verdana" w:cs="Arial"/>
          <w:color w:val="000000" w:themeColor="text1"/>
        </w:rPr>
      </w:pPr>
    </w:p>
    <w:p w14:paraId="1E35FEB6" w14:textId="77777777" w:rsidR="00F95AF5" w:rsidRPr="00FF007A" w:rsidRDefault="00F95AF5" w:rsidP="00F95AF5">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18793DCC" w14:textId="77777777" w:rsidR="00F95AF5" w:rsidRDefault="00F95AF5" w:rsidP="00F95AF5">
      <w:pPr>
        <w:spacing w:after="0" w:line="240" w:lineRule="auto"/>
        <w:ind w:left="709" w:right="709"/>
        <w:jc w:val="both"/>
        <w:rPr>
          <w:rFonts w:ascii="Verdana" w:hAnsi="Verdana" w:cs="Arial"/>
          <w:color w:val="000000" w:themeColor="text1"/>
          <w:sz w:val="20"/>
          <w:szCs w:val="20"/>
          <w:shd w:val="clear" w:color="auto" w:fill="FFFFFF"/>
        </w:rPr>
      </w:pPr>
    </w:p>
    <w:p w14:paraId="7E447EFE" w14:textId="77777777" w:rsidR="00F95AF5" w:rsidRPr="00FF007A" w:rsidRDefault="00F95AF5" w:rsidP="00F95AF5">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24C8C5D8" w14:textId="77777777" w:rsidR="00F95AF5" w:rsidRDefault="00F95AF5" w:rsidP="00F95AF5">
      <w:pPr>
        <w:spacing w:after="0" w:line="240" w:lineRule="auto"/>
        <w:ind w:left="709" w:right="709"/>
        <w:jc w:val="both"/>
        <w:rPr>
          <w:rFonts w:ascii="Verdana" w:hAnsi="Verdana" w:cs="Arial"/>
          <w:color w:val="000000" w:themeColor="text1"/>
          <w:sz w:val="20"/>
          <w:szCs w:val="20"/>
          <w:shd w:val="clear" w:color="auto" w:fill="FFFFFF"/>
        </w:rPr>
      </w:pPr>
    </w:p>
    <w:p w14:paraId="455AB4C7" w14:textId="77777777" w:rsidR="00F95AF5" w:rsidRPr="00FF007A" w:rsidRDefault="00F95AF5" w:rsidP="00F95AF5">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43D610CE" w14:textId="77777777" w:rsidR="00F95AF5" w:rsidRDefault="00F95AF5" w:rsidP="00F95AF5">
      <w:pPr>
        <w:spacing w:after="0" w:line="240" w:lineRule="auto"/>
        <w:ind w:left="709" w:right="709"/>
        <w:jc w:val="both"/>
        <w:rPr>
          <w:rFonts w:ascii="Verdana" w:hAnsi="Verdana" w:cs="Arial"/>
          <w:color w:val="000000" w:themeColor="text1"/>
          <w:sz w:val="20"/>
          <w:szCs w:val="20"/>
          <w:shd w:val="clear" w:color="auto" w:fill="FFFFFF"/>
        </w:rPr>
      </w:pPr>
    </w:p>
    <w:p w14:paraId="064F98DD" w14:textId="77777777" w:rsidR="00F95AF5" w:rsidRPr="00FF007A" w:rsidRDefault="00F95AF5" w:rsidP="00F95AF5">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20"/>
      </w:r>
      <w:r w:rsidRPr="00FF007A">
        <w:rPr>
          <w:rFonts w:ascii="Verdana" w:hAnsi="Verdana" w:cs="Arial"/>
          <w:color w:val="000000" w:themeColor="text1"/>
          <w:sz w:val="20"/>
          <w:szCs w:val="20"/>
          <w:shd w:val="clear" w:color="auto" w:fill="FFFFFF"/>
        </w:rPr>
        <w:t>.</w:t>
      </w:r>
    </w:p>
    <w:p w14:paraId="36A80A96" w14:textId="77777777" w:rsidR="00F95AF5" w:rsidRPr="00FF007A" w:rsidRDefault="00F95AF5" w:rsidP="00F95AF5">
      <w:pPr>
        <w:spacing w:after="0" w:line="240" w:lineRule="auto"/>
        <w:ind w:left="709" w:right="709"/>
        <w:jc w:val="both"/>
        <w:rPr>
          <w:rFonts w:ascii="Verdana" w:hAnsi="Verdana" w:cs="Arial"/>
          <w:color w:val="000000" w:themeColor="text1"/>
          <w:sz w:val="20"/>
          <w:szCs w:val="20"/>
          <w:shd w:val="clear" w:color="auto" w:fill="FFFFFF"/>
        </w:rPr>
      </w:pPr>
    </w:p>
    <w:p w14:paraId="67AAEE16" w14:textId="77777777" w:rsidR="00F95AF5" w:rsidRPr="00FF007A" w:rsidRDefault="00F95AF5" w:rsidP="00036A58">
      <w:pPr>
        <w:tabs>
          <w:tab w:val="left" w:pos="426"/>
        </w:tabs>
        <w:spacing w:after="120" w:line="276" w:lineRule="auto"/>
        <w:ind w:firstLine="425"/>
        <w:jc w:val="both"/>
        <w:rPr>
          <w:rFonts w:ascii="Verdana" w:hAnsi="Verdana" w:cs="Arial"/>
          <w:bCs/>
          <w:color w:val="000000" w:themeColor="text1"/>
        </w:rPr>
      </w:pPr>
      <w:r w:rsidRPr="00FF007A">
        <w:rPr>
          <w:rFonts w:ascii="Verdana" w:hAnsi="Verdana" w:cs="Arial"/>
          <w:bCs/>
          <w:color w:val="000000" w:themeColor="text1"/>
        </w:rPr>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37CBAC7" w14:textId="77777777" w:rsidR="00F95AF5" w:rsidRPr="002E5606" w:rsidRDefault="00F95AF5" w:rsidP="00036A58">
      <w:pPr>
        <w:spacing w:before="240" w:after="120" w:line="276" w:lineRule="auto"/>
        <w:ind w:firstLine="425"/>
        <w:jc w:val="both"/>
        <w:rPr>
          <w:rFonts w:ascii="Verdana" w:eastAsia="Arial" w:hAnsi="Verdana" w:cs="Arial"/>
          <w:bCs/>
          <w:color w:val="000000" w:themeColor="text1"/>
          <w:highlight w:val="yellow"/>
        </w:rPr>
      </w:pPr>
      <w:r w:rsidRPr="002E5606">
        <w:rPr>
          <w:rFonts w:ascii="Verdana" w:eastAsia="Arial" w:hAnsi="Verdana" w:cs="Arial"/>
          <w:bCs/>
          <w:color w:val="000000" w:themeColor="text1"/>
        </w:rPr>
        <w:t xml:space="preserve">Por otro lado, la prohibición establecida en el </w:t>
      </w:r>
      <w:r w:rsidRPr="002E5606">
        <w:rPr>
          <w:rFonts w:ascii="Verdana" w:eastAsia="Arial" w:hAnsi="Verdana" w:cs="Arial"/>
          <w:bCs/>
          <w:i/>
          <w:iCs/>
          <w:color w:val="000000" w:themeColor="text1"/>
        </w:rPr>
        <w:t xml:space="preserve">parágrafo del artículo 38 </w:t>
      </w:r>
      <w:r w:rsidRPr="002E5606">
        <w:rPr>
          <w:rFonts w:ascii="Verdana" w:eastAsia="Calibri" w:hAnsi="Verdana" w:cs="Arial"/>
          <w:bCs/>
        </w:rPr>
        <w:t xml:space="preserve">de la Ley 996 de 2005 dispone que “los Gobernadores, </w:t>
      </w:r>
      <w:proofErr w:type="gramStart"/>
      <w:r w:rsidRPr="002E5606">
        <w:rPr>
          <w:rFonts w:ascii="Verdana" w:eastAsia="Calibri" w:hAnsi="Verdana" w:cs="Arial"/>
          <w:bCs/>
        </w:rPr>
        <w:t>Alcaldes</w:t>
      </w:r>
      <w:proofErr w:type="gramEnd"/>
      <w:r w:rsidRPr="002E5606">
        <w:rPr>
          <w:rFonts w:ascii="Verdana" w:eastAsia="Calibri" w:hAnsi="Verdana" w:cs="Arial"/>
          <w:bCs/>
        </w:rPr>
        <w:t xml:space="preserve"> Municipales y/o Distritales, </w:t>
      </w:r>
      <w:proofErr w:type="gramStart"/>
      <w:r w:rsidRPr="002E5606">
        <w:rPr>
          <w:rFonts w:ascii="Verdana" w:eastAsia="Calibri" w:hAnsi="Verdana" w:cs="Arial"/>
          <w:bCs/>
        </w:rPr>
        <w:t>Secretarios</w:t>
      </w:r>
      <w:proofErr w:type="gramEnd"/>
      <w:r w:rsidRPr="002E5606">
        <w:rPr>
          <w:rFonts w:ascii="Verdana" w:eastAsia="Calibri" w:hAnsi="Verdana" w:cs="Arial"/>
          <w:bCs/>
        </w:rPr>
        <w:t>, Gerentes y directores</w:t>
      </w:r>
      <w:r w:rsidRPr="00FF007A">
        <w:rPr>
          <w:rFonts w:ascii="Verdana" w:eastAsia="Calibri" w:hAnsi="Verdana" w:cs="Arial"/>
          <w:bCs/>
        </w:rPr>
        <w:t xml:space="preserve"> de Entidades Descentralizadas del orden Municipal, Departamental o Distrital, dentro de los cuatro (4) meses anteriores a las elecciones, no podrán celebrar convenios interadministrativos </w:t>
      </w:r>
      <w:r w:rsidRPr="00FF007A">
        <w:rPr>
          <w:rFonts w:ascii="Verdana" w:eastAsia="Calibri" w:hAnsi="Verdana" w:cs="Arial"/>
          <w:bCs/>
        </w:rPr>
        <w:lastRenderedPageBreak/>
        <w:t>para la ejecución de recursos públicos”.</w:t>
      </w:r>
      <w:r w:rsidRPr="00FF007A">
        <w:rPr>
          <w:rFonts w:ascii="Verdana" w:hAnsi="Verdana" w:cs="Arial"/>
          <w:bCs/>
          <w:iCs/>
          <w:lang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F007A">
        <w:rPr>
          <w:rStyle w:val="Refdenotaalpie"/>
          <w:rFonts w:ascii="Verdana" w:hAnsi="Verdana" w:cs="Arial"/>
          <w:bCs/>
          <w:iCs/>
          <w:lang w:eastAsia="x-none"/>
        </w:rPr>
        <w:footnoteReference w:id="21"/>
      </w:r>
      <w:r w:rsidRPr="00FF007A">
        <w:rPr>
          <w:rFonts w:ascii="Verdana" w:hAnsi="Verdana" w:cs="Arial"/>
          <w:bCs/>
          <w:iCs/>
          <w:lang w:eastAsia="x-none"/>
        </w:rPr>
        <w:t>.</w:t>
      </w:r>
      <w:r w:rsidRPr="00FF007A">
        <w:rPr>
          <w:rFonts w:ascii="Verdana" w:hAnsi="Verdana" w:cs="Arial"/>
        </w:rPr>
        <w:t xml:space="preserve"> </w:t>
      </w:r>
      <w:bookmarkStart w:id="6" w:name="_Hlk78820161"/>
    </w:p>
    <w:bookmarkEnd w:id="6"/>
    <w:p w14:paraId="031636A5" w14:textId="77777777" w:rsidR="00F95AF5" w:rsidRPr="00461891" w:rsidRDefault="00F95AF5" w:rsidP="00036A58">
      <w:pPr>
        <w:spacing w:after="120" w:line="276" w:lineRule="auto"/>
        <w:ind w:firstLine="425"/>
        <w:jc w:val="both"/>
        <w:rPr>
          <w:rFonts w:ascii="Verdana" w:eastAsia="Calibri" w:hAnsi="Verdana" w:cs="Arial"/>
          <w:lang w:bidi="es-ES"/>
        </w:rPr>
      </w:pPr>
      <w:r w:rsidRPr="00461891">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63AFCF6" w14:textId="77777777" w:rsidR="00F95AF5" w:rsidRPr="00461891" w:rsidRDefault="00F95AF5" w:rsidP="00036A58">
      <w:pPr>
        <w:spacing w:after="120" w:line="276" w:lineRule="auto"/>
        <w:ind w:firstLine="425"/>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22"/>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23"/>
      </w:r>
      <w:r w:rsidRPr="00461891">
        <w:rPr>
          <w:rFonts w:ascii="Verdana" w:eastAsia="Arial" w:hAnsi="Verdana" w:cs="Arial"/>
          <w:lang w:val="es-ES" w:eastAsia="es-ES" w:bidi="es-ES"/>
        </w:rPr>
        <w:t>.</w:t>
      </w:r>
    </w:p>
    <w:p w14:paraId="20071282" w14:textId="77777777" w:rsidR="00F95AF5" w:rsidRPr="00461891" w:rsidRDefault="00F95AF5" w:rsidP="00036A58">
      <w:pPr>
        <w:widowControl w:val="0"/>
        <w:autoSpaceDE w:val="0"/>
        <w:autoSpaceDN w:val="0"/>
        <w:spacing w:after="120" w:line="276" w:lineRule="auto"/>
        <w:ind w:firstLine="425"/>
        <w:contextualSpacing/>
        <w:jc w:val="both"/>
        <w:rPr>
          <w:rFonts w:ascii="Verdana" w:eastAsia="Arial" w:hAnsi="Verdana" w:cs="Arial"/>
          <w:lang w:val="es-ES" w:eastAsia="es-ES" w:bidi="es-ES"/>
        </w:rPr>
      </w:pPr>
      <w:r w:rsidRPr="00461891">
        <w:rPr>
          <w:rFonts w:ascii="Verdana" w:eastAsia="Calibri" w:hAnsi="Verdana" w:cs="Arial"/>
          <w:lang w:val="es-ES" w:bidi="es-ES"/>
        </w:rPr>
        <w:lastRenderedPageBreak/>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4A5DC4FB" w14:textId="77777777" w:rsidR="00F95AF5" w:rsidRPr="00461891" w:rsidRDefault="00F95AF5" w:rsidP="00F95AF5">
      <w:pPr>
        <w:widowControl w:val="0"/>
        <w:autoSpaceDE w:val="0"/>
        <w:autoSpaceDN w:val="0"/>
        <w:spacing w:after="0" w:line="276" w:lineRule="auto"/>
        <w:contextualSpacing/>
        <w:jc w:val="both"/>
        <w:rPr>
          <w:rFonts w:ascii="Verdana" w:eastAsia="Arial" w:hAnsi="Verdana" w:cs="Arial"/>
          <w:lang w:val="es-ES" w:eastAsia="es-ES" w:bidi="es-ES"/>
        </w:rPr>
      </w:pPr>
    </w:p>
    <w:p w14:paraId="0A5AB1E2" w14:textId="77777777" w:rsidR="00F95AF5" w:rsidRPr="00461891" w:rsidRDefault="00F95AF5" w:rsidP="00F95AF5">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5466DB0E" w14:textId="77777777" w:rsidR="00F95AF5" w:rsidRPr="00461891" w:rsidRDefault="00F95AF5" w:rsidP="00F95AF5">
      <w:pPr>
        <w:spacing w:after="0" w:line="240" w:lineRule="auto"/>
        <w:ind w:left="709" w:right="709"/>
        <w:jc w:val="both"/>
        <w:rPr>
          <w:rFonts w:ascii="Verdana" w:eastAsia="Calibri" w:hAnsi="Verdana" w:cs="Arial"/>
          <w:sz w:val="20"/>
          <w:szCs w:val="20"/>
          <w:lang w:val="es-MX"/>
        </w:rPr>
      </w:pPr>
    </w:p>
    <w:p w14:paraId="08EE8B85" w14:textId="77777777" w:rsidR="00F95AF5" w:rsidRPr="00461891" w:rsidRDefault="00F95AF5" w:rsidP="00F95AF5">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426B2237" w14:textId="77777777" w:rsidR="00F95AF5" w:rsidRPr="00461891" w:rsidRDefault="00F95AF5" w:rsidP="00F95AF5">
      <w:pPr>
        <w:spacing w:after="0" w:line="240" w:lineRule="auto"/>
        <w:ind w:left="709" w:right="709"/>
        <w:jc w:val="both"/>
        <w:rPr>
          <w:rFonts w:ascii="Verdana" w:eastAsia="Calibri" w:hAnsi="Verdana" w:cs="Arial"/>
          <w:sz w:val="20"/>
          <w:szCs w:val="20"/>
          <w:lang w:val="es-MX"/>
        </w:rPr>
      </w:pPr>
    </w:p>
    <w:p w14:paraId="230C7AF6" w14:textId="77777777" w:rsidR="00F95AF5" w:rsidRPr="00461891" w:rsidRDefault="00F95AF5" w:rsidP="00F95AF5">
      <w:pPr>
        <w:spacing w:after="0" w:line="240" w:lineRule="auto"/>
        <w:ind w:left="709" w:right="709"/>
        <w:jc w:val="both"/>
        <w:rPr>
          <w:rFonts w:ascii="Verdana" w:eastAsia="Calibri" w:hAnsi="Verdana" w:cs="Arial"/>
          <w:sz w:val="20"/>
          <w:szCs w:val="20"/>
          <w:lang w:val="es-MX"/>
        </w:rPr>
      </w:pPr>
      <w:bookmarkStart w:id="7"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7"/>
      <w:r w:rsidRPr="00461891">
        <w:rPr>
          <w:rFonts w:ascii="Verdana" w:eastAsia="Calibri" w:hAnsi="Verdana" w:cs="Arial"/>
          <w:sz w:val="20"/>
          <w:szCs w:val="20"/>
          <w:lang w:val="es-MX"/>
        </w:rPr>
        <w:t>o”.</w:t>
      </w:r>
    </w:p>
    <w:p w14:paraId="30D6072F" w14:textId="77777777" w:rsidR="00F95AF5" w:rsidRPr="00461891" w:rsidRDefault="00F95AF5" w:rsidP="00F95AF5">
      <w:pPr>
        <w:widowControl w:val="0"/>
        <w:autoSpaceDE w:val="0"/>
        <w:autoSpaceDN w:val="0"/>
        <w:spacing w:after="0" w:line="276" w:lineRule="auto"/>
        <w:contextualSpacing/>
        <w:jc w:val="both"/>
        <w:rPr>
          <w:rFonts w:ascii="Verdana" w:eastAsia="Arial" w:hAnsi="Verdana" w:cs="Arial"/>
          <w:lang w:val="es-ES" w:eastAsia="es-ES" w:bidi="es-ES"/>
        </w:rPr>
      </w:pPr>
    </w:p>
    <w:p w14:paraId="1DDE6B6C" w14:textId="77777777" w:rsidR="00F95AF5" w:rsidRPr="00461891" w:rsidRDefault="00F95AF5" w:rsidP="00036A58">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 xml:space="preserve">Con base en lo expuesto, debido a que no existe una definición legal que diferencie los conceptos de contrato y convenio, esta Agencia ha partido de su asimilación para la aplicación de la Ley de Garantías Electorales, por lo que la </w:t>
      </w:r>
      <w:r w:rsidRPr="00461891">
        <w:rPr>
          <w:rFonts w:ascii="Verdana" w:eastAsia="Arial" w:hAnsi="Verdana" w:cs="Arial"/>
          <w:lang w:val="es-ES" w:eastAsia="es-ES" w:bidi="es-ES"/>
        </w:rPr>
        <w:lastRenderedPageBreak/>
        <w:t>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78CBBD70" w14:textId="77777777" w:rsidR="00F95AF5" w:rsidRPr="00461891" w:rsidRDefault="00F95AF5" w:rsidP="00036A58">
      <w:pPr>
        <w:spacing w:after="120" w:line="276" w:lineRule="auto"/>
        <w:ind w:firstLine="709"/>
        <w:jc w:val="both"/>
      </w:pPr>
      <w:r w:rsidRPr="00461891">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24"/>
      </w:r>
      <w:r w:rsidRPr="00461891">
        <w:rPr>
          <w:rFonts w:ascii="Verdana" w:hAnsi="Verdana"/>
        </w:rPr>
        <w:t>:</w:t>
      </w:r>
      <w:r w:rsidRPr="00461891">
        <w:t xml:space="preserve"> </w:t>
      </w:r>
    </w:p>
    <w:p w14:paraId="3B2F5C29" w14:textId="77777777" w:rsidR="00F95AF5" w:rsidRPr="00461891" w:rsidRDefault="00F95AF5" w:rsidP="00F95AF5">
      <w:pPr>
        <w:spacing w:after="0" w:line="276" w:lineRule="auto"/>
        <w:ind w:firstLine="709"/>
        <w:jc w:val="both"/>
      </w:pPr>
    </w:p>
    <w:p w14:paraId="22EF6F15" w14:textId="77777777" w:rsidR="00F95AF5" w:rsidRPr="00461891" w:rsidRDefault="00F95AF5" w:rsidP="00F95AF5">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6853877" w14:textId="77777777" w:rsidR="00F95AF5" w:rsidRPr="00461891" w:rsidRDefault="00F95AF5" w:rsidP="00F95AF5">
      <w:pPr>
        <w:spacing w:after="0" w:line="240" w:lineRule="auto"/>
        <w:ind w:left="709" w:right="709"/>
        <w:jc w:val="both"/>
        <w:rPr>
          <w:rFonts w:ascii="Verdana" w:eastAsia="Calibri" w:hAnsi="Verdana" w:cs="Arial"/>
          <w:sz w:val="20"/>
          <w:szCs w:val="20"/>
        </w:rPr>
      </w:pPr>
    </w:p>
    <w:p w14:paraId="4FD42424" w14:textId="77777777" w:rsidR="00F95AF5" w:rsidRPr="00461891" w:rsidRDefault="00F95AF5" w:rsidP="00F95AF5">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87B5D09" w14:textId="77777777" w:rsidR="00F95AF5" w:rsidRPr="00461891" w:rsidRDefault="00F95AF5" w:rsidP="00F95AF5">
      <w:pPr>
        <w:spacing w:after="0" w:line="276" w:lineRule="auto"/>
        <w:ind w:left="709" w:right="709"/>
        <w:jc w:val="both"/>
        <w:rPr>
          <w:rFonts w:ascii="Verdana" w:hAnsi="Verdana"/>
        </w:rPr>
      </w:pPr>
    </w:p>
    <w:p w14:paraId="4FACE195" w14:textId="77777777" w:rsidR="00F95AF5" w:rsidRPr="00461891" w:rsidRDefault="00F95AF5" w:rsidP="00036A58">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61891">
        <w:rPr>
          <w:rFonts w:ascii="Verdana" w:eastAsia="Arial" w:hAnsi="Verdana" w:cs="Arial"/>
          <w:lang w:eastAsia="es-ES" w:bidi="es-ES"/>
        </w:rPr>
        <w:t xml:space="preserve">Por tal motivo, para efectos de decretar la medida de suspensión </w:t>
      </w:r>
      <w:r w:rsidRPr="00461891">
        <w:rPr>
          <w:rFonts w:ascii="Verdana" w:eastAsia="Arial" w:hAnsi="Verdana" w:cs="Arial"/>
          <w:lang w:eastAsia="es-ES" w:bidi="es-ES"/>
        </w:rPr>
        <w:lastRenderedPageBreak/>
        <w:t xml:space="preserve">provisional de los apartes señalados del numeral </w:t>
      </w:r>
      <w:bookmarkStart w:id="8" w:name="_Hlk192497089"/>
      <w:r w:rsidRPr="00461891">
        <w:rPr>
          <w:rFonts w:ascii="Verdana" w:eastAsia="Arial" w:hAnsi="Verdana" w:cs="Arial"/>
          <w:lang w:eastAsia="es-ES" w:bidi="es-ES"/>
        </w:rPr>
        <w:t>16.2 de la Circular Externa Única</w:t>
      </w:r>
      <w:bookmarkEnd w:id="8"/>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656FDA0" w14:textId="77777777" w:rsidR="00F95AF5" w:rsidRPr="00461891" w:rsidRDefault="00F95AF5" w:rsidP="00036A58">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1F32ED12" w14:textId="77777777" w:rsidR="007561A1" w:rsidRDefault="00F95AF5" w:rsidP="00036A58">
      <w:pPr>
        <w:spacing w:after="120" w:line="276" w:lineRule="auto"/>
        <w:ind w:firstLine="709"/>
        <w:jc w:val="both"/>
        <w:rPr>
          <w:rFonts w:ascii="Verdana" w:eastAsia="Calibri" w:hAnsi="Verdana" w:cs="Arial"/>
          <w:lang w:val="es-MX"/>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a la fecha, se espera la decisión final respecto a la declaratoria de nulidad del numeral 16.2 de la Circular Externa Única que adopte el Consejo de Estado.</w:t>
      </w:r>
    </w:p>
    <w:p w14:paraId="0C5A9CE6" w14:textId="77777777" w:rsidR="007561A1" w:rsidRDefault="007561A1" w:rsidP="00036A58">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ES" w:eastAsia="es-CO" w:bidi="es-ES"/>
        </w:rPr>
        <w:t>En todo caso</w:t>
      </w:r>
      <w:r w:rsidRPr="00E2397D">
        <w:rPr>
          <w:rFonts w:ascii="Verdana" w:eastAsia="Arial" w:hAnsi="Verdana" w:cs="Arial"/>
          <w:lang w:val="es-ES" w:eastAsia="es-ES" w:bidi="es-ES"/>
        </w:rPr>
        <w:t xml:space="preserve">,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w:t>
      </w:r>
      <w:r w:rsidRPr="00E2397D">
        <w:rPr>
          <w:rFonts w:ascii="Verdana" w:eastAsia="Arial" w:hAnsi="Verdana" w:cs="Arial"/>
          <w:lang w:val="es-ES" w:eastAsia="es-ES" w:bidi="es-ES"/>
        </w:rPr>
        <w:lastRenderedPageBreak/>
        <w:t>derecho que tienen los ciudadanos al acceso y oportuna administración de justicia</w:t>
      </w:r>
      <w:r w:rsidRPr="00E2397D">
        <w:rPr>
          <w:rFonts w:ascii="Verdana" w:eastAsia="Arial" w:hAnsi="Verdana" w:cs="Arial"/>
          <w:vertAlign w:val="superscript"/>
          <w:lang w:val="es-ES" w:eastAsia="es-ES" w:bidi="es-ES"/>
        </w:rPr>
        <w:footnoteReference w:id="25"/>
      </w:r>
      <w:r>
        <w:rPr>
          <w:rFonts w:ascii="Verdana" w:eastAsia="Arial" w:hAnsi="Verdana" w:cs="Arial"/>
          <w:lang w:val="es-ES" w:eastAsia="es-ES" w:bidi="es-ES"/>
        </w:rPr>
        <w:t>.</w:t>
      </w:r>
    </w:p>
    <w:p w14:paraId="1511205F" w14:textId="5D98D34E" w:rsidR="00F95AF5" w:rsidRDefault="005B5423" w:rsidP="00036A58">
      <w:pPr>
        <w:spacing w:after="120" w:line="276" w:lineRule="auto"/>
        <w:ind w:firstLine="709"/>
        <w:jc w:val="both"/>
        <w:rPr>
          <w:rFonts w:ascii="Verdana" w:eastAsia="Calibri" w:hAnsi="Verdana" w:cs="Arial"/>
        </w:rPr>
      </w:pPr>
      <w:r w:rsidRPr="79F3ED1A">
        <w:rPr>
          <w:rFonts w:ascii="Verdana" w:eastAsia="Calibri" w:hAnsi="Verdana" w:cs="Arial"/>
        </w:rPr>
        <w:t xml:space="preserve">Ahora bien, en respuesta al problema jurídico </w:t>
      </w:r>
      <w:r w:rsidR="69E2BF91" w:rsidRPr="79F3ED1A">
        <w:rPr>
          <w:rFonts w:ascii="Verdana" w:eastAsia="Calibri" w:hAnsi="Verdana" w:cs="Arial"/>
        </w:rPr>
        <w:t>planteado, la</w:t>
      </w:r>
      <w:r w:rsidR="007C7B9E" w:rsidRPr="79F3ED1A">
        <w:rPr>
          <w:rFonts w:ascii="Verdana" w:eastAsia="Calibri" w:hAnsi="Verdana" w:cs="Arial"/>
        </w:rPr>
        <w:t xml:space="preserve"> </w:t>
      </w:r>
      <w:r w:rsidR="00F95AF5" w:rsidRPr="79F3ED1A">
        <w:rPr>
          <w:rFonts w:ascii="Verdana" w:eastAsia="Calibri" w:hAnsi="Verdana" w:cs="Arial"/>
        </w:rPr>
        <w:t>Ley 996 de 2005 establece restricciones a la contratación directa y a los convenios interadministrativos, con el fin de asegurar la transparencia y la igualdad en los procesos democráticos. La restricción a la celebración de convenios interadministrativos aplicable a las entidades territoriales y sus entes descentralizados inicia el 8 de noviembre de 2025, mientras que la restricción general a la contratación directa que cobija a todas la</w:t>
      </w:r>
      <w:r w:rsidR="00E97CD5" w:rsidRPr="79F3ED1A">
        <w:rPr>
          <w:rFonts w:ascii="Verdana" w:eastAsia="Calibri" w:hAnsi="Verdana" w:cs="Arial"/>
        </w:rPr>
        <w:t>s</w:t>
      </w:r>
      <w:r w:rsidR="00F95AF5" w:rsidRPr="79F3ED1A">
        <w:rPr>
          <w:rFonts w:ascii="Verdana" w:eastAsia="Calibri" w:hAnsi="Verdana" w:cs="Arial"/>
        </w:rPr>
        <w:t xml:space="preserve"> Entidades Estatales comienza a regir a partir del 31 de enero de 2026. Ambas restricciones se mantendrán hasta el 31 de mayo, o hasta el 21 de junio en caso de requerirse segunda vuelta en las elecciones presidenciales.</w:t>
      </w:r>
    </w:p>
    <w:p w14:paraId="31B96FDF" w14:textId="67B4EA91" w:rsidR="00243322" w:rsidRPr="003C4660" w:rsidRDefault="00243322" w:rsidP="00036A58">
      <w:pPr>
        <w:tabs>
          <w:tab w:val="num" w:pos="720"/>
        </w:tabs>
        <w:spacing w:before="120" w:after="120" w:line="276" w:lineRule="auto"/>
        <w:ind w:firstLine="709"/>
        <w:jc w:val="both"/>
        <w:rPr>
          <w:rFonts w:ascii="Verdana" w:eastAsia="Calibri" w:hAnsi="Verdana" w:cs="Arial"/>
        </w:rPr>
      </w:pPr>
      <w:r w:rsidRPr="79F3ED1A">
        <w:rPr>
          <w:rFonts w:ascii="Verdana" w:eastAsia="Calibri" w:hAnsi="Verdana" w:cs="Arial"/>
        </w:rPr>
        <w:t xml:space="preserve">En </w:t>
      </w:r>
      <w:r w:rsidR="00CE143E" w:rsidRPr="79F3ED1A">
        <w:rPr>
          <w:rFonts w:ascii="Verdana" w:eastAsia="Calibri" w:hAnsi="Verdana" w:cs="Arial"/>
        </w:rPr>
        <w:t>consecuencia, las</w:t>
      </w:r>
      <w:r w:rsidR="00E97CD5" w:rsidRPr="79F3ED1A">
        <w:rPr>
          <w:rFonts w:ascii="Verdana" w:eastAsia="Calibri" w:hAnsi="Verdana" w:cs="Arial"/>
        </w:rPr>
        <w:t xml:space="preserve"> entidades estatales podrán </w:t>
      </w:r>
      <w:r w:rsidR="00C4483B" w:rsidRPr="79F3ED1A">
        <w:rPr>
          <w:rFonts w:ascii="Verdana" w:eastAsia="Calibri" w:hAnsi="Verdana" w:cs="Arial"/>
        </w:rPr>
        <w:t xml:space="preserve">celebrar contratos </w:t>
      </w:r>
      <w:r w:rsidR="00A72117" w:rsidRPr="79F3ED1A">
        <w:rPr>
          <w:rFonts w:ascii="Verdana" w:eastAsia="Calibri" w:hAnsi="Verdana" w:cs="Arial"/>
        </w:rPr>
        <w:t>bajo la</w:t>
      </w:r>
      <w:r w:rsidR="007E43C5" w:rsidRPr="79F3ED1A">
        <w:rPr>
          <w:rFonts w:ascii="Verdana" w:eastAsia="Calibri" w:hAnsi="Verdana" w:cs="Arial"/>
        </w:rPr>
        <w:t xml:space="preserve"> modalidad de contratación directa para la vigencia 2026 </w:t>
      </w:r>
      <w:r w:rsidR="00E22898" w:rsidRPr="79F3ED1A">
        <w:rPr>
          <w:rFonts w:ascii="Verdana" w:eastAsia="Calibri" w:hAnsi="Verdana" w:cs="Arial"/>
        </w:rPr>
        <w:t>a partir del primero (1) de enero de 2026</w:t>
      </w:r>
      <w:r w:rsidR="00C4483B" w:rsidRPr="79F3ED1A">
        <w:rPr>
          <w:rFonts w:ascii="Verdana" w:eastAsia="Calibri" w:hAnsi="Verdana" w:cs="Arial"/>
        </w:rPr>
        <w:t xml:space="preserve"> y hasta el 30 de enero de 2026</w:t>
      </w:r>
      <w:r w:rsidR="00E22898" w:rsidRPr="79F3ED1A">
        <w:rPr>
          <w:rFonts w:ascii="Verdana" w:eastAsia="Calibri" w:hAnsi="Verdana" w:cs="Arial"/>
        </w:rPr>
        <w:t xml:space="preserve">, </w:t>
      </w:r>
      <w:r w:rsidR="003B1183" w:rsidRPr="79F3ED1A">
        <w:rPr>
          <w:rFonts w:ascii="Verdana" w:eastAsia="Calibri" w:hAnsi="Verdana" w:cs="Arial"/>
        </w:rPr>
        <w:t xml:space="preserve">siempre que se cumplan los requisitos legales y se haya adelantado oportunamente la planeación contractual. Para ello, </w:t>
      </w:r>
      <w:r w:rsidR="007A5DEC" w:rsidRPr="79F3ED1A">
        <w:rPr>
          <w:rFonts w:ascii="Verdana" w:eastAsia="Calibri" w:hAnsi="Verdana" w:cs="Arial"/>
        </w:rPr>
        <w:t>y en aplicación del principio de planeación</w:t>
      </w:r>
      <w:r w:rsidR="00703F37" w:rsidRPr="79F3ED1A">
        <w:rPr>
          <w:rFonts w:ascii="Verdana" w:eastAsia="Calibri" w:hAnsi="Verdana" w:cs="Arial"/>
        </w:rPr>
        <w:t xml:space="preserve">, </w:t>
      </w:r>
      <w:r w:rsidRPr="79F3ED1A">
        <w:rPr>
          <w:rFonts w:ascii="Verdana" w:eastAsia="Calibri" w:hAnsi="Verdana" w:cs="Arial"/>
        </w:rPr>
        <w:t>se recomienda a las entidades adoptar</w:t>
      </w:r>
      <w:r w:rsidR="00291386" w:rsidRPr="79F3ED1A">
        <w:rPr>
          <w:rFonts w:ascii="Verdana" w:eastAsia="Calibri" w:hAnsi="Verdana" w:cs="Arial"/>
        </w:rPr>
        <w:t xml:space="preserve"> </w:t>
      </w:r>
      <w:r w:rsidR="00916730" w:rsidRPr="79F3ED1A">
        <w:rPr>
          <w:rFonts w:ascii="Verdana" w:eastAsia="Calibri" w:hAnsi="Verdana" w:cs="Arial"/>
        </w:rPr>
        <w:t xml:space="preserve">anticipadamente </w:t>
      </w:r>
      <w:r w:rsidR="00291386" w:rsidRPr="79F3ED1A">
        <w:rPr>
          <w:rFonts w:ascii="Verdana" w:eastAsia="Calibri" w:hAnsi="Verdana" w:cs="Arial"/>
        </w:rPr>
        <w:t>las medidas necesarias</w:t>
      </w:r>
      <w:r w:rsidR="004D09FE" w:rsidRPr="79F3ED1A">
        <w:rPr>
          <w:rFonts w:ascii="Verdana" w:eastAsia="Calibri" w:hAnsi="Verdana" w:cs="Arial"/>
        </w:rPr>
        <w:t xml:space="preserve"> </w:t>
      </w:r>
      <w:r w:rsidRPr="79F3ED1A">
        <w:rPr>
          <w:rFonts w:ascii="Verdana" w:eastAsia="Calibri" w:hAnsi="Verdana" w:cs="Arial"/>
        </w:rPr>
        <w:t>en</w:t>
      </w:r>
      <w:r w:rsidR="004D09FE" w:rsidRPr="79F3ED1A">
        <w:rPr>
          <w:rFonts w:ascii="Verdana" w:eastAsia="Calibri" w:hAnsi="Verdana" w:cs="Arial"/>
        </w:rPr>
        <w:t xml:space="preserve"> su gestión contractual</w:t>
      </w:r>
      <w:r w:rsidR="009159C6" w:rsidRPr="79F3ED1A">
        <w:rPr>
          <w:rFonts w:ascii="Verdana" w:eastAsia="Calibri" w:hAnsi="Verdana" w:cs="Arial"/>
        </w:rPr>
        <w:t xml:space="preserve"> </w:t>
      </w:r>
      <w:r w:rsidR="00C4483B" w:rsidRPr="79F3ED1A">
        <w:rPr>
          <w:rFonts w:ascii="Verdana" w:eastAsia="Calibri" w:hAnsi="Verdana" w:cs="Arial"/>
        </w:rPr>
        <w:t xml:space="preserve">con el fin de </w:t>
      </w:r>
      <w:r w:rsidR="009159C6" w:rsidRPr="79F3ED1A">
        <w:rPr>
          <w:rFonts w:ascii="Verdana" w:eastAsia="Calibri" w:hAnsi="Verdana" w:cs="Arial"/>
        </w:rPr>
        <w:t xml:space="preserve">evitar que las restricciones impuestas por la Ley de Garantías afecten el </w:t>
      </w:r>
      <w:r w:rsidR="007A5DEC" w:rsidRPr="79F3ED1A">
        <w:rPr>
          <w:rFonts w:ascii="Verdana" w:eastAsia="Calibri" w:hAnsi="Verdana" w:cs="Arial"/>
        </w:rPr>
        <w:t xml:space="preserve">funcionamiento de las entidades y el </w:t>
      </w:r>
      <w:r w:rsidR="009159C6" w:rsidRPr="79F3ED1A">
        <w:rPr>
          <w:rFonts w:ascii="Verdana" w:eastAsia="Calibri" w:hAnsi="Verdana" w:cs="Arial"/>
        </w:rPr>
        <w:t>cumplimiento de los fines institucionales,</w:t>
      </w:r>
      <w:r w:rsidR="00262B9A" w:rsidRPr="79F3ED1A">
        <w:rPr>
          <w:rFonts w:ascii="Verdana" w:eastAsia="Calibri" w:hAnsi="Verdana" w:cs="Arial"/>
        </w:rPr>
        <w:t xml:space="preserve"> e</w:t>
      </w:r>
      <w:r w:rsidRPr="79F3ED1A">
        <w:rPr>
          <w:rFonts w:ascii="Verdana" w:eastAsia="Calibri" w:hAnsi="Verdana" w:cs="Arial"/>
        </w:rPr>
        <w:t>sto implica, entre otras acciones</w:t>
      </w:r>
      <w:r w:rsidR="00D746DE" w:rsidRPr="79F3ED1A">
        <w:rPr>
          <w:rFonts w:ascii="Verdana" w:eastAsia="Calibri" w:hAnsi="Verdana" w:cs="Arial"/>
        </w:rPr>
        <w:t>, la estructuración técnica y jurídica, la</w:t>
      </w:r>
      <w:r w:rsidRPr="79F3ED1A">
        <w:rPr>
          <w:rFonts w:ascii="Verdana" w:eastAsia="Calibri" w:hAnsi="Verdana" w:cs="Arial"/>
        </w:rPr>
        <w:t xml:space="preserve"> elaboración oportuna de los estudios previos de los procesos de selección, </w:t>
      </w:r>
      <w:r w:rsidR="008F50DD" w:rsidRPr="79F3ED1A">
        <w:rPr>
          <w:rFonts w:ascii="Verdana" w:eastAsia="Calibri" w:hAnsi="Verdana" w:cs="Arial"/>
        </w:rPr>
        <w:t>así como</w:t>
      </w:r>
      <w:r w:rsidRPr="79F3ED1A">
        <w:rPr>
          <w:rFonts w:ascii="Verdana" w:eastAsia="Calibri" w:hAnsi="Verdana" w:cs="Arial"/>
        </w:rPr>
        <w:t xml:space="preserve"> la inclusión adecuada de las necesidades en el Plan Anual de Adquisiciones. Asimismo, resulta aconsejable prever escenarios de contingencia que permitan atender necesidades urgentes o inaplazables, sin incurrir en actuaciones que puedan comprometer la</w:t>
      </w:r>
      <w:r w:rsidR="00B52FB0" w:rsidRPr="79F3ED1A">
        <w:rPr>
          <w:rFonts w:ascii="Verdana" w:eastAsia="Calibri" w:hAnsi="Verdana" w:cs="Arial"/>
        </w:rPr>
        <w:t xml:space="preserve">s restricciones de la </w:t>
      </w:r>
      <w:r w:rsidR="00A0641E" w:rsidRPr="79F3ED1A">
        <w:rPr>
          <w:rFonts w:ascii="Verdana" w:eastAsia="Calibri" w:hAnsi="Verdana" w:cs="Arial"/>
        </w:rPr>
        <w:t>L</w:t>
      </w:r>
      <w:r w:rsidR="00B52FB0" w:rsidRPr="79F3ED1A">
        <w:rPr>
          <w:rFonts w:ascii="Verdana" w:eastAsia="Calibri" w:hAnsi="Verdana" w:cs="Arial"/>
        </w:rPr>
        <w:t xml:space="preserve">ey de </w:t>
      </w:r>
      <w:r w:rsidR="00A0641E" w:rsidRPr="79F3ED1A">
        <w:rPr>
          <w:rFonts w:ascii="Verdana" w:eastAsia="Calibri" w:hAnsi="Verdana" w:cs="Arial"/>
        </w:rPr>
        <w:t>Garantías</w:t>
      </w:r>
      <w:r w:rsidR="65993F8C" w:rsidRPr="79F3ED1A">
        <w:rPr>
          <w:rFonts w:ascii="Verdana" w:eastAsia="Calibri" w:hAnsi="Verdana" w:cs="Arial"/>
        </w:rPr>
        <w:t>, la</w:t>
      </w:r>
      <w:r w:rsidRPr="79F3ED1A">
        <w:rPr>
          <w:rFonts w:ascii="Verdana" w:eastAsia="Calibri" w:hAnsi="Verdana" w:cs="Arial"/>
        </w:rPr>
        <w:t xml:space="preserve"> legalidad o la transparencia del proceso contractual.</w:t>
      </w:r>
    </w:p>
    <w:p w14:paraId="4D1394EF" w14:textId="6BBE18DD" w:rsidR="00F95AF5" w:rsidRPr="003C4660" w:rsidRDefault="000B2C04" w:rsidP="00036A58">
      <w:pPr>
        <w:spacing w:before="120" w:after="120" w:line="276" w:lineRule="auto"/>
        <w:ind w:firstLine="709"/>
        <w:jc w:val="both"/>
        <w:rPr>
          <w:rFonts w:ascii="Verdana" w:eastAsia="Calibri" w:hAnsi="Verdana" w:cs="Arial"/>
        </w:rPr>
      </w:pPr>
      <w:r>
        <w:rPr>
          <w:rFonts w:ascii="Verdana" w:eastAsia="Calibri" w:hAnsi="Verdana" w:cs="Arial"/>
        </w:rPr>
        <w:t>Adicionalmente</w:t>
      </w:r>
      <w:r w:rsidR="00F95AF5">
        <w:rPr>
          <w:rFonts w:ascii="Verdana" w:eastAsia="Calibri" w:hAnsi="Verdana" w:cs="Arial"/>
        </w:rPr>
        <w:t xml:space="preserve">, </w:t>
      </w:r>
      <w:r w:rsidR="00F95AF5" w:rsidRPr="003C4660">
        <w:rPr>
          <w:rFonts w:ascii="Verdana" w:eastAsia="Calibri" w:hAnsi="Verdana" w:cs="Arial"/>
        </w:rPr>
        <w:t>Colombia Compra Eficiente</w:t>
      </w:r>
      <w:r w:rsidR="00F95AF5">
        <w:rPr>
          <w:rFonts w:ascii="Verdana" w:eastAsia="Calibri" w:hAnsi="Verdana" w:cs="Arial"/>
        </w:rPr>
        <w:t xml:space="preserve"> le</w:t>
      </w:r>
      <w:r w:rsidR="00F95AF5" w:rsidRPr="003C4660">
        <w:rPr>
          <w:rFonts w:ascii="Verdana" w:eastAsia="Calibri" w:hAnsi="Verdana" w:cs="Arial"/>
        </w:rPr>
        <w:t xml:space="preserve"> invita a consultar la Circular Externa 006 de 2025, donde se detallan las disposiciones, excepciones y lineamientos para las entidades estatales y la ciudadanía</w:t>
      </w:r>
      <w:r w:rsidR="00F95AF5">
        <w:rPr>
          <w:rFonts w:ascii="Verdana" w:eastAsia="Calibri" w:hAnsi="Verdana" w:cs="Arial"/>
        </w:rPr>
        <w:t>, la cual puede ser consultada en el siguiente enlace:</w:t>
      </w:r>
      <w:hyperlink r:id="rId13" w:history="1">
        <w:r w:rsidR="00F95AF5" w:rsidRPr="00A350B8">
          <w:rPr>
            <w:rStyle w:val="Hipervnculo"/>
            <w:rFonts w:ascii="Verdana" w:eastAsia="Calibri" w:hAnsi="Verdana" w:cs="Arial"/>
          </w:rPr>
          <w:t>https://www.colombiacompra.gov.co/archivos/circular/circular-externa-006-de-2025</w:t>
        </w:r>
      </w:hyperlink>
    </w:p>
    <w:p w14:paraId="0345660D" w14:textId="77777777" w:rsidR="00F95AF5" w:rsidRPr="00FF007A" w:rsidRDefault="00F95AF5" w:rsidP="00036A58">
      <w:pPr>
        <w:spacing w:after="120" w:line="276" w:lineRule="auto"/>
        <w:ind w:firstLine="709"/>
        <w:jc w:val="both"/>
        <w:rPr>
          <w:rFonts w:ascii="Verdana" w:eastAsia="Times New Roman" w:hAnsi="Verdana" w:cs="Arial"/>
          <w:bCs/>
          <w:lang w:eastAsia="es-CO"/>
        </w:rPr>
      </w:pPr>
      <w:r w:rsidRPr="00FF007A">
        <w:rPr>
          <w:rFonts w:ascii="Verdana" w:eastAsia="Arial" w:hAnsi="Verdana" w:cs="Arial"/>
          <w:color w:val="000000" w:themeColor="text1"/>
        </w:rPr>
        <w:lastRenderedPageBreak/>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3"/>
    <w:p w14:paraId="1868B04E" w14:textId="77777777" w:rsidR="00F95AF5" w:rsidRPr="00FF007A" w:rsidRDefault="00F95AF5" w:rsidP="00F95AF5">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p>
    <w:bookmarkEnd w:id="4"/>
    <w:p w14:paraId="034060EE" w14:textId="77777777" w:rsidR="00F95AF5" w:rsidRPr="00FF007A" w:rsidRDefault="00F95AF5" w:rsidP="00F95AF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95AF5" w:rsidRPr="00FF007A" w14:paraId="4B9FCCAF" w14:textId="77777777" w:rsidTr="00216DC5">
        <w:trPr>
          <w:trHeight w:val="870"/>
          <w:jc w:val="center"/>
        </w:trPr>
        <w:tc>
          <w:tcPr>
            <w:tcW w:w="8647" w:type="dxa"/>
          </w:tcPr>
          <w:p w14:paraId="57D3449B"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Constitución Política, artículo 127.</w:t>
            </w:r>
          </w:p>
          <w:p w14:paraId="5EFBC65A" w14:textId="77777777" w:rsidR="00F95AF5" w:rsidRPr="00D437AC" w:rsidRDefault="00F95AF5" w:rsidP="00F95AF5">
            <w:pPr>
              <w:pStyle w:val="Prrafodelista"/>
              <w:numPr>
                <w:ilvl w:val="0"/>
                <w:numId w:val="17"/>
              </w:numPr>
              <w:spacing w:line="276" w:lineRule="auto"/>
              <w:jc w:val="both"/>
              <w:rPr>
                <w:rFonts w:ascii="Verdana" w:hAnsi="Verdana" w:cs="Arial"/>
                <w:lang w:val="es-CO"/>
              </w:rPr>
            </w:pPr>
            <w:r w:rsidRPr="00D437AC">
              <w:rPr>
                <w:rFonts w:ascii="Verdana" w:hAnsi="Verdana" w:cs="Arial"/>
                <w:lang w:val="es-CO"/>
              </w:rPr>
              <w:t>Ley 80 de 1993: artículos 30 y 32.</w:t>
            </w:r>
          </w:p>
          <w:p w14:paraId="7BF54594"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bCs/>
                <w:lang w:eastAsia="es-ES" w:bidi="es-ES"/>
              </w:rPr>
              <w:t>Ley 996 de 2005: artículos 33 y 38.</w:t>
            </w:r>
          </w:p>
          <w:p w14:paraId="0B7B4BA2" w14:textId="77777777" w:rsidR="00F95AF5" w:rsidRPr="00D437AC" w:rsidRDefault="00F95AF5" w:rsidP="00F95AF5">
            <w:pPr>
              <w:pStyle w:val="Prrafodelista"/>
              <w:widowControl w:val="0"/>
              <w:numPr>
                <w:ilvl w:val="0"/>
                <w:numId w:val="17"/>
              </w:numPr>
              <w:autoSpaceDE w:val="0"/>
              <w:autoSpaceDN w:val="0"/>
              <w:spacing w:line="276" w:lineRule="auto"/>
              <w:jc w:val="both"/>
              <w:rPr>
                <w:rFonts w:ascii="Verdana" w:hAnsi="Verdana" w:cs="Arial"/>
                <w:lang w:val="es-CO"/>
              </w:rPr>
            </w:pPr>
            <w:r w:rsidRPr="00D437AC">
              <w:rPr>
                <w:rFonts w:ascii="Verdana" w:eastAsia="Arial" w:hAnsi="Verdana" w:cs="Arial"/>
                <w:bCs/>
                <w:color w:val="000000" w:themeColor="text1"/>
                <w:lang w:val="es-CO"/>
              </w:rPr>
              <w:t>Decreto 780 de 2016: artículos 2.8.8.1.4.2, 2.8.8.1.1.3.</w:t>
            </w:r>
          </w:p>
          <w:p w14:paraId="14114BEA"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Times New Roman" w:hAnsi="Verdana" w:cs="Times New Roman"/>
                <w:lang w:eastAsia="es-MX"/>
              </w:rPr>
              <w:t xml:space="preserve">Ley 1150 de 2007: </w:t>
            </w:r>
            <w:r w:rsidRPr="00D437AC">
              <w:rPr>
                <w:rFonts w:ascii="Verdana" w:eastAsia="Arial MT" w:hAnsi="Verdana" w:cs="Arial"/>
                <w:lang w:eastAsia="es-ES" w:bidi="es-ES"/>
              </w:rPr>
              <w:t xml:space="preserve">artículo 2, numeral 4. </w:t>
            </w:r>
          </w:p>
          <w:p w14:paraId="7699FD1D"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Decreto 1082 de 2015: artículo 2.2.1.2.1.4.4.</w:t>
            </w:r>
          </w:p>
          <w:p w14:paraId="0C9028B7"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Resolución 1597 de 2025. Artículo 10 y 12. </w:t>
            </w:r>
          </w:p>
          <w:p w14:paraId="1176AC9B"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10C86BA9"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de fecha 24 de julio de 2013. Radicado: Radicado: 11001-03-06-000-2013-00407-00 (2166).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  </w:t>
            </w:r>
          </w:p>
          <w:p w14:paraId="73D6F275"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182057F6"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02 de septiembre de 2013. Rad. 11001-03-06-000-2013-00412-00 (2168).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w:t>
            </w:r>
          </w:p>
          <w:p w14:paraId="2BDB29BF"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08 de mayo de 2018. </w:t>
            </w:r>
            <w:proofErr w:type="spellStart"/>
            <w:r w:rsidRPr="00D437AC">
              <w:rPr>
                <w:rFonts w:ascii="Verdana" w:eastAsia="Arial MT" w:hAnsi="Verdana" w:cs="Arial"/>
                <w:lang w:eastAsia="es-ES" w:bidi="es-ES"/>
              </w:rPr>
              <w:t>Exp</w:t>
            </w:r>
            <w:proofErr w:type="spellEnd"/>
            <w:r w:rsidRPr="00D437AC">
              <w:rPr>
                <w:rFonts w:ascii="Verdana" w:eastAsia="Arial MT" w:hAnsi="Verdana" w:cs="Arial"/>
                <w:lang w:eastAsia="es-ES" w:bidi="es-ES"/>
              </w:rPr>
              <w:t xml:space="preserve">. 2.382. C.P. Álvaro </w:t>
            </w:r>
            <w:proofErr w:type="spellStart"/>
            <w:r w:rsidRPr="00D437AC">
              <w:rPr>
                <w:rFonts w:ascii="Verdana" w:eastAsia="Arial MT" w:hAnsi="Verdana" w:cs="Arial"/>
                <w:lang w:eastAsia="es-ES" w:bidi="es-ES"/>
              </w:rPr>
              <w:t>Namén</w:t>
            </w:r>
            <w:proofErr w:type="spellEnd"/>
            <w:r w:rsidRPr="00D437AC">
              <w:rPr>
                <w:rFonts w:ascii="Verdana" w:eastAsia="Arial MT" w:hAnsi="Verdana" w:cs="Arial"/>
                <w:lang w:eastAsia="es-ES" w:bidi="es-ES"/>
              </w:rPr>
              <w:t xml:space="preserve"> Vargas.</w:t>
            </w:r>
          </w:p>
          <w:p w14:paraId="11DD52C4"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 20 de febrero de 2006. Radicación Número: 11001-03-06-000-2006-</w:t>
            </w:r>
            <w:r w:rsidRPr="00D437AC">
              <w:rPr>
                <w:rFonts w:ascii="Verdana" w:eastAsia="Arial MT" w:hAnsi="Verdana" w:cs="Arial"/>
                <w:lang w:eastAsia="es-ES" w:bidi="es-ES"/>
              </w:rPr>
              <w:lastRenderedPageBreak/>
              <w:t>00026-00(1727). C.P: Enrique José Arboleda Perdomo.</w:t>
            </w:r>
          </w:p>
          <w:p w14:paraId="72BCDC87"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52651124" w14:textId="77777777" w:rsidR="00F95AF5" w:rsidRPr="00D437AC" w:rsidRDefault="00F95AF5" w:rsidP="00F95AF5">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Concepto del 12 de junio de 2018. </w:t>
            </w:r>
            <w:proofErr w:type="spellStart"/>
            <w:r w:rsidRPr="00D437AC">
              <w:rPr>
                <w:rFonts w:ascii="Verdana" w:eastAsia="Arial MT" w:hAnsi="Verdana" w:cs="Arial"/>
                <w:lang w:eastAsia="es-ES" w:bidi="es-ES"/>
              </w:rPr>
              <w:t>Radicación</w:t>
            </w:r>
            <w:proofErr w:type="spellEnd"/>
            <w:r w:rsidRPr="00D437AC">
              <w:rPr>
                <w:rFonts w:ascii="Verdana" w:eastAsia="Arial MT" w:hAnsi="Verdana" w:cs="Arial"/>
                <w:lang w:eastAsia="es-ES" w:bidi="es-ES"/>
              </w:rPr>
              <w:t xml:space="preserve"> Interna: 11001-03-06-000-2018-0043-00. (2371). Consejero Ponente: Oscar </w:t>
            </w:r>
            <w:proofErr w:type="spellStart"/>
            <w:r w:rsidRPr="00D437AC">
              <w:rPr>
                <w:rFonts w:ascii="Verdana" w:eastAsia="Arial MT" w:hAnsi="Verdana" w:cs="Arial"/>
                <w:lang w:eastAsia="es-ES" w:bidi="es-ES"/>
              </w:rPr>
              <w:t>Darío</w:t>
            </w:r>
            <w:proofErr w:type="spellEnd"/>
            <w:r w:rsidRPr="00D437AC">
              <w:rPr>
                <w:rFonts w:ascii="Verdana" w:eastAsia="Arial MT" w:hAnsi="Verdana" w:cs="Arial"/>
                <w:lang w:eastAsia="es-ES" w:bidi="es-ES"/>
              </w:rPr>
              <w:t xml:space="preserve"> Amaya Navas.</w:t>
            </w:r>
          </w:p>
          <w:p w14:paraId="0A4F73B7"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C-1153 de 2005 M.P. Marco Gerardo Monroy Cabra.</w:t>
            </w:r>
          </w:p>
          <w:p w14:paraId="2516DA98"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C-233 de 4 de abril de 2002. M.P: Álvaro Tafur Galvis. </w:t>
            </w:r>
          </w:p>
          <w:p w14:paraId="78CCCC03"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C-551 de 9 de julio de 2003. M.P: Eduardo Montealegre </w:t>
            </w:r>
            <w:proofErr w:type="spellStart"/>
            <w:r w:rsidRPr="00D437AC">
              <w:rPr>
                <w:rFonts w:ascii="Verdana" w:eastAsia="Arial MT" w:hAnsi="Verdana" w:cs="Arial"/>
                <w:lang w:val="es-CO" w:eastAsia="es-ES" w:bidi="es-ES"/>
              </w:rPr>
              <w:t>Lynett</w:t>
            </w:r>
            <w:proofErr w:type="spellEnd"/>
            <w:r w:rsidRPr="00D437AC">
              <w:rPr>
                <w:rFonts w:ascii="Verdana" w:eastAsia="Arial MT" w:hAnsi="Verdana" w:cs="Arial"/>
                <w:lang w:val="es-CO" w:eastAsia="es-ES" w:bidi="es-ES"/>
              </w:rPr>
              <w:t xml:space="preserve">. </w:t>
            </w:r>
          </w:p>
          <w:p w14:paraId="63BB8447"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084D6B">
              <w:rPr>
                <w:rFonts w:ascii="Verdana" w:eastAsia="Arial MT" w:hAnsi="Verdana" w:cs="Arial"/>
                <w:lang w:val="pt-BR" w:eastAsia="es-ES" w:bidi="es-ES"/>
              </w:rPr>
              <w:t xml:space="preserve">Corte Constitucional. Sentencia C-652 de 5 de agosto de 2003. </w:t>
            </w:r>
            <w:r w:rsidRPr="00D437AC">
              <w:rPr>
                <w:rFonts w:ascii="Verdana" w:eastAsia="Arial MT" w:hAnsi="Verdana" w:cs="Arial"/>
                <w:lang w:val="es-CO" w:eastAsia="es-ES" w:bidi="es-ES"/>
              </w:rPr>
              <w:t xml:space="preserve">M.P: Jaime Córdoba Triviño. </w:t>
            </w:r>
          </w:p>
          <w:p w14:paraId="2BCE74EE"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C-353 de 20 de mayo de 2009. M.P: Jorge Iván Palacio </w:t>
            </w:r>
            <w:proofErr w:type="spellStart"/>
            <w:r w:rsidRPr="00D437AC">
              <w:rPr>
                <w:rFonts w:ascii="Verdana" w:eastAsia="Arial MT" w:hAnsi="Verdana" w:cs="Arial"/>
                <w:lang w:val="es-CO" w:eastAsia="es-ES" w:bidi="es-ES"/>
              </w:rPr>
              <w:t>Palacio</w:t>
            </w:r>
            <w:proofErr w:type="spellEnd"/>
            <w:r w:rsidRPr="00D437AC">
              <w:rPr>
                <w:rFonts w:ascii="Verdana" w:eastAsia="Arial MT" w:hAnsi="Verdana" w:cs="Arial"/>
                <w:lang w:val="es-CO" w:eastAsia="es-ES" w:bidi="es-ES"/>
              </w:rPr>
              <w:t xml:space="preserve">. </w:t>
            </w:r>
          </w:p>
          <w:p w14:paraId="2A689FD6" w14:textId="77777777" w:rsidR="00F95AF5" w:rsidRPr="00D437AC" w:rsidRDefault="00F95AF5" w:rsidP="00F95AF5">
            <w:pPr>
              <w:pStyle w:val="Prrafodelista"/>
              <w:numPr>
                <w:ilvl w:val="0"/>
                <w:numId w:val="17"/>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C-541 de 30 de junio de 2010, M.P: Gabriel Eduardo Mendoza Martelo.</w:t>
            </w:r>
          </w:p>
          <w:p w14:paraId="0AC89243" w14:textId="77777777" w:rsidR="00F95AF5" w:rsidRPr="00D437AC" w:rsidRDefault="00F95AF5" w:rsidP="00216DC5">
            <w:pPr>
              <w:pStyle w:val="Prrafodelista"/>
              <w:spacing w:line="276" w:lineRule="auto"/>
              <w:jc w:val="both"/>
              <w:rPr>
                <w:rFonts w:ascii="Verdana" w:eastAsia="Arial MT" w:hAnsi="Verdana" w:cs="Arial"/>
                <w:lang w:val="es-CO" w:eastAsia="es-ES" w:bidi="es-ES"/>
              </w:rPr>
            </w:pPr>
          </w:p>
        </w:tc>
      </w:tr>
    </w:tbl>
    <w:p w14:paraId="4C7C4631" w14:textId="77777777" w:rsidR="00F95AF5" w:rsidRDefault="00F95AF5" w:rsidP="00F95AF5">
      <w:pPr>
        <w:tabs>
          <w:tab w:val="left" w:pos="142"/>
          <w:tab w:val="left" w:pos="284"/>
        </w:tabs>
        <w:spacing w:after="0" w:line="276" w:lineRule="auto"/>
        <w:jc w:val="both"/>
        <w:rPr>
          <w:rFonts w:ascii="Verdana" w:eastAsia="Century Gothic" w:hAnsi="Verdana" w:cs="Century Gothic"/>
          <w:b/>
          <w:bCs/>
        </w:rPr>
      </w:pPr>
    </w:p>
    <w:p w14:paraId="569D9FDD" w14:textId="77777777" w:rsidR="00F95AF5" w:rsidRPr="00FF007A" w:rsidRDefault="00F95AF5" w:rsidP="00F95AF5">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780AC7DC" w14:textId="77777777" w:rsidR="00F95AF5" w:rsidRPr="00FF007A" w:rsidRDefault="00F95AF5" w:rsidP="00F95AF5">
      <w:pPr>
        <w:widowControl w:val="0"/>
        <w:autoSpaceDE w:val="0"/>
        <w:autoSpaceDN w:val="0"/>
        <w:spacing w:after="0" w:line="240" w:lineRule="auto"/>
        <w:jc w:val="both"/>
        <w:rPr>
          <w:rStyle w:val="normaltextrun"/>
          <w:rFonts w:ascii="Verdana" w:hAnsi="Verdana" w:cs="Arial"/>
          <w:shd w:val="clear" w:color="auto" w:fill="FFFFFF"/>
        </w:rPr>
      </w:pPr>
    </w:p>
    <w:p w14:paraId="50A23650" w14:textId="7B29B8F4" w:rsidR="00F95AF5" w:rsidRPr="00FF007A" w:rsidRDefault="00F95AF5" w:rsidP="00F95AF5">
      <w:pPr>
        <w:widowControl w:val="0"/>
        <w:autoSpaceDE w:val="0"/>
        <w:autoSpaceDN w:val="0"/>
        <w:spacing w:after="120" w:line="276" w:lineRule="auto"/>
        <w:jc w:val="both"/>
        <w:rPr>
          <w:rFonts w:ascii="Verdana" w:eastAsia="Calibri" w:hAnsi="Verdana" w:cs="Arial"/>
          <w:color w:val="000000" w:themeColor="text1"/>
          <w:lang w:eastAsia="es-ES_tradnl"/>
        </w:rPr>
      </w:pPr>
      <w:r w:rsidRPr="00FF007A">
        <w:rPr>
          <w:rFonts w:ascii="Verdana" w:eastAsia="Calibri" w:hAnsi="Verdana" w:cs="Arial"/>
        </w:rPr>
        <w:t xml:space="preserve">La Agencia Nacional de Contratación Pública – Colombia Compra Eficiente se ha referido </w:t>
      </w:r>
      <w:r w:rsidRPr="00FF007A">
        <w:rPr>
          <w:rFonts w:ascii="Verdana" w:hAnsi="Verdana" w:cs="Arial"/>
          <w:shd w:val="clear" w:color="auto" w:fill="FFFFFF"/>
        </w:rPr>
        <w:t>sobre la Ley de Garantías Electorales en los conceptos con radicado C-227 del 24 de mayo de 2021 y 396 del 13 de agosto de 2021, C-439 del 27 de agosto de 2021, C-456 del 3 de septiembre</w:t>
      </w:r>
      <w:r w:rsidR="009F3B57">
        <w:rPr>
          <w:rFonts w:ascii="Verdana" w:hAnsi="Verdana" w:cs="Arial"/>
          <w:shd w:val="clear" w:color="auto" w:fill="FFFFFF"/>
        </w:rPr>
        <w:t xml:space="preserve"> de 2021</w:t>
      </w:r>
      <w:r w:rsidRPr="00FF007A">
        <w:rPr>
          <w:rFonts w:ascii="Verdana" w:hAnsi="Verdana" w:cs="Arial"/>
          <w:shd w:val="clear" w:color="auto" w:fill="FFFFFF"/>
        </w:rPr>
        <w:t xml:space="preserve">, C-614 del 2 de noviembre de 2021, C-636 del 16 de noviembre de 2021, </w:t>
      </w:r>
      <w:r>
        <w:rPr>
          <w:rFonts w:ascii="Verdana" w:hAnsi="Verdana" w:cs="Arial"/>
          <w:shd w:val="clear" w:color="auto" w:fill="FFFFFF"/>
        </w:rPr>
        <w:t>C-</w:t>
      </w:r>
      <w:r w:rsidRPr="00FF007A">
        <w:rPr>
          <w:rFonts w:ascii="Verdana" w:hAnsi="Verdana" w:cs="Arial"/>
          <w:shd w:val="clear" w:color="auto" w:fill="FFFFFF"/>
        </w:rPr>
        <w:t xml:space="preserve">681 del 7 de diciembre de 2021, C-686 del 21 de diciembre de 2021, C-180 del 21 de marzo de 2025, C-317 del 25 de abril de 2025, C-510 del 4 de junio de 2025, C -635 del 27 de junio de 2025, C–750 de 17 de julio 2025, </w:t>
      </w:r>
      <w:r>
        <w:rPr>
          <w:rFonts w:ascii="Verdana" w:hAnsi="Verdana" w:cs="Arial"/>
          <w:shd w:val="clear" w:color="auto" w:fill="FFFFFF"/>
        </w:rPr>
        <w:t>C-868 del 12 de agosto de 2025,</w:t>
      </w:r>
      <w:r w:rsidR="00821886">
        <w:rPr>
          <w:rFonts w:ascii="Verdana" w:hAnsi="Verdana" w:cs="Arial"/>
          <w:shd w:val="clear" w:color="auto" w:fill="FFFFFF"/>
        </w:rPr>
        <w:t xml:space="preserve"> </w:t>
      </w:r>
      <w:r w:rsidR="005A21B8">
        <w:rPr>
          <w:rFonts w:ascii="Verdana" w:hAnsi="Verdana" w:cs="Arial"/>
          <w:shd w:val="clear" w:color="auto" w:fill="FFFFFF"/>
        </w:rPr>
        <w:t>C-</w:t>
      </w:r>
      <w:r w:rsidR="00F7615B">
        <w:rPr>
          <w:rFonts w:ascii="Verdana" w:hAnsi="Verdana" w:cs="Arial"/>
          <w:shd w:val="clear" w:color="auto" w:fill="FFFFFF"/>
        </w:rPr>
        <w:t>1057 del 5 de septiembre de 2025</w:t>
      </w:r>
      <w:r w:rsidR="00A6074A">
        <w:rPr>
          <w:rFonts w:ascii="Verdana" w:hAnsi="Verdana" w:cs="Arial"/>
          <w:shd w:val="clear" w:color="auto" w:fill="FFFFFF"/>
        </w:rPr>
        <w:t>, C-1195 del 3 de octubre de 2025</w:t>
      </w:r>
      <w:r w:rsidR="00F7615B">
        <w:rPr>
          <w:rFonts w:ascii="Verdana" w:hAnsi="Verdana" w:cs="Arial"/>
          <w:shd w:val="clear" w:color="auto" w:fill="FFFFFF"/>
        </w:rPr>
        <w:t xml:space="preserve"> </w:t>
      </w:r>
      <w:r w:rsidR="00A06753">
        <w:rPr>
          <w:rFonts w:ascii="Verdana" w:hAnsi="Verdana" w:cs="Arial"/>
          <w:shd w:val="clear" w:color="auto" w:fill="FFFFFF"/>
        </w:rPr>
        <w:t xml:space="preserve">y C-1350 </w:t>
      </w:r>
      <w:r w:rsidR="00B60FFF">
        <w:rPr>
          <w:rFonts w:ascii="Verdana" w:hAnsi="Verdana" w:cs="Arial"/>
          <w:shd w:val="clear" w:color="auto" w:fill="FFFFFF"/>
        </w:rPr>
        <w:t>del</w:t>
      </w:r>
      <w:r w:rsidR="00A06753">
        <w:rPr>
          <w:rFonts w:ascii="Verdana" w:hAnsi="Verdana" w:cs="Arial"/>
          <w:shd w:val="clear" w:color="auto" w:fill="FFFFFF"/>
        </w:rPr>
        <w:t xml:space="preserve"> 19 de septiembre de 2025</w:t>
      </w:r>
      <w:r w:rsidR="00036A58">
        <w:rPr>
          <w:rFonts w:ascii="Verdana" w:hAnsi="Verdana" w:cs="Arial"/>
          <w:shd w:val="clear" w:color="auto" w:fill="FFFFFF"/>
        </w:rPr>
        <w:t>,</w:t>
      </w:r>
      <w:r w:rsidR="00A06753">
        <w:rPr>
          <w:rFonts w:ascii="Verdana" w:hAnsi="Verdana" w:cs="Arial"/>
          <w:shd w:val="clear" w:color="auto" w:fill="FFFFFF"/>
        </w:rPr>
        <w:t xml:space="preserve"> </w:t>
      </w:r>
      <w:r w:rsidRPr="00FF007A">
        <w:rPr>
          <w:rFonts w:ascii="Verdana" w:hAnsi="Verdana" w:cs="Arial"/>
          <w:shd w:val="clear" w:color="auto" w:fill="FFFFFF"/>
        </w:rPr>
        <w:t xml:space="preserve">entre otros. </w:t>
      </w:r>
      <w:r w:rsidRPr="00FF007A">
        <w:rPr>
          <w:rFonts w:ascii="Verdana" w:hAnsi="Verdana" w:cs="Arial"/>
        </w:rPr>
        <w:t xml:space="preserve">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4"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7A0A6A69" w14:textId="77777777" w:rsidR="00F95AF5" w:rsidRPr="00FF007A" w:rsidRDefault="00F95AF5" w:rsidP="00F95AF5">
      <w:pPr>
        <w:spacing w:after="120" w:line="276" w:lineRule="auto"/>
        <w:jc w:val="both"/>
        <w:rPr>
          <w:rFonts w:ascii="Verdana" w:eastAsia="Calibri" w:hAnsi="Verdana" w:cs="Times New Roman"/>
        </w:rPr>
      </w:pPr>
      <w:r w:rsidRPr="00FF007A">
        <w:rPr>
          <w:rFonts w:ascii="Verdana" w:hAnsi="Verdana"/>
        </w:rPr>
        <w:lastRenderedPageBreak/>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CA125B1" w14:textId="77777777" w:rsidR="00F95AF5" w:rsidRPr="00FF007A" w:rsidRDefault="00F95AF5" w:rsidP="00F95AF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4D2FF8B4" w14:textId="77777777" w:rsidR="00F95AF5" w:rsidRPr="00FF007A" w:rsidRDefault="00F95AF5" w:rsidP="00F95AF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4464DF8A" w14:textId="77777777" w:rsidR="00F95AF5" w:rsidRPr="00FF007A" w:rsidRDefault="00F95AF5" w:rsidP="00F95AF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6CE09C47" w14:textId="77777777" w:rsidR="00F95AF5" w:rsidRPr="00FF007A" w:rsidRDefault="00F95AF5" w:rsidP="00F95AF5">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5" w:history="1">
        <w:r w:rsidRPr="00FF007A">
          <w:rPr>
            <w:rStyle w:val="Hipervnculo"/>
            <w:rFonts w:ascii="Verdana" w:hAnsi="Verdana"/>
            <w:lang w:val="es-CO"/>
          </w:rPr>
          <w:t>www.colombiacompra.gov.co</w:t>
        </w:r>
      </w:hyperlink>
    </w:p>
    <w:p w14:paraId="7FD84640" w14:textId="77777777" w:rsidR="00F95AF5" w:rsidRPr="00FF007A" w:rsidRDefault="00F95AF5" w:rsidP="00F95AF5">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270C0C33" w14:textId="77777777" w:rsidR="00F95AF5" w:rsidRPr="00FF007A" w:rsidRDefault="00F95AF5" w:rsidP="00F95AF5">
      <w:pPr>
        <w:spacing w:after="0" w:line="276" w:lineRule="auto"/>
        <w:jc w:val="both"/>
        <w:rPr>
          <w:rFonts w:ascii="Verdana" w:hAnsi="Verdana"/>
        </w:rPr>
      </w:pPr>
    </w:p>
    <w:p w14:paraId="143CB940" w14:textId="77777777" w:rsidR="00F95AF5" w:rsidRPr="00FF007A" w:rsidRDefault="00F95AF5" w:rsidP="00F95AF5">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789B92FB" w14:textId="77777777" w:rsidR="00F95AF5" w:rsidRPr="00FF007A" w:rsidRDefault="00F95AF5" w:rsidP="00F95AF5">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03629302" w14:textId="77777777" w:rsidR="00F95AF5" w:rsidRPr="00FF007A" w:rsidRDefault="00F95AF5" w:rsidP="00F95AF5">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77AE75E3" w14:textId="77777777" w:rsidR="00F95AF5" w:rsidRDefault="00F95AF5" w:rsidP="00F95AF5">
      <w:pPr>
        <w:spacing w:before="120" w:after="0" w:line="276" w:lineRule="auto"/>
        <w:jc w:val="both"/>
        <w:rPr>
          <w:rFonts w:ascii="Verdana" w:hAnsi="Verdana"/>
        </w:rPr>
      </w:pPr>
    </w:p>
    <w:p w14:paraId="7AED6E36" w14:textId="77777777" w:rsidR="00F95AF5" w:rsidRPr="00FF007A" w:rsidRDefault="00F95AF5" w:rsidP="00F95AF5">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1AA0B6D" w14:textId="77777777" w:rsidR="00F95AF5" w:rsidRPr="00FF007A" w:rsidRDefault="00F95AF5" w:rsidP="00F95AF5">
      <w:pPr>
        <w:spacing w:after="0" w:line="276" w:lineRule="auto"/>
        <w:jc w:val="both"/>
        <w:rPr>
          <w:rFonts w:ascii="Verdana" w:eastAsia="Calibri" w:hAnsi="Verdana" w:cs="Times New Roman"/>
        </w:rPr>
      </w:pPr>
    </w:p>
    <w:p w14:paraId="7385072C" w14:textId="77777777" w:rsidR="00F95AF5" w:rsidRPr="00505CD6" w:rsidRDefault="00F95AF5" w:rsidP="00F95AF5">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1711420" w14:textId="256F74FF" w:rsidR="00F95AF5" w:rsidRPr="00EF055B" w:rsidRDefault="00814A4B" w:rsidP="00F95AF5">
      <w:pPr>
        <w:spacing w:line="276" w:lineRule="auto"/>
        <w:jc w:val="center"/>
        <w:rPr>
          <w:noProof/>
          <w:color w:val="000000"/>
        </w:rPr>
      </w:pPr>
      <w:r w:rsidRPr="002C3AD6">
        <w:rPr>
          <w:rFonts w:ascii="Century Gothic" w:hAnsi="Century Gothic"/>
          <w:noProof/>
        </w:rPr>
        <w:drawing>
          <wp:inline distT="0" distB="0" distL="0" distR="0" wp14:anchorId="3FE8214B" wp14:editId="47521F1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95AF5" w:rsidRPr="00593A5F" w14:paraId="687F3EC2" w14:textId="77777777" w:rsidTr="00216DC5">
        <w:trPr>
          <w:trHeight w:val="315"/>
        </w:trPr>
        <w:tc>
          <w:tcPr>
            <w:tcW w:w="893" w:type="dxa"/>
            <w:vAlign w:val="center"/>
            <w:hideMark/>
          </w:tcPr>
          <w:p w14:paraId="7A1DFFA4" w14:textId="77777777" w:rsidR="00F95AF5" w:rsidRPr="003751C7" w:rsidRDefault="00F95AF5" w:rsidP="00216DC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BE5259F" w14:textId="5146898F" w:rsidR="00F95AF5" w:rsidRPr="00C42FC5" w:rsidRDefault="00F95AF5" w:rsidP="00216DC5">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 xml:space="preserve">María </w:t>
            </w:r>
            <w:proofErr w:type="spellStart"/>
            <w:r w:rsidRPr="00C42FC5">
              <w:rPr>
                <w:rStyle w:val="normaltextrun"/>
                <w:rFonts w:ascii="Verdana" w:hAnsi="Verdana" w:cstheme="minorHAnsi"/>
                <w:sz w:val="16"/>
                <w:szCs w:val="16"/>
              </w:rPr>
              <w:t>Joshira</w:t>
            </w:r>
            <w:proofErr w:type="spellEnd"/>
            <w:r w:rsidRPr="00C42FC5">
              <w:rPr>
                <w:rStyle w:val="normaltextrun"/>
                <w:rFonts w:ascii="Verdana" w:hAnsi="Verdana" w:cstheme="minorHAnsi"/>
                <w:sz w:val="16"/>
                <w:szCs w:val="16"/>
              </w:rPr>
              <w:t xml:space="preserve"> Nieto Manzano</w:t>
            </w:r>
          </w:p>
          <w:p w14:paraId="50E12618" w14:textId="77777777" w:rsidR="00F95AF5" w:rsidRPr="00C42FC5" w:rsidRDefault="00F95AF5" w:rsidP="00216DC5">
            <w:pPr>
              <w:contextualSpacing/>
              <w:rPr>
                <w:rStyle w:val="normaltextrun"/>
                <w:rFonts w:eastAsia="Times New Roman" w:cstheme="minorHAnsi"/>
                <w:lang w:eastAsia="es-CO"/>
              </w:rPr>
            </w:pPr>
            <w:r w:rsidRPr="00C42FC5">
              <w:rPr>
                <w:rStyle w:val="normaltextrun"/>
                <w:rFonts w:ascii="Verdana" w:eastAsia="Times New Roman" w:hAnsi="Verdana" w:cstheme="minorHAnsi"/>
                <w:sz w:val="16"/>
                <w:szCs w:val="16"/>
                <w:lang w:eastAsia="es-CO"/>
              </w:rPr>
              <w:t>Contratista</w:t>
            </w:r>
            <w:r w:rsidRPr="00C42FC5">
              <w:rPr>
                <w:rStyle w:val="normaltextrun"/>
                <w:rFonts w:eastAsia="Times New Roman" w:cstheme="minorHAnsi"/>
                <w:lang w:eastAsia="es-CO"/>
              </w:rPr>
              <w:t xml:space="preserve"> de la Subdirección de Gestión Contractual</w:t>
            </w:r>
          </w:p>
        </w:tc>
      </w:tr>
      <w:tr w:rsidR="00F95AF5" w:rsidRPr="00593A5F" w14:paraId="45803B89" w14:textId="77777777" w:rsidTr="00216DC5">
        <w:trPr>
          <w:trHeight w:val="330"/>
        </w:trPr>
        <w:tc>
          <w:tcPr>
            <w:tcW w:w="893" w:type="dxa"/>
            <w:vAlign w:val="center"/>
            <w:hideMark/>
          </w:tcPr>
          <w:p w14:paraId="749782B9" w14:textId="77777777" w:rsidR="00F95AF5" w:rsidRPr="003751C7" w:rsidRDefault="00F95AF5" w:rsidP="00216DC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7EE2C6" w14:textId="1A181781" w:rsidR="00F95AF5" w:rsidRDefault="00F95AF5" w:rsidP="00216DC5">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14:paraId="65CEB19A" w14:textId="77777777" w:rsidR="00F95AF5" w:rsidRPr="00C42FC5" w:rsidRDefault="00F95AF5" w:rsidP="00216DC5">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F95AF5" w:rsidRPr="00593A5F" w14:paraId="4D93957C" w14:textId="77777777" w:rsidTr="00216DC5">
        <w:trPr>
          <w:trHeight w:val="300"/>
        </w:trPr>
        <w:tc>
          <w:tcPr>
            <w:tcW w:w="893" w:type="dxa"/>
            <w:vAlign w:val="center"/>
          </w:tcPr>
          <w:p w14:paraId="6378C165" w14:textId="77777777" w:rsidR="00F95AF5" w:rsidRPr="003751C7" w:rsidRDefault="00F95AF5" w:rsidP="00216DC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A03C99" w14:textId="294A8090" w:rsidR="00F95AF5" w:rsidRPr="000015E6" w:rsidRDefault="00F95AF5" w:rsidP="00216DC5">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p>
          <w:p w14:paraId="60418B8D" w14:textId="77777777" w:rsidR="00F95AF5" w:rsidRPr="000015E6" w:rsidRDefault="00F95AF5" w:rsidP="00216DC5">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0"/>
    </w:tbl>
    <w:p w14:paraId="063AD55D" w14:textId="77777777" w:rsidR="00F95AF5" w:rsidRPr="00F95AF5" w:rsidRDefault="00F95AF5" w:rsidP="00E245AB">
      <w:pPr>
        <w:spacing w:after="0"/>
        <w:rPr>
          <w:rFonts w:ascii="Verdana" w:hAnsi="Verdana"/>
          <w:lang w:val="es-ES_tradnl"/>
        </w:rPr>
      </w:pPr>
    </w:p>
    <w:sectPr w:rsidR="00F95AF5" w:rsidRPr="00F95AF5" w:rsidSect="00B40711">
      <w:headerReference w:type="default" r:id="rId17"/>
      <w:footerReference w:type="default" r:id="rId18"/>
      <w:pgSz w:w="12240" w:h="15840" w:code="1"/>
      <w:pgMar w:top="1417" w:right="1701" w:bottom="1417" w:left="1701" w:header="709" w:footer="5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56E12" w14:textId="77777777" w:rsidR="003D570B" w:rsidRDefault="003D570B" w:rsidP="004A1847">
      <w:pPr>
        <w:spacing w:after="0" w:line="240" w:lineRule="auto"/>
      </w:pPr>
      <w:r>
        <w:separator/>
      </w:r>
    </w:p>
  </w:endnote>
  <w:endnote w:type="continuationSeparator" w:id="0">
    <w:p w14:paraId="7D26E9EA" w14:textId="77777777" w:rsidR="003D570B" w:rsidRDefault="003D57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5EE21" w14:textId="77777777" w:rsidR="003D570B" w:rsidRDefault="003D570B" w:rsidP="004A1847">
      <w:pPr>
        <w:spacing w:after="0" w:line="240" w:lineRule="auto"/>
      </w:pPr>
      <w:r>
        <w:separator/>
      </w:r>
    </w:p>
  </w:footnote>
  <w:footnote w:type="continuationSeparator" w:id="0">
    <w:p w14:paraId="694D277A" w14:textId="77777777" w:rsidR="003D570B" w:rsidRDefault="003D570B" w:rsidP="004A1847">
      <w:pPr>
        <w:spacing w:after="0" w:line="240" w:lineRule="auto"/>
      </w:pPr>
      <w:r>
        <w:continuationSeparator/>
      </w:r>
    </w:p>
  </w:footnote>
  <w:footnote w:id="1">
    <w:p w14:paraId="7CA9872C" w14:textId="77777777" w:rsidR="00271F5B" w:rsidRPr="00C05384" w:rsidRDefault="00271F5B" w:rsidP="00271F5B">
      <w:pPr>
        <w:pStyle w:val="Textonotapie"/>
        <w:ind w:firstLine="709"/>
        <w:jc w:val="both"/>
        <w:rPr>
          <w:rFonts w:ascii="Verdana" w:hAnsi="Verdana" w:cs="Arial"/>
          <w:sz w:val="16"/>
          <w:szCs w:val="16"/>
        </w:rPr>
      </w:pPr>
    </w:p>
    <w:p w14:paraId="0EB39BEC" w14:textId="77777777" w:rsidR="00271F5B" w:rsidRPr="00C05384" w:rsidRDefault="00271F5B" w:rsidP="00271F5B">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1B7166CE" w14:textId="77777777" w:rsidR="00271F5B" w:rsidRPr="00C05384" w:rsidRDefault="00271F5B" w:rsidP="00271F5B">
      <w:pPr>
        <w:pStyle w:val="Textonotapie"/>
        <w:ind w:firstLine="709"/>
        <w:jc w:val="both"/>
        <w:rPr>
          <w:rFonts w:ascii="Verdana" w:hAnsi="Verdana" w:cs="Arial"/>
          <w:sz w:val="16"/>
          <w:szCs w:val="16"/>
        </w:rPr>
      </w:pPr>
    </w:p>
  </w:footnote>
  <w:footnote w:id="2">
    <w:p w14:paraId="741F69C8" w14:textId="77777777" w:rsidR="00F95AF5" w:rsidRPr="00FF007A"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42A0C9F" w14:textId="77777777" w:rsidR="00F95AF5" w:rsidRPr="00FF007A" w:rsidRDefault="00F95AF5" w:rsidP="00F95AF5">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C33306B" w14:textId="77777777" w:rsidR="00F95AF5" w:rsidRPr="00FF007A" w:rsidRDefault="00F95AF5" w:rsidP="00F95AF5">
      <w:pPr>
        <w:pStyle w:val="Textonotapie"/>
        <w:ind w:firstLine="709"/>
        <w:contextualSpacing/>
        <w:jc w:val="both"/>
        <w:rPr>
          <w:rFonts w:ascii="Verdana" w:hAnsi="Verdana" w:cs="Arial"/>
          <w:sz w:val="16"/>
          <w:szCs w:val="16"/>
          <w:lang w:val="es-CO"/>
        </w:rPr>
      </w:pPr>
    </w:p>
  </w:footnote>
  <w:footnote w:id="3">
    <w:p w14:paraId="22D527B4" w14:textId="77777777" w:rsidR="00F95AF5" w:rsidRPr="00FF007A"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p w14:paraId="6660EC05" w14:textId="77777777" w:rsidR="00F95AF5" w:rsidRPr="00FF007A" w:rsidRDefault="00F95AF5" w:rsidP="00F95AF5">
      <w:pPr>
        <w:pStyle w:val="Textonotapie"/>
        <w:ind w:firstLine="709"/>
        <w:contextualSpacing/>
        <w:jc w:val="both"/>
        <w:rPr>
          <w:rFonts w:ascii="Verdana" w:hAnsi="Verdana" w:cs="Arial"/>
          <w:sz w:val="16"/>
          <w:szCs w:val="16"/>
          <w:lang w:val="es-CO"/>
        </w:rPr>
      </w:pPr>
    </w:p>
  </w:footnote>
  <w:footnote w:id="4">
    <w:p w14:paraId="2F4B6E88" w14:textId="77777777" w:rsidR="00F95AF5" w:rsidRPr="00084D6B" w:rsidRDefault="00F95AF5" w:rsidP="00F95AF5">
      <w:pPr>
        <w:pStyle w:val="Textonotapie"/>
        <w:ind w:firstLine="709"/>
        <w:contextualSpacing/>
        <w:jc w:val="both"/>
        <w:rPr>
          <w:rFonts w:ascii="Verdana" w:hAnsi="Verdana" w:cs="Arial"/>
          <w:sz w:val="16"/>
          <w:szCs w:val="16"/>
          <w:lang w:val="pt-BR"/>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Corte Constitucional. Sentencia C- 1153 de 2005. M.P: Marco Gerardo Monroy Cabra.</w:t>
      </w:r>
    </w:p>
  </w:footnote>
  <w:footnote w:id="5">
    <w:p w14:paraId="7BDC34C3" w14:textId="77777777" w:rsidR="00F95AF5" w:rsidRPr="00084D6B" w:rsidRDefault="00F95AF5" w:rsidP="00F95AF5">
      <w:pPr>
        <w:pStyle w:val="Textonotapie"/>
        <w:ind w:firstLine="709"/>
        <w:contextualSpacing/>
        <w:jc w:val="both"/>
        <w:rPr>
          <w:rFonts w:ascii="Verdana" w:hAnsi="Verdana" w:cs="Arial"/>
          <w:sz w:val="16"/>
          <w:szCs w:val="16"/>
          <w:lang w:val="pt-BR"/>
        </w:rPr>
      </w:pPr>
      <w:r w:rsidRPr="00F3158D">
        <w:rPr>
          <w:rStyle w:val="Refdenotaalpie"/>
          <w:rFonts w:ascii="Verdana" w:hAnsi="Verdana" w:cs="Arial"/>
          <w:sz w:val="16"/>
          <w:szCs w:val="16"/>
          <w:lang w:val="es-CO"/>
        </w:rPr>
        <w:footnoteRef/>
      </w:r>
      <w:r w:rsidRPr="00084D6B">
        <w:rPr>
          <w:rFonts w:ascii="Verdana" w:hAnsi="Verdana" w:cs="Arial"/>
          <w:sz w:val="16"/>
          <w:szCs w:val="16"/>
          <w:lang w:val="pt-BR"/>
        </w:rPr>
        <w:t xml:space="preserve"> Corte Constitucional. Sentencias: C-233 de 4 de abril de 2002, M.P: Álvaro Tafur Galvis. C-551 de 9 de julio de 2003. M.P: Eduardo Montealegre Lynett. C-652 de 5 de agosto de 2003. M.P: Jaime Córdoba Triviño. Sentencia C-353 de 20 de mayo de 2009. M.P: Jorge Iván Palacio Palacio. C-541 de 30 de junio de 2010, M.P: Gabriel Eduardo Mendoza Martelo.</w:t>
      </w:r>
    </w:p>
    <w:p w14:paraId="49E1297B" w14:textId="77777777" w:rsidR="00F95AF5" w:rsidRPr="00084D6B" w:rsidRDefault="00F95AF5" w:rsidP="00F95AF5">
      <w:pPr>
        <w:pStyle w:val="Textonotapie"/>
        <w:ind w:firstLine="709"/>
        <w:contextualSpacing/>
        <w:jc w:val="both"/>
        <w:rPr>
          <w:rFonts w:ascii="Verdana" w:hAnsi="Verdana" w:cs="Arial"/>
          <w:sz w:val="16"/>
          <w:szCs w:val="16"/>
          <w:lang w:val="pt-BR"/>
        </w:rPr>
      </w:pPr>
    </w:p>
  </w:footnote>
  <w:footnote w:id="6">
    <w:p w14:paraId="5E012B46" w14:textId="77777777" w:rsidR="00F95AF5" w:rsidRPr="00084D6B" w:rsidRDefault="00F95AF5" w:rsidP="00F95AF5">
      <w:pPr>
        <w:pStyle w:val="Textonotapie"/>
        <w:ind w:firstLine="709"/>
        <w:contextualSpacing/>
        <w:jc w:val="both"/>
        <w:rPr>
          <w:rFonts w:ascii="Verdana" w:hAnsi="Verdana" w:cs="Arial"/>
          <w:sz w:val="16"/>
          <w:szCs w:val="16"/>
          <w:lang w:val="pt-BR"/>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Consejo de Estado. Sala de lo Contencioso Administrativo. Sección Primera. Sentencia de 3 de marzo de 2005, Radicado: 25001-23-15-000-2004-00823-01 (PI). C.P: Camilo Arciniegas Andrade.</w:t>
      </w:r>
    </w:p>
    <w:p w14:paraId="6DE6033B" w14:textId="77777777" w:rsidR="00F95AF5" w:rsidRPr="00084D6B" w:rsidRDefault="00F95AF5" w:rsidP="00F95AF5">
      <w:pPr>
        <w:pStyle w:val="Textonotapie"/>
        <w:ind w:firstLine="709"/>
        <w:contextualSpacing/>
        <w:jc w:val="both"/>
        <w:rPr>
          <w:rFonts w:ascii="Verdana" w:hAnsi="Verdana" w:cs="Arial"/>
          <w:sz w:val="16"/>
          <w:szCs w:val="16"/>
          <w:lang w:val="pt-BR"/>
        </w:rPr>
      </w:pPr>
    </w:p>
  </w:footnote>
  <w:footnote w:id="7">
    <w:p w14:paraId="2C16D05E" w14:textId="77777777" w:rsidR="00F95AF5" w:rsidRPr="00FF007A"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Consejo de Estado, Sala de Consulta y Servicio Civil de fecha 24 de julio de 2013. </w:t>
      </w:r>
      <w:r>
        <w:rPr>
          <w:rFonts w:ascii="Verdana" w:hAnsi="Verdana" w:cs="Arial"/>
          <w:sz w:val="16"/>
          <w:szCs w:val="16"/>
          <w:lang w:val="es-CO"/>
        </w:rPr>
        <w:t xml:space="preserve">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  </w:t>
      </w:r>
    </w:p>
  </w:footnote>
  <w:footnote w:id="8">
    <w:p w14:paraId="02446937" w14:textId="77777777" w:rsidR="00F95AF5" w:rsidRPr="00FF007A" w:rsidRDefault="00F95AF5" w:rsidP="00F95AF5">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58505E6" w14:textId="77777777" w:rsidR="00F95AF5" w:rsidRPr="00FF007A" w:rsidRDefault="00F95AF5" w:rsidP="00F95AF5">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p w14:paraId="2B4014C3" w14:textId="77777777" w:rsidR="00F95AF5" w:rsidRPr="00FF007A" w:rsidRDefault="00F95AF5" w:rsidP="00F95AF5">
      <w:pPr>
        <w:spacing w:after="0" w:line="240" w:lineRule="auto"/>
        <w:ind w:firstLine="709"/>
        <w:contextualSpacing/>
        <w:jc w:val="both"/>
        <w:rPr>
          <w:rFonts w:ascii="Verdana" w:eastAsia="Times New Roman" w:hAnsi="Verdana" w:cs="Arial"/>
          <w:sz w:val="16"/>
          <w:szCs w:val="16"/>
        </w:rPr>
      </w:pPr>
    </w:p>
  </w:footnote>
  <w:footnote w:id="9">
    <w:p w14:paraId="54693CE7" w14:textId="77777777" w:rsidR="00F95AF5" w:rsidRPr="00FF007A" w:rsidRDefault="00F95AF5" w:rsidP="00F95AF5">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64524F5E" w14:textId="77777777" w:rsidR="00F95AF5" w:rsidRPr="00FF007A" w:rsidRDefault="00F95AF5" w:rsidP="00F95AF5">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footnote>
  <w:footnote w:id="10">
    <w:p w14:paraId="44BBC71A" w14:textId="77777777" w:rsidR="00F95AF5" w:rsidRPr="00FF007A" w:rsidRDefault="00F95AF5" w:rsidP="00F95AF5">
      <w:pPr>
        <w:spacing w:after="0" w:line="240" w:lineRule="auto"/>
        <w:ind w:left="100" w:right="244"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Consejo de Estado. Sala de Consulta y Servicio Civil. Concepto del 17 de febrero de 2015. Radicación No. 11001-03-06-000-2015-00164-00 (2269) C.P: William Zambrano Cetina.</w:t>
      </w:r>
    </w:p>
  </w:footnote>
  <w:footnote w:id="11">
    <w:p w14:paraId="72D2173F" w14:textId="77777777" w:rsidR="00F95AF5" w:rsidRPr="00FF007A" w:rsidRDefault="00F95AF5" w:rsidP="00F95AF5">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“[26] Al respecto ver el concepto 1712 de 2 de febrero de 2006. Consejo de Estado Sala de Consulta y Servicio Civil”.</w:t>
      </w:r>
    </w:p>
    <w:p w14:paraId="00D2ADD2" w14:textId="77777777" w:rsidR="00F95AF5" w:rsidRPr="00FF007A" w:rsidRDefault="00F95AF5" w:rsidP="00F95AF5">
      <w:pPr>
        <w:pStyle w:val="Textonotapie"/>
        <w:ind w:right="51" w:firstLine="709"/>
        <w:contextualSpacing/>
        <w:jc w:val="both"/>
        <w:rPr>
          <w:rFonts w:ascii="Verdana" w:hAnsi="Verdana" w:cs="Arial"/>
          <w:sz w:val="16"/>
          <w:szCs w:val="16"/>
          <w:lang w:val="es-CO"/>
        </w:rPr>
      </w:pPr>
    </w:p>
  </w:footnote>
  <w:footnote w:id="12">
    <w:p w14:paraId="2D63145A" w14:textId="77777777" w:rsidR="00F95AF5"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Concepto del 2 de septiembre de 2013. Radicación número: 11001-03-06-000-2013-00412-00 (2168). Consejero Ponente: Álvaro Namén Vargas.</w:t>
      </w:r>
    </w:p>
    <w:p w14:paraId="4D1089FA" w14:textId="77777777" w:rsidR="00F95AF5" w:rsidRPr="00FF007A" w:rsidRDefault="00F95AF5" w:rsidP="00F95AF5">
      <w:pPr>
        <w:pStyle w:val="Textonotapie"/>
        <w:ind w:firstLine="709"/>
        <w:contextualSpacing/>
        <w:jc w:val="both"/>
        <w:rPr>
          <w:rFonts w:ascii="Verdana" w:hAnsi="Verdana" w:cs="Arial"/>
          <w:sz w:val="16"/>
          <w:szCs w:val="16"/>
          <w:lang w:val="es-CO"/>
        </w:rPr>
      </w:pPr>
    </w:p>
  </w:footnote>
  <w:footnote w:id="13">
    <w:p w14:paraId="0E8A1387" w14:textId="77777777" w:rsidR="00F95AF5"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Artículo 2. </w:t>
      </w:r>
    </w:p>
    <w:p w14:paraId="621BD9CA" w14:textId="77777777" w:rsidR="00F95AF5" w:rsidRPr="00FF007A" w:rsidRDefault="00F95AF5" w:rsidP="00F95AF5">
      <w:pPr>
        <w:pStyle w:val="Textonotapie"/>
        <w:ind w:firstLine="709"/>
        <w:contextualSpacing/>
        <w:jc w:val="both"/>
        <w:rPr>
          <w:rFonts w:ascii="Verdana" w:hAnsi="Verdana" w:cs="Arial"/>
          <w:sz w:val="16"/>
          <w:szCs w:val="16"/>
          <w:lang w:val="es-CO"/>
        </w:rPr>
      </w:pPr>
    </w:p>
  </w:footnote>
  <w:footnote w:id="14">
    <w:p w14:paraId="617EF99D" w14:textId="77777777" w:rsidR="00F95AF5" w:rsidRDefault="00F95AF5" w:rsidP="00F95AF5">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FF007A">
        <w:rPr>
          <w:rFonts w:ascii="Verdana" w:hAnsi="Verdana" w:cs="Arial"/>
          <w:i/>
          <w:sz w:val="16"/>
          <w:szCs w:val="16"/>
          <w:lang w:val="es-CO"/>
        </w:rPr>
        <w:t>Ídem</w:t>
      </w:r>
      <w:r w:rsidRPr="00FF007A">
        <w:rPr>
          <w:rFonts w:ascii="Verdana" w:hAnsi="Verdana" w:cs="Arial"/>
          <w:sz w:val="16"/>
          <w:szCs w:val="16"/>
          <w:lang w:val="es-CO"/>
        </w:rPr>
        <w:t>.</w:t>
      </w:r>
    </w:p>
    <w:p w14:paraId="5F3AF711" w14:textId="77777777" w:rsidR="00F95AF5" w:rsidRPr="00FF007A" w:rsidRDefault="00F95AF5" w:rsidP="00F95AF5">
      <w:pPr>
        <w:pStyle w:val="Textonotapie"/>
        <w:ind w:firstLine="709"/>
        <w:contextualSpacing/>
        <w:jc w:val="both"/>
        <w:rPr>
          <w:rFonts w:ascii="Verdana" w:hAnsi="Verdana" w:cs="Arial"/>
          <w:sz w:val="16"/>
          <w:szCs w:val="16"/>
          <w:lang w:val="es-CO"/>
        </w:rPr>
      </w:pPr>
    </w:p>
  </w:footnote>
  <w:footnote w:id="15">
    <w:p w14:paraId="74252AC1" w14:textId="77777777" w:rsidR="00F95AF5" w:rsidRPr="00F3158D" w:rsidRDefault="00F95AF5" w:rsidP="00F95AF5">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Consejo de Estado. Sala de Consulta y Servicio Civil. Concepto del 08 de mayo de 2018. Exp. 2.382. C.P. Álvaro Namén Vargas.</w:t>
      </w:r>
    </w:p>
    <w:p w14:paraId="50E61750" w14:textId="77777777" w:rsidR="00F95AF5" w:rsidRPr="00F3158D" w:rsidRDefault="00F95AF5" w:rsidP="00F95AF5">
      <w:pPr>
        <w:pStyle w:val="Textonotapie"/>
        <w:ind w:firstLine="709"/>
        <w:contextualSpacing/>
        <w:jc w:val="both"/>
        <w:rPr>
          <w:rFonts w:ascii="Verdana" w:hAnsi="Verdana" w:cs="Arial"/>
          <w:sz w:val="16"/>
          <w:szCs w:val="16"/>
          <w:lang w:val="es-CO"/>
        </w:rPr>
      </w:pPr>
    </w:p>
  </w:footnote>
  <w:footnote w:id="16">
    <w:p w14:paraId="261932CD" w14:textId="77777777" w:rsidR="00F95AF5" w:rsidRDefault="00F95AF5" w:rsidP="00F95AF5">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2FBEBB0A" w14:textId="77777777" w:rsidR="00F95AF5" w:rsidRPr="00FF007A" w:rsidRDefault="00F95AF5" w:rsidP="00F95AF5">
      <w:pPr>
        <w:pStyle w:val="Textonotapie"/>
        <w:ind w:firstLine="708"/>
        <w:contextualSpacing/>
        <w:jc w:val="both"/>
        <w:rPr>
          <w:rFonts w:ascii="Verdana" w:hAnsi="Verdana"/>
          <w:sz w:val="16"/>
          <w:szCs w:val="16"/>
          <w:lang w:val="es-CO"/>
        </w:rPr>
      </w:pPr>
    </w:p>
  </w:footnote>
  <w:footnote w:id="17">
    <w:p w14:paraId="431A3CEF" w14:textId="77777777" w:rsidR="00F95AF5" w:rsidRPr="00FF007A" w:rsidRDefault="00F95AF5" w:rsidP="00F95AF5">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Consejo de Estado. Sala de Consulta y Servicio Civil. Concepto de 20 de febrero de 2006. Radicación Número: 11001-03-06-000-2006-00026-00(1727). </w:t>
      </w:r>
      <w:r>
        <w:rPr>
          <w:rFonts w:ascii="Verdana" w:hAnsi="Verdana" w:cs="Arial"/>
          <w:color w:val="000000" w:themeColor="text1"/>
          <w:sz w:val="16"/>
          <w:szCs w:val="16"/>
        </w:rPr>
        <w:t>C.P:</w:t>
      </w:r>
      <w:r w:rsidRPr="00FF007A">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60A06F8B" w14:textId="77777777" w:rsidR="00F95AF5" w:rsidRPr="00FF007A" w:rsidRDefault="00F95AF5" w:rsidP="00F95AF5">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Corte Constitucional. Sentencia C-1153 de 2005 M.P</w:t>
      </w:r>
      <w:r>
        <w:rPr>
          <w:rFonts w:ascii="Verdana" w:hAnsi="Verdana" w:cs="Arial"/>
          <w:color w:val="000000" w:themeColor="text1"/>
          <w:sz w:val="16"/>
          <w:szCs w:val="16"/>
          <w:lang w:val="es-CO"/>
        </w:rPr>
        <w:t>:</w:t>
      </w:r>
      <w:r w:rsidRPr="00FF007A">
        <w:rPr>
          <w:rFonts w:ascii="Verdana" w:hAnsi="Verdana" w:cs="Arial"/>
          <w:color w:val="000000" w:themeColor="text1"/>
          <w:sz w:val="16"/>
          <w:szCs w:val="16"/>
          <w:lang w:val="es-CO"/>
        </w:rPr>
        <w:t xml:space="preserve"> Marco Gerardo Monroy Cabra. </w:t>
      </w:r>
    </w:p>
    <w:p w14:paraId="05E415B8" w14:textId="77777777" w:rsidR="00F95AF5" w:rsidRPr="00FF007A" w:rsidRDefault="00F95AF5" w:rsidP="00F95AF5">
      <w:pPr>
        <w:pStyle w:val="Textonotapie"/>
        <w:ind w:firstLine="708"/>
        <w:contextualSpacing/>
        <w:jc w:val="both"/>
        <w:rPr>
          <w:rFonts w:ascii="Verdana" w:hAnsi="Verdana" w:cs="Arial"/>
          <w:color w:val="000000" w:themeColor="text1"/>
          <w:sz w:val="16"/>
          <w:szCs w:val="16"/>
          <w:lang w:val="es-CO"/>
        </w:rPr>
      </w:pPr>
    </w:p>
  </w:footnote>
  <w:footnote w:id="19">
    <w:p w14:paraId="1A21EEBD" w14:textId="77777777" w:rsidR="00F95AF5" w:rsidRDefault="00F95AF5" w:rsidP="00F95AF5">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18 de febrero 2010.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11001-03-06-000-2010-00006-00 (1985). C.P. Enrique José Arboleda Perdomo.</w:t>
      </w:r>
    </w:p>
    <w:p w14:paraId="22D099A9" w14:textId="77777777" w:rsidR="00F95AF5" w:rsidRPr="00FF007A" w:rsidRDefault="00F95AF5" w:rsidP="00F95AF5">
      <w:pPr>
        <w:pStyle w:val="Textonotapie"/>
        <w:ind w:firstLine="708"/>
        <w:contextualSpacing/>
        <w:jc w:val="both"/>
        <w:rPr>
          <w:rFonts w:ascii="Verdana" w:hAnsi="Verdana" w:cs="Arial"/>
          <w:color w:val="000000" w:themeColor="text1"/>
          <w:sz w:val="16"/>
          <w:szCs w:val="16"/>
          <w:lang w:val="es-CO"/>
        </w:rPr>
      </w:pPr>
    </w:p>
  </w:footnote>
  <w:footnote w:id="20">
    <w:p w14:paraId="37A3A96F" w14:textId="77777777" w:rsidR="00F95AF5" w:rsidRPr="00FF007A" w:rsidRDefault="00F95AF5" w:rsidP="00F95AF5">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02 de septiembre de 2013.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11001-03-06-000-2013-00412-00 (2168). C.P. Álvaro Namén Vargas.</w:t>
      </w:r>
    </w:p>
    <w:p w14:paraId="1CA7D447" w14:textId="77777777" w:rsidR="00F95AF5" w:rsidRPr="00FF007A" w:rsidRDefault="00F95AF5" w:rsidP="00F95AF5">
      <w:pPr>
        <w:pStyle w:val="Textonotapie"/>
        <w:ind w:firstLine="708"/>
        <w:contextualSpacing/>
        <w:jc w:val="both"/>
        <w:rPr>
          <w:rFonts w:ascii="Verdana" w:hAnsi="Verdana" w:cs="Arial"/>
          <w:color w:val="000000" w:themeColor="text1"/>
          <w:sz w:val="16"/>
          <w:szCs w:val="16"/>
          <w:lang w:val="es-CO"/>
        </w:rPr>
      </w:pPr>
    </w:p>
  </w:footnote>
  <w:footnote w:id="21">
    <w:p w14:paraId="6D87702C" w14:textId="77777777" w:rsidR="00F95AF5" w:rsidRDefault="00F95AF5" w:rsidP="00F95AF5">
      <w:pPr>
        <w:pStyle w:val="Textonotapie"/>
        <w:ind w:firstLine="709"/>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 20 de febrero de2006. Radicación 11001-03-06-000-2006-00023-00(1724). </w:t>
      </w:r>
      <w:r>
        <w:rPr>
          <w:rFonts w:ascii="Verdana" w:hAnsi="Verdana" w:cs="Arial"/>
          <w:color w:val="000000" w:themeColor="text1"/>
          <w:sz w:val="16"/>
          <w:szCs w:val="16"/>
          <w:lang w:val="es-CO"/>
        </w:rPr>
        <w:t>C.P</w:t>
      </w:r>
      <w:r w:rsidRPr="00FF007A">
        <w:rPr>
          <w:rFonts w:ascii="Verdana" w:hAnsi="Verdana" w:cs="Arial"/>
          <w:color w:val="000000" w:themeColor="text1"/>
          <w:sz w:val="16"/>
          <w:szCs w:val="16"/>
          <w:lang w:val="es-CO"/>
        </w:rPr>
        <w:t>: Flavio Augusto Rodríguez Arce.</w:t>
      </w:r>
    </w:p>
    <w:p w14:paraId="7FE733A7" w14:textId="77777777" w:rsidR="00F95AF5" w:rsidRPr="00FF007A" w:rsidRDefault="00F95AF5" w:rsidP="00F95AF5">
      <w:pPr>
        <w:pStyle w:val="Textonotapie"/>
        <w:ind w:firstLine="709"/>
        <w:contextualSpacing/>
        <w:jc w:val="both"/>
        <w:rPr>
          <w:rFonts w:ascii="Verdana" w:hAnsi="Verdana" w:cs="Arial"/>
          <w:color w:val="000000" w:themeColor="text1"/>
          <w:sz w:val="16"/>
          <w:szCs w:val="16"/>
          <w:lang w:val="es-CO"/>
        </w:rPr>
      </w:pPr>
    </w:p>
  </w:footnote>
  <w:footnote w:id="22">
    <w:p w14:paraId="63B58E9E" w14:textId="77777777" w:rsidR="00F95AF5" w:rsidRPr="00FA6811" w:rsidRDefault="00F95AF5" w:rsidP="00F95AF5">
      <w:pPr>
        <w:pStyle w:val="Textonotapie"/>
        <w:ind w:firstLine="708"/>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footnote>
  <w:footnote w:id="23">
    <w:p w14:paraId="472D3477" w14:textId="77777777" w:rsidR="00F95AF5" w:rsidRPr="00B80F4D" w:rsidRDefault="00F95AF5" w:rsidP="00F95AF5">
      <w:pPr>
        <w:pStyle w:val="Textonotapie"/>
        <w:ind w:firstLine="708"/>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 Alberto Rojas Ríos).</w:t>
      </w:r>
    </w:p>
  </w:footnote>
  <w:footnote w:id="24">
    <w:p w14:paraId="2C4296BE" w14:textId="77777777" w:rsidR="00F95AF5" w:rsidRPr="00B80F4D" w:rsidRDefault="00F95AF5" w:rsidP="00F95AF5">
      <w:pPr>
        <w:pStyle w:val="Textonotapie"/>
        <w:ind w:firstLine="709"/>
        <w:rPr>
          <w:lang w:val="pt-BR"/>
        </w:rPr>
      </w:pPr>
      <w:r w:rsidRPr="009C55EB">
        <w:rPr>
          <w:rStyle w:val="Refdenotaalpie"/>
        </w:rPr>
        <w:footnoteRef/>
      </w:r>
      <w:r w:rsidRPr="00B80F4D">
        <w:rPr>
          <w:lang w:val="pt-BR"/>
        </w:rPr>
        <w:t xml:space="preserve"> </w:t>
      </w:r>
      <w:r w:rsidRPr="00B80F4D">
        <w:rPr>
          <w:rFonts w:ascii="Verdana" w:hAnsi="Verdana" w:cs="Arial"/>
          <w:sz w:val="16"/>
          <w:szCs w:val="16"/>
          <w:lang w:val="pt-BR"/>
        </w:rPr>
        <w:t>Consejo de Estado, Sala de lo Contencioso Administrativo, Sección Tercera. Auto del 4 de octubre de 2024. Radicado No. 70.313. MP: Fredy Ibarra Martínez</w:t>
      </w:r>
    </w:p>
  </w:footnote>
  <w:footnote w:id="25">
    <w:p w14:paraId="0B41D529" w14:textId="77777777" w:rsidR="007561A1" w:rsidRPr="00897C82" w:rsidRDefault="007561A1" w:rsidP="007561A1">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050007479"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879015681" name="Imagen 8790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C06"/>
    <w:rsid w:val="00036A58"/>
    <w:rsid w:val="00046945"/>
    <w:rsid w:val="00061B2A"/>
    <w:rsid w:val="00082362"/>
    <w:rsid w:val="000863D9"/>
    <w:rsid w:val="000A683E"/>
    <w:rsid w:val="000B19B9"/>
    <w:rsid w:val="000B2C04"/>
    <w:rsid w:val="000C338F"/>
    <w:rsid w:val="000D0334"/>
    <w:rsid w:val="000F6486"/>
    <w:rsid w:val="00125105"/>
    <w:rsid w:val="00127233"/>
    <w:rsid w:val="001414E3"/>
    <w:rsid w:val="001E4177"/>
    <w:rsid w:val="001F7DC6"/>
    <w:rsid w:val="002421A9"/>
    <w:rsid w:val="002421BB"/>
    <w:rsid w:val="00243322"/>
    <w:rsid w:val="0025796E"/>
    <w:rsid w:val="00262B9A"/>
    <w:rsid w:val="002707A2"/>
    <w:rsid w:val="00271F5B"/>
    <w:rsid w:val="00291386"/>
    <w:rsid w:val="002951A0"/>
    <w:rsid w:val="002962BC"/>
    <w:rsid w:val="002A093D"/>
    <w:rsid w:val="002A0DD0"/>
    <w:rsid w:val="002A49AC"/>
    <w:rsid w:val="002A64FD"/>
    <w:rsid w:val="002C7A84"/>
    <w:rsid w:val="002E4FD9"/>
    <w:rsid w:val="00322A85"/>
    <w:rsid w:val="00324168"/>
    <w:rsid w:val="0033592C"/>
    <w:rsid w:val="003448F4"/>
    <w:rsid w:val="0036182C"/>
    <w:rsid w:val="00374F5E"/>
    <w:rsid w:val="0037773A"/>
    <w:rsid w:val="00377D2A"/>
    <w:rsid w:val="00377E3E"/>
    <w:rsid w:val="003A779E"/>
    <w:rsid w:val="003B1183"/>
    <w:rsid w:val="003D0F4D"/>
    <w:rsid w:val="003D570B"/>
    <w:rsid w:val="003D5B0D"/>
    <w:rsid w:val="003E0499"/>
    <w:rsid w:val="003E3A21"/>
    <w:rsid w:val="003F3367"/>
    <w:rsid w:val="003F3941"/>
    <w:rsid w:val="003F5C72"/>
    <w:rsid w:val="00406575"/>
    <w:rsid w:val="00414C74"/>
    <w:rsid w:val="0042722E"/>
    <w:rsid w:val="00431D10"/>
    <w:rsid w:val="0044528D"/>
    <w:rsid w:val="0047277B"/>
    <w:rsid w:val="004A1847"/>
    <w:rsid w:val="004A305D"/>
    <w:rsid w:val="004A63C6"/>
    <w:rsid w:val="004D09FE"/>
    <w:rsid w:val="004F21C4"/>
    <w:rsid w:val="004F685F"/>
    <w:rsid w:val="00544405"/>
    <w:rsid w:val="005566E8"/>
    <w:rsid w:val="00573D71"/>
    <w:rsid w:val="00574867"/>
    <w:rsid w:val="00591460"/>
    <w:rsid w:val="00594650"/>
    <w:rsid w:val="005A21B8"/>
    <w:rsid w:val="005A4555"/>
    <w:rsid w:val="005B5423"/>
    <w:rsid w:val="005C3777"/>
    <w:rsid w:val="005C3787"/>
    <w:rsid w:val="005C5CDC"/>
    <w:rsid w:val="005D476C"/>
    <w:rsid w:val="005D4AA9"/>
    <w:rsid w:val="006219F8"/>
    <w:rsid w:val="006302F7"/>
    <w:rsid w:val="0064364C"/>
    <w:rsid w:val="00665D70"/>
    <w:rsid w:val="006900D9"/>
    <w:rsid w:val="006A760C"/>
    <w:rsid w:val="00703F37"/>
    <w:rsid w:val="00706C16"/>
    <w:rsid w:val="007352C8"/>
    <w:rsid w:val="007561A1"/>
    <w:rsid w:val="00756841"/>
    <w:rsid w:val="007649AB"/>
    <w:rsid w:val="00771D0C"/>
    <w:rsid w:val="007833AC"/>
    <w:rsid w:val="007A5DEC"/>
    <w:rsid w:val="007B268C"/>
    <w:rsid w:val="007B7171"/>
    <w:rsid w:val="007C0C0F"/>
    <w:rsid w:val="007C3DC2"/>
    <w:rsid w:val="007C7B9E"/>
    <w:rsid w:val="007E0D9A"/>
    <w:rsid w:val="007E43C5"/>
    <w:rsid w:val="007E5497"/>
    <w:rsid w:val="007F637A"/>
    <w:rsid w:val="00806F5F"/>
    <w:rsid w:val="00814A4B"/>
    <w:rsid w:val="00820278"/>
    <w:rsid w:val="00821886"/>
    <w:rsid w:val="008258C7"/>
    <w:rsid w:val="00867F95"/>
    <w:rsid w:val="008843B6"/>
    <w:rsid w:val="00891928"/>
    <w:rsid w:val="00897A3A"/>
    <w:rsid w:val="008A446D"/>
    <w:rsid w:val="008A763E"/>
    <w:rsid w:val="008D180B"/>
    <w:rsid w:val="008E7710"/>
    <w:rsid w:val="008F0EA7"/>
    <w:rsid w:val="008F50DD"/>
    <w:rsid w:val="009159C6"/>
    <w:rsid w:val="00916730"/>
    <w:rsid w:val="00923EEF"/>
    <w:rsid w:val="009341CA"/>
    <w:rsid w:val="009419F9"/>
    <w:rsid w:val="0095685E"/>
    <w:rsid w:val="00961B09"/>
    <w:rsid w:val="00965334"/>
    <w:rsid w:val="00966BCD"/>
    <w:rsid w:val="0097093E"/>
    <w:rsid w:val="009A0DFA"/>
    <w:rsid w:val="009B25A8"/>
    <w:rsid w:val="009B2D26"/>
    <w:rsid w:val="009C71FA"/>
    <w:rsid w:val="009C72E7"/>
    <w:rsid w:val="009D3058"/>
    <w:rsid w:val="009D705E"/>
    <w:rsid w:val="009F3A13"/>
    <w:rsid w:val="009F3B57"/>
    <w:rsid w:val="00A03CAD"/>
    <w:rsid w:val="00A0641E"/>
    <w:rsid w:val="00A06753"/>
    <w:rsid w:val="00A122D3"/>
    <w:rsid w:val="00A17F13"/>
    <w:rsid w:val="00A20739"/>
    <w:rsid w:val="00A33C78"/>
    <w:rsid w:val="00A43FDA"/>
    <w:rsid w:val="00A6074A"/>
    <w:rsid w:val="00A71CFE"/>
    <w:rsid w:val="00A72117"/>
    <w:rsid w:val="00A8282C"/>
    <w:rsid w:val="00A974C5"/>
    <w:rsid w:val="00AB0ADB"/>
    <w:rsid w:val="00B00C0E"/>
    <w:rsid w:val="00B01B1A"/>
    <w:rsid w:val="00B40711"/>
    <w:rsid w:val="00B44A47"/>
    <w:rsid w:val="00B52FB0"/>
    <w:rsid w:val="00B60FFF"/>
    <w:rsid w:val="00B72CD3"/>
    <w:rsid w:val="00B72FFF"/>
    <w:rsid w:val="00BC3D36"/>
    <w:rsid w:val="00BC3F65"/>
    <w:rsid w:val="00BD45BA"/>
    <w:rsid w:val="00BD52D6"/>
    <w:rsid w:val="00BD7F72"/>
    <w:rsid w:val="00C04FB3"/>
    <w:rsid w:val="00C330EB"/>
    <w:rsid w:val="00C4483B"/>
    <w:rsid w:val="00C66166"/>
    <w:rsid w:val="00C754BE"/>
    <w:rsid w:val="00C76B1C"/>
    <w:rsid w:val="00CB6357"/>
    <w:rsid w:val="00CC1B26"/>
    <w:rsid w:val="00CE143E"/>
    <w:rsid w:val="00D423A2"/>
    <w:rsid w:val="00D520D8"/>
    <w:rsid w:val="00D63AC2"/>
    <w:rsid w:val="00D7383B"/>
    <w:rsid w:val="00D746DE"/>
    <w:rsid w:val="00D87837"/>
    <w:rsid w:val="00D90DB1"/>
    <w:rsid w:val="00DA231B"/>
    <w:rsid w:val="00DB07D9"/>
    <w:rsid w:val="00DC39FC"/>
    <w:rsid w:val="00DF4AE6"/>
    <w:rsid w:val="00DF5254"/>
    <w:rsid w:val="00E073F9"/>
    <w:rsid w:val="00E14453"/>
    <w:rsid w:val="00E16408"/>
    <w:rsid w:val="00E20894"/>
    <w:rsid w:val="00E22898"/>
    <w:rsid w:val="00E245AB"/>
    <w:rsid w:val="00E26728"/>
    <w:rsid w:val="00E2764C"/>
    <w:rsid w:val="00E27F2E"/>
    <w:rsid w:val="00E50AFE"/>
    <w:rsid w:val="00E75C92"/>
    <w:rsid w:val="00E771DC"/>
    <w:rsid w:val="00E8772A"/>
    <w:rsid w:val="00E90F6B"/>
    <w:rsid w:val="00E91463"/>
    <w:rsid w:val="00E92C27"/>
    <w:rsid w:val="00E97CD5"/>
    <w:rsid w:val="00EA0E3D"/>
    <w:rsid w:val="00EB01BA"/>
    <w:rsid w:val="00EB6F7C"/>
    <w:rsid w:val="00EC1452"/>
    <w:rsid w:val="00EC38A7"/>
    <w:rsid w:val="00EE1AA8"/>
    <w:rsid w:val="00EF1C58"/>
    <w:rsid w:val="00F31EDC"/>
    <w:rsid w:val="00F462B3"/>
    <w:rsid w:val="00F5664F"/>
    <w:rsid w:val="00F666C4"/>
    <w:rsid w:val="00F7615B"/>
    <w:rsid w:val="00F76AFC"/>
    <w:rsid w:val="00F95AF5"/>
    <w:rsid w:val="00FA47C0"/>
    <w:rsid w:val="00FB5DD1"/>
    <w:rsid w:val="00FC1255"/>
    <w:rsid w:val="00FC2B5D"/>
    <w:rsid w:val="00FE7AA0"/>
    <w:rsid w:val="00FF1449"/>
    <w:rsid w:val="43C26B61"/>
    <w:rsid w:val="55AB919F"/>
    <w:rsid w:val="5E1BD5B7"/>
    <w:rsid w:val="65993F8C"/>
    <w:rsid w:val="69E2BF91"/>
    <w:rsid w:val="6B3C792A"/>
    <w:rsid w:val="79F3ED1A"/>
    <w:rsid w:val="7E721A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5AF5"/>
    <w:rPr>
      <w:rFonts w:ascii="Geomanist Light" w:hAnsi="Geomanist Light"/>
      <w:lang w:val="es-ES"/>
    </w:rPr>
  </w:style>
  <w:style w:type="paragraph" w:customStyle="1" w:styleId="Appelnotedebasde">
    <w:name w:val="Appel note de bas de..."/>
    <w:basedOn w:val="Normal"/>
    <w:link w:val="Refdenotaalpie"/>
    <w:uiPriority w:val="99"/>
    <w:rsid w:val="00F95AF5"/>
    <w:pPr>
      <w:spacing w:line="240" w:lineRule="exact"/>
    </w:pPr>
    <w:rPr>
      <w:vertAlign w:val="superscript"/>
    </w:rPr>
  </w:style>
  <w:style w:type="character" w:customStyle="1" w:styleId="baj">
    <w:name w:val="b_aj"/>
    <w:basedOn w:val="Fuentedeprrafopredeter"/>
    <w:rsid w:val="00F95AF5"/>
  </w:style>
  <w:style w:type="character" w:customStyle="1" w:styleId="NormalWebCar">
    <w:name w:val="Normal (Web) Car"/>
    <w:link w:val="NormalWeb"/>
    <w:uiPriority w:val="99"/>
    <w:locked/>
    <w:rsid w:val="00F95AF5"/>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594650"/>
    <w:rPr>
      <w:b/>
      <w:bCs/>
    </w:rPr>
  </w:style>
  <w:style w:type="character" w:customStyle="1" w:styleId="AsuntodelcomentarioCar">
    <w:name w:val="Asunto del comentario Car"/>
    <w:basedOn w:val="TextocomentarioCar"/>
    <w:link w:val="Asuntodelcomentario"/>
    <w:uiPriority w:val="99"/>
    <w:semiHidden/>
    <w:rsid w:val="005946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circular/circular-externa-006-de-2025"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ncuga20@gmail.com"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331340F5-51C3-4735-A031-7954917B4C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23</Pages>
  <Words>7577</Words>
  <Characters>41452</Characters>
  <Application>Microsoft Office Word</Application>
  <DocSecurity>0</DocSecurity>
  <Lines>812</Lines>
  <Paragraphs>170</Paragraphs>
  <ScaleCrop>false</ScaleCrop>
  <Company/>
  <LinksUpToDate>false</LinksUpToDate>
  <CharactersWithSpaces>48859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2025-10-21T00:17:00Z</dcterms:created>
  <dcterms:modified xsi:type="dcterms:W3CDTF">2025-10-21T00:17:00Z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