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3A7577" w14:textId="77777777" w:rsidR="002845A8" w:rsidRPr="000F7403" w:rsidRDefault="002845A8" w:rsidP="002845A8">
      <w:pPr>
        <w:spacing w:after="0" w:line="240" w:lineRule="auto"/>
        <w:jc w:val="both"/>
        <w:rPr>
          <w:rFonts w:ascii="Verdana" w:eastAsia="Calibri" w:hAnsi="Verdana" w:cs="Arial"/>
          <w:b/>
          <w:sz w:val="20"/>
          <w:szCs w:val="20"/>
        </w:rPr>
      </w:pPr>
    </w:p>
    <w:p w14:paraId="06B91E04" w14:textId="77777777" w:rsidR="002845A8" w:rsidRPr="000F7403" w:rsidRDefault="002845A8" w:rsidP="002845A8">
      <w:pPr>
        <w:pStyle w:val="NormalWeb"/>
        <w:shd w:val="clear" w:color="auto" w:fill="FFFFFF"/>
        <w:spacing w:before="0" w:beforeAutospacing="0" w:after="0" w:afterAutospacing="0"/>
        <w:jc w:val="both"/>
        <w:rPr>
          <w:rFonts w:ascii="Verdana" w:hAnsi="Verdana" w:cs="Arial"/>
          <w:b/>
          <w:bCs/>
          <w:sz w:val="22"/>
          <w:szCs w:val="22"/>
          <w:lang w:val="es-ES_tradnl"/>
        </w:rPr>
      </w:pPr>
      <w:r w:rsidRPr="000F7403">
        <w:rPr>
          <w:rFonts w:ascii="Verdana" w:hAnsi="Verdana" w:cs="Arial"/>
          <w:b/>
          <w:bCs/>
          <w:sz w:val="22"/>
          <w:szCs w:val="22"/>
          <w:lang w:val="es-ES_tradnl"/>
        </w:rPr>
        <w:t xml:space="preserve">ANTICIPO – Regulación normativa </w:t>
      </w:r>
    </w:p>
    <w:p w14:paraId="06C13362" w14:textId="77777777" w:rsidR="002845A8" w:rsidRPr="000F7403" w:rsidRDefault="002845A8" w:rsidP="002845A8">
      <w:pPr>
        <w:pStyle w:val="NormalWeb"/>
        <w:shd w:val="clear" w:color="auto" w:fill="FFFFFF"/>
        <w:spacing w:before="0" w:beforeAutospacing="0" w:after="0" w:afterAutospacing="0"/>
        <w:jc w:val="both"/>
        <w:rPr>
          <w:rFonts w:ascii="Verdana" w:hAnsi="Verdana" w:cs="Arial"/>
          <w:sz w:val="20"/>
          <w:szCs w:val="20"/>
          <w:lang w:val="es-ES_tradnl"/>
        </w:rPr>
      </w:pPr>
    </w:p>
    <w:p w14:paraId="3CDCE55B" w14:textId="77777777" w:rsidR="002845A8" w:rsidRPr="000F7403" w:rsidRDefault="002845A8" w:rsidP="002845A8">
      <w:pPr>
        <w:pStyle w:val="NormalWeb"/>
        <w:shd w:val="clear" w:color="auto" w:fill="FFFFFF"/>
        <w:spacing w:before="0" w:beforeAutospacing="0" w:after="0" w:afterAutospacing="0"/>
        <w:jc w:val="both"/>
        <w:rPr>
          <w:rFonts w:ascii="Verdana" w:hAnsi="Verdana" w:cs="Arial"/>
          <w:sz w:val="20"/>
          <w:szCs w:val="20"/>
          <w:lang w:val="es-ES_tradnl"/>
        </w:rPr>
      </w:pPr>
      <w:r w:rsidRPr="000F7403">
        <w:rPr>
          <w:rFonts w:ascii="Verdana" w:hAnsi="Verdana" w:cs="Arial"/>
          <w:sz w:val="20"/>
          <w:szCs w:val="20"/>
          <w:lang w:val="es-ES_tradnl"/>
        </w:rPr>
        <w:t xml:space="preserve">En materia de contratación pública, la figura del anticipo está prevista en dos (2) normas: el inciso primero del parágrafo del artículo 40 de la Ley 80 de 1993 y en el artículo 91 de la Ley 1474 de 2011. En cuanto al Estatuto General de Contratación de la Administración Pública, se dispone la posibilidad de pactar anticipos en los contratos, pero sujeto a determinadas limitaciones. En efecto, la norma prescribe que </w:t>
      </w:r>
      <w:r>
        <w:rPr>
          <w:rFonts w:ascii="Verdana" w:hAnsi="Verdana" w:cs="Arial"/>
          <w:sz w:val="20"/>
          <w:szCs w:val="20"/>
          <w:lang w:val="es-ES_tradnl"/>
        </w:rPr>
        <w:t>“</w:t>
      </w:r>
      <w:r w:rsidRPr="000F7403">
        <w:rPr>
          <w:rFonts w:ascii="Verdana" w:hAnsi="Verdana" w:cs="Arial"/>
          <w:sz w:val="20"/>
          <w:szCs w:val="20"/>
          <w:lang w:val="es-ES_tradnl"/>
        </w:rPr>
        <w:t>En los contratos que celebren las entidades estatales se podrá pactar el pago anticipado y la entrega de anticipos, pero su monto no podrá exceder del cincuenta por ciento (50%) del valor del respectivo contrato</w:t>
      </w:r>
      <w:r>
        <w:rPr>
          <w:rFonts w:ascii="Verdana" w:hAnsi="Verdana" w:cs="Arial"/>
          <w:sz w:val="20"/>
          <w:szCs w:val="20"/>
          <w:lang w:val="es-ES_tradnl"/>
        </w:rPr>
        <w:t>”</w:t>
      </w:r>
      <w:r w:rsidRPr="000F7403">
        <w:rPr>
          <w:rFonts w:ascii="Verdana" w:hAnsi="Verdana" w:cs="Arial"/>
          <w:sz w:val="20"/>
          <w:szCs w:val="20"/>
          <w:lang w:val="es-ES_tradnl"/>
        </w:rPr>
        <w:t>.</w:t>
      </w:r>
    </w:p>
    <w:p w14:paraId="0157BB17" w14:textId="77777777" w:rsidR="002845A8" w:rsidRPr="000F7403" w:rsidRDefault="002845A8" w:rsidP="002845A8">
      <w:pPr>
        <w:pStyle w:val="NormalWeb"/>
        <w:shd w:val="clear" w:color="auto" w:fill="FFFFFF"/>
        <w:spacing w:before="0" w:beforeAutospacing="0" w:after="0" w:afterAutospacing="0"/>
        <w:jc w:val="both"/>
        <w:rPr>
          <w:rFonts w:ascii="Verdana" w:hAnsi="Verdana" w:cs="Arial"/>
          <w:sz w:val="20"/>
          <w:szCs w:val="20"/>
          <w:lang w:val="es-ES_tradnl"/>
        </w:rPr>
      </w:pPr>
    </w:p>
    <w:p w14:paraId="1DB10B78" w14:textId="77777777" w:rsidR="002845A8" w:rsidRPr="000F7403" w:rsidRDefault="002845A8" w:rsidP="002845A8">
      <w:pPr>
        <w:pStyle w:val="NormalWeb"/>
        <w:shd w:val="clear" w:color="auto" w:fill="FFFFFF"/>
        <w:spacing w:before="0" w:beforeAutospacing="0" w:after="0" w:afterAutospacing="0"/>
        <w:jc w:val="both"/>
        <w:rPr>
          <w:rFonts w:ascii="Verdana" w:hAnsi="Verdana" w:cs="Arial"/>
          <w:b/>
          <w:bCs/>
          <w:sz w:val="22"/>
          <w:szCs w:val="22"/>
          <w:lang w:val="es-ES_tradnl"/>
        </w:rPr>
      </w:pPr>
      <w:r w:rsidRPr="000F7403">
        <w:rPr>
          <w:rFonts w:ascii="Verdana" w:hAnsi="Verdana" w:cs="Arial"/>
          <w:b/>
          <w:bCs/>
          <w:sz w:val="22"/>
          <w:szCs w:val="22"/>
          <w:lang w:val="es-ES_tradnl"/>
        </w:rPr>
        <w:t>ANTICIPO – Definición jurisprudencial</w:t>
      </w:r>
    </w:p>
    <w:p w14:paraId="2C11B138" w14:textId="77777777" w:rsidR="002845A8" w:rsidRPr="000F7403" w:rsidRDefault="002845A8" w:rsidP="002845A8">
      <w:pPr>
        <w:pStyle w:val="NormalWeb"/>
        <w:shd w:val="clear" w:color="auto" w:fill="FFFFFF"/>
        <w:spacing w:before="0" w:beforeAutospacing="0" w:after="0" w:afterAutospacing="0"/>
        <w:jc w:val="both"/>
        <w:rPr>
          <w:rFonts w:ascii="Verdana" w:hAnsi="Verdana" w:cs="Arial"/>
          <w:b/>
          <w:bCs/>
          <w:sz w:val="20"/>
          <w:szCs w:val="20"/>
          <w:lang w:val="es-ES_tradnl"/>
        </w:rPr>
      </w:pPr>
    </w:p>
    <w:p w14:paraId="3DC88048" w14:textId="77777777" w:rsidR="002845A8" w:rsidRPr="000F7403" w:rsidRDefault="002845A8" w:rsidP="002845A8">
      <w:pPr>
        <w:pStyle w:val="NormalWeb"/>
        <w:shd w:val="clear" w:color="auto" w:fill="FFFFFF"/>
        <w:spacing w:before="0" w:beforeAutospacing="0" w:after="0" w:afterAutospacing="0"/>
        <w:jc w:val="both"/>
        <w:rPr>
          <w:rFonts w:ascii="Verdana" w:hAnsi="Verdana" w:cs="Arial"/>
          <w:sz w:val="20"/>
          <w:szCs w:val="20"/>
          <w:lang w:val="es-ES_tradnl"/>
        </w:rPr>
      </w:pPr>
      <w:r w:rsidRPr="000F7403">
        <w:rPr>
          <w:rFonts w:ascii="Verdana" w:hAnsi="Verdana" w:cs="Arial"/>
          <w:sz w:val="20"/>
          <w:szCs w:val="20"/>
          <w:lang w:val="es-ES_tradnl"/>
        </w:rPr>
        <w:t xml:space="preserve">[Sobre la calidad de recurso público del anticipo, la jurisprudencia ha reiterado que </w:t>
      </w:r>
      <w:r>
        <w:rPr>
          <w:rFonts w:ascii="Verdana" w:hAnsi="Verdana" w:cs="Arial"/>
          <w:sz w:val="20"/>
          <w:szCs w:val="20"/>
          <w:lang w:val="es-ES_tradnl"/>
        </w:rPr>
        <w:t>“</w:t>
      </w:r>
      <w:r w:rsidRPr="000F7403">
        <w:rPr>
          <w:rFonts w:ascii="Verdana" w:hAnsi="Verdana" w:cs="Arial"/>
          <w:sz w:val="20"/>
          <w:szCs w:val="20"/>
          <w:lang w:val="es-ES_tradnl"/>
        </w:rPr>
        <w:t>dicho dinero no hace parte del patrimonio del contratista y le pertenece a la entidad contratante hasta tanto se amortice. De allí se deduce que la función del anticipo en el contrato es, de entrada, financiar las prestaciones del contratista, y hace razonable el amparo del buen manejo y correcta inversión de estos recursos dentro de la garantía única de cumplimiento</w:t>
      </w:r>
      <w:r>
        <w:rPr>
          <w:rFonts w:ascii="Verdana" w:hAnsi="Verdana" w:cs="Arial"/>
          <w:sz w:val="20"/>
          <w:szCs w:val="20"/>
          <w:lang w:val="es-ES_tradnl"/>
        </w:rPr>
        <w:t>”</w:t>
      </w:r>
      <w:r w:rsidRPr="000F7403">
        <w:rPr>
          <w:rFonts w:ascii="Verdana" w:hAnsi="Verdana" w:cs="Arial"/>
          <w:sz w:val="20"/>
          <w:szCs w:val="20"/>
          <w:lang w:val="es-ES_tradnl"/>
        </w:rPr>
        <w:t xml:space="preserve">. Igualmente, explica que el anticipo, al facilitar al contratista la financiación de los bienes y servicios que se le han encargado, es un factor determinante para impulsar la ejecución del contrato. Este también es el entendimiento de la doctrina, que ha considerado el anticipo como un dinero entregado al contratista que debe cancelarse mediante descuentos parciales, siendo una práctica común que permite impulsar la ejecución del contrato. </w:t>
      </w:r>
    </w:p>
    <w:p w14:paraId="4FEE1E90" w14:textId="77777777" w:rsidR="002845A8" w:rsidRPr="000F7403" w:rsidRDefault="002845A8" w:rsidP="002845A8">
      <w:pPr>
        <w:pStyle w:val="NormalWeb"/>
        <w:shd w:val="clear" w:color="auto" w:fill="FFFFFF"/>
        <w:spacing w:before="0" w:beforeAutospacing="0" w:after="0" w:afterAutospacing="0"/>
        <w:jc w:val="both"/>
        <w:rPr>
          <w:rFonts w:ascii="Verdana" w:hAnsi="Verdana" w:cs="Arial"/>
          <w:sz w:val="20"/>
          <w:szCs w:val="20"/>
          <w:lang w:val="es-ES_tradnl"/>
        </w:rPr>
      </w:pPr>
    </w:p>
    <w:p w14:paraId="7D1758B8" w14:textId="77777777" w:rsidR="002845A8" w:rsidRPr="000F7403" w:rsidRDefault="002845A8" w:rsidP="002845A8">
      <w:pPr>
        <w:pStyle w:val="NormalWeb"/>
        <w:shd w:val="clear" w:color="auto" w:fill="FFFFFF"/>
        <w:spacing w:before="0" w:beforeAutospacing="0" w:after="0" w:afterAutospacing="0"/>
        <w:jc w:val="both"/>
        <w:rPr>
          <w:rFonts w:ascii="Verdana" w:hAnsi="Verdana" w:cs="Arial"/>
          <w:sz w:val="20"/>
          <w:szCs w:val="20"/>
          <w:lang w:val="es-ES_tradnl"/>
        </w:rPr>
      </w:pPr>
      <w:r w:rsidRPr="000F7403">
        <w:rPr>
          <w:rFonts w:ascii="Verdana" w:hAnsi="Verdana" w:cs="Arial"/>
          <w:sz w:val="20"/>
          <w:szCs w:val="20"/>
          <w:lang w:val="es-ES_tradnl"/>
        </w:rPr>
        <w:t xml:space="preserve">Así, de acuerdo con las consideraciones de la jurisprudencia y la doctrina, el anticipo es aquella suma de dinero entregada al contratista con la finalidad de apalancarlo financieramente para solventar los costos iniciales de la ejecución del contrato. Este dinero debe amortizarse </w:t>
      </w:r>
      <w:proofErr w:type="gramStart"/>
      <w:r w:rsidRPr="000F7403">
        <w:rPr>
          <w:rFonts w:ascii="Verdana" w:hAnsi="Verdana" w:cs="Arial"/>
          <w:sz w:val="20"/>
          <w:szCs w:val="20"/>
          <w:lang w:val="es-ES_tradnl"/>
        </w:rPr>
        <w:t>de acuerdo al</w:t>
      </w:r>
      <w:proofErr w:type="gramEnd"/>
      <w:r w:rsidRPr="000F7403">
        <w:rPr>
          <w:rFonts w:ascii="Verdana" w:hAnsi="Verdana" w:cs="Arial"/>
          <w:sz w:val="20"/>
          <w:szCs w:val="20"/>
          <w:lang w:val="es-ES_tradnl"/>
        </w:rPr>
        <w:t xml:space="preserve"> avance en la ejecución. De esta forma, los recursos entregados a título de anticipo son del erario, razón por la que debe garantizarse su buen manejo y correcta inversión.</w:t>
      </w:r>
    </w:p>
    <w:p w14:paraId="03B385F4" w14:textId="77777777" w:rsidR="002845A8" w:rsidRPr="000F7403" w:rsidRDefault="002845A8" w:rsidP="002845A8">
      <w:pPr>
        <w:pStyle w:val="NormalWeb"/>
        <w:shd w:val="clear" w:color="auto" w:fill="FFFFFF"/>
        <w:spacing w:before="0" w:beforeAutospacing="0" w:after="0" w:afterAutospacing="0"/>
        <w:jc w:val="both"/>
        <w:rPr>
          <w:rFonts w:ascii="Verdana" w:hAnsi="Verdana" w:cs="Arial"/>
          <w:b/>
          <w:bCs/>
          <w:sz w:val="20"/>
          <w:szCs w:val="20"/>
          <w:lang w:val="es-ES_tradnl"/>
        </w:rPr>
      </w:pPr>
    </w:p>
    <w:p w14:paraId="1926A5E7" w14:textId="77777777" w:rsidR="002845A8" w:rsidRPr="000F7403" w:rsidRDefault="002845A8" w:rsidP="002845A8">
      <w:pPr>
        <w:pStyle w:val="NormalWeb"/>
        <w:shd w:val="clear" w:color="auto" w:fill="FFFFFF"/>
        <w:spacing w:before="0" w:beforeAutospacing="0" w:after="0" w:afterAutospacing="0"/>
        <w:jc w:val="both"/>
        <w:rPr>
          <w:rFonts w:ascii="Verdana" w:hAnsi="Verdana" w:cs="Arial"/>
          <w:b/>
          <w:bCs/>
          <w:sz w:val="22"/>
          <w:szCs w:val="22"/>
          <w:lang w:val="es-ES_tradnl"/>
        </w:rPr>
      </w:pPr>
      <w:r w:rsidRPr="000F7403">
        <w:rPr>
          <w:rFonts w:ascii="Verdana" w:hAnsi="Verdana" w:cs="Arial"/>
          <w:b/>
          <w:bCs/>
          <w:sz w:val="22"/>
          <w:szCs w:val="22"/>
          <w:lang w:val="es-ES_tradnl"/>
        </w:rPr>
        <w:t xml:space="preserve">ANTICIPO – Autonomía de la voluntad – Derechos y obligaciones recíprocas </w:t>
      </w:r>
    </w:p>
    <w:p w14:paraId="7AB75499" w14:textId="77777777" w:rsidR="002845A8" w:rsidRPr="000F7403" w:rsidRDefault="002845A8" w:rsidP="002845A8">
      <w:pPr>
        <w:pStyle w:val="NormalWeb"/>
        <w:shd w:val="clear" w:color="auto" w:fill="FFFFFF"/>
        <w:spacing w:before="0" w:beforeAutospacing="0" w:after="0" w:afterAutospacing="0"/>
        <w:jc w:val="both"/>
        <w:rPr>
          <w:rFonts w:ascii="Verdana" w:hAnsi="Verdana" w:cs="Arial"/>
          <w:sz w:val="20"/>
          <w:szCs w:val="20"/>
          <w:lang w:val="es-ES_tradnl"/>
        </w:rPr>
      </w:pPr>
    </w:p>
    <w:p w14:paraId="66356EEF" w14:textId="77777777" w:rsidR="002845A8" w:rsidRPr="000F7403" w:rsidRDefault="002845A8" w:rsidP="002845A8">
      <w:pPr>
        <w:pStyle w:val="NormalWeb"/>
        <w:shd w:val="clear" w:color="auto" w:fill="FFFFFF"/>
        <w:spacing w:before="0" w:beforeAutospacing="0" w:after="0" w:afterAutospacing="0"/>
        <w:jc w:val="both"/>
        <w:rPr>
          <w:rFonts w:ascii="Verdana" w:hAnsi="Verdana" w:cs="Arial"/>
          <w:sz w:val="20"/>
          <w:szCs w:val="20"/>
          <w:lang w:val="es-ES_tradnl"/>
        </w:rPr>
      </w:pPr>
      <w:r w:rsidRPr="000F7403">
        <w:rPr>
          <w:rFonts w:ascii="Verdana" w:hAnsi="Verdana" w:cs="Arial"/>
          <w:sz w:val="20"/>
          <w:szCs w:val="20"/>
          <w:lang w:val="es-ES_tradnl"/>
        </w:rPr>
        <w:t>Como característica esencial del anticipo, derivada del artículo 40 de la Ley 80 de 1993, el pacto proviene de la autonomía de la voluntad de las partes. De allí que se generen una serie de derechos y obligaciones recíprocos entre ellas. Por un lado, el contratante tiene la obligación de entregar el valor pactado como anticipo y el derecho a que los recursos sean empleados en la forma estipulada. Por otro lado, el contratista tiene derecho a recibir dicho anticipo y la obligación de destinarlo a la ejecución del contrato.</w:t>
      </w:r>
    </w:p>
    <w:p w14:paraId="2AEDC2AF" w14:textId="77777777" w:rsidR="002845A8" w:rsidRPr="005549AE" w:rsidRDefault="002845A8" w:rsidP="002845A8">
      <w:pPr>
        <w:spacing w:after="0" w:line="240" w:lineRule="auto"/>
        <w:jc w:val="both"/>
        <w:rPr>
          <w:rFonts w:ascii="Verdana" w:hAnsi="Verdana"/>
          <w:b/>
          <w:bCs/>
          <w:sz w:val="20"/>
          <w:szCs w:val="20"/>
          <w:lang w:val="es-ES"/>
        </w:rPr>
      </w:pPr>
    </w:p>
    <w:p w14:paraId="7E5270B6" w14:textId="77777777" w:rsidR="002845A8" w:rsidRPr="005549AE" w:rsidRDefault="002845A8" w:rsidP="002845A8">
      <w:pPr>
        <w:spacing w:after="0" w:line="240" w:lineRule="auto"/>
        <w:jc w:val="both"/>
        <w:rPr>
          <w:rFonts w:ascii="Verdana" w:hAnsi="Verdana"/>
          <w:b/>
        </w:rPr>
      </w:pPr>
      <w:r w:rsidRPr="00660AA2">
        <w:rPr>
          <w:rFonts w:ascii="Verdana" w:hAnsi="Verdana"/>
          <w:b/>
        </w:rPr>
        <w:t>EQUILIBRIO ECONÓMICO – Contrato estatal – Fundamento</w:t>
      </w:r>
    </w:p>
    <w:p w14:paraId="3BBAFEB6" w14:textId="77777777" w:rsidR="002845A8" w:rsidRPr="005549AE" w:rsidRDefault="002845A8" w:rsidP="002845A8">
      <w:pPr>
        <w:spacing w:after="0" w:line="240" w:lineRule="auto"/>
        <w:jc w:val="both"/>
        <w:rPr>
          <w:rFonts w:ascii="Verdana" w:hAnsi="Verdana"/>
          <w:bCs/>
          <w:sz w:val="20"/>
          <w:szCs w:val="20"/>
        </w:rPr>
      </w:pPr>
    </w:p>
    <w:p w14:paraId="0FCA6B0E" w14:textId="77777777" w:rsidR="002845A8" w:rsidRPr="00660AA2" w:rsidRDefault="002845A8" w:rsidP="002845A8">
      <w:pPr>
        <w:spacing w:after="0" w:line="240" w:lineRule="auto"/>
        <w:jc w:val="both"/>
        <w:rPr>
          <w:rFonts w:ascii="Verdana" w:eastAsia="Calibri" w:hAnsi="Verdana" w:cs="Arial"/>
          <w:sz w:val="20"/>
          <w:szCs w:val="20"/>
          <w:shd w:val="clear" w:color="auto" w:fill="FFFFFF"/>
          <w:lang w:val="es-ES"/>
        </w:rPr>
      </w:pPr>
      <w:r w:rsidRPr="00660AA2">
        <w:rPr>
          <w:rFonts w:ascii="Verdana" w:eastAsia="Calibri" w:hAnsi="Verdana" w:cs="Arial"/>
          <w:sz w:val="20"/>
          <w:szCs w:val="20"/>
          <w:shd w:val="clear" w:color="auto" w:fill="FFFFFF"/>
          <w:lang w:val="es-ES"/>
        </w:rPr>
        <w:lastRenderedPageBreak/>
        <w:t xml:space="preserve">De conformidad con el artículo 3 de la Ley 80 de 1993 la celebración y ejecución de los contratos estatales tiene como fin el cumplimiento de los fines estatales, la continua y eficiente prestación de los servicios públicos y la efectividad de los derechos e intereses de los administrados que colaboran con ellas en la consecución de dichos fines. Por su parte, los particulares que celebran y ejecutan contratos con las entidades estatales tendrán en cuenta que colaboran con ellas en el logro de sus fines y cumplen una función social que, como tal, implica obligaciones. Así, con la celebración del contrato estatal surgen derechos y obligaciones para cada una de las partes que tienen como propósito, por un lado, la continua y eficiente prestación de los servicios públicos y la satisfacción del interés general </w:t>
      </w:r>
      <w:proofErr w:type="gramStart"/>
      <w:r w:rsidRPr="00660AA2">
        <w:rPr>
          <w:rFonts w:ascii="Verdana" w:eastAsia="Calibri" w:hAnsi="Verdana" w:cs="Arial"/>
          <w:sz w:val="20"/>
          <w:szCs w:val="20"/>
          <w:shd w:val="clear" w:color="auto" w:fill="FFFFFF"/>
          <w:lang w:val="es-ES"/>
        </w:rPr>
        <w:t>y</w:t>
      </w:r>
      <w:proofErr w:type="gramEnd"/>
      <w:r w:rsidRPr="00660AA2">
        <w:rPr>
          <w:rFonts w:ascii="Verdana" w:eastAsia="Calibri" w:hAnsi="Verdana" w:cs="Arial"/>
          <w:sz w:val="20"/>
          <w:szCs w:val="20"/>
          <w:shd w:val="clear" w:color="auto" w:fill="FFFFFF"/>
          <w:lang w:val="es-ES"/>
        </w:rPr>
        <w:t xml:space="preserve"> por otro lado, generar un beneficio económico para el particular que colabora en su ejecución. </w:t>
      </w:r>
    </w:p>
    <w:p w14:paraId="6379B0E1" w14:textId="77777777" w:rsidR="002845A8" w:rsidRPr="00660AA2" w:rsidRDefault="002845A8" w:rsidP="002845A8">
      <w:pPr>
        <w:spacing w:after="0" w:line="240" w:lineRule="auto"/>
        <w:jc w:val="both"/>
        <w:rPr>
          <w:rFonts w:ascii="Verdana" w:eastAsia="Calibri" w:hAnsi="Verdana" w:cs="Arial"/>
          <w:sz w:val="20"/>
          <w:szCs w:val="20"/>
          <w:shd w:val="clear" w:color="auto" w:fill="FFFFFF"/>
          <w:lang w:val="es-ES"/>
        </w:rPr>
      </w:pPr>
    </w:p>
    <w:p w14:paraId="4E839BCD" w14:textId="77777777" w:rsidR="002845A8" w:rsidRPr="005549AE" w:rsidRDefault="002845A8" w:rsidP="002845A8">
      <w:pPr>
        <w:spacing w:after="0" w:line="240" w:lineRule="auto"/>
        <w:jc w:val="both"/>
        <w:rPr>
          <w:rFonts w:ascii="Verdana" w:eastAsia="Arial MT" w:hAnsi="Verdana" w:cs="Arial"/>
          <w:sz w:val="20"/>
          <w:szCs w:val="20"/>
          <w:lang w:eastAsia="es-ES" w:bidi="es-ES"/>
        </w:rPr>
      </w:pPr>
      <w:r w:rsidRPr="00660AA2">
        <w:rPr>
          <w:rFonts w:ascii="Verdana" w:eastAsia="Calibri" w:hAnsi="Verdana" w:cs="Arial"/>
          <w:sz w:val="20"/>
          <w:szCs w:val="20"/>
          <w:shd w:val="clear" w:color="auto" w:fill="FFFFFF"/>
          <w:lang w:val="es-ES"/>
        </w:rPr>
        <w:t>De esta manera, los contratos estatales se deben pactar sobre la base de la interdependencia entre las prestaciones, esto es, que exista reciprocidad entre los derechos y las obligaciones de las entidades y los particulares, de tal forma que estas sean equivalentes y se mantengan durante la ejecución contractual. Esto se fundamenta en el principio del equilibrio financiero del contrato previsto en el artículo 27 de la Ley 80 de 1993 […].</w:t>
      </w:r>
    </w:p>
    <w:p w14:paraId="29FCEF2D" w14:textId="77777777" w:rsidR="002845A8" w:rsidRPr="005549AE" w:rsidRDefault="002845A8" w:rsidP="002845A8">
      <w:pPr>
        <w:spacing w:after="0" w:line="240" w:lineRule="auto"/>
        <w:jc w:val="both"/>
        <w:rPr>
          <w:rFonts w:ascii="Verdana" w:hAnsi="Verdana"/>
          <w:bCs/>
          <w:sz w:val="20"/>
          <w:szCs w:val="20"/>
        </w:rPr>
      </w:pPr>
    </w:p>
    <w:p w14:paraId="677053CF" w14:textId="77777777" w:rsidR="002845A8" w:rsidRPr="005549AE" w:rsidRDefault="002845A8" w:rsidP="002845A8">
      <w:pPr>
        <w:spacing w:after="0" w:line="240" w:lineRule="auto"/>
        <w:jc w:val="both"/>
        <w:rPr>
          <w:rFonts w:ascii="Verdana" w:hAnsi="Verdana"/>
          <w:b/>
        </w:rPr>
      </w:pPr>
      <w:r w:rsidRPr="00660AA2">
        <w:rPr>
          <w:rFonts w:ascii="Verdana" w:hAnsi="Verdana"/>
          <w:b/>
        </w:rPr>
        <w:t>EQUILIBRIO ECONÓMICO – Contrato estatal – Concepto</w:t>
      </w:r>
    </w:p>
    <w:p w14:paraId="5B4C0A75" w14:textId="77777777" w:rsidR="002845A8" w:rsidRPr="005549AE" w:rsidRDefault="002845A8" w:rsidP="002845A8">
      <w:pPr>
        <w:spacing w:after="0" w:line="240" w:lineRule="auto"/>
        <w:jc w:val="both"/>
        <w:rPr>
          <w:rFonts w:ascii="Verdana" w:hAnsi="Verdana"/>
          <w:bCs/>
          <w:sz w:val="20"/>
          <w:szCs w:val="20"/>
        </w:rPr>
      </w:pPr>
    </w:p>
    <w:p w14:paraId="0F3A17AD" w14:textId="77777777" w:rsidR="002845A8" w:rsidRPr="005549AE" w:rsidRDefault="002845A8" w:rsidP="002845A8">
      <w:pPr>
        <w:spacing w:after="0" w:line="240" w:lineRule="auto"/>
        <w:jc w:val="both"/>
        <w:rPr>
          <w:rFonts w:ascii="Verdana" w:hAnsi="Verdana"/>
          <w:b/>
          <w:bCs/>
          <w:sz w:val="20"/>
          <w:szCs w:val="20"/>
        </w:rPr>
      </w:pPr>
      <w:r w:rsidRPr="00660AA2">
        <w:rPr>
          <w:rFonts w:ascii="Verdana" w:eastAsia="Arial MT" w:hAnsi="Verdana" w:cs="Arial"/>
          <w:sz w:val="20"/>
          <w:szCs w:val="20"/>
          <w:lang w:eastAsia="es-ES" w:bidi="es-ES"/>
        </w:rPr>
        <w:t xml:space="preserve">Sobre el principio del equilibrio financiero del contrato, el Consejo de Estado ha señalado que consiste </w:t>
      </w:r>
      <w:r>
        <w:rPr>
          <w:rFonts w:ascii="Verdana" w:eastAsia="Arial MT" w:hAnsi="Verdana" w:cs="Arial"/>
          <w:sz w:val="20"/>
          <w:szCs w:val="20"/>
          <w:lang w:eastAsia="es-ES" w:bidi="es-ES"/>
        </w:rPr>
        <w:t>“</w:t>
      </w:r>
      <w:r w:rsidRPr="00660AA2">
        <w:rPr>
          <w:rFonts w:ascii="Verdana" w:eastAsia="Arial MT" w:hAnsi="Verdana" w:cs="Arial"/>
          <w:sz w:val="20"/>
          <w:szCs w:val="20"/>
          <w:lang w:eastAsia="es-ES" w:bidi="es-ES"/>
        </w:rPr>
        <w:t>en garantizar el mantenimiento de la igualdad o equivalencia entre derechos y obligaciones surgidos al momento de proponer o de contratar, según el caso, de manera que si se rompe por causas sobrevinientes, imprevisibles y no imputables a quien resulte afectado, las partes adoptarán las medidas necesarias para su restablecimiento, so pena de incurrir en una responsabilidad contractual tendiente a restituir tal equilibrio</w:t>
      </w:r>
      <w:r>
        <w:rPr>
          <w:rFonts w:ascii="Verdana" w:eastAsia="Arial MT" w:hAnsi="Verdana" w:cs="Arial"/>
          <w:sz w:val="20"/>
          <w:szCs w:val="20"/>
          <w:lang w:eastAsia="es-ES" w:bidi="es-ES"/>
        </w:rPr>
        <w:t>”</w:t>
      </w:r>
      <w:r w:rsidRPr="00660AA2">
        <w:rPr>
          <w:rFonts w:ascii="Verdana" w:eastAsia="Arial MT" w:hAnsi="Verdana" w:cs="Arial"/>
          <w:sz w:val="20"/>
          <w:szCs w:val="20"/>
          <w:lang w:eastAsia="es-ES" w:bidi="es-ES"/>
        </w:rPr>
        <w:t xml:space="preserve">. En concordancia, la doctrina ha indicado que con este principio, también denominado </w:t>
      </w:r>
      <w:r>
        <w:rPr>
          <w:rFonts w:ascii="Verdana" w:eastAsia="Arial MT" w:hAnsi="Verdana" w:cs="Arial"/>
          <w:sz w:val="20"/>
          <w:szCs w:val="20"/>
          <w:lang w:eastAsia="es-ES" w:bidi="es-ES"/>
        </w:rPr>
        <w:t>“</w:t>
      </w:r>
      <w:r w:rsidRPr="00660AA2">
        <w:rPr>
          <w:rFonts w:ascii="Verdana" w:eastAsia="Arial MT" w:hAnsi="Verdana" w:cs="Arial"/>
          <w:sz w:val="20"/>
          <w:szCs w:val="20"/>
          <w:lang w:eastAsia="es-ES" w:bidi="es-ES"/>
        </w:rPr>
        <w:t>el de la honesta equivalencia de prestaciones</w:t>
      </w:r>
      <w:r>
        <w:rPr>
          <w:rFonts w:ascii="Verdana" w:eastAsia="Arial MT" w:hAnsi="Verdana" w:cs="Arial"/>
          <w:sz w:val="20"/>
          <w:szCs w:val="20"/>
          <w:lang w:eastAsia="es-ES" w:bidi="es-ES"/>
        </w:rPr>
        <w:t>”</w:t>
      </w:r>
      <w:r w:rsidRPr="00660AA2">
        <w:rPr>
          <w:rFonts w:ascii="Verdana" w:eastAsia="Arial MT" w:hAnsi="Verdana" w:cs="Arial"/>
          <w:sz w:val="20"/>
          <w:szCs w:val="20"/>
          <w:lang w:eastAsia="es-ES" w:bidi="es-ES"/>
        </w:rPr>
        <w:t xml:space="preserve">, se privilegia el carácter conmutativo o sinalagmático que, por regla general, tiene el contrato estatal, </w:t>
      </w:r>
      <w:r>
        <w:rPr>
          <w:rFonts w:ascii="Verdana" w:eastAsia="Arial MT" w:hAnsi="Verdana" w:cs="Arial"/>
          <w:sz w:val="20"/>
          <w:szCs w:val="20"/>
          <w:lang w:eastAsia="es-ES" w:bidi="es-ES"/>
        </w:rPr>
        <w:t>“</w:t>
      </w:r>
      <w:r w:rsidRPr="00660AA2">
        <w:rPr>
          <w:rFonts w:ascii="Verdana" w:eastAsia="Arial MT" w:hAnsi="Verdana" w:cs="Arial"/>
          <w:sz w:val="20"/>
          <w:szCs w:val="20"/>
          <w:lang w:eastAsia="es-ES" w:bidi="es-ES"/>
        </w:rPr>
        <w:t>lo que significa que las prestaciones (derechos y obligaciones) asumidas por una parte contractual se entienden como equivalentes a las de la otra parte y obliga a la adopción de medidas tendientes a garantizar que esa igualdad existente en términos económicos al tiempo de su celebración se conserve y permanezca intacta durante su ejecución, y a que se restablezca esa equivalencia en caso de su ruptura por circunstancias o causas sobrevinientes, imprevisibles e imputables o no a ellas</w:t>
      </w:r>
      <w:r>
        <w:rPr>
          <w:rFonts w:ascii="Verdana" w:eastAsia="Arial MT" w:hAnsi="Verdana" w:cs="Arial"/>
          <w:sz w:val="20"/>
          <w:szCs w:val="20"/>
          <w:lang w:eastAsia="es-ES" w:bidi="es-ES"/>
        </w:rPr>
        <w:t>”</w:t>
      </w:r>
      <w:r w:rsidRPr="00660AA2">
        <w:rPr>
          <w:rFonts w:ascii="Verdana" w:eastAsia="Arial MT" w:hAnsi="Verdana" w:cs="Arial"/>
          <w:sz w:val="20"/>
          <w:szCs w:val="20"/>
          <w:lang w:eastAsia="es-ES" w:bidi="es-ES"/>
        </w:rPr>
        <w:t>.</w:t>
      </w:r>
    </w:p>
    <w:p w14:paraId="42AB1446" w14:textId="77777777" w:rsidR="002845A8" w:rsidRPr="005549AE" w:rsidRDefault="002845A8" w:rsidP="002845A8">
      <w:pPr>
        <w:spacing w:after="0" w:line="240" w:lineRule="auto"/>
        <w:jc w:val="both"/>
        <w:rPr>
          <w:rFonts w:ascii="Verdana" w:hAnsi="Verdana"/>
          <w:b/>
          <w:bCs/>
          <w:sz w:val="20"/>
          <w:szCs w:val="20"/>
        </w:rPr>
      </w:pPr>
    </w:p>
    <w:p w14:paraId="3835A5C2" w14:textId="77777777" w:rsidR="002845A8" w:rsidRPr="005549AE" w:rsidRDefault="002845A8" w:rsidP="002845A8">
      <w:pPr>
        <w:spacing w:after="0" w:line="240" w:lineRule="auto"/>
        <w:jc w:val="both"/>
        <w:rPr>
          <w:rFonts w:ascii="Verdana" w:hAnsi="Verdana"/>
          <w:b/>
          <w:bCs/>
        </w:rPr>
      </w:pPr>
      <w:r w:rsidRPr="00660AA2">
        <w:rPr>
          <w:rFonts w:ascii="Verdana" w:hAnsi="Verdana"/>
          <w:b/>
          <w:bCs/>
        </w:rPr>
        <w:t>EQUILIBRIO ECONÓMICO – Contrato estatal – Restablecimiento – Procedencia – Requisitos</w:t>
      </w:r>
    </w:p>
    <w:p w14:paraId="7D24E5A1" w14:textId="77777777" w:rsidR="002845A8" w:rsidRPr="005549AE" w:rsidRDefault="002845A8" w:rsidP="002845A8">
      <w:pPr>
        <w:spacing w:after="0" w:line="240" w:lineRule="auto"/>
        <w:jc w:val="both"/>
        <w:rPr>
          <w:rFonts w:ascii="Verdana" w:hAnsi="Verdana"/>
          <w:b/>
          <w:bCs/>
          <w:sz w:val="20"/>
          <w:szCs w:val="20"/>
        </w:rPr>
      </w:pPr>
    </w:p>
    <w:p w14:paraId="0B8A4FBF" w14:textId="77777777" w:rsidR="002845A8" w:rsidRPr="00660AA2" w:rsidRDefault="002845A8" w:rsidP="002845A8">
      <w:pPr>
        <w:spacing w:after="0" w:line="240" w:lineRule="auto"/>
        <w:jc w:val="both"/>
        <w:rPr>
          <w:rFonts w:ascii="Verdana" w:hAnsi="Verdana"/>
          <w:sz w:val="20"/>
          <w:szCs w:val="20"/>
        </w:rPr>
      </w:pPr>
      <w:r w:rsidRPr="00660AA2">
        <w:rPr>
          <w:rFonts w:ascii="Verdana" w:hAnsi="Verdana"/>
          <w:sz w:val="20"/>
          <w:szCs w:val="20"/>
          <w:lang w:bidi="es-ES"/>
        </w:rPr>
        <w:t xml:space="preserve">En lo que atañe a la procedencia del restablecimiento del equilibrio financiero del contrato cuando este se vulnera, la jurisprudencia ha señalado que para estos efectos es imperativo la prueba del menoscabo, demostrar que este es grave y que además no corresponde a un riesgo propio de la actividad que deba ser asumido por una de las partes contractuales. Además, es necesario que las reclamaciones para el restablecimiento se realicen en la oportunidad debida, de manera que </w:t>
      </w:r>
      <w:r w:rsidRPr="00660AA2">
        <w:rPr>
          <w:rFonts w:ascii="Verdana" w:hAnsi="Verdana"/>
          <w:sz w:val="20"/>
          <w:szCs w:val="20"/>
        </w:rPr>
        <w:t xml:space="preserve">si las solicitudes, o salvedades </w:t>
      </w:r>
      <w:r>
        <w:rPr>
          <w:rFonts w:ascii="Verdana" w:hAnsi="Verdana"/>
          <w:sz w:val="20"/>
          <w:szCs w:val="20"/>
          <w:lang w:val="es-MX"/>
        </w:rPr>
        <w:t>“</w:t>
      </w:r>
      <w:r w:rsidRPr="00660AA2">
        <w:rPr>
          <w:rFonts w:ascii="Verdana" w:hAnsi="Verdana"/>
          <w:sz w:val="20"/>
          <w:szCs w:val="20"/>
        </w:rPr>
        <w:t xml:space="preserve">no se hacen al momento de suscribir las suspensiones, adiciones o </w:t>
      </w:r>
      <w:r w:rsidRPr="00660AA2">
        <w:rPr>
          <w:rFonts w:ascii="Verdana" w:hAnsi="Verdana"/>
          <w:sz w:val="20"/>
          <w:szCs w:val="20"/>
        </w:rPr>
        <w:lastRenderedPageBreak/>
        <w:t>prórrogas del plazo contractual, contratos adicionales, otrosíes, etc., que por tal motivo se convinieren, cualquier solicitud, reclamación o pretensión ulterior es extemporánea, improcedente e impróspera por vulnerar el principio de la buena fe contractual</w:t>
      </w:r>
      <w:r>
        <w:rPr>
          <w:rFonts w:ascii="Verdana" w:hAnsi="Verdana"/>
          <w:sz w:val="20"/>
          <w:szCs w:val="20"/>
          <w:lang w:val="es-MX"/>
        </w:rPr>
        <w:t>”</w:t>
      </w:r>
      <w:r w:rsidRPr="00660AA2">
        <w:rPr>
          <w:rFonts w:ascii="Verdana" w:hAnsi="Verdana"/>
          <w:sz w:val="20"/>
          <w:szCs w:val="20"/>
          <w:lang w:val="es-MX"/>
        </w:rPr>
        <w:t xml:space="preserve">. </w:t>
      </w:r>
    </w:p>
    <w:p w14:paraId="54220869" w14:textId="77777777" w:rsidR="002845A8" w:rsidRPr="00660AA2" w:rsidRDefault="002845A8" w:rsidP="002845A8">
      <w:pPr>
        <w:spacing w:after="0" w:line="240" w:lineRule="auto"/>
        <w:jc w:val="both"/>
        <w:rPr>
          <w:rFonts w:ascii="Verdana" w:hAnsi="Verdana"/>
          <w:sz w:val="20"/>
          <w:szCs w:val="20"/>
          <w:lang w:bidi="es-ES"/>
        </w:rPr>
      </w:pPr>
    </w:p>
    <w:p w14:paraId="38A97C90" w14:textId="77777777" w:rsidR="002845A8" w:rsidRPr="00660AA2" w:rsidRDefault="002845A8" w:rsidP="002845A8">
      <w:pPr>
        <w:spacing w:after="0" w:line="240" w:lineRule="auto"/>
        <w:jc w:val="both"/>
        <w:rPr>
          <w:rFonts w:ascii="Verdana" w:hAnsi="Verdana"/>
          <w:sz w:val="20"/>
          <w:szCs w:val="20"/>
          <w:lang w:bidi="es-ES"/>
        </w:rPr>
      </w:pPr>
      <w:r w:rsidRPr="00660AA2">
        <w:rPr>
          <w:rFonts w:ascii="Verdana" w:hAnsi="Verdana"/>
          <w:sz w:val="20"/>
          <w:szCs w:val="20"/>
          <w:lang w:bidi="es-ES"/>
        </w:rPr>
        <w:t xml:space="preserve">De este modo, conforme a esta postura del Consejo de Estado no basta con la alegación del rompimiento del equilibrio del contrato puesto que resulta indispensable demostrar la afectación grave de las condiciones del contrato y, además, que la reclamación o solicitud en que se fundamenta el desequilibrio económico del contrato se realice en el momento oportuno, esto es, cuando se celebren las modificaciones, prórrogas, suspensiones, entre otros y no con posterioridad a ella. </w:t>
      </w:r>
    </w:p>
    <w:p w14:paraId="591C60AD" w14:textId="77777777" w:rsidR="002845A8" w:rsidRPr="00660AA2" w:rsidRDefault="002845A8" w:rsidP="002845A8">
      <w:pPr>
        <w:spacing w:after="0" w:line="240" w:lineRule="auto"/>
        <w:jc w:val="both"/>
        <w:rPr>
          <w:rFonts w:ascii="Verdana" w:hAnsi="Verdana"/>
          <w:sz w:val="20"/>
          <w:szCs w:val="20"/>
        </w:rPr>
      </w:pPr>
    </w:p>
    <w:p w14:paraId="30B5A7D0" w14:textId="77777777" w:rsidR="002845A8" w:rsidRPr="00660AA2" w:rsidRDefault="002845A8" w:rsidP="002845A8">
      <w:pPr>
        <w:spacing w:after="0" w:line="240" w:lineRule="auto"/>
        <w:jc w:val="both"/>
        <w:rPr>
          <w:rFonts w:ascii="Verdana" w:hAnsi="Verdana"/>
          <w:sz w:val="20"/>
          <w:szCs w:val="20"/>
        </w:rPr>
      </w:pPr>
      <w:r w:rsidRPr="00660AA2">
        <w:rPr>
          <w:rFonts w:ascii="Verdana" w:hAnsi="Verdana"/>
          <w:sz w:val="20"/>
          <w:szCs w:val="20"/>
          <w:lang w:bidi="es-ES"/>
        </w:rPr>
        <w:t>En sentencias recientes el Consejo de Estado ha morigerado la postura anterior en relación con la oportunidad de la reclamación, en la medida en que, si bien es importante considerar el principio de buena fe al momento de suscribir los acuerdos entre las partes, se resalta la necesidad de analizar</w:t>
      </w:r>
      <w:r w:rsidRPr="00660AA2">
        <w:rPr>
          <w:rFonts w:ascii="Verdana" w:hAnsi="Verdana"/>
          <w:sz w:val="20"/>
          <w:szCs w:val="20"/>
        </w:rPr>
        <w:t xml:space="preserve"> cada caso el contenido del respectivo acuerdo y de sus antecedentes, para determinar el alcance de los otrosíes o de las actas de suspensión correspondientes. En tal sentido, con base en esta posición se considera que la inexistencia de una salvedad en la prórroga o suspensión o cualquier acuerdo de voluntades que se efectúe por las partes no es suficiente para determinar la improcedencia de la reclamación, ya que es necesario revisar los antecedentes y los hechos que justificaron dicho acuerdo. Esto se fundamente en que </w:t>
      </w:r>
      <w:r>
        <w:rPr>
          <w:rFonts w:ascii="Verdana" w:hAnsi="Verdana"/>
          <w:sz w:val="20"/>
          <w:szCs w:val="20"/>
          <w:lang w:val="es-MX"/>
        </w:rPr>
        <w:t>“</w:t>
      </w:r>
      <w:r w:rsidRPr="00660AA2">
        <w:rPr>
          <w:rFonts w:ascii="Verdana" w:hAnsi="Verdana"/>
          <w:sz w:val="20"/>
          <w:szCs w:val="20"/>
        </w:rPr>
        <w:t>la denegatoria de tales pretensiones, es el hecho de que el acuerdo suscrito haya servido, precisamente, para solventar situaciones que se hayan presentado durante la ejecución del contrato, por lo que no se entendería que, de considerar que subsistía un perjuicio para el contratista derivado de tales situaciones, haya concurrido a suscribirlo, sin dejar alguna manifestación sobre la insuficiencia de ese acuerdo para satisfacer sus reclamaciones</w:t>
      </w:r>
      <w:r>
        <w:rPr>
          <w:rFonts w:ascii="Verdana" w:hAnsi="Verdana"/>
          <w:sz w:val="20"/>
          <w:szCs w:val="20"/>
          <w:lang w:val="es-MX"/>
        </w:rPr>
        <w:t>”</w:t>
      </w:r>
      <w:r w:rsidRPr="00660AA2">
        <w:rPr>
          <w:rFonts w:ascii="Verdana" w:hAnsi="Verdana"/>
          <w:sz w:val="20"/>
          <w:szCs w:val="20"/>
        </w:rPr>
        <w:t>.</w:t>
      </w:r>
    </w:p>
    <w:p w14:paraId="43F39DAB" w14:textId="77777777" w:rsidR="002845A8" w:rsidRPr="007A65DE" w:rsidRDefault="002845A8" w:rsidP="002845A8">
      <w:pPr>
        <w:pStyle w:val="NormalWeb"/>
        <w:shd w:val="clear" w:color="auto" w:fill="FFFFFF"/>
        <w:spacing w:before="0" w:beforeAutospacing="0" w:after="0" w:afterAutospacing="0"/>
        <w:jc w:val="both"/>
        <w:rPr>
          <w:rFonts w:ascii="Verdana" w:hAnsi="Verdana" w:cs="Arial"/>
          <w:sz w:val="20"/>
          <w:szCs w:val="20"/>
        </w:rPr>
      </w:pPr>
    </w:p>
    <w:p w14:paraId="73F4916B" w14:textId="77777777" w:rsidR="002845A8" w:rsidRPr="000F7403" w:rsidRDefault="002845A8" w:rsidP="002845A8">
      <w:pPr>
        <w:pStyle w:val="NormalWeb"/>
        <w:shd w:val="clear" w:color="auto" w:fill="FFFFFF"/>
        <w:spacing w:before="0" w:beforeAutospacing="0" w:after="0" w:afterAutospacing="0"/>
        <w:jc w:val="both"/>
        <w:rPr>
          <w:rFonts w:ascii="Verdana" w:hAnsi="Verdana" w:cs="Arial"/>
          <w:sz w:val="20"/>
          <w:szCs w:val="20"/>
          <w:lang w:val="es-ES_tradnl"/>
        </w:rPr>
      </w:pPr>
    </w:p>
    <w:p w14:paraId="087BB015" w14:textId="77777777" w:rsidR="002845A8" w:rsidRPr="000F7403" w:rsidRDefault="002845A8" w:rsidP="002845A8">
      <w:pPr>
        <w:pStyle w:val="NormalWeb"/>
        <w:shd w:val="clear" w:color="auto" w:fill="FFFFFF"/>
        <w:spacing w:before="0" w:beforeAutospacing="0" w:after="0" w:afterAutospacing="0"/>
        <w:jc w:val="both"/>
        <w:rPr>
          <w:rFonts w:ascii="Verdana" w:hAnsi="Verdana" w:cs="Arial"/>
          <w:sz w:val="20"/>
          <w:szCs w:val="20"/>
          <w:lang w:val="es-MX"/>
        </w:rPr>
      </w:pPr>
    </w:p>
    <w:p w14:paraId="0C1ED300" w14:textId="77777777" w:rsidR="002845A8" w:rsidRPr="000F7403" w:rsidRDefault="002845A8" w:rsidP="002845A8">
      <w:pPr>
        <w:spacing w:after="0" w:line="240" w:lineRule="auto"/>
        <w:rPr>
          <w:rFonts w:ascii="Verdana" w:eastAsia="Calibri" w:hAnsi="Verdana" w:cs="Arial"/>
          <w:sz w:val="20"/>
          <w:szCs w:val="20"/>
          <w:lang w:val="es-MX" w:eastAsia="es-ES"/>
        </w:rPr>
      </w:pPr>
    </w:p>
    <w:p w14:paraId="1591516A" w14:textId="77777777" w:rsidR="002845A8" w:rsidRDefault="002845A8" w:rsidP="002845A8">
      <w:pPr>
        <w:spacing w:after="0" w:line="240" w:lineRule="auto"/>
        <w:rPr>
          <w:rFonts w:ascii="Verdana" w:eastAsia="Geomanist Light" w:hAnsi="Verdana" w:cs="Arial"/>
          <w:color w:val="000000" w:themeColor="text1"/>
          <w:lang w:val="es-MX"/>
        </w:rPr>
      </w:pPr>
    </w:p>
    <w:p w14:paraId="02ECFBA5" w14:textId="77777777" w:rsidR="002845A8" w:rsidRDefault="002845A8" w:rsidP="002845A8">
      <w:pPr>
        <w:spacing w:after="0" w:line="240" w:lineRule="auto"/>
        <w:rPr>
          <w:rFonts w:ascii="Verdana" w:eastAsia="Geomanist Light" w:hAnsi="Verdana" w:cs="Arial"/>
          <w:color w:val="000000" w:themeColor="text1"/>
          <w:lang w:val="es-MX"/>
        </w:rPr>
      </w:pPr>
    </w:p>
    <w:p w14:paraId="587E9BE4" w14:textId="77777777" w:rsidR="002845A8" w:rsidRDefault="002845A8" w:rsidP="002845A8">
      <w:pPr>
        <w:spacing w:after="0" w:line="240" w:lineRule="auto"/>
        <w:rPr>
          <w:rFonts w:ascii="Verdana" w:eastAsia="Geomanist Light" w:hAnsi="Verdana" w:cs="Arial"/>
          <w:color w:val="000000" w:themeColor="text1"/>
          <w:lang w:val="es-MX"/>
        </w:rPr>
      </w:pPr>
    </w:p>
    <w:p w14:paraId="0C2F6774" w14:textId="77777777" w:rsidR="002845A8" w:rsidRDefault="002845A8" w:rsidP="002845A8">
      <w:pPr>
        <w:spacing w:after="0" w:line="240" w:lineRule="auto"/>
        <w:rPr>
          <w:rFonts w:ascii="Verdana" w:eastAsia="Geomanist Light" w:hAnsi="Verdana" w:cs="Arial"/>
          <w:color w:val="000000" w:themeColor="text1"/>
          <w:lang w:val="es-MX"/>
        </w:rPr>
      </w:pPr>
    </w:p>
    <w:p w14:paraId="11A08DA8" w14:textId="77777777" w:rsidR="002845A8" w:rsidRDefault="002845A8" w:rsidP="002845A8">
      <w:pPr>
        <w:spacing w:after="0" w:line="240" w:lineRule="auto"/>
        <w:rPr>
          <w:rFonts w:ascii="Verdana" w:eastAsia="Geomanist Light" w:hAnsi="Verdana" w:cs="Arial"/>
          <w:color w:val="000000" w:themeColor="text1"/>
          <w:lang w:val="es-MX"/>
        </w:rPr>
      </w:pPr>
    </w:p>
    <w:p w14:paraId="57672891" w14:textId="77777777" w:rsidR="002845A8" w:rsidRDefault="002845A8" w:rsidP="002845A8">
      <w:pPr>
        <w:spacing w:after="0" w:line="240" w:lineRule="auto"/>
        <w:rPr>
          <w:rFonts w:ascii="Verdana" w:eastAsia="Geomanist Light" w:hAnsi="Verdana" w:cs="Arial"/>
          <w:color w:val="000000" w:themeColor="text1"/>
          <w:lang w:val="es-MX"/>
        </w:rPr>
      </w:pPr>
    </w:p>
    <w:p w14:paraId="2B8C27E8" w14:textId="77777777" w:rsidR="002845A8" w:rsidRDefault="002845A8" w:rsidP="002845A8">
      <w:pPr>
        <w:spacing w:after="0" w:line="240" w:lineRule="auto"/>
        <w:rPr>
          <w:rFonts w:ascii="Verdana" w:eastAsia="Geomanist Light" w:hAnsi="Verdana" w:cs="Arial"/>
          <w:color w:val="000000" w:themeColor="text1"/>
          <w:lang w:val="es-MX"/>
        </w:rPr>
      </w:pPr>
    </w:p>
    <w:p w14:paraId="3AE3B1F8" w14:textId="77777777" w:rsidR="002845A8" w:rsidRDefault="002845A8" w:rsidP="002845A8">
      <w:pPr>
        <w:spacing w:after="0" w:line="240" w:lineRule="auto"/>
        <w:rPr>
          <w:rFonts w:ascii="Verdana" w:eastAsia="Geomanist Light" w:hAnsi="Verdana" w:cs="Arial"/>
          <w:color w:val="000000" w:themeColor="text1"/>
          <w:lang w:val="es-MX"/>
        </w:rPr>
      </w:pPr>
    </w:p>
    <w:p w14:paraId="4C2F43E5" w14:textId="77777777" w:rsidR="002845A8" w:rsidRDefault="002845A8" w:rsidP="002845A8">
      <w:pPr>
        <w:spacing w:after="0" w:line="240" w:lineRule="auto"/>
        <w:rPr>
          <w:rFonts w:ascii="Verdana" w:eastAsia="Geomanist Light" w:hAnsi="Verdana" w:cs="Arial"/>
          <w:color w:val="000000" w:themeColor="text1"/>
          <w:lang w:val="es-MX"/>
        </w:rPr>
      </w:pPr>
    </w:p>
    <w:p w14:paraId="4C4C8900" w14:textId="77777777" w:rsidR="002845A8" w:rsidRDefault="002845A8" w:rsidP="002845A8">
      <w:pPr>
        <w:spacing w:after="0" w:line="240" w:lineRule="auto"/>
        <w:rPr>
          <w:rFonts w:ascii="Verdana" w:eastAsia="Geomanist Light" w:hAnsi="Verdana" w:cs="Arial"/>
          <w:color w:val="000000" w:themeColor="text1"/>
          <w:lang w:val="es-MX"/>
        </w:rPr>
      </w:pPr>
    </w:p>
    <w:p w14:paraId="2F30928D" w14:textId="77777777" w:rsidR="002845A8" w:rsidRDefault="002845A8" w:rsidP="002845A8">
      <w:pPr>
        <w:spacing w:after="0" w:line="240" w:lineRule="auto"/>
        <w:rPr>
          <w:rFonts w:ascii="Verdana" w:eastAsia="Geomanist Light" w:hAnsi="Verdana" w:cs="Arial"/>
          <w:color w:val="000000" w:themeColor="text1"/>
          <w:lang w:val="es-MX"/>
        </w:rPr>
      </w:pPr>
    </w:p>
    <w:p w14:paraId="757304FC" w14:textId="77777777" w:rsidR="002845A8" w:rsidRDefault="002845A8" w:rsidP="002845A8">
      <w:pPr>
        <w:spacing w:after="0" w:line="240" w:lineRule="auto"/>
        <w:rPr>
          <w:rFonts w:ascii="Verdana" w:eastAsia="Geomanist Light" w:hAnsi="Verdana" w:cs="Arial"/>
          <w:color w:val="000000" w:themeColor="text1"/>
          <w:lang w:val="es-MX"/>
        </w:rPr>
      </w:pPr>
    </w:p>
    <w:p w14:paraId="5893289D" w14:textId="77777777" w:rsidR="002845A8" w:rsidRDefault="002845A8" w:rsidP="002845A8">
      <w:pPr>
        <w:spacing w:after="0" w:line="240" w:lineRule="auto"/>
        <w:rPr>
          <w:rFonts w:ascii="Verdana" w:eastAsia="Geomanist Light" w:hAnsi="Verdana" w:cs="Arial"/>
          <w:color w:val="000000" w:themeColor="text1"/>
          <w:lang w:val="es-MX"/>
        </w:rPr>
      </w:pPr>
    </w:p>
    <w:p w14:paraId="2089EC9F" w14:textId="77777777" w:rsidR="002845A8" w:rsidRDefault="002845A8" w:rsidP="002845A8">
      <w:pPr>
        <w:spacing w:after="0" w:line="240" w:lineRule="auto"/>
        <w:rPr>
          <w:rFonts w:ascii="Verdana" w:eastAsia="Geomanist Light" w:hAnsi="Verdana" w:cs="Arial"/>
          <w:color w:val="000000" w:themeColor="text1"/>
          <w:lang w:val="es-MX"/>
        </w:rPr>
      </w:pPr>
    </w:p>
    <w:p w14:paraId="2F314081" w14:textId="77777777" w:rsidR="002845A8" w:rsidRDefault="002845A8" w:rsidP="00DB2443">
      <w:pPr>
        <w:spacing w:after="0" w:line="240" w:lineRule="auto"/>
        <w:rPr>
          <w:rFonts w:ascii="Verdana" w:eastAsia="Geomanist Light" w:hAnsi="Verdana" w:cs="Arial"/>
          <w:color w:val="000000" w:themeColor="text1"/>
          <w:lang w:val="es-MX"/>
        </w:rPr>
      </w:pPr>
    </w:p>
    <w:p w14:paraId="2F502966" w14:textId="2236E664" w:rsidR="00DB2443" w:rsidRPr="00593A5F" w:rsidRDefault="00DB2443" w:rsidP="00DB2443">
      <w:pPr>
        <w:spacing w:after="0" w:line="240" w:lineRule="auto"/>
        <w:rPr>
          <w:rFonts w:ascii="Verdana" w:eastAsia="Geomanist Light" w:hAnsi="Verdana" w:cs="Arial"/>
          <w:color w:val="201F1E"/>
          <w:lang w:val="es-MX"/>
        </w:rPr>
      </w:pPr>
      <w:r w:rsidRPr="00593A5F">
        <w:rPr>
          <w:rFonts w:ascii="Verdana" w:eastAsia="Geomanist Light" w:hAnsi="Verdana" w:cs="Arial"/>
          <w:color w:val="000000" w:themeColor="text1"/>
          <w:lang w:val="es-MX"/>
        </w:rPr>
        <w:lastRenderedPageBreak/>
        <w:t>Bogotá D.C.,</w:t>
      </w:r>
      <w:r w:rsidR="005A3CF8">
        <w:rPr>
          <w:rFonts w:ascii="Verdana" w:eastAsia="Geomanist Light" w:hAnsi="Verdana" w:cs="Arial"/>
          <w:color w:val="000000" w:themeColor="text1"/>
          <w:lang w:val="es-MX"/>
        </w:rPr>
        <w:t xml:space="preserve"> 16 de Octubre de 2025</w:t>
      </w:r>
    </w:p>
    <w:p w14:paraId="3150EB33" w14:textId="77777777" w:rsidR="00DB2443" w:rsidRDefault="00DB2443" w:rsidP="00DB2443">
      <w:pPr>
        <w:spacing w:after="0" w:line="240" w:lineRule="auto"/>
        <w:jc w:val="both"/>
        <w:rPr>
          <w:rFonts w:ascii="Verdana" w:eastAsia="Calibri" w:hAnsi="Verdana" w:cs="Arial"/>
          <w:color w:val="000000"/>
          <w:lang w:val="es-ES"/>
        </w:rPr>
      </w:pPr>
    </w:p>
    <w:p w14:paraId="31219019" w14:textId="46EC59ED" w:rsidR="00667D3E" w:rsidRDefault="00667D3E" w:rsidP="00667D3E">
      <w:pPr>
        <w:spacing w:after="0" w:line="240" w:lineRule="auto"/>
        <w:jc w:val="right"/>
        <w:rPr>
          <w:rFonts w:ascii="Verdana" w:eastAsia="Calibri" w:hAnsi="Verdana" w:cs="Arial"/>
          <w:color w:val="000000"/>
          <w:lang w:val="es-ES"/>
        </w:rPr>
      </w:pPr>
      <w:r w:rsidRPr="00667D3E">
        <w:rPr>
          <w:rFonts w:ascii="Verdana" w:eastAsia="Calibri" w:hAnsi="Verdana" w:cs="Arial"/>
          <w:noProof/>
          <w:color w:val="000000"/>
          <w:lang w:val="es-ES"/>
        </w:rPr>
        <w:drawing>
          <wp:inline distT="0" distB="0" distL="0" distR="0" wp14:anchorId="7442B2C9" wp14:editId="3DD1B31E">
            <wp:extent cx="2400300" cy="622300"/>
            <wp:effectExtent l="0" t="0" r="0" b="0"/>
            <wp:docPr id="46841334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8413343" name=""/>
                    <pic:cNvPicPr/>
                  </pic:nvPicPr>
                  <pic:blipFill>
                    <a:blip r:embed="rId10"/>
                    <a:stretch>
                      <a:fillRect/>
                    </a:stretch>
                  </pic:blipFill>
                  <pic:spPr>
                    <a:xfrm>
                      <a:off x="0" y="0"/>
                      <a:ext cx="2400300" cy="622300"/>
                    </a:xfrm>
                    <a:prstGeom prst="rect">
                      <a:avLst/>
                    </a:prstGeom>
                  </pic:spPr>
                </pic:pic>
              </a:graphicData>
            </a:graphic>
          </wp:inline>
        </w:drawing>
      </w:r>
    </w:p>
    <w:p w14:paraId="085BBF66" w14:textId="77777777" w:rsidR="00DB2443" w:rsidRPr="00593A5F" w:rsidRDefault="00DB2443" w:rsidP="00DB2443">
      <w:pPr>
        <w:spacing w:after="0" w:line="240" w:lineRule="auto"/>
        <w:jc w:val="both"/>
        <w:rPr>
          <w:rFonts w:ascii="Verdana" w:eastAsia="Calibri" w:hAnsi="Verdana" w:cs="Arial"/>
          <w:color w:val="000000"/>
          <w:lang w:val="es-ES"/>
        </w:rPr>
      </w:pPr>
    </w:p>
    <w:p w14:paraId="42CA648D" w14:textId="77777777" w:rsidR="00DB2443" w:rsidRPr="000C555D" w:rsidRDefault="00DB2443" w:rsidP="00DB2443">
      <w:pPr>
        <w:spacing w:after="0" w:line="240" w:lineRule="auto"/>
        <w:jc w:val="both"/>
        <w:rPr>
          <w:rFonts w:ascii="Verdana" w:eastAsia="Calibri" w:hAnsi="Verdana" w:cs="Arial"/>
          <w:lang w:val="es-ES" w:eastAsia="es-ES"/>
        </w:rPr>
      </w:pPr>
      <w:r>
        <w:rPr>
          <w:rFonts w:ascii="Verdana" w:eastAsia="Calibri" w:hAnsi="Verdana" w:cs="Arial"/>
          <w:lang w:val="es-ES" w:eastAsia="es-ES"/>
        </w:rPr>
        <w:t>Señor</w:t>
      </w:r>
    </w:p>
    <w:p w14:paraId="69804D69" w14:textId="77777777" w:rsidR="00DB2443" w:rsidRPr="00583C7F" w:rsidRDefault="00DB2443" w:rsidP="00DB2443">
      <w:pPr>
        <w:spacing w:after="0" w:line="240" w:lineRule="auto"/>
        <w:rPr>
          <w:rFonts w:ascii="Verdana" w:eastAsia="Calibri" w:hAnsi="Verdana" w:cs="Arial"/>
          <w:b/>
          <w:lang w:val="es-ES" w:eastAsia="es-ES"/>
        </w:rPr>
      </w:pPr>
      <w:r w:rsidRPr="005570C8">
        <w:rPr>
          <w:rFonts w:ascii="Verdana" w:eastAsia="Calibri" w:hAnsi="Verdana" w:cs="Arial"/>
          <w:b/>
          <w:lang w:val="es-ES" w:eastAsia="es-ES"/>
        </w:rPr>
        <w:t>Carlos Alberto Piedrahita Gutiérrez</w:t>
      </w:r>
      <w:r w:rsidRPr="56F3586C">
        <w:rPr>
          <w:rFonts w:ascii="Verdana" w:eastAsia="Calibri" w:hAnsi="Verdana" w:cs="Arial"/>
          <w:b/>
          <w:lang w:val="es-ES" w:eastAsia="es-ES"/>
        </w:rPr>
        <w:t xml:space="preserve"> </w:t>
      </w:r>
    </w:p>
    <w:p w14:paraId="7A26AD54" w14:textId="77777777" w:rsidR="00DB2443" w:rsidRPr="005570C8" w:rsidRDefault="00DB2443" w:rsidP="00DB2443">
      <w:pPr>
        <w:spacing w:after="0" w:line="240" w:lineRule="auto"/>
        <w:rPr>
          <w:rFonts w:ascii="Verdana" w:eastAsia="Calibri" w:hAnsi="Verdana" w:cs="Arial"/>
          <w:lang w:val="es-ES" w:eastAsia="es-ES"/>
        </w:rPr>
      </w:pPr>
      <w:hyperlink r:id="rId11" w:history="1">
        <w:r w:rsidRPr="00A56792">
          <w:rPr>
            <w:rStyle w:val="Hipervnculo"/>
            <w:rFonts w:ascii="Verdana" w:hAnsi="Verdana"/>
          </w:rPr>
          <w:t>santasofia@santasofia.com.co</w:t>
        </w:r>
      </w:hyperlink>
      <w:r>
        <w:rPr>
          <w:rFonts w:ascii="Verdana" w:hAnsi="Verdana"/>
        </w:rPr>
        <w:t xml:space="preserve"> </w:t>
      </w:r>
      <w:r w:rsidRPr="005570C8">
        <w:rPr>
          <w:rFonts w:ascii="Verdana" w:hAnsi="Verdana"/>
        </w:rPr>
        <w:t xml:space="preserve">               </w:t>
      </w:r>
      <w:r w:rsidRPr="005570C8">
        <w:rPr>
          <w:rFonts w:ascii="Verdana" w:eastAsia="Calibri" w:hAnsi="Verdana" w:cs="Arial"/>
          <w:lang w:val="es-ES" w:eastAsia="es-ES"/>
        </w:rPr>
        <w:t xml:space="preserve">    </w:t>
      </w:r>
    </w:p>
    <w:p w14:paraId="38D456D8" w14:textId="77777777" w:rsidR="00DB2443" w:rsidRDefault="00DB2443" w:rsidP="00DB2443">
      <w:pPr>
        <w:spacing w:after="0" w:line="240" w:lineRule="auto"/>
        <w:rPr>
          <w:rFonts w:ascii="Verdana" w:eastAsia="Calibri" w:hAnsi="Verdana" w:cs="Arial"/>
          <w:lang w:val="es-ES" w:eastAsia="es-ES"/>
        </w:rPr>
      </w:pPr>
      <w:r w:rsidRPr="00331580">
        <w:rPr>
          <w:rFonts w:ascii="Verdana" w:eastAsia="Calibri" w:hAnsi="Verdana" w:cs="Arial"/>
          <w:lang w:val="es-ES" w:eastAsia="es-ES"/>
        </w:rPr>
        <w:t>Bogotá D.C.</w:t>
      </w:r>
      <w:r>
        <w:rPr>
          <w:rFonts w:ascii="Verdana" w:eastAsia="Calibri" w:hAnsi="Verdana" w:cs="Arial"/>
          <w:lang w:val="es-ES" w:eastAsia="es-ES"/>
        </w:rPr>
        <w:t xml:space="preserve"> </w:t>
      </w:r>
    </w:p>
    <w:p w14:paraId="45146287" w14:textId="77777777" w:rsidR="00DB2443" w:rsidRDefault="00DB2443" w:rsidP="00DB2443">
      <w:pPr>
        <w:spacing w:after="0" w:line="240" w:lineRule="auto"/>
        <w:rPr>
          <w:rFonts w:ascii="Verdana" w:eastAsia="Calibri" w:hAnsi="Verdana" w:cs="Arial"/>
          <w:b/>
          <w:bCs/>
          <w:color w:val="000000"/>
          <w:lang w:val="es-ES_tradnl" w:eastAsia="es-ES_tradnl"/>
        </w:rPr>
      </w:pPr>
    </w:p>
    <w:p w14:paraId="3DED3AA9" w14:textId="77777777" w:rsidR="00027556" w:rsidRPr="00593A5F" w:rsidRDefault="00027556" w:rsidP="00DB2443">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DB2443" w:rsidRPr="00593A5F" w14:paraId="452494C7" w14:textId="77777777" w:rsidTr="003B43F3">
        <w:trPr>
          <w:trHeight w:val="884"/>
        </w:trPr>
        <w:tc>
          <w:tcPr>
            <w:tcW w:w="2689" w:type="dxa"/>
          </w:tcPr>
          <w:p w14:paraId="459190C4" w14:textId="77777777" w:rsidR="00DB2443" w:rsidRPr="00C00976" w:rsidRDefault="00DB2443" w:rsidP="003B43F3">
            <w:pPr>
              <w:jc w:val="both"/>
              <w:rPr>
                <w:rFonts w:ascii="Verdana" w:eastAsia="Calibri" w:hAnsi="Verdana" w:cs="Arial"/>
                <w:b/>
                <w:bCs/>
                <w:color w:val="7030A0"/>
                <w:lang w:val="es-ES_tradnl" w:eastAsia="es-ES_tradnl"/>
              </w:rPr>
            </w:pPr>
          </w:p>
        </w:tc>
        <w:tc>
          <w:tcPr>
            <w:tcW w:w="6100" w:type="dxa"/>
          </w:tcPr>
          <w:p w14:paraId="7C6B8D9C" w14:textId="77777777" w:rsidR="00DB2443" w:rsidRPr="00C00976" w:rsidRDefault="00DB2443" w:rsidP="003B43F3">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Pr>
                <w:rFonts w:ascii="Verdana" w:eastAsia="Calibri" w:hAnsi="Verdana" w:cs="Arial"/>
                <w:b/>
                <w:bCs/>
                <w:lang w:val="es-ES" w:eastAsia="es-ES"/>
              </w:rPr>
              <w:t xml:space="preserve">1393 </w:t>
            </w:r>
            <w:r w:rsidRPr="008E6AD9">
              <w:rPr>
                <w:rFonts w:ascii="Verdana" w:eastAsia="Calibri" w:hAnsi="Verdana" w:cs="Arial"/>
                <w:b/>
                <w:bCs/>
                <w:lang w:val="es-ES" w:eastAsia="es-ES"/>
              </w:rPr>
              <w:t>de 202</w:t>
            </w:r>
            <w:r>
              <w:rPr>
                <w:rFonts w:ascii="Verdana" w:eastAsia="Calibri" w:hAnsi="Verdana" w:cs="Arial"/>
                <w:b/>
                <w:bCs/>
                <w:lang w:val="es-ES" w:eastAsia="es-ES"/>
              </w:rPr>
              <w:t>5</w:t>
            </w:r>
          </w:p>
        </w:tc>
      </w:tr>
      <w:tr w:rsidR="00DB2443" w:rsidRPr="00593A5F" w14:paraId="39B229AF" w14:textId="77777777" w:rsidTr="003B43F3">
        <w:trPr>
          <w:trHeight w:val="884"/>
        </w:trPr>
        <w:tc>
          <w:tcPr>
            <w:tcW w:w="2689" w:type="dxa"/>
          </w:tcPr>
          <w:p w14:paraId="276C80EB" w14:textId="77777777" w:rsidR="00DB2443" w:rsidRPr="00593A5F" w:rsidRDefault="00DB2443" w:rsidP="003B43F3">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089A7D0F" w14:textId="77777777" w:rsidR="00DB2443" w:rsidRPr="00A11406" w:rsidRDefault="00DB2443" w:rsidP="003B43F3">
            <w:pPr>
              <w:spacing w:line="276" w:lineRule="auto"/>
              <w:jc w:val="both"/>
              <w:rPr>
                <w:rFonts w:ascii="Verdana" w:eastAsia="Calibri" w:hAnsi="Verdana" w:cs="Arial"/>
                <w:lang w:val="es-ES" w:eastAsia="es-ES"/>
              </w:rPr>
            </w:pPr>
            <w:r w:rsidRPr="00267F65">
              <w:rPr>
                <w:rFonts w:ascii="Verdana" w:eastAsia="Calibri" w:hAnsi="Verdana" w:cs="Arial"/>
                <w:lang w:val="es-ES" w:eastAsia="es-ES"/>
              </w:rPr>
              <w:t>ANTICIPO – Regulación normativa</w:t>
            </w:r>
            <w:r>
              <w:rPr>
                <w:rFonts w:ascii="Verdana" w:eastAsia="Calibri" w:hAnsi="Verdana" w:cs="Arial"/>
                <w:lang w:val="es-ES" w:eastAsia="es-ES"/>
              </w:rPr>
              <w:t xml:space="preserve"> / </w:t>
            </w:r>
            <w:r w:rsidRPr="00267F65">
              <w:rPr>
                <w:rFonts w:ascii="Verdana" w:eastAsia="Calibri" w:hAnsi="Verdana" w:cs="Arial"/>
                <w:lang w:val="es-ES" w:eastAsia="es-ES"/>
              </w:rPr>
              <w:t>ANTICIPO – Definición jurisprudencial</w:t>
            </w:r>
            <w:r>
              <w:rPr>
                <w:rFonts w:ascii="Verdana" w:eastAsia="Calibri" w:hAnsi="Verdana" w:cs="Arial"/>
                <w:lang w:val="es-ES" w:eastAsia="es-ES"/>
              </w:rPr>
              <w:t xml:space="preserve"> / </w:t>
            </w:r>
            <w:r w:rsidRPr="00267F65">
              <w:rPr>
                <w:rFonts w:ascii="Verdana" w:eastAsia="Calibri" w:hAnsi="Verdana" w:cs="Arial"/>
                <w:lang w:val="es-ES" w:eastAsia="es-ES"/>
              </w:rPr>
              <w:t xml:space="preserve">ANTICIPO – Autonomía de la voluntad – Derechos y obligaciones recíprocas </w:t>
            </w:r>
            <w:r>
              <w:rPr>
                <w:rFonts w:ascii="Verdana" w:eastAsia="Calibri" w:hAnsi="Verdana" w:cs="Arial"/>
                <w:lang w:val="es-ES" w:eastAsia="es-ES"/>
              </w:rPr>
              <w:t>/</w:t>
            </w:r>
            <w:r w:rsidRPr="00683DFF">
              <w:rPr>
                <w:rFonts w:ascii="Verdana" w:eastAsia="Calibri" w:hAnsi="Verdana" w:cs="Arial"/>
                <w:lang w:val="es-ES" w:eastAsia="es-ES"/>
              </w:rPr>
              <w:t xml:space="preserve"> </w:t>
            </w:r>
            <w:r w:rsidRPr="00702887">
              <w:rPr>
                <w:rFonts w:ascii="Verdana" w:eastAsia="Calibri" w:hAnsi="Verdana" w:cs="Arial"/>
                <w:lang w:val="es-ES" w:eastAsia="es-ES"/>
              </w:rPr>
              <w:t>EQUILIBRIO ECONÓMICO – Contrato estatal – Fundamento / EQUILIBRIO ECONÓMICO – Contrato estatal – Concepto / EQUILIBRIO ECONÓMICO – Contrato estatal – Restablecimiento – Procedencia – Requisitos</w:t>
            </w:r>
            <w:r w:rsidRPr="006A662D">
              <w:rPr>
                <w:rFonts w:ascii="Verdana" w:eastAsia="Calibri" w:hAnsi="Verdana" w:cs="Arial"/>
                <w:lang w:val="es-ES" w:eastAsia="es-ES"/>
              </w:rPr>
              <w:t xml:space="preserve"> </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p>
          <w:p w14:paraId="29BC5914" w14:textId="77777777" w:rsidR="00DB2443" w:rsidRPr="00593A5F" w:rsidRDefault="00DB2443" w:rsidP="003B43F3">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DB2443" w:rsidRPr="008E6AD9" w14:paraId="2C57BE2B" w14:textId="77777777" w:rsidTr="003B43F3">
        <w:tc>
          <w:tcPr>
            <w:tcW w:w="2689" w:type="dxa"/>
          </w:tcPr>
          <w:p w14:paraId="02F5FB1D" w14:textId="77777777" w:rsidR="00DB2443" w:rsidRPr="008E6AD9" w:rsidRDefault="00DB2443" w:rsidP="003B43F3">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31AF4786" w14:textId="77777777" w:rsidR="00DB2443" w:rsidRPr="00B92340" w:rsidRDefault="00DB2443" w:rsidP="003B43F3">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w:t>
            </w:r>
            <w:r>
              <w:rPr>
                <w:rFonts w:ascii="Verdana" w:eastAsia="Calibri" w:hAnsi="Verdana" w:cs="Arial"/>
                <w:lang w:val="es-ES_tradnl" w:eastAsia="es-ES_tradnl"/>
              </w:rPr>
              <w:t xml:space="preserve"> </w:t>
            </w:r>
            <w:r w:rsidRPr="008E6AD9">
              <w:rPr>
                <w:rFonts w:ascii="Verdana" w:eastAsia="Calibri" w:hAnsi="Verdana" w:cs="Arial"/>
                <w:lang w:val="es-ES_tradnl" w:eastAsia="es-ES_tradnl"/>
              </w:rPr>
              <w:t>No.</w:t>
            </w:r>
            <w:r>
              <w:rPr>
                <w:rFonts w:ascii="Verdana" w:eastAsia="Calibri" w:hAnsi="Verdana" w:cs="Arial"/>
                <w:lang w:val="es-ES_tradnl" w:eastAsia="es-ES_tradnl"/>
              </w:rPr>
              <w:t xml:space="preserve"> </w:t>
            </w:r>
            <w:r w:rsidRPr="0005534F">
              <w:rPr>
                <w:rFonts w:ascii="Verdana" w:eastAsia="Calibri" w:hAnsi="Verdana" w:cs="Arial"/>
                <w:lang w:val="es-ES_tradnl" w:eastAsia="es-ES_tradnl"/>
              </w:rPr>
              <w:t>1_2025_09_26_010675</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w:t>
            </w:r>
          </w:p>
        </w:tc>
      </w:tr>
    </w:tbl>
    <w:p w14:paraId="3D2743F9" w14:textId="77777777" w:rsidR="00DB2443" w:rsidRPr="00593A5F" w:rsidRDefault="00DB2443" w:rsidP="00DB2443">
      <w:pPr>
        <w:spacing w:after="0" w:line="240" w:lineRule="auto"/>
        <w:jc w:val="both"/>
        <w:rPr>
          <w:rFonts w:ascii="Verdana" w:eastAsia="Calibri" w:hAnsi="Verdana" w:cs="Arial"/>
          <w:color w:val="000000"/>
          <w:lang w:val="es-ES_tradnl" w:eastAsia="es-ES_tradnl"/>
        </w:rPr>
      </w:pPr>
    </w:p>
    <w:p w14:paraId="266784D2" w14:textId="77777777" w:rsidR="00DB2443" w:rsidRPr="00593A5F" w:rsidRDefault="00DB2443" w:rsidP="00DB2443">
      <w:pPr>
        <w:spacing w:after="0" w:line="240" w:lineRule="auto"/>
        <w:jc w:val="both"/>
        <w:rPr>
          <w:rFonts w:ascii="Verdana" w:eastAsia="Calibri" w:hAnsi="Verdana" w:cs="Arial"/>
          <w:color w:val="000000"/>
          <w:lang w:val="es-ES_tradnl" w:eastAsia="es-ES_tradnl"/>
        </w:rPr>
      </w:pPr>
    </w:p>
    <w:p w14:paraId="6C5F2C33" w14:textId="77777777" w:rsidR="00DB2443" w:rsidRPr="008E6AD9" w:rsidRDefault="00DB2443" w:rsidP="00DB2443">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o</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 </w:t>
      </w:r>
      <w:r w:rsidRPr="005570C8">
        <w:rPr>
          <w:rFonts w:ascii="Verdana" w:eastAsia="Calibri" w:hAnsi="Verdana" w:cs="Arial"/>
          <w:lang w:val="es-ES" w:eastAsia="es-ES"/>
        </w:rPr>
        <w:t>Piedrahita Gutiérrez</w:t>
      </w:r>
      <w:r w:rsidRPr="008E6AD9">
        <w:rPr>
          <w:rFonts w:ascii="Verdana" w:eastAsia="Calibri" w:hAnsi="Verdana" w:cs="Arial"/>
          <w:lang w:val="es-ES" w:eastAsia="es-ES"/>
        </w:rPr>
        <w:t xml:space="preserve">: </w:t>
      </w:r>
    </w:p>
    <w:p w14:paraId="1A2F9E69" w14:textId="77777777" w:rsidR="00DB2443" w:rsidRDefault="00DB2443" w:rsidP="00DB2443">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2FDCDB9E" w14:textId="77777777" w:rsidR="00DB2443" w:rsidRPr="00593A5F" w:rsidRDefault="00DB2443" w:rsidP="00DB2443">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26 de septiembre de 2025, </w:t>
      </w:r>
      <w:r w:rsidRPr="008E6AD9">
        <w:rPr>
          <w:rFonts w:ascii="Verdana" w:eastAsia="Calibri" w:hAnsi="Verdana" w:cs="Arial"/>
          <w:lang w:val="es-ES" w:eastAsia="es-ES"/>
        </w:rPr>
        <w:t xml:space="preserve">en </w:t>
      </w:r>
      <w:r>
        <w:rPr>
          <w:rFonts w:ascii="Verdana" w:eastAsia="Calibri" w:hAnsi="Verdana" w:cs="Arial"/>
          <w:lang w:val="es-ES" w:eastAsia="es-ES"/>
        </w:rPr>
        <w:t>la cual manifiesta que</w:t>
      </w:r>
      <w:r w:rsidRPr="008E6AD9">
        <w:rPr>
          <w:rFonts w:ascii="Verdana" w:eastAsia="Calibri" w:hAnsi="Verdana" w:cs="Arial"/>
          <w:lang w:val="es-ES" w:eastAsia="es-ES"/>
        </w:rPr>
        <w:t xml:space="preserve">: </w:t>
      </w:r>
    </w:p>
    <w:p w14:paraId="46E1FC16" w14:textId="77777777" w:rsidR="00DB2443" w:rsidRPr="00272A7B" w:rsidRDefault="00DB2443" w:rsidP="00DB2443">
      <w:pPr>
        <w:pStyle w:val="Prrafodelista"/>
        <w:tabs>
          <w:tab w:val="left" w:pos="142"/>
          <w:tab w:val="left" w:pos="284"/>
        </w:tabs>
        <w:spacing w:after="0" w:line="276" w:lineRule="auto"/>
        <w:ind w:left="0"/>
        <w:jc w:val="both"/>
        <w:rPr>
          <w:rFonts w:ascii="Verdana" w:eastAsia="Century Gothic" w:hAnsi="Verdana" w:cs="Century Gothic"/>
          <w:b/>
          <w:bCs/>
        </w:rPr>
      </w:pPr>
    </w:p>
    <w:p w14:paraId="6690C0F7" w14:textId="77777777" w:rsidR="00DB2443" w:rsidRPr="00FA14FD" w:rsidRDefault="00DB2443" w:rsidP="00DB2443">
      <w:pPr>
        <w:spacing w:after="120" w:line="240" w:lineRule="auto"/>
        <w:ind w:left="709" w:right="709"/>
        <w:jc w:val="both"/>
        <w:rPr>
          <w:rFonts w:ascii="Verdana" w:eastAsia="Century Gothic" w:hAnsi="Verdana" w:cs="Century Gothic"/>
          <w:sz w:val="20"/>
          <w:szCs w:val="20"/>
          <w:lang w:val="es-ES"/>
        </w:rPr>
      </w:pPr>
      <w:bookmarkStart w:id="0" w:name="_Hlk95313578"/>
      <w:r w:rsidRPr="00FA14FD">
        <w:rPr>
          <w:rFonts w:ascii="Verdana" w:eastAsia="Century Gothic" w:hAnsi="Verdana" w:cs="Century Gothic"/>
          <w:sz w:val="20"/>
          <w:szCs w:val="20"/>
          <w:lang w:val="es-ES"/>
        </w:rPr>
        <w:t>“</w:t>
      </w:r>
      <w:bookmarkEnd w:id="0"/>
      <w:r w:rsidRPr="00FA14FD">
        <w:rPr>
          <w:rFonts w:ascii="Verdana" w:eastAsia="Century Gothic" w:hAnsi="Verdana" w:cs="Century Gothic"/>
          <w:sz w:val="20"/>
          <w:szCs w:val="20"/>
          <w:lang w:val="es-ES"/>
        </w:rPr>
        <w:t>En el marco del Contrato de Obra No. 0668 de 2024, cuyo objeto es la ejecución del proyecto de inversión BPIN 2024000040003, denominado ‘</w:t>
      </w:r>
      <w:r w:rsidRPr="00FA14FD">
        <w:rPr>
          <w:rFonts w:ascii="Verdana" w:eastAsia="Century Gothic" w:hAnsi="Verdana" w:cs="Century Gothic"/>
          <w:i/>
          <w:iCs/>
          <w:sz w:val="20"/>
          <w:szCs w:val="20"/>
          <w:lang w:val="es-ES"/>
        </w:rPr>
        <w:t xml:space="preserve">Reposición de la Infraestructura Fase 1 de la ESE Hospital Santa Sofía de </w:t>
      </w:r>
      <w:r w:rsidRPr="00FA14FD">
        <w:rPr>
          <w:rFonts w:ascii="Verdana" w:eastAsia="Century Gothic" w:hAnsi="Verdana" w:cs="Century Gothic"/>
          <w:i/>
          <w:iCs/>
          <w:sz w:val="20"/>
          <w:szCs w:val="20"/>
          <w:lang w:val="es-ES"/>
        </w:rPr>
        <w:lastRenderedPageBreak/>
        <w:t>Caldas</w:t>
      </w:r>
      <w:r w:rsidRPr="00FA14FD">
        <w:rPr>
          <w:rFonts w:ascii="Verdana" w:eastAsia="Century Gothic" w:hAnsi="Verdana" w:cs="Century Gothic"/>
          <w:sz w:val="20"/>
          <w:szCs w:val="20"/>
          <w:lang w:val="es-ES"/>
        </w:rPr>
        <w:t>’, se pactó un anticipo del 30% del valor total del contrato distribuido de la siguiente manera:</w:t>
      </w:r>
    </w:p>
    <w:p w14:paraId="5A47AFED" w14:textId="77777777" w:rsidR="00DB2443" w:rsidRPr="00FA14FD" w:rsidRDefault="00DB2443" w:rsidP="00DB2443">
      <w:pPr>
        <w:spacing w:after="120" w:line="240" w:lineRule="auto"/>
        <w:ind w:left="709" w:right="709"/>
        <w:jc w:val="both"/>
        <w:rPr>
          <w:rFonts w:ascii="Verdana" w:eastAsia="Century Gothic" w:hAnsi="Verdana" w:cs="Century Gothic"/>
          <w:sz w:val="20"/>
          <w:szCs w:val="20"/>
          <w:lang w:val="es-ES"/>
        </w:rPr>
      </w:pPr>
      <w:r w:rsidRPr="00FA14FD">
        <w:rPr>
          <w:rFonts w:ascii="Verdana" w:eastAsia="Century Gothic" w:hAnsi="Verdana" w:cs="Century Gothic"/>
          <w:sz w:val="20"/>
          <w:szCs w:val="20"/>
          <w:lang w:val="es-ES"/>
        </w:rPr>
        <w:t>• 15% con cargo a recursos del Sistema General de Regalías (SGR), ya girado y ejecutado conforme al plan de inversiones aprobado.</w:t>
      </w:r>
    </w:p>
    <w:p w14:paraId="0B34FC08" w14:textId="77777777" w:rsidR="00DB2443" w:rsidRPr="00FA14FD" w:rsidRDefault="00DB2443" w:rsidP="00DB2443">
      <w:pPr>
        <w:spacing w:after="120" w:line="240" w:lineRule="auto"/>
        <w:ind w:left="709" w:right="709"/>
        <w:jc w:val="both"/>
        <w:rPr>
          <w:rFonts w:ascii="Verdana" w:eastAsia="Century Gothic" w:hAnsi="Verdana" w:cs="Century Gothic"/>
          <w:sz w:val="20"/>
          <w:szCs w:val="20"/>
          <w:lang w:val="es-ES"/>
        </w:rPr>
      </w:pPr>
      <w:r w:rsidRPr="00FA14FD">
        <w:rPr>
          <w:rFonts w:ascii="Verdana" w:eastAsia="Century Gothic" w:hAnsi="Verdana" w:cs="Century Gothic"/>
          <w:sz w:val="20"/>
          <w:szCs w:val="20"/>
          <w:lang w:val="es-ES"/>
        </w:rPr>
        <w:t>• 15% con cargo a recursos del Presupuesto General de la Nación. Ministerio de Salud y Protección Social, condicionado a concepto favorable de dicha entidad, conforme a lo dispuesto en la Resolución 1440 de 2024, artículo 1, que modificó el artículo 9 de la Resolución 5185 de 2013.</w:t>
      </w:r>
    </w:p>
    <w:p w14:paraId="0AB565B9" w14:textId="77777777" w:rsidR="00DB2443" w:rsidRPr="00FA14FD" w:rsidRDefault="00DB2443" w:rsidP="00DB2443">
      <w:pPr>
        <w:spacing w:after="120" w:line="240" w:lineRule="auto"/>
        <w:ind w:left="709" w:right="709"/>
        <w:jc w:val="both"/>
        <w:rPr>
          <w:rFonts w:ascii="Verdana" w:eastAsia="Century Gothic" w:hAnsi="Verdana" w:cs="Century Gothic"/>
          <w:sz w:val="20"/>
          <w:szCs w:val="20"/>
          <w:lang w:val="es-ES"/>
        </w:rPr>
      </w:pPr>
      <w:r w:rsidRPr="00FA14FD">
        <w:rPr>
          <w:rFonts w:ascii="Verdana" w:eastAsia="Century Gothic" w:hAnsi="Verdana" w:cs="Century Gothic"/>
          <w:b/>
          <w:bCs/>
          <w:sz w:val="20"/>
          <w:szCs w:val="20"/>
          <w:lang w:val="es-ES"/>
        </w:rPr>
        <w:t>1. Reiteración de solicitudes sin respuesta:</w:t>
      </w:r>
      <w:r w:rsidRPr="00FA14FD">
        <w:rPr>
          <w:rFonts w:ascii="Verdana" w:eastAsia="Century Gothic" w:hAnsi="Verdana" w:cs="Century Gothic"/>
          <w:sz w:val="20"/>
          <w:szCs w:val="20"/>
          <w:lang w:val="es-ES"/>
        </w:rPr>
        <w:t xml:space="preserve"> La ESE, en cumplimiento del marco normativo, elevó en reiteradas ocasiones la solicitud de aprobación del anticipo del 15% ante el Ministerio de Salud y Protección Social. Sin embargo, a la fecha no se ha recibido respuesta alguna, lo cual constituye una omisión administrativa que ha generado afectación financiera en el flujo contractual.</w:t>
      </w:r>
    </w:p>
    <w:p w14:paraId="6C0C2121" w14:textId="77777777" w:rsidR="00DB2443" w:rsidRPr="00FA14FD" w:rsidRDefault="00DB2443" w:rsidP="00DB2443">
      <w:pPr>
        <w:spacing w:after="120" w:line="240" w:lineRule="auto"/>
        <w:ind w:left="709" w:right="709"/>
        <w:jc w:val="both"/>
        <w:rPr>
          <w:rFonts w:ascii="Verdana" w:eastAsia="Century Gothic" w:hAnsi="Verdana" w:cs="Century Gothic"/>
          <w:sz w:val="20"/>
          <w:szCs w:val="20"/>
        </w:rPr>
      </w:pPr>
      <w:r w:rsidRPr="00FA14FD">
        <w:rPr>
          <w:rFonts w:ascii="Verdana" w:eastAsia="Century Gothic" w:hAnsi="Verdana" w:cs="Century Gothic"/>
          <w:b/>
          <w:bCs/>
          <w:sz w:val="20"/>
          <w:szCs w:val="20"/>
        </w:rPr>
        <w:t>2. Cumplimiento del contratista:</w:t>
      </w:r>
      <w:r w:rsidRPr="00FA14FD">
        <w:rPr>
          <w:rFonts w:ascii="Verdana" w:eastAsia="Century Gothic" w:hAnsi="Verdana" w:cs="Century Gothic"/>
          <w:sz w:val="20"/>
          <w:szCs w:val="20"/>
        </w:rPr>
        <w:t xml:space="preserve"> El contratista, siguiendo los lineamientos del proceso licitatorio y de la contratación estatal y lo dispuesto en la minuta del contrato 0668 de 2024, constituyó y entregó la póliza de anticipo correspondiente al 30%, cumpliendo con los requisitos exigidos por la normatividad vigente y las condiciones contractuales.</w:t>
      </w:r>
    </w:p>
    <w:p w14:paraId="285FCE4D" w14:textId="77777777" w:rsidR="00DB2443" w:rsidRPr="00FA14FD" w:rsidRDefault="00DB2443" w:rsidP="00DB2443">
      <w:pPr>
        <w:spacing w:after="120" w:line="240" w:lineRule="auto"/>
        <w:ind w:left="709" w:right="709"/>
        <w:jc w:val="both"/>
        <w:rPr>
          <w:rFonts w:ascii="Verdana" w:eastAsia="Century Gothic" w:hAnsi="Verdana" w:cs="Century Gothic"/>
          <w:sz w:val="20"/>
          <w:szCs w:val="20"/>
        </w:rPr>
      </w:pPr>
      <w:r w:rsidRPr="00FA14FD">
        <w:rPr>
          <w:rFonts w:ascii="Verdana" w:eastAsia="Century Gothic" w:hAnsi="Verdana" w:cs="Century Gothic"/>
          <w:b/>
          <w:bCs/>
          <w:sz w:val="20"/>
          <w:szCs w:val="20"/>
        </w:rPr>
        <w:t>3. Ejecución total de los recursos de Minsalud:</w:t>
      </w:r>
      <w:r w:rsidRPr="00FA14FD">
        <w:rPr>
          <w:rFonts w:ascii="Verdana" w:eastAsia="Century Gothic" w:hAnsi="Verdana" w:cs="Century Gothic"/>
          <w:sz w:val="20"/>
          <w:szCs w:val="20"/>
        </w:rPr>
        <w:t xml:space="preserve"> Los recursos aportados por el Ministerio de Salud ($30.000.000.000), asociados al contrato de obra y objeto de la solicitud de autorización del giro del anticipo, ya fueron ejecutados en su totalidad dentro del proyecto. En consecuencia, dicho componente dejó de ser objeto de análisis para la autorización del giro, configurándose una imposibilidad material de cumplir la condición inicialmente pactada.</w:t>
      </w:r>
    </w:p>
    <w:p w14:paraId="7E7A153E" w14:textId="77777777" w:rsidR="00DB2443" w:rsidRPr="00FA14FD" w:rsidRDefault="00DB2443" w:rsidP="00DB2443">
      <w:pPr>
        <w:spacing w:after="120" w:line="240" w:lineRule="auto"/>
        <w:ind w:left="709" w:right="709"/>
        <w:jc w:val="both"/>
        <w:rPr>
          <w:rFonts w:ascii="Verdana" w:eastAsia="Century Gothic" w:hAnsi="Verdana" w:cs="Century Gothic"/>
          <w:sz w:val="20"/>
          <w:szCs w:val="20"/>
        </w:rPr>
      </w:pPr>
      <w:r w:rsidRPr="00FA14FD">
        <w:rPr>
          <w:rFonts w:ascii="Verdana" w:eastAsia="Century Gothic" w:hAnsi="Verdana" w:cs="Century Gothic"/>
          <w:b/>
          <w:bCs/>
          <w:sz w:val="20"/>
          <w:szCs w:val="20"/>
        </w:rPr>
        <w:t>4. Avance en la ejecución del anticipo del SGR:</w:t>
      </w:r>
      <w:r w:rsidRPr="00FA14FD">
        <w:rPr>
          <w:rFonts w:ascii="Verdana" w:eastAsia="Century Gothic" w:hAnsi="Verdana" w:cs="Century Gothic"/>
          <w:sz w:val="20"/>
          <w:szCs w:val="20"/>
        </w:rPr>
        <w:t xml:space="preserve"> El contratista ya ejecutó el 15% del anticipo girado con cargo a recursos del SGR, según el plan de anticipos aprobado, evidenciando que el proyecto mantiene un nivel de avance superior al programado y que las obligaciones pactadas se han atendido oportunamente.</w:t>
      </w:r>
    </w:p>
    <w:p w14:paraId="2C8DF159" w14:textId="77777777" w:rsidR="00DB2443" w:rsidRPr="00FA14FD" w:rsidRDefault="00DB2443" w:rsidP="00DB2443">
      <w:pPr>
        <w:spacing w:after="0" w:line="240" w:lineRule="auto"/>
        <w:ind w:left="709" w:right="709"/>
        <w:jc w:val="both"/>
        <w:rPr>
          <w:rFonts w:ascii="Verdana" w:eastAsia="Century Gothic" w:hAnsi="Verdana" w:cs="Century Gothic"/>
          <w:sz w:val="20"/>
          <w:szCs w:val="20"/>
        </w:rPr>
      </w:pPr>
      <w:r w:rsidRPr="00FA14FD">
        <w:rPr>
          <w:rFonts w:ascii="Verdana" w:eastAsia="Century Gothic" w:hAnsi="Verdana" w:cs="Century Gothic"/>
          <w:b/>
          <w:bCs/>
          <w:sz w:val="20"/>
          <w:szCs w:val="20"/>
        </w:rPr>
        <w:t>5. Necesidad del otro 15% para adquisición de equipos:</w:t>
      </w:r>
      <w:r w:rsidRPr="00FA14FD">
        <w:rPr>
          <w:rFonts w:ascii="Verdana" w:eastAsia="Century Gothic" w:hAnsi="Verdana" w:cs="Century Gothic"/>
          <w:sz w:val="20"/>
          <w:szCs w:val="20"/>
        </w:rPr>
        <w:t xml:space="preserve"> A la fecha, el hospital ha recibido reiteradas solicitudes formales de pago por parle del contratista, quien ha manifestado la urgencia de contar con el otro 15% del anticipo pactado para atender compromisos contractuales relacionados con la adquisición de equipos importados de alta especificidad, entre ellos ascensores hospitalarios.</w:t>
      </w:r>
    </w:p>
    <w:p w14:paraId="5C70A68B" w14:textId="77777777" w:rsidR="00DB2443" w:rsidRPr="00FA14FD" w:rsidRDefault="00DB2443" w:rsidP="00DB2443">
      <w:pPr>
        <w:spacing w:after="120" w:line="240" w:lineRule="auto"/>
        <w:ind w:left="709" w:right="709"/>
        <w:jc w:val="both"/>
        <w:rPr>
          <w:rFonts w:ascii="Verdana" w:eastAsia="Century Gothic" w:hAnsi="Verdana" w:cs="Century Gothic"/>
          <w:sz w:val="20"/>
          <w:szCs w:val="20"/>
        </w:rPr>
      </w:pPr>
      <w:r w:rsidRPr="00FA14FD">
        <w:rPr>
          <w:rFonts w:ascii="Verdana" w:eastAsia="Century Gothic" w:hAnsi="Verdana" w:cs="Century Gothic"/>
          <w:sz w:val="20"/>
          <w:szCs w:val="20"/>
        </w:rPr>
        <w:t>[…]</w:t>
      </w:r>
    </w:p>
    <w:p w14:paraId="68B1F9B6" w14:textId="77777777" w:rsidR="00DB2443" w:rsidRPr="00FA14FD" w:rsidRDefault="00DB2443" w:rsidP="00DB2443">
      <w:pPr>
        <w:spacing w:after="120" w:line="240" w:lineRule="auto"/>
        <w:ind w:left="709" w:right="709"/>
        <w:jc w:val="both"/>
        <w:rPr>
          <w:rFonts w:ascii="Verdana" w:eastAsia="Century Gothic" w:hAnsi="Verdana" w:cs="Century Gothic"/>
          <w:sz w:val="20"/>
          <w:szCs w:val="20"/>
        </w:rPr>
      </w:pPr>
      <w:r w:rsidRPr="00FA14FD">
        <w:rPr>
          <w:rFonts w:ascii="Verdana" w:eastAsia="Century Gothic" w:hAnsi="Verdana" w:cs="Century Gothic"/>
          <w:sz w:val="20"/>
          <w:szCs w:val="20"/>
        </w:rPr>
        <w:t>Desde una perspectiva técnica y jurídica, esta situación se enmarca en la imposibilidad sobreviniente parcial, entendida como la circunstancia jurídica o fáctica que surge con posterioridad a la celebración del contrato y que, sin ser atribuible a las partes, impide cumplir parte de las condiciones pactadas.</w:t>
      </w:r>
    </w:p>
    <w:p w14:paraId="0EC5A572" w14:textId="77777777" w:rsidR="00DB2443" w:rsidRPr="00FA14FD" w:rsidRDefault="00DB2443" w:rsidP="00DB2443">
      <w:pPr>
        <w:spacing w:after="120" w:line="240" w:lineRule="auto"/>
        <w:ind w:left="709" w:right="709"/>
        <w:jc w:val="both"/>
        <w:rPr>
          <w:rFonts w:ascii="Verdana" w:eastAsia="Century Gothic" w:hAnsi="Verdana" w:cs="Century Gothic"/>
          <w:sz w:val="20"/>
          <w:szCs w:val="20"/>
        </w:rPr>
      </w:pPr>
      <w:r w:rsidRPr="00FA14FD">
        <w:rPr>
          <w:rFonts w:ascii="Verdana" w:eastAsia="Century Gothic" w:hAnsi="Verdana" w:cs="Century Gothic"/>
          <w:sz w:val="20"/>
          <w:szCs w:val="20"/>
        </w:rPr>
        <w:lastRenderedPageBreak/>
        <w:t>En este sentido, el artículo 16 de la Ley 80 de 1993 faculta a las entidades estatales para introducir modificaciones unilaterales al contrato cuando ello resulte necesario para evitar la paralización o afectación grave de los servicios públicos a su cargo, o para ajustarlo a disposiciones legales o reglamentarias sobrevinientes.</w:t>
      </w:r>
    </w:p>
    <w:p w14:paraId="4F68B039" w14:textId="77777777" w:rsidR="00DB2443" w:rsidRPr="00FA14FD" w:rsidRDefault="00DB2443" w:rsidP="00DB2443">
      <w:pPr>
        <w:spacing w:after="120" w:line="240" w:lineRule="auto"/>
        <w:ind w:left="709" w:right="709"/>
        <w:jc w:val="both"/>
        <w:rPr>
          <w:rFonts w:ascii="Verdana" w:eastAsia="Century Gothic" w:hAnsi="Verdana" w:cs="Century Gothic"/>
          <w:sz w:val="20"/>
          <w:szCs w:val="20"/>
        </w:rPr>
      </w:pPr>
      <w:r w:rsidRPr="00FA14FD">
        <w:rPr>
          <w:rFonts w:ascii="Verdana" w:eastAsia="Century Gothic" w:hAnsi="Verdana" w:cs="Century Gothic"/>
          <w:sz w:val="20"/>
          <w:szCs w:val="20"/>
        </w:rPr>
        <w:t>De igual manera, el artículo 27 de la Ley 80 de 1993 establece el principio del equilibrio económico del contrato, el cual debe restablecerse siempre que sobrevengan situaciones no imputables a las partes que alteren la ecuación contractual, garantizando así la equivalencia entre prestaciones y obligaciones asumidas.</w:t>
      </w:r>
    </w:p>
    <w:p w14:paraId="7E3D622E" w14:textId="77777777" w:rsidR="00DB2443" w:rsidRPr="00FA14FD" w:rsidRDefault="00DB2443" w:rsidP="00DB2443">
      <w:pPr>
        <w:spacing w:after="0" w:line="240" w:lineRule="auto"/>
        <w:ind w:left="709" w:right="709"/>
        <w:jc w:val="both"/>
        <w:rPr>
          <w:rFonts w:ascii="Verdana" w:eastAsia="Century Gothic" w:hAnsi="Verdana" w:cs="Century Gothic"/>
          <w:sz w:val="21"/>
          <w:szCs w:val="21"/>
        </w:rPr>
      </w:pPr>
      <w:r w:rsidRPr="00FA14FD">
        <w:rPr>
          <w:rFonts w:ascii="Verdana" w:eastAsia="Century Gothic" w:hAnsi="Verdana" w:cs="Century Gothic"/>
          <w:sz w:val="20"/>
          <w:szCs w:val="20"/>
        </w:rPr>
        <w:t>En este caso, la imposibilidad se configura por la no emisión del concepto favorable por parte del Ministerio de Salud, condición ajena a la voluntad de las partes y que afecta exclusivamente la financiación del anticipo, mas no el objeto global del contrato”.</w:t>
      </w:r>
    </w:p>
    <w:p w14:paraId="13EC78FF" w14:textId="77777777" w:rsidR="00DB2443" w:rsidRPr="008E6AD9" w:rsidRDefault="00DB2443" w:rsidP="00DB2443">
      <w:pPr>
        <w:pStyle w:val="Prrafodelista"/>
        <w:tabs>
          <w:tab w:val="left" w:pos="142"/>
          <w:tab w:val="left" w:pos="284"/>
        </w:tabs>
        <w:spacing w:after="0" w:line="276" w:lineRule="auto"/>
        <w:ind w:left="0"/>
        <w:jc w:val="both"/>
        <w:rPr>
          <w:rFonts w:ascii="Verdana" w:eastAsia="Century Gothic" w:hAnsi="Verdana" w:cs="Century Gothic"/>
          <w:b/>
          <w:bCs/>
        </w:rPr>
      </w:pPr>
    </w:p>
    <w:p w14:paraId="71EA92E5" w14:textId="77777777" w:rsidR="00DB2443" w:rsidRDefault="00DB2443" w:rsidP="00DB2443">
      <w:pPr>
        <w:spacing w:after="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Por tanto, usted solicita:</w:t>
      </w:r>
    </w:p>
    <w:p w14:paraId="4F12473D" w14:textId="77777777" w:rsidR="00DB2443" w:rsidRDefault="00DB2443" w:rsidP="00DB2443">
      <w:pPr>
        <w:spacing w:after="0" w:line="276" w:lineRule="auto"/>
        <w:ind w:firstLine="709"/>
        <w:jc w:val="both"/>
        <w:rPr>
          <w:rFonts w:ascii="Verdana" w:eastAsia="Calibri" w:hAnsi="Verdana" w:cs="Arial"/>
          <w:color w:val="000000"/>
          <w:lang w:val="es-ES" w:eastAsia="es-ES"/>
        </w:rPr>
      </w:pPr>
    </w:p>
    <w:p w14:paraId="0B43C628" w14:textId="77777777" w:rsidR="00DB2443" w:rsidRPr="00F2577C" w:rsidRDefault="00DB2443" w:rsidP="00DB2443">
      <w:pPr>
        <w:spacing w:after="120" w:line="240" w:lineRule="auto"/>
        <w:ind w:left="709" w:right="709"/>
        <w:jc w:val="both"/>
        <w:rPr>
          <w:rFonts w:ascii="Verdana" w:eastAsia="Calibri" w:hAnsi="Verdana" w:cs="Arial"/>
          <w:color w:val="000000"/>
          <w:sz w:val="20"/>
          <w:szCs w:val="20"/>
          <w:lang w:val="es-ES" w:eastAsia="es-ES"/>
        </w:rPr>
      </w:pPr>
      <w:r w:rsidRPr="00F2577C">
        <w:rPr>
          <w:rFonts w:ascii="Verdana" w:eastAsia="Calibri" w:hAnsi="Verdana" w:cs="Arial"/>
          <w:color w:val="000000"/>
          <w:sz w:val="20"/>
          <w:szCs w:val="20"/>
          <w:lang w:val="es-ES" w:eastAsia="es-ES"/>
        </w:rPr>
        <w:t>“[…] analizar la viabilidad jurídica de modificar la cláusula contractual respectiva, sustituyendo la fuente condicionada por otra fuente alternativa disponible (recursos del SGR), sin alterar el objeto, el valor ni los compromisos sustanciales del contrato.</w:t>
      </w:r>
    </w:p>
    <w:p w14:paraId="42159B96" w14:textId="77777777" w:rsidR="00DB2443" w:rsidRPr="00F2577C" w:rsidRDefault="00DB2443" w:rsidP="00DB2443">
      <w:pPr>
        <w:spacing w:after="120" w:line="240" w:lineRule="auto"/>
        <w:ind w:left="709" w:right="709"/>
        <w:jc w:val="both"/>
        <w:rPr>
          <w:rFonts w:ascii="Verdana" w:eastAsia="Calibri" w:hAnsi="Verdana" w:cs="Arial"/>
          <w:color w:val="000000"/>
          <w:sz w:val="20"/>
          <w:szCs w:val="20"/>
          <w:lang w:val="es-ES" w:eastAsia="es-ES"/>
        </w:rPr>
      </w:pPr>
      <w:r w:rsidRPr="00F2577C">
        <w:rPr>
          <w:rFonts w:ascii="Verdana" w:eastAsia="Calibri" w:hAnsi="Verdana" w:cs="Arial"/>
          <w:color w:val="000000"/>
          <w:sz w:val="20"/>
          <w:szCs w:val="20"/>
          <w:lang w:val="es-ES" w:eastAsia="es-ES"/>
        </w:rPr>
        <w:t>En ese sentido, solicitamos respetuosamente su ilustrado concepto en relación con los siguientes aspectos:</w:t>
      </w:r>
    </w:p>
    <w:p w14:paraId="51FEA607" w14:textId="77777777" w:rsidR="00DB2443" w:rsidRPr="00F2577C" w:rsidRDefault="00DB2443" w:rsidP="00DB2443">
      <w:pPr>
        <w:spacing w:after="120" w:line="240" w:lineRule="auto"/>
        <w:ind w:left="709" w:right="709"/>
        <w:jc w:val="both"/>
        <w:rPr>
          <w:rFonts w:ascii="Verdana" w:eastAsia="Calibri" w:hAnsi="Verdana" w:cs="Arial"/>
          <w:color w:val="000000"/>
          <w:sz w:val="20"/>
          <w:szCs w:val="20"/>
          <w:lang w:val="es-ES" w:eastAsia="es-ES"/>
        </w:rPr>
      </w:pPr>
      <w:r w:rsidRPr="00F2577C">
        <w:rPr>
          <w:rFonts w:ascii="Verdana" w:eastAsia="Calibri" w:hAnsi="Verdana" w:cs="Arial"/>
          <w:color w:val="000000"/>
          <w:sz w:val="20"/>
          <w:szCs w:val="20"/>
          <w:lang w:val="es-ES" w:eastAsia="es-ES"/>
        </w:rPr>
        <w:t>1. El hecho de que el Ministerio de Salud no haya aprobado el giro del 15% del anticipo pactado con recursos de esa entidad, amparados en la Resolución 1440 de 2024, y que además ya fueron ejecutados en el desarrollo normal de la obra, puede considerarse una imposibilidad sobreviniente que justifique modificar el contrato para garantizar su cumplimiento y hacer efectivo el giro total del 30% del anticipo pactado?</w:t>
      </w:r>
    </w:p>
    <w:p w14:paraId="313440E5" w14:textId="77777777" w:rsidR="00DB2443" w:rsidRPr="00F2577C" w:rsidRDefault="00DB2443" w:rsidP="00DB2443">
      <w:pPr>
        <w:spacing w:after="120" w:line="240" w:lineRule="auto"/>
        <w:ind w:left="709" w:right="709"/>
        <w:jc w:val="both"/>
        <w:rPr>
          <w:rFonts w:ascii="Verdana" w:eastAsia="Calibri" w:hAnsi="Verdana" w:cs="Arial"/>
          <w:color w:val="000000"/>
          <w:sz w:val="20"/>
          <w:szCs w:val="20"/>
          <w:lang w:val="es-ES" w:eastAsia="es-ES"/>
        </w:rPr>
      </w:pPr>
      <w:r w:rsidRPr="00F2577C">
        <w:rPr>
          <w:rFonts w:ascii="Verdana" w:eastAsia="Calibri" w:hAnsi="Verdana" w:cs="Arial"/>
          <w:color w:val="000000"/>
          <w:sz w:val="20"/>
          <w:szCs w:val="20"/>
          <w:lang w:val="es-ES" w:eastAsia="es-ES"/>
        </w:rPr>
        <w:t>2. Resulta viable, desde el punto de vista jurídico, modificar una cláusula contractual relacionada con la fuente de financiación del anticipo, sustituyendo el 30% del valor contractual originalmente distribuido en dos fuentes, por una sola fuente (SGR), sin que ello implique transgresión del principio de planeación ni del principio de legalidad del gasto?</w:t>
      </w:r>
    </w:p>
    <w:p w14:paraId="3CAA6FAD" w14:textId="77777777" w:rsidR="00DB2443" w:rsidRPr="00F2577C" w:rsidRDefault="00DB2443" w:rsidP="00DB2443">
      <w:pPr>
        <w:spacing w:after="0" w:line="240" w:lineRule="auto"/>
        <w:ind w:left="709" w:right="709"/>
        <w:jc w:val="both"/>
        <w:rPr>
          <w:rFonts w:ascii="Verdana" w:eastAsia="Calibri" w:hAnsi="Verdana" w:cs="Arial"/>
          <w:color w:val="000000"/>
          <w:sz w:val="20"/>
          <w:szCs w:val="20"/>
          <w:lang w:val="es-ES" w:eastAsia="es-ES"/>
        </w:rPr>
      </w:pPr>
      <w:r w:rsidRPr="00F2577C">
        <w:rPr>
          <w:rFonts w:ascii="Verdana" w:eastAsia="Calibri" w:hAnsi="Verdana" w:cs="Arial"/>
          <w:color w:val="000000"/>
          <w:sz w:val="20"/>
          <w:szCs w:val="20"/>
          <w:lang w:val="es-ES" w:eastAsia="es-ES"/>
        </w:rPr>
        <w:t>3. Existe doctrina institucional por parte de esa Agencia sobre el tratamiento contractual de hechos sobrevinientes que afectan condiciones pactadas en la etapa precontractual, en especial en lo relativo a anticipos o fuentes de financiación condicionadas?”.</w:t>
      </w:r>
    </w:p>
    <w:p w14:paraId="718B1B8F" w14:textId="77777777" w:rsidR="00DB2443" w:rsidRDefault="00DB2443" w:rsidP="00DB2443">
      <w:pPr>
        <w:spacing w:after="0" w:line="276" w:lineRule="auto"/>
        <w:jc w:val="both"/>
        <w:rPr>
          <w:rFonts w:ascii="Verdana" w:eastAsia="Calibri" w:hAnsi="Verdana" w:cs="Arial"/>
          <w:color w:val="000000"/>
          <w:lang w:val="es-ES" w:eastAsia="es-ES"/>
        </w:rPr>
      </w:pPr>
    </w:p>
    <w:p w14:paraId="00AD2361" w14:textId="77777777" w:rsidR="00DB2443" w:rsidRPr="00A652FF" w:rsidRDefault="00DB2443" w:rsidP="00DB2443">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w:t>
      </w:r>
      <w:r w:rsidRPr="00593A5F">
        <w:rPr>
          <w:rFonts w:ascii="Verdana" w:eastAsia="Calibri" w:hAnsi="Verdana" w:cs="Arial"/>
          <w:color w:val="000000"/>
          <w:lang w:val="es-ES" w:eastAsia="es-ES"/>
        </w:rPr>
        <w:lastRenderedPageBreak/>
        <w:t xml:space="preserve">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0D32FF68" w14:textId="77777777" w:rsidR="00DB2443" w:rsidRDefault="00DB2443" w:rsidP="00DB2443">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787CF0FA" w14:textId="77777777" w:rsidR="00DB2443" w:rsidRPr="00593A5F" w:rsidRDefault="00DB2443" w:rsidP="00DB2443">
      <w:pPr>
        <w:spacing w:after="0" w:line="276" w:lineRule="auto"/>
        <w:ind w:firstLine="709"/>
        <w:jc w:val="both"/>
        <w:rPr>
          <w:rFonts w:ascii="Verdana" w:eastAsia="Calibri" w:hAnsi="Verdana" w:cs="Arial"/>
          <w:color w:val="000000"/>
          <w:lang w:val="es-ES" w:eastAsia="es-ES"/>
        </w:rPr>
      </w:pPr>
    </w:p>
    <w:p w14:paraId="6C359500" w14:textId="77777777" w:rsidR="00DB2443" w:rsidRPr="00593A5F" w:rsidRDefault="00DB2443" w:rsidP="00DB2443">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s</w:t>
      </w:r>
      <w:r w:rsidRPr="00593A5F">
        <w:rPr>
          <w:rFonts w:ascii="Verdana" w:eastAsia="Century Gothic" w:hAnsi="Verdana" w:cs="Century Gothic"/>
          <w:b/>
          <w:bCs/>
        </w:rPr>
        <w:t xml:space="preserve"> planteado</w:t>
      </w:r>
      <w:r>
        <w:rPr>
          <w:rFonts w:ascii="Verdana" w:eastAsia="Century Gothic" w:hAnsi="Verdana" w:cs="Century Gothic"/>
          <w:b/>
          <w:bCs/>
        </w:rPr>
        <w:t>s</w:t>
      </w:r>
    </w:p>
    <w:p w14:paraId="5EA211EA" w14:textId="77777777" w:rsidR="00DB2443" w:rsidRPr="00593A5F" w:rsidRDefault="00DB2443" w:rsidP="00DB2443">
      <w:pPr>
        <w:tabs>
          <w:tab w:val="left" w:pos="426"/>
        </w:tabs>
        <w:spacing w:after="0" w:line="276" w:lineRule="auto"/>
        <w:jc w:val="both"/>
        <w:rPr>
          <w:rFonts w:ascii="Verdana" w:eastAsia="Century Gothic" w:hAnsi="Verdana" w:cs="Century Gothic"/>
          <w:lang w:val="es-ES"/>
        </w:rPr>
      </w:pPr>
    </w:p>
    <w:p w14:paraId="0A963406" w14:textId="5FA00A2C" w:rsidR="00DB2443" w:rsidRPr="00593A5F" w:rsidRDefault="00DB2443" w:rsidP="00DB2443">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los</w:t>
      </w:r>
      <w:r w:rsidRPr="00906BE9">
        <w:rPr>
          <w:rFonts w:ascii="Verdana" w:eastAsia="Century Gothic" w:hAnsi="Verdana" w:cs="Century Gothic"/>
        </w:rPr>
        <w:t xml:space="preserve"> siguiente</w:t>
      </w:r>
      <w:r>
        <w:rPr>
          <w:rFonts w:ascii="Verdana" w:eastAsia="Century Gothic" w:hAnsi="Verdana" w:cs="Century Gothic"/>
        </w:rPr>
        <w:t xml:space="preserve">s </w:t>
      </w:r>
      <w:r w:rsidRPr="00906BE9">
        <w:rPr>
          <w:rFonts w:ascii="Verdana" w:eastAsia="Century Gothic" w:hAnsi="Verdana" w:cs="Century Gothic"/>
        </w:rPr>
        <w:t>problema</w:t>
      </w:r>
      <w:r>
        <w:rPr>
          <w:rFonts w:ascii="Verdana" w:eastAsia="Century Gothic" w:hAnsi="Verdana" w:cs="Century Gothic"/>
        </w:rPr>
        <w:t>s</w:t>
      </w:r>
      <w:r w:rsidRPr="00906BE9">
        <w:rPr>
          <w:rFonts w:ascii="Verdana" w:eastAsia="Century Gothic" w:hAnsi="Verdana" w:cs="Century Gothic"/>
        </w:rPr>
        <w:t xml:space="preserve"> jurídico</w:t>
      </w:r>
      <w:r>
        <w:rPr>
          <w:rFonts w:ascii="Verdana" w:eastAsia="Century Gothic" w:hAnsi="Verdana" w:cs="Century Gothic"/>
        </w:rPr>
        <w:t>s</w:t>
      </w:r>
      <w:r w:rsidRPr="00906BE9">
        <w:rPr>
          <w:rFonts w:ascii="Verdana" w:eastAsia="Century Gothic" w:hAnsi="Verdana" w:cs="Century Gothic"/>
        </w:rPr>
        <w:t>:</w:t>
      </w:r>
      <w:r>
        <w:rPr>
          <w:rFonts w:ascii="Verdana" w:eastAsia="Century Gothic" w:hAnsi="Verdana" w:cs="Century Gothic"/>
        </w:rPr>
        <w:t xml:space="preserve"> i) ¿el anticipo pactado en el contrato es un derecho del contratista? y </w:t>
      </w:r>
      <w:proofErr w:type="spellStart"/>
      <w:r>
        <w:rPr>
          <w:rFonts w:ascii="Verdana" w:eastAsia="Century Gothic" w:hAnsi="Verdana" w:cs="Century Gothic"/>
        </w:rPr>
        <w:t>ii</w:t>
      </w:r>
      <w:proofErr w:type="spellEnd"/>
      <w:r>
        <w:rPr>
          <w:rFonts w:ascii="Verdana" w:eastAsia="Century Gothic" w:hAnsi="Verdana" w:cs="Century Gothic"/>
        </w:rPr>
        <w:t>) ¿en qué casos y mediante qué mecanismos procede el restablecimiento de la ecuación económica contractual?</w:t>
      </w:r>
    </w:p>
    <w:p w14:paraId="3F5680E1" w14:textId="77777777" w:rsidR="00DB2443" w:rsidRPr="004B140F" w:rsidRDefault="00DB2443" w:rsidP="00DB2443">
      <w:pPr>
        <w:spacing w:after="0" w:line="276" w:lineRule="auto"/>
        <w:jc w:val="both"/>
        <w:rPr>
          <w:rFonts w:ascii="Verdana" w:eastAsia="Calibri" w:hAnsi="Verdana" w:cs="Arial"/>
          <w:color w:val="7030A0"/>
        </w:rPr>
      </w:pPr>
    </w:p>
    <w:p w14:paraId="749B0224" w14:textId="77777777" w:rsidR="00DB2443" w:rsidRPr="00593A5F" w:rsidRDefault="00DB2443" w:rsidP="00DB244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r>
        <w:rPr>
          <w:rFonts w:ascii="Verdana" w:eastAsia="Century Gothic" w:hAnsi="Verdana" w:cs="Century Gothic"/>
          <w:b/>
          <w:bCs/>
        </w:rPr>
        <w:t>s</w:t>
      </w:r>
      <w:r w:rsidRPr="00593A5F">
        <w:rPr>
          <w:rFonts w:ascii="Verdana" w:eastAsia="Century Gothic" w:hAnsi="Verdana" w:cs="Century Gothic"/>
          <w:b/>
          <w:bCs/>
        </w:rPr>
        <w:t>:</w:t>
      </w:r>
    </w:p>
    <w:p w14:paraId="79AE0713" w14:textId="77777777" w:rsidR="00DB2443" w:rsidRPr="00593A5F" w:rsidRDefault="00DB2443" w:rsidP="00DB2443">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DB2443" w:rsidRPr="00593A5F" w14:paraId="34D8002A" w14:textId="77777777" w:rsidTr="003B43F3">
        <w:trPr>
          <w:jc w:val="center"/>
        </w:trPr>
        <w:tc>
          <w:tcPr>
            <w:tcW w:w="8828" w:type="dxa"/>
          </w:tcPr>
          <w:p w14:paraId="2452689A" w14:textId="32E2BD75" w:rsidR="00DB2443" w:rsidRDefault="00DB2443" w:rsidP="003B43F3">
            <w:pPr>
              <w:pStyle w:val="Textoindependiente"/>
              <w:spacing w:after="120" w:line="276" w:lineRule="auto"/>
              <w:jc w:val="both"/>
              <w:rPr>
                <w:rFonts w:eastAsia="Arial" w:cs="Arial"/>
                <w:color w:val="000000" w:themeColor="text1"/>
              </w:rPr>
            </w:pPr>
            <w:bookmarkStart w:id="1" w:name="_Hlk171694685"/>
            <w:r>
              <w:rPr>
                <w:rFonts w:eastAsia="Arial" w:cs="Arial"/>
                <w:color w:val="000000" w:themeColor="text1"/>
              </w:rPr>
              <w:t xml:space="preserve">Conforme a la interpretación general de las normas del sistema de compras públicas, </w:t>
            </w:r>
            <w:r w:rsidRPr="00326D28">
              <w:rPr>
                <w:rFonts w:eastAsia="Calibri" w:cs="Arial"/>
                <w:color w:val="000000" w:themeColor="text1"/>
              </w:rPr>
              <w:t xml:space="preserve">el anticipo es </w:t>
            </w:r>
            <w:r w:rsidRPr="00326D28">
              <w:rPr>
                <w:rFonts w:eastAsia="Calibri" w:cs="Arial"/>
              </w:rPr>
              <w:t xml:space="preserve">aquella suma de dinero entregada al contratista con la finalidad de apalancarlo financieramente para solventar los costos iniciales de la ejecución del contrato. Este dinero debe amortizarse de acuerdo </w:t>
            </w:r>
            <w:r w:rsidR="00FC1010" w:rsidRPr="00326D28">
              <w:rPr>
                <w:rFonts w:eastAsia="Calibri" w:cs="Arial"/>
              </w:rPr>
              <w:t>con el</w:t>
            </w:r>
            <w:r w:rsidRPr="00326D28">
              <w:rPr>
                <w:rFonts w:eastAsia="Calibri" w:cs="Arial"/>
              </w:rPr>
              <w:t xml:space="preserve"> avance en la ejecución. De esta forma, los recursos entregados a título de anticipo son del erario, razón por la que debe garantizarse su buen manejo y correcta inversión</w:t>
            </w:r>
          </w:p>
          <w:p w14:paraId="0883A9CD" w14:textId="77777777" w:rsidR="00DB2443" w:rsidRDefault="00DB2443" w:rsidP="003B43F3">
            <w:pPr>
              <w:pStyle w:val="Textoindependiente"/>
              <w:spacing w:after="120" w:line="276" w:lineRule="auto"/>
              <w:ind w:firstLine="737"/>
              <w:jc w:val="both"/>
              <w:rPr>
                <w:rFonts w:eastAsia="Calibri" w:cs="Arial"/>
                <w:color w:val="000000" w:themeColor="text1"/>
              </w:rPr>
            </w:pPr>
            <w:r w:rsidRPr="00326D28">
              <w:rPr>
                <w:rFonts w:eastAsia="Calibri" w:cs="Arial"/>
                <w:color w:val="000000" w:themeColor="text1"/>
              </w:rPr>
              <w:t xml:space="preserve">Como característica esencial del anticipo, derivada del artículo 40 de la Ley 80 de 1993, el pacto proviene de la autonomía de la voluntad de las partes. De allí que se generen una serie de derechos y obligaciones recíprocos entre ellas. Por un lado, el contratante tiene la obligación de entregar el valor pactado como anticipo y el derecho a que los recursos sean empleados en la </w:t>
            </w:r>
            <w:r w:rsidRPr="00326D28">
              <w:rPr>
                <w:rFonts w:eastAsia="Calibri" w:cs="Arial"/>
                <w:color w:val="000000" w:themeColor="text1"/>
              </w:rPr>
              <w:lastRenderedPageBreak/>
              <w:t>forma estipulada. Por otro lado, el contratista tiene derecho a recibir dicho anticipo y la obligación de destinarlo a la ejecución del contrato.</w:t>
            </w:r>
          </w:p>
          <w:p w14:paraId="3E15C662" w14:textId="77777777" w:rsidR="00DB2443" w:rsidRDefault="00DB2443" w:rsidP="003B43F3">
            <w:pPr>
              <w:pStyle w:val="Textoindependiente"/>
              <w:spacing w:after="120" w:line="276" w:lineRule="auto"/>
              <w:ind w:firstLine="737"/>
              <w:jc w:val="both"/>
              <w:rPr>
                <w:rFonts w:eastAsia="Arial" w:cs="Arial"/>
                <w:color w:val="000000" w:themeColor="text1"/>
                <w:lang w:eastAsia="es-ES" w:bidi="es-ES"/>
              </w:rPr>
            </w:pPr>
            <w:r>
              <w:rPr>
                <w:rFonts w:eastAsia="Calibri" w:cs="Arial"/>
                <w:color w:val="000000" w:themeColor="text1"/>
              </w:rPr>
              <w:t>Por lo demás, el equilibro económico del contrato por las siguientes causas: i) a</w:t>
            </w:r>
            <w:r w:rsidRPr="0009664C">
              <w:rPr>
                <w:rFonts w:eastAsia="Calibri" w:cs="Arial"/>
                <w:color w:val="000000" w:themeColor="text1"/>
              </w:rPr>
              <w:t>ctos de la entidad administrativa contratante</w:t>
            </w:r>
            <w:r>
              <w:rPr>
                <w:rFonts w:eastAsia="Calibri" w:cs="Arial"/>
                <w:color w:val="000000" w:themeColor="text1"/>
              </w:rPr>
              <w:t xml:space="preserve"> –incumplimiento o ejercicio de </w:t>
            </w:r>
            <w:r w:rsidRPr="0009664C">
              <w:rPr>
                <w:rFonts w:eastAsia="Calibri" w:cs="Arial"/>
                <w:i/>
                <w:iCs/>
                <w:color w:val="000000" w:themeColor="text1"/>
              </w:rPr>
              <w:t>ius variandi</w:t>
            </w:r>
            <w:r>
              <w:rPr>
                <w:rFonts w:eastAsia="Calibri" w:cs="Arial"/>
                <w:color w:val="000000" w:themeColor="text1"/>
              </w:rPr>
              <w:t xml:space="preserve">–, </w:t>
            </w:r>
            <w:proofErr w:type="spellStart"/>
            <w:r>
              <w:rPr>
                <w:rFonts w:eastAsia="Calibri" w:cs="Arial"/>
                <w:color w:val="000000" w:themeColor="text1"/>
              </w:rPr>
              <w:t>ii</w:t>
            </w:r>
            <w:proofErr w:type="spellEnd"/>
            <w:r>
              <w:rPr>
                <w:rFonts w:eastAsia="Calibri" w:cs="Arial"/>
                <w:color w:val="000000" w:themeColor="text1"/>
              </w:rPr>
              <w:t>) a</w:t>
            </w:r>
            <w:r w:rsidRPr="0009664C">
              <w:rPr>
                <w:rFonts w:eastAsia="Calibri" w:cs="Arial"/>
                <w:color w:val="000000" w:themeColor="text1"/>
              </w:rPr>
              <w:t>ctos generales de la administración como Estado</w:t>
            </w:r>
            <w:r>
              <w:rPr>
                <w:rFonts w:eastAsia="Calibri" w:cs="Arial"/>
                <w:color w:val="000000" w:themeColor="text1"/>
              </w:rPr>
              <w:t xml:space="preserve"> –hecho del príncipe– o </w:t>
            </w:r>
            <w:proofErr w:type="spellStart"/>
            <w:r>
              <w:rPr>
                <w:rFonts w:eastAsia="Calibri" w:cs="Arial"/>
                <w:color w:val="000000" w:themeColor="text1"/>
              </w:rPr>
              <w:t>iii</w:t>
            </w:r>
            <w:proofErr w:type="spellEnd"/>
            <w:r>
              <w:rPr>
                <w:rFonts w:eastAsia="Calibri" w:cs="Arial"/>
                <w:color w:val="000000" w:themeColor="text1"/>
              </w:rPr>
              <w:t xml:space="preserve">) </w:t>
            </w:r>
            <w:r w:rsidRPr="0009664C">
              <w:rPr>
                <w:rFonts w:eastAsia="Calibri" w:cs="Arial"/>
                <w:color w:val="000000" w:themeColor="text1"/>
              </w:rPr>
              <w:t>circunstancias no imputables al Estado y externas al contrato, pero con incidencia en él</w:t>
            </w:r>
            <w:r>
              <w:rPr>
                <w:rFonts w:eastAsia="Calibri" w:cs="Arial"/>
                <w:color w:val="000000" w:themeColor="text1"/>
              </w:rPr>
              <w:t xml:space="preserve"> –teoría de la imprevisión–</w:t>
            </w:r>
            <w:r>
              <w:rPr>
                <w:rFonts w:eastAsia="Arial" w:cs="Arial"/>
                <w:color w:val="000000" w:themeColor="text1"/>
                <w:lang w:eastAsia="es-ES" w:bidi="es-ES"/>
              </w:rPr>
              <w:t xml:space="preserve">. </w:t>
            </w:r>
            <w:r w:rsidRPr="00E97A27">
              <w:rPr>
                <w:rFonts w:eastAsia="Arial" w:cs="Arial"/>
                <w:color w:val="000000" w:themeColor="text1"/>
                <w:lang w:eastAsia="es-ES" w:bidi="es-ES"/>
              </w:rPr>
              <w:t>En lo que atañe a la procedencia del restablecimiento, la jurisprudencia ha señalado que para estos efectos es imperativo la prueba del menoscabo, demostrar que este es grave y que además no corresponde a un riesgo propio de la actividad que deba ser asumido por una de las partes contractuales</w:t>
            </w:r>
            <w:r>
              <w:rPr>
                <w:rFonts w:eastAsia="Arial" w:cs="Arial"/>
                <w:color w:val="000000" w:themeColor="text1"/>
                <w:lang w:eastAsia="es-ES" w:bidi="es-ES"/>
              </w:rPr>
              <w:t>.</w:t>
            </w:r>
          </w:p>
          <w:p w14:paraId="64687E2F" w14:textId="77777777" w:rsidR="00DB2443" w:rsidRDefault="00DB2443" w:rsidP="003B43F3">
            <w:pPr>
              <w:pStyle w:val="Textoindependiente"/>
              <w:spacing w:after="120" w:line="276" w:lineRule="auto"/>
              <w:ind w:firstLine="737"/>
              <w:jc w:val="both"/>
              <w:rPr>
                <w:rFonts w:eastAsia="Arial" w:cs="Arial"/>
                <w:color w:val="000000" w:themeColor="text1"/>
                <w:lang w:eastAsia="es-ES" w:bidi="es-ES"/>
              </w:rPr>
            </w:pPr>
            <w:r>
              <w:rPr>
                <w:rFonts w:eastAsia="Arial" w:cs="Arial"/>
                <w:color w:val="000000" w:themeColor="text1"/>
                <w:lang w:eastAsia="es-ES" w:bidi="es-ES"/>
              </w:rPr>
              <w:t>M</w:t>
            </w:r>
            <w:r w:rsidRPr="00E97A27">
              <w:rPr>
                <w:rFonts w:eastAsia="Arial" w:cs="Arial"/>
                <w:color w:val="000000" w:themeColor="text1"/>
                <w:lang w:eastAsia="es-ES" w:bidi="es-ES"/>
              </w:rPr>
              <w:t>ás allá de las distintas posturas que se han generado al interior del Consejo de Estado en torno a la oportunidad de la reclamación del restablecimiento del equilibrio económico del contrato, lo relevante es que este restablecimiento podrá realizarlo directamente la Administración durante la ejecución del contrato adoptando las medidas necesarias que aseguren la efectividad de los pagos y reconocimientos al contratista que haya lugar. Estas medidas podrán materializarse a través de los distintos acuerdos que suscriban las partes como prórrogas, adiciones, otrosíes o cualquier acuerdo modificatorio que se considere necesarios para solventar el desequilibrio del contrato de acuerdo con las particularidades de cada caso. Igualmente, podrá efectuarse dicho reconocimiento por parte del juez mediante el ejercicio de la acción judicial correspondiente.</w:t>
            </w:r>
          </w:p>
          <w:p w14:paraId="17BDB016" w14:textId="77777777" w:rsidR="00DB2443" w:rsidRDefault="00DB2443" w:rsidP="003B43F3">
            <w:pPr>
              <w:pStyle w:val="Textoindependiente"/>
              <w:spacing w:after="120" w:line="276" w:lineRule="auto"/>
              <w:ind w:firstLine="737"/>
              <w:jc w:val="both"/>
              <w:rPr>
                <w:rFonts w:eastAsia="Arial" w:cs="Arial"/>
                <w:color w:val="000000" w:themeColor="text1"/>
              </w:rPr>
            </w:pPr>
            <w:r>
              <w:rPr>
                <w:rFonts w:eastAsia="Arial" w:cs="Arial"/>
                <w:color w:val="000000" w:themeColor="text1"/>
                <w:lang w:eastAsia="es-ES" w:bidi="es-ES"/>
              </w:rPr>
              <w:t>L</w:t>
            </w:r>
            <w:r w:rsidRPr="00E97A27">
              <w:rPr>
                <w:rFonts w:eastAsia="Arial" w:cs="Arial"/>
                <w:color w:val="000000" w:themeColor="text1"/>
                <w:lang w:eastAsia="es-ES" w:bidi="es-ES"/>
              </w:rPr>
              <w:t>a jurisprudencia resalta que la posibilidad de modificar los contratos estatales es una especial forma de hacer prevalecer la finalidad de este, en particular en aquellos contratos de largo plazo, como el de obra, en los que es difícil prever todas las contingencias que puedan afectar su ejecución. De esta manera, la Administración podrá variar, dadas ciertas condiciones, algunos aspectos del contrato cuando sea necesario para el cumplimiento del objeto y de los fines generales del Estado, por lo que</w:t>
            </w:r>
            <w:r w:rsidRPr="00E97A27">
              <w:rPr>
                <w:rFonts w:eastAsia="Arial" w:cs="Arial"/>
                <w:lang w:eastAsia="es-ES" w:bidi="es-ES"/>
              </w:rPr>
              <w:t xml:space="preserve"> es </w:t>
            </w:r>
            <w:r w:rsidRPr="00200CC7">
              <w:rPr>
                <w:rFonts w:eastAsia="Arial" w:cs="Arial"/>
                <w:i/>
                <w:color w:val="000000" w:themeColor="text1"/>
                <w:lang w:val="es-MX" w:eastAsia="es-ES" w:bidi="es-ES"/>
              </w:rPr>
              <w:t>“</w:t>
            </w:r>
            <w:r w:rsidRPr="00200CC7">
              <w:rPr>
                <w:rFonts w:eastAsia="Arial" w:cs="Arial"/>
                <w:i/>
                <w:lang w:eastAsia="es-ES" w:bidi="es-ES"/>
              </w:rPr>
              <w:t>preciso entonces el diseño de reglas que permitan la adaptación y la resolución pacífica de las controversias para evitar el fracaso</w:t>
            </w:r>
            <w:r w:rsidRPr="00200CC7">
              <w:rPr>
                <w:rFonts w:eastAsia="Arial" w:cs="Arial"/>
                <w:i/>
                <w:color w:val="000000" w:themeColor="text1"/>
                <w:lang w:val="es-MX" w:eastAsia="es-ES" w:bidi="es-ES"/>
              </w:rPr>
              <w:t>”.</w:t>
            </w:r>
          </w:p>
          <w:p w14:paraId="6318FBC1" w14:textId="77777777" w:rsidR="00DB2443" w:rsidRDefault="00DB2443" w:rsidP="003B43F3">
            <w:pPr>
              <w:spacing w:after="120" w:line="276" w:lineRule="auto"/>
              <w:ind w:right="51" w:firstLine="737"/>
              <w:jc w:val="both"/>
              <w:rPr>
                <w:rFonts w:ascii="Verdana" w:hAnsi="Verdana"/>
                <w:color w:val="000000"/>
              </w:rPr>
            </w:pPr>
            <w:r w:rsidRPr="006A39AF">
              <w:rPr>
                <w:rFonts w:ascii="Verdana" w:hAnsi="Verdana"/>
                <w:color w:val="000000"/>
              </w:rPr>
              <w:t xml:space="preserve">Al margen de la explicación precedente debe advertirse que el análisis requerido para resolver problemas específicos en torno a los reconocimientos económicos derivados del desequilibrio en el contrato debe ser realizado por </w:t>
            </w:r>
            <w:r w:rsidRPr="006A39AF">
              <w:rPr>
                <w:rFonts w:ascii="Verdana" w:hAnsi="Verdana"/>
                <w:color w:val="000000"/>
              </w:rPr>
              <w:lastRenderedPageBreak/>
              <w:t>quienes tengan interés en ello, de acuerdo con lo explicado la aclaración preliminar del presente oficio. </w:t>
            </w:r>
            <w:r w:rsidRPr="00301910">
              <w:rPr>
                <w:rFonts w:ascii="Verdana" w:hAnsi="Verdana" w:cs="Arial"/>
                <w:lang w:eastAsia="es-ES"/>
              </w:rPr>
              <w:t>Dentro de este marco, la entidad contratante definirá en cada caso concreto lo</w:t>
            </w:r>
            <w:r>
              <w:rPr>
                <w:rFonts w:ascii="Verdana" w:hAnsi="Verdana" w:cs="Arial"/>
                <w:lang w:eastAsia="es-ES"/>
              </w:rPr>
              <w:t xml:space="preserve"> </w:t>
            </w:r>
            <w:r w:rsidRPr="00301910">
              <w:rPr>
                <w:rFonts w:ascii="Verdana" w:hAnsi="Verdana" w:cs="Arial"/>
                <w:lang w:eastAsia="es-ES"/>
              </w:rPr>
              <w:t xml:space="preserve">relacionado </w:t>
            </w:r>
            <w:r>
              <w:rPr>
                <w:rFonts w:ascii="Verdana" w:hAnsi="Verdana" w:cs="Arial"/>
                <w:lang w:eastAsia="es-ES"/>
              </w:rPr>
              <w:t>con las situaciones susceptibles de calificarse como “imposibilidad sobreviniente”, así como el impacto de las modificaciones sobre el principio de planeación y legalidad del gasto</w:t>
            </w:r>
            <w:r w:rsidRPr="00301910">
              <w:rPr>
                <w:rFonts w:ascii="Verdana" w:hAnsi="Verdana" w:cs="Arial"/>
                <w:lang w:eastAsia="es-ES"/>
              </w:rPr>
              <w:t>.</w:t>
            </w:r>
            <w:r>
              <w:rPr>
                <w:rFonts w:ascii="Verdana" w:hAnsi="Verdana" w:cs="Arial"/>
                <w:lang w:eastAsia="es-ES"/>
              </w:rPr>
              <w:t xml:space="preserve"> </w:t>
            </w:r>
            <w:r w:rsidRPr="006A39AF">
              <w:rPr>
                <w:rFonts w:ascii="Verdana" w:hAnsi="Verdana"/>
                <w:color w:val="000000"/>
              </w:rPr>
              <w:t>Por lo anterior,</w:t>
            </w:r>
            <w:r>
              <w:rPr>
                <w:rFonts w:ascii="Verdana" w:hAnsi="Verdana"/>
                <w:color w:val="000000"/>
              </w:rPr>
              <w:t xml:space="preserve"> </w:t>
            </w:r>
            <w:r w:rsidRPr="006A39AF">
              <w:rPr>
                <w:rFonts w:ascii="Verdana" w:hAnsi="Verdana"/>
                <w:color w:val="000000"/>
              </w:rPr>
              <w:t>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p w14:paraId="507F0B0E" w14:textId="77777777" w:rsidR="00DB2443" w:rsidRPr="001941FD" w:rsidRDefault="00DB2443" w:rsidP="003B43F3">
            <w:pPr>
              <w:spacing w:line="276" w:lineRule="auto"/>
              <w:ind w:right="51" w:firstLine="737"/>
              <w:jc w:val="both"/>
              <w:rPr>
                <w:rFonts w:ascii="Verdana" w:eastAsia="Calibri" w:hAnsi="Verdana" w:cs="Arial"/>
                <w:bCs/>
                <w:color w:val="000000" w:themeColor="text1"/>
              </w:rPr>
            </w:pPr>
            <w:r>
              <w:rPr>
                <w:rFonts w:ascii="Verdana" w:eastAsia="Calibri" w:hAnsi="Verdana" w:cs="Arial"/>
                <w:bCs/>
                <w:color w:val="000000" w:themeColor="text1"/>
              </w:rPr>
              <w:t>Por las mismas razones, tampoco existen conceptos de la ANCP – CCE</w:t>
            </w:r>
            <w:r w:rsidRPr="00550DC3">
              <w:rPr>
                <w:rFonts w:ascii="Verdana" w:eastAsia="Calibri" w:hAnsi="Verdana" w:cs="Arial"/>
                <w:bCs/>
                <w:color w:val="000000" w:themeColor="text1"/>
              </w:rPr>
              <w:t xml:space="preserve"> sobre el tratamiento contractual de hechos sobrevinientes que afectan condiciones pactadas en la etapa precontractual, </w:t>
            </w:r>
            <w:r>
              <w:rPr>
                <w:rFonts w:ascii="Verdana" w:eastAsia="Calibri" w:hAnsi="Verdana" w:cs="Arial"/>
                <w:bCs/>
                <w:color w:val="000000" w:themeColor="text1"/>
              </w:rPr>
              <w:t>especialmente,</w:t>
            </w:r>
            <w:r w:rsidRPr="00550DC3">
              <w:rPr>
                <w:rFonts w:ascii="Verdana" w:eastAsia="Calibri" w:hAnsi="Verdana" w:cs="Arial"/>
                <w:bCs/>
                <w:color w:val="000000" w:themeColor="text1"/>
              </w:rPr>
              <w:t xml:space="preserve"> en lo </w:t>
            </w:r>
            <w:r>
              <w:rPr>
                <w:rFonts w:ascii="Verdana" w:eastAsia="Calibri" w:hAnsi="Verdana" w:cs="Arial"/>
                <w:bCs/>
                <w:color w:val="000000" w:themeColor="text1"/>
              </w:rPr>
              <w:t>relacionado</w:t>
            </w:r>
            <w:r w:rsidRPr="00550DC3">
              <w:rPr>
                <w:rFonts w:ascii="Verdana" w:eastAsia="Calibri" w:hAnsi="Verdana" w:cs="Arial"/>
                <w:bCs/>
                <w:color w:val="000000" w:themeColor="text1"/>
              </w:rPr>
              <w:t xml:space="preserve"> </w:t>
            </w:r>
            <w:r>
              <w:rPr>
                <w:rFonts w:ascii="Verdana" w:eastAsia="Calibri" w:hAnsi="Verdana" w:cs="Arial"/>
                <w:bCs/>
                <w:color w:val="000000" w:themeColor="text1"/>
              </w:rPr>
              <w:t>con los</w:t>
            </w:r>
            <w:r w:rsidRPr="00550DC3">
              <w:rPr>
                <w:rFonts w:ascii="Verdana" w:eastAsia="Calibri" w:hAnsi="Verdana" w:cs="Arial"/>
                <w:bCs/>
                <w:color w:val="000000" w:themeColor="text1"/>
              </w:rPr>
              <w:t xml:space="preserve"> anticipos o fuentes de financiación condicionadas</w:t>
            </w:r>
            <w:r>
              <w:rPr>
                <w:rFonts w:ascii="Verdana" w:eastAsia="Calibri" w:hAnsi="Verdana" w:cs="Arial"/>
                <w:bCs/>
                <w:color w:val="000000" w:themeColor="text1"/>
              </w:rPr>
              <w:t xml:space="preserve">.  </w:t>
            </w:r>
          </w:p>
        </w:tc>
      </w:tr>
    </w:tbl>
    <w:p w14:paraId="5D8B0A32" w14:textId="77777777" w:rsidR="00DB2443" w:rsidRPr="00593A5F" w:rsidRDefault="00DB2443" w:rsidP="00DB2443">
      <w:pPr>
        <w:tabs>
          <w:tab w:val="left" w:pos="142"/>
          <w:tab w:val="left" w:pos="284"/>
        </w:tabs>
        <w:spacing w:after="0" w:line="276" w:lineRule="auto"/>
        <w:jc w:val="both"/>
        <w:rPr>
          <w:rFonts w:ascii="Verdana" w:eastAsia="Century Gothic" w:hAnsi="Verdana" w:cs="Century Gothic"/>
          <w:b/>
          <w:bCs/>
          <w:lang w:val="es-ES"/>
        </w:rPr>
      </w:pPr>
    </w:p>
    <w:bookmarkEnd w:id="1"/>
    <w:p w14:paraId="3A13102F" w14:textId="77777777" w:rsidR="00DB2443" w:rsidRPr="00593A5F" w:rsidRDefault="00DB2443" w:rsidP="00DB244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w:t>
      </w:r>
      <w:r>
        <w:rPr>
          <w:rFonts w:ascii="Verdana" w:eastAsia="Century Gothic" w:hAnsi="Verdana" w:cs="Century Gothic"/>
          <w:b/>
          <w:bCs/>
        </w:rPr>
        <w:t>s</w:t>
      </w:r>
      <w:r w:rsidRPr="00593A5F">
        <w:rPr>
          <w:rFonts w:ascii="Verdana" w:eastAsia="Century Gothic" w:hAnsi="Verdana" w:cs="Century Gothic"/>
          <w:b/>
          <w:bCs/>
        </w:rPr>
        <w:t xml:space="preserve"> respuesta</w:t>
      </w:r>
      <w:r>
        <w:rPr>
          <w:rFonts w:ascii="Verdana" w:eastAsia="Century Gothic" w:hAnsi="Verdana" w:cs="Century Gothic"/>
          <w:b/>
          <w:bCs/>
        </w:rPr>
        <w:t>s</w:t>
      </w:r>
      <w:r w:rsidRPr="00593A5F">
        <w:rPr>
          <w:rFonts w:ascii="Verdana" w:eastAsia="Century Gothic" w:hAnsi="Verdana" w:cs="Century Gothic"/>
          <w:b/>
          <w:bCs/>
        </w:rPr>
        <w:t>:</w:t>
      </w:r>
    </w:p>
    <w:p w14:paraId="0860A3C2" w14:textId="77777777" w:rsidR="00DB2443" w:rsidRPr="00593A5F" w:rsidRDefault="00DB2443" w:rsidP="00DB2443">
      <w:pPr>
        <w:spacing w:after="0" w:line="276" w:lineRule="auto"/>
        <w:jc w:val="both"/>
        <w:rPr>
          <w:rFonts w:ascii="Verdana" w:eastAsia="Calibri" w:hAnsi="Verdana" w:cs="Arial"/>
          <w:color w:val="7030A0"/>
          <w:lang w:val="es-ES"/>
        </w:rPr>
      </w:pPr>
    </w:p>
    <w:p w14:paraId="7E77044B" w14:textId="77777777" w:rsidR="00DB2443" w:rsidRDefault="00DB2443" w:rsidP="00DB2443">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36ECA1A4" w14:textId="77777777" w:rsidR="00DB2443" w:rsidRDefault="00DB2443" w:rsidP="00DB2443">
      <w:pPr>
        <w:spacing w:after="0" w:line="276" w:lineRule="auto"/>
        <w:jc w:val="both"/>
        <w:rPr>
          <w:rFonts w:ascii="Verdana" w:eastAsia="Calibri" w:hAnsi="Verdana" w:cs="Arial"/>
          <w:lang w:val="es-ES"/>
        </w:rPr>
      </w:pPr>
    </w:p>
    <w:p w14:paraId="2F01D5BD" w14:textId="77777777" w:rsidR="00DB2443" w:rsidRPr="00326D28" w:rsidRDefault="00DB2443" w:rsidP="00DB2443">
      <w:pPr>
        <w:tabs>
          <w:tab w:val="left" w:pos="0"/>
        </w:tabs>
        <w:spacing w:after="120" w:line="276" w:lineRule="auto"/>
        <w:jc w:val="both"/>
        <w:rPr>
          <w:rFonts w:ascii="Verdana" w:hAnsi="Verdana" w:cs="Arial"/>
          <w:color w:val="000000" w:themeColor="text1"/>
        </w:rPr>
      </w:pPr>
      <w:r w:rsidRPr="00326D28">
        <w:rPr>
          <w:rFonts w:ascii="Verdana" w:hAnsi="Verdana" w:cs="Arial"/>
          <w:lang w:val="es-ES_tradnl"/>
        </w:rPr>
        <w:t xml:space="preserve">i. </w:t>
      </w:r>
      <w:r w:rsidRPr="00326D28">
        <w:rPr>
          <w:rFonts w:ascii="Verdana" w:eastAsia="Calibri" w:hAnsi="Verdana" w:cs="Arial"/>
          <w:color w:val="000000"/>
          <w:lang w:eastAsia="en-GB"/>
        </w:rPr>
        <w:t>En materia de contratación pública, la figura del anticipo está prevista en dos (2) normas: el</w:t>
      </w:r>
      <w:r w:rsidRPr="00326D28">
        <w:rPr>
          <w:rFonts w:ascii="Verdana" w:hAnsi="Verdana" w:cs="Arial"/>
          <w:color w:val="000000" w:themeColor="text1"/>
        </w:rPr>
        <w:t xml:space="preserve"> inciso primero del parágrafo del artículo 40 de la Ley 80 de 1993 y en el artículo 91 de la Ley 1474 de 2011. En cuanto al Estatuto General de Contratación de la Administración Pública, se dispone la posibilidad de pactar anticipos en los contratos, pero sujeto a determinadas limitaciones. En efecto, la norma prescribe que </w:t>
      </w:r>
      <w:r>
        <w:rPr>
          <w:rFonts w:ascii="Verdana" w:eastAsia="Calibri" w:hAnsi="Verdana" w:cs="Arial"/>
          <w:color w:val="000000" w:themeColor="text1"/>
          <w:lang w:val="es-ES"/>
        </w:rPr>
        <w:t>“</w:t>
      </w:r>
      <w:r w:rsidRPr="00326D28">
        <w:rPr>
          <w:rFonts w:ascii="Verdana" w:hAnsi="Verdana" w:cs="Arial"/>
          <w:color w:val="000000" w:themeColor="text1"/>
        </w:rPr>
        <w:t>En los contratos que celebren las entidades estatales se podrá pactar el pago anticipado y la entrega de anticipos, pero su monto no podrá exceder del cincuenta por ciento (50%) del valor del respectivo contrato</w:t>
      </w:r>
      <w:r>
        <w:rPr>
          <w:rFonts w:ascii="Verdana" w:eastAsia="Calibri" w:hAnsi="Verdana" w:cs="Arial"/>
          <w:color w:val="000000" w:themeColor="text1"/>
          <w:lang w:val="es-ES"/>
        </w:rPr>
        <w:t>”</w:t>
      </w:r>
      <w:r w:rsidRPr="00326D28">
        <w:rPr>
          <w:rFonts w:ascii="Verdana" w:hAnsi="Verdana" w:cs="Arial"/>
          <w:color w:val="000000" w:themeColor="text1"/>
        </w:rPr>
        <w:t xml:space="preserve">. </w:t>
      </w:r>
    </w:p>
    <w:p w14:paraId="7471803C" w14:textId="77777777" w:rsidR="00DB2443" w:rsidRPr="00326D28" w:rsidRDefault="00DB2443" w:rsidP="00DB2443">
      <w:pPr>
        <w:tabs>
          <w:tab w:val="left" w:pos="0"/>
        </w:tabs>
        <w:spacing w:after="120" w:line="276" w:lineRule="auto"/>
        <w:ind w:firstLine="709"/>
        <w:jc w:val="both"/>
        <w:rPr>
          <w:rFonts w:ascii="Verdana" w:hAnsi="Verdana" w:cs="Arial"/>
          <w:color w:val="000000" w:themeColor="text1"/>
        </w:rPr>
      </w:pPr>
      <w:r w:rsidRPr="00326D28">
        <w:rPr>
          <w:rFonts w:ascii="Verdana" w:hAnsi="Verdana" w:cs="Arial"/>
          <w:color w:val="000000" w:themeColor="text1"/>
        </w:rPr>
        <w:t xml:space="preserve">Por su parte, </w:t>
      </w:r>
      <w:r w:rsidRPr="00326D28">
        <w:rPr>
          <w:rFonts w:ascii="Verdana" w:hAnsi="Verdana" w:cs="Arial"/>
          <w:color w:val="000000" w:themeColor="text1"/>
          <w:lang w:val="es-ES"/>
        </w:rPr>
        <w:t>el artículo 91 de la Ley 1474 de 2011 consagra una regla especial para el manejo del anticipo. Según esta disposición, cuando se pacte en contratos de obra, concesión o salud, que no sean de menor o mínima cuantía, o en todos aquellos que se realicen por licitación pública, el contratista tiene la obligación de constituir una fiducia o un patrimonio autónomo irrevocable. Lo anterior, para el manejo de los recursos desembolsados bajo el mencionado concepto, con el fin de garantizar que se destinen exclusivamente a la ejecución del contrato.</w:t>
      </w:r>
    </w:p>
    <w:p w14:paraId="41517010" w14:textId="77777777" w:rsidR="00DB2443" w:rsidRPr="00326D28" w:rsidRDefault="00DB2443" w:rsidP="00DB2443">
      <w:pPr>
        <w:tabs>
          <w:tab w:val="left" w:pos="0"/>
        </w:tabs>
        <w:spacing w:after="120" w:line="276" w:lineRule="auto"/>
        <w:ind w:firstLine="709"/>
        <w:jc w:val="both"/>
        <w:rPr>
          <w:rFonts w:ascii="Verdana" w:eastAsia="Calibri" w:hAnsi="Verdana" w:cs="Arial"/>
          <w:vertAlign w:val="superscript"/>
        </w:rPr>
      </w:pPr>
      <w:r w:rsidRPr="00326D28">
        <w:rPr>
          <w:rFonts w:ascii="Verdana" w:eastAsia="Calibri" w:hAnsi="Verdana" w:cs="Arial"/>
        </w:rPr>
        <w:lastRenderedPageBreak/>
        <w:t>Aunque las normas citadas no definen el anticipo, el Consejo de Estado ha precisado su naturaleza jurídica fijando parámetros para su aplicación</w:t>
      </w:r>
      <w:r w:rsidRPr="00326D28">
        <w:rPr>
          <w:rStyle w:val="Refdenotaalpie"/>
          <w:rFonts w:ascii="Verdana" w:eastAsia="Calibri" w:hAnsi="Verdana" w:cs="Arial"/>
        </w:rPr>
        <w:footnoteReference w:id="2"/>
      </w:r>
      <w:r w:rsidRPr="00326D28">
        <w:rPr>
          <w:rFonts w:ascii="Verdana" w:eastAsia="Calibri" w:hAnsi="Verdana" w:cs="Arial"/>
        </w:rPr>
        <w:t xml:space="preserve">. Dicha Corporación se ha referido  al anticipo como </w:t>
      </w:r>
      <w:r>
        <w:rPr>
          <w:rFonts w:ascii="Verdana" w:eastAsia="Calibri" w:hAnsi="Verdana" w:cs="Arial"/>
          <w:color w:val="000000" w:themeColor="text1"/>
          <w:lang w:val="es-ES"/>
        </w:rPr>
        <w:t>“</w:t>
      </w:r>
      <w:r w:rsidRPr="00326D28">
        <w:rPr>
          <w:rFonts w:ascii="Verdana" w:eastAsia="Calibri" w:hAnsi="Verdana" w:cs="Arial"/>
        </w:rPr>
        <w:t>un recurso o suma correspondiente a un porcentaje del valor total del contrato, pactado como contraprestación, que la entidad pública le entrega al contratista para que sea invertida específicamente en la ejecución del contrato y sea manejada generalmente en cuenta separada, con imposición de obligaciones relacionadas con legalización y amortización de la inversión, de suerte que el monto entregado como anticipo no ingresa al patrimonio del contratista sino cuando ha sido debidamente amortizado</w:t>
      </w:r>
      <w:r>
        <w:rPr>
          <w:rFonts w:ascii="Verdana" w:eastAsia="Calibri" w:hAnsi="Verdana" w:cs="Arial"/>
          <w:color w:val="000000" w:themeColor="text1"/>
          <w:lang w:val="es-ES"/>
        </w:rPr>
        <w:t>”</w:t>
      </w:r>
      <w:r w:rsidRPr="00326D28">
        <w:rPr>
          <w:rFonts w:ascii="Verdana" w:eastAsia="Calibri" w:hAnsi="Verdana" w:cs="Arial"/>
          <w:vertAlign w:val="superscript"/>
        </w:rPr>
        <w:footnoteReference w:id="3"/>
      </w:r>
      <w:r w:rsidRPr="00326D28">
        <w:rPr>
          <w:rFonts w:ascii="Verdana" w:eastAsia="Calibri" w:hAnsi="Verdana" w:cs="Arial"/>
          <w:color w:val="000000" w:themeColor="text1"/>
          <w:lang w:val="es-ES"/>
        </w:rPr>
        <w:t>.</w:t>
      </w:r>
    </w:p>
    <w:p w14:paraId="6C44EFCD" w14:textId="77777777" w:rsidR="00DB2443" w:rsidRPr="00326D28" w:rsidRDefault="00DB2443" w:rsidP="00DB2443">
      <w:pPr>
        <w:spacing w:after="120" w:line="276" w:lineRule="auto"/>
        <w:ind w:firstLine="708"/>
        <w:jc w:val="both"/>
        <w:rPr>
          <w:rFonts w:ascii="Verdana" w:eastAsia="Calibri" w:hAnsi="Verdana" w:cs="Arial"/>
        </w:rPr>
      </w:pPr>
      <w:r w:rsidRPr="00326D28">
        <w:rPr>
          <w:rFonts w:ascii="Verdana" w:eastAsia="Calibri" w:hAnsi="Verdana" w:cs="Arial"/>
        </w:rPr>
        <w:t xml:space="preserve">Sobre la calidad de recurso público del anticipo, la jurisprudencia ha reiterado que </w:t>
      </w:r>
      <w:r>
        <w:rPr>
          <w:rFonts w:ascii="Verdana" w:eastAsia="Calibri" w:hAnsi="Verdana" w:cs="Arial"/>
          <w:color w:val="000000" w:themeColor="text1"/>
          <w:lang w:val="es-ES"/>
        </w:rPr>
        <w:t>“</w:t>
      </w:r>
      <w:r w:rsidRPr="00326D28">
        <w:rPr>
          <w:rFonts w:ascii="Verdana" w:eastAsia="Calibri" w:hAnsi="Verdana" w:cs="Arial"/>
        </w:rPr>
        <w:t>dicho dinero no hace parte del patrimonio del contratista y le pertenece a la entidad contratante hasta tanto se amortice. De allí se deduce que la función del anticipo en el contrato es, de entrada, financiar las prestaciones del contratista, y hace razonable el amparo del buen manejo y correcta inversión de estos recursos dentro de la garantía única de cumplimiento</w:t>
      </w:r>
      <w:r>
        <w:rPr>
          <w:rFonts w:ascii="Verdana" w:eastAsia="Calibri" w:hAnsi="Verdana" w:cs="Arial"/>
          <w:color w:val="000000" w:themeColor="text1"/>
          <w:lang w:val="es-ES"/>
        </w:rPr>
        <w:t>”</w:t>
      </w:r>
      <w:r w:rsidRPr="00326D28">
        <w:rPr>
          <w:rStyle w:val="Refdenotaalpie"/>
          <w:rFonts w:ascii="Verdana" w:eastAsia="Calibri" w:hAnsi="Verdana" w:cs="Arial"/>
        </w:rPr>
        <w:footnoteReference w:id="4"/>
      </w:r>
      <w:r w:rsidRPr="00326D28">
        <w:rPr>
          <w:rFonts w:ascii="Verdana" w:eastAsia="Calibri" w:hAnsi="Verdana" w:cs="Arial"/>
        </w:rPr>
        <w:t>. Igualmente, explica que el anticipo, al facilitar al contratista la financiación de los bienes y servicios que se le han encargado, es un factor determinante para impulsar la ejecución del contrato</w:t>
      </w:r>
      <w:r w:rsidRPr="00326D28">
        <w:rPr>
          <w:rStyle w:val="Refdenotaalpie"/>
          <w:rFonts w:ascii="Verdana" w:eastAsia="Calibri" w:hAnsi="Verdana" w:cs="Arial"/>
        </w:rPr>
        <w:footnoteReference w:id="5"/>
      </w:r>
      <w:r w:rsidRPr="00326D28">
        <w:rPr>
          <w:rFonts w:ascii="Verdana" w:eastAsia="Calibri" w:hAnsi="Verdana" w:cs="Arial"/>
        </w:rPr>
        <w:t>. Este también es el entendimiento de la doctrina</w:t>
      </w:r>
      <w:r w:rsidRPr="00326D28">
        <w:rPr>
          <w:rFonts w:ascii="Verdana" w:eastAsia="Calibri" w:hAnsi="Verdana" w:cs="Arial"/>
          <w:color w:val="000000" w:themeColor="text1"/>
        </w:rPr>
        <w:t>,</w:t>
      </w:r>
      <w:r w:rsidRPr="00326D28">
        <w:rPr>
          <w:rFonts w:ascii="Verdana" w:eastAsia="Calibri" w:hAnsi="Verdana" w:cs="Arial"/>
        </w:rPr>
        <w:t xml:space="preserve"> que ha considerado el anticipo como un dinero entregado al contratista que debe cancelarse mediante descuentos parciales, siendo una práctica común que permite impulsar la ejecución del contrato</w:t>
      </w:r>
      <w:r w:rsidRPr="00326D28">
        <w:rPr>
          <w:rStyle w:val="Refdenotaalpie"/>
          <w:rFonts w:ascii="Verdana" w:eastAsia="Calibri" w:hAnsi="Verdana" w:cs="Arial"/>
        </w:rPr>
        <w:footnoteReference w:id="6"/>
      </w:r>
      <w:r w:rsidRPr="00326D28">
        <w:rPr>
          <w:rFonts w:ascii="Verdana" w:eastAsia="Calibri" w:hAnsi="Verdana" w:cs="Arial"/>
        </w:rPr>
        <w:t xml:space="preserve">. </w:t>
      </w:r>
    </w:p>
    <w:p w14:paraId="2BB06B15" w14:textId="77777777" w:rsidR="00DB2443" w:rsidRPr="00326D28" w:rsidRDefault="00DB2443" w:rsidP="00DB2443">
      <w:pPr>
        <w:spacing w:before="120" w:after="120" w:line="276" w:lineRule="auto"/>
        <w:ind w:firstLine="708"/>
        <w:jc w:val="both"/>
        <w:rPr>
          <w:rFonts w:ascii="Verdana" w:eastAsia="Calibri" w:hAnsi="Verdana" w:cs="Arial"/>
          <w:color w:val="000000" w:themeColor="text1"/>
        </w:rPr>
      </w:pPr>
      <w:r w:rsidRPr="00326D28">
        <w:rPr>
          <w:rFonts w:ascii="Verdana" w:eastAsia="Calibri" w:hAnsi="Verdana" w:cs="Arial"/>
          <w:color w:val="000000" w:themeColor="text1"/>
        </w:rPr>
        <w:lastRenderedPageBreak/>
        <w:t xml:space="preserve">Así, de acuerdo con las consideraciones de la jurisprudencia y la doctrina, el anticipo es </w:t>
      </w:r>
      <w:r w:rsidRPr="00326D28">
        <w:rPr>
          <w:rFonts w:ascii="Verdana" w:eastAsia="Calibri" w:hAnsi="Verdana" w:cs="Arial"/>
        </w:rPr>
        <w:t>aquella suma de dinero entregada al contratista con la finalidad de apalancarlo financieramente para solventar los costos iniciales de la ejecución del contrato. Este dinero debe amortizarse de acuerdo al avance en la ejecución. De esta forma, los recursos entregados a título de anticipo son del erario, razón por la que debe garantizarse su buen manejo y correcta inversión.</w:t>
      </w:r>
    </w:p>
    <w:p w14:paraId="2A08D5C7" w14:textId="77777777" w:rsidR="00DB2443" w:rsidRPr="00326D28" w:rsidRDefault="00DB2443" w:rsidP="00DB2443">
      <w:pPr>
        <w:spacing w:before="120" w:after="0" w:line="276" w:lineRule="auto"/>
        <w:ind w:firstLine="709"/>
        <w:jc w:val="both"/>
        <w:rPr>
          <w:rFonts w:ascii="Verdana" w:eastAsia="Calibri" w:hAnsi="Verdana" w:cs="Arial"/>
          <w:color w:val="000000" w:themeColor="text1"/>
        </w:rPr>
      </w:pPr>
      <w:r w:rsidRPr="00326D28">
        <w:rPr>
          <w:rFonts w:ascii="Verdana" w:eastAsia="Calibri" w:hAnsi="Verdana" w:cs="Arial"/>
          <w:color w:val="000000" w:themeColor="text1"/>
        </w:rPr>
        <w:t xml:space="preserve">Como característica esencial del anticipo, derivada del artículo 40 de la Ley 80 de 1993, el pacto proviene de la autonomía de la voluntad de las partes. De allí que se generen una serie de derechos y obligaciones recíprocos entre ellas. Por un lado, el contratante tiene la obligación de entregar el valor pactado como anticipo y el derecho a que los recursos sean empleados en la forma estipulada. Por otro lado, el contratista tiene derecho a recibir dicho anticipo y la obligación de destinarlo a la ejecución del contrato. De esta manera, el Consejo de Estado explica lo siguiente: </w:t>
      </w:r>
    </w:p>
    <w:p w14:paraId="2FFE0245" w14:textId="77777777" w:rsidR="00DB2443" w:rsidRPr="00326D28" w:rsidRDefault="00DB2443" w:rsidP="00DB2443">
      <w:pPr>
        <w:spacing w:after="0" w:line="276" w:lineRule="auto"/>
        <w:ind w:firstLine="709"/>
        <w:jc w:val="both"/>
        <w:rPr>
          <w:rFonts w:ascii="Verdana" w:eastAsia="Calibri" w:hAnsi="Verdana" w:cs="Arial"/>
          <w:lang w:val="es-MX"/>
        </w:rPr>
      </w:pPr>
    </w:p>
    <w:p w14:paraId="3EA9D5C7" w14:textId="77777777" w:rsidR="00DB2443" w:rsidRPr="00F2577C" w:rsidRDefault="00DB2443" w:rsidP="00DB2443">
      <w:pPr>
        <w:spacing w:after="0" w:line="240" w:lineRule="auto"/>
        <w:ind w:left="709" w:right="709"/>
        <w:jc w:val="both"/>
        <w:rPr>
          <w:rFonts w:ascii="Verdana" w:eastAsia="Calibri" w:hAnsi="Verdana" w:cs="Arial"/>
          <w:sz w:val="20"/>
          <w:szCs w:val="20"/>
        </w:rPr>
      </w:pPr>
      <w:r w:rsidRPr="00F2577C">
        <w:rPr>
          <w:rFonts w:ascii="Verdana" w:eastAsia="Calibri" w:hAnsi="Verdana" w:cs="Arial"/>
          <w:sz w:val="20"/>
          <w:szCs w:val="20"/>
        </w:rPr>
        <w:t xml:space="preserve">“[…] En una primera instancia es obligación del contratante y derecho del contratista, de entregar y recibir - previa constitución de la garantía -, respectivamente, una suma determinada de dinero, con cargo a los recursos del contrato, con el objeto financiar al contratista en las prestaciones a su cargo (adquisición de bienes, servicios, obras </w:t>
      </w:r>
      <w:proofErr w:type="spellStart"/>
      <w:r w:rsidRPr="00F2577C">
        <w:rPr>
          <w:rFonts w:ascii="Verdana" w:eastAsia="Calibri" w:hAnsi="Verdana" w:cs="Arial"/>
          <w:sz w:val="20"/>
          <w:szCs w:val="20"/>
        </w:rPr>
        <w:t>etc</w:t>
      </w:r>
      <w:proofErr w:type="spellEnd"/>
      <w:r w:rsidRPr="00F2577C">
        <w:rPr>
          <w:rFonts w:ascii="Verdana" w:eastAsia="Calibri" w:hAnsi="Verdana" w:cs="Arial"/>
          <w:sz w:val="20"/>
          <w:szCs w:val="20"/>
        </w:rPr>
        <w:t>). En segunda instancia el anticipo, en su resultado, constituye una obligación del contratista y un derecho del contratante, en los siguientes aspectos: -De inversión en los objetos determinados en el contrato y de pago por amortización, por parte del contratista. -De recibir, por amortización, y/o hacer efectiva la garantía de anticipo, o de cumplimiento, según el Estatuto de Contratación vigente, por parte del contratante,</w:t>
      </w:r>
      <w:r w:rsidRPr="00F2577C">
        <w:rPr>
          <w:rFonts w:ascii="Verdana" w:eastAsia="Calibri" w:hAnsi="Verdana" w:cs="Arial"/>
          <w:b/>
          <w:bCs/>
          <w:sz w:val="20"/>
          <w:szCs w:val="20"/>
        </w:rPr>
        <w:t xml:space="preserve"> </w:t>
      </w:r>
      <w:r w:rsidRPr="00F2577C">
        <w:rPr>
          <w:rFonts w:ascii="Verdana" w:eastAsia="Calibri" w:hAnsi="Verdana" w:cs="Arial"/>
          <w:sz w:val="20"/>
          <w:szCs w:val="20"/>
        </w:rPr>
        <w:t>por hechos del contratista que impliquen mal manejo o incorrecta inversión de los dineros de propiedad pública. Las partes contratantes, acuerdan además en el contrato, las condiciones de efectividad, la proporción con el valor del contrato, la oportunidad en que debe entregarse, la vigilancia Estatal sobre las sumas y las amortizaciones”</w:t>
      </w:r>
      <w:r w:rsidRPr="00F2577C">
        <w:rPr>
          <w:rStyle w:val="Refdenotaalpie"/>
          <w:rFonts w:ascii="Verdana" w:eastAsia="Calibri" w:hAnsi="Verdana" w:cs="Arial"/>
          <w:sz w:val="20"/>
          <w:szCs w:val="20"/>
        </w:rPr>
        <w:footnoteReference w:id="7"/>
      </w:r>
      <w:r w:rsidRPr="00F2577C">
        <w:rPr>
          <w:rFonts w:ascii="Verdana" w:eastAsia="Calibri" w:hAnsi="Verdana" w:cs="Arial"/>
          <w:sz w:val="20"/>
          <w:szCs w:val="20"/>
        </w:rPr>
        <w:t>.</w:t>
      </w:r>
    </w:p>
    <w:p w14:paraId="147AFC6D" w14:textId="77777777" w:rsidR="00DB2443" w:rsidRPr="00326D28" w:rsidRDefault="00DB2443" w:rsidP="00DB2443">
      <w:pPr>
        <w:spacing w:after="0" w:line="276" w:lineRule="auto"/>
        <w:ind w:left="567" w:right="709"/>
        <w:jc w:val="both"/>
        <w:rPr>
          <w:rFonts w:ascii="Verdana" w:eastAsia="Calibri" w:hAnsi="Verdana" w:cs="Arial"/>
        </w:rPr>
      </w:pPr>
      <w:r>
        <w:rPr>
          <w:rFonts w:ascii="Verdana" w:eastAsia="Calibri" w:hAnsi="Verdana" w:cs="Arial"/>
          <w:sz w:val="21"/>
          <w:szCs w:val="21"/>
        </w:rPr>
        <w:tab/>
      </w:r>
    </w:p>
    <w:p w14:paraId="4D329FDD" w14:textId="77777777" w:rsidR="00DB2443" w:rsidRPr="00326D28" w:rsidRDefault="00DB2443" w:rsidP="00DB2443">
      <w:pPr>
        <w:tabs>
          <w:tab w:val="left" w:pos="0"/>
        </w:tabs>
        <w:spacing w:after="120" w:line="276" w:lineRule="auto"/>
        <w:ind w:firstLine="709"/>
        <w:jc w:val="both"/>
        <w:rPr>
          <w:rFonts w:ascii="Verdana" w:eastAsia="Calibri" w:hAnsi="Verdana" w:cs="Arial"/>
          <w:lang w:val="es-MX"/>
        </w:rPr>
      </w:pPr>
      <w:r w:rsidRPr="00326D28">
        <w:rPr>
          <w:rFonts w:ascii="Verdana" w:eastAsia="Calibri" w:hAnsi="Verdana" w:cs="Arial"/>
        </w:rPr>
        <w:lastRenderedPageBreak/>
        <w:t>Las entidades estatales tienen la facultad de pactar la entrega de anticipos en los contratos que celebren. Para ello, deberán realizar el estudio correspondiente con el fin de determinar la conveniencia de otorgar recursos al contratista bajo esa denominación. De este modo, las entidades podrán determinar las condiciones de entrega, el monto –que no podrá ser superior al 50% del valor del contrato–, el plazo de amortización, las condiciones necesarias para su exigibilidad, así como todas las obligaciones para su correcta inversión.</w:t>
      </w:r>
    </w:p>
    <w:p w14:paraId="2A2BB8F4" w14:textId="77777777" w:rsidR="00DB2443" w:rsidRPr="00326D28" w:rsidRDefault="00DB2443" w:rsidP="00DB2443">
      <w:pPr>
        <w:tabs>
          <w:tab w:val="left" w:pos="0"/>
        </w:tabs>
        <w:spacing w:before="120" w:after="120" w:line="276" w:lineRule="auto"/>
        <w:ind w:firstLine="709"/>
        <w:jc w:val="both"/>
        <w:rPr>
          <w:rFonts w:ascii="Verdana" w:hAnsi="Verdana" w:cs="Arial"/>
          <w:color w:val="000000" w:themeColor="text1"/>
          <w:lang w:val="es-ES"/>
        </w:rPr>
      </w:pPr>
      <w:r w:rsidRPr="00326D28">
        <w:rPr>
          <w:rFonts w:ascii="Verdana" w:eastAsia="Calibri" w:hAnsi="Verdana" w:cs="Arial"/>
        </w:rPr>
        <w:t xml:space="preserve">Adicionalmente, el parágrafo del artículo 40 de la Ley 80 de 1993 no restringe el tipo de contratos estatales en los cuales es posible el ejercicio de esta facultad. Es decir, no limita la posibilidad de pactar anticipo dependiendo de la tipología contractual o la modalidad de selección del contratista. </w:t>
      </w:r>
      <w:r w:rsidRPr="00326D28">
        <w:rPr>
          <w:rFonts w:ascii="Verdana" w:hAnsi="Verdana" w:cs="Arial"/>
          <w:color w:val="000000" w:themeColor="text1"/>
          <w:lang w:val="es-ES"/>
        </w:rPr>
        <w:t xml:space="preserve">De hecho, el Estatuto General de Contratación de la Administración Pública dispone como única limitación el valor máximo que puede desembolsar la entidad para pactar el anticipo. </w:t>
      </w:r>
    </w:p>
    <w:p w14:paraId="6A63300C" w14:textId="77777777" w:rsidR="00DB2443" w:rsidRPr="00326D28" w:rsidRDefault="00DB2443" w:rsidP="00DB2443">
      <w:pPr>
        <w:tabs>
          <w:tab w:val="left" w:pos="0"/>
        </w:tabs>
        <w:spacing w:before="120" w:after="120" w:line="276" w:lineRule="auto"/>
        <w:ind w:firstLine="709"/>
        <w:jc w:val="both"/>
        <w:rPr>
          <w:rFonts w:ascii="Verdana" w:hAnsi="Verdana" w:cs="Arial"/>
          <w:color w:val="000000" w:themeColor="text1"/>
          <w:lang w:val="es-MX"/>
        </w:rPr>
      </w:pPr>
      <w:r w:rsidRPr="00326D28">
        <w:rPr>
          <w:rFonts w:ascii="Verdana" w:hAnsi="Verdana" w:cs="Arial"/>
          <w:color w:val="000000" w:themeColor="text1"/>
          <w:lang w:val="es-ES"/>
        </w:rPr>
        <w:t>La entidad y el contratista podrán disponer, en ejercicio de la autonomía de la voluntad, las condiciones que consideren convenientes de acuerdo con las normas civiles, siempre que no contraríen los parámetros normativos y los principios de la actividad contractual. No obstante, se reitera la importancia de analizar y justificar en cada caso la pertinencia y conveniencia de entregar al contratista recursos en calidad de anticipo.</w:t>
      </w:r>
    </w:p>
    <w:p w14:paraId="7A371A2B" w14:textId="77777777" w:rsidR="00DB2443" w:rsidRDefault="00DB2443" w:rsidP="00DB2443">
      <w:pPr>
        <w:spacing w:after="0" w:line="276" w:lineRule="auto"/>
        <w:ind w:firstLine="709"/>
        <w:jc w:val="both"/>
        <w:rPr>
          <w:rFonts w:ascii="Verdana" w:eastAsia="Calibri" w:hAnsi="Verdana" w:cs="Arial"/>
        </w:rPr>
      </w:pPr>
      <w:r w:rsidRPr="00326D28">
        <w:rPr>
          <w:rFonts w:ascii="Verdana" w:hAnsi="Verdana" w:cs="Arial"/>
          <w:color w:val="000000" w:themeColor="text1"/>
        </w:rPr>
        <w:t>Del análisis realizado se desprende</w:t>
      </w:r>
      <w:r w:rsidRPr="00326D28">
        <w:rPr>
          <w:rFonts w:ascii="Verdana" w:hAnsi="Verdana" w:cs="Arial"/>
          <w:color w:val="000000" w:themeColor="text1"/>
          <w:lang w:val="es-ES"/>
        </w:rPr>
        <w:t xml:space="preserve"> que los recursos entregados al contratista en calidad de anticipo son recursos públicos. Por tanto, corresponde a la entidad </w:t>
      </w:r>
      <w:r w:rsidRPr="00326D28">
        <w:rPr>
          <w:rFonts w:ascii="Verdana" w:eastAsia="Calibri" w:hAnsi="Verdana" w:cs="Arial"/>
        </w:rPr>
        <w:t>adoptar las medidas necesarias y razonables para asegurar la correcta inversión de los dineros entregados, las cuales deberán reflejarse en el contrato celebrado. En consecuencia, deberán constituir la garantía única de cumplimiento e incluir el amparo previsto en el artículo 2.2.1.2.3.1.7 del Decreto 1082 de 2015. Este amparo establece tres</w:t>
      </w:r>
      <w:r>
        <w:rPr>
          <w:rFonts w:ascii="Verdana" w:eastAsia="Calibri" w:hAnsi="Verdana" w:cs="Arial"/>
        </w:rPr>
        <w:t xml:space="preserve"> (3)</w:t>
      </w:r>
      <w:r w:rsidRPr="00326D28">
        <w:rPr>
          <w:rFonts w:ascii="Verdana" w:eastAsia="Calibri" w:hAnsi="Verdana" w:cs="Arial"/>
        </w:rPr>
        <w:t xml:space="preserve"> circunstancias que deben ser objeto de cobertura: i) la no inversión del anticipo; </w:t>
      </w:r>
      <w:proofErr w:type="spellStart"/>
      <w:r w:rsidRPr="00326D28">
        <w:rPr>
          <w:rFonts w:ascii="Verdana" w:eastAsia="Calibri" w:hAnsi="Verdana" w:cs="Arial"/>
        </w:rPr>
        <w:t>ii</w:t>
      </w:r>
      <w:proofErr w:type="spellEnd"/>
      <w:r w:rsidRPr="00326D28">
        <w:rPr>
          <w:rFonts w:ascii="Verdana" w:eastAsia="Calibri" w:hAnsi="Verdana" w:cs="Arial"/>
        </w:rPr>
        <w:t xml:space="preserve">) el uso indebido del anticipo; y </w:t>
      </w:r>
      <w:proofErr w:type="spellStart"/>
      <w:r w:rsidRPr="00326D28">
        <w:rPr>
          <w:rFonts w:ascii="Verdana" w:eastAsia="Calibri" w:hAnsi="Verdana" w:cs="Arial"/>
        </w:rPr>
        <w:t>iii</w:t>
      </w:r>
      <w:proofErr w:type="spellEnd"/>
      <w:r w:rsidRPr="00326D28">
        <w:rPr>
          <w:rFonts w:ascii="Verdana" w:eastAsia="Calibri" w:hAnsi="Verdana" w:cs="Arial"/>
        </w:rPr>
        <w:t xml:space="preserve">) la apropiación indebida de los recursos recibidos en calidad de anticipo. </w:t>
      </w:r>
    </w:p>
    <w:p w14:paraId="2EF3CD59" w14:textId="77777777" w:rsidR="00DB2443" w:rsidRDefault="00DB2443" w:rsidP="00DB2443">
      <w:pPr>
        <w:spacing w:after="0" w:line="276" w:lineRule="auto"/>
        <w:ind w:firstLine="709"/>
        <w:jc w:val="both"/>
        <w:rPr>
          <w:rFonts w:ascii="Verdana" w:eastAsia="Calibri" w:hAnsi="Verdana" w:cs="Arial"/>
        </w:rPr>
      </w:pPr>
    </w:p>
    <w:p w14:paraId="5A198E32" w14:textId="77777777" w:rsidR="00DB2443" w:rsidRPr="00E97A27" w:rsidRDefault="00DB2443" w:rsidP="00DB2443">
      <w:pPr>
        <w:widowControl w:val="0"/>
        <w:autoSpaceDE w:val="0"/>
        <w:autoSpaceDN w:val="0"/>
        <w:spacing w:after="0" w:line="276" w:lineRule="auto"/>
        <w:jc w:val="both"/>
        <w:rPr>
          <w:rFonts w:ascii="Verdana" w:eastAsia="Arial" w:hAnsi="Verdana" w:cs="Arial"/>
          <w:color w:val="000000" w:themeColor="text1"/>
          <w:lang w:eastAsia="es-ES" w:bidi="es-ES"/>
        </w:rPr>
      </w:pPr>
      <w:proofErr w:type="spellStart"/>
      <w:r>
        <w:rPr>
          <w:rFonts w:ascii="Verdana" w:eastAsia="Calibri" w:hAnsi="Verdana" w:cs="Arial"/>
        </w:rPr>
        <w:t>ii</w:t>
      </w:r>
      <w:proofErr w:type="spellEnd"/>
      <w:r>
        <w:rPr>
          <w:rFonts w:ascii="Verdana" w:eastAsia="Calibri" w:hAnsi="Verdana" w:cs="Arial"/>
        </w:rPr>
        <w:t xml:space="preserve">. </w:t>
      </w:r>
      <w:r w:rsidRPr="00E97A27">
        <w:rPr>
          <w:rFonts w:ascii="Verdana" w:eastAsia="Arial" w:hAnsi="Verdana" w:cs="Arial"/>
          <w:color w:val="000000" w:themeColor="text1"/>
          <w:lang w:val="es-ES" w:eastAsia="es-ES" w:bidi="es-ES"/>
        </w:rPr>
        <w:t xml:space="preserve">De conformidad con el artículo 3 de la Ley 80 de 1993 la celebración y ejecución de los contratos estatales </w:t>
      </w:r>
      <w:r w:rsidRPr="00E97A27">
        <w:rPr>
          <w:rFonts w:ascii="Verdana" w:eastAsia="Arial" w:hAnsi="Verdana" w:cs="Arial"/>
          <w:color w:val="000000" w:themeColor="text1"/>
          <w:lang w:eastAsia="es-ES" w:bidi="es-ES"/>
        </w:rPr>
        <w:t xml:space="preserve">tiene como fin el cumplimiento de los fines estatales, la continua y eficiente prestación de los servicios públicos y la efectividad de los derechos e intereses de los administrados que colaboran con ellas en la consecución de dichos fines. Por su parte, los particulares que </w:t>
      </w:r>
      <w:r w:rsidRPr="00E97A27">
        <w:rPr>
          <w:rFonts w:ascii="Verdana" w:eastAsia="Arial" w:hAnsi="Verdana" w:cs="Arial"/>
          <w:color w:val="000000" w:themeColor="text1"/>
          <w:lang w:eastAsia="es-ES" w:bidi="es-ES"/>
        </w:rPr>
        <w:lastRenderedPageBreak/>
        <w:t>celebran y ejecutan contratos con las entidades estatales tendrán en cuenta que</w:t>
      </w:r>
      <w:r w:rsidRPr="00E97A27">
        <w:rPr>
          <w:rFonts w:ascii="Verdana" w:hAnsi="Verdana" w:cs="Arial"/>
          <w:color w:val="4B4949"/>
          <w:sz w:val="18"/>
          <w:szCs w:val="18"/>
        </w:rPr>
        <w:t xml:space="preserve"> </w:t>
      </w:r>
      <w:r w:rsidRPr="00E97A27">
        <w:rPr>
          <w:rFonts w:ascii="Verdana" w:eastAsia="Arial" w:hAnsi="Verdana" w:cs="Arial"/>
          <w:color w:val="000000" w:themeColor="text1"/>
          <w:lang w:eastAsia="es-ES" w:bidi="es-ES"/>
        </w:rPr>
        <w:t xml:space="preserve">colaboran con ellas en el logro de sus fines y cumplen una función social que, como tal, implica obligaciones. Así, con la celebración del contrato estatal surgen derechos y obligaciones para cada una de las partes que tienen como propósito, por un lado, la continua y eficiente prestación de los servicios públicos y la satisfacción del interés general y por otro lado, generar un beneficio económico para el particular que colabora en su ejecución. </w:t>
      </w:r>
    </w:p>
    <w:p w14:paraId="2170FD37" w14:textId="77777777" w:rsidR="00DB2443" w:rsidRPr="00E97A27" w:rsidRDefault="00DB2443" w:rsidP="00DB2443">
      <w:pPr>
        <w:widowControl w:val="0"/>
        <w:autoSpaceDE w:val="0"/>
        <w:autoSpaceDN w:val="0"/>
        <w:spacing w:before="120" w:after="0" w:line="276" w:lineRule="auto"/>
        <w:ind w:firstLine="709"/>
        <w:jc w:val="both"/>
        <w:rPr>
          <w:rFonts w:ascii="Verdana" w:eastAsia="Arial" w:hAnsi="Verdana" w:cs="Arial"/>
          <w:color w:val="000000" w:themeColor="text1"/>
          <w:lang w:eastAsia="es-ES" w:bidi="es-ES"/>
        </w:rPr>
      </w:pPr>
      <w:r w:rsidRPr="00E97A27">
        <w:rPr>
          <w:rFonts w:ascii="Verdana" w:eastAsia="Arial" w:hAnsi="Verdana" w:cs="Arial"/>
          <w:color w:val="000000" w:themeColor="text1"/>
          <w:lang w:eastAsia="es-ES" w:bidi="es-ES"/>
        </w:rPr>
        <w:t xml:space="preserve">De esta manera, los contratos estatales se deben pactar sobre la base de la interdependencia entre las prestaciones, esto es, que exista reciprocidad entre los derechos y las obligaciones de las entidades y los particulares, de tal forma que estas sean equivalentes y se mantengan durante la ejecución contractual. Esto se fundamenta en el principio del equilibrio financiero del contrato previsto en el artículo 27 de la Ley 80 de 1993 que prescribe lo siguiente: </w:t>
      </w:r>
    </w:p>
    <w:p w14:paraId="06AEF3C9" w14:textId="77777777" w:rsidR="00DB2443" w:rsidRPr="00E97A27" w:rsidRDefault="00DB2443" w:rsidP="00DB2443">
      <w:pPr>
        <w:widowControl w:val="0"/>
        <w:autoSpaceDE w:val="0"/>
        <w:autoSpaceDN w:val="0"/>
        <w:spacing w:after="0" w:line="276" w:lineRule="auto"/>
        <w:ind w:left="709" w:right="709"/>
        <w:jc w:val="both"/>
        <w:rPr>
          <w:rFonts w:ascii="Verdana" w:eastAsia="Arial" w:hAnsi="Verdana" w:cs="Arial"/>
          <w:color w:val="000000" w:themeColor="text1"/>
          <w:lang w:val="es-ES" w:eastAsia="es-ES" w:bidi="es-ES"/>
        </w:rPr>
      </w:pPr>
    </w:p>
    <w:p w14:paraId="00CB2078" w14:textId="77777777" w:rsidR="00DB2443" w:rsidRPr="007A65DE" w:rsidRDefault="00DB2443" w:rsidP="00DB2443">
      <w:pPr>
        <w:widowControl w:val="0"/>
        <w:autoSpaceDE w:val="0"/>
        <w:autoSpaceDN w:val="0"/>
        <w:spacing w:after="0" w:line="240" w:lineRule="auto"/>
        <w:ind w:left="709" w:right="709"/>
        <w:jc w:val="both"/>
        <w:rPr>
          <w:rFonts w:ascii="Verdana" w:eastAsia="Arial" w:hAnsi="Verdana" w:cs="Arial"/>
          <w:color w:val="000000" w:themeColor="text1"/>
          <w:sz w:val="20"/>
          <w:szCs w:val="20"/>
          <w:lang w:val="es-ES" w:eastAsia="es-ES" w:bidi="es-ES"/>
        </w:rPr>
      </w:pPr>
      <w:r w:rsidRPr="007A65DE">
        <w:rPr>
          <w:rFonts w:ascii="Verdana" w:eastAsia="Arial" w:hAnsi="Verdana" w:cs="Arial"/>
          <w:color w:val="000000" w:themeColor="text1"/>
          <w:sz w:val="20"/>
          <w:szCs w:val="20"/>
          <w:lang w:val="es-ES" w:eastAsia="es-ES" w:bidi="es-ES"/>
        </w:rPr>
        <w:t>“En los contratos estatales se mantendrá la igualdad o equivalencia entre derechos y obligaciones surgidos al momento de proponer o de contratar, según el caso. Si dicha igualdad o equivalencia se rompe por causas no imputables a quien resulte afectado, las partes adoptarán en el menor tiempo posible las medidas necesarias para su restablecimiento. Para tales efectos, las partes suscribirán los acuerdos y pactos necesarios sobre cuantía, condiciones y forma de pago de gastos adicionales, reconocimiento de costos financieros e intereses, si a ello hubiere lugar, ajustando la cancelación a las disponibilidades de la apropiación de que trata el numeral 14 del artículo </w:t>
      </w:r>
      <w:hyperlink r:id="rId12" w:anchor="25" w:history="1">
        <w:r w:rsidRPr="007A65DE">
          <w:rPr>
            <w:rFonts w:ascii="Verdana" w:hAnsi="Verdana" w:cs="Arial"/>
            <w:sz w:val="20"/>
            <w:szCs w:val="20"/>
            <w:lang w:val="es-ES" w:eastAsia="es-ES" w:bidi="es-ES"/>
          </w:rPr>
          <w:t>25</w:t>
        </w:r>
      </w:hyperlink>
      <w:r w:rsidRPr="007A65DE">
        <w:rPr>
          <w:rFonts w:ascii="Verdana" w:eastAsia="Arial" w:hAnsi="Verdana" w:cs="Arial"/>
          <w:color w:val="000000" w:themeColor="text1"/>
          <w:sz w:val="20"/>
          <w:szCs w:val="20"/>
          <w:lang w:val="es-ES" w:eastAsia="es-ES" w:bidi="es-ES"/>
        </w:rPr>
        <w:t>. En todo caso, las entidades deberán adoptar las medidas necesarias que aseguren la efectividad de estos pagos y reconocimientos al contratista en la misma o en la siguiente vigencia de que se trate”.</w:t>
      </w:r>
    </w:p>
    <w:p w14:paraId="0BA942C9" w14:textId="77777777" w:rsidR="00DB2443" w:rsidRPr="00E97A27" w:rsidRDefault="00DB2443" w:rsidP="00DB2443">
      <w:pPr>
        <w:widowControl w:val="0"/>
        <w:autoSpaceDE w:val="0"/>
        <w:autoSpaceDN w:val="0"/>
        <w:spacing w:after="0" w:line="276" w:lineRule="auto"/>
        <w:ind w:left="709" w:right="709"/>
        <w:jc w:val="both"/>
        <w:rPr>
          <w:rFonts w:ascii="Verdana" w:eastAsia="Arial" w:hAnsi="Verdana" w:cs="Arial"/>
          <w:color w:val="000000" w:themeColor="text1"/>
          <w:lang w:val="es-ES" w:eastAsia="es-ES" w:bidi="es-ES"/>
        </w:rPr>
      </w:pPr>
    </w:p>
    <w:p w14:paraId="7773CC6B" w14:textId="77777777" w:rsidR="00DB2443" w:rsidRPr="00E97A27" w:rsidRDefault="00DB2443" w:rsidP="00DB2443">
      <w:pPr>
        <w:autoSpaceDE w:val="0"/>
        <w:autoSpaceDN w:val="0"/>
        <w:adjustRightInd w:val="0"/>
        <w:spacing w:after="0" w:line="276" w:lineRule="auto"/>
        <w:ind w:firstLine="709"/>
        <w:jc w:val="both"/>
        <w:rPr>
          <w:rFonts w:ascii="Verdana" w:hAnsi="Verdana" w:cs="Arial"/>
        </w:rPr>
      </w:pPr>
      <w:r w:rsidRPr="00E97A27">
        <w:rPr>
          <w:rFonts w:ascii="Verdana" w:eastAsia="Arial" w:hAnsi="Verdana" w:cs="Arial"/>
          <w:color w:val="000000" w:themeColor="text1"/>
          <w:lang w:val="es-ES" w:eastAsia="es-ES" w:bidi="es-ES"/>
        </w:rPr>
        <w:t xml:space="preserve">Sobre el principio del equilibrio financiero del contrato, el Consejo de Estado ha señalado que </w:t>
      </w:r>
      <w:r w:rsidRPr="00E97A27">
        <w:rPr>
          <w:rFonts w:ascii="Verdana" w:eastAsia="Arial" w:hAnsi="Verdana" w:cs="Arial"/>
          <w:color w:val="000000" w:themeColor="text1"/>
          <w:lang w:eastAsia="es-ES" w:bidi="es-ES"/>
        </w:rPr>
        <w:t xml:space="preserve">consiste </w:t>
      </w:r>
      <w:r>
        <w:rPr>
          <w:rFonts w:ascii="Verdana" w:eastAsia="Arial" w:hAnsi="Verdana" w:cs="Arial"/>
          <w:color w:val="000000" w:themeColor="text1"/>
          <w:lang w:val="es-MX" w:eastAsia="es-ES" w:bidi="es-ES"/>
        </w:rPr>
        <w:t>“</w:t>
      </w:r>
      <w:r w:rsidRPr="00E97A27">
        <w:rPr>
          <w:rFonts w:ascii="Verdana" w:eastAsia="Arial" w:hAnsi="Verdana" w:cs="Arial"/>
          <w:color w:val="000000" w:themeColor="text1"/>
          <w:lang w:eastAsia="es-ES" w:bidi="es-ES"/>
        </w:rPr>
        <w:t>en garantizar el mantenimiento de la igualdad o equivalencia entre derechos y obligaciones surgidos al momento de proponer o de contratar, según el caso, de manera que si se rompe por causas sobrevinientes, imprevisibles y no imputables a quien resulte afectado, las partes adoptarán las medidas necesarias para su restablecimiento, so pena de incurrir en una responsabilidad contractual tendiente a restituir tal equilibrio</w:t>
      </w:r>
      <w:r>
        <w:rPr>
          <w:rFonts w:ascii="Verdana" w:eastAsia="Arial" w:hAnsi="Verdana" w:cs="Arial"/>
          <w:color w:val="000000" w:themeColor="text1"/>
          <w:lang w:val="es-MX" w:eastAsia="es-ES" w:bidi="es-ES"/>
        </w:rPr>
        <w:t>”</w:t>
      </w:r>
      <w:r w:rsidRPr="00E97A27">
        <w:rPr>
          <w:rStyle w:val="Refdenotaalpie"/>
          <w:rFonts w:ascii="Verdana" w:eastAsia="Arial" w:hAnsi="Verdana" w:cs="Arial"/>
          <w:color w:val="000000" w:themeColor="text1"/>
          <w:lang w:val="es-MX" w:eastAsia="es-ES" w:bidi="es-ES"/>
        </w:rPr>
        <w:footnoteReference w:id="8"/>
      </w:r>
      <w:r w:rsidRPr="00E97A27">
        <w:rPr>
          <w:rFonts w:ascii="Verdana" w:eastAsia="Arial" w:hAnsi="Verdana" w:cs="Arial"/>
          <w:color w:val="000000" w:themeColor="text1"/>
          <w:lang w:val="es-MX" w:eastAsia="es-ES" w:bidi="es-ES"/>
        </w:rPr>
        <w:t>. En concordancia, la doctrina ha indicado que con este</w:t>
      </w:r>
      <w:r w:rsidRPr="00E97A27">
        <w:rPr>
          <w:rFonts w:ascii="Verdana" w:hAnsi="Verdana" w:cs="Arial"/>
        </w:rPr>
        <w:t xml:space="preserve"> principio, también denominado </w:t>
      </w:r>
      <w:r>
        <w:rPr>
          <w:rFonts w:ascii="Verdana" w:eastAsia="Arial" w:hAnsi="Verdana" w:cs="Arial"/>
          <w:color w:val="000000" w:themeColor="text1"/>
          <w:lang w:val="es-MX" w:eastAsia="es-ES" w:bidi="es-ES"/>
        </w:rPr>
        <w:t>“</w:t>
      </w:r>
      <w:r w:rsidRPr="00E97A27">
        <w:rPr>
          <w:rFonts w:ascii="Verdana" w:hAnsi="Verdana" w:cs="Arial"/>
        </w:rPr>
        <w:t>el de la honesta equivalencia de prestaciones</w:t>
      </w:r>
      <w:r>
        <w:rPr>
          <w:rFonts w:ascii="Verdana" w:eastAsia="Arial" w:hAnsi="Verdana" w:cs="Arial"/>
          <w:color w:val="000000" w:themeColor="text1"/>
          <w:lang w:val="es-MX" w:eastAsia="es-ES" w:bidi="es-ES"/>
        </w:rPr>
        <w:t>”</w:t>
      </w:r>
      <w:r w:rsidRPr="00E97A27">
        <w:rPr>
          <w:rFonts w:ascii="Verdana" w:hAnsi="Verdana" w:cs="Arial"/>
        </w:rPr>
        <w:t xml:space="preserve">, se privilegia el </w:t>
      </w:r>
      <w:r w:rsidRPr="00E97A27">
        <w:rPr>
          <w:rFonts w:ascii="Verdana" w:hAnsi="Verdana" w:cs="Arial"/>
        </w:rPr>
        <w:lastRenderedPageBreak/>
        <w:t xml:space="preserve">carácter conmutativo o sinalagmático que, por regla general, tiene el contrato estatal, </w:t>
      </w:r>
      <w:r>
        <w:rPr>
          <w:rFonts w:ascii="Verdana" w:eastAsia="Arial" w:hAnsi="Verdana" w:cs="Arial"/>
          <w:color w:val="000000" w:themeColor="text1"/>
          <w:lang w:val="es-MX" w:eastAsia="es-ES" w:bidi="es-ES"/>
        </w:rPr>
        <w:t>“</w:t>
      </w:r>
      <w:r w:rsidRPr="00E97A27">
        <w:rPr>
          <w:rFonts w:ascii="Verdana" w:hAnsi="Verdana" w:cs="Arial"/>
        </w:rPr>
        <w:t>lo que significa que las prestaciones (derechos y obligaciones) asumidas por una parte contractual se entienden como equivalentes a las de la otra parte y obliga a la adopción de medidas tendientes a garantizar que esa igualdad existente en términos económicos al tiempo de su celebración se conserve y permanezca intacta durante su ejecución, y a que se restablezca esa equivalencia en caso de su ruptura por circunstancias o causas sobrevinientes, imprevisibles e imputables o no a ellas</w:t>
      </w:r>
      <w:r>
        <w:rPr>
          <w:rFonts w:ascii="Verdana" w:eastAsia="Arial" w:hAnsi="Verdana" w:cs="Arial"/>
          <w:color w:val="000000" w:themeColor="text1"/>
          <w:lang w:val="es-MX" w:eastAsia="es-ES" w:bidi="es-ES"/>
        </w:rPr>
        <w:t>”</w:t>
      </w:r>
      <w:r w:rsidRPr="00E97A27">
        <w:rPr>
          <w:rStyle w:val="Refdenotaalpie"/>
          <w:rFonts w:ascii="Verdana" w:eastAsia="Arial" w:hAnsi="Verdana" w:cs="Arial"/>
          <w:color w:val="000000" w:themeColor="text1"/>
          <w:lang w:val="es-MX" w:eastAsia="es-ES" w:bidi="es-ES"/>
        </w:rPr>
        <w:footnoteReference w:id="9"/>
      </w:r>
      <w:r w:rsidRPr="00E97A27">
        <w:rPr>
          <w:rFonts w:ascii="Verdana" w:hAnsi="Verdana" w:cs="Arial"/>
        </w:rPr>
        <w:t xml:space="preserve">.  </w:t>
      </w:r>
    </w:p>
    <w:p w14:paraId="30762171" w14:textId="77777777" w:rsidR="00DB2443" w:rsidRPr="00E97A27" w:rsidRDefault="00DB2443" w:rsidP="00DB2443">
      <w:pPr>
        <w:widowControl w:val="0"/>
        <w:autoSpaceDE w:val="0"/>
        <w:autoSpaceDN w:val="0"/>
        <w:spacing w:before="120" w:after="0" w:line="276" w:lineRule="auto"/>
        <w:ind w:firstLine="709"/>
        <w:jc w:val="both"/>
        <w:rPr>
          <w:rFonts w:ascii="Verdana" w:eastAsia="Arial" w:hAnsi="Verdana" w:cs="Arial"/>
          <w:color w:val="000000" w:themeColor="text1"/>
          <w:lang w:val="es-ES" w:eastAsia="es-ES" w:bidi="es-ES"/>
        </w:rPr>
      </w:pPr>
      <w:r w:rsidRPr="00E97A27">
        <w:rPr>
          <w:rFonts w:ascii="Verdana" w:eastAsia="Arial" w:hAnsi="Verdana" w:cs="Arial"/>
          <w:color w:val="000000" w:themeColor="text1"/>
          <w:lang w:val="es-MX" w:eastAsia="es-ES" w:bidi="es-ES"/>
        </w:rPr>
        <w:t xml:space="preserve">Conforme a lo anterior el equilibrio financiero del contrato se constituye en un principio medular de la contratación estatal que </w:t>
      </w:r>
      <w:r w:rsidRPr="00E97A27">
        <w:rPr>
          <w:rFonts w:ascii="Verdana" w:eastAsia="Arial" w:hAnsi="Verdana" w:cs="Arial"/>
          <w:color w:val="000000" w:themeColor="text1"/>
          <w:lang w:eastAsia="es-ES" w:bidi="es-ES"/>
        </w:rPr>
        <w:t xml:space="preserve">busca, precisamente, mantener las mismas condiciones </w:t>
      </w:r>
      <w:r w:rsidRPr="00E97A27">
        <w:rPr>
          <w:rFonts w:ascii="Verdana" w:eastAsia="Arial" w:hAnsi="Verdana" w:cs="Arial"/>
          <w:color w:val="000000" w:themeColor="text1"/>
          <w:lang w:val="es-ES" w:eastAsia="es-ES" w:bidi="es-ES"/>
        </w:rPr>
        <w:t>existente al tiempo de su celebración, de tal suerte que las prestaciones de las partes permanezcan hasta su terminación. De este modo, si la equivalencia entre las prestaciones se quebranta por causas no imputables a quien resulte afectado es necesario adoptar las medidas correspondientes para restablecer la ecuación contractual.</w:t>
      </w:r>
    </w:p>
    <w:p w14:paraId="3EEDB1CF" w14:textId="77777777" w:rsidR="00DB2443" w:rsidRPr="00E97A27" w:rsidRDefault="00DB2443" w:rsidP="00DB2443">
      <w:pPr>
        <w:widowControl w:val="0"/>
        <w:autoSpaceDE w:val="0"/>
        <w:autoSpaceDN w:val="0"/>
        <w:spacing w:before="120" w:after="0" w:line="276" w:lineRule="auto"/>
        <w:ind w:firstLine="709"/>
        <w:jc w:val="both"/>
        <w:rPr>
          <w:rFonts w:ascii="Verdana" w:eastAsia="Arial" w:hAnsi="Verdana" w:cs="Arial"/>
          <w:color w:val="000000" w:themeColor="text1"/>
          <w:lang w:val="es-ES" w:eastAsia="es-ES" w:bidi="es-ES"/>
        </w:rPr>
      </w:pPr>
      <w:r w:rsidRPr="00E97A27">
        <w:rPr>
          <w:rFonts w:ascii="Verdana" w:eastAsia="Arial" w:hAnsi="Verdana" w:cs="Arial"/>
          <w:color w:val="000000" w:themeColor="text1"/>
          <w:lang w:val="es-ES" w:eastAsia="es-ES" w:bidi="es-ES"/>
        </w:rPr>
        <w:t xml:space="preserve">Además de lo previsto en el artículo 27 de la Ley 80 de 1993, la obligación de mantener el equilibrio económico del contrato se encuentra establecida en diferentes disposiciones de dicha Ley. En efecto, el numeral 3 del artículo 4 </w:t>
      </w:r>
      <w:r w:rsidRPr="00E97A27">
        <w:rPr>
          <w:rFonts w:ascii="Verdana" w:eastAsia="Arial" w:hAnsi="Verdana" w:cs="Arial"/>
          <w:i/>
          <w:iCs/>
          <w:color w:val="000000" w:themeColor="text1"/>
          <w:lang w:val="es-ES" w:eastAsia="es-ES" w:bidi="es-ES"/>
        </w:rPr>
        <w:t>ibidem</w:t>
      </w:r>
      <w:r w:rsidRPr="00E97A27">
        <w:rPr>
          <w:rFonts w:ascii="Verdana" w:eastAsia="Arial" w:hAnsi="Verdana" w:cs="Arial"/>
          <w:color w:val="000000" w:themeColor="text1"/>
          <w:lang w:val="es-ES" w:eastAsia="es-ES" w:bidi="es-ES"/>
        </w:rPr>
        <w:t xml:space="preserve"> señala que las entidades estatales solicitarán la actualización o la revisión de los precios cuando se produzcan fenómenos que alteren en su contra </w:t>
      </w:r>
      <w:r w:rsidRPr="00E97A27">
        <w:rPr>
          <w:rFonts w:ascii="Verdana" w:eastAsia="Arial" w:hAnsi="Verdana" w:cs="Arial"/>
          <w:i/>
          <w:iCs/>
          <w:color w:val="000000" w:themeColor="text1"/>
          <w:lang w:val="es-ES" w:eastAsia="es-ES" w:bidi="es-ES"/>
        </w:rPr>
        <w:t>el equilibrio económico o financiero</w:t>
      </w:r>
      <w:r w:rsidRPr="00E97A27">
        <w:rPr>
          <w:rFonts w:ascii="Verdana" w:eastAsia="Arial" w:hAnsi="Verdana" w:cs="Arial"/>
          <w:color w:val="000000" w:themeColor="text1"/>
          <w:lang w:val="es-ES" w:eastAsia="es-ES" w:bidi="es-ES"/>
        </w:rPr>
        <w:t xml:space="preserve"> del contrato. Asimismo, el numeral 8 del artículo en comento señala que las entidades deberán adoptar las medidas necesarias para mantener durante el desarrollo y ejecución del contrato las condiciones técnicas, económicas y financieras existentes al momento de proponer en los casos en que se hubiere realizado licitación o concurso, o de contratar en los casos de contratación directa, para lo cual se emplearán los mecanismos de revisión y reajuste de precios. </w:t>
      </w:r>
    </w:p>
    <w:p w14:paraId="3FCB3029" w14:textId="77777777" w:rsidR="00DB2443" w:rsidRPr="00E97A27" w:rsidRDefault="00DB2443" w:rsidP="00DB2443">
      <w:pPr>
        <w:widowControl w:val="0"/>
        <w:autoSpaceDE w:val="0"/>
        <w:autoSpaceDN w:val="0"/>
        <w:spacing w:before="120" w:after="0" w:line="276" w:lineRule="auto"/>
        <w:ind w:firstLine="709"/>
        <w:jc w:val="both"/>
        <w:rPr>
          <w:rFonts w:ascii="Verdana" w:eastAsia="Arial" w:hAnsi="Verdana" w:cs="Arial"/>
          <w:color w:val="000000" w:themeColor="text1"/>
          <w:lang w:val="es-ES" w:eastAsia="es-ES" w:bidi="es-ES"/>
        </w:rPr>
      </w:pPr>
      <w:r w:rsidRPr="00E97A27">
        <w:rPr>
          <w:rFonts w:ascii="Verdana" w:eastAsia="Arial" w:hAnsi="Verdana" w:cs="Arial"/>
          <w:color w:val="000000" w:themeColor="text1"/>
          <w:lang w:val="es-ES" w:eastAsia="es-ES" w:bidi="es-ES"/>
        </w:rPr>
        <w:t xml:space="preserve">Por su parte, el numeral 1 del artículo 5 de la Ley 80 de 1993 indica que el contratista tiene derecho a recibir oportunamente la remuneración pactada y a que el valor intrínseco de la misma no se altere o modifique durante la vigencia del contrato. En consecuencia, tendrán derecho, previa solicitud, a que la administración les restablezca </w:t>
      </w:r>
      <w:r w:rsidRPr="00E97A27">
        <w:rPr>
          <w:rFonts w:ascii="Verdana" w:eastAsia="Arial" w:hAnsi="Verdana" w:cs="Arial"/>
          <w:i/>
          <w:iCs/>
          <w:color w:val="000000" w:themeColor="text1"/>
          <w:lang w:val="es-ES" w:eastAsia="es-ES" w:bidi="es-ES"/>
        </w:rPr>
        <w:t>el equilibrio de la ecuación económica</w:t>
      </w:r>
      <w:r w:rsidRPr="00E97A27">
        <w:rPr>
          <w:rFonts w:ascii="Verdana" w:eastAsia="Arial" w:hAnsi="Verdana" w:cs="Arial"/>
          <w:color w:val="000000" w:themeColor="text1"/>
          <w:lang w:val="es-ES" w:eastAsia="es-ES" w:bidi="es-ES"/>
        </w:rPr>
        <w:t xml:space="preserve"> del contrato </w:t>
      </w:r>
      <w:r w:rsidRPr="00E97A27">
        <w:rPr>
          <w:rFonts w:ascii="Verdana" w:eastAsia="Arial" w:hAnsi="Verdana" w:cs="Arial"/>
          <w:color w:val="000000" w:themeColor="text1"/>
          <w:lang w:val="es-ES" w:eastAsia="es-ES" w:bidi="es-ES"/>
        </w:rPr>
        <w:lastRenderedPageBreak/>
        <w:t>por la ocurrencia de situaciones imprevistas que no sean imputables a los contratistas. Si dicho equilibrio se rompe por incumplimiento de la entidad estatal contratante, tendrá que restablecerse la ecuación surgida al momento del nacimiento del contrato.</w:t>
      </w:r>
    </w:p>
    <w:p w14:paraId="71036630" w14:textId="77777777" w:rsidR="00DB2443" w:rsidRPr="00E97A27" w:rsidRDefault="00DB2443" w:rsidP="00DB2443">
      <w:pPr>
        <w:widowControl w:val="0"/>
        <w:autoSpaceDE w:val="0"/>
        <w:autoSpaceDN w:val="0"/>
        <w:spacing w:before="120" w:after="120" w:line="276" w:lineRule="auto"/>
        <w:ind w:firstLine="709"/>
        <w:jc w:val="both"/>
        <w:rPr>
          <w:rFonts w:ascii="Verdana" w:eastAsia="Arial" w:hAnsi="Verdana" w:cs="Arial"/>
          <w:color w:val="000000" w:themeColor="text1"/>
          <w:lang w:val="es-ES" w:eastAsia="es-ES" w:bidi="es-ES"/>
        </w:rPr>
      </w:pPr>
      <w:r w:rsidRPr="00E97A27">
        <w:rPr>
          <w:rFonts w:ascii="Verdana" w:eastAsia="Arial" w:hAnsi="Verdana" w:cs="Arial"/>
          <w:color w:val="000000" w:themeColor="text1"/>
          <w:lang w:val="es-ES" w:eastAsia="es-ES" w:bidi="es-ES"/>
        </w:rPr>
        <w:t xml:space="preserve">Adicionalmente, el numeral 1 del artículo 14 establece que en los actos en que se ejerciten algunas de estas potestades excepcionales deberá procederse al reconocimiento y orden de pago de las compensaciones e indemnizaciones a que tengan derecho las personas objeto de tales medidas y se aplicarán los mecanismos de ajuste de las condiciones y términos contractuales a que haya lugar, todo ello con el fin de mantener </w:t>
      </w:r>
      <w:r w:rsidRPr="00E97A27">
        <w:rPr>
          <w:rFonts w:ascii="Verdana" w:eastAsia="Arial" w:hAnsi="Verdana" w:cs="Arial"/>
          <w:i/>
          <w:iCs/>
          <w:color w:val="000000" w:themeColor="text1"/>
          <w:lang w:val="es-ES" w:eastAsia="es-ES" w:bidi="es-ES"/>
        </w:rPr>
        <w:t>la ecuación o equilibrio inicial.</w:t>
      </w:r>
    </w:p>
    <w:p w14:paraId="2A7442B7" w14:textId="77777777" w:rsidR="00DB2443" w:rsidRDefault="00DB2443" w:rsidP="00DB2443">
      <w:pPr>
        <w:widowControl w:val="0"/>
        <w:autoSpaceDE w:val="0"/>
        <w:autoSpaceDN w:val="0"/>
        <w:spacing w:after="120" w:line="276" w:lineRule="auto"/>
        <w:ind w:firstLine="709"/>
        <w:jc w:val="both"/>
        <w:rPr>
          <w:rFonts w:ascii="Verdana" w:eastAsia="Arial" w:hAnsi="Verdana" w:cs="Arial"/>
          <w:color w:val="000000" w:themeColor="text1"/>
          <w:lang w:val="es-ES" w:eastAsia="es-ES" w:bidi="es-ES"/>
        </w:rPr>
      </w:pPr>
      <w:r w:rsidRPr="00E97A27">
        <w:rPr>
          <w:rFonts w:ascii="Verdana" w:eastAsia="Arial" w:hAnsi="Verdana" w:cs="Arial"/>
          <w:color w:val="000000" w:themeColor="text1"/>
          <w:lang w:val="es-ES" w:eastAsia="es-ES" w:bidi="es-ES"/>
        </w:rPr>
        <w:t>Según se advierte, el Estatuto General de Contratación de la Administración Pública establece la necesidad de mantener durante la ejecución del contrato el equilibrio o equivalencia de las prestaciones de las partes surgidas al momento de contratar, para lo cual determina deberes y derechos para las entidades estatales y los contratistas en pro de su conservación. Dentro de estas obligaciones se prevé el deber de la entidad de adoptar las medidas correspondientes de manera que se pueda precaver las diferencias que se lleguen a presentar como consecuencia de la vulneración del principio del equilibrio económico del contrato y evitar una mayor onerosidad.</w:t>
      </w:r>
    </w:p>
    <w:p w14:paraId="493022F3" w14:textId="77777777" w:rsidR="00DB2443" w:rsidRPr="00E97A27" w:rsidRDefault="00DB2443" w:rsidP="00DB2443">
      <w:pPr>
        <w:widowControl w:val="0"/>
        <w:autoSpaceDE w:val="0"/>
        <w:autoSpaceDN w:val="0"/>
        <w:spacing w:after="0" w:line="276" w:lineRule="auto"/>
        <w:ind w:firstLine="708"/>
        <w:jc w:val="both"/>
        <w:rPr>
          <w:rFonts w:ascii="Verdana" w:eastAsia="Arial" w:hAnsi="Verdana" w:cs="Arial"/>
          <w:color w:val="000000" w:themeColor="text1"/>
          <w:lang w:val="es-ES" w:eastAsia="es-ES" w:bidi="es-ES"/>
        </w:rPr>
      </w:pPr>
      <w:r w:rsidRPr="00E97A27">
        <w:rPr>
          <w:rFonts w:ascii="Verdana" w:eastAsia="Arial" w:hAnsi="Verdana" w:cs="Arial"/>
          <w:color w:val="000000" w:themeColor="text1"/>
          <w:lang w:val="es-ES" w:eastAsia="es-ES" w:bidi="es-ES"/>
        </w:rPr>
        <w:t xml:space="preserve">En relación con las causas por las cuales puede verse afectado el equilibrio económico del contrato y su procedencia el Consejo de Estado ha desarrollado ampliamente la materia. En tal sentido, ha manifestado reiteradamente que el desequilibrio económico del contrato se puede presentar por diferentes situaciones: </w:t>
      </w:r>
    </w:p>
    <w:p w14:paraId="56B98E28" w14:textId="77777777" w:rsidR="00DB2443" w:rsidRPr="00E97A27" w:rsidRDefault="00DB2443" w:rsidP="00DB2443">
      <w:pPr>
        <w:widowControl w:val="0"/>
        <w:autoSpaceDE w:val="0"/>
        <w:autoSpaceDN w:val="0"/>
        <w:spacing w:after="0" w:line="276" w:lineRule="auto"/>
        <w:ind w:left="709" w:right="709"/>
        <w:jc w:val="both"/>
        <w:rPr>
          <w:rFonts w:ascii="Verdana" w:eastAsia="Arial" w:hAnsi="Verdana" w:cs="Arial"/>
          <w:color w:val="000000" w:themeColor="text1"/>
          <w:lang w:val="es-ES" w:eastAsia="es-ES" w:bidi="es-ES"/>
        </w:rPr>
      </w:pPr>
    </w:p>
    <w:p w14:paraId="278F721E" w14:textId="77777777" w:rsidR="00DB2443" w:rsidRPr="007A65DE" w:rsidRDefault="00DB2443" w:rsidP="00DB2443">
      <w:pPr>
        <w:widowControl w:val="0"/>
        <w:autoSpaceDE w:val="0"/>
        <w:autoSpaceDN w:val="0"/>
        <w:spacing w:after="120" w:line="240" w:lineRule="auto"/>
        <w:ind w:left="709" w:right="709"/>
        <w:jc w:val="both"/>
        <w:rPr>
          <w:rFonts w:ascii="Verdana" w:eastAsia="Arial" w:hAnsi="Verdana" w:cs="Arial"/>
          <w:color w:val="000000" w:themeColor="text1"/>
          <w:sz w:val="20"/>
          <w:szCs w:val="20"/>
          <w:lang w:val="es-ES" w:eastAsia="es-ES" w:bidi="es-ES"/>
        </w:rPr>
      </w:pPr>
      <w:r w:rsidRPr="007A65DE">
        <w:rPr>
          <w:rFonts w:ascii="Verdana" w:eastAsia="Arial" w:hAnsi="Verdana" w:cs="Arial"/>
          <w:color w:val="000000" w:themeColor="text1"/>
          <w:sz w:val="20"/>
          <w:szCs w:val="20"/>
          <w:lang w:val="es-ES" w:eastAsia="es-ES" w:bidi="es-ES"/>
        </w:rPr>
        <w:t xml:space="preserve">“a) Actos o hechos de la entidad administrativa contratante, como cuando no cumple con las obligaciones derivadas del contrato o introduce modificaciones al mismo -ius variandi-, sean éstas abusivas o no. </w:t>
      </w:r>
    </w:p>
    <w:p w14:paraId="4519BDB8" w14:textId="77777777" w:rsidR="00DB2443" w:rsidRPr="007A65DE" w:rsidRDefault="00DB2443" w:rsidP="00DB2443">
      <w:pPr>
        <w:widowControl w:val="0"/>
        <w:autoSpaceDE w:val="0"/>
        <w:autoSpaceDN w:val="0"/>
        <w:spacing w:after="120" w:line="240" w:lineRule="auto"/>
        <w:ind w:left="709" w:right="709"/>
        <w:jc w:val="both"/>
        <w:rPr>
          <w:rFonts w:ascii="Verdana" w:eastAsia="Arial" w:hAnsi="Verdana" w:cs="Arial"/>
          <w:color w:val="000000" w:themeColor="text1"/>
          <w:sz w:val="20"/>
          <w:szCs w:val="20"/>
          <w:lang w:val="es-ES" w:eastAsia="es-ES" w:bidi="es-ES"/>
        </w:rPr>
      </w:pPr>
      <w:r w:rsidRPr="007A65DE">
        <w:rPr>
          <w:rFonts w:ascii="Verdana" w:eastAsia="Arial" w:hAnsi="Verdana" w:cs="Arial"/>
          <w:color w:val="000000" w:themeColor="text1"/>
          <w:sz w:val="20"/>
          <w:szCs w:val="20"/>
          <w:lang w:val="es-ES" w:eastAsia="es-ES" w:bidi="es-ES"/>
        </w:rPr>
        <w:t xml:space="preserve">b) Actos generales de la administración como Estado, o ‘teoría del hecho del príncipe’, como cuando en ejercicio de sus potestades constitucionales y legales, cuya voluntad se manifiesta mediante leyes o actos administrativos de carácter general, afecta negativamente el contrato. </w:t>
      </w:r>
    </w:p>
    <w:p w14:paraId="07900700" w14:textId="77777777" w:rsidR="00DB2443" w:rsidRPr="007A65DE" w:rsidRDefault="00DB2443" w:rsidP="00DB2443">
      <w:pPr>
        <w:widowControl w:val="0"/>
        <w:autoSpaceDE w:val="0"/>
        <w:autoSpaceDN w:val="0"/>
        <w:spacing w:after="120" w:line="240" w:lineRule="auto"/>
        <w:ind w:left="709" w:right="709"/>
        <w:jc w:val="both"/>
        <w:rPr>
          <w:rFonts w:ascii="Verdana" w:eastAsia="Arial" w:hAnsi="Verdana" w:cs="Arial"/>
          <w:color w:val="000000" w:themeColor="text1"/>
          <w:sz w:val="20"/>
          <w:szCs w:val="20"/>
          <w:lang w:val="es-ES" w:eastAsia="es-ES" w:bidi="es-ES"/>
        </w:rPr>
      </w:pPr>
      <w:r w:rsidRPr="007A65DE">
        <w:rPr>
          <w:rFonts w:ascii="Verdana" w:eastAsia="Arial" w:hAnsi="Verdana" w:cs="Arial"/>
          <w:color w:val="000000" w:themeColor="text1"/>
          <w:sz w:val="20"/>
          <w:szCs w:val="20"/>
          <w:lang w:val="es-ES" w:eastAsia="es-ES" w:bidi="es-ES"/>
        </w:rPr>
        <w:t xml:space="preserve">c) Factores exógenos a las partes del negocio, o ‘teoría de la imprevisión’, o ‘sujeciones materiales imprevistas’, que involucran circunstancias no imputables al Estado y externas al </w:t>
      </w:r>
      <w:proofErr w:type="gramStart"/>
      <w:r w:rsidRPr="007A65DE">
        <w:rPr>
          <w:rFonts w:ascii="Verdana" w:eastAsia="Arial" w:hAnsi="Verdana" w:cs="Arial"/>
          <w:color w:val="000000" w:themeColor="text1"/>
          <w:sz w:val="20"/>
          <w:szCs w:val="20"/>
          <w:lang w:val="es-ES" w:eastAsia="es-ES" w:bidi="es-ES"/>
        </w:rPr>
        <w:t>contrato</w:t>
      </w:r>
      <w:proofErr w:type="gramEnd"/>
      <w:r w:rsidRPr="007A65DE">
        <w:rPr>
          <w:rFonts w:ascii="Verdana" w:eastAsia="Arial" w:hAnsi="Verdana" w:cs="Arial"/>
          <w:color w:val="000000" w:themeColor="text1"/>
          <w:sz w:val="20"/>
          <w:szCs w:val="20"/>
          <w:lang w:val="es-ES" w:eastAsia="es-ES" w:bidi="es-ES"/>
        </w:rPr>
        <w:t xml:space="preserve"> pero con incidencia en él.</w:t>
      </w:r>
    </w:p>
    <w:p w14:paraId="3B694598" w14:textId="77777777" w:rsidR="00DB2443" w:rsidRPr="00E97A27" w:rsidRDefault="00DB2443" w:rsidP="00DB2443">
      <w:pPr>
        <w:widowControl w:val="0"/>
        <w:autoSpaceDE w:val="0"/>
        <w:autoSpaceDN w:val="0"/>
        <w:spacing w:after="0" w:line="240" w:lineRule="auto"/>
        <w:ind w:left="709" w:right="709"/>
        <w:jc w:val="both"/>
        <w:rPr>
          <w:rFonts w:ascii="Verdana" w:eastAsia="Arial" w:hAnsi="Verdana" w:cs="Arial"/>
          <w:color w:val="000000" w:themeColor="text1"/>
          <w:sz w:val="21"/>
          <w:szCs w:val="21"/>
          <w:lang w:val="es-ES" w:eastAsia="es-ES" w:bidi="es-ES"/>
        </w:rPr>
      </w:pPr>
      <w:r w:rsidRPr="007A65DE">
        <w:rPr>
          <w:rFonts w:ascii="Verdana" w:eastAsia="Arial" w:hAnsi="Verdana" w:cs="Arial"/>
          <w:color w:val="000000" w:themeColor="text1"/>
          <w:sz w:val="20"/>
          <w:szCs w:val="20"/>
          <w:lang w:val="es-ES" w:eastAsia="es-ES" w:bidi="es-ES"/>
        </w:rPr>
        <w:t xml:space="preserve">En todos estos eventos surge la obligación de la administración contratante de auxiliar al contratista colaborador asumiendo mediante una </w:t>
      </w:r>
      <w:r w:rsidRPr="007A65DE">
        <w:rPr>
          <w:rFonts w:ascii="Verdana" w:eastAsia="Arial" w:hAnsi="Verdana" w:cs="Arial"/>
          <w:color w:val="000000" w:themeColor="text1"/>
          <w:sz w:val="20"/>
          <w:szCs w:val="20"/>
          <w:lang w:val="es-ES" w:eastAsia="es-ES" w:bidi="es-ES"/>
        </w:rPr>
        <w:lastRenderedPageBreak/>
        <w:t>compensación -llevarlo hasta el punto de no pérdida- o nace el deber de indemnizarlo integralmente, según el caso y si se cumplen los requisitos señalados para cada figura”</w:t>
      </w:r>
      <w:r w:rsidRPr="007A65DE">
        <w:rPr>
          <w:rStyle w:val="Refdenotaalpie"/>
          <w:rFonts w:ascii="Verdana" w:eastAsia="Arial" w:hAnsi="Verdana" w:cs="Arial"/>
          <w:color w:val="000000" w:themeColor="text1"/>
          <w:sz w:val="20"/>
          <w:szCs w:val="20"/>
          <w:lang w:val="es-ES" w:eastAsia="es-ES" w:bidi="es-ES"/>
        </w:rPr>
        <w:footnoteReference w:id="10"/>
      </w:r>
      <w:r w:rsidRPr="007A65DE">
        <w:rPr>
          <w:rFonts w:ascii="Verdana" w:eastAsia="Arial" w:hAnsi="Verdana" w:cs="Arial"/>
          <w:color w:val="000000" w:themeColor="text1"/>
          <w:sz w:val="20"/>
          <w:szCs w:val="20"/>
          <w:lang w:val="es-ES" w:eastAsia="es-ES" w:bidi="es-ES"/>
        </w:rPr>
        <w:t>.</w:t>
      </w:r>
    </w:p>
    <w:p w14:paraId="509FB3B5" w14:textId="77777777" w:rsidR="00DB2443" w:rsidRPr="00E97A27" w:rsidRDefault="00DB2443" w:rsidP="00DB2443">
      <w:pPr>
        <w:widowControl w:val="0"/>
        <w:autoSpaceDE w:val="0"/>
        <w:autoSpaceDN w:val="0"/>
        <w:spacing w:after="0" w:line="276" w:lineRule="auto"/>
        <w:ind w:left="709" w:right="709"/>
        <w:jc w:val="both"/>
        <w:rPr>
          <w:rFonts w:ascii="Verdana" w:eastAsia="Arial" w:hAnsi="Verdana" w:cs="Arial"/>
          <w:color w:val="000000" w:themeColor="text1"/>
          <w:lang w:val="es-ES" w:eastAsia="es-ES" w:bidi="es-ES"/>
        </w:rPr>
      </w:pPr>
    </w:p>
    <w:p w14:paraId="19BDF847" w14:textId="77777777" w:rsidR="00DB2443" w:rsidRPr="00E97A27" w:rsidRDefault="00DB2443" w:rsidP="00DB2443">
      <w:pPr>
        <w:widowControl w:val="0"/>
        <w:autoSpaceDE w:val="0"/>
        <w:autoSpaceDN w:val="0"/>
        <w:spacing w:after="0" w:line="276" w:lineRule="auto"/>
        <w:ind w:firstLine="709"/>
        <w:jc w:val="both"/>
        <w:rPr>
          <w:rFonts w:ascii="Verdana" w:eastAsia="Arial" w:hAnsi="Verdana" w:cs="Arial"/>
          <w:color w:val="000000" w:themeColor="text1"/>
          <w:lang w:eastAsia="es-ES" w:bidi="es-ES"/>
        </w:rPr>
      </w:pPr>
      <w:r w:rsidRPr="00E97A27">
        <w:rPr>
          <w:rFonts w:ascii="Verdana" w:eastAsia="Arial" w:hAnsi="Verdana" w:cs="Arial"/>
          <w:color w:val="000000" w:themeColor="text1"/>
          <w:lang w:val="es-ES" w:eastAsia="es-ES" w:bidi="es-ES"/>
        </w:rPr>
        <w:t>En lo que atañe a la procedencia del restablecimiento del equilibrio financiero del contrato cuando este se vulnera, la jurisprudencia ha señalado que para estos efectos es imperativo la prueba del menoscabo, demostrar que este es grave y que además no corresponde a un riesgo propio de la actividad que deba ser asumido por una de las partes contractuales</w:t>
      </w:r>
      <w:r w:rsidRPr="00E97A27">
        <w:rPr>
          <w:rStyle w:val="Refdenotaalpie"/>
          <w:rFonts w:ascii="Verdana" w:eastAsia="Arial" w:hAnsi="Verdana" w:cs="Arial"/>
          <w:color w:val="000000" w:themeColor="text1"/>
          <w:lang w:val="es-ES" w:eastAsia="es-ES" w:bidi="es-ES"/>
        </w:rPr>
        <w:footnoteReference w:id="11"/>
      </w:r>
      <w:r w:rsidRPr="00E97A27">
        <w:rPr>
          <w:rFonts w:ascii="Verdana" w:eastAsia="Arial" w:hAnsi="Verdana" w:cs="Arial"/>
          <w:color w:val="000000" w:themeColor="text1"/>
          <w:lang w:val="es-ES" w:eastAsia="es-ES" w:bidi="es-ES"/>
        </w:rPr>
        <w:t xml:space="preserve">. Además, es necesario que las reclamaciones para el restablecimiento se realicen en la oportunidad debida, de manera que </w:t>
      </w:r>
      <w:r w:rsidRPr="00E97A27">
        <w:rPr>
          <w:rFonts w:ascii="Verdana" w:eastAsia="Arial" w:hAnsi="Verdana" w:cs="Arial"/>
          <w:color w:val="000000" w:themeColor="text1"/>
          <w:lang w:eastAsia="es-ES" w:bidi="es-ES"/>
        </w:rPr>
        <w:t xml:space="preserve">si las solicitudes, o salvedades </w:t>
      </w:r>
      <w:r>
        <w:rPr>
          <w:rFonts w:ascii="Verdana" w:eastAsia="Arial" w:hAnsi="Verdana" w:cs="Arial"/>
          <w:color w:val="000000" w:themeColor="text1"/>
          <w:lang w:val="es-MX" w:eastAsia="es-ES" w:bidi="es-ES"/>
        </w:rPr>
        <w:t>“</w:t>
      </w:r>
      <w:r w:rsidRPr="00E97A27">
        <w:rPr>
          <w:rFonts w:ascii="Verdana" w:eastAsia="Arial" w:hAnsi="Verdana" w:cs="Arial"/>
          <w:color w:val="000000" w:themeColor="text1"/>
          <w:lang w:eastAsia="es-ES" w:bidi="es-ES"/>
        </w:rPr>
        <w:t>no se hacen al momento de suscribir las suspensiones, adiciones o prórrogas del plazo contractual, contratos adicionales, otrosíes, etc., que por tal motivo se convinieren, cualquier solicitud, reclamación o pretensión ulterior es extemporánea, improcedente e impróspera por vulnerar el principio de la buena fe contractual</w:t>
      </w:r>
      <w:r>
        <w:rPr>
          <w:rFonts w:ascii="Verdana" w:eastAsia="Arial" w:hAnsi="Verdana" w:cs="Arial"/>
          <w:color w:val="000000" w:themeColor="text1"/>
          <w:lang w:val="es-MX" w:eastAsia="es-ES" w:bidi="es-ES"/>
        </w:rPr>
        <w:t>”</w:t>
      </w:r>
      <w:r w:rsidRPr="00E97A27">
        <w:rPr>
          <w:rStyle w:val="Refdenotaalpie"/>
          <w:rFonts w:ascii="Verdana" w:eastAsia="Arial" w:hAnsi="Verdana" w:cs="Arial"/>
          <w:color w:val="000000" w:themeColor="text1"/>
          <w:lang w:val="es-MX" w:eastAsia="es-ES" w:bidi="es-ES"/>
        </w:rPr>
        <w:footnoteReference w:id="12"/>
      </w:r>
      <w:r w:rsidRPr="00E97A27">
        <w:rPr>
          <w:rFonts w:ascii="Verdana" w:eastAsia="Arial" w:hAnsi="Verdana" w:cs="Arial"/>
          <w:color w:val="000000" w:themeColor="text1"/>
          <w:lang w:val="es-MX" w:eastAsia="es-ES" w:bidi="es-ES"/>
        </w:rPr>
        <w:t xml:space="preserve">. </w:t>
      </w:r>
    </w:p>
    <w:p w14:paraId="27EA873F" w14:textId="77777777" w:rsidR="00DB2443" w:rsidRPr="00E97A27" w:rsidRDefault="00DB2443" w:rsidP="00DB2443">
      <w:pPr>
        <w:widowControl w:val="0"/>
        <w:autoSpaceDE w:val="0"/>
        <w:autoSpaceDN w:val="0"/>
        <w:spacing w:before="120" w:after="0" w:line="276" w:lineRule="auto"/>
        <w:ind w:firstLine="709"/>
        <w:jc w:val="both"/>
        <w:rPr>
          <w:rFonts w:ascii="Verdana" w:eastAsia="Arial" w:hAnsi="Verdana" w:cs="Arial"/>
          <w:color w:val="000000" w:themeColor="text1"/>
          <w:lang w:eastAsia="es-ES" w:bidi="es-ES"/>
        </w:rPr>
      </w:pPr>
      <w:r w:rsidRPr="00E97A27">
        <w:rPr>
          <w:rFonts w:ascii="Verdana" w:eastAsia="Arial" w:hAnsi="Verdana" w:cs="Arial"/>
          <w:color w:val="000000" w:themeColor="text1"/>
          <w:lang w:val="es-ES" w:eastAsia="es-ES" w:bidi="es-ES"/>
        </w:rPr>
        <w:t xml:space="preserve">De este modo, conforme a esta postura del Consejo de Estado no basta con la alegación del rompimiento del equilibrio del contrato puesto que resulta indispensable demostrar la afectación grave de las condiciones del contrato y, además, que la reclamación o solicitud en que se fundamenta el desequilibrio económico del contrato se realice en el momento oportuno, esto es, cuando se celebren las modificaciones, prórrogas, suspensiones, entre otros y no con posterioridad a ella. </w:t>
      </w:r>
    </w:p>
    <w:p w14:paraId="6B53525A" w14:textId="77777777" w:rsidR="00DB2443" w:rsidRPr="00E97A27" w:rsidRDefault="00DB2443" w:rsidP="00DB2443">
      <w:pPr>
        <w:widowControl w:val="0"/>
        <w:autoSpaceDE w:val="0"/>
        <w:autoSpaceDN w:val="0"/>
        <w:spacing w:before="120" w:after="0" w:line="276" w:lineRule="auto"/>
        <w:ind w:firstLine="709"/>
        <w:jc w:val="both"/>
        <w:rPr>
          <w:rFonts w:ascii="Verdana" w:eastAsia="Arial" w:hAnsi="Verdana" w:cs="Arial"/>
          <w:color w:val="000000" w:themeColor="text1"/>
          <w:lang w:eastAsia="es-ES" w:bidi="es-ES"/>
        </w:rPr>
      </w:pPr>
      <w:r w:rsidRPr="00E97A27">
        <w:rPr>
          <w:rFonts w:ascii="Verdana" w:eastAsia="Arial" w:hAnsi="Verdana" w:cs="Arial"/>
          <w:color w:val="000000" w:themeColor="text1"/>
          <w:lang w:val="es-ES" w:eastAsia="es-ES" w:bidi="es-ES"/>
        </w:rPr>
        <w:t>En sentencias recientes el Consejo de Estado ha morigerado la postura anterior en relación con la oportunidad de la reclamación, en la medida en que, si bien es importante considerar el principio de buena fe al momento de suscribir los acuerdos entre las partes, se resalta la necesidad de analizar</w:t>
      </w:r>
      <w:r w:rsidRPr="00E97A27">
        <w:rPr>
          <w:rFonts w:ascii="Verdana" w:eastAsia="Arial" w:hAnsi="Verdana" w:cs="Arial"/>
          <w:color w:val="000000" w:themeColor="text1"/>
          <w:lang w:eastAsia="es-ES" w:bidi="es-ES"/>
        </w:rPr>
        <w:t xml:space="preserve"> cada caso el contenido del respectivo acuerdo y de sus antecedentes, para determinar el alcance de los otrosíes o de las actas de suspensión correspondientes</w:t>
      </w:r>
      <w:r w:rsidRPr="00E97A27">
        <w:rPr>
          <w:rStyle w:val="Refdenotaalpie"/>
          <w:rFonts w:ascii="Verdana" w:eastAsia="Arial" w:hAnsi="Verdana" w:cs="Arial"/>
          <w:color w:val="000000" w:themeColor="text1"/>
          <w:lang w:eastAsia="es-ES" w:bidi="es-ES"/>
        </w:rPr>
        <w:footnoteReference w:id="13"/>
      </w:r>
      <w:r w:rsidRPr="00E97A27">
        <w:rPr>
          <w:rFonts w:ascii="Verdana" w:eastAsia="Arial" w:hAnsi="Verdana" w:cs="Arial"/>
          <w:color w:val="000000" w:themeColor="text1"/>
          <w:lang w:eastAsia="es-ES" w:bidi="es-ES"/>
        </w:rPr>
        <w:t xml:space="preserve">. En tal sentido, con base en esta posición se considera que la inexistencia de una </w:t>
      </w:r>
      <w:r w:rsidRPr="00E97A27">
        <w:rPr>
          <w:rFonts w:ascii="Verdana" w:eastAsia="Arial" w:hAnsi="Verdana" w:cs="Arial"/>
          <w:color w:val="000000" w:themeColor="text1"/>
          <w:lang w:eastAsia="es-ES" w:bidi="es-ES"/>
        </w:rPr>
        <w:lastRenderedPageBreak/>
        <w:t xml:space="preserve">salvedad en la prórroga o suspensión o cualquier acuerdo de voluntades que se efectúe por las partes no es suficiente para determinar la improcedencia de la reclamación, ya que es necesario revisar los antecedentes y los hechos que justificaron dicho acuerdo. Esto se fundamente en que </w:t>
      </w:r>
      <w:r>
        <w:rPr>
          <w:rFonts w:ascii="Verdana" w:eastAsia="Arial" w:hAnsi="Verdana" w:cs="Arial"/>
          <w:color w:val="000000" w:themeColor="text1"/>
          <w:lang w:val="es-MX" w:eastAsia="es-ES" w:bidi="es-ES"/>
        </w:rPr>
        <w:t>“</w:t>
      </w:r>
      <w:r w:rsidRPr="00E97A27">
        <w:rPr>
          <w:rFonts w:ascii="Verdana" w:eastAsia="Arial" w:hAnsi="Verdana" w:cs="Arial"/>
          <w:color w:val="000000" w:themeColor="text1"/>
          <w:lang w:eastAsia="es-ES" w:bidi="es-ES"/>
        </w:rPr>
        <w:t>la denegatoria de tales pretensiones, es el hecho de que el acuerdo suscrito haya servido, precisamente, para solventar situaciones que se hayan presentado durante la ejecución del contrato, por lo que no se entendería que, de considerar que subsistía un perjuicio para el contratista derivado</w:t>
      </w:r>
      <w:r w:rsidRPr="00E97A27">
        <w:rPr>
          <w:rFonts w:ascii="Verdana" w:hAnsi="Verdana" w:cs="Arial"/>
        </w:rPr>
        <w:t xml:space="preserve"> </w:t>
      </w:r>
      <w:r w:rsidRPr="00E97A27">
        <w:rPr>
          <w:rFonts w:ascii="Verdana" w:eastAsia="Arial" w:hAnsi="Verdana" w:cs="Arial"/>
          <w:color w:val="000000" w:themeColor="text1"/>
          <w:lang w:eastAsia="es-ES" w:bidi="es-ES"/>
        </w:rPr>
        <w:t>de tales situaciones, haya concurrido a suscribirlo, sin dejar alguna manifestación sobre la insuficiencia de ese acuerdo para satisfacer sus reclamaciones</w:t>
      </w:r>
      <w:r>
        <w:rPr>
          <w:rFonts w:ascii="Verdana" w:eastAsia="Arial" w:hAnsi="Verdana" w:cs="Arial"/>
          <w:color w:val="000000" w:themeColor="text1"/>
          <w:lang w:val="es-MX" w:eastAsia="es-ES" w:bidi="es-ES"/>
        </w:rPr>
        <w:t>”</w:t>
      </w:r>
      <w:r w:rsidRPr="00E97A27">
        <w:rPr>
          <w:rFonts w:ascii="Verdana" w:eastAsia="Arial" w:hAnsi="Verdana" w:cs="Arial"/>
          <w:color w:val="000000" w:themeColor="text1"/>
          <w:lang w:eastAsia="es-ES" w:bidi="es-ES"/>
        </w:rPr>
        <w:t>.</w:t>
      </w:r>
    </w:p>
    <w:p w14:paraId="768B380F" w14:textId="77777777" w:rsidR="00DB2443" w:rsidRPr="00E97A27" w:rsidRDefault="00DB2443" w:rsidP="00DB2443">
      <w:pPr>
        <w:widowControl w:val="0"/>
        <w:autoSpaceDE w:val="0"/>
        <w:autoSpaceDN w:val="0"/>
        <w:spacing w:before="120" w:after="0" w:line="276" w:lineRule="auto"/>
        <w:ind w:firstLine="709"/>
        <w:jc w:val="both"/>
        <w:rPr>
          <w:rFonts w:ascii="Verdana" w:eastAsia="Arial" w:hAnsi="Verdana" w:cs="Arial"/>
          <w:color w:val="000000" w:themeColor="text1"/>
          <w:lang w:eastAsia="es-ES" w:bidi="es-ES"/>
        </w:rPr>
      </w:pPr>
      <w:r w:rsidRPr="00E97A27">
        <w:rPr>
          <w:rFonts w:ascii="Verdana" w:eastAsia="Arial" w:hAnsi="Verdana" w:cs="Arial"/>
          <w:color w:val="000000" w:themeColor="text1"/>
          <w:lang w:val="es-ES" w:eastAsia="es-ES" w:bidi="es-ES"/>
        </w:rPr>
        <w:t xml:space="preserve">Bajo estas consideraciones y más allá de las distintas posturas que se han generado al interior del Consejo de Estado en torno a la oportunidad de la reclamación del restablecimiento del equilibrio económico del contrato, lo relevante de lo expuesto, para efectos de la consulta, es que este restablecimiento podrá realizarlo directamente la Administración durante la ejecución del contrato adoptando las medidas necesarias que aseguren la efectividad de los pagos y reconocimientos al contratista que haya lugar. Estas medidas podrán materializarse a través de los distintos acuerdos que suscriban las partes como prórrogas, adiciones, otrosíes o cualquier acuerdo modificatorio que se considere necesarios para solventar el desequilibrio del contrato de acuerdo con las particularidades de cada caso. Igualmente, podrá efectuarse dicho reconocimiento por parte del juez mediante el ejercicio de la acción judicial correspondiente. </w:t>
      </w:r>
    </w:p>
    <w:p w14:paraId="55F290E8" w14:textId="77777777" w:rsidR="00DB2443" w:rsidRPr="00E97A27" w:rsidRDefault="00DB2443" w:rsidP="00DB2443">
      <w:pPr>
        <w:widowControl w:val="0"/>
        <w:autoSpaceDE w:val="0"/>
        <w:autoSpaceDN w:val="0"/>
        <w:spacing w:before="120" w:after="0" w:line="276" w:lineRule="auto"/>
        <w:ind w:firstLine="709"/>
        <w:jc w:val="both"/>
        <w:rPr>
          <w:rFonts w:ascii="Verdana" w:eastAsia="Arial" w:hAnsi="Verdana" w:cs="Arial"/>
          <w:color w:val="000000" w:themeColor="text1"/>
          <w:lang w:eastAsia="es-ES" w:bidi="es-ES"/>
        </w:rPr>
      </w:pPr>
      <w:r w:rsidRPr="00E97A27">
        <w:rPr>
          <w:rFonts w:ascii="Verdana" w:eastAsia="Arial" w:hAnsi="Verdana" w:cs="Arial"/>
          <w:color w:val="000000" w:themeColor="text1"/>
          <w:lang w:val="es-ES" w:eastAsia="es-ES" w:bidi="es-ES"/>
        </w:rPr>
        <w:t>Ello encuentra sustento legal en los artículos 4.8, 5.1 y 27 de la Ley 80 de 1993, que, como se explicó, imponen el deber a la entidad de adoptar las medidas necesarias para mantener durante el desarrollo y ejecución del contrato las condiciones técnicas, económicas y financieras existentes al momento de su celebración y restablecer la ecuación financiera del contrato cuando a ello haya lugar. Para estos efectos, le corresponde a la entidad realizar un análisis detallado del asunto, revisar su procedencia, verificar las circunstancias fácticas y jurídicas que fundamente dicho restablecimiento y las limitaciones legales sobre el particular, de manera que mediante los acuerdos que se celebren se autorregulen los intereses de las partes.</w:t>
      </w:r>
    </w:p>
    <w:p w14:paraId="55ADFF0E" w14:textId="77777777" w:rsidR="00DB2443" w:rsidRPr="00E97A27" w:rsidRDefault="00DB2443" w:rsidP="00DB2443">
      <w:pPr>
        <w:widowControl w:val="0"/>
        <w:autoSpaceDE w:val="0"/>
        <w:autoSpaceDN w:val="0"/>
        <w:spacing w:before="120" w:after="0" w:line="276" w:lineRule="auto"/>
        <w:ind w:firstLine="709"/>
        <w:jc w:val="both"/>
        <w:rPr>
          <w:rFonts w:ascii="Verdana" w:eastAsia="Arial" w:hAnsi="Verdana" w:cs="Arial"/>
          <w:color w:val="000000" w:themeColor="text1"/>
          <w:lang w:eastAsia="es-ES" w:bidi="es-ES"/>
        </w:rPr>
      </w:pPr>
      <w:r w:rsidRPr="00E97A27">
        <w:rPr>
          <w:rFonts w:ascii="Verdana" w:eastAsia="Arial" w:hAnsi="Verdana" w:cs="Arial"/>
          <w:color w:val="000000" w:themeColor="text1"/>
          <w:lang w:val="es-ES" w:eastAsia="es-ES" w:bidi="es-ES"/>
        </w:rPr>
        <w:t xml:space="preserve">Aunado a lo expuesto, la jurisprudencia resalta que la posibilidad de modificar los contratos estatales es una especial forma de hacer prevalecer la finalidad de este, en particular en aquellos contratos de largo plazo, como el de </w:t>
      </w:r>
      <w:r w:rsidRPr="00E97A27">
        <w:rPr>
          <w:rFonts w:ascii="Verdana" w:eastAsia="Arial" w:hAnsi="Verdana" w:cs="Arial"/>
          <w:color w:val="000000" w:themeColor="text1"/>
          <w:lang w:val="es-ES" w:eastAsia="es-ES" w:bidi="es-ES"/>
        </w:rPr>
        <w:lastRenderedPageBreak/>
        <w:t>obra, en los que es difícil prever todas las contingencias que puedan afectar su ejecución. De esta manera, la Administración podrá variar, dadas ciertas condiciones, algunos aspectos del contrato cuando sea necesario para el cumplimiento del objeto y de los fines generales del Estado, por lo que</w:t>
      </w:r>
      <w:r w:rsidRPr="00E97A27">
        <w:rPr>
          <w:rFonts w:ascii="Verdana" w:eastAsia="Arial" w:hAnsi="Verdana" w:cs="Arial"/>
          <w:lang w:val="es-ES" w:eastAsia="es-ES" w:bidi="es-ES"/>
        </w:rPr>
        <w:t xml:space="preserve"> es </w:t>
      </w:r>
      <w:r>
        <w:rPr>
          <w:rFonts w:ascii="Verdana" w:eastAsia="Arial" w:hAnsi="Verdana" w:cs="Arial"/>
          <w:color w:val="000000" w:themeColor="text1"/>
          <w:lang w:val="es-MX" w:eastAsia="es-ES" w:bidi="es-ES"/>
        </w:rPr>
        <w:t>“</w:t>
      </w:r>
      <w:r w:rsidRPr="00E97A27">
        <w:rPr>
          <w:rFonts w:ascii="Verdana" w:eastAsia="Arial" w:hAnsi="Verdana" w:cs="Arial"/>
          <w:lang w:val="es-ES" w:eastAsia="es-ES" w:bidi="es-ES"/>
        </w:rPr>
        <w:t>preciso entonces el diseño de reglas que permitan la adaptación y la resolución pacífica de las controversias para evitar el fracaso</w:t>
      </w:r>
      <w:r>
        <w:rPr>
          <w:rFonts w:ascii="Verdana" w:eastAsia="Arial" w:hAnsi="Verdana" w:cs="Arial"/>
          <w:color w:val="000000" w:themeColor="text1"/>
          <w:lang w:val="es-MX" w:eastAsia="es-ES" w:bidi="es-ES"/>
        </w:rPr>
        <w:t>”</w:t>
      </w:r>
      <w:r w:rsidRPr="00E97A27">
        <w:rPr>
          <w:rStyle w:val="Refdenotaalpie"/>
          <w:rFonts w:ascii="Verdana" w:eastAsia="Arial" w:hAnsi="Verdana" w:cs="Arial"/>
          <w:color w:val="000000" w:themeColor="text1"/>
          <w:lang w:val="es-MX" w:eastAsia="es-ES" w:bidi="es-ES"/>
        </w:rPr>
        <w:footnoteReference w:id="14"/>
      </w:r>
      <w:r w:rsidRPr="00E97A27">
        <w:rPr>
          <w:rFonts w:ascii="Verdana" w:eastAsia="Arial" w:hAnsi="Verdana" w:cs="Arial"/>
          <w:lang w:val="es-ES" w:eastAsia="es-ES" w:bidi="es-ES"/>
        </w:rPr>
        <w:t>.</w:t>
      </w:r>
      <w:r w:rsidRPr="00E97A27">
        <w:rPr>
          <w:rFonts w:ascii="Verdana" w:eastAsia="Arial" w:hAnsi="Verdana" w:cs="Arial"/>
          <w:sz w:val="21"/>
          <w:szCs w:val="21"/>
          <w:lang w:val="es-ES" w:eastAsia="es-ES" w:bidi="es-ES"/>
        </w:rPr>
        <w:t xml:space="preserve"> </w:t>
      </w:r>
    </w:p>
    <w:p w14:paraId="0F1E8FB6" w14:textId="77777777" w:rsidR="00DB2443" w:rsidRPr="00E97A27" w:rsidRDefault="00DB2443" w:rsidP="00DB2443">
      <w:pPr>
        <w:widowControl w:val="0"/>
        <w:autoSpaceDE w:val="0"/>
        <w:autoSpaceDN w:val="0"/>
        <w:spacing w:before="120" w:after="0" w:line="276" w:lineRule="auto"/>
        <w:ind w:firstLine="709"/>
        <w:jc w:val="both"/>
        <w:rPr>
          <w:rFonts w:ascii="Verdana" w:eastAsia="Arial" w:hAnsi="Verdana" w:cs="Arial"/>
          <w:color w:val="000000" w:themeColor="text1"/>
          <w:lang w:eastAsia="es-ES" w:bidi="es-ES"/>
        </w:rPr>
      </w:pPr>
      <w:r w:rsidRPr="00E97A27">
        <w:rPr>
          <w:rFonts w:ascii="Verdana" w:eastAsia="Arial" w:hAnsi="Verdana" w:cs="Arial"/>
          <w:color w:val="000000" w:themeColor="text1"/>
          <w:lang w:val="es-ES" w:eastAsia="es-ES" w:bidi="es-ES"/>
        </w:rPr>
        <w:t xml:space="preserve">En armonía con lo anterior, la doctrina ha señalado que </w:t>
      </w:r>
      <w:r>
        <w:rPr>
          <w:rFonts w:ascii="Verdana" w:eastAsia="Arial" w:hAnsi="Verdana" w:cs="Arial"/>
          <w:color w:val="000000" w:themeColor="text1"/>
          <w:lang w:val="es-MX" w:eastAsia="es-ES" w:bidi="es-ES"/>
        </w:rPr>
        <w:t>“</w:t>
      </w:r>
      <w:r w:rsidRPr="00E97A27">
        <w:rPr>
          <w:rFonts w:ascii="Verdana" w:eastAsia="Arial" w:hAnsi="Verdana" w:cs="Arial"/>
          <w:color w:val="000000" w:themeColor="text1"/>
          <w:lang w:val="es-ES" w:eastAsia="es-ES" w:bidi="es-ES"/>
        </w:rPr>
        <w:t xml:space="preserve">durante la vigencia del contrato, esto es, el periodo que comprende el interregno que va desde el perfeccionamiento del contrato (acuerdo sobre el objeto y la contraprestación elevado a escrito al tenor del art. 41 </w:t>
      </w:r>
      <w:proofErr w:type="spellStart"/>
      <w:r w:rsidRPr="00E97A27">
        <w:rPr>
          <w:rFonts w:ascii="Verdana" w:eastAsia="Arial" w:hAnsi="Verdana" w:cs="Arial"/>
          <w:color w:val="000000" w:themeColor="text1"/>
          <w:lang w:val="es-ES" w:eastAsia="es-ES" w:bidi="es-ES"/>
        </w:rPr>
        <w:t>inc</w:t>
      </w:r>
      <w:proofErr w:type="spellEnd"/>
      <w:r w:rsidRPr="00E97A27">
        <w:rPr>
          <w:rFonts w:ascii="Verdana" w:eastAsia="Arial" w:hAnsi="Verdana" w:cs="Arial"/>
          <w:color w:val="000000" w:themeColor="text1"/>
          <w:lang w:val="es-ES" w:eastAsia="es-ES" w:bidi="es-ES"/>
        </w:rPr>
        <w:t xml:space="preserve"> 1° de la Ley 80 de 1993) hasta su liquidación, los contratantes tienen la potestad de pactar lo que consideren necesario a efectos de reequilibrar la ecuación contractual, por ejemplo, pueden ajustar la cuantía, las condiciones de ejecución, las formas de pago, los costos financieros y los interés, en el evento en que los haya</w:t>
      </w:r>
      <w:r>
        <w:rPr>
          <w:rFonts w:ascii="Verdana" w:eastAsia="Arial" w:hAnsi="Verdana" w:cs="Arial"/>
          <w:color w:val="000000" w:themeColor="text1"/>
          <w:lang w:val="es-MX" w:eastAsia="es-ES" w:bidi="es-ES"/>
        </w:rPr>
        <w:t>”</w:t>
      </w:r>
      <w:r w:rsidRPr="00E97A27">
        <w:rPr>
          <w:rStyle w:val="Refdenotaalpie"/>
          <w:rFonts w:ascii="Verdana" w:eastAsia="Arial" w:hAnsi="Verdana" w:cs="Arial"/>
          <w:color w:val="000000" w:themeColor="text1"/>
          <w:lang w:val="es-ES" w:eastAsia="es-ES" w:bidi="es-ES"/>
        </w:rPr>
        <w:footnoteReference w:id="15"/>
      </w:r>
      <w:r w:rsidRPr="00E97A27">
        <w:rPr>
          <w:rFonts w:ascii="Verdana" w:eastAsia="Arial" w:hAnsi="Verdana" w:cs="Arial"/>
          <w:color w:val="000000" w:themeColor="text1"/>
          <w:lang w:val="es-ES" w:eastAsia="es-ES" w:bidi="es-ES"/>
        </w:rPr>
        <w:t xml:space="preserve">. </w:t>
      </w:r>
    </w:p>
    <w:p w14:paraId="227BE181" w14:textId="77777777" w:rsidR="00DB2443" w:rsidRDefault="00DB2443" w:rsidP="00DB2443">
      <w:pPr>
        <w:widowControl w:val="0"/>
        <w:autoSpaceDE w:val="0"/>
        <w:autoSpaceDN w:val="0"/>
        <w:spacing w:before="120" w:after="0" w:line="276" w:lineRule="auto"/>
        <w:ind w:firstLine="709"/>
        <w:jc w:val="both"/>
        <w:rPr>
          <w:rFonts w:ascii="Verdana" w:eastAsia="Arial" w:hAnsi="Verdana" w:cs="Arial"/>
          <w:color w:val="000000" w:themeColor="text1"/>
          <w:lang w:val="es-ES" w:eastAsia="es-ES" w:bidi="es-ES"/>
        </w:rPr>
      </w:pPr>
      <w:r w:rsidRPr="00E97A27">
        <w:rPr>
          <w:rFonts w:ascii="Verdana" w:eastAsia="Arial" w:hAnsi="Verdana" w:cs="Arial"/>
          <w:color w:val="000000" w:themeColor="text1"/>
          <w:lang w:val="es-ES" w:eastAsia="es-ES" w:bidi="es-ES"/>
        </w:rPr>
        <w:t xml:space="preserve">Así la cosas, con fundamento en el EGCAP, en la jurisprudencia y en la doctrina se puede concluir que cuando se presenten situaciones que generen el desequilibrio económico del contrato, previa revisión de su procedencia, conforme el análisis del caso concreto, la entidad deberá adoptar las medidas correspondientes para su restablecimiento, si a ello hay lugar, para lo cual tiene la potestad de suscribir los acuerdos necesarios sobre cuantía, condiciones, forma de pago, etc. </w:t>
      </w:r>
    </w:p>
    <w:p w14:paraId="0586E809" w14:textId="77777777" w:rsidR="00DB2443" w:rsidRDefault="00DB2443" w:rsidP="00DB2443">
      <w:pPr>
        <w:widowControl w:val="0"/>
        <w:autoSpaceDE w:val="0"/>
        <w:autoSpaceDN w:val="0"/>
        <w:spacing w:after="0" w:line="276" w:lineRule="auto"/>
        <w:ind w:firstLine="709"/>
        <w:jc w:val="both"/>
        <w:rPr>
          <w:rFonts w:ascii="Verdana" w:eastAsia="Arial" w:hAnsi="Verdana" w:cs="Arial"/>
          <w:color w:val="000000" w:themeColor="text1"/>
          <w:lang w:val="es-ES" w:eastAsia="es-ES" w:bidi="es-ES"/>
        </w:rPr>
      </w:pPr>
    </w:p>
    <w:p w14:paraId="23805067" w14:textId="77777777" w:rsidR="00DB2443" w:rsidRPr="006A39AF" w:rsidRDefault="00DB2443" w:rsidP="00DB2443">
      <w:pPr>
        <w:widowControl w:val="0"/>
        <w:autoSpaceDE w:val="0"/>
        <w:autoSpaceDN w:val="0"/>
        <w:spacing w:after="120" w:line="276" w:lineRule="auto"/>
        <w:jc w:val="both"/>
        <w:rPr>
          <w:rFonts w:ascii="Verdana" w:eastAsia="Arial" w:hAnsi="Verdana" w:cs="Arial"/>
          <w:color w:val="000000" w:themeColor="text1"/>
          <w:lang w:val="es-ES" w:eastAsia="es-ES" w:bidi="es-ES"/>
        </w:rPr>
      </w:pPr>
      <w:proofErr w:type="spellStart"/>
      <w:r>
        <w:rPr>
          <w:rFonts w:ascii="Verdana" w:eastAsia="Arial" w:hAnsi="Verdana" w:cs="Arial"/>
          <w:color w:val="000000" w:themeColor="text1"/>
          <w:lang w:val="es-ES" w:eastAsia="es-ES" w:bidi="es-ES"/>
        </w:rPr>
        <w:t>iii</w:t>
      </w:r>
      <w:proofErr w:type="spellEnd"/>
      <w:r>
        <w:rPr>
          <w:rFonts w:ascii="Verdana" w:eastAsia="Arial" w:hAnsi="Verdana" w:cs="Arial"/>
          <w:color w:val="000000" w:themeColor="text1"/>
          <w:lang w:val="es-ES" w:eastAsia="es-ES" w:bidi="es-ES"/>
        </w:rPr>
        <w:t xml:space="preserve">. </w:t>
      </w:r>
      <w:r w:rsidRPr="00301910">
        <w:rPr>
          <w:rFonts w:ascii="Verdana" w:hAnsi="Verdana" w:cs="Arial"/>
          <w:lang w:eastAsia="es-ES"/>
        </w:rPr>
        <w:t>Al margen de la explicación precedente</w:t>
      </w:r>
      <w:r>
        <w:rPr>
          <w:rFonts w:ascii="Verdana" w:hAnsi="Verdana" w:cs="Arial"/>
          <w:lang w:eastAsia="es-ES"/>
        </w:rPr>
        <w:t xml:space="preserve"> </w:t>
      </w:r>
      <w:r w:rsidRPr="00301910">
        <w:rPr>
          <w:rFonts w:ascii="Verdana" w:hAnsi="Verdana" w:cs="Arial"/>
          <w:lang w:eastAsia="es-ES"/>
        </w:rPr>
        <w:t>debe advertirse que el análisis requerido</w:t>
      </w:r>
      <w:r>
        <w:rPr>
          <w:rFonts w:ascii="Verdana" w:hAnsi="Verdana" w:cs="Arial"/>
          <w:lang w:eastAsia="es-ES"/>
        </w:rPr>
        <w:t xml:space="preserve"> </w:t>
      </w:r>
      <w:r w:rsidRPr="00301910">
        <w:rPr>
          <w:rFonts w:ascii="Verdana" w:hAnsi="Verdana" w:cs="Arial"/>
          <w:lang w:eastAsia="es-ES"/>
        </w:rPr>
        <w:t>para</w:t>
      </w:r>
      <w:r>
        <w:rPr>
          <w:rFonts w:ascii="Verdana" w:hAnsi="Verdana" w:cs="Arial"/>
          <w:lang w:eastAsia="es-ES"/>
        </w:rPr>
        <w:t xml:space="preserve"> resolver problemas específicos en torno a los reconocimientos económicos derivados del desequilibrio en el contrato </w:t>
      </w:r>
      <w:r w:rsidRPr="00301910">
        <w:rPr>
          <w:rFonts w:ascii="Verdana" w:hAnsi="Verdana" w:cs="Arial"/>
          <w:lang w:eastAsia="es-ES"/>
        </w:rPr>
        <w:t>debe ser realizado por</w:t>
      </w:r>
      <w:r>
        <w:rPr>
          <w:rFonts w:ascii="Verdana" w:hAnsi="Verdana" w:cs="Arial"/>
          <w:lang w:eastAsia="es-ES"/>
        </w:rPr>
        <w:t xml:space="preserve"> </w:t>
      </w:r>
      <w:r w:rsidRPr="00301910">
        <w:rPr>
          <w:rFonts w:ascii="Verdana" w:hAnsi="Verdana" w:cs="Arial"/>
          <w:lang w:eastAsia="es-ES"/>
        </w:rPr>
        <w:t>quienes tengan interés en ello, de acuerdo con lo explicado</w:t>
      </w:r>
      <w:r>
        <w:rPr>
          <w:rFonts w:ascii="Verdana" w:hAnsi="Verdana" w:cs="Arial"/>
          <w:lang w:eastAsia="es-ES"/>
        </w:rPr>
        <w:t xml:space="preserve"> </w:t>
      </w:r>
      <w:r w:rsidRPr="00301910">
        <w:rPr>
          <w:rFonts w:ascii="Verdana" w:hAnsi="Verdana" w:cs="Arial"/>
          <w:lang w:eastAsia="es-ES"/>
        </w:rPr>
        <w:t>la aclaración preliminar del presente oficio. De esta manera, las afirmaciones aquí realizadas</w:t>
      </w:r>
      <w:r>
        <w:rPr>
          <w:rFonts w:ascii="Verdana" w:hAnsi="Verdana" w:cs="Arial"/>
          <w:lang w:eastAsia="es-ES"/>
        </w:rPr>
        <w:t xml:space="preserve"> </w:t>
      </w:r>
      <w:r w:rsidRPr="00301910">
        <w:rPr>
          <w:rFonts w:ascii="Verdana" w:hAnsi="Verdana" w:cs="Arial"/>
          <w:lang w:eastAsia="es-ES"/>
        </w:rPr>
        <w:t>no</w:t>
      </w:r>
      <w:r>
        <w:rPr>
          <w:rFonts w:ascii="Verdana" w:hAnsi="Verdana" w:cs="Arial"/>
          <w:lang w:eastAsia="es-ES"/>
        </w:rPr>
        <w:t xml:space="preserve"> </w:t>
      </w:r>
      <w:r w:rsidRPr="00301910">
        <w:rPr>
          <w:rFonts w:ascii="Verdana" w:hAnsi="Verdana" w:cs="Arial"/>
          <w:lang w:eastAsia="es-ES"/>
        </w:rPr>
        <w:t>pueden ser interpretadas como juicios de valor sobre circunstancias</w:t>
      </w:r>
      <w:r>
        <w:rPr>
          <w:rFonts w:ascii="Verdana" w:hAnsi="Verdana" w:cs="Arial"/>
          <w:lang w:eastAsia="es-ES"/>
        </w:rPr>
        <w:t xml:space="preserve"> </w:t>
      </w:r>
      <w:r w:rsidRPr="00301910">
        <w:rPr>
          <w:rFonts w:ascii="Verdana" w:hAnsi="Verdana" w:cs="Arial"/>
          <w:lang w:eastAsia="es-ES"/>
        </w:rPr>
        <w:t>concretas</w:t>
      </w:r>
      <w:r>
        <w:rPr>
          <w:rFonts w:ascii="Verdana" w:hAnsi="Verdana" w:cs="Arial"/>
          <w:lang w:eastAsia="es-ES"/>
        </w:rPr>
        <w:t xml:space="preserve"> </w:t>
      </w:r>
      <w:r w:rsidRPr="00301910">
        <w:rPr>
          <w:rFonts w:ascii="Verdana" w:hAnsi="Verdana" w:cs="Arial"/>
          <w:lang w:eastAsia="es-ES"/>
        </w:rPr>
        <w:t>relacionadas con los hechos que motivan la</w:t>
      </w:r>
      <w:r>
        <w:rPr>
          <w:rFonts w:ascii="Verdana" w:hAnsi="Verdana" w:cs="Arial"/>
          <w:lang w:eastAsia="es-ES"/>
        </w:rPr>
        <w:t xml:space="preserve"> </w:t>
      </w:r>
      <w:r w:rsidRPr="00301910">
        <w:rPr>
          <w:rFonts w:ascii="Verdana" w:hAnsi="Verdana" w:cs="Arial"/>
          <w:lang w:eastAsia="es-ES"/>
        </w:rPr>
        <w:t>consulta.</w:t>
      </w:r>
      <w:r>
        <w:rPr>
          <w:rFonts w:ascii="Verdana" w:hAnsi="Verdana" w:cs="Arial"/>
          <w:lang w:eastAsia="es-ES"/>
        </w:rPr>
        <w:t xml:space="preserve"> </w:t>
      </w:r>
      <w:r w:rsidRPr="00301910">
        <w:rPr>
          <w:rFonts w:ascii="Verdana" w:hAnsi="Verdana" w:cs="Arial"/>
          <w:lang w:eastAsia="es-ES"/>
        </w:rPr>
        <w:t>Por lo anterior, previo concepto de sus asesores, la solución de situaciones particulares corresponde a los interesados</w:t>
      </w:r>
      <w:r>
        <w:rPr>
          <w:rFonts w:ascii="Verdana" w:hAnsi="Verdana" w:cs="Arial"/>
          <w:lang w:eastAsia="es-ES"/>
        </w:rPr>
        <w:t xml:space="preserve"> </w:t>
      </w:r>
      <w:r w:rsidRPr="00301910">
        <w:rPr>
          <w:rFonts w:ascii="Verdana" w:hAnsi="Verdana" w:cs="Arial"/>
          <w:lang w:eastAsia="es-ES"/>
        </w:rPr>
        <w:t>adoptar la decisión correspondiente y, en caso de conflicto, a las autoridades judiciales, fiscales y disciplinarias.</w:t>
      </w:r>
    </w:p>
    <w:p w14:paraId="0C993C90" w14:textId="77777777" w:rsidR="00DB2443" w:rsidRDefault="00DB2443" w:rsidP="00DB2443">
      <w:pPr>
        <w:spacing w:after="120" w:line="276" w:lineRule="auto"/>
        <w:ind w:firstLine="709"/>
        <w:jc w:val="both"/>
        <w:rPr>
          <w:rFonts w:ascii="Verdana" w:eastAsia="Calibri" w:hAnsi="Verdana" w:cs="Arial"/>
          <w:bCs/>
          <w:color w:val="000000" w:themeColor="text1"/>
        </w:rPr>
      </w:pPr>
      <w:r w:rsidRPr="00301910">
        <w:rPr>
          <w:rFonts w:ascii="Verdana" w:hAnsi="Verdana" w:cs="Arial"/>
          <w:lang w:eastAsia="es-ES"/>
        </w:rPr>
        <w:lastRenderedPageBreak/>
        <w:t>Dentro de este marco, la entidad contratante definirá en cada caso concreto lo</w:t>
      </w:r>
      <w:r>
        <w:rPr>
          <w:rFonts w:ascii="Verdana" w:hAnsi="Verdana" w:cs="Arial"/>
          <w:lang w:eastAsia="es-ES"/>
        </w:rPr>
        <w:t xml:space="preserve"> </w:t>
      </w:r>
      <w:r w:rsidRPr="00301910">
        <w:rPr>
          <w:rFonts w:ascii="Verdana" w:hAnsi="Verdana" w:cs="Arial"/>
          <w:lang w:eastAsia="es-ES"/>
        </w:rPr>
        <w:t xml:space="preserve">relacionado </w:t>
      </w:r>
      <w:r>
        <w:rPr>
          <w:rFonts w:ascii="Verdana" w:hAnsi="Verdana" w:cs="Arial"/>
          <w:lang w:eastAsia="es-ES"/>
        </w:rPr>
        <w:t>con las situaciones susceptibles de calificarse como “imposibilidad sobreviniente”, así como el impacto de las modificaciones sobre el principio de planeación y legalidad del gasto</w:t>
      </w:r>
      <w:r w:rsidRPr="00301910">
        <w:rPr>
          <w:rFonts w:ascii="Verdana" w:hAnsi="Verdana" w:cs="Arial"/>
          <w:lang w:eastAsia="es-ES"/>
        </w:rPr>
        <w:t>. Al tratarse de un análisis</w:t>
      </w:r>
      <w:r>
        <w:rPr>
          <w:rFonts w:ascii="Verdana" w:hAnsi="Verdana" w:cs="Arial"/>
          <w:lang w:eastAsia="es-ES"/>
        </w:rPr>
        <w:t xml:space="preserve"> </w:t>
      </w:r>
      <w:r w:rsidRPr="00301910">
        <w:rPr>
          <w:rFonts w:ascii="Verdana" w:hAnsi="Verdana" w:cs="Arial"/>
          <w:lang w:eastAsia="es-ES"/>
        </w:rPr>
        <w:t xml:space="preserve">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w:t>
      </w:r>
      <w:r>
        <w:rPr>
          <w:rFonts w:ascii="Verdana" w:hAnsi="Verdana" w:cs="Arial"/>
          <w:lang w:eastAsia="es-ES"/>
        </w:rPr>
        <w:t>Así</w:t>
      </w:r>
      <w:r w:rsidRPr="00301910">
        <w:rPr>
          <w:rFonts w:ascii="Verdana" w:hAnsi="Verdana" w:cs="Arial"/>
          <w:lang w:eastAsia="es-ES"/>
        </w:rPr>
        <w:t>, cada entidad definirá la forma de adelantar su gestión contractual, sin que sea atribución de Colombia Compra Eficiente validar sus actuaciones</w:t>
      </w:r>
      <w:r w:rsidRPr="00E853DE">
        <w:rPr>
          <w:rFonts w:ascii="Verdana" w:eastAsia="Calibri" w:hAnsi="Verdana" w:cs="Arial"/>
          <w:bCs/>
          <w:color w:val="000000" w:themeColor="text1"/>
        </w:rPr>
        <w:t>.</w:t>
      </w:r>
      <w:r w:rsidRPr="00185EE9">
        <w:rPr>
          <w:rFonts w:ascii="Verdana" w:eastAsia="Calibri" w:hAnsi="Verdana" w:cs="Arial"/>
          <w:bCs/>
          <w:color w:val="000000" w:themeColor="text1"/>
        </w:rPr>
        <w:t xml:space="preserve"> </w:t>
      </w:r>
    </w:p>
    <w:p w14:paraId="6DB51C2E" w14:textId="77777777" w:rsidR="00DB2443" w:rsidRPr="00185EE9" w:rsidRDefault="00DB2443" w:rsidP="00DB2443">
      <w:pPr>
        <w:spacing w:after="0" w:line="276" w:lineRule="auto"/>
        <w:ind w:firstLine="708"/>
        <w:jc w:val="both"/>
        <w:rPr>
          <w:rFonts w:ascii="Verdana" w:eastAsia="Calibri" w:hAnsi="Verdana" w:cs="Arial"/>
          <w:bCs/>
          <w:color w:val="000000" w:themeColor="text1"/>
        </w:rPr>
      </w:pPr>
      <w:r w:rsidRPr="00C41FA7">
        <w:rPr>
          <w:rFonts w:ascii="Verdana" w:eastAsia="Calibri" w:hAnsi="Verdana" w:cs="Arial"/>
          <w:bCs/>
          <w:color w:val="000000" w:themeColor="text1"/>
        </w:rPr>
        <w:t xml:space="preserve">Por las mismas razones, tampoco existen conceptos de la ANCP – CCE sobre el tratamiento contractual de hechos sobrevinientes que afectan condiciones pactadas en la etapa precontractual, especialmente, en lo relacionado con los anticipos o fuentes de financiación condicionadas.  </w:t>
      </w:r>
    </w:p>
    <w:p w14:paraId="5806EF92" w14:textId="77777777" w:rsidR="00DB2443" w:rsidRPr="008415A2" w:rsidRDefault="00DB2443" w:rsidP="00DB2443">
      <w:pPr>
        <w:spacing w:after="0" w:line="276" w:lineRule="auto"/>
        <w:jc w:val="both"/>
        <w:rPr>
          <w:rFonts w:ascii="Verdana" w:hAnsi="Verdana"/>
        </w:rPr>
      </w:pPr>
      <w:r>
        <w:rPr>
          <w:rFonts w:ascii="Verdana" w:hAnsi="Verdana"/>
        </w:rPr>
        <w:t xml:space="preserve"> </w:t>
      </w:r>
    </w:p>
    <w:p w14:paraId="1D218C3B" w14:textId="77777777" w:rsidR="00DB2443" w:rsidRPr="00593A5F" w:rsidRDefault="00DB2443" w:rsidP="00DB244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2B0D8542" w14:textId="77777777" w:rsidR="00DB2443" w:rsidRPr="00593A5F" w:rsidRDefault="00DB2443" w:rsidP="00DB2443">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B2443" w:rsidRPr="002407CE" w14:paraId="50C1CA5D" w14:textId="77777777" w:rsidTr="003B43F3">
        <w:trPr>
          <w:trHeight w:val="870"/>
          <w:jc w:val="center"/>
        </w:trPr>
        <w:tc>
          <w:tcPr>
            <w:tcW w:w="8647" w:type="dxa"/>
          </w:tcPr>
          <w:p w14:paraId="40BDF5F1" w14:textId="77777777" w:rsidR="00DB2443" w:rsidRDefault="00DB2443" w:rsidP="003B43F3">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80 de 1993, artículos 3, 4, 5, 14, 27, 40 y 41.</w:t>
            </w:r>
          </w:p>
          <w:p w14:paraId="5290E488" w14:textId="77777777" w:rsidR="00DB2443" w:rsidRDefault="00DB2443" w:rsidP="003B43F3">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1474 de 2011, artículo 91.</w:t>
            </w:r>
          </w:p>
          <w:p w14:paraId="1B9C2846" w14:textId="77777777" w:rsidR="00DB2443" w:rsidRPr="000F7403" w:rsidRDefault="00DB2443" w:rsidP="003B43F3">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Pr>
                <w:rFonts w:ascii="Verdana" w:hAnsi="Verdana" w:cs="Arial"/>
              </w:rPr>
              <w:t xml:space="preserve">Decreto 1082 de 2015, artículo </w:t>
            </w:r>
            <w:r w:rsidRPr="00C41FA7">
              <w:rPr>
                <w:rFonts w:ascii="Verdana" w:hAnsi="Verdana" w:cs="Arial"/>
              </w:rPr>
              <w:t>2.2.1.2.3.1.7</w:t>
            </w:r>
            <w:r>
              <w:rPr>
                <w:rFonts w:ascii="Verdana" w:hAnsi="Verdana" w:cs="Arial"/>
              </w:rPr>
              <w:t>.</w:t>
            </w:r>
          </w:p>
        </w:tc>
      </w:tr>
    </w:tbl>
    <w:p w14:paraId="357D2FD2" w14:textId="77777777" w:rsidR="00DB2443" w:rsidRPr="002407CE" w:rsidRDefault="00DB2443" w:rsidP="00DB2443">
      <w:pPr>
        <w:widowControl w:val="0"/>
        <w:autoSpaceDE w:val="0"/>
        <w:autoSpaceDN w:val="0"/>
        <w:spacing w:after="0" w:line="276" w:lineRule="auto"/>
        <w:jc w:val="both"/>
        <w:rPr>
          <w:rFonts w:ascii="Verdana" w:hAnsi="Verdana" w:cs="Arial"/>
        </w:rPr>
      </w:pPr>
    </w:p>
    <w:p w14:paraId="1EA0638F" w14:textId="77777777" w:rsidR="00DB2443" w:rsidRPr="00593A5F" w:rsidRDefault="00DB2443" w:rsidP="00DB244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0A181761" w14:textId="77777777" w:rsidR="00DB2443" w:rsidRPr="00593A5F" w:rsidRDefault="00DB2443" w:rsidP="00DB2443">
      <w:pPr>
        <w:widowControl w:val="0"/>
        <w:autoSpaceDE w:val="0"/>
        <w:autoSpaceDN w:val="0"/>
        <w:spacing w:after="0" w:line="276" w:lineRule="auto"/>
        <w:jc w:val="both"/>
        <w:rPr>
          <w:rFonts w:ascii="Verdana" w:hAnsi="Verdana" w:cs="Arial"/>
        </w:rPr>
      </w:pPr>
    </w:p>
    <w:p w14:paraId="5945A114" w14:textId="77777777" w:rsidR="00DB2443" w:rsidRPr="00ED0098" w:rsidRDefault="00DB2443" w:rsidP="00DB2443">
      <w:pPr>
        <w:widowControl w:val="0"/>
        <w:autoSpaceDE w:val="0"/>
        <w:autoSpaceDN w:val="0"/>
        <w:spacing w:after="0" w:line="276" w:lineRule="auto"/>
        <w:jc w:val="both"/>
        <w:rPr>
          <w:rStyle w:val="normaltextrun"/>
          <w:rFonts w:ascii="Verdana" w:hAnsi="Verdana" w:cs="Arial"/>
          <w:shd w:val="clear" w:color="auto" w:fill="FFFFFF"/>
        </w:rPr>
      </w:pPr>
      <w:r w:rsidRPr="00DD0AFF">
        <w:rPr>
          <w:rFonts w:ascii="Verdana" w:hAnsi="Verdana" w:cs="Arial"/>
          <w:shd w:val="clear" w:color="auto" w:fill="FFFFFF"/>
        </w:rPr>
        <w:t>Est</w:t>
      </w:r>
      <w:r>
        <w:rPr>
          <w:rFonts w:ascii="Verdana" w:hAnsi="Verdana" w:cs="Arial"/>
          <w:shd w:val="clear" w:color="auto" w:fill="FFFFFF"/>
        </w:rPr>
        <w:t>e</w:t>
      </w:r>
      <w:r w:rsidRPr="00DD0AFF">
        <w:rPr>
          <w:rFonts w:ascii="Verdana" w:hAnsi="Verdana" w:cs="Arial"/>
          <w:shd w:val="clear" w:color="auto" w:fill="FFFFFF"/>
        </w:rPr>
        <w:t xml:space="preserve"> y otros</w:t>
      </w:r>
      <w:r>
        <w:rPr>
          <w:rFonts w:ascii="Verdana" w:hAnsi="Verdana" w:cs="Arial"/>
          <w:shd w:val="clear" w:color="auto" w:fill="FFFFFF"/>
        </w:rPr>
        <w:t xml:space="preserve"> conceptos de la Subdirección</w:t>
      </w:r>
      <w:r w:rsidRPr="00DD0AFF">
        <w:rPr>
          <w:rFonts w:ascii="Verdana" w:hAnsi="Verdana" w:cs="Arial"/>
          <w:shd w:val="clear" w:color="auto" w:fill="FFFFFF"/>
        </w:rPr>
        <w:t> </w:t>
      </w:r>
      <w:r w:rsidRPr="008D0AB0">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3"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5F4168FC" w14:textId="77777777" w:rsidR="00DB2443" w:rsidRPr="00096788" w:rsidRDefault="00DB2443" w:rsidP="00DB2443">
      <w:pPr>
        <w:widowControl w:val="0"/>
        <w:autoSpaceDE w:val="0"/>
        <w:autoSpaceDN w:val="0"/>
        <w:spacing w:after="0" w:line="276" w:lineRule="auto"/>
        <w:jc w:val="both"/>
        <w:rPr>
          <w:rFonts w:ascii="Verdana" w:hAnsi="Verdana" w:cs="Arial"/>
          <w:color w:val="000000" w:themeColor="text1"/>
          <w:shd w:val="clear" w:color="auto" w:fill="FFFFFF"/>
        </w:rPr>
      </w:pPr>
    </w:p>
    <w:p w14:paraId="6B657AE3" w14:textId="77777777" w:rsidR="00DB2443" w:rsidRPr="001205D1" w:rsidRDefault="00DB2443" w:rsidP="00DB2443">
      <w:pPr>
        <w:shd w:val="clear" w:color="auto" w:fill="FFFFFF"/>
        <w:spacing w:after="0" w:line="276" w:lineRule="auto"/>
        <w:jc w:val="both"/>
        <w:rPr>
          <w:rFonts w:ascii="Verdana" w:hAnsi="Verdana"/>
          <w:color w:val="467886"/>
          <w:u w:val="single"/>
        </w:rPr>
      </w:pPr>
      <w:r w:rsidRPr="00B83C56">
        <w:rPr>
          <w:rFonts w:ascii="Verdana" w:hAnsi="Verdana"/>
          <w:color w:val="000000"/>
        </w:rPr>
        <w:t xml:space="preserve">Te informamos </w:t>
      </w:r>
      <w:r w:rsidRPr="00032009">
        <w:rPr>
          <w:rFonts w:ascii="Verdana" w:hAnsi="Verdana"/>
          <w:color w:val="000000"/>
        </w:rPr>
        <w:t>que ya se encuentra disponible la </w:t>
      </w:r>
      <w:r w:rsidRPr="00032009">
        <w:rPr>
          <w:rFonts w:ascii="Verdana" w:hAnsi="Verdana"/>
          <w:b/>
          <w:bCs/>
          <w:color w:val="000000"/>
        </w:rPr>
        <w:t>Guía de lineamientos de transparencia y selección objetiva para el departamento de La Guajira – Objetivo sexto constitucional de la Sentencia T-302 del 2017. </w:t>
      </w:r>
      <w:r w:rsidRPr="00032009">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w:t>
      </w:r>
      <w:r w:rsidRPr="00032009">
        <w:rPr>
          <w:rFonts w:ascii="Verdana" w:hAnsi="Verdana"/>
          <w:color w:val="000000"/>
        </w:rPr>
        <w:lastRenderedPageBreak/>
        <w:t xml:space="preserve">fundamentales de los niños y de las niñas del Pueblo </w:t>
      </w:r>
      <w:proofErr w:type="spellStart"/>
      <w:r w:rsidRPr="00032009">
        <w:rPr>
          <w:rFonts w:ascii="Verdana" w:hAnsi="Verdana"/>
          <w:color w:val="000000"/>
        </w:rPr>
        <w:t>Wayúu</w:t>
      </w:r>
      <w:proofErr w:type="spellEnd"/>
      <w:r w:rsidRPr="00032009">
        <w:rPr>
          <w:rFonts w:ascii="Verdana" w:hAnsi="Verdana"/>
          <w:color w:val="000000"/>
        </w:rPr>
        <w:t>. Puede consultar la guía en el siguiente enlace: </w:t>
      </w:r>
      <w:hyperlink r:id="rId14" w:tgtFrame="_blank" w:tooltip="Dirección URL original: https://www.colombiacompra.gov.co/wp-content/uploads/2025/05/GUIA-DE-LINEAMIENTOS-DE-TRANSPARENCIA-Y-SELECCION-OBJETIVA-1.0.pdf. Haga clic o pulse si confía en este vínculo." w:history="1">
        <w:r w:rsidRPr="00032009">
          <w:rPr>
            <w:rStyle w:val="Hipervnculo"/>
            <w:rFonts w:ascii="Verdana" w:hAnsi="Verdana"/>
          </w:rPr>
          <w:t>Guía de lineamientos de transparencia y selección objetiva para el departamento de La Guajira – Objetivo sexto constitucional de la Sentencia T-302 del 2017</w:t>
        </w:r>
      </w:hyperlink>
      <w:r w:rsidRPr="00032009">
        <w:rPr>
          <w:rFonts w:ascii="Verdana" w:hAnsi="Verdana"/>
          <w:color w:val="000000"/>
          <w:u w:val="single"/>
        </w:rPr>
        <w:t>"</w:t>
      </w:r>
      <w:r>
        <w:rPr>
          <w:rFonts w:ascii="Verdana" w:hAnsi="Verdana"/>
          <w:color w:val="000000"/>
          <w:u w:val="single"/>
        </w:rPr>
        <w:t>.</w:t>
      </w:r>
    </w:p>
    <w:p w14:paraId="2F285386" w14:textId="77777777" w:rsidR="00DB2443" w:rsidRPr="009C4035" w:rsidRDefault="00DB2443" w:rsidP="00DB2443">
      <w:pPr>
        <w:shd w:val="clear" w:color="auto" w:fill="FFFFFF"/>
        <w:spacing w:after="0" w:line="276" w:lineRule="auto"/>
        <w:jc w:val="both"/>
        <w:rPr>
          <w:rFonts w:ascii="Verdana" w:hAnsi="Verdana" w:cs="Arial"/>
          <w:color w:val="FF0000"/>
          <w:shd w:val="clear" w:color="auto" w:fill="FFFFFF"/>
          <w:lang w:val="es-ES_tradnl"/>
        </w:rPr>
      </w:pPr>
      <w:r w:rsidRPr="004A73EC">
        <w:rPr>
          <w:rFonts w:ascii="Verdana" w:hAnsi="Verdana" w:cs="Arial"/>
          <w:color w:val="000000" w:themeColor="text1"/>
          <w:shd w:val="clear" w:color="auto" w:fill="FFFFFF"/>
          <w:lang w:val="es-ES_tradnl"/>
        </w:rPr>
        <w:t xml:space="preserve"> </w:t>
      </w:r>
      <w:r w:rsidRPr="004A73EC">
        <w:rPr>
          <w:rStyle w:val="normaltextrun"/>
          <w:rFonts w:ascii="Verdana" w:hAnsi="Verdana" w:cs="Arial"/>
          <w:color w:val="FF0000"/>
          <w:shd w:val="clear" w:color="auto" w:fill="FFFFFF"/>
          <w:lang w:val="es-ES_tradnl"/>
        </w:rPr>
        <w:t xml:space="preserve">        </w:t>
      </w:r>
    </w:p>
    <w:p w14:paraId="3918F54D" w14:textId="77777777" w:rsidR="00DB2443" w:rsidRPr="00593A5F" w:rsidRDefault="00DB2443" w:rsidP="00DB2443">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0D87589A" w14:textId="77777777" w:rsidR="00DB2443" w:rsidRPr="00593A5F" w:rsidRDefault="00DB2443" w:rsidP="00DB2443">
      <w:pPr>
        <w:widowControl w:val="0"/>
        <w:autoSpaceDE w:val="0"/>
        <w:autoSpaceDN w:val="0"/>
        <w:spacing w:after="0" w:line="276" w:lineRule="auto"/>
        <w:jc w:val="both"/>
        <w:rPr>
          <w:rFonts w:ascii="Verdana" w:hAnsi="Verdana" w:cs="Arial"/>
        </w:rPr>
      </w:pPr>
    </w:p>
    <w:p w14:paraId="1C5EC651" w14:textId="77777777" w:rsidR="00DB2443" w:rsidRPr="00593A5F" w:rsidRDefault="00DB2443" w:rsidP="00DB2443">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7AEAD801" w14:textId="043BD631" w:rsidR="00DB2443" w:rsidRPr="00593A5F" w:rsidRDefault="007463B9" w:rsidP="00DB2443">
      <w:pPr>
        <w:spacing w:line="276" w:lineRule="auto"/>
        <w:jc w:val="center"/>
        <w:rPr>
          <w:rFonts w:ascii="Verdana" w:hAnsi="Verdana" w:cs="Arial"/>
          <w:color w:val="000000"/>
          <w:lang w:val="es-ES_tradnl" w:eastAsia="es-CO"/>
        </w:rPr>
      </w:pPr>
      <w:r>
        <w:rPr>
          <w:noProof/>
        </w:rPr>
        <w:drawing>
          <wp:inline distT="0" distB="0" distL="0" distR="0" wp14:anchorId="0694B640" wp14:editId="12205B51">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5"/>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DB2443" w:rsidRPr="00593A5F" w14:paraId="3014F146" w14:textId="77777777" w:rsidTr="003B43F3">
        <w:trPr>
          <w:trHeight w:val="315"/>
        </w:trPr>
        <w:tc>
          <w:tcPr>
            <w:tcW w:w="893" w:type="dxa"/>
            <w:vAlign w:val="center"/>
            <w:hideMark/>
          </w:tcPr>
          <w:p w14:paraId="1E6DA29D" w14:textId="77777777" w:rsidR="00DB2443" w:rsidRPr="003751C7" w:rsidRDefault="00DB2443" w:rsidP="003B43F3">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F042B70" w14:textId="77777777" w:rsidR="00DB2443" w:rsidRPr="00254A7A" w:rsidRDefault="00DB2443" w:rsidP="003B43F3">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0E034FB1" w14:textId="77777777" w:rsidR="00DB2443" w:rsidRPr="00254A7A" w:rsidRDefault="00DB2443" w:rsidP="003B43F3">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DB2443" w:rsidRPr="00593A5F" w14:paraId="7EC0284D" w14:textId="77777777" w:rsidTr="003B43F3">
        <w:trPr>
          <w:trHeight w:val="330"/>
        </w:trPr>
        <w:tc>
          <w:tcPr>
            <w:tcW w:w="893" w:type="dxa"/>
            <w:vAlign w:val="center"/>
            <w:hideMark/>
          </w:tcPr>
          <w:p w14:paraId="2E78D835" w14:textId="77777777" w:rsidR="00DB2443" w:rsidRPr="003751C7" w:rsidRDefault="00DB2443" w:rsidP="003B43F3">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D0B318F" w14:textId="77777777" w:rsidR="00DB2443" w:rsidRPr="001B6B73" w:rsidRDefault="00DB2443" w:rsidP="003B43F3">
            <w:pPr>
              <w:pStyle w:val="paragraph"/>
              <w:spacing w:after="0"/>
              <w:contextualSpacing/>
              <w:textAlignment w:val="baseline"/>
              <w:rPr>
                <w:rStyle w:val="normaltextrun"/>
                <w:rFonts w:ascii="Verdana" w:hAnsi="Verdana" w:cs="Arial"/>
                <w:sz w:val="16"/>
                <w:szCs w:val="16"/>
                <w:lang w:val="es-ES_tradnl"/>
              </w:rPr>
            </w:pPr>
            <w:r w:rsidRPr="001B6B73">
              <w:rPr>
                <w:rStyle w:val="normaltextrun"/>
                <w:rFonts w:ascii="Verdana" w:hAnsi="Verdana" w:cs="Arial"/>
                <w:sz w:val="16"/>
                <w:szCs w:val="16"/>
                <w:lang w:val="es-ES_tradnl"/>
              </w:rPr>
              <w:t>Alejandro Sarmiento Cantillo</w:t>
            </w:r>
          </w:p>
          <w:p w14:paraId="61791FA7" w14:textId="77777777" w:rsidR="00DB2443" w:rsidRPr="00254A7A" w:rsidRDefault="00DB2443" w:rsidP="003B43F3">
            <w:pPr>
              <w:pStyle w:val="paragraph"/>
              <w:spacing w:before="0" w:beforeAutospacing="0" w:after="0" w:afterAutospacing="0"/>
              <w:contextualSpacing/>
              <w:textAlignment w:val="baseline"/>
              <w:rPr>
                <w:rFonts w:ascii="Verdana" w:hAnsi="Verdana" w:cs="Segoe UI"/>
                <w:sz w:val="16"/>
                <w:szCs w:val="16"/>
              </w:rPr>
            </w:pPr>
            <w:r w:rsidRPr="001B6B73">
              <w:rPr>
                <w:rStyle w:val="normaltextrun"/>
                <w:rFonts w:ascii="Verdana" w:hAnsi="Verdana" w:cs="Arial"/>
                <w:sz w:val="16"/>
                <w:szCs w:val="16"/>
                <w:lang w:val="es-ES_tradnl"/>
              </w:rPr>
              <w:t>Gestor T1 ‒ 15 de la Subdirección de Gestión Contractual</w:t>
            </w:r>
          </w:p>
        </w:tc>
      </w:tr>
      <w:tr w:rsidR="00DB2443" w:rsidRPr="00593A5F" w14:paraId="72F07172" w14:textId="77777777" w:rsidTr="003B43F3">
        <w:trPr>
          <w:trHeight w:val="300"/>
        </w:trPr>
        <w:tc>
          <w:tcPr>
            <w:tcW w:w="893" w:type="dxa"/>
            <w:vAlign w:val="center"/>
          </w:tcPr>
          <w:p w14:paraId="2CD6FB9F" w14:textId="77777777" w:rsidR="00DB2443" w:rsidRPr="003751C7" w:rsidRDefault="00DB2443" w:rsidP="003B43F3">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E7FE0F2" w14:textId="77777777" w:rsidR="00DB2443" w:rsidRPr="003751C7" w:rsidRDefault="00DB2443" w:rsidP="003B43F3">
            <w:pPr>
              <w:contextualSpacing/>
              <w:rPr>
                <w:rFonts w:ascii="Verdana" w:eastAsia="Calibri" w:hAnsi="Verdana" w:cs="Arial"/>
                <w:sz w:val="16"/>
                <w:szCs w:val="16"/>
                <w:lang w:val="pt-BR" w:eastAsia="es-ES"/>
              </w:rPr>
            </w:pPr>
            <w:r w:rsidRPr="003751C7">
              <w:rPr>
                <w:rFonts w:ascii="Verdana" w:eastAsia="Calibri" w:hAnsi="Verdana" w:cs="Arial"/>
                <w:sz w:val="16"/>
                <w:szCs w:val="16"/>
                <w:lang w:val="pt-BR" w:eastAsia="es-ES"/>
              </w:rPr>
              <w:t xml:space="preserve">Carolina Quintero </w:t>
            </w:r>
            <w:proofErr w:type="spellStart"/>
            <w:r w:rsidRPr="003751C7">
              <w:rPr>
                <w:rFonts w:ascii="Verdana" w:eastAsia="Calibri" w:hAnsi="Verdana" w:cs="Arial"/>
                <w:sz w:val="16"/>
                <w:szCs w:val="16"/>
                <w:lang w:val="pt-BR" w:eastAsia="es-ES"/>
              </w:rPr>
              <w:t>Gacharná</w:t>
            </w:r>
            <w:proofErr w:type="spellEnd"/>
          </w:p>
          <w:p w14:paraId="1AE58A1E" w14:textId="77777777" w:rsidR="00DB2443" w:rsidRPr="003751C7" w:rsidRDefault="00DB2443" w:rsidP="003B43F3">
            <w:pPr>
              <w:contextualSpacing/>
              <w:rPr>
                <w:rFonts w:ascii="Verdana" w:eastAsia="Calibri" w:hAnsi="Verdana" w:cs="Arial"/>
                <w:sz w:val="16"/>
                <w:szCs w:val="16"/>
                <w:lang w:val="pt-BR" w:eastAsia="es-ES"/>
              </w:rPr>
            </w:pPr>
            <w:r w:rsidRPr="003751C7">
              <w:rPr>
                <w:rFonts w:ascii="Verdana" w:eastAsia="Calibri" w:hAnsi="Verdana" w:cs="Arial"/>
                <w:sz w:val="16"/>
                <w:szCs w:val="16"/>
                <w:lang w:eastAsia="es-ES"/>
              </w:rPr>
              <w:t>Subdirectora</w:t>
            </w:r>
            <w:r w:rsidRPr="003751C7">
              <w:rPr>
                <w:rFonts w:ascii="Verdana" w:eastAsia="Calibri" w:hAnsi="Verdana" w:cs="Arial"/>
                <w:sz w:val="16"/>
                <w:szCs w:val="16"/>
                <w:lang w:val="pt-BR" w:eastAsia="es-ES"/>
              </w:rPr>
              <w:t xml:space="preserve"> de Gestión </w:t>
            </w:r>
            <w:proofErr w:type="spellStart"/>
            <w:r w:rsidRPr="003751C7">
              <w:rPr>
                <w:rFonts w:ascii="Verdana" w:eastAsia="Calibri" w:hAnsi="Verdana" w:cs="Arial"/>
                <w:sz w:val="16"/>
                <w:szCs w:val="16"/>
                <w:lang w:val="pt-BR" w:eastAsia="es-ES"/>
              </w:rPr>
              <w:t>Contractual</w:t>
            </w:r>
            <w:proofErr w:type="spellEnd"/>
            <w:r w:rsidRPr="003751C7">
              <w:rPr>
                <w:rFonts w:ascii="Verdana" w:eastAsia="Calibri" w:hAnsi="Verdana" w:cs="Arial"/>
                <w:sz w:val="16"/>
                <w:szCs w:val="16"/>
                <w:lang w:val="pt-BR" w:eastAsia="es-ES"/>
              </w:rPr>
              <w:t xml:space="preserve"> ANCP – CCE</w:t>
            </w:r>
          </w:p>
        </w:tc>
      </w:tr>
    </w:tbl>
    <w:p w14:paraId="0D3D065F" w14:textId="77777777" w:rsidR="00DB2443" w:rsidRPr="00543BFE" w:rsidRDefault="00DB2443" w:rsidP="00DB2443"/>
    <w:p w14:paraId="792A29D3" w14:textId="77777777" w:rsidR="00DB2443" w:rsidRPr="00B36323" w:rsidRDefault="00DB2443" w:rsidP="00DB2443"/>
    <w:p w14:paraId="0F293BF4" w14:textId="4DD261D7" w:rsidR="00127233" w:rsidRPr="003041C9" w:rsidRDefault="00127233" w:rsidP="00DB2443"/>
    <w:sectPr w:rsidR="00127233" w:rsidRPr="003041C9"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89516D" w14:textId="77777777" w:rsidR="0068689D" w:rsidRDefault="0068689D" w:rsidP="004A1847">
      <w:pPr>
        <w:spacing w:after="0" w:line="240" w:lineRule="auto"/>
      </w:pPr>
      <w:r>
        <w:separator/>
      </w:r>
    </w:p>
  </w:endnote>
  <w:endnote w:type="continuationSeparator" w:id="0">
    <w:p w14:paraId="5B3EE0AF" w14:textId="77777777" w:rsidR="0068689D" w:rsidRDefault="0068689D" w:rsidP="004A1847">
      <w:pPr>
        <w:spacing w:after="0" w:line="240" w:lineRule="auto"/>
      </w:pPr>
      <w:r>
        <w:continuationSeparator/>
      </w:r>
    </w:p>
  </w:endnote>
  <w:endnote w:type="continuationNotice" w:id="1">
    <w:p w14:paraId="775F7E56" w14:textId="77777777" w:rsidR="0068689D" w:rsidRDefault="0068689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D815D7" w14:textId="77777777" w:rsidR="0068689D" w:rsidRDefault="0068689D" w:rsidP="004A1847">
      <w:pPr>
        <w:spacing w:after="0" w:line="240" w:lineRule="auto"/>
      </w:pPr>
      <w:r>
        <w:separator/>
      </w:r>
    </w:p>
  </w:footnote>
  <w:footnote w:type="continuationSeparator" w:id="0">
    <w:p w14:paraId="49BB8589" w14:textId="77777777" w:rsidR="0068689D" w:rsidRDefault="0068689D" w:rsidP="004A1847">
      <w:pPr>
        <w:spacing w:after="0" w:line="240" w:lineRule="auto"/>
      </w:pPr>
      <w:r>
        <w:continuationSeparator/>
      </w:r>
    </w:p>
  </w:footnote>
  <w:footnote w:type="continuationNotice" w:id="1">
    <w:p w14:paraId="7AAF60FF" w14:textId="77777777" w:rsidR="0068689D" w:rsidRDefault="0068689D">
      <w:pPr>
        <w:spacing w:after="0" w:line="240" w:lineRule="auto"/>
      </w:pPr>
    </w:p>
  </w:footnote>
  <w:footnote w:id="2">
    <w:p w14:paraId="380DF994" w14:textId="77777777" w:rsidR="00DB2443" w:rsidRPr="00984E13" w:rsidRDefault="00DB2443" w:rsidP="00DB2443">
      <w:pPr>
        <w:pStyle w:val="Textonotapie"/>
        <w:ind w:firstLine="709"/>
        <w:jc w:val="both"/>
        <w:rPr>
          <w:rFonts w:ascii="Verdana" w:hAnsi="Verdana" w:cs="Arial"/>
          <w:sz w:val="16"/>
          <w:szCs w:val="16"/>
        </w:rPr>
      </w:pPr>
      <w:r w:rsidRPr="00984E13">
        <w:rPr>
          <w:rStyle w:val="Refdenotaalpie"/>
          <w:rFonts w:ascii="Verdana" w:hAnsi="Verdana" w:cs="Arial"/>
          <w:sz w:val="16"/>
          <w:szCs w:val="16"/>
        </w:rPr>
        <w:footnoteRef/>
      </w:r>
      <w:r>
        <w:rPr>
          <w:rFonts w:ascii="Verdana" w:eastAsia="Calibri" w:hAnsi="Verdana" w:cs="Arial"/>
          <w:color w:val="000000" w:themeColor="text1"/>
          <w:sz w:val="16"/>
          <w:szCs w:val="16"/>
          <w:lang w:val="es-ES"/>
        </w:rPr>
        <w:t>“</w:t>
      </w:r>
      <w:r w:rsidRPr="00984E13">
        <w:rPr>
          <w:rFonts w:ascii="Verdana" w:hAnsi="Verdana" w:cs="Arial"/>
          <w:sz w:val="16"/>
          <w:szCs w:val="16"/>
        </w:rPr>
        <w:t>Ver, entre otros: Consejo de Estado. Sala Plena de lo Contencioso Administrativo. Sentencia del 8 de agosto de 2001. Rad. AC-10966 - AC-11274; y Sala de lo Contencioso Administrativo - Sección Tercera. Providencias del 13 de septiembre de 1999. Rad. 10607; del 13 de julio de 2000. Rad. 12513; del 10 de noviembre de 2000. Rad. 18709; del 22 de junio de 2001. Rad. 12136; del 11 de diciembre de 2003. Rad. 25000-23-26-000-1993-08696-01(13348); del 19 de agosto de 2004. Rad. 25000-23-26-000-1994-00114-01(14111)</w:t>
      </w:r>
      <w:r>
        <w:rPr>
          <w:rFonts w:ascii="Verdana" w:eastAsia="Calibri" w:hAnsi="Verdana" w:cs="Arial"/>
          <w:color w:val="000000" w:themeColor="text1"/>
          <w:sz w:val="16"/>
          <w:szCs w:val="16"/>
          <w:lang w:val="es-ES"/>
        </w:rPr>
        <w:t>”</w:t>
      </w:r>
      <w:r w:rsidRPr="00984E13">
        <w:rPr>
          <w:rFonts w:ascii="Verdana" w:eastAsia="Calibri" w:hAnsi="Verdana" w:cs="Arial"/>
          <w:color w:val="000000" w:themeColor="text1"/>
          <w:sz w:val="16"/>
          <w:szCs w:val="16"/>
          <w:lang w:val="es-ES"/>
        </w:rPr>
        <w:t>.</w:t>
      </w:r>
      <w:r w:rsidRPr="00984E13">
        <w:rPr>
          <w:rFonts w:ascii="Verdana" w:hAnsi="Verdana" w:cs="Arial"/>
          <w:sz w:val="16"/>
          <w:szCs w:val="16"/>
        </w:rPr>
        <w:t xml:space="preserve"> Citado en CONSEJO DE ESTADO. Sala de lo Contencioso Administrativo. Sección Tercera – Subsección A. Sentencia del 16 de mayo de 2019. Rad. (40102). C.P: María Adriana Marín [cita No. 35]. </w:t>
      </w:r>
    </w:p>
  </w:footnote>
  <w:footnote w:id="3">
    <w:p w14:paraId="0B2C818E" w14:textId="77777777" w:rsidR="00DB2443" w:rsidRPr="00984E13" w:rsidRDefault="00DB2443" w:rsidP="00DB2443">
      <w:pPr>
        <w:pStyle w:val="Textonotapie"/>
        <w:ind w:firstLine="709"/>
        <w:jc w:val="both"/>
        <w:rPr>
          <w:rFonts w:ascii="Verdana" w:hAnsi="Verdana" w:cs="Arial"/>
          <w:sz w:val="16"/>
          <w:szCs w:val="16"/>
        </w:rPr>
      </w:pPr>
      <w:r w:rsidRPr="00984E13">
        <w:rPr>
          <w:rStyle w:val="Refdenotaalpie"/>
          <w:rFonts w:ascii="Verdana" w:hAnsi="Verdana" w:cs="Arial"/>
          <w:sz w:val="16"/>
          <w:szCs w:val="16"/>
        </w:rPr>
        <w:footnoteRef/>
      </w:r>
      <w:r w:rsidRPr="00984E13">
        <w:rPr>
          <w:rFonts w:ascii="Verdana" w:hAnsi="Verdana" w:cs="Arial"/>
          <w:sz w:val="16"/>
          <w:szCs w:val="16"/>
        </w:rPr>
        <w:t xml:space="preserve"> CONSEJO DE ESTADO. Sala de lo Contencioso Administrativo. Sección Tercera – Subsección A. Sentencia del 16 de mayo de 2019. Rad. (40102). C.P: María Adriana Marín</w:t>
      </w:r>
    </w:p>
  </w:footnote>
  <w:footnote w:id="4">
    <w:p w14:paraId="4572CF72" w14:textId="77777777" w:rsidR="00DB2443" w:rsidRPr="00984E13" w:rsidRDefault="00DB2443" w:rsidP="00DB2443">
      <w:pPr>
        <w:pStyle w:val="Textonotapie"/>
        <w:ind w:firstLine="709"/>
        <w:jc w:val="both"/>
        <w:rPr>
          <w:rFonts w:ascii="Verdana" w:hAnsi="Verdana" w:cs="Arial"/>
          <w:sz w:val="16"/>
          <w:szCs w:val="16"/>
        </w:rPr>
      </w:pPr>
      <w:r w:rsidRPr="00984E13">
        <w:rPr>
          <w:rStyle w:val="Refdenotaalpie"/>
          <w:rFonts w:ascii="Verdana" w:hAnsi="Verdana" w:cs="Arial"/>
          <w:sz w:val="16"/>
          <w:szCs w:val="16"/>
        </w:rPr>
        <w:footnoteRef/>
      </w:r>
      <w:r w:rsidRPr="00984E13">
        <w:rPr>
          <w:rFonts w:ascii="Verdana" w:hAnsi="Verdana" w:cs="Arial"/>
          <w:sz w:val="16"/>
          <w:szCs w:val="16"/>
        </w:rPr>
        <w:t xml:space="preserve"> CONSEJO DE ESTADO. Sala de lo Contencioso Administrativo. Sección Tercera – Subsección C. Sentencia del 2 de octubre del 2020. Rad. 63644. CP. Jaime Enrique Rodríguez Nava. </w:t>
      </w:r>
    </w:p>
  </w:footnote>
  <w:footnote w:id="5">
    <w:p w14:paraId="608D1E5B" w14:textId="77777777" w:rsidR="00DB2443" w:rsidRPr="00984E13" w:rsidRDefault="00DB2443" w:rsidP="00DB2443">
      <w:pPr>
        <w:pStyle w:val="Textonotapie"/>
        <w:ind w:firstLine="709"/>
        <w:jc w:val="both"/>
        <w:rPr>
          <w:rFonts w:ascii="Verdana" w:hAnsi="Verdana" w:cs="Arial"/>
          <w:color w:val="000000" w:themeColor="text1"/>
          <w:sz w:val="16"/>
          <w:szCs w:val="16"/>
          <w:lang w:val="es-ES"/>
        </w:rPr>
      </w:pPr>
      <w:r w:rsidRPr="00984E13">
        <w:rPr>
          <w:rStyle w:val="Refdenotaalpie"/>
          <w:rFonts w:ascii="Verdana" w:hAnsi="Verdana" w:cs="Arial"/>
          <w:sz w:val="16"/>
          <w:szCs w:val="16"/>
        </w:rPr>
        <w:footnoteRef/>
      </w:r>
      <w:r w:rsidRPr="00984E13">
        <w:rPr>
          <w:rFonts w:ascii="Verdana" w:hAnsi="Verdana" w:cs="Arial"/>
          <w:sz w:val="16"/>
          <w:szCs w:val="16"/>
        </w:rPr>
        <w:t xml:space="preserve"> </w:t>
      </w:r>
      <w:r w:rsidRPr="00984E13">
        <w:rPr>
          <w:rFonts w:ascii="Verdana" w:hAnsi="Verdana" w:cs="Arial"/>
          <w:color w:val="000000" w:themeColor="text1"/>
          <w:sz w:val="16"/>
          <w:szCs w:val="16"/>
          <w:lang w:val="es-ES"/>
        </w:rPr>
        <w:t>CONSEJO DE ESTADO. Sección Tercera. Sentencia de 22 de junio de 2001. Exp. 13436, C.P. Ricardo Hoyos Duque</w:t>
      </w:r>
    </w:p>
  </w:footnote>
  <w:footnote w:id="6">
    <w:p w14:paraId="20D27003" w14:textId="77777777" w:rsidR="00DB2443" w:rsidRPr="00984E13" w:rsidRDefault="00DB2443" w:rsidP="00DB2443">
      <w:pPr>
        <w:pStyle w:val="Textonotapie"/>
        <w:ind w:firstLine="709"/>
        <w:jc w:val="both"/>
        <w:rPr>
          <w:rFonts w:ascii="Verdana" w:hAnsi="Verdana" w:cs="Arial"/>
          <w:sz w:val="16"/>
          <w:szCs w:val="16"/>
        </w:rPr>
      </w:pPr>
      <w:r w:rsidRPr="00984E13">
        <w:rPr>
          <w:rStyle w:val="Refdenotaalpie"/>
          <w:rFonts w:ascii="Verdana" w:hAnsi="Verdana" w:cs="Arial"/>
          <w:sz w:val="16"/>
          <w:szCs w:val="16"/>
        </w:rPr>
        <w:footnoteRef/>
      </w:r>
      <w:r>
        <w:rPr>
          <w:rFonts w:ascii="Verdana" w:hAnsi="Verdana" w:cs="Arial"/>
          <w:sz w:val="16"/>
          <w:szCs w:val="16"/>
        </w:rPr>
        <w:t>“</w:t>
      </w:r>
      <w:r w:rsidRPr="00984E13">
        <w:rPr>
          <w:rFonts w:ascii="Verdana" w:hAnsi="Verdana" w:cs="Arial"/>
          <w:sz w:val="16"/>
          <w:szCs w:val="16"/>
        </w:rPr>
        <w:t>Se trata de un dinero entregado a título de crédito a favor de la entidad contratante, el cual debe ser debidamente cancelado a través de los descuentos hechos a los valores cobrados por el contratista, de modo que por medio de dicho mecanismos el dinero entregado como anticipo se convierta en parte del pago como contraprestación a la ejecución de las actividades propias del objeto pactado en virtud del contrato, siendo una práctica usual que permite impulsar la ejecución del contrato con la agilidad que requiere la administración para concluir la ejecución del objeto contratado, en aras de dar cumplimiento al mandato de una continua y eficiente prestación del servicio público a su cargo</w:t>
      </w:r>
      <w:r>
        <w:rPr>
          <w:rFonts w:ascii="Verdana" w:eastAsia="Calibri" w:hAnsi="Verdana" w:cs="Arial"/>
          <w:color w:val="000000" w:themeColor="text1"/>
          <w:sz w:val="16"/>
          <w:szCs w:val="16"/>
          <w:lang w:val="es-ES"/>
        </w:rPr>
        <w:t>”</w:t>
      </w:r>
      <w:r w:rsidRPr="00984E13">
        <w:rPr>
          <w:rFonts w:ascii="Verdana" w:eastAsia="Calibri" w:hAnsi="Verdana" w:cs="Arial"/>
          <w:color w:val="000000" w:themeColor="text1"/>
          <w:sz w:val="16"/>
          <w:szCs w:val="16"/>
          <w:lang w:val="es-ES"/>
        </w:rPr>
        <w:t xml:space="preserve"> (</w:t>
      </w:r>
      <w:r w:rsidRPr="00984E13">
        <w:rPr>
          <w:rFonts w:ascii="Verdana" w:hAnsi="Verdana" w:cs="Arial"/>
          <w:sz w:val="16"/>
          <w:szCs w:val="16"/>
        </w:rPr>
        <w:t xml:space="preserve">EXPÓSITO VÉLEZ, Juan Carlos. Forma y contenido del contrato estatal. Bogotá: Universidad Externado de Colombia, 2013, p. 165-166). De igual manera, se ha expuesto que </w:t>
      </w:r>
      <w:r>
        <w:rPr>
          <w:rFonts w:ascii="Verdana" w:hAnsi="Verdana" w:cs="Arial"/>
          <w:sz w:val="16"/>
          <w:szCs w:val="16"/>
        </w:rPr>
        <w:t>“</w:t>
      </w:r>
      <w:r w:rsidRPr="00984E13">
        <w:rPr>
          <w:rFonts w:ascii="Verdana" w:hAnsi="Verdana" w:cs="Arial"/>
          <w:sz w:val="16"/>
          <w:szCs w:val="16"/>
        </w:rPr>
        <w:t>Son recursos que deberán amortizarse en proporción a la ejecución del contrato pues se trata de una especie muy particular de préstamo. Lo anterior tiene consecuencias muy importantes, porque se trata de recursos públicos administrados por un particular (contratista), y en esa medida cualquier desviación de estos recursos a fines distintos a los contemplados dentro del contrato podrá propiciar las correspondientes acciones de carácter penal</w:t>
      </w:r>
      <w:r>
        <w:rPr>
          <w:rFonts w:ascii="Verdana" w:eastAsia="Calibri" w:hAnsi="Verdana" w:cs="Arial"/>
          <w:color w:val="000000" w:themeColor="text1"/>
          <w:sz w:val="16"/>
          <w:szCs w:val="16"/>
          <w:lang w:val="es-ES"/>
        </w:rPr>
        <w:t>”</w:t>
      </w:r>
      <w:r w:rsidRPr="00984E13">
        <w:rPr>
          <w:rFonts w:ascii="Verdana" w:hAnsi="Verdana" w:cs="Arial"/>
          <w:sz w:val="16"/>
          <w:szCs w:val="16"/>
        </w:rPr>
        <w:t xml:space="preserve"> (MATALLANA CAMACHO, Ernesto. Manual de Contratación de la Administración Pública. Reforma de la Ley 80 de 1993. Cuarta edición. Bogotá: Universidad Externado de Colombia, 2015. p. 921 y ss).</w:t>
      </w:r>
    </w:p>
  </w:footnote>
  <w:footnote w:id="7">
    <w:p w14:paraId="441FEC98" w14:textId="77777777" w:rsidR="00DB2443" w:rsidRPr="00984E13" w:rsidRDefault="00DB2443" w:rsidP="00DB2443">
      <w:pPr>
        <w:spacing w:after="0" w:line="240" w:lineRule="auto"/>
        <w:ind w:firstLine="709"/>
        <w:jc w:val="both"/>
        <w:rPr>
          <w:rFonts w:ascii="Verdana" w:hAnsi="Verdana" w:cs="Arial"/>
          <w:sz w:val="16"/>
          <w:szCs w:val="16"/>
        </w:rPr>
      </w:pPr>
      <w:r w:rsidRPr="00984E13">
        <w:rPr>
          <w:rStyle w:val="Refdenotaalpie"/>
          <w:rFonts w:ascii="Verdana" w:hAnsi="Verdana" w:cs="Arial"/>
          <w:sz w:val="16"/>
          <w:szCs w:val="16"/>
        </w:rPr>
        <w:footnoteRef/>
      </w:r>
      <w:r w:rsidRPr="00984E13">
        <w:rPr>
          <w:rFonts w:ascii="Verdana" w:hAnsi="Verdana" w:cs="Arial"/>
          <w:sz w:val="16"/>
          <w:szCs w:val="16"/>
        </w:rPr>
        <w:t xml:space="preserve"> CONSEJO DE ESTADO. Sala Plena. Sentencia del 8 de agosto de 2001. Exp. AC-10966 - AC-11274. Consejero Ponente: Reinaldo Chavarro Buriticá.</w:t>
      </w:r>
    </w:p>
  </w:footnote>
  <w:footnote w:id="8">
    <w:p w14:paraId="17C46454" w14:textId="77777777" w:rsidR="00DB2443" w:rsidRPr="00E97A27" w:rsidRDefault="00DB2443" w:rsidP="00DB2443">
      <w:pPr>
        <w:pStyle w:val="Textonotapie"/>
        <w:ind w:firstLine="709"/>
        <w:jc w:val="both"/>
        <w:rPr>
          <w:rFonts w:ascii="Verdana" w:hAnsi="Verdana" w:cs="Arial"/>
          <w:color w:val="000000" w:themeColor="text1"/>
          <w:sz w:val="16"/>
          <w:szCs w:val="16"/>
        </w:rPr>
      </w:pPr>
      <w:r w:rsidRPr="00E97A27">
        <w:rPr>
          <w:rStyle w:val="Refdenotaalpie"/>
          <w:rFonts w:ascii="Verdana" w:hAnsi="Verdana" w:cs="Arial"/>
          <w:sz w:val="16"/>
          <w:szCs w:val="16"/>
        </w:rPr>
        <w:footnoteRef/>
      </w:r>
      <w:r w:rsidRPr="00E97A27">
        <w:rPr>
          <w:rFonts w:ascii="Verdana" w:hAnsi="Verdana" w:cs="Arial"/>
          <w:sz w:val="16"/>
          <w:szCs w:val="16"/>
        </w:rPr>
        <w:t xml:space="preserve"> </w:t>
      </w:r>
      <w:r w:rsidRPr="00E97A27">
        <w:rPr>
          <w:rFonts w:ascii="Verdana" w:hAnsi="Verdana" w:cs="Arial"/>
          <w:color w:val="000000" w:themeColor="text1"/>
          <w:sz w:val="16"/>
          <w:szCs w:val="16"/>
        </w:rPr>
        <w:t xml:space="preserve">Consejo de Estado. Sentencia del 28 de junio de 2012. Rad. Nro. 21990. C.P: Ruth Stella Correa Palacio. </w:t>
      </w:r>
    </w:p>
  </w:footnote>
  <w:footnote w:id="9">
    <w:p w14:paraId="6449AD93" w14:textId="77777777" w:rsidR="00DB2443" w:rsidRPr="00E97A27" w:rsidRDefault="00DB2443" w:rsidP="00DB2443">
      <w:pPr>
        <w:pStyle w:val="Textonotapie"/>
        <w:ind w:firstLine="709"/>
        <w:jc w:val="both"/>
        <w:rPr>
          <w:rFonts w:ascii="Verdana" w:hAnsi="Verdana" w:cs="Arial"/>
          <w:iCs/>
          <w:sz w:val="16"/>
          <w:szCs w:val="16"/>
        </w:rPr>
      </w:pPr>
      <w:r w:rsidRPr="00E97A27">
        <w:rPr>
          <w:rStyle w:val="Refdenotaalpie"/>
          <w:rFonts w:ascii="Verdana" w:hAnsi="Verdana" w:cs="Arial"/>
          <w:sz w:val="16"/>
          <w:szCs w:val="16"/>
        </w:rPr>
        <w:footnoteRef/>
      </w:r>
      <w:r w:rsidRPr="00E97A27">
        <w:rPr>
          <w:rFonts w:ascii="Verdana" w:hAnsi="Verdana" w:cs="Arial"/>
          <w:sz w:val="16"/>
          <w:szCs w:val="16"/>
        </w:rPr>
        <w:t xml:space="preserve"> </w:t>
      </w:r>
      <w:r w:rsidRPr="00E97A27">
        <w:rPr>
          <w:rFonts w:ascii="Verdana" w:hAnsi="Verdana" w:cs="Arial"/>
          <w:iCs/>
          <w:sz w:val="16"/>
          <w:szCs w:val="16"/>
          <w:lang w:val="es-CO"/>
        </w:rPr>
        <w:t xml:space="preserve">IBAÑEZ NAJAR, Jorge Enrique. </w:t>
      </w:r>
      <w:r w:rsidRPr="00E97A27">
        <w:rPr>
          <w:rFonts w:ascii="Verdana" w:hAnsi="Verdana" w:cs="Arial"/>
          <w:iCs/>
          <w:sz w:val="16"/>
          <w:szCs w:val="16"/>
        </w:rPr>
        <w:t xml:space="preserve">La conmutatividad del contrato estatal y su equilibrio económico y financiero. La obligación de conservarlo, su ruptura y la obligación de restablecerlo según la ley </w:t>
      </w:r>
      <w:r w:rsidRPr="00E97A27">
        <w:rPr>
          <w:rFonts w:ascii="Verdana" w:hAnsi="Verdana" w:cs="Arial"/>
          <w:iCs/>
          <w:sz w:val="16"/>
          <w:szCs w:val="16"/>
          <w:lang w:val="es-CO"/>
        </w:rPr>
        <w:t>y la jurisprudencia. En: PALACIO JARAMILLO, María Teresa (editora académica). Contratos Estatales. Tomo II. 2022. Bogotá: Universidad del Rosario. P. 630</w:t>
      </w:r>
    </w:p>
  </w:footnote>
  <w:footnote w:id="10">
    <w:p w14:paraId="7994D00B" w14:textId="77777777" w:rsidR="00DB2443" w:rsidRPr="00E97A27" w:rsidRDefault="00DB2443" w:rsidP="00DB2443">
      <w:pPr>
        <w:pStyle w:val="Textonotapie"/>
        <w:ind w:firstLine="709"/>
        <w:jc w:val="both"/>
        <w:rPr>
          <w:rFonts w:ascii="Verdana" w:hAnsi="Verdana" w:cs="Arial"/>
          <w:sz w:val="16"/>
          <w:szCs w:val="16"/>
          <w:lang w:val="es-CO"/>
        </w:rPr>
      </w:pPr>
      <w:r w:rsidRPr="00E97A27">
        <w:rPr>
          <w:rStyle w:val="Refdenotaalpie"/>
          <w:rFonts w:ascii="Verdana" w:hAnsi="Verdana" w:cs="Arial"/>
          <w:sz w:val="16"/>
          <w:szCs w:val="16"/>
        </w:rPr>
        <w:footnoteRef/>
      </w:r>
      <w:r w:rsidRPr="00E97A27">
        <w:rPr>
          <w:rFonts w:ascii="Verdana" w:hAnsi="Verdana" w:cs="Arial"/>
          <w:sz w:val="16"/>
          <w:szCs w:val="16"/>
        </w:rPr>
        <w:t xml:space="preserve">  Consejo de Estado. Sección Tercera. Sentencia del 31 de agosto de 2011. Exp. 18.080. CP.: Ruth Stella Correa Palacio. Reiterada en </w:t>
      </w:r>
      <w:r w:rsidRPr="00E97A27">
        <w:rPr>
          <w:rFonts w:ascii="Verdana" w:hAnsi="Verdana" w:cs="Arial"/>
          <w:sz w:val="16"/>
          <w:szCs w:val="16"/>
          <w:lang w:val="es-CO"/>
        </w:rPr>
        <w:t xml:space="preserve">Sentencia del 8 de febrero de 2012. Exp. 20344. </w:t>
      </w:r>
      <w:r w:rsidRPr="00E97A27">
        <w:rPr>
          <w:rFonts w:ascii="Verdana" w:hAnsi="Verdana" w:cs="Arial"/>
          <w:sz w:val="16"/>
          <w:szCs w:val="16"/>
        </w:rPr>
        <w:t>También ver: Consejo de Estado, Sección Tercera, sentencia de 9 de mayo de 1996, exp. 10.151, reiterada en sentencias de 29 de abril y 21 de julio de 1999, exp. 14.885 y exp. 14.943, C.P. Daniel Suárez Hernández.</w:t>
      </w:r>
    </w:p>
  </w:footnote>
  <w:footnote w:id="11">
    <w:p w14:paraId="5CFE288F" w14:textId="77777777" w:rsidR="00DB2443" w:rsidRPr="009B27A5" w:rsidRDefault="00DB2443" w:rsidP="00DB2443">
      <w:pPr>
        <w:pStyle w:val="Textonotapie"/>
        <w:ind w:firstLine="708"/>
        <w:jc w:val="both"/>
        <w:rPr>
          <w:rFonts w:ascii="Verdana" w:hAnsi="Verdana" w:cs="Arial"/>
          <w:sz w:val="16"/>
          <w:szCs w:val="16"/>
          <w:lang w:val="pt-BR"/>
        </w:rPr>
      </w:pPr>
      <w:r w:rsidRPr="00E97A27">
        <w:rPr>
          <w:rStyle w:val="Refdenotaalpie"/>
          <w:rFonts w:ascii="Verdana" w:hAnsi="Verdana" w:cs="Arial"/>
          <w:sz w:val="16"/>
          <w:szCs w:val="16"/>
        </w:rPr>
        <w:footnoteRef/>
      </w:r>
      <w:r w:rsidRPr="00E97A27">
        <w:rPr>
          <w:rFonts w:ascii="Verdana" w:hAnsi="Verdana" w:cs="Arial"/>
          <w:sz w:val="16"/>
          <w:szCs w:val="16"/>
        </w:rPr>
        <w:t xml:space="preserve"> Consejo de Estado. Sección Tercera. Sentencia del 29 de enero de 2018. </w:t>
      </w:r>
      <w:r w:rsidRPr="009B27A5">
        <w:rPr>
          <w:rFonts w:ascii="Verdana" w:hAnsi="Verdana" w:cs="Arial"/>
          <w:sz w:val="16"/>
          <w:szCs w:val="16"/>
          <w:lang w:val="pt-BR"/>
        </w:rPr>
        <w:t>Exp. 52.666 CP.: Jaime Orlando Santofimio Gamboa.</w:t>
      </w:r>
    </w:p>
  </w:footnote>
  <w:footnote w:id="12">
    <w:p w14:paraId="1D66EBD0" w14:textId="77777777" w:rsidR="00DB2443" w:rsidRPr="009B27A5" w:rsidRDefault="00DB2443" w:rsidP="00DB2443">
      <w:pPr>
        <w:pStyle w:val="Textonotapie"/>
        <w:ind w:firstLine="708"/>
        <w:jc w:val="both"/>
        <w:rPr>
          <w:rFonts w:ascii="Verdana" w:hAnsi="Verdana" w:cs="Arial"/>
          <w:sz w:val="16"/>
          <w:szCs w:val="16"/>
          <w:lang w:val="pt-BR"/>
        </w:rPr>
      </w:pPr>
      <w:r w:rsidRPr="00E97A27">
        <w:rPr>
          <w:rStyle w:val="Refdenotaalpie"/>
          <w:rFonts w:ascii="Verdana" w:hAnsi="Verdana" w:cs="Arial"/>
          <w:sz w:val="16"/>
          <w:szCs w:val="16"/>
        </w:rPr>
        <w:footnoteRef/>
      </w:r>
      <w:r w:rsidRPr="009B27A5">
        <w:rPr>
          <w:rFonts w:ascii="Verdana" w:hAnsi="Verdana" w:cs="Arial"/>
          <w:sz w:val="16"/>
          <w:szCs w:val="16"/>
          <w:lang w:val="pt-BR"/>
        </w:rPr>
        <w:t xml:space="preserve"> Ibidem </w:t>
      </w:r>
    </w:p>
  </w:footnote>
  <w:footnote w:id="13">
    <w:p w14:paraId="107159B1" w14:textId="77777777" w:rsidR="00DB2443" w:rsidRPr="009B27A5" w:rsidRDefault="00DB2443" w:rsidP="00DB2443">
      <w:pPr>
        <w:pStyle w:val="Textonotapie"/>
        <w:ind w:firstLine="708"/>
        <w:jc w:val="both"/>
        <w:rPr>
          <w:rFonts w:ascii="Verdana" w:hAnsi="Verdana" w:cs="Arial"/>
          <w:sz w:val="16"/>
          <w:szCs w:val="16"/>
          <w:lang w:val="pt-BR"/>
        </w:rPr>
      </w:pPr>
      <w:r w:rsidRPr="00E97A27">
        <w:rPr>
          <w:rStyle w:val="Refdenotaalpie"/>
          <w:rFonts w:ascii="Verdana" w:hAnsi="Verdana" w:cs="Arial"/>
          <w:sz w:val="16"/>
          <w:szCs w:val="16"/>
        </w:rPr>
        <w:footnoteRef/>
      </w:r>
      <w:r w:rsidRPr="009B27A5">
        <w:rPr>
          <w:rFonts w:ascii="Verdana" w:hAnsi="Verdana" w:cs="Arial"/>
          <w:sz w:val="16"/>
          <w:szCs w:val="16"/>
          <w:lang w:val="pt-BR"/>
        </w:rPr>
        <w:t xml:space="preserve"> Consejo de Estado. </w:t>
      </w:r>
      <w:r w:rsidRPr="00E97A27">
        <w:rPr>
          <w:rFonts w:ascii="Verdana" w:hAnsi="Verdana" w:cs="Arial"/>
          <w:sz w:val="16"/>
          <w:szCs w:val="16"/>
        </w:rPr>
        <w:t>Sección Tercera.</w:t>
      </w:r>
      <w:r w:rsidRPr="00E97A27">
        <w:rPr>
          <w:rFonts w:ascii="Verdana" w:hAnsi="Verdana" w:cs="Arial"/>
          <w:sz w:val="16"/>
          <w:szCs w:val="16"/>
          <w:lang w:val="es-CO"/>
        </w:rPr>
        <w:t xml:space="preserve"> Subsección A.</w:t>
      </w:r>
      <w:r w:rsidRPr="00E97A27">
        <w:rPr>
          <w:rFonts w:ascii="Verdana" w:hAnsi="Verdana" w:cs="Arial"/>
          <w:sz w:val="16"/>
          <w:szCs w:val="16"/>
        </w:rPr>
        <w:t xml:space="preserve"> Sentencia del 6 de julio de 2022. Exp. 54.319 CP.: María Adriana Marín. Ver también: </w:t>
      </w:r>
      <w:r w:rsidRPr="00E97A27">
        <w:rPr>
          <w:rFonts w:ascii="Verdana" w:hAnsi="Verdana" w:cs="Arial"/>
          <w:sz w:val="16"/>
          <w:szCs w:val="16"/>
          <w:lang w:val="es-CO"/>
        </w:rPr>
        <w:t xml:space="preserve">Consejo de Estado. Sección Tercera. Subsección A. Sentencia del 3 de junio de 2022. Exp. 53299. </w:t>
      </w:r>
      <w:r w:rsidRPr="009B27A5">
        <w:rPr>
          <w:rFonts w:ascii="Verdana" w:hAnsi="Verdana" w:cs="Arial"/>
          <w:sz w:val="16"/>
          <w:szCs w:val="16"/>
          <w:lang w:val="pt-BR"/>
        </w:rPr>
        <w:t>C.P.: José Roberto Sáchica Méndez</w:t>
      </w:r>
    </w:p>
  </w:footnote>
  <w:footnote w:id="14">
    <w:p w14:paraId="678A8795" w14:textId="77777777" w:rsidR="00DB2443" w:rsidRPr="009B27A5" w:rsidRDefault="00DB2443" w:rsidP="00DB2443">
      <w:pPr>
        <w:pStyle w:val="Textonotapie"/>
        <w:ind w:firstLine="709"/>
        <w:jc w:val="both"/>
        <w:rPr>
          <w:rFonts w:ascii="Verdana" w:hAnsi="Verdana" w:cs="Arial"/>
          <w:sz w:val="16"/>
          <w:szCs w:val="16"/>
          <w:lang w:val="pt-BR" w:bidi="es-ES"/>
        </w:rPr>
      </w:pPr>
      <w:r w:rsidRPr="00E97A27">
        <w:rPr>
          <w:rStyle w:val="Refdenotaalpie"/>
          <w:rFonts w:ascii="Verdana" w:hAnsi="Verdana" w:cs="Arial"/>
          <w:sz w:val="16"/>
          <w:szCs w:val="16"/>
        </w:rPr>
        <w:footnoteRef/>
      </w:r>
      <w:r w:rsidRPr="009B27A5">
        <w:rPr>
          <w:rFonts w:ascii="Verdana" w:hAnsi="Verdana" w:cs="Arial"/>
          <w:sz w:val="16"/>
          <w:szCs w:val="16"/>
          <w:lang w:val="pt-BR"/>
        </w:rPr>
        <w:t xml:space="preserve"> </w:t>
      </w:r>
      <w:r w:rsidRPr="009B27A5">
        <w:rPr>
          <w:rFonts w:ascii="Verdana" w:hAnsi="Verdana" w:cs="Arial"/>
          <w:sz w:val="16"/>
          <w:szCs w:val="16"/>
          <w:lang w:val="pt-BR" w:bidi="es-ES"/>
        </w:rPr>
        <w:t xml:space="preserve">Corte Constitucional. Sentencia C-416 de 2012. </w:t>
      </w:r>
    </w:p>
  </w:footnote>
  <w:footnote w:id="15">
    <w:p w14:paraId="48804661" w14:textId="77777777" w:rsidR="00DB2443" w:rsidRPr="00E97A27" w:rsidRDefault="00DB2443" w:rsidP="00DB2443">
      <w:pPr>
        <w:pStyle w:val="Textonotapie"/>
        <w:ind w:firstLine="709"/>
        <w:jc w:val="both"/>
        <w:rPr>
          <w:rFonts w:ascii="Verdana" w:hAnsi="Verdana" w:cs="Arial"/>
          <w:sz w:val="16"/>
          <w:szCs w:val="16"/>
          <w:lang w:val="es-CO"/>
        </w:rPr>
      </w:pPr>
      <w:r w:rsidRPr="00E97A27">
        <w:rPr>
          <w:rStyle w:val="Refdenotaalpie"/>
          <w:rFonts w:ascii="Verdana" w:hAnsi="Verdana" w:cs="Arial"/>
          <w:sz w:val="16"/>
          <w:szCs w:val="16"/>
        </w:rPr>
        <w:footnoteRef/>
      </w:r>
      <w:r w:rsidRPr="00E97A27">
        <w:rPr>
          <w:rFonts w:ascii="Verdana" w:hAnsi="Verdana" w:cs="Arial"/>
          <w:sz w:val="16"/>
          <w:szCs w:val="16"/>
        </w:rPr>
        <w:t xml:space="preserve"> EXPÓSITO VÉLEZ, Juan Carlos. </w:t>
      </w:r>
      <w:r w:rsidRPr="00E97A27">
        <w:rPr>
          <w:rFonts w:ascii="Verdana" w:hAnsi="Verdana" w:cs="Arial"/>
          <w:sz w:val="16"/>
          <w:szCs w:val="16"/>
          <w:lang w:val="es-CO"/>
        </w:rPr>
        <w:t xml:space="preserve">Formas, formalidades y contenido del contrato estatal. Serie de derecho administrativo Nro. 34. Universidad Externado de Colombia. 2020.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2" type="#_x0000_t75" style="width:7.45pt;height:7.45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5"/>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7556"/>
    <w:rsid w:val="00046945"/>
    <w:rsid w:val="000579D5"/>
    <w:rsid w:val="00061B2A"/>
    <w:rsid w:val="00082362"/>
    <w:rsid w:val="000A683E"/>
    <w:rsid w:val="000B19B9"/>
    <w:rsid w:val="000D0334"/>
    <w:rsid w:val="000E6AE4"/>
    <w:rsid w:val="000F6486"/>
    <w:rsid w:val="00107FCE"/>
    <w:rsid w:val="00125105"/>
    <w:rsid w:val="00127233"/>
    <w:rsid w:val="00133EB5"/>
    <w:rsid w:val="001E4177"/>
    <w:rsid w:val="001F7DC6"/>
    <w:rsid w:val="00200CC7"/>
    <w:rsid w:val="002421BB"/>
    <w:rsid w:val="0025796E"/>
    <w:rsid w:val="002707A2"/>
    <w:rsid w:val="00274BA1"/>
    <w:rsid w:val="002845A8"/>
    <w:rsid w:val="002951A0"/>
    <w:rsid w:val="002962BC"/>
    <w:rsid w:val="002A093D"/>
    <w:rsid w:val="002A0DD0"/>
    <w:rsid w:val="002A49AC"/>
    <w:rsid w:val="002A64FD"/>
    <w:rsid w:val="002C2E73"/>
    <w:rsid w:val="002C7A84"/>
    <w:rsid w:val="002E4FD9"/>
    <w:rsid w:val="002E7A8B"/>
    <w:rsid w:val="003041C9"/>
    <w:rsid w:val="00310362"/>
    <w:rsid w:val="00322A85"/>
    <w:rsid w:val="00324168"/>
    <w:rsid w:val="003448F4"/>
    <w:rsid w:val="00374F5E"/>
    <w:rsid w:val="00377E3E"/>
    <w:rsid w:val="003A779E"/>
    <w:rsid w:val="003C2794"/>
    <w:rsid w:val="003D0F4D"/>
    <w:rsid w:val="003D5B0D"/>
    <w:rsid w:val="003E0499"/>
    <w:rsid w:val="003F3941"/>
    <w:rsid w:val="00406575"/>
    <w:rsid w:val="00414C74"/>
    <w:rsid w:val="0042722E"/>
    <w:rsid w:val="0044528D"/>
    <w:rsid w:val="00460C5F"/>
    <w:rsid w:val="004A1847"/>
    <w:rsid w:val="004A305D"/>
    <w:rsid w:val="004F21C4"/>
    <w:rsid w:val="004F4F52"/>
    <w:rsid w:val="004F5A50"/>
    <w:rsid w:val="004F685F"/>
    <w:rsid w:val="005566E8"/>
    <w:rsid w:val="00574867"/>
    <w:rsid w:val="00591460"/>
    <w:rsid w:val="005A3CF8"/>
    <w:rsid w:val="005C3777"/>
    <w:rsid w:val="005C5CDC"/>
    <w:rsid w:val="005D476C"/>
    <w:rsid w:val="005E0AA5"/>
    <w:rsid w:val="00615EBD"/>
    <w:rsid w:val="006219F8"/>
    <w:rsid w:val="006302F7"/>
    <w:rsid w:val="00665D70"/>
    <w:rsid w:val="00667D3E"/>
    <w:rsid w:val="0068689D"/>
    <w:rsid w:val="006900D9"/>
    <w:rsid w:val="006901F5"/>
    <w:rsid w:val="006A760C"/>
    <w:rsid w:val="00706C16"/>
    <w:rsid w:val="00737606"/>
    <w:rsid w:val="007463B9"/>
    <w:rsid w:val="00756841"/>
    <w:rsid w:val="007649AB"/>
    <w:rsid w:val="00771D0C"/>
    <w:rsid w:val="007833AC"/>
    <w:rsid w:val="007A0178"/>
    <w:rsid w:val="007B268C"/>
    <w:rsid w:val="007B7171"/>
    <w:rsid w:val="007C0C0F"/>
    <w:rsid w:val="007C3DC2"/>
    <w:rsid w:val="007E5497"/>
    <w:rsid w:val="00806F5F"/>
    <w:rsid w:val="00820278"/>
    <w:rsid w:val="00826C26"/>
    <w:rsid w:val="00867F95"/>
    <w:rsid w:val="008843B6"/>
    <w:rsid w:val="00891928"/>
    <w:rsid w:val="00897A3A"/>
    <w:rsid w:val="008A446D"/>
    <w:rsid w:val="008B08B2"/>
    <w:rsid w:val="008D180B"/>
    <w:rsid w:val="008F0EA7"/>
    <w:rsid w:val="00923EEF"/>
    <w:rsid w:val="009419F9"/>
    <w:rsid w:val="0095685E"/>
    <w:rsid w:val="00961B09"/>
    <w:rsid w:val="00963C4B"/>
    <w:rsid w:val="00965334"/>
    <w:rsid w:val="0097093E"/>
    <w:rsid w:val="00977E0A"/>
    <w:rsid w:val="009A0DFA"/>
    <w:rsid w:val="009B25A8"/>
    <w:rsid w:val="009B27A5"/>
    <w:rsid w:val="009B2D26"/>
    <w:rsid w:val="009C71FA"/>
    <w:rsid w:val="009C72E7"/>
    <w:rsid w:val="009D3058"/>
    <w:rsid w:val="009F3A13"/>
    <w:rsid w:val="00A122D3"/>
    <w:rsid w:val="00A17F13"/>
    <w:rsid w:val="00A20739"/>
    <w:rsid w:val="00A33C78"/>
    <w:rsid w:val="00AA6E3B"/>
    <w:rsid w:val="00AB0ADB"/>
    <w:rsid w:val="00B00C0E"/>
    <w:rsid w:val="00B01B1A"/>
    <w:rsid w:val="00B15A2A"/>
    <w:rsid w:val="00B349C9"/>
    <w:rsid w:val="00B44A47"/>
    <w:rsid w:val="00B72CD3"/>
    <w:rsid w:val="00B72FFF"/>
    <w:rsid w:val="00B8705B"/>
    <w:rsid w:val="00B94DCF"/>
    <w:rsid w:val="00BC3D36"/>
    <w:rsid w:val="00BD3520"/>
    <w:rsid w:val="00BD7F72"/>
    <w:rsid w:val="00C04FB3"/>
    <w:rsid w:val="00C062C2"/>
    <w:rsid w:val="00C330EB"/>
    <w:rsid w:val="00C754BE"/>
    <w:rsid w:val="00C76B1C"/>
    <w:rsid w:val="00CB6357"/>
    <w:rsid w:val="00CC1B26"/>
    <w:rsid w:val="00D423A2"/>
    <w:rsid w:val="00D520D8"/>
    <w:rsid w:val="00D63AC2"/>
    <w:rsid w:val="00D7383B"/>
    <w:rsid w:val="00D8429A"/>
    <w:rsid w:val="00D93A58"/>
    <w:rsid w:val="00DA231B"/>
    <w:rsid w:val="00DA761D"/>
    <w:rsid w:val="00DB2443"/>
    <w:rsid w:val="00DC39FC"/>
    <w:rsid w:val="00DF525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EE404D"/>
    <w:rsid w:val="00EF2D2E"/>
    <w:rsid w:val="00EF70D4"/>
    <w:rsid w:val="00F166E8"/>
    <w:rsid w:val="00F31EDC"/>
    <w:rsid w:val="00F462B3"/>
    <w:rsid w:val="00F5664F"/>
    <w:rsid w:val="00F666C4"/>
    <w:rsid w:val="00F76AFC"/>
    <w:rsid w:val="00FA47C0"/>
    <w:rsid w:val="00FB5DD1"/>
    <w:rsid w:val="00FC1010"/>
    <w:rsid w:val="00FC2B5D"/>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DB2443"/>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DB2443"/>
    <w:rPr>
      <w:rFonts w:ascii="Geomanist Light" w:hAnsi="Geomanist Light"/>
      <w:lang w:val="es-ES"/>
    </w:rPr>
  </w:style>
  <w:style w:type="paragraph" w:styleId="Textoindependiente">
    <w:name w:val="Body Text"/>
    <w:basedOn w:val="Normal"/>
    <w:link w:val="TextoindependienteCar"/>
    <w:uiPriority w:val="1"/>
    <w:qFormat/>
    <w:rsid w:val="00DB2443"/>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DB2443"/>
    <w:rPr>
      <w:rFonts w:ascii="Verdana" w:eastAsia="Verdana" w:hAnsi="Verdana" w:cs="Verdana"/>
      <w:lang w:val="es-ES"/>
    </w:rPr>
  </w:style>
  <w:style w:type="character" w:customStyle="1" w:styleId="NormalWebCar">
    <w:name w:val="Normal (Web) Car"/>
    <w:link w:val="NormalWeb"/>
    <w:uiPriority w:val="99"/>
    <w:locked/>
    <w:rsid w:val="00DB2443"/>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secretariasenado.gov.co/senado/basedoc/ley_0080_1993.html"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santasofia@santasofia.com.co" TargetMode="External"/><Relationship Id="rId5" Type="http://schemas.openxmlformats.org/officeDocument/2006/relationships/styles" Target="styles.xml"/><Relationship Id="rId15" Type="http://schemas.openxmlformats.org/officeDocument/2006/relationships/image" Target="media/image3.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75ae58e5-9098-4e3e-9e26-9969ad851c13"/>
    <ds:schemaRef ds:uri="8ae15d26-076e-464e-81a7-6f76a0fb3917"/>
  </ds:schemaRefs>
</ds:datastoreItem>
</file>

<file path=customXml/itemProps3.xml><?xml version="1.0" encoding="utf-8"?>
<ds:datastoreItem xmlns:ds="http://schemas.openxmlformats.org/officeDocument/2006/customXml" ds:itemID="{BECABBBA-DBDB-471A-AD9A-6F34D10FA791}"/>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2</TotalTime>
  <Pages>20</Pages>
  <Words>7169</Words>
  <Characters>39430</Characters>
  <Application>Microsoft Office Word</Application>
  <DocSecurity>0</DocSecurity>
  <Lines>328</Lines>
  <Paragraphs>93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46506</CharactersWithSpaces>
  <SharedDoc>false</SharedDoc>
  <HLinks>
    <vt:vector size="24" baseType="variant">
      <vt:variant>
        <vt:i4>7995518</vt:i4>
      </vt:variant>
      <vt:variant>
        <vt:i4>9</vt:i4>
      </vt:variant>
      <vt:variant>
        <vt:i4>0</vt:i4>
      </vt:variant>
      <vt:variant>
        <vt:i4>5</vt:i4>
      </vt:variant>
      <vt:variant>
        <vt:lpwstr>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vt:lpwstr>
      </vt:variant>
      <vt:variant>
        <vt:lpwstr/>
      </vt:variant>
      <vt:variant>
        <vt:i4>7471218</vt:i4>
      </vt:variant>
      <vt:variant>
        <vt:i4>6</vt:i4>
      </vt:variant>
      <vt:variant>
        <vt:i4>0</vt:i4>
      </vt:variant>
      <vt:variant>
        <vt:i4>5</vt:i4>
      </vt:variant>
      <vt:variant>
        <vt:lpwstr>https://relatoria.colombiacompra.gov.co/busqueda/conceptos</vt:lpwstr>
      </vt:variant>
      <vt:variant>
        <vt:lpwstr/>
      </vt:variant>
      <vt:variant>
        <vt:i4>786452</vt:i4>
      </vt:variant>
      <vt:variant>
        <vt:i4>3</vt:i4>
      </vt:variant>
      <vt:variant>
        <vt:i4>0</vt:i4>
      </vt:variant>
      <vt:variant>
        <vt:i4>5</vt:i4>
      </vt:variant>
      <vt:variant>
        <vt:lpwstr>http://www.secretariasenado.gov.co/senado/basedoc/ley_0080_1993.html</vt:lpwstr>
      </vt:variant>
      <vt:variant>
        <vt:lpwstr>25</vt:lpwstr>
      </vt:variant>
      <vt:variant>
        <vt:i4>5505086</vt:i4>
      </vt:variant>
      <vt:variant>
        <vt:i4>0</vt:i4>
      </vt:variant>
      <vt:variant>
        <vt:i4>0</vt:i4>
      </vt:variant>
      <vt:variant>
        <vt:i4>5</vt:i4>
      </vt:variant>
      <vt:variant>
        <vt:lpwstr>mailto:santasofia@santasofia.com.co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Joan Montoya Penagos</cp:lastModifiedBy>
  <cp:revision>6</cp:revision>
  <cp:lastPrinted>2023-01-10T21:18:00Z</cp:lastPrinted>
  <dcterms:created xsi:type="dcterms:W3CDTF">2025-10-16T03:58:00Z</dcterms:created>
  <dcterms:modified xsi:type="dcterms:W3CDTF">2025-10-16T21:41:00Z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