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59947D" w14:textId="77777777" w:rsidR="0023010E" w:rsidRDefault="00931900" w:rsidP="0023010E">
      <w:pPr>
        <w:jc w:val="both"/>
        <w:rPr>
          <w:rFonts w:ascii="Verdana" w:eastAsia="Calibri" w:hAnsi="Verdana" w:cs="Arial"/>
          <w:b/>
          <w:bCs/>
          <w:lang w:val="es-ES" w:eastAsia="es-ES"/>
        </w:rPr>
      </w:pPr>
      <w:bookmarkStart w:id="0" w:name="_Hlk143780582"/>
      <w:bookmarkStart w:id="1" w:name="_Hlk202875225"/>
      <w:bookmarkStart w:id="2" w:name="_Hlk203032812"/>
      <w:bookmarkStart w:id="3" w:name="_Hlk204367265"/>
      <w:bookmarkStart w:id="4" w:name="_Hlk206116713"/>
      <w:bookmarkStart w:id="5" w:name="_Hlk211857901"/>
      <w:bookmarkStart w:id="6" w:name="_Hlk212042664"/>
      <w:r w:rsidRPr="00931900">
        <w:rPr>
          <w:rFonts w:ascii="Verdana" w:eastAsia="Calibri" w:hAnsi="Verdana" w:cs="Arial"/>
          <w:b/>
          <w:bCs/>
          <w:lang w:val="es-ES" w:eastAsia="es-ES"/>
        </w:rPr>
        <w:t xml:space="preserve">LEY DE GARANTÍAS ELECTORALES – Finalidad </w:t>
      </w:r>
    </w:p>
    <w:p w14:paraId="6839E444" w14:textId="77777777" w:rsidR="0023010E" w:rsidRDefault="0023010E" w:rsidP="00E9780C">
      <w:pPr>
        <w:spacing w:after="0" w:line="240" w:lineRule="auto"/>
        <w:jc w:val="both"/>
        <w:rPr>
          <w:rFonts w:ascii="Verdana" w:eastAsia="Times New Roman" w:hAnsi="Verdana" w:cs="Arial"/>
          <w:sz w:val="20"/>
          <w:szCs w:val="20"/>
          <w:lang w:eastAsia="es-CO"/>
        </w:rPr>
      </w:pPr>
      <w:r w:rsidRPr="0023010E">
        <w:rPr>
          <w:rFonts w:ascii="Verdana" w:eastAsia="Times New Roman" w:hAnsi="Verdana" w:cs="Arial"/>
          <w:sz w:val="20"/>
          <w:szCs w:val="20"/>
          <w:lang w:eastAsia="es-CO"/>
        </w:rPr>
        <w:t>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Pr>
          <w:rFonts w:ascii="Verdana" w:eastAsia="Times New Roman" w:hAnsi="Verdana" w:cs="Arial"/>
          <w:sz w:val="20"/>
          <w:szCs w:val="20"/>
          <w:lang w:eastAsia="es-CO"/>
        </w:rPr>
        <w:t>.</w:t>
      </w:r>
    </w:p>
    <w:p w14:paraId="2317C1BF" w14:textId="77777777" w:rsidR="00E9780C" w:rsidRDefault="00E9780C" w:rsidP="00E9780C">
      <w:pPr>
        <w:spacing w:after="0" w:line="240" w:lineRule="auto"/>
        <w:jc w:val="both"/>
        <w:rPr>
          <w:rFonts w:ascii="Verdana" w:eastAsia="Calibri" w:hAnsi="Verdana" w:cs="Arial"/>
          <w:b/>
          <w:bCs/>
          <w:lang w:val="es-ES" w:eastAsia="es-ES"/>
        </w:rPr>
      </w:pPr>
    </w:p>
    <w:p w14:paraId="41C748B5" w14:textId="20DB960A" w:rsidR="0023010E" w:rsidRDefault="00931900" w:rsidP="001B3396">
      <w:pPr>
        <w:spacing w:after="0" w:line="240" w:lineRule="auto"/>
        <w:jc w:val="both"/>
        <w:rPr>
          <w:rFonts w:ascii="Verdana" w:eastAsia="Times New Roman" w:hAnsi="Verdana" w:cs="Arial"/>
          <w:sz w:val="20"/>
          <w:szCs w:val="20"/>
          <w:lang w:eastAsia="es-CO"/>
        </w:rPr>
      </w:pPr>
      <w:r w:rsidRPr="0023010E">
        <w:rPr>
          <w:rFonts w:ascii="Verdana" w:eastAsia="Calibri" w:hAnsi="Verdana" w:cs="Arial"/>
          <w:b/>
          <w:bCs/>
          <w:lang w:val="es-ES" w:eastAsia="es-ES"/>
        </w:rPr>
        <w:t xml:space="preserve">LEY DE GARANTÍAS ELECTORALES ‒ Restricciones ‒ Contratación ‒ Tipos de elección </w:t>
      </w:r>
    </w:p>
    <w:p w14:paraId="631F9D75" w14:textId="77777777" w:rsidR="001B3396" w:rsidRDefault="001B3396" w:rsidP="001B3396">
      <w:pPr>
        <w:spacing w:after="0" w:line="240" w:lineRule="auto"/>
        <w:jc w:val="both"/>
        <w:rPr>
          <w:rFonts w:ascii="Verdana" w:eastAsia="Arial" w:hAnsi="Verdana" w:cs="Arial"/>
          <w:sz w:val="20"/>
          <w:szCs w:val="20"/>
          <w:lang w:eastAsia="es-ES" w:bidi="es-ES"/>
        </w:rPr>
      </w:pPr>
    </w:p>
    <w:p w14:paraId="2F4D609A" w14:textId="087DF4A9" w:rsidR="0023010E" w:rsidRDefault="0023010E" w:rsidP="001B3396">
      <w:pPr>
        <w:spacing w:after="0" w:line="240" w:lineRule="auto"/>
        <w:jc w:val="both"/>
        <w:rPr>
          <w:rFonts w:ascii="Verdana" w:eastAsia="Times New Roman" w:hAnsi="Verdana" w:cs="Arial"/>
          <w:sz w:val="20"/>
          <w:szCs w:val="20"/>
          <w:lang w:eastAsia="es-CO"/>
        </w:rPr>
      </w:pPr>
      <w:r>
        <w:rPr>
          <w:rFonts w:ascii="Verdana" w:eastAsia="Arial" w:hAnsi="Verdana" w:cs="Arial"/>
          <w:sz w:val="20"/>
          <w:szCs w:val="20"/>
          <w:lang w:eastAsia="es-ES" w:bidi="es-ES"/>
        </w:rPr>
        <w:t xml:space="preserve">[…] </w:t>
      </w:r>
      <w:r w:rsidRPr="0023010E">
        <w:rPr>
          <w:rFonts w:ascii="Verdana" w:eastAsia="Arial" w:hAnsi="Verdana" w:cs="Arial"/>
          <w:sz w:val="20"/>
          <w:szCs w:val="20"/>
          <w:lang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778CA8E2" w14:textId="77777777" w:rsidR="0023010E" w:rsidRDefault="0023010E" w:rsidP="001B3396">
      <w:pPr>
        <w:spacing w:after="0" w:line="240" w:lineRule="auto"/>
        <w:jc w:val="both"/>
        <w:rPr>
          <w:rFonts w:ascii="Verdana" w:eastAsia="Arial" w:hAnsi="Verdana" w:cs="Arial"/>
          <w:sz w:val="20"/>
          <w:szCs w:val="20"/>
          <w:lang w:eastAsia="es-ES" w:bidi="es-ES"/>
        </w:rPr>
      </w:pPr>
    </w:p>
    <w:p w14:paraId="616C2099" w14:textId="500554A2" w:rsidR="0023010E" w:rsidRDefault="0023010E" w:rsidP="001B3396">
      <w:pPr>
        <w:spacing w:after="0" w:line="240" w:lineRule="auto"/>
        <w:jc w:val="both"/>
        <w:rPr>
          <w:rFonts w:ascii="Verdana" w:eastAsia="Times New Roman" w:hAnsi="Verdana" w:cs="Arial"/>
          <w:sz w:val="20"/>
          <w:szCs w:val="20"/>
          <w:lang w:eastAsia="es-CO"/>
        </w:rPr>
      </w:pPr>
      <w:r w:rsidRPr="0023010E">
        <w:rPr>
          <w:rFonts w:ascii="Verdana" w:eastAsia="Arial" w:hAnsi="Verdana" w:cs="Arial"/>
          <w:sz w:val="20"/>
          <w:szCs w:val="20"/>
          <w:lang w:eastAsia="es-ES" w:bidi="es-ES"/>
        </w:rPr>
        <w:t>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7D4EB2DF" w14:textId="77777777" w:rsidR="0023010E" w:rsidRDefault="0023010E" w:rsidP="001B3396">
      <w:pPr>
        <w:spacing w:after="0" w:line="240" w:lineRule="auto"/>
        <w:jc w:val="both"/>
        <w:rPr>
          <w:rFonts w:ascii="Verdana" w:eastAsia="Calibri" w:hAnsi="Verdana" w:cs="Arial"/>
          <w:sz w:val="20"/>
          <w:szCs w:val="20"/>
        </w:rPr>
      </w:pPr>
    </w:p>
    <w:p w14:paraId="51FA6B2A" w14:textId="6A37E4BA" w:rsidR="0023010E" w:rsidRDefault="0023010E" w:rsidP="001B3396">
      <w:pPr>
        <w:spacing w:after="0" w:line="240" w:lineRule="auto"/>
        <w:jc w:val="both"/>
        <w:rPr>
          <w:rFonts w:ascii="Verdana" w:eastAsia="Times New Roman" w:hAnsi="Verdana" w:cs="Arial"/>
          <w:sz w:val="20"/>
          <w:szCs w:val="20"/>
          <w:lang w:eastAsia="es-CO"/>
        </w:rPr>
      </w:pPr>
      <w:r w:rsidRPr="0023010E">
        <w:rPr>
          <w:rFonts w:ascii="Verdana" w:eastAsia="Calibri" w:hAnsi="Verdana" w:cs="Arial"/>
          <w:sz w:val="20"/>
          <w:szCs w:val="20"/>
        </w:rPr>
        <w:t xml:space="preserve">Por un lado, el </w:t>
      </w:r>
      <w:r w:rsidRPr="0023010E">
        <w:rPr>
          <w:rFonts w:ascii="Verdana" w:eastAsia="Calibri" w:hAnsi="Verdana" w:cs="Arial"/>
          <w:i/>
          <w:iCs/>
          <w:sz w:val="20"/>
          <w:szCs w:val="20"/>
        </w:rPr>
        <w:t xml:space="preserve">artículo 33 </w:t>
      </w:r>
      <w:r w:rsidRPr="0023010E">
        <w:rPr>
          <w:rFonts w:ascii="Verdana" w:eastAsia="Calibri" w:hAnsi="Verdana" w:cs="Arial"/>
          <w:sz w:val="20"/>
          <w:szCs w:val="20"/>
        </w:rPr>
        <w:t xml:space="preserve">de la Ley 996 de 2005 prohíbe “(…) la </w:t>
      </w:r>
      <w:r w:rsidRPr="0023010E">
        <w:rPr>
          <w:rFonts w:ascii="Verdana" w:eastAsia="Calibri" w:hAnsi="Verdana" w:cs="Arial"/>
          <w:b/>
          <w:bCs/>
          <w:sz w:val="20"/>
          <w:szCs w:val="20"/>
          <w:u w:val="single"/>
        </w:rPr>
        <w:t>contratación directa</w:t>
      </w:r>
      <w:r w:rsidRPr="0023010E">
        <w:rPr>
          <w:rFonts w:ascii="Verdana" w:eastAsia="Calibri" w:hAnsi="Verdana" w:cs="Arial"/>
          <w:sz w:val="20"/>
          <w:szCs w:val="20"/>
        </w:rPr>
        <w:t xml:space="preserve"> por parte de </w:t>
      </w:r>
      <w:r w:rsidRPr="0023010E">
        <w:rPr>
          <w:rFonts w:ascii="Verdana" w:eastAsia="Calibri" w:hAnsi="Verdana" w:cs="Arial"/>
          <w:i/>
          <w:iCs/>
          <w:sz w:val="20"/>
          <w:szCs w:val="20"/>
        </w:rPr>
        <w:t>todos los entes del Estado</w:t>
      </w:r>
      <w:r w:rsidRPr="0023010E">
        <w:rPr>
          <w:rFonts w:ascii="Verdana" w:eastAsia="Calibri" w:hAnsi="Verdana" w:cs="Arial"/>
          <w:sz w:val="20"/>
          <w:szCs w:val="20"/>
        </w:rPr>
        <w:t xml:space="preserve">” durante los cuatro (4) meses anteriores a las </w:t>
      </w:r>
      <w:r w:rsidRPr="0023010E">
        <w:rPr>
          <w:rFonts w:ascii="Verdana" w:eastAsia="Calibri" w:hAnsi="Verdana" w:cs="Arial"/>
          <w:i/>
          <w:iCs/>
          <w:sz w:val="20"/>
          <w:szCs w:val="20"/>
        </w:rPr>
        <w:t>elecciones presidenciales</w:t>
      </w:r>
      <w:r w:rsidRPr="0023010E">
        <w:rPr>
          <w:rFonts w:ascii="Verdana" w:eastAsia="Calibri" w:hAnsi="Verdana" w:cs="Arial"/>
          <w:sz w:val="20"/>
          <w:szCs w:val="20"/>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6C5EACC" w14:textId="77777777" w:rsidR="0023010E" w:rsidRDefault="0023010E" w:rsidP="001B3396">
      <w:pPr>
        <w:spacing w:after="0" w:line="240" w:lineRule="auto"/>
        <w:jc w:val="both"/>
        <w:rPr>
          <w:rFonts w:ascii="Verdana" w:eastAsia="Calibri" w:hAnsi="Verdana" w:cs="Arial"/>
          <w:sz w:val="20"/>
          <w:szCs w:val="20"/>
        </w:rPr>
      </w:pPr>
    </w:p>
    <w:p w14:paraId="3C7EA50C" w14:textId="77777777" w:rsidR="001B3396" w:rsidRDefault="0023010E" w:rsidP="001B3396">
      <w:pPr>
        <w:spacing w:after="0" w:line="240" w:lineRule="auto"/>
        <w:jc w:val="both"/>
        <w:rPr>
          <w:rFonts w:ascii="Verdana" w:eastAsia="Times New Roman" w:hAnsi="Verdana" w:cs="Arial"/>
          <w:sz w:val="20"/>
          <w:szCs w:val="20"/>
          <w:lang w:eastAsia="es-CO"/>
        </w:rPr>
      </w:pPr>
      <w:r w:rsidRPr="0023010E">
        <w:rPr>
          <w:rFonts w:ascii="Verdana" w:eastAsia="Calibri" w:hAnsi="Verdana" w:cs="Arial"/>
          <w:sz w:val="20"/>
          <w:szCs w:val="20"/>
        </w:rPr>
        <w:t xml:space="preserve">Por otro lado, </w:t>
      </w:r>
      <w:r w:rsidRPr="0023010E">
        <w:rPr>
          <w:rFonts w:ascii="Verdana" w:eastAsia="Calibri" w:hAnsi="Verdana" w:cs="Arial"/>
          <w:b/>
          <w:bCs/>
          <w:i/>
          <w:iCs/>
          <w:sz w:val="20"/>
          <w:szCs w:val="20"/>
          <w:u w:val="single"/>
        </w:rPr>
        <w:t>el parágrafo del artículo 38</w:t>
      </w:r>
      <w:r w:rsidRPr="0023010E">
        <w:rPr>
          <w:rFonts w:ascii="Verdana" w:eastAsia="Calibri" w:hAnsi="Verdana" w:cs="Arial"/>
          <w:i/>
          <w:iCs/>
          <w:sz w:val="20"/>
          <w:szCs w:val="20"/>
        </w:rPr>
        <w:t xml:space="preserve"> </w:t>
      </w:r>
      <w:r w:rsidRPr="0023010E">
        <w:rPr>
          <w:rFonts w:ascii="Verdana" w:eastAsia="Calibri" w:hAnsi="Verdana" w:cs="Arial"/>
          <w:sz w:val="20"/>
          <w:szCs w:val="20"/>
        </w:rPr>
        <w:t>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23010E">
        <w:rPr>
          <w:rFonts w:ascii="Verdana" w:eastAsia="Arial" w:hAnsi="Verdana" w:cs="Arial"/>
          <w:sz w:val="20"/>
          <w:szCs w:val="20"/>
          <w:lang w:eastAsia="es-ES" w:bidi="es-ES"/>
        </w:rPr>
        <w:t xml:space="preserve"> </w:t>
      </w:r>
    </w:p>
    <w:p w14:paraId="055D4BCE" w14:textId="77777777" w:rsidR="001B3396" w:rsidRDefault="001B3396" w:rsidP="001B3396">
      <w:pPr>
        <w:spacing w:after="0" w:line="240" w:lineRule="auto"/>
        <w:jc w:val="both"/>
        <w:rPr>
          <w:rFonts w:ascii="Verdana" w:eastAsia="Calibri" w:hAnsi="Verdana" w:cs="Arial"/>
          <w:b/>
          <w:bCs/>
          <w:lang w:val="es-ES" w:eastAsia="es-ES"/>
        </w:rPr>
      </w:pPr>
    </w:p>
    <w:p w14:paraId="063B8044" w14:textId="77777777" w:rsidR="001B3396" w:rsidRDefault="00931900" w:rsidP="001B3396">
      <w:pPr>
        <w:jc w:val="both"/>
        <w:rPr>
          <w:rFonts w:ascii="Verdana" w:eastAsia="Times New Roman" w:hAnsi="Verdana" w:cs="Arial"/>
          <w:sz w:val="20"/>
          <w:szCs w:val="20"/>
          <w:lang w:val="es-ES" w:eastAsia="es-CO"/>
        </w:rPr>
      </w:pPr>
      <w:r w:rsidRPr="0023010E">
        <w:rPr>
          <w:rFonts w:ascii="Verdana" w:eastAsia="Calibri" w:hAnsi="Verdana" w:cs="Arial"/>
          <w:b/>
          <w:bCs/>
          <w:lang w:val="es-ES" w:eastAsia="es-ES"/>
        </w:rPr>
        <w:t xml:space="preserve">LEY DE GARANTÍAS ELECTORALES ‒ Artículo 33 ‒ Ámbito material – Contratación directa - Alcance </w:t>
      </w:r>
    </w:p>
    <w:p w14:paraId="3EDFBEB6" w14:textId="23AEDC05" w:rsidR="0023010E" w:rsidRDefault="0023010E" w:rsidP="001B3396">
      <w:pPr>
        <w:spacing w:after="0" w:line="240" w:lineRule="auto"/>
        <w:jc w:val="both"/>
        <w:rPr>
          <w:rFonts w:ascii="Verdana" w:eastAsia="Times New Roman" w:hAnsi="Verdana" w:cs="Arial"/>
          <w:sz w:val="20"/>
          <w:szCs w:val="20"/>
          <w:lang w:eastAsia="es-CO"/>
        </w:rPr>
      </w:pPr>
      <w:r w:rsidRPr="0023010E">
        <w:rPr>
          <w:rFonts w:ascii="Verdana" w:eastAsia="Arial" w:hAnsi="Verdana" w:cs="Arial"/>
          <w:sz w:val="20"/>
          <w:szCs w:val="20"/>
          <w:lang w:eastAsia="es-ES" w:bidi="es-ES"/>
        </w:rPr>
        <w:t xml:space="preserve">Ahora bien, </w:t>
      </w:r>
      <w:r w:rsidRPr="0023010E">
        <w:rPr>
          <w:rFonts w:ascii="Verdana" w:eastAsia="Calibri" w:hAnsi="Verdana" w:cs="Arial"/>
          <w:sz w:val="20"/>
          <w:szCs w:val="20"/>
          <w:lang w:eastAsia="es-ES" w:bidi="es-ES"/>
        </w:rPr>
        <w:t xml:space="preserve">es necesario precisar el alcance de la prohibición </w:t>
      </w:r>
      <w:r w:rsidRPr="0023010E">
        <w:rPr>
          <w:rFonts w:ascii="Verdana" w:eastAsia="Arial" w:hAnsi="Verdana" w:cs="Arial"/>
          <w:sz w:val="20"/>
          <w:szCs w:val="20"/>
          <w:lang w:eastAsia="es-ES" w:bidi="es-ES"/>
        </w:rPr>
        <w:t>establecida en e</w:t>
      </w:r>
      <w:r w:rsidRPr="0023010E">
        <w:rPr>
          <w:rFonts w:ascii="Verdana" w:eastAsia="Calibri" w:hAnsi="Verdana" w:cs="Arial"/>
          <w:sz w:val="20"/>
          <w:szCs w:val="20"/>
        </w:rPr>
        <w:t xml:space="preserve">l </w:t>
      </w:r>
      <w:r w:rsidRPr="0023010E">
        <w:rPr>
          <w:rFonts w:ascii="Verdana" w:eastAsia="Times New Roman" w:hAnsi="Verdana" w:cs="Arial"/>
          <w:sz w:val="20"/>
          <w:szCs w:val="20"/>
        </w:rPr>
        <w:t xml:space="preserve">artículo 33 de la Ley 996 de 2005. El ámbito material de esta prohibición está delimitado por la expresión </w:t>
      </w:r>
      <w:r w:rsidRPr="0023010E">
        <w:rPr>
          <w:rFonts w:ascii="Verdana" w:eastAsia="Calibri" w:hAnsi="Verdana" w:cs="Arial"/>
          <w:bCs/>
          <w:sz w:val="20"/>
          <w:szCs w:val="20"/>
        </w:rPr>
        <w:t>“</w:t>
      </w:r>
      <w:r w:rsidRPr="0023010E">
        <w:rPr>
          <w:rFonts w:ascii="Verdana" w:eastAsia="Times New Roman" w:hAnsi="Verdana" w:cs="Arial"/>
          <w:sz w:val="20"/>
          <w:szCs w:val="20"/>
        </w:rPr>
        <w:t>queda prohibida la contratación directa</w:t>
      </w:r>
      <w:r w:rsidRPr="0023010E">
        <w:rPr>
          <w:rFonts w:ascii="Verdana" w:eastAsia="Calibri" w:hAnsi="Verdana" w:cs="Arial"/>
          <w:sz w:val="20"/>
          <w:szCs w:val="20"/>
        </w:rPr>
        <w:t>”</w:t>
      </w:r>
      <w:r w:rsidRPr="0023010E">
        <w:rPr>
          <w:rFonts w:ascii="Verdana" w:eastAsia="Times New Roman" w:hAnsi="Verdana" w:cs="Arial"/>
          <w:sz w:val="20"/>
          <w:szCs w:val="20"/>
        </w:rPr>
        <w:t>.</w:t>
      </w:r>
    </w:p>
    <w:p w14:paraId="28C7BDA7" w14:textId="77777777" w:rsidR="001B3396" w:rsidRDefault="001B3396" w:rsidP="001F7F40">
      <w:pPr>
        <w:jc w:val="both"/>
        <w:rPr>
          <w:rFonts w:ascii="Verdana" w:eastAsia="Times New Roman" w:hAnsi="Verdana" w:cs="Arial"/>
          <w:sz w:val="20"/>
          <w:szCs w:val="20"/>
        </w:rPr>
      </w:pPr>
    </w:p>
    <w:p w14:paraId="7CBB41B3" w14:textId="77777777" w:rsidR="00E9780C" w:rsidRDefault="0023010E" w:rsidP="00E9780C">
      <w:pPr>
        <w:jc w:val="both"/>
        <w:rPr>
          <w:rFonts w:ascii="Verdana" w:eastAsia="Times New Roman" w:hAnsi="Verdana" w:cs="Arial"/>
          <w:sz w:val="20"/>
          <w:szCs w:val="20"/>
        </w:rPr>
      </w:pPr>
      <w:r w:rsidRPr="001F7F40">
        <w:rPr>
          <w:rFonts w:ascii="Verdana" w:eastAsia="Times New Roman" w:hAnsi="Verdana" w:cs="Arial"/>
          <w:sz w:val="20"/>
          <w:szCs w:val="20"/>
        </w:rPr>
        <w:lastRenderedPageBreak/>
        <w:t>[…</w:t>
      </w:r>
      <w:r w:rsidR="00E9780C">
        <w:rPr>
          <w:rFonts w:ascii="Verdana" w:eastAsia="Times New Roman" w:hAnsi="Verdana" w:cs="Arial"/>
          <w:sz w:val="20"/>
          <w:szCs w:val="20"/>
        </w:rPr>
        <w:t>]</w:t>
      </w:r>
    </w:p>
    <w:p w14:paraId="3927E2FD" w14:textId="77777777" w:rsidR="00E9780C" w:rsidRDefault="001F7F40" w:rsidP="00E9780C">
      <w:pPr>
        <w:jc w:val="both"/>
        <w:rPr>
          <w:rFonts w:ascii="Verdana" w:eastAsia="Times New Roman" w:hAnsi="Verdana" w:cs="Arial"/>
          <w:sz w:val="20"/>
          <w:szCs w:val="20"/>
        </w:rPr>
      </w:pPr>
      <w:r w:rsidRPr="001F7F40">
        <w:rPr>
          <w:rFonts w:ascii="Verdana" w:eastAsia="Times New Roman" w:hAnsi="Verdana" w:cs="Arial"/>
          <w:sz w:val="20"/>
          <w:szCs w:val="20"/>
          <w:lang w:eastAsia="x-none"/>
        </w:rPr>
        <w:t xml:space="preserve">De acuerdo con este concepto, la prohibición del artículo 33 de la Ley de Garantías Electorales se refiere a </w:t>
      </w:r>
      <w:r w:rsidRPr="001F7F40">
        <w:rPr>
          <w:rFonts w:ascii="Verdana" w:eastAsia="Times New Roman" w:hAnsi="Verdana" w:cs="Arial"/>
          <w:sz w:val="20"/>
          <w:szCs w:val="20"/>
          <w:lang w:eastAsia="en-GB"/>
        </w:rPr>
        <w:t>“</w:t>
      </w:r>
      <w:r w:rsidRPr="001F7F40">
        <w:rPr>
          <w:rFonts w:ascii="Verdana" w:eastAsia="Times New Roman" w:hAnsi="Verdana" w:cs="Arial"/>
          <w:sz w:val="20"/>
          <w:szCs w:val="20"/>
          <w:lang w:eastAsia="x-none"/>
        </w:rPr>
        <w:t>cualquier sistema que no implique convocatoria pública y posibilidad de pluralidad de oferentes</w:t>
      </w:r>
      <w:r w:rsidRPr="001F7F40">
        <w:rPr>
          <w:rFonts w:ascii="Verdana" w:eastAsia="Times New Roman" w:hAnsi="Verdana" w:cs="Arial"/>
          <w:sz w:val="20"/>
          <w:szCs w:val="20"/>
          <w:lang w:eastAsia="en-GB"/>
        </w:rPr>
        <w:t>”</w:t>
      </w:r>
      <w:r w:rsidRPr="001F7F40">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1F7F40">
        <w:rPr>
          <w:rFonts w:ascii="Verdana" w:eastAsia="Times New Roman" w:hAnsi="Verdana" w:cs="Arial"/>
          <w:sz w:val="20"/>
          <w:szCs w:val="20"/>
        </w:rPr>
        <w:t>y la mínima cuantía</w:t>
      </w:r>
      <w:r w:rsidRPr="001F7F40" w:rsidDel="00A85D9F">
        <w:rPr>
          <w:rFonts w:ascii="Verdana" w:eastAsia="Times New Roman" w:hAnsi="Verdana" w:cs="Arial"/>
          <w:sz w:val="20"/>
          <w:szCs w:val="20"/>
          <w:lang w:eastAsia="x-none"/>
        </w:rPr>
        <w:t xml:space="preserve"> </w:t>
      </w:r>
      <w:r w:rsidRPr="001F7F40">
        <w:rPr>
          <w:rFonts w:ascii="Verdana" w:eastAsia="Times New Roman" w:hAnsi="Verdana" w:cs="Arial"/>
          <w:sz w:val="20"/>
          <w:szCs w:val="20"/>
        </w:rPr>
        <w:t xml:space="preserve">u otros previstos en normas especiales. </w:t>
      </w:r>
      <w:r w:rsidRPr="001F7F40">
        <w:rPr>
          <w:rFonts w:ascii="Verdana" w:eastAsia="Times New Roman" w:hAnsi="Verdana" w:cs="Arial"/>
          <w:sz w:val="20"/>
          <w:szCs w:val="20"/>
          <w:lang w:eastAsia="x-none"/>
        </w:rPr>
        <w:t xml:space="preserve">Esta posición es congruente con la expedición de la Ley 1150 de 2007 que, entre otras reformas, introdujo la selección abreviada, rediseñó el concurso de méritos y sistematizó las causales de contratación directa, </w:t>
      </w:r>
      <w:r w:rsidRPr="001F7F40">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68FEACEA" w14:textId="77777777" w:rsidR="00E9780C" w:rsidRDefault="001F7F40" w:rsidP="00E9780C">
      <w:pPr>
        <w:jc w:val="both"/>
        <w:rPr>
          <w:rFonts w:ascii="Verdana" w:eastAsia="Times New Roman" w:hAnsi="Verdana" w:cs="Arial"/>
          <w:sz w:val="20"/>
          <w:szCs w:val="20"/>
        </w:rPr>
      </w:pPr>
      <w:r w:rsidRPr="001F7F40">
        <w:rPr>
          <w:rFonts w:ascii="Verdana" w:eastAsia="Times New Roman" w:hAnsi="Verdana" w:cs="Arial"/>
          <w:bCs/>
          <w:sz w:val="20"/>
          <w:szCs w:val="20"/>
          <w:lang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1F7F40">
        <w:rPr>
          <w:rFonts w:ascii="Verdana" w:eastAsia="Times New Roman" w:hAnsi="Verdana" w:cs="Arial"/>
          <w:bCs/>
          <w:i/>
          <w:iCs/>
          <w:sz w:val="20"/>
          <w:szCs w:val="20"/>
          <w:lang w:eastAsia="es-CO"/>
        </w:rPr>
        <w:t>, sino también frente a las entidades que tengan un régimen especial de contratación</w:t>
      </w:r>
      <w:r w:rsidRPr="001F7F40">
        <w:rPr>
          <w:rFonts w:ascii="Verdana" w:eastAsia="Times New Roman" w:hAnsi="Verdana" w:cs="Arial"/>
          <w:bCs/>
          <w:sz w:val="20"/>
          <w:szCs w:val="20"/>
          <w:lang w:eastAsia="es-CO"/>
        </w:rPr>
        <w:t xml:space="preserve">. No obstante, también se observa que luego de la expedición de Ley 1150 de 2007, el Consejo de Estado comenzó a delimitar con mayor precisión el término de “contratación directa”. </w:t>
      </w:r>
      <w:r w:rsidRPr="001F7F40">
        <w:rPr>
          <w:rFonts w:ascii="Verdana" w:eastAsia="Times New Roman" w:hAnsi="Verdana" w:cs="Arial"/>
          <w:sz w:val="20"/>
          <w:szCs w:val="20"/>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sz w:val="20"/>
          <w:szCs w:val="20"/>
        </w:rPr>
        <w:t>.</w:t>
      </w:r>
    </w:p>
    <w:p w14:paraId="6B8C0801" w14:textId="77777777" w:rsidR="00E9780C" w:rsidRDefault="001B3396" w:rsidP="00E9780C">
      <w:pPr>
        <w:jc w:val="both"/>
        <w:rPr>
          <w:rFonts w:ascii="Verdana" w:eastAsia="Times New Roman" w:hAnsi="Verdana" w:cs="Arial"/>
          <w:sz w:val="20"/>
          <w:szCs w:val="20"/>
        </w:rPr>
      </w:pPr>
      <w:r w:rsidRPr="001B3396">
        <w:rPr>
          <w:rFonts w:ascii="Verdana" w:eastAsia="Calibri" w:hAnsi="Verdana" w:cs="Arial"/>
          <w:sz w:val="20"/>
          <w:szCs w:val="20"/>
          <w:lang w:eastAsia="es-ES"/>
        </w:rPr>
        <w:t>[…]</w:t>
      </w:r>
    </w:p>
    <w:p w14:paraId="608FFF5E" w14:textId="77777777" w:rsidR="00E9780C" w:rsidRDefault="001B3396" w:rsidP="00E9780C">
      <w:pPr>
        <w:jc w:val="both"/>
        <w:rPr>
          <w:rFonts w:ascii="Verdana" w:eastAsia="Times New Roman" w:hAnsi="Verdana" w:cs="Arial"/>
          <w:sz w:val="20"/>
          <w:szCs w:val="20"/>
        </w:rPr>
      </w:pPr>
      <w:r w:rsidRPr="001B3396">
        <w:rPr>
          <w:rFonts w:ascii="Verdana" w:eastAsia="Times New Roman" w:hAnsi="Verdana" w:cs="Arial"/>
          <w:sz w:val="20"/>
          <w:szCs w:val="20"/>
          <w:lang w:eastAsia="es-CO"/>
        </w:rPr>
        <w:t xml:space="preserve">Con respecto a los </w:t>
      </w:r>
      <w:r w:rsidRPr="001B3396">
        <w:rPr>
          <w:rFonts w:ascii="Verdana" w:eastAsia="Times New Roman" w:hAnsi="Verdana" w:cs="Arial"/>
          <w:i/>
          <w:iCs/>
          <w:sz w:val="20"/>
          <w:szCs w:val="20"/>
          <w:lang w:eastAsia="es-CO"/>
        </w:rPr>
        <w:t>sujetos</w:t>
      </w:r>
      <w:r w:rsidRPr="001B3396">
        <w:rPr>
          <w:rFonts w:ascii="Verdana" w:eastAsia="Times New Roman" w:hAnsi="Verdana" w:cs="Arial"/>
          <w:sz w:val="20"/>
          <w:szCs w:val="20"/>
          <w:lang w:eastAsia="es-CO"/>
        </w:rPr>
        <w:t xml:space="preserve"> que se encuentran enmarcados en la prohibición del artículo 33, </w:t>
      </w:r>
      <w:r w:rsidRPr="001B3396">
        <w:rPr>
          <w:rFonts w:ascii="Verdana" w:eastAsia="Times New Roman" w:hAnsi="Verdana" w:cs="Arial"/>
          <w:sz w:val="20"/>
          <w:szCs w:val="20"/>
        </w:rPr>
        <w:t>la Ley 996 de 2005 señala expresamente que son “</w:t>
      </w:r>
      <w:r w:rsidRPr="001B3396">
        <w:rPr>
          <w:rFonts w:ascii="Verdana" w:eastAsia="Times New Roman" w:hAnsi="Verdana" w:cs="Arial"/>
          <w:i/>
          <w:iCs/>
          <w:sz w:val="20"/>
          <w:szCs w:val="20"/>
          <w:u w:val="single"/>
        </w:rPr>
        <w:t>todos</w:t>
      </w:r>
      <w:r w:rsidRPr="001B3396">
        <w:rPr>
          <w:rFonts w:ascii="Verdana" w:eastAsia="Times New Roman" w:hAnsi="Verdana" w:cs="Arial"/>
          <w:i/>
          <w:iCs/>
          <w:sz w:val="20"/>
          <w:szCs w:val="20"/>
        </w:rPr>
        <w:t xml:space="preserve"> los entes del Estado</w:t>
      </w:r>
      <w:r w:rsidRPr="001B3396">
        <w:rPr>
          <w:rFonts w:ascii="Verdana" w:eastAsia="Times New Roman" w:hAnsi="Verdana" w:cs="Arial"/>
          <w:sz w:val="20"/>
          <w:szCs w:val="20"/>
        </w:rPr>
        <w:t>”</w:t>
      </w:r>
      <w:r>
        <w:rPr>
          <w:rFonts w:ascii="Verdana" w:eastAsia="Times New Roman" w:hAnsi="Verdana" w:cs="Arial"/>
          <w:sz w:val="20"/>
          <w:szCs w:val="20"/>
        </w:rPr>
        <w:t>.</w:t>
      </w:r>
    </w:p>
    <w:p w14:paraId="00AC780D" w14:textId="77777777" w:rsidR="00E9780C" w:rsidRDefault="001B3396" w:rsidP="001B3396">
      <w:pPr>
        <w:jc w:val="both"/>
        <w:rPr>
          <w:rFonts w:ascii="Verdana" w:eastAsia="Times New Roman" w:hAnsi="Verdana" w:cs="Arial"/>
          <w:sz w:val="20"/>
          <w:szCs w:val="20"/>
        </w:rPr>
      </w:pPr>
      <w:r>
        <w:rPr>
          <w:rFonts w:ascii="Verdana" w:eastAsia="Times New Roman" w:hAnsi="Verdana" w:cs="Arial"/>
          <w:sz w:val="20"/>
          <w:szCs w:val="20"/>
        </w:rPr>
        <w:t xml:space="preserve">[…] </w:t>
      </w:r>
    </w:p>
    <w:p w14:paraId="2BB039E8" w14:textId="14D9C021" w:rsidR="001B3396" w:rsidRPr="00E9780C" w:rsidRDefault="001B3396" w:rsidP="001B3396">
      <w:pPr>
        <w:spacing w:after="0" w:line="240" w:lineRule="auto"/>
        <w:jc w:val="both"/>
        <w:rPr>
          <w:rFonts w:ascii="Verdana" w:eastAsia="Times New Roman" w:hAnsi="Verdana" w:cs="Arial"/>
          <w:sz w:val="20"/>
          <w:szCs w:val="20"/>
        </w:rPr>
      </w:pPr>
      <w:r w:rsidRPr="001B3396">
        <w:rPr>
          <w:rFonts w:ascii="Verdana" w:hAnsi="Verdana" w:cs="Arial"/>
          <w:bCs/>
          <w:sz w:val="20"/>
          <w:szCs w:val="20"/>
          <w:lang w:eastAsia="x-none"/>
        </w:rPr>
        <w:t>[…] tal como lo ha sostenido el Consejo de Estado, el vocablo “todos” utilizado por el legislador comprende</w:t>
      </w:r>
      <w:r w:rsidRPr="001B3396">
        <w:rPr>
          <w:rFonts w:ascii="Verdana" w:hAnsi="Verdana"/>
          <w:sz w:val="20"/>
          <w:szCs w:val="20"/>
        </w:rPr>
        <w:t xml:space="preserve"> </w:t>
      </w:r>
      <w:r w:rsidRPr="001B3396">
        <w:rPr>
          <w:rFonts w:ascii="Verdana" w:hAnsi="Verdana" w:cs="Arial"/>
          <w:bCs/>
          <w:sz w:val="20"/>
          <w:szCs w:val="20"/>
          <w:lang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cs="Arial"/>
          <w:bCs/>
          <w:sz w:val="20"/>
          <w:szCs w:val="20"/>
          <w:lang w:eastAsia="x-none"/>
        </w:rPr>
        <w:t>.</w:t>
      </w:r>
    </w:p>
    <w:p w14:paraId="748D6E24" w14:textId="77777777" w:rsidR="0023010E" w:rsidRPr="001B3396" w:rsidRDefault="0023010E" w:rsidP="0023010E">
      <w:pPr>
        <w:spacing w:after="0" w:line="240" w:lineRule="auto"/>
        <w:jc w:val="both"/>
        <w:rPr>
          <w:rFonts w:ascii="Verdana" w:eastAsia="Times New Roman" w:hAnsi="Verdana" w:cs="Arial"/>
          <w:sz w:val="20"/>
          <w:szCs w:val="20"/>
          <w:lang w:eastAsia="es-CO"/>
        </w:rPr>
      </w:pPr>
    </w:p>
    <w:p w14:paraId="368508C1" w14:textId="6961F8CF" w:rsidR="00931900" w:rsidRDefault="00931900" w:rsidP="00931900">
      <w:pPr>
        <w:jc w:val="both"/>
        <w:rPr>
          <w:rFonts w:ascii="Verdana" w:eastAsia="Calibri" w:hAnsi="Verdana" w:cs="Arial"/>
          <w:b/>
          <w:bCs/>
          <w:lang w:val="es-ES" w:eastAsia="es-ES"/>
        </w:rPr>
      </w:pPr>
      <w:r w:rsidRPr="001B3396">
        <w:rPr>
          <w:rFonts w:ascii="Verdana" w:eastAsia="Calibri" w:hAnsi="Verdana" w:cs="Arial"/>
          <w:b/>
          <w:bCs/>
          <w:lang w:val="es-ES" w:eastAsia="es-ES"/>
        </w:rPr>
        <w:t xml:space="preserve">LEY DE GARANTÍAS ELECTORALES – Artículo 38 – Alcance </w:t>
      </w:r>
    </w:p>
    <w:p w14:paraId="061E3644" w14:textId="77777777" w:rsidR="001B3396" w:rsidRDefault="001B3396" w:rsidP="001B3396">
      <w:pPr>
        <w:spacing w:after="0" w:line="240" w:lineRule="auto"/>
        <w:jc w:val="both"/>
        <w:rPr>
          <w:rFonts w:ascii="Verdana" w:eastAsia="Times New Roman" w:hAnsi="Verdana" w:cs="Arial"/>
          <w:sz w:val="20"/>
          <w:szCs w:val="20"/>
          <w:lang w:val="es-MX" w:eastAsia="x-none"/>
        </w:rPr>
      </w:pPr>
      <w:r w:rsidRPr="001B3396">
        <w:rPr>
          <w:rFonts w:ascii="Verdana" w:eastAsia="Calibri" w:hAnsi="Verdana" w:cs="Arial"/>
          <w:sz w:val="20"/>
          <w:szCs w:val="20"/>
        </w:rPr>
        <w:t xml:space="preserve">La citada norma dispone: “[l]os Gobernadores, </w:t>
      </w:r>
      <w:proofErr w:type="gramStart"/>
      <w:r w:rsidRPr="001B3396">
        <w:rPr>
          <w:rFonts w:ascii="Verdana" w:eastAsia="Calibri" w:hAnsi="Verdana" w:cs="Arial"/>
          <w:sz w:val="20"/>
          <w:szCs w:val="20"/>
        </w:rPr>
        <w:t>Alcaldes</w:t>
      </w:r>
      <w:proofErr w:type="gramEnd"/>
      <w:r w:rsidRPr="001B3396">
        <w:rPr>
          <w:rFonts w:ascii="Verdana" w:eastAsia="Calibri" w:hAnsi="Verdana" w:cs="Arial"/>
          <w:sz w:val="20"/>
          <w:szCs w:val="20"/>
        </w:rPr>
        <w:t xml:space="preserve"> Municipales y/o Distritales, </w:t>
      </w:r>
      <w:proofErr w:type="gramStart"/>
      <w:r w:rsidRPr="001B3396">
        <w:rPr>
          <w:rFonts w:ascii="Verdana" w:eastAsia="Calibri" w:hAnsi="Verdana" w:cs="Arial"/>
          <w:sz w:val="20"/>
          <w:szCs w:val="20"/>
        </w:rPr>
        <w:t>Secretarios</w:t>
      </w:r>
      <w:proofErr w:type="gramEnd"/>
      <w:r w:rsidRPr="001B3396">
        <w:rPr>
          <w:rFonts w:ascii="Verdana" w:eastAsia="Calibri" w:hAnsi="Verdana" w:cs="Arial"/>
          <w:sz w:val="20"/>
          <w:szCs w:val="20"/>
        </w:rPr>
        <w:t xml:space="preserve">, Gerentes y directores de Entidades Descentralizadas del orden Municipal, Departamental o Distrital, dentro de los cuatro (4) meses anteriores a las elecciones, no podrán celebrar </w:t>
      </w:r>
      <w:r w:rsidRPr="001B3396">
        <w:rPr>
          <w:rFonts w:ascii="Verdana" w:eastAsia="Calibri" w:hAnsi="Verdana" w:cs="Arial"/>
          <w:i/>
          <w:iCs/>
          <w:sz w:val="20"/>
          <w:szCs w:val="20"/>
        </w:rPr>
        <w:t>convenios interadministrativos</w:t>
      </w:r>
      <w:r w:rsidRPr="001B3396">
        <w:rPr>
          <w:rFonts w:ascii="Verdana" w:eastAsia="Calibri" w:hAnsi="Verdana" w:cs="Arial"/>
          <w:sz w:val="20"/>
          <w:szCs w:val="20"/>
        </w:rPr>
        <w:t xml:space="preserve"> para la ejecución de recursos públicos”.</w:t>
      </w:r>
      <w:r w:rsidRPr="001B3396">
        <w:rPr>
          <w:rFonts w:ascii="Verdana" w:eastAsia="Times New Roman" w:hAnsi="Verdana" w:cs="Arial"/>
          <w:sz w:val="20"/>
          <w:szCs w:val="20"/>
          <w:lang w:val="es-MX" w:eastAsia="x-none"/>
        </w:rPr>
        <w:t xml:space="preserve"> </w:t>
      </w:r>
    </w:p>
    <w:p w14:paraId="3C3DA29E" w14:textId="77777777" w:rsidR="001B3396" w:rsidRDefault="001B3396" w:rsidP="001B3396">
      <w:pPr>
        <w:spacing w:after="0" w:line="240" w:lineRule="auto"/>
        <w:jc w:val="both"/>
        <w:rPr>
          <w:rFonts w:ascii="Verdana" w:eastAsia="Times New Roman" w:hAnsi="Verdana" w:cs="Arial"/>
          <w:sz w:val="20"/>
          <w:szCs w:val="20"/>
          <w:lang w:val="es-MX" w:eastAsia="x-none"/>
        </w:rPr>
      </w:pPr>
    </w:p>
    <w:p w14:paraId="271148F6" w14:textId="77777777" w:rsidR="001B3396" w:rsidRPr="001B3396" w:rsidRDefault="001B3396" w:rsidP="001B3396">
      <w:pPr>
        <w:spacing w:after="0" w:line="240" w:lineRule="auto"/>
        <w:jc w:val="both"/>
        <w:rPr>
          <w:rFonts w:ascii="Verdana" w:eastAsia="Times New Roman" w:hAnsi="Verdana" w:cs="Arial"/>
          <w:sz w:val="20"/>
          <w:szCs w:val="20"/>
          <w:lang w:eastAsia="x-none"/>
        </w:rPr>
      </w:pPr>
      <w:r w:rsidRPr="001B3396">
        <w:rPr>
          <w:rFonts w:ascii="Verdana" w:eastAsia="Times New Roman" w:hAnsi="Verdana" w:cs="Arial"/>
          <w:sz w:val="20"/>
          <w:szCs w:val="20"/>
          <w:lang w:val="es-MX" w:eastAsia="x-none"/>
        </w:rPr>
        <w:lastRenderedPageBreak/>
        <w:t xml:space="preserve">Sobre este aspecto, es importante señalar que esta Subdirección, en los conceptos emitidos sobre la aplicación de la Ley de Garantías Electorales, ha defendido y mantenido la postura acerca de que la prohibición señalada en </w:t>
      </w:r>
      <w:r w:rsidRPr="001B3396">
        <w:rPr>
          <w:rFonts w:ascii="Verdana" w:eastAsia="Arial" w:hAnsi="Verdana" w:cs="Arial"/>
          <w:sz w:val="20"/>
          <w:szCs w:val="20"/>
          <w:lang w:val="es-ES" w:eastAsia="es-ES" w:bidi="es-ES"/>
        </w:rPr>
        <w:t>e</w:t>
      </w:r>
      <w:r w:rsidRPr="001B3396">
        <w:rPr>
          <w:rFonts w:ascii="Verdana" w:eastAsia="Calibri" w:hAnsi="Verdana" w:cs="Arial"/>
          <w:sz w:val="20"/>
          <w:szCs w:val="20"/>
        </w:rPr>
        <w:t xml:space="preserve">l parágrafo del artículo 38 cobija tanto a los convenios como a los contratos interadministrativos. Esta tesis se fundamenta en que </w:t>
      </w:r>
      <w:r w:rsidRPr="001B3396">
        <w:rPr>
          <w:rFonts w:ascii="Verdana" w:eastAsia="Calibri" w:hAnsi="Verdana" w:cs="Arial"/>
          <w:sz w:val="20"/>
          <w:szCs w:val="20"/>
          <w:lang w:bidi="es-ES"/>
        </w:rPr>
        <w:t xml:space="preserve">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019AE1DD" w14:textId="77777777" w:rsidR="001B3396" w:rsidRPr="001B3396" w:rsidRDefault="001B3396" w:rsidP="001B3396">
      <w:pPr>
        <w:spacing w:after="0" w:line="240" w:lineRule="auto"/>
        <w:jc w:val="both"/>
        <w:rPr>
          <w:rFonts w:ascii="Verdana" w:eastAsia="Times New Roman" w:hAnsi="Verdana" w:cs="Arial"/>
          <w:sz w:val="20"/>
          <w:szCs w:val="20"/>
          <w:lang w:eastAsia="x-none"/>
        </w:rPr>
      </w:pPr>
    </w:p>
    <w:p w14:paraId="3B468D2A" w14:textId="77777777" w:rsidR="001B3396" w:rsidRPr="001B3396" w:rsidRDefault="001B3396" w:rsidP="001B3396">
      <w:pPr>
        <w:spacing w:after="0" w:line="240" w:lineRule="auto"/>
        <w:jc w:val="both"/>
        <w:rPr>
          <w:rFonts w:ascii="Verdana" w:eastAsia="Times New Roman" w:hAnsi="Verdana" w:cs="Arial"/>
          <w:sz w:val="20"/>
          <w:szCs w:val="20"/>
          <w:lang w:val="es-ES" w:eastAsia="x-none"/>
        </w:rPr>
      </w:pPr>
      <w:r w:rsidRPr="001B3396">
        <w:rPr>
          <w:rFonts w:ascii="Verdana" w:eastAsia="Calibri" w:hAnsi="Verdana" w:cs="Arial"/>
          <w:sz w:val="20"/>
          <w:szCs w:val="20"/>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1B3396">
        <w:rPr>
          <w:rFonts w:ascii="Verdana" w:eastAsia="Arial" w:hAnsi="Verdana" w:cs="Arial"/>
          <w:sz w:val="20"/>
          <w:szCs w:val="20"/>
          <w:lang w:val="es-ES" w:eastAsia="es-ES" w:bidi="es-ES"/>
        </w:rPr>
        <w:t>el legislador y el ordenamiento jurídico, en general, en distintas ocasiones utiliza de forma indistinta los conceptos de contrato o convenio para referirse a la misma institución jurídica. Incluso, la Corte Constitucional fundamenta la posibilidad de celebrar convenios interadministrativos de forma directa, con fundamento en la causal establecida en la Ley 1150 de 2007 respecto a los contratos interadministrativos.</w:t>
      </w:r>
    </w:p>
    <w:p w14:paraId="19F86E2A" w14:textId="77777777" w:rsidR="001B3396" w:rsidRDefault="001B3396" w:rsidP="001B3396">
      <w:pPr>
        <w:spacing w:after="0" w:line="240" w:lineRule="auto"/>
        <w:jc w:val="both"/>
        <w:rPr>
          <w:rFonts w:ascii="Verdana" w:eastAsia="Times New Roman" w:hAnsi="Verdana" w:cs="Arial"/>
          <w:sz w:val="20"/>
          <w:szCs w:val="20"/>
          <w:lang w:val="es-ES" w:eastAsia="x-none"/>
        </w:rPr>
      </w:pPr>
    </w:p>
    <w:p w14:paraId="0171AAAE" w14:textId="77777777" w:rsidR="001B3396" w:rsidRDefault="00931900" w:rsidP="001B3396">
      <w:pPr>
        <w:spacing w:after="0" w:line="240" w:lineRule="auto"/>
        <w:jc w:val="both"/>
        <w:rPr>
          <w:rFonts w:ascii="Verdana" w:eastAsia="Times New Roman" w:hAnsi="Verdana" w:cs="Arial"/>
          <w:b/>
          <w:bCs/>
          <w:sz w:val="20"/>
          <w:szCs w:val="20"/>
          <w:lang w:val="es-ES" w:eastAsia="x-none"/>
        </w:rPr>
      </w:pPr>
      <w:r w:rsidRPr="001B3396">
        <w:rPr>
          <w:rFonts w:ascii="Verdana" w:eastAsia="Calibri" w:hAnsi="Verdana" w:cs="Arial"/>
          <w:b/>
          <w:bCs/>
          <w:lang w:val="es-ES" w:eastAsia="es-ES"/>
        </w:rPr>
        <w:t xml:space="preserve">LEY DE GARANTÍAS ELECTORALES – Aplicación a convenios interadministrativos </w:t>
      </w:r>
    </w:p>
    <w:p w14:paraId="1AFD29A6" w14:textId="77777777" w:rsidR="001B3396" w:rsidRDefault="001B3396" w:rsidP="001B3396">
      <w:pPr>
        <w:spacing w:after="0" w:line="240" w:lineRule="auto"/>
        <w:jc w:val="both"/>
        <w:rPr>
          <w:rFonts w:ascii="Verdana" w:eastAsia="Times New Roman" w:hAnsi="Verdana" w:cs="Arial"/>
          <w:b/>
          <w:bCs/>
          <w:sz w:val="20"/>
          <w:szCs w:val="20"/>
          <w:lang w:val="es-ES" w:eastAsia="x-none"/>
        </w:rPr>
      </w:pPr>
    </w:p>
    <w:p w14:paraId="619ADEBE" w14:textId="77777777" w:rsidR="00FD5089" w:rsidRPr="00FD5089" w:rsidRDefault="001B3396" w:rsidP="00FD5089">
      <w:pPr>
        <w:spacing w:after="0" w:line="240" w:lineRule="auto"/>
        <w:jc w:val="both"/>
        <w:rPr>
          <w:rFonts w:ascii="Verdana" w:eastAsia="Times New Roman" w:hAnsi="Verdana" w:cs="Arial"/>
          <w:b/>
          <w:bCs/>
          <w:sz w:val="20"/>
          <w:szCs w:val="20"/>
          <w:lang w:val="es-MX" w:eastAsia="x-none"/>
        </w:rPr>
      </w:pPr>
      <w:r w:rsidRPr="00FD5089">
        <w:rPr>
          <w:rFonts w:ascii="Verdana" w:eastAsia="Arial" w:hAnsi="Verdana" w:cs="Arial"/>
          <w:sz w:val="20"/>
          <w:szCs w:val="20"/>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FD5089">
        <w:rPr>
          <w:rFonts w:ascii="Verdana" w:eastAsia="Arial" w:hAnsi="Verdana" w:cs="Arial"/>
          <w:sz w:val="20"/>
          <w:szCs w:val="20"/>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375676E3" w14:textId="77777777" w:rsidR="00FD5089" w:rsidRPr="00FD5089" w:rsidRDefault="00FD5089" w:rsidP="00FD5089">
      <w:pPr>
        <w:spacing w:after="0" w:line="240" w:lineRule="auto"/>
        <w:jc w:val="both"/>
        <w:rPr>
          <w:rFonts w:ascii="Verdana" w:eastAsia="Times New Roman" w:hAnsi="Verdana" w:cs="Arial"/>
          <w:b/>
          <w:bCs/>
          <w:sz w:val="20"/>
          <w:szCs w:val="20"/>
          <w:lang w:val="es-MX" w:eastAsia="x-none"/>
        </w:rPr>
      </w:pPr>
    </w:p>
    <w:p w14:paraId="409D8DD6" w14:textId="77777777" w:rsidR="00FD5089" w:rsidRDefault="00FD5089" w:rsidP="00FD5089">
      <w:pPr>
        <w:spacing w:after="0" w:line="240" w:lineRule="auto"/>
        <w:jc w:val="both"/>
        <w:rPr>
          <w:rFonts w:ascii="Verdana" w:eastAsia="Times New Roman" w:hAnsi="Verdana" w:cs="Arial"/>
          <w:sz w:val="20"/>
          <w:szCs w:val="20"/>
          <w:lang w:val="es-MX" w:eastAsia="x-none"/>
        </w:rPr>
      </w:pPr>
      <w:r w:rsidRPr="00FD5089">
        <w:rPr>
          <w:rFonts w:ascii="Verdana" w:eastAsia="Times New Roman" w:hAnsi="Verdana" w:cs="Arial"/>
          <w:sz w:val="20"/>
          <w:szCs w:val="20"/>
          <w:lang w:val="es-MX" w:eastAsia="x-none"/>
        </w:rPr>
        <w:t>[…]</w:t>
      </w:r>
    </w:p>
    <w:p w14:paraId="643D4425" w14:textId="77777777" w:rsidR="00FD5089" w:rsidRDefault="00FD5089" w:rsidP="00FD5089">
      <w:pPr>
        <w:spacing w:after="0" w:line="240" w:lineRule="auto"/>
        <w:jc w:val="both"/>
        <w:rPr>
          <w:rFonts w:ascii="Verdana" w:eastAsia="Times New Roman" w:hAnsi="Verdana" w:cs="Arial"/>
          <w:sz w:val="20"/>
          <w:szCs w:val="20"/>
          <w:lang w:val="es-MX" w:eastAsia="x-none"/>
        </w:rPr>
      </w:pPr>
    </w:p>
    <w:p w14:paraId="7A40249C" w14:textId="77571E95" w:rsidR="001B3396" w:rsidRPr="00FD5089" w:rsidRDefault="001B3396" w:rsidP="00FD5089">
      <w:pPr>
        <w:spacing w:after="0" w:line="240" w:lineRule="auto"/>
        <w:jc w:val="both"/>
        <w:rPr>
          <w:rFonts w:ascii="Verdana" w:eastAsia="Times New Roman" w:hAnsi="Verdana" w:cs="Arial"/>
          <w:sz w:val="20"/>
          <w:szCs w:val="20"/>
          <w:lang w:val="es-MX" w:eastAsia="x-none"/>
        </w:rPr>
      </w:pPr>
      <w:r w:rsidRPr="00FD5089">
        <w:rPr>
          <w:rFonts w:ascii="Verdana" w:eastAsia="Arial" w:hAnsi="Verdana" w:cs="Arial"/>
          <w:sz w:val="20"/>
          <w:szCs w:val="20"/>
          <w:lang w:val="es-MX" w:eastAsia="es-ES" w:bidi="es-ES"/>
        </w:rPr>
        <w:t>De esta manera, s</w:t>
      </w:r>
      <w:r w:rsidRPr="00FD5089">
        <w:rPr>
          <w:rFonts w:ascii="Verdana" w:eastAsia="Times New Roman" w:hAnsi="Verdana" w:cs="Arial"/>
          <w:sz w:val="20"/>
          <w:szCs w:val="20"/>
          <w:lang w:eastAsia="es-CO"/>
        </w:rPr>
        <w:t xml:space="preserve">e observa entonces que </w:t>
      </w:r>
      <w:r w:rsidRPr="00FD5089">
        <w:rPr>
          <w:rFonts w:ascii="Verdana" w:eastAsia="Times New Roman" w:hAnsi="Verdana" w:cs="Arial"/>
          <w:sz w:val="20"/>
          <w:szCs w:val="20"/>
          <w:lang w:val="es-MX" w:eastAsia="es-CO"/>
        </w:rPr>
        <w:t xml:space="preserve">el parágrafo del artículo 38 de la Ley 996 de 2005 prohíbe a los </w:t>
      </w:r>
      <w:proofErr w:type="gramStart"/>
      <w:r w:rsidRPr="00FD5089">
        <w:rPr>
          <w:rFonts w:ascii="Verdana" w:eastAsia="Times New Roman" w:hAnsi="Verdana" w:cs="Arial"/>
          <w:sz w:val="20"/>
          <w:szCs w:val="20"/>
          <w:lang w:val="es-MX" w:eastAsia="es-CO"/>
        </w:rPr>
        <w:t>Alcaldes</w:t>
      </w:r>
      <w:proofErr w:type="gramEnd"/>
      <w:r w:rsidRPr="00FD5089">
        <w:rPr>
          <w:rFonts w:ascii="Verdana" w:eastAsia="Times New Roman" w:hAnsi="Verdana" w:cs="Arial"/>
          <w:sz w:val="20"/>
          <w:szCs w:val="20"/>
          <w:lang w:val="es-MX" w:eastAsia="es-CO"/>
        </w:rPr>
        <w:t xml:space="preserve">, Gobernadores, </w:t>
      </w:r>
      <w:proofErr w:type="gramStart"/>
      <w:r w:rsidRPr="00FD5089">
        <w:rPr>
          <w:rFonts w:ascii="Verdana" w:eastAsia="Times New Roman" w:hAnsi="Verdana" w:cs="Arial"/>
          <w:sz w:val="20"/>
          <w:szCs w:val="20"/>
          <w:lang w:val="es-MX" w:eastAsia="es-CO"/>
        </w:rPr>
        <w:t>Secretarios</w:t>
      </w:r>
      <w:proofErr w:type="gramEnd"/>
      <w:r w:rsidRPr="00FD5089">
        <w:rPr>
          <w:rFonts w:ascii="Verdana" w:eastAsia="Times New Roman" w:hAnsi="Verdana" w:cs="Arial"/>
          <w:sz w:val="20"/>
          <w:szCs w:val="20"/>
          <w:lang w:val="es-MX" w:eastAsia="es-CO"/>
        </w:rPr>
        <w:t xml:space="preserve">, Gerentes y </w:t>
      </w:r>
      <w:proofErr w:type="gramStart"/>
      <w:r w:rsidRPr="00FD5089">
        <w:rPr>
          <w:rFonts w:ascii="Verdana" w:eastAsia="Times New Roman" w:hAnsi="Verdana" w:cs="Arial"/>
          <w:sz w:val="20"/>
          <w:szCs w:val="20"/>
          <w:lang w:val="es-MX" w:eastAsia="es-CO"/>
        </w:rPr>
        <w:t>Directores</w:t>
      </w:r>
      <w:proofErr w:type="gramEnd"/>
      <w:r w:rsidRPr="00FD5089">
        <w:rPr>
          <w:rFonts w:ascii="Verdana" w:eastAsia="Times New Roman" w:hAnsi="Verdana" w:cs="Arial"/>
          <w:sz w:val="20"/>
          <w:szCs w:val="20"/>
          <w:lang w:val="es-MX" w:eastAsia="es-CO"/>
        </w:rPr>
        <w:t xml:space="preserve"> de las entidades del orden municipal, departamental o distrital celebrar </w:t>
      </w:r>
      <w:r w:rsidRPr="00FD5089">
        <w:rPr>
          <w:rFonts w:ascii="Verdana" w:eastAsia="Times New Roman" w:hAnsi="Verdana" w:cs="Arial"/>
          <w:i/>
          <w:iCs/>
          <w:sz w:val="20"/>
          <w:szCs w:val="20"/>
          <w:lang w:val="es-MX" w:eastAsia="es-CO"/>
        </w:rPr>
        <w:t>convenios interadministrativos</w:t>
      </w:r>
      <w:r w:rsidRPr="00FD5089">
        <w:rPr>
          <w:rFonts w:ascii="Verdana" w:eastAsia="Times New Roman" w:hAnsi="Verdana" w:cs="Arial"/>
          <w:sz w:val="20"/>
          <w:szCs w:val="20"/>
          <w:lang w:val="es-MX" w:eastAsia="es-CO"/>
        </w:rPr>
        <w:t xml:space="preserve"> para la ejecución de recursos públicos. En este sentido, si una o ambas partes de la relación contractual es una entidad de aquellas descritas en el parágrafo </w:t>
      </w:r>
      <w:r w:rsidRPr="00FD5089">
        <w:rPr>
          <w:rFonts w:ascii="Verdana" w:eastAsia="Times New Roman" w:hAnsi="Verdana" w:cs="Arial"/>
          <w:i/>
          <w:sz w:val="20"/>
          <w:szCs w:val="20"/>
          <w:lang w:val="es-MX" w:eastAsia="es-CO"/>
        </w:rPr>
        <w:t>ibidem</w:t>
      </w:r>
      <w:r w:rsidRPr="00FD5089">
        <w:rPr>
          <w:rFonts w:ascii="Verdana" w:eastAsia="Times New Roman" w:hAnsi="Verdana" w:cs="Arial"/>
          <w:sz w:val="20"/>
          <w:szCs w:val="20"/>
          <w:lang w:val="es-MX" w:eastAsia="es-CO"/>
        </w:rPr>
        <w:t xml:space="preserve">, no podrá celebrar tales </w:t>
      </w:r>
      <w:r w:rsidRPr="00FD5089">
        <w:rPr>
          <w:rFonts w:ascii="Verdana" w:eastAsia="Times New Roman" w:hAnsi="Verdana" w:cs="Arial"/>
          <w:i/>
          <w:iCs/>
          <w:sz w:val="20"/>
          <w:szCs w:val="20"/>
          <w:lang w:val="es-MX" w:eastAsia="es-CO"/>
        </w:rPr>
        <w:t>convenios</w:t>
      </w:r>
      <w:r w:rsidRPr="00FD5089">
        <w:rPr>
          <w:rFonts w:ascii="Verdana" w:eastAsia="Times New Roman" w:hAnsi="Verdana" w:cs="Arial"/>
          <w:sz w:val="20"/>
          <w:szCs w:val="20"/>
          <w:lang w:val="es-MX" w:eastAsia="es-CO"/>
        </w:rPr>
        <w:t xml:space="preserve"> 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interadministrativos. </w:t>
      </w:r>
    </w:p>
    <w:p w14:paraId="49B65960" w14:textId="77777777" w:rsidR="001B3396" w:rsidRPr="001B3396" w:rsidRDefault="001B3396" w:rsidP="00931900">
      <w:pPr>
        <w:jc w:val="both"/>
        <w:rPr>
          <w:rFonts w:ascii="Verdana" w:eastAsia="Calibri" w:hAnsi="Verdana" w:cs="Arial"/>
          <w:lang w:eastAsia="es-ES"/>
        </w:rPr>
      </w:pPr>
    </w:p>
    <w:p w14:paraId="296F5702" w14:textId="4CA6EA52" w:rsidR="00931900" w:rsidRPr="00FD5089" w:rsidRDefault="00931900" w:rsidP="00FD5089">
      <w:pPr>
        <w:spacing w:after="0" w:line="240" w:lineRule="auto"/>
        <w:jc w:val="both"/>
        <w:rPr>
          <w:rFonts w:ascii="Verdana" w:hAnsi="Verdana" w:cs="Arial"/>
          <w:b/>
          <w:bCs/>
          <w:color w:val="000000" w:themeColor="text1"/>
        </w:rPr>
      </w:pPr>
      <w:r w:rsidRPr="00FD5089">
        <w:rPr>
          <w:rFonts w:ascii="Verdana" w:eastAsia="Calibri" w:hAnsi="Verdana" w:cs="Arial"/>
          <w:b/>
          <w:bCs/>
          <w:lang w:val="es-ES" w:eastAsia="es-ES"/>
        </w:rPr>
        <w:lastRenderedPageBreak/>
        <w:t xml:space="preserve">LEY DE GARANTÍAS ELECTORALES – Excepción - Contratación </w:t>
      </w:r>
      <w:r w:rsidRPr="00FD5089">
        <w:rPr>
          <w:rFonts w:ascii="Verdana" w:hAnsi="Verdana" w:cs="Arial"/>
          <w:b/>
          <w:bCs/>
          <w:color w:val="000000" w:themeColor="text1"/>
        </w:rPr>
        <w:t xml:space="preserve">por parte de entidades sanitarias y hospitalarias </w:t>
      </w:r>
    </w:p>
    <w:p w14:paraId="77EA77DB" w14:textId="77777777" w:rsidR="00FD5089" w:rsidRDefault="00FD5089" w:rsidP="00FD5089">
      <w:pPr>
        <w:tabs>
          <w:tab w:val="left" w:pos="426"/>
        </w:tabs>
        <w:spacing w:after="0" w:line="240" w:lineRule="auto"/>
        <w:jc w:val="both"/>
        <w:rPr>
          <w:rFonts w:ascii="Verdana" w:hAnsi="Verdana" w:cs="Arial"/>
          <w:bCs/>
          <w:color w:val="000000" w:themeColor="text1"/>
        </w:rPr>
      </w:pPr>
    </w:p>
    <w:p w14:paraId="7152F92D" w14:textId="77777777" w:rsidR="00FD5089" w:rsidRPr="00FD5089" w:rsidRDefault="00FD5089" w:rsidP="00FD5089">
      <w:pPr>
        <w:tabs>
          <w:tab w:val="left" w:pos="426"/>
        </w:tabs>
        <w:spacing w:after="0" w:line="240" w:lineRule="auto"/>
        <w:jc w:val="both"/>
        <w:rPr>
          <w:rFonts w:ascii="Verdana" w:hAnsi="Verdana" w:cs="Arial"/>
          <w:bCs/>
          <w:color w:val="000000" w:themeColor="text1"/>
          <w:sz w:val="20"/>
          <w:szCs w:val="20"/>
        </w:rPr>
      </w:pPr>
      <w:r w:rsidRPr="00FD5089">
        <w:rPr>
          <w:rFonts w:ascii="Verdana" w:hAnsi="Verdana" w:cs="Arial"/>
          <w:bCs/>
          <w:color w:val="000000" w:themeColor="text1"/>
          <w:sz w:val="20"/>
          <w:szCs w:val="20"/>
        </w:rPr>
        <w:t xml:space="preserve">[…] es pertinente analizar el quinto evento exceptuado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63820E46" w14:textId="77777777" w:rsidR="00FD5089" w:rsidRPr="00FD5089" w:rsidRDefault="00FD5089" w:rsidP="00FD5089">
      <w:pPr>
        <w:tabs>
          <w:tab w:val="left" w:pos="426"/>
        </w:tabs>
        <w:spacing w:after="0" w:line="240" w:lineRule="auto"/>
        <w:jc w:val="both"/>
        <w:rPr>
          <w:rFonts w:ascii="Verdana" w:hAnsi="Verdana" w:cs="Arial"/>
          <w:bCs/>
          <w:color w:val="000000" w:themeColor="text1"/>
          <w:sz w:val="20"/>
          <w:szCs w:val="20"/>
        </w:rPr>
      </w:pPr>
    </w:p>
    <w:p w14:paraId="2841CD3F" w14:textId="77777777" w:rsidR="00E9780C" w:rsidRDefault="00FD5089" w:rsidP="00E9780C">
      <w:pPr>
        <w:tabs>
          <w:tab w:val="left" w:pos="426"/>
        </w:tabs>
        <w:spacing w:after="0" w:line="240" w:lineRule="auto"/>
        <w:jc w:val="both"/>
        <w:rPr>
          <w:rFonts w:ascii="Verdana" w:hAnsi="Verdana" w:cs="Arial"/>
          <w:color w:val="000000" w:themeColor="text1"/>
        </w:rPr>
      </w:pPr>
      <w:r w:rsidRPr="00FD5089">
        <w:rPr>
          <w:rFonts w:ascii="Verdana" w:hAnsi="Verdana" w:cs="Arial"/>
          <w:color w:val="000000" w:themeColor="text1"/>
          <w:sz w:val="20"/>
          <w:szCs w:val="20"/>
        </w:rPr>
        <w:t>De lo anterior se desprende que, bajo la Ley 100 de 1993, dentro de la estructura de la administración pública las Empresas Sociales del Estado, según lo dispuesto en el artículo 194 de la Ley 100 de 1993, son las entidades encargadas de prestar el servicio de salud de manera directa. Además, el mismo artículo 197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w:t>
      </w:r>
      <w:r w:rsidRPr="00FF007A">
        <w:rPr>
          <w:rFonts w:ascii="Verdana" w:hAnsi="Verdana" w:cs="Arial"/>
          <w:color w:val="000000" w:themeColor="text1"/>
        </w:rPr>
        <w:t xml:space="preserve">. </w:t>
      </w:r>
    </w:p>
    <w:p w14:paraId="6257DE3A" w14:textId="77777777" w:rsidR="00E9780C" w:rsidRDefault="00E9780C" w:rsidP="00E9780C">
      <w:pPr>
        <w:tabs>
          <w:tab w:val="left" w:pos="426"/>
        </w:tabs>
        <w:spacing w:after="0" w:line="240" w:lineRule="auto"/>
        <w:jc w:val="both"/>
        <w:rPr>
          <w:rFonts w:ascii="Verdana" w:hAnsi="Verdana" w:cs="Arial"/>
          <w:color w:val="000000" w:themeColor="text1"/>
        </w:rPr>
      </w:pPr>
    </w:p>
    <w:p w14:paraId="1A29C861" w14:textId="5FF53A80" w:rsidR="00E9780C" w:rsidRPr="00E9780C" w:rsidRDefault="00E9780C" w:rsidP="00E9780C">
      <w:pPr>
        <w:tabs>
          <w:tab w:val="left" w:pos="426"/>
        </w:tabs>
        <w:spacing w:after="0" w:line="240" w:lineRule="auto"/>
        <w:jc w:val="both"/>
        <w:rPr>
          <w:rFonts w:ascii="Verdana" w:hAnsi="Verdana" w:cs="Arial"/>
          <w:color w:val="000000" w:themeColor="text1"/>
        </w:rPr>
      </w:pPr>
      <w:r w:rsidRPr="00E9780C">
        <w:rPr>
          <w:rFonts w:ascii="Verdana" w:eastAsia="Arial" w:hAnsi="Verdana" w:cs="Arial"/>
          <w:bCs/>
          <w:color w:val="000000" w:themeColor="text1"/>
          <w:sz w:val="20"/>
          <w:szCs w:val="20"/>
        </w:rPr>
        <w:t xml:space="preserve">De otro lado, el artículo 2.8.8.1.1.3 del Decreto 780 de 2016, “Por medio del cual se expide el Decreto Único Reglamentario del Sector Salud y Protección Social”, definió a las </w:t>
      </w:r>
      <w:r w:rsidRPr="00E9780C">
        <w:rPr>
          <w:rFonts w:ascii="Verdana" w:eastAsia="Arial" w:hAnsi="Verdana" w:cs="Arial"/>
          <w:bCs/>
          <w:i/>
          <w:iCs/>
          <w:color w:val="000000" w:themeColor="text1"/>
          <w:sz w:val="20"/>
          <w:szCs w:val="20"/>
        </w:rPr>
        <w:t>entidades sanitarias</w:t>
      </w:r>
      <w:r w:rsidRPr="00E9780C">
        <w:rPr>
          <w:rFonts w:ascii="Verdana" w:eastAsia="Arial" w:hAnsi="Verdana" w:cs="Arial"/>
          <w:bCs/>
          <w:color w:val="000000" w:themeColor="text1"/>
          <w:sz w:val="20"/>
          <w:szCs w:val="20"/>
        </w:rPr>
        <w:t xml:space="preserve"> como las “Entidades del Estado que prestan servicios sanitarios o de sanidad con el propósito de preservar la salud humana y la salud pública”. El artículo citado también define las </w:t>
      </w:r>
      <w:r w:rsidRPr="00E9780C">
        <w:rPr>
          <w:rFonts w:ascii="Verdana" w:eastAsia="Arial" w:hAnsi="Verdana" w:cs="Arial"/>
          <w:bCs/>
          <w:i/>
          <w:iCs/>
          <w:color w:val="000000" w:themeColor="text1"/>
          <w:sz w:val="20"/>
          <w:szCs w:val="20"/>
        </w:rPr>
        <w:t>autoridades sanitarias</w:t>
      </w:r>
      <w:r w:rsidRPr="00E9780C">
        <w:rPr>
          <w:rFonts w:ascii="Verdana" w:eastAsia="Arial" w:hAnsi="Verdana" w:cs="Arial"/>
          <w:bCs/>
          <w:color w:val="000000" w:themeColor="text1"/>
          <w:sz w:val="20"/>
          <w:szCs w:val="20"/>
        </w:rPr>
        <w:t xml:space="preserve"> como las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 De esta forma, para efectos de la aplicación de la excepción, se debe verificar que se cumplan los requisitos del artículo 33 de la Ley 996 de 2005. </w:t>
      </w:r>
    </w:p>
    <w:p w14:paraId="1C80F453" w14:textId="77777777" w:rsidR="00E9780C" w:rsidRPr="00FD5089" w:rsidRDefault="00E9780C" w:rsidP="00FD5089">
      <w:pPr>
        <w:tabs>
          <w:tab w:val="left" w:pos="426"/>
        </w:tabs>
        <w:spacing w:after="0" w:line="240" w:lineRule="auto"/>
        <w:jc w:val="both"/>
        <w:rPr>
          <w:rFonts w:ascii="Verdana" w:hAnsi="Verdana" w:cs="Arial"/>
          <w:bCs/>
          <w:color w:val="000000" w:themeColor="text1"/>
        </w:rPr>
      </w:pPr>
    </w:p>
    <w:p w14:paraId="572870DA" w14:textId="02E51550" w:rsidR="00931900" w:rsidRPr="00E9780C" w:rsidRDefault="00931900" w:rsidP="00E9780C">
      <w:pPr>
        <w:spacing w:after="0" w:line="240" w:lineRule="auto"/>
        <w:jc w:val="both"/>
        <w:rPr>
          <w:rFonts w:ascii="Verdana" w:eastAsia="Calibri" w:hAnsi="Verdana" w:cs="Arial"/>
          <w:b/>
          <w:bCs/>
          <w:lang w:val="es-ES" w:eastAsia="es-ES"/>
        </w:rPr>
      </w:pPr>
      <w:r w:rsidRPr="00E9780C">
        <w:rPr>
          <w:rFonts w:ascii="Verdana" w:eastAsia="Calibri" w:hAnsi="Verdana" w:cs="Arial"/>
          <w:b/>
          <w:bCs/>
          <w:lang w:val="es-ES" w:eastAsia="es-ES"/>
        </w:rPr>
        <w:t xml:space="preserve">LEY DE GARANTÍAS ELECTORALES - </w:t>
      </w:r>
      <w:r w:rsidRPr="00E9780C">
        <w:rPr>
          <w:rFonts w:ascii="Verdana" w:eastAsia="Arial" w:hAnsi="Verdana" w:cs="Arial"/>
          <w:b/>
          <w:bCs/>
          <w:color w:val="000000" w:themeColor="text1"/>
        </w:rPr>
        <w:t>Plan de Salud Pública de Intervenciones Colectivas</w:t>
      </w:r>
      <w:r w:rsidRPr="00E9780C">
        <w:rPr>
          <w:rFonts w:ascii="Verdana" w:eastAsia="Calibri" w:hAnsi="Verdana" w:cs="Arial"/>
          <w:b/>
          <w:bCs/>
          <w:lang w:val="es-ES" w:eastAsia="es-ES"/>
        </w:rPr>
        <w:t xml:space="preserve"> -PIC- Alcance – Aplicación artículo 33 y parágrafo del artículo 38 Ley 996 de 2005</w:t>
      </w:r>
    </w:p>
    <w:p w14:paraId="79604BBD" w14:textId="77777777" w:rsidR="00E9780C" w:rsidRDefault="00E9780C" w:rsidP="00E9780C">
      <w:pPr>
        <w:spacing w:after="0" w:line="240" w:lineRule="auto"/>
        <w:jc w:val="both"/>
        <w:rPr>
          <w:rFonts w:ascii="Verdana" w:eastAsia="Arial" w:hAnsi="Verdana" w:cs="Arial"/>
          <w:bCs/>
          <w:color w:val="000000" w:themeColor="text1"/>
          <w:sz w:val="20"/>
          <w:szCs w:val="20"/>
        </w:rPr>
      </w:pPr>
    </w:p>
    <w:p w14:paraId="7561CCC2" w14:textId="706B6A3D" w:rsidR="00E9780C" w:rsidRPr="00E9780C" w:rsidRDefault="00E9780C" w:rsidP="00E9780C">
      <w:pPr>
        <w:spacing w:after="0" w:line="240" w:lineRule="auto"/>
        <w:jc w:val="both"/>
        <w:rPr>
          <w:rFonts w:ascii="Verdana" w:eastAsia="Arial" w:hAnsi="Verdana" w:cs="Arial"/>
          <w:bCs/>
          <w:color w:val="000000" w:themeColor="text1"/>
          <w:sz w:val="20"/>
          <w:szCs w:val="20"/>
        </w:rPr>
      </w:pPr>
      <w:r w:rsidRPr="00E9780C">
        <w:rPr>
          <w:rFonts w:ascii="Verdana" w:eastAsia="Arial" w:hAnsi="Verdana" w:cs="Arial"/>
          <w:bCs/>
          <w:color w:val="000000" w:themeColor="text1"/>
          <w:sz w:val="20"/>
          <w:szCs w:val="20"/>
        </w:rPr>
        <w:t xml:space="preserve">Conforme con lo expuesto, las entidades que requieran adelantar procesos de contratación directa durante el periodo de garantías electorales deberán analizar, primero, si se configuran los supuestos establecidos en </w:t>
      </w:r>
      <w:r w:rsidRPr="00E9780C">
        <w:rPr>
          <w:rFonts w:ascii="Verdana" w:eastAsia="Arial" w:hAnsi="Verdana" w:cs="Arial"/>
          <w:bCs/>
          <w:i/>
          <w:iCs/>
          <w:color w:val="000000" w:themeColor="text1"/>
          <w:sz w:val="20"/>
          <w:szCs w:val="20"/>
        </w:rPr>
        <w:t>el artículo 33</w:t>
      </w:r>
      <w:r w:rsidRPr="00E9780C">
        <w:rPr>
          <w:rFonts w:ascii="Verdana" w:eastAsia="Arial" w:hAnsi="Verdana" w:cs="Arial"/>
          <w:bCs/>
          <w:color w:val="000000" w:themeColor="text1"/>
          <w:sz w:val="20"/>
          <w:szCs w:val="20"/>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w:t>
      </w:r>
      <w:r w:rsidRPr="00E9780C">
        <w:rPr>
          <w:rFonts w:ascii="Verdana" w:eastAsia="Arial" w:hAnsi="Verdana" w:cs="Arial"/>
          <w:bCs/>
          <w:color w:val="000000" w:themeColor="text1"/>
          <w:sz w:val="20"/>
          <w:szCs w:val="20"/>
        </w:rPr>
        <w:lastRenderedPageBreak/>
        <w:t>contratación del Plan de Salud Pública de Intervenciones Colectivas -PIC- se realiza con ocasión a una “emergencia sanitaria” o si es llevada a cabo por “entidades sanitarias u hospitalarias”. De ser así, la entidad, previo análisis de las excepciones, podrá proceder en tal sentido y contratar directamente a pesar de que haya iniciado el periodo de garantías electorales correspondiente al artículo 33 de la Ley 996 de 2005.</w:t>
      </w:r>
    </w:p>
    <w:p w14:paraId="6A5D9D82" w14:textId="77777777" w:rsidR="00E9780C" w:rsidRDefault="00E9780C" w:rsidP="00E9780C">
      <w:pPr>
        <w:spacing w:after="0" w:line="240" w:lineRule="auto"/>
        <w:jc w:val="both"/>
        <w:rPr>
          <w:rFonts w:ascii="Verdana" w:eastAsia="Arial" w:hAnsi="Verdana" w:cs="Arial"/>
          <w:bCs/>
          <w:color w:val="000000" w:themeColor="text1"/>
          <w:sz w:val="20"/>
          <w:szCs w:val="20"/>
        </w:rPr>
      </w:pPr>
    </w:p>
    <w:p w14:paraId="7465BA15" w14:textId="77777777" w:rsidR="00E9780C" w:rsidRDefault="00E9780C" w:rsidP="00E9780C">
      <w:pPr>
        <w:spacing w:after="0" w:line="240" w:lineRule="auto"/>
        <w:jc w:val="both"/>
        <w:rPr>
          <w:rFonts w:ascii="Verdana" w:eastAsia="Arial" w:hAnsi="Verdana" w:cs="Arial"/>
          <w:bCs/>
          <w:color w:val="000000" w:themeColor="text1"/>
          <w:sz w:val="20"/>
          <w:szCs w:val="20"/>
        </w:rPr>
      </w:pPr>
      <w:r w:rsidRPr="00E9780C">
        <w:rPr>
          <w:rFonts w:ascii="Verdana" w:eastAsia="Arial" w:hAnsi="Verdana" w:cs="Arial"/>
          <w:bCs/>
          <w:color w:val="000000" w:themeColor="text1"/>
          <w:sz w:val="20"/>
          <w:szCs w:val="20"/>
        </w:rPr>
        <w:t xml:space="preserve">Con respecto a la prohibición del </w:t>
      </w:r>
      <w:r w:rsidRPr="00E9780C">
        <w:rPr>
          <w:rFonts w:ascii="Verdana" w:eastAsia="Arial" w:hAnsi="Verdana" w:cs="Arial"/>
          <w:bCs/>
          <w:i/>
          <w:iCs/>
          <w:color w:val="000000" w:themeColor="text1"/>
          <w:sz w:val="20"/>
          <w:szCs w:val="20"/>
        </w:rPr>
        <w:t>parágrafo del artículo 38</w:t>
      </w:r>
      <w:r w:rsidRPr="00E9780C">
        <w:rPr>
          <w:rFonts w:ascii="Verdana" w:eastAsia="Arial" w:hAnsi="Verdana" w:cs="Arial"/>
          <w:bCs/>
          <w:color w:val="000000" w:themeColor="text1"/>
          <w:sz w:val="20"/>
          <w:szCs w:val="20"/>
        </w:rPr>
        <w:t>, es necesario verificar si la contratación del PIC es llevada a cabo por los “</w:t>
      </w:r>
      <w:proofErr w:type="gramStart"/>
      <w:r w:rsidRPr="00E9780C">
        <w:rPr>
          <w:rFonts w:ascii="Verdana" w:eastAsia="Arial" w:hAnsi="Verdana" w:cs="Arial"/>
          <w:bCs/>
          <w:color w:val="000000" w:themeColor="text1"/>
          <w:sz w:val="20"/>
          <w:szCs w:val="20"/>
        </w:rPr>
        <w:t>Alcaldes</w:t>
      </w:r>
      <w:proofErr w:type="gramEnd"/>
      <w:r w:rsidRPr="00E9780C">
        <w:rPr>
          <w:rFonts w:ascii="Verdana" w:eastAsia="Arial" w:hAnsi="Verdana" w:cs="Arial"/>
          <w:bCs/>
          <w:color w:val="000000" w:themeColor="text1"/>
          <w:sz w:val="20"/>
          <w:szCs w:val="20"/>
        </w:rPr>
        <w:t xml:space="preserve">, Gobernadores, </w:t>
      </w:r>
      <w:proofErr w:type="gramStart"/>
      <w:r w:rsidRPr="00E9780C">
        <w:rPr>
          <w:rFonts w:ascii="Verdana" w:eastAsia="Arial" w:hAnsi="Verdana" w:cs="Arial"/>
          <w:bCs/>
          <w:color w:val="000000" w:themeColor="text1"/>
          <w:sz w:val="20"/>
          <w:szCs w:val="20"/>
        </w:rPr>
        <w:t>Secretarios</w:t>
      </w:r>
      <w:proofErr w:type="gramEnd"/>
      <w:r w:rsidRPr="00E9780C">
        <w:rPr>
          <w:rFonts w:ascii="Verdana" w:eastAsia="Arial" w:hAnsi="Verdana" w:cs="Arial"/>
          <w:bCs/>
          <w:color w:val="000000" w:themeColor="text1"/>
          <w:sz w:val="20"/>
          <w:szCs w:val="20"/>
        </w:rPr>
        <w:t xml:space="preserve">, Gerentes y </w:t>
      </w:r>
      <w:proofErr w:type="gramStart"/>
      <w:r w:rsidRPr="00E9780C">
        <w:rPr>
          <w:rFonts w:ascii="Verdana" w:eastAsia="Arial" w:hAnsi="Verdana" w:cs="Arial"/>
          <w:bCs/>
          <w:color w:val="000000" w:themeColor="text1"/>
          <w:sz w:val="20"/>
          <w:szCs w:val="20"/>
        </w:rPr>
        <w:t>Directores</w:t>
      </w:r>
      <w:proofErr w:type="gramEnd"/>
      <w:r w:rsidRPr="00E9780C">
        <w:rPr>
          <w:rFonts w:ascii="Verdana" w:eastAsia="Arial" w:hAnsi="Verdana" w:cs="Arial"/>
          <w:bCs/>
          <w:color w:val="000000" w:themeColor="text1"/>
          <w:sz w:val="20"/>
          <w:szCs w:val="20"/>
        </w:rPr>
        <w:t xml:space="preserve"> de las entidades del orden municipal, departamental o distrital”; así como determinar si lo que pretende adelantar es un convenio o un contrato interadministrativo para la ejecución de recursos públicos. Cuando este sea el caso, operará la restricción señalada en el parágrafo y estará prohibido llevar a cabo la contratación de convenios o contratos interadministrativos en los cuatro meses anteriores a cualquier contienda electoral. Es importante resaltar que para esta prohibición la norma no contempló ninguna excepción, de modo que aplicará, aunque se trate de entidades sanitarias u hospitalarias. </w:t>
      </w:r>
    </w:p>
    <w:p w14:paraId="174F33DC" w14:textId="77777777" w:rsidR="00E9780C" w:rsidRDefault="00E9780C" w:rsidP="00E9780C">
      <w:pPr>
        <w:spacing w:after="0" w:line="240" w:lineRule="auto"/>
        <w:jc w:val="both"/>
        <w:rPr>
          <w:rFonts w:ascii="Verdana" w:eastAsia="Arial" w:hAnsi="Verdana" w:cs="Arial"/>
          <w:bCs/>
          <w:color w:val="000000" w:themeColor="text1"/>
          <w:sz w:val="20"/>
          <w:szCs w:val="20"/>
        </w:rPr>
      </w:pPr>
    </w:p>
    <w:p w14:paraId="7955BFC4" w14:textId="77777777" w:rsidR="00E9780C" w:rsidRDefault="00E9780C" w:rsidP="00E9780C">
      <w:pPr>
        <w:spacing w:after="0" w:line="240" w:lineRule="auto"/>
        <w:jc w:val="both"/>
        <w:rPr>
          <w:rFonts w:ascii="Verdana" w:eastAsia="Arial" w:hAnsi="Verdana" w:cs="Arial"/>
          <w:bCs/>
          <w:color w:val="000000" w:themeColor="text1"/>
          <w:sz w:val="20"/>
          <w:szCs w:val="20"/>
        </w:rPr>
      </w:pPr>
      <w:r>
        <w:rPr>
          <w:rFonts w:ascii="Verdana" w:eastAsia="Arial" w:hAnsi="Verdana" w:cs="Arial"/>
          <w:bCs/>
          <w:color w:val="000000" w:themeColor="text1"/>
          <w:sz w:val="20"/>
          <w:szCs w:val="20"/>
        </w:rPr>
        <w:t>[…]</w:t>
      </w:r>
    </w:p>
    <w:p w14:paraId="58862F38" w14:textId="77777777" w:rsidR="00E9780C" w:rsidRDefault="00E9780C" w:rsidP="00E9780C">
      <w:pPr>
        <w:spacing w:after="0" w:line="240" w:lineRule="auto"/>
        <w:jc w:val="both"/>
        <w:rPr>
          <w:rFonts w:ascii="Verdana" w:eastAsia="Arial" w:hAnsi="Verdana" w:cs="Arial"/>
          <w:bCs/>
          <w:color w:val="000000" w:themeColor="text1"/>
          <w:sz w:val="20"/>
          <w:szCs w:val="20"/>
        </w:rPr>
      </w:pPr>
    </w:p>
    <w:p w14:paraId="74C71971" w14:textId="69AACCF8" w:rsidR="00E9780C" w:rsidRPr="00E9780C" w:rsidRDefault="00E9780C" w:rsidP="00E9780C">
      <w:pPr>
        <w:spacing w:after="0" w:line="240" w:lineRule="auto"/>
        <w:jc w:val="both"/>
        <w:rPr>
          <w:rFonts w:ascii="Verdana" w:eastAsia="Arial" w:hAnsi="Verdana" w:cs="Arial"/>
          <w:bCs/>
          <w:color w:val="000000" w:themeColor="text1"/>
          <w:sz w:val="20"/>
          <w:szCs w:val="20"/>
        </w:rPr>
      </w:pPr>
      <w:r w:rsidRPr="00E9780C">
        <w:rPr>
          <w:rFonts w:ascii="Verdana" w:eastAsia="Calibri" w:hAnsi="Verdana" w:cs="Arial"/>
          <w:sz w:val="20"/>
          <w:szCs w:val="20"/>
        </w:rPr>
        <w:t>En particular, cada Entidad Estatal deberá 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E9780C">
        <w:rPr>
          <w:rFonts w:ascii="Verdana" w:hAnsi="Verdana" w:cs="Arial"/>
          <w:sz w:val="20"/>
          <w:szCs w:val="20"/>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contratación interadministrativa, es decir, aquellas que no se encuentren restringidas por el artículo 33 o el parágrafo del artículo 38 de la Ley 996 de 2005.</w:t>
      </w:r>
    </w:p>
    <w:p w14:paraId="20E26412" w14:textId="77777777" w:rsidR="00931900" w:rsidRDefault="00931900" w:rsidP="00D452F6">
      <w:pPr>
        <w:spacing w:after="0" w:line="240" w:lineRule="auto"/>
        <w:jc w:val="both"/>
        <w:rPr>
          <w:rFonts w:ascii="Verdana" w:eastAsia="Arial" w:hAnsi="Verdana" w:cs="Arial"/>
          <w:color w:val="000000" w:themeColor="text1"/>
          <w:sz w:val="20"/>
          <w:szCs w:val="20"/>
        </w:rPr>
      </w:pPr>
    </w:p>
    <w:p w14:paraId="3B247439" w14:textId="77777777" w:rsidR="00E9780C" w:rsidRDefault="00E9780C" w:rsidP="00D452F6">
      <w:pPr>
        <w:spacing w:after="0" w:line="240" w:lineRule="auto"/>
        <w:jc w:val="both"/>
        <w:rPr>
          <w:rFonts w:ascii="Verdana" w:eastAsia="Arial" w:hAnsi="Verdana" w:cs="Arial"/>
          <w:color w:val="000000" w:themeColor="text1"/>
          <w:sz w:val="20"/>
          <w:szCs w:val="20"/>
        </w:rPr>
      </w:pPr>
    </w:p>
    <w:p w14:paraId="02392919" w14:textId="77777777" w:rsidR="00E9780C" w:rsidRDefault="00E9780C" w:rsidP="00D452F6">
      <w:pPr>
        <w:spacing w:after="0" w:line="240" w:lineRule="auto"/>
        <w:jc w:val="both"/>
        <w:rPr>
          <w:rFonts w:ascii="Verdana" w:eastAsia="Arial" w:hAnsi="Verdana" w:cs="Arial"/>
          <w:color w:val="000000" w:themeColor="text1"/>
          <w:sz w:val="20"/>
          <w:szCs w:val="20"/>
        </w:rPr>
      </w:pPr>
    </w:p>
    <w:p w14:paraId="6A928197" w14:textId="77777777" w:rsidR="00E9780C" w:rsidRDefault="00E9780C" w:rsidP="00D452F6">
      <w:pPr>
        <w:spacing w:after="0" w:line="240" w:lineRule="auto"/>
        <w:jc w:val="both"/>
        <w:rPr>
          <w:rFonts w:ascii="Verdana" w:eastAsia="Arial" w:hAnsi="Verdana" w:cs="Arial"/>
          <w:color w:val="000000" w:themeColor="text1"/>
          <w:sz w:val="20"/>
          <w:szCs w:val="20"/>
        </w:rPr>
      </w:pPr>
    </w:p>
    <w:p w14:paraId="563C1658" w14:textId="77777777" w:rsidR="00E9780C" w:rsidRDefault="00E9780C" w:rsidP="00D452F6">
      <w:pPr>
        <w:spacing w:after="0" w:line="240" w:lineRule="auto"/>
        <w:jc w:val="both"/>
        <w:rPr>
          <w:rFonts w:ascii="Verdana" w:eastAsia="Arial" w:hAnsi="Verdana" w:cs="Arial"/>
          <w:color w:val="000000" w:themeColor="text1"/>
          <w:sz w:val="20"/>
          <w:szCs w:val="20"/>
        </w:rPr>
      </w:pPr>
    </w:p>
    <w:p w14:paraId="4E5C4B1C" w14:textId="77777777" w:rsidR="00E9780C" w:rsidRDefault="00E9780C" w:rsidP="00D452F6">
      <w:pPr>
        <w:spacing w:after="0" w:line="240" w:lineRule="auto"/>
        <w:jc w:val="both"/>
        <w:rPr>
          <w:rFonts w:ascii="Verdana" w:eastAsia="Arial" w:hAnsi="Verdana" w:cs="Arial"/>
          <w:color w:val="000000" w:themeColor="text1"/>
          <w:sz w:val="20"/>
          <w:szCs w:val="20"/>
        </w:rPr>
      </w:pPr>
    </w:p>
    <w:p w14:paraId="17553E55" w14:textId="77777777" w:rsidR="00E9780C" w:rsidRDefault="00E9780C" w:rsidP="00D452F6">
      <w:pPr>
        <w:spacing w:after="0" w:line="240" w:lineRule="auto"/>
        <w:jc w:val="both"/>
        <w:rPr>
          <w:rFonts w:ascii="Verdana" w:eastAsia="Arial" w:hAnsi="Verdana" w:cs="Arial"/>
          <w:color w:val="000000" w:themeColor="text1"/>
          <w:sz w:val="20"/>
          <w:szCs w:val="20"/>
        </w:rPr>
      </w:pPr>
    </w:p>
    <w:p w14:paraId="3F69332D" w14:textId="77777777" w:rsidR="00E9780C" w:rsidRDefault="00E9780C" w:rsidP="00D452F6">
      <w:pPr>
        <w:spacing w:after="0" w:line="240" w:lineRule="auto"/>
        <w:jc w:val="both"/>
        <w:rPr>
          <w:rFonts w:ascii="Verdana" w:eastAsia="Arial" w:hAnsi="Verdana" w:cs="Arial"/>
          <w:color w:val="000000" w:themeColor="text1"/>
          <w:sz w:val="20"/>
          <w:szCs w:val="20"/>
        </w:rPr>
      </w:pPr>
    </w:p>
    <w:p w14:paraId="59BA94DA" w14:textId="77777777" w:rsidR="00E9780C" w:rsidRDefault="00E9780C" w:rsidP="00D452F6">
      <w:pPr>
        <w:spacing w:after="0" w:line="240" w:lineRule="auto"/>
        <w:jc w:val="both"/>
        <w:rPr>
          <w:rFonts w:ascii="Verdana" w:eastAsia="Arial" w:hAnsi="Verdana" w:cs="Arial"/>
          <w:color w:val="000000" w:themeColor="text1"/>
          <w:sz w:val="20"/>
          <w:szCs w:val="20"/>
        </w:rPr>
      </w:pPr>
    </w:p>
    <w:p w14:paraId="5C70A06C" w14:textId="77777777" w:rsidR="00E9780C" w:rsidRDefault="00E9780C" w:rsidP="00D452F6">
      <w:pPr>
        <w:spacing w:after="0" w:line="240" w:lineRule="auto"/>
        <w:jc w:val="both"/>
        <w:rPr>
          <w:rFonts w:ascii="Verdana" w:eastAsia="Arial" w:hAnsi="Verdana" w:cs="Arial"/>
          <w:color w:val="000000" w:themeColor="text1"/>
          <w:sz w:val="20"/>
          <w:szCs w:val="20"/>
        </w:rPr>
      </w:pPr>
    </w:p>
    <w:p w14:paraId="5F0F491B" w14:textId="77777777" w:rsidR="00E9780C" w:rsidRDefault="00E9780C" w:rsidP="00D452F6">
      <w:pPr>
        <w:spacing w:after="0" w:line="240" w:lineRule="auto"/>
        <w:jc w:val="both"/>
        <w:rPr>
          <w:rFonts w:ascii="Verdana" w:eastAsia="Arial" w:hAnsi="Verdana" w:cs="Arial"/>
          <w:color w:val="000000" w:themeColor="text1"/>
          <w:sz w:val="20"/>
          <w:szCs w:val="20"/>
        </w:rPr>
      </w:pPr>
    </w:p>
    <w:p w14:paraId="58B88B1C" w14:textId="77777777" w:rsidR="00E9780C" w:rsidRDefault="00E9780C" w:rsidP="00D452F6">
      <w:pPr>
        <w:spacing w:after="0" w:line="240" w:lineRule="auto"/>
        <w:jc w:val="both"/>
        <w:rPr>
          <w:rFonts w:ascii="Verdana" w:hAnsi="Verdana"/>
          <w:lang w:val="es-ES"/>
        </w:rPr>
      </w:pPr>
    </w:p>
    <w:p w14:paraId="68A4BBDF" w14:textId="77777777" w:rsidR="00B76F24" w:rsidRDefault="00B76F24" w:rsidP="00D452F6">
      <w:pPr>
        <w:spacing w:after="0" w:line="240" w:lineRule="auto"/>
        <w:jc w:val="both"/>
        <w:rPr>
          <w:rFonts w:ascii="Verdana" w:hAnsi="Verdana"/>
          <w:lang w:val="es-ES"/>
        </w:rPr>
      </w:pPr>
    </w:p>
    <w:p w14:paraId="2B7EBE8D" w14:textId="77777777" w:rsidR="00B76F24" w:rsidRDefault="00B76F24" w:rsidP="00D452F6">
      <w:pPr>
        <w:spacing w:after="0" w:line="240" w:lineRule="auto"/>
        <w:jc w:val="both"/>
        <w:rPr>
          <w:rFonts w:ascii="Verdana" w:hAnsi="Verdana"/>
          <w:lang w:val="es-ES"/>
        </w:rPr>
      </w:pPr>
    </w:p>
    <w:p w14:paraId="5EB96FF2" w14:textId="77777777" w:rsidR="00E9780C" w:rsidRDefault="00E9780C" w:rsidP="00D452F6">
      <w:pPr>
        <w:spacing w:after="0" w:line="240" w:lineRule="auto"/>
        <w:jc w:val="both"/>
        <w:rPr>
          <w:rFonts w:ascii="Verdana" w:hAnsi="Verdana"/>
          <w:lang w:val="es-ES"/>
        </w:rPr>
      </w:pPr>
    </w:p>
    <w:p w14:paraId="05DAAEF0" w14:textId="2825CF5F" w:rsidR="00D452F6" w:rsidRPr="00FF007A" w:rsidRDefault="00D452F6" w:rsidP="00D452F6">
      <w:pPr>
        <w:spacing w:after="0" w:line="240" w:lineRule="auto"/>
        <w:jc w:val="both"/>
        <w:rPr>
          <w:rFonts w:ascii="Verdana" w:hAnsi="Verdana"/>
        </w:rPr>
      </w:pPr>
      <w:r w:rsidRPr="00FF007A">
        <w:rPr>
          <w:rFonts w:ascii="Verdana" w:hAnsi="Verdana"/>
        </w:rPr>
        <w:lastRenderedPageBreak/>
        <w:t xml:space="preserve">Bogotá D.C., </w:t>
      </w:r>
      <w:r w:rsidR="00931900">
        <w:rPr>
          <w:rFonts w:ascii="Verdana" w:hAnsi="Verdana"/>
        </w:rPr>
        <w:t xml:space="preserve">22 de octubre de 2025 </w:t>
      </w:r>
      <w:r w:rsidRPr="00FF007A">
        <w:rPr>
          <w:rFonts w:ascii="Verdana" w:hAnsi="Verdana"/>
        </w:rPr>
        <w:tab/>
      </w:r>
    </w:p>
    <w:p w14:paraId="3175D473" w14:textId="77777777" w:rsidR="00D452F6" w:rsidRDefault="00D452F6" w:rsidP="00D452F6">
      <w:pPr>
        <w:spacing w:after="0" w:line="240" w:lineRule="auto"/>
        <w:jc w:val="both"/>
        <w:rPr>
          <w:rFonts w:ascii="Verdana" w:eastAsia="Calibri" w:hAnsi="Verdana" w:cs="Arial"/>
          <w:lang w:eastAsia="es-ES"/>
        </w:rPr>
      </w:pPr>
      <w:bookmarkStart w:id="7" w:name="_Hlk197462763"/>
      <w:bookmarkStart w:id="8" w:name="_Hlk197529996"/>
    </w:p>
    <w:p w14:paraId="78F10001" w14:textId="37540121" w:rsidR="00284345" w:rsidRPr="00FF007A" w:rsidRDefault="00284345" w:rsidP="00284345">
      <w:pPr>
        <w:spacing w:after="0" w:line="240" w:lineRule="auto"/>
        <w:jc w:val="right"/>
        <w:rPr>
          <w:rFonts w:ascii="Verdana" w:eastAsia="Calibri" w:hAnsi="Verdana" w:cs="Arial"/>
          <w:lang w:eastAsia="es-ES"/>
        </w:rPr>
      </w:pPr>
      <w:r w:rsidRPr="00284345">
        <w:rPr>
          <w:rFonts w:ascii="Verdana" w:eastAsia="Calibri" w:hAnsi="Verdana" w:cs="Arial"/>
          <w:noProof/>
          <w:lang w:eastAsia="es-ES"/>
        </w:rPr>
        <w:drawing>
          <wp:inline distT="0" distB="0" distL="0" distR="0" wp14:anchorId="2CBC2682" wp14:editId="491E02B2">
            <wp:extent cx="2448267" cy="638264"/>
            <wp:effectExtent l="0" t="0" r="9525" b="9525"/>
            <wp:docPr id="9959878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987889" name=""/>
                    <pic:cNvPicPr/>
                  </pic:nvPicPr>
                  <pic:blipFill>
                    <a:blip r:embed="rId10"/>
                    <a:stretch>
                      <a:fillRect/>
                    </a:stretch>
                  </pic:blipFill>
                  <pic:spPr>
                    <a:xfrm>
                      <a:off x="0" y="0"/>
                      <a:ext cx="2448267" cy="638264"/>
                    </a:xfrm>
                    <a:prstGeom prst="rect">
                      <a:avLst/>
                    </a:prstGeom>
                  </pic:spPr>
                </pic:pic>
              </a:graphicData>
            </a:graphic>
          </wp:inline>
        </w:drawing>
      </w:r>
    </w:p>
    <w:p w14:paraId="0334D8F4" w14:textId="77777777" w:rsidR="00284345" w:rsidRDefault="00284345" w:rsidP="00D452F6">
      <w:pPr>
        <w:spacing w:after="0" w:line="240" w:lineRule="auto"/>
        <w:jc w:val="both"/>
        <w:rPr>
          <w:rFonts w:ascii="Verdana" w:eastAsia="Calibri" w:hAnsi="Verdana" w:cs="Arial"/>
          <w:lang w:eastAsia="es-ES"/>
        </w:rPr>
      </w:pPr>
    </w:p>
    <w:p w14:paraId="10642083" w14:textId="571607C4" w:rsidR="00D452F6" w:rsidRPr="008D08B1" w:rsidRDefault="00D452F6" w:rsidP="00D452F6">
      <w:pPr>
        <w:spacing w:after="0" w:line="240" w:lineRule="auto"/>
        <w:jc w:val="both"/>
        <w:rPr>
          <w:rFonts w:ascii="Verdana" w:eastAsia="Calibri" w:hAnsi="Verdana" w:cs="Arial"/>
          <w:lang w:val="en-US" w:eastAsia="es-ES"/>
        </w:rPr>
      </w:pPr>
      <w:proofErr w:type="spellStart"/>
      <w:r w:rsidRPr="008D08B1">
        <w:rPr>
          <w:rFonts w:ascii="Verdana" w:eastAsia="Calibri" w:hAnsi="Verdana" w:cs="Arial"/>
          <w:lang w:val="en-US" w:eastAsia="es-ES"/>
        </w:rPr>
        <w:t>Señor</w:t>
      </w:r>
      <w:proofErr w:type="spellEnd"/>
    </w:p>
    <w:p w14:paraId="6C40082B" w14:textId="77777777" w:rsidR="00D452F6" w:rsidRPr="007967F8" w:rsidRDefault="00D452F6" w:rsidP="00D452F6">
      <w:pPr>
        <w:spacing w:after="0" w:line="240" w:lineRule="auto"/>
        <w:jc w:val="both"/>
        <w:rPr>
          <w:rFonts w:ascii="Verdana" w:eastAsia="Calibri" w:hAnsi="Verdana" w:cs="Arial"/>
          <w:b/>
          <w:lang w:val="en-US" w:eastAsia="es-ES_tradnl"/>
        </w:rPr>
      </w:pPr>
      <w:r w:rsidRPr="007967F8">
        <w:rPr>
          <w:rFonts w:ascii="Verdana" w:eastAsia="Calibri" w:hAnsi="Verdana" w:cs="Arial"/>
          <w:b/>
          <w:lang w:val="en-US" w:eastAsia="es-ES_tradnl"/>
        </w:rPr>
        <w:t>William David Bustos Ortega</w:t>
      </w:r>
    </w:p>
    <w:p w14:paraId="6F865DDE" w14:textId="77777777" w:rsidR="00D452F6" w:rsidRPr="007967F8" w:rsidRDefault="00D452F6" w:rsidP="00D452F6">
      <w:pPr>
        <w:spacing w:after="0" w:line="240" w:lineRule="auto"/>
        <w:jc w:val="both"/>
        <w:rPr>
          <w:rFonts w:ascii="Verdana" w:hAnsi="Verdana"/>
          <w:b/>
          <w:bCs/>
          <w:lang w:val="en-US"/>
        </w:rPr>
      </w:pPr>
      <w:hyperlink r:id="rId11" w:history="1">
        <w:r w:rsidRPr="007967F8">
          <w:rPr>
            <w:rStyle w:val="Hipervnculo"/>
            <w:rFonts w:ascii="Verdana" w:hAnsi="Verdana"/>
            <w:b/>
            <w:bCs/>
            <w:lang w:val="en-US"/>
          </w:rPr>
          <w:t>wdbustosabogado@gmail.com</w:t>
        </w:r>
      </w:hyperlink>
    </w:p>
    <w:p w14:paraId="10CBFE6B" w14:textId="77777777" w:rsidR="00D452F6" w:rsidRPr="007967F8" w:rsidRDefault="00D452F6" w:rsidP="00D452F6">
      <w:pPr>
        <w:spacing w:after="0" w:line="240" w:lineRule="auto"/>
        <w:jc w:val="both"/>
        <w:rPr>
          <w:rFonts w:ascii="Verdana" w:hAnsi="Verdana"/>
        </w:rPr>
      </w:pPr>
      <w:r w:rsidRPr="007967F8">
        <w:rPr>
          <w:rFonts w:ascii="Verdana" w:hAnsi="Verdana"/>
        </w:rPr>
        <w:t xml:space="preserve">Ciudad </w:t>
      </w:r>
    </w:p>
    <w:p w14:paraId="7CEC1094" w14:textId="77777777" w:rsidR="00D452F6" w:rsidRPr="007967F8" w:rsidRDefault="00D452F6" w:rsidP="00D452F6">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D452F6" w:rsidRPr="007967F8" w14:paraId="4CF3E09E" w14:textId="77777777" w:rsidTr="00472220">
        <w:trPr>
          <w:trHeight w:val="162"/>
        </w:trPr>
        <w:tc>
          <w:tcPr>
            <w:tcW w:w="3119" w:type="dxa"/>
          </w:tcPr>
          <w:p w14:paraId="07450970" w14:textId="77777777" w:rsidR="00D452F6" w:rsidRPr="007967F8" w:rsidRDefault="00D452F6" w:rsidP="00472220">
            <w:pPr>
              <w:jc w:val="both"/>
              <w:rPr>
                <w:rFonts w:ascii="Verdana" w:eastAsia="Calibri" w:hAnsi="Verdana" w:cs="Arial"/>
                <w:b/>
                <w:bCs/>
                <w:color w:val="7030A0"/>
                <w:lang w:eastAsia="es-ES_tradnl"/>
              </w:rPr>
            </w:pPr>
          </w:p>
        </w:tc>
        <w:tc>
          <w:tcPr>
            <w:tcW w:w="5670" w:type="dxa"/>
          </w:tcPr>
          <w:p w14:paraId="7E87B0FA" w14:textId="77777777" w:rsidR="00D452F6" w:rsidRPr="007967F8" w:rsidRDefault="00D452F6" w:rsidP="00472220">
            <w:pPr>
              <w:jc w:val="both"/>
              <w:rPr>
                <w:rFonts w:ascii="Verdana" w:eastAsia="Calibri" w:hAnsi="Verdana" w:cs="Arial"/>
                <w:b/>
                <w:bCs/>
                <w:lang w:eastAsia="es-ES"/>
              </w:rPr>
            </w:pPr>
            <w:r w:rsidRPr="007967F8">
              <w:rPr>
                <w:rFonts w:ascii="Verdana" w:eastAsia="Calibri" w:hAnsi="Verdana" w:cs="Arial"/>
                <w:b/>
                <w:bCs/>
                <w:lang w:eastAsia="es-ES"/>
              </w:rPr>
              <w:t>Concepto C-1401 de 2025</w:t>
            </w:r>
          </w:p>
          <w:p w14:paraId="369D55DD" w14:textId="77777777" w:rsidR="00D452F6" w:rsidRPr="007967F8" w:rsidRDefault="00D452F6" w:rsidP="00472220">
            <w:pPr>
              <w:jc w:val="both"/>
              <w:rPr>
                <w:rFonts w:ascii="Verdana" w:eastAsia="Calibri" w:hAnsi="Verdana" w:cs="Arial"/>
                <w:b/>
                <w:bCs/>
                <w:color w:val="7030A0"/>
                <w:lang w:eastAsia="es-ES"/>
              </w:rPr>
            </w:pPr>
          </w:p>
        </w:tc>
      </w:tr>
      <w:tr w:rsidR="00D452F6" w:rsidRPr="007967F8" w14:paraId="5A9892B9" w14:textId="77777777" w:rsidTr="00472220">
        <w:trPr>
          <w:trHeight w:val="884"/>
        </w:trPr>
        <w:tc>
          <w:tcPr>
            <w:tcW w:w="3119" w:type="dxa"/>
          </w:tcPr>
          <w:p w14:paraId="42FCE55D" w14:textId="77777777" w:rsidR="00D452F6" w:rsidRPr="007967F8" w:rsidRDefault="00D452F6" w:rsidP="00472220">
            <w:pPr>
              <w:jc w:val="both"/>
              <w:rPr>
                <w:rFonts w:ascii="Verdana" w:eastAsia="Calibri" w:hAnsi="Verdana" w:cs="Arial"/>
                <w:color w:val="000000"/>
                <w:lang w:eastAsia="es-ES_tradnl"/>
              </w:rPr>
            </w:pPr>
            <w:r w:rsidRPr="007967F8">
              <w:rPr>
                <w:rFonts w:ascii="Verdana" w:eastAsia="Calibri" w:hAnsi="Verdana" w:cs="Arial"/>
                <w:b/>
                <w:color w:val="000000"/>
                <w:lang w:eastAsia="es-ES_tradnl"/>
              </w:rPr>
              <w:t>Temas:</w:t>
            </w:r>
            <w:r w:rsidRPr="007967F8">
              <w:rPr>
                <w:rFonts w:ascii="Verdana" w:eastAsia="Calibri" w:hAnsi="Verdana" w:cs="Arial"/>
                <w:color w:val="000000"/>
                <w:lang w:eastAsia="es-ES_tradnl"/>
              </w:rPr>
              <w:t xml:space="preserve">                   </w:t>
            </w:r>
          </w:p>
        </w:tc>
        <w:tc>
          <w:tcPr>
            <w:tcW w:w="5670" w:type="dxa"/>
          </w:tcPr>
          <w:p w14:paraId="7AF80410" w14:textId="3892F28B" w:rsidR="00D452F6" w:rsidRDefault="00D452F6" w:rsidP="00472220">
            <w:pPr>
              <w:jc w:val="both"/>
              <w:rPr>
                <w:rFonts w:ascii="Verdana" w:eastAsia="Calibri" w:hAnsi="Verdana" w:cs="Arial"/>
                <w:lang w:val="es-ES" w:eastAsia="es-ES"/>
              </w:rPr>
            </w:pPr>
            <w:r w:rsidRPr="00D437AC">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Pr>
                <w:rFonts w:ascii="Verdana" w:eastAsia="Calibri" w:hAnsi="Verdana" w:cs="Arial"/>
                <w:lang w:val="es-ES" w:eastAsia="es-ES"/>
              </w:rPr>
              <w:t xml:space="preserve"> – Contratación directa - Alcance</w:t>
            </w:r>
            <w:r w:rsidRPr="00D437AC">
              <w:rPr>
                <w:rFonts w:ascii="Verdana" w:eastAsia="Calibri" w:hAnsi="Verdana" w:cs="Arial"/>
                <w:lang w:val="es-ES" w:eastAsia="es-ES"/>
              </w:rPr>
              <w:t xml:space="preserve"> </w:t>
            </w:r>
            <w:r>
              <w:rPr>
                <w:rFonts w:ascii="Verdana" w:hAnsi="Verdana" w:cs="Arial"/>
                <w:bCs/>
                <w:color w:val="000000" w:themeColor="text1"/>
              </w:rPr>
              <w:t>/</w:t>
            </w:r>
            <w:r>
              <w:rPr>
                <w:rFonts w:ascii="Verdana" w:eastAsia="Calibri" w:hAnsi="Verdana" w:cs="Arial"/>
                <w:lang w:val="es-ES" w:eastAsia="es-ES"/>
              </w:rPr>
              <w:t xml:space="preserve"> </w:t>
            </w:r>
            <w:r w:rsidRPr="00D437AC">
              <w:rPr>
                <w:rFonts w:ascii="Verdana" w:eastAsia="Calibri" w:hAnsi="Verdana" w:cs="Arial"/>
                <w:lang w:val="es-ES" w:eastAsia="es-ES"/>
              </w:rPr>
              <w:t>LEY DE GARANTÍAS ELECTORALES –</w:t>
            </w:r>
            <w:r>
              <w:rPr>
                <w:rFonts w:ascii="Verdana" w:eastAsia="Calibri" w:hAnsi="Verdana" w:cs="Arial"/>
                <w:lang w:val="es-ES" w:eastAsia="es-ES"/>
              </w:rPr>
              <w:t xml:space="preserve"> Artículo 38 – Alcance / LEY DE GARANTÍAS ELECTORALES – Aplicación a convenios interadministrativos / LEY DE GARANTÍAS ELECTORALES – Excepción  -Contratación </w:t>
            </w:r>
            <w:r w:rsidRPr="00FF007A">
              <w:rPr>
                <w:rFonts w:ascii="Verdana" w:hAnsi="Verdana" w:cs="Arial"/>
                <w:bCs/>
                <w:color w:val="000000" w:themeColor="text1"/>
              </w:rPr>
              <w:t>por parte de entidades sanitarias y hospitalarias</w:t>
            </w:r>
            <w:r>
              <w:rPr>
                <w:rFonts w:ascii="Verdana" w:hAnsi="Verdana" w:cs="Arial"/>
                <w:bCs/>
                <w:color w:val="000000" w:themeColor="text1"/>
              </w:rPr>
              <w:t xml:space="preserve"> </w:t>
            </w:r>
            <w:r>
              <w:rPr>
                <w:rFonts w:ascii="Verdana" w:eastAsia="Calibri" w:hAnsi="Verdana" w:cs="Arial"/>
                <w:lang w:val="es-ES" w:eastAsia="es-ES"/>
              </w:rPr>
              <w:t xml:space="preserve">/ LEY DE GARANTÍAS ELECTORALES - </w:t>
            </w:r>
            <w:r>
              <w:rPr>
                <w:rFonts w:ascii="Verdana" w:eastAsia="Arial" w:hAnsi="Verdana" w:cs="Arial"/>
                <w:bCs/>
                <w:color w:val="000000" w:themeColor="text1"/>
              </w:rPr>
              <w:t>Plan de Salud Pública de Intervenciones Colectivas</w:t>
            </w:r>
            <w:r w:rsidRPr="00D437AC">
              <w:rPr>
                <w:rFonts w:ascii="Verdana" w:eastAsia="Calibri" w:hAnsi="Verdana" w:cs="Arial"/>
                <w:lang w:val="es-ES" w:eastAsia="es-ES"/>
              </w:rPr>
              <w:t xml:space="preserve"> </w:t>
            </w:r>
            <w:r>
              <w:rPr>
                <w:rFonts w:ascii="Verdana" w:eastAsia="Calibri" w:hAnsi="Verdana" w:cs="Arial"/>
                <w:lang w:val="es-ES" w:eastAsia="es-ES"/>
              </w:rPr>
              <w:t>-</w:t>
            </w:r>
            <w:r w:rsidRPr="00D437AC">
              <w:rPr>
                <w:rFonts w:ascii="Verdana" w:eastAsia="Calibri" w:hAnsi="Verdana" w:cs="Arial"/>
                <w:lang w:val="es-ES" w:eastAsia="es-ES"/>
              </w:rPr>
              <w:t>PIC</w:t>
            </w:r>
            <w:r>
              <w:rPr>
                <w:rFonts w:ascii="Verdana" w:eastAsia="Calibri" w:hAnsi="Verdana" w:cs="Arial"/>
                <w:lang w:val="es-ES" w:eastAsia="es-ES"/>
              </w:rPr>
              <w:t>- Alcance – Aplicación artículo 33 y parágrafo del artículo 38 Ley 996 de 2005</w:t>
            </w:r>
          </w:p>
          <w:p w14:paraId="17C0CD81" w14:textId="77777777" w:rsidR="00D452F6" w:rsidRPr="007967F8" w:rsidRDefault="00D452F6" w:rsidP="00472220">
            <w:pPr>
              <w:jc w:val="both"/>
              <w:rPr>
                <w:rFonts w:ascii="Verdana" w:hAnsi="Verdana" w:cs="Arial"/>
                <w:color w:val="000000" w:themeColor="text1"/>
              </w:rPr>
            </w:pPr>
          </w:p>
        </w:tc>
      </w:tr>
      <w:tr w:rsidR="00D452F6" w:rsidRPr="007967F8" w14:paraId="6C116957" w14:textId="77777777" w:rsidTr="00472220">
        <w:tc>
          <w:tcPr>
            <w:tcW w:w="3119" w:type="dxa"/>
          </w:tcPr>
          <w:p w14:paraId="2A419A46" w14:textId="77777777" w:rsidR="00D452F6" w:rsidRPr="007967F8" w:rsidRDefault="00D452F6" w:rsidP="00472220">
            <w:pPr>
              <w:jc w:val="both"/>
              <w:rPr>
                <w:rFonts w:ascii="Verdana" w:eastAsia="Calibri" w:hAnsi="Verdana" w:cs="Arial"/>
                <w:b/>
                <w:lang w:eastAsia="es-ES_tradnl"/>
              </w:rPr>
            </w:pPr>
            <w:r w:rsidRPr="007967F8">
              <w:rPr>
                <w:rFonts w:ascii="Verdana" w:eastAsia="Calibri" w:hAnsi="Verdana" w:cs="Arial"/>
                <w:b/>
                <w:lang w:eastAsia="es-ES_tradnl"/>
              </w:rPr>
              <w:t>Radicación:</w:t>
            </w:r>
            <w:r w:rsidRPr="007967F8">
              <w:rPr>
                <w:rFonts w:ascii="Verdana" w:eastAsia="Calibri" w:hAnsi="Verdana" w:cs="Arial"/>
                <w:lang w:eastAsia="es-ES_tradnl"/>
              </w:rPr>
              <w:t xml:space="preserve">               </w:t>
            </w:r>
          </w:p>
        </w:tc>
        <w:tc>
          <w:tcPr>
            <w:tcW w:w="5670" w:type="dxa"/>
          </w:tcPr>
          <w:p w14:paraId="31C84BD1" w14:textId="77777777" w:rsidR="00D452F6" w:rsidRPr="007967F8" w:rsidRDefault="00D452F6" w:rsidP="00472220">
            <w:pPr>
              <w:jc w:val="both"/>
              <w:rPr>
                <w:rFonts w:ascii="Verdana" w:eastAsia="Calibri" w:hAnsi="Verdana" w:cs="Arial"/>
                <w:lang w:eastAsia="es-ES_tradnl"/>
              </w:rPr>
            </w:pPr>
            <w:r w:rsidRPr="007967F8">
              <w:rPr>
                <w:rFonts w:ascii="Verdana" w:eastAsia="Calibri" w:hAnsi="Verdana" w:cs="Arial"/>
                <w:lang w:eastAsia="es-ES_tradnl"/>
              </w:rPr>
              <w:t>Respuesta a consulta con radicado 1_2025_09_30_010798</w:t>
            </w:r>
          </w:p>
        </w:tc>
      </w:tr>
    </w:tbl>
    <w:p w14:paraId="73031554" w14:textId="77777777" w:rsidR="00D452F6" w:rsidRPr="007967F8" w:rsidRDefault="00D452F6" w:rsidP="00D452F6">
      <w:pPr>
        <w:spacing w:after="0" w:line="276" w:lineRule="auto"/>
        <w:jc w:val="both"/>
        <w:rPr>
          <w:rFonts w:ascii="Verdana" w:eastAsia="Calibri" w:hAnsi="Verdana" w:cs="Arial"/>
          <w:lang w:eastAsia="es-ES_tradnl"/>
        </w:rPr>
      </w:pPr>
    </w:p>
    <w:p w14:paraId="585638EA" w14:textId="77777777" w:rsidR="00D452F6" w:rsidRDefault="00D452F6" w:rsidP="00D452F6">
      <w:pPr>
        <w:spacing w:after="0" w:line="276" w:lineRule="auto"/>
        <w:jc w:val="both"/>
        <w:rPr>
          <w:rFonts w:ascii="Verdana" w:eastAsia="Calibri" w:hAnsi="Verdana" w:cs="Arial"/>
          <w:lang w:eastAsia="es-ES"/>
        </w:rPr>
      </w:pPr>
      <w:r w:rsidRPr="007967F8">
        <w:rPr>
          <w:rFonts w:ascii="Verdana" w:eastAsia="Calibri" w:hAnsi="Verdana" w:cs="Arial"/>
          <w:lang w:eastAsia="es-ES"/>
        </w:rPr>
        <w:t>Estimado señor Bustos:</w:t>
      </w:r>
    </w:p>
    <w:p w14:paraId="7ED25D85" w14:textId="77777777" w:rsidR="00D452F6" w:rsidRPr="00FF007A" w:rsidRDefault="00D452F6" w:rsidP="00D452F6">
      <w:pPr>
        <w:spacing w:after="0" w:line="276" w:lineRule="auto"/>
        <w:jc w:val="both"/>
        <w:rPr>
          <w:rFonts w:ascii="Verdana" w:eastAsia="Calibri" w:hAnsi="Verdana" w:cs="Arial"/>
          <w:lang w:eastAsia="es-ES"/>
        </w:rPr>
      </w:pPr>
      <w:r>
        <w:rPr>
          <w:rFonts w:ascii="Verdana" w:eastAsia="Calibri" w:hAnsi="Verdana" w:cs="Arial"/>
          <w:lang w:eastAsia="es-ES"/>
        </w:rPr>
        <w:t xml:space="preserve"> </w:t>
      </w:r>
    </w:p>
    <w:p w14:paraId="64A6A51C" w14:textId="5E410E5B" w:rsidR="006B4BC8" w:rsidRPr="00EA6E14" w:rsidRDefault="00D452F6" w:rsidP="00D452F6">
      <w:pPr>
        <w:tabs>
          <w:tab w:val="left" w:pos="3768"/>
        </w:tabs>
        <w:spacing w:after="120" w:line="276" w:lineRule="auto"/>
        <w:jc w:val="both"/>
        <w:rPr>
          <w:rFonts w:ascii="Verdana" w:eastAsia="Calibri" w:hAnsi="Verdana" w:cs="Arial"/>
          <w:lang w:eastAsia="es-ES"/>
        </w:rPr>
      </w:pPr>
      <w:r w:rsidRPr="00E05649">
        <w:rPr>
          <w:rFonts w:ascii="Verdana" w:eastAsia="Calibri" w:hAnsi="Verdana" w:cs="Arial"/>
          <w:lang w:eastAsia="es-ES"/>
        </w:rPr>
        <w:t>En ejercicio de la competencia otorgada por los artículos 3, numeral 5º, y 11, numeral 8º, del Decreto Ley 4170 de 2011,</w:t>
      </w:r>
      <w:r w:rsidRPr="00E05649">
        <w:rPr>
          <w:rFonts w:ascii="Verdana" w:eastAsia="Arial MT" w:hAnsi="Verdana" w:cs="Arial MT"/>
          <w:lang w:eastAsia="es-ES"/>
        </w:rPr>
        <w:t xml:space="preserve"> </w:t>
      </w:r>
      <w:r w:rsidRPr="00E05649">
        <w:rPr>
          <w:rFonts w:ascii="Verdana" w:hAnsi="Verdana" w:cs="Arial"/>
        </w:rPr>
        <w:t xml:space="preserve">así como lo establecido en el artículo 4 de la Resolución 1707 de 2018 expedida por esta Entidad, </w:t>
      </w:r>
      <w:r w:rsidRPr="00E05649">
        <w:rPr>
          <w:rFonts w:ascii="Verdana" w:eastAsia="Calibri" w:hAnsi="Verdana" w:cs="Arial"/>
          <w:lang w:eastAsia="es-ES"/>
        </w:rPr>
        <w:t xml:space="preserve">la Agencia Nacional de Contratación Pública – Colombia Compra Eficiente– responde su solicitud de consulta de fecha </w:t>
      </w:r>
      <w:r>
        <w:rPr>
          <w:rFonts w:ascii="Verdana" w:eastAsia="Calibri" w:hAnsi="Verdana" w:cs="Arial"/>
          <w:lang w:eastAsia="es-ES"/>
        </w:rPr>
        <w:t xml:space="preserve">26 de septiembre de 2025, previamente trasladada por parte del Departamento Administrativo de la Función Pública mediante radicado </w:t>
      </w:r>
      <w:r w:rsidRPr="007967F8">
        <w:rPr>
          <w:rFonts w:ascii="Verdana" w:eastAsia="Calibri" w:hAnsi="Verdana" w:cs="Arial"/>
          <w:lang w:eastAsia="es-ES"/>
        </w:rPr>
        <w:lastRenderedPageBreak/>
        <w:t>20252040480801</w:t>
      </w:r>
      <w:r>
        <w:rPr>
          <w:rFonts w:ascii="Verdana" w:eastAsia="Calibri" w:hAnsi="Verdana" w:cs="Arial"/>
          <w:lang w:eastAsia="es-ES"/>
        </w:rPr>
        <w:t xml:space="preserve"> del 26 de septiembre de 2025, </w:t>
      </w:r>
      <w:r w:rsidRPr="00E05649">
        <w:rPr>
          <w:rFonts w:ascii="Verdana" w:eastAsia="Calibri" w:hAnsi="Verdana" w:cs="Arial"/>
          <w:lang w:eastAsia="es-ES"/>
        </w:rPr>
        <w:t xml:space="preserve">en la cual manifiesta lo siguiente: </w:t>
      </w:r>
    </w:p>
    <w:p w14:paraId="1B177F7B" w14:textId="77777777" w:rsidR="00D452F6" w:rsidRDefault="00D452F6" w:rsidP="00D452F6">
      <w:pPr>
        <w:spacing w:after="0" w:line="240" w:lineRule="auto"/>
        <w:ind w:left="709" w:right="709"/>
        <w:jc w:val="both"/>
        <w:rPr>
          <w:rFonts w:ascii="Verdana" w:eastAsia="Century Gothic" w:hAnsi="Verdana" w:cs="Century Gothic"/>
          <w:sz w:val="20"/>
          <w:szCs w:val="20"/>
        </w:rPr>
      </w:pPr>
      <w:bookmarkStart w:id="9" w:name="_Hlk192699624"/>
      <w:bookmarkStart w:id="10" w:name="_Hlk199394899"/>
      <w:r w:rsidRPr="007C7B24">
        <w:rPr>
          <w:rFonts w:ascii="Verdana" w:eastAsia="Century Gothic" w:hAnsi="Verdana" w:cs="Century Gothic"/>
          <w:sz w:val="20"/>
          <w:szCs w:val="20"/>
        </w:rPr>
        <w:t xml:space="preserve">“(…) </w:t>
      </w:r>
      <w:bookmarkEnd w:id="9"/>
      <w:bookmarkEnd w:id="10"/>
      <w:r w:rsidRPr="007967F8">
        <w:rPr>
          <w:rFonts w:ascii="Verdana" w:eastAsia="Century Gothic" w:hAnsi="Verdana" w:cs="Century Gothic"/>
          <w:sz w:val="20"/>
          <w:szCs w:val="20"/>
        </w:rPr>
        <w:t xml:space="preserve">1. Teniendo en cuenta la </w:t>
      </w:r>
      <w:proofErr w:type="gramStart"/>
      <w:r w:rsidRPr="007967F8">
        <w:rPr>
          <w:rFonts w:ascii="Verdana" w:eastAsia="Century Gothic" w:hAnsi="Verdana" w:cs="Century Gothic"/>
          <w:sz w:val="20"/>
          <w:szCs w:val="20"/>
        </w:rPr>
        <w:t>entrada en vigencia</w:t>
      </w:r>
      <w:proofErr w:type="gramEnd"/>
      <w:r w:rsidRPr="007967F8">
        <w:rPr>
          <w:rFonts w:ascii="Verdana" w:eastAsia="Century Gothic" w:hAnsi="Verdana" w:cs="Century Gothic"/>
          <w:sz w:val="20"/>
          <w:szCs w:val="20"/>
        </w:rPr>
        <w:t xml:space="preserve"> de la ley de garantías en el mes de noviembre de la presente anualidad, ¿es posible en la vigencia 2026 antes del 31 de enero de 2026, celebrar y/o suscribir contratos interadministrativos? </w:t>
      </w:r>
    </w:p>
    <w:p w14:paraId="6F8259C3" w14:textId="77777777" w:rsidR="00D452F6" w:rsidRDefault="00D452F6" w:rsidP="00D452F6">
      <w:pPr>
        <w:spacing w:after="0" w:line="240" w:lineRule="auto"/>
        <w:ind w:left="709" w:right="709"/>
        <w:jc w:val="both"/>
        <w:rPr>
          <w:rFonts w:ascii="Verdana" w:eastAsia="Century Gothic" w:hAnsi="Verdana" w:cs="Century Gothic"/>
          <w:sz w:val="20"/>
          <w:szCs w:val="20"/>
        </w:rPr>
      </w:pPr>
      <w:r w:rsidRPr="007967F8">
        <w:rPr>
          <w:rFonts w:ascii="Verdana" w:eastAsia="Century Gothic" w:hAnsi="Verdana" w:cs="Century Gothic"/>
          <w:sz w:val="20"/>
          <w:szCs w:val="20"/>
        </w:rPr>
        <w:t xml:space="preserve">2. </w:t>
      </w:r>
      <w:proofErr w:type="gramStart"/>
      <w:r w:rsidRPr="007967F8">
        <w:rPr>
          <w:rFonts w:ascii="Verdana" w:eastAsia="Century Gothic" w:hAnsi="Verdana" w:cs="Century Gothic"/>
          <w:sz w:val="20"/>
          <w:szCs w:val="20"/>
        </w:rPr>
        <w:t>Puede un ente territorial antes del 31 de enero de 2026, mediante modalidad de contratación directa contratar con una ESE la ejecución del PIC, a través de CONTRATO INTERADMINISTRATIVO?</w:t>
      </w:r>
      <w:proofErr w:type="gramEnd"/>
      <w:r w:rsidRPr="007967F8">
        <w:rPr>
          <w:rFonts w:ascii="Verdana" w:eastAsia="Century Gothic" w:hAnsi="Verdana" w:cs="Century Gothic"/>
          <w:sz w:val="20"/>
          <w:szCs w:val="20"/>
        </w:rPr>
        <w:t xml:space="preserve"> </w:t>
      </w:r>
    </w:p>
    <w:p w14:paraId="76BA8400" w14:textId="77777777" w:rsidR="00D452F6" w:rsidRDefault="00D452F6" w:rsidP="00D452F6">
      <w:pPr>
        <w:spacing w:after="0" w:line="240" w:lineRule="auto"/>
        <w:ind w:left="709" w:right="709"/>
        <w:jc w:val="both"/>
        <w:rPr>
          <w:rFonts w:ascii="Verdana" w:eastAsia="Century Gothic" w:hAnsi="Verdana" w:cs="Century Gothic"/>
          <w:sz w:val="20"/>
          <w:szCs w:val="20"/>
        </w:rPr>
      </w:pPr>
      <w:r w:rsidRPr="007967F8">
        <w:rPr>
          <w:rFonts w:ascii="Verdana" w:eastAsia="Century Gothic" w:hAnsi="Verdana" w:cs="Century Gothic"/>
          <w:sz w:val="20"/>
          <w:szCs w:val="20"/>
        </w:rPr>
        <w:t xml:space="preserve">3. ¿Se encuentran inmersos los Contratos Interadministrativos inmersos en la prohibición contenida en la Ley de garantías a partir del mes de noviembre de 2025? </w:t>
      </w:r>
      <w:r>
        <w:rPr>
          <w:rFonts w:ascii="Verdana" w:eastAsia="Century Gothic" w:hAnsi="Verdana" w:cs="Century Gothic"/>
          <w:sz w:val="20"/>
          <w:szCs w:val="20"/>
        </w:rPr>
        <w:t>(…)”</w:t>
      </w:r>
      <w:r w:rsidRPr="00EA7A80">
        <w:rPr>
          <w:rFonts w:ascii="Verdana" w:eastAsia="Century Gothic" w:hAnsi="Verdana" w:cs="Century Gothic"/>
          <w:sz w:val="20"/>
          <w:szCs w:val="20"/>
        </w:rPr>
        <w:t xml:space="preserve">. </w:t>
      </w:r>
    </w:p>
    <w:p w14:paraId="6C66DF12" w14:textId="77777777" w:rsidR="00D452F6" w:rsidRPr="00CF7981" w:rsidRDefault="00D452F6" w:rsidP="00D452F6">
      <w:pPr>
        <w:pStyle w:val="Prrafodelista"/>
        <w:spacing w:after="0" w:line="240" w:lineRule="auto"/>
        <w:ind w:left="1429" w:right="709"/>
        <w:jc w:val="both"/>
        <w:rPr>
          <w:rFonts w:ascii="Verdana" w:eastAsia="Century Gothic" w:hAnsi="Verdana" w:cs="Century Gothic"/>
          <w:sz w:val="20"/>
          <w:szCs w:val="20"/>
        </w:rPr>
      </w:pPr>
    </w:p>
    <w:p w14:paraId="4188A51C" w14:textId="77777777" w:rsidR="00D452F6" w:rsidRPr="00FF007A" w:rsidRDefault="00D452F6" w:rsidP="00D452F6">
      <w:pPr>
        <w:spacing w:after="120" w:line="276" w:lineRule="auto"/>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232E87B" w14:textId="77777777" w:rsidR="00D452F6" w:rsidRPr="00AF06A2" w:rsidRDefault="00D452F6" w:rsidP="00D452F6">
      <w:pPr>
        <w:spacing w:after="120" w:line="276" w:lineRule="auto"/>
        <w:ind w:firstLine="709"/>
        <w:jc w:val="both"/>
        <w:rPr>
          <w:rFonts w:ascii="Verdana" w:eastAsia="Calibri" w:hAnsi="Verdana" w:cs="Arial"/>
          <w:lang w:eastAsia="es-ES"/>
        </w:rPr>
      </w:pPr>
      <w:r w:rsidRPr="00FF007A">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Pr>
          <w:rFonts w:ascii="Verdana" w:eastAsia="Calibri" w:hAnsi="Verdana" w:cs="Arial"/>
          <w:color w:val="000000"/>
          <w:lang w:eastAsia="es-ES"/>
        </w:rPr>
        <w:t>con el problema jurídico</w:t>
      </w:r>
      <w:r w:rsidRPr="00AF06A2">
        <w:rPr>
          <w:rFonts w:ascii="Verdana" w:eastAsia="Calibri" w:hAnsi="Verdana" w:cs="Arial"/>
          <w:color w:val="EE0000"/>
          <w:lang w:eastAsia="es-ES"/>
        </w:rPr>
        <w:t xml:space="preserve"> </w:t>
      </w:r>
      <w:r w:rsidRPr="00AF06A2">
        <w:rPr>
          <w:rFonts w:ascii="Verdana" w:eastAsia="Calibri" w:hAnsi="Verdana" w:cs="Arial"/>
          <w:lang w:eastAsia="es-ES"/>
        </w:rPr>
        <w:t xml:space="preserve">de su consulta.  </w:t>
      </w:r>
    </w:p>
    <w:p w14:paraId="660D9132" w14:textId="77777777" w:rsidR="00D452F6" w:rsidRDefault="00D452F6" w:rsidP="00D452F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AF06A2">
        <w:rPr>
          <w:rFonts w:ascii="Verdana" w:eastAsia="Century Gothic" w:hAnsi="Verdana" w:cs="Century Gothic"/>
          <w:b/>
          <w:bCs/>
          <w:lang w:val="es-CO"/>
        </w:rPr>
        <w:t>Problema planteado:</w:t>
      </w:r>
    </w:p>
    <w:p w14:paraId="31881530" w14:textId="77777777" w:rsidR="00D452F6" w:rsidRPr="00AF06A2" w:rsidRDefault="00D452F6" w:rsidP="00D452F6">
      <w:pPr>
        <w:pStyle w:val="Prrafodelista"/>
        <w:tabs>
          <w:tab w:val="left" w:pos="142"/>
          <w:tab w:val="left" w:pos="284"/>
        </w:tabs>
        <w:spacing w:after="0" w:line="240" w:lineRule="auto"/>
        <w:ind w:left="0"/>
        <w:contextualSpacing w:val="0"/>
        <w:jc w:val="both"/>
        <w:rPr>
          <w:rFonts w:ascii="Verdana" w:eastAsia="Century Gothic" w:hAnsi="Verdana" w:cs="Century Gothic"/>
          <w:b/>
          <w:bCs/>
          <w:lang w:val="es-CO"/>
        </w:rPr>
      </w:pPr>
    </w:p>
    <w:p w14:paraId="4CA1AD1A" w14:textId="533EF199" w:rsidR="00D452F6" w:rsidRPr="00326389" w:rsidRDefault="00D452F6" w:rsidP="00D452F6">
      <w:pPr>
        <w:spacing w:after="0" w:line="276" w:lineRule="auto"/>
        <w:jc w:val="both"/>
        <w:rPr>
          <w:rFonts w:ascii="Verdana" w:eastAsia="Calibri" w:hAnsi="Verdana" w:cs="Arial"/>
          <w:lang w:val="es-ES" w:eastAsia="es-ES"/>
        </w:rPr>
      </w:pPr>
      <w:r w:rsidRPr="005779FD">
        <w:rPr>
          <w:rFonts w:ascii="Verdana" w:eastAsia="Calibri" w:hAnsi="Verdana" w:cs="Arial"/>
          <w:color w:val="000000"/>
          <w:lang w:eastAsia="es-ES"/>
        </w:rPr>
        <w:t xml:space="preserve">De acuerdo con el contenido de su solicitud, esta Agencia resolverá </w:t>
      </w:r>
      <w:r w:rsidR="00C37935">
        <w:rPr>
          <w:rFonts w:ascii="Verdana" w:eastAsia="Calibri" w:hAnsi="Verdana" w:cs="Arial"/>
          <w:color w:val="000000"/>
          <w:lang w:eastAsia="es-ES"/>
        </w:rPr>
        <w:t xml:space="preserve">los </w:t>
      </w:r>
      <w:r w:rsidRPr="005779FD">
        <w:rPr>
          <w:rFonts w:ascii="Verdana" w:eastAsia="Calibri" w:hAnsi="Verdana" w:cs="Arial"/>
          <w:color w:val="000000"/>
          <w:lang w:eastAsia="es-ES"/>
        </w:rPr>
        <w:t>siguiente</w:t>
      </w:r>
      <w:r w:rsidR="00C37935">
        <w:rPr>
          <w:rFonts w:ascii="Verdana" w:eastAsia="Calibri" w:hAnsi="Verdana" w:cs="Arial"/>
          <w:color w:val="000000"/>
          <w:lang w:eastAsia="es-ES"/>
        </w:rPr>
        <w:t>s</w:t>
      </w:r>
      <w:r w:rsidRPr="005779FD">
        <w:rPr>
          <w:rFonts w:ascii="Verdana" w:eastAsia="Calibri" w:hAnsi="Verdana" w:cs="Arial"/>
          <w:color w:val="000000"/>
          <w:lang w:eastAsia="es-ES"/>
        </w:rPr>
        <w:t xml:space="preserve"> problema</w:t>
      </w:r>
      <w:r w:rsidR="00C37935">
        <w:rPr>
          <w:rFonts w:ascii="Verdana" w:eastAsia="Calibri" w:hAnsi="Verdana" w:cs="Arial"/>
          <w:color w:val="000000"/>
          <w:lang w:eastAsia="es-ES"/>
        </w:rPr>
        <w:t>s</w:t>
      </w:r>
      <w:r w:rsidRPr="005779FD">
        <w:rPr>
          <w:rFonts w:ascii="Verdana" w:eastAsia="Calibri" w:hAnsi="Verdana" w:cs="Arial"/>
          <w:color w:val="000000"/>
          <w:lang w:eastAsia="es-ES"/>
        </w:rPr>
        <w:t xml:space="preserve"> </w:t>
      </w:r>
      <w:r>
        <w:rPr>
          <w:rFonts w:ascii="Verdana" w:eastAsia="Calibri" w:hAnsi="Verdana" w:cs="Arial"/>
          <w:color w:val="000000"/>
          <w:lang w:eastAsia="es-ES"/>
        </w:rPr>
        <w:t>jurídico</w:t>
      </w:r>
      <w:r w:rsidR="00C37935">
        <w:rPr>
          <w:rFonts w:ascii="Verdana" w:eastAsia="Calibri" w:hAnsi="Verdana" w:cs="Arial"/>
          <w:color w:val="000000"/>
          <w:lang w:eastAsia="es-ES"/>
        </w:rPr>
        <w:t>s</w:t>
      </w:r>
      <w:r>
        <w:rPr>
          <w:rFonts w:ascii="Verdana" w:eastAsia="Calibri" w:hAnsi="Verdana" w:cs="Arial"/>
          <w:color w:val="000000"/>
          <w:lang w:eastAsia="es-ES"/>
        </w:rPr>
        <w:t>: i) ¿Cuál es el marco normativo de la Ley 996 de 2005 correspondiente a la Ley de Garantías Electorales en relación con la celebración de contratos interadministrativos</w:t>
      </w:r>
      <w:r w:rsidRPr="008D08B1">
        <w:rPr>
          <w:rFonts w:ascii="Verdana" w:eastAsia="Calibri" w:hAnsi="Verdana" w:cs="Arial"/>
          <w:color w:val="000000"/>
          <w:lang w:eastAsia="es-ES"/>
        </w:rPr>
        <w:t>?</w:t>
      </w:r>
      <w:r>
        <w:rPr>
          <w:rFonts w:ascii="Verdana" w:eastAsia="Calibri" w:hAnsi="Verdana" w:cs="Arial"/>
          <w:color w:val="000000"/>
          <w:lang w:eastAsia="es-ES"/>
        </w:rPr>
        <w:t xml:space="preserve"> </w:t>
      </w:r>
      <w:proofErr w:type="spellStart"/>
      <w:r>
        <w:rPr>
          <w:rFonts w:ascii="Verdana" w:eastAsia="Calibri" w:hAnsi="Verdana" w:cs="Arial"/>
          <w:color w:val="000000"/>
          <w:lang w:eastAsia="es-ES"/>
        </w:rPr>
        <w:t>ii</w:t>
      </w:r>
      <w:proofErr w:type="spellEnd"/>
      <w:r>
        <w:rPr>
          <w:rFonts w:ascii="Verdana" w:eastAsia="Calibri" w:hAnsi="Verdana" w:cs="Arial"/>
          <w:color w:val="000000"/>
          <w:lang w:eastAsia="es-ES"/>
        </w:rPr>
        <w:t>) ¿</w:t>
      </w:r>
      <w:r w:rsidRPr="00FF007A">
        <w:rPr>
          <w:rFonts w:ascii="Verdana" w:eastAsia="Century Gothic" w:hAnsi="Verdana" w:cs="Century Gothic"/>
          <w:color w:val="000000" w:themeColor="text1"/>
        </w:rPr>
        <w:t>Cuál es el marco jurídico para la contratación del Plan de Intervenciones Colectivas (PIC) en vigencia de la Ley de Garantías</w:t>
      </w:r>
      <w:r w:rsidRPr="00326389">
        <w:rPr>
          <w:rFonts w:ascii="Verdana" w:eastAsia="Calibri" w:hAnsi="Verdana" w:cs="Arial"/>
          <w:lang w:val="es-ES" w:eastAsia="es-ES"/>
        </w:rPr>
        <w:t xml:space="preserve">? </w:t>
      </w:r>
    </w:p>
    <w:p w14:paraId="717A900A" w14:textId="77777777" w:rsidR="00D452F6" w:rsidRPr="007F4825" w:rsidRDefault="00D452F6" w:rsidP="00D452F6">
      <w:pPr>
        <w:spacing w:after="0" w:line="240" w:lineRule="auto"/>
        <w:ind w:right="709"/>
        <w:jc w:val="both"/>
        <w:rPr>
          <w:rFonts w:ascii="Verdana" w:eastAsia="Century Gothic" w:hAnsi="Verdana" w:cs="Century Gothic"/>
          <w:sz w:val="20"/>
          <w:szCs w:val="20"/>
        </w:rPr>
      </w:pPr>
    </w:p>
    <w:p w14:paraId="05F4C86C" w14:textId="77777777" w:rsidR="00D452F6" w:rsidRDefault="00D452F6" w:rsidP="00D452F6">
      <w:pPr>
        <w:spacing w:after="0" w:line="276" w:lineRule="auto"/>
        <w:jc w:val="both"/>
        <w:rPr>
          <w:rFonts w:ascii="Verdana" w:eastAsia="Century Gothic" w:hAnsi="Verdana" w:cs="Century Gothic"/>
          <w:b/>
          <w:bCs/>
        </w:rPr>
      </w:pPr>
      <w:r w:rsidRPr="0026509B">
        <w:rPr>
          <w:rFonts w:ascii="Verdana" w:eastAsia="Century Gothic" w:hAnsi="Verdana" w:cs="Century Gothic"/>
          <w:b/>
          <w:bCs/>
        </w:rPr>
        <w:lastRenderedPageBreak/>
        <w:t>2. Respuesta:</w:t>
      </w:r>
    </w:p>
    <w:p w14:paraId="1AB98338" w14:textId="77777777" w:rsidR="00D452F6" w:rsidRPr="00FF007A" w:rsidRDefault="00D452F6" w:rsidP="00D452F6">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D452F6" w:rsidRPr="00FF007A" w14:paraId="36FFF21D" w14:textId="77777777" w:rsidTr="00472220">
        <w:tc>
          <w:tcPr>
            <w:tcW w:w="8828" w:type="dxa"/>
          </w:tcPr>
          <w:p w14:paraId="59EBC6B8" w14:textId="77777777" w:rsidR="00D452F6" w:rsidRPr="00FF007A" w:rsidRDefault="00D452F6" w:rsidP="00472220">
            <w:pPr>
              <w:spacing w:after="120" w:line="276" w:lineRule="auto"/>
              <w:jc w:val="both"/>
              <w:rPr>
                <w:rFonts w:ascii="Verdana" w:eastAsia="Arial" w:hAnsi="Verdana" w:cs="Arial"/>
                <w:lang w:eastAsia="es-ES" w:bidi="es-ES"/>
              </w:rPr>
            </w:pPr>
            <w:r>
              <w:rPr>
                <w:rFonts w:ascii="Verdana" w:eastAsia="Arial" w:hAnsi="Verdana" w:cs="Arial"/>
                <w:lang w:eastAsia="es-ES" w:bidi="es-ES"/>
              </w:rPr>
              <w:t>L</w:t>
            </w:r>
            <w:r w:rsidRPr="00FF007A">
              <w:rPr>
                <w:rFonts w:ascii="Verdana" w:eastAsia="Arial" w:hAnsi="Verdana" w:cs="Arial"/>
                <w:lang w:eastAsia="es-ES" w:bidi="es-ES"/>
              </w:rPr>
              <w:t>a Ley de Garantías se dirigen a dos (2) tipos de campañas electorales diferenciadas</w:t>
            </w:r>
            <w:r>
              <w:rPr>
                <w:rFonts w:ascii="Verdana" w:eastAsia="Arial" w:hAnsi="Verdana" w:cs="Arial"/>
                <w:lang w:eastAsia="es-ES" w:bidi="es-ES"/>
              </w:rPr>
              <w:t xml:space="preserve">: i) </w:t>
            </w:r>
            <w:r w:rsidRPr="00FF007A">
              <w:rPr>
                <w:rFonts w:ascii="Verdana" w:eastAsia="Arial" w:hAnsi="Verdana" w:cs="Arial"/>
                <w:lang w:eastAsia="es-ES" w:bidi="es-ES"/>
              </w:rPr>
              <w:t>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w:t>
            </w:r>
            <w:r>
              <w:rPr>
                <w:rFonts w:ascii="Verdana" w:eastAsia="Arial" w:hAnsi="Verdana" w:cs="Arial"/>
                <w:lang w:eastAsia="es-ES" w:bidi="es-ES"/>
              </w:rPr>
              <w:t xml:space="preserve">; </w:t>
            </w:r>
            <w:proofErr w:type="spellStart"/>
            <w:r>
              <w:rPr>
                <w:rFonts w:ascii="Verdana" w:eastAsia="Arial" w:hAnsi="Verdana" w:cs="Arial"/>
                <w:lang w:eastAsia="es-ES" w:bidi="es-ES"/>
              </w:rPr>
              <w:t>ii</w:t>
            </w:r>
            <w:proofErr w:type="spellEnd"/>
            <w:r>
              <w:rPr>
                <w:rFonts w:ascii="Verdana" w:eastAsia="Arial" w:hAnsi="Verdana" w:cs="Arial"/>
                <w:lang w:eastAsia="es-ES" w:bidi="es-ES"/>
              </w:rPr>
              <w:t xml:space="preserve">) </w:t>
            </w:r>
            <w:r w:rsidRPr="00FF007A">
              <w:rPr>
                <w:rFonts w:ascii="Verdana" w:eastAsia="Arial" w:hAnsi="Verdana" w:cs="Arial"/>
                <w:lang w:eastAsia="es-ES" w:bidi="es-ES"/>
              </w:rPr>
              <w:t>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453376B5" w14:textId="77777777" w:rsidR="00D452F6" w:rsidRDefault="00D452F6" w:rsidP="00472220">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Ambas restricciones no son excluyentes, lo que permite concluir que, en el período preelectoral para elección de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de la República, las autoridades allí mencionadas sólo deben aplicar las restricciones contenidas en el parágrafo del artículo 38.</w:t>
            </w:r>
          </w:p>
          <w:p w14:paraId="625DCCE0" w14:textId="77777777" w:rsidR="00D452F6" w:rsidRDefault="00D452F6" w:rsidP="00472220">
            <w:pPr>
              <w:spacing w:after="120" w:line="276" w:lineRule="auto"/>
              <w:ind w:firstLine="709"/>
              <w:jc w:val="both"/>
              <w:rPr>
                <w:rFonts w:ascii="Verdana" w:eastAsia="Times New Roman" w:hAnsi="Verdana" w:cs="Arial"/>
              </w:rPr>
            </w:pPr>
            <w:r w:rsidRPr="00FF007A">
              <w:rPr>
                <w:rFonts w:ascii="Verdana" w:eastAsia="Arial" w:hAnsi="Verdana" w:cs="Arial"/>
                <w:lang w:eastAsia="es-ES" w:bidi="es-ES"/>
              </w:rPr>
              <w:t xml:space="preserve">Ahora bien, </w:t>
            </w:r>
            <w:r w:rsidRPr="00FF007A">
              <w:rPr>
                <w:rFonts w:ascii="Verdana" w:eastAsia="Calibri" w:hAnsi="Verdana" w:cs="Arial"/>
                <w:lang w:eastAsia="es-ES" w:bidi="es-ES"/>
              </w:rPr>
              <w:t xml:space="preserve">es necesario precisar el alcance de la prohibición </w:t>
            </w:r>
            <w:r w:rsidRPr="00FF007A">
              <w:rPr>
                <w:rFonts w:ascii="Verdana" w:eastAsia="Arial" w:hAnsi="Verdana" w:cs="Arial"/>
                <w:lang w:eastAsia="es-ES" w:bidi="es-ES"/>
              </w:rPr>
              <w:t>establecida en e</w:t>
            </w:r>
            <w:r w:rsidRPr="00FF007A">
              <w:rPr>
                <w:rFonts w:ascii="Verdana" w:eastAsia="Calibri" w:hAnsi="Verdana" w:cs="Arial"/>
              </w:rPr>
              <w:t xml:space="preserve">l </w:t>
            </w:r>
            <w:r w:rsidRPr="00FF007A">
              <w:rPr>
                <w:rFonts w:ascii="Verdana" w:eastAsia="Times New Roman" w:hAnsi="Verdana" w:cs="Arial"/>
              </w:rPr>
              <w:t>artículo 33 de la Ley 996 de 2005.</w:t>
            </w:r>
            <w:r>
              <w:rPr>
                <w:rFonts w:ascii="Verdana" w:eastAsia="Times New Roman" w:hAnsi="Verdana" w:cs="Arial"/>
              </w:rPr>
              <w:t xml:space="preserve"> Esta restricción </w:t>
            </w:r>
            <w:r w:rsidRPr="00FF007A">
              <w:rPr>
                <w:rFonts w:ascii="Verdana" w:eastAsia="Times New Roman" w:hAnsi="Verdana" w:cs="Arial"/>
                <w:bCs/>
                <w:lang w:eastAsia="es-CO"/>
              </w:rPr>
              <w:t>no solo aplica frente a las entidades sometidas al Estatuto general de Contratación de la Administración Pública</w:t>
            </w:r>
            <w:r w:rsidRPr="00FF007A">
              <w:rPr>
                <w:rFonts w:ascii="Verdana" w:eastAsia="Times New Roman" w:hAnsi="Verdana" w:cs="Arial"/>
                <w:bCs/>
                <w:i/>
                <w:iCs/>
                <w:lang w:eastAsia="es-CO"/>
              </w:rPr>
              <w:t>, sino también frente a las entidades que tengan un régimen especial de contratación</w:t>
            </w:r>
            <w:r w:rsidRPr="00FF007A">
              <w:rPr>
                <w:rFonts w:ascii="Verdana" w:eastAsia="Times New Roman" w:hAnsi="Verdana" w:cs="Arial"/>
                <w:bCs/>
                <w:lang w:eastAsia="es-CO"/>
              </w:rPr>
              <w:t xml:space="preserve">. No obstante, también se observa que luego de la expedición de Ley 1150 de 2007, el Consejo de Estado comenzó a delimitar con mayor precisión el término de “contratación directa”. </w:t>
            </w:r>
            <w:r w:rsidRPr="00FF007A">
              <w:rPr>
                <w:rFonts w:ascii="Verdana" w:eastAsia="Times New Roman" w:hAnsi="Verdana" w:cs="Arial"/>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rPr>
              <w:t>.</w:t>
            </w:r>
          </w:p>
          <w:p w14:paraId="4389A662" w14:textId="77777777" w:rsidR="00D452F6" w:rsidRPr="00E2397D" w:rsidRDefault="00D452F6" w:rsidP="00472220">
            <w:pPr>
              <w:spacing w:after="120" w:line="276" w:lineRule="auto"/>
              <w:ind w:firstLine="709"/>
              <w:jc w:val="both"/>
              <w:rPr>
                <w:rFonts w:ascii="Verdana" w:eastAsia="Calibri" w:hAnsi="Verdana" w:cs="Arial"/>
                <w:lang w:bidi="es-ES"/>
              </w:rPr>
            </w:pPr>
            <w:r>
              <w:rPr>
                <w:rFonts w:ascii="Verdana" w:eastAsia="Times New Roman" w:hAnsi="Verdana" w:cs="Arial"/>
                <w:bCs/>
                <w:lang w:eastAsia="x-none"/>
              </w:rPr>
              <w:lastRenderedPageBreak/>
              <w:t xml:space="preserve">En cuanto a la prohibición </w:t>
            </w:r>
            <w:r w:rsidRPr="00E2397D">
              <w:rPr>
                <w:rFonts w:ascii="Verdana" w:eastAsia="Arial" w:hAnsi="Verdana" w:cs="Arial"/>
                <w:lang w:val="es-ES" w:eastAsia="es-ES" w:bidi="es-ES"/>
              </w:rPr>
              <w:t>establecida en e</w:t>
            </w:r>
            <w:r w:rsidRPr="00E2397D">
              <w:rPr>
                <w:rFonts w:ascii="Verdana" w:eastAsia="Calibri" w:hAnsi="Verdana" w:cs="Arial"/>
              </w:rPr>
              <w:t>l parágrafo del artículo 38 de la Ley 996 de 2005</w:t>
            </w:r>
            <w:r>
              <w:rPr>
                <w:rFonts w:ascii="Verdana" w:eastAsia="Calibri" w:hAnsi="Verdana" w:cs="Arial"/>
              </w:rPr>
              <w:t xml:space="preserve">, </w:t>
            </w:r>
            <w:r w:rsidRPr="00E2397D">
              <w:rPr>
                <w:rFonts w:ascii="Verdana" w:eastAsia="Times New Roman" w:hAnsi="Verdana" w:cs="Arial"/>
                <w:lang w:val="es-MX" w:eastAsia="x-none"/>
              </w:rPr>
              <w:t xml:space="preserve">es importante señalar que esta Subdirección, en los conceptos emitidos sobre la aplicación de la Ley de Garantías Electorales, ha defendido y mantenido la postura acerca de que la prohibición señalada en </w:t>
            </w:r>
            <w:r w:rsidRPr="00E2397D">
              <w:rPr>
                <w:rFonts w:ascii="Verdana" w:eastAsia="Arial" w:hAnsi="Verdana" w:cs="Arial"/>
                <w:lang w:val="es-ES" w:eastAsia="es-ES" w:bidi="es-ES"/>
              </w:rPr>
              <w:t>e</w:t>
            </w:r>
            <w:r w:rsidRPr="00E2397D">
              <w:rPr>
                <w:rFonts w:ascii="Verdana" w:eastAsia="Calibri" w:hAnsi="Verdana" w:cs="Arial"/>
              </w:rPr>
              <w:t xml:space="preserve">l parágrafo del artículo 38 cobija tanto a los convenios como a los contratos interadministrativos. Esta tesis se fundamenta en que </w:t>
            </w:r>
            <w:r w:rsidRPr="00E2397D">
              <w:rPr>
                <w:rFonts w:ascii="Verdana" w:eastAsia="Calibri" w:hAnsi="Verdana" w:cs="Arial"/>
                <w:lang w:bidi="es-ES"/>
              </w:rPr>
              <w:t>si bien actualmente el Estatuto General de Contratación de la Administración Públ</w:t>
            </w:r>
            <w:r>
              <w:rPr>
                <w:rFonts w:ascii="Verdana" w:eastAsia="Calibri" w:hAnsi="Verdana" w:cs="Arial"/>
                <w:lang w:bidi="es-ES"/>
              </w:rPr>
              <w:t>ica – en adelante EGCAP – se refiere</w:t>
            </w:r>
            <w:r w:rsidRPr="00E2397D">
              <w:rPr>
                <w:rFonts w:ascii="Verdana" w:eastAsia="Calibri" w:hAnsi="Verdana" w:cs="Arial"/>
                <w:lang w:bidi="es-ES"/>
              </w:rPr>
              <w:t xml:space="preserv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12C0E4DB" w14:textId="77777777" w:rsidR="00D452F6" w:rsidRDefault="00D452F6" w:rsidP="00472220">
            <w:pPr>
              <w:tabs>
                <w:tab w:val="left" w:pos="426"/>
              </w:tabs>
              <w:spacing w:before="120" w:line="276" w:lineRule="auto"/>
              <w:ind w:firstLine="709"/>
              <w:jc w:val="both"/>
              <w:rPr>
                <w:rFonts w:ascii="Verdana" w:hAnsi="Verdana" w:cs="Arial"/>
                <w:bCs/>
                <w:color w:val="000000" w:themeColor="text1"/>
              </w:rPr>
            </w:pPr>
            <w:proofErr w:type="spellStart"/>
            <w:r>
              <w:rPr>
                <w:rFonts w:ascii="Verdana" w:hAnsi="Verdana" w:cs="Arial"/>
                <w:bCs/>
                <w:color w:val="000000" w:themeColor="text1"/>
              </w:rPr>
              <w:t>ii</w:t>
            </w:r>
            <w:proofErr w:type="spellEnd"/>
            <w:r>
              <w:rPr>
                <w:rFonts w:ascii="Verdana" w:hAnsi="Verdana" w:cs="Arial"/>
                <w:bCs/>
                <w:color w:val="000000" w:themeColor="text1"/>
              </w:rPr>
              <w:t xml:space="preserve">) Ahora bien, </w:t>
            </w:r>
            <w:r w:rsidRPr="00FF007A">
              <w:rPr>
                <w:rFonts w:ascii="Verdana" w:hAnsi="Verdana" w:cs="Arial"/>
                <w:bCs/>
                <w:color w:val="000000" w:themeColor="text1"/>
              </w:rPr>
              <w:t>es pertinente analizar el quinto evento exceptuado de la prohibición</w:t>
            </w:r>
            <w:r>
              <w:rPr>
                <w:rFonts w:ascii="Verdana" w:hAnsi="Verdana" w:cs="Arial"/>
                <w:bCs/>
                <w:color w:val="000000" w:themeColor="text1"/>
              </w:rPr>
              <w:t xml:space="preserve"> contemplada en el inciso segundo del artículo 33 de la Ley 996 de 2005</w:t>
            </w:r>
            <w:r w:rsidRPr="00FF007A">
              <w:rPr>
                <w:rFonts w:ascii="Verdana" w:hAnsi="Verdana" w:cs="Arial"/>
                <w:bCs/>
                <w:color w:val="000000" w:themeColor="text1"/>
              </w:rPr>
              <w:t xml:space="preserve">,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0D186494" w14:textId="77777777" w:rsidR="00D452F6" w:rsidRDefault="00D452F6" w:rsidP="00472220">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Fonts w:ascii="Verdana" w:hAnsi="Verdana" w:cs="Arial"/>
                <w:color w:val="000000" w:themeColor="text1"/>
              </w:rPr>
              <w:t>.</w:t>
            </w:r>
          </w:p>
          <w:p w14:paraId="7BD72C06" w14:textId="77777777" w:rsidR="00D452F6" w:rsidRDefault="00D452F6" w:rsidP="00472220">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 xml:space="preserve">“Entidades jurídicas de carácter público con atribuciones para ejercer funciones de rectoría, regulación, inspección, vigilancia y control de los sectores público y privado en salud y adoptar medidas de prevención y seguimiento que garanticen la protección de la salud </w:t>
            </w:r>
            <w:r w:rsidRPr="00FF007A">
              <w:rPr>
                <w:rFonts w:ascii="Verdana" w:eastAsia="Arial" w:hAnsi="Verdana" w:cs="Arial"/>
                <w:bCs/>
                <w:color w:val="000000" w:themeColor="text1"/>
              </w:rPr>
              <w:lastRenderedPageBreak/>
              <w:t xml:space="preserve">pública”.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08C0CD1B" w14:textId="77777777" w:rsidR="00D452F6" w:rsidRDefault="00D452F6" w:rsidP="00472220">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w:t>
            </w:r>
            <w:r>
              <w:rPr>
                <w:rFonts w:ascii="Verdana" w:eastAsia="Arial" w:hAnsi="Verdana" w:cs="Arial"/>
                <w:bCs/>
                <w:color w:val="000000" w:themeColor="text1"/>
              </w:rPr>
              <w:t xml:space="preserve"> Plan de Salud Pública de Intervenciones Colectivas </w:t>
            </w:r>
            <w:r w:rsidRPr="00FF007A">
              <w:rPr>
                <w:rFonts w:ascii="Verdana" w:eastAsia="Arial" w:hAnsi="Verdana" w:cs="Arial"/>
                <w:bCs/>
                <w:color w:val="000000" w:themeColor="text1"/>
              </w:rPr>
              <w:t>se realiza con ocasión a una “emergencia sanitaria” o si es llevada a cabo por “entidades sanitarias u hospitalarias”. De ser así, 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67894013" w14:textId="77777777" w:rsidR="00D452F6" w:rsidRDefault="00D452F6" w:rsidP="00472220">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del PIC es llevada a cabo por </w:t>
            </w:r>
            <w:r>
              <w:rPr>
                <w:rFonts w:ascii="Verdana" w:eastAsia="Arial" w:hAnsi="Verdana" w:cs="Arial"/>
                <w:bCs/>
                <w:color w:val="000000" w:themeColor="text1"/>
              </w:rPr>
              <w:t xml:space="preserve">los </w:t>
            </w:r>
            <w:r w:rsidRPr="00FF007A">
              <w:rPr>
                <w:rFonts w:ascii="Verdana" w:eastAsia="Arial" w:hAnsi="Verdana" w:cs="Arial"/>
                <w:bCs/>
                <w:color w:val="000000" w:themeColor="text1"/>
              </w:rPr>
              <w:t>“</w:t>
            </w:r>
            <w:proofErr w:type="gramStart"/>
            <w:r w:rsidRPr="00FF007A">
              <w:rPr>
                <w:rFonts w:ascii="Verdana" w:eastAsia="Arial" w:hAnsi="Verdana" w:cs="Arial"/>
                <w:bCs/>
                <w:color w:val="000000" w:themeColor="text1"/>
              </w:rPr>
              <w:t>Alcaldes</w:t>
            </w:r>
            <w:proofErr w:type="gramEnd"/>
            <w:r w:rsidRPr="00FF007A">
              <w:rPr>
                <w:rFonts w:ascii="Verdana" w:eastAsia="Arial" w:hAnsi="Verdana" w:cs="Arial"/>
                <w:bCs/>
                <w:color w:val="000000" w:themeColor="text1"/>
              </w:rPr>
              <w:t xml:space="preserve">, Gobernadores, </w:t>
            </w:r>
            <w:proofErr w:type="gramStart"/>
            <w:r w:rsidRPr="00FF007A">
              <w:rPr>
                <w:rFonts w:ascii="Verdana" w:eastAsia="Arial" w:hAnsi="Verdana" w:cs="Arial"/>
                <w:bCs/>
                <w:color w:val="000000" w:themeColor="text1"/>
              </w:rPr>
              <w:t>Secretarios</w:t>
            </w:r>
            <w:proofErr w:type="gramEnd"/>
            <w:r w:rsidRPr="00FF007A">
              <w:rPr>
                <w:rFonts w:ascii="Verdana" w:eastAsia="Arial" w:hAnsi="Verdana" w:cs="Arial"/>
                <w:bCs/>
                <w:color w:val="000000" w:themeColor="text1"/>
              </w:rPr>
              <w:t xml:space="preserve">, Gerentes y </w:t>
            </w:r>
            <w:proofErr w:type="gramStart"/>
            <w:r w:rsidRPr="00FF007A">
              <w:rPr>
                <w:rFonts w:ascii="Verdana" w:eastAsia="Arial" w:hAnsi="Verdana" w:cs="Arial"/>
                <w:bCs/>
                <w:color w:val="000000" w:themeColor="text1"/>
              </w:rPr>
              <w:t>Directores</w:t>
            </w:r>
            <w:proofErr w:type="gramEnd"/>
            <w:r w:rsidRPr="00FF007A">
              <w:rPr>
                <w:rFonts w:ascii="Verdana" w:eastAsia="Arial" w:hAnsi="Verdana" w:cs="Arial"/>
                <w:bCs/>
                <w:color w:val="000000" w:themeColor="text1"/>
              </w:rPr>
              <w:t xml:space="preserve"> de las entidades del orden municipal, departamental o distrital”; así como determinar si lo que pretende adelantar es un convenio o un contrato interadministrativo para la ejecución de recursos públicos. Cuando este sea el caso, operará la restricción señalada en el parágrafo y estará prohibido llevar a cabo la contratación </w:t>
            </w:r>
            <w:r>
              <w:rPr>
                <w:rFonts w:ascii="Verdana" w:eastAsia="Arial" w:hAnsi="Verdana" w:cs="Arial"/>
                <w:bCs/>
                <w:color w:val="000000" w:themeColor="text1"/>
              </w:rPr>
              <w:t xml:space="preserve">de convenios o contratos interadministrativos </w:t>
            </w:r>
            <w:r w:rsidRPr="00FF007A">
              <w:rPr>
                <w:rFonts w:ascii="Verdana" w:eastAsia="Arial" w:hAnsi="Verdana" w:cs="Arial"/>
                <w:bCs/>
                <w:color w:val="000000" w:themeColor="text1"/>
              </w:rPr>
              <w:t xml:space="preserve">en los cuatro meses anteriores a cualquier contienda electoral. Es importante resaltar que para esta prohibición la norma no contempló ninguna excepción, de modo que aplicará, aunque se trate de entidades sanitarias u hospitalarias. </w:t>
            </w:r>
          </w:p>
          <w:p w14:paraId="176C0CBF" w14:textId="77777777" w:rsidR="00D452F6" w:rsidRDefault="00D452F6" w:rsidP="00472220">
            <w:pPr>
              <w:spacing w:before="120" w:line="276" w:lineRule="auto"/>
              <w:ind w:firstLine="709"/>
              <w:jc w:val="both"/>
              <w:rPr>
                <w:rFonts w:ascii="Verdana" w:eastAsia="Arial" w:hAnsi="Verdana" w:cs="Arial"/>
                <w:bCs/>
                <w:color w:val="000000" w:themeColor="text1"/>
              </w:rPr>
            </w:pPr>
            <w:r w:rsidRPr="00FF007A">
              <w:rPr>
                <w:rFonts w:ascii="Verdana" w:eastAsia="Times New Roman" w:hAnsi="Verdana" w:cs="Arial"/>
                <w:bCs/>
                <w:lang w:eastAsia="es-CO"/>
              </w:rPr>
              <w:t xml:space="preserve">Con respecto a la prohibición del parágrafo del artículo 38, es importante resaltar que el Ministerio de Salud y Protección Social </w:t>
            </w:r>
            <w:r w:rsidRPr="00FF007A">
              <w:rPr>
                <w:rFonts w:ascii="Verdana" w:eastAsia="Arial" w:hAnsi="Verdana" w:cs="Arial"/>
                <w:bCs/>
                <w:color w:val="000000" w:themeColor="text1"/>
              </w:rPr>
              <w:t xml:space="preserve">dispuso que, con el fin de garantizar la continuidad de las intervenciones de promoción de salud y prevención, “se debe acudir a las demás modalidades de contratación autorizadas por la ley de manera que no se afecte la ejecución de las intervenciones colectivas a cargo de las entidades territoriales”. Lo anterior, considerando que esta prohibición no fijó excepción alguna para su aplicación. </w:t>
            </w:r>
          </w:p>
          <w:p w14:paraId="2731A7D2" w14:textId="77777777" w:rsidR="00D452F6" w:rsidRPr="005F4C77" w:rsidRDefault="00D452F6" w:rsidP="00472220">
            <w:pPr>
              <w:spacing w:before="120" w:line="276" w:lineRule="auto"/>
              <w:ind w:firstLine="709"/>
              <w:jc w:val="both"/>
              <w:rPr>
                <w:rFonts w:ascii="Verdana" w:eastAsia="Arial" w:hAnsi="Verdana" w:cs="Arial"/>
                <w:bCs/>
                <w:color w:val="000000" w:themeColor="text1"/>
              </w:rPr>
            </w:pPr>
            <w:r w:rsidRPr="00FF007A">
              <w:rPr>
                <w:rFonts w:ascii="Verdana" w:eastAsia="Calibri" w:hAnsi="Verdana" w:cs="Arial"/>
              </w:rPr>
              <w:t xml:space="preserve">En suma, corresponderá a cada entidad estatal, incluyendo a aquellas autorizadas para suscribir contratos en el marco de los Planes de Salud Pública </w:t>
            </w:r>
            <w:r w:rsidRPr="00FF007A">
              <w:rPr>
                <w:rFonts w:ascii="Verdana" w:eastAsia="Calibri" w:hAnsi="Verdana" w:cs="Arial"/>
              </w:rPr>
              <w:lastRenderedPageBreak/>
              <w:t>de Intervenciones Colectivas, determinar la procedencia de celebrar un contrato estatal específico, para lo cual deberán tener en cuenta las prohibiciones establecidas en materia contractual en la Ley de Garantías Electorales.</w:t>
            </w:r>
          </w:p>
        </w:tc>
      </w:tr>
    </w:tbl>
    <w:p w14:paraId="13F81FAD" w14:textId="77777777" w:rsidR="00D452F6" w:rsidRPr="00FF007A" w:rsidRDefault="00D452F6" w:rsidP="00D452F6">
      <w:pPr>
        <w:tabs>
          <w:tab w:val="left" w:pos="142"/>
          <w:tab w:val="left" w:pos="284"/>
        </w:tabs>
        <w:spacing w:after="0" w:line="276" w:lineRule="auto"/>
        <w:jc w:val="both"/>
        <w:rPr>
          <w:rFonts w:ascii="Verdana" w:eastAsia="Century Gothic" w:hAnsi="Verdana" w:cs="Century Gothic"/>
          <w:b/>
          <w:bCs/>
        </w:rPr>
      </w:pPr>
    </w:p>
    <w:p w14:paraId="30E3DADC" w14:textId="77777777" w:rsidR="00D452F6" w:rsidRPr="00FF007A" w:rsidRDefault="00D452F6" w:rsidP="00D452F6">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3. Razones de la respuesta:</w:t>
      </w:r>
    </w:p>
    <w:p w14:paraId="304FE770" w14:textId="77777777" w:rsidR="00D452F6" w:rsidRPr="00FF007A" w:rsidRDefault="00D452F6" w:rsidP="00D452F6">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046E9267" w14:textId="77777777" w:rsidR="00D452F6" w:rsidRDefault="00D452F6" w:rsidP="00D452F6">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p>
    <w:p w14:paraId="20F31D50" w14:textId="77777777" w:rsidR="00D452F6" w:rsidRDefault="00D452F6" w:rsidP="00C37935">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29B839C4" w14:textId="77777777" w:rsidR="00D452F6" w:rsidRPr="00FF007A" w:rsidRDefault="00D452F6" w:rsidP="00D452F6">
      <w:pPr>
        <w:tabs>
          <w:tab w:val="left" w:pos="426"/>
        </w:tabs>
        <w:spacing w:after="120" w:line="276" w:lineRule="auto"/>
        <w:jc w:val="both"/>
        <w:rPr>
          <w:rFonts w:ascii="Verdana" w:eastAsia="Times New Roman" w:hAnsi="Verdana" w:cs="Arial"/>
          <w:lang w:eastAsia="es-CO"/>
        </w:rPr>
      </w:pPr>
      <w:bookmarkStart w:id="11" w:name="_Hlk209416551"/>
      <w:r w:rsidRPr="00FF007A">
        <w:rPr>
          <w:rFonts w:ascii="Verdana" w:eastAsia="Calibri" w:hAnsi="Verdana" w:cs="Arial"/>
          <w:color w:val="000000" w:themeColor="text1"/>
        </w:rPr>
        <w:t>i)</w:t>
      </w:r>
      <w:r w:rsidRPr="00FF007A">
        <w:rPr>
          <w:rFonts w:ascii="Verdana" w:eastAsia="Verdana" w:hAnsi="Verdana" w:cs="Verdana"/>
        </w:rPr>
        <w:t xml:space="preserve"> </w:t>
      </w:r>
      <w:r w:rsidRPr="00FF007A">
        <w:rPr>
          <w:rFonts w:ascii="Verdana" w:eastAsia="Calibri" w:hAnsi="Verdana" w:cs="Arial"/>
        </w:rPr>
        <w:t>El ordenamiento jurídico colombiano contempla medidas para evitar la obtención de beneficios personales en asuntos propios de la administración pública</w:t>
      </w:r>
      <w:r w:rsidRPr="00FF007A">
        <w:rPr>
          <w:rFonts w:ascii="Verdana" w:eastAsia="Calibri" w:hAnsi="Verdana" w:cs="Arial"/>
          <w:i/>
        </w:rPr>
        <w:t xml:space="preserve">. </w:t>
      </w:r>
      <w:r w:rsidRPr="00FF007A">
        <w:rPr>
          <w:rFonts w:ascii="Verdana" w:eastAsia="Calibri" w:hAnsi="Verdana" w:cs="Arial"/>
        </w:rPr>
        <w:t>Por ejemplo, el artículo 127 de la Constitución Política establece una prohibición contractual a los servidores públicos y, en cuanto a aspectos políticos, señala restricciones a ciertos empleados del Estado, incluso en época no electoral</w:t>
      </w:r>
      <w:r w:rsidRPr="00FF007A">
        <w:rPr>
          <w:rFonts w:ascii="Verdana" w:hAnsi="Verdana"/>
          <w:vertAlign w:val="superscript"/>
        </w:rPr>
        <w:footnoteReference w:id="1"/>
      </w:r>
      <w:r w:rsidRPr="00FF007A">
        <w:rPr>
          <w:rFonts w:ascii="Verdana" w:eastAsia="Calibri" w:hAnsi="Verdana" w:cs="Arial"/>
        </w:rPr>
        <w:t xml:space="preserve">. </w:t>
      </w:r>
    </w:p>
    <w:p w14:paraId="1B8CD46B" w14:textId="77777777" w:rsidR="00D452F6" w:rsidRPr="00FF007A" w:rsidRDefault="00D452F6" w:rsidP="00D452F6">
      <w:pPr>
        <w:tabs>
          <w:tab w:val="left" w:pos="426"/>
        </w:tabs>
        <w:spacing w:after="120" w:line="276" w:lineRule="auto"/>
        <w:ind w:firstLine="709"/>
        <w:jc w:val="both"/>
        <w:rPr>
          <w:rFonts w:ascii="Verdana" w:eastAsia="Calibri" w:hAnsi="Verdana" w:cs="Arial"/>
        </w:rPr>
      </w:pPr>
      <w:r w:rsidRPr="00FF007A">
        <w:rPr>
          <w:rFonts w:ascii="Verdana" w:eastAsia="Times New Roman" w:hAnsi="Verdana" w:cs="Arial"/>
          <w:lang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F007A">
        <w:rPr>
          <w:rFonts w:ascii="Verdana" w:eastAsia="Times New Roman" w:hAnsi="Verdana" w:cs="Arial"/>
          <w:vertAlign w:val="superscript"/>
          <w:lang w:eastAsia="es-CO"/>
        </w:rPr>
        <w:footnoteReference w:id="2"/>
      </w:r>
      <w:r w:rsidRPr="00FF007A">
        <w:rPr>
          <w:rFonts w:ascii="Verdana" w:eastAsia="Times New Roman" w:hAnsi="Verdana" w:cs="Arial"/>
          <w:lang w:eastAsia="es-CO"/>
        </w:rPr>
        <w:t>. En esta medida, introduce limitaciones para realizar nombramientos, postulaciones, contrataciones o cualquier otro tipo de actividad que implique destinación de recursos públicos bajo el devenir propio de las Entidades Estatales.</w:t>
      </w:r>
      <w:r w:rsidRPr="00FF007A">
        <w:rPr>
          <w:rFonts w:ascii="Verdana" w:eastAsia="Calibri" w:hAnsi="Verdana" w:cs="Arial"/>
        </w:rPr>
        <w:t xml:space="preserve"> </w:t>
      </w:r>
    </w:p>
    <w:p w14:paraId="095C7E50" w14:textId="2C4203F0" w:rsidR="00D452F6" w:rsidRPr="00D452F6" w:rsidRDefault="00D452F6" w:rsidP="00C37935">
      <w:pPr>
        <w:tabs>
          <w:tab w:val="left" w:pos="426"/>
        </w:tabs>
        <w:spacing w:after="120" w:line="276" w:lineRule="auto"/>
        <w:ind w:firstLine="709"/>
        <w:jc w:val="both"/>
        <w:rPr>
          <w:rFonts w:ascii="Verdana" w:eastAsia="Calibri" w:hAnsi="Verdana" w:cs="Arial"/>
        </w:rPr>
      </w:pPr>
      <w:r w:rsidRPr="00FF007A">
        <w:rPr>
          <w:rFonts w:ascii="Verdana" w:eastAsia="Times New Roman" w:hAnsi="Verdana" w:cs="Arial"/>
          <w:lang w:eastAsia="es-CO"/>
        </w:rPr>
        <w:t>En armonía con lo anterior, la Corte Constitucional ha abordado la definición de la Ley de Garantías Electorales. De esta manera, explica que tiene como propósito:</w:t>
      </w:r>
    </w:p>
    <w:p w14:paraId="49045478" w14:textId="77777777" w:rsidR="00D452F6" w:rsidRPr="00FF007A" w:rsidRDefault="00D452F6" w:rsidP="00D452F6">
      <w:pPr>
        <w:spacing w:after="0" w:line="240" w:lineRule="auto"/>
        <w:ind w:left="709" w:right="616"/>
        <w:contextualSpacing/>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lastRenderedPageBreak/>
        <w:t>“</w:t>
      </w:r>
      <w:r>
        <w:rPr>
          <w:rFonts w:ascii="Verdana" w:eastAsia="Times New Roman" w:hAnsi="Verdana" w:cs="Arial"/>
          <w:sz w:val="20"/>
          <w:szCs w:val="20"/>
          <w:lang w:eastAsia="es-CO"/>
        </w:rPr>
        <w:t>(…)</w:t>
      </w:r>
      <w:r w:rsidRPr="00FF007A">
        <w:rPr>
          <w:rFonts w:ascii="Verdana" w:eastAsia="Times New Roman" w:hAnsi="Verdana" w:cs="Arial"/>
          <w:sz w:val="20"/>
          <w:szCs w:val="20"/>
          <w:lang w:eastAsia="es-CO"/>
        </w:rPr>
        <w:t xml:space="preserve"> la definición de reglas claras que permitan acceder a los canales de expresión democrática de manera efectiva e igualitaria. El objetivo de una ley de garantías es definir esas reglas.</w:t>
      </w:r>
    </w:p>
    <w:p w14:paraId="46295A7C" w14:textId="77777777" w:rsidR="00D452F6" w:rsidRDefault="00D452F6" w:rsidP="00D452F6">
      <w:pPr>
        <w:spacing w:after="0" w:line="240" w:lineRule="auto"/>
        <w:ind w:left="709" w:right="616"/>
        <w:contextualSpacing/>
        <w:jc w:val="both"/>
        <w:rPr>
          <w:rFonts w:ascii="Verdana" w:eastAsia="Times New Roman" w:hAnsi="Verdana" w:cs="Arial"/>
          <w:sz w:val="20"/>
          <w:szCs w:val="20"/>
          <w:lang w:eastAsia="es-CO"/>
        </w:rPr>
      </w:pPr>
    </w:p>
    <w:p w14:paraId="3B811E30" w14:textId="77777777" w:rsidR="00D452F6" w:rsidRPr="00FF007A" w:rsidRDefault="00D452F6" w:rsidP="00D452F6">
      <w:pPr>
        <w:spacing w:after="0" w:line="240" w:lineRule="auto"/>
        <w:ind w:left="709" w:right="616"/>
        <w:contextualSpacing/>
        <w:jc w:val="both"/>
        <w:rPr>
          <w:rFonts w:ascii="Verdana" w:eastAsia="Times New Roman" w:hAnsi="Verdana" w:cs="Arial"/>
          <w:sz w:val="20"/>
          <w:szCs w:val="20"/>
          <w:lang w:eastAsia="es-CO"/>
        </w:rPr>
      </w:pPr>
      <w:r>
        <w:rPr>
          <w:rFonts w:ascii="Verdana" w:eastAsia="Times New Roman" w:hAnsi="Verdana" w:cs="Arial"/>
          <w:sz w:val="20"/>
          <w:szCs w:val="20"/>
          <w:lang w:eastAsia="es-CO"/>
        </w:rPr>
        <w:t>(…)</w:t>
      </w:r>
    </w:p>
    <w:p w14:paraId="636FFACA" w14:textId="77777777" w:rsidR="00D452F6" w:rsidRPr="00FF007A" w:rsidRDefault="00D452F6" w:rsidP="00D452F6">
      <w:pPr>
        <w:spacing w:after="0" w:line="240" w:lineRule="auto"/>
        <w:ind w:left="709" w:right="616"/>
        <w:contextualSpacing/>
        <w:jc w:val="both"/>
        <w:rPr>
          <w:rFonts w:ascii="Verdana" w:eastAsia="Times New Roman" w:hAnsi="Verdana" w:cs="Arial"/>
          <w:sz w:val="20"/>
          <w:szCs w:val="20"/>
          <w:lang w:eastAsia="es-CO"/>
        </w:rPr>
      </w:pPr>
    </w:p>
    <w:p w14:paraId="59F5120A" w14:textId="77777777" w:rsidR="00D452F6" w:rsidRDefault="00D452F6" w:rsidP="00D452F6">
      <w:pPr>
        <w:spacing w:after="0" w:line="240" w:lineRule="auto"/>
        <w:ind w:left="709" w:right="616"/>
        <w:contextualSpacing/>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F007A">
        <w:rPr>
          <w:rFonts w:ascii="Verdana" w:eastAsia="Calibri" w:hAnsi="Verdana" w:cs="Arial"/>
          <w:sz w:val="20"/>
          <w:szCs w:val="20"/>
          <w:vertAlign w:val="superscript"/>
        </w:rPr>
        <w:footnoteReference w:id="3"/>
      </w:r>
      <w:r w:rsidRPr="00FF007A">
        <w:rPr>
          <w:rFonts w:ascii="Verdana" w:eastAsia="Times New Roman" w:hAnsi="Verdana" w:cs="Arial"/>
          <w:sz w:val="20"/>
          <w:szCs w:val="20"/>
          <w:lang w:eastAsia="es-CO"/>
        </w:rPr>
        <w:t>.</w:t>
      </w:r>
    </w:p>
    <w:p w14:paraId="29C1F0BC" w14:textId="77777777" w:rsidR="00D452F6" w:rsidRPr="002D1CF4" w:rsidRDefault="00D452F6" w:rsidP="00D452F6">
      <w:pPr>
        <w:spacing w:after="0" w:line="240" w:lineRule="auto"/>
        <w:ind w:left="709" w:right="616"/>
        <w:contextualSpacing/>
        <w:jc w:val="both"/>
        <w:rPr>
          <w:rFonts w:ascii="Verdana" w:eastAsia="Times New Roman" w:hAnsi="Verdana" w:cs="Arial"/>
          <w:sz w:val="20"/>
          <w:szCs w:val="20"/>
          <w:lang w:eastAsia="es-CO"/>
        </w:rPr>
      </w:pPr>
    </w:p>
    <w:p w14:paraId="16F6B287" w14:textId="31CC21A7" w:rsidR="00D452F6" w:rsidRPr="00FF007A" w:rsidRDefault="00D452F6" w:rsidP="00D452F6">
      <w:pPr>
        <w:spacing w:after="120" w:line="276" w:lineRule="auto"/>
        <w:ind w:firstLine="709"/>
        <w:jc w:val="both"/>
        <w:rPr>
          <w:rFonts w:ascii="Verdana" w:eastAsia="Times New Roman" w:hAnsi="Verdana" w:cs="Arial"/>
          <w:lang w:eastAsia="es-CO"/>
        </w:rPr>
      </w:pPr>
      <w:r w:rsidRPr="00FF007A">
        <w:rPr>
          <w:rFonts w:ascii="Verdana" w:eastAsia="Times New Roman" w:hAnsi="Verdana" w:cs="Arial"/>
          <w:lang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52F99BCB" w14:textId="1F5A4CB8" w:rsidR="00D452F6" w:rsidRDefault="00D452F6" w:rsidP="00284345">
      <w:pPr>
        <w:spacing w:after="0" w:line="240" w:lineRule="auto"/>
        <w:ind w:left="709" w:right="616"/>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F007A">
        <w:rPr>
          <w:rFonts w:ascii="Verdana" w:eastAsia="Times New Roman" w:hAnsi="Verdana" w:cs="Arial"/>
          <w:sz w:val="20"/>
          <w:szCs w:val="20"/>
          <w:lang w:eastAsia="es-CO"/>
        </w:rPr>
        <w:t>legis</w:t>
      </w:r>
      <w:proofErr w:type="spellEnd"/>
      <w:r w:rsidRPr="00FF007A">
        <w:rPr>
          <w:rFonts w:ascii="Verdana" w:eastAsia="Times New Roman" w:hAnsi="Verdana" w:cs="Arial"/>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164DB56" w14:textId="77777777" w:rsidR="00284345" w:rsidRPr="00284345" w:rsidRDefault="00284345" w:rsidP="00284345">
      <w:pPr>
        <w:spacing w:after="0" w:line="240" w:lineRule="auto"/>
        <w:ind w:left="709" w:right="616"/>
        <w:jc w:val="both"/>
        <w:rPr>
          <w:rFonts w:ascii="Verdana" w:eastAsia="Times New Roman" w:hAnsi="Verdana" w:cs="Arial"/>
          <w:sz w:val="20"/>
          <w:szCs w:val="20"/>
          <w:lang w:eastAsia="es-CO"/>
        </w:rPr>
      </w:pPr>
    </w:p>
    <w:p w14:paraId="4CDAAA77" w14:textId="77777777" w:rsidR="00D452F6" w:rsidRPr="00FF007A" w:rsidRDefault="00D452F6" w:rsidP="00D452F6">
      <w:pPr>
        <w:spacing w:after="0" w:line="240" w:lineRule="auto"/>
        <w:ind w:left="709" w:right="616"/>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lastRenderedPageBreak/>
        <w:t>La jurisprudencia de la Corte Constitucional</w:t>
      </w:r>
      <w:r w:rsidRPr="00FF007A">
        <w:rPr>
          <w:rFonts w:ascii="Verdana" w:eastAsia="Times New Roman" w:hAnsi="Verdana" w:cs="Arial"/>
          <w:sz w:val="20"/>
          <w:szCs w:val="20"/>
          <w:vertAlign w:val="superscript"/>
          <w:lang w:eastAsia="es-CO"/>
        </w:rPr>
        <w:footnoteReference w:id="4"/>
      </w:r>
      <w:r w:rsidRPr="00FF007A">
        <w:rPr>
          <w:rFonts w:ascii="Verdana" w:eastAsia="Times New Roman" w:hAnsi="Verdana" w:cs="Arial"/>
          <w:sz w:val="20"/>
          <w:szCs w:val="20"/>
          <w:lang w:eastAsia="es-CO"/>
        </w:rPr>
        <w:t> y del Consejo de Estado</w:t>
      </w:r>
      <w:r w:rsidRPr="00FF007A">
        <w:rPr>
          <w:rFonts w:ascii="Verdana" w:eastAsia="Times New Roman" w:hAnsi="Verdana" w:cs="Arial"/>
          <w:sz w:val="20"/>
          <w:szCs w:val="20"/>
          <w:vertAlign w:val="superscript"/>
          <w:lang w:eastAsia="es-CO"/>
        </w:rPr>
        <w:footnoteReference w:id="5"/>
      </w:r>
      <w:r w:rsidRPr="00FF007A">
        <w:rPr>
          <w:rFonts w:ascii="Verdana" w:eastAsia="Times New Roman" w:hAnsi="Verdana" w:cs="Arial"/>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F007A">
        <w:rPr>
          <w:rFonts w:ascii="Verdana" w:eastAsia="Times New Roman" w:hAnsi="Verdana" w:cs="Arial"/>
          <w:sz w:val="20"/>
          <w:szCs w:val="20"/>
          <w:vertAlign w:val="superscript"/>
          <w:lang w:eastAsia="es-CO"/>
        </w:rPr>
        <w:footnoteReference w:id="6"/>
      </w:r>
      <w:r w:rsidRPr="00FF007A">
        <w:rPr>
          <w:rFonts w:ascii="Verdana" w:eastAsia="Times New Roman" w:hAnsi="Verdana" w:cs="Arial"/>
          <w:sz w:val="20"/>
          <w:szCs w:val="20"/>
          <w:lang w:eastAsia="es-CO"/>
        </w:rPr>
        <w:t>.</w:t>
      </w:r>
    </w:p>
    <w:p w14:paraId="7BCA6A66" w14:textId="77777777" w:rsidR="00D452F6" w:rsidRPr="00FF007A" w:rsidRDefault="00D452F6" w:rsidP="00D452F6">
      <w:pPr>
        <w:spacing w:after="0" w:line="276" w:lineRule="auto"/>
        <w:jc w:val="both"/>
        <w:rPr>
          <w:rFonts w:ascii="Verdana" w:eastAsia="Calibri" w:hAnsi="Verdana" w:cs="Arial"/>
          <w:bCs/>
        </w:rPr>
      </w:pPr>
    </w:p>
    <w:p w14:paraId="1F60BCB9" w14:textId="77777777" w:rsidR="00D452F6" w:rsidRDefault="00D452F6" w:rsidP="00D452F6">
      <w:pPr>
        <w:spacing w:after="0" w:line="276" w:lineRule="auto"/>
        <w:ind w:firstLine="709"/>
        <w:jc w:val="both"/>
        <w:rPr>
          <w:rFonts w:ascii="Verdana" w:eastAsia="Arial" w:hAnsi="Verdana" w:cs="Arial"/>
          <w:lang w:eastAsia="es-ES" w:bidi="es-ES"/>
        </w:rPr>
      </w:pPr>
      <w:r w:rsidRPr="00FF007A">
        <w:rPr>
          <w:rFonts w:ascii="Verdana" w:eastAsia="Times New Roman" w:hAnsi="Verdana" w:cs="Arial"/>
          <w:lang w:eastAsia="es-CO"/>
        </w:rPr>
        <w:t>De</w:t>
      </w:r>
      <w:r w:rsidRPr="00FF007A">
        <w:rPr>
          <w:rFonts w:ascii="Verdana" w:eastAsia="Arial" w:hAnsi="Verdana" w:cs="Arial"/>
          <w:lang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5D34CDD0" w14:textId="77777777" w:rsidR="00D452F6" w:rsidRPr="00FF007A" w:rsidRDefault="00D452F6" w:rsidP="00D452F6">
      <w:pPr>
        <w:spacing w:after="0" w:line="240" w:lineRule="auto"/>
        <w:ind w:firstLine="709"/>
        <w:jc w:val="both"/>
        <w:rPr>
          <w:rFonts w:ascii="Verdana" w:eastAsia="Arial" w:hAnsi="Verdana" w:cs="Arial"/>
          <w:lang w:eastAsia="es-ES" w:bidi="es-ES"/>
        </w:rPr>
      </w:pPr>
    </w:p>
    <w:p w14:paraId="4DC87EC7" w14:textId="77777777" w:rsidR="00D452F6" w:rsidRPr="00FF007A" w:rsidRDefault="00D452F6" w:rsidP="00D452F6">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1FB46672" w14:textId="77777777" w:rsidR="00D452F6" w:rsidRPr="00FF007A" w:rsidRDefault="00D452F6" w:rsidP="00D452F6">
      <w:pPr>
        <w:spacing w:after="120" w:line="276" w:lineRule="auto"/>
        <w:ind w:firstLine="708"/>
        <w:jc w:val="both"/>
        <w:rPr>
          <w:rFonts w:ascii="Verdana" w:eastAsia="Calibri" w:hAnsi="Verdana" w:cs="Arial"/>
        </w:rPr>
      </w:pPr>
      <w:r w:rsidRPr="00FF007A">
        <w:rPr>
          <w:rFonts w:ascii="Verdana" w:eastAsia="Calibri" w:hAnsi="Verdana" w:cs="Arial"/>
        </w:rPr>
        <w:t xml:space="preserve">Por un lado, el </w:t>
      </w:r>
      <w:r w:rsidRPr="00FF007A">
        <w:rPr>
          <w:rFonts w:ascii="Verdana" w:eastAsia="Calibri" w:hAnsi="Verdana" w:cs="Arial"/>
          <w:i/>
          <w:iCs/>
        </w:rPr>
        <w:t xml:space="preserve">artículo 33 </w:t>
      </w:r>
      <w:r w:rsidRPr="00FF007A">
        <w:rPr>
          <w:rFonts w:ascii="Verdana" w:eastAsia="Calibri" w:hAnsi="Verdana" w:cs="Arial"/>
        </w:rPr>
        <w:t>de la Ley 996 de 2005 prohíbe “</w:t>
      </w:r>
      <w:r>
        <w:rPr>
          <w:rFonts w:ascii="Verdana" w:eastAsia="Calibri" w:hAnsi="Verdana" w:cs="Arial"/>
        </w:rPr>
        <w:t>(…)</w:t>
      </w:r>
      <w:r w:rsidRPr="00FF007A">
        <w:rPr>
          <w:rFonts w:ascii="Verdana" w:eastAsia="Calibri" w:hAnsi="Verdana" w:cs="Arial"/>
        </w:rPr>
        <w:t xml:space="preserve"> la </w:t>
      </w:r>
      <w:r w:rsidRPr="00CE006F">
        <w:rPr>
          <w:rFonts w:ascii="Verdana" w:eastAsia="Calibri" w:hAnsi="Verdana" w:cs="Arial"/>
          <w:b/>
          <w:bCs/>
          <w:u w:val="single"/>
        </w:rPr>
        <w:t>contratación directa</w:t>
      </w:r>
      <w:r w:rsidRPr="00FF007A">
        <w:rPr>
          <w:rFonts w:ascii="Verdana" w:eastAsia="Calibri" w:hAnsi="Verdana" w:cs="Arial"/>
        </w:rPr>
        <w:t xml:space="preserve"> por parte de </w:t>
      </w:r>
      <w:r w:rsidRPr="00FF007A">
        <w:rPr>
          <w:rFonts w:ascii="Verdana" w:eastAsia="Calibri" w:hAnsi="Verdana" w:cs="Arial"/>
          <w:i/>
          <w:iCs/>
        </w:rPr>
        <w:t>todos los entes del Estado</w:t>
      </w:r>
      <w:r w:rsidRPr="00FF007A">
        <w:rPr>
          <w:rFonts w:ascii="Verdana" w:eastAsia="Calibri" w:hAnsi="Verdana" w:cs="Arial"/>
        </w:rPr>
        <w:t xml:space="preserve">” durante los cuatro (4) meses anteriores a las </w:t>
      </w:r>
      <w:r w:rsidRPr="00FF007A">
        <w:rPr>
          <w:rFonts w:ascii="Verdana" w:eastAsia="Calibri" w:hAnsi="Verdana" w:cs="Arial"/>
          <w:i/>
          <w:iCs/>
        </w:rPr>
        <w:t>elecciones presidenciales</w:t>
      </w:r>
      <w:r w:rsidRPr="00FF007A">
        <w:rPr>
          <w:rFonts w:ascii="Verdana" w:eastAsia="Calibri" w:hAnsi="Verdana" w:cs="Arial"/>
        </w:rPr>
        <w:t>, salvo “</w:t>
      </w:r>
      <w:r>
        <w:rPr>
          <w:rFonts w:ascii="Verdana" w:eastAsia="Calibri" w:hAnsi="Verdana" w:cs="Arial"/>
        </w:rPr>
        <w:t>(…)</w:t>
      </w:r>
      <w:r w:rsidRPr="00FF007A">
        <w:rPr>
          <w:rFonts w:ascii="Verdana" w:eastAsia="Calibri" w:hAnsi="Verdana" w:cs="Arial"/>
        </w:rPr>
        <w:t xml:space="preserve">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w:t>
      </w:r>
      <w:r w:rsidRPr="00FF007A">
        <w:rPr>
          <w:rFonts w:ascii="Verdana" w:eastAsia="Calibri" w:hAnsi="Verdana" w:cs="Arial"/>
        </w:rPr>
        <w:lastRenderedPageBreak/>
        <w:t>de fuerza mayor, y los que deban realizar las entidades sanitarias y hospitalarias”</w:t>
      </w:r>
      <w:r w:rsidRPr="00FF007A">
        <w:rPr>
          <w:rFonts w:ascii="Verdana" w:eastAsia="Calibri" w:hAnsi="Verdana" w:cs="Arial"/>
          <w:vertAlign w:val="superscript"/>
        </w:rPr>
        <w:footnoteReference w:id="7"/>
      </w:r>
      <w:r w:rsidRPr="00FF007A">
        <w:rPr>
          <w:rFonts w:ascii="Verdana" w:eastAsia="Calibri" w:hAnsi="Verdana" w:cs="Arial"/>
        </w:rPr>
        <w:t>.</w:t>
      </w:r>
    </w:p>
    <w:p w14:paraId="66CAE832" w14:textId="77777777" w:rsidR="00D452F6" w:rsidRPr="00FF007A" w:rsidRDefault="00D452F6" w:rsidP="00D452F6">
      <w:pPr>
        <w:widowControl w:val="0"/>
        <w:autoSpaceDE w:val="0"/>
        <w:autoSpaceDN w:val="0"/>
        <w:spacing w:after="120" w:line="276" w:lineRule="auto"/>
        <w:ind w:right="113" w:firstLine="709"/>
        <w:jc w:val="both"/>
        <w:rPr>
          <w:rFonts w:ascii="Verdana" w:eastAsia="Arial" w:hAnsi="Verdana" w:cs="Arial"/>
          <w:lang w:eastAsia="es-ES" w:bidi="es-ES"/>
        </w:rPr>
      </w:pPr>
      <w:r w:rsidRPr="00FF007A">
        <w:rPr>
          <w:rFonts w:ascii="Verdana" w:eastAsia="Calibri" w:hAnsi="Verdana" w:cs="Arial"/>
        </w:rPr>
        <w:t xml:space="preserve">Por otro lado, </w:t>
      </w:r>
      <w:r w:rsidRPr="00CE006F">
        <w:rPr>
          <w:rFonts w:ascii="Verdana" w:eastAsia="Calibri" w:hAnsi="Verdana" w:cs="Arial"/>
          <w:b/>
          <w:bCs/>
          <w:i/>
          <w:iCs/>
          <w:u w:val="single"/>
        </w:rPr>
        <w:t>el parágrafo del artículo 38</w:t>
      </w:r>
      <w:r w:rsidRPr="00FF007A">
        <w:rPr>
          <w:rFonts w:ascii="Verdana" w:eastAsia="Calibri" w:hAnsi="Verdana" w:cs="Arial"/>
          <w:i/>
          <w:iCs/>
        </w:rPr>
        <w:t xml:space="preserve"> </w:t>
      </w:r>
      <w:r w:rsidRPr="00FF007A">
        <w:rPr>
          <w:rFonts w:ascii="Verdana" w:eastAsia="Calibri" w:hAnsi="Verdana" w:cs="Arial"/>
        </w:rPr>
        <w:t xml:space="preserve">de la Ley 996 de 2005 prevé una restricción, aplicable respecto </w:t>
      </w:r>
      <w:r w:rsidRPr="00CE006F">
        <w:rPr>
          <w:rFonts w:ascii="Verdana" w:eastAsia="Calibri" w:hAnsi="Verdana" w:cs="Arial"/>
        </w:rPr>
        <w:t>de cualquier tipo de contienda electoral</w:t>
      </w:r>
      <w:r w:rsidRPr="00FF007A">
        <w:rPr>
          <w:rFonts w:ascii="Verdana" w:eastAsia="Calibri" w:hAnsi="Verdana" w:cs="Arial"/>
        </w:rPr>
        <w:t>, que prohíbe a los gobernadores, alcaldes municipales o distritales, secretarios, gerentes y directores de entidades descentralizadas del orden municipal, departamental o distrital “</w:t>
      </w:r>
      <w:r>
        <w:rPr>
          <w:rFonts w:ascii="Verdana" w:eastAsia="Calibri" w:hAnsi="Verdana" w:cs="Arial"/>
        </w:rPr>
        <w:t xml:space="preserve">(…) </w:t>
      </w:r>
      <w:r w:rsidRPr="00FF007A">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F007A">
        <w:rPr>
          <w:rFonts w:ascii="Verdana" w:eastAsia="Calibri" w:hAnsi="Verdana" w:cs="Arial"/>
          <w:vertAlign w:val="superscript"/>
        </w:rPr>
        <w:footnoteReference w:id="8"/>
      </w:r>
      <w:r w:rsidRPr="00FF007A">
        <w:rPr>
          <w:rFonts w:ascii="Verdana" w:eastAsia="Calibri" w:hAnsi="Verdana" w:cs="Arial"/>
        </w:rPr>
        <w:t>.</w:t>
      </w:r>
      <w:r w:rsidRPr="00FF007A">
        <w:rPr>
          <w:rFonts w:ascii="Verdana" w:eastAsia="Arial" w:hAnsi="Verdana" w:cs="Arial"/>
          <w:lang w:eastAsia="es-ES" w:bidi="es-ES"/>
        </w:rPr>
        <w:t xml:space="preserve"> </w:t>
      </w:r>
    </w:p>
    <w:p w14:paraId="113ABCA1" w14:textId="77777777" w:rsidR="00D452F6" w:rsidRPr="00FF007A" w:rsidRDefault="00D452F6" w:rsidP="00D452F6">
      <w:pPr>
        <w:widowControl w:val="0"/>
        <w:autoSpaceDE w:val="0"/>
        <w:autoSpaceDN w:val="0"/>
        <w:spacing w:after="0" w:line="276" w:lineRule="auto"/>
        <w:ind w:right="113" w:firstLine="708"/>
        <w:contextualSpacing/>
        <w:jc w:val="both"/>
        <w:rPr>
          <w:rFonts w:ascii="Verdana" w:eastAsia="Arial" w:hAnsi="Verdana" w:cs="Arial"/>
          <w:lang w:eastAsia="es-ES" w:bidi="es-ES"/>
        </w:rPr>
      </w:pPr>
      <w:r w:rsidRPr="00FF007A">
        <w:rPr>
          <w:rFonts w:ascii="Verdana" w:eastAsia="Arial" w:hAnsi="Verdana" w:cs="Arial"/>
          <w:lang w:eastAsia="es-ES" w:bidi="es-ES"/>
        </w:rPr>
        <w:t>La Sala de Consulta y Servicio Civil del Consejo de Estado ha aclarado la distinción en la aplicación de las prohibiciones de la Ley 996 de 2005, dependiendo del tipo de elección que se trate. Al respecto, señala:</w:t>
      </w:r>
    </w:p>
    <w:p w14:paraId="156326A3" w14:textId="77777777" w:rsidR="00D452F6" w:rsidRDefault="00D452F6" w:rsidP="00D452F6">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17CDECE5" w14:textId="77777777" w:rsidR="00D452F6" w:rsidRPr="00FF007A" w:rsidRDefault="00D452F6" w:rsidP="00D452F6">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FF007A">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w:t>
      </w:r>
      <w:r w:rsidRPr="00FF007A">
        <w:rPr>
          <w:rFonts w:ascii="Verdana" w:eastAsia="Arial" w:hAnsi="Verdana" w:cs="Arial"/>
          <w:sz w:val="20"/>
          <w:szCs w:val="20"/>
          <w:lang w:eastAsia="es-ES" w:bidi="es-ES"/>
        </w:rPr>
        <w:lastRenderedPageBreak/>
        <w:t xml:space="preserve">excluyendo las correspondientes a </w:t>
      </w:r>
      <w:proofErr w:type="gramStart"/>
      <w:r w:rsidRPr="00FF007A">
        <w:rPr>
          <w:rFonts w:ascii="Verdana" w:eastAsia="Arial" w:hAnsi="Verdana" w:cs="Arial"/>
          <w:sz w:val="20"/>
          <w:szCs w:val="20"/>
          <w:lang w:eastAsia="es-ES" w:bidi="es-ES"/>
        </w:rPr>
        <w:t>Presidente</w:t>
      </w:r>
      <w:proofErr w:type="gramEnd"/>
      <w:r w:rsidRPr="00FF007A">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FF007A">
        <w:rPr>
          <w:rFonts w:ascii="Verdana" w:eastAsia="Arial" w:hAnsi="Verdana" w:cs="Arial"/>
          <w:sz w:val="20"/>
          <w:szCs w:val="20"/>
          <w:vertAlign w:val="superscript"/>
          <w:lang w:eastAsia="es-ES" w:bidi="es-ES"/>
        </w:rPr>
        <w:footnoteReference w:id="9"/>
      </w:r>
      <w:r w:rsidRPr="00FF007A">
        <w:rPr>
          <w:rFonts w:ascii="Verdana" w:eastAsia="Arial" w:hAnsi="Verdana" w:cs="Arial"/>
          <w:sz w:val="20"/>
          <w:szCs w:val="20"/>
          <w:lang w:eastAsia="es-ES" w:bidi="es-ES"/>
        </w:rPr>
        <w:t>.</w:t>
      </w:r>
    </w:p>
    <w:p w14:paraId="5205D113" w14:textId="77777777" w:rsidR="00D452F6" w:rsidRPr="00FF007A" w:rsidRDefault="00D452F6" w:rsidP="00D452F6">
      <w:pPr>
        <w:widowControl w:val="0"/>
        <w:autoSpaceDE w:val="0"/>
        <w:autoSpaceDN w:val="0"/>
        <w:spacing w:after="0" w:line="276" w:lineRule="auto"/>
        <w:contextualSpacing/>
        <w:rPr>
          <w:rFonts w:ascii="Verdana" w:eastAsia="Arial" w:hAnsi="Verdana" w:cs="Arial"/>
          <w:lang w:eastAsia="es-ES" w:bidi="es-ES"/>
        </w:rPr>
      </w:pPr>
    </w:p>
    <w:p w14:paraId="4432B578" w14:textId="77777777" w:rsidR="00D452F6" w:rsidRPr="00FF007A" w:rsidRDefault="00D452F6" w:rsidP="00D452F6">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De conformidad con lo anterior, la Ley 996 de 2005 establece dos (2) tipos de restricciones en materia de contratación, las cuales coinciden parcialmente. </w:t>
      </w:r>
    </w:p>
    <w:p w14:paraId="6868A830" w14:textId="77777777" w:rsidR="00D452F6" w:rsidRPr="00FF007A" w:rsidRDefault="00D452F6" w:rsidP="00D452F6">
      <w:pPr>
        <w:spacing w:after="120" w:line="276" w:lineRule="auto"/>
        <w:ind w:firstLine="709"/>
        <w:jc w:val="both"/>
        <w:rPr>
          <w:rFonts w:ascii="Verdana" w:eastAsia="Arial" w:hAnsi="Verdana" w:cs="Arial"/>
          <w:lang w:eastAsia="es-ES" w:bidi="es-ES"/>
        </w:rPr>
      </w:pPr>
      <w:r w:rsidRPr="002D1CF4">
        <w:rPr>
          <w:rFonts w:ascii="Verdana" w:eastAsia="Arial" w:hAnsi="Verdana" w:cs="Arial"/>
          <w:i/>
          <w:lang w:eastAsia="es-ES" w:bidi="es-ES"/>
        </w:rPr>
        <w:t>En primer lugar</w:t>
      </w:r>
      <w:r w:rsidRPr="00FF007A">
        <w:rPr>
          <w:rFonts w:ascii="Verdana" w:eastAsia="Arial" w:hAnsi="Verdana" w:cs="Arial"/>
          <w:lang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12093359" w14:textId="77777777" w:rsidR="00D452F6" w:rsidRPr="00FF007A" w:rsidRDefault="00D452F6" w:rsidP="00D452F6">
      <w:pPr>
        <w:spacing w:after="120" w:line="276" w:lineRule="auto"/>
        <w:ind w:firstLine="709"/>
        <w:jc w:val="both"/>
        <w:rPr>
          <w:rFonts w:ascii="Verdana" w:eastAsia="Arial" w:hAnsi="Verdana" w:cs="Arial"/>
          <w:lang w:eastAsia="es-ES" w:bidi="es-ES"/>
        </w:rPr>
      </w:pPr>
      <w:r w:rsidRPr="00FF007A">
        <w:rPr>
          <w:rFonts w:ascii="Verdana" w:eastAsia="Arial" w:hAnsi="Verdana" w:cs="Arial"/>
          <w:i/>
          <w:lang w:eastAsia="es-ES" w:bidi="es-ES"/>
        </w:rPr>
        <w:t>En segundo lugar</w:t>
      </w:r>
      <w:r w:rsidRPr="00FF007A">
        <w:rPr>
          <w:rFonts w:ascii="Verdana" w:eastAsia="Arial" w:hAnsi="Verdana" w:cs="Arial"/>
          <w:lang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603A51E" w14:textId="77777777" w:rsidR="00D452F6" w:rsidRPr="00FF007A" w:rsidRDefault="00D452F6" w:rsidP="00D452F6">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Ambas restricciones no son excluyentes, lo que permite concluir que, en el período preelectoral para elección de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de la República, las autoridades allí mencionadas sólo deben aplicar las restricciones contenidas en el parágrafo del artículo 38.</w:t>
      </w:r>
    </w:p>
    <w:p w14:paraId="54E223D3" w14:textId="77777777" w:rsidR="00D452F6" w:rsidRPr="00FF007A" w:rsidRDefault="00D452F6" w:rsidP="00D452F6">
      <w:pPr>
        <w:spacing w:after="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La Corte Constitucional, en la Sentencia C-1153 del 11 de noviembre de 2005, señaló que, para que la garantía sea plena, era necesario que la prohibición se aplicara para el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o el </w:t>
      </w:r>
      <w:proofErr w:type="gramStart"/>
      <w:r w:rsidRPr="00FF007A">
        <w:rPr>
          <w:rFonts w:ascii="Verdana" w:eastAsia="Arial" w:hAnsi="Verdana" w:cs="Arial"/>
          <w:lang w:eastAsia="es-ES" w:bidi="es-ES"/>
        </w:rPr>
        <w:t>Vicepresidente</w:t>
      </w:r>
      <w:proofErr w:type="gramEnd"/>
      <w:r w:rsidRPr="00FF007A">
        <w:rPr>
          <w:rFonts w:ascii="Verdana" w:eastAsia="Arial" w:hAnsi="Verdana" w:cs="Arial"/>
          <w:lang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w:t>
      </w:r>
      <w:r w:rsidRPr="00FF007A">
        <w:rPr>
          <w:rFonts w:ascii="Verdana" w:eastAsia="Arial" w:hAnsi="Verdana" w:cs="Arial"/>
          <w:lang w:eastAsia="es-ES" w:bidi="es-ES"/>
        </w:rPr>
        <w:lastRenderedPageBreak/>
        <w:t xml:space="preserve">condicionamiento impuesto por la Corte Constitucional, relacionado con el momento en que estas restricciones empiezan a regir para el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y el </w:t>
      </w:r>
      <w:proofErr w:type="gramStart"/>
      <w:r w:rsidRPr="00FF007A">
        <w:rPr>
          <w:rFonts w:ascii="Verdana" w:eastAsia="Arial" w:hAnsi="Verdana" w:cs="Arial"/>
          <w:lang w:eastAsia="es-ES" w:bidi="es-ES"/>
        </w:rPr>
        <w:t>Vicepresidente</w:t>
      </w:r>
      <w:proofErr w:type="gramEnd"/>
      <w:r w:rsidRPr="00FF007A">
        <w:rPr>
          <w:rFonts w:ascii="Verdana" w:eastAsia="Arial" w:hAnsi="Verdana" w:cs="Arial"/>
          <w:lang w:eastAsia="es-ES" w:bidi="es-ES"/>
        </w:rPr>
        <w:t xml:space="preserve"> de la República, ha perdido vigencia ante la prohibición de la reelección presidencial, restablecida por el Acto Legislativo 2 de 2015. Esto, excepto para el </w:t>
      </w:r>
      <w:proofErr w:type="gramStart"/>
      <w:r w:rsidRPr="00FF007A">
        <w:rPr>
          <w:rFonts w:ascii="Verdana" w:eastAsia="Arial" w:hAnsi="Verdana" w:cs="Arial"/>
          <w:lang w:eastAsia="es-ES" w:bidi="es-ES"/>
        </w:rPr>
        <w:t>Vicepresidente</w:t>
      </w:r>
      <w:proofErr w:type="gramEnd"/>
      <w:r w:rsidRPr="00FF007A">
        <w:rPr>
          <w:rFonts w:ascii="Verdana" w:eastAsia="Arial" w:hAnsi="Verdana" w:cs="Arial"/>
          <w:lang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02852AC6" w14:textId="77777777" w:rsidR="00D452F6" w:rsidRPr="00FF007A" w:rsidRDefault="00D452F6" w:rsidP="00D452F6">
      <w:pPr>
        <w:spacing w:after="120" w:line="276" w:lineRule="auto"/>
        <w:ind w:firstLine="709"/>
        <w:jc w:val="both"/>
        <w:rPr>
          <w:rFonts w:ascii="Verdana" w:eastAsia="Times New Roman" w:hAnsi="Verdana" w:cs="Arial"/>
          <w:bCs/>
          <w:lang w:eastAsia="es-CO"/>
        </w:rPr>
      </w:pPr>
      <w:r w:rsidRPr="00FF007A">
        <w:rPr>
          <w:rFonts w:ascii="Verdana" w:eastAsia="Arial" w:hAnsi="Verdana" w:cs="Arial"/>
          <w:lang w:eastAsia="es-ES" w:bidi="es-ES"/>
        </w:rPr>
        <w:t xml:space="preserve">Ahora bien, </w:t>
      </w:r>
      <w:r w:rsidRPr="00FF007A">
        <w:rPr>
          <w:rFonts w:ascii="Verdana" w:eastAsia="Calibri" w:hAnsi="Verdana" w:cs="Arial"/>
          <w:lang w:eastAsia="es-ES" w:bidi="es-ES"/>
        </w:rPr>
        <w:t xml:space="preserve">es necesario precisar el alcance de la prohibición </w:t>
      </w:r>
      <w:r w:rsidRPr="00FF007A">
        <w:rPr>
          <w:rFonts w:ascii="Verdana" w:eastAsia="Arial" w:hAnsi="Verdana" w:cs="Arial"/>
          <w:lang w:eastAsia="es-ES" w:bidi="es-ES"/>
        </w:rPr>
        <w:t>establecida en e</w:t>
      </w:r>
      <w:r w:rsidRPr="00FF007A">
        <w:rPr>
          <w:rFonts w:ascii="Verdana" w:eastAsia="Calibri" w:hAnsi="Verdana" w:cs="Arial"/>
        </w:rPr>
        <w:t xml:space="preserve">l </w:t>
      </w:r>
      <w:r w:rsidRPr="00FF007A">
        <w:rPr>
          <w:rFonts w:ascii="Verdana" w:eastAsia="Times New Roman" w:hAnsi="Verdana" w:cs="Arial"/>
        </w:rPr>
        <w:t xml:space="preserve">artículo 33 de la Ley 996 de 2005. El ámbito material de esta prohibición está delimitado por la expresión </w:t>
      </w:r>
      <w:r w:rsidRPr="00FF007A">
        <w:rPr>
          <w:rFonts w:ascii="Verdana" w:eastAsia="Calibri" w:hAnsi="Verdana" w:cs="Arial"/>
          <w:bCs/>
        </w:rPr>
        <w:t>“</w:t>
      </w:r>
      <w:r w:rsidRPr="00FF007A">
        <w:rPr>
          <w:rFonts w:ascii="Verdana" w:eastAsia="Times New Roman" w:hAnsi="Verdana" w:cs="Arial"/>
        </w:rPr>
        <w:t>queda prohibida la contratación directa</w:t>
      </w:r>
      <w:r w:rsidRPr="00FF007A">
        <w:rPr>
          <w:rFonts w:ascii="Verdana" w:eastAsia="Calibri" w:hAnsi="Verdana" w:cs="Arial"/>
        </w:rPr>
        <w:t>”</w:t>
      </w:r>
      <w:r w:rsidRPr="00FF007A">
        <w:rPr>
          <w:rFonts w:ascii="Verdana" w:eastAsia="Times New Roman" w:hAnsi="Verdana" w:cs="Arial"/>
        </w:rPr>
        <w:t xml:space="preserve">. </w:t>
      </w:r>
      <w:r w:rsidRPr="00FF007A">
        <w:rPr>
          <w:rFonts w:ascii="Verdana" w:eastAsia="Times New Roman" w:hAnsi="Verdana" w:cs="Arial"/>
          <w:lang w:eastAsia="es-CO"/>
        </w:rPr>
        <w:t>A propósito de esta restricción de la Ley de Garantías Electorales, la Sala de Consulta y Servicio Civil del Consejo de Estado ha considerado que:</w:t>
      </w:r>
    </w:p>
    <w:p w14:paraId="49C6AE98" w14:textId="77777777" w:rsidR="00D452F6" w:rsidRPr="005F28C0" w:rsidRDefault="00D452F6" w:rsidP="00D452F6">
      <w:pPr>
        <w:spacing w:after="0" w:line="240" w:lineRule="auto"/>
        <w:ind w:left="709" w:right="709"/>
        <w:jc w:val="both"/>
        <w:rPr>
          <w:rFonts w:ascii="Verdana" w:eastAsia="Calibri" w:hAnsi="Verdana" w:cs="Arial"/>
          <w:sz w:val="20"/>
          <w:szCs w:val="20"/>
        </w:rPr>
      </w:pPr>
      <w:r w:rsidRPr="00FF007A">
        <w:rPr>
          <w:rFonts w:ascii="Verdana" w:eastAsia="Calibri" w:hAnsi="Verdana" w:cs="Arial"/>
          <w:sz w:val="20"/>
          <w:szCs w:val="20"/>
        </w:rPr>
        <w:t xml:space="preserve">“[…] Esta Sala ha entendido </w:t>
      </w:r>
      <w:proofErr w:type="gramStart"/>
      <w:r w:rsidRPr="00FF007A">
        <w:rPr>
          <w:rFonts w:ascii="Verdana" w:eastAsia="Calibri" w:hAnsi="Verdana" w:cs="Arial"/>
          <w:sz w:val="20"/>
          <w:szCs w:val="20"/>
        </w:rPr>
        <w:t>que</w:t>
      </w:r>
      <w:proofErr w:type="gramEnd"/>
      <w:r w:rsidRPr="00FF007A">
        <w:rPr>
          <w:rFonts w:ascii="Verdana" w:eastAsia="Calibri" w:hAnsi="Verdana" w:cs="Arial"/>
          <w:sz w:val="20"/>
          <w:szCs w:val="20"/>
        </w:rPr>
        <w:t xml:space="preserve"> para los efectos de la ley de garantías, y dada su finalidad, el enunciado </w:t>
      </w:r>
      <w:r>
        <w:rPr>
          <w:rFonts w:ascii="Verdana" w:eastAsia="Calibri" w:hAnsi="Verdana" w:cs="Arial"/>
          <w:sz w:val="20"/>
          <w:szCs w:val="20"/>
        </w:rPr>
        <w:t>“c</w:t>
      </w:r>
      <w:r w:rsidRPr="00FF007A">
        <w:rPr>
          <w:rFonts w:ascii="Verdana" w:eastAsia="Calibri" w:hAnsi="Verdana" w:cs="Arial"/>
          <w:sz w:val="20"/>
          <w:szCs w:val="20"/>
        </w:rPr>
        <w:t>ontratación directa</w:t>
      </w:r>
      <w:r>
        <w:rPr>
          <w:rFonts w:ascii="Verdana" w:eastAsia="Calibri" w:hAnsi="Verdana" w:cs="Arial"/>
          <w:sz w:val="20"/>
          <w:szCs w:val="20"/>
        </w:rPr>
        <w:t>”</w:t>
      </w:r>
      <w:r w:rsidRPr="00FF007A">
        <w:rPr>
          <w:rFonts w:ascii="Verdana" w:eastAsia="Calibri" w:hAnsi="Verdana" w:cs="Arial"/>
          <w:sz w:val="20"/>
          <w:szCs w:val="20"/>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F007A">
        <w:rPr>
          <w:rFonts w:ascii="Verdana" w:eastAsia="Times New Roman" w:hAnsi="Verdana" w:cs="Arial"/>
          <w:sz w:val="20"/>
          <w:szCs w:val="20"/>
          <w:vertAlign w:val="superscript"/>
        </w:rPr>
        <w:footnoteReference w:id="10"/>
      </w:r>
      <w:r w:rsidRPr="00FF007A">
        <w:rPr>
          <w:rFonts w:ascii="Verdana" w:eastAsia="Times New Roman" w:hAnsi="Verdana" w:cs="Arial"/>
          <w:sz w:val="20"/>
          <w:szCs w:val="20"/>
          <w:vertAlign w:val="superscript"/>
        </w:rPr>
        <w:t>.</w:t>
      </w:r>
      <w:r w:rsidRPr="00FF007A">
        <w:rPr>
          <w:rFonts w:ascii="Verdana" w:eastAsia="Calibri"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rPr>
        <w:t>(…)”</w:t>
      </w:r>
      <w:r w:rsidRPr="00FF007A">
        <w:rPr>
          <w:rFonts w:ascii="Verdana" w:eastAsia="Times New Roman" w:hAnsi="Verdana" w:cs="Arial"/>
          <w:sz w:val="20"/>
          <w:szCs w:val="20"/>
          <w:vertAlign w:val="superscript"/>
          <w:lang w:eastAsia="es-CO"/>
        </w:rPr>
        <w:footnoteReference w:id="11"/>
      </w:r>
      <w:r w:rsidRPr="00FF007A">
        <w:rPr>
          <w:rFonts w:ascii="Verdana" w:eastAsia="Calibri" w:hAnsi="Verdana" w:cs="Arial"/>
          <w:sz w:val="20"/>
          <w:szCs w:val="20"/>
        </w:rPr>
        <w:t>.</w:t>
      </w:r>
    </w:p>
    <w:p w14:paraId="6624CDB1" w14:textId="77777777" w:rsidR="00D452F6" w:rsidRDefault="00D452F6" w:rsidP="00D452F6">
      <w:pPr>
        <w:spacing w:after="0" w:line="240" w:lineRule="auto"/>
        <w:ind w:firstLine="709"/>
        <w:jc w:val="both"/>
        <w:rPr>
          <w:rFonts w:ascii="Verdana" w:eastAsia="Times New Roman" w:hAnsi="Verdana" w:cs="Arial"/>
          <w:lang w:eastAsia="x-none"/>
        </w:rPr>
      </w:pPr>
    </w:p>
    <w:p w14:paraId="2CF3F34B" w14:textId="77777777" w:rsidR="00D452F6" w:rsidRPr="00FF007A" w:rsidRDefault="00D452F6" w:rsidP="00D452F6">
      <w:pPr>
        <w:spacing w:after="120" w:line="276" w:lineRule="auto"/>
        <w:ind w:firstLine="708"/>
        <w:jc w:val="both"/>
        <w:rPr>
          <w:rFonts w:ascii="Verdana" w:eastAsia="Times New Roman" w:hAnsi="Verdana" w:cs="Arial"/>
          <w:bCs/>
          <w:lang w:eastAsia="x-none"/>
        </w:rPr>
      </w:pPr>
      <w:r w:rsidRPr="00FF007A">
        <w:rPr>
          <w:rFonts w:ascii="Verdana" w:eastAsia="Times New Roman" w:hAnsi="Verdana" w:cs="Arial"/>
          <w:lang w:eastAsia="x-none"/>
        </w:rPr>
        <w:t xml:space="preserve">De acuerdo con este concepto, la prohibición del artículo 33 de la Ley de Garantías Electorales se refiere a </w:t>
      </w:r>
      <w:r w:rsidRPr="00FF007A">
        <w:rPr>
          <w:rFonts w:ascii="Verdana" w:eastAsia="Times New Roman" w:hAnsi="Verdana" w:cs="Arial"/>
          <w:sz w:val="19"/>
          <w:szCs w:val="19"/>
          <w:lang w:eastAsia="en-GB"/>
        </w:rPr>
        <w:t>“</w:t>
      </w:r>
      <w:r w:rsidRPr="00FF007A">
        <w:rPr>
          <w:rFonts w:ascii="Verdana" w:eastAsia="Times New Roman" w:hAnsi="Verdana" w:cs="Arial"/>
          <w:lang w:eastAsia="x-none"/>
        </w:rPr>
        <w:t>cualquier sistema que no implique convocatoria pública y posibilidad de pluralidad de oferentes</w:t>
      </w:r>
      <w:r w:rsidRPr="00FF007A">
        <w:rPr>
          <w:rFonts w:ascii="Verdana" w:eastAsia="Times New Roman" w:hAnsi="Verdana" w:cs="Arial"/>
          <w:lang w:eastAsia="en-GB"/>
        </w:rPr>
        <w:t>”</w:t>
      </w:r>
      <w:r w:rsidRPr="00FF007A">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FF007A">
        <w:rPr>
          <w:rFonts w:ascii="Verdana" w:eastAsia="Times New Roman" w:hAnsi="Verdana" w:cs="Arial"/>
        </w:rPr>
        <w:t>y la mínima cuantía</w:t>
      </w:r>
      <w:r w:rsidRPr="00FF007A" w:rsidDel="00A85D9F">
        <w:rPr>
          <w:rFonts w:ascii="Verdana" w:eastAsia="Times New Roman" w:hAnsi="Verdana" w:cs="Arial"/>
          <w:lang w:eastAsia="x-none"/>
        </w:rPr>
        <w:t xml:space="preserve"> </w:t>
      </w:r>
      <w:r w:rsidRPr="00FF007A">
        <w:rPr>
          <w:rFonts w:ascii="Verdana" w:eastAsia="Times New Roman" w:hAnsi="Verdana" w:cs="Arial"/>
        </w:rPr>
        <w:t xml:space="preserve">u otros previstos en normas especiales. </w:t>
      </w:r>
      <w:r w:rsidRPr="00FF007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F007A">
        <w:rPr>
          <w:rFonts w:ascii="Verdana" w:eastAsia="Times New Roman" w:hAnsi="Verdana" w:cs="Arial"/>
          <w:vertAlign w:val="superscript"/>
          <w:lang w:eastAsia="x-none"/>
        </w:rPr>
        <w:footnoteReference w:id="12"/>
      </w:r>
      <w:r w:rsidRPr="00FF007A">
        <w:rPr>
          <w:rFonts w:ascii="Verdana" w:eastAsia="Times New Roman" w:hAnsi="Verdana" w:cs="Arial"/>
          <w:lang w:eastAsia="x-none"/>
        </w:rPr>
        <w:t xml:space="preserve"> y sistematizó </w:t>
      </w:r>
      <w:r w:rsidRPr="00FF007A">
        <w:rPr>
          <w:rFonts w:ascii="Verdana" w:eastAsia="Times New Roman" w:hAnsi="Verdana" w:cs="Arial"/>
          <w:lang w:eastAsia="x-none"/>
        </w:rPr>
        <w:lastRenderedPageBreak/>
        <w:t>las causales de contratación directa</w:t>
      </w:r>
      <w:r w:rsidRPr="00FF007A">
        <w:rPr>
          <w:rFonts w:ascii="Verdana" w:eastAsia="Times New Roman" w:hAnsi="Verdana" w:cs="Arial"/>
          <w:vertAlign w:val="superscript"/>
          <w:lang w:eastAsia="x-none"/>
        </w:rPr>
        <w:footnoteReference w:id="13"/>
      </w:r>
      <w:r w:rsidRPr="00FF007A">
        <w:rPr>
          <w:rFonts w:ascii="Verdana" w:eastAsia="Times New Roman" w:hAnsi="Verdana" w:cs="Arial"/>
          <w:lang w:eastAsia="x-none"/>
        </w:rPr>
        <w:t xml:space="preserve">, </w:t>
      </w:r>
      <w:r w:rsidRPr="00FF007A">
        <w:rPr>
          <w:rFonts w:ascii="Verdana" w:eastAsia="Calibri" w:hAnsi="Verdana" w:cs="Arial"/>
          <w:lang w:eastAsia="x-none"/>
        </w:rPr>
        <w:t>además lo es con la posterior creación de la modalidad de mínima cuantía establecida actualmente en el numeral 5 del artículo 2 de la Ley 1150 de 2007, de acuerdo con las modificaciones realizadas por leyes posteriores.</w:t>
      </w:r>
    </w:p>
    <w:p w14:paraId="25C93E9E" w14:textId="77777777" w:rsidR="00D452F6" w:rsidRPr="00FF007A" w:rsidRDefault="00D452F6" w:rsidP="00D452F6">
      <w:pPr>
        <w:spacing w:after="120" w:line="276" w:lineRule="auto"/>
        <w:ind w:firstLine="708"/>
        <w:jc w:val="both"/>
        <w:rPr>
          <w:rFonts w:ascii="Verdana" w:eastAsia="Times New Roman" w:hAnsi="Verdana" w:cs="Arial"/>
          <w:bCs/>
          <w:lang w:eastAsia="es-CO"/>
        </w:rPr>
      </w:pPr>
      <w:r w:rsidRPr="00FF007A">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F007A">
        <w:rPr>
          <w:rFonts w:ascii="Verdana" w:eastAsia="Times New Roman" w:hAnsi="Verdana" w:cs="Arial"/>
          <w:bCs/>
          <w:i/>
          <w:iCs/>
          <w:lang w:eastAsia="es-CO"/>
        </w:rPr>
        <w:t>, sino también frente a las entidades que tengan un régimen especial de contratación</w:t>
      </w:r>
      <w:r w:rsidRPr="00FF007A">
        <w:rPr>
          <w:rFonts w:ascii="Verdana" w:eastAsia="Times New Roman" w:hAnsi="Verdana" w:cs="Arial"/>
          <w:bCs/>
          <w:lang w:eastAsia="es-CO"/>
        </w:rPr>
        <w:t xml:space="preserve">. No obstante, también se observa que luego de la expedición de Ley 1150 de 2007, el Consejo de Estado comenzó a delimitar con mayor precisión el término de “contratación directa”. </w:t>
      </w:r>
      <w:r w:rsidRPr="00FF007A">
        <w:rPr>
          <w:rFonts w:ascii="Verdana" w:eastAsia="Times New Roman" w:hAnsi="Verdana" w:cs="Arial"/>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F007A">
        <w:rPr>
          <w:rFonts w:ascii="Verdana" w:eastAsia="Times New Roman" w:hAnsi="Verdana" w:cs="Arial"/>
          <w:vertAlign w:val="superscript"/>
          <w:lang w:eastAsia="x-none"/>
        </w:rPr>
        <w:footnoteReference w:id="14"/>
      </w:r>
      <w:r w:rsidRPr="00FF007A">
        <w:rPr>
          <w:rFonts w:ascii="Verdana" w:eastAsia="Times New Roman" w:hAnsi="Verdana" w:cs="Arial"/>
        </w:rPr>
        <w:t>.</w:t>
      </w:r>
      <w:r w:rsidRPr="00FF007A">
        <w:rPr>
          <w:rFonts w:ascii="Verdana" w:eastAsia="Times New Roman" w:hAnsi="Verdana" w:cs="Arial"/>
          <w:vertAlign w:val="superscript"/>
          <w:lang w:eastAsia="x-none"/>
        </w:rPr>
        <w:t xml:space="preserve"> </w:t>
      </w:r>
    </w:p>
    <w:p w14:paraId="3473F9FB" w14:textId="77777777" w:rsidR="00D452F6" w:rsidRDefault="00D452F6" w:rsidP="00D452F6">
      <w:pPr>
        <w:spacing w:after="0" w:line="276" w:lineRule="auto"/>
        <w:ind w:firstLine="708"/>
        <w:jc w:val="both"/>
        <w:rPr>
          <w:rFonts w:ascii="Verdana" w:eastAsia="Times New Roman" w:hAnsi="Verdana" w:cs="Arial"/>
        </w:rPr>
      </w:pPr>
      <w:r w:rsidRPr="00FF007A">
        <w:rPr>
          <w:rFonts w:ascii="Verdana" w:eastAsia="Times New Roman" w:hAnsi="Verdana" w:cs="Arial"/>
        </w:rPr>
        <w:t xml:space="preserve">De lo anterior se desprende que la restricción aplica, sin perjuicio de las excepciones establecidas en la misma ley, para celebrar </w:t>
      </w:r>
      <w:r w:rsidRPr="00FF007A">
        <w:rPr>
          <w:rFonts w:ascii="Verdana" w:eastAsia="Times New Roman" w:hAnsi="Verdana" w:cs="Arial"/>
          <w:i/>
          <w:iCs/>
        </w:rPr>
        <w:t>cualquier contrato de forma directa</w:t>
      </w:r>
      <w:r w:rsidRPr="00FF007A">
        <w:rPr>
          <w:rFonts w:ascii="Verdana" w:eastAsia="Times New Roman" w:hAnsi="Verdana" w:cs="Arial"/>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bookmarkStart w:id="12" w:name="_Hlk77237094"/>
    </w:p>
    <w:p w14:paraId="6049F011" w14:textId="77777777" w:rsidR="00D452F6" w:rsidRDefault="00D452F6" w:rsidP="00D452F6">
      <w:pPr>
        <w:spacing w:after="0" w:line="240" w:lineRule="auto"/>
        <w:ind w:firstLine="709"/>
        <w:jc w:val="both"/>
        <w:rPr>
          <w:rFonts w:ascii="Verdana" w:eastAsia="Times New Roman" w:hAnsi="Verdana" w:cs="Arial"/>
        </w:rPr>
      </w:pPr>
    </w:p>
    <w:p w14:paraId="07F24778" w14:textId="453F572C" w:rsidR="00C37935" w:rsidRPr="00284345" w:rsidRDefault="00D452F6" w:rsidP="00284345">
      <w:pPr>
        <w:spacing w:after="0" w:line="276" w:lineRule="auto"/>
        <w:ind w:firstLine="708"/>
        <w:jc w:val="both"/>
        <w:rPr>
          <w:rFonts w:ascii="Verdana" w:eastAsia="Times New Roman" w:hAnsi="Verdana" w:cs="Arial"/>
        </w:rPr>
      </w:pPr>
      <w:r w:rsidRPr="00771792">
        <w:rPr>
          <w:rFonts w:ascii="Verdana" w:eastAsia="Times New Roman" w:hAnsi="Verdana" w:cs="Arial"/>
        </w:rPr>
        <w:t xml:space="preserve">Como en otras oportunidades lo ha manifestado esta Agencia, las prórrogas, modificaciones o adiciones de los contratos suscritos antes de la </w:t>
      </w:r>
      <w:proofErr w:type="gramStart"/>
      <w:r w:rsidRPr="00771792">
        <w:rPr>
          <w:rFonts w:ascii="Verdana" w:eastAsia="Times New Roman" w:hAnsi="Verdana" w:cs="Arial"/>
        </w:rPr>
        <w:t>entrada en vigencia</w:t>
      </w:r>
      <w:proofErr w:type="gramEnd"/>
      <w:r w:rsidRPr="00771792">
        <w:rPr>
          <w:rFonts w:ascii="Verdana" w:eastAsia="Times New Roman" w:hAnsi="Verdana" w:cs="Arial"/>
        </w:rPr>
        <w:t xml:space="preserve"> de las prohibiciones anotadas, así como la cesión de </w:t>
      </w:r>
      <w:proofErr w:type="gramStart"/>
      <w:r w:rsidRPr="00771792">
        <w:rPr>
          <w:rFonts w:ascii="Verdana" w:eastAsia="Times New Roman" w:hAnsi="Verdana" w:cs="Arial"/>
        </w:rPr>
        <w:t>los mismos</w:t>
      </w:r>
      <w:proofErr w:type="gramEnd"/>
      <w:r w:rsidRPr="00771792">
        <w:rPr>
          <w:rFonts w:ascii="Verdana" w:eastAsia="Times New Roman" w:hAnsi="Verdana" w:cs="Arial"/>
        </w:rPr>
        <w:t>, pueden tener lugar en el período de aplicación de la Ley de Garantías Electorales, sin que ello haga nugatoria la restricción de la contratación directa y siempre que</w:t>
      </w:r>
      <w:r w:rsidRPr="00F10E52">
        <w:rPr>
          <w:rFonts w:ascii="Verdana" w:eastAsia="Times New Roman" w:hAnsi="Verdana" w:cs="Arial"/>
          <w:bCs/>
          <w:lang w:eastAsia="es-CO"/>
        </w:rPr>
        <w:t xml:space="preserve"> cumplan los principios de planeación, transparencia y responsabilidad.</w:t>
      </w:r>
      <w:bookmarkEnd w:id="12"/>
    </w:p>
    <w:p w14:paraId="7B0E72AA" w14:textId="7DF054CD" w:rsidR="00D452F6" w:rsidRPr="00FF007A" w:rsidRDefault="00D452F6" w:rsidP="00D452F6">
      <w:pPr>
        <w:spacing w:after="0" w:line="276" w:lineRule="auto"/>
        <w:ind w:firstLine="709"/>
        <w:jc w:val="both"/>
        <w:rPr>
          <w:rFonts w:ascii="Verdana" w:eastAsia="Times New Roman" w:hAnsi="Verdana" w:cs="Arial"/>
        </w:rPr>
      </w:pPr>
      <w:r w:rsidRPr="00FF007A">
        <w:rPr>
          <w:rFonts w:ascii="Verdana" w:eastAsia="Times New Roman" w:hAnsi="Verdana" w:cs="Arial"/>
          <w:bCs/>
          <w:lang w:eastAsia="es-CO"/>
        </w:rPr>
        <w:lastRenderedPageBreak/>
        <w:t xml:space="preserve">Con respecto a los </w:t>
      </w:r>
      <w:r w:rsidRPr="00FF007A">
        <w:rPr>
          <w:rFonts w:ascii="Verdana" w:eastAsia="Times New Roman" w:hAnsi="Verdana" w:cs="Arial"/>
          <w:bCs/>
          <w:i/>
          <w:iCs/>
          <w:lang w:eastAsia="es-CO"/>
        </w:rPr>
        <w:t>sujetos</w:t>
      </w:r>
      <w:r w:rsidRPr="00FF007A">
        <w:rPr>
          <w:rFonts w:ascii="Verdana" w:eastAsia="Times New Roman" w:hAnsi="Verdana" w:cs="Arial"/>
          <w:bCs/>
          <w:lang w:eastAsia="es-CO"/>
        </w:rPr>
        <w:t xml:space="preserve"> que se encuentran enmarcados en la prohibición del artículo 33, </w:t>
      </w:r>
      <w:r w:rsidRPr="00FF007A">
        <w:rPr>
          <w:rFonts w:ascii="Verdana" w:eastAsia="Times New Roman" w:hAnsi="Verdana" w:cs="Arial"/>
        </w:rPr>
        <w:t>la Ley 996 de 2005 señala expresamente que son “</w:t>
      </w:r>
      <w:r w:rsidRPr="00FF007A">
        <w:rPr>
          <w:rFonts w:ascii="Verdana" w:eastAsia="Times New Roman" w:hAnsi="Verdana" w:cs="Arial"/>
          <w:i/>
          <w:iCs/>
          <w:u w:val="single"/>
        </w:rPr>
        <w:t>todos</w:t>
      </w:r>
      <w:r w:rsidRPr="00FF007A">
        <w:rPr>
          <w:rFonts w:ascii="Verdana" w:eastAsia="Times New Roman" w:hAnsi="Verdana" w:cs="Arial"/>
          <w:i/>
          <w:iCs/>
        </w:rPr>
        <w:t xml:space="preserve"> los entes del Estado</w:t>
      </w:r>
      <w:r w:rsidRPr="00FF007A">
        <w:rPr>
          <w:rFonts w:ascii="Verdana" w:eastAsia="Times New Roman" w:hAnsi="Verdana" w:cs="Arial"/>
        </w:rPr>
        <w:t xml:space="preserve">” </w:t>
      </w:r>
      <w:r>
        <w:rPr>
          <w:rFonts w:ascii="Verdana" w:eastAsia="Times New Roman" w:hAnsi="Verdana" w:cs="Arial"/>
        </w:rPr>
        <w:t>(</w:t>
      </w:r>
      <w:r w:rsidRPr="00FF007A">
        <w:rPr>
          <w:rFonts w:ascii="Verdana" w:eastAsia="Times New Roman" w:hAnsi="Verdana" w:cs="Arial"/>
        </w:rPr>
        <w:t>énfasis propio</w:t>
      </w:r>
      <w:r>
        <w:rPr>
          <w:rFonts w:ascii="Verdana" w:eastAsia="Times New Roman" w:hAnsi="Verdana" w:cs="Arial"/>
        </w:rPr>
        <w:t>)</w:t>
      </w:r>
      <w:r w:rsidRPr="00FF007A">
        <w:rPr>
          <w:rFonts w:ascii="Verdana" w:eastAsia="Times New Roman" w:hAnsi="Verdana" w:cs="Arial"/>
        </w:rPr>
        <w:t>. Al respecto la Sala De Consulta y Servicio Civil del Consejo de Estado señaló lo siguiente:</w:t>
      </w:r>
    </w:p>
    <w:p w14:paraId="7451D7AB" w14:textId="77777777" w:rsidR="00D452F6" w:rsidRPr="00FF007A" w:rsidRDefault="00D452F6" w:rsidP="00D452F6">
      <w:pPr>
        <w:spacing w:after="0" w:line="276" w:lineRule="auto"/>
        <w:ind w:firstLine="708"/>
        <w:jc w:val="both"/>
        <w:rPr>
          <w:rFonts w:ascii="Verdana" w:eastAsia="Times New Roman" w:hAnsi="Verdana" w:cs="Arial"/>
        </w:rPr>
      </w:pPr>
    </w:p>
    <w:p w14:paraId="02CBBB54" w14:textId="77777777" w:rsidR="00D452F6" w:rsidRPr="00FF007A" w:rsidRDefault="00D452F6" w:rsidP="00D452F6">
      <w:pPr>
        <w:spacing w:after="0" w:line="240" w:lineRule="auto"/>
        <w:ind w:left="709" w:right="709"/>
        <w:jc w:val="both"/>
        <w:rPr>
          <w:rFonts w:ascii="Verdana" w:eastAsia="Times New Roman" w:hAnsi="Verdana" w:cs="Arial"/>
          <w:bCs/>
          <w:lang w:eastAsia="es-CO"/>
        </w:rPr>
      </w:pPr>
      <w:r w:rsidRPr="00FF007A">
        <w:rPr>
          <w:rFonts w:ascii="Verdana" w:eastAsia="Times New Roman" w:hAnsi="Verdana" w:cs="Arial"/>
          <w:bCs/>
          <w:sz w:val="20"/>
          <w:szCs w:val="20"/>
          <w:lang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F007A">
        <w:rPr>
          <w:rStyle w:val="Refdenotaalpie"/>
          <w:rFonts w:ascii="Verdana" w:eastAsia="Times New Roman" w:hAnsi="Verdana" w:cs="Arial"/>
          <w:bCs/>
          <w:sz w:val="20"/>
          <w:szCs w:val="20"/>
          <w:lang w:eastAsia="es-CO"/>
        </w:rPr>
        <w:footnoteReference w:id="15"/>
      </w:r>
      <w:r w:rsidRPr="00FF007A">
        <w:rPr>
          <w:rFonts w:ascii="Verdana" w:eastAsia="Times New Roman" w:hAnsi="Verdana" w:cs="Arial"/>
          <w:bCs/>
          <w:sz w:val="20"/>
          <w:szCs w:val="20"/>
          <w:lang w:eastAsia="es-CO"/>
        </w:rPr>
        <w:t>.</w:t>
      </w:r>
    </w:p>
    <w:p w14:paraId="5CDE30E6" w14:textId="77777777" w:rsidR="00D452F6" w:rsidRPr="00FF007A" w:rsidRDefault="00D452F6" w:rsidP="00D452F6">
      <w:pPr>
        <w:spacing w:before="240" w:line="276" w:lineRule="auto"/>
        <w:ind w:firstLine="708"/>
        <w:jc w:val="both"/>
        <w:rPr>
          <w:rFonts w:ascii="Verdana" w:hAnsi="Verdana" w:cs="Arial"/>
          <w:bCs/>
          <w:sz w:val="20"/>
          <w:szCs w:val="20"/>
          <w:lang w:eastAsia="es-CO"/>
        </w:rPr>
      </w:pPr>
      <w:r w:rsidRPr="00FF007A">
        <w:rPr>
          <w:rFonts w:ascii="Verdana" w:hAnsi="Verdana" w:cs="Arial"/>
          <w:bCs/>
          <w:lang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F007A">
        <w:rPr>
          <w:rFonts w:ascii="Verdana" w:hAnsi="Verdana"/>
        </w:rPr>
        <w:t xml:space="preserve"> </w:t>
      </w:r>
      <w:r w:rsidRPr="00FF007A">
        <w:rPr>
          <w:rFonts w:ascii="Verdana" w:hAnsi="Verdana" w:cs="Arial"/>
          <w:bCs/>
          <w:lang w:eastAsia="x-none"/>
        </w:rPr>
        <w:t>En efecto, tal como lo ha sostenido el Consejo de Estado, el vocablo “todos” utilizado por el legislador comprende</w:t>
      </w:r>
      <w:r w:rsidRPr="00FF007A">
        <w:rPr>
          <w:rFonts w:ascii="Verdana" w:hAnsi="Verdana"/>
        </w:rPr>
        <w:t xml:space="preserve"> </w:t>
      </w:r>
      <w:r w:rsidRPr="00FF007A">
        <w:rPr>
          <w:rFonts w:ascii="Verdana" w:hAnsi="Verdana" w:cs="Arial"/>
          <w:bCs/>
          <w:lang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cs="Arial"/>
          <w:bCs/>
          <w:lang w:eastAsia="x-none"/>
        </w:rPr>
        <w:t>”</w:t>
      </w:r>
      <w:r w:rsidRPr="00FF007A">
        <w:rPr>
          <w:rStyle w:val="Refdenotaalpie"/>
          <w:rFonts w:ascii="Verdana" w:hAnsi="Verdana" w:cs="Arial"/>
          <w:bCs/>
          <w:sz w:val="20"/>
          <w:szCs w:val="20"/>
          <w:lang w:eastAsia="x-none"/>
        </w:rPr>
        <w:footnoteReference w:id="16"/>
      </w:r>
      <w:r w:rsidRPr="00FF007A">
        <w:rPr>
          <w:rFonts w:ascii="Verdana" w:hAnsi="Verdana" w:cs="Arial"/>
          <w:bCs/>
          <w:sz w:val="20"/>
          <w:szCs w:val="20"/>
          <w:lang w:eastAsia="x-none"/>
        </w:rPr>
        <w:t>.</w:t>
      </w:r>
    </w:p>
    <w:p w14:paraId="5306C7EA" w14:textId="77777777" w:rsidR="00D452F6" w:rsidRPr="00FF007A" w:rsidRDefault="00D452F6" w:rsidP="00D452F6">
      <w:pPr>
        <w:spacing w:line="276" w:lineRule="auto"/>
        <w:ind w:firstLine="709"/>
        <w:jc w:val="both"/>
        <w:rPr>
          <w:rFonts w:ascii="Verdana" w:eastAsia="Arial" w:hAnsi="Verdana" w:cs="Arial"/>
          <w:bCs/>
          <w:color w:val="000000" w:themeColor="text1"/>
        </w:rPr>
      </w:pPr>
      <w:r w:rsidRPr="00FF007A">
        <w:rPr>
          <w:rFonts w:ascii="Verdana" w:eastAsia="Arial" w:hAnsi="Verdana" w:cs="Arial"/>
          <w:color w:val="000000" w:themeColor="text1"/>
        </w:rPr>
        <w:t xml:space="preserve">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w:t>
      </w:r>
      <w:r w:rsidRPr="00FF007A">
        <w:rPr>
          <w:rFonts w:ascii="Verdana" w:eastAsia="Arial" w:hAnsi="Verdana" w:cs="Arial"/>
          <w:color w:val="000000" w:themeColor="text1"/>
        </w:rPr>
        <w:lastRenderedPageBreak/>
        <w:t>electorales, se puede presentar tanto en la contratación regulada por la Ley 80 de 1993 como en la regida por el derecho privado o normas especiales.</w:t>
      </w:r>
    </w:p>
    <w:p w14:paraId="46303D1D" w14:textId="77777777" w:rsidR="00D452F6" w:rsidRPr="00FF007A" w:rsidRDefault="00D452F6" w:rsidP="00D452F6">
      <w:pPr>
        <w:spacing w:before="120" w:line="276" w:lineRule="auto"/>
        <w:ind w:firstLine="709"/>
        <w:jc w:val="both"/>
        <w:rPr>
          <w:rFonts w:ascii="Verdana" w:hAnsi="Verdana" w:cs="Arial"/>
          <w:bCs/>
          <w:color w:val="000000" w:themeColor="text1"/>
        </w:rPr>
      </w:pPr>
      <w:r w:rsidRPr="00FF007A">
        <w:rPr>
          <w:rFonts w:ascii="Verdana" w:eastAsia="Arial" w:hAnsi="Verdana" w:cs="Arial"/>
          <w:bCs/>
          <w:color w:val="000000" w:themeColor="text1"/>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FF007A">
        <w:rPr>
          <w:rFonts w:ascii="Verdana" w:hAnsi="Verdana" w:cs="Arial"/>
          <w:bCs/>
          <w:color w:val="000000" w:themeColor="text1"/>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43A56AF6" w14:textId="77777777" w:rsidR="00D452F6" w:rsidRPr="00FF007A" w:rsidRDefault="00D452F6" w:rsidP="00D452F6">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t>i) La contratación referente a la defensa y seguridad del Estado;</w:t>
      </w:r>
    </w:p>
    <w:p w14:paraId="3C0528A6" w14:textId="77777777" w:rsidR="00D452F6" w:rsidRPr="00FF007A" w:rsidRDefault="00D452F6" w:rsidP="00D452F6">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r>
      <w:proofErr w:type="spellStart"/>
      <w:r w:rsidRPr="00FF007A">
        <w:rPr>
          <w:rFonts w:ascii="Verdana" w:hAnsi="Verdana" w:cs="Arial"/>
          <w:bCs/>
          <w:color w:val="000000" w:themeColor="text1"/>
        </w:rPr>
        <w:t>ii</w:t>
      </w:r>
      <w:proofErr w:type="spellEnd"/>
      <w:r w:rsidRPr="00FF007A">
        <w:rPr>
          <w:rFonts w:ascii="Verdana" w:hAnsi="Verdana" w:cs="Arial"/>
          <w:bCs/>
          <w:color w:val="000000" w:themeColor="text1"/>
        </w:rPr>
        <w:t>) Los contratos de crédito público;</w:t>
      </w:r>
    </w:p>
    <w:p w14:paraId="2CF53482" w14:textId="77777777" w:rsidR="00D452F6" w:rsidRPr="00FF007A" w:rsidRDefault="00D452F6" w:rsidP="00D452F6">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r>
      <w:proofErr w:type="spellStart"/>
      <w:r w:rsidRPr="00FF007A">
        <w:rPr>
          <w:rFonts w:ascii="Verdana" w:hAnsi="Verdana" w:cs="Arial"/>
          <w:bCs/>
          <w:color w:val="000000" w:themeColor="text1"/>
        </w:rPr>
        <w:t>iii</w:t>
      </w:r>
      <w:proofErr w:type="spellEnd"/>
      <w:r w:rsidRPr="00FF007A">
        <w:rPr>
          <w:rFonts w:ascii="Verdana" w:hAnsi="Verdana" w:cs="Arial"/>
          <w:bCs/>
          <w:color w:val="000000" w:themeColor="text1"/>
        </w:rPr>
        <w:t xml:space="preserve">) Los contratos requeridos para cubrir las emergencias educativas, sanitarias y desastres; </w:t>
      </w:r>
    </w:p>
    <w:p w14:paraId="55EC2EA6" w14:textId="77777777" w:rsidR="00D452F6" w:rsidRPr="00FF007A" w:rsidRDefault="00D452F6" w:rsidP="00D452F6">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r>
      <w:proofErr w:type="spellStart"/>
      <w:r w:rsidRPr="00FF007A">
        <w:rPr>
          <w:rFonts w:ascii="Verdana" w:hAnsi="Verdana" w:cs="Arial"/>
          <w:bCs/>
          <w:color w:val="000000" w:themeColor="text1"/>
        </w:rPr>
        <w:t>iv</w:t>
      </w:r>
      <w:proofErr w:type="spellEnd"/>
      <w:r w:rsidRPr="00FF007A">
        <w:rPr>
          <w:rFonts w:ascii="Verdana" w:hAnsi="Verdana" w:cs="Arial"/>
          <w:bCs/>
          <w:color w:val="000000" w:themeColor="text1"/>
        </w:rPr>
        <w:t>) La contratación para la reconstrucción de vías, puentes, carreteras, infraestructura energética y de comunicaciones, en caso de que hayan sido objeto de atentados, acciones terroristas, desastres naturales o casos de fuerza mayor y;</w:t>
      </w:r>
    </w:p>
    <w:p w14:paraId="60C684D2" w14:textId="77777777" w:rsidR="00D452F6" w:rsidRPr="00FF007A" w:rsidRDefault="00D452F6" w:rsidP="00D452F6">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t xml:space="preserve">v) La contratación que deban realizar las entidades sanitarias y hospitalarias. </w:t>
      </w:r>
    </w:p>
    <w:p w14:paraId="3AE2696C" w14:textId="77777777" w:rsidR="00D452F6" w:rsidRPr="00FF007A" w:rsidRDefault="00D452F6" w:rsidP="00D452F6">
      <w:pPr>
        <w:spacing w:before="240" w:line="276" w:lineRule="auto"/>
        <w:ind w:firstLine="709"/>
        <w:jc w:val="both"/>
        <w:rPr>
          <w:rFonts w:ascii="Verdana" w:hAnsi="Verdana" w:cs="Arial"/>
          <w:lang w:eastAsia="x-none"/>
        </w:rPr>
      </w:pPr>
      <w:r w:rsidRPr="00FF007A">
        <w:rPr>
          <w:rFonts w:ascii="Verdana" w:hAnsi="Verdana" w:cs="Arial"/>
          <w:lang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F007A">
        <w:rPr>
          <w:rFonts w:ascii="Verdana" w:hAnsi="Verdana" w:cs="Arial"/>
          <w:color w:val="000000" w:themeColor="text1"/>
          <w:vertAlign w:val="superscript"/>
          <w:lang w:eastAsia="es-CO"/>
        </w:rPr>
        <w:footnoteReference w:id="17"/>
      </w:r>
      <w:r w:rsidRPr="00FF007A">
        <w:rPr>
          <w:rFonts w:ascii="Verdana" w:hAnsi="Verdana" w:cs="Arial"/>
          <w:lang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AF314C0" w14:textId="77777777" w:rsidR="00D452F6" w:rsidRPr="00FF007A" w:rsidRDefault="00D452F6" w:rsidP="00D452F6">
      <w:pPr>
        <w:tabs>
          <w:tab w:val="left" w:pos="426"/>
        </w:tabs>
        <w:spacing w:before="120" w:line="276" w:lineRule="auto"/>
        <w:ind w:firstLine="709"/>
        <w:jc w:val="both"/>
        <w:rPr>
          <w:rFonts w:ascii="Verdana" w:hAnsi="Verdana" w:cs="Arial"/>
          <w:bCs/>
          <w:color w:val="000000" w:themeColor="text1"/>
        </w:rPr>
      </w:pPr>
      <w:r w:rsidRPr="00FF007A">
        <w:rPr>
          <w:rFonts w:ascii="Verdana" w:hAnsi="Verdana" w:cs="Arial"/>
          <w:bCs/>
          <w:color w:val="000000" w:themeColor="text1"/>
        </w:rPr>
        <w:lastRenderedPageBreak/>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7A6FCC48" w14:textId="77777777" w:rsidR="00D452F6" w:rsidRPr="00FF007A" w:rsidRDefault="00D452F6" w:rsidP="00D452F6">
      <w:pPr>
        <w:shd w:val="clear" w:color="auto" w:fill="FFFFFF"/>
        <w:spacing w:after="0" w:line="240" w:lineRule="auto"/>
        <w:ind w:left="709" w:right="709"/>
        <w:jc w:val="both"/>
        <w:rPr>
          <w:rFonts w:ascii="Verdana" w:hAnsi="Verdana" w:cs="Arial"/>
          <w:color w:val="000000" w:themeColor="text1"/>
          <w:sz w:val="20"/>
          <w:szCs w:val="20"/>
          <w:lang w:eastAsia="es-CO"/>
        </w:rPr>
      </w:pPr>
      <w:r w:rsidRPr="00FF007A">
        <w:rPr>
          <w:rFonts w:ascii="Verdana" w:hAnsi="Verdana" w:cs="Arial"/>
          <w:color w:val="000000" w:themeColor="text1"/>
          <w:sz w:val="20"/>
          <w:szCs w:val="20"/>
          <w:lang w:eastAsia="es-CO"/>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color w:val="000000" w:themeColor="text1"/>
          <w:sz w:val="20"/>
          <w:szCs w:val="20"/>
          <w:lang w:eastAsia="es-CO"/>
        </w:rPr>
        <w:t>(</w:t>
      </w:r>
      <w:r w:rsidRPr="00FF007A">
        <w:rPr>
          <w:rFonts w:ascii="Verdana" w:hAnsi="Verdana" w:cs="Arial"/>
          <w:color w:val="000000" w:themeColor="text1"/>
          <w:sz w:val="20"/>
          <w:szCs w:val="20"/>
          <w:lang w:eastAsia="es-CO"/>
        </w:rPr>
        <w:t>...</w:t>
      </w:r>
      <w:r>
        <w:rPr>
          <w:rFonts w:ascii="Verdana" w:hAnsi="Verdana" w:cs="Arial"/>
          <w:color w:val="000000" w:themeColor="text1"/>
          <w:sz w:val="20"/>
          <w:szCs w:val="20"/>
          <w:lang w:eastAsia="es-CO"/>
        </w:rPr>
        <w:t>)</w:t>
      </w:r>
      <w:r w:rsidRPr="00FF007A">
        <w:rPr>
          <w:rFonts w:ascii="Verdana" w:hAnsi="Verdana" w:cs="Arial"/>
          <w:color w:val="000000" w:themeColor="text1"/>
          <w:sz w:val="20"/>
          <w:szCs w:val="20"/>
          <w:vertAlign w:val="superscript"/>
          <w:lang w:eastAsia="es-CO"/>
        </w:rPr>
        <w:footnoteReference w:id="18"/>
      </w:r>
      <w:r w:rsidRPr="00FF007A">
        <w:rPr>
          <w:rFonts w:ascii="Verdana" w:hAnsi="Verdana" w:cs="Arial"/>
          <w:color w:val="000000" w:themeColor="text1"/>
          <w:sz w:val="20"/>
          <w:szCs w:val="20"/>
          <w:lang w:eastAsia="es-CO"/>
        </w:rPr>
        <w:t xml:space="preserve">”. </w:t>
      </w:r>
    </w:p>
    <w:p w14:paraId="2DFCF1C0" w14:textId="77777777" w:rsidR="00D452F6" w:rsidRPr="00FF007A" w:rsidRDefault="00D452F6" w:rsidP="00D452F6">
      <w:pPr>
        <w:tabs>
          <w:tab w:val="left" w:pos="426"/>
        </w:tabs>
        <w:spacing w:before="120" w:after="0" w:line="276" w:lineRule="auto"/>
        <w:ind w:firstLine="709"/>
        <w:jc w:val="both"/>
        <w:rPr>
          <w:rFonts w:ascii="Verdana" w:hAnsi="Verdana" w:cs="Arial"/>
          <w:color w:val="000000" w:themeColor="text1"/>
        </w:rPr>
      </w:pPr>
      <w:r w:rsidRPr="00FF007A">
        <w:rPr>
          <w:rFonts w:ascii="Verdana" w:hAnsi="Verdana" w:cs="Arial"/>
          <w:bCs/>
          <w:color w:val="000000" w:themeColor="text1"/>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F007A">
        <w:rPr>
          <w:rFonts w:ascii="Verdana" w:hAnsi="Verdana" w:cs="Arial"/>
          <w:color w:val="000000" w:themeColor="text1"/>
        </w:rPr>
        <w:t xml:space="preserve">, mencionó las excepciones a la prohibición del artículo 33 de la Ley de Garantías Electorales, resaltando su carácter taxativo, y señalando la independencia de los supuestos, así: </w:t>
      </w:r>
    </w:p>
    <w:p w14:paraId="5BD31582" w14:textId="77777777" w:rsidR="00D452F6" w:rsidRPr="00FF007A" w:rsidRDefault="00D452F6" w:rsidP="00C37935">
      <w:pPr>
        <w:tabs>
          <w:tab w:val="left" w:pos="426"/>
        </w:tabs>
        <w:spacing w:after="0" w:line="240" w:lineRule="auto"/>
        <w:ind w:firstLine="709"/>
        <w:jc w:val="both"/>
        <w:rPr>
          <w:rFonts w:ascii="Verdana" w:hAnsi="Verdana" w:cs="Arial"/>
          <w:color w:val="000000" w:themeColor="text1"/>
        </w:rPr>
      </w:pPr>
    </w:p>
    <w:p w14:paraId="4BED165C" w14:textId="77777777" w:rsidR="00D452F6" w:rsidRPr="00FF007A" w:rsidRDefault="00D452F6" w:rsidP="00D452F6">
      <w:pPr>
        <w:tabs>
          <w:tab w:val="left" w:pos="426"/>
        </w:tabs>
        <w:spacing w:after="0" w:line="240" w:lineRule="auto"/>
        <w:ind w:right="709"/>
        <w:jc w:val="both"/>
        <w:rPr>
          <w:rFonts w:ascii="Verdana" w:hAnsi="Verdana" w:cs="Arial"/>
          <w:color w:val="000000" w:themeColor="text1"/>
          <w:sz w:val="20"/>
          <w:szCs w:val="20"/>
        </w:rPr>
      </w:pPr>
      <w:r w:rsidRPr="00FF007A">
        <w:rPr>
          <w:rFonts w:ascii="Arial" w:hAnsi="Arial" w:cs="Arial"/>
          <w:color w:val="000000" w:themeColor="text1"/>
          <w:sz w:val="21"/>
          <w:szCs w:val="21"/>
        </w:rPr>
        <w:tab/>
      </w:r>
      <w:r w:rsidRPr="00FF007A">
        <w:rPr>
          <w:rFonts w:ascii="Arial" w:hAnsi="Arial" w:cs="Arial"/>
          <w:color w:val="000000" w:themeColor="text1"/>
          <w:sz w:val="21"/>
          <w:szCs w:val="21"/>
        </w:rPr>
        <w:tab/>
        <w:t>“</w:t>
      </w:r>
      <w:r w:rsidRPr="00FF007A">
        <w:rPr>
          <w:rFonts w:ascii="Verdana" w:hAnsi="Verdana" w:cs="Arial"/>
          <w:color w:val="000000" w:themeColor="text1"/>
          <w:sz w:val="20"/>
          <w:szCs w:val="20"/>
        </w:rPr>
        <w:t xml:space="preserve">[…] </w:t>
      </w:r>
      <w:r w:rsidRPr="00FF007A">
        <w:rPr>
          <w:rFonts w:ascii="Verdana" w:hAnsi="Verdana" w:cs="Arial"/>
          <w:i/>
          <w:color w:val="000000" w:themeColor="text1"/>
          <w:sz w:val="20"/>
          <w:szCs w:val="20"/>
        </w:rPr>
        <w:t>Las excepciones aplicables a la restricción de contratación pública</w:t>
      </w:r>
    </w:p>
    <w:p w14:paraId="617FA41B" w14:textId="77777777" w:rsidR="00D452F6" w:rsidRDefault="00D452F6" w:rsidP="00D452F6">
      <w:pPr>
        <w:spacing w:after="0" w:line="240" w:lineRule="auto"/>
        <w:ind w:left="709" w:right="709"/>
        <w:jc w:val="both"/>
        <w:rPr>
          <w:rFonts w:ascii="Verdana" w:hAnsi="Verdana" w:cs="Arial"/>
          <w:color w:val="000000" w:themeColor="text1"/>
          <w:sz w:val="20"/>
          <w:szCs w:val="20"/>
          <w:shd w:val="clear" w:color="auto" w:fill="FFFFFF"/>
        </w:rPr>
      </w:pPr>
    </w:p>
    <w:p w14:paraId="78C79418" w14:textId="77777777" w:rsidR="00D452F6" w:rsidRPr="00FF007A" w:rsidRDefault="00D452F6" w:rsidP="00D452F6">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Ahora bien, las únicas excepciones a las disposiciones previstas en la Ley de Garantías se encuentran numeradas taxativamente en el último inciso del artículo 33 de la ley 996 de 2005, dentro de las que se encuentran:</w:t>
      </w:r>
    </w:p>
    <w:p w14:paraId="1B895954" w14:textId="77777777" w:rsidR="00D452F6" w:rsidRDefault="00D452F6" w:rsidP="00D452F6">
      <w:pPr>
        <w:spacing w:after="0" w:line="240" w:lineRule="auto"/>
        <w:ind w:left="709" w:right="709"/>
        <w:jc w:val="both"/>
        <w:rPr>
          <w:rFonts w:ascii="Verdana" w:hAnsi="Verdana" w:cs="Arial"/>
          <w:color w:val="000000" w:themeColor="text1"/>
          <w:sz w:val="20"/>
          <w:szCs w:val="20"/>
          <w:shd w:val="clear" w:color="auto" w:fill="FFFFFF"/>
        </w:rPr>
      </w:pPr>
    </w:p>
    <w:p w14:paraId="7F34A1AF" w14:textId="77777777" w:rsidR="00D452F6" w:rsidRPr="00FF007A" w:rsidRDefault="00D452F6" w:rsidP="00D452F6">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 xml:space="preserve">[…] </w:t>
      </w:r>
    </w:p>
    <w:p w14:paraId="212BC34B" w14:textId="77777777" w:rsidR="00D452F6" w:rsidRDefault="00D452F6" w:rsidP="00D452F6">
      <w:pPr>
        <w:spacing w:after="0" w:line="240" w:lineRule="auto"/>
        <w:ind w:left="709" w:right="709"/>
        <w:jc w:val="both"/>
        <w:rPr>
          <w:rFonts w:ascii="Verdana" w:hAnsi="Verdana" w:cs="Arial"/>
          <w:color w:val="000000" w:themeColor="text1"/>
          <w:sz w:val="20"/>
          <w:szCs w:val="20"/>
          <w:shd w:val="clear" w:color="auto" w:fill="FFFFFF"/>
        </w:rPr>
      </w:pPr>
    </w:p>
    <w:p w14:paraId="26EFCC85" w14:textId="77777777" w:rsidR="00D452F6" w:rsidRPr="00FF007A" w:rsidRDefault="00D452F6" w:rsidP="00D452F6">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 xml:space="preserve">5. Los que deban realizar las entidades sanitarias y hospitalarias </w:t>
      </w:r>
      <w:r>
        <w:rPr>
          <w:rFonts w:ascii="Verdana" w:hAnsi="Verdana" w:cs="Arial"/>
          <w:color w:val="000000" w:themeColor="text1"/>
          <w:sz w:val="20"/>
          <w:szCs w:val="20"/>
          <w:shd w:val="clear" w:color="auto" w:fill="FFFFFF"/>
        </w:rPr>
        <w:t>(…)”</w:t>
      </w:r>
      <w:r w:rsidRPr="00FF007A">
        <w:rPr>
          <w:rFonts w:ascii="Verdana" w:hAnsi="Verdana" w:cs="Arial"/>
          <w:color w:val="000000" w:themeColor="text1"/>
          <w:sz w:val="20"/>
          <w:szCs w:val="20"/>
          <w:shd w:val="clear" w:color="auto" w:fill="FFFFFF"/>
          <w:vertAlign w:val="superscript"/>
        </w:rPr>
        <w:footnoteReference w:id="19"/>
      </w:r>
      <w:r w:rsidRPr="00FF007A">
        <w:rPr>
          <w:rFonts w:ascii="Verdana" w:hAnsi="Verdana" w:cs="Arial"/>
          <w:color w:val="000000" w:themeColor="text1"/>
          <w:sz w:val="20"/>
          <w:szCs w:val="20"/>
          <w:shd w:val="clear" w:color="auto" w:fill="FFFFFF"/>
        </w:rPr>
        <w:t>.</w:t>
      </w:r>
    </w:p>
    <w:p w14:paraId="5885CD9A" w14:textId="77777777" w:rsidR="00D452F6" w:rsidRPr="00FF007A" w:rsidRDefault="00D452F6" w:rsidP="00D452F6">
      <w:pPr>
        <w:spacing w:after="0" w:line="240" w:lineRule="auto"/>
        <w:ind w:left="709" w:right="709"/>
        <w:jc w:val="both"/>
        <w:rPr>
          <w:rFonts w:ascii="Verdana" w:hAnsi="Verdana" w:cs="Arial"/>
          <w:color w:val="000000" w:themeColor="text1"/>
          <w:sz w:val="20"/>
          <w:szCs w:val="20"/>
          <w:shd w:val="clear" w:color="auto" w:fill="FFFFFF"/>
        </w:rPr>
      </w:pPr>
    </w:p>
    <w:p w14:paraId="202D6B22" w14:textId="77777777" w:rsidR="00D452F6" w:rsidRDefault="00D452F6" w:rsidP="00D452F6">
      <w:pPr>
        <w:tabs>
          <w:tab w:val="left" w:pos="426"/>
        </w:tabs>
        <w:spacing w:line="276" w:lineRule="auto"/>
        <w:ind w:firstLine="709"/>
        <w:jc w:val="both"/>
        <w:rPr>
          <w:rFonts w:ascii="Verdana" w:hAnsi="Verdana" w:cs="Arial"/>
          <w:bCs/>
          <w:color w:val="000000" w:themeColor="text1"/>
        </w:rPr>
      </w:pPr>
      <w:r w:rsidRPr="00FF007A">
        <w:rPr>
          <w:rFonts w:ascii="Verdana" w:hAnsi="Verdana" w:cs="Arial"/>
          <w:bCs/>
          <w:color w:val="000000" w:themeColor="text1"/>
        </w:rPr>
        <w:t>Lo anterior implica que las excepciones al artículo 33 en comento deben interpretarse y aplicarse de manera estricta. En otras palabras, no es factible hacer interpretaciones extensivas</w:t>
      </w:r>
      <w:r w:rsidRPr="00FF007A">
        <w:rPr>
          <w:rFonts w:ascii="Verdana" w:hAnsi="Verdana" w:cs="Arial"/>
          <w:bCs/>
          <w:i/>
          <w:iCs/>
          <w:color w:val="000000" w:themeColor="text1"/>
        </w:rPr>
        <w:t xml:space="preserve"> </w:t>
      </w:r>
      <w:r w:rsidRPr="00FF007A">
        <w:rPr>
          <w:rFonts w:ascii="Verdana" w:hAnsi="Verdana" w:cs="Arial"/>
          <w:bCs/>
          <w:color w:val="000000" w:themeColor="text1"/>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0973B732" w14:textId="77777777" w:rsidR="00D452F6" w:rsidRPr="00E2397D" w:rsidRDefault="00D452F6" w:rsidP="00D452F6">
      <w:pPr>
        <w:spacing w:after="120" w:line="276" w:lineRule="auto"/>
        <w:ind w:firstLine="708"/>
        <w:jc w:val="both"/>
        <w:rPr>
          <w:rFonts w:ascii="Verdana" w:eastAsia="Times New Roman" w:hAnsi="Verdana" w:cs="Arial"/>
          <w:lang w:val="es-MX" w:eastAsia="x-none"/>
        </w:rPr>
      </w:pPr>
      <w:r>
        <w:rPr>
          <w:rFonts w:ascii="Verdana" w:eastAsia="Times New Roman" w:hAnsi="Verdana" w:cs="Arial"/>
          <w:bCs/>
          <w:lang w:eastAsia="x-none"/>
        </w:rPr>
        <w:lastRenderedPageBreak/>
        <w:t xml:space="preserve">En segundo lugar, </w:t>
      </w:r>
      <w:r w:rsidRPr="00E2397D">
        <w:rPr>
          <w:rFonts w:ascii="Verdana" w:eastAsia="Calibri" w:hAnsi="Verdana" w:cs="Arial"/>
          <w:lang w:eastAsia="es-ES" w:bidi="es-ES"/>
        </w:rPr>
        <w:t xml:space="preserve">resulta necesario precisar el alcance de la prohibición </w:t>
      </w:r>
      <w:r w:rsidRPr="00E2397D">
        <w:rPr>
          <w:rFonts w:ascii="Verdana" w:eastAsia="Arial" w:hAnsi="Verdana" w:cs="Arial"/>
          <w:lang w:val="es-ES" w:eastAsia="es-ES" w:bidi="es-ES"/>
        </w:rPr>
        <w:t>establecida en e</w:t>
      </w:r>
      <w:r w:rsidRPr="00E2397D">
        <w:rPr>
          <w:rFonts w:ascii="Verdana" w:eastAsia="Calibri" w:hAnsi="Verdana" w:cs="Arial"/>
        </w:rPr>
        <w:t>l parágrafo del artículo 38 de la Ley 996 de 2005. La citada norm</w:t>
      </w:r>
      <w:r>
        <w:rPr>
          <w:rFonts w:ascii="Verdana" w:eastAsia="Calibri" w:hAnsi="Verdana" w:cs="Arial"/>
        </w:rPr>
        <w:t xml:space="preserve">a dispone: </w:t>
      </w:r>
      <w:r w:rsidRPr="00E2397D">
        <w:rPr>
          <w:rFonts w:ascii="Verdana" w:eastAsia="Calibri" w:hAnsi="Verdana" w:cs="Arial"/>
        </w:rPr>
        <w:t xml:space="preserve">“[l]os Gobernadores, </w:t>
      </w:r>
      <w:proofErr w:type="gramStart"/>
      <w:r w:rsidRPr="00E2397D">
        <w:rPr>
          <w:rFonts w:ascii="Verdana" w:eastAsia="Calibri" w:hAnsi="Verdana" w:cs="Arial"/>
        </w:rPr>
        <w:t>Alcaldes</w:t>
      </w:r>
      <w:proofErr w:type="gramEnd"/>
      <w:r w:rsidRPr="00E2397D">
        <w:rPr>
          <w:rFonts w:ascii="Verdana" w:eastAsia="Calibri" w:hAnsi="Verdana" w:cs="Arial"/>
        </w:rPr>
        <w:t xml:space="preserve"> Municipales y/o Distritales, </w:t>
      </w:r>
      <w:proofErr w:type="gramStart"/>
      <w:r w:rsidRPr="00E2397D">
        <w:rPr>
          <w:rFonts w:ascii="Verdana" w:eastAsia="Calibri" w:hAnsi="Verdana" w:cs="Arial"/>
        </w:rPr>
        <w:t>Secretarios</w:t>
      </w:r>
      <w:proofErr w:type="gramEnd"/>
      <w:r w:rsidRPr="00E2397D">
        <w:rPr>
          <w:rFonts w:ascii="Verdana" w:eastAsia="Calibri" w:hAnsi="Verdana" w:cs="Arial"/>
        </w:rPr>
        <w:t xml:space="preserve">, Gerentes y directores de Entidades Descentralizadas del orden Municipal, Departamental o Distrital, dentro de los cuatro (4) meses anteriores a las elecciones, no podrán celebrar </w:t>
      </w:r>
      <w:r w:rsidRPr="00E2397D">
        <w:rPr>
          <w:rFonts w:ascii="Verdana" w:eastAsia="Calibri" w:hAnsi="Verdana" w:cs="Arial"/>
          <w:i/>
          <w:iCs/>
        </w:rPr>
        <w:t>convenios interadministrativos</w:t>
      </w:r>
      <w:r w:rsidRPr="00E2397D">
        <w:rPr>
          <w:rFonts w:ascii="Verdana" w:eastAsia="Calibri" w:hAnsi="Verdana" w:cs="Arial"/>
        </w:rPr>
        <w:t xml:space="preserve"> para la ejecución de recursos públicos”.</w:t>
      </w:r>
      <w:r w:rsidRPr="00E2397D">
        <w:rPr>
          <w:rFonts w:ascii="Verdana" w:eastAsia="Times New Roman" w:hAnsi="Verdana" w:cs="Arial"/>
          <w:lang w:val="es-MX" w:eastAsia="x-none"/>
        </w:rPr>
        <w:t xml:space="preserve"> </w:t>
      </w:r>
      <w:r>
        <w:rPr>
          <w:rFonts w:ascii="Verdana" w:eastAsia="Times New Roman" w:hAnsi="Verdana" w:cs="Arial"/>
          <w:lang w:val="es-MX" w:eastAsia="x-none"/>
        </w:rPr>
        <w:t>(</w:t>
      </w:r>
      <w:r w:rsidRPr="00E2397D">
        <w:rPr>
          <w:rFonts w:ascii="Verdana" w:eastAsia="Times New Roman" w:hAnsi="Verdana" w:cs="Arial"/>
          <w:lang w:val="es-MX" w:eastAsia="x-none"/>
        </w:rPr>
        <w:t>Énfasis fuera del texto original</w:t>
      </w:r>
      <w:r>
        <w:rPr>
          <w:rFonts w:ascii="Verdana" w:eastAsia="Times New Roman" w:hAnsi="Verdana" w:cs="Arial"/>
          <w:lang w:val="es-MX" w:eastAsia="x-none"/>
        </w:rPr>
        <w:t>)</w:t>
      </w:r>
    </w:p>
    <w:p w14:paraId="3747A359" w14:textId="77777777" w:rsidR="00D452F6" w:rsidRPr="00E2397D" w:rsidRDefault="00D452F6" w:rsidP="00D452F6">
      <w:pPr>
        <w:spacing w:after="120" w:line="276" w:lineRule="auto"/>
        <w:ind w:firstLine="709"/>
        <w:jc w:val="both"/>
        <w:rPr>
          <w:rFonts w:ascii="Verdana" w:eastAsia="Calibri" w:hAnsi="Verdana" w:cs="Arial"/>
          <w:lang w:bidi="es-ES"/>
        </w:rPr>
      </w:pPr>
      <w:r w:rsidRPr="00E2397D">
        <w:rPr>
          <w:rFonts w:ascii="Verdana" w:eastAsia="Times New Roman" w:hAnsi="Verdana" w:cs="Arial"/>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E2397D">
        <w:rPr>
          <w:rFonts w:ascii="Verdana" w:eastAsia="Arial" w:hAnsi="Verdana" w:cs="Arial"/>
          <w:lang w:val="es-ES" w:eastAsia="es-ES" w:bidi="es-ES"/>
        </w:rPr>
        <w:t>e</w:t>
      </w:r>
      <w:r w:rsidRPr="00E2397D">
        <w:rPr>
          <w:rFonts w:ascii="Verdana" w:eastAsia="Calibri" w:hAnsi="Verdana" w:cs="Arial"/>
        </w:rPr>
        <w:t xml:space="preserve">l parágrafo del artículo 38 cobija tanto a los convenios como a los contratos interadministrativos. Esta tesis se fundamenta en que </w:t>
      </w:r>
      <w:r w:rsidRPr="00E2397D">
        <w:rPr>
          <w:rFonts w:ascii="Verdana" w:eastAsia="Calibri" w:hAnsi="Verdana" w:cs="Arial"/>
          <w:lang w:bidi="es-ES"/>
        </w:rPr>
        <w:t>si bien actualmente el Estatuto General de Contratación de la Administración Públ</w:t>
      </w:r>
      <w:r>
        <w:rPr>
          <w:rFonts w:ascii="Verdana" w:eastAsia="Calibri" w:hAnsi="Verdana" w:cs="Arial"/>
          <w:lang w:bidi="es-ES"/>
        </w:rPr>
        <w:t>ica – en adelante EGCAP – se refiere</w:t>
      </w:r>
      <w:r w:rsidRPr="00E2397D">
        <w:rPr>
          <w:rFonts w:ascii="Verdana" w:eastAsia="Calibri" w:hAnsi="Verdana" w:cs="Arial"/>
          <w:lang w:bidi="es-ES"/>
        </w:rPr>
        <w:t xml:space="preserv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52527149" w14:textId="77777777" w:rsidR="00D452F6" w:rsidRPr="00E2397D" w:rsidRDefault="00D452F6" w:rsidP="00D452F6">
      <w:pPr>
        <w:spacing w:after="120" w:line="276" w:lineRule="auto"/>
        <w:ind w:firstLine="709"/>
        <w:jc w:val="both"/>
        <w:rPr>
          <w:rFonts w:ascii="Verdana" w:eastAsia="Calibri" w:hAnsi="Verdana" w:cs="Arial"/>
          <w:lang w:bidi="es-ES"/>
        </w:rPr>
      </w:pPr>
      <w:r w:rsidRPr="00E2397D">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E2397D">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E2397D">
        <w:rPr>
          <w:rFonts w:ascii="Verdana" w:eastAsia="Arial" w:hAnsi="Verdana" w:cs="Arial"/>
          <w:vertAlign w:val="superscript"/>
          <w:lang w:val="es-ES" w:eastAsia="es-ES" w:bidi="es-ES"/>
        </w:rPr>
        <w:footnoteReference w:id="20"/>
      </w:r>
      <w:r w:rsidRPr="00E2397D">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E2397D">
        <w:rPr>
          <w:rFonts w:ascii="Verdana" w:eastAsia="Arial" w:hAnsi="Verdana" w:cs="Arial"/>
          <w:vertAlign w:val="superscript"/>
          <w:lang w:val="es-ES" w:eastAsia="es-ES" w:bidi="es-ES"/>
        </w:rPr>
        <w:footnoteReference w:id="21"/>
      </w:r>
      <w:r w:rsidRPr="00E2397D">
        <w:rPr>
          <w:rFonts w:ascii="Verdana" w:eastAsia="Arial" w:hAnsi="Verdana" w:cs="Arial"/>
          <w:lang w:val="es-ES" w:eastAsia="es-ES" w:bidi="es-ES"/>
        </w:rPr>
        <w:t>.</w:t>
      </w:r>
    </w:p>
    <w:p w14:paraId="3FD0E333" w14:textId="77777777" w:rsidR="00D452F6" w:rsidRPr="00E2397D" w:rsidRDefault="00D452F6" w:rsidP="00D452F6">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E2397D">
        <w:rPr>
          <w:rFonts w:ascii="Verdana" w:eastAsia="Calibri" w:hAnsi="Verdana" w:cs="Arial"/>
          <w:lang w:val="es-ES" w:bidi="es-ES"/>
        </w:rPr>
        <w:lastRenderedPageBreak/>
        <w:t>De este modo, en la Circular Externa</w:t>
      </w:r>
      <w:r w:rsidRPr="00E2397D">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4BA8E1A9" w14:textId="77777777" w:rsidR="00D452F6" w:rsidRPr="00E2397D" w:rsidRDefault="00D452F6" w:rsidP="00C37935">
      <w:pPr>
        <w:widowControl w:val="0"/>
        <w:autoSpaceDE w:val="0"/>
        <w:autoSpaceDN w:val="0"/>
        <w:spacing w:after="0" w:line="240" w:lineRule="auto"/>
        <w:contextualSpacing/>
        <w:jc w:val="both"/>
        <w:rPr>
          <w:rFonts w:ascii="Verdana" w:eastAsia="Arial" w:hAnsi="Verdana" w:cs="Arial"/>
          <w:lang w:val="es-ES" w:eastAsia="es-ES" w:bidi="es-ES"/>
        </w:rPr>
      </w:pPr>
    </w:p>
    <w:p w14:paraId="28E5EAD6" w14:textId="77777777" w:rsidR="00D452F6" w:rsidRPr="00E2397D" w:rsidRDefault="00D452F6" w:rsidP="00D452F6">
      <w:pPr>
        <w:spacing w:after="0" w:line="240" w:lineRule="auto"/>
        <w:ind w:left="709" w:right="616"/>
        <w:jc w:val="both"/>
        <w:rPr>
          <w:rFonts w:ascii="Verdana" w:eastAsia="Calibri" w:hAnsi="Verdana" w:cs="Arial"/>
          <w:sz w:val="20"/>
          <w:szCs w:val="20"/>
          <w:lang w:val="es-MX"/>
        </w:rPr>
      </w:pPr>
      <w:r w:rsidRPr="00E2397D">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E2397D">
        <w:rPr>
          <w:rFonts w:ascii="Verdana" w:eastAsia="Calibri" w:hAnsi="Verdana" w:cs="Arial"/>
          <w:sz w:val="20"/>
          <w:szCs w:val="20"/>
          <w:lang w:val="es-MX"/>
        </w:rPr>
        <w:t>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p>
    <w:p w14:paraId="176ED070" w14:textId="77777777" w:rsidR="00D452F6" w:rsidRPr="00E2397D" w:rsidRDefault="00D452F6" w:rsidP="00D452F6">
      <w:pPr>
        <w:spacing w:after="0" w:line="240" w:lineRule="auto"/>
        <w:ind w:left="709" w:right="616"/>
        <w:jc w:val="both"/>
        <w:rPr>
          <w:rFonts w:ascii="Verdana" w:eastAsia="Calibri" w:hAnsi="Verdana" w:cs="Arial"/>
          <w:sz w:val="20"/>
          <w:szCs w:val="20"/>
          <w:lang w:val="es-MX"/>
        </w:rPr>
      </w:pPr>
    </w:p>
    <w:p w14:paraId="113F111D" w14:textId="77777777" w:rsidR="00D452F6" w:rsidRPr="00E2397D" w:rsidRDefault="00D452F6" w:rsidP="00D452F6">
      <w:pPr>
        <w:spacing w:after="0" w:line="240" w:lineRule="auto"/>
        <w:ind w:left="709" w:right="616"/>
        <w:jc w:val="both"/>
        <w:rPr>
          <w:rFonts w:ascii="Verdana" w:eastAsia="Calibri" w:hAnsi="Verdana" w:cs="Arial"/>
          <w:sz w:val="20"/>
          <w:szCs w:val="20"/>
          <w:lang w:val="es-MX"/>
        </w:rPr>
      </w:pPr>
      <w:r w:rsidRPr="00E2397D">
        <w:rPr>
          <w:rFonts w:ascii="Verdana" w:eastAsia="Calibri" w:hAnsi="Verdana" w:cs="Arial"/>
          <w:sz w:val="20"/>
          <w:szCs w:val="20"/>
          <w:lang w:val="es-MX"/>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3B803065" w14:textId="77777777" w:rsidR="00D452F6" w:rsidRPr="00E2397D" w:rsidRDefault="00D452F6" w:rsidP="00D452F6">
      <w:pPr>
        <w:spacing w:after="0" w:line="240" w:lineRule="auto"/>
        <w:ind w:left="709" w:right="616"/>
        <w:jc w:val="both"/>
        <w:rPr>
          <w:rFonts w:ascii="Verdana" w:eastAsia="Calibri" w:hAnsi="Verdana" w:cs="Arial"/>
          <w:sz w:val="20"/>
          <w:szCs w:val="20"/>
          <w:lang w:val="es-MX"/>
        </w:rPr>
      </w:pPr>
    </w:p>
    <w:p w14:paraId="3FCD68A2" w14:textId="77777777" w:rsidR="00D452F6" w:rsidRPr="00E2397D" w:rsidRDefault="00D452F6" w:rsidP="00D452F6">
      <w:pPr>
        <w:spacing w:after="0" w:line="240" w:lineRule="auto"/>
        <w:ind w:left="709" w:right="616"/>
        <w:jc w:val="both"/>
        <w:rPr>
          <w:rFonts w:ascii="Verdana" w:eastAsia="Calibri" w:hAnsi="Verdana" w:cs="Arial"/>
          <w:sz w:val="20"/>
          <w:szCs w:val="20"/>
          <w:lang w:val="es-MX"/>
        </w:rPr>
      </w:pPr>
      <w:r w:rsidRPr="00E2397D">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4633F5CE" w14:textId="77777777" w:rsidR="00D452F6" w:rsidRPr="00E2397D" w:rsidRDefault="00D452F6" w:rsidP="00D452F6">
      <w:pPr>
        <w:widowControl w:val="0"/>
        <w:autoSpaceDE w:val="0"/>
        <w:autoSpaceDN w:val="0"/>
        <w:spacing w:after="0" w:line="276" w:lineRule="auto"/>
        <w:contextualSpacing/>
        <w:jc w:val="both"/>
        <w:rPr>
          <w:rFonts w:ascii="Verdana" w:eastAsia="Arial" w:hAnsi="Verdana" w:cs="Arial"/>
          <w:lang w:val="es-ES" w:eastAsia="es-ES" w:bidi="es-ES"/>
        </w:rPr>
      </w:pPr>
    </w:p>
    <w:p w14:paraId="5269A957" w14:textId="77777777" w:rsidR="00D452F6" w:rsidRPr="00E2397D" w:rsidRDefault="00D452F6" w:rsidP="00D452F6">
      <w:pPr>
        <w:spacing w:after="120" w:line="276" w:lineRule="auto"/>
        <w:ind w:firstLine="709"/>
        <w:jc w:val="both"/>
        <w:rPr>
          <w:rFonts w:ascii="Verdana" w:eastAsia="Arial" w:hAnsi="Verdana" w:cs="Arial"/>
          <w:lang w:val="es-MX" w:eastAsia="es-ES" w:bidi="es-ES"/>
        </w:rPr>
      </w:pPr>
      <w:r w:rsidRPr="00E2397D">
        <w:rPr>
          <w:rFonts w:ascii="Verdana" w:eastAsia="Arial" w:hAnsi="Verdana" w:cs="Arial"/>
          <w:lang w:val="es-ES" w:eastAsia="es-ES" w:bidi="es-ES"/>
        </w:rPr>
        <w:lastRenderedPageBreak/>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E2397D">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3A924FB7" w14:textId="77777777" w:rsidR="00D452F6" w:rsidRDefault="00D452F6" w:rsidP="00D452F6">
      <w:pPr>
        <w:spacing w:after="0" w:line="276" w:lineRule="auto"/>
        <w:ind w:firstLine="709"/>
        <w:jc w:val="both"/>
      </w:pPr>
      <w:r w:rsidRPr="00E2397D">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E2397D">
        <w:rPr>
          <w:rFonts w:ascii="Verdana" w:hAnsi="Verdana"/>
        </w:rPr>
        <w:t>numeral 16.2 de la Circular Externa Única de 2022 expedida por la Agencia Nacional de Contratación Pública -Colombia Compra Eficiente-, concretamente, respecto de los siguientes apartes normativos</w:t>
      </w:r>
      <w:r w:rsidRPr="00E2397D">
        <w:rPr>
          <w:rFonts w:ascii="Verdana" w:hAnsi="Verdana"/>
          <w:vertAlign w:val="superscript"/>
        </w:rPr>
        <w:footnoteReference w:id="22"/>
      </w:r>
      <w:r w:rsidRPr="00E2397D">
        <w:rPr>
          <w:rFonts w:ascii="Verdana" w:hAnsi="Verdana"/>
        </w:rPr>
        <w:t>:</w:t>
      </w:r>
      <w:r w:rsidRPr="00E2397D">
        <w:t xml:space="preserve"> </w:t>
      </w:r>
    </w:p>
    <w:p w14:paraId="1A08E28B" w14:textId="77777777" w:rsidR="00D452F6" w:rsidRPr="00E2397D" w:rsidRDefault="00D452F6" w:rsidP="00D452F6">
      <w:pPr>
        <w:spacing w:after="0" w:line="240" w:lineRule="auto"/>
        <w:ind w:firstLine="709"/>
        <w:jc w:val="both"/>
      </w:pPr>
    </w:p>
    <w:p w14:paraId="61E7B7C6" w14:textId="77777777" w:rsidR="00D452F6" w:rsidRPr="00E2397D" w:rsidRDefault="00D452F6" w:rsidP="00D452F6">
      <w:pPr>
        <w:spacing w:after="0" w:line="240" w:lineRule="auto"/>
        <w:ind w:left="709" w:right="616"/>
        <w:jc w:val="both"/>
        <w:rPr>
          <w:rFonts w:ascii="Verdana" w:eastAsia="Calibri" w:hAnsi="Verdana" w:cs="Arial"/>
          <w:sz w:val="20"/>
          <w:szCs w:val="20"/>
        </w:rPr>
      </w:pPr>
      <w:r w:rsidRPr="00E2397D">
        <w:rPr>
          <w:rFonts w:ascii="Verdana" w:eastAsia="Calibri" w:hAnsi="Verdana" w:cs="Arial"/>
          <w:sz w:val="20"/>
          <w:szCs w:val="20"/>
          <w:lang w:val="es-MX"/>
        </w:rPr>
        <w:t>i)</w:t>
      </w:r>
      <w:r w:rsidRPr="00E2397D">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11821980" w14:textId="77777777" w:rsidR="00D452F6" w:rsidRPr="00E2397D" w:rsidRDefault="00D452F6" w:rsidP="00D452F6">
      <w:pPr>
        <w:spacing w:after="0" w:line="240" w:lineRule="auto"/>
        <w:ind w:left="709" w:right="616"/>
        <w:jc w:val="both"/>
        <w:rPr>
          <w:rFonts w:ascii="Verdana" w:eastAsia="Calibri" w:hAnsi="Verdana" w:cs="Arial"/>
          <w:sz w:val="20"/>
          <w:szCs w:val="20"/>
        </w:rPr>
      </w:pPr>
    </w:p>
    <w:p w14:paraId="4718EC90" w14:textId="77777777" w:rsidR="00D452F6" w:rsidRPr="00E2397D" w:rsidRDefault="00D452F6" w:rsidP="00D452F6">
      <w:pPr>
        <w:spacing w:after="0" w:line="240" w:lineRule="auto"/>
        <w:ind w:left="709" w:right="616"/>
        <w:jc w:val="both"/>
        <w:rPr>
          <w:rFonts w:ascii="Verdana" w:hAnsi="Verdana"/>
          <w:sz w:val="20"/>
          <w:szCs w:val="20"/>
        </w:rPr>
      </w:pPr>
      <w:proofErr w:type="spellStart"/>
      <w:r w:rsidRPr="00E2397D">
        <w:rPr>
          <w:rFonts w:ascii="Verdana" w:hAnsi="Verdana"/>
          <w:sz w:val="20"/>
          <w:szCs w:val="20"/>
        </w:rPr>
        <w:t>ii</w:t>
      </w:r>
      <w:proofErr w:type="spellEnd"/>
      <w:r w:rsidRPr="00E2397D">
        <w:rPr>
          <w:rFonts w:ascii="Verdana" w:hAnsi="Verdana"/>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22381878" w14:textId="77777777" w:rsidR="00D452F6" w:rsidRPr="00E2397D" w:rsidRDefault="00D452F6" w:rsidP="00D452F6">
      <w:pPr>
        <w:spacing w:after="0" w:line="240" w:lineRule="auto"/>
        <w:ind w:left="709" w:right="709"/>
        <w:jc w:val="both"/>
        <w:rPr>
          <w:rFonts w:ascii="Verdana" w:hAnsi="Verdana"/>
        </w:rPr>
      </w:pPr>
    </w:p>
    <w:p w14:paraId="5D0F8A5C" w14:textId="77777777" w:rsidR="00D452F6" w:rsidRPr="00E2397D" w:rsidRDefault="00D452F6" w:rsidP="00D452F6">
      <w:pPr>
        <w:spacing w:after="120" w:line="276" w:lineRule="auto"/>
        <w:ind w:firstLine="709"/>
        <w:jc w:val="both"/>
        <w:rPr>
          <w:rFonts w:ascii="Verdana" w:eastAsia="Arial" w:hAnsi="Verdana" w:cs="Arial"/>
          <w:i/>
          <w:iCs/>
          <w:lang w:val="es-MX" w:eastAsia="es-ES" w:bidi="es-ES"/>
        </w:rPr>
      </w:pPr>
      <w:r w:rsidRPr="00E2397D">
        <w:rPr>
          <w:rFonts w:ascii="Verdana" w:eastAsia="Arial" w:hAnsi="Verdana" w:cs="Arial"/>
          <w:lang w:val="es-MX" w:eastAsia="es-ES" w:bidi="es-ES"/>
        </w:rPr>
        <w:t xml:space="preserve">De conformidad con los argumentos de dicha providencia, se parte de la distinción entre los conceptos </w:t>
      </w:r>
      <w:r w:rsidRPr="00E2397D">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w:t>
      </w:r>
      <w:r w:rsidRPr="00E2397D">
        <w:rPr>
          <w:rFonts w:ascii="Verdana" w:eastAsia="Arial" w:hAnsi="Verdana" w:cs="Arial"/>
          <w:lang w:eastAsia="es-ES" w:bidi="es-ES"/>
        </w:rPr>
        <w:lastRenderedPageBreak/>
        <w:t xml:space="preserve">la Ley 996 de 2005 concluyó que </w:t>
      </w:r>
      <w:r w:rsidRPr="00E2397D">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E2397D">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E2397D">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383BD24D" w14:textId="77777777" w:rsidR="00D452F6" w:rsidRPr="00E2397D" w:rsidRDefault="00D452F6" w:rsidP="00D452F6">
      <w:pPr>
        <w:spacing w:after="120" w:line="276" w:lineRule="auto"/>
        <w:ind w:firstLine="709"/>
        <w:jc w:val="both"/>
        <w:rPr>
          <w:rFonts w:ascii="Verdana" w:eastAsia="Calibri" w:hAnsi="Verdana" w:cs="Arial"/>
          <w:lang w:val="es-MX"/>
        </w:rPr>
      </w:pPr>
      <w:r w:rsidRPr="00E2397D">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E2397D">
        <w:rPr>
          <w:rFonts w:ascii="Verdana" w:eastAsia="Arial" w:hAnsi="Verdana" w:cs="Arial"/>
          <w:lang w:eastAsia="es-ES" w:bidi="es-ES"/>
        </w:rPr>
        <w:t>16.2 de la Circular Externa Única</w:t>
      </w:r>
      <w:r w:rsidRPr="00E2397D">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E2397D">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E2397D">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69FF9682" w14:textId="77777777" w:rsidR="00D452F6" w:rsidRPr="00E2397D" w:rsidRDefault="00D452F6" w:rsidP="00D452F6">
      <w:pPr>
        <w:spacing w:after="120" w:line="276" w:lineRule="auto"/>
        <w:ind w:firstLine="709"/>
        <w:jc w:val="both"/>
        <w:rPr>
          <w:rFonts w:ascii="Verdana" w:eastAsia="Arial" w:hAnsi="Verdana" w:cs="Arial"/>
          <w:lang w:val="es-MX" w:eastAsia="es-ES" w:bidi="es-ES"/>
        </w:rPr>
      </w:pPr>
      <w:r w:rsidRPr="00E2397D">
        <w:rPr>
          <w:rFonts w:ascii="Verdana" w:eastAsia="Calibri" w:hAnsi="Verdana" w:cs="Arial"/>
        </w:rPr>
        <w:t xml:space="preserve">Conforme </w:t>
      </w:r>
      <w:r>
        <w:rPr>
          <w:rFonts w:ascii="Verdana" w:eastAsia="Calibri" w:hAnsi="Verdana" w:cs="Arial"/>
        </w:rPr>
        <w:t>con</w:t>
      </w:r>
      <w:r w:rsidRPr="00E2397D">
        <w:rPr>
          <w:rFonts w:ascii="Verdana" w:eastAsia="Calibri" w:hAnsi="Verdana" w:cs="Arial"/>
        </w:rPr>
        <w:t xml:space="preserve">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E2397D">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E2397D">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0D3DDE75" w14:textId="77777777" w:rsidR="00D452F6" w:rsidRPr="0054435B" w:rsidRDefault="00D452F6" w:rsidP="00D452F6">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r w:rsidRPr="00E2397D">
        <w:rPr>
          <w:rFonts w:ascii="Verdana" w:eastAsia="Times New Roman" w:hAnsi="Verdana" w:cs="Arial"/>
          <w:lang w:eastAsia="es-CO"/>
        </w:rPr>
        <w:t xml:space="preserve">e observa entonces 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w:t>
      </w:r>
      <w:proofErr w:type="gramStart"/>
      <w:r w:rsidRPr="00E2397D">
        <w:rPr>
          <w:rFonts w:ascii="Verdana" w:eastAsia="Times New Roman" w:hAnsi="Verdana" w:cs="Arial"/>
          <w:lang w:val="es-MX" w:eastAsia="es-CO"/>
        </w:rPr>
        <w:t>Secretarios</w:t>
      </w:r>
      <w:proofErr w:type="gramEnd"/>
      <w:r w:rsidRPr="00E2397D">
        <w:rPr>
          <w:rFonts w:ascii="Verdana" w:eastAsia="Times New Roman" w:hAnsi="Verdana" w:cs="Arial"/>
          <w:lang w:val="es-MX" w:eastAsia="es-CO"/>
        </w:rPr>
        <w:t xml:space="preserve">, Gerentes y </w:t>
      </w:r>
      <w:proofErr w:type="gramStart"/>
      <w:r w:rsidRPr="00E2397D">
        <w:rPr>
          <w:rFonts w:ascii="Verdana" w:eastAsia="Times New Roman" w:hAnsi="Verdana" w:cs="Arial"/>
          <w:lang w:val="es-MX" w:eastAsia="es-CO"/>
        </w:rPr>
        <w:t>Directores</w:t>
      </w:r>
      <w:proofErr w:type="gramEnd"/>
      <w:r w:rsidRPr="00E2397D">
        <w:rPr>
          <w:rFonts w:ascii="Verdana" w:eastAsia="Times New Roman" w:hAnsi="Verdana" w:cs="Arial"/>
          <w:lang w:val="es-MX" w:eastAsia="es-CO"/>
        </w:rPr>
        <w:t xml:space="preserve"> de las entidades 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w:t>
      </w:r>
      <w:r w:rsidRPr="00E2397D">
        <w:rPr>
          <w:rFonts w:ascii="Verdana" w:eastAsia="Times New Roman" w:hAnsi="Verdana" w:cs="Arial"/>
          <w:lang w:val="es-MX" w:eastAsia="es-CO"/>
        </w:rPr>
        <w:lastRenderedPageBreak/>
        <w:t xml:space="preserve">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 xml:space="preserve">, 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w:t>
      </w:r>
      <w:r>
        <w:rPr>
          <w:rFonts w:ascii="Verdana" w:eastAsia="Times New Roman" w:hAnsi="Verdana" w:cs="Arial"/>
          <w:lang w:val="es-MX" w:eastAsia="es-CO"/>
        </w:rPr>
        <w:t xml:space="preserve">istrativos. </w:t>
      </w:r>
    </w:p>
    <w:p w14:paraId="198BF131" w14:textId="77777777" w:rsidR="00D452F6" w:rsidRPr="00FF007A" w:rsidRDefault="00D452F6" w:rsidP="00D452F6">
      <w:pPr>
        <w:tabs>
          <w:tab w:val="left" w:pos="426"/>
        </w:tabs>
        <w:spacing w:before="120" w:line="276" w:lineRule="auto"/>
        <w:ind w:firstLine="709"/>
        <w:jc w:val="both"/>
        <w:rPr>
          <w:rFonts w:ascii="Verdana" w:hAnsi="Verdana" w:cs="Arial"/>
          <w:bCs/>
          <w:color w:val="000000" w:themeColor="text1"/>
        </w:rPr>
      </w:pPr>
      <w:proofErr w:type="spellStart"/>
      <w:r>
        <w:rPr>
          <w:rFonts w:ascii="Verdana" w:hAnsi="Verdana" w:cs="Arial"/>
          <w:bCs/>
          <w:color w:val="000000" w:themeColor="text1"/>
        </w:rPr>
        <w:t>ii</w:t>
      </w:r>
      <w:proofErr w:type="spellEnd"/>
      <w:r>
        <w:rPr>
          <w:rFonts w:ascii="Verdana" w:hAnsi="Verdana" w:cs="Arial"/>
          <w:bCs/>
          <w:color w:val="000000" w:themeColor="text1"/>
        </w:rPr>
        <w:t xml:space="preserve">) Ahora bien, </w:t>
      </w:r>
      <w:r w:rsidRPr="00FF007A">
        <w:rPr>
          <w:rFonts w:ascii="Verdana" w:hAnsi="Verdana" w:cs="Arial"/>
          <w:bCs/>
          <w:color w:val="000000" w:themeColor="text1"/>
        </w:rPr>
        <w:t>es pertinente analizar el quinto evento exceptuado de la prohibición</w:t>
      </w:r>
      <w:r>
        <w:rPr>
          <w:rFonts w:ascii="Verdana" w:hAnsi="Verdana" w:cs="Arial"/>
          <w:bCs/>
          <w:color w:val="000000" w:themeColor="text1"/>
        </w:rPr>
        <w:t xml:space="preserve"> contemplada en el inciso segundo del artículo 33 de la Ley 996 de 2005</w:t>
      </w:r>
      <w:r w:rsidRPr="00FF007A">
        <w:rPr>
          <w:rFonts w:ascii="Verdana" w:hAnsi="Verdana" w:cs="Arial"/>
          <w:bCs/>
          <w:color w:val="000000" w:themeColor="text1"/>
        </w:rPr>
        <w:t xml:space="preserve">,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28B0B19B" w14:textId="77777777" w:rsidR="00D452F6" w:rsidRPr="00FF007A" w:rsidRDefault="00D452F6" w:rsidP="00D452F6">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Style w:val="Refdenotaalpie"/>
          <w:rFonts w:ascii="Verdana" w:hAnsi="Verdana" w:cs="Arial"/>
          <w:color w:val="000000" w:themeColor="text1"/>
        </w:rPr>
        <w:footnoteReference w:id="23"/>
      </w:r>
      <w:r w:rsidRPr="00FF007A">
        <w:rPr>
          <w:rFonts w:ascii="Verdana" w:hAnsi="Verdana" w:cs="Arial"/>
          <w:color w:val="000000" w:themeColor="text1"/>
        </w:rPr>
        <w:t>. Además, el mismo artículo 197</w:t>
      </w:r>
      <w:r w:rsidRPr="00FF007A">
        <w:rPr>
          <w:rFonts w:ascii="Arial" w:hAnsi="Arial" w:cs="Arial"/>
          <w:color w:val="000000" w:themeColor="text1"/>
          <w:vertAlign w:val="superscript"/>
        </w:rPr>
        <w:footnoteReference w:id="24"/>
      </w:r>
      <w:r w:rsidRPr="00FF007A">
        <w:rPr>
          <w:rFonts w:ascii="Verdana" w:hAnsi="Verdana" w:cs="Arial"/>
          <w:color w:val="000000" w:themeColor="text1"/>
        </w:rPr>
        <w:t xml:space="preserve">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1D9A41C1" w14:textId="77777777" w:rsidR="00D452F6" w:rsidRPr="00FF007A" w:rsidRDefault="00D452F6" w:rsidP="00D452F6">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lastRenderedPageBreak/>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FF007A">
        <w:rPr>
          <w:rFonts w:ascii="Verdana" w:eastAsia="Arial" w:hAnsi="Verdana" w:cs="Arial"/>
          <w:bCs/>
          <w:color w:val="000000" w:themeColor="text1"/>
          <w:vertAlign w:val="superscript"/>
        </w:rPr>
        <w:footnoteReference w:id="25"/>
      </w:r>
      <w:r w:rsidRPr="00FF007A">
        <w:rPr>
          <w:rFonts w:ascii="Verdana" w:eastAsia="Arial" w:hAnsi="Verdana" w:cs="Arial"/>
          <w:bCs/>
          <w:color w:val="000000" w:themeColor="text1"/>
        </w:rPr>
        <w:t xml:space="preserve">.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41D956AA" w14:textId="77777777" w:rsidR="00D452F6" w:rsidRPr="00FF007A" w:rsidRDefault="00D452F6" w:rsidP="00D452F6">
      <w:pPr>
        <w:spacing w:before="120" w:after="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lo anterior, el Consejo de Estado ha señalado que “las entidades que presten servicios tendientes a preservar la salud </w:t>
      </w:r>
      <w:r>
        <w:rPr>
          <w:rFonts w:ascii="Verdana" w:eastAsia="Arial" w:hAnsi="Verdana" w:cs="Arial"/>
          <w:bCs/>
          <w:color w:val="000000" w:themeColor="text1"/>
        </w:rPr>
        <w:t>pública</w:t>
      </w:r>
      <w:r w:rsidRPr="00FF007A">
        <w:rPr>
          <w:rFonts w:ascii="Verdana" w:eastAsia="Arial" w:hAnsi="Verdana" w:cs="Arial"/>
          <w:bCs/>
          <w:color w:val="000000" w:themeColor="text1"/>
        </w:rPr>
        <w:t xml:space="preserve"> o humana deben ser consideradas como entidades sanitarias y en principio estarían exceptuadas de la prohibición de contratación directa”</w:t>
      </w:r>
      <w:r w:rsidRPr="00FF007A">
        <w:rPr>
          <w:rStyle w:val="Refdenotaalpie"/>
          <w:rFonts w:ascii="Verdana" w:eastAsia="Arial" w:hAnsi="Verdana" w:cs="Arial"/>
          <w:bCs/>
          <w:color w:val="000000" w:themeColor="text1"/>
        </w:rPr>
        <w:footnoteReference w:id="26"/>
      </w:r>
      <w:r w:rsidRPr="00FF007A">
        <w:rPr>
          <w:rFonts w:ascii="Verdana" w:eastAsia="Arial" w:hAnsi="Verdana" w:cs="Arial"/>
          <w:bCs/>
          <w:color w:val="000000" w:themeColor="text1"/>
        </w:rPr>
        <w:t>.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w:t>
      </w:r>
      <w:r w:rsidRPr="00FF007A">
        <w:rPr>
          <w:rStyle w:val="Refdenotaalpie"/>
          <w:rFonts w:ascii="Verdana" w:eastAsia="Arial" w:hAnsi="Verdana" w:cs="Arial"/>
          <w:bCs/>
          <w:color w:val="000000" w:themeColor="text1"/>
        </w:rPr>
        <w:footnoteReference w:id="27"/>
      </w:r>
      <w:r w:rsidRPr="00FF007A">
        <w:rPr>
          <w:rFonts w:ascii="Verdana" w:eastAsia="Arial" w:hAnsi="Verdana" w:cs="Arial"/>
          <w:bCs/>
          <w:color w:val="000000" w:themeColor="text1"/>
        </w:rPr>
        <w:t xml:space="preserve">. </w:t>
      </w:r>
    </w:p>
    <w:p w14:paraId="49DE9186" w14:textId="77777777" w:rsidR="00D452F6" w:rsidRPr="00FF007A" w:rsidRDefault="00D452F6" w:rsidP="00D452F6">
      <w:pPr>
        <w:spacing w:after="0" w:line="240" w:lineRule="auto"/>
        <w:ind w:firstLine="709"/>
        <w:jc w:val="both"/>
        <w:rPr>
          <w:rFonts w:ascii="Verdana" w:eastAsia="Calibri" w:hAnsi="Verdana" w:cs="Arial"/>
          <w:bCs/>
        </w:rPr>
      </w:pPr>
    </w:p>
    <w:p w14:paraId="7A818C61" w14:textId="77777777" w:rsidR="00D452F6" w:rsidRPr="00FF007A" w:rsidRDefault="00D452F6" w:rsidP="00D452F6">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lastRenderedPageBreak/>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w:t>
      </w:r>
      <w:r>
        <w:rPr>
          <w:rFonts w:ascii="Verdana" w:eastAsia="Arial" w:hAnsi="Verdana" w:cs="Arial"/>
          <w:bCs/>
          <w:color w:val="000000" w:themeColor="text1"/>
        </w:rPr>
        <w:t xml:space="preserve"> Plan de Salud Pública de Intervenciones Colectivas</w:t>
      </w:r>
      <w:r>
        <w:rPr>
          <w:rStyle w:val="Refdenotaalpie"/>
          <w:rFonts w:ascii="Verdana" w:eastAsia="Arial" w:hAnsi="Verdana" w:cs="Arial"/>
          <w:bCs/>
          <w:color w:val="000000" w:themeColor="text1"/>
        </w:rPr>
        <w:footnoteReference w:id="28"/>
      </w:r>
      <w:r>
        <w:rPr>
          <w:rFonts w:ascii="Verdana" w:eastAsia="Arial" w:hAnsi="Verdana" w:cs="Arial"/>
          <w:bCs/>
          <w:color w:val="000000" w:themeColor="text1"/>
        </w:rPr>
        <w:t xml:space="preserve"> -</w:t>
      </w:r>
      <w:r w:rsidRPr="00FF007A">
        <w:rPr>
          <w:rFonts w:ascii="Verdana" w:eastAsia="Arial" w:hAnsi="Verdana" w:cs="Arial"/>
          <w:bCs/>
          <w:color w:val="000000" w:themeColor="text1"/>
        </w:rPr>
        <w:t>PIC</w:t>
      </w:r>
      <w:r>
        <w:rPr>
          <w:rStyle w:val="Refdenotaalpie"/>
          <w:rFonts w:ascii="Verdana" w:eastAsia="Arial" w:hAnsi="Verdana" w:cs="Arial"/>
          <w:bCs/>
          <w:color w:val="000000" w:themeColor="text1"/>
        </w:rPr>
        <w:footnoteReference w:id="29"/>
      </w:r>
      <w:r>
        <w:rPr>
          <w:rFonts w:ascii="Verdana" w:eastAsia="Arial" w:hAnsi="Verdana" w:cs="Arial"/>
          <w:bCs/>
          <w:color w:val="000000" w:themeColor="text1"/>
        </w:rPr>
        <w:t>-</w:t>
      </w:r>
      <w:r w:rsidRPr="00FF007A">
        <w:rPr>
          <w:rFonts w:ascii="Verdana" w:eastAsia="Arial" w:hAnsi="Verdana" w:cs="Arial"/>
          <w:bCs/>
          <w:color w:val="000000" w:themeColor="text1"/>
        </w:rPr>
        <w:t xml:space="preserve"> se realiza con ocasión a una “emergencia </w:t>
      </w:r>
      <w:r w:rsidRPr="00FF007A">
        <w:rPr>
          <w:rFonts w:ascii="Verdana" w:eastAsia="Arial" w:hAnsi="Verdana" w:cs="Arial"/>
          <w:bCs/>
          <w:color w:val="000000" w:themeColor="text1"/>
        </w:rPr>
        <w:lastRenderedPageBreak/>
        <w:t>sanitaria” o si es llevada a cabo por “entidades sanitarias u hospitalarias”. De ser así, 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56F3691C" w14:textId="77777777" w:rsidR="00D452F6" w:rsidRPr="00FF007A" w:rsidRDefault="00D452F6" w:rsidP="00D452F6">
      <w:pPr>
        <w:spacing w:before="120" w:after="120" w:line="276" w:lineRule="auto"/>
        <w:jc w:val="both"/>
        <w:rPr>
          <w:rFonts w:ascii="Verdana" w:eastAsia="Arial" w:hAnsi="Verdana" w:cs="Arial"/>
          <w:bCs/>
          <w:color w:val="000000" w:themeColor="text1"/>
        </w:rPr>
      </w:pPr>
      <w:r w:rsidRPr="00FF007A">
        <w:rPr>
          <w:rFonts w:ascii="Verdana" w:eastAsia="Arial" w:hAnsi="Verdana" w:cs="Arial"/>
          <w:bCs/>
          <w:color w:val="000000" w:themeColor="text1"/>
        </w:rPr>
        <w:tab/>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del PIC es llevada a cabo por </w:t>
      </w:r>
      <w:r>
        <w:rPr>
          <w:rFonts w:ascii="Verdana" w:eastAsia="Arial" w:hAnsi="Verdana" w:cs="Arial"/>
          <w:bCs/>
          <w:color w:val="000000" w:themeColor="text1"/>
        </w:rPr>
        <w:t xml:space="preserve">los </w:t>
      </w:r>
      <w:r w:rsidRPr="00FF007A">
        <w:rPr>
          <w:rFonts w:ascii="Verdana" w:eastAsia="Arial" w:hAnsi="Verdana" w:cs="Arial"/>
          <w:bCs/>
          <w:color w:val="000000" w:themeColor="text1"/>
        </w:rPr>
        <w:t>“</w:t>
      </w:r>
      <w:proofErr w:type="gramStart"/>
      <w:r w:rsidRPr="00FF007A">
        <w:rPr>
          <w:rFonts w:ascii="Verdana" w:eastAsia="Arial" w:hAnsi="Verdana" w:cs="Arial"/>
          <w:bCs/>
          <w:color w:val="000000" w:themeColor="text1"/>
        </w:rPr>
        <w:t>Alcaldes</w:t>
      </w:r>
      <w:proofErr w:type="gramEnd"/>
      <w:r w:rsidRPr="00FF007A">
        <w:rPr>
          <w:rFonts w:ascii="Verdana" w:eastAsia="Arial" w:hAnsi="Verdana" w:cs="Arial"/>
          <w:bCs/>
          <w:color w:val="000000" w:themeColor="text1"/>
        </w:rPr>
        <w:t xml:space="preserve">, </w:t>
      </w:r>
      <w:r w:rsidRPr="00FF007A">
        <w:rPr>
          <w:rFonts w:ascii="Verdana" w:eastAsia="Arial" w:hAnsi="Verdana" w:cs="Arial"/>
          <w:bCs/>
          <w:color w:val="000000" w:themeColor="text1"/>
        </w:rPr>
        <w:lastRenderedPageBreak/>
        <w:t xml:space="preserve">Gobernadores, </w:t>
      </w:r>
      <w:proofErr w:type="gramStart"/>
      <w:r w:rsidRPr="00FF007A">
        <w:rPr>
          <w:rFonts w:ascii="Verdana" w:eastAsia="Arial" w:hAnsi="Verdana" w:cs="Arial"/>
          <w:bCs/>
          <w:color w:val="000000" w:themeColor="text1"/>
        </w:rPr>
        <w:t>Secretarios</w:t>
      </w:r>
      <w:proofErr w:type="gramEnd"/>
      <w:r w:rsidRPr="00FF007A">
        <w:rPr>
          <w:rFonts w:ascii="Verdana" w:eastAsia="Arial" w:hAnsi="Verdana" w:cs="Arial"/>
          <w:bCs/>
          <w:color w:val="000000" w:themeColor="text1"/>
        </w:rPr>
        <w:t xml:space="preserve">, Gerentes y </w:t>
      </w:r>
      <w:proofErr w:type="gramStart"/>
      <w:r w:rsidRPr="00FF007A">
        <w:rPr>
          <w:rFonts w:ascii="Verdana" w:eastAsia="Arial" w:hAnsi="Verdana" w:cs="Arial"/>
          <w:bCs/>
          <w:color w:val="000000" w:themeColor="text1"/>
        </w:rPr>
        <w:t>Directores</w:t>
      </w:r>
      <w:proofErr w:type="gramEnd"/>
      <w:r w:rsidRPr="00FF007A">
        <w:rPr>
          <w:rFonts w:ascii="Verdana" w:eastAsia="Arial" w:hAnsi="Verdana" w:cs="Arial"/>
          <w:bCs/>
          <w:color w:val="000000" w:themeColor="text1"/>
        </w:rPr>
        <w:t xml:space="preserve"> de las entidades del orden municipal, departamental o distrital”; así como determinar si lo que pretende adelantar es un convenio o un contrato interadministrativo para la ejecución de recursos públicos. Cuando este sea el caso, operará la restricción señalada en el parágrafo y estará prohibido llevar a cabo la contratación </w:t>
      </w:r>
      <w:r>
        <w:rPr>
          <w:rFonts w:ascii="Verdana" w:eastAsia="Arial" w:hAnsi="Verdana" w:cs="Arial"/>
          <w:bCs/>
          <w:color w:val="000000" w:themeColor="text1"/>
        </w:rPr>
        <w:t>de convenios o contratos interadministrativos</w:t>
      </w:r>
      <w:r>
        <w:rPr>
          <w:rStyle w:val="Refdenotaalpie"/>
          <w:rFonts w:ascii="Verdana" w:eastAsia="Arial" w:hAnsi="Verdana" w:cs="Arial"/>
          <w:bCs/>
          <w:color w:val="000000" w:themeColor="text1"/>
        </w:rPr>
        <w:footnoteReference w:id="30"/>
      </w:r>
      <w:r>
        <w:rPr>
          <w:rFonts w:ascii="Verdana" w:eastAsia="Arial" w:hAnsi="Verdana" w:cs="Arial"/>
          <w:bCs/>
          <w:color w:val="000000" w:themeColor="text1"/>
        </w:rPr>
        <w:t xml:space="preserve"> </w:t>
      </w:r>
      <w:r w:rsidRPr="00FF007A">
        <w:rPr>
          <w:rFonts w:ascii="Verdana" w:eastAsia="Arial" w:hAnsi="Verdana" w:cs="Arial"/>
          <w:bCs/>
          <w:color w:val="000000" w:themeColor="text1"/>
        </w:rPr>
        <w:t xml:space="preserve">en los cuatro meses anteriores a cualquier contienda electoral. Es importante resaltar que para esta prohibición la norma no contempló ninguna excepción, de modo que aplicará, aunque se trate de entidades sanitarias u hospitalarias. </w:t>
      </w:r>
    </w:p>
    <w:p w14:paraId="53144B63" w14:textId="77777777" w:rsidR="00D452F6" w:rsidRPr="00FF007A" w:rsidRDefault="00D452F6" w:rsidP="00D452F6">
      <w:pPr>
        <w:spacing w:before="120" w:after="12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Por otro lado,</w:t>
      </w:r>
      <w:r w:rsidRPr="00FF007A">
        <w:rPr>
          <w:rFonts w:ascii="Verdana" w:eastAsia="Arial" w:hAnsi="Verdana" w:cs="Arial"/>
          <w:bCs/>
          <w:color w:val="000000" w:themeColor="text1"/>
        </w:rPr>
        <w:t xml:space="preserve"> mediante la Resolución 04 del 12 de </w:t>
      </w:r>
      <w:r>
        <w:rPr>
          <w:rFonts w:ascii="Verdana" w:eastAsia="Arial" w:hAnsi="Verdana" w:cs="Arial"/>
          <w:bCs/>
          <w:color w:val="000000" w:themeColor="text1"/>
        </w:rPr>
        <w:t>e</w:t>
      </w:r>
      <w:r w:rsidRPr="00FF007A">
        <w:rPr>
          <w:rFonts w:ascii="Verdana" w:eastAsia="Arial" w:hAnsi="Verdana" w:cs="Arial"/>
          <w:bCs/>
          <w:color w:val="000000" w:themeColor="text1"/>
        </w:rPr>
        <w:t>nero de 2018, el Ministerio de Salud y Protección Social dio “instrucciones para la ejecución de las acciones en salud pública en el marco de la Ley de Garantías electorales”</w:t>
      </w:r>
      <w:r>
        <w:rPr>
          <w:rStyle w:val="Refdenotaalpie"/>
          <w:rFonts w:ascii="Verdana" w:eastAsia="Arial" w:hAnsi="Verdana" w:cs="Arial"/>
          <w:bCs/>
          <w:color w:val="000000" w:themeColor="text1"/>
        </w:rPr>
        <w:footnoteReference w:id="31"/>
      </w:r>
      <w:r w:rsidRPr="00FF007A">
        <w:rPr>
          <w:rFonts w:ascii="Verdana" w:eastAsia="Arial" w:hAnsi="Verdana" w:cs="Arial"/>
          <w:bCs/>
          <w:color w:val="000000" w:themeColor="text1"/>
        </w:rPr>
        <w:t>. Respecto de la ejecución del Plan de Intervenciones Colectivas (PIC), el Ministerio enfatizó que las entidades deben garantizar los tr</w:t>
      </w:r>
      <w:r>
        <w:rPr>
          <w:rFonts w:ascii="Verdana" w:eastAsia="Arial" w:hAnsi="Verdana" w:cs="Arial"/>
          <w:bCs/>
          <w:color w:val="000000" w:themeColor="text1"/>
        </w:rPr>
        <w:t>á</w:t>
      </w:r>
      <w:r w:rsidRPr="00FF007A">
        <w:rPr>
          <w:rFonts w:ascii="Verdana" w:eastAsia="Arial" w:hAnsi="Verdana" w:cs="Arial"/>
          <w:bCs/>
          <w:color w:val="000000" w:themeColor="text1"/>
        </w:rPr>
        <w:t xml:space="preserve">mites contractuales y la planeación para la continuidad del programa. Además, señaló que durante el periodo de prohibición del artículo 33 de la Ley 996 de 2005 “se exceptúan las acciones que la entidad territorial requiera contratar como entidad sanitaria” con el fin de no paralizar su funcionamiento o interrumpir la prestación de los servicios públicos de carácter esencial, con lo cual resalto la excepción aplicable a estas entidades. Sobre esto último, estableció como criterios para determinar la aplicación de la excepción en materia de salud: i) que la contratación sea necesaria para solventar las eventuales situaciones de urgencia en salud, y </w:t>
      </w:r>
      <w:proofErr w:type="spellStart"/>
      <w:r w:rsidRPr="00FF007A">
        <w:rPr>
          <w:rFonts w:ascii="Verdana" w:eastAsia="Arial" w:hAnsi="Verdana" w:cs="Arial"/>
          <w:bCs/>
          <w:color w:val="000000" w:themeColor="text1"/>
        </w:rPr>
        <w:t>ii</w:t>
      </w:r>
      <w:proofErr w:type="spellEnd"/>
      <w:r w:rsidRPr="00FF007A">
        <w:rPr>
          <w:rFonts w:ascii="Verdana" w:eastAsia="Arial" w:hAnsi="Verdana" w:cs="Arial"/>
          <w:bCs/>
          <w:color w:val="000000" w:themeColor="text1"/>
        </w:rPr>
        <w:t xml:space="preserve">)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4C9CE43D" w14:textId="77777777" w:rsidR="00D452F6" w:rsidRDefault="00D452F6" w:rsidP="00D452F6">
      <w:pPr>
        <w:spacing w:before="120" w:after="0" w:line="276" w:lineRule="auto"/>
        <w:ind w:firstLine="709"/>
        <w:jc w:val="both"/>
        <w:rPr>
          <w:rFonts w:ascii="Verdana" w:eastAsia="Arial" w:hAnsi="Verdana" w:cs="Arial"/>
          <w:bCs/>
          <w:color w:val="000000" w:themeColor="text1"/>
        </w:rPr>
      </w:pPr>
      <w:r w:rsidRPr="00FF007A">
        <w:rPr>
          <w:rFonts w:ascii="Verdana" w:eastAsia="Times New Roman" w:hAnsi="Verdana" w:cs="Arial"/>
          <w:bCs/>
          <w:lang w:eastAsia="es-CO"/>
        </w:rPr>
        <w:t xml:space="preserve">Con respecto a la prohibición del parágrafo del artículo 38, es importante resaltar que el Ministerio de Salud y Protección Social </w:t>
      </w:r>
      <w:r w:rsidRPr="00FF007A">
        <w:rPr>
          <w:rFonts w:ascii="Verdana" w:eastAsia="Arial" w:hAnsi="Verdana" w:cs="Arial"/>
          <w:bCs/>
          <w:color w:val="000000" w:themeColor="text1"/>
        </w:rPr>
        <w:t xml:space="preserve">dispuso que, con el fin de garantizar la continuidad de las intervenciones de promoción de salud y prevención, “se debe acudir a las demás modalidades de contratación autorizadas por la ley de manera que no se afecte la ejecución de las </w:t>
      </w:r>
      <w:r w:rsidRPr="00FF007A">
        <w:rPr>
          <w:rFonts w:ascii="Verdana" w:eastAsia="Arial" w:hAnsi="Verdana" w:cs="Arial"/>
          <w:bCs/>
          <w:color w:val="000000" w:themeColor="text1"/>
        </w:rPr>
        <w:lastRenderedPageBreak/>
        <w:t>intervenciones colectivas a cargo de las entidades territoriales”</w:t>
      </w:r>
      <w:r w:rsidRPr="00FF007A">
        <w:rPr>
          <w:rStyle w:val="Refdenotaalpie"/>
          <w:rFonts w:ascii="Verdana" w:eastAsia="Arial" w:hAnsi="Verdana" w:cs="Arial"/>
          <w:bCs/>
          <w:color w:val="000000" w:themeColor="text1"/>
        </w:rPr>
        <w:footnoteReference w:id="32"/>
      </w:r>
      <w:r w:rsidRPr="00FF007A">
        <w:rPr>
          <w:rFonts w:ascii="Verdana" w:eastAsia="Arial" w:hAnsi="Verdana" w:cs="Arial"/>
          <w:bCs/>
          <w:color w:val="000000" w:themeColor="text1"/>
        </w:rPr>
        <w:t xml:space="preserve">. Lo anterior, considerando que esta prohibición no fijó excepción alguna para su aplicación. </w:t>
      </w:r>
    </w:p>
    <w:p w14:paraId="39ECD8BE" w14:textId="77777777" w:rsidR="00D452F6" w:rsidRDefault="00D452F6" w:rsidP="00D452F6">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4E43D008" w14:textId="77777777" w:rsidR="00D452F6" w:rsidRPr="00B73655" w:rsidRDefault="00D452F6" w:rsidP="00D452F6">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contratación interadministrativa, es decir, aquellas que no se encuentren restringidas por el artículo 33 o el parágrafo del artículo 38 de la Ley 996 de 2005.</w:t>
      </w:r>
    </w:p>
    <w:p w14:paraId="1A90A909" w14:textId="77777777" w:rsidR="00D452F6" w:rsidRPr="005F4C77" w:rsidRDefault="00D452F6" w:rsidP="00D452F6">
      <w:pPr>
        <w:spacing w:after="120" w:line="276" w:lineRule="auto"/>
        <w:ind w:firstLine="708"/>
        <w:jc w:val="both"/>
        <w:rPr>
          <w:rFonts w:ascii="Verdana" w:eastAsia="Times New Roman" w:hAnsi="Verdana" w:cs="Arial"/>
          <w:bCs/>
          <w:lang w:eastAsia="es-CO"/>
        </w:rPr>
      </w:pPr>
      <w:r w:rsidRPr="00FF007A">
        <w:rPr>
          <w:rFonts w:ascii="Verdana" w:eastAsia="Arial" w:hAnsi="Verdana" w:cs="Arial"/>
          <w:color w:val="000000" w:themeColor="text1"/>
        </w:rPr>
        <w:t xml:space="preserve">Finalmente, es importante advertir que </w:t>
      </w:r>
      <w:r w:rsidRPr="00FF007A">
        <w:rPr>
          <w:rFonts w:ascii="Verdana" w:eastAsia="Times New Roman" w:hAnsi="Verdana" w:cs="Arial"/>
        </w:rPr>
        <w:t xml:space="preserve">compete a cada Entidad Estatal que considera celebrar un contrato específico definir si este se enmarca en alguna de las prohibiciones de la Ley de Garantías Electorales. </w:t>
      </w:r>
      <w:r w:rsidRPr="00FF007A">
        <w:rPr>
          <w:rFonts w:ascii="Verdana" w:eastAsia="Times New Roman" w:hAnsi="Verdana" w:cs="Arial"/>
          <w:color w:val="000000" w:themeColor="text1"/>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bookmarkEnd w:id="11"/>
    </w:p>
    <w:p w14:paraId="3AB187DA" w14:textId="77777777" w:rsidR="00D452F6" w:rsidRDefault="00D452F6" w:rsidP="00D452F6">
      <w:pPr>
        <w:tabs>
          <w:tab w:val="left" w:pos="142"/>
          <w:tab w:val="left" w:pos="284"/>
        </w:tabs>
        <w:spacing w:after="0" w:line="240" w:lineRule="auto"/>
        <w:rPr>
          <w:rFonts w:ascii="Verdana" w:eastAsia="Century Gothic" w:hAnsi="Verdana" w:cs="Century Gothic"/>
          <w:b/>
          <w:bCs/>
        </w:rPr>
      </w:pPr>
      <w:bookmarkStart w:id="15" w:name="_Hlk204854194"/>
      <w:r w:rsidRPr="00FF007A">
        <w:rPr>
          <w:rFonts w:ascii="Verdana" w:eastAsia="Century Gothic" w:hAnsi="Verdana" w:cs="Century Gothic"/>
          <w:b/>
          <w:bCs/>
        </w:rPr>
        <w:lastRenderedPageBreak/>
        <w:t>4. Referencias normativas:</w:t>
      </w:r>
      <w:bookmarkEnd w:id="15"/>
    </w:p>
    <w:p w14:paraId="47B577E8" w14:textId="77777777" w:rsidR="00D452F6" w:rsidRPr="00861D2F" w:rsidRDefault="00D452F6" w:rsidP="00D452F6">
      <w:pPr>
        <w:tabs>
          <w:tab w:val="left" w:pos="142"/>
          <w:tab w:val="left" w:pos="284"/>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452F6" w:rsidRPr="00FF007A" w14:paraId="1D477002" w14:textId="77777777" w:rsidTr="00472220">
        <w:trPr>
          <w:trHeight w:val="1288"/>
          <w:jc w:val="center"/>
        </w:trPr>
        <w:tc>
          <w:tcPr>
            <w:tcW w:w="8647" w:type="dxa"/>
          </w:tcPr>
          <w:p w14:paraId="17C5E496" w14:textId="77777777" w:rsidR="00D452F6" w:rsidRPr="00D437AC" w:rsidRDefault="00D452F6" w:rsidP="00D452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Constitución Política</w:t>
            </w:r>
            <w:r>
              <w:rPr>
                <w:rFonts w:ascii="Verdana" w:eastAsia="Arial MT" w:hAnsi="Verdana" w:cs="Arial"/>
                <w:lang w:eastAsia="es-ES" w:bidi="es-ES"/>
              </w:rPr>
              <w:t>. A</w:t>
            </w:r>
            <w:r w:rsidRPr="00D437AC">
              <w:rPr>
                <w:rFonts w:ascii="Verdana" w:eastAsia="Arial MT" w:hAnsi="Verdana" w:cs="Arial"/>
                <w:lang w:eastAsia="es-ES" w:bidi="es-ES"/>
              </w:rPr>
              <w:t>rtículo 127.</w:t>
            </w:r>
          </w:p>
          <w:p w14:paraId="1DDF1826" w14:textId="77777777" w:rsidR="00D452F6" w:rsidRPr="00D437AC" w:rsidRDefault="00D452F6" w:rsidP="00D452F6">
            <w:pPr>
              <w:pStyle w:val="Prrafodelista"/>
              <w:numPr>
                <w:ilvl w:val="0"/>
                <w:numId w:val="17"/>
              </w:numPr>
              <w:spacing w:line="276" w:lineRule="auto"/>
              <w:jc w:val="both"/>
              <w:rPr>
                <w:rFonts w:ascii="Verdana" w:hAnsi="Verdana" w:cs="Arial"/>
                <w:lang w:val="es-CO"/>
              </w:rPr>
            </w:pPr>
            <w:r w:rsidRPr="00D437AC">
              <w:rPr>
                <w:rFonts w:ascii="Verdana" w:hAnsi="Verdana" w:cs="Arial"/>
                <w:lang w:val="es-CO"/>
              </w:rPr>
              <w:t>Ley 80 de 1993</w:t>
            </w:r>
            <w:r>
              <w:rPr>
                <w:rFonts w:ascii="Verdana" w:hAnsi="Verdana" w:cs="Arial"/>
                <w:lang w:val="es-CO"/>
              </w:rPr>
              <w:t>. A</w:t>
            </w:r>
            <w:r w:rsidRPr="00D437AC">
              <w:rPr>
                <w:rFonts w:ascii="Verdana" w:hAnsi="Verdana" w:cs="Arial"/>
                <w:lang w:val="es-CO"/>
              </w:rPr>
              <w:t>rtículos 30 y 32.</w:t>
            </w:r>
          </w:p>
          <w:p w14:paraId="12AE327D" w14:textId="77777777" w:rsidR="00D452F6" w:rsidRPr="00D437AC" w:rsidRDefault="00D452F6" w:rsidP="00D452F6">
            <w:pPr>
              <w:pStyle w:val="Prrafodelista"/>
              <w:numPr>
                <w:ilvl w:val="0"/>
                <w:numId w:val="17"/>
              </w:numPr>
              <w:spacing w:line="276" w:lineRule="auto"/>
              <w:jc w:val="both"/>
              <w:rPr>
                <w:rFonts w:ascii="Verdana" w:hAnsi="Verdana" w:cs="Arial"/>
                <w:lang w:val="es-CO"/>
              </w:rPr>
            </w:pPr>
            <w:r w:rsidRPr="00D437AC">
              <w:rPr>
                <w:rFonts w:ascii="Verdana" w:hAnsi="Verdana" w:cs="Arial"/>
                <w:color w:val="000000" w:themeColor="text1"/>
                <w:lang w:val="es-CO"/>
              </w:rPr>
              <w:t>Ley 100 de 1993</w:t>
            </w:r>
            <w:r>
              <w:rPr>
                <w:rFonts w:ascii="Verdana" w:hAnsi="Verdana" w:cs="Arial"/>
                <w:color w:val="000000" w:themeColor="text1"/>
                <w:lang w:val="es-CO"/>
              </w:rPr>
              <w:t>. A</w:t>
            </w:r>
            <w:r w:rsidRPr="00D437AC">
              <w:rPr>
                <w:rFonts w:ascii="Verdana" w:hAnsi="Verdana" w:cs="Arial"/>
                <w:color w:val="000000" w:themeColor="text1"/>
                <w:lang w:val="es-CO"/>
              </w:rPr>
              <w:t xml:space="preserve">rtículos </w:t>
            </w:r>
            <w:r>
              <w:rPr>
                <w:rFonts w:ascii="Verdana" w:hAnsi="Verdana" w:cs="Arial"/>
                <w:color w:val="000000" w:themeColor="text1"/>
                <w:lang w:val="es-CO"/>
              </w:rPr>
              <w:t>1</w:t>
            </w:r>
            <w:r w:rsidRPr="00D437AC">
              <w:rPr>
                <w:rFonts w:ascii="Verdana" w:hAnsi="Verdana" w:cs="Arial"/>
                <w:color w:val="000000" w:themeColor="text1"/>
                <w:lang w:val="es-CO"/>
              </w:rPr>
              <w:t>94 y 197.</w:t>
            </w:r>
          </w:p>
          <w:p w14:paraId="3FD3A03B" w14:textId="77777777" w:rsidR="00D452F6" w:rsidRPr="00D437AC" w:rsidRDefault="00D452F6" w:rsidP="00D452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bCs/>
                <w:lang w:eastAsia="es-ES" w:bidi="es-ES"/>
              </w:rPr>
              <w:t>Ley 996 de 2005</w:t>
            </w:r>
            <w:r>
              <w:rPr>
                <w:rFonts w:ascii="Verdana" w:eastAsia="Arial MT" w:hAnsi="Verdana" w:cs="Arial"/>
                <w:bCs/>
                <w:lang w:eastAsia="es-ES" w:bidi="es-ES"/>
              </w:rPr>
              <w:t>. Artículos</w:t>
            </w:r>
            <w:r w:rsidRPr="00D437AC">
              <w:rPr>
                <w:rFonts w:ascii="Verdana" w:eastAsia="Arial MT" w:hAnsi="Verdana" w:cs="Arial"/>
                <w:bCs/>
                <w:lang w:eastAsia="es-ES" w:bidi="es-ES"/>
              </w:rPr>
              <w:t xml:space="preserve"> 33 y 38.</w:t>
            </w:r>
          </w:p>
          <w:p w14:paraId="34B6C177" w14:textId="77777777" w:rsidR="00D452F6" w:rsidRPr="00D437AC" w:rsidRDefault="00D452F6" w:rsidP="00D452F6">
            <w:pPr>
              <w:pStyle w:val="Prrafodelista"/>
              <w:widowControl w:val="0"/>
              <w:numPr>
                <w:ilvl w:val="0"/>
                <w:numId w:val="17"/>
              </w:numPr>
              <w:autoSpaceDE w:val="0"/>
              <w:autoSpaceDN w:val="0"/>
              <w:spacing w:line="276" w:lineRule="auto"/>
              <w:jc w:val="both"/>
              <w:rPr>
                <w:rFonts w:ascii="Verdana" w:hAnsi="Verdana" w:cs="Arial"/>
                <w:lang w:val="es-CO"/>
              </w:rPr>
            </w:pPr>
            <w:r w:rsidRPr="00D437AC">
              <w:rPr>
                <w:rFonts w:ascii="Verdana" w:eastAsia="Arial" w:hAnsi="Verdana" w:cs="Arial"/>
                <w:bCs/>
                <w:color w:val="000000" w:themeColor="text1"/>
                <w:lang w:val="es-CO"/>
              </w:rPr>
              <w:t>Decreto 780 de 2016</w:t>
            </w:r>
            <w:r>
              <w:rPr>
                <w:rFonts w:ascii="Verdana" w:eastAsia="Arial" w:hAnsi="Verdana" w:cs="Arial"/>
                <w:bCs/>
                <w:color w:val="000000" w:themeColor="text1"/>
                <w:lang w:val="es-CO"/>
              </w:rPr>
              <w:t>. A</w:t>
            </w:r>
            <w:r w:rsidRPr="00D437AC">
              <w:rPr>
                <w:rFonts w:ascii="Verdana" w:eastAsia="Arial" w:hAnsi="Verdana" w:cs="Arial"/>
                <w:bCs/>
                <w:color w:val="000000" w:themeColor="text1"/>
                <w:lang w:val="es-CO"/>
              </w:rPr>
              <w:t>rtículos 2.8.8.1.4.2, 2.8.8.1.1.3.</w:t>
            </w:r>
          </w:p>
          <w:p w14:paraId="6228B763" w14:textId="77777777" w:rsidR="00D452F6" w:rsidRPr="00D437AC" w:rsidRDefault="00D452F6" w:rsidP="00D452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Times New Roman" w:hAnsi="Verdana" w:cs="Times New Roman"/>
                <w:lang w:eastAsia="es-MX"/>
              </w:rPr>
              <w:t>Ley 1150 de 2007</w:t>
            </w:r>
            <w:r>
              <w:rPr>
                <w:rFonts w:ascii="Verdana" w:eastAsia="Times New Roman" w:hAnsi="Verdana" w:cs="Times New Roman"/>
                <w:lang w:eastAsia="es-MX"/>
              </w:rPr>
              <w:t>. A</w:t>
            </w:r>
            <w:r w:rsidRPr="00D437AC">
              <w:rPr>
                <w:rFonts w:ascii="Verdana" w:eastAsia="Arial MT" w:hAnsi="Verdana" w:cs="Arial"/>
                <w:lang w:eastAsia="es-ES" w:bidi="es-ES"/>
              </w:rPr>
              <w:t>rtículo</w:t>
            </w:r>
            <w:r>
              <w:rPr>
                <w:rFonts w:ascii="Verdana" w:eastAsia="Arial MT" w:hAnsi="Verdana" w:cs="Arial"/>
                <w:lang w:eastAsia="es-ES" w:bidi="es-ES"/>
              </w:rPr>
              <w:t>s</w:t>
            </w:r>
            <w:r w:rsidRPr="00D437AC">
              <w:rPr>
                <w:rFonts w:ascii="Verdana" w:eastAsia="Arial MT" w:hAnsi="Verdana" w:cs="Arial"/>
                <w:lang w:eastAsia="es-ES" w:bidi="es-ES"/>
              </w:rPr>
              <w:t xml:space="preserve"> 2, numeral 4. </w:t>
            </w:r>
          </w:p>
          <w:p w14:paraId="4F1043E7" w14:textId="77777777" w:rsidR="00D452F6" w:rsidRPr="00D437AC" w:rsidRDefault="00D452F6" w:rsidP="00D452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Decreto 1082 de 2015</w:t>
            </w:r>
            <w:r>
              <w:rPr>
                <w:rFonts w:ascii="Verdana" w:eastAsia="Arial MT" w:hAnsi="Verdana" w:cs="Arial"/>
                <w:lang w:eastAsia="es-ES" w:bidi="es-ES"/>
              </w:rPr>
              <w:t>. A</w:t>
            </w:r>
            <w:r w:rsidRPr="00D437AC">
              <w:rPr>
                <w:rFonts w:ascii="Verdana" w:eastAsia="Arial MT" w:hAnsi="Verdana" w:cs="Arial"/>
                <w:lang w:eastAsia="es-ES" w:bidi="es-ES"/>
              </w:rPr>
              <w:t>rtículo 2.2.1.2.1.4.4.</w:t>
            </w:r>
          </w:p>
          <w:p w14:paraId="3E09E72F" w14:textId="77777777" w:rsidR="00D452F6" w:rsidRDefault="00D452F6" w:rsidP="00D452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Resolución 1597 de 2025. Artículo</w:t>
            </w:r>
            <w:r>
              <w:rPr>
                <w:rFonts w:ascii="Verdana" w:eastAsia="Arial MT" w:hAnsi="Verdana" w:cs="Arial"/>
                <w:lang w:eastAsia="es-ES" w:bidi="es-ES"/>
              </w:rPr>
              <w:t>s</w:t>
            </w:r>
            <w:r w:rsidRPr="00D437AC">
              <w:rPr>
                <w:rFonts w:ascii="Verdana" w:eastAsia="Arial MT" w:hAnsi="Verdana" w:cs="Arial"/>
                <w:lang w:eastAsia="es-ES" w:bidi="es-ES"/>
              </w:rPr>
              <w:t xml:space="preserve"> 10 y 12. </w:t>
            </w:r>
          </w:p>
          <w:p w14:paraId="1CF6CFFE" w14:textId="77777777" w:rsidR="00D452F6" w:rsidRPr="00A04FD5" w:rsidRDefault="00D452F6" w:rsidP="00D452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w:hAnsi="Verdana" w:cs="Arial"/>
                <w:bCs/>
                <w:color w:val="000000" w:themeColor="text1"/>
              </w:rPr>
              <w:t xml:space="preserve">Resolución 04 del 12 de enero de 2018. </w:t>
            </w:r>
          </w:p>
          <w:p w14:paraId="4395F58D" w14:textId="77777777" w:rsidR="00D452F6" w:rsidRPr="00A04FD5" w:rsidRDefault="00D452F6" w:rsidP="00D452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Consejo de Estado. Sala de lo Contencioso Administrativo. Sección Primera. Sentencia de 3 de marzo de 2005, Radicado: 25001-23-15-000-2004-00823-01 (PI). C.P: Camilo Arciniegas Andrade.</w:t>
            </w:r>
          </w:p>
          <w:p w14:paraId="6AF9F77D" w14:textId="77777777" w:rsidR="00D452F6" w:rsidRPr="00A04FD5" w:rsidRDefault="00D452F6" w:rsidP="00D452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 xml:space="preserve">Consejo de Estado, Sala de Consulta y Servicio Civil de fecha 24 de julio de 2013. Radicado: Radicado: 11001-03-06-000-2013-00407-00 (2166). C.P: Álvaro </w:t>
            </w:r>
            <w:proofErr w:type="spellStart"/>
            <w:r w:rsidRPr="00A04FD5">
              <w:rPr>
                <w:rFonts w:ascii="Verdana" w:eastAsia="Arial MT" w:hAnsi="Verdana" w:cs="Arial"/>
                <w:lang w:eastAsia="es-ES" w:bidi="es-ES"/>
              </w:rPr>
              <w:t>Namén</w:t>
            </w:r>
            <w:proofErr w:type="spellEnd"/>
            <w:r w:rsidRPr="00A04FD5">
              <w:rPr>
                <w:rFonts w:ascii="Verdana" w:eastAsia="Arial MT" w:hAnsi="Verdana" w:cs="Arial"/>
                <w:lang w:eastAsia="es-ES" w:bidi="es-ES"/>
              </w:rPr>
              <w:t xml:space="preserve"> Vargas.  </w:t>
            </w:r>
          </w:p>
          <w:p w14:paraId="12986B60" w14:textId="77777777" w:rsidR="00D452F6" w:rsidRPr="00A04FD5" w:rsidRDefault="00D452F6" w:rsidP="00D452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Consejo de Estado. Sala de Consulta y Servicio Civil. Concepto del 17 de febrero de 2015. Radicación No. 11001-03-06-000-2015-00164-00 (2269) C.P: William Zambrano Cetina.</w:t>
            </w:r>
          </w:p>
          <w:p w14:paraId="7C5C0A2D" w14:textId="77777777" w:rsidR="00D452F6" w:rsidRPr="00A04FD5" w:rsidRDefault="00D452F6" w:rsidP="00D452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 xml:space="preserve">Consejo de Estado. Sala de Consulta y Servicio Civil. Concepto del 02 de septiembre de 2013. Rad. 11001-03-06-000-2013-00412-00 (2168). C.P. Álvaro </w:t>
            </w:r>
            <w:proofErr w:type="spellStart"/>
            <w:r w:rsidRPr="00A04FD5">
              <w:rPr>
                <w:rFonts w:ascii="Verdana" w:eastAsia="Arial MT" w:hAnsi="Verdana" w:cs="Arial"/>
                <w:lang w:eastAsia="es-ES" w:bidi="es-ES"/>
              </w:rPr>
              <w:t>Namén</w:t>
            </w:r>
            <w:proofErr w:type="spellEnd"/>
            <w:r w:rsidRPr="00A04FD5">
              <w:rPr>
                <w:rFonts w:ascii="Verdana" w:eastAsia="Arial MT" w:hAnsi="Verdana" w:cs="Arial"/>
                <w:lang w:eastAsia="es-ES" w:bidi="es-ES"/>
              </w:rPr>
              <w:t xml:space="preserve"> Vargas.</w:t>
            </w:r>
          </w:p>
          <w:p w14:paraId="71FF6B69" w14:textId="77777777" w:rsidR="00D452F6" w:rsidRPr="00A04FD5" w:rsidRDefault="00D452F6" w:rsidP="00D452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 xml:space="preserve">Consejo de Estado. Sala de Consulta y Servicio Civil. Concepto del 08 de mayo de 2018. </w:t>
            </w:r>
            <w:proofErr w:type="spellStart"/>
            <w:r w:rsidRPr="00A04FD5">
              <w:rPr>
                <w:rFonts w:ascii="Verdana" w:eastAsia="Arial MT" w:hAnsi="Verdana" w:cs="Arial"/>
                <w:lang w:eastAsia="es-ES" w:bidi="es-ES"/>
              </w:rPr>
              <w:t>Exp</w:t>
            </w:r>
            <w:proofErr w:type="spellEnd"/>
            <w:r w:rsidRPr="00A04FD5">
              <w:rPr>
                <w:rFonts w:ascii="Verdana" w:eastAsia="Arial MT" w:hAnsi="Verdana" w:cs="Arial"/>
                <w:lang w:eastAsia="es-ES" w:bidi="es-ES"/>
              </w:rPr>
              <w:t xml:space="preserve">. 2.382. C.P. Álvaro </w:t>
            </w:r>
            <w:proofErr w:type="spellStart"/>
            <w:r w:rsidRPr="00A04FD5">
              <w:rPr>
                <w:rFonts w:ascii="Verdana" w:eastAsia="Arial MT" w:hAnsi="Verdana" w:cs="Arial"/>
                <w:lang w:eastAsia="es-ES" w:bidi="es-ES"/>
              </w:rPr>
              <w:t>Namén</w:t>
            </w:r>
            <w:proofErr w:type="spellEnd"/>
            <w:r w:rsidRPr="00A04FD5">
              <w:rPr>
                <w:rFonts w:ascii="Verdana" w:eastAsia="Arial MT" w:hAnsi="Verdana" w:cs="Arial"/>
                <w:lang w:eastAsia="es-ES" w:bidi="es-ES"/>
              </w:rPr>
              <w:t xml:space="preserve"> Vargas.</w:t>
            </w:r>
          </w:p>
          <w:p w14:paraId="6EC8A024" w14:textId="77777777" w:rsidR="00D452F6" w:rsidRPr="00A04FD5" w:rsidRDefault="00D452F6" w:rsidP="00D452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Consejo de Estado. Sala de Consulta y Servicio Civil. Concepto de 20 de febrero de 2006. Radicación Número: 11001-03-06-000-2006-00026-00(1727). C.P: Enrique José Arboleda Perdomo.</w:t>
            </w:r>
          </w:p>
          <w:p w14:paraId="21B46ECE" w14:textId="77777777" w:rsidR="00D452F6" w:rsidRPr="00A04FD5" w:rsidRDefault="00D452F6" w:rsidP="00D452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Consejo de Estado. Sala de Consulta y Servicio Civil. Concepto del 18 de febrero 2010. Radicado: 11001-03-06-000-2010-00006-00 (1985). C.P. Enrique José Arboleda Perdomo.</w:t>
            </w:r>
          </w:p>
          <w:p w14:paraId="220B93B4" w14:textId="77777777" w:rsidR="00D452F6" w:rsidRPr="00A04FD5" w:rsidRDefault="00D452F6" w:rsidP="00D452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 xml:space="preserve">Consejo de Estado. Sala de lo Contencioso Administrativo. Sección Tercera. Auto del 4 de octubre de 2024. </w:t>
            </w:r>
            <w:proofErr w:type="spellStart"/>
            <w:r w:rsidRPr="00A04FD5">
              <w:rPr>
                <w:rFonts w:ascii="Verdana" w:eastAsia="Arial MT" w:hAnsi="Verdana" w:cs="Arial"/>
                <w:lang w:eastAsia="es-ES" w:bidi="es-ES"/>
              </w:rPr>
              <w:t>Exp</w:t>
            </w:r>
            <w:proofErr w:type="spellEnd"/>
            <w:r w:rsidRPr="00A04FD5">
              <w:rPr>
                <w:rFonts w:ascii="Verdana" w:eastAsia="Arial MT" w:hAnsi="Verdana" w:cs="Arial"/>
                <w:lang w:eastAsia="es-ES" w:bidi="es-ES"/>
              </w:rPr>
              <w:t>. 70.313. C.P: Fredy Ibarra Martínez.</w:t>
            </w:r>
          </w:p>
          <w:p w14:paraId="312E2314" w14:textId="77777777" w:rsidR="00D452F6" w:rsidRPr="00A04FD5" w:rsidRDefault="00D452F6" w:rsidP="00D452F6">
            <w:pPr>
              <w:widowControl w:val="0"/>
              <w:numPr>
                <w:ilvl w:val="0"/>
                <w:numId w:val="17"/>
              </w:numPr>
              <w:autoSpaceDE w:val="0"/>
              <w:autoSpaceDN w:val="0"/>
              <w:spacing w:line="276" w:lineRule="auto"/>
              <w:contextualSpacing/>
              <w:jc w:val="both"/>
              <w:rPr>
                <w:rFonts w:ascii="Verdana" w:eastAsia="Arial MT" w:hAnsi="Verdana" w:cs="Arial"/>
                <w:lang w:eastAsia="es-ES" w:bidi="es-ES"/>
              </w:rPr>
            </w:pPr>
            <w:r w:rsidRPr="00A04FD5">
              <w:rPr>
                <w:rFonts w:ascii="Verdana" w:eastAsia="Arial MT" w:hAnsi="Verdana" w:cs="Arial"/>
                <w:lang w:eastAsia="es-ES" w:bidi="es-ES"/>
              </w:rPr>
              <w:t>Consejo de Estado. Sala de Consulta y Servicio Civil. Concepto del 12 de junio de 2018. Radicación Interna: 11001</w:t>
            </w:r>
            <w:r w:rsidRPr="00D437AC">
              <w:rPr>
                <w:rFonts w:ascii="Verdana" w:eastAsia="Arial MT" w:hAnsi="Verdana" w:cs="Arial"/>
                <w:lang w:eastAsia="es-ES" w:bidi="es-ES"/>
              </w:rPr>
              <w:t>-03-06-000-2018-0043-00. (</w:t>
            </w:r>
            <w:r w:rsidRPr="00A04FD5">
              <w:rPr>
                <w:rFonts w:ascii="Verdana" w:eastAsia="Arial MT" w:hAnsi="Verdana" w:cs="Arial"/>
                <w:lang w:eastAsia="es-ES" w:bidi="es-ES"/>
              </w:rPr>
              <w:t>2371). Consejero Ponente: Oscar Darío Amaya Navas.</w:t>
            </w:r>
          </w:p>
          <w:p w14:paraId="52048311" w14:textId="77777777" w:rsidR="00D452F6" w:rsidRPr="00A04FD5" w:rsidRDefault="00D452F6" w:rsidP="00D452F6">
            <w:pPr>
              <w:pStyle w:val="Prrafodelista"/>
              <w:numPr>
                <w:ilvl w:val="0"/>
                <w:numId w:val="17"/>
              </w:numPr>
              <w:spacing w:line="276" w:lineRule="auto"/>
              <w:jc w:val="both"/>
              <w:rPr>
                <w:rFonts w:ascii="Verdana" w:eastAsia="Arial MT" w:hAnsi="Verdana" w:cs="Arial"/>
                <w:lang w:val="es-CO" w:eastAsia="es-ES" w:bidi="es-ES"/>
              </w:rPr>
            </w:pPr>
            <w:r w:rsidRPr="00A04FD5">
              <w:rPr>
                <w:rFonts w:ascii="Verdana" w:eastAsia="Arial MT" w:hAnsi="Verdana" w:cs="Arial"/>
                <w:lang w:val="es-CO" w:eastAsia="es-ES" w:bidi="es-ES"/>
              </w:rPr>
              <w:lastRenderedPageBreak/>
              <w:t>Corte Constitucional. Sentencia C-1153 de 2005 M.P. Marco Gerardo Monroy Cabra.</w:t>
            </w:r>
          </w:p>
          <w:p w14:paraId="122503FC" w14:textId="77777777" w:rsidR="00D452F6" w:rsidRPr="00A04FD5" w:rsidRDefault="00D452F6" w:rsidP="00D452F6">
            <w:pPr>
              <w:pStyle w:val="Prrafodelista"/>
              <w:numPr>
                <w:ilvl w:val="0"/>
                <w:numId w:val="17"/>
              </w:numPr>
              <w:spacing w:line="276" w:lineRule="auto"/>
              <w:jc w:val="both"/>
              <w:rPr>
                <w:rFonts w:ascii="Verdana" w:eastAsia="Arial MT" w:hAnsi="Verdana" w:cs="Arial"/>
                <w:lang w:val="es-CO" w:eastAsia="es-ES" w:bidi="es-ES"/>
              </w:rPr>
            </w:pPr>
            <w:r w:rsidRPr="00A04FD5">
              <w:rPr>
                <w:rFonts w:ascii="Verdana" w:eastAsia="Arial MT" w:hAnsi="Verdana" w:cs="Arial"/>
                <w:lang w:val="es-CO" w:eastAsia="es-ES" w:bidi="es-ES"/>
              </w:rPr>
              <w:t xml:space="preserve">Corte Constitucional. Sentencia C-233 de 4 de abril de 2002. M.P: Álvaro Tafur Galvis. </w:t>
            </w:r>
          </w:p>
          <w:p w14:paraId="3116A819" w14:textId="77777777" w:rsidR="00D452F6" w:rsidRPr="00A04FD5" w:rsidRDefault="00D452F6" w:rsidP="00D452F6">
            <w:pPr>
              <w:pStyle w:val="Prrafodelista"/>
              <w:numPr>
                <w:ilvl w:val="0"/>
                <w:numId w:val="17"/>
              </w:numPr>
              <w:spacing w:line="276" w:lineRule="auto"/>
              <w:jc w:val="both"/>
              <w:rPr>
                <w:rFonts w:ascii="Verdana" w:eastAsia="Arial MT" w:hAnsi="Verdana" w:cs="Arial"/>
                <w:lang w:val="es-CO" w:eastAsia="es-ES" w:bidi="es-ES"/>
              </w:rPr>
            </w:pPr>
            <w:r w:rsidRPr="00A04FD5">
              <w:rPr>
                <w:rFonts w:ascii="Verdana" w:eastAsia="Arial MT" w:hAnsi="Verdana" w:cs="Arial"/>
                <w:lang w:val="es-CO" w:eastAsia="es-ES" w:bidi="es-ES"/>
              </w:rPr>
              <w:t xml:space="preserve">Corte Constitucional. Sentencia C-551 de 9 de julio de 2003. M.P: Eduardo Montealegre </w:t>
            </w:r>
            <w:proofErr w:type="spellStart"/>
            <w:r w:rsidRPr="00A04FD5">
              <w:rPr>
                <w:rFonts w:ascii="Verdana" w:eastAsia="Arial MT" w:hAnsi="Verdana" w:cs="Arial"/>
                <w:lang w:val="es-CO" w:eastAsia="es-ES" w:bidi="es-ES"/>
              </w:rPr>
              <w:t>Lynett</w:t>
            </w:r>
            <w:proofErr w:type="spellEnd"/>
            <w:r w:rsidRPr="00A04FD5">
              <w:rPr>
                <w:rFonts w:ascii="Verdana" w:eastAsia="Arial MT" w:hAnsi="Verdana" w:cs="Arial"/>
                <w:lang w:val="es-CO" w:eastAsia="es-ES" w:bidi="es-ES"/>
              </w:rPr>
              <w:t xml:space="preserve">. </w:t>
            </w:r>
          </w:p>
          <w:p w14:paraId="4D3BA0D8" w14:textId="77777777" w:rsidR="00D452F6" w:rsidRPr="00A04FD5" w:rsidRDefault="00D452F6" w:rsidP="00D452F6">
            <w:pPr>
              <w:pStyle w:val="Prrafodelista"/>
              <w:numPr>
                <w:ilvl w:val="0"/>
                <w:numId w:val="17"/>
              </w:numPr>
              <w:spacing w:line="276" w:lineRule="auto"/>
              <w:jc w:val="both"/>
              <w:rPr>
                <w:rFonts w:ascii="Verdana" w:eastAsia="Arial MT" w:hAnsi="Verdana" w:cs="Arial"/>
                <w:lang w:val="es-CO" w:eastAsia="es-ES" w:bidi="es-ES"/>
              </w:rPr>
            </w:pPr>
            <w:r w:rsidRPr="00A04FD5">
              <w:rPr>
                <w:rFonts w:ascii="Verdana" w:eastAsia="Arial MT" w:hAnsi="Verdana" w:cs="Arial"/>
                <w:lang w:val="es-CO" w:eastAsia="es-ES" w:bidi="es-ES"/>
              </w:rPr>
              <w:t xml:space="preserve">Corte Constitucional. Sentencia C-652 de 5 de agosto de 2003. M.P: Jaime Córdoba Triviño. </w:t>
            </w:r>
          </w:p>
          <w:p w14:paraId="03966F8A" w14:textId="77777777" w:rsidR="00D452F6" w:rsidRPr="00A04FD5" w:rsidRDefault="00D452F6" w:rsidP="00D452F6">
            <w:pPr>
              <w:pStyle w:val="Prrafodelista"/>
              <w:numPr>
                <w:ilvl w:val="0"/>
                <w:numId w:val="17"/>
              </w:numPr>
              <w:spacing w:line="276" w:lineRule="auto"/>
              <w:jc w:val="both"/>
              <w:rPr>
                <w:rFonts w:ascii="Verdana" w:eastAsia="Arial MT" w:hAnsi="Verdana" w:cs="Arial"/>
                <w:lang w:val="es-CO" w:eastAsia="es-ES" w:bidi="es-ES"/>
              </w:rPr>
            </w:pPr>
            <w:r w:rsidRPr="00A04FD5">
              <w:rPr>
                <w:rFonts w:ascii="Verdana" w:eastAsia="Arial MT" w:hAnsi="Verdana" w:cs="Arial"/>
                <w:lang w:val="es-CO" w:eastAsia="es-ES" w:bidi="es-ES"/>
              </w:rPr>
              <w:t xml:space="preserve">Corte Constitucional. Sentencia C-353 de 20 de mayo de 2009. M.P: Jorge Iván Palacio </w:t>
            </w:r>
            <w:proofErr w:type="spellStart"/>
            <w:r w:rsidRPr="00A04FD5">
              <w:rPr>
                <w:rFonts w:ascii="Verdana" w:eastAsia="Arial MT" w:hAnsi="Verdana" w:cs="Arial"/>
                <w:lang w:val="es-CO" w:eastAsia="es-ES" w:bidi="es-ES"/>
              </w:rPr>
              <w:t>Palacio</w:t>
            </w:r>
            <w:proofErr w:type="spellEnd"/>
            <w:r w:rsidRPr="00A04FD5">
              <w:rPr>
                <w:rFonts w:ascii="Verdana" w:eastAsia="Arial MT" w:hAnsi="Verdana" w:cs="Arial"/>
                <w:lang w:val="es-CO" w:eastAsia="es-ES" w:bidi="es-ES"/>
              </w:rPr>
              <w:t xml:space="preserve">. </w:t>
            </w:r>
          </w:p>
          <w:p w14:paraId="3D41B848" w14:textId="77777777" w:rsidR="00D452F6" w:rsidRPr="00A04FD5" w:rsidRDefault="00D452F6" w:rsidP="00D452F6">
            <w:pPr>
              <w:pStyle w:val="Prrafodelista"/>
              <w:numPr>
                <w:ilvl w:val="0"/>
                <w:numId w:val="17"/>
              </w:numPr>
              <w:spacing w:line="276" w:lineRule="auto"/>
              <w:jc w:val="both"/>
              <w:rPr>
                <w:rFonts w:ascii="Verdana" w:eastAsia="Arial MT" w:hAnsi="Verdana" w:cs="Arial"/>
                <w:lang w:val="es-CO" w:eastAsia="es-ES" w:bidi="es-ES"/>
              </w:rPr>
            </w:pPr>
            <w:r w:rsidRPr="00A04FD5">
              <w:rPr>
                <w:rFonts w:ascii="Verdana" w:eastAsia="Arial MT" w:hAnsi="Verdana" w:cs="Arial"/>
                <w:lang w:val="es-CO" w:eastAsia="es-ES" w:bidi="es-ES"/>
              </w:rPr>
              <w:t>Corte Constitucional. Sentencia C-541 de 30 de junio de 2010, M.P: Gabriel Eduardo Mendoza Martelo.</w:t>
            </w:r>
          </w:p>
        </w:tc>
      </w:tr>
    </w:tbl>
    <w:p w14:paraId="58A0CC00" w14:textId="77777777" w:rsidR="00D452F6" w:rsidRPr="00FF007A" w:rsidRDefault="00D452F6" w:rsidP="00D452F6">
      <w:pPr>
        <w:widowControl w:val="0"/>
        <w:autoSpaceDE w:val="0"/>
        <w:autoSpaceDN w:val="0"/>
        <w:spacing w:after="0" w:line="276" w:lineRule="auto"/>
        <w:jc w:val="both"/>
        <w:rPr>
          <w:rFonts w:ascii="Verdana" w:hAnsi="Verdana" w:cs="Arial"/>
        </w:rPr>
      </w:pPr>
    </w:p>
    <w:p w14:paraId="2BBEFC96" w14:textId="77777777" w:rsidR="00D452F6" w:rsidRPr="00FF007A" w:rsidRDefault="00D452F6" w:rsidP="00D452F6">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58ECBF23" w14:textId="77777777" w:rsidR="00D452F6" w:rsidRDefault="00D452F6" w:rsidP="00D452F6">
      <w:pPr>
        <w:widowControl w:val="0"/>
        <w:autoSpaceDE w:val="0"/>
        <w:autoSpaceDN w:val="0"/>
        <w:spacing w:after="0" w:line="276" w:lineRule="auto"/>
        <w:jc w:val="both"/>
        <w:rPr>
          <w:rFonts w:ascii="Verdana" w:hAnsi="Verdana" w:cs="Arial"/>
          <w:shd w:val="clear" w:color="auto" w:fill="FFFFFF"/>
          <w:lang w:val="es-ES"/>
        </w:rPr>
      </w:pPr>
    </w:p>
    <w:p w14:paraId="0D6D87D8" w14:textId="263B76AD" w:rsidR="00D452F6" w:rsidRPr="00AF06A2" w:rsidRDefault="00D452F6" w:rsidP="00D452F6">
      <w:pPr>
        <w:widowControl w:val="0"/>
        <w:autoSpaceDE w:val="0"/>
        <w:autoSpaceDN w:val="0"/>
        <w:spacing w:after="0" w:line="276" w:lineRule="auto"/>
        <w:jc w:val="both"/>
        <w:rPr>
          <w:rFonts w:ascii="Verdana" w:eastAsia="Times New Roman" w:hAnsi="Verdana" w:cs="Arial"/>
          <w:shd w:val="clear" w:color="auto" w:fill="FFFFFF"/>
          <w:lang w:val="es-ES"/>
        </w:rPr>
      </w:pPr>
      <w:r w:rsidRPr="00FF007A">
        <w:rPr>
          <w:rFonts w:ascii="Verdana" w:eastAsia="Calibri" w:hAnsi="Verdana" w:cs="Arial"/>
        </w:rPr>
        <w:t xml:space="preserve">La Agencia Nacional de Contratación Pública – Colombia Compra Eficiente se ha referido </w:t>
      </w:r>
      <w:r w:rsidRPr="00FF007A">
        <w:rPr>
          <w:rFonts w:ascii="Verdana" w:hAnsi="Verdana" w:cs="Arial"/>
          <w:shd w:val="clear" w:color="auto" w:fill="FFFFFF"/>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w:t>
      </w:r>
      <w:r>
        <w:rPr>
          <w:rFonts w:ascii="Verdana" w:hAnsi="Verdana" w:cs="Arial"/>
          <w:shd w:val="clear" w:color="auto" w:fill="FFFFFF"/>
        </w:rPr>
        <w:t xml:space="preserve">, </w:t>
      </w:r>
      <w:r w:rsidRPr="00FF007A">
        <w:rPr>
          <w:rFonts w:ascii="Verdana" w:hAnsi="Verdana" w:cs="Arial"/>
          <w:shd w:val="clear" w:color="auto" w:fill="FFFFFF"/>
        </w:rPr>
        <w:t>C-523 del 10 de octubre de 2021, C-606 del 28 de octubre de 2021</w:t>
      </w:r>
      <w:r>
        <w:rPr>
          <w:rFonts w:ascii="Verdana" w:hAnsi="Verdana" w:cs="Arial"/>
          <w:shd w:val="clear" w:color="auto" w:fill="FFFFFF"/>
        </w:rPr>
        <w:t>,</w:t>
      </w:r>
      <w:r w:rsidRPr="00FF007A">
        <w:rPr>
          <w:rFonts w:ascii="Verdana" w:hAnsi="Verdana" w:cs="Arial"/>
          <w:shd w:val="clear" w:color="auto" w:fill="FFFFFF"/>
        </w:rPr>
        <w:t xml:space="preserve"> C-614 del 2 de noviembre de 2021, C-636 del 16 de noviembre de 2021, </w:t>
      </w:r>
      <w:r>
        <w:rPr>
          <w:rFonts w:ascii="Verdana" w:hAnsi="Verdana" w:cs="Arial"/>
          <w:shd w:val="clear" w:color="auto" w:fill="FFFFFF"/>
        </w:rPr>
        <w:t>C-</w:t>
      </w:r>
      <w:r w:rsidRPr="00FF007A">
        <w:rPr>
          <w:rFonts w:ascii="Verdana" w:hAnsi="Verdana" w:cs="Arial"/>
          <w:shd w:val="clear" w:color="auto" w:fill="FFFFFF"/>
        </w:rPr>
        <w:t xml:space="preserve">681 del 7 de diciembre de 2021, C-686 del 21 de diciembre de 2021, C-697 del 3 de enero de 2022, C-180 del 21 de marzo de 2025, C-317 del 25 de abril de 2025, C-510 del 4 de junio de 2025, C -635 del 27 de junio de 2025, C–750 de 17 de julio 2025, </w:t>
      </w:r>
      <w:r>
        <w:rPr>
          <w:rFonts w:ascii="Verdana" w:hAnsi="Verdana" w:cs="Arial"/>
          <w:shd w:val="clear" w:color="auto" w:fill="FFFFFF"/>
        </w:rPr>
        <w:t xml:space="preserve">C-868 del 12 de agosto de 2025, </w:t>
      </w:r>
      <w:r w:rsidRPr="00FF007A">
        <w:rPr>
          <w:rFonts w:ascii="Verdana" w:hAnsi="Verdana" w:cs="Arial"/>
          <w:shd w:val="clear" w:color="auto" w:fill="FFFFFF"/>
        </w:rPr>
        <w:t>entre otros. Sobre la aplicación de esta ley y la contratación del PIC se refirió en los conceptos C‒044 del 04 de marzo de 2022, C‒158 del 04 de abril de 2022</w:t>
      </w:r>
      <w:r>
        <w:rPr>
          <w:rFonts w:ascii="Verdana" w:hAnsi="Verdana" w:cs="Arial"/>
          <w:shd w:val="clear" w:color="auto" w:fill="FFFFFF"/>
        </w:rPr>
        <w:t xml:space="preserve">, </w:t>
      </w:r>
      <w:r w:rsidRPr="00FF007A">
        <w:rPr>
          <w:rFonts w:ascii="Verdana" w:hAnsi="Verdana" w:cs="Arial"/>
          <w:shd w:val="clear" w:color="auto" w:fill="FFFFFF"/>
        </w:rPr>
        <w:t>C‒364 del 20 de mayo de 2022</w:t>
      </w:r>
      <w:r w:rsidRPr="00FF007A">
        <w:rPr>
          <w:rFonts w:ascii="Verdana" w:hAnsi="Verdana" w:cs="Arial"/>
        </w:rPr>
        <w:t>,</w:t>
      </w:r>
      <w:r>
        <w:rPr>
          <w:rFonts w:ascii="Verdana" w:hAnsi="Verdana" w:cs="Arial"/>
        </w:rPr>
        <w:t xml:space="preserve"> C-979 de 25 de agosto de 2025,</w:t>
      </w:r>
      <w:r w:rsidRPr="00FF007A">
        <w:rPr>
          <w:rFonts w:ascii="Verdana" w:hAnsi="Verdana" w:cs="Arial"/>
        </w:rPr>
        <w:t xml:space="preserve"> </w:t>
      </w:r>
      <w:r w:rsidR="00A770F8">
        <w:rPr>
          <w:rFonts w:ascii="Verdana" w:hAnsi="Verdana" w:cs="Arial"/>
        </w:rPr>
        <w:t>C-1124 del 16 de septiembre de 2025</w:t>
      </w:r>
      <w:r>
        <w:rPr>
          <w:rFonts w:ascii="Verdana" w:hAnsi="Verdana" w:cs="Arial"/>
        </w:rPr>
        <w:t xml:space="preserve">, </w:t>
      </w:r>
      <w:r w:rsidRPr="009F635A">
        <w:rPr>
          <w:rFonts w:ascii="Verdana" w:hAnsi="Verdana" w:cs="Arial"/>
          <w:shd w:val="clear" w:color="auto" w:fill="FFFFFF"/>
          <w:lang w:val="es-ES"/>
        </w:rPr>
        <w:t>entre otros</w:t>
      </w:r>
      <w:r w:rsidRPr="009F635A">
        <w:rPr>
          <w:rFonts w:ascii="Verdana" w:eastAsia="Times New Roman" w:hAnsi="Verdana" w:cs="Arial"/>
          <w:shd w:val="clear" w:color="auto" w:fill="FFFFFF"/>
          <w:lang w:val="es-ES"/>
        </w:rPr>
        <w:t>.</w:t>
      </w:r>
      <w:r>
        <w:rPr>
          <w:rFonts w:ascii="Verdana" w:eastAsia="Times New Roman" w:hAnsi="Verdana" w:cs="Arial"/>
          <w:shd w:val="clear" w:color="auto" w:fill="FFFFFF"/>
          <w:lang w:val="es-ES"/>
        </w:rPr>
        <w:t xml:space="preserve"> </w:t>
      </w:r>
      <w:r w:rsidRPr="009F635A">
        <w:rPr>
          <w:rFonts w:ascii="Verdana" w:hAnsi="Verdana" w:cs="Arial"/>
        </w:rPr>
        <w:t xml:space="preserve">Estos y otros </w:t>
      </w:r>
      <w:r w:rsidRPr="009F635A">
        <w:rPr>
          <w:rFonts w:ascii="Verdana" w:hAnsi="Verdana"/>
        </w:rPr>
        <w:t>conceptos se encuentran disponibles para consulta en el Sistema</w:t>
      </w:r>
      <w:r w:rsidRPr="00FF007A">
        <w:rPr>
          <w:rFonts w:ascii="Verdana" w:hAnsi="Verdana"/>
        </w:rPr>
        <w:t xml:space="preserve"> de relatoría de la Agencia, al cual se puede acceder a través del siguiente enlace:</w:t>
      </w:r>
      <w:r w:rsidRPr="00FF007A">
        <w:rPr>
          <w:rFonts w:ascii="Verdana" w:hAnsi="Verdana" w:cs="Arial"/>
          <w:shd w:val="clear" w:color="auto" w:fill="FFFFFF"/>
        </w:rPr>
        <w:t xml:space="preserve"> </w:t>
      </w:r>
    </w:p>
    <w:p w14:paraId="3E01330C" w14:textId="77777777" w:rsidR="00D452F6" w:rsidRPr="00A454F0" w:rsidRDefault="00D452F6" w:rsidP="00D452F6">
      <w:pPr>
        <w:widowControl w:val="0"/>
        <w:autoSpaceDE w:val="0"/>
        <w:autoSpaceDN w:val="0"/>
        <w:spacing w:after="0" w:line="276" w:lineRule="auto"/>
        <w:jc w:val="both"/>
        <w:rPr>
          <w:rFonts w:ascii="Verdana" w:hAnsi="Verdana" w:cs="Arial"/>
          <w:shd w:val="clear" w:color="auto" w:fill="FFFFFF"/>
        </w:rPr>
      </w:pPr>
      <w:hyperlink r:id="rId12" w:history="1">
        <w:r w:rsidRPr="00E22850">
          <w:rPr>
            <w:rStyle w:val="Hipervnculo"/>
            <w:rFonts w:ascii="Verdana" w:hAnsi="Verdana" w:cs="Arial"/>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4F103B6F" w14:textId="77777777" w:rsidR="00D452F6" w:rsidRDefault="00D452F6" w:rsidP="00D452F6">
      <w:pPr>
        <w:spacing w:after="0" w:line="240" w:lineRule="auto"/>
        <w:jc w:val="both"/>
        <w:rPr>
          <w:rFonts w:ascii="Verdana" w:hAnsi="Verdana"/>
        </w:rPr>
      </w:pPr>
    </w:p>
    <w:p w14:paraId="3CC4F6A1" w14:textId="77777777" w:rsidR="00D452F6" w:rsidRPr="00FF007A" w:rsidRDefault="00D452F6" w:rsidP="00D452F6">
      <w:pPr>
        <w:spacing w:after="120" w:line="276" w:lineRule="auto"/>
        <w:jc w:val="both"/>
        <w:rPr>
          <w:rFonts w:ascii="Verdana" w:eastAsia="Calibri" w:hAnsi="Verdana" w:cs="Times New Roman"/>
        </w:rPr>
      </w:pPr>
      <w:r w:rsidRPr="00FF007A">
        <w:rPr>
          <w:rFonts w:ascii="Verdana" w:hAnsi="Verdana"/>
        </w:rPr>
        <w:t xml:space="preserve">Aprovechamos la oportunidad para manifestar la entera disposición de la Agencia Nacional de Contratación Pública –Colombia Compra Eficiente– para </w:t>
      </w:r>
      <w:r w:rsidRPr="00FF007A">
        <w:rPr>
          <w:rFonts w:ascii="Verdana" w:hAnsi="Verdana"/>
        </w:rPr>
        <w:lastRenderedPageBreak/>
        <w:t xml:space="preserve">atender las peticiones o solicitudes, así como para brindar el apoyo que se requiera en el marco de nuestras funciones a través de nuestros diferentes canales de atención: </w:t>
      </w:r>
    </w:p>
    <w:p w14:paraId="6B364824" w14:textId="77777777" w:rsidR="00D452F6" w:rsidRPr="00FF007A" w:rsidRDefault="00D452F6" w:rsidP="00D452F6">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nacional gratuita o servicio a la ciudadanía: 01800 0520808</w:t>
      </w:r>
    </w:p>
    <w:p w14:paraId="1C7A7C20" w14:textId="77777777" w:rsidR="00D452F6" w:rsidRPr="00FF007A" w:rsidRDefault="00D452F6" w:rsidP="00D452F6">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en Bogotá (Mesa de servicio): +57 601 7456788</w:t>
      </w:r>
    </w:p>
    <w:p w14:paraId="21F89299" w14:textId="77777777" w:rsidR="00D452F6" w:rsidRPr="00FF007A" w:rsidRDefault="00D452F6" w:rsidP="00D452F6">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de servicio y atención al ciudadano: +57 601 7956600</w:t>
      </w:r>
    </w:p>
    <w:p w14:paraId="581CA92F" w14:textId="77777777" w:rsidR="00D452F6" w:rsidRPr="00FF007A" w:rsidRDefault="00D452F6" w:rsidP="00D452F6">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 xml:space="preserve">Página web: </w:t>
      </w:r>
      <w:hyperlink r:id="rId13" w:history="1">
        <w:r w:rsidRPr="00FF007A">
          <w:rPr>
            <w:rStyle w:val="Hipervnculo"/>
            <w:rFonts w:ascii="Verdana" w:hAnsi="Verdana"/>
            <w:lang w:val="es-CO"/>
          </w:rPr>
          <w:t>www.colombiacompra.gov.co</w:t>
        </w:r>
      </w:hyperlink>
    </w:p>
    <w:p w14:paraId="5E93535A" w14:textId="77777777" w:rsidR="00D452F6" w:rsidRPr="00FF007A" w:rsidRDefault="00D452F6" w:rsidP="00D452F6">
      <w:pPr>
        <w:spacing w:before="120"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14:paraId="54F19762" w14:textId="77777777" w:rsidR="00D452F6" w:rsidRPr="00FF007A" w:rsidRDefault="00D452F6" w:rsidP="00D452F6">
      <w:pPr>
        <w:spacing w:after="0" w:line="276" w:lineRule="auto"/>
        <w:jc w:val="both"/>
        <w:rPr>
          <w:rFonts w:ascii="Verdana" w:hAnsi="Verdana"/>
        </w:rPr>
      </w:pPr>
    </w:p>
    <w:p w14:paraId="534975D3" w14:textId="77777777" w:rsidR="00D452F6" w:rsidRPr="00FF007A" w:rsidRDefault="00D452F6" w:rsidP="00D452F6">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4439F6B8" w14:textId="77777777" w:rsidR="00D452F6" w:rsidRPr="00FF007A" w:rsidRDefault="00D452F6" w:rsidP="00D452F6">
      <w:pPr>
        <w:spacing w:after="0" w:line="276" w:lineRule="auto"/>
        <w:jc w:val="both"/>
        <w:rPr>
          <w:rFonts w:ascii="Verdana" w:hAnsi="Verdana"/>
        </w:rPr>
      </w:pPr>
      <w:r w:rsidRPr="00FF007A">
        <w:rPr>
          <w:rFonts w:ascii="Verdana" w:hAnsi="Verdana"/>
        </w:rPr>
        <w:t xml:space="preserve">Facebook: </w:t>
      </w:r>
      <w:proofErr w:type="spellStart"/>
      <w:r w:rsidRPr="00FF007A">
        <w:rPr>
          <w:rStyle w:val="Hipervnculo"/>
          <w:rFonts w:ascii="Verdana" w:hAnsi="Verdana"/>
        </w:rPr>
        <w:t>ColombiaCompraEficiente</w:t>
      </w:r>
      <w:proofErr w:type="spellEnd"/>
    </w:p>
    <w:p w14:paraId="7EBACD3A" w14:textId="77777777" w:rsidR="00D452F6" w:rsidRPr="00FF007A" w:rsidRDefault="00D452F6" w:rsidP="00D452F6">
      <w:pPr>
        <w:spacing w:after="0" w:line="276" w:lineRule="auto"/>
        <w:jc w:val="both"/>
        <w:rPr>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5F6028D9" w14:textId="77777777" w:rsidR="00D452F6" w:rsidRPr="00FF007A" w:rsidRDefault="00D452F6" w:rsidP="00D452F6">
      <w:pPr>
        <w:spacing w:before="120" w:after="0" w:line="276" w:lineRule="auto"/>
        <w:jc w:val="both"/>
        <w:rPr>
          <w:rFonts w:ascii="Verdana" w:hAnsi="Verdana"/>
        </w:rPr>
      </w:pPr>
      <w:r w:rsidRPr="00FF007A">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70BF390" w14:textId="77777777" w:rsidR="00D452F6" w:rsidRPr="00FF007A" w:rsidRDefault="00D452F6" w:rsidP="00D452F6">
      <w:pPr>
        <w:spacing w:after="0" w:line="276" w:lineRule="auto"/>
        <w:jc w:val="both"/>
        <w:rPr>
          <w:rFonts w:ascii="Verdana" w:eastAsia="Calibri" w:hAnsi="Verdana" w:cs="Times New Roman"/>
        </w:rPr>
      </w:pPr>
    </w:p>
    <w:p w14:paraId="708B8FE9" w14:textId="77777777" w:rsidR="00D452F6" w:rsidRPr="00FF007A" w:rsidRDefault="00D452F6" w:rsidP="00D452F6">
      <w:pPr>
        <w:spacing w:after="0" w:line="276" w:lineRule="auto"/>
        <w:jc w:val="both"/>
        <w:rPr>
          <w:rFonts w:ascii="Verdana" w:eastAsia="Calibri" w:hAnsi="Verdana" w:cs="Times New Roman"/>
        </w:rPr>
      </w:pPr>
      <w:r w:rsidRPr="00FF007A">
        <w:rPr>
          <w:rFonts w:ascii="Verdana" w:eastAsia="Calibri" w:hAnsi="Verdana" w:cs="Times New Roman"/>
        </w:rPr>
        <w:t>Atentamente,</w:t>
      </w:r>
    </w:p>
    <w:p w14:paraId="351CCB1E" w14:textId="724DE2E5" w:rsidR="00D452F6" w:rsidRPr="00FF007A" w:rsidRDefault="00931900" w:rsidP="00D452F6">
      <w:pPr>
        <w:spacing w:after="0" w:line="256" w:lineRule="auto"/>
        <w:jc w:val="center"/>
        <w:rPr>
          <w:rFonts w:ascii="Verdana" w:eastAsia="Calibri" w:hAnsi="Verdana" w:cs="Times New Roman"/>
        </w:rPr>
      </w:pPr>
      <w:r>
        <w:rPr>
          <w:noProof/>
        </w:rPr>
        <w:drawing>
          <wp:inline distT="0" distB="0" distL="0" distR="0" wp14:anchorId="310665C6" wp14:editId="5D7B3D10">
            <wp:extent cx="3962400" cy="1866900"/>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14"/>
                    <a:stretch>
                      <a:fillRect/>
                    </a:stretch>
                  </pic:blipFill>
                  <pic:spPr>
                    <a:xfrm>
                      <a:off x="0" y="0"/>
                      <a:ext cx="3962400" cy="1866900"/>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D452F6" w:rsidRPr="00FF007A" w14:paraId="2401B9D0" w14:textId="77777777" w:rsidTr="00472220">
        <w:trPr>
          <w:trHeight w:val="315"/>
        </w:trPr>
        <w:tc>
          <w:tcPr>
            <w:tcW w:w="893" w:type="dxa"/>
            <w:vAlign w:val="center"/>
            <w:hideMark/>
          </w:tcPr>
          <w:p w14:paraId="2CA8FFE9" w14:textId="77777777" w:rsidR="00D452F6" w:rsidRPr="00FF007A" w:rsidRDefault="00D452F6" w:rsidP="00472220">
            <w:pPr>
              <w:contextualSpacing/>
              <w:rPr>
                <w:rFonts w:ascii="Verdana" w:hAnsi="Verdana" w:cs="Arial"/>
                <w:sz w:val="16"/>
                <w:szCs w:val="16"/>
                <w:lang w:eastAsia="es-ES"/>
              </w:rPr>
            </w:pPr>
            <w:r w:rsidRPr="00FF007A">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6A6E6875" w14:textId="77777777" w:rsidR="00D452F6" w:rsidRPr="00FF007A" w:rsidRDefault="00D452F6" w:rsidP="00472220">
            <w:pPr>
              <w:contextualSpacing/>
              <w:rPr>
                <w:rStyle w:val="normaltextrun"/>
                <w:rFonts w:ascii="Verdana" w:hAnsi="Verdana"/>
                <w:sz w:val="16"/>
                <w:szCs w:val="16"/>
              </w:rPr>
            </w:pPr>
            <w:r w:rsidRPr="00FF007A">
              <w:rPr>
                <w:rStyle w:val="normaltextrun"/>
                <w:rFonts w:ascii="Verdana" w:hAnsi="Verdana"/>
                <w:sz w:val="16"/>
                <w:szCs w:val="16"/>
              </w:rPr>
              <w:t xml:space="preserve">Esperanza Contreras P </w:t>
            </w:r>
          </w:p>
          <w:p w14:paraId="28AA300A" w14:textId="77777777" w:rsidR="00D452F6" w:rsidRPr="00FF007A" w:rsidRDefault="00D452F6" w:rsidP="00472220">
            <w:pPr>
              <w:contextualSpacing/>
              <w:rPr>
                <w:rFonts w:ascii="Verdana" w:eastAsia="Arial" w:hAnsi="Verdana" w:cs="Arial"/>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D452F6" w:rsidRPr="00FF007A" w14:paraId="1829A55E" w14:textId="77777777" w:rsidTr="00472220">
        <w:trPr>
          <w:trHeight w:val="330"/>
        </w:trPr>
        <w:tc>
          <w:tcPr>
            <w:tcW w:w="893" w:type="dxa"/>
            <w:vAlign w:val="center"/>
            <w:hideMark/>
          </w:tcPr>
          <w:p w14:paraId="714233A8" w14:textId="77777777" w:rsidR="00D452F6" w:rsidRPr="00FF007A" w:rsidRDefault="00D452F6" w:rsidP="00472220">
            <w:pPr>
              <w:contextualSpacing/>
              <w:rPr>
                <w:rFonts w:ascii="Verdana" w:hAnsi="Verdana" w:cs="Arial"/>
                <w:sz w:val="16"/>
                <w:szCs w:val="16"/>
                <w:lang w:eastAsia="es-ES"/>
              </w:rPr>
            </w:pPr>
            <w:r w:rsidRPr="00FF007A">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13C49EBB" w14:textId="77777777" w:rsidR="00D452F6" w:rsidRPr="00FF007A" w:rsidRDefault="00D452F6" w:rsidP="00472220">
            <w:pPr>
              <w:pStyle w:val="paragraph"/>
              <w:spacing w:before="0" w:beforeAutospacing="0" w:after="0" w:afterAutospacing="0"/>
              <w:contextualSpacing/>
              <w:textAlignment w:val="baseline"/>
              <w:rPr>
                <w:rStyle w:val="normaltextrun"/>
                <w:rFonts w:ascii="Verdana" w:hAnsi="Verdana"/>
                <w:sz w:val="16"/>
                <w:szCs w:val="16"/>
              </w:rPr>
            </w:pPr>
            <w:r>
              <w:rPr>
                <w:rStyle w:val="normaltextrun"/>
                <w:rFonts w:ascii="Verdana" w:hAnsi="Verdana"/>
                <w:sz w:val="16"/>
                <w:szCs w:val="16"/>
              </w:rPr>
              <w:t>Diana Lucía Saavedra Castañeda</w:t>
            </w:r>
          </w:p>
          <w:p w14:paraId="790A3895" w14:textId="77777777" w:rsidR="00D452F6" w:rsidRPr="00FF007A" w:rsidRDefault="00D452F6" w:rsidP="00472220">
            <w:pPr>
              <w:pStyle w:val="paragraph"/>
              <w:spacing w:before="0" w:beforeAutospacing="0" w:after="0" w:afterAutospacing="0"/>
              <w:contextualSpacing/>
              <w:textAlignment w:val="baseline"/>
              <w:rPr>
                <w:rFonts w:ascii="Verdana" w:hAnsi="Verdana" w:cs="Segoe UI"/>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D452F6" w:rsidRPr="00FF007A" w14:paraId="69FA962E" w14:textId="77777777" w:rsidTr="00472220">
        <w:trPr>
          <w:trHeight w:val="300"/>
        </w:trPr>
        <w:tc>
          <w:tcPr>
            <w:tcW w:w="893" w:type="dxa"/>
            <w:vAlign w:val="center"/>
          </w:tcPr>
          <w:p w14:paraId="10B9B6BB" w14:textId="77777777" w:rsidR="00D452F6" w:rsidRPr="00FF007A" w:rsidRDefault="00D452F6" w:rsidP="00472220">
            <w:pPr>
              <w:contextualSpacing/>
              <w:rPr>
                <w:rFonts w:ascii="Verdana" w:hAnsi="Verdana" w:cs="Arial"/>
                <w:sz w:val="16"/>
                <w:szCs w:val="16"/>
                <w:lang w:eastAsia="es-ES"/>
              </w:rPr>
            </w:pPr>
            <w:r w:rsidRPr="00FF007A">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3FA3E486" w14:textId="77777777" w:rsidR="00D452F6" w:rsidRPr="00FF007A" w:rsidRDefault="00D452F6" w:rsidP="00472220">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 xml:space="preserve">Carolina Quintero </w:t>
            </w:r>
            <w:proofErr w:type="spellStart"/>
            <w:r w:rsidRPr="00FF007A">
              <w:rPr>
                <w:rFonts w:ascii="Verdana" w:eastAsia="Calibri" w:hAnsi="Verdana" w:cs="Arial"/>
                <w:sz w:val="16"/>
                <w:szCs w:val="16"/>
                <w:lang w:eastAsia="es-ES"/>
              </w:rPr>
              <w:t>Gacharná</w:t>
            </w:r>
            <w:proofErr w:type="spellEnd"/>
          </w:p>
          <w:p w14:paraId="0D82B230" w14:textId="77777777" w:rsidR="00D452F6" w:rsidRPr="00FF007A" w:rsidRDefault="00D452F6" w:rsidP="00472220">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Subdirectora de Gestión Contractual ANCP – CCE</w:t>
            </w:r>
          </w:p>
        </w:tc>
      </w:tr>
      <w:bookmarkEnd w:id="0"/>
      <w:bookmarkEnd w:id="1"/>
      <w:bookmarkEnd w:id="2"/>
      <w:bookmarkEnd w:id="3"/>
      <w:bookmarkEnd w:id="4"/>
      <w:bookmarkEnd w:id="5"/>
      <w:bookmarkEnd w:id="7"/>
      <w:bookmarkEnd w:id="8"/>
    </w:tbl>
    <w:p w14:paraId="3A94BC88" w14:textId="77777777" w:rsidR="00D452F6" w:rsidRPr="00825A0D" w:rsidRDefault="00D452F6" w:rsidP="00D452F6"/>
    <w:bookmarkEnd w:id="6"/>
    <w:p w14:paraId="0F293BF4" w14:textId="7544BA22" w:rsidR="00127233" w:rsidRPr="00D452F6" w:rsidRDefault="00127233" w:rsidP="00D452F6"/>
    <w:sectPr w:rsidR="00127233" w:rsidRPr="00D452F6"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6D57BE" w14:textId="77777777" w:rsidR="00BA7C8E" w:rsidRDefault="00BA7C8E" w:rsidP="004A1847">
      <w:pPr>
        <w:spacing w:after="0" w:line="240" w:lineRule="auto"/>
      </w:pPr>
      <w:r>
        <w:separator/>
      </w:r>
    </w:p>
  </w:endnote>
  <w:endnote w:type="continuationSeparator" w:id="0">
    <w:p w14:paraId="53565092" w14:textId="77777777" w:rsidR="00BA7C8E" w:rsidRDefault="00BA7C8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2BC15" w14:textId="77777777" w:rsidR="00BA7C8E" w:rsidRDefault="00BA7C8E" w:rsidP="004A1847">
      <w:pPr>
        <w:spacing w:after="0" w:line="240" w:lineRule="auto"/>
      </w:pPr>
      <w:r>
        <w:separator/>
      </w:r>
    </w:p>
  </w:footnote>
  <w:footnote w:type="continuationSeparator" w:id="0">
    <w:p w14:paraId="429C1EE4" w14:textId="77777777" w:rsidR="00BA7C8E" w:rsidRDefault="00BA7C8E" w:rsidP="004A1847">
      <w:pPr>
        <w:spacing w:after="0" w:line="240" w:lineRule="auto"/>
      </w:pPr>
      <w:r>
        <w:continuationSeparator/>
      </w:r>
    </w:p>
  </w:footnote>
  <w:footnote w:id="1">
    <w:p w14:paraId="3248362C" w14:textId="77777777" w:rsidR="00D452F6" w:rsidRPr="00FF007A" w:rsidRDefault="00D452F6" w:rsidP="00D452F6">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753172B" w14:textId="77777777" w:rsidR="00D452F6" w:rsidRPr="00FF007A" w:rsidRDefault="00D452F6" w:rsidP="00D452F6">
      <w:pPr>
        <w:pStyle w:val="Textonotapie"/>
        <w:ind w:firstLine="709"/>
        <w:contextualSpacing/>
        <w:jc w:val="both"/>
        <w:rPr>
          <w:rFonts w:ascii="Verdana" w:hAnsi="Verdana" w:cs="Arial"/>
          <w:sz w:val="16"/>
          <w:szCs w:val="16"/>
          <w:lang w:val="es-CO"/>
        </w:rPr>
      </w:pPr>
      <w:r w:rsidRPr="00FF007A">
        <w:rPr>
          <w:rFonts w:ascii="Verdana" w:hAnsi="Verdana" w:cs="Arial"/>
          <w:sz w:val="16"/>
          <w:szCs w:val="16"/>
          <w:lang w:val="es-CO"/>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69AC96A6" w14:textId="77777777" w:rsidR="00D452F6" w:rsidRPr="00FF007A" w:rsidRDefault="00D452F6" w:rsidP="00D452F6">
      <w:pPr>
        <w:pStyle w:val="Textonotapie"/>
        <w:ind w:firstLine="709"/>
        <w:contextualSpacing/>
        <w:jc w:val="both"/>
        <w:rPr>
          <w:rFonts w:ascii="Verdana" w:hAnsi="Verdana" w:cs="Arial"/>
          <w:sz w:val="16"/>
          <w:szCs w:val="16"/>
          <w:lang w:val="es-CO"/>
        </w:rPr>
      </w:pPr>
    </w:p>
  </w:footnote>
  <w:footnote w:id="2">
    <w:p w14:paraId="1D1C49D4" w14:textId="77777777" w:rsidR="00D452F6" w:rsidRPr="00FF007A" w:rsidRDefault="00D452F6" w:rsidP="00D452F6">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Gaceta del Congreso de la República No. 71 del 2005.</w:t>
      </w:r>
    </w:p>
    <w:p w14:paraId="61491697" w14:textId="77777777" w:rsidR="00D452F6" w:rsidRPr="00FF007A" w:rsidRDefault="00D452F6" w:rsidP="00D452F6">
      <w:pPr>
        <w:pStyle w:val="Textonotapie"/>
        <w:ind w:firstLine="709"/>
        <w:contextualSpacing/>
        <w:jc w:val="both"/>
        <w:rPr>
          <w:rFonts w:ascii="Verdana" w:hAnsi="Verdana" w:cs="Arial"/>
          <w:sz w:val="16"/>
          <w:szCs w:val="16"/>
          <w:lang w:val="es-CO"/>
        </w:rPr>
      </w:pPr>
    </w:p>
  </w:footnote>
  <w:footnote w:id="3">
    <w:p w14:paraId="4BF4911F" w14:textId="77777777" w:rsidR="00D452F6" w:rsidRDefault="00D452F6" w:rsidP="00D452F6">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Corte Constitucional</w:t>
      </w:r>
      <w:r>
        <w:rPr>
          <w:rFonts w:ascii="Verdana" w:hAnsi="Verdana" w:cs="Arial"/>
          <w:sz w:val="16"/>
          <w:szCs w:val="16"/>
          <w:lang w:val="es-CO"/>
        </w:rPr>
        <w:t>.</w:t>
      </w:r>
      <w:r w:rsidRPr="00FF007A">
        <w:rPr>
          <w:rFonts w:ascii="Verdana" w:hAnsi="Verdana" w:cs="Arial"/>
          <w:sz w:val="16"/>
          <w:szCs w:val="16"/>
          <w:lang w:val="es-CO"/>
        </w:rPr>
        <w:t xml:space="preserve"> Sentencia C- 1153 de 2005</w:t>
      </w:r>
      <w:r>
        <w:rPr>
          <w:rFonts w:ascii="Verdana" w:hAnsi="Verdana" w:cs="Arial"/>
          <w:sz w:val="16"/>
          <w:szCs w:val="16"/>
          <w:lang w:val="es-CO"/>
        </w:rPr>
        <w:t>.</w:t>
      </w:r>
      <w:r w:rsidRPr="00FF007A">
        <w:rPr>
          <w:rFonts w:ascii="Verdana" w:hAnsi="Verdana" w:cs="Arial"/>
          <w:sz w:val="16"/>
          <w:szCs w:val="16"/>
          <w:lang w:val="es-CO"/>
        </w:rPr>
        <w:t xml:space="preserve"> M.P</w:t>
      </w:r>
      <w:r>
        <w:rPr>
          <w:rFonts w:ascii="Verdana" w:hAnsi="Verdana" w:cs="Arial"/>
          <w:sz w:val="16"/>
          <w:szCs w:val="16"/>
          <w:lang w:val="es-CO"/>
        </w:rPr>
        <w:t>:</w:t>
      </w:r>
      <w:r w:rsidRPr="00FF007A">
        <w:rPr>
          <w:rFonts w:ascii="Verdana" w:hAnsi="Verdana" w:cs="Arial"/>
          <w:sz w:val="16"/>
          <w:szCs w:val="16"/>
          <w:lang w:val="es-CO"/>
        </w:rPr>
        <w:t xml:space="preserve"> Marco Gerardo Monroy Cabra.</w:t>
      </w:r>
    </w:p>
    <w:p w14:paraId="00702C2E" w14:textId="77777777" w:rsidR="00D452F6" w:rsidRPr="00FF007A" w:rsidRDefault="00D452F6" w:rsidP="00D452F6">
      <w:pPr>
        <w:pStyle w:val="Textonotapie"/>
        <w:ind w:firstLine="709"/>
        <w:contextualSpacing/>
        <w:jc w:val="both"/>
        <w:rPr>
          <w:rFonts w:ascii="Verdana" w:hAnsi="Verdana" w:cs="Arial"/>
          <w:sz w:val="16"/>
          <w:szCs w:val="16"/>
          <w:lang w:val="es-CO"/>
        </w:rPr>
      </w:pPr>
    </w:p>
  </w:footnote>
  <w:footnote w:id="4">
    <w:p w14:paraId="6A5B92FC" w14:textId="77777777" w:rsidR="00D452F6" w:rsidRPr="00FF007A" w:rsidRDefault="00D452F6" w:rsidP="00D452F6">
      <w:pPr>
        <w:pStyle w:val="Textonotapie"/>
        <w:ind w:firstLine="709"/>
        <w:contextualSpacing/>
        <w:jc w:val="both"/>
        <w:rPr>
          <w:rFonts w:ascii="Verdana" w:hAnsi="Verdana" w:cs="Arial"/>
          <w:sz w:val="16"/>
          <w:szCs w:val="16"/>
          <w:lang w:val="es-CO"/>
        </w:rPr>
      </w:pPr>
      <w:r w:rsidRPr="00F3158D">
        <w:rPr>
          <w:rStyle w:val="Refdenotaalpie"/>
          <w:rFonts w:ascii="Verdana" w:hAnsi="Verdana" w:cs="Arial"/>
          <w:sz w:val="16"/>
          <w:szCs w:val="16"/>
          <w:lang w:val="es-CO"/>
        </w:rPr>
        <w:footnoteRef/>
      </w:r>
      <w:r w:rsidRPr="00F3158D">
        <w:rPr>
          <w:rFonts w:ascii="Verdana" w:hAnsi="Verdana" w:cs="Arial"/>
          <w:sz w:val="16"/>
          <w:szCs w:val="16"/>
          <w:lang w:val="es-CO"/>
        </w:rPr>
        <w:t xml:space="preserve"> Corte Constitucional. Sentencias: C-233 de 4 de abril de 2002, M.P: Álvaro Tafur Galvis. C-551 de 9 de julio de 2003. M.P: Eduardo Montealegre </w:t>
      </w:r>
      <w:r w:rsidRPr="00F3158D">
        <w:rPr>
          <w:rFonts w:ascii="Verdana" w:hAnsi="Verdana" w:cs="Arial"/>
          <w:sz w:val="16"/>
          <w:szCs w:val="16"/>
          <w:lang w:val="es-CO"/>
        </w:rPr>
        <w:t>Lynett. C-652 de 5 de agosto de 2003. M.</w:t>
      </w:r>
      <w:r>
        <w:rPr>
          <w:rFonts w:ascii="Verdana" w:hAnsi="Verdana" w:cs="Arial"/>
          <w:sz w:val="16"/>
          <w:szCs w:val="16"/>
          <w:lang w:val="es-CO"/>
        </w:rPr>
        <w:t>P:</w:t>
      </w:r>
      <w:r w:rsidRPr="00F3158D">
        <w:rPr>
          <w:rFonts w:ascii="Verdana" w:hAnsi="Verdana" w:cs="Arial"/>
          <w:sz w:val="16"/>
          <w:szCs w:val="16"/>
          <w:lang w:val="es-CO"/>
        </w:rPr>
        <w:t xml:space="preserve"> Jaime Córdoba Triviño. Sentencia C-353 de 20 de mayo de 2009. M.P: Jorge Iván Palacio Palacio. C-541 de 30 de junio de 2010, M.P: Gabriel Eduardo Mendoza Martelo.</w:t>
      </w:r>
    </w:p>
    <w:p w14:paraId="5622C92E" w14:textId="77777777" w:rsidR="00D452F6" w:rsidRPr="00FF007A" w:rsidRDefault="00D452F6" w:rsidP="00D452F6">
      <w:pPr>
        <w:pStyle w:val="Textonotapie"/>
        <w:ind w:firstLine="709"/>
        <w:contextualSpacing/>
        <w:jc w:val="both"/>
        <w:rPr>
          <w:rFonts w:ascii="Verdana" w:hAnsi="Verdana" w:cs="Arial"/>
          <w:sz w:val="16"/>
          <w:szCs w:val="16"/>
          <w:lang w:val="es-CO"/>
        </w:rPr>
      </w:pPr>
    </w:p>
  </w:footnote>
  <w:footnote w:id="5">
    <w:p w14:paraId="0F8CC3C7" w14:textId="77777777" w:rsidR="00D452F6" w:rsidRPr="00FF007A" w:rsidRDefault="00D452F6" w:rsidP="00D452F6">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Consejo de Estado</w:t>
      </w:r>
      <w:r>
        <w:rPr>
          <w:rFonts w:ascii="Verdana" w:hAnsi="Verdana" w:cs="Arial"/>
          <w:sz w:val="16"/>
          <w:szCs w:val="16"/>
          <w:lang w:val="es-CO"/>
        </w:rPr>
        <w:t>.</w:t>
      </w:r>
      <w:r w:rsidRPr="00FF007A">
        <w:rPr>
          <w:rFonts w:ascii="Verdana" w:hAnsi="Verdana" w:cs="Arial"/>
          <w:sz w:val="16"/>
          <w:szCs w:val="16"/>
          <w:lang w:val="es-CO"/>
        </w:rPr>
        <w:t xml:space="preserve"> Sala de lo Contencioso Administrativo</w:t>
      </w:r>
      <w:r>
        <w:rPr>
          <w:rFonts w:ascii="Verdana" w:hAnsi="Verdana" w:cs="Arial"/>
          <w:sz w:val="16"/>
          <w:szCs w:val="16"/>
          <w:lang w:val="es-CO"/>
        </w:rPr>
        <w:t>.</w:t>
      </w:r>
      <w:r w:rsidRPr="00FF007A">
        <w:rPr>
          <w:rFonts w:ascii="Verdana" w:hAnsi="Verdana" w:cs="Arial"/>
          <w:sz w:val="16"/>
          <w:szCs w:val="16"/>
          <w:lang w:val="es-CO"/>
        </w:rPr>
        <w:t xml:space="preserve"> Sección Primera. Sentencia de 3 de marzo de 2005, </w:t>
      </w:r>
      <w:r w:rsidRPr="005F28C0">
        <w:rPr>
          <w:rFonts w:ascii="Verdana" w:hAnsi="Verdana" w:cs="Arial"/>
          <w:sz w:val="16"/>
          <w:szCs w:val="16"/>
          <w:lang w:val="es-CO"/>
        </w:rPr>
        <w:t>Radicado: 25001-23-15-000-2004-00823-01 (PI). C.P: Camilo Arciniegas Andrade</w:t>
      </w:r>
      <w:r w:rsidRPr="00FF007A">
        <w:rPr>
          <w:rFonts w:ascii="Verdana" w:hAnsi="Verdana" w:cs="Arial"/>
          <w:sz w:val="16"/>
          <w:szCs w:val="16"/>
          <w:lang w:val="es-CO"/>
        </w:rPr>
        <w:t>.</w:t>
      </w:r>
    </w:p>
    <w:p w14:paraId="263F6982" w14:textId="77777777" w:rsidR="00D452F6" w:rsidRPr="00FF007A" w:rsidRDefault="00D452F6" w:rsidP="00D452F6">
      <w:pPr>
        <w:pStyle w:val="Textonotapie"/>
        <w:ind w:firstLine="709"/>
        <w:contextualSpacing/>
        <w:jc w:val="both"/>
        <w:rPr>
          <w:rFonts w:ascii="Verdana" w:hAnsi="Verdana" w:cs="Arial"/>
          <w:sz w:val="16"/>
          <w:szCs w:val="16"/>
          <w:lang w:val="es-CO"/>
        </w:rPr>
      </w:pPr>
    </w:p>
  </w:footnote>
  <w:footnote w:id="6">
    <w:p w14:paraId="69BF6D40" w14:textId="77777777" w:rsidR="00D452F6" w:rsidRDefault="00D452F6" w:rsidP="00D452F6">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Consejo de Estado, Sala de Consulta y Servicio Civil de fecha 24 de julio de 2013</w:t>
      </w:r>
      <w:r>
        <w:rPr>
          <w:rFonts w:ascii="Verdana" w:hAnsi="Verdana" w:cs="Arial"/>
          <w:sz w:val="16"/>
          <w:szCs w:val="16"/>
          <w:lang w:val="es-CO"/>
        </w:rPr>
        <w:t xml:space="preserve">. Radicado: </w:t>
      </w:r>
      <w:r w:rsidRPr="005F28C0">
        <w:rPr>
          <w:rFonts w:ascii="Verdana" w:hAnsi="Verdana" w:cs="Arial"/>
          <w:sz w:val="16"/>
          <w:szCs w:val="16"/>
          <w:lang w:val="es-CO"/>
        </w:rPr>
        <w:t xml:space="preserve">Radicado: 11001-03-06-000-2013-00407-00 </w:t>
      </w:r>
      <w:r>
        <w:rPr>
          <w:rFonts w:ascii="Verdana" w:hAnsi="Verdana" w:cs="Arial"/>
          <w:sz w:val="16"/>
          <w:szCs w:val="16"/>
          <w:lang w:val="es-CO"/>
        </w:rPr>
        <w:t>(2166).</w:t>
      </w:r>
      <w:r w:rsidRPr="00FF007A">
        <w:rPr>
          <w:rFonts w:ascii="Verdana" w:hAnsi="Verdana" w:cs="Arial"/>
          <w:sz w:val="16"/>
          <w:szCs w:val="16"/>
          <w:lang w:val="es-CO"/>
        </w:rPr>
        <w:t xml:space="preserve"> C.P</w:t>
      </w:r>
      <w:r>
        <w:rPr>
          <w:rFonts w:ascii="Verdana" w:hAnsi="Verdana" w:cs="Arial"/>
          <w:sz w:val="16"/>
          <w:szCs w:val="16"/>
          <w:lang w:val="es-CO"/>
        </w:rPr>
        <w:t>:</w:t>
      </w:r>
      <w:r w:rsidRPr="00FF007A">
        <w:rPr>
          <w:rFonts w:ascii="Verdana" w:hAnsi="Verdana" w:cs="Arial"/>
          <w:sz w:val="16"/>
          <w:szCs w:val="16"/>
          <w:lang w:val="es-CO"/>
        </w:rPr>
        <w:t xml:space="preserve"> Álvaro </w:t>
      </w:r>
      <w:r w:rsidRPr="00FF007A">
        <w:rPr>
          <w:rFonts w:ascii="Verdana" w:hAnsi="Verdana" w:cs="Arial"/>
          <w:sz w:val="16"/>
          <w:szCs w:val="16"/>
          <w:lang w:val="es-CO"/>
        </w:rPr>
        <w:t xml:space="preserve">Namén Vargas.  </w:t>
      </w:r>
    </w:p>
    <w:p w14:paraId="6FCF25F6" w14:textId="77777777" w:rsidR="00D452F6" w:rsidRPr="00FF007A" w:rsidRDefault="00D452F6" w:rsidP="00D452F6">
      <w:pPr>
        <w:pStyle w:val="Textonotapie"/>
        <w:ind w:firstLine="709"/>
        <w:contextualSpacing/>
        <w:jc w:val="both"/>
        <w:rPr>
          <w:rFonts w:ascii="Verdana" w:hAnsi="Verdana" w:cs="Arial"/>
          <w:sz w:val="16"/>
          <w:szCs w:val="16"/>
          <w:lang w:val="es-CO"/>
        </w:rPr>
      </w:pPr>
    </w:p>
  </w:footnote>
  <w:footnote w:id="7">
    <w:p w14:paraId="78F035EA" w14:textId="77777777" w:rsidR="00D452F6" w:rsidRPr="00FF007A" w:rsidRDefault="00D452F6" w:rsidP="00D452F6">
      <w:pPr>
        <w:spacing w:after="0" w:line="240" w:lineRule="auto"/>
        <w:ind w:firstLine="709"/>
        <w:contextualSpacing/>
        <w:jc w:val="both"/>
        <w:rPr>
          <w:rFonts w:ascii="Verdana" w:eastAsia="Times New Roman" w:hAnsi="Verdana" w:cs="Arial"/>
          <w:sz w:val="16"/>
          <w:szCs w:val="16"/>
        </w:rPr>
      </w:pPr>
      <w:r w:rsidRPr="00FF007A">
        <w:rPr>
          <w:rStyle w:val="Refdenotaalpie"/>
          <w:rFonts w:ascii="Verdana" w:hAnsi="Verdana" w:cs="Arial"/>
          <w:sz w:val="16"/>
          <w:szCs w:val="16"/>
        </w:rPr>
        <w:footnoteRef/>
      </w:r>
      <w:r w:rsidRPr="00FF007A">
        <w:rPr>
          <w:rFonts w:ascii="Verdana" w:hAnsi="Verdana" w:cs="Arial"/>
          <w:sz w:val="16"/>
          <w:szCs w:val="16"/>
        </w:rPr>
        <w:t xml:space="preserve"> </w:t>
      </w:r>
      <w:r w:rsidRPr="00FF007A">
        <w:rPr>
          <w:rFonts w:ascii="Verdana" w:eastAsia="Calibri" w:hAnsi="Verdana" w:cs="Arial"/>
          <w:color w:val="000000"/>
          <w:sz w:val="16"/>
          <w:szCs w:val="16"/>
        </w:rPr>
        <w:t>“</w:t>
      </w:r>
      <w:r w:rsidRPr="00FF007A">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32515369" w14:textId="77777777" w:rsidR="00D452F6" w:rsidRPr="00FF007A" w:rsidRDefault="00D452F6" w:rsidP="00D452F6">
      <w:pPr>
        <w:spacing w:after="0" w:line="240" w:lineRule="auto"/>
        <w:ind w:firstLine="709"/>
        <w:contextualSpacing/>
        <w:jc w:val="both"/>
        <w:rPr>
          <w:rFonts w:ascii="Verdana" w:eastAsia="Times New Roman" w:hAnsi="Verdana" w:cs="Arial"/>
          <w:sz w:val="16"/>
          <w:szCs w:val="16"/>
        </w:rPr>
      </w:pPr>
      <w:r w:rsidRPr="00FF007A">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F007A">
        <w:rPr>
          <w:rFonts w:ascii="Verdana" w:eastAsia="Calibri" w:hAnsi="Verdana" w:cs="Arial"/>
          <w:color w:val="000000"/>
          <w:sz w:val="16"/>
          <w:szCs w:val="16"/>
        </w:rPr>
        <w:t>”</w:t>
      </w:r>
      <w:r w:rsidRPr="00FF007A">
        <w:rPr>
          <w:rFonts w:ascii="Verdana" w:eastAsia="Times New Roman" w:hAnsi="Verdana" w:cs="Arial"/>
          <w:sz w:val="16"/>
          <w:szCs w:val="16"/>
        </w:rPr>
        <w:t>.</w:t>
      </w:r>
    </w:p>
    <w:p w14:paraId="74F9B14B" w14:textId="77777777" w:rsidR="00D452F6" w:rsidRPr="00FF007A" w:rsidRDefault="00D452F6" w:rsidP="00D452F6">
      <w:pPr>
        <w:spacing w:after="0" w:line="240" w:lineRule="auto"/>
        <w:ind w:firstLine="709"/>
        <w:contextualSpacing/>
        <w:jc w:val="both"/>
        <w:rPr>
          <w:rFonts w:ascii="Verdana" w:eastAsia="Times New Roman" w:hAnsi="Verdana" w:cs="Arial"/>
          <w:sz w:val="16"/>
          <w:szCs w:val="16"/>
        </w:rPr>
      </w:pPr>
    </w:p>
  </w:footnote>
  <w:footnote w:id="8">
    <w:p w14:paraId="2A137565" w14:textId="77777777" w:rsidR="00D452F6" w:rsidRPr="00FF007A" w:rsidRDefault="00D452F6" w:rsidP="00D452F6">
      <w:pPr>
        <w:pStyle w:val="NormalWeb"/>
        <w:spacing w:before="0" w:beforeAutospacing="0" w:after="0" w:afterAutospacing="0"/>
        <w:ind w:firstLine="709"/>
        <w:contextualSpacing/>
        <w:jc w:val="both"/>
        <w:rPr>
          <w:rFonts w:ascii="Verdana" w:hAnsi="Verdana" w:cs="Arial"/>
          <w:sz w:val="16"/>
          <w:szCs w:val="16"/>
        </w:rPr>
      </w:pPr>
      <w:r w:rsidRPr="00FF007A">
        <w:rPr>
          <w:rStyle w:val="Refdenotaalpie"/>
          <w:rFonts w:ascii="Verdana" w:hAnsi="Verdana" w:cs="Arial"/>
          <w:sz w:val="16"/>
          <w:szCs w:val="16"/>
        </w:rPr>
        <w:footnoteRef/>
      </w:r>
      <w:r w:rsidRPr="00FF007A">
        <w:rPr>
          <w:rFonts w:ascii="Verdana" w:hAnsi="Verdana" w:cs="Arial"/>
          <w:sz w:val="16"/>
          <w:szCs w:val="16"/>
        </w:rPr>
        <w:t xml:space="preserve"> </w:t>
      </w:r>
      <w:r w:rsidRPr="00FF007A">
        <w:rPr>
          <w:rFonts w:ascii="Verdana" w:eastAsia="Calibri" w:hAnsi="Verdana" w:cs="Arial"/>
          <w:color w:val="000000"/>
          <w:sz w:val="16"/>
          <w:szCs w:val="16"/>
        </w:rPr>
        <w:t>“</w:t>
      </w:r>
      <w:r w:rsidRPr="00FF007A">
        <w:rPr>
          <w:rFonts w:ascii="Verdana" w:hAnsi="Verdana" w:cs="Arial"/>
          <w:sz w:val="16"/>
          <w:szCs w:val="16"/>
        </w:rPr>
        <w:t>Artículo 38. Prohibiciones para los servidores públicos. A los empleados del Estado les está prohibido: […]</w:t>
      </w:r>
    </w:p>
    <w:p w14:paraId="478B73F1" w14:textId="77777777" w:rsidR="00D452F6" w:rsidRDefault="00D452F6" w:rsidP="00D452F6">
      <w:pPr>
        <w:pStyle w:val="NormalWeb"/>
        <w:spacing w:before="0" w:beforeAutospacing="0" w:after="0" w:afterAutospacing="0"/>
        <w:ind w:firstLine="709"/>
        <w:contextualSpacing/>
        <w:jc w:val="both"/>
        <w:rPr>
          <w:rFonts w:ascii="Verdana" w:hAnsi="Verdana" w:cs="Arial"/>
          <w:sz w:val="16"/>
          <w:szCs w:val="16"/>
        </w:rPr>
      </w:pPr>
      <w:r w:rsidRPr="00FF007A">
        <w:rPr>
          <w:rStyle w:val="baj"/>
          <w:rFonts w:ascii="Verdana" w:hAnsi="Verdana" w:cs="Arial"/>
          <w:sz w:val="16"/>
          <w:szCs w:val="16"/>
        </w:rPr>
        <w:t>Parágrafo.</w:t>
      </w:r>
      <w:r w:rsidRPr="00FF007A">
        <w:rPr>
          <w:rFonts w:ascii="Verdana" w:hAnsi="Verdana" w:cs="Arial"/>
          <w:sz w:val="16"/>
          <w:szCs w:val="16"/>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F007A">
        <w:rPr>
          <w:rFonts w:ascii="Verdana" w:eastAsia="Calibri" w:hAnsi="Verdana" w:cs="Arial"/>
          <w:color w:val="000000"/>
          <w:sz w:val="16"/>
          <w:szCs w:val="16"/>
        </w:rPr>
        <w:t>”</w:t>
      </w:r>
      <w:r w:rsidRPr="00FF007A">
        <w:rPr>
          <w:rFonts w:ascii="Verdana" w:hAnsi="Verdana" w:cs="Arial"/>
          <w:sz w:val="16"/>
          <w:szCs w:val="16"/>
        </w:rPr>
        <w:t>.</w:t>
      </w:r>
    </w:p>
    <w:p w14:paraId="4BEBACA2" w14:textId="77777777" w:rsidR="00D452F6" w:rsidRPr="00FF007A" w:rsidRDefault="00D452F6" w:rsidP="00D452F6">
      <w:pPr>
        <w:pStyle w:val="NormalWeb"/>
        <w:spacing w:before="0" w:beforeAutospacing="0" w:after="0" w:afterAutospacing="0"/>
        <w:ind w:firstLine="709"/>
        <w:contextualSpacing/>
        <w:jc w:val="both"/>
        <w:rPr>
          <w:rFonts w:ascii="Verdana" w:hAnsi="Verdana" w:cs="Arial"/>
          <w:sz w:val="16"/>
          <w:szCs w:val="16"/>
        </w:rPr>
      </w:pPr>
    </w:p>
  </w:footnote>
  <w:footnote w:id="9">
    <w:p w14:paraId="2B4A92A7" w14:textId="77777777" w:rsidR="00D452F6" w:rsidRPr="00FF007A" w:rsidRDefault="00D452F6" w:rsidP="00D452F6">
      <w:pPr>
        <w:spacing w:after="0" w:line="240" w:lineRule="auto"/>
        <w:ind w:left="100" w:right="244" w:firstLine="709"/>
        <w:contextualSpacing/>
        <w:jc w:val="both"/>
        <w:rPr>
          <w:rFonts w:ascii="Verdana" w:hAnsi="Verdana" w:cs="Arial"/>
          <w:sz w:val="16"/>
          <w:szCs w:val="16"/>
        </w:rPr>
      </w:pPr>
      <w:r w:rsidRPr="00FF007A">
        <w:rPr>
          <w:rStyle w:val="Refdenotaalpie"/>
          <w:rFonts w:ascii="Verdana" w:hAnsi="Verdana" w:cs="Arial"/>
          <w:sz w:val="16"/>
          <w:szCs w:val="16"/>
        </w:rPr>
        <w:footnoteRef/>
      </w:r>
      <w:r w:rsidRPr="00FF007A">
        <w:rPr>
          <w:rFonts w:ascii="Verdana" w:hAnsi="Verdana" w:cs="Arial"/>
          <w:sz w:val="16"/>
          <w:szCs w:val="16"/>
        </w:rPr>
        <w:t xml:space="preserve"> Consejo de Estado. Sala de Consulta y Servicio Civil. Concepto del 17 de febrero de 2015. Radicación No. 11001-03-06-000-2015-00164-00 (2269) C.P: William Zambrano Cetina.</w:t>
      </w:r>
    </w:p>
  </w:footnote>
  <w:footnote w:id="10">
    <w:p w14:paraId="66E8D54D" w14:textId="77777777" w:rsidR="00D452F6" w:rsidRPr="00FF007A" w:rsidRDefault="00D452F6" w:rsidP="00D452F6">
      <w:pPr>
        <w:pStyle w:val="Textonotapie"/>
        <w:ind w:right="51"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“[26] Al respecto ver el concepto 1712 de 2 de febrero de 2006. Consejo de Estado Sala de Consulta y Servicio Civil”.</w:t>
      </w:r>
    </w:p>
    <w:p w14:paraId="0D4BD380" w14:textId="77777777" w:rsidR="00D452F6" w:rsidRPr="00FF007A" w:rsidRDefault="00D452F6" w:rsidP="00D452F6">
      <w:pPr>
        <w:pStyle w:val="Textonotapie"/>
        <w:ind w:right="51" w:firstLine="709"/>
        <w:contextualSpacing/>
        <w:jc w:val="both"/>
        <w:rPr>
          <w:rFonts w:ascii="Verdana" w:hAnsi="Verdana" w:cs="Arial"/>
          <w:sz w:val="16"/>
          <w:szCs w:val="16"/>
          <w:lang w:val="es-CO"/>
        </w:rPr>
      </w:pPr>
    </w:p>
  </w:footnote>
  <w:footnote w:id="11">
    <w:p w14:paraId="30FD97E3" w14:textId="77777777" w:rsidR="00D452F6" w:rsidRDefault="00D452F6" w:rsidP="00D452F6">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Consejo de Estado. Sala de Consulta y Servicio Civil. Concepto del 2 de septiembre de 2013. Radicación número: 11001-03-06-000-2013-00412-00 (2168). Consejero Ponente: Álvaro </w:t>
      </w:r>
      <w:r w:rsidRPr="00FF007A">
        <w:rPr>
          <w:rFonts w:ascii="Verdana" w:hAnsi="Verdana" w:cs="Arial"/>
          <w:sz w:val="16"/>
          <w:szCs w:val="16"/>
          <w:lang w:val="es-CO"/>
        </w:rPr>
        <w:t>Namén Vargas.</w:t>
      </w:r>
    </w:p>
    <w:p w14:paraId="0BB8B6C3" w14:textId="77777777" w:rsidR="00D452F6" w:rsidRPr="00FF007A" w:rsidRDefault="00D452F6" w:rsidP="00D452F6">
      <w:pPr>
        <w:pStyle w:val="Textonotapie"/>
        <w:ind w:firstLine="709"/>
        <w:contextualSpacing/>
        <w:jc w:val="both"/>
        <w:rPr>
          <w:rFonts w:ascii="Verdana" w:hAnsi="Verdana" w:cs="Arial"/>
          <w:sz w:val="16"/>
          <w:szCs w:val="16"/>
          <w:lang w:val="es-CO"/>
        </w:rPr>
      </w:pPr>
    </w:p>
  </w:footnote>
  <w:footnote w:id="12">
    <w:p w14:paraId="4847FB68" w14:textId="77777777" w:rsidR="00D452F6" w:rsidRDefault="00D452F6" w:rsidP="00D452F6">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Artículo 2. </w:t>
      </w:r>
    </w:p>
    <w:p w14:paraId="0C8490D6" w14:textId="77777777" w:rsidR="00D452F6" w:rsidRPr="00FF007A" w:rsidRDefault="00D452F6" w:rsidP="00D452F6">
      <w:pPr>
        <w:pStyle w:val="Textonotapie"/>
        <w:ind w:firstLine="709"/>
        <w:contextualSpacing/>
        <w:jc w:val="both"/>
        <w:rPr>
          <w:rFonts w:ascii="Verdana" w:hAnsi="Verdana" w:cs="Arial"/>
          <w:sz w:val="16"/>
          <w:szCs w:val="16"/>
          <w:lang w:val="es-CO"/>
        </w:rPr>
      </w:pPr>
    </w:p>
  </w:footnote>
  <w:footnote w:id="13">
    <w:p w14:paraId="54B5233B" w14:textId="77777777" w:rsidR="00D452F6" w:rsidRDefault="00D452F6" w:rsidP="00D452F6">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w:t>
      </w:r>
      <w:r w:rsidRPr="00FF007A">
        <w:rPr>
          <w:rFonts w:ascii="Verdana" w:hAnsi="Verdana" w:cs="Arial"/>
          <w:i/>
          <w:sz w:val="16"/>
          <w:szCs w:val="16"/>
          <w:lang w:val="es-CO"/>
        </w:rPr>
        <w:t>Ídem</w:t>
      </w:r>
      <w:r w:rsidRPr="00FF007A">
        <w:rPr>
          <w:rFonts w:ascii="Verdana" w:hAnsi="Verdana" w:cs="Arial"/>
          <w:sz w:val="16"/>
          <w:szCs w:val="16"/>
          <w:lang w:val="es-CO"/>
        </w:rPr>
        <w:t>.</w:t>
      </w:r>
    </w:p>
    <w:p w14:paraId="44155ED5" w14:textId="77777777" w:rsidR="00D452F6" w:rsidRPr="00FF007A" w:rsidRDefault="00D452F6" w:rsidP="00D452F6">
      <w:pPr>
        <w:pStyle w:val="Textonotapie"/>
        <w:ind w:firstLine="709"/>
        <w:contextualSpacing/>
        <w:jc w:val="both"/>
        <w:rPr>
          <w:rFonts w:ascii="Verdana" w:hAnsi="Verdana" w:cs="Arial"/>
          <w:sz w:val="16"/>
          <w:szCs w:val="16"/>
          <w:lang w:val="es-CO"/>
        </w:rPr>
      </w:pPr>
    </w:p>
  </w:footnote>
  <w:footnote w:id="14">
    <w:p w14:paraId="02E3E767" w14:textId="77777777" w:rsidR="00D452F6" w:rsidRPr="00F3158D" w:rsidRDefault="00D452F6" w:rsidP="00D452F6">
      <w:pPr>
        <w:pStyle w:val="Textonotapie"/>
        <w:ind w:firstLine="709"/>
        <w:contextualSpacing/>
        <w:jc w:val="both"/>
        <w:rPr>
          <w:rFonts w:ascii="Verdana" w:hAnsi="Verdana" w:cs="Arial"/>
          <w:sz w:val="16"/>
          <w:szCs w:val="16"/>
          <w:lang w:val="es-CO"/>
        </w:rPr>
      </w:pPr>
      <w:r w:rsidRPr="00F3158D">
        <w:rPr>
          <w:rStyle w:val="Refdenotaalpie"/>
          <w:rFonts w:ascii="Verdana" w:hAnsi="Verdana" w:cs="Arial"/>
          <w:sz w:val="16"/>
          <w:szCs w:val="16"/>
          <w:lang w:val="es-CO"/>
        </w:rPr>
        <w:footnoteRef/>
      </w:r>
      <w:r w:rsidRPr="00F3158D">
        <w:rPr>
          <w:rFonts w:ascii="Verdana" w:hAnsi="Verdana" w:cs="Arial"/>
          <w:sz w:val="16"/>
          <w:szCs w:val="16"/>
          <w:lang w:val="es-CO"/>
        </w:rPr>
        <w:t xml:space="preserve"> Consejo de Estado. Sala de Consulta y Servicio Civil. Concepto del 08 de mayo de 2018. </w:t>
      </w:r>
      <w:r w:rsidRPr="00F3158D">
        <w:rPr>
          <w:rFonts w:ascii="Verdana" w:hAnsi="Verdana" w:cs="Arial"/>
          <w:sz w:val="16"/>
          <w:szCs w:val="16"/>
          <w:lang w:val="es-CO"/>
        </w:rPr>
        <w:t>Exp. 2.382. C.P. Álvaro Namén Vargas.</w:t>
      </w:r>
    </w:p>
    <w:p w14:paraId="7C30FB9C" w14:textId="77777777" w:rsidR="00D452F6" w:rsidRPr="00F3158D" w:rsidRDefault="00D452F6" w:rsidP="00D452F6">
      <w:pPr>
        <w:pStyle w:val="Textonotapie"/>
        <w:ind w:firstLine="709"/>
        <w:contextualSpacing/>
        <w:jc w:val="both"/>
        <w:rPr>
          <w:rFonts w:ascii="Verdana" w:hAnsi="Verdana" w:cs="Arial"/>
          <w:sz w:val="16"/>
          <w:szCs w:val="16"/>
          <w:lang w:val="es-CO"/>
        </w:rPr>
      </w:pPr>
    </w:p>
  </w:footnote>
  <w:footnote w:id="15">
    <w:p w14:paraId="7E317B6B" w14:textId="77777777" w:rsidR="00D452F6" w:rsidRDefault="00D452F6" w:rsidP="00D452F6">
      <w:pPr>
        <w:pStyle w:val="Textonotapie"/>
        <w:ind w:firstLine="708"/>
        <w:contextualSpacing/>
        <w:jc w:val="both"/>
        <w:rPr>
          <w:rFonts w:ascii="Verdana" w:eastAsia="Calibri" w:hAnsi="Verdana" w:cs="Arial"/>
          <w:sz w:val="16"/>
          <w:szCs w:val="16"/>
          <w:lang w:val="es-CO"/>
        </w:rPr>
      </w:pPr>
      <w:r w:rsidRPr="00F3158D">
        <w:rPr>
          <w:rStyle w:val="Refdenotaalpie"/>
          <w:rFonts w:ascii="Verdana" w:hAnsi="Verdana"/>
          <w:sz w:val="16"/>
          <w:szCs w:val="16"/>
          <w:lang w:val="es-CO"/>
        </w:rPr>
        <w:footnoteRef/>
      </w:r>
      <w:r w:rsidRPr="00F3158D">
        <w:rPr>
          <w:rFonts w:ascii="Verdana" w:hAnsi="Verdana"/>
          <w:sz w:val="16"/>
          <w:szCs w:val="16"/>
          <w:lang w:val="es-CO"/>
        </w:rPr>
        <w:t xml:space="preserve"> </w:t>
      </w:r>
      <w:r w:rsidRPr="00F3158D">
        <w:rPr>
          <w:rFonts w:ascii="Verdana" w:eastAsia="Calibri" w:hAnsi="Verdana" w:cs="Arial"/>
          <w:sz w:val="16"/>
          <w:szCs w:val="16"/>
          <w:lang w:val="es-CO"/>
        </w:rPr>
        <w:t>Ibidem.</w:t>
      </w:r>
    </w:p>
    <w:p w14:paraId="0CA6B03B" w14:textId="77777777" w:rsidR="00284345" w:rsidRPr="005F4C77" w:rsidRDefault="00284345" w:rsidP="00D452F6">
      <w:pPr>
        <w:pStyle w:val="Textonotapie"/>
        <w:ind w:firstLine="708"/>
        <w:contextualSpacing/>
        <w:jc w:val="both"/>
        <w:rPr>
          <w:rFonts w:ascii="Verdana" w:eastAsia="Calibri" w:hAnsi="Verdana" w:cs="Arial"/>
          <w:sz w:val="16"/>
          <w:szCs w:val="16"/>
          <w:lang w:val="es-CO"/>
        </w:rPr>
      </w:pPr>
    </w:p>
  </w:footnote>
  <w:footnote w:id="16">
    <w:p w14:paraId="4B58B06E" w14:textId="77777777" w:rsidR="00D452F6" w:rsidRPr="00FF007A" w:rsidRDefault="00D452F6" w:rsidP="00D452F6">
      <w:pPr>
        <w:spacing w:after="0" w:line="240" w:lineRule="auto"/>
        <w:ind w:firstLine="709"/>
        <w:contextualSpacing/>
        <w:jc w:val="both"/>
        <w:rPr>
          <w:rFonts w:ascii="Verdana" w:hAnsi="Verdana" w:cs="Arial"/>
          <w:color w:val="000000" w:themeColor="text1"/>
          <w:sz w:val="16"/>
          <w:szCs w:val="16"/>
        </w:rPr>
      </w:pPr>
      <w:r w:rsidRPr="00FF007A">
        <w:rPr>
          <w:rStyle w:val="Refdenotaalpie"/>
          <w:rFonts w:ascii="Verdana" w:hAnsi="Verdana" w:cs="Arial"/>
          <w:color w:val="000000" w:themeColor="text1"/>
          <w:sz w:val="16"/>
          <w:szCs w:val="16"/>
        </w:rPr>
        <w:footnoteRef/>
      </w:r>
      <w:r w:rsidRPr="00FF007A">
        <w:rPr>
          <w:rFonts w:ascii="Verdana" w:hAnsi="Verdana" w:cs="Arial"/>
          <w:color w:val="000000" w:themeColor="text1"/>
          <w:sz w:val="16"/>
          <w:szCs w:val="16"/>
        </w:rPr>
        <w:t xml:space="preserve"> Consejo de Estado. Sala de Consulta y Servicio Civil. Concepto de 20 de febrero de 2006. Radicación Número: 11001-03-06-000-2006-00026-00(1727). </w:t>
      </w:r>
      <w:r>
        <w:rPr>
          <w:rFonts w:ascii="Verdana" w:hAnsi="Verdana" w:cs="Arial"/>
          <w:color w:val="000000" w:themeColor="text1"/>
          <w:sz w:val="16"/>
          <w:szCs w:val="16"/>
        </w:rPr>
        <w:t>C.P:</w:t>
      </w:r>
      <w:r w:rsidRPr="00FF007A">
        <w:rPr>
          <w:rFonts w:ascii="Verdana" w:hAnsi="Verdana" w:cs="Arial"/>
          <w:color w:val="000000" w:themeColor="text1"/>
          <w:sz w:val="16"/>
          <w:szCs w:val="16"/>
        </w:rPr>
        <w:t xml:space="preserv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7">
    <w:p w14:paraId="24754FD8" w14:textId="77777777" w:rsidR="00D452F6" w:rsidRPr="00FF007A" w:rsidRDefault="00D452F6" w:rsidP="00D452F6">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Corte Constitucional. Sentencia C-1153 de 2005 M.P</w:t>
      </w:r>
      <w:r>
        <w:rPr>
          <w:rFonts w:ascii="Verdana" w:hAnsi="Verdana" w:cs="Arial"/>
          <w:color w:val="000000" w:themeColor="text1"/>
          <w:sz w:val="16"/>
          <w:szCs w:val="16"/>
          <w:lang w:val="es-CO"/>
        </w:rPr>
        <w:t>:</w:t>
      </w:r>
      <w:r w:rsidRPr="00FF007A">
        <w:rPr>
          <w:rFonts w:ascii="Verdana" w:hAnsi="Verdana" w:cs="Arial"/>
          <w:color w:val="000000" w:themeColor="text1"/>
          <w:sz w:val="16"/>
          <w:szCs w:val="16"/>
          <w:lang w:val="es-CO"/>
        </w:rPr>
        <w:t xml:space="preserve"> Marco Gerardo Monroy Cabra. </w:t>
      </w:r>
    </w:p>
    <w:p w14:paraId="4384C9D1" w14:textId="77777777" w:rsidR="00D452F6" w:rsidRPr="00FF007A" w:rsidRDefault="00D452F6" w:rsidP="00D452F6">
      <w:pPr>
        <w:pStyle w:val="Textonotapie"/>
        <w:ind w:firstLine="708"/>
        <w:contextualSpacing/>
        <w:jc w:val="both"/>
        <w:rPr>
          <w:rFonts w:ascii="Verdana" w:hAnsi="Verdana" w:cs="Arial"/>
          <w:color w:val="000000" w:themeColor="text1"/>
          <w:sz w:val="16"/>
          <w:szCs w:val="16"/>
          <w:lang w:val="es-CO"/>
        </w:rPr>
      </w:pPr>
    </w:p>
  </w:footnote>
  <w:footnote w:id="18">
    <w:p w14:paraId="583F212E" w14:textId="77777777" w:rsidR="00D452F6" w:rsidRDefault="00D452F6" w:rsidP="00D452F6">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Consejo de Estado. Sala de Consulta y Servicio Civil. Concepto del 18 de febrero 2010. Rad</w:t>
      </w:r>
      <w:r>
        <w:rPr>
          <w:rFonts w:ascii="Verdana" w:hAnsi="Verdana" w:cs="Arial"/>
          <w:color w:val="000000" w:themeColor="text1"/>
          <w:sz w:val="16"/>
          <w:szCs w:val="16"/>
          <w:lang w:val="es-CO"/>
        </w:rPr>
        <w:t>icado:</w:t>
      </w:r>
      <w:r w:rsidRPr="00FF007A">
        <w:rPr>
          <w:rFonts w:ascii="Verdana" w:hAnsi="Verdana" w:cs="Arial"/>
          <w:color w:val="000000" w:themeColor="text1"/>
          <w:sz w:val="16"/>
          <w:szCs w:val="16"/>
          <w:lang w:val="es-CO"/>
        </w:rPr>
        <w:t xml:space="preserve"> 11001-03-06-000-2010-00006-00 (1985). C.P. Enrique José Arboleda Perdomo.</w:t>
      </w:r>
    </w:p>
    <w:p w14:paraId="08E8BBC7" w14:textId="77777777" w:rsidR="00D452F6" w:rsidRPr="00FF007A" w:rsidRDefault="00D452F6" w:rsidP="00D452F6">
      <w:pPr>
        <w:pStyle w:val="Textonotapie"/>
        <w:ind w:firstLine="708"/>
        <w:contextualSpacing/>
        <w:jc w:val="both"/>
        <w:rPr>
          <w:rFonts w:ascii="Verdana" w:hAnsi="Verdana" w:cs="Arial"/>
          <w:color w:val="000000" w:themeColor="text1"/>
          <w:sz w:val="16"/>
          <w:szCs w:val="16"/>
          <w:lang w:val="es-CO"/>
        </w:rPr>
      </w:pPr>
    </w:p>
  </w:footnote>
  <w:footnote w:id="19">
    <w:p w14:paraId="63788181" w14:textId="77777777" w:rsidR="00D452F6" w:rsidRPr="00FF007A" w:rsidRDefault="00D452F6" w:rsidP="00D452F6">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Consejo de Estado. Sala de Consulta y Servicio Civil. Concepto del 02 de septiembre de 2013. Rad</w:t>
      </w:r>
      <w:r>
        <w:rPr>
          <w:rFonts w:ascii="Verdana" w:hAnsi="Verdana" w:cs="Arial"/>
          <w:color w:val="000000" w:themeColor="text1"/>
          <w:sz w:val="16"/>
          <w:szCs w:val="16"/>
          <w:lang w:val="es-CO"/>
        </w:rPr>
        <w:t>icado:</w:t>
      </w:r>
      <w:r w:rsidRPr="00FF007A">
        <w:rPr>
          <w:rFonts w:ascii="Verdana" w:hAnsi="Verdana" w:cs="Arial"/>
          <w:color w:val="000000" w:themeColor="text1"/>
          <w:sz w:val="16"/>
          <w:szCs w:val="16"/>
          <w:lang w:val="es-CO"/>
        </w:rPr>
        <w:t xml:space="preserve"> 11001-03-06-000-2013-00412-00 (2168). C.P. Álvaro </w:t>
      </w:r>
      <w:r w:rsidRPr="00FF007A">
        <w:rPr>
          <w:rFonts w:ascii="Verdana" w:hAnsi="Verdana" w:cs="Arial"/>
          <w:color w:val="000000" w:themeColor="text1"/>
          <w:sz w:val="16"/>
          <w:szCs w:val="16"/>
          <w:lang w:val="es-CO"/>
        </w:rPr>
        <w:t>Namén Vargas.</w:t>
      </w:r>
    </w:p>
    <w:p w14:paraId="210D2541" w14:textId="77777777" w:rsidR="00D452F6" w:rsidRPr="00FF007A" w:rsidRDefault="00D452F6" w:rsidP="00D452F6">
      <w:pPr>
        <w:pStyle w:val="Textonotapie"/>
        <w:ind w:firstLine="708"/>
        <w:contextualSpacing/>
        <w:jc w:val="both"/>
        <w:rPr>
          <w:rFonts w:ascii="Verdana" w:hAnsi="Verdana" w:cs="Arial"/>
          <w:color w:val="000000" w:themeColor="text1"/>
          <w:sz w:val="16"/>
          <w:szCs w:val="16"/>
          <w:lang w:val="es-CO"/>
        </w:rPr>
      </w:pPr>
    </w:p>
  </w:footnote>
  <w:footnote w:id="20">
    <w:p w14:paraId="105AFDF7" w14:textId="77777777" w:rsidR="00D452F6" w:rsidRDefault="00D452F6" w:rsidP="00D452F6">
      <w:pPr>
        <w:pStyle w:val="Textonotapie"/>
        <w:ind w:firstLine="709"/>
        <w:jc w:val="both"/>
        <w:rPr>
          <w:rFonts w:ascii="Verdana" w:hAnsi="Verdana" w:cs="Arial"/>
          <w:sz w:val="16"/>
          <w:szCs w:val="16"/>
        </w:rPr>
      </w:pPr>
      <w:r w:rsidRPr="0069134B">
        <w:rPr>
          <w:rStyle w:val="Refdenotaalpie"/>
          <w:rFonts w:ascii="Verdana" w:hAnsi="Verdana" w:cs="Arial"/>
          <w:sz w:val="16"/>
          <w:szCs w:val="16"/>
        </w:rPr>
        <w:footnoteRef/>
      </w:r>
      <w:r w:rsidRPr="0069134B">
        <w:rPr>
          <w:rFonts w:ascii="Verdana" w:hAnsi="Verdana" w:cs="Arial"/>
          <w:sz w:val="16"/>
          <w:szCs w:val="16"/>
        </w:rPr>
        <w:t xml:space="preserve"> Es lo que sucede, por ejemplo, con el Decreto 092 de 2017, que en su desarrollo hace referencia tanto a los “contratos” como a los “convenios”. </w:t>
      </w:r>
    </w:p>
    <w:p w14:paraId="0DCDADEC" w14:textId="77777777" w:rsidR="00D452F6" w:rsidRPr="0069134B" w:rsidRDefault="00D452F6" w:rsidP="00D452F6">
      <w:pPr>
        <w:pStyle w:val="Textonotapie"/>
        <w:ind w:firstLine="709"/>
        <w:jc w:val="both"/>
        <w:rPr>
          <w:rFonts w:ascii="Verdana" w:hAnsi="Verdana" w:cs="Arial"/>
          <w:sz w:val="16"/>
          <w:szCs w:val="16"/>
        </w:rPr>
      </w:pPr>
    </w:p>
  </w:footnote>
  <w:footnote w:id="21">
    <w:p w14:paraId="2695EB43" w14:textId="77777777" w:rsidR="00D452F6" w:rsidRDefault="00D452F6" w:rsidP="00D452F6">
      <w:pPr>
        <w:pStyle w:val="Textonotapie"/>
        <w:ind w:firstLine="709"/>
        <w:jc w:val="both"/>
        <w:rPr>
          <w:rFonts w:ascii="Verdana" w:hAnsi="Verdana" w:cs="Arial"/>
          <w:sz w:val="16"/>
          <w:szCs w:val="16"/>
          <w:lang w:val="pt-BR"/>
        </w:rPr>
      </w:pPr>
      <w:r w:rsidRPr="0069134B">
        <w:rPr>
          <w:rStyle w:val="Refdenotaalpie"/>
          <w:rFonts w:ascii="Verdana" w:hAnsi="Verdana" w:cs="Arial"/>
          <w:sz w:val="16"/>
          <w:szCs w:val="16"/>
        </w:rPr>
        <w:footnoteRef/>
      </w:r>
      <w:r w:rsidRPr="0069134B">
        <w:rPr>
          <w:rFonts w:ascii="Verdana" w:hAnsi="Verdana"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69134B">
        <w:rPr>
          <w:rFonts w:ascii="Verdana" w:hAnsi="Verdana" w:cs="Arial"/>
          <w:sz w:val="16"/>
          <w:szCs w:val="16"/>
          <w:lang w:val="pt-BR"/>
        </w:rPr>
        <w:t>(Corte Constitucional. Sentencia C-671 de 2015. M.P. Alberto Rojas Ríos).</w:t>
      </w:r>
    </w:p>
    <w:p w14:paraId="606F297A" w14:textId="77777777" w:rsidR="00D452F6" w:rsidRPr="0069134B" w:rsidRDefault="00D452F6" w:rsidP="00D452F6">
      <w:pPr>
        <w:pStyle w:val="Textonotapie"/>
        <w:ind w:firstLine="709"/>
        <w:jc w:val="both"/>
        <w:rPr>
          <w:rFonts w:ascii="Verdana" w:hAnsi="Verdana" w:cs="Arial"/>
          <w:sz w:val="16"/>
          <w:szCs w:val="16"/>
          <w:lang w:val="pt-BR"/>
        </w:rPr>
      </w:pPr>
    </w:p>
  </w:footnote>
  <w:footnote w:id="22">
    <w:p w14:paraId="239719BE" w14:textId="77777777" w:rsidR="00D452F6" w:rsidRDefault="00D452F6" w:rsidP="00D452F6">
      <w:pPr>
        <w:pStyle w:val="Textonotapie"/>
        <w:ind w:firstLine="709"/>
        <w:jc w:val="both"/>
        <w:rPr>
          <w:rFonts w:ascii="Verdana" w:hAnsi="Verdana" w:cs="Arial"/>
          <w:sz w:val="16"/>
          <w:szCs w:val="16"/>
          <w:lang w:val="es-CO"/>
        </w:rPr>
      </w:pPr>
      <w:r w:rsidRPr="0069134B">
        <w:rPr>
          <w:rStyle w:val="Refdenotaalpie"/>
          <w:rFonts w:ascii="Verdana" w:hAnsi="Verdana"/>
          <w:sz w:val="16"/>
          <w:szCs w:val="16"/>
        </w:rPr>
        <w:footnoteRef/>
      </w:r>
      <w:r w:rsidRPr="0069134B">
        <w:rPr>
          <w:rFonts w:ascii="Verdana" w:hAnsi="Verdana"/>
          <w:sz w:val="16"/>
          <w:szCs w:val="16"/>
          <w:lang w:val="es-CO"/>
        </w:rPr>
        <w:t xml:space="preserve"> </w:t>
      </w:r>
      <w:r w:rsidRPr="0069134B">
        <w:rPr>
          <w:rFonts w:ascii="Verdana" w:hAnsi="Verdana" w:cs="Arial"/>
          <w:sz w:val="16"/>
          <w:szCs w:val="16"/>
          <w:lang w:val="es-CO"/>
        </w:rPr>
        <w:t>Consejo de Estado</w:t>
      </w:r>
      <w:r>
        <w:rPr>
          <w:rFonts w:ascii="Verdana" w:hAnsi="Verdana" w:cs="Arial"/>
          <w:sz w:val="16"/>
          <w:szCs w:val="16"/>
          <w:lang w:val="es-CO"/>
        </w:rPr>
        <w:t xml:space="preserve">. Sala de lo Contencioso Administrativo. </w:t>
      </w:r>
      <w:r w:rsidRPr="0069134B">
        <w:rPr>
          <w:rFonts w:ascii="Verdana" w:hAnsi="Verdana" w:cs="Arial"/>
          <w:sz w:val="16"/>
          <w:szCs w:val="16"/>
          <w:lang w:val="es-CO"/>
        </w:rPr>
        <w:t xml:space="preserve">Sección Tercera. Auto del 4 de octubre de 2024. </w:t>
      </w:r>
      <w:r w:rsidRPr="0069134B">
        <w:rPr>
          <w:rFonts w:ascii="Verdana" w:hAnsi="Verdana" w:cs="Arial"/>
          <w:sz w:val="16"/>
          <w:szCs w:val="16"/>
          <w:lang w:val="es-CO"/>
        </w:rPr>
        <w:t>Exp. 70.313. C.P: Fredy Ibarra Martínez</w:t>
      </w:r>
      <w:r>
        <w:rPr>
          <w:rFonts w:ascii="Verdana" w:hAnsi="Verdana" w:cs="Arial"/>
          <w:sz w:val="16"/>
          <w:szCs w:val="16"/>
          <w:lang w:val="es-CO"/>
        </w:rPr>
        <w:t>.</w:t>
      </w:r>
    </w:p>
    <w:p w14:paraId="76C3617E" w14:textId="77777777" w:rsidR="00D452F6" w:rsidRPr="0069134B" w:rsidRDefault="00D452F6" w:rsidP="00D452F6">
      <w:pPr>
        <w:pStyle w:val="Textonotapie"/>
        <w:ind w:firstLine="709"/>
        <w:jc w:val="both"/>
        <w:rPr>
          <w:rFonts w:ascii="Verdana" w:hAnsi="Verdana"/>
          <w:sz w:val="16"/>
          <w:szCs w:val="16"/>
          <w:lang w:val="es-CO"/>
        </w:rPr>
      </w:pPr>
    </w:p>
  </w:footnote>
  <w:footnote w:id="23">
    <w:p w14:paraId="408005F3" w14:textId="77777777" w:rsidR="00D452F6" w:rsidRPr="00BB5A14" w:rsidRDefault="00D452F6" w:rsidP="00D452F6">
      <w:pPr>
        <w:pStyle w:val="Textonotapie"/>
        <w:ind w:firstLine="709"/>
        <w:jc w:val="both"/>
        <w:rPr>
          <w:rFonts w:ascii="Verdana" w:hAnsi="Verdana"/>
          <w:sz w:val="16"/>
          <w:szCs w:val="16"/>
          <w:lang w:val="es-CO"/>
        </w:rPr>
      </w:pPr>
      <w:r w:rsidRPr="00BB5A14">
        <w:rPr>
          <w:rStyle w:val="Refdenotaalpie"/>
          <w:rFonts w:ascii="Verdana" w:hAnsi="Verdana"/>
          <w:sz w:val="16"/>
          <w:szCs w:val="16"/>
        </w:rPr>
        <w:footnoteRef/>
      </w:r>
      <w:r w:rsidRPr="00BB5A14">
        <w:rPr>
          <w:rFonts w:ascii="Verdana" w:hAnsi="Verdana"/>
          <w:sz w:val="16"/>
          <w:szCs w:val="16"/>
        </w:rPr>
        <w:t xml:space="preserve"> </w:t>
      </w:r>
      <w:r w:rsidRPr="00BB5A14">
        <w:rPr>
          <w:rFonts w:ascii="Verdana" w:hAnsi="Verdana"/>
          <w:sz w:val="16"/>
          <w:szCs w:val="16"/>
          <w:lang w:val="es-ES"/>
        </w:rPr>
        <w:t xml:space="preserve">Ley 100 de 1993. </w:t>
      </w:r>
      <w:r w:rsidRPr="00BB5A14">
        <w:rPr>
          <w:rFonts w:ascii="Verdana" w:hAnsi="Verdana"/>
          <w:b/>
          <w:bCs/>
          <w:sz w:val="16"/>
          <w:szCs w:val="16"/>
          <w:lang w:val="es-CO"/>
        </w:rPr>
        <w:t>ARTÍCULO</w:t>
      </w:r>
      <w:bookmarkStart w:id="13" w:name="194"/>
      <w:bookmarkEnd w:id="13"/>
      <w:r w:rsidRPr="00BB5A14">
        <w:rPr>
          <w:rFonts w:ascii="Verdana" w:hAnsi="Verdana"/>
          <w:b/>
          <w:bCs/>
          <w:sz w:val="16"/>
          <w:szCs w:val="16"/>
          <w:lang w:val="es-CO"/>
        </w:rPr>
        <w:t> 194.</w:t>
      </w:r>
      <w:r w:rsidRPr="00BB5A14">
        <w:rPr>
          <w:rFonts w:ascii="Verdana" w:hAnsi="Verdana"/>
          <w:sz w:val="16"/>
          <w:szCs w:val="16"/>
          <w:lang w:val="es-CO"/>
        </w:rPr>
        <w:t>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w:t>
      </w:r>
      <w:bookmarkStart w:id="14" w:name="LPHit237"/>
      <w:bookmarkEnd w:id="14"/>
      <w:r w:rsidRPr="00BB5A14">
        <w:rPr>
          <w:rFonts w:ascii="Verdana" w:hAnsi="Verdana"/>
          <w:sz w:val="16"/>
          <w:szCs w:val="16"/>
          <w:lang w:val="es-CO"/>
        </w:rPr>
        <w:t> Ley o por las asambleas o concejos, según el caso, sometidas al régimen jurídico previsto en este capítulo.</w:t>
      </w:r>
    </w:p>
    <w:p w14:paraId="0A7119C4" w14:textId="77777777" w:rsidR="00D452F6" w:rsidRPr="00687FD6" w:rsidRDefault="00D452F6" w:rsidP="00D452F6">
      <w:pPr>
        <w:pStyle w:val="Textonotapie"/>
        <w:ind w:firstLine="709"/>
        <w:jc w:val="both"/>
        <w:rPr>
          <w:rFonts w:ascii="Verdana" w:hAnsi="Verdana"/>
          <w:sz w:val="14"/>
          <w:szCs w:val="14"/>
          <w:lang w:val="es-ES"/>
        </w:rPr>
      </w:pPr>
    </w:p>
  </w:footnote>
  <w:footnote w:id="24">
    <w:p w14:paraId="2FF6298E" w14:textId="77777777" w:rsidR="00D452F6" w:rsidRDefault="00D452F6" w:rsidP="00D452F6">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p w14:paraId="11A4ECA7" w14:textId="77777777" w:rsidR="00D452F6" w:rsidRPr="00FF007A" w:rsidRDefault="00D452F6" w:rsidP="00D452F6">
      <w:pPr>
        <w:pStyle w:val="Textonotapie"/>
        <w:ind w:firstLine="708"/>
        <w:contextualSpacing/>
        <w:jc w:val="both"/>
        <w:rPr>
          <w:rFonts w:ascii="Verdana" w:hAnsi="Verdana" w:cs="Arial"/>
          <w:color w:val="000000" w:themeColor="text1"/>
          <w:sz w:val="16"/>
          <w:szCs w:val="16"/>
          <w:lang w:val="es-CO"/>
        </w:rPr>
      </w:pPr>
    </w:p>
  </w:footnote>
  <w:footnote w:id="25">
    <w:p w14:paraId="7F1781C1" w14:textId="77777777" w:rsidR="00D452F6" w:rsidRDefault="00D452F6" w:rsidP="00D452F6">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El artículo 2.8.8.1.4.2 del Decreto 780 de 2016 dispone que «Para efectos de la aplicación del presente Capítulo, entiéndase por Autoridades Sanitarias del </w:t>
      </w:r>
      <w:r w:rsidRPr="00FF007A">
        <w:rPr>
          <w:rFonts w:ascii="Verdana" w:hAnsi="Verdana" w:cs="Arial"/>
          <w:color w:val="000000" w:themeColor="text1"/>
          <w:sz w:val="16"/>
          <w:szCs w:val="16"/>
          <w:lang w:val="es-CO"/>
        </w:rPr>
        <w:t xml:space="preserve">Sivigila, el Ministerio de Salud y Protección Social; el Instituto Nacional de Salud (INS); el Instituto Nacional de Vigilancia de Medicamentos y Alimentos (Invima), las Direcciones Territoriales de Salud, </w:t>
      </w:r>
      <w:r w:rsidRPr="00FF007A">
        <w:rPr>
          <w:rFonts w:ascii="Verdana" w:hAnsi="Verdana" w:cs="Arial"/>
          <w:i/>
          <w:iCs/>
          <w:color w:val="000000" w:themeColor="text1"/>
          <w:sz w:val="16"/>
          <w:szCs w:val="16"/>
          <w:lang w:val="es-CO"/>
        </w:rPr>
        <w:t>y todas aquellas entidades que de acuerdo con la ley ejerzan funciones de vigilancia y control sanitario</w:t>
      </w:r>
      <w:r w:rsidRPr="00FF007A">
        <w:rPr>
          <w:rFonts w:ascii="Verdana" w:hAnsi="Verdana" w:cs="Arial"/>
          <w:color w:val="000000" w:themeColor="text1"/>
          <w:sz w:val="16"/>
          <w:szCs w:val="16"/>
          <w:lang w:val="es-CO"/>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p w14:paraId="43D9C711" w14:textId="77777777" w:rsidR="00D452F6" w:rsidRPr="00FF007A" w:rsidRDefault="00D452F6" w:rsidP="00D452F6">
      <w:pPr>
        <w:pStyle w:val="Textonotapie"/>
        <w:ind w:firstLine="708"/>
        <w:contextualSpacing/>
        <w:jc w:val="both"/>
        <w:rPr>
          <w:rFonts w:ascii="Verdana" w:hAnsi="Verdana" w:cs="Arial"/>
          <w:color w:val="000000" w:themeColor="text1"/>
          <w:sz w:val="16"/>
          <w:szCs w:val="16"/>
          <w:lang w:val="es-CO"/>
        </w:rPr>
      </w:pPr>
    </w:p>
  </w:footnote>
  <w:footnote w:id="26">
    <w:p w14:paraId="14B6BE0E" w14:textId="77777777" w:rsidR="00D452F6" w:rsidRPr="00FF007A" w:rsidRDefault="00D452F6" w:rsidP="00D452F6">
      <w:pPr>
        <w:pStyle w:val="Textonotapie"/>
        <w:ind w:firstLine="708"/>
        <w:contextualSpacing/>
        <w:jc w:val="both"/>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C</w:t>
      </w:r>
      <w:r>
        <w:rPr>
          <w:rFonts w:ascii="Verdana" w:hAnsi="Verdana"/>
          <w:sz w:val="16"/>
          <w:szCs w:val="16"/>
          <w:lang w:val="es-CO"/>
        </w:rPr>
        <w:t>onsejo de Estado</w:t>
      </w:r>
      <w:r w:rsidRPr="00FF007A">
        <w:rPr>
          <w:rFonts w:ascii="Verdana" w:hAnsi="Verdana"/>
          <w:sz w:val="16"/>
          <w:szCs w:val="16"/>
          <w:lang w:val="es-CO"/>
        </w:rPr>
        <w:t>. Sala de Consulta y Servicio Civil.</w:t>
      </w:r>
      <w:r>
        <w:rPr>
          <w:rFonts w:ascii="Verdana" w:hAnsi="Verdana"/>
          <w:sz w:val="16"/>
          <w:szCs w:val="16"/>
          <w:lang w:val="es-CO"/>
        </w:rPr>
        <w:t xml:space="preserve"> </w:t>
      </w:r>
      <w:r w:rsidRPr="00FF007A">
        <w:rPr>
          <w:rFonts w:ascii="Verdana" w:hAnsi="Verdana"/>
          <w:sz w:val="16"/>
          <w:szCs w:val="16"/>
          <w:lang w:val="es-CO"/>
        </w:rPr>
        <w:t>Concepto del 12 de junio de</w:t>
      </w:r>
      <w:r>
        <w:rPr>
          <w:rFonts w:ascii="Verdana" w:hAnsi="Verdana"/>
          <w:sz w:val="16"/>
          <w:szCs w:val="16"/>
          <w:lang w:val="es-CO"/>
        </w:rPr>
        <w:t xml:space="preserve"> </w:t>
      </w:r>
      <w:r w:rsidRPr="00FF007A">
        <w:rPr>
          <w:rFonts w:ascii="Verdana" w:hAnsi="Verdana"/>
          <w:sz w:val="16"/>
          <w:szCs w:val="16"/>
          <w:lang w:val="es-CO"/>
        </w:rPr>
        <w:t>2018.</w:t>
      </w:r>
      <w:r>
        <w:rPr>
          <w:rFonts w:ascii="Verdana" w:hAnsi="Verdana"/>
          <w:sz w:val="16"/>
          <w:szCs w:val="16"/>
          <w:lang w:val="es-CO"/>
        </w:rPr>
        <w:t xml:space="preserve"> </w:t>
      </w:r>
      <w:r w:rsidRPr="00FF007A">
        <w:rPr>
          <w:rFonts w:ascii="Verdana" w:hAnsi="Verdana"/>
          <w:sz w:val="16"/>
          <w:szCs w:val="16"/>
          <w:lang w:val="es-CO"/>
        </w:rPr>
        <w:t xml:space="preserve">Radicación: 11001-03-06-000-2018-0043-00. </w:t>
      </w:r>
      <w:r>
        <w:rPr>
          <w:rFonts w:ascii="Verdana" w:hAnsi="Verdana"/>
          <w:sz w:val="16"/>
          <w:szCs w:val="16"/>
          <w:lang w:val="es-CO"/>
        </w:rPr>
        <w:t>(</w:t>
      </w:r>
      <w:r w:rsidRPr="00FF007A">
        <w:rPr>
          <w:rFonts w:ascii="Verdana" w:hAnsi="Verdana"/>
          <w:sz w:val="16"/>
          <w:szCs w:val="16"/>
          <w:lang w:val="es-CO"/>
        </w:rPr>
        <w:t>2371</w:t>
      </w:r>
      <w:r>
        <w:rPr>
          <w:rFonts w:ascii="Verdana" w:hAnsi="Verdana"/>
          <w:sz w:val="16"/>
          <w:szCs w:val="16"/>
          <w:lang w:val="es-CO"/>
        </w:rPr>
        <w:t>)</w:t>
      </w:r>
      <w:r w:rsidRPr="00FF007A">
        <w:rPr>
          <w:rFonts w:ascii="Verdana" w:hAnsi="Verdana"/>
          <w:sz w:val="16"/>
          <w:szCs w:val="16"/>
          <w:lang w:val="es-CO"/>
        </w:rPr>
        <w:t>. Consejero Ponente: Oscar Darío Amaya Navas</w:t>
      </w:r>
      <w:r>
        <w:rPr>
          <w:rFonts w:ascii="Verdana" w:hAnsi="Verdana"/>
          <w:sz w:val="16"/>
          <w:szCs w:val="16"/>
          <w:lang w:val="es-CO"/>
        </w:rPr>
        <w:t>.</w:t>
      </w:r>
      <w:r w:rsidRPr="00FF007A">
        <w:rPr>
          <w:rFonts w:ascii="Verdana" w:hAnsi="Verdana"/>
          <w:sz w:val="16"/>
          <w:szCs w:val="16"/>
          <w:lang w:val="es-CO"/>
        </w:rPr>
        <w:t xml:space="preserve"> </w:t>
      </w:r>
    </w:p>
    <w:p w14:paraId="41A5E19F" w14:textId="77777777" w:rsidR="00D452F6" w:rsidRPr="00FF007A" w:rsidRDefault="00D452F6" w:rsidP="00D452F6">
      <w:pPr>
        <w:pStyle w:val="Textonotapie"/>
        <w:contextualSpacing/>
        <w:jc w:val="both"/>
        <w:rPr>
          <w:rFonts w:ascii="Verdana" w:hAnsi="Verdana"/>
          <w:sz w:val="16"/>
          <w:szCs w:val="16"/>
          <w:lang w:val="es-CO"/>
        </w:rPr>
      </w:pPr>
    </w:p>
  </w:footnote>
  <w:footnote w:id="27">
    <w:p w14:paraId="13CD75FE" w14:textId="77777777" w:rsidR="00D452F6" w:rsidRDefault="00D452F6" w:rsidP="00D452F6">
      <w:pPr>
        <w:pStyle w:val="Textonotapie"/>
        <w:ind w:firstLine="708"/>
        <w:contextualSpacing/>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Ibidem</w:t>
      </w:r>
      <w:r>
        <w:rPr>
          <w:rFonts w:ascii="Verdana" w:hAnsi="Verdana"/>
          <w:sz w:val="16"/>
          <w:szCs w:val="16"/>
          <w:lang w:val="es-CO"/>
        </w:rPr>
        <w:t>.</w:t>
      </w:r>
    </w:p>
    <w:p w14:paraId="4C3453F6" w14:textId="77777777" w:rsidR="00D452F6" w:rsidRPr="00FF007A" w:rsidRDefault="00D452F6" w:rsidP="00D452F6">
      <w:pPr>
        <w:pStyle w:val="Textonotapie"/>
        <w:ind w:firstLine="708"/>
        <w:contextualSpacing/>
        <w:rPr>
          <w:rFonts w:ascii="Verdana" w:hAnsi="Verdana"/>
          <w:sz w:val="16"/>
          <w:szCs w:val="16"/>
          <w:lang w:val="es-CO"/>
        </w:rPr>
      </w:pPr>
    </w:p>
  </w:footnote>
  <w:footnote w:id="28">
    <w:p w14:paraId="0E85D12C" w14:textId="77777777" w:rsidR="00D452F6" w:rsidRPr="008A6D54" w:rsidRDefault="00D452F6" w:rsidP="00D452F6">
      <w:pPr>
        <w:pStyle w:val="Textonotapie"/>
        <w:ind w:firstLine="709"/>
        <w:jc w:val="both"/>
        <w:rPr>
          <w:rFonts w:ascii="Verdana" w:hAnsi="Verdana"/>
          <w:color w:val="000000" w:themeColor="text1"/>
          <w:sz w:val="16"/>
          <w:szCs w:val="16"/>
          <w:lang w:val="es-CO"/>
        </w:rPr>
      </w:pPr>
      <w:r w:rsidRPr="008A6D54">
        <w:rPr>
          <w:rStyle w:val="Refdenotaalpie"/>
          <w:rFonts w:ascii="Verdana" w:hAnsi="Verdana"/>
          <w:color w:val="000000" w:themeColor="text1"/>
          <w:sz w:val="16"/>
          <w:szCs w:val="16"/>
        </w:rPr>
        <w:footnoteRef/>
      </w:r>
      <w:r w:rsidRPr="008A6D54">
        <w:rPr>
          <w:rFonts w:ascii="Verdana" w:hAnsi="Verdana"/>
          <w:color w:val="000000" w:themeColor="text1"/>
          <w:sz w:val="16"/>
          <w:szCs w:val="16"/>
        </w:rPr>
        <w:t xml:space="preserve"> </w:t>
      </w:r>
      <w:r>
        <w:rPr>
          <w:rFonts w:ascii="Verdana" w:hAnsi="Verdana"/>
          <w:color w:val="000000" w:themeColor="text1"/>
          <w:sz w:val="16"/>
          <w:szCs w:val="16"/>
        </w:rPr>
        <w:t xml:space="preserve">Resolución 1597 de 2025. </w:t>
      </w:r>
      <w:r w:rsidRPr="008A6D54">
        <w:rPr>
          <w:rFonts w:ascii="Verdana" w:hAnsi="Verdana"/>
          <w:b/>
          <w:bCs/>
          <w:color w:val="000000" w:themeColor="text1"/>
          <w:sz w:val="16"/>
          <w:szCs w:val="16"/>
          <w:lang w:val="es-CO"/>
        </w:rPr>
        <w:t>Artículo</w:t>
      </w:r>
      <w:r w:rsidRPr="008A6D54">
        <w:rPr>
          <w:rFonts w:ascii="Verdana" w:hAnsi="Verdana"/>
          <w:color w:val="000000" w:themeColor="text1"/>
          <w:sz w:val="16"/>
          <w:szCs w:val="16"/>
          <w:lang w:val="es-CO"/>
        </w:rPr>
        <w:t> </w:t>
      </w:r>
      <w:r w:rsidRPr="008A6D54">
        <w:rPr>
          <w:rFonts w:ascii="Verdana" w:hAnsi="Verdana"/>
          <w:b/>
          <w:bCs/>
          <w:color w:val="000000" w:themeColor="text1"/>
          <w:sz w:val="16"/>
          <w:szCs w:val="16"/>
          <w:lang w:val="es-CO"/>
        </w:rPr>
        <w:t>10. </w:t>
      </w:r>
      <w:r w:rsidRPr="008A6D54">
        <w:rPr>
          <w:rFonts w:ascii="Verdana" w:hAnsi="Verdana"/>
          <w:b/>
          <w:bCs/>
          <w:i/>
          <w:iCs/>
          <w:color w:val="000000" w:themeColor="text1"/>
          <w:sz w:val="16"/>
          <w:szCs w:val="16"/>
          <w:lang w:val="es-CO"/>
        </w:rPr>
        <w:t>Definición</w:t>
      </w:r>
      <w:r w:rsidRPr="008A6D54">
        <w:rPr>
          <w:rFonts w:ascii="Verdana" w:hAnsi="Verdana"/>
          <w:b/>
          <w:bCs/>
          <w:color w:val="000000" w:themeColor="text1"/>
          <w:sz w:val="16"/>
          <w:szCs w:val="16"/>
          <w:lang w:val="es-CO"/>
        </w:rPr>
        <w:t>.</w:t>
      </w:r>
      <w:r w:rsidRPr="008A6D54">
        <w:rPr>
          <w:rFonts w:ascii="Verdana" w:hAnsi="Verdana"/>
          <w:color w:val="000000" w:themeColor="text1"/>
          <w:sz w:val="16"/>
          <w:szCs w:val="16"/>
          <w:lang w:val="es-CO"/>
        </w:rPr>
        <w:t xml:space="preserve"> Conjunto de intervenciones, procedimientos o actividades de carácter gratuito, dirigidas a la población y materializadas a través de los entornos de vida cotidiana en función de las características, necesidades y potencialidades de salud en cada territorio y </w:t>
      </w:r>
      <w:r w:rsidRPr="008A6D54">
        <w:rPr>
          <w:rFonts w:ascii="Verdana" w:hAnsi="Verdana"/>
          <w:color w:val="000000" w:themeColor="text1"/>
          <w:sz w:val="16"/>
          <w:szCs w:val="16"/>
          <w:lang w:val="es-CO"/>
        </w:rPr>
        <w:t>microterritorio.</w:t>
      </w:r>
    </w:p>
    <w:p w14:paraId="3EB63F6E" w14:textId="77777777" w:rsidR="00D452F6" w:rsidRPr="008A6D54" w:rsidRDefault="00D452F6" w:rsidP="00D452F6">
      <w:pPr>
        <w:pStyle w:val="Textonotapie"/>
        <w:ind w:firstLine="709"/>
        <w:jc w:val="both"/>
        <w:rPr>
          <w:rFonts w:ascii="Verdana" w:hAnsi="Verdana"/>
          <w:color w:val="000000" w:themeColor="text1"/>
          <w:sz w:val="16"/>
          <w:szCs w:val="16"/>
          <w:lang w:val="es-CO"/>
        </w:rPr>
      </w:pPr>
      <w:r w:rsidRPr="008A6D54">
        <w:rPr>
          <w:rFonts w:ascii="Verdana" w:hAnsi="Verdana"/>
          <w:b/>
          <w:bCs/>
          <w:color w:val="000000" w:themeColor="text1"/>
          <w:sz w:val="16"/>
          <w:szCs w:val="16"/>
          <w:lang w:val="es-CO"/>
        </w:rPr>
        <w:t>Parágrafo.</w:t>
      </w:r>
      <w:r w:rsidRPr="008A6D54">
        <w:rPr>
          <w:rFonts w:ascii="Verdana" w:hAnsi="Verdana"/>
          <w:color w:val="000000" w:themeColor="text1"/>
          <w:sz w:val="16"/>
          <w:szCs w:val="16"/>
          <w:lang w:val="es-CO"/>
        </w:rPr>
        <w:t> Las intervenciones colectivas corresponden a las señaladas en el numeral 3.2 del Capítulo 3 del Anexo I </w:t>
      </w:r>
      <w:r w:rsidRPr="008A6D54">
        <w:rPr>
          <w:rFonts w:ascii="Verdana" w:hAnsi="Verdana"/>
          <w:i/>
          <w:iCs/>
          <w:color w:val="000000" w:themeColor="text1"/>
          <w:sz w:val="16"/>
          <w:szCs w:val="16"/>
          <w:lang w:val="es-CO"/>
        </w:rPr>
        <w:t>“LINEAMIENTO TÉCNICO Y OPERATIVO RUTA INTEGRAL DE ATENCIÓN PARA LA PROMOCIÓN Y MANTENIMIENTO DE LA SALUD”</w:t>
      </w:r>
      <w:r w:rsidRPr="008A6D54">
        <w:rPr>
          <w:rFonts w:ascii="Verdana" w:hAnsi="Verdana"/>
          <w:color w:val="000000" w:themeColor="text1"/>
          <w:sz w:val="16"/>
          <w:szCs w:val="16"/>
          <w:lang w:val="es-CO"/>
        </w:rPr>
        <w:t> de la Resolución </w:t>
      </w:r>
      <w:hyperlink r:id="rId1" w:history="1">
        <w:r w:rsidRPr="008A6D54">
          <w:rPr>
            <w:rStyle w:val="Hipervnculo"/>
            <w:rFonts w:ascii="Verdana" w:hAnsi="Verdana"/>
            <w:color w:val="000000" w:themeColor="text1"/>
            <w:sz w:val="16"/>
            <w:szCs w:val="16"/>
            <w:lang w:val="es-CO"/>
          </w:rPr>
          <w:t>3280</w:t>
        </w:r>
      </w:hyperlink>
      <w:r w:rsidRPr="008A6D54">
        <w:rPr>
          <w:rFonts w:ascii="Verdana" w:hAnsi="Verdana"/>
          <w:color w:val="000000" w:themeColor="text1"/>
          <w:sz w:val="16"/>
          <w:szCs w:val="16"/>
          <w:lang w:val="es-CO"/>
        </w:rPr>
        <w:t> de 2018 o la norma que la modifique o sustituya.</w:t>
      </w:r>
    </w:p>
    <w:p w14:paraId="70AC2C82" w14:textId="77777777" w:rsidR="00D452F6" w:rsidRPr="008A6D54" w:rsidRDefault="00D452F6" w:rsidP="00D452F6">
      <w:pPr>
        <w:pStyle w:val="Textonotapie"/>
        <w:rPr>
          <w:lang w:val="es-ES"/>
        </w:rPr>
      </w:pPr>
    </w:p>
  </w:footnote>
  <w:footnote w:id="29">
    <w:p w14:paraId="1834775B" w14:textId="77777777" w:rsidR="00D452F6" w:rsidRPr="008A6D54" w:rsidRDefault="00D452F6" w:rsidP="00D452F6">
      <w:pPr>
        <w:pStyle w:val="Textonotapie"/>
        <w:ind w:firstLine="709"/>
        <w:jc w:val="both"/>
        <w:rPr>
          <w:rFonts w:ascii="Verdana" w:hAnsi="Verdana"/>
          <w:sz w:val="16"/>
          <w:szCs w:val="16"/>
          <w:lang w:val="es-CO"/>
        </w:rPr>
      </w:pPr>
      <w:r w:rsidRPr="008A6D54">
        <w:rPr>
          <w:rStyle w:val="Refdenotaalpie"/>
          <w:rFonts w:ascii="Verdana" w:hAnsi="Verdana"/>
          <w:sz w:val="16"/>
          <w:szCs w:val="16"/>
        </w:rPr>
        <w:footnoteRef/>
      </w:r>
      <w:r w:rsidRPr="008A6D54">
        <w:rPr>
          <w:rFonts w:ascii="Verdana" w:hAnsi="Verdana"/>
          <w:sz w:val="16"/>
          <w:szCs w:val="16"/>
        </w:rPr>
        <w:t xml:space="preserve"> </w:t>
      </w:r>
      <w:r>
        <w:rPr>
          <w:rFonts w:ascii="Verdana" w:hAnsi="Verdana"/>
          <w:color w:val="000000" w:themeColor="text1"/>
          <w:sz w:val="16"/>
          <w:szCs w:val="16"/>
        </w:rPr>
        <w:t xml:space="preserve">Resolución 1597 de 2025. </w:t>
      </w:r>
      <w:r w:rsidRPr="008A6D54">
        <w:rPr>
          <w:rFonts w:ascii="Verdana" w:hAnsi="Verdana"/>
          <w:b/>
          <w:bCs/>
          <w:sz w:val="16"/>
          <w:szCs w:val="16"/>
          <w:lang w:val="es-CO"/>
        </w:rPr>
        <w:t>Artículo</w:t>
      </w:r>
      <w:r w:rsidRPr="008A6D54">
        <w:rPr>
          <w:rFonts w:ascii="Verdana" w:hAnsi="Verdana"/>
          <w:sz w:val="16"/>
          <w:szCs w:val="16"/>
          <w:lang w:val="es-CO"/>
        </w:rPr>
        <w:t> </w:t>
      </w:r>
      <w:r w:rsidRPr="008A6D54">
        <w:rPr>
          <w:rFonts w:ascii="Verdana" w:hAnsi="Verdana"/>
          <w:b/>
          <w:bCs/>
          <w:sz w:val="16"/>
          <w:szCs w:val="16"/>
          <w:lang w:val="es-CO"/>
        </w:rPr>
        <w:t>12. </w:t>
      </w:r>
      <w:r w:rsidRPr="008A6D54">
        <w:rPr>
          <w:rFonts w:ascii="Verdana" w:hAnsi="Verdana"/>
          <w:b/>
          <w:bCs/>
          <w:i/>
          <w:iCs/>
          <w:sz w:val="16"/>
          <w:szCs w:val="16"/>
          <w:lang w:val="es-CO"/>
        </w:rPr>
        <w:t>Implementación del Plan de Salud Pública de Intervenciones Colectivas.</w:t>
      </w:r>
      <w:r w:rsidRPr="008A6D54">
        <w:rPr>
          <w:rFonts w:ascii="Verdana" w:hAnsi="Verdana"/>
          <w:sz w:val="16"/>
          <w:szCs w:val="16"/>
          <w:lang w:val="es-CO"/>
        </w:rPr>
        <w:t> Las Entidades Territoriales de los órdenes departamental, distrital y municipal, o las entidades que hagan sus veces, implementarán el plan de Salud Pública de Intervenciones Colectivas, conforme con lo siguiente:</w:t>
      </w:r>
    </w:p>
    <w:p w14:paraId="2FD3A8EA" w14:textId="77777777" w:rsidR="00D452F6" w:rsidRPr="008A6D54" w:rsidRDefault="00D452F6" w:rsidP="00D452F6">
      <w:pPr>
        <w:pStyle w:val="Textonotapie"/>
        <w:ind w:firstLine="709"/>
        <w:jc w:val="both"/>
        <w:rPr>
          <w:rFonts w:ascii="Verdana" w:hAnsi="Verdana"/>
          <w:sz w:val="16"/>
          <w:szCs w:val="16"/>
          <w:lang w:val="es-CO"/>
        </w:rPr>
      </w:pPr>
      <w:r w:rsidRPr="008A6D54">
        <w:rPr>
          <w:rFonts w:ascii="Verdana" w:hAnsi="Verdana"/>
          <w:sz w:val="16"/>
          <w:szCs w:val="16"/>
          <w:lang w:val="es-CO"/>
        </w:rPr>
        <w:t>12.1. Las Entidades Territoriales de los órdenes departamental y distrital contratarán el Plan de Salud Pública de Intervenciones Colectivas (PIC), con las Empresas Sociales del Estado o las Entidades que hagan sus veces ubicadas en el departamento o distrito respectivamente, garantizando en su implementación la territorialización y permanencia de las acciones. </w:t>
      </w:r>
    </w:p>
    <w:p w14:paraId="6603DE17" w14:textId="77777777" w:rsidR="00D452F6" w:rsidRPr="008A6D54" w:rsidRDefault="00D452F6" w:rsidP="00D452F6">
      <w:pPr>
        <w:pStyle w:val="Textonotapie"/>
        <w:ind w:firstLine="709"/>
        <w:jc w:val="both"/>
        <w:rPr>
          <w:rFonts w:ascii="Verdana" w:hAnsi="Verdana"/>
          <w:sz w:val="16"/>
          <w:szCs w:val="16"/>
          <w:lang w:val="es-CO"/>
        </w:rPr>
      </w:pPr>
      <w:r w:rsidRPr="008A6D54">
        <w:rPr>
          <w:rFonts w:ascii="Verdana" w:hAnsi="Verdana"/>
          <w:sz w:val="16"/>
          <w:szCs w:val="16"/>
          <w:lang w:val="es-CO"/>
        </w:rPr>
        <w:t>12.2. Las Entidades Territoriales del orden municipal contratarán el Plan de Salud Pública de Intervenciones Colectivas (PIC), con las Empresas Sociales del Estado o las Entidades que hagan sus veces de carácter territorial municipal ubicadas en el ámbito de su jurisdicción, garantizando en su implementación la territorialización y permanencia de las acciones. </w:t>
      </w:r>
    </w:p>
    <w:p w14:paraId="3D6C0454" w14:textId="77777777" w:rsidR="00D452F6" w:rsidRPr="008A6D54" w:rsidRDefault="00D452F6" w:rsidP="00D452F6">
      <w:pPr>
        <w:pStyle w:val="Textonotapie"/>
        <w:ind w:firstLine="709"/>
        <w:jc w:val="both"/>
        <w:rPr>
          <w:rFonts w:ascii="Verdana" w:hAnsi="Verdana"/>
          <w:sz w:val="16"/>
          <w:szCs w:val="16"/>
          <w:lang w:val="es-CO"/>
        </w:rPr>
      </w:pPr>
      <w:r w:rsidRPr="008A6D54">
        <w:rPr>
          <w:rFonts w:ascii="Verdana" w:hAnsi="Verdana"/>
          <w:sz w:val="16"/>
          <w:szCs w:val="16"/>
          <w:lang w:val="es-CO"/>
        </w:rPr>
        <w:t>12.3. El plan de Salud Pública de Intervenciones Colectivas será implementado a través de Equipos Básicos de Salud, que desarrollarán las acciones colectivas establecidas en la normativa vigente, en los diferentes entornos de la vida cotidiana.</w:t>
      </w:r>
    </w:p>
    <w:p w14:paraId="73EEDA89" w14:textId="77777777" w:rsidR="00D452F6" w:rsidRPr="008A6D54" w:rsidRDefault="00D452F6" w:rsidP="00D452F6">
      <w:pPr>
        <w:pStyle w:val="Textonotapie"/>
        <w:ind w:firstLine="709"/>
        <w:jc w:val="both"/>
        <w:rPr>
          <w:rFonts w:ascii="Verdana" w:hAnsi="Verdana"/>
          <w:sz w:val="16"/>
          <w:szCs w:val="16"/>
          <w:lang w:val="es-CO"/>
        </w:rPr>
      </w:pPr>
      <w:r w:rsidRPr="008A6D54">
        <w:rPr>
          <w:rFonts w:ascii="Verdana" w:hAnsi="Verdana"/>
          <w:sz w:val="16"/>
          <w:szCs w:val="16"/>
          <w:lang w:val="es-CO"/>
        </w:rPr>
        <w:t>12.4. En el nivel municipal se implementará un único plan de Salud Pública de Intervenciones Colectivas, a través del cual se garantice la concurrencia técnica, administrativa y financiera entre las Entidades Territoriales de los órdenes departamental y municipal.</w:t>
      </w:r>
    </w:p>
    <w:p w14:paraId="2D42B9AC" w14:textId="77777777" w:rsidR="00D452F6" w:rsidRPr="008A6D54" w:rsidRDefault="00D452F6" w:rsidP="00D452F6">
      <w:pPr>
        <w:pStyle w:val="Textonotapie"/>
        <w:ind w:firstLine="709"/>
        <w:jc w:val="both"/>
        <w:rPr>
          <w:rFonts w:ascii="Verdana" w:hAnsi="Verdana"/>
          <w:sz w:val="16"/>
          <w:szCs w:val="16"/>
          <w:lang w:val="es-CO"/>
        </w:rPr>
      </w:pPr>
      <w:r w:rsidRPr="008A6D54">
        <w:rPr>
          <w:rFonts w:ascii="Verdana" w:hAnsi="Verdana"/>
          <w:sz w:val="16"/>
          <w:szCs w:val="16"/>
          <w:lang w:val="es-CO"/>
        </w:rPr>
        <w:t xml:space="preserve">12.5. Las entidades territoriales departamentales, distritales y municipales y las Empresas Sociales del Estado, ubicadas en el departamento, distrito o municipio, suscribirán un convenio o contrato para la implementación del Plan de Salud Pública de Intervenciones Colectivas y suscribirán el acta de inicio a más tardar el 1° de abril de cada vigencia, garantizando su operación y continuidad hasta el 31 de marzo de la siguiente vigencia, en el marco de los principios de continuidad y disponibilidad establecidos en la Ley </w:t>
      </w:r>
      <w:r w:rsidRPr="008A6D54">
        <w:rPr>
          <w:rFonts w:ascii="Verdana" w:hAnsi="Verdana"/>
          <w:color w:val="000000" w:themeColor="text1"/>
          <w:sz w:val="16"/>
          <w:szCs w:val="16"/>
          <w:lang w:val="es-CO"/>
        </w:rPr>
        <w:t>número </w:t>
      </w:r>
      <w:hyperlink r:id="rId2" w:history="1">
        <w:r w:rsidRPr="008A6D54">
          <w:rPr>
            <w:rStyle w:val="Hipervnculo"/>
            <w:rFonts w:ascii="Verdana" w:hAnsi="Verdana"/>
            <w:color w:val="000000" w:themeColor="text1"/>
            <w:sz w:val="16"/>
            <w:szCs w:val="16"/>
            <w:lang w:val="es-CO"/>
          </w:rPr>
          <w:t>1751</w:t>
        </w:r>
      </w:hyperlink>
      <w:r w:rsidRPr="008A6D54">
        <w:rPr>
          <w:rFonts w:ascii="Verdana" w:hAnsi="Verdana"/>
          <w:color w:val="000000" w:themeColor="text1"/>
          <w:sz w:val="16"/>
          <w:szCs w:val="16"/>
          <w:lang w:val="es-CO"/>
        </w:rPr>
        <w:t> de 2</w:t>
      </w:r>
      <w:r w:rsidRPr="008A6D54">
        <w:rPr>
          <w:rFonts w:ascii="Verdana" w:hAnsi="Verdana"/>
          <w:sz w:val="16"/>
          <w:szCs w:val="16"/>
          <w:lang w:val="es-CO"/>
        </w:rPr>
        <w:t>015 o la norma que la modifique, asegurando la ejecución de la totalidad de recursos asignados.</w:t>
      </w:r>
    </w:p>
    <w:p w14:paraId="73D9D7B8" w14:textId="77777777" w:rsidR="00D452F6" w:rsidRPr="008A6D54" w:rsidRDefault="00D452F6" w:rsidP="00D452F6">
      <w:pPr>
        <w:pStyle w:val="Textonotapie"/>
        <w:ind w:firstLine="709"/>
        <w:jc w:val="both"/>
        <w:rPr>
          <w:rFonts w:ascii="Verdana" w:hAnsi="Verdana"/>
          <w:sz w:val="16"/>
          <w:szCs w:val="16"/>
          <w:lang w:val="es-CO"/>
        </w:rPr>
      </w:pPr>
      <w:r w:rsidRPr="008A6D54">
        <w:rPr>
          <w:rFonts w:ascii="Verdana" w:hAnsi="Verdana"/>
          <w:sz w:val="16"/>
          <w:szCs w:val="16"/>
          <w:lang w:val="es-CO"/>
        </w:rPr>
        <w:t>12.6. Las Empresas Sociales del Estado o las entidades que hagan sus veces, con las cuales las entidades territoriales contraten el Plan de Salud Pública de Intervenciones Colectivas (PIC), implementarán, en coordinación con las entidades territoriales de los órdenes departamental, distrital y municipal, un plan de fortalecimiento institucional para garantizar la adecuada y efectiva ejecución del PIC, conforme a las directrices que para tal efecto emita el Ministerio de Salud y Protección Social.</w:t>
      </w:r>
    </w:p>
    <w:p w14:paraId="07359EB1" w14:textId="77777777" w:rsidR="00D452F6" w:rsidRPr="008A6D54" w:rsidRDefault="00D452F6" w:rsidP="00D452F6">
      <w:pPr>
        <w:pStyle w:val="Textonotapie"/>
        <w:ind w:firstLine="709"/>
        <w:jc w:val="both"/>
        <w:rPr>
          <w:rFonts w:ascii="Verdana" w:hAnsi="Verdana"/>
          <w:sz w:val="16"/>
          <w:szCs w:val="16"/>
          <w:lang w:val="es-CO"/>
        </w:rPr>
      </w:pPr>
      <w:r w:rsidRPr="008A6D54">
        <w:rPr>
          <w:rFonts w:ascii="Verdana" w:hAnsi="Verdana"/>
          <w:sz w:val="16"/>
          <w:szCs w:val="16"/>
          <w:lang w:val="es-CO"/>
        </w:rPr>
        <w:t>12.7. En los municipios que no cuenten con Empresas Sociales del Estado o la entidad que haga sus veces en el ámbito de su jurisdicción, el municipio ejecutará de manera directa las intervenciones colectivas que no requieran para su ejecución un servicio habilitado y contratarán con la Empresa Social del Estado del municipio más cercano, aquellas intervenciones colectivas que deben prestarse a través de servicios habilitados.</w:t>
      </w:r>
    </w:p>
    <w:p w14:paraId="2F158EB2" w14:textId="77777777" w:rsidR="00D452F6" w:rsidRPr="008A6D54" w:rsidRDefault="00D452F6" w:rsidP="00D452F6">
      <w:pPr>
        <w:pStyle w:val="Textonotapie"/>
        <w:ind w:firstLine="709"/>
        <w:jc w:val="both"/>
        <w:rPr>
          <w:rFonts w:ascii="Verdana" w:hAnsi="Verdana"/>
          <w:sz w:val="16"/>
          <w:szCs w:val="16"/>
          <w:lang w:val="es-CO"/>
        </w:rPr>
      </w:pPr>
      <w:r w:rsidRPr="008A6D54">
        <w:rPr>
          <w:rFonts w:ascii="Verdana" w:hAnsi="Verdana"/>
          <w:sz w:val="16"/>
          <w:szCs w:val="16"/>
          <w:lang w:val="es-CO"/>
        </w:rPr>
        <w:t>12.8. Las entidades territoriales de los órdenes departamental, distrital y municipal implementarán mecanismos de coordinación con las instituciones prestadoras de servicios de salud, públicas, privadas y mixtas, las entidades promotoras de salud o quien haga sus veces, las demás entidades del sector público, el sector privado y la sociedad en general, con el fin de fortalecer la capacidad resolutiva de las acciones desarrolladas desde el plan de intervenciones colectivas en complementariedad con las intervenciones individuales del plan de beneficios en salud para la integralidad y continuidad de la atención, en el marco de los principios de concurrencia y complementariedad.</w:t>
      </w:r>
    </w:p>
    <w:p w14:paraId="69100473" w14:textId="77777777" w:rsidR="00D452F6" w:rsidRPr="008A6D54" w:rsidRDefault="00D452F6" w:rsidP="00D452F6">
      <w:pPr>
        <w:pStyle w:val="Textonotapie"/>
        <w:ind w:firstLine="709"/>
        <w:jc w:val="both"/>
        <w:rPr>
          <w:rFonts w:ascii="Verdana" w:hAnsi="Verdana"/>
          <w:sz w:val="16"/>
          <w:szCs w:val="16"/>
          <w:lang w:val="es-CO"/>
        </w:rPr>
      </w:pPr>
      <w:r w:rsidRPr="008A6D54">
        <w:rPr>
          <w:rFonts w:ascii="Verdana" w:hAnsi="Verdana"/>
          <w:sz w:val="16"/>
          <w:szCs w:val="16"/>
          <w:lang w:val="es-CO"/>
        </w:rPr>
        <w:t>12.9. En caso de que la Empresa Social del Estado o la entidad que haga sus veces desista del proceso de contratación del Plan de Salud Pública de Intervenciones Colectivas (PIC), deberá manifestarlo por escrito en un plazo de máximo quince (15) días calendario siguientes a la propuesta de contratación de la entidad territorial o la entidad que haga sus veces. En todo caso deberá evidenciarse la gestión adelantada por la entidad territorial para la contratación del PIC con la ESE, o la entidad que haga sus veces.</w:t>
      </w:r>
    </w:p>
    <w:p w14:paraId="26879C0D" w14:textId="77777777" w:rsidR="00D452F6" w:rsidRPr="008A6D54" w:rsidRDefault="00D452F6" w:rsidP="00D452F6">
      <w:pPr>
        <w:pStyle w:val="Textonotapie"/>
        <w:ind w:firstLine="709"/>
        <w:jc w:val="both"/>
        <w:rPr>
          <w:rFonts w:ascii="Verdana" w:hAnsi="Verdana"/>
          <w:sz w:val="16"/>
          <w:szCs w:val="16"/>
          <w:lang w:val="es-CO"/>
        </w:rPr>
      </w:pPr>
      <w:r w:rsidRPr="008A6D54">
        <w:rPr>
          <w:rFonts w:ascii="Verdana" w:hAnsi="Verdana"/>
          <w:sz w:val="16"/>
          <w:szCs w:val="16"/>
          <w:lang w:val="es-CO"/>
        </w:rPr>
        <w:t>12.10. En los municipios donde la única Empresa Social del Estado o la entidad que haga sus veces, haya desistido por escrito de la contratación del Plan de Salud Pública de Intervenciones Colectivas (PIC), este podrá ser contratado excepcionalmente con la ESE o quien haga sus veces, del municipio más cercano.</w:t>
      </w:r>
    </w:p>
    <w:p w14:paraId="3B7A6442" w14:textId="77777777" w:rsidR="00D452F6" w:rsidRPr="008A6D54" w:rsidRDefault="00D452F6" w:rsidP="00D452F6">
      <w:pPr>
        <w:pStyle w:val="Textonotapie"/>
        <w:ind w:firstLine="709"/>
        <w:jc w:val="both"/>
        <w:rPr>
          <w:rFonts w:ascii="Verdana" w:hAnsi="Verdana"/>
          <w:sz w:val="16"/>
          <w:szCs w:val="16"/>
          <w:lang w:val="es-CO"/>
        </w:rPr>
      </w:pPr>
      <w:r w:rsidRPr="008A6D54">
        <w:rPr>
          <w:rFonts w:ascii="Verdana" w:hAnsi="Verdana"/>
          <w:sz w:val="16"/>
          <w:szCs w:val="16"/>
          <w:lang w:val="es-CO"/>
        </w:rPr>
        <w:t>12.11. De no contar la Empresa Social del Estado o la entidad que haga sus veces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estas intervenciones serán implementadas directamente por la Entidad Territorial de los órdenes departamental, distrital o municipal, de acuerdo con sus competencias legales.</w:t>
      </w:r>
    </w:p>
    <w:p w14:paraId="61650108" w14:textId="77777777" w:rsidR="00D452F6" w:rsidRPr="008A6D54" w:rsidRDefault="00D452F6" w:rsidP="00D452F6">
      <w:pPr>
        <w:pStyle w:val="Textonotapie"/>
        <w:ind w:firstLine="709"/>
        <w:jc w:val="both"/>
        <w:rPr>
          <w:rFonts w:ascii="Verdana" w:hAnsi="Verdana"/>
          <w:sz w:val="16"/>
          <w:szCs w:val="16"/>
          <w:lang w:val="es-CO"/>
        </w:rPr>
      </w:pPr>
      <w:r w:rsidRPr="008A6D54">
        <w:rPr>
          <w:rFonts w:ascii="Verdana" w:hAnsi="Verdana"/>
          <w:sz w:val="16"/>
          <w:szCs w:val="16"/>
          <w:lang w:val="es-CO"/>
        </w:rPr>
        <w:t>12.12. Excepcionalmente, cuando la entidad territorial de los órdenes departamental, distrital o municipal no cuente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 estas intervenciones podrán ser contratadas a través de universidades, organizaciones no gubernamentales (ONG) o instituciones de naturaleza privada cuyo objeto social esté relacionado, previa verificación del cumplimiento de las condiciones establecidas, conforme con las disposiciones aplicables a la contratación estatal.</w:t>
      </w:r>
    </w:p>
    <w:p w14:paraId="7AE56D90" w14:textId="77777777" w:rsidR="00D452F6" w:rsidRPr="008A6D54" w:rsidRDefault="00D452F6" w:rsidP="00D452F6">
      <w:pPr>
        <w:pStyle w:val="Textonotapie"/>
        <w:ind w:firstLine="709"/>
        <w:jc w:val="both"/>
        <w:rPr>
          <w:rFonts w:ascii="Verdana" w:hAnsi="Verdana"/>
          <w:sz w:val="16"/>
          <w:szCs w:val="16"/>
          <w:lang w:val="es-CO"/>
        </w:rPr>
      </w:pPr>
      <w:r w:rsidRPr="008A6D54">
        <w:rPr>
          <w:rFonts w:ascii="Verdana" w:hAnsi="Verdana"/>
          <w:sz w:val="16"/>
          <w:szCs w:val="16"/>
          <w:lang w:val="es-CO"/>
        </w:rPr>
        <w:t xml:space="preserve">12.13. Las entidades territoriales de los órdenes departamental, distrital y municipal que celebren acuerdos de voluntades para las intervenciones colectivas deberán dar cumplimiento a lo establecido en el Decreto </w:t>
      </w:r>
      <w:r w:rsidRPr="008A6D54">
        <w:rPr>
          <w:rFonts w:ascii="Verdana" w:hAnsi="Verdana"/>
          <w:color w:val="000000" w:themeColor="text1"/>
          <w:sz w:val="16"/>
          <w:szCs w:val="16"/>
          <w:lang w:val="es-CO"/>
        </w:rPr>
        <w:t>número </w:t>
      </w:r>
      <w:hyperlink r:id="rId3" w:history="1">
        <w:r w:rsidRPr="008A6D54">
          <w:rPr>
            <w:rStyle w:val="Hipervnculo"/>
            <w:rFonts w:ascii="Verdana" w:hAnsi="Verdana"/>
            <w:color w:val="000000" w:themeColor="text1"/>
            <w:sz w:val="16"/>
            <w:szCs w:val="16"/>
            <w:lang w:val="es-CO"/>
          </w:rPr>
          <w:t>441</w:t>
        </w:r>
      </w:hyperlink>
      <w:r w:rsidRPr="008A6D54">
        <w:rPr>
          <w:rFonts w:ascii="Verdana" w:hAnsi="Verdana"/>
          <w:color w:val="000000" w:themeColor="text1"/>
          <w:sz w:val="16"/>
          <w:szCs w:val="16"/>
          <w:lang w:val="es-CO"/>
        </w:rPr>
        <w:t> de 20</w:t>
      </w:r>
      <w:r w:rsidRPr="008A6D54">
        <w:rPr>
          <w:rFonts w:ascii="Verdana" w:hAnsi="Verdana"/>
          <w:sz w:val="16"/>
          <w:szCs w:val="16"/>
          <w:lang w:val="es-CO"/>
        </w:rPr>
        <w:t>22 y Resolución número 2336 de 2023 o las normas que lo modifiquen o deroguen. </w:t>
      </w:r>
    </w:p>
    <w:p w14:paraId="4EA92F76" w14:textId="77777777" w:rsidR="00D452F6" w:rsidRPr="008A6D54" w:rsidRDefault="00D452F6" w:rsidP="00D452F6">
      <w:pPr>
        <w:pStyle w:val="Textonotapie"/>
        <w:ind w:firstLine="709"/>
        <w:jc w:val="both"/>
        <w:rPr>
          <w:rFonts w:ascii="Verdana" w:hAnsi="Verdana"/>
          <w:sz w:val="16"/>
          <w:szCs w:val="16"/>
          <w:lang w:val="es-CO"/>
        </w:rPr>
      </w:pPr>
      <w:r w:rsidRPr="008A6D54">
        <w:rPr>
          <w:rFonts w:ascii="Verdana" w:hAnsi="Verdana"/>
          <w:sz w:val="16"/>
          <w:szCs w:val="16"/>
          <w:lang w:val="es-CO"/>
        </w:rPr>
        <w:t>12.14. Con el fin de fortalecer el abordaje comunitario en salud sexual y reproductiva, consumo de sustancias psicoactivas y otras prioridades en salud pública con poblaciones de especial interés, las entidades que implementen el Plan de Salud Pública de Intervenciones Colectivas podrán contratar actividades específicas con organizaciones de base comunitaria, sin ánimo de lucro, de acuerdo con la normativa vigente y los lineamientos que para tal efecto expida el Ministerio de Salud y Protección Social.</w:t>
      </w:r>
    </w:p>
    <w:p w14:paraId="4B8EAF56" w14:textId="77777777" w:rsidR="00D452F6" w:rsidRPr="008A6D54" w:rsidRDefault="00D452F6" w:rsidP="00D452F6">
      <w:pPr>
        <w:pStyle w:val="Textonotapie"/>
        <w:ind w:firstLine="709"/>
        <w:jc w:val="both"/>
        <w:rPr>
          <w:rFonts w:ascii="Verdana" w:hAnsi="Verdana"/>
          <w:sz w:val="16"/>
          <w:szCs w:val="16"/>
          <w:lang w:val="es-CO"/>
        </w:rPr>
      </w:pPr>
      <w:r w:rsidRPr="008A6D54">
        <w:rPr>
          <w:rFonts w:ascii="Verdana" w:hAnsi="Verdana"/>
          <w:sz w:val="16"/>
          <w:szCs w:val="16"/>
          <w:lang w:val="es-CO"/>
        </w:rPr>
        <w:t>12.15. En ningún caso se podrán subcontratar las intervenciones colectivas del Plan de Salud Pública de Intervenciones Colectivas, salvo las actividades de apoyo, tales como adquisición de insumos, material didáctico que se pueda requerir para la ejecución directa del objeto, servicio de transporte y demás aspectos logísticos.</w:t>
      </w:r>
    </w:p>
    <w:p w14:paraId="3BE95E8B" w14:textId="77777777" w:rsidR="00D452F6" w:rsidRPr="008A6D54" w:rsidRDefault="00D452F6" w:rsidP="00D452F6">
      <w:pPr>
        <w:pStyle w:val="Textonotapie"/>
        <w:ind w:firstLine="709"/>
        <w:jc w:val="both"/>
        <w:rPr>
          <w:rFonts w:ascii="Verdana" w:hAnsi="Verdana"/>
          <w:sz w:val="16"/>
          <w:szCs w:val="16"/>
          <w:lang w:val="es-CO"/>
        </w:rPr>
      </w:pPr>
      <w:r w:rsidRPr="008A6D54">
        <w:rPr>
          <w:rFonts w:ascii="Verdana" w:hAnsi="Verdana"/>
          <w:sz w:val="16"/>
          <w:szCs w:val="16"/>
          <w:lang w:val="es-CO"/>
        </w:rPr>
        <w:t>12.16. Se podrán realizar alianzas entre dos o más municipios para la contratación de intervenciones colectivas en el marco de estrategias conjuntas de salud pública, que tengan un alcance regional y subregional o que permitan optimizar esfuerzos y recursos.</w:t>
      </w:r>
    </w:p>
    <w:p w14:paraId="02DCCE58" w14:textId="77777777" w:rsidR="00D452F6" w:rsidRPr="008A6D54" w:rsidRDefault="00D452F6" w:rsidP="00D452F6">
      <w:pPr>
        <w:pStyle w:val="Textonotapie"/>
        <w:ind w:firstLine="709"/>
        <w:jc w:val="both"/>
        <w:rPr>
          <w:rFonts w:ascii="Verdana" w:hAnsi="Verdana"/>
          <w:sz w:val="16"/>
          <w:szCs w:val="16"/>
          <w:lang w:val="es-CO"/>
        </w:rPr>
      </w:pPr>
      <w:r w:rsidRPr="008A6D54">
        <w:rPr>
          <w:rFonts w:ascii="Verdana" w:hAnsi="Verdana"/>
          <w:b/>
          <w:bCs/>
          <w:sz w:val="16"/>
          <w:szCs w:val="16"/>
          <w:lang w:val="es-CO"/>
        </w:rPr>
        <w:t>Parágrafo.</w:t>
      </w:r>
      <w:r w:rsidRPr="008A6D54">
        <w:rPr>
          <w:rFonts w:ascii="Verdana" w:hAnsi="Verdana"/>
          <w:sz w:val="16"/>
          <w:szCs w:val="16"/>
          <w:lang w:val="es-CO"/>
        </w:rPr>
        <w:t> Este Ministerio reglamentará las condiciones que deben cumplir las organizaciones de base comunitaria, sin ánimo de lucro, para el desarrollo de las actividades de abordaje comunitario.</w:t>
      </w:r>
    </w:p>
    <w:p w14:paraId="6BE4C342" w14:textId="77777777" w:rsidR="00D452F6" w:rsidRPr="008A6D54" w:rsidRDefault="00D452F6" w:rsidP="00D452F6">
      <w:pPr>
        <w:pStyle w:val="Textonotapie"/>
        <w:rPr>
          <w:lang w:val="es-ES"/>
        </w:rPr>
      </w:pPr>
    </w:p>
  </w:footnote>
  <w:footnote w:id="30">
    <w:p w14:paraId="4223AB26" w14:textId="77777777" w:rsidR="00D452F6" w:rsidRPr="003B2CAD" w:rsidRDefault="00D452F6" w:rsidP="00D452F6">
      <w:pPr>
        <w:pStyle w:val="Textonotapie"/>
        <w:ind w:firstLine="709"/>
        <w:rPr>
          <w:rFonts w:ascii="Verdana" w:hAnsi="Verdana"/>
          <w:sz w:val="16"/>
          <w:szCs w:val="16"/>
        </w:rPr>
      </w:pPr>
      <w:r w:rsidRPr="003B2CAD">
        <w:rPr>
          <w:rStyle w:val="Refdenotaalpie"/>
          <w:rFonts w:ascii="Verdana" w:hAnsi="Verdana"/>
          <w:sz w:val="16"/>
          <w:szCs w:val="16"/>
        </w:rPr>
        <w:footnoteRef/>
      </w:r>
      <w:r w:rsidRPr="003B2CAD">
        <w:rPr>
          <w:rFonts w:ascii="Verdana" w:hAnsi="Verdana"/>
          <w:sz w:val="16"/>
          <w:szCs w:val="16"/>
        </w:rPr>
        <w:t xml:space="preserve"> Esto en el entendido de la posición de la Agencia Nacional descrito en la presente comunicación. </w:t>
      </w:r>
    </w:p>
    <w:p w14:paraId="6D69980F" w14:textId="77777777" w:rsidR="00D452F6" w:rsidRPr="00AB7D3A" w:rsidRDefault="00D452F6" w:rsidP="00D452F6">
      <w:pPr>
        <w:pStyle w:val="Textonotapie"/>
      </w:pPr>
    </w:p>
  </w:footnote>
  <w:footnote w:id="31">
    <w:p w14:paraId="06FB6DB1" w14:textId="77777777" w:rsidR="00D452F6" w:rsidRDefault="00D452F6" w:rsidP="00D452F6">
      <w:pPr>
        <w:pStyle w:val="Textonotapie"/>
        <w:ind w:firstLine="709"/>
      </w:pPr>
      <w:r w:rsidRPr="00754E19">
        <w:rPr>
          <w:rStyle w:val="Refdenotaalpie"/>
          <w:rFonts w:ascii="Verdana" w:hAnsi="Verdana"/>
          <w:sz w:val="16"/>
          <w:szCs w:val="16"/>
        </w:rPr>
        <w:footnoteRef/>
      </w:r>
      <w:r w:rsidRPr="00754E19">
        <w:rPr>
          <w:rFonts w:ascii="Verdana" w:hAnsi="Verdana"/>
          <w:sz w:val="16"/>
          <w:szCs w:val="16"/>
        </w:rPr>
        <w:t xml:space="preserve"> </w:t>
      </w:r>
      <w:r w:rsidRPr="00754E19">
        <w:rPr>
          <w:rFonts w:ascii="Verdana" w:hAnsi="Verdana"/>
          <w:sz w:val="16"/>
          <w:szCs w:val="16"/>
          <w:lang w:val="es-ES"/>
        </w:rPr>
        <w:t xml:space="preserve">Disponible en </w:t>
      </w:r>
      <w:hyperlink r:id="rId4" w:history="1">
        <w:r w:rsidRPr="00754E19">
          <w:rPr>
            <w:rStyle w:val="Hipervnculo"/>
            <w:rFonts w:ascii="Verdana" w:hAnsi="Verdana"/>
            <w:sz w:val="16"/>
            <w:szCs w:val="16"/>
            <w:lang w:val="es-CO"/>
          </w:rPr>
          <w:t>circular-externa-04-de-2018.pdf</w:t>
        </w:r>
      </w:hyperlink>
    </w:p>
    <w:p w14:paraId="73660D47" w14:textId="77777777" w:rsidR="00284345" w:rsidRPr="00754E19" w:rsidRDefault="00284345" w:rsidP="00D452F6">
      <w:pPr>
        <w:pStyle w:val="Textonotapie"/>
        <w:ind w:firstLine="709"/>
        <w:rPr>
          <w:rFonts w:ascii="Verdana" w:hAnsi="Verdana"/>
          <w:sz w:val="16"/>
          <w:szCs w:val="16"/>
          <w:lang w:val="es-ES"/>
        </w:rPr>
      </w:pPr>
    </w:p>
  </w:footnote>
  <w:footnote w:id="32">
    <w:p w14:paraId="76ABC4B0" w14:textId="77777777" w:rsidR="00D452F6" w:rsidRPr="00FF007A" w:rsidRDefault="00D452F6" w:rsidP="00D452F6">
      <w:pPr>
        <w:pStyle w:val="Textonotapie"/>
        <w:ind w:firstLine="708"/>
        <w:contextualSpacing/>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w:t>
      </w:r>
      <w:r w:rsidRPr="00FF007A">
        <w:rPr>
          <w:rFonts w:ascii="Verdana" w:hAnsi="Verdana" w:cs="Arial"/>
          <w:sz w:val="16"/>
          <w:szCs w:val="16"/>
          <w:lang w:val="es-CO"/>
        </w:rPr>
        <w:t>M</w:t>
      </w:r>
      <w:r w:rsidRPr="00FF007A">
        <w:rPr>
          <w:rFonts w:ascii="Verdana" w:hAnsi="Verdana"/>
          <w:sz w:val="16"/>
          <w:szCs w:val="16"/>
          <w:lang w:val="es-CO"/>
        </w:rPr>
        <w:t>i</w:t>
      </w:r>
      <w:r w:rsidRPr="00FF007A">
        <w:rPr>
          <w:rFonts w:ascii="Verdana" w:hAnsi="Verdana" w:cs="Arial"/>
          <w:sz w:val="16"/>
          <w:szCs w:val="16"/>
          <w:lang w:val="es-CO"/>
        </w:rPr>
        <w:t>nisterio de Salud y Protección Social. Resolución</w:t>
      </w:r>
      <w:r>
        <w:rPr>
          <w:rFonts w:ascii="Verdana" w:hAnsi="Verdana" w:cs="Arial"/>
          <w:sz w:val="16"/>
          <w:szCs w:val="16"/>
          <w:lang w:val="es-CO"/>
        </w:rPr>
        <w:t xml:space="preserve"> </w:t>
      </w:r>
      <w:r w:rsidRPr="00FF007A">
        <w:rPr>
          <w:rFonts w:ascii="Verdana" w:hAnsi="Verdana" w:cs="Arial"/>
          <w:sz w:val="16"/>
          <w:szCs w:val="16"/>
          <w:lang w:val="es-CO"/>
        </w:rPr>
        <w:t xml:space="preserve">04 del 12 de </w:t>
      </w:r>
      <w:r w:rsidRPr="00FF007A">
        <w:rPr>
          <w:rFonts w:ascii="Verdana" w:hAnsi="Verdana" w:cs="Arial"/>
          <w:sz w:val="16"/>
          <w:szCs w:val="16"/>
          <w:lang w:val="es-CO"/>
        </w:rPr>
        <w:t>Enero de 2018.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55pt;height:11.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D2909C8"/>
    <w:multiLevelType w:val="hybridMultilevel"/>
    <w:tmpl w:val="E2F20D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21058801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4537E"/>
    <w:rsid w:val="001B3396"/>
    <w:rsid w:val="001E4177"/>
    <w:rsid w:val="001F7DC6"/>
    <w:rsid w:val="001F7F40"/>
    <w:rsid w:val="0023010E"/>
    <w:rsid w:val="002421BB"/>
    <w:rsid w:val="0025796E"/>
    <w:rsid w:val="002707A2"/>
    <w:rsid w:val="00284345"/>
    <w:rsid w:val="002951A0"/>
    <w:rsid w:val="002962BC"/>
    <w:rsid w:val="002A093D"/>
    <w:rsid w:val="002A0DD0"/>
    <w:rsid w:val="002A49AC"/>
    <w:rsid w:val="002A64FD"/>
    <w:rsid w:val="002C7A84"/>
    <w:rsid w:val="002E4FD9"/>
    <w:rsid w:val="00322A85"/>
    <w:rsid w:val="00324168"/>
    <w:rsid w:val="00341673"/>
    <w:rsid w:val="003448F4"/>
    <w:rsid w:val="00363ED9"/>
    <w:rsid w:val="00374F5E"/>
    <w:rsid w:val="00377E3E"/>
    <w:rsid w:val="003A779E"/>
    <w:rsid w:val="003B2507"/>
    <w:rsid w:val="003C09D5"/>
    <w:rsid w:val="003D0F4D"/>
    <w:rsid w:val="003D5B0D"/>
    <w:rsid w:val="003E0499"/>
    <w:rsid w:val="003F3941"/>
    <w:rsid w:val="00406575"/>
    <w:rsid w:val="00414C74"/>
    <w:rsid w:val="0042722E"/>
    <w:rsid w:val="0044528D"/>
    <w:rsid w:val="004A1847"/>
    <w:rsid w:val="004A305D"/>
    <w:rsid w:val="004F21C4"/>
    <w:rsid w:val="004F685F"/>
    <w:rsid w:val="00521D5F"/>
    <w:rsid w:val="005566E8"/>
    <w:rsid w:val="00574867"/>
    <w:rsid w:val="00591460"/>
    <w:rsid w:val="00593284"/>
    <w:rsid w:val="005C3777"/>
    <w:rsid w:val="005C5CDC"/>
    <w:rsid w:val="005D476C"/>
    <w:rsid w:val="006219F8"/>
    <w:rsid w:val="006302F7"/>
    <w:rsid w:val="00665D70"/>
    <w:rsid w:val="006900D9"/>
    <w:rsid w:val="006A760C"/>
    <w:rsid w:val="006B4BC8"/>
    <w:rsid w:val="006D18CA"/>
    <w:rsid w:val="006D59E9"/>
    <w:rsid w:val="00706C16"/>
    <w:rsid w:val="00756841"/>
    <w:rsid w:val="007600F9"/>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31900"/>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74005"/>
    <w:rsid w:val="00A770F8"/>
    <w:rsid w:val="00AA1B96"/>
    <w:rsid w:val="00AB0ADB"/>
    <w:rsid w:val="00AF0278"/>
    <w:rsid w:val="00B00C0E"/>
    <w:rsid w:val="00B01B1A"/>
    <w:rsid w:val="00B44A47"/>
    <w:rsid w:val="00B72CD3"/>
    <w:rsid w:val="00B72FFF"/>
    <w:rsid w:val="00B76F24"/>
    <w:rsid w:val="00BA7C8E"/>
    <w:rsid w:val="00BB4423"/>
    <w:rsid w:val="00BC3D36"/>
    <w:rsid w:val="00BD5582"/>
    <w:rsid w:val="00BD7F72"/>
    <w:rsid w:val="00C04FB3"/>
    <w:rsid w:val="00C330EB"/>
    <w:rsid w:val="00C37935"/>
    <w:rsid w:val="00C754BE"/>
    <w:rsid w:val="00C76B1C"/>
    <w:rsid w:val="00CB6357"/>
    <w:rsid w:val="00CC1B26"/>
    <w:rsid w:val="00D423A2"/>
    <w:rsid w:val="00D452F6"/>
    <w:rsid w:val="00D520D8"/>
    <w:rsid w:val="00D63AC2"/>
    <w:rsid w:val="00D7383B"/>
    <w:rsid w:val="00DA231B"/>
    <w:rsid w:val="00DC39FC"/>
    <w:rsid w:val="00DE199D"/>
    <w:rsid w:val="00DF5254"/>
    <w:rsid w:val="00E16408"/>
    <w:rsid w:val="00E20894"/>
    <w:rsid w:val="00E245AB"/>
    <w:rsid w:val="00E2764C"/>
    <w:rsid w:val="00E27F2E"/>
    <w:rsid w:val="00E50AFE"/>
    <w:rsid w:val="00E75C92"/>
    <w:rsid w:val="00E771DC"/>
    <w:rsid w:val="00E8772A"/>
    <w:rsid w:val="00E90F6B"/>
    <w:rsid w:val="00E92C27"/>
    <w:rsid w:val="00E9780C"/>
    <w:rsid w:val="00EA0E3D"/>
    <w:rsid w:val="00EC38A7"/>
    <w:rsid w:val="00EE1AA8"/>
    <w:rsid w:val="00F31EDC"/>
    <w:rsid w:val="00F462B3"/>
    <w:rsid w:val="00F5664F"/>
    <w:rsid w:val="00F666C4"/>
    <w:rsid w:val="00F76AFC"/>
    <w:rsid w:val="00FA47C0"/>
    <w:rsid w:val="00FB5DD1"/>
    <w:rsid w:val="00FC2B5D"/>
    <w:rsid w:val="00FD5089"/>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452F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452F6"/>
    <w:rPr>
      <w:rFonts w:ascii="Geomanist Light" w:hAnsi="Geomanist Light"/>
      <w:lang w:val="es-ES"/>
    </w:rPr>
  </w:style>
  <w:style w:type="character" w:customStyle="1" w:styleId="NormalWebCar">
    <w:name w:val="Normal (Web) Car"/>
    <w:link w:val="NormalWeb"/>
    <w:uiPriority w:val="99"/>
    <w:locked/>
    <w:rsid w:val="00D452F6"/>
    <w:rPr>
      <w:rFonts w:ascii="Times New Roman" w:eastAsia="Times New Roman" w:hAnsi="Times New Roman" w:cs="Times New Roman"/>
      <w:sz w:val="24"/>
      <w:szCs w:val="24"/>
      <w:lang w:eastAsia="es-CO"/>
    </w:rPr>
  </w:style>
  <w:style w:type="character" w:customStyle="1" w:styleId="baj">
    <w:name w:val="b_aj"/>
    <w:basedOn w:val="Fuentedeprrafopredeter"/>
    <w:rsid w:val="00D452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dbustosabogado@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www.alcaldiabogota.gov.co/sisjur/normas/Norma1.jsp?dt=S&amp;i=122202" TargetMode="External"/><Relationship Id="rId2" Type="http://schemas.openxmlformats.org/officeDocument/2006/relationships/hyperlink" Target="https://www.alcaldiabogota.gov.co/sisjur/normas/Norma1.jsp?dt=S&amp;i=60733" TargetMode="External"/><Relationship Id="rId1" Type="http://schemas.openxmlformats.org/officeDocument/2006/relationships/hyperlink" Target="https://www.alcaldiabogota.gov.co/sisjur/normas/Norma1.jsp?dt=S&amp;i=80433" TargetMode="External"/><Relationship Id="rId4" Type="http://schemas.openxmlformats.org/officeDocument/2006/relationships/hyperlink" Target="https://www.minsalud.gov.co/sites/rid/Lists/BibliotecaDigital/RIDE/DE/DIJ/circular-externa-04-de-2018.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3AE5550-92BA-49BE-91F1-8D89FD4A3F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45</TotalTime>
  <Pages>33</Pages>
  <Words>11093</Words>
  <Characters>61014</Characters>
  <Application>Microsoft Office Word</Application>
  <DocSecurity>0</DocSecurity>
  <Lines>508</Lines>
  <Paragraphs>143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7</cp:revision>
  <cp:lastPrinted>2023-01-10T21:18:00Z</cp:lastPrinted>
  <dcterms:created xsi:type="dcterms:W3CDTF">2025-10-22T13:30:00Z</dcterms:created>
  <dcterms:modified xsi:type="dcterms:W3CDTF">2025-10-22T22:43:00Z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