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9818A" w14:textId="77777777" w:rsidR="00023625" w:rsidRPr="00DE2AC7" w:rsidRDefault="00023625" w:rsidP="00023625">
      <w:pPr>
        <w:spacing w:after="0" w:line="240" w:lineRule="auto"/>
        <w:rPr>
          <w:rFonts w:ascii="Verdana" w:eastAsia="Calibri" w:hAnsi="Verdana" w:cs="Arial"/>
          <w:b/>
          <w:sz w:val="20"/>
          <w:szCs w:val="20"/>
          <w:lang w:val="es-ES_tradnl" w:eastAsia="es-ES_tradnl"/>
        </w:rPr>
      </w:pPr>
    </w:p>
    <w:p w14:paraId="475B419B" w14:textId="77777777" w:rsidR="00023625" w:rsidRPr="007D0816" w:rsidRDefault="00023625" w:rsidP="00023625">
      <w:pPr>
        <w:spacing w:after="0" w:line="240" w:lineRule="auto"/>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Noción </w:t>
      </w:r>
    </w:p>
    <w:p w14:paraId="12F0B32C" w14:textId="77777777" w:rsidR="00023625" w:rsidRPr="00DE2AC7" w:rsidRDefault="00023625" w:rsidP="00023625">
      <w:pPr>
        <w:spacing w:after="0" w:line="240" w:lineRule="auto"/>
        <w:rPr>
          <w:rFonts w:ascii="Verdana" w:eastAsia="Calibri" w:hAnsi="Verdana" w:cs="Arial"/>
          <w:bCs/>
          <w:sz w:val="20"/>
          <w:szCs w:val="20"/>
          <w:lang w:val="es-ES_tradnl" w:eastAsia="es-ES_tradnl"/>
        </w:rPr>
      </w:pPr>
    </w:p>
    <w:p w14:paraId="37166CFC"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DE2AC7">
        <w:rPr>
          <w:rFonts w:ascii="Verdana" w:eastAsia="Calibri" w:hAnsi="Verdana" w:cs="Arial"/>
          <w:color w:val="000000" w:themeColor="text1"/>
          <w:sz w:val="20"/>
          <w:szCs w:val="20"/>
        </w:rPr>
        <w:t>subentra</w:t>
      </w:r>
      <w:proofErr w:type="spellEnd"/>
      <w:r w:rsidRPr="00DE2AC7">
        <w:rPr>
          <w:rFonts w:ascii="Verdana" w:eastAsia="Calibri" w:hAnsi="Verdana" w:cs="Arial"/>
          <w:color w:val="000000" w:themeColor="text1"/>
          <w:sz w:val="20"/>
          <w:szCs w:val="20"/>
        </w:rPr>
        <w:t xml:space="preserve"> en la relación con el cedido […]”. Por otro, “[…] es la transferencia de la posición contractual de un contratante a otro sujeto, que le </w:t>
      </w:r>
      <w:proofErr w:type="spellStart"/>
      <w:r w:rsidRPr="00DE2AC7">
        <w:rPr>
          <w:rFonts w:ascii="Verdana" w:eastAsia="Calibri" w:hAnsi="Verdana" w:cs="Arial"/>
          <w:color w:val="000000" w:themeColor="text1"/>
          <w:sz w:val="20"/>
          <w:szCs w:val="20"/>
        </w:rPr>
        <w:t>subentra</w:t>
      </w:r>
      <w:proofErr w:type="spellEnd"/>
      <w:r w:rsidRPr="00DE2AC7">
        <w:rPr>
          <w:rFonts w:ascii="Verdana" w:eastAsia="Calibri" w:hAnsi="Verdana" w:cs="Arial"/>
          <w:color w:val="000000" w:themeColor="text1"/>
          <w:sz w:val="20"/>
          <w:szCs w:val="20"/>
        </w:rPr>
        <w:t xml:space="preserve"> en la relación con la contraparte […]”. De esta manera, </w:t>
      </w:r>
      <w:r w:rsidRPr="00DE2AC7">
        <w:rPr>
          <w:rFonts w:ascii="Verdana" w:hAnsi="Verdana" w:cs="Arial"/>
          <w:color w:val="000000" w:themeColor="text1"/>
          <w:sz w:val="20"/>
          <w:szCs w:val="20"/>
        </w:rPr>
        <w:t xml:space="preserve">concurren tres (3) sujetos: i) el cedente, esto es, el contratista inicial; </w:t>
      </w:r>
      <w:proofErr w:type="spellStart"/>
      <w:r w:rsidRPr="00DE2AC7">
        <w:rPr>
          <w:rFonts w:ascii="Verdana" w:hAnsi="Verdana" w:cs="Arial"/>
          <w:color w:val="000000" w:themeColor="text1"/>
          <w:sz w:val="20"/>
          <w:szCs w:val="20"/>
        </w:rPr>
        <w:t>ii</w:t>
      </w:r>
      <w:proofErr w:type="spellEnd"/>
      <w:r w:rsidRPr="00DE2AC7">
        <w:rPr>
          <w:rFonts w:ascii="Verdana" w:hAnsi="Verdana" w:cs="Arial"/>
          <w:color w:val="000000" w:themeColor="text1"/>
          <w:sz w:val="20"/>
          <w:szCs w:val="20"/>
        </w:rPr>
        <w:t xml:space="preserve">) el cesionario, es decir, quien asume total o parcialmente los derechos y obligaciones de este último; y </w:t>
      </w:r>
      <w:proofErr w:type="spellStart"/>
      <w:r w:rsidRPr="00DE2AC7">
        <w:rPr>
          <w:rFonts w:ascii="Verdana" w:hAnsi="Verdana" w:cs="Arial"/>
          <w:color w:val="000000" w:themeColor="text1"/>
          <w:sz w:val="20"/>
          <w:szCs w:val="20"/>
        </w:rPr>
        <w:t>iii</w:t>
      </w:r>
      <w:proofErr w:type="spellEnd"/>
      <w:r w:rsidRPr="00DE2AC7">
        <w:rPr>
          <w:rFonts w:ascii="Verdana" w:hAnsi="Verdana" w:cs="Arial"/>
          <w:color w:val="000000" w:themeColor="text1"/>
          <w:sz w:val="20"/>
          <w:szCs w:val="20"/>
        </w:rPr>
        <w:t xml:space="preserve">) el cedido que, en el caso de los contratos estatales, sería la entidad que suscribió el contrato. </w:t>
      </w:r>
      <w:r w:rsidRPr="00DE2AC7">
        <w:rPr>
          <w:rFonts w:ascii="Verdana" w:eastAsia="Calibri" w:hAnsi="Verdana" w:cs="Arial"/>
          <w:color w:val="000000" w:themeColor="text1"/>
          <w:sz w:val="20"/>
          <w:szCs w:val="20"/>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725FDCC1"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p>
    <w:p w14:paraId="62A4D6D1" w14:textId="77777777" w:rsidR="00023625" w:rsidRPr="007D0816" w:rsidRDefault="00023625" w:rsidP="00023625">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Régimen jurídico aplicable – EGCAP – Código de </w:t>
      </w:r>
      <w:r>
        <w:rPr>
          <w:rFonts w:ascii="Verdana" w:eastAsia="Calibri" w:hAnsi="Verdana" w:cs="Arial"/>
          <w:b/>
          <w:lang w:val="es-ES_tradnl" w:eastAsia="es-ES_tradnl"/>
        </w:rPr>
        <w:t>C</w:t>
      </w:r>
      <w:r w:rsidRPr="007D0816">
        <w:rPr>
          <w:rFonts w:ascii="Verdana" w:eastAsia="Calibri" w:hAnsi="Verdana" w:cs="Arial"/>
          <w:b/>
          <w:lang w:val="es-ES_tradnl" w:eastAsia="es-ES_tradnl"/>
        </w:rPr>
        <w:t>omercio</w:t>
      </w:r>
    </w:p>
    <w:p w14:paraId="68D1EFC2" w14:textId="77777777" w:rsidR="00023625" w:rsidRPr="00DE2AC7" w:rsidRDefault="00023625" w:rsidP="00023625">
      <w:pPr>
        <w:spacing w:after="0" w:line="240" w:lineRule="auto"/>
        <w:jc w:val="both"/>
        <w:rPr>
          <w:rFonts w:ascii="Verdana" w:eastAsia="Calibri" w:hAnsi="Verdana" w:cs="Arial"/>
          <w:bCs/>
          <w:sz w:val="20"/>
          <w:szCs w:val="20"/>
          <w:lang w:val="es-ES_tradnl" w:eastAsia="es-ES_tradnl"/>
        </w:rPr>
      </w:pPr>
    </w:p>
    <w:p w14:paraId="58E7CB87"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DE2AC7">
        <w:rPr>
          <w:rFonts w:ascii="Verdana" w:eastAsia="Calibri" w:hAnsi="Verdana" w:cs="Arial"/>
          <w:color w:val="000000" w:themeColor="text1"/>
          <w:sz w:val="20"/>
          <w:szCs w:val="20"/>
        </w:rPr>
        <w:t>ii</w:t>
      </w:r>
      <w:proofErr w:type="spellEnd"/>
      <w:r w:rsidRPr="00DE2AC7">
        <w:rPr>
          <w:rFonts w:ascii="Verdana" w:eastAsia="Calibri" w:hAnsi="Verdana" w:cs="Arial"/>
          <w:color w:val="000000" w:themeColor="text1"/>
          <w:sz w:val="20"/>
          <w:szCs w:val="20"/>
        </w:rPr>
        <w:t xml:space="preserve">) corresponderán como actos jurídicos bilaterales generadores de obligaciones, entre otros, a los previstos en el derecho privado, en los términos del artículo 32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y </w:t>
      </w:r>
      <w:proofErr w:type="spellStart"/>
      <w:r w:rsidRPr="00DE2AC7">
        <w:rPr>
          <w:rFonts w:ascii="Verdana" w:eastAsia="Calibri" w:hAnsi="Verdana" w:cs="Arial"/>
          <w:color w:val="000000" w:themeColor="text1"/>
          <w:sz w:val="20"/>
          <w:szCs w:val="20"/>
        </w:rPr>
        <w:t>iii</w:t>
      </w:r>
      <w:proofErr w:type="spellEnd"/>
      <w:r w:rsidRPr="00DE2AC7">
        <w:rPr>
          <w:rFonts w:ascii="Verdana" w:eastAsia="Calibri" w:hAnsi="Verdana" w:cs="Arial"/>
          <w:color w:val="000000" w:themeColor="text1"/>
          <w:sz w:val="20"/>
          <w:szCs w:val="20"/>
        </w:rPr>
        <w:t xml:space="preserve">) contendrán las estipulaciones que, de acuerdo con las normas civiles, comerciales y las previstas en esta ley, correspondan a su esencia y naturaleza, conforme a lo dispuesto por el artículo 40 </w:t>
      </w:r>
      <w:r w:rsidRPr="00DE2AC7">
        <w:rPr>
          <w:rFonts w:ascii="Verdana" w:eastAsia="Calibri" w:hAnsi="Verdana" w:cs="Arial"/>
          <w:i/>
          <w:iCs/>
          <w:color w:val="000000" w:themeColor="text1"/>
          <w:sz w:val="20"/>
          <w:szCs w:val="20"/>
        </w:rPr>
        <w:t>ibidem</w:t>
      </w:r>
      <w:r w:rsidRPr="00DE2AC7">
        <w:rPr>
          <w:rFonts w:ascii="Verdana" w:eastAsia="Calibri" w:hAnsi="Verdana" w:cs="Arial"/>
          <w:color w:val="000000" w:themeColor="text1"/>
          <w:sz w:val="20"/>
          <w:szCs w:val="20"/>
        </w:rPr>
        <w:t xml:space="preserve">. </w:t>
      </w:r>
    </w:p>
    <w:p w14:paraId="4F77E304"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p>
    <w:p w14:paraId="454CFCA6" w14:textId="77777777" w:rsidR="00023625" w:rsidRPr="007D0816" w:rsidRDefault="00023625" w:rsidP="00023625">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CESIÓN DEL CONTRATO ESTATAL – Requisitos – Restricciones</w:t>
      </w:r>
    </w:p>
    <w:p w14:paraId="3585513C"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p>
    <w:p w14:paraId="568A37F9" w14:textId="77777777" w:rsidR="00023625" w:rsidRPr="00DE2AC7" w:rsidRDefault="00023625" w:rsidP="00023625">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 el Consejo de Estado ha precisado como requisitos de la cesión del contrato estatal los siguientes: i) debe recaer en un tercero; </w:t>
      </w:r>
      <w:proofErr w:type="spellStart"/>
      <w:r w:rsidRPr="00DE2AC7">
        <w:rPr>
          <w:rFonts w:ascii="Verdana" w:eastAsia="Calibri" w:hAnsi="Verdana" w:cs="Arial"/>
          <w:color w:val="000000" w:themeColor="text1"/>
          <w:sz w:val="20"/>
          <w:szCs w:val="20"/>
        </w:rPr>
        <w:t>ii</w:t>
      </w:r>
      <w:proofErr w:type="spellEnd"/>
      <w:r w:rsidRPr="00DE2AC7">
        <w:rPr>
          <w:rFonts w:ascii="Verdana" w:eastAsia="Calibri" w:hAnsi="Verdana" w:cs="Arial"/>
          <w:color w:val="000000" w:themeColor="text1"/>
          <w:sz w:val="20"/>
          <w:szCs w:val="20"/>
        </w:rPr>
        <w:t xml:space="preserve">) el cesionario debe tener capacidad jurídica para continuar con la ejecución del objeto contractual y no estar incurso en causales de inhabilidad e incompatibilidad para contratar; y </w:t>
      </w:r>
      <w:proofErr w:type="spellStart"/>
      <w:r w:rsidRPr="00DE2AC7">
        <w:rPr>
          <w:rFonts w:ascii="Verdana" w:eastAsia="Calibri" w:hAnsi="Verdana" w:cs="Arial"/>
          <w:color w:val="000000" w:themeColor="text1"/>
          <w:sz w:val="20"/>
          <w:szCs w:val="20"/>
        </w:rPr>
        <w:t>iii</w:t>
      </w:r>
      <w:proofErr w:type="spellEnd"/>
      <w:r w:rsidRPr="00DE2AC7">
        <w:rPr>
          <w:rFonts w:ascii="Verdana" w:eastAsia="Calibri" w:hAnsi="Verdana" w:cs="Arial"/>
          <w:color w:val="000000" w:themeColor="text1"/>
          <w:sz w:val="20"/>
          <w:szCs w:val="20"/>
        </w:rPr>
        <w:t xml:space="preserve">)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w:t>
      </w:r>
      <w:r w:rsidRPr="00DE2AC7">
        <w:rPr>
          <w:rFonts w:ascii="Verdana" w:eastAsia="Calibri" w:hAnsi="Verdana" w:cs="Arial"/>
          <w:color w:val="000000" w:themeColor="text1"/>
          <w:sz w:val="20"/>
          <w:szCs w:val="20"/>
        </w:rPr>
        <w:lastRenderedPageBreak/>
        <w:t>instrumento para desviar las obligaciones que tiene la entidad contratante de cumplimiento de los parámetros de la selección objetiva”.</w:t>
      </w:r>
    </w:p>
    <w:p w14:paraId="0F9228BF" w14:textId="77777777" w:rsidR="00023625" w:rsidRPr="00DE2AC7" w:rsidRDefault="00023625" w:rsidP="00023625">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w:t>
      </w:r>
    </w:p>
    <w:p w14:paraId="7531E054" w14:textId="77777777" w:rsidR="00023625" w:rsidRPr="00DE2AC7" w:rsidRDefault="00023625" w:rsidP="00023625">
      <w:pPr>
        <w:tabs>
          <w:tab w:val="left" w:pos="709"/>
        </w:tabs>
        <w:spacing w:after="0" w:line="240" w:lineRule="auto"/>
        <w:jc w:val="both"/>
        <w:rPr>
          <w:rFonts w:ascii="Verdana" w:eastAsia="Calibri" w:hAnsi="Verdana" w:cs="Arial"/>
          <w:color w:val="000000" w:themeColor="text1"/>
          <w:sz w:val="20"/>
          <w:szCs w:val="20"/>
        </w:rPr>
      </w:pPr>
    </w:p>
    <w:p w14:paraId="1577F885" w14:textId="77777777" w:rsidR="00023625" w:rsidRPr="00DE2AC7" w:rsidRDefault="00023625" w:rsidP="00023625">
      <w:pPr>
        <w:tabs>
          <w:tab w:val="left" w:pos="709"/>
        </w:tabs>
        <w:spacing w:after="0" w:line="240" w:lineRule="auto"/>
        <w:jc w:val="both"/>
        <w:rPr>
          <w:rFonts w:ascii="Verdana" w:eastAsia="Calibri" w:hAnsi="Verdana" w:cs="Arial"/>
          <w:color w:val="000000" w:themeColor="text1"/>
          <w:sz w:val="20"/>
          <w:szCs w:val="20"/>
        </w:rPr>
      </w:pPr>
      <w:r w:rsidRPr="00DE2AC7">
        <w:rPr>
          <w:rFonts w:ascii="Verdana" w:eastAsia="Calibri" w:hAnsi="Verdana" w:cs="Arial"/>
          <w:color w:val="000000" w:themeColor="text1"/>
          <w:sz w:val="20"/>
          <w:szCs w:val="20"/>
        </w:rPr>
        <w:t xml:space="preserve">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w:t>
      </w:r>
    </w:p>
    <w:p w14:paraId="3685BF7D"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p>
    <w:p w14:paraId="440FE897" w14:textId="77777777" w:rsidR="00023625" w:rsidRPr="007D0816" w:rsidRDefault="00023625" w:rsidP="00023625">
      <w:pPr>
        <w:spacing w:after="0" w:line="240" w:lineRule="auto"/>
        <w:jc w:val="both"/>
        <w:rPr>
          <w:rFonts w:ascii="Verdana" w:eastAsia="Calibri" w:hAnsi="Verdana" w:cs="Arial"/>
          <w:b/>
          <w:lang w:val="es-ES_tradnl" w:eastAsia="es-ES_tradnl"/>
        </w:rPr>
      </w:pPr>
      <w:r w:rsidRPr="007D0816">
        <w:rPr>
          <w:rFonts w:ascii="Verdana" w:eastAsia="Calibri" w:hAnsi="Verdana" w:cs="Arial"/>
          <w:b/>
          <w:lang w:val="es-ES_tradnl" w:eastAsia="es-ES_tradnl"/>
        </w:rPr>
        <w:t xml:space="preserve">CESIÓN DEL CONTRATO ESTATAL – </w:t>
      </w:r>
      <w:r>
        <w:rPr>
          <w:rFonts w:ascii="Verdana" w:eastAsia="Calibri" w:hAnsi="Verdana" w:cs="Arial"/>
          <w:b/>
          <w:lang w:val="es-ES_tradnl" w:eastAsia="es-ES_tradnl"/>
        </w:rPr>
        <w:t>Garantías</w:t>
      </w:r>
    </w:p>
    <w:p w14:paraId="315ABBF4" w14:textId="77777777" w:rsidR="00023625" w:rsidRPr="00DE2AC7" w:rsidRDefault="00023625" w:rsidP="00023625">
      <w:pPr>
        <w:spacing w:after="0" w:line="240" w:lineRule="auto"/>
        <w:jc w:val="both"/>
        <w:rPr>
          <w:rFonts w:ascii="Verdana" w:eastAsia="Calibri" w:hAnsi="Verdana" w:cs="Arial"/>
          <w:color w:val="000000" w:themeColor="text1"/>
          <w:sz w:val="20"/>
          <w:szCs w:val="20"/>
        </w:rPr>
      </w:pPr>
    </w:p>
    <w:p w14:paraId="00E943FB" w14:textId="77777777" w:rsidR="00023625" w:rsidRDefault="00023625" w:rsidP="00023625">
      <w:pPr>
        <w:tabs>
          <w:tab w:val="left" w:pos="709"/>
        </w:tabs>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E</w:t>
      </w:r>
      <w:r w:rsidRPr="00C776B0">
        <w:rPr>
          <w:rFonts w:ascii="Verdana" w:eastAsia="Calibri" w:hAnsi="Verdana" w:cs="Arial"/>
          <w:color w:val="000000" w:themeColor="text1"/>
          <w:sz w:val="20"/>
          <w:szCs w:val="20"/>
        </w:rPr>
        <w:t>l cesionario al asumir la posición del cedente es un contratista del Estado; razón por la cual, conforme al artículo 7 de la Ley 1150 de 2007 y el artículo 41 de la Ley 80 de 1993, está obligado a asegurar la debida ejecución del objeto a través de la garantía única de cumplimiento, la cual está sujeta la debida aprobación de la entidad contratante. Sin perjuicio de lo indicado en el reglamento, la cobertura depende de lo que establezca el contrato de cesión, especialmente, en lo relacionado con el pacto expreso de solidaridad derivada de los incumplimientos imputables a las partes de dicho negocio jurídico.</w:t>
      </w:r>
    </w:p>
    <w:p w14:paraId="0FE19A7A" w14:textId="77777777" w:rsidR="00023625" w:rsidRPr="00C776B0" w:rsidRDefault="00023625" w:rsidP="00023625">
      <w:pPr>
        <w:tabs>
          <w:tab w:val="left" w:pos="709"/>
        </w:tabs>
        <w:spacing w:after="0" w:line="240" w:lineRule="auto"/>
        <w:jc w:val="both"/>
        <w:rPr>
          <w:rFonts w:ascii="Verdana" w:eastAsia="Calibri" w:hAnsi="Verdana" w:cs="Arial"/>
          <w:color w:val="000000" w:themeColor="text1"/>
          <w:sz w:val="20"/>
          <w:szCs w:val="20"/>
        </w:rPr>
      </w:pPr>
    </w:p>
    <w:p w14:paraId="5CEFE6D4" w14:textId="77777777" w:rsidR="00023625" w:rsidRDefault="00023625" w:rsidP="00023625">
      <w:pPr>
        <w:tabs>
          <w:tab w:val="left" w:pos="709"/>
        </w:tabs>
        <w:spacing w:after="0" w:line="240" w:lineRule="auto"/>
        <w:jc w:val="both"/>
        <w:rPr>
          <w:rFonts w:ascii="Verdana" w:eastAsia="Calibri" w:hAnsi="Verdana" w:cs="Arial"/>
          <w:color w:val="000000" w:themeColor="text1"/>
          <w:sz w:val="20"/>
          <w:szCs w:val="20"/>
        </w:rPr>
      </w:pPr>
      <w:r w:rsidRPr="00C776B0">
        <w:rPr>
          <w:rFonts w:ascii="Verdana" w:eastAsia="Calibri" w:hAnsi="Verdana" w:cs="Arial"/>
          <w:color w:val="000000" w:themeColor="text1"/>
          <w:sz w:val="20"/>
          <w:szCs w:val="20"/>
        </w:rPr>
        <w:t>En el aspecto pasivo, las obligaciones son solidarias cuando “[…] existiendo varios deudores de un mismo objeto divisible, el acreedor puede exigir, por el ministerio de la ley o por la convención, el total a cada uno de ellos, y el pago que haga cualquiera de los deudores extingue la obligación respecto de todos”. Esto significa que la entidad contratante puede exigir al cedente o al cesionario las sanciones pecuniarias que se originen en la declaratoria de incumplimiento.</w:t>
      </w:r>
    </w:p>
    <w:p w14:paraId="7A77344F" w14:textId="77777777" w:rsidR="00023625" w:rsidRPr="00C776B0" w:rsidRDefault="00023625" w:rsidP="00023625">
      <w:pPr>
        <w:tabs>
          <w:tab w:val="left" w:pos="709"/>
        </w:tabs>
        <w:spacing w:after="0" w:line="240" w:lineRule="auto"/>
        <w:jc w:val="both"/>
        <w:rPr>
          <w:rFonts w:ascii="Verdana" w:eastAsia="Calibri" w:hAnsi="Verdana" w:cs="Arial"/>
          <w:color w:val="000000" w:themeColor="text1"/>
          <w:sz w:val="20"/>
          <w:szCs w:val="20"/>
        </w:rPr>
      </w:pPr>
    </w:p>
    <w:p w14:paraId="4A1EA266" w14:textId="77777777" w:rsidR="00023625" w:rsidRDefault="00023625" w:rsidP="00023625">
      <w:pPr>
        <w:tabs>
          <w:tab w:val="left" w:pos="709"/>
        </w:tabs>
        <w:spacing w:after="0" w:line="240" w:lineRule="auto"/>
        <w:jc w:val="both"/>
        <w:rPr>
          <w:rFonts w:ascii="Verdana" w:eastAsia="Calibri" w:hAnsi="Verdana" w:cs="Arial"/>
          <w:color w:val="000000" w:themeColor="text1"/>
          <w:sz w:val="20"/>
          <w:szCs w:val="20"/>
        </w:rPr>
      </w:pPr>
      <w:r w:rsidRPr="00C776B0">
        <w:rPr>
          <w:rFonts w:ascii="Verdana" w:eastAsia="Calibri" w:hAnsi="Verdana" w:cs="Arial"/>
          <w:color w:val="000000" w:themeColor="text1"/>
          <w:sz w:val="20"/>
          <w:szCs w:val="20"/>
        </w:rPr>
        <w:t xml:space="preserve">En este caso, la entidad puede sujetar la autorización previa a que el cesionario ampare la totalidad del contrato, incluyendo las obligaciones previas a la cesión. Por el contrario, si no se pacta la solidaridad, el cesionario garantizará como mínimo el saldo que resta por ejecutar a partir de la cesión. En ambas hipótesis, las garantías del cedente continúan vigor o bien para el garante responda por las obligaciones que el tomador ha asumido del forma solidaria con el cesionario o para cubrir los siniestros derivados del incumplimiento antes de ceder la posición contractual. </w:t>
      </w:r>
    </w:p>
    <w:p w14:paraId="14490BE2" w14:textId="77777777" w:rsidR="00023625" w:rsidRPr="00C776B0" w:rsidRDefault="00023625" w:rsidP="00023625">
      <w:pPr>
        <w:tabs>
          <w:tab w:val="left" w:pos="709"/>
        </w:tabs>
        <w:spacing w:after="0" w:line="240" w:lineRule="auto"/>
        <w:jc w:val="both"/>
        <w:rPr>
          <w:rFonts w:ascii="Verdana" w:eastAsia="Calibri" w:hAnsi="Verdana" w:cs="Arial"/>
          <w:color w:val="000000" w:themeColor="text1"/>
          <w:sz w:val="20"/>
          <w:szCs w:val="20"/>
        </w:rPr>
      </w:pPr>
    </w:p>
    <w:p w14:paraId="515994FF" w14:textId="77777777" w:rsidR="00023625" w:rsidRPr="00DE2AC7" w:rsidRDefault="00023625" w:rsidP="00023625">
      <w:pPr>
        <w:tabs>
          <w:tab w:val="left" w:pos="709"/>
        </w:tabs>
        <w:spacing w:after="0" w:line="240" w:lineRule="auto"/>
        <w:jc w:val="both"/>
        <w:rPr>
          <w:rFonts w:ascii="Verdana" w:eastAsia="Calibri" w:hAnsi="Verdana" w:cs="Arial"/>
          <w:color w:val="000000" w:themeColor="text1"/>
          <w:sz w:val="20"/>
          <w:szCs w:val="20"/>
        </w:rPr>
      </w:pPr>
      <w:r w:rsidRPr="00C776B0">
        <w:rPr>
          <w:rFonts w:ascii="Verdana" w:eastAsia="Calibri" w:hAnsi="Verdana" w:cs="Arial"/>
          <w:color w:val="000000" w:themeColor="text1"/>
          <w:sz w:val="20"/>
          <w:szCs w:val="20"/>
        </w:rPr>
        <w:t xml:space="preserve">Tratándose de las garantías que se suscriben a través de pólizas de seguro, es necesario tener en cuenta que solo son partes el tomador y la aseguradora. En el marco del artículo 1037 del Código de Comercio, la jurisprudencia explica que “[…] el hecho de que la entidad pública asegurada y destinataria de la indemnización, en caso de configurarse el siniestro, se constituya en acreedora de la aseguradora que asumió el riesgo, no le da el carácter de parte del contrato de seguro, pues […] no por ello ocupa la posición del tomador […]”. Luego, después de la aprobación de las garantías, la póliza presentada </w:t>
      </w:r>
      <w:r w:rsidRPr="00C776B0">
        <w:rPr>
          <w:rFonts w:ascii="Verdana" w:eastAsia="Calibri" w:hAnsi="Verdana" w:cs="Arial"/>
          <w:color w:val="000000" w:themeColor="text1"/>
          <w:sz w:val="20"/>
          <w:szCs w:val="20"/>
        </w:rPr>
        <w:lastRenderedPageBreak/>
        <w:t xml:space="preserve">por el contratista original no es objeto de algún trámite adicional por parte de la entidad contratante, pues el contrato de seguro es autónomo respecto al contrato estatal. Sin embargo, es necesario tener en cuenta las reglas que rigen la coexistencia de seguros conforme a los artículos 1092, 1093 y 1094 del Código de Comercio. </w:t>
      </w:r>
      <w:r w:rsidRPr="00DE2AC7">
        <w:rPr>
          <w:rFonts w:ascii="Verdana" w:eastAsia="Calibri" w:hAnsi="Verdana" w:cs="Arial"/>
          <w:color w:val="000000" w:themeColor="text1"/>
          <w:sz w:val="20"/>
          <w:szCs w:val="20"/>
        </w:rPr>
        <w:t xml:space="preserve"> </w:t>
      </w:r>
    </w:p>
    <w:p w14:paraId="74B5E7CE" w14:textId="77777777" w:rsidR="00023625" w:rsidRPr="00DE2AC7" w:rsidRDefault="00023625" w:rsidP="00023625">
      <w:pPr>
        <w:spacing w:after="0" w:line="240" w:lineRule="auto"/>
        <w:rPr>
          <w:rFonts w:ascii="Verdana" w:eastAsia="Geomanist Light" w:hAnsi="Verdana" w:cs="Arial"/>
          <w:color w:val="000000" w:themeColor="text1"/>
        </w:rPr>
      </w:pPr>
    </w:p>
    <w:p w14:paraId="018ABCA1" w14:textId="77777777" w:rsidR="00023625" w:rsidRDefault="00023625" w:rsidP="00023625">
      <w:pPr>
        <w:spacing w:after="0" w:line="240" w:lineRule="auto"/>
        <w:rPr>
          <w:rFonts w:ascii="Verdana" w:eastAsia="Geomanist Light" w:hAnsi="Verdana" w:cs="Arial"/>
          <w:color w:val="000000" w:themeColor="text1"/>
          <w:lang w:val="es-MX"/>
        </w:rPr>
      </w:pPr>
    </w:p>
    <w:p w14:paraId="42732A74" w14:textId="77777777" w:rsidR="00023625" w:rsidRDefault="00023625" w:rsidP="00023625">
      <w:pPr>
        <w:spacing w:after="0" w:line="240" w:lineRule="auto"/>
        <w:rPr>
          <w:rFonts w:ascii="Verdana" w:eastAsia="Geomanist Light" w:hAnsi="Verdana" w:cs="Arial"/>
          <w:color w:val="000000" w:themeColor="text1"/>
          <w:lang w:val="es-MX"/>
        </w:rPr>
      </w:pPr>
    </w:p>
    <w:p w14:paraId="5730864C" w14:textId="77777777" w:rsidR="00023625" w:rsidRDefault="00023625" w:rsidP="00023625">
      <w:pPr>
        <w:spacing w:after="0" w:line="240" w:lineRule="auto"/>
        <w:rPr>
          <w:rFonts w:ascii="Verdana" w:eastAsia="Geomanist Light" w:hAnsi="Verdana" w:cs="Arial"/>
          <w:color w:val="000000" w:themeColor="text1"/>
          <w:lang w:val="es-MX"/>
        </w:rPr>
      </w:pPr>
    </w:p>
    <w:p w14:paraId="7B9CF4F6" w14:textId="77777777" w:rsidR="00023625" w:rsidRDefault="00023625" w:rsidP="00023625">
      <w:pPr>
        <w:spacing w:after="0" w:line="240" w:lineRule="auto"/>
        <w:rPr>
          <w:rFonts w:ascii="Verdana" w:eastAsia="Geomanist Light" w:hAnsi="Verdana" w:cs="Arial"/>
          <w:color w:val="000000" w:themeColor="text1"/>
          <w:lang w:val="es-MX"/>
        </w:rPr>
      </w:pPr>
    </w:p>
    <w:p w14:paraId="4F6E7C06" w14:textId="77777777" w:rsidR="00023625" w:rsidRDefault="00023625" w:rsidP="00023625">
      <w:pPr>
        <w:spacing w:after="0" w:line="240" w:lineRule="auto"/>
        <w:rPr>
          <w:rFonts w:ascii="Verdana" w:eastAsia="Geomanist Light" w:hAnsi="Verdana" w:cs="Arial"/>
          <w:color w:val="000000" w:themeColor="text1"/>
          <w:lang w:val="es-MX"/>
        </w:rPr>
      </w:pPr>
    </w:p>
    <w:p w14:paraId="5C98D95B" w14:textId="77777777" w:rsidR="00023625" w:rsidRDefault="00023625" w:rsidP="00023625">
      <w:pPr>
        <w:spacing w:after="0" w:line="240" w:lineRule="auto"/>
        <w:rPr>
          <w:rFonts w:ascii="Verdana" w:eastAsia="Geomanist Light" w:hAnsi="Verdana" w:cs="Arial"/>
          <w:color w:val="000000" w:themeColor="text1"/>
          <w:lang w:val="es-MX"/>
        </w:rPr>
      </w:pPr>
    </w:p>
    <w:p w14:paraId="6ED75677" w14:textId="77777777" w:rsidR="00023625" w:rsidRDefault="00023625" w:rsidP="00023625">
      <w:pPr>
        <w:spacing w:after="0" w:line="240" w:lineRule="auto"/>
        <w:rPr>
          <w:rFonts w:ascii="Verdana" w:eastAsia="Geomanist Light" w:hAnsi="Verdana" w:cs="Arial"/>
          <w:color w:val="000000" w:themeColor="text1"/>
          <w:lang w:val="es-MX"/>
        </w:rPr>
      </w:pPr>
    </w:p>
    <w:p w14:paraId="561D0E56" w14:textId="77777777" w:rsidR="00023625" w:rsidRDefault="00023625" w:rsidP="00023625">
      <w:pPr>
        <w:spacing w:after="0" w:line="240" w:lineRule="auto"/>
        <w:rPr>
          <w:rFonts w:ascii="Verdana" w:eastAsia="Geomanist Light" w:hAnsi="Verdana" w:cs="Arial"/>
          <w:color w:val="000000" w:themeColor="text1"/>
          <w:lang w:val="es-MX"/>
        </w:rPr>
      </w:pPr>
    </w:p>
    <w:p w14:paraId="33BBE3DE" w14:textId="77777777" w:rsidR="00023625" w:rsidRDefault="00023625" w:rsidP="00023625">
      <w:pPr>
        <w:spacing w:after="0" w:line="240" w:lineRule="auto"/>
        <w:rPr>
          <w:rFonts w:ascii="Verdana" w:eastAsia="Geomanist Light" w:hAnsi="Verdana" w:cs="Arial"/>
          <w:color w:val="000000" w:themeColor="text1"/>
          <w:lang w:val="es-MX"/>
        </w:rPr>
      </w:pPr>
    </w:p>
    <w:p w14:paraId="4A218155" w14:textId="77777777" w:rsidR="00023625" w:rsidRDefault="00023625" w:rsidP="00023625">
      <w:pPr>
        <w:spacing w:after="0" w:line="240" w:lineRule="auto"/>
        <w:rPr>
          <w:rFonts w:ascii="Verdana" w:eastAsia="Geomanist Light" w:hAnsi="Verdana" w:cs="Arial"/>
          <w:color w:val="000000" w:themeColor="text1"/>
          <w:lang w:val="es-MX"/>
        </w:rPr>
      </w:pPr>
    </w:p>
    <w:p w14:paraId="026B70E0" w14:textId="77777777" w:rsidR="00023625" w:rsidRDefault="00023625" w:rsidP="00023625">
      <w:pPr>
        <w:spacing w:after="0" w:line="240" w:lineRule="auto"/>
        <w:rPr>
          <w:rFonts w:ascii="Verdana" w:eastAsia="Geomanist Light" w:hAnsi="Verdana" w:cs="Arial"/>
          <w:color w:val="000000" w:themeColor="text1"/>
          <w:lang w:val="es-MX"/>
        </w:rPr>
      </w:pPr>
    </w:p>
    <w:p w14:paraId="6ED5F06D" w14:textId="77777777" w:rsidR="00023625" w:rsidRDefault="00023625" w:rsidP="00023625">
      <w:pPr>
        <w:spacing w:after="0" w:line="240" w:lineRule="auto"/>
        <w:rPr>
          <w:rFonts w:ascii="Verdana" w:eastAsia="Geomanist Light" w:hAnsi="Verdana" w:cs="Arial"/>
          <w:color w:val="000000" w:themeColor="text1"/>
          <w:lang w:val="es-MX"/>
        </w:rPr>
      </w:pPr>
    </w:p>
    <w:p w14:paraId="20758881" w14:textId="77777777" w:rsidR="00023625" w:rsidRDefault="00023625" w:rsidP="00023625">
      <w:pPr>
        <w:spacing w:after="0" w:line="240" w:lineRule="auto"/>
        <w:rPr>
          <w:rFonts w:ascii="Verdana" w:eastAsia="Geomanist Light" w:hAnsi="Verdana" w:cs="Arial"/>
          <w:color w:val="000000" w:themeColor="text1"/>
          <w:lang w:val="es-MX"/>
        </w:rPr>
      </w:pPr>
    </w:p>
    <w:p w14:paraId="58026D7E" w14:textId="77777777" w:rsidR="00023625" w:rsidRDefault="00023625" w:rsidP="00023625">
      <w:pPr>
        <w:spacing w:after="0" w:line="240" w:lineRule="auto"/>
        <w:rPr>
          <w:rFonts w:ascii="Verdana" w:eastAsia="Geomanist Light" w:hAnsi="Verdana" w:cs="Arial"/>
          <w:color w:val="000000" w:themeColor="text1"/>
          <w:lang w:val="es-MX"/>
        </w:rPr>
      </w:pPr>
    </w:p>
    <w:p w14:paraId="702F5030" w14:textId="77777777" w:rsidR="00023625" w:rsidRDefault="00023625" w:rsidP="00023625">
      <w:pPr>
        <w:spacing w:after="0" w:line="240" w:lineRule="auto"/>
        <w:rPr>
          <w:rFonts w:ascii="Verdana" w:eastAsia="Geomanist Light" w:hAnsi="Verdana" w:cs="Arial"/>
          <w:color w:val="000000" w:themeColor="text1"/>
          <w:lang w:val="es-MX"/>
        </w:rPr>
      </w:pPr>
    </w:p>
    <w:p w14:paraId="62244456" w14:textId="77777777" w:rsidR="00023625" w:rsidRDefault="00023625" w:rsidP="00023625">
      <w:pPr>
        <w:spacing w:after="0" w:line="240" w:lineRule="auto"/>
        <w:rPr>
          <w:rFonts w:ascii="Verdana" w:eastAsia="Geomanist Light" w:hAnsi="Verdana" w:cs="Arial"/>
          <w:color w:val="000000" w:themeColor="text1"/>
          <w:lang w:val="es-MX"/>
        </w:rPr>
      </w:pPr>
    </w:p>
    <w:p w14:paraId="245E7DAC" w14:textId="77777777" w:rsidR="00023625" w:rsidRDefault="00023625" w:rsidP="00023625">
      <w:pPr>
        <w:spacing w:after="0" w:line="240" w:lineRule="auto"/>
        <w:rPr>
          <w:rFonts w:ascii="Verdana" w:eastAsia="Geomanist Light" w:hAnsi="Verdana" w:cs="Arial"/>
          <w:color w:val="000000" w:themeColor="text1"/>
          <w:lang w:val="es-MX"/>
        </w:rPr>
      </w:pPr>
    </w:p>
    <w:p w14:paraId="5807EE93" w14:textId="77777777" w:rsidR="00023625" w:rsidRDefault="00023625" w:rsidP="00023625">
      <w:pPr>
        <w:spacing w:after="0" w:line="240" w:lineRule="auto"/>
        <w:rPr>
          <w:rFonts w:ascii="Verdana" w:eastAsia="Geomanist Light" w:hAnsi="Verdana" w:cs="Arial"/>
          <w:color w:val="000000" w:themeColor="text1"/>
          <w:lang w:val="es-MX"/>
        </w:rPr>
      </w:pPr>
    </w:p>
    <w:p w14:paraId="435854FE" w14:textId="77777777" w:rsidR="00023625" w:rsidRDefault="00023625" w:rsidP="00023625">
      <w:pPr>
        <w:spacing w:after="0" w:line="240" w:lineRule="auto"/>
        <w:rPr>
          <w:rFonts w:ascii="Verdana" w:eastAsia="Geomanist Light" w:hAnsi="Verdana" w:cs="Arial"/>
          <w:color w:val="000000" w:themeColor="text1"/>
          <w:lang w:val="es-MX"/>
        </w:rPr>
      </w:pPr>
    </w:p>
    <w:p w14:paraId="2EC17B14" w14:textId="77777777" w:rsidR="00023625" w:rsidRDefault="00023625" w:rsidP="00023625">
      <w:pPr>
        <w:spacing w:after="0" w:line="240" w:lineRule="auto"/>
        <w:rPr>
          <w:rFonts w:ascii="Verdana" w:eastAsia="Geomanist Light" w:hAnsi="Verdana" w:cs="Arial"/>
          <w:color w:val="000000" w:themeColor="text1"/>
          <w:lang w:val="es-MX"/>
        </w:rPr>
      </w:pPr>
    </w:p>
    <w:p w14:paraId="4F9B69D5" w14:textId="77777777" w:rsidR="00023625" w:rsidRDefault="00023625" w:rsidP="00023625">
      <w:pPr>
        <w:spacing w:after="0" w:line="240" w:lineRule="auto"/>
        <w:rPr>
          <w:rFonts w:ascii="Verdana" w:eastAsia="Geomanist Light" w:hAnsi="Verdana" w:cs="Arial"/>
          <w:color w:val="000000" w:themeColor="text1"/>
          <w:lang w:val="es-MX"/>
        </w:rPr>
      </w:pPr>
    </w:p>
    <w:p w14:paraId="1837F9BB" w14:textId="77777777" w:rsidR="00023625" w:rsidRDefault="00023625" w:rsidP="00023625">
      <w:pPr>
        <w:spacing w:after="0" w:line="240" w:lineRule="auto"/>
        <w:rPr>
          <w:rFonts w:ascii="Verdana" w:eastAsia="Geomanist Light" w:hAnsi="Verdana" w:cs="Arial"/>
          <w:color w:val="000000" w:themeColor="text1"/>
          <w:lang w:val="es-MX"/>
        </w:rPr>
      </w:pPr>
    </w:p>
    <w:p w14:paraId="36743D3F" w14:textId="77777777" w:rsidR="00023625" w:rsidRDefault="00023625" w:rsidP="00023625">
      <w:pPr>
        <w:spacing w:after="0" w:line="240" w:lineRule="auto"/>
        <w:rPr>
          <w:rFonts w:ascii="Verdana" w:eastAsia="Geomanist Light" w:hAnsi="Verdana" w:cs="Arial"/>
          <w:color w:val="000000" w:themeColor="text1"/>
          <w:lang w:val="es-MX"/>
        </w:rPr>
      </w:pPr>
    </w:p>
    <w:p w14:paraId="245E6A36" w14:textId="77777777" w:rsidR="00023625" w:rsidRDefault="00023625" w:rsidP="00023625">
      <w:pPr>
        <w:spacing w:after="0" w:line="240" w:lineRule="auto"/>
        <w:rPr>
          <w:rFonts w:ascii="Verdana" w:eastAsia="Geomanist Light" w:hAnsi="Verdana" w:cs="Arial"/>
          <w:color w:val="000000" w:themeColor="text1"/>
          <w:lang w:val="es-MX"/>
        </w:rPr>
      </w:pPr>
    </w:p>
    <w:p w14:paraId="551D68AA" w14:textId="77777777" w:rsidR="00023625" w:rsidRDefault="00023625" w:rsidP="00023625">
      <w:pPr>
        <w:spacing w:after="0" w:line="240" w:lineRule="auto"/>
        <w:rPr>
          <w:rFonts w:ascii="Verdana" w:eastAsia="Geomanist Light" w:hAnsi="Verdana" w:cs="Arial"/>
          <w:color w:val="000000" w:themeColor="text1"/>
          <w:lang w:val="es-MX"/>
        </w:rPr>
      </w:pPr>
    </w:p>
    <w:p w14:paraId="644533CC" w14:textId="77777777" w:rsidR="00023625" w:rsidRDefault="00023625" w:rsidP="00023625">
      <w:pPr>
        <w:spacing w:after="0" w:line="240" w:lineRule="auto"/>
        <w:rPr>
          <w:rFonts w:ascii="Verdana" w:eastAsia="Geomanist Light" w:hAnsi="Verdana" w:cs="Arial"/>
          <w:color w:val="000000" w:themeColor="text1"/>
          <w:lang w:val="es-MX"/>
        </w:rPr>
      </w:pPr>
    </w:p>
    <w:p w14:paraId="4DE1047B" w14:textId="77777777" w:rsidR="00023625" w:rsidRDefault="00023625" w:rsidP="00023625">
      <w:pPr>
        <w:spacing w:after="0" w:line="240" w:lineRule="auto"/>
        <w:rPr>
          <w:rFonts w:ascii="Verdana" w:eastAsia="Geomanist Light" w:hAnsi="Verdana" w:cs="Arial"/>
          <w:color w:val="000000" w:themeColor="text1"/>
          <w:lang w:val="es-MX"/>
        </w:rPr>
      </w:pPr>
    </w:p>
    <w:p w14:paraId="4C75C7B0" w14:textId="77777777" w:rsidR="00023625" w:rsidRDefault="00023625" w:rsidP="00023625">
      <w:pPr>
        <w:spacing w:after="0" w:line="240" w:lineRule="auto"/>
        <w:rPr>
          <w:rFonts w:ascii="Verdana" w:eastAsia="Geomanist Light" w:hAnsi="Verdana" w:cs="Arial"/>
          <w:color w:val="000000" w:themeColor="text1"/>
          <w:lang w:val="es-MX"/>
        </w:rPr>
      </w:pPr>
    </w:p>
    <w:p w14:paraId="5D7A7F15" w14:textId="77777777" w:rsidR="00023625" w:rsidRDefault="00023625" w:rsidP="00023625">
      <w:pPr>
        <w:spacing w:after="0" w:line="240" w:lineRule="auto"/>
        <w:rPr>
          <w:rFonts w:ascii="Verdana" w:eastAsia="Geomanist Light" w:hAnsi="Verdana" w:cs="Arial"/>
          <w:color w:val="000000" w:themeColor="text1"/>
          <w:lang w:val="es-MX"/>
        </w:rPr>
      </w:pPr>
    </w:p>
    <w:p w14:paraId="3F6A21CB" w14:textId="77777777" w:rsidR="00023625" w:rsidRDefault="00023625" w:rsidP="00023625">
      <w:pPr>
        <w:spacing w:after="0" w:line="240" w:lineRule="auto"/>
        <w:rPr>
          <w:rFonts w:ascii="Verdana" w:eastAsia="Geomanist Light" w:hAnsi="Verdana" w:cs="Arial"/>
          <w:color w:val="000000" w:themeColor="text1"/>
          <w:lang w:val="es-MX"/>
        </w:rPr>
      </w:pPr>
    </w:p>
    <w:p w14:paraId="659F486D" w14:textId="77777777" w:rsidR="00023625" w:rsidRDefault="00023625" w:rsidP="00023625">
      <w:pPr>
        <w:spacing w:after="0" w:line="240" w:lineRule="auto"/>
        <w:rPr>
          <w:rFonts w:ascii="Verdana" w:eastAsia="Geomanist Light" w:hAnsi="Verdana" w:cs="Arial"/>
          <w:color w:val="000000" w:themeColor="text1"/>
          <w:lang w:val="es-MX"/>
        </w:rPr>
      </w:pPr>
    </w:p>
    <w:p w14:paraId="2AAA7C14" w14:textId="77777777" w:rsidR="00023625" w:rsidRDefault="00023625" w:rsidP="00023625">
      <w:pPr>
        <w:spacing w:after="0" w:line="240" w:lineRule="auto"/>
        <w:rPr>
          <w:rFonts w:ascii="Verdana" w:eastAsia="Geomanist Light" w:hAnsi="Verdana" w:cs="Arial"/>
          <w:color w:val="000000" w:themeColor="text1"/>
          <w:lang w:val="es-MX"/>
        </w:rPr>
      </w:pPr>
    </w:p>
    <w:p w14:paraId="6966D61E" w14:textId="77777777" w:rsidR="00023625" w:rsidRDefault="00023625" w:rsidP="00023625">
      <w:pPr>
        <w:spacing w:after="0" w:line="240" w:lineRule="auto"/>
        <w:rPr>
          <w:rFonts w:ascii="Verdana" w:eastAsia="Geomanist Light" w:hAnsi="Verdana" w:cs="Arial"/>
          <w:color w:val="000000" w:themeColor="text1"/>
          <w:lang w:val="es-MX"/>
        </w:rPr>
      </w:pPr>
    </w:p>
    <w:p w14:paraId="29312859" w14:textId="77777777" w:rsidR="00023625" w:rsidRDefault="00023625" w:rsidP="00023625">
      <w:pPr>
        <w:spacing w:after="0" w:line="240" w:lineRule="auto"/>
        <w:rPr>
          <w:rFonts w:ascii="Verdana" w:eastAsia="Geomanist Light" w:hAnsi="Verdana" w:cs="Arial"/>
          <w:color w:val="000000" w:themeColor="text1"/>
          <w:lang w:val="es-MX"/>
        </w:rPr>
      </w:pPr>
    </w:p>
    <w:p w14:paraId="5DE5A3F0" w14:textId="77777777" w:rsidR="00023625" w:rsidRDefault="00023625" w:rsidP="00023625">
      <w:pPr>
        <w:spacing w:after="0" w:line="240" w:lineRule="auto"/>
        <w:rPr>
          <w:rFonts w:ascii="Verdana" w:eastAsia="Geomanist Light" w:hAnsi="Verdana" w:cs="Arial"/>
          <w:color w:val="000000" w:themeColor="text1"/>
          <w:lang w:val="es-MX"/>
        </w:rPr>
      </w:pPr>
    </w:p>
    <w:p w14:paraId="4DCF2493" w14:textId="77777777" w:rsidR="00023625" w:rsidRDefault="00023625" w:rsidP="00023625">
      <w:pPr>
        <w:spacing w:after="0" w:line="240" w:lineRule="auto"/>
        <w:rPr>
          <w:rFonts w:ascii="Verdana" w:eastAsia="Geomanist Light" w:hAnsi="Verdana" w:cs="Arial"/>
          <w:color w:val="000000" w:themeColor="text1"/>
          <w:lang w:val="es-MX"/>
        </w:rPr>
      </w:pPr>
    </w:p>
    <w:p w14:paraId="2B330F6D" w14:textId="77777777" w:rsidR="00023625" w:rsidRDefault="00023625" w:rsidP="0023297C">
      <w:pPr>
        <w:spacing w:after="0" w:line="240" w:lineRule="auto"/>
        <w:rPr>
          <w:rFonts w:ascii="Verdana" w:eastAsia="Geomanist Light" w:hAnsi="Verdana" w:cs="Arial"/>
          <w:color w:val="000000" w:themeColor="text1"/>
          <w:lang w:val="es-MX"/>
        </w:rPr>
      </w:pPr>
    </w:p>
    <w:p w14:paraId="14E77660" w14:textId="77777777" w:rsidR="00023625" w:rsidRDefault="00023625" w:rsidP="0023297C">
      <w:pPr>
        <w:spacing w:after="0" w:line="240" w:lineRule="auto"/>
        <w:rPr>
          <w:rFonts w:ascii="Verdana" w:eastAsia="Geomanist Light" w:hAnsi="Verdana" w:cs="Arial"/>
          <w:color w:val="000000" w:themeColor="text1"/>
          <w:lang w:val="es-MX"/>
        </w:rPr>
      </w:pPr>
    </w:p>
    <w:p w14:paraId="65C76367" w14:textId="60E38EBB" w:rsidR="0023297C" w:rsidRPr="00593A5F" w:rsidRDefault="0023297C" w:rsidP="0023297C">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w:t>
      </w:r>
      <w:r w:rsidR="004E4959">
        <w:rPr>
          <w:rFonts w:ascii="Verdana" w:eastAsia="Geomanist Light" w:hAnsi="Verdana" w:cs="Arial"/>
          <w:color w:val="000000" w:themeColor="text1"/>
          <w:lang w:val="es-MX"/>
        </w:rPr>
        <w:t xml:space="preserve"> 16 de Octubre de 2025</w:t>
      </w:r>
    </w:p>
    <w:p w14:paraId="2D3D53BD" w14:textId="77777777" w:rsidR="0023297C" w:rsidRDefault="0023297C" w:rsidP="0023297C">
      <w:pPr>
        <w:spacing w:after="0" w:line="240" w:lineRule="auto"/>
        <w:jc w:val="both"/>
        <w:rPr>
          <w:rFonts w:ascii="Verdana" w:eastAsia="Calibri" w:hAnsi="Verdana" w:cs="Arial"/>
          <w:color w:val="000000"/>
          <w:lang w:val="es-ES"/>
        </w:rPr>
      </w:pPr>
    </w:p>
    <w:p w14:paraId="6FD997CB" w14:textId="34CB2C74" w:rsidR="00453D0F" w:rsidRDefault="00453D0F" w:rsidP="00453D0F">
      <w:pPr>
        <w:spacing w:after="0" w:line="240" w:lineRule="auto"/>
        <w:jc w:val="right"/>
        <w:rPr>
          <w:rFonts w:ascii="Verdana" w:eastAsia="Calibri" w:hAnsi="Verdana" w:cs="Arial"/>
          <w:color w:val="000000"/>
          <w:lang w:val="es-ES"/>
        </w:rPr>
      </w:pPr>
      <w:r w:rsidRPr="00453D0F">
        <w:rPr>
          <w:rFonts w:ascii="Verdana" w:eastAsia="Calibri" w:hAnsi="Verdana" w:cs="Arial"/>
          <w:noProof/>
          <w:color w:val="000000"/>
          <w:lang w:val="es-ES"/>
        </w:rPr>
        <w:drawing>
          <wp:inline distT="0" distB="0" distL="0" distR="0" wp14:anchorId="71752DDD" wp14:editId="376D5B51">
            <wp:extent cx="2400300" cy="622300"/>
            <wp:effectExtent l="0" t="0" r="0" b="0"/>
            <wp:docPr id="12287905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90543" name=""/>
                    <pic:cNvPicPr/>
                  </pic:nvPicPr>
                  <pic:blipFill>
                    <a:blip r:embed="rId10"/>
                    <a:stretch>
                      <a:fillRect/>
                    </a:stretch>
                  </pic:blipFill>
                  <pic:spPr>
                    <a:xfrm>
                      <a:off x="0" y="0"/>
                      <a:ext cx="2400300" cy="622300"/>
                    </a:xfrm>
                    <a:prstGeom prst="rect">
                      <a:avLst/>
                    </a:prstGeom>
                  </pic:spPr>
                </pic:pic>
              </a:graphicData>
            </a:graphic>
          </wp:inline>
        </w:drawing>
      </w:r>
    </w:p>
    <w:p w14:paraId="24C25407" w14:textId="77777777" w:rsidR="0023297C" w:rsidRPr="00593A5F" w:rsidRDefault="0023297C" w:rsidP="0023297C">
      <w:pPr>
        <w:spacing w:after="0" w:line="240" w:lineRule="auto"/>
        <w:jc w:val="both"/>
        <w:rPr>
          <w:rFonts w:ascii="Verdana" w:eastAsia="Calibri" w:hAnsi="Verdana" w:cs="Arial"/>
          <w:color w:val="000000"/>
          <w:lang w:val="es-ES"/>
        </w:rPr>
      </w:pPr>
    </w:p>
    <w:p w14:paraId="4E1E4644" w14:textId="77777777" w:rsidR="0023297C" w:rsidRPr="00B96799" w:rsidRDefault="0023297C" w:rsidP="0023297C">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A7A819B" w14:textId="77777777" w:rsidR="0023297C" w:rsidRPr="0085423D" w:rsidRDefault="0023297C" w:rsidP="0023297C">
      <w:pPr>
        <w:spacing w:after="0" w:line="240" w:lineRule="auto"/>
        <w:rPr>
          <w:rFonts w:ascii="Verdana" w:eastAsia="Calibri" w:hAnsi="Verdana" w:cs="Arial"/>
          <w:b/>
          <w:lang w:val="es-ES_tradnl" w:eastAsia="es-ES_tradnl"/>
        </w:rPr>
      </w:pPr>
      <w:r w:rsidRPr="00FB7FB0">
        <w:rPr>
          <w:rFonts w:ascii="Verdana" w:eastAsia="Calibri" w:hAnsi="Verdana" w:cs="Arial"/>
          <w:b/>
          <w:lang w:val="es-ES_tradnl" w:eastAsia="es-ES_tradnl"/>
        </w:rPr>
        <w:t>Jorge Luis Arregocés Álvarez</w:t>
      </w:r>
      <w:r>
        <w:rPr>
          <w:rFonts w:ascii="Verdana" w:eastAsia="Calibri" w:hAnsi="Verdana" w:cs="Arial"/>
          <w:b/>
          <w:lang w:val="es-ES_tradnl" w:eastAsia="es-ES_tradnl"/>
        </w:rPr>
        <w:t xml:space="preserve"> </w:t>
      </w:r>
    </w:p>
    <w:p w14:paraId="48CB0E85" w14:textId="77777777" w:rsidR="0023297C" w:rsidRPr="004C4E62" w:rsidRDefault="0023297C" w:rsidP="0023297C">
      <w:pPr>
        <w:spacing w:after="0" w:line="240" w:lineRule="auto"/>
        <w:rPr>
          <w:rFonts w:ascii="Verdana" w:eastAsia="Calibri" w:hAnsi="Verdana" w:cs="Arial"/>
          <w:lang w:val="es-ES" w:eastAsia="es-ES"/>
        </w:rPr>
      </w:pPr>
      <w:hyperlink r:id="rId11" w:history="1">
        <w:r w:rsidRPr="00527DEF">
          <w:rPr>
            <w:rStyle w:val="Hipervnculo"/>
            <w:rFonts w:ascii="Verdana" w:hAnsi="Verdana"/>
          </w:rPr>
          <w:t>juridica@uniguajira.edu.co</w:t>
        </w:r>
      </w:hyperlink>
      <w:r>
        <w:rPr>
          <w:rFonts w:ascii="Verdana" w:hAnsi="Verdana"/>
        </w:rPr>
        <w:t xml:space="preserve"> </w:t>
      </w:r>
      <w:r w:rsidRPr="004C4E62">
        <w:rPr>
          <w:rFonts w:ascii="Verdana" w:hAnsi="Verdana"/>
        </w:rPr>
        <w:t xml:space="preserve">          </w:t>
      </w:r>
      <w:r w:rsidRPr="004C4E62">
        <w:rPr>
          <w:rFonts w:ascii="Verdana" w:eastAsia="Calibri" w:hAnsi="Verdana" w:cs="Arial"/>
          <w:lang w:val="es-ES" w:eastAsia="es-ES"/>
        </w:rPr>
        <w:t xml:space="preserve">    </w:t>
      </w:r>
    </w:p>
    <w:p w14:paraId="30F8DDDB" w14:textId="77777777" w:rsidR="0023297C" w:rsidRDefault="0023297C" w:rsidP="0023297C">
      <w:pPr>
        <w:spacing w:after="0" w:line="240" w:lineRule="auto"/>
        <w:rPr>
          <w:rFonts w:ascii="Verdana" w:eastAsia="Calibri" w:hAnsi="Verdana" w:cs="Arial"/>
          <w:lang w:val="es-ES" w:eastAsia="es-ES"/>
        </w:rPr>
      </w:pPr>
      <w:r w:rsidRPr="004C4E62">
        <w:rPr>
          <w:rFonts w:ascii="Verdana" w:eastAsia="Calibri" w:hAnsi="Verdana" w:cs="Arial"/>
          <w:lang w:val="es-ES" w:eastAsia="es-ES"/>
        </w:rPr>
        <w:t>Riohacha, La Guajira</w:t>
      </w:r>
      <w:r>
        <w:rPr>
          <w:rFonts w:ascii="Verdana" w:eastAsia="Calibri" w:hAnsi="Verdana" w:cs="Arial"/>
          <w:lang w:val="es-ES" w:eastAsia="es-ES"/>
        </w:rPr>
        <w:t xml:space="preserve"> </w:t>
      </w:r>
    </w:p>
    <w:p w14:paraId="5663F6B8" w14:textId="77777777" w:rsidR="0023297C" w:rsidRPr="00593A5F" w:rsidRDefault="0023297C" w:rsidP="0023297C">
      <w:pPr>
        <w:spacing w:after="0" w:line="240" w:lineRule="auto"/>
        <w:rPr>
          <w:rFonts w:ascii="Verdana" w:eastAsia="Calibri" w:hAnsi="Verdana" w:cs="Arial"/>
          <w:b/>
          <w:bCs/>
          <w:color w:val="000000"/>
          <w:lang w:val="es-ES_tradnl" w:eastAsia="es-ES_tradnl"/>
        </w:rPr>
      </w:pPr>
    </w:p>
    <w:p w14:paraId="53FCDAB7" w14:textId="77777777" w:rsidR="0023297C" w:rsidRPr="00593A5F" w:rsidRDefault="0023297C" w:rsidP="0023297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3297C" w:rsidRPr="00593A5F" w14:paraId="7C7DF468" w14:textId="77777777" w:rsidTr="00AC06F0">
        <w:trPr>
          <w:trHeight w:val="884"/>
        </w:trPr>
        <w:tc>
          <w:tcPr>
            <w:tcW w:w="2689" w:type="dxa"/>
          </w:tcPr>
          <w:p w14:paraId="265F9192" w14:textId="77777777" w:rsidR="0023297C" w:rsidRPr="00C00976" w:rsidRDefault="0023297C" w:rsidP="00AC06F0">
            <w:pPr>
              <w:jc w:val="both"/>
              <w:rPr>
                <w:rFonts w:ascii="Verdana" w:eastAsia="Calibri" w:hAnsi="Verdana" w:cs="Arial"/>
                <w:b/>
                <w:bCs/>
                <w:color w:val="7030A0"/>
                <w:lang w:val="es-ES_tradnl" w:eastAsia="es-ES_tradnl"/>
              </w:rPr>
            </w:pPr>
          </w:p>
        </w:tc>
        <w:tc>
          <w:tcPr>
            <w:tcW w:w="6100" w:type="dxa"/>
          </w:tcPr>
          <w:p w14:paraId="3B6067E1" w14:textId="77777777" w:rsidR="0023297C" w:rsidRPr="00C00976" w:rsidRDefault="0023297C" w:rsidP="00AC06F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1407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23297C" w:rsidRPr="00593A5F" w14:paraId="4C19C632" w14:textId="77777777" w:rsidTr="00AC06F0">
        <w:trPr>
          <w:trHeight w:val="884"/>
        </w:trPr>
        <w:tc>
          <w:tcPr>
            <w:tcW w:w="2689" w:type="dxa"/>
          </w:tcPr>
          <w:p w14:paraId="0716398A" w14:textId="77777777" w:rsidR="0023297C" w:rsidRPr="00593A5F" w:rsidRDefault="0023297C" w:rsidP="00AC06F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AAA0B11" w14:textId="77777777" w:rsidR="0023297C" w:rsidRPr="00A11406" w:rsidRDefault="0023297C" w:rsidP="00AC06F0">
            <w:pPr>
              <w:spacing w:line="276" w:lineRule="auto"/>
              <w:jc w:val="both"/>
              <w:rPr>
                <w:rFonts w:ascii="Verdana" w:eastAsia="Calibri" w:hAnsi="Verdana" w:cs="Arial"/>
                <w:lang w:val="es-ES" w:eastAsia="es-ES"/>
              </w:rPr>
            </w:pPr>
            <w:r w:rsidRPr="00DD7928">
              <w:rPr>
                <w:rFonts w:ascii="Verdana" w:eastAsia="Calibri" w:hAnsi="Verdana" w:cs="Arial"/>
                <w:lang w:val="es-ES" w:eastAsia="es-ES"/>
              </w:rPr>
              <w:t>CESIÓN DEL CONTRATO ESTATAL – Noción / CESIÓN DEL CONTRATO ESTATAL – Régimen jurídico aplicable – EGCAP – Código de comercio / CESIÓN DEL CONTRATO ESTATAL – Requisitos – Restricciones</w:t>
            </w:r>
            <w:r>
              <w:rPr>
                <w:rFonts w:ascii="Verdana" w:eastAsia="Calibri" w:hAnsi="Verdana" w:cs="Arial"/>
                <w:lang w:val="es-ES" w:eastAsia="es-ES"/>
              </w:rPr>
              <w:t xml:space="preserve"> / </w:t>
            </w:r>
            <w:r w:rsidRPr="00C776B0">
              <w:rPr>
                <w:rFonts w:ascii="Verdana" w:eastAsia="Calibri" w:hAnsi="Verdana" w:cs="Arial"/>
                <w:lang w:val="es-ES" w:eastAsia="es-ES"/>
              </w:rPr>
              <w:t>CESIÓN DEL CONTRATO ESTATAL – Garantías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8778442" w14:textId="77777777" w:rsidR="0023297C" w:rsidRPr="00593A5F" w:rsidRDefault="0023297C" w:rsidP="00AC06F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23297C" w:rsidRPr="008E6AD9" w14:paraId="41F133D6" w14:textId="77777777" w:rsidTr="00AC06F0">
        <w:tc>
          <w:tcPr>
            <w:tcW w:w="2689" w:type="dxa"/>
          </w:tcPr>
          <w:p w14:paraId="13D54D6D" w14:textId="77777777" w:rsidR="0023297C" w:rsidRPr="008E6AD9" w:rsidRDefault="0023297C" w:rsidP="00AC06F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907F93B" w14:textId="77777777" w:rsidR="0023297C" w:rsidRPr="00B92340" w:rsidRDefault="0023297C" w:rsidP="00AC06F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497127">
              <w:rPr>
                <w:rFonts w:ascii="Verdana" w:eastAsia="Calibri" w:hAnsi="Verdana" w:cs="Arial"/>
                <w:lang w:val="es-ES_tradnl" w:eastAsia="es-ES_tradnl"/>
              </w:rPr>
              <w:t>1_2025_10_01_010869</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D5E65B1" w14:textId="77777777" w:rsidR="0023297C" w:rsidRPr="00593A5F" w:rsidRDefault="0023297C" w:rsidP="0023297C">
      <w:pPr>
        <w:spacing w:after="0" w:line="240" w:lineRule="auto"/>
        <w:jc w:val="both"/>
        <w:rPr>
          <w:rFonts w:ascii="Verdana" w:eastAsia="Calibri" w:hAnsi="Verdana" w:cs="Arial"/>
          <w:color w:val="000000"/>
          <w:lang w:val="es-ES_tradnl" w:eastAsia="es-ES_tradnl"/>
        </w:rPr>
      </w:pPr>
    </w:p>
    <w:p w14:paraId="0970260C" w14:textId="77777777" w:rsidR="0023297C" w:rsidRPr="00593A5F" w:rsidRDefault="0023297C" w:rsidP="0023297C">
      <w:pPr>
        <w:spacing w:after="0" w:line="240" w:lineRule="auto"/>
        <w:jc w:val="both"/>
        <w:rPr>
          <w:rFonts w:ascii="Verdana" w:eastAsia="Calibri" w:hAnsi="Verdana" w:cs="Arial"/>
          <w:color w:val="000000"/>
          <w:lang w:val="es-ES_tradnl" w:eastAsia="es-ES_tradnl"/>
        </w:rPr>
      </w:pPr>
    </w:p>
    <w:p w14:paraId="2E705FAB" w14:textId="77777777" w:rsidR="0023297C" w:rsidRPr="008E6AD9" w:rsidRDefault="0023297C" w:rsidP="0023297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C4E62">
        <w:rPr>
          <w:rFonts w:ascii="Verdana" w:eastAsia="Calibri" w:hAnsi="Verdana" w:cs="Arial"/>
          <w:lang w:val="es-ES" w:eastAsia="es-ES"/>
        </w:rPr>
        <w:t>Arregocés Álvarez</w:t>
      </w:r>
      <w:r w:rsidRPr="008E6AD9">
        <w:rPr>
          <w:rFonts w:ascii="Verdana" w:eastAsia="Calibri" w:hAnsi="Verdana" w:cs="Arial"/>
          <w:lang w:val="es-ES" w:eastAsia="es-ES"/>
        </w:rPr>
        <w:t xml:space="preserve">: </w:t>
      </w:r>
    </w:p>
    <w:p w14:paraId="2812FDA3" w14:textId="77777777" w:rsidR="0023297C" w:rsidRDefault="0023297C" w:rsidP="0023297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B9919DF" w14:textId="77777777" w:rsidR="0023297C" w:rsidRPr="00593A5F" w:rsidRDefault="0023297C" w:rsidP="0023297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plantea las siguientes preguntas</w:t>
      </w:r>
      <w:r w:rsidRPr="008E6AD9">
        <w:rPr>
          <w:rFonts w:ascii="Verdana" w:eastAsia="Calibri" w:hAnsi="Verdana" w:cs="Arial"/>
          <w:lang w:val="es-ES" w:eastAsia="es-ES"/>
        </w:rPr>
        <w:t xml:space="preserve">: </w:t>
      </w:r>
    </w:p>
    <w:p w14:paraId="3B82810A" w14:textId="77777777" w:rsidR="0023297C" w:rsidRPr="00272A7B" w:rsidRDefault="0023297C" w:rsidP="0023297C">
      <w:pPr>
        <w:pStyle w:val="Prrafodelista"/>
        <w:tabs>
          <w:tab w:val="left" w:pos="142"/>
          <w:tab w:val="left" w:pos="284"/>
        </w:tabs>
        <w:spacing w:after="0" w:line="276" w:lineRule="auto"/>
        <w:ind w:left="0"/>
        <w:jc w:val="both"/>
        <w:rPr>
          <w:rFonts w:ascii="Verdana" w:eastAsia="Century Gothic" w:hAnsi="Verdana" w:cs="Century Gothic"/>
          <w:b/>
          <w:bCs/>
        </w:rPr>
      </w:pPr>
    </w:p>
    <w:p w14:paraId="189D2E3C" w14:textId="77777777" w:rsidR="0023297C" w:rsidRPr="004C4E62" w:rsidRDefault="0023297C" w:rsidP="0023297C">
      <w:pPr>
        <w:spacing w:after="120" w:line="240" w:lineRule="auto"/>
        <w:ind w:left="709" w:right="709"/>
        <w:jc w:val="both"/>
        <w:rPr>
          <w:rFonts w:ascii="Verdana" w:eastAsia="Century Gothic" w:hAnsi="Verdana" w:cs="Century Gothic"/>
          <w:sz w:val="20"/>
          <w:szCs w:val="20"/>
          <w:lang w:val="es-ES"/>
        </w:rPr>
      </w:pPr>
      <w:bookmarkStart w:id="0" w:name="_Hlk95313578"/>
      <w:r w:rsidRPr="004C4E62">
        <w:rPr>
          <w:rFonts w:ascii="Verdana" w:eastAsia="Century Gothic" w:hAnsi="Verdana" w:cs="Century Gothic"/>
          <w:sz w:val="20"/>
          <w:szCs w:val="20"/>
          <w:lang w:val="es-ES"/>
        </w:rPr>
        <w:t>“</w:t>
      </w:r>
      <w:bookmarkEnd w:id="0"/>
      <w:r w:rsidRPr="004C4E62">
        <w:rPr>
          <w:rFonts w:ascii="Verdana" w:eastAsia="Century Gothic" w:hAnsi="Verdana" w:cs="Century Gothic"/>
          <w:sz w:val="20"/>
          <w:szCs w:val="20"/>
          <w:lang w:val="es-ES"/>
        </w:rPr>
        <w:t xml:space="preserve">1. En caso de que se realice la cesión de un contrato, ¿el nuevo contratista debe amparar con una nueva póliza la totalidad del contrato, incluyendo las obligaciones previas a la cesión, o solo debe garantizar el cumplimiento a partir del momento de la cesión? </w:t>
      </w:r>
    </w:p>
    <w:p w14:paraId="61035FDA" w14:textId="77777777" w:rsidR="0023297C" w:rsidRPr="004C4E62" w:rsidRDefault="0023297C" w:rsidP="0023297C">
      <w:pPr>
        <w:spacing w:after="0" w:line="240" w:lineRule="auto"/>
        <w:ind w:left="709" w:right="709"/>
        <w:jc w:val="both"/>
        <w:rPr>
          <w:rFonts w:ascii="Verdana" w:eastAsia="Century Gothic" w:hAnsi="Verdana" w:cs="Century Gothic"/>
          <w:sz w:val="20"/>
          <w:szCs w:val="20"/>
          <w:lang w:val="es-ES"/>
        </w:rPr>
      </w:pPr>
      <w:r w:rsidRPr="004C4E62">
        <w:rPr>
          <w:rFonts w:ascii="Verdana" w:eastAsia="Century Gothic" w:hAnsi="Verdana" w:cs="Century Gothic"/>
          <w:sz w:val="20"/>
          <w:szCs w:val="20"/>
          <w:lang w:val="es-ES"/>
        </w:rPr>
        <w:lastRenderedPageBreak/>
        <w:t>2. ¿Qué sucede con la póliza presentada por el contratista original? ¿Permanece vigente, se extingue o debe ser objeto de algún trámite específico?”.</w:t>
      </w:r>
    </w:p>
    <w:p w14:paraId="598126E7" w14:textId="77777777" w:rsidR="0023297C" w:rsidRPr="008E6AD9" w:rsidRDefault="0023297C" w:rsidP="0023297C">
      <w:pPr>
        <w:pStyle w:val="Prrafodelista"/>
        <w:tabs>
          <w:tab w:val="left" w:pos="142"/>
          <w:tab w:val="left" w:pos="284"/>
        </w:tabs>
        <w:spacing w:after="0" w:line="276" w:lineRule="auto"/>
        <w:ind w:left="0"/>
        <w:jc w:val="both"/>
        <w:rPr>
          <w:rFonts w:ascii="Verdana" w:eastAsia="Century Gothic" w:hAnsi="Verdana" w:cs="Century Gothic"/>
          <w:b/>
          <w:bCs/>
        </w:rPr>
      </w:pPr>
    </w:p>
    <w:p w14:paraId="4ABE5DA9" w14:textId="77777777" w:rsidR="0023297C" w:rsidRPr="00A652FF" w:rsidRDefault="0023297C" w:rsidP="0023297C">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41BEBE6" w14:textId="77777777" w:rsidR="0023297C" w:rsidRDefault="0023297C" w:rsidP="0023297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E357F51" w14:textId="77777777" w:rsidR="0023297C" w:rsidRPr="00593A5F" w:rsidRDefault="0023297C" w:rsidP="0023297C">
      <w:pPr>
        <w:spacing w:after="0" w:line="276" w:lineRule="auto"/>
        <w:ind w:firstLine="709"/>
        <w:jc w:val="both"/>
        <w:rPr>
          <w:rFonts w:ascii="Verdana" w:eastAsia="Calibri" w:hAnsi="Verdana" w:cs="Arial"/>
          <w:color w:val="000000"/>
          <w:lang w:val="es-ES" w:eastAsia="es-ES"/>
        </w:rPr>
      </w:pPr>
    </w:p>
    <w:p w14:paraId="25621913" w14:textId="77777777" w:rsidR="0023297C" w:rsidRPr="00593A5F" w:rsidRDefault="0023297C" w:rsidP="0023297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F68AECA" w14:textId="77777777" w:rsidR="0023297C" w:rsidRPr="00593A5F" w:rsidRDefault="0023297C" w:rsidP="0023297C">
      <w:pPr>
        <w:tabs>
          <w:tab w:val="left" w:pos="426"/>
        </w:tabs>
        <w:spacing w:after="0" w:line="276" w:lineRule="auto"/>
        <w:jc w:val="both"/>
        <w:rPr>
          <w:rFonts w:ascii="Verdana" w:eastAsia="Century Gothic" w:hAnsi="Verdana" w:cs="Century Gothic"/>
          <w:lang w:val="es-ES"/>
        </w:rPr>
      </w:pPr>
    </w:p>
    <w:p w14:paraId="45BAE976" w14:textId="47EC12B1" w:rsidR="0023297C" w:rsidRDefault="0023297C" w:rsidP="0023297C">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¿cuál </w:t>
      </w:r>
      <w:r>
        <w:rPr>
          <w:rFonts w:ascii="Verdana" w:eastAsia="Century Gothic" w:hAnsi="Verdana" w:cs="Century Gothic"/>
        </w:rPr>
        <w:t>es marco normativo para la cesión de la posición contractual en relación con las garantías?</w:t>
      </w:r>
    </w:p>
    <w:p w14:paraId="01412D60" w14:textId="77777777" w:rsidR="00AC41D2" w:rsidRPr="004B140F" w:rsidRDefault="00AC41D2" w:rsidP="0023297C">
      <w:pPr>
        <w:spacing w:after="0" w:line="276" w:lineRule="auto"/>
        <w:jc w:val="both"/>
        <w:rPr>
          <w:rFonts w:ascii="Verdana" w:eastAsia="Calibri" w:hAnsi="Verdana" w:cs="Arial"/>
          <w:color w:val="7030A0"/>
        </w:rPr>
      </w:pPr>
    </w:p>
    <w:p w14:paraId="2E9B3ECB" w14:textId="77777777" w:rsidR="0023297C" w:rsidRPr="00593A5F" w:rsidRDefault="0023297C" w:rsidP="0023297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4C4ACF1" w14:textId="77777777" w:rsidR="0023297C" w:rsidRPr="00593A5F" w:rsidRDefault="0023297C" w:rsidP="0023297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3297C" w:rsidRPr="00593A5F" w14:paraId="413BCACC" w14:textId="77777777" w:rsidTr="00AC06F0">
        <w:trPr>
          <w:jc w:val="center"/>
        </w:trPr>
        <w:tc>
          <w:tcPr>
            <w:tcW w:w="8828" w:type="dxa"/>
          </w:tcPr>
          <w:p w14:paraId="582B600F" w14:textId="77777777" w:rsidR="0023297C" w:rsidRDefault="0023297C" w:rsidP="00AC06F0">
            <w:pPr>
              <w:spacing w:after="120" w:line="276" w:lineRule="auto"/>
              <w:ind w:right="51"/>
              <w:jc w:val="both"/>
              <w:rPr>
                <w:rFonts w:ascii="Verdana" w:eastAsia="Calibri" w:hAnsi="Verdana" w:cs="Arial"/>
                <w:color w:val="000000" w:themeColor="text1"/>
              </w:rPr>
            </w:pPr>
            <w:bookmarkStart w:id="1" w:name="_Hlk171694685"/>
            <w:r>
              <w:rPr>
                <w:rFonts w:ascii="Verdana" w:eastAsia="Calibri" w:hAnsi="Verdana" w:cs="Arial"/>
                <w:bCs/>
                <w:color w:val="000000" w:themeColor="text1"/>
              </w:rPr>
              <w:t>Conforme a la interpretación general de las normas del sistema de compras públicas, e</w:t>
            </w:r>
            <w:r>
              <w:rPr>
                <w:rFonts w:ascii="Verdana" w:eastAsia="Calibri" w:hAnsi="Verdana" w:cs="Arial"/>
                <w:color w:val="000000" w:themeColor="text1"/>
              </w:rPr>
              <w:t xml:space="preserve">l cesionario al asumir la posición del cedente es un contratista del Estado; razón por la cual, conforme al artículo 7 de la Ley 1150 de 2007 y el artículo 41 de la Ley 80 de 1993, está obligado a asegurar la debida ejecución del objeto a través de la garantía única de cumplimiento, la cual está sujeta la debida aprobación de la entidad contratante. Sin perjuicio de lo indicado en el reglamento, la cobertura depende de lo que establezca el contrato de </w:t>
            </w:r>
            <w:r>
              <w:rPr>
                <w:rFonts w:ascii="Verdana" w:eastAsia="Calibri" w:hAnsi="Verdana" w:cs="Arial"/>
                <w:color w:val="000000" w:themeColor="text1"/>
              </w:rPr>
              <w:lastRenderedPageBreak/>
              <w:t>cesión, especialmente, en lo relacionado con el pacto expreso de solidaridad derivada de los incumplimientos imputables a las partes de dicho negocio jurídico.</w:t>
            </w:r>
          </w:p>
          <w:p w14:paraId="1310F65E" w14:textId="77777777" w:rsidR="0023297C" w:rsidRDefault="0023297C" w:rsidP="00AC06F0">
            <w:pPr>
              <w:spacing w:after="120" w:line="276" w:lineRule="auto"/>
              <w:ind w:firstLine="737"/>
              <w:jc w:val="both"/>
              <w:rPr>
                <w:rFonts w:ascii="Verdana" w:hAnsi="Verdana" w:cs="Arial"/>
                <w:color w:val="000000" w:themeColor="text1"/>
              </w:rPr>
            </w:pPr>
            <w:r>
              <w:rPr>
                <w:rFonts w:ascii="Verdana" w:hAnsi="Verdana" w:cs="Arial"/>
                <w:color w:val="000000" w:themeColor="text1"/>
              </w:rPr>
              <w:t xml:space="preserve">En el aspecto pasivo, las obligaciones son solidarias cuando “[…] </w:t>
            </w:r>
            <w:r w:rsidRPr="00EA1B06">
              <w:rPr>
                <w:rFonts w:ascii="Verdana" w:hAnsi="Verdana" w:cs="Arial"/>
                <w:color w:val="000000" w:themeColor="text1"/>
              </w:rPr>
              <w:t>existiendo varios deudores de un mismo objeto</w:t>
            </w:r>
            <w:r>
              <w:rPr>
                <w:rFonts w:ascii="Verdana" w:hAnsi="Verdana" w:cs="Arial"/>
                <w:color w:val="000000" w:themeColor="text1"/>
              </w:rPr>
              <w:t xml:space="preserve"> </w:t>
            </w:r>
            <w:r w:rsidRPr="00EA1B06">
              <w:rPr>
                <w:rFonts w:ascii="Verdana" w:hAnsi="Verdana" w:cs="Arial"/>
                <w:color w:val="000000" w:themeColor="text1"/>
              </w:rPr>
              <w:t>divisible, el acreedor puede exigir, por el ministerio de la ley o por la</w:t>
            </w:r>
            <w:r>
              <w:rPr>
                <w:rFonts w:ascii="Verdana" w:hAnsi="Verdana" w:cs="Arial"/>
                <w:color w:val="000000" w:themeColor="text1"/>
              </w:rPr>
              <w:t xml:space="preserve"> </w:t>
            </w:r>
            <w:r w:rsidRPr="00EA1B06">
              <w:rPr>
                <w:rFonts w:ascii="Verdana" w:hAnsi="Verdana" w:cs="Arial"/>
                <w:color w:val="000000" w:themeColor="text1"/>
              </w:rPr>
              <w:t>convención, el total a cada uno de ellos, y el pago que haga cualquiera de los deudores extingue la obligación respecto de todos</w:t>
            </w:r>
            <w:r>
              <w:rPr>
                <w:rFonts w:ascii="Verdana" w:hAnsi="Verdana" w:cs="Arial"/>
                <w:color w:val="000000" w:themeColor="text1"/>
              </w:rPr>
              <w:t>”</w:t>
            </w:r>
            <w:r w:rsidRPr="00EA1B06">
              <w:rPr>
                <w:rFonts w:ascii="Verdana" w:hAnsi="Verdana" w:cs="Arial"/>
                <w:color w:val="000000" w:themeColor="text1"/>
              </w:rPr>
              <w:t>.</w:t>
            </w:r>
            <w:r>
              <w:rPr>
                <w:rFonts w:ascii="Verdana" w:hAnsi="Verdana" w:cs="Arial"/>
                <w:color w:val="000000" w:themeColor="text1"/>
              </w:rPr>
              <w:t xml:space="preserve"> Esto significa que la entidad contratante puede exigir al cedente o al cesionario las sanciones pecuniarias que se originen en la declaratoria de incumplimiento.</w:t>
            </w:r>
          </w:p>
          <w:p w14:paraId="0CC8429A" w14:textId="77777777" w:rsidR="0023297C" w:rsidRDefault="0023297C" w:rsidP="00AC06F0">
            <w:pPr>
              <w:spacing w:after="120" w:line="276" w:lineRule="auto"/>
              <w:jc w:val="both"/>
              <w:rPr>
                <w:rFonts w:ascii="Verdana" w:hAnsi="Verdana" w:cs="Arial"/>
                <w:color w:val="000000" w:themeColor="text1"/>
              </w:rPr>
            </w:pPr>
            <w:r>
              <w:rPr>
                <w:rFonts w:ascii="Verdana" w:hAnsi="Verdana" w:cs="Arial"/>
                <w:color w:val="000000" w:themeColor="text1"/>
              </w:rPr>
              <w:tab/>
              <w:t xml:space="preserve">En este caso, la entidad puede sujetar la autorización previa a que el cesionario ampare la totalidad del contrato, incluyendo las obligaciones previas a la cesión. Por el contrario, si no se pacta la solidaridad, el cesionario garantizará como mínimo el saldo que resta por ejecutar a partir de la cesión. En ambas hipótesis, las garantías del cedente continúan vigor o bien para el garante responda por las obligaciones que el tomador ha asumido del forma solidaria con el cesionario o para cubrir los siniestros derivados del incumplimiento antes de ceder la posición contractual. </w:t>
            </w:r>
          </w:p>
          <w:p w14:paraId="79AFC83D" w14:textId="77777777" w:rsidR="0023297C" w:rsidRPr="009B1432" w:rsidRDefault="0023297C" w:rsidP="00AC06F0">
            <w:pPr>
              <w:spacing w:after="120" w:line="276" w:lineRule="auto"/>
              <w:jc w:val="both"/>
              <w:rPr>
                <w:rFonts w:ascii="Verdana" w:eastAsia="Calibri" w:hAnsi="Verdana" w:cs="Arial"/>
                <w:color w:val="000000" w:themeColor="text1"/>
              </w:rPr>
            </w:pPr>
            <w:r>
              <w:rPr>
                <w:rFonts w:ascii="Verdana" w:hAnsi="Verdana" w:cs="Arial"/>
                <w:color w:val="000000" w:themeColor="text1"/>
              </w:rPr>
              <w:tab/>
              <w:t xml:space="preserve">Tratándose de las garantías que se suscriben a través de pólizas de seguro, es necesario tener en cuenta que solo son partes el tomador y la aseguradora. En el marco del artículo 1037 del Código de Comercio, la jurisprudencia explica que “[…] </w:t>
            </w:r>
            <w:r w:rsidRPr="00B532CA">
              <w:rPr>
                <w:rFonts w:ascii="Verdana" w:hAnsi="Verdana" w:cs="Arial"/>
                <w:color w:val="000000" w:themeColor="text1"/>
              </w:rPr>
              <w:t>el hecho de que la entidad pública asegurada y destinataria de la indemnización, en caso de configurarse el siniestro, se constituya en acreedora de la aseguradora que asumió el riesgo, no le da el carácter de parte del contrato de seguro, pues</w:t>
            </w:r>
            <w:r>
              <w:rPr>
                <w:rFonts w:ascii="Verdana" w:hAnsi="Verdana" w:cs="Arial"/>
                <w:color w:val="000000" w:themeColor="text1"/>
              </w:rPr>
              <w:t xml:space="preserve"> […]</w:t>
            </w:r>
            <w:r w:rsidRPr="00B532CA">
              <w:rPr>
                <w:rFonts w:ascii="Verdana" w:hAnsi="Verdana" w:cs="Arial"/>
                <w:color w:val="000000" w:themeColor="text1"/>
              </w:rPr>
              <w:t xml:space="preserve"> no por ello ocupa la posición del tomador</w:t>
            </w:r>
            <w:r>
              <w:rPr>
                <w:rFonts w:ascii="Verdana" w:hAnsi="Verdana" w:cs="Arial"/>
                <w:color w:val="000000" w:themeColor="text1"/>
              </w:rPr>
              <w:t xml:space="preserve"> […]”. Luego, después de la aprobación de las garantías, la póliza </w:t>
            </w:r>
            <w:r w:rsidRPr="008E78E6">
              <w:rPr>
                <w:rFonts w:ascii="Verdana" w:hAnsi="Verdana" w:cs="Arial"/>
                <w:color w:val="000000" w:themeColor="text1"/>
              </w:rPr>
              <w:t>presentada por el contratista original</w:t>
            </w:r>
            <w:r>
              <w:rPr>
                <w:rFonts w:ascii="Verdana" w:hAnsi="Verdana" w:cs="Arial"/>
                <w:color w:val="000000" w:themeColor="text1"/>
              </w:rPr>
              <w:t xml:space="preserve"> no es objeto de algún trámite adicional por parte de la entidad contratante, pues el contrato de seguro es autónomo respecto al contrato estatal. Sin embargo, es necesario tener en cuenta las reglas que rigen la coexistencia de seguros conforme a los artículos 1092, 1093 y 1094 del Código de Comercio. </w:t>
            </w:r>
            <w:r>
              <w:rPr>
                <w:rFonts w:ascii="Verdana" w:eastAsia="Calibri" w:hAnsi="Verdana" w:cs="Arial"/>
                <w:color w:val="000000" w:themeColor="text1"/>
              </w:rPr>
              <w:t xml:space="preserve">  </w:t>
            </w:r>
          </w:p>
          <w:p w14:paraId="67A1B223" w14:textId="77777777" w:rsidR="0023297C" w:rsidRPr="001941FD" w:rsidRDefault="0023297C" w:rsidP="00AC06F0">
            <w:pPr>
              <w:spacing w:line="276" w:lineRule="auto"/>
              <w:ind w:firstLine="709"/>
              <w:jc w:val="both"/>
              <w:rPr>
                <w:rFonts w:ascii="Verdana" w:eastAsia="Calibri" w:hAnsi="Verdana" w:cs="Arial"/>
                <w:bCs/>
                <w:color w:val="000000" w:themeColor="text1"/>
              </w:rPr>
            </w:pPr>
            <w:r w:rsidRPr="001941FD">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w:t>
            </w:r>
            <w:r w:rsidRPr="001941FD">
              <w:rPr>
                <w:rStyle w:val="s15"/>
                <w:rFonts w:ascii="Verdana" w:hAnsi="Verdana"/>
                <w:color w:val="000000"/>
              </w:rPr>
              <w:lastRenderedPageBreak/>
              <w:t>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DDFC509" w14:textId="77777777" w:rsidR="0023297C" w:rsidRPr="00593A5F" w:rsidRDefault="0023297C" w:rsidP="0023297C">
      <w:pPr>
        <w:tabs>
          <w:tab w:val="left" w:pos="142"/>
          <w:tab w:val="left" w:pos="284"/>
        </w:tabs>
        <w:spacing w:after="0" w:line="276" w:lineRule="auto"/>
        <w:jc w:val="both"/>
        <w:rPr>
          <w:rFonts w:ascii="Verdana" w:eastAsia="Century Gothic" w:hAnsi="Verdana" w:cs="Century Gothic"/>
          <w:b/>
          <w:bCs/>
          <w:lang w:val="es-ES"/>
        </w:rPr>
      </w:pPr>
    </w:p>
    <w:bookmarkEnd w:id="1"/>
    <w:p w14:paraId="7C96A456" w14:textId="77777777" w:rsidR="0023297C" w:rsidRPr="00593A5F" w:rsidRDefault="0023297C" w:rsidP="0023297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A2B6EAE" w14:textId="77777777" w:rsidR="0023297C" w:rsidRPr="00593A5F" w:rsidRDefault="0023297C" w:rsidP="0023297C">
      <w:pPr>
        <w:spacing w:after="0" w:line="276" w:lineRule="auto"/>
        <w:jc w:val="both"/>
        <w:rPr>
          <w:rFonts w:ascii="Verdana" w:eastAsia="Calibri" w:hAnsi="Verdana" w:cs="Arial"/>
          <w:color w:val="7030A0"/>
          <w:lang w:val="es-ES"/>
        </w:rPr>
      </w:pPr>
    </w:p>
    <w:p w14:paraId="2F41D138" w14:textId="77777777" w:rsidR="0023297C" w:rsidRDefault="0023297C" w:rsidP="0023297C">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B041A2D" w14:textId="77777777" w:rsidR="0023297C" w:rsidRPr="00415608" w:rsidRDefault="0023297C" w:rsidP="0023297C">
      <w:pPr>
        <w:spacing w:after="0" w:line="276" w:lineRule="auto"/>
        <w:jc w:val="both"/>
        <w:rPr>
          <w:rFonts w:ascii="Verdana" w:eastAsia="Calibri" w:hAnsi="Verdana" w:cs="Arial"/>
          <w:lang w:val="es-ES"/>
        </w:rPr>
      </w:pPr>
    </w:p>
    <w:p w14:paraId="376CF91B" w14:textId="77777777" w:rsidR="0023297C" w:rsidRPr="004C544B" w:rsidRDefault="0023297C" w:rsidP="0023297C">
      <w:pPr>
        <w:spacing w:after="0" w:line="276" w:lineRule="auto"/>
        <w:jc w:val="both"/>
        <w:rPr>
          <w:rFonts w:ascii="Verdana" w:hAnsi="Verdana" w:cs="Arial"/>
        </w:rPr>
      </w:pPr>
      <w:r w:rsidRPr="004C544B">
        <w:rPr>
          <w:rFonts w:ascii="Verdana" w:eastAsia="Calibri" w:hAnsi="Verdana" w:cs="Arial"/>
          <w:bCs/>
          <w:color w:val="000000" w:themeColor="text1"/>
        </w:rP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4C544B">
        <w:rPr>
          <w:rStyle w:val="Refdenotaalpie"/>
          <w:rFonts w:ascii="Verdana" w:eastAsia="Calibri" w:hAnsi="Verdana" w:cs="Arial"/>
          <w:bCs/>
          <w:color w:val="000000" w:themeColor="text1"/>
        </w:rPr>
        <w:footnoteReference w:id="2"/>
      </w:r>
      <w:r w:rsidRPr="004C544B">
        <w:rPr>
          <w:rFonts w:ascii="Verdana" w:eastAsia="Calibri" w:hAnsi="Verdana" w:cs="Arial"/>
          <w:bCs/>
          <w:color w:val="000000" w:themeColor="text1"/>
        </w:rPr>
        <w:t>.</w:t>
      </w:r>
      <w:r w:rsidRPr="004C544B">
        <w:rPr>
          <w:rFonts w:ascii="Verdana" w:eastAsia="Calibri" w:hAnsi="Verdana" w:cs="Arial"/>
          <w:color w:val="000000" w:themeColor="text1"/>
        </w:rPr>
        <w:t xml:space="preserve"> </w:t>
      </w:r>
      <w:r w:rsidRPr="004C544B">
        <w:rPr>
          <w:rFonts w:ascii="Verdana" w:hAnsi="Verdana" w:cs="Arial"/>
        </w:rPr>
        <w:t>Para la doctrina:</w:t>
      </w:r>
    </w:p>
    <w:p w14:paraId="6A9D4298" w14:textId="77777777" w:rsidR="0023297C" w:rsidRPr="004C544B" w:rsidRDefault="0023297C" w:rsidP="0023297C">
      <w:pPr>
        <w:spacing w:after="0" w:line="276" w:lineRule="auto"/>
        <w:ind w:firstLine="708"/>
        <w:jc w:val="both"/>
        <w:rPr>
          <w:rFonts w:ascii="Verdana" w:hAnsi="Verdana" w:cs="Arial"/>
        </w:rPr>
      </w:pPr>
    </w:p>
    <w:p w14:paraId="2E10AD7E" w14:textId="77777777" w:rsidR="0023297C" w:rsidRPr="004C4E62" w:rsidRDefault="0023297C" w:rsidP="0023297C">
      <w:pPr>
        <w:spacing w:after="120" w:line="240" w:lineRule="auto"/>
        <w:ind w:left="709" w:right="709"/>
        <w:jc w:val="both"/>
        <w:rPr>
          <w:rFonts w:ascii="Verdana" w:eastAsia="Calibri" w:hAnsi="Verdana" w:cs="Arial"/>
          <w:color w:val="000000" w:themeColor="text1"/>
          <w:sz w:val="20"/>
          <w:szCs w:val="20"/>
        </w:rPr>
      </w:pPr>
      <w:r w:rsidRPr="004C4E62">
        <w:rPr>
          <w:rFonts w:ascii="Verdana" w:hAnsi="Verdana" w:cs="Arial"/>
          <w:sz w:val="20"/>
          <w:szCs w:val="20"/>
        </w:rPr>
        <w:t xml:space="preserve">“La cesión de contrato (presupuesto éste último como </w:t>
      </w:r>
      <w:r w:rsidRPr="004C4E62">
        <w:rPr>
          <w:rFonts w:ascii="Verdana" w:hAnsi="Verdana" w:cs="Arial"/>
          <w:i/>
          <w:iCs/>
          <w:sz w:val="20"/>
          <w:szCs w:val="20"/>
        </w:rPr>
        <w:t>bilateral</w:t>
      </w:r>
      <w:r w:rsidRPr="004C4E62">
        <w:rPr>
          <w:rFonts w:ascii="Verdana" w:hAnsi="Verdana" w:cs="Arial"/>
          <w:sz w:val="20"/>
          <w:szCs w:val="20"/>
        </w:rPr>
        <w:t xml:space="preserve">, al menos en la configuración típica de la institución) es el instrumento que permite realizar la llamada </w:t>
      </w:r>
      <w:r w:rsidRPr="004C4E62">
        <w:rPr>
          <w:rFonts w:ascii="Verdana" w:hAnsi="Verdana" w:cs="Arial"/>
          <w:i/>
          <w:iCs/>
          <w:sz w:val="20"/>
          <w:szCs w:val="20"/>
        </w:rPr>
        <w:t>circulación del contrato</w:t>
      </w:r>
      <w:r w:rsidRPr="004C4E62">
        <w:rPr>
          <w:rFonts w:ascii="Verdana" w:hAnsi="Verdana" w:cs="Arial"/>
          <w:sz w:val="20"/>
          <w:szCs w:val="20"/>
        </w:rPr>
        <w:t xml:space="preserve">, es decir, la transferencia negocial a un tercero (llamado </w:t>
      </w:r>
      <w:r w:rsidRPr="004C4E62">
        <w:rPr>
          <w:rFonts w:ascii="Verdana" w:hAnsi="Verdana" w:cs="Arial"/>
          <w:i/>
          <w:iCs/>
          <w:sz w:val="20"/>
          <w:szCs w:val="20"/>
        </w:rPr>
        <w:t>cesionario</w:t>
      </w:r>
      <w:r w:rsidRPr="004C4E62">
        <w:rPr>
          <w:rFonts w:ascii="Verdana" w:hAnsi="Verdana" w:cs="Arial"/>
          <w:sz w:val="20"/>
          <w:szCs w:val="20"/>
        </w:rPr>
        <w:t xml:space="preserve">) del conjunto de posiciones contractuales (entendido como resultante unitario de derechos y obligaciones orgánicamente interdependientes), constituida en la persona de uno de los originarios contratantes (llamado </w:t>
      </w:r>
      <w:r w:rsidRPr="004C4E62">
        <w:rPr>
          <w:rFonts w:ascii="Verdana" w:hAnsi="Verdana" w:cs="Arial"/>
          <w:i/>
          <w:iCs/>
          <w:sz w:val="20"/>
          <w:szCs w:val="20"/>
        </w:rPr>
        <w:t>cedente</w:t>
      </w:r>
      <w:r w:rsidRPr="004C4E62">
        <w:rPr>
          <w:rFonts w:ascii="Verdana" w:hAnsi="Verdana" w:cs="Arial"/>
          <w:sz w:val="20"/>
          <w:szCs w:val="20"/>
        </w:rPr>
        <w:t xml:space="preserve">); de tal forma que, a través de esa sustitución </w:t>
      </w:r>
      <w:r w:rsidRPr="004C4E62">
        <w:rPr>
          <w:rFonts w:ascii="Verdana" w:hAnsi="Verdana" w:cs="Arial"/>
          <w:i/>
          <w:iCs/>
          <w:sz w:val="20"/>
          <w:szCs w:val="20"/>
        </w:rPr>
        <w:t>negocial</w:t>
      </w:r>
      <w:r w:rsidRPr="004C4E62">
        <w:rPr>
          <w:rFonts w:ascii="Verdana" w:hAnsi="Verdana" w:cs="Arial"/>
          <w:sz w:val="20"/>
          <w:szCs w:val="20"/>
        </w:rPr>
        <w:t xml:space="preserve"> del tercero en la posición de ‘parte’ del contrato, en lugar del cedente, dicho tercero </w:t>
      </w:r>
      <w:proofErr w:type="spellStart"/>
      <w:r w:rsidRPr="004C4E62">
        <w:rPr>
          <w:rFonts w:ascii="Verdana" w:hAnsi="Verdana" w:cs="Arial"/>
          <w:sz w:val="20"/>
          <w:szCs w:val="20"/>
        </w:rPr>
        <w:t>subentra</w:t>
      </w:r>
      <w:proofErr w:type="spellEnd"/>
      <w:r w:rsidRPr="004C4E62">
        <w:rPr>
          <w:rFonts w:ascii="Verdana" w:hAnsi="Verdana" w:cs="Arial"/>
          <w:sz w:val="20"/>
          <w:szCs w:val="20"/>
        </w:rPr>
        <w:t xml:space="preserve"> en la totalidad de los derechos y obligaciones que en su orgánica interdependencia se derivan del contrato estipulado por el cedente.</w:t>
      </w:r>
    </w:p>
    <w:p w14:paraId="50DC804E" w14:textId="77777777" w:rsidR="0023297C" w:rsidRPr="004C544B" w:rsidRDefault="0023297C" w:rsidP="0023297C">
      <w:pPr>
        <w:spacing w:after="0" w:line="240" w:lineRule="auto"/>
        <w:ind w:left="709" w:right="709"/>
        <w:jc w:val="both"/>
        <w:rPr>
          <w:rFonts w:ascii="Verdana" w:hAnsi="Verdana" w:cs="Arial"/>
          <w:sz w:val="21"/>
          <w:szCs w:val="21"/>
        </w:rPr>
      </w:pPr>
      <w:r w:rsidRPr="004C4E62">
        <w:rPr>
          <w:rFonts w:ascii="Verdana" w:hAnsi="Verdana" w:cs="Arial"/>
          <w:sz w:val="20"/>
          <w:szCs w:val="20"/>
        </w:rPr>
        <w:lastRenderedPageBreak/>
        <w:t xml:space="preserve">A este respecto justamente se ha notado que el tráfico considera aquí los contratos sobre todo como </w:t>
      </w:r>
      <w:r w:rsidRPr="004C4E62">
        <w:rPr>
          <w:rFonts w:ascii="Verdana" w:hAnsi="Verdana" w:cs="Arial"/>
          <w:i/>
          <w:iCs/>
          <w:sz w:val="20"/>
          <w:szCs w:val="20"/>
        </w:rPr>
        <w:t>valores económicos</w:t>
      </w:r>
      <w:r w:rsidRPr="004C4E62">
        <w:rPr>
          <w:rFonts w:ascii="Verdana" w:hAnsi="Verdana" w:cs="Arial"/>
          <w:sz w:val="20"/>
          <w:szCs w:val="20"/>
        </w:rPr>
        <w:t xml:space="preserve">, idóneos como tales para una determinada forma de circulación: en consideración a la utilidad futura a que el contrato está encaminado a procurar, la práctica atribuye al mismo contrato un valor económico actual, considerándolo, por tanto, como un bien capaz de circular. Ahora bien; el Derecho apresta, precisamente, el instrumento para tal circulación en cuanto admite que uno de los originarios contratantes pueda transferir a un tercero, con el consentimiento imprescindible del otro contratante original (llamado </w:t>
      </w:r>
      <w:r w:rsidRPr="004C4E62">
        <w:rPr>
          <w:rFonts w:ascii="Verdana" w:hAnsi="Verdana" w:cs="Arial"/>
          <w:i/>
          <w:iCs/>
          <w:sz w:val="20"/>
          <w:szCs w:val="20"/>
        </w:rPr>
        <w:t>contratante cedido</w:t>
      </w:r>
      <w:r w:rsidRPr="004C4E62">
        <w:rPr>
          <w:rFonts w:ascii="Verdana" w:hAnsi="Verdana" w:cs="Arial"/>
          <w:sz w:val="20"/>
          <w:szCs w:val="20"/>
        </w:rPr>
        <w:t>), la relación contractual entera, como conjunto de derecho y obligaciones, como única resultante de elementos activos y pasivos […]”</w:t>
      </w:r>
      <w:r w:rsidRPr="004C4E62">
        <w:rPr>
          <w:rStyle w:val="Refdenotaalpie"/>
          <w:rFonts w:ascii="Verdana" w:hAnsi="Verdana" w:cs="Arial"/>
          <w:color w:val="000000" w:themeColor="text1"/>
          <w:sz w:val="20"/>
          <w:szCs w:val="20"/>
        </w:rPr>
        <w:footnoteReference w:id="3"/>
      </w:r>
      <w:r w:rsidRPr="004C4E62">
        <w:rPr>
          <w:rFonts w:ascii="Verdana" w:hAnsi="Verdana" w:cs="Arial"/>
          <w:sz w:val="20"/>
          <w:szCs w:val="20"/>
        </w:rPr>
        <w:t>.</w:t>
      </w:r>
    </w:p>
    <w:p w14:paraId="36331FC1" w14:textId="77777777" w:rsidR="0023297C" w:rsidRPr="004C544B" w:rsidRDefault="0023297C" w:rsidP="0023297C">
      <w:pPr>
        <w:spacing w:after="0" w:line="276" w:lineRule="auto"/>
        <w:ind w:left="709" w:right="709"/>
        <w:jc w:val="both"/>
        <w:rPr>
          <w:rFonts w:ascii="Verdana" w:eastAsia="Calibri" w:hAnsi="Verdana" w:cs="Arial"/>
          <w:color w:val="000000" w:themeColor="text1"/>
        </w:rPr>
      </w:pPr>
    </w:p>
    <w:p w14:paraId="62560CC6" w14:textId="77777777" w:rsidR="0023297C" w:rsidRPr="004C544B" w:rsidRDefault="0023297C" w:rsidP="0023297C">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el cedido […]”</w:t>
      </w:r>
      <w:r w:rsidRPr="004C544B">
        <w:rPr>
          <w:rStyle w:val="Refdenotaalpie"/>
          <w:rFonts w:ascii="Verdana" w:eastAsia="Calibri" w:hAnsi="Verdana" w:cs="Arial"/>
          <w:color w:val="000000" w:themeColor="text1"/>
        </w:rPr>
        <w:footnoteReference w:id="4"/>
      </w:r>
      <w:r w:rsidRPr="004C544B">
        <w:rPr>
          <w:rFonts w:ascii="Verdana" w:eastAsia="Calibri" w:hAnsi="Verdana" w:cs="Arial"/>
          <w:color w:val="000000" w:themeColor="text1"/>
        </w:rPr>
        <w:t xml:space="preserve">. Por otro, “[…] es la transferencia de la posición contractual de un contratante a otro sujeto, que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la contraparte […]”</w:t>
      </w:r>
      <w:r w:rsidRPr="004C544B">
        <w:rPr>
          <w:rStyle w:val="Refdenotaalpie"/>
          <w:rFonts w:ascii="Verdana" w:eastAsia="Calibri" w:hAnsi="Verdana" w:cs="Arial"/>
          <w:color w:val="000000" w:themeColor="text1"/>
        </w:rPr>
        <w:footnoteReference w:id="5"/>
      </w:r>
      <w:r w:rsidRPr="004C544B">
        <w:rPr>
          <w:rFonts w:ascii="Verdana" w:eastAsia="Calibri" w:hAnsi="Verdana" w:cs="Arial"/>
          <w:color w:val="000000" w:themeColor="text1"/>
        </w:rPr>
        <w:t xml:space="preserve">. De esta manera, </w:t>
      </w:r>
      <w:r w:rsidRPr="004C544B">
        <w:rPr>
          <w:rFonts w:ascii="Verdana" w:hAnsi="Verdana" w:cs="Arial"/>
          <w:color w:val="000000" w:themeColor="text1"/>
        </w:rPr>
        <w:t xml:space="preserve">concurren tres (3) sujetos: i) el cedente, esto es, el contratista inicial; </w:t>
      </w:r>
      <w:proofErr w:type="spellStart"/>
      <w:r w:rsidRPr="004C544B">
        <w:rPr>
          <w:rFonts w:ascii="Verdana" w:hAnsi="Verdana" w:cs="Arial"/>
          <w:color w:val="000000" w:themeColor="text1"/>
        </w:rPr>
        <w:t>ii</w:t>
      </w:r>
      <w:proofErr w:type="spellEnd"/>
      <w:r w:rsidRPr="004C544B">
        <w:rPr>
          <w:rFonts w:ascii="Verdana" w:hAnsi="Verdana" w:cs="Arial"/>
          <w:color w:val="000000" w:themeColor="text1"/>
        </w:rPr>
        <w:t xml:space="preserve">) el cesionario, es decir, quien asume total o parcialmente los derechos y obligaciones de este último; y </w:t>
      </w:r>
      <w:proofErr w:type="spellStart"/>
      <w:r w:rsidRPr="004C544B">
        <w:rPr>
          <w:rFonts w:ascii="Verdana" w:hAnsi="Verdana" w:cs="Arial"/>
          <w:color w:val="000000" w:themeColor="text1"/>
        </w:rPr>
        <w:t>iii</w:t>
      </w:r>
      <w:proofErr w:type="spellEnd"/>
      <w:r w:rsidRPr="004C544B">
        <w:rPr>
          <w:rFonts w:ascii="Verdana" w:hAnsi="Verdana" w:cs="Arial"/>
          <w:color w:val="000000" w:themeColor="text1"/>
        </w:rPr>
        <w:t xml:space="preserve">) el cedido que, en el caso de los contratos estatales, sería la entidad que suscribió el contrato. </w:t>
      </w:r>
      <w:r w:rsidRPr="004C544B">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1A34E3B8" w14:textId="77777777" w:rsidR="0023297C" w:rsidRPr="004C544B" w:rsidRDefault="0023297C" w:rsidP="0023297C">
      <w:pPr>
        <w:spacing w:after="0" w:line="276" w:lineRule="auto"/>
        <w:ind w:firstLine="708"/>
        <w:jc w:val="both"/>
        <w:rPr>
          <w:rFonts w:ascii="Verdana" w:hAnsi="Verdana" w:cs="Arial"/>
          <w:color w:val="000000" w:themeColor="text1"/>
        </w:rPr>
      </w:pPr>
    </w:p>
    <w:p w14:paraId="7A10D0DF" w14:textId="77777777" w:rsidR="0023297C" w:rsidRPr="004C4E62" w:rsidRDefault="0023297C" w:rsidP="0023297C">
      <w:pPr>
        <w:tabs>
          <w:tab w:val="left" w:pos="709"/>
        </w:tabs>
        <w:spacing w:after="0" w:line="240" w:lineRule="auto"/>
        <w:ind w:left="709" w:right="709"/>
        <w:jc w:val="both"/>
        <w:rPr>
          <w:rFonts w:ascii="Verdana" w:eastAsia="Calibri" w:hAnsi="Verdana" w:cs="Arial"/>
          <w:color w:val="000000" w:themeColor="text1"/>
          <w:sz w:val="20"/>
          <w:szCs w:val="20"/>
        </w:rPr>
      </w:pPr>
      <w:r w:rsidRPr="004C4E62">
        <w:rPr>
          <w:rFonts w:ascii="Verdana" w:eastAsia="Calibri" w:hAnsi="Verdana" w:cs="Arial"/>
          <w:color w:val="000000" w:themeColor="text1"/>
          <w:sz w:val="20"/>
          <w:szCs w:val="20"/>
        </w:rPr>
        <w:t xml:space="preserve">“[…]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w:t>
      </w:r>
      <w:r w:rsidRPr="004C4E62">
        <w:rPr>
          <w:rFonts w:ascii="Verdana" w:eastAsia="Calibri" w:hAnsi="Verdana" w:cs="Arial"/>
          <w:color w:val="000000" w:themeColor="text1"/>
          <w:sz w:val="20"/>
          <w:szCs w:val="20"/>
        </w:rPr>
        <w:lastRenderedPageBreak/>
        <w:t>relación contractual, cuyo resultado es la sustitución de una de las partes (acreedora-deudora) […]”</w:t>
      </w:r>
      <w:r w:rsidRPr="004C4E62">
        <w:rPr>
          <w:rStyle w:val="Refdenotaalpie"/>
          <w:rFonts w:ascii="Verdana" w:eastAsia="Calibri" w:hAnsi="Verdana" w:cs="Arial"/>
          <w:color w:val="000000" w:themeColor="text1"/>
          <w:sz w:val="20"/>
          <w:szCs w:val="20"/>
        </w:rPr>
        <w:footnoteReference w:id="6"/>
      </w:r>
      <w:r w:rsidRPr="004C4E62">
        <w:rPr>
          <w:rFonts w:ascii="Verdana" w:eastAsia="Calibri" w:hAnsi="Verdana" w:cs="Arial"/>
          <w:color w:val="000000" w:themeColor="text1"/>
          <w:sz w:val="20"/>
          <w:szCs w:val="20"/>
        </w:rPr>
        <w:t>.</w:t>
      </w:r>
    </w:p>
    <w:p w14:paraId="722A02B4" w14:textId="77777777" w:rsidR="0023297C" w:rsidRPr="004C544B" w:rsidRDefault="0023297C" w:rsidP="0023297C">
      <w:pPr>
        <w:tabs>
          <w:tab w:val="left" w:pos="709"/>
        </w:tabs>
        <w:spacing w:after="0" w:line="276" w:lineRule="auto"/>
        <w:ind w:left="709" w:right="709"/>
        <w:jc w:val="both"/>
        <w:rPr>
          <w:rFonts w:ascii="Verdana" w:eastAsia="Calibri" w:hAnsi="Verdana" w:cs="Arial"/>
          <w:color w:val="000000" w:themeColor="text1"/>
        </w:rPr>
      </w:pPr>
    </w:p>
    <w:p w14:paraId="50B6B1CB" w14:textId="77777777" w:rsidR="0023297C" w:rsidRPr="004C544B" w:rsidRDefault="0023297C" w:rsidP="0023297C">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4C544B">
        <w:rPr>
          <w:rFonts w:ascii="Verdana" w:eastAsia="Calibri" w:hAnsi="Verdana" w:cs="Arial"/>
          <w:color w:val="000000" w:themeColor="text1"/>
        </w:rPr>
        <w:t>ii</w:t>
      </w:r>
      <w:proofErr w:type="spellEnd"/>
      <w:r w:rsidRPr="004C544B">
        <w:rPr>
          <w:rFonts w:ascii="Verdana" w:eastAsia="Calibri" w:hAnsi="Verdana" w:cs="Arial"/>
          <w:color w:val="000000" w:themeColor="text1"/>
        </w:rPr>
        <w:t xml:space="preserve">) corresponderán como actos jurídicos bilaterales generadores de obligaciones, entre otros, a los previstos en el derecho privado, en los términos del artículo 32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y </w:t>
      </w:r>
      <w:proofErr w:type="spellStart"/>
      <w:r w:rsidRPr="004C544B">
        <w:rPr>
          <w:rFonts w:ascii="Verdana" w:eastAsia="Calibri" w:hAnsi="Verdana" w:cs="Arial"/>
          <w:color w:val="000000" w:themeColor="text1"/>
        </w:rPr>
        <w:t>iii</w:t>
      </w:r>
      <w:proofErr w:type="spellEnd"/>
      <w:r w:rsidRPr="004C544B">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4C544B">
        <w:rPr>
          <w:rFonts w:ascii="Verdana" w:eastAsia="Calibri" w:hAnsi="Verdana" w:cs="Arial"/>
          <w:i/>
          <w:iCs/>
          <w:color w:val="000000" w:themeColor="text1"/>
        </w:rPr>
        <w:t>ibidem</w:t>
      </w:r>
      <w:r w:rsidRPr="004C544B">
        <w:rPr>
          <w:rFonts w:ascii="Verdana" w:eastAsia="Calibri" w:hAnsi="Verdana" w:cs="Arial"/>
          <w:color w:val="000000" w:themeColor="text1"/>
        </w:rPr>
        <w:t xml:space="preserve">. </w:t>
      </w:r>
    </w:p>
    <w:p w14:paraId="0BCFA313" w14:textId="77777777" w:rsidR="0023297C" w:rsidRPr="004C544B" w:rsidRDefault="0023297C" w:rsidP="0023297C">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37AFB9B7" w14:textId="77777777" w:rsidR="0023297C" w:rsidRPr="004C544B" w:rsidRDefault="0023297C" w:rsidP="0023297C">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w:t>
      </w:r>
      <w:r w:rsidRPr="004C544B">
        <w:rPr>
          <w:rStyle w:val="Refdenotaalpie"/>
          <w:rFonts w:ascii="Verdana" w:eastAsia="Calibri" w:hAnsi="Verdana" w:cs="Arial"/>
          <w:color w:val="000000" w:themeColor="text1"/>
        </w:rPr>
        <w:footnoteReference w:id="7"/>
      </w:r>
      <w:r w:rsidRPr="004C544B">
        <w:rPr>
          <w:rFonts w:ascii="Verdana" w:eastAsia="Calibri" w:hAnsi="Verdana" w:cs="Arial"/>
          <w:color w:val="000000" w:themeColor="text1"/>
        </w:rPr>
        <w:t xml:space="preserve">. Por otra parte, el artículo 891 obliga al cesionario a avisar al cedente de la mora o el incumplimiento dentro de los 10 días siguientes, siempre y cuando este se haya </w:t>
      </w:r>
      <w:r w:rsidRPr="004C544B">
        <w:rPr>
          <w:rFonts w:ascii="Verdana" w:eastAsia="Calibri" w:hAnsi="Verdana" w:cs="Arial"/>
          <w:color w:val="000000" w:themeColor="text1"/>
        </w:rPr>
        <w:lastRenderedPageBreak/>
        <w:t>obligado a garantizar el cumplimiento por parte del contratante cedido</w:t>
      </w:r>
      <w:r w:rsidRPr="004C544B">
        <w:rPr>
          <w:rStyle w:val="Refdenotaalpie"/>
          <w:rFonts w:ascii="Verdana" w:eastAsia="Calibri" w:hAnsi="Verdana" w:cs="Arial"/>
          <w:color w:val="000000" w:themeColor="text1"/>
        </w:rPr>
        <w:footnoteReference w:id="8"/>
      </w:r>
      <w:r w:rsidRPr="004C544B">
        <w:rPr>
          <w:rFonts w:ascii="Verdana" w:eastAsia="Calibri" w:hAnsi="Verdana" w:cs="Arial"/>
          <w:color w:val="000000" w:themeColor="text1"/>
        </w:rPr>
        <w:t>.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sidRPr="004C544B">
        <w:rPr>
          <w:rStyle w:val="Refdenotaalpie"/>
          <w:rFonts w:ascii="Verdana" w:eastAsia="Calibri" w:hAnsi="Verdana" w:cs="Arial"/>
          <w:color w:val="000000" w:themeColor="text1"/>
        </w:rPr>
        <w:footnoteReference w:id="9"/>
      </w:r>
      <w:r w:rsidRPr="004C544B">
        <w:rPr>
          <w:rFonts w:ascii="Verdana" w:eastAsia="Calibri" w:hAnsi="Verdana" w:cs="Arial"/>
          <w:color w:val="000000" w:themeColor="text1"/>
        </w:rPr>
        <w:t xml:space="preserve">. </w:t>
      </w:r>
    </w:p>
    <w:p w14:paraId="6B746297" w14:textId="77777777" w:rsidR="0023297C" w:rsidRPr="004C544B" w:rsidRDefault="0023297C" w:rsidP="0023297C">
      <w:pPr>
        <w:tabs>
          <w:tab w:val="left" w:pos="709"/>
        </w:tabs>
        <w:spacing w:after="120" w:line="276" w:lineRule="auto"/>
        <w:jc w:val="both"/>
        <w:rPr>
          <w:rFonts w:ascii="Verdana" w:eastAsia="Calibri" w:hAnsi="Verdana" w:cs="Arial"/>
          <w:color w:val="000000" w:themeColor="text1"/>
        </w:rPr>
      </w:pPr>
      <w:r w:rsidRPr="004C544B">
        <w:rPr>
          <w:rFonts w:ascii="Verdana" w:eastAsia="Calibri" w:hAnsi="Verdana" w:cs="Arial"/>
          <w:color w:val="000000" w:themeColor="text1"/>
        </w:rPr>
        <w:tab/>
        <w:t xml:space="preserve">Al margen de estas y otras disposiciones que de manera particular consagra el Código de Comercio sobre la cesión del contrato, esta figura cuenta con algunas normas especiales en la Ley 80 de 1993. Por ejemplo, </w:t>
      </w:r>
      <w:bookmarkStart w:id="2" w:name="_Hlk79822251"/>
      <w:r w:rsidRPr="004C544B">
        <w:rPr>
          <w:rFonts w:ascii="Verdana" w:eastAsia="Calibri" w:hAnsi="Verdana" w:cs="Arial"/>
          <w:color w:val="000000" w:themeColor="text1"/>
        </w:rPr>
        <w:t>el artículo 41, inciso tercero</w:t>
      </w:r>
      <w:bookmarkEnd w:id="2"/>
      <w:r w:rsidRPr="004C544B">
        <w:rPr>
          <w:rFonts w:ascii="Verdana" w:eastAsia="Calibri" w:hAnsi="Verdana" w:cs="Arial"/>
          <w:color w:val="000000" w:themeColor="text1"/>
        </w:rPr>
        <w:t xml:space="preserve">, del EGCAP prescribe que “Los contratos estatales son </w:t>
      </w:r>
      <w:r w:rsidRPr="004C544B">
        <w:rPr>
          <w:rFonts w:ascii="Verdana" w:eastAsia="Calibri" w:hAnsi="Verdana" w:cs="Arial"/>
          <w:i/>
          <w:iCs/>
          <w:color w:val="000000" w:themeColor="text1"/>
        </w:rPr>
        <w:t xml:space="preserve">intuito </w:t>
      </w:r>
      <w:proofErr w:type="spellStart"/>
      <w:r w:rsidRPr="004C544B">
        <w:rPr>
          <w:rFonts w:ascii="Verdana" w:eastAsia="Calibri" w:hAnsi="Verdana" w:cs="Arial"/>
          <w:i/>
          <w:iCs/>
          <w:color w:val="000000" w:themeColor="text1"/>
        </w:rPr>
        <w:t>personae</w:t>
      </w:r>
      <w:proofErr w:type="spellEnd"/>
      <w:r w:rsidRPr="004C544B">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4C544B">
        <w:rPr>
          <w:rFonts w:ascii="Verdana" w:eastAsia="Calibri" w:hAnsi="Verdana" w:cs="Arial"/>
          <w:i/>
          <w:iCs/>
          <w:color w:val="000000" w:themeColor="text1"/>
        </w:rPr>
        <w:t>faceta negativa</w:t>
      </w:r>
      <w:r w:rsidRPr="004C544B">
        <w:rPr>
          <w:rFonts w:ascii="Verdana" w:eastAsia="Calibri" w:hAnsi="Verdana" w:cs="Arial"/>
          <w:color w:val="000000" w:themeColor="text1"/>
        </w:rPr>
        <w:t>– y una autorización excepcional –</w:t>
      </w:r>
      <w:r w:rsidRPr="004C544B">
        <w:rPr>
          <w:rFonts w:ascii="Verdana" w:eastAsia="Calibri" w:hAnsi="Verdana" w:cs="Arial"/>
          <w:i/>
          <w:iCs/>
          <w:color w:val="000000" w:themeColor="text1"/>
        </w:rPr>
        <w:t>faceta positiva</w:t>
      </w:r>
      <w:r w:rsidRPr="004C544B">
        <w:rPr>
          <w:rFonts w:ascii="Verdana" w:eastAsia="Calibri" w:hAnsi="Verdana" w:cs="Arial"/>
          <w:color w:val="000000" w:themeColor="text1"/>
        </w:rPr>
        <w:t>–.</w:t>
      </w:r>
    </w:p>
    <w:p w14:paraId="6AF73523" w14:textId="77777777" w:rsidR="0023297C" w:rsidRPr="004C544B" w:rsidRDefault="0023297C" w:rsidP="0023297C">
      <w:pPr>
        <w:tabs>
          <w:tab w:val="left" w:pos="709"/>
        </w:tabs>
        <w:spacing w:after="120" w:line="276" w:lineRule="auto"/>
        <w:jc w:val="both"/>
        <w:rPr>
          <w:rFonts w:ascii="Verdana" w:eastAsia="Calibri" w:hAnsi="Verdana" w:cs="Arial"/>
          <w:bCs/>
          <w:color w:val="000000" w:themeColor="text1"/>
        </w:rPr>
      </w:pPr>
      <w:r w:rsidRPr="004C544B">
        <w:rPr>
          <w:rFonts w:ascii="Verdana" w:eastAsia="Calibri" w:hAnsi="Verdana" w:cs="Arial"/>
          <w:bCs/>
          <w:color w:val="000000" w:themeColor="text1"/>
        </w:rPr>
        <w:tab/>
        <w:t xml:space="preserve">En lo que respecta a la </w:t>
      </w:r>
      <w:r w:rsidRPr="004C544B">
        <w:rPr>
          <w:rFonts w:ascii="Verdana" w:eastAsia="Calibri" w:hAnsi="Verdana" w:cs="Arial"/>
          <w:bCs/>
          <w:i/>
          <w:iCs/>
          <w:color w:val="000000" w:themeColor="text1"/>
        </w:rPr>
        <w:t>faceta negativa</w:t>
      </w:r>
      <w:r w:rsidRPr="004C544B">
        <w:rPr>
          <w:rFonts w:ascii="Verdana" w:eastAsia="Calibri" w:hAnsi="Verdana" w:cs="Arial"/>
          <w:bCs/>
          <w:color w:val="000000" w:themeColor="text1"/>
        </w:rPr>
        <w:t>, el artículo 41 del Estatuto General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previsto en el artículo 1501 del Código Civil– es de aquellos “[…] que no siendo esenciales en él, se entienden pertenecerle, sin necesidad de una cláusula especial […]”</w:t>
      </w:r>
      <w:r w:rsidRPr="004C544B">
        <w:rPr>
          <w:rStyle w:val="Refdenotaalpie"/>
          <w:rFonts w:ascii="Verdana" w:eastAsia="Calibri" w:hAnsi="Verdana" w:cs="Arial"/>
          <w:bCs/>
          <w:color w:val="000000" w:themeColor="text1"/>
        </w:rPr>
        <w:footnoteReference w:id="10"/>
      </w:r>
      <w:r w:rsidRPr="004C544B">
        <w:rPr>
          <w:rFonts w:ascii="Verdana" w:eastAsia="Calibri" w:hAnsi="Verdana" w:cs="Arial"/>
          <w:bCs/>
          <w:color w:val="000000" w:themeColor="text1"/>
        </w:rPr>
        <w:t xml:space="preserve">.  </w:t>
      </w:r>
    </w:p>
    <w:p w14:paraId="28BE6A57" w14:textId="77777777" w:rsidR="0023297C" w:rsidRPr="004C544B" w:rsidRDefault="0023297C" w:rsidP="0023297C">
      <w:pPr>
        <w:spacing w:after="0" w:line="276" w:lineRule="auto"/>
        <w:ind w:firstLine="708"/>
        <w:jc w:val="both"/>
        <w:rPr>
          <w:rFonts w:ascii="Verdana" w:eastAsia="Calibri" w:hAnsi="Verdana" w:cs="Arial"/>
          <w:bCs/>
          <w:color w:val="000000" w:themeColor="text1"/>
        </w:rPr>
      </w:pPr>
      <w:r w:rsidRPr="004C544B">
        <w:rPr>
          <w:rFonts w:ascii="Verdana" w:eastAsia="Calibri" w:hAnsi="Verdana" w:cs="Arial"/>
          <w:bCs/>
          <w:color w:val="000000" w:themeColor="text1"/>
        </w:rPr>
        <w:lastRenderedPageBreak/>
        <w:t xml:space="preserve">En su </w:t>
      </w:r>
      <w:r w:rsidRPr="004C544B">
        <w:rPr>
          <w:rFonts w:ascii="Verdana" w:eastAsia="Calibri" w:hAnsi="Verdana" w:cs="Arial"/>
          <w:bCs/>
          <w:i/>
          <w:iCs/>
          <w:color w:val="000000" w:themeColor="text1"/>
        </w:rPr>
        <w:t>faceta positiva</w:t>
      </w:r>
      <w:r w:rsidRPr="004C544B">
        <w:rPr>
          <w:rFonts w:ascii="Verdana" w:eastAsia="Calibri" w:hAnsi="Verdana" w:cs="Arial"/>
          <w:bCs/>
          <w:color w:val="000000" w:themeColor="text1"/>
        </w:rPr>
        <w:t xml:space="preserve">, la Ley 80 de 1993 permite excepcionalmente la cesión del contrato estatal siempre que exista autorización previa escrita de la entidad contratante. Por ello, “[…] El cocontratante que </w:t>
      </w:r>
      <w:r w:rsidRPr="00DE5DE4">
        <w:rPr>
          <w:rFonts w:ascii="Verdana" w:eastAsia="Calibri" w:hAnsi="Verdana" w:cs="Arial"/>
          <w:bCs/>
          <w:color w:val="000000" w:themeColor="text1"/>
          <w:sz w:val="24"/>
          <w:szCs w:val="24"/>
        </w:rPr>
        <w:t>‘</w:t>
      </w:r>
      <w:r w:rsidRPr="004C544B">
        <w:rPr>
          <w:rFonts w:ascii="Verdana" w:eastAsia="Calibri" w:hAnsi="Verdana" w:cs="Arial"/>
          <w:bCs/>
          <w:i/>
          <w:iCs/>
          <w:color w:val="000000" w:themeColor="text1"/>
        </w:rPr>
        <w:t>ceda</w:t>
      </w:r>
      <w:r w:rsidRPr="00DE5DE4">
        <w:rPr>
          <w:rFonts w:ascii="Verdana" w:eastAsia="Calibri" w:hAnsi="Verdana" w:cs="Arial"/>
          <w:bCs/>
          <w:color w:val="000000" w:themeColor="text1"/>
        </w:rPr>
        <w:t>’</w:t>
      </w:r>
      <w:r w:rsidRPr="004C544B">
        <w:rPr>
          <w:rFonts w:ascii="Verdana" w:eastAsia="Calibri" w:hAnsi="Verdana" w:cs="Arial"/>
          <w:bCs/>
          <w:color w:val="000000" w:themeColor="text1"/>
        </w:rPr>
        <w:t xml:space="preserve"> el contrato sin estar autorizado para ello incurre en grave responsabilidad: su actitud implica </w:t>
      </w:r>
      <w:r>
        <w:rPr>
          <w:rFonts w:ascii="Verdana" w:eastAsia="Calibri" w:hAnsi="Verdana" w:cs="Arial"/>
          <w:bCs/>
          <w:color w:val="000000" w:themeColor="text1"/>
        </w:rPr>
        <w:t>‘</w:t>
      </w:r>
      <w:r w:rsidRPr="004C544B">
        <w:rPr>
          <w:rFonts w:ascii="Verdana" w:eastAsia="Calibri" w:hAnsi="Verdana" w:cs="Arial"/>
          <w:bCs/>
          <w:i/>
          <w:iCs/>
          <w:color w:val="000000" w:themeColor="text1"/>
        </w:rPr>
        <w:t>incumplimiento</w:t>
      </w:r>
      <w:r>
        <w:rPr>
          <w:rFonts w:ascii="Verdana" w:eastAsia="Calibri" w:hAnsi="Verdana" w:cs="Arial"/>
          <w:bCs/>
          <w:color w:val="000000" w:themeColor="text1"/>
        </w:rPr>
        <w:t>’</w:t>
      </w:r>
      <w:r w:rsidRPr="004C544B">
        <w:rPr>
          <w:rFonts w:ascii="Verdana" w:eastAsia="Calibri" w:hAnsi="Verdana" w:cs="Arial"/>
          <w:bCs/>
          <w:color w:val="000000" w:themeColor="text1"/>
        </w:rPr>
        <w:t xml:space="preserve"> del contrato; de ahí que esa cesión ilícita no resulte oponible a la Administración Pública […]”</w:t>
      </w:r>
      <w:r w:rsidRPr="004C544B">
        <w:rPr>
          <w:rStyle w:val="Refdenotaalpie"/>
          <w:rFonts w:ascii="Verdana" w:eastAsia="Calibri" w:hAnsi="Verdana" w:cs="Arial"/>
          <w:bCs/>
          <w:color w:val="000000" w:themeColor="text1"/>
        </w:rPr>
        <w:footnoteReference w:id="11"/>
      </w:r>
      <w:r w:rsidRPr="004C544B">
        <w:rPr>
          <w:rFonts w:ascii="Verdana" w:eastAsia="Calibri" w:hAnsi="Verdana" w:cs="Arial"/>
          <w:bCs/>
          <w:color w:val="000000" w:themeColor="text1"/>
        </w:rPr>
        <w:t xml:space="preserve">.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 </w:t>
      </w:r>
      <w:r w:rsidRPr="004C544B">
        <w:rPr>
          <w:rFonts w:ascii="Verdana" w:eastAsia="Calibri" w:hAnsi="Verdana" w:cs="Arial"/>
          <w:color w:val="000000" w:themeColor="text1"/>
        </w:rPr>
        <w:t>En relación con lo anterior la doctrina define la cesión en los contratos estatales de la siguiente manera:</w:t>
      </w:r>
    </w:p>
    <w:p w14:paraId="2C02515E" w14:textId="77777777" w:rsidR="0023297C" w:rsidRPr="004C544B" w:rsidRDefault="0023297C" w:rsidP="0023297C">
      <w:pPr>
        <w:spacing w:after="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 </w:t>
      </w:r>
    </w:p>
    <w:p w14:paraId="6FF83ABE" w14:textId="77777777" w:rsidR="0023297C" w:rsidRPr="004C4E62" w:rsidRDefault="0023297C" w:rsidP="0023297C">
      <w:pPr>
        <w:spacing w:after="0" w:line="240" w:lineRule="auto"/>
        <w:ind w:left="709" w:right="709"/>
        <w:jc w:val="both"/>
        <w:rPr>
          <w:rFonts w:ascii="Verdana" w:eastAsia="Calibri" w:hAnsi="Verdana" w:cs="Arial"/>
          <w:color w:val="000000" w:themeColor="text1"/>
          <w:sz w:val="20"/>
          <w:szCs w:val="20"/>
        </w:rPr>
      </w:pPr>
      <w:r w:rsidRPr="004C4E62">
        <w:rPr>
          <w:rFonts w:ascii="Verdana" w:eastAsia="Calibri" w:hAnsi="Verdana" w:cs="Arial"/>
          <w:color w:val="000000" w:themeColor="text1"/>
          <w:sz w:val="20"/>
          <w:szCs w:val="20"/>
        </w:rPr>
        <w:t xml:space="preserve">“La cesión en la contratación estatal supone, previa autorización de la entidad contratante, la sustitución </w:t>
      </w:r>
      <w:r w:rsidRPr="004C4E62">
        <w:rPr>
          <w:rFonts w:ascii="Verdana" w:eastAsia="Calibri" w:hAnsi="Verdana" w:cs="Arial"/>
          <w:i/>
          <w:iCs/>
          <w:color w:val="000000" w:themeColor="text1"/>
          <w:sz w:val="20"/>
          <w:szCs w:val="20"/>
        </w:rPr>
        <w:t>in genere</w:t>
      </w:r>
      <w:r w:rsidRPr="004C4E62">
        <w:rPr>
          <w:rFonts w:ascii="Verdana" w:eastAsia="Calibri" w:hAnsi="Verdana" w:cs="Arial"/>
          <w:color w:val="000000" w:themeColor="text1"/>
          <w:sz w:val="20"/>
          <w:szCs w:val="20"/>
        </w:rPr>
        <w:t>,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contractual originaria, sin que sea precisa la transferencia individual de cuantos derechos y obligaciones conforman la universalidad jurídica a ceder […]”</w:t>
      </w:r>
      <w:r w:rsidRPr="004C4E62">
        <w:rPr>
          <w:rStyle w:val="Refdenotaalpie"/>
          <w:rFonts w:ascii="Verdana" w:hAnsi="Verdana" w:cs="Arial"/>
          <w:color w:val="000000" w:themeColor="text1"/>
          <w:sz w:val="20"/>
          <w:szCs w:val="20"/>
        </w:rPr>
        <w:footnoteReference w:id="12"/>
      </w:r>
      <w:r w:rsidRPr="004C4E62">
        <w:rPr>
          <w:rFonts w:ascii="Verdana" w:eastAsia="Calibri" w:hAnsi="Verdana" w:cs="Arial"/>
          <w:color w:val="000000" w:themeColor="text1"/>
          <w:sz w:val="20"/>
          <w:szCs w:val="20"/>
        </w:rPr>
        <w:t>.</w:t>
      </w:r>
    </w:p>
    <w:p w14:paraId="20F282B0" w14:textId="77777777" w:rsidR="0023297C" w:rsidRPr="004C544B" w:rsidRDefault="0023297C" w:rsidP="0023297C">
      <w:pPr>
        <w:spacing w:after="0" w:line="276" w:lineRule="auto"/>
        <w:jc w:val="both"/>
        <w:rPr>
          <w:rFonts w:ascii="Verdana" w:eastAsia="Calibri" w:hAnsi="Verdana" w:cs="Arial"/>
          <w:color w:val="000000" w:themeColor="text1"/>
        </w:rPr>
      </w:pPr>
    </w:p>
    <w:p w14:paraId="128C5090" w14:textId="77777777" w:rsidR="0023297C" w:rsidRPr="004C544B" w:rsidRDefault="0023297C" w:rsidP="0023297C">
      <w:pPr>
        <w:spacing w:after="120" w:line="276" w:lineRule="auto"/>
        <w:ind w:firstLine="709"/>
        <w:jc w:val="both"/>
        <w:rPr>
          <w:rFonts w:ascii="Verdana" w:eastAsia="Calibri" w:hAnsi="Verdana" w:cs="Arial"/>
          <w:bCs/>
          <w:color w:val="000000" w:themeColor="text1"/>
        </w:rPr>
      </w:pPr>
      <w:r w:rsidRPr="004C544B">
        <w:rPr>
          <w:rFonts w:ascii="Verdana" w:eastAsia="Calibri" w:hAnsi="Verdana" w:cs="Arial"/>
          <w:bCs/>
          <w:color w:val="000000" w:themeColor="text1"/>
        </w:rP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w:t>
      </w:r>
      <w:r w:rsidRPr="004C544B">
        <w:rPr>
          <w:rFonts w:ascii="Verdana" w:hAnsi="Verdana"/>
        </w:rPr>
        <w:t xml:space="preserve"> </w:t>
      </w:r>
      <w:r w:rsidRPr="004C544B">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4C544B">
        <w:rPr>
          <w:rFonts w:ascii="Verdana" w:eastAsia="Calibri" w:hAnsi="Verdana" w:cs="Arial"/>
          <w:color w:val="000000" w:themeColor="text1"/>
        </w:rPr>
        <w:t xml:space="preserve">. </w:t>
      </w:r>
    </w:p>
    <w:p w14:paraId="2BFB67C0" w14:textId="77777777" w:rsidR="0023297C" w:rsidRPr="004C544B" w:rsidRDefault="0023297C" w:rsidP="0023297C">
      <w:pPr>
        <w:tabs>
          <w:tab w:val="left" w:pos="709"/>
        </w:tabs>
        <w:spacing w:after="120" w:line="276" w:lineRule="auto"/>
        <w:jc w:val="both"/>
        <w:rPr>
          <w:rFonts w:ascii="Verdana" w:eastAsia="Calibri" w:hAnsi="Verdana" w:cs="Arial"/>
          <w:color w:val="000000" w:themeColor="text1"/>
        </w:rPr>
      </w:pPr>
      <w:bookmarkStart w:id="3" w:name="_Hlk80369799"/>
      <w:r w:rsidRPr="004C544B">
        <w:rPr>
          <w:rFonts w:ascii="Verdana" w:eastAsia="Calibri" w:hAnsi="Verdana" w:cs="Arial"/>
          <w:color w:val="000000" w:themeColor="text1"/>
        </w:rPr>
        <w:tab/>
        <w:t xml:space="preserve">Por lo demás, el Consejo de Estado ha precisado como requisitos de la cesión del contrato estatal los siguientes: i) debe recaer en un tercero; </w:t>
      </w:r>
      <w:proofErr w:type="spellStart"/>
      <w:r w:rsidRPr="004C544B">
        <w:rPr>
          <w:rFonts w:ascii="Verdana" w:eastAsia="Calibri" w:hAnsi="Verdana" w:cs="Arial"/>
          <w:color w:val="000000" w:themeColor="text1"/>
        </w:rPr>
        <w:t>ii</w:t>
      </w:r>
      <w:proofErr w:type="spellEnd"/>
      <w:r w:rsidRPr="004C544B">
        <w:rPr>
          <w:rFonts w:ascii="Verdana" w:eastAsia="Calibri" w:hAnsi="Verdana" w:cs="Arial"/>
          <w:color w:val="000000" w:themeColor="text1"/>
        </w:rPr>
        <w:t xml:space="preserve">) el </w:t>
      </w:r>
      <w:r w:rsidRPr="004C544B">
        <w:rPr>
          <w:rFonts w:ascii="Verdana" w:eastAsia="Calibri" w:hAnsi="Verdana" w:cs="Arial"/>
          <w:color w:val="000000" w:themeColor="text1"/>
        </w:rPr>
        <w:lastRenderedPageBreak/>
        <w:t xml:space="preserve">cesionario debe tener capacidad jurídica para continuar con la ejecución del objeto contractual y no estar incurso en causales de inhabilidad e incompatibilidad para contratar; y </w:t>
      </w:r>
      <w:proofErr w:type="spellStart"/>
      <w:r w:rsidRPr="004C544B">
        <w:rPr>
          <w:rFonts w:ascii="Verdana" w:eastAsia="Calibri" w:hAnsi="Verdana" w:cs="Arial"/>
          <w:color w:val="000000" w:themeColor="text1"/>
        </w:rPr>
        <w:t>iii</w:t>
      </w:r>
      <w:proofErr w:type="spellEnd"/>
      <w:r w:rsidRPr="004C544B">
        <w:rPr>
          <w:rFonts w:ascii="Verdana" w:eastAsia="Calibri" w:hAnsi="Verdana" w:cs="Arial"/>
          <w:color w:val="000000" w:themeColor="text1"/>
        </w:rPr>
        <w:t>)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bookmarkStart w:id="4" w:name="_Hlk80369829"/>
      <w:bookmarkEnd w:id="3"/>
      <w:r w:rsidRPr="004C544B">
        <w:rPr>
          <w:rFonts w:ascii="Verdana" w:eastAsia="Calibri" w:hAnsi="Verdana" w:cs="Arial"/>
          <w:color w:val="000000" w:themeColor="text1"/>
        </w:rPr>
        <w:t>,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4"/>
      <w:r w:rsidRPr="004C544B">
        <w:rPr>
          <w:rFonts w:ascii="Verdana" w:eastAsia="Calibri" w:hAnsi="Verdana" w:cs="Arial"/>
          <w:color w:val="000000" w:themeColor="text1"/>
        </w:rPr>
        <w:t>”</w:t>
      </w:r>
      <w:r w:rsidRPr="004C544B">
        <w:rPr>
          <w:rStyle w:val="Refdenotaalpie"/>
          <w:rFonts w:ascii="Verdana" w:eastAsia="Calibri" w:hAnsi="Verdana" w:cs="Arial"/>
          <w:color w:val="000000" w:themeColor="text1"/>
        </w:rPr>
        <w:footnoteReference w:id="13"/>
      </w:r>
      <w:r w:rsidRPr="004C544B">
        <w:rPr>
          <w:rFonts w:ascii="Verdana" w:eastAsia="Calibri" w:hAnsi="Verdana" w:cs="Arial"/>
          <w:color w:val="000000" w:themeColor="text1"/>
        </w:rPr>
        <w:t>.</w:t>
      </w:r>
    </w:p>
    <w:p w14:paraId="66C7F682" w14:textId="77777777" w:rsidR="0023297C" w:rsidRPr="004C544B" w:rsidRDefault="0023297C" w:rsidP="0023297C">
      <w:pPr>
        <w:tabs>
          <w:tab w:val="left" w:pos="709"/>
        </w:tabs>
        <w:spacing w:after="120" w:line="276" w:lineRule="auto"/>
        <w:ind w:firstLine="709"/>
        <w:jc w:val="both"/>
        <w:rPr>
          <w:rFonts w:ascii="Verdana" w:eastAsia="Calibri" w:hAnsi="Verdana" w:cs="Arial"/>
          <w:color w:val="000000" w:themeColor="text1"/>
        </w:rPr>
      </w:pPr>
      <w:bookmarkStart w:id="5" w:name="_Hlk80369857"/>
      <w:r w:rsidRPr="004C544B">
        <w:rPr>
          <w:rFonts w:ascii="Verdana" w:eastAsia="Calibri" w:hAnsi="Verdana" w:cs="Arial"/>
          <w:color w:val="000000" w:themeColor="text1"/>
        </w:rPr>
        <w:t>Por lo tanto, la entidad estatal en el trámite de autorización de una cesión de posición contractual está obligada a respetar y dar cabal cumplimiento a los principios y normas rectoras de la contratación pública que resulten aplicables al proceso de contratación, entre otros, los principios de transparencia, selección objetiva e igualdad. En otros términos, so pretexto de una cesión contractual, no pueden vulnerarse las reglas y principios de la contratación estatal.</w:t>
      </w:r>
    </w:p>
    <w:bookmarkEnd w:id="5"/>
    <w:p w14:paraId="2048B730" w14:textId="77777777" w:rsidR="0023297C" w:rsidRDefault="0023297C" w:rsidP="0023297C">
      <w:pPr>
        <w:tabs>
          <w:tab w:val="left" w:pos="709"/>
        </w:tabs>
        <w:spacing w:after="120" w:line="276" w:lineRule="auto"/>
        <w:ind w:firstLine="709"/>
        <w:jc w:val="both"/>
        <w:rPr>
          <w:rFonts w:ascii="Verdana" w:eastAsia="Calibri" w:hAnsi="Verdana" w:cs="Arial"/>
          <w:color w:val="000000" w:themeColor="text1"/>
        </w:rPr>
      </w:pPr>
      <w:r w:rsidRPr="004C544B">
        <w:rPr>
          <w:rFonts w:ascii="Verdana" w:eastAsia="Calibri" w:hAnsi="Verdana" w:cs="Arial"/>
          <w:color w:val="000000" w:themeColor="text1"/>
        </w:rPr>
        <w:t>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w:t>
      </w:r>
      <w:bookmarkStart w:id="6" w:name="_Hlk79797430"/>
    </w:p>
    <w:p w14:paraId="20A87DBD" w14:textId="77777777" w:rsidR="0023297C" w:rsidRDefault="0023297C" w:rsidP="0023297C">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El cesionario al asumir la posición del cedente es un contratista del Estado; razón por la cual, conforme al artículo 7 de la Ley 1150 de 2007 y el artículo 41 </w:t>
      </w:r>
      <w:r>
        <w:rPr>
          <w:rFonts w:ascii="Verdana" w:eastAsia="Calibri" w:hAnsi="Verdana" w:cs="Arial"/>
          <w:color w:val="000000" w:themeColor="text1"/>
        </w:rPr>
        <w:lastRenderedPageBreak/>
        <w:t>de la Ley 80 de 1993, está obligado a asegurar la debida ejecución del objeto a través de la garantía única de cumplimiento, la cual está sujeta la debida aprobación de la entidad contratante. Sin perjuicio de lo indicado en el reglamento, la cobertura depende de lo que establezca el contrato de cesión, especialmente, en lo relacionado con el pacto expreso de solidaridad derivada de los incumplimientos imputables a las partes de dicho negocio jurídico. No en vano, en torno a las relaciones entre el cedente y el cesionario, la doctrina explica que:</w:t>
      </w:r>
    </w:p>
    <w:p w14:paraId="7AEC7234" w14:textId="77777777" w:rsidR="0023297C" w:rsidRDefault="0023297C" w:rsidP="0023297C">
      <w:pPr>
        <w:spacing w:after="0" w:line="276" w:lineRule="auto"/>
        <w:ind w:right="51" w:firstLine="709"/>
        <w:jc w:val="both"/>
        <w:rPr>
          <w:rFonts w:ascii="Verdana" w:eastAsia="Calibri" w:hAnsi="Verdana" w:cs="Arial"/>
          <w:color w:val="000000" w:themeColor="text1"/>
        </w:rPr>
      </w:pPr>
    </w:p>
    <w:p w14:paraId="5BE63E15" w14:textId="77777777" w:rsidR="0023297C" w:rsidRPr="00D30DF3" w:rsidRDefault="0023297C" w:rsidP="0023297C">
      <w:pPr>
        <w:spacing w:line="240" w:lineRule="auto"/>
        <w:ind w:left="709" w:right="709"/>
        <w:jc w:val="both"/>
        <w:rPr>
          <w:rFonts w:ascii="Verdana" w:eastAsia="Calibri" w:hAnsi="Verdana" w:cs="Arial"/>
          <w:color w:val="000000" w:themeColor="text1"/>
          <w:sz w:val="20"/>
          <w:szCs w:val="20"/>
        </w:rPr>
      </w:pPr>
      <w:r w:rsidRPr="00D30DF3">
        <w:rPr>
          <w:rFonts w:ascii="Verdana" w:eastAsia="Calibri" w:hAnsi="Verdana" w:cs="Arial"/>
          <w:color w:val="000000" w:themeColor="text1"/>
          <w:sz w:val="20"/>
          <w:szCs w:val="20"/>
        </w:rPr>
        <w:t>“Como regla general y cláusula natural del contrato de cesión, en los términos del Artículo 887 del Código de Comercio, su perfeccionamiento supone la sustitución total, por parte del cesionario, en los derechos y obligaciones derivados del contrato que se encontraban radicadas en el cedente; ello implica, como regla general, la irresponsabilidad del cedente respecto a los posibles incumplimientos en que hubiese incurrido durante la ejecución, previo al perfeccionamiento del acuerdo de cesión […]</w:t>
      </w:r>
    </w:p>
    <w:p w14:paraId="2AE89BF3" w14:textId="77777777" w:rsidR="0023297C" w:rsidRPr="00D30DF3" w:rsidRDefault="0023297C" w:rsidP="0023297C">
      <w:pPr>
        <w:spacing w:after="0" w:line="240" w:lineRule="auto"/>
        <w:ind w:left="709" w:right="709"/>
        <w:jc w:val="both"/>
        <w:rPr>
          <w:rFonts w:ascii="Verdana" w:eastAsia="Calibri" w:hAnsi="Verdana" w:cs="Arial"/>
          <w:color w:val="000000" w:themeColor="text1"/>
          <w:sz w:val="20"/>
          <w:szCs w:val="20"/>
        </w:rPr>
      </w:pPr>
      <w:r w:rsidRPr="00D30DF3">
        <w:rPr>
          <w:rFonts w:ascii="Verdana" w:eastAsia="Calibri" w:hAnsi="Verdana" w:cs="Arial"/>
          <w:color w:val="000000" w:themeColor="text1"/>
          <w:sz w:val="20"/>
          <w:szCs w:val="20"/>
        </w:rPr>
        <w:t>Excepcionalmente y, por tanto, solo en caso de pacto expreso, las partes (cedente y cesionario) pueden regular libremente la responsabilidad anterior y futura, derivada del contrato estatal cedido. Ambas pueden acordar, sin sujeción a norma alguna, que la responsabilidad contractual originada en situaciones anteriores a la celebración del contrato de cesión corra por cuenta del cedente y, por ejemplo, que sea este quien se haga parte en los pleitos judiciales o administrativos que surjan. En todo caso, este acuerdo, como se indicó en los numerales precedentes, debe estar sujeto a la ‘autorización’ de la entidad estatal cedida, que bien puede, para conservar una posición de supremacía respecto del negocio de cesión y la ejecución del contrato estatal, supeditar la validez del acuerdo de cesión a la existencia de solidaridad convencional entre las partes cedente y cesionaria, respecto a la responsabilidad por la ejecución previa y posterior del contrato”</w:t>
      </w:r>
      <w:r w:rsidRPr="00D30DF3">
        <w:rPr>
          <w:rStyle w:val="Refdenotaalpie"/>
          <w:rFonts w:ascii="Verdana" w:eastAsia="Calibri" w:hAnsi="Verdana" w:cs="Arial"/>
          <w:color w:val="000000" w:themeColor="text1"/>
          <w:sz w:val="20"/>
          <w:szCs w:val="20"/>
        </w:rPr>
        <w:footnoteReference w:id="14"/>
      </w:r>
      <w:r w:rsidRPr="00D30DF3">
        <w:rPr>
          <w:rFonts w:ascii="Verdana" w:eastAsia="Calibri" w:hAnsi="Verdana" w:cs="Arial"/>
          <w:color w:val="000000" w:themeColor="text1"/>
          <w:sz w:val="20"/>
          <w:szCs w:val="20"/>
        </w:rPr>
        <w:t xml:space="preserve">. </w:t>
      </w:r>
    </w:p>
    <w:p w14:paraId="38B37778" w14:textId="77777777" w:rsidR="0023297C" w:rsidRDefault="0023297C" w:rsidP="0023297C">
      <w:pPr>
        <w:spacing w:after="0" w:line="276" w:lineRule="auto"/>
        <w:ind w:left="709" w:right="709"/>
        <w:jc w:val="both"/>
        <w:rPr>
          <w:rFonts w:ascii="Verdana" w:eastAsia="Calibri" w:hAnsi="Verdana" w:cs="Arial"/>
          <w:color w:val="000000" w:themeColor="text1"/>
        </w:rPr>
      </w:pPr>
    </w:p>
    <w:p w14:paraId="57FB074A" w14:textId="77777777" w:rsidR="0023297C" w:rsidRDefault="0023297C" w:rsidP="0023297C">
      <w:pPr>
        <w:spacing w:line="276" w:lineRule="auto"/>
        <w:jc w:val="both"/>
        <w:rPr>
          <w:rFonts w:ascii="Verdana" w:hAnsi="Verdana" w:cs="Arial"/>
          <w:color w:val="000000" w:themeColor="text1"/>
        </w:rPr>
      </w:pPr>
      <w:r>
        <w:rPr>
          <w:rFonts w:ascii="Verdana" w:eastAsia="Calibri" w:hAnsi="Verdana" w:cs="Arial"/>
          <w:color w:val="000000" w:themeColor="text1"/>
        </w:rPr>
        <w:tab/>
      </w:r>
      <w:r>
        <w:rPr>
          <w:rFonts w:ascii="Verdana" w:hAnsi="Verdana" w:cs="Arial"/>
          <w:color w:val="000000" w:themeColor="text1"/>
        </w:rPr>
        <w:t xml:space="preserve">En el aspecto pasivo, las obligaciones son solidarias cuando “[…] </w:t>
      </w:r>
      <w:r w:rsidRPr="00EA1B06">
        <w:rPr>
          <w:rFonts w:ascii="Verdana" w:hAnsi="Verdana" w:cs="Arial"/>
          <w:color w:val="000000" w:themeColor="text1"/>
        </w:rPr>
        <w:t>existiendo varios deudores de un mismo objeto</w:t>
      </w:r>
      <w:r>
        <w:rPr>
          <w:rFonts w:ascii="Verdana" w:hAnsi="Verdana" w:cs="Arial"/>
          <w:color w:val="000000" w:themeColor="text1"/>
        </w:rPr>
        <w:t xml:space="preserve"> </w:t>
      </w:r>
      <w:r w:rsidRPr="00EA1B06">
        <w:rPr>
          <w:rFonts w:ascii="Verdana" w:hAnsi="Verdana" w:cs="Arial"/>
          <w:color w:val="000000" w:themeColor="text1"/>
        </w:rPr>
        <w:t>divisible, el acreedor puede exigir, por el ministerio de la ley o por la</w:t>
      </w:r>
      <w:r>
        <w:rPr>
          <w:rFonts w:ascii="Verdana" w:hAnsi="Verdana" w:cs="Arial"/>
          <w:color w:val="000000" w:themeColor="text1"/>
        </w:rPr>
        <w:t xml:space="preserve"> </w:t>
      </w:r>
      <w:r w:rsidRPr="00EA1B06">
        <w:rPr>
          <w:rFonts w:ascii="Verdana" w:hAnsi="Verdana" w:cs="Arial"/>
          <w:color w:val="000000" w:themeColor="text1"/>
        </w:rPr>
        <w:t>convención, el total a cada uno de ellos, y el pago que haga cualquiera de los deudores extingue la obligación respecto de todos</w:t>
      </w:r>
      <w:r>
        <w:rPr>
          <w:rFonts w:ascii="Verdana" w:hAnsi="Verdana" w:cs="Arial"/>
          <w:color w:val="000000" w:themeColor="text1"/>
        </w:rPr>
        <w:t>”</w:t>
      </w:r>
      <w:r>
        <w:rPr>
          <w:rStyle w:val="Refdenotaalpie"/>
          <w:rFonts w:ascii="Verdana" w:hAnsi="Verdana" w:cs="Arial"/>
          <w:color w:val="000000" w:themeColor="text1"/>
        </w:rPr>
        <w:footnoteReference w:id="15"/>
      </w:r>
      <w:r w:rsidRPr="00EA1B06">
        <w:rPr>
          <w:rFonts w:ascii="Verdana" w:hAnsi="Verdana" w:cs="Arial"/>
          <w:color w:val="000000" w:themeColor="text1"/>
        </w:rPr>
        <w:t>.</w:t>
      </w:r>
      <w:r>
        <w:rPr>
          <w:rFonts w:ascii="Verdana" w:hAnsi="Verdana" w:cs="Arial"/>
          <w:color w:val="000000" w:themeColor="text1"/>
        </w:rPr>
        <w:t xml:space="preserve"> Esto significa que la entidad contratante puede exigir al cedente o al cesionario las sanciones pecuniarias que se originen en la declaratoria de incumplimiento.</w:t>
      </w:r>
    </w:p>
    <w:p w14:paraId="545393C6" w14:textId="77777777" w:rsidR="0023297C" w:rsidRDefault="0023297C" w:rsidP="0023297C">
      <w:pPr>
        <w:spacing w:line="276" w:lineRule="auto"/>
        <w:jc w:val="both"/>
        <w:rPr>
          <w:rFonts w:ascii="Verdana" w:hAnsi="Verdana" w:cs="Arial"/>
          <w:color w:val="000000" w:themeColor="text1"/>
        </w:rPr>
      </w:pPr>
      <w:r>
        <w:rPr>
          <w:rFonts w:ascii="Verdana" w:hAnsi="Verdana" w:cs="Arial"/>
          <w:color w:val="000000" w:themeColor="text1"/>
        </w:rPr>
        <w:lastRenderedPageBreak/>
        <w:tab/>
        <w:t xml:space="preserve">En este caso, la entidad puede sujetar la autorización previa a que el cesionario ampare la totalidad del contrato, incluyendo las obligaciones previas a la cesión. Por el contrario, si no se pacta la solidaridad, el cesionario garantizará como mínimo el saldo que resta por ejecutar a partir de la cesión. En ambas hipótesis, las garantías del cedente continúan vigor o bien para el garante responda por las obligaciones que el tomador ha asumido del forma solidaria con el cesionario o para cubrir los siniestros derivados del incumplimiento antes de ceder la posición contractual. </w:t>
      </w:r>
    </w:p>
    <w:p w14:paraId="2558F05E" w14:textId="77777777" w:rsidR="0023297C" w:rsidRPr="00B201E4" w:rsidRDefault="0023297C" w:rsidP="0023297C">
      <w:pPr>
        <w:spacing w:line="276" w:lineRule="auto"/>
        <w:jc w:val="both"/>
        <w:rPr>
          <w:rFonts w:ascii="Verdana" w:eastAsia="Calibri" w:hAnsi="Verdana" w:cs="Arial"/>
          <w:color w:val="000000" w:themeColor="text1"/>
        </w:rPr>
      </w:pPr>
      <w:r>
        <w:rPr>
          <w:rFonts w:ascii="Verdana" w:hAnsi="Verdana" w:cs="Arial"/>
          <w:color w:val="000000" w:themeColor="text1"/>
        </w:rPr>
        <w:tab/>
        <w:t xml:space="preserve">Tratándose de las garantías que se suscriben a través de pólizas de seguro, es necesario tener en cuenta que solo son partes el tomador y la aseguradora. En el marco del artículo 1037 del Código de Comercio, la jurisprudencia explica que “[…] </w:t>
      </w:r>
      <w:r w:rsidRPr="00B532CA">
        <w:rPr>
          <w:rFonts w:ascii="Verdana" w:hAnsi="Verdana" w:cs="Arial"/>
          <w:color w:val="000000" w:themeColor="text1"/>
        </w:rPr>
        <w:t>el hecho de que la entidad pública asegurada y destinataria de la indemnización, en caso de configurarse el siniestro, se constituya en acreedora de la aseguradora que asumió el riesgo, no le da el carácter de parte del contrato de seguro, pues</w:t>
      </w:r>
      <w:r>
        <w:rPr>
          <w:rFonts w:ascii="Verdana" w:hAnsi="Verdana" w:cs="Arial"/>
          <w:color w:val="000000" w:themeColor="text1"/>
        </w:rPr>
        <w:t xml:space="preserve"> […]</w:t>
      </w:r>
      <w:r w:rsidRPr="00B532CA">
        <w:rPr>
          <w:rFonts w:ascii="Verdana" w:hAnsi="Verdana" w:cs="Arial"/>
          <w:color w:val="000000" w:themeColor="text1"/>
        </w:rPr>
        <w:t xml:space="preserve"> no por ello ocupa la posición del tomador</w:t>
      </w:r>
      <w:r>
        <w:rPr>
          <w:rFonts w:ascii="Verdana" w:hAnsi="Verdana" w:cs="Arial"/>
          <w:color w:val="000000" w:themeColor="text1"/>
        </w:rPr>
        <w:t xml:space="preserve"> […]”</w:t>
      </w:r>
      <w:r>
        <w:rPr>
          <w:rStyle w:val="Refdenotaalpie"/>
          <w:rFonts w:ascii="Verdana" w:hAnsi="Verdana" w:cs="Arial"/>
          <w:color w:val="000000" w:themeColor="text1"/>
        </w:rPr>
        <w:footnoteReference w:id="16"/>
      </w:r>
      <w:r>
        <w:rPr>
          <w:rFonts w:ascii="Verdana" w:hAnsi="Verdana" w:cs="Arial"/>
          <w:color w:val="000000" w:themeColor="text1"/>
        </w:rPr>
        <w:t xml:space="preserve">. Luego, después de la aprobación de las garantías, la póliza </w:t>
      </w:r>
      <w:r w:rsidRPr="008E78E6">
        <w:rPr>
          <w:rFonts w:ascii="Verdana" w:hAnsi="Verdana" w:cs="Arial"/>
          <w:color w:val="000000" w:themeColor="text1"/>
        </w:rPr>
        <w:t>presentada por el contratista original</w:t>
      </w:r>
      <w:r>
        <w:rPr>
          <w:rFonts w:ascii="Verdana" w:hAnsi="Verdana" w:cs="Arial"/>
          <w:color w:val="000000" w:themeColor="text1"/>
        </w:rPr>
        <w:t xml:space="preserve"> no es objeto de algún trámite adicional por parte de la entidad contratante, pues el contrato de seguro es autónomo respecto al contrato estatal</w:t>
      </w:r>
      <w:r>
        <w:rPr>
          <w:rStyle w:val="Refdenotaalpie"/>
          <w:rFonts w:ascii="Verdana" w:hAnsi="Verdana" w:cs="Arial"/>
          <w:color w:val="000000" w:themeColor="text1"/>
        </w:rPr>
        <w:footnoteReference w:id="17"/>
      </w:r>
      <w:r>
        <w:rPr>
          <w:rFonts w:ascii="Verdana" w:hAnsi="Verdana" w:cs="Arial"/>
          <w:color w:val="000000" w:themeColor="text1"/>
        </w:rPr>
        <w:t xml:space="preserve">. Sin embargo, es necesario tener en cuenta las reglas que rigen la coexistencia de seguros conforme a los artículos 1092, 1093 y 1094 del Código de Comercio. </w:t>
      </w:r>
    </w:p>
    <w:p w14:paraId="600A0D07" w14:textId="77777777" w:rsidR="0023297C" w:rsidRPr="004C544B" w:rsidRDefault="0023297C" w:rsidP="0023297C">
      <w:pPr>
        <w:spacing w:line="276" w:lineRule="auto"/>
        <w:ind w:firstLine="709"/>
        <w:jc w:val="both"/>
        <w:rPr>
          <w:rFonts w:ascii="Verdana" w:eastAsia="Calibri" w:hAnsi="Verdana" w:cs="Arial"/>
          <w:color w:val="000000" w:themeColor="text1"/>
        </w:rPr>
      </w:pPr>
      <w:r w:rsidRPr="004C544B">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7" w:name="_Hlk79799730"/>
      <w:r w:rsidRPr="004C544B">
        <w:rPr>
          <w:rFonts w:ascii="Verdana" w:eastAsia="Calibri" w:hAnsi="Verdana" w:cs="Arial"/>
          <w:color w:val="000000" w:themeColor="text1"/>
        </w:rPr>
        <w:t xml:space="preserve">los artículos 887 a 896 </w:t>
      </w:r>
      <w:bookmarkEnd w:id="7"/>
      <w:r w:rsidRPr="004C544B">
        <w:rPr>
          <w:rFonts w:ascii="Verdana" w:eastAsia="Calibri" w:hAnsi="Verdana" w:cs="Arial"/>
          <w:color w:val="000000" w:themeColor="text1"/>
        </w:rPr>
        <w:t xml:space="preserve">del Código de Comercio definen la cesión del contrato. Por consiguiente, resultan aplicables las normas del derecho civil y comercial pertinentes, sobre cesión del crédito y cesión de contratos respectivamente, salvo en las materias </w:t>
      </w:r>
      <w:r w:rsidRPr="004C544B">
        <w:rPr>
          <w:rFonts w:ascii="Verdana" w:eastAsia="Calibri" w:hAnsi="Verdana" w:cs="Arial"/>
          <w:color w:val="000000" w:themeColor="text1"/>
        </w:rPr>
        <w:lastRenderedPageBreak/>
        <w:t>particularmente reguladas por el Estatuto General de Contratación de la Administración Pública, como lo señala el artículo 13 de la Ley 80 de 1993.</w:t>
      </w:r>
      <w:r w:rsidRPr="004C544B">
        <w:rPr>
          <w:rFonts w:ascii="Verdana" w:hAnsi="Verdana" w:cs="Arial"/>
          <w:color w:val="000000" w:themeColor="text1"/>
        </w:rPr>
        <w:t xml:space="preserve"> </w:t>
      </w:r>
    </w:p>
    <w:bookmarkEnd w:id="6"/>
    <w:p w14:paraId="7CA2BF4C" w14:textId="77777777" w:rsidR="0023297C" w:rsidRPr="00DE5DE4" w:rsidRDefault="0023297C" w:rsidP="0023297C">
      <w:pPr>
        <w:spacing w:after="120" w:line="276" w:lineRule="auto"/>
        <w:ind w:firstLine="708"/>
        <w:jc w:val="both"/>
        <w:rPr>
          <w:rFonts w:ascii="Verdana" w:eastAsia="Calibri" w:hAnsi="Verdana" w:cs="Arial"/>
          <w:color w:val="000000" w:themeColor="text1"/>
        </w:rPr>
      </w:pPr>
      <w:r w:rsidRPr="004C544B">
        <w:rPr>
          <w:rFonts w:ascii="Verdana" w:eastAsia="Calibri" w:hAnsi="Verdana" w:cs="Arial"/>
          <w:color w:val="000000" w:themeColor="text1"/>
        </w:rPr>
        <w:t xml:space="preserve">De conformidad con los requisitos y las restricciones explicadas </w:t>
      </w:r>
      <w:r w:rsidRPr="004C544B">
        <w:rPr>
          <w:rFonts w:ascii="Verdana" w:eastAsia="Calibri" w:hAnsi="Verdana" w:cs="Arial"/>
          <w:i/>
          <w:iCs/>
          <w:color w:val="000000" w:themeColor="text1"/>
        </w:rPr>
        <w:t>ut supra</w:t>
      </w:r>
      <w:r w:rsidRPr="004C544B">
        <w:rPr>
          <w:rFonts w:ascii="Verdana" w:eastAsia="Calibri" w:hAnsi="Verdana" w:cs="Arial"/>
          <w:color w:val="000000" w:themeColor="text1"/>
        </w:rPr>
        <w:t>, en los contratos estatales cuya ejecución aún no haya sido cumplida en todo o en parte, el contratista podrá hacerse sustituir por un tercero en la relación derivada del contrato, quien en adelante ocupará su posición jurídica.</w:t>
      </w:r>
      <w:r w:rsidRPr="004C544B">
        <w:rPr>
          <w:rFonts w:ascii="Verdana" w:hAnsi="Verdana" w:cs="Arial"/>
          <w:color w:val="000000" w:themeColor="text1"/>
        </w:rPr>
        <w:t xml:space="preserve"> Es una de las posibilidades en las cuales existe una modificación de uno de los extremos de la relación contractual, es decir de uno de los sujetos, siempre que sea autorizada previamente por la entidad cedida, en cuyo caso requiere la suscripción de un contrato entre el cedente y el cesionario, de manera que es de carácter bilateral en la medida en que es el resultado de un acuerdo voluntades. Con fundamento en el contrato de cesión, el cesionario reemplaza –en todo o en parte– al contratista cedente en la ejecución del contrato estatal, respondiendo por el cumplimiento de las obligaciones frente a la Administración.</w:t>
      </w:r>
    </w:p>
    <w:p w14:paraId="0A91CD2F" w14:textId="77777777" w:rsidR="0023297C" w:rsidRDefault="0023297C" w:rsidP="0023297C">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79403F" w14:textId="77777777" w:rsidR="0023297C" w:rsidRPr="00185EE9" w:rsidRDefault="0023297C" w:rsidP="0023297C">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4A25EE5" w14:textId="77777777" w:rsidR="0023297C" w:rsidRPr="00182C89" w:rsidRDefault="0023297C" w:rsidP="0023297C">
      <w:pPr>
        <w:tabs>
          <w:tab w:val="left" w:pos="709"/>
        </w:tabs>
        <w:spacing w:after="0" w:line="276" w:lineRule="auto"/>
        <w:jc w:val="both"/>
        <w:rPr>
          <w:rFonts w:ascii="Verdana" w:eastAsia="Calibri" w:hAnsi="Verdana" w:cs="Arial"/>
          <w:color w:val="000000" w:themeColor="text1"/>
        </w:rPr>
      </w:pPr>
    </w:p>
    <w:p w14:paraId="241F3EE6" w14:textId="77777777" w:rsidR="0023297C" w:rsidRPr="00593A5F" w:rsidRDefault="0023297C" w:rsidP="0023297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DBCD0E0" w14:textId="77777777" w:rsidR="0023297C" w:rsidRPr="00593A5F" w:rsidRDefault="0023297C" w:rsidP="0023297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3297C" w:rsidRPr="002407CE" w14:paraId="4442CCA6" w14:textId="77777777" w:rsidTr="00AC06F0">
        <w:trPr>
          <w:trHeight w:val="870"/>
          <w:jc w:val="center"/>
        </w:trPr>
        <w:tc>
          <w:tcPr>
            <w:tcW w:w="8647" w:type="dxa"/>
          </w:tcPr>
          <w:p w14:paraId="2FA5FA9E" w14:textId="77777777" w:rsidR="0023297C" w:rsidRDefault="0023297C" w:rsidP="00AC06F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80 de 1993, artículos 13, 32, 40 y 41.</w:t>
            </w:r>
          </w:p>
          <w:p w14:paraId="0D8C3FB1" w14:textId="77777777" w:rsidR="0023297C" w:rsidRPr="00185EE9" w:rsidRDefault="0023297C" w:rsidP="00AC06F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7.</w:t>
            </w:r>
          </w:p>
          <w:p w14:paraId="587416EE" w14:textId="77777777" w:rsidR="0023297C" w:rsidRPr="004923A3" w:rsidRDefault="0023297C" w:rsidP="00AC06F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1501, 1959 y ss</w:t>
            </w:r>
            <w:r w:rsidRPr="00185EE9">
              <w:rPr>
                <w:rFonts w:ascii="Verdana" w:hAnsi="Verdana" w:cs="Arial"/>
              </w:rPr>
              <w:t>.</w:t>
            </w:r>
          </w:p>
          <w:p w14:paraId="78A09A0D" w14:textId="77777777" w:rsidR="0023297C" w:rsidRPr="00DA543F" w:rsidRDefault="0023297C" w:rsidP="00AC06F0">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Código de Comercio, artículos 887 y </w:t>
            </w:r>
            <w:proofErr w:type="spellStart"/>
            <w:r>
              <w:rPr>
                <w:rFonts w:ascii="Verdana" w:hAnsi="Verdana" w:cs="Arial"/>
                <w:color w:val="000000" w:themeColor="text1"/>
                <w:lang w:val="es-ES_tradnl"/>
              </w:rPr>
              <w:t>ss</w:t>
            </w:r>
            <w:proofErr w:type="spellEnd"/>
            <w:r>
              <w:rPr>
                <w:rFonts w:ascii="Verdana" w:hAnsi="Verdana" w:cs="Arial"/>
                <w:color w:val="000000" w:themeColor="text1"/>
                <w:lang w:val="es-ES_tradnl"/>
              </w:rPr>
              <w:t xml:space="preserve">, 1037, </w:t>
            </w:r>
            <w:r>
              <w:rPr>
                <w:rFonts w:ascii="Verdana" w:hAnsi="Verdana" w:cs="Arial"/>
                <w:color w:val="000000" w:themeColor="text1"/>
              </w:rPr>
              <w:t>1092, 1093 y 1094</w:t>
            </w:r>
            <w:r>
              <w:rPr>
                <w:rFonts w:ascii="Verdana" w:hAnsi="Verdana" w:cs="Arial"/>
                <w:color w:val="000000" w:themeColor="text1"/>
                <w:lang w:val="es-ES_tradnl"/>
              </w:rPr>
              <w:t>.</w:t>
            </w:r>
          </w:p>
        </w:tc>
      </w:tr>
    </w:tbl>
    <w:p w14:paraId="51B1D3BF" w14:textId="77777777" w:rsidR="0023297C" w:rsidRPr="002407CE" w:rsidRDefault="0023297C" w:rsidP="0023297C">
      <w:pPr>
        <w:widowControl w:val="0"/>
        <w:autoSpaceDE w:val="0"/>
        <w:autoSpaceDN w:val="0"/>
        <w:spacing w:after="0" w:line="276" w:lineRule="auto"/>
        <w:jc w:val="both"/>
        <w:rPr>
          <w:rFonts w:ascii="Verdana" w:hAnsi="Verdana" w:cs="Arial"/>
        </w:rPr>
      </w:pPr>
    </w:p>
    <w:p w14:paraId="2E151F41" w14:textId="77777777" w:rsidR="0023297C" w:rsidRPr="00593A5F" w:rsidRDefault="0023297C" w:rsidP="0023297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B5CC46C" w14:textId="77777777" w:rsidR="0023297C" w:rsidRPr="00593A5F" w:rsidRDefault="0023297C" w:rsidP="0023297C">
      <w:pPr>
        <w:widowControl w:val="0"/>
        <w:autoSpaceDE w:val="0"/>
        <w:autoSpaceDN w:val="0"/>
        <w:spacing w:after="0" w:line="276" w:lineRule="auto"/>
        <w:jc w:val="both"/>
        <w:rPr>
          <w:rFonts w:ascii="Verdana" w:hAnsi="Verdana" w:cs="Arial"/>
        </w:rPr>
      </w:pPr>
    </w:p>
    <w:p w14:paraId="30E84BD6" w14:textId="77777777" w:rsidR="0023297C" w:rsidRPr="00ED0098" w:rsidRDefault="0023297C" w:rsidP="0023297C">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cesión de contratos en los Conceptos </w:t>
      </w:r>
      <w:r w:rsidRPr="00DE2AC7">
        <w:rPr>
          <w:rFonts w:ascii="Verdana" w:hAnsi="Verdana" w:cs="Arial"/>
          <w:shd w:val="clear" w:color="auto" w:fill="FFFFFF"/>
        </w:rPr>
        <w:t>4201913000007643 y 4201913000007669 del 26 de diciembre de 2019, así como en los Conceptos C-551 del 24 de septiembre de 2020, C-572 del 27 de agosto de 2020, C-582 del 28 de agosto de 2020, C-385 del 20 de agosto de 2021, C-069 del 24 de abril de 2023</w:t>
      </w:r>
      <w:r>
        <w:rPr>
          <w:rFonts w:ascii="Verdana" w:hAnsi="Verdana" w:cs="Arial"/>
          <w:shd w:val="clear" w:color="auto" w:fill="FFFFFF"/>
        </w:rPr>
        <w:t>,</w:t>
      </w:r>
      <w:r w:rsidRPr="00DE2AC7">
        <w:rPr>
          <w:rFonts w:ascii="Verdana" w:hAnsi="Verdana" w:cs="Arial"/>
          <w:shd w:val="clear" w:color="auto" w:fill="FFFFFF"/>
        </w:rPr>
        <w:t xml:space="preserve"> C-868 del 20 de diciembre de 2024</w:t>
      </w:r>
      <w:r>
        <w:rPr>
          <w:rFonts w:ascii="Verdana" w:hAnsi="Verdana" w:cs="Arial"/>
          <w:shd w:val="clear" w:color="auto" w:fill="FFFFFF"/>
        </w:rPr>
        <w:t>, C-880 del 30 de diciembre de 2024, C-214 del 25 de marzo de 2025, C-675 del 4 de junio de 2025 y C-1310 del 26 de septiembre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AB21A18" w14:textId="77777777" w:rsidR="0023297C" w:rsidRPr="00096788" w:rsidRDefault="0023297C" w:rsidP="0023297C">
      <w:pPr>
        <w:widowControl w:val="0"/>
        <w:autoSpaceDE w:val="0"/>
        <w:autoSpaceDN w:val="0"/>
        <w:spacing w:after="0" w:line="276" w:lineRule="auto"/>
        <w:jc w:val="both"/>
        <w:rPr>
          <w:rFonts w:ascii="Verdana" w:hAnsi="Verdana" w:cs="Arial"/>
          <w:color w:val="000000" w:themeColor="text1"/>
          <w:shd w:val="clear" w:color="auto" w:fill="FFFFFF"/>
        </w:rPr>
      </w:pPr>
    </w:p>
    <w:p w14:paraId="7DA00440" w14:textId="77777777" w:rsidR="0023297C" w:rsidRPr="00E440FD" w:rsidRDefault="0023297C" w:rsidP="0023297C">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7ECFFCEA" w14:textId="77777777" w:rsidR="0023297C" w:rsidRPr="009C4035" w:rsidRDefault="0023297C" w:rsidP="0023297C">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C268BFB" w14:textId="77777777" w:rsidR="0023297C" w:rsidRPr="00593A5F" w:rsidRDefault="0023297C" w:rsidP="0023297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DD4D01C" w14:textId="77777777" w:rsidR="0023297C" w:rsidRPr="00593A5F" w:rsidRDefault="0023297C" w:rsidP="0023297C">
      <w:pPr>
        <w:widowControl w:val="0"/>
        <w:autoSpaceDE w:val="0"/>
        <w:autoSpaceDN w:val="0"/>
        <w:spacing w:after="0" w:line="276" w:lineRule="auto"/>
        <w:jc w:val="both"/>
        <w:rPr>
          <w:rFonts w:ascii="Verdana" w:hAnsi="Verdana" w:cs="Arial"/>
        </w:rPr>
      </w:pPr>
    </w:p>
    <w:p w14:paraId="2840974B" w14:textId="77777777" w:rsidR="0023297C" w:rsidRPr="00593A5F" w:rsidRDefault="0023297C" w:rsidP="0023297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0F8D8E9" w14:textId="67107A64" w:rsidR="0023297C" w:rsidRPr="00593A5F" w:rsidRDefault="00AB661D" w:rsidP="0023297C">
      <w:pPr>
        <w:spacing w:line="276" w:lineRule="auto"/>
        <w:jc w:val="center"/>
        <w:rPr>
          <w:rFonts w:ascii="Verdana" w:hAnsi="Verdana" w:cs="Arial"/>
          <w:color w:val="000000"/>
          <w:lang w:val="es-ES_tradnl" w:eastAsia="es-CO"/>
        </w:rPr>
      </w:pPr>
      <w:r>
        <w:rPr>
          <w:noProof/>
        </w:rPr>
        <w:lastRenderedPageBreak/>
        <w:drawing>
          <wp:inline distT="0" distB="0" distL="0" distR="0" wp14:anchorId="7E343C78" wp14:editId="3500C83F">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3297C" w:rsidRPr="00593A5F" w14:paraId="0FA1008D" w14:textId="77777777" w:rsidTr="00AC06F0">
        <w:trPr>
          <w:trHeight w:val="315"/>
        </w:trPr>
        <w:tc>
          <w:tcPr>
            <w:tcW w:w="893" w:type="dxa"/>
            <w:vAlign w:val="center"/>
            <w:hideMark/>
          </w:tcPr>
          <w:p w14:paraId="75A6331D" w14:textId="77777777" w:rsidR="0023297C" w:rsidRPr="003751C7" w:rsidRDefault="0023297C" w:rsidP="00AC06F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403E2E3" w14:textId="77777777" w:rsidR="0023297C" w:rsidRPr="00254A7A" w:rsidRDefault="0023297C" w:rsidP="00AC06F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423E1FA" w14:textId="77777777" w:rsidR="0023297C" w:rsidRPr="00254A7A" w:rsidRDefault="0023297C" w:rsidP="00AC06F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3297C" w:rsidRPr="00593A5F" w14:paraId="08FC3B1A" w14:textId="77777777" w:rsidTr="00AC06F0">
        <w:trPr>
          <w:trHeight w:val="330"/>
        </w:trPr>
        <w:tc>
          <w:tcPr>
            <w:tcW w:w="893" w:type="dxa"/>
            <w:vAlign w:val="center"/>
            <w:hideMark/>
          </w:tcPr>
          <w:p w14:paraId="2E9ED4B3" w14:textId="77777777" w:rsidR="0023297C" w:rsidRPr="003751C7" w:rsidRDefault="0023297C" w:rsidP="00AC06F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52A8B4" w14:textId="77777777" w:rsidR="0023297C" w:rsidRPr="001B6B73" w:rsidRDefault="0023297C" w:rsidP="00AC06F0">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641EB46A" w14:textId="77777777" w:rsidR="0023297C" w:rsidRPr="00254A7A" w:rsidRDefault="0023297C" w:rsidP="00AC06F0">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23297C" w:rsidRPr="00593A5F" w14:paraId="351ADD17" w14:textId="77777777" w:rsidTr="00AC06F0">
        <w:trPr>
          <w:trHeight w:val="300"/>
        </w:trPr>
        <w:tc>
          <w:tcPr>
            <w:tcW w:w="893" w:type="dxa"/>
            <w:vAlign w:val="center"/>
          </w:tcPr>
          <w:p w14:paraId="4F73F9D5" w14:textId="77777777" w:rsidR="0023297C" w:rsidRPr="003751C7" w:rsidRDefault="0023297C" w:rsidP="00AC06F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4452B9" w14:textId="77777777" w:rsidR="0023297C" w:rsidRPr="003751C7" w:rsidRDefault="0023297C" w:rsidP="00AC06F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B263DB9" w14:textId="77777777" w:rsidR="0023297C" w:rsidRPr="003751C7" w:rsidRDefault="0023297C" w:rsidP="00AC06F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62A090FF" w14:textId="77777777" w:rsidR="0023297C" w:rsidRPr="00543BFE" w:rsidRDefault="0023297C" w:rsidP="0023297C"/>
    <w:p w14:paraId="0F293BF4" w14:textId="262E7EAC" w:rsidR="00127233" w:rsidRPr="00FB6B44" w:rsidRDefault="00127233" w:rsidP="00FB6B44"/>
    <w:sectPr w:rsidR="00127233" w:rsidRPr="00FB6B44"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96BBD" w14:textId="77777777" w:rsidR="006C0E71" w:rsidRDefault="006C0E71" w:rsidP="004A1847">
      <w:pPr>
        <w:spacing w:after="0" w:line="240" w:lineRule="auto"/>
      </w:pPr>
      <w:r>
        <w:separator/>
      </w:r>
    </w:p>
  </w:endnote>
  <w:endnote w:type="continuationSeparator" w:id="0">
    <w:p w14:paraId="4DEA2FF8" w14:textId="77777777" w:rsidR="006C0E71" w:rsidRDefault="006C0E71" w:rsidP="004A1847">
      <w:pPr>
        <w:spacing w:after="0" w:line="240" w:lineRule="auto"/>
      </w:pPr>
      <w:r>
        <w:continuationSeparator/>
      </w:r>
    </w:p>
  </w:endnote>
  <w:endnote w:type="continuationNotice" w:id="1">
    <w:p w14:paraId="0A1ACF1D" w14:textId="77777777" w:rsidR="006C0E71" w:rsidRDefault="006C0E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27689" w14:textId="77777777" w:rsidR="006C0E71" w:rsidRDefault="006C0E71" w:rsidP="004A1847">
      <w:pPr>
        <w:spacing w:after="0" w:line="240" w:lineRule="auto"/>
      </w:pPr>
      <w:r>
        <w:separator/>
      </w:r>
    </w:p>
  </w:footnote>
  <w:footnote w:type="continuationSeparator" w:id="0">
    <w:p w14:paraId="595F4921" w14:textId="77777777" w:rsidR="006C0E71" w:rsidRDefault="006C0E71" w:rsidP="004A1847">
      <w:pPr>
        <w:spacing w:after="0" w:line="240" w:lineRule="auto"/>
      </w:pPr>
      <w:r>
        <w:continuationSeparator/>
      </w:r>
    </w:p>
  </w:footnote>
  <w:footnote w:type="continuationNotice" w:id="1">
    <w:p w14:paraId="12EA6AA0" w14:textId="77777777" w:rsidR="006C0E71" w:rsidRDefault="006C0E71">
      <w:pPr>
        <w:spacing w:after="0" w:line="240" w:lineRule="auto"/>
      </w:pPr>
    </w:p>
  </w:footnote>
  <w:footnote w:id="2">
    <w:p w14:paraId="4F63AA39" w14:textId="77777777" w:rsidR="0023297C" w:rsidRPr="004C544B" w:rsidRDefault="0023297C" w:rsidP="0023297C">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3D861DDB" w14:textId="77777777" w:rsidR="0023297C" w:rsidRPr="004C544B" w:rsidRDefault="0023297C" w:rsidP="0023297C">
      <w:pPr>
        <w:pStyle w:val="Textonotapie"/>
        <w:ind w:firstLine="708"/>
        <w:jc w:val="both"/>
        <w:rPr>
          <w:rFonts w:ascii="Verdana" w:hAnsi="Verdana" w:cs="Arial"/>
          <w:sz w:val="16"/>
          <w:szCs w:val="16"/>
        </w:rPr>
      </w:pPr>
      <w:r w:rsidRPr="004C544B">
        <w:rPr>
          <w:rFonts w:ascii="Verdana" w:hAnsi="Verdana" w:cs="Arial"/>
          <w:sz w:val="16"/>
          <w:szCs w:val="16"/>
        </w:rPr>
        <w:t xml:space="preserve">La misma sustitución podrá hacerse en los contratos mercantiles de ejecución instantánea que aún no hayan sido cumplidos en todo o en parte, y en los celebrados </w:t>
      </w:r>
      <w:r w:rsidRPr="004C544B">
        <w:rPr>
          <w:rFonts w:ascii="Verdana" w:hAnsi="Verdana" w:cs="Arial"/>
          <w:i/>
          <w:iCs/>
          <w:sz w:val="16"/>
          <w:szCs w:val="16"/>
        </w:rPr>
        <w:t>intuitu personae</w:t>
      </w:r>
      <w:r w:rsidRPr="004C544B">
        <w:rPr>
          <w:rFonts w:ascii="Verdana" w:hAnsi="Verdana" w:cs="Arial"/>
          <w:sz w:val="16"/>
          <w:szCs w:val="16"/>
        </w:rPr>
        <w:t>, pero en estos casos será necesaria la aceptación del contratante cedido”.</w:t>
      </w:r>
    </w:p>
    <w:p w14:paraId="5D342988" w14:textId="77777777" w:rsidR="0023297C" w:rsidRPr="004C544B" w:rsidRDefault="0023297C" w:rsidP="0023297C">
      <w:pPr>
        <w:pStyle w:val="Textonotapie"/>
        <w:ind w:firstLine="708"/>
        <w:jc w:val="both"/>
        <w:rPr>
          <w:rFonts w:ascii="Verdana" w:hAnsi="Verdana" w:cs="Arial"/>
          <w:sz w:val="16"/>
          <w:szCs w:val="16"/>
        </w:rPr>
      </w:pPr>
      <w:r w:rsidRPr="004C544B">
        <w:rPr>
          <w:rFonts w:ascii="Verdana" w:hAnsi="Verdana" w:cs="Arial"/>
          <w:sz w:val="16"/>
          <w:szCs w:val="16"/>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3">
    <w:p w14:paraId="352A317B" w14:textId="77777777" w:rsidR="0023297C" w:rsidRPr="004C544B" w:rsidRDefault="0023297C" w:rsidP="0023297C">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ANDREOLI, Marcello. La cesión del contrato. Santiago: Ediciones Olejnik, 2019. p. 12. Énfasis dentro del texto. En este contexto, “La cesión del contrato sirve para hacer posible la </w:t>
      </w:r>
      <w:r w:rsidRPr="004C544B">
        <w:rPr>
          <w:rFonts w:ascii="Verdana" w:hAnsi="Verdana" w:cs="Arial"/>
          <w:i/>
          <w:iCs/>
          <w:sz w:val="16"/>
          <w:szCs w:val="16"/>
        </w:rPr>
        <w:t>circulación del contrato en su integridad</w:t>
      </w:r>
      <w:r w:rsidRPr="004C544B">
        <w:rPr>
          <w:rFonts w:ascii="Verdana" w:hAnsi="Verdana" w:cs="Arial"/>
          <w:sz w:val="16"/>
          <w:szCs w:val="16"/>
        </w:rPr>
        <w:t xml:space="preserve">, es decir, para hacer </w:t>
      </w:r>
      <w:r w:rsidRPr="004C544B">
        <w:rPr>
          <w:rFonts w:ascii="Verdana" w:hAnsi="Verdana" w:cs="Arial"/>
          <w:i/>
          <w:iCs/>
          <w:sz w:val="16"/>
          <w:szCs w:val="16"/>
        </w:rPr>
        <w:t>subintrar</w:t>
      </w:r>
      <w:r w:rsidRPr="004C544B">
        <w:rPr>
          <w:rFonts w:ascii="Verdana" w:hAnsi="Verdana" w:cs="Arial"/>
          <w:sz w:val="16"/>
          <w:szCs w:val="16"/>
        </w:rPr>
        <w:t xml:space="preserve"> un extraño en la categoría de </w:t>
      </w:r>
      <w:r w:rsidRPr="004C544B">
        <w:rPr>
          <w:rFonts w:ascii="Verdana" w:hAnsi="Verdana" w:cs="Arial"/>
          <w:i/>
          <w:iCs/>
          <w:sz w:val="16"/>
          <w:szCs w:val="16"/>
        </w:rPr>
        <w:t>parte</w:t>
      </w:r>
      <w:r w:rsidRPr="004C544B">
        <w:rPr>
          <w:rFonts w:ascii="Verdana" w:hAnsi="Verdana" w:cs="Arial"/>
          <w:sz w:val="16"/>
          <w:szCs w:val="16"/>
        </w:rPr>
        <w:t xml:space="preserve"> contractual, </w:t>
      </w:r>
      <w:r w:rsidRPr="004C544B">
        <w:rPr>
          <w:rFonts w:ascii="Verdana" w:hAnsi="Verdana" w:cs="Arial"/>
          <w:i/>
          <w:iCs/>
          <w:sz w:val="16"/>
          <w:szCs w:val="16"/>
        </w:rPr>
        <w:t>en lugar</w:t>
      </w:r>
      <w:r w:rsidRPr="004C544B">
        <w:rPr>
          <w:rFonts w:ascii="Verdana" w:hAnsi="Verdana" w:cs="Arial"/>
          <w:sz w:val="16"/>
          <w:szCs w:val="16"/>
        </w:rPr>
        <w:t xml:space="preserve"> de uno de los contratantes originarios” (MESSINEO, Francesco. Doctrina general del contrato. Santiago: Olejnik, 2018. p. 633. Énfasis dentro del texto).</w:t>
      </w:r>
    </w:p>
  </w:footnote>
  <w:footnote w:id="4">
    <w:p w14:paraId="2EB904D1" w14:textId="77777777" w:rsidR="0023297C" w:rsidRPr="004C544B" w:rsidRDefault="0023297C" w:rsidP="0023297C">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ROPPO, Vincenzo. El contrato. Lima: Gaceta Jurídica, 2009. p. 547.</w:t>
      </w:r>
    </w:p>
  </w:footnote>
  <w:footnote w:id="5">
    <w:p w14:paraId="0AFA8432" w14:textId="77777777" w:rsidR="0023297C" w:rsidRPr="004C544B" w:rsidRDefault="0023297C" w:rsidP="0023297C">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i/>
          <w:iCs/>
          <w:sz w:val="16"/>
          <w:szCs w:val="16"/>
        </w:rPr>
        <w:t>Ibidem</w:t>
      </w:r>
      <w:r w:rsidRPr="004C544B">
        <w:rPr>
          <w:rFonts w:ascii="Verdana" w:hAnsi="Verdana" w:cs="Arial"/>
          <w:sz w:val="16"/>
          <w:szCs w:val="16"/>
        </w:rPr>
        <w:t>.</w:t>
      </w:r>
    </w:p>
  </w:footnote>
  <w:footnote w:id="6">
    <w:p w14:paraId="47AE2377" w14:textId="77777777" w:rsidR="0023297C" w:rsidRPr="004C544B" w:rsidRDefault="0023297C" w:rsidP="0023297C">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footnote>
  <w:footnote w:id="7">
    <w:p w14:paraId="7E9379FF" w14:textId="77777777" w:rsidR="0023297C" w:rsidRPr="004C544B" w:rsidRDefault="0023297C" w:rsidP="0023297C">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footnote>
  <w:footnote w:id="8">
    <w:p w14:paraId="7ABC2FCF" w14:textId="77777777" w:rsidR="0023297C" w:rsidRPr="004C544B" w:rsidRDefault="0023297C" w:rsidP="0023297C">
      <w:pPr>
        <w:pStyle w:val="Textonotapie"/>
        <w:ind w:firstLine="709"/>
        <w:jc w:val="both"/>
        <w:rPr>
          <w:rFonts w:ascii="Verdana" w:hAnsi="Verdana" w:cs="Arial"/>
          <w:sz w:val="16"/>
          <w:szCs w:val="16"/>
          <w:lang w:val="es-CO"/>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footnote>
  <w:footnote w:id="9">
    <w:p w14:paraId="208301ED" w14:textId="77777777" w:rsidR="0023297C" w:rsidRPr="004C544B" w:rsidRDefault="0023297C" w:rsidP="0023297C">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5CED9FF6" w14:textId="77777777" w:rsidR="0023297C" w:rsidRPr="004C544B" w:rsidRDefault="0023297C" w:rsidP="0023297C">
      <w:pPr>
        <w:pStyle w:val="Textonotapie"/>
        <w:ind w:firstLine="709"/>
        <w:jc w:val="both"/>
        <w:rPr>
          <w:rFonts w:ascii="Verdana" w:hAnsi="Verdana" w:cs="Arial"/>
          <w:sz w:val="16"/>
          <w:szCs w:val="16"/>
        </w:rPr>
      </w:pPr>
      <w:r w:rsidRPr="004C544B">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10">
    <w:p w14:paraId="231E896B" w14:textId="77777777" w:rsidR="0023297C" w:rsidRPr="004C544B" w:rsidRDefault="0023297C" w:rsidP="0023297C">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658A9AAC" w14:textId="77777777" w:rsidR="0023297C" w:rsidRPr="004C544B" w:rsidRDefault="0023297C" w:rsidP="0023297C">
      <w:pPr>
        <w:pStyle w:val="Textonotapie"/>
        <w:ind w:firstLine="708"/>
        <w:jc w:val="both"/>
        <w:rPr>
          <w:rFonts w:ascii="Verdana" w:hAnsi="Verdana" w:cs="Arial"/>
          <w:sz w:val="16"/>
          <w:szCs w:val="16"/>
        </w:rPr>
      </w:pPr>
      <w:r w:rsidRPr="004C544B">
        <w:rPr>
          <w:rFonts w:ascii="Verdana" w:hAnsi="Verdana" w:cs="Arial"/>
          <w:sz w:val="16"/>
          <w:szCs w:val="16"/>
        </w:rPr>
        <w:t>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footnote>
  <w:footnote w:id="11">
    <w:p w14:paraId="115C994B" w14:textId="77777777" w:rsidR="0023297C" w:rsidRPr="004C544B" w:rsidRDefault="0023297C" w:rsidP="0023297C">
      <w:pPr>
        <w:pStyle w:val="Textonotapie"/>
        <w:ind w:firstLine="708"/>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MARIENHOFF, Miguel S. Tratado de derecho administrativo. Tomo IIIA. Cuarta Edición. Buenos Aires: Abeledo Perrot, 1998. p. 318. Énfasis dentro del texto.</w:t>
      </w:r>
    </w:p>
  </w:footnote>
  <w:footnote w:id="12">
    <w:p w14:paraId="28719FCC" w14:textId="77777777" w:rsidR="0023297C" w:rsidRPr="004C544B" w:rsidRDefault="0023297C" w:rsidP="0023297C">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Richard. La cesión. Serie: Las cláusulas del contrato estatal. Medellín: Centro de Estudios de Derecho Administrativo –CEDA– y Librería Jurídica Sánchez R., 2014. pp. 71-72.</w:t>
      </w:r>
    </w:p>
  </w:footnote>
  <w:footnote w:id="13">
    <w:p w14:paraId="2A0C2EE0" w14:textId="77777777" w:rsidR="0023297C" w:rsidRPr="004C544B" w:rsidRDefault="0023297C" w:rsidP="0023297C">
      <w:pPr>
        <w:pStyle w:val="Textonotapie"/>
        <w:ind w:firstLine="709"/>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sz w:val="16"/>
          <w:szCs w:val="16"/>
          <w:lang w:val="es-ES"/>
        </w:rPr>
        <w:t>CONSEJO DE ESTADO</w:t>
      </w:r>
      <w:r>
        <w:rPr>
          <w:rFonts w:ascii="Verdana" w:hAnsi="Verdana" w:cs="Arial"/>
          <w:sz w:val="16"/>
          <w:szCs w:val="16"/>
          <w:lang w:val="es-ES"/>
        </w:rPr>
        <w:t>.</w:t>
      </w:r>
      <w:r w:rsidRPr="004C544B">
        <w:rPr>
          <w:rFonts w:ascii="Verdana" w:hAnsi="Verdana" w:cs="Arial"/>
          <w:sz w:val="16"/>
          <w:szCs w:val="16"/>
          <w:lang w:val="es-ES"/>
        </w:rPr>
        <w:t xml:space="preserve"> Sección Tercera</w:t>
      </w:r>
      <w:r>
        <w:rPr>
          <w:rFonts w:ascii="Verdana" w:hAnsi="Verdana" w:cs="Arial"/>
          <w:sz w:val="16"/>
          <w:szCs w:val="16"/>
          <w:lang w:val="es-ES"/>
        </w:rPr>
        <w:t>.</w:t>
      </w:r>
      <w:r w:rsidRPr="004C544B">
        <w:rPr>
          <w:rFonts w:ascii="Verdana" w:hAnsi="Verdana" w:cs="Arial"/>
          <w:sz w:val="16"/>
          <w:szCs w:val="16"/>
          <w:lang w:val="es-ES"/>
        </w:rPr>
        <w:t xml:space="preserve"> Sentencia del 16 de marzo de 2015</w:t>
      </w:r>
      <w:r>
        <w:rPr>
          <w:rFonts w:ascii="Verdana" w:hAnsi="Verdana" w:cs="Arial"/>
          <w:sz w:val="16"/>
          <w:szCs w:val="16"/>
          <w:lang w:val="es-ES"/>
        </w:rPr>
        <w:t>.</w:t>
      </w:r>
      <w:r w:rsidRPr="004C544B">
        <w:rPr>
          <w:rFonts w:ascii="Verdana" w:hAnsi="Verdana" w:cs="Arial"/>
          <w:sz w:val="16"/>
          <w:szCs w:val="16"/>
          <w:lang w:val="es-ES"/>
        </w:rPr>
        <w:t xml:space="preserve"> Rad. 1999-03028, M.P. Jaime Orlando Santofimio Gamboa.</w:t>
      </w:r>
    </w:p>
  </w:footnote>
  <w:footnote w:id="14">
    <w:p w14:paraId="306F1214" w14:textId="77777777" w:rsidR="0023297C" w:rsidRPr="00B201E4" w:rsidRDefault="0023297C" w:rsidP="0023297C">
      <w:pPr>
        <w:pStyle w:val="Textonotapie"/>
        <w:ind w:firstLine="708"/>
        <w:jc w:val="both"/>
        <w:rPr>
          <w:rFonts w:ascii="Verdana" w:hAnsi="Verdana"/>
          <w:sz w:val="16"/>
          <w:szCs w:val="16"/>
          <w:lang w:val="es-CO"/>
        </w:rPr>
      </w:pPr>
      <w:r w:rsidRPr="00B201E4">
        <w:rPr>
          <w:rStyle w:val="Refdenotaalpie"/>
          <w:rFonts w:ascii="Verdana" w:hAnsi="Verdana"/>
          <w:sz w:val="16"/>
          <w:szCs w:val="16"/>
        </w:rPr>
        <w:footnoteRef/>
      </w:r>
      <w:r w:rsidRPr="00B201E4">
        <w:rPr>
          <w:rFonts w:ascii="Verdana" w:hAnsi="Verdana"/>
          <w:sz w:val="16"/>
          <w:szCs w:val="16"/>
        </w:rPr>
        <w:t xml:space="preserve"> </w:t>
      </w:r>
      <w:r w:rsidRPr="00796439">
        <w:rPr>
          <w:rFonts w:ascii="Verdana" w:hAnsi="Verdana"/>
          <w:sz w:val="16"/>
          <w:szCs w:val="16"/>
        </w:rPr>
        <w:t>RAMÍREZ GRISALES,</w:t>
      </w:r>
      <w:r w:rsidRPr="004C544B">
        <w:rPr>
          <w:rFonts w:ascii="Verdana" w:hAnsi="Verdana" w:cs="Arial"/>
          <w:sz w:val="16"/>
          <w:szCs w:val="16"/>
        </w:rPr>
        <w:t xml:space="preserve"> La cesión… </w:t>
      </w:r>
      <w:r w:rsidRPr="00796439">
        <w:rPr>
          <w:rFonts w:ascii="Verdana" w:hAnsi="Verdana"/>
          <w:sz w:val="16"/>
          <w:szCs w:val="16"/>
        </w:rPr>
        <w:t>Op cit., p</w:t>
      </w:r>
      <w:r>
        <w:rPr>
          <w:rFonts w:ascii="Verdana" w:hAnsi="Verdana"/>
          <w:sz w:val="16"/>
          <w:szCs w:val="16"/>
        </w:rPr>
        <w:t>p</w:t>
      </w:r>
      <w:r w:rsidRPr="00796439">
        <w:rPr>
          <w:rFonts w:ascii="Verdana" w:hAnsi="Verdana"/>
          <w:sz w:val="16"/>
          <w:szCs w:val="16"/>
        </w:rPr>
        <w:t xml:space="preserve">. </w:t>
      </w:r>
      <w:r>
        <w:rPr>
          <w:rFonts w:ascii="Verdana" w:hAnsi="Verdana"/>
          <w:sz w:val="16"/>
          <w:szCs w:val="16"/>
        </w:rPr>
        <w:t>108 y 109</w:t>
      </w:r>
      <w:r w:rsidRPr="00796439">
        <w:rPr>
          <w:rFonts w:ascii="Verdana" w:hAnsi="Verdana"/>
          <w:sz w:val="16"/>
          <w:szCs w:val="16"/>
        </w:rPr>
        <w:t>.</w:t>
      </w:r>
    </w:p>
  </w:footnote>
  <w:footnote w:id="15">
    <w:p w14:paraId="301566C7" w14:textId="77777777" w:rsidR="0023297C" w:rsidRPr="00AC41D2" w:rsidRDefault="0023297C" w:rsidP="0023297C">
      <w:pPr>
        <w:pStyle w:val="Textonotapie"/>
        <w:ind w:firstLine="708"/>
        <w:jc w:val="both"/>
        <w:rPr>
          <w:rFonts w:ascii="Verdana" w:hAnsi="Verdana"/>
          <w:sz w:val="16"/>
          <w:szCs w:val="16"/>
          <w:lang w:val="pt-BR"/>
        </w:rPr>
      </w:pPr>
      <w:r w:rsidRPr="004B3DBD">
        <w:rPr>
          <w:rStyle w:val="Refdenotaalpie"/>
          <w:rFonts w:ascii="Verdana" w:hAnsi="Verdana"/>
          <w:sz w:val="16"/>
          <w:szCs w:val="16"/>
        </w:rPr>
        <w:footnoteRef/>
      </w:r>
      <w:r w:rsidRPr="004B3DBD">
        <w:rPr>
          <w:rFonts w:ascii="Verdana" w:hAnsi="Verdana"/>
          <w:sz w:val="16"/>
          <w:szCs w:val="16"/>
        </w:rPr>
        <w:t xml:space="preserve"> </w:t>
      </w:r>
      <w:r>
        <w:rPr>
          <w:rFonts w:ascii="Verdana" w:hAnsi="Verdana"/>
          <w:sz w:val="16"/>
          <w:szCs w:val="16"/>
        </w:rPr>
        <w:t xml:space="preserve">SOMARRIVA UNDURRAGA, Manuel. Tratado de las cauciones. </w:t>
      </w:r>
      <w:r w:rsidRPr="00AC41D2">
        <w:rPr>
          <w:rFonts w:ascii="Verdana" w:hAnsi="Verdana"/>
          <w:sz w:val="16"/>
          <w:szCs w:val="16"/>
          <w:lang w:val="pt-BR"/>
        </w:rPr>
        <w:t>Santiago: Editorial Nascimento, 1943. pp. 39-40.</w:t>
      </w:r>
    </w:p>
  </w:footnote>
  <w:footnote w:id="16">
    <w:p w14:paraId="4014AE25" w14:textId="77777777" w:rsidR="0023297C" w:rsidRPr="00B532CA" w:rsidRDefault="0023297C" w:rsidP="0023297C">
      <w:pPr>
        <w:pStyle w:val="Textonotapie"/>
        <w:ind w:firstLine="708"/>
        <w:jc w:val="both"/>
        <w:rPr>
          <w:rFonts w:ascii="Verdana" w:hAnsi="Verdana"/>
          <w:sz w:val="16"/>
          <w:szCs w:val="16"/>
          <w:lang w:val="es-CO"/>
        </w:rPr>
      </w:pPr>
      <w:r w:rsidRPr="00B532CA">
        <w:rPr>
          <w:rStyle w:val="Refdenotaalpie"/>
          <w:rFonts w:ascii="Verdana" w:hAnsi="Verdana"/>
          <w:sz w:val="16"/>
          <w:szCs w:val="16"/>
        </w:rPr>
        <w:footnoteRef/>
      </w:r>
      <w:r w:rsidRPr="00AC41D2">
        <w:rPr>
          <w:rFonts w:ascii="Verdana" w:hAnsi="Verdana"/>
          <w:sz w:val="16"/>
          <w:szCs w:val="16"/>
          <w:lang w:val="pt-BR"/>
        </w:rPr>
        <w:t xml:space="preserve"> CONSEJO DE ESTADO. </w:t>
      </w:r>
      <w:r>
        <w:rPr>
          <w:rFonts w:ascii="Verdana" w:hAnsi="Verdana"/>
          <w:sz w:val="16"/>
          <w:szCs w:val="16"/>
        </w:rPr>
        <w:t xml:space="preserve">Sección Tercera. Subsección A. Sentencia del 3 de septiembre de 2025. Exp. </w:t>
      </w:r>
      <w:r w:rsidRPr="008E78E6">
        <w:rPr>
          <w:rFonts w:ascii="Verdana" w:hAnsi="Verdana"/>
          <w:sz w:val="16"/>
          <w:szCs w:val="16"/>
        </w:rPr>
        <w:t>69591</w:t>
      </w:r>
      <w:r>
        <w:rPr>
          <w:rFonts w:ascii="Verdana" w:hAnsi="Verdana"/>
          <w:sz w:val="16"/>
          <w:szCs w:val="16"/>
        </w:rPr>
        <w:t xml:space="preserve">. C.P. </w:t>
      </w:r>
      <w:r w:rsidRPr="008E78E6">
        <w:rPr>
          <w:rFonts w:ascii="Verdana" w:hAnsi="Verdana"/>
          <w:sz w:val="16"/>
          <w:szCs w:val="16"/>
        </w:rPr>
        <w:t>José Roberto Sáchica Méndez</w:t>
      </w:r>
      <w:r>
        <w:rPr>
          <w:rFonts w:ascii="Verdana" w:hAnsi="Verdana"/>
          <w:sz w:val="16"/>
          <w:szCs w:val="16"/>
        </w:rPr>
        <w:t>.</w:t>
      </w:r>
    </w:p>
  </w:footnote>
  <w:footnote w:id="17">
    <w:p w14:paraId="746990B6" w14:textId="77777777" w:rsidR="0023297C" w:rsidRPr="00D87CF2" w:rsidRDefault="0023297C" w:rsidP="0023297C">
      <w:pPr>
        <w:pStyle w:val="Textonotapie"/>
        <w:ind w:firstLine="708"/>
        <w:jc w:val="both"/>
        <w:rPr>
          <w:rFonts w:ascii="Verdana" w:hAnsi="Verdana"/>
          <w:sz w:val="16"/>
          <w:szCs w:val="16"/>
          <w:lang w:val="es-CO"/>
        </w:rPr>
      </w:pPr>
      <w:r w:rsidRPr="00D87CF2">
        <w:rPr>
          <w:rStyle w:val="Refdenotaalpie"/>
          <w:rFonts w:ascii="Verdana" w:hAnsi="Verdana"/>
          <w:sz w:val="16"/>
          <w:szCs w:val="16"/>
        </w:rPr>
        <w:footnoteRef/>
      </w:r>
      <w:r w:rsidRPr="00D87CF2">
        <w:rPr>
          <w:rFonts w:ascii="Verdana" w:hAnsi="Verdana"/>
          <w:sz w:val="16"/>
          <w:szCs w:val="16"/>
        </w:rPr>
        <w:t xml:space="preserve"> </w:t>
      </w:r>
      <w:r>
        <w:rPr>
          <w:rFonts w:ascii="Verdana" w:hAnsi="Verdana"/>
          <w:sz w:val="16"/>
          <w:szCs w:val="16"/>
        </w:rPr>
        <w:t xml:space="preserve">Para la jurisprudencia, “[…] </w:t>
      </w:r>
      <w:r w:rsidRPr="00D87CF2">
        <w:rPr>
          <w:rFonts w:ascii="Verdana" w:hAnsi="Verdana"/>
          <w:sz w:val="16"/>
          <w:szCs w:val="16"/>
        </w:rPr>
        <w:t>el hecho de que la aseguradora acepte que se le trasladen los riesgos que puedan afectar el patrimonio de la entidad pública contratante debido a los incumplimientos en los que pudiera incurrir su contratista, no significa que entre a formar parte del contrato estatal. Admitir una interpretación contraria conduciría a desconocer el carácter principal, autónomo e independiente del contrato de seguro respecto del contrato amparado, a la vez que los principios de normatividad y relatividad de los contratos, según los cuales éstos son ley para las partes que los celebran (art. 1602 del Código Civil). La aseguradora no suscribe el contrato estatal, ni asume las obligaciones derivadas de este negocio jurídico; por tanto, sus estipulaciones no le son exigibles</w:t>
      </w:r>
      <w:r>
        <w:rPr>
          <w:rFonts w:ascii="Verdana" w:hAnsi="Verdana"/>
          <w:sz w:val="16"/>
          <w:szCs w:val="16"/>
        </w:rPr>
        <w:t>” (</w:t>
      </w:r>
      <w:r w:rsidRPr="00D87CF2">
        <w:rPr>
          <w:rFonts w:ascii="Verdana" w:hAnsi="Verdana"/>
          <w:i/>
          <w:iCs/>
          <w:sz w:val="16"/>
          <w:szCs w:val="16"/>
        </w:rPr>
        <w:t>ibidem</w:t>
      </w:r>
      <w:r>
        <w:rPr>
          <w:rFonts w:ascii="Verdana" w:hAnsi="Verdana"/>
          <w:sz w:val="16"/>
          <w:szCs w:val="16"/>
        </w:rPr>
        <w:t>)</w:t>
      </w:r>
      <w:r w:rsidRPr="00D87CF2">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625"/>
    <w:rsid w:val="00046945"/>
    <w:rsid w:val="00061B2A"/>
    <w:rsid w:val="00082362"/>
    <w:rsid w:val="00090919"/>
    <w:rsid w:val="000A5C85"/>
    <w:rsid w:val="000A683E"/>
    <w:rsid w:val="000B19B9"/>
    <w:rsid w:val="000D0334"/>
    <w:rsid w:val="000D0C5E"/>
    <w:rsid w:val="000F6486"/>
    <w:rsid w:val="00125105"/>
    <w:rsid w:val="00127233"/>
    <w:rsid w:val="00135878"/>
    <w:rsid w:val="001E4177"/>
    <w:rsid w:val="001F7DC6"/>
    <w:rsid w:val="0023297C"/>
    <w:rsid w:val="002421BB"/>
    <w:rsid w:val="0025796E"/>
    <w:rsid w:val="002707A2"/>
    <w:rsid w:val="002951A0"/>
    <w:rsid w:val="002962BC"/>
    <w:rsid w:val="002A093D"/>
    <w:rsid w:val="002A0DD0"/>
    <w:rsid w:val="002A49AC"/>
    <w:rsid w:val="002A64FD"/>
    <w:rsid w:val="002C7A84"/>
    <w:rsid w:val="002E4FD9"/>
    <w:rsid w:val="00317DF8"/>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53D0F"/>
    <w:rsid w:val="0045504E"/>
    <w:rsid w:val="004A1847"/>
    <w:rsid w:val="004A305D"/>
    <w:rsid w:val="004E4959"/>
    <w:rsid w:val="004F21C4"/>
    <w:rsid w:val="004F685F"/>
    <w:rsid w:val="005566E8"/>
    <w:rsid w:val="00574867"/>
    <w:rsid w:val="00591460"/>
    <w:rsid w:val="005C3777"/>
    <w:rsid w:val="005C5CDC"/>
    <w:rsid w:val="005D476C"/>
    <w:rsid w:val="006219F8"/>
    <w:rsid w:val="00621D1B"/>
    <w:rsid w:val="006302F7"/>
    <w:rsid w:val="00665D70"/>
    <w:rsid w:val="006900D9"/>
    <w:rsid w:val="006A760C"/>
    <w:rsid w:val="006C0E71"/>
    <w:rsid w:val="00706C16"/>
    <w:rsid w:val="00737606"/>
    <w:rsid w:val="00756841"/>
    <w:rsid w:val="007649AB"/>
    <w:rsid w:val="00771D0C"/>
    <w:rsid w:val="007833AC"/>
    <w:rsid w:val="007B268C"/>
    <w:rsid w:val="007B7171"/>
    <w:rsid w:val="007C0C0F"/>
    <w:rsid w:val="007C3DC2"/>
    <w:rsid w:val="007E5497"/>
    <w:rsid w:val="00806F5F"/>
    <w:rsid w:val="00820278"/>
    <w:rsid w:val="00842D37"/>
    <w:rsid w:val="00867F95"/>
    <w:rsid w:val="008843B6"/>
    <w:rsid w:val="00891928"/>
    <w:rsid w:val="00897A3A"/>
    <w:rsid w:val="00897AE4"/>
    <w:rsid w:val="008A446D"/>
    <w:rsid w:val="008D180B"/>
    <w:rsid w:val="008F0EA7"/>
    <w:rsid w:val="00923EEF"/>
    <w:rsid w:val="009419F9"/>
    <w:rsid w:val="0095685E"/>
    <w:rsid w:val="00961B09"/>
    <w:rsid w:val="00965334"/>
    <w:rsid w:val="0097093E"/>
    <w:rsid w:val="009A0DFA"/>
    <w:rsid w:val="009B25A8"/>
    <w:rsid w:val="009B2D26"/>
    <w:rsid w:val="009C1C5D"/>
    <w:rsid w:val="009C71FA"/>
    <w:rsid w:val="009C72E7"/>
    <w:rsid w:val="009D3058"/>
    <w:rsid w:val="009F3A13"/>
    <w:rsid w:val="00A122D3"/>
    <w:rsid w:val="00A17F13"/>
    <w:rsid w:val="00A20739"/>
    <w:rsid w:val="00A33C78"/>
    <w:rsid w:val="00A44361"/>
    <w:rsid w:val="00AB0ADB"/>
    <w:rsid w:val="00AB661D"/>
    <w:rsid w:val="00AC41D2"/>
    <w:rsid w:val="00B00C0E"/>
    <w:rsid w:val="00B01B1A"/>
    <w:rsid w:val="00B3632F"/>
    <w:rsid w:val="00B44A47"/>
    <w:rsid w:val="00B72CD3"/>
    <w:rsid w:val="00B72FFF"/>
    <w:rsid w:val="00B84955"/>
    <w:rsid w:val="00BC3D36"/>
    <w:rsid w:val="00BD7F72"/>
    <w:rsid w:val="00BF5201"/>
    <w:rsid w:val="00C04FB3"/>
    <w:rsid w:val="00C330EB"/>
    <w:rsid w:val="00C754BE"/>
    <w:rsid w:val="00C76B1C"/>
    <w:rsid w:val="00C86137"/>
    <w:rsid w:val="00C9049C"/>
    <w:rsid w:val="00CB6357"/>
    <w:rsid w:val="00CC1B26"/>
    <w:rsid w:val="00D423A2"/>
    <w:rsid w:val="00D50FDF"/>
    <w:rsid w:val="00D520D8"/>
    <w:rsid w:val="00D63AC2"/>
    <w:rsid w:val="00D7383B"/>
    <w:rsid w:val="00DA231B"/>
    <w:rsid w:val="00DC39FC"/>
    <w:rsid w:val="00DF5254"/>
    <w:rsid w:val="00E128C8"/>
    <w:rsid w:val="00E16408"/>
    <w:rsid w:val="00E20894"/>
    <w:rsid w:val="00E245AB"/>
    <w:rsid w:val="00E2764C"/>
    <w:rsid w:val="00E27F2E"/>
    <w:rsid w:val="00E50AFE"/>
    <w:rsid w:val="00E75C92"/>
    <w:rsid w:val="00E771DC"/>
    <w:rsid w:val="00E8772A"/>
    <w:rsid w:val="00E90F6B"/>
    <w:rsid w:val="00E929A8"/>
    <w:rsid w:val="00E92C27"/>
    <w:rsid w:val="00EA0E3D"/>
    <w:rsid w:val="00EC38A7"/>
    <w:rsid w:val="00EE1AA8"/>
    <w:rsid w:val="00F31EDC"/>
    <w:rsid w:val="00F462B3"/>
    <w:rsid w:val="00F5664F"/>
    <w:rsid w:val="00F666C4"/>
    <w:rsid w:val="00F76AFC"/>
    <w:rsid w:val="00FA47C0"/>
    <w:rsid w:val="00FB5DD1"/>
    <w:rsid w:val="00FB6B44"/>
    <w:rsid w:val="00FC2B5D"/>
    <w:rsid w:val="00FC7AAE"/>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3297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3297C"/>
    <w:rPr>
      <w:rFonts w:ascii="Geomanist Light" w:hAnsi="Geomanist Light"/>
      <w:lang w:val="es-ES"/>
    </w:rPr>
  </w:style>
  <w:style w:type="character" w:customStyle="1" w:styleId="s15">
    <w:name w:val="s15"/>
    <w:basedOn w:val="Fuentedeprrafopredeter"/>
    <w:rsid w:val="0023297C"/>
  </w:style>
  <w:style w:type="character" w:customStyle="1" w:styleId="apple-converted-space">
    <w:name w:val="apple-converted-space"/>
    <w:basedOn w:val="Fuentedeprrafopredeter"/>
    <w:rsid w:val="002329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ridica@uniguajira.edu.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83FC48-761B-47BB-A8FE-335B8150EF3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17</Pages>
  <Words>5536</Words>
  <Characters>30451</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2025-10-16T03:52:00Z</dcterms:created>
  <dcterms:modified xsi:type="dcterms:W3CDTF">2025-10-16T21:42:00Z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