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269F2" w14:textId="66674FCA" w:rsidR="00C30472" w:rsidRDefault="00C30472" w:rsidP="00C30472">
      <w:pPr>
        <w:jc w:val="both"/>
        <w:rPr>
          <w:rFonts w:ascii="Verdana" w:eastAsia="Verdana" w:hAnsi="Verdana" w:cs="Verdana"/>
          <w:b/>
          <w:bCs/>
          <w:spacing w:val="2"/>
          <w:lang w:val="es-ES"/>
        </w:rPr>
      </w:pPr>
      <w:r w:rsidRPr="00C30472">
        <w:rPr>
          <w:rFonts w:ascii="Verdana" w:eastAsia="Verdana" w:hAnsi="Verdana" w:cs="Verdana"/>
          <w:b/>
          <w:bCs/>
          <w:spacing w:val="2"/>
          <w:lang w:val="es-ES"/>
        </w:rPr>
        <w:t>CONTRATACION DIRECTA – Contratos y/o convenios interadministrativos - GARANTÍA DE ÚNICA DE CUMPLIMIENTO – Definición – Fundamento normativo</w:t>
      </w:r>
    </w:p>
    <w:p w14:paraId="3690206F" w14:textId="656031CF" w:rsidR="00C30472" w:rsidRPr="005D7601" w:rsidRDefault="00C30472" w:rsidP="00C30472">
      <w:pPr>
        <w:spacing w:before="120" w:after="120" w:line="276" w:lineRule="auto"/>
        <w:ind w:right="101"/>
        <w:jc w:val="both"/>
        <w:rPr>
          <w:rFonts w:ascii="Verdana" w:eastAsia="Calibri" w:hAnsi="Verdana" w:cs="Arial"/>
        </w:rPr>
      </w:pPr>
      <w:r>
        <w:rPr>
          <w:rFonts w:ascii="Verdana" w:eastAsia="Calibri" w:hAnsi="Verdana" w:cs="Arial"/>
          <w:lang w:val="es-ES"/>
        </w:rPr>
        <w:t xml:space="preserve">[…] </w:t>
      </w:r>
      <w:r>
        <w:rPr>
          <w:rFonts w:ascii="Verdana" w:eastAsia="Calibri" w:hAnsi="Verdana" w:cs="Arial"/>
        </w:rPr>
        <w:t>e</w:t>
      </w:r>
      <w:r w:rsidRPr="005D7601">
        <w:rPr>
          <w:rFonts w:ascii="Verdana" w:eastAsia="Calibri" w:hAnsi="Verdana" w:cs="Arial"/>
        </w:rPr>
        <w:t xml:space="preserve">l artículo 7 de la Ley 1150 de 2007 dispone expresamente que </w:t>
      </w:r>
      <w:r w:rsidRPr="005D7601">
        <w:rPr>
          <w:rFonts w:ascii="Verdana" w:eastAsia="Calibri" w:hAnsi="Verdana" w:cs="Arial"/>
          <w:i/>
          <w:iCs/>
        </w:rPr>
        <w:t>“las garantías no serán obligatorias en los contratos de empréstito, en los interadministrativos, en los de seguro y en los contratos cuyo valor sea inferior al 10 % de la menor cuantía…”</w:t>
      </w:r>
      <w:r w:rsidRPr="005D7601">
        <w:rPr>
          <w:rFonts w:ascii="Verdana" w:eastAsia="Calibri" w:hAnsi="Verdana" w:cs="Arial"/>
        </w:rPr>
        <w:t xml:space="preserve"> En ese sentido, el legislador reconoce una excepción a la regla general de exigir garantías para los contratos estatales, justamente cuando se trata de contratos interadministrativos.</w:t>
      </w:r>
    </w:p>
    <w:p w14:paraId="15AA050A" w14:textId="523906F5" w:rsidR="00C30472" w:rsidRDefault="00C30472" w:rsidP="00C30472">
      <w:pPr>
        <w:jc w:val="both"/>
        <w:rPr>
          <w:rFonts w:ascii="Verdana" w:eastAsia="Calibri" w:hAnsi="Verdana" w:cs="Arial"/>
        </w:rPr>
      </w:pPr>
      <w:r w:rsidRPr="005D7601">
        <w:rPr>
          <w:rFonts w:ascii="Verdana" w:eastAsia="Calibri" w:hAnsi="Verdana" w:cs="Arial"/>
        </w:rPr>
        <w:t>Por su parte, el Decreto 1082 de 2015, en su artículo 2.2.1.2.1.4.5 (y normas conexas), reitera ese principio en el contexto de la contratación directa: “la exigencia de garantías (…) no es obligatoria y la justificación para exigirlas o no debe estar en los estudios y documentos previos</w:t>
      </w:r>
    </w:p>
    <w:p w14:paraId="2D357A7B" w14:textId="6231D723" w:rsidR="00C30472" w:rsidRPr="00C30472" w:rsidRDefault="00C30472" w:rsidP="00C30472">
      <w:pPr>
        <w:jc w:val="both"/>
        <w:rPr>
          <w:rFonts w:ascii="Verdana" w:eastAsia="Calibri" w:hAnsi="Verdana" w:cs="Arial"/>
          <w:b/>
          <w:bCs/>
        </w:rPr>
      </w:pPr>
      <w:r w:rsidRPr="00C30472">
        <w:rPr>
          <w:rFonts w:ascii="Verdana" w:eastAsia="Verdana" w:hAnsi="Verdana" w:cs="Verdana"/>
          <w:b/>
          <w:bCs/>
          <w:spacing w:val="2"/>
          <w:lang w:val="es-ES"/>
        </w:rPr>
        <w:t>LIQUIDACIÓN DEL CONTRATO – Definición - Objetivo   / LIQUIDACIÓN DEL CONTRATO – Normativa / LIQUIDACIÓN DEL CONTRATO – Garantía Única de Cumplimiento – Suficiencia</w:t>
      </w:r>
    </w:p>
    <w:p w14:paraId="091C0F29" w14:textId="77777777" w:rsidR="00C30472" w:rsidRPr="00E03546" w:rsidRDefault="00C30472" w:rsidP="00C30472">
      <w:pPr>
        <w:spacing w:before="120" w:after="120" w:line="276" w:lineRule="auto"/>
        <w:ind w:left="103" w:right="101"/>
        <w:jc w:val="both"/>
        <w:rPr>
          <w:rFonts w:ascii="Verdana" w:eastAsia="Calibri" w:hAnsi="Verdana" w:cs="Arial"/>
        </w:rPr>
      </w:pPr>
      <w:r w:rsidRPr="00E03546">
        <w:rPr>
          <w:rFonts w:ascii="Verdana" w:eastAsia="Calibri" w:hAnsi="Verdana" w:cs="Arial"/>
        </w:rPr>
        <w:t>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regula</w:t>
      </w:r>
      <w:r w:rsidRPr="00E03546">
        <w:rPr>
          <w:rFonts w:ascii="Verdana" w:eastAsia="Calibri" w:hAnsi="Verdana" w:cs="Arial"/>
          <w:spacing w:val="-4"/>
        </w:rPr>
        <w:t xml:space="preserve"> </w:t>
      </w:r>
      <w:r w:rsidRPr="00E03546">
        <w:rPr>
          <w:rFonts w:ascii="Verdana" w:eastAsia="Calibri" w:hAnsi="Verdana" w:cs="Arial"/>
        </w:rPr>
        <w:t>la</w:t>
      </w:r>
      <w:r w:rsidRPr="00E03546">
        <w:rPr>
          <w:rFonts w:ascii="Verdana" w:eastAsia="Calibri" w:hAnsi="Verdana" w:cs="Arial"/>
          <w:spacing w:val="-5"/>
        </w:rPr>
        <w:t xml:space="preserve"> </w:t>
      </w:r>
      <w:r w:rsidRPr="00E03546">
        <w:rPr>
          <w:rFonts w:ascii="Verdana" w:eastAsia="Calibri" w:hAnsi="Verdana" w:cs="Arial"/>
        </w:rPr>
        <w:t>suficiencia</w:t>
      </w:r>
      <w:r w:rsidRPr="00E03546">
        <w:rPr>
          <w:rFonts w:ascii="Verdana" w:eastAsia="Calibri" w:hAnsi="Verdana" w:cs="Arial"/>
          <w:spacing w:val="-2"/>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 xml:space="preserve">la garantía de cumplimiento. Esta debe tener una vigencia mínima hasta la liquidación y, por regla general un valor de por lo menos el diez por ciento (10%) del total del contrato, siempre que este sea inferior a un millón (1.000.000) de </w:t>
      </w:r>
      <w:proofErr w:type="spellStart"/>
      <w:r w:rsidRPr="00E03546">
        <w:rPr>
          <w:rFonts w:ascii="Verdana" w:eastAsia="Calibri" w:hAnsi="Verdana" w:cs="Arial"/>
        </w:rPr>
        <w:t>smmlv</w:t>
      </w:r>
      <w:proofErr w:type="spellEnd"/>
      <w:r w:rsidRPr="00E03546">
        <w:rPr>
          <w:rFonts w:ascii="Verdana" w:eastAsia="Calibri" w:hAnsi="Verdana" w:cs="Arial"/>
        </w:rPr>
        <w:t xml:space="preserve">. Conforme la norma citada, el amparo cubre tanto el </w:t>
      </w:r>
      <w:r w:rsidRPr="00E03546">
        <w:rPr>
          <w:rFonts w:ascii="Verdana" w:eastAsia="Calibri" w:hAnsi="Verdana" w:cs="Arial"/>
          <w:i/>
        </w:rPr>
        <w:t xml:space="preserve">plazo de ejecución </w:t>
      </w:r>
      <w:r w:rsidRPr="00E03546">
        <w:rPr>
          <w:rFonts w:ascii="Verdana" w:eastAsia="Calibri" w:hAnsi="Verdana" w:cs="Arial"/>
        </w:rPr>
        <w:t xml:space="preserve">como el </w:t>
      </w:r>
      <w:r w:rsidRPr="00E03546">
        <w:rPr>
          <w:rFonts w:ascii="Verdana" w:eastAsia="Calibri" w:hAnsi="Verdana" w:cs="Arial"/>
          <w:i/>
        </w:rPr>
        <w:t xml:space="preserve">plazo de vigencia </w:t>
      </w:r>
      <w:r w:rsidRPr="00E03546">
        <w:rPr>
          <w:rFonts w:ascii="Verdana" w:eastAsia="Calibri" w:hAnsi="Verdana" w:cs="Arial"/>
        </w:rPr>
        <w:t>del contrato.</w:t>
      </w:r>
    </w:p>
    <w:p w14:paraId="147E5663" w14:textId="77777777" w:rsidR="00C30472" w:rsidRPr="00E03546" w:rsidRDefault="00C30472" w:rsidP="00C30472">
      <w:pPr>
        <w:spacing w:before="95" w:after="120" w:line="276" w:lineRule="auto"/>
        <w:ind w:left="142" w:right="49"/>
        <w:jc w:val="both"/>
        <w:rPr>
          <w:rFonts w:ascii="Verdana" w:eastAsia="Calibri" w:hAnsi="Verdana" w:cs="Arial"/>
        </w:rPr>
      </w:pPr>
      <w:r w:rsidRPr="00E03546">
        <w:rPr>
          <w:rFonts w:ascii="Verdana" w:eastAsia="Calibri" w:hAnsi="Verdana" w:cs="Arial"/>
        </w:rPr>
        <w:t>Así,</w:t>
      </w:r>
      <w:r w:rsidRPr="00E03546">
        <w:rPr>
          <w:rFonts w:ascii="Verdana" w:eastAsia="Calibri" w:hAnsi="Verdana" w:cs="Arial"/>
          <w:spacing w:val="-5"/>
        </w:rPr>
        <w:t xml:space="preserve"> </w:t>
      </w:r>
      <w:r w:rsidRPr="00E03546">
        <w:rPr>
          <w:rFonts w:ascii="Verdana" w:eastAsia="Calibri" w:hAnsi="Verdana" w:cs="Arial"/>
        </w:rPr>
        <w:t>la</w:t>
      </w:r>
      <w:r w:rsidRPr="00E03546">
        <w:rPr>
          <w:rFonts w:ascii="Verdana" w:eastAsia="Calibri" w:hAnsi="Verdana" w:cs="Arial"/>
          <w:spacing w:val="-6"/>
        </w:rPr>
        <w:t xml:space="preserve"> </w:t>
      </w:r>
      <w:r w:rsidRPr="00E03546">
        <w:rPr>
          <w:rFonts w:ascii="Verdana" w:eastAsia="Calibri" w:hAnsi="Verdana" w:cs="Arial"/>
        </w:rPr>
        <w:t>cobertura</w:t>
      </w:r>
      <w:r w:rsidRPr="00E03546">
        <w:rPr>
          <w:rFonts w:ascii="Verdana" w:eastAsia="Calibri" w:hAnsi="Verdana" w:cs="Arial"/>
          <w:spacing w:val="-4"/>
        </w:rPr>
        <w:t xml:space="preserve"> </w:t>
      </w:r>
      <w:r w:rsidRPr="00E03546">
        <w:rPr>
          <w:rFonts w:ascii="Verdana" w:eastAsia="Calibri" w:hAnsi="Verdana" w:cs="Arial"/>
        </w:rPr>
        <w:t>mínima</w:t>
      </w:r>
      <w:r w:rsidRPr="00E03546">
        <w:rPr>
          <w:rFonts w:ascii="Verdana" w:eastAsia="Calibri" w:hAnsi="Verdana" w:cs="Arial"/>
          <w:spacing w:val="-5"/>
        </w:rPr>
        <w:t xml:space="preserve"> </w:t>
      </w:r>
      <w:r w:rsidRPr="00E03546">
        <w:rPr>
          <w:rFonts w:ascii="Verdana" w:eastAsia="Calibri" w:hAnsi="Verdana" w:cs="Arial"/>
        </w:rPr>
        <w:t>del</w:t>
      </w:r>
      <w:r w:rsidRPr="00E03546">
        <w:rPr>
          <w:rFonts w:ascii="Verdana" w:eastAsia="Calibri" w:hAnsi="Verdana" w:cs="Arial"/>
          <w:spacing w:val="-6"/>
        </w:rPr>
        <w:t xml:space="preserve"> </w:t>
      </w:r>
      <w:r w:rsidRPr="00E03546">
        <w:rPr>
          <w:rFonts w:ascii="Verdana" w:eastAsia="Calibri" w:hAnsi="Verdana" w:cs="Arial"/>
        </w:rPr>
        <w:t>amparo</w:t>
      </w:r>
      <w:r w:rsidRPr="00E03546">
        <w:rPr>
          <w:rFonts w:ascii="Verdana" w:eastAsia="Calibri" w:hAnsi="Verdana" w:cs="Arial"/>
          <w:spacing w:val="-5"/>
        </w:rPr>
        <w:t xml:space="preserve"> </w:t>
      </w:r>
      <w:r w:rsidRPr="00E03546">
        <w:rPr>
          <w:rFonts w:ascii="Verdana" w:eastAsia="Calibri" w:hAnsi="Verdana" w:cs="Arial"/>
        </w:rPr>
        <w:t>de</w:t>
      </w:r>
      <w:r w:rsidRPr="00E03546">
        <w:rPr>
          <w:rFonts w:ascii="Verdana" w:eastAsia="Calibri" w:hAnsi="Verdana" w:cs="Arial"/>
          <w:spacing w:val="-6"/>
        </w:rPr>
        <w:t xml:space="preserve"> </w:t>
      </w:r>
      <w:r w:rsidRPr="00E03546">
        <w:rPr>
          <w:rFonts w:ascii="Verdana" w:eastAsia="Calibri" w:hAnsi="Verdana" w:cs="Arial"/>
        </w:rPr>
        <w:t>cumplimiento</w:t>
      </w:r>
      <w:r w:rsidRPr="00E03546">
        <w:rPr>
          <w:rFonts w:ascii="Verdana" w:eastAsia="Calibri" w:hAnsi="Verdana" w:cs="Arial"/>
          <w:spacing w:val="-2"/>
        </w:rPr>
        <w:t xml:space="preserve"> </w:t>
      </w:r>
      <w:r w:rsidRPr="00E03546">
        <w:rPr>
          <w:rFonts w:ascii="Verdana" w:eastAsia="Calibri" w:hAnsi="Verdana" w:cs="Arial"/>
        </w:rPr>
        <w:t>cubre</w:t>
      </w:r>
      <w:r w:rsidRPr="00E03546">
        <w:rPr>
          <w:rFonts w:ascii="Verdana" w:eastAsia="Calibri" w:hAnsi="Verdana" w:cs="Arial"/>
          <w:spacing w:val="-5"/>
        </w:rPr>
        <w:t xml:space="preserve"> </w:t>
      </w:r>
      <w:r w:rsidRPr="00E03546">
        <w:rPr>
          <w:rFonts w:ascii="Verdana" w:eastAsia="Calibri" w:hAnsi="Verdana" w:cs="Arial"/>
        </w:rPr>
        <w:t>el</w:t>
      </w:r>
      <w:r w:rsidRPr="00E03546">
        <w:rPr>
          <w:rFonts w:ascii="Verdana" w:eastAsia="Calibri" w:hAnsi="Verdana" w:cs="Arial"/>
          <w:spacing w:val="-6"/>
        </w:rPr>
        <w:t xml:space="preserve"> </w:t>
      </w:r>
      <w:r w:rsidRPr="00E03546">
        <w:rPr>
          <w:rFonts w:ascii="Verdana" w:eastAsia="Calibri" w:hAnsi="Verdana" w:cs="Arial"/>
          <w:i/>
        </w:rPr>
        <w:t>plazo</w:t>
      </w:r>
      <w:r w:rsidRPr="00E03546">
        <w:rPr>
          <w:rFonts w:ascii="Verdana" w:eastAsia="Calibri" w:hAnsi="Verdana" w:cs="Arial"/>
          <w:i/>
          <w:spacing w:val="-5"/>
        </w:rPr>
        <w:t xml:space="preserve"> </w:t>
      </w:r>
      <w:r w:rsidRPr="00E03546">
        <w:rPr>
          <w:rFonts w:ascii="Verdana" w:eastAsia="Calibri" w:hAnsi="Verdana" w:cs="Arial"/>
          <w:i/>
        </w:rPr>
        <w:t>de ejecución</w:t>
      </w:r>
      <w:r w:rsidRPr="00E03546">
        <w:rPr>
          <w:rFonts w:ascii="Verdana" w:eastAsia="Calibri" w:hAnsi="Verdana" w:cs="Arial"/>
          <w:i/>
          <w:spacing w:val="-5"/>
        </w:rPr>
        <w:t xml:space="preserve"> </w:t>
      </w:r>
      <w:r w:rsidRPr="00E03546">
        <w:rPr>
          <w:rFonts w:ascii="Verdana" w:eastAsia="Calibri" w:hAnsi="Verdana" w:cs="Arial"/>
        </w:rPr>
        <w:t>y</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i/>
        </w:rPr>
        <w:t>plazo</w:t>
      </w:r>
      <w:r w:rsidRPr="00E03546">
        <w:rPr>
          <w:rFonts w:ascii="Verdana" w:eastAsia="Calibri" w:hAnsi="Verdana" w:cs="Arial"/>
          <w:i/>
          <w:spacing w:val="-7"/>
        </w:rPr>
        <w:t xml:space="preserve"> </w:t>
      </w:r>
      <w:r w:rsidRPr="00E03546">
        <w:rPr>
          <w:rFonts w:ascii="Verdana" w:eastAsia="Calibri" w:hAnsi="Verdana" w:cs="Arial"/>
          <w:i/>
        </w:rPr>
        <w:t>de</w:t>
      </w:r>
      <w:r w:rsidRPr="00E03546">
        <w:rPr>
          <w:rFonts w:ascii="Verdana" w:eastAsia="Calibri" w:hAnsi="Verdana" w:cs="Arial"/>
          <w:i/>
          <w:spacing w:val="-8"/>
        </w:rPr>
        <w:t xml:space="preserve"> </w:t>
      </w:r>
      <w:r w:rsidRPr="00E03546">
        <w:rPr>
          <w:rFonts w:ascii="Verdana" w:eastAsia="Calibri" w:hAnsi="Verdana" w:cs="Arial"/>
          <w:i/>
        </w:rPr>
        <w:t>vigencia</w:t>
      </w:r>
      <w:r w:rsidRPr="00E03546">
        <w:rPr>
          <w:rFonts w:ascii="Verdana" w:eastAsia="Calibri" w:hAnsi="Verdana" w:cs="Arial"/>
        </w:rPr>
        <w:t>,</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rPr>
        <w:t>cual</w:t>
      </w:r>
      <w:r w:rsidRPr="00E03546">
        <w:rPr>
          <w:rFonts w:ascii="Verdana" w:eastAsia="Calibri" w:hAnsi="Verdana" w:cs="Arial"/>
          <w:spacing w:val="-7"/>
        </w:rPr>
        <w:t xml:space="preserve"> </w:t>
      </w:r>
      <w:r w:rsidRPr="00E03546">
        <w:rPr>
          <w:rFonts w:ascii="Verdana" w:eastAsia="Calibri" w:hAnsi="Verdana" w:cs="Arial"/>
        </w:rPr>
        <w:t>finaliza</w:t>
      </w:r>
      <w:r w:rsidRPr="00E03546">
        <w:rPr>
          <w:rFonts w:ascii="Verdana" w:eastAsia="Calibri" w:hAnsi="Verdana" w:cs="Arial"/>
          <w:spacing w:val="-6"/>
        </w:rPr>
        <w:t xml:space="preserve"> </w:t>
      </w:r>
      <w:r w:rsidRPr="00E03546">
        <w:rPr>
          <w:rFonts w:ascii="Verdana" w:eastAsia="Calibri" w:hAnsi="Verdana" w:cs="Arial"/>
        </w:rPr>
        <w:t>con</w:t>
      </w:r>
      <w:r w:rsidRPr="00E03546">
        <w:rPr>
          <w:rFonts w:ascii="Verdana" w:eastAsia="Calibri" w:hAnsi="Verdana" w:cs="Arial"/>
          <w:spacing w:val="-8"/>
        </w:rPr>
        <w:t xml:space="preserve"> </w:t>
      </w:r>
      <w:r w:rsidRPr="00E03546">
        <w:rPr>
          <w:rFonts w:ascii="Verdana" w:eastAsia="Calibri" w:hAnsi="Verdana" w:cs="Arial"/>
        </w:rPr>
        <w:t>la</w:t>
      </w:r>
      <w:r w:rsidRPr="00E03546">
        <w:rPr>
          <w:rFonts w:ascii="Verdana" w:eastAsia="Calibri" w:hAnsi="Verdana" w:cs="Arial"/>
          <w:spacing w:val="-8"/>
        </w:rPr>
        <w:t xml:space="preserve"> </w:t>
      </w:r>
      <w:r w:rsidRPr="00E03546">
        <w:rPr>
          <w:rFonts w:ascii="Verdana" w:eastAsia="Calibri" w:hAnsi="Verdana" w:cs="Arial"/>
        </w:rPr>
        <w:t>liquidación.</w:t>
      </w:r>
      <w:r w:rsidRPr="00E03546">
        <w:rPr>
          <w:rFonts w:ascii="Verdana" w:eastAsia="Calibri" w:hAnsi="Verdana" w:cs="Arial"/>
          <w:spacing w:val="-5"/>
        </w:rPr>
        <w:t xml:space="preserve"> </w:t>
      </w:r>
      <w:r w:rsidRPr="00E03546">
        <w:rPr>
          <w:rFonts w:ascii="Verdana" w:eastAsia="Calibri" w:hAnsi="Verdana" w:cs="Arial"/>
        </w:rPr>
        <w:t>En</w:t>
      </w:r>
      <w:r w:rsidRPr="00E03546">
        <w:rPr>
          <w:rFonts w:ascii="Verdana" w:eastAsia="Calibri" w:hAnsi="Verdana" w:cs="Arial"/>
          <w:spacing w:val="-8"/>
        </w:rPr>
        <w:t xml:space="preserve"> </w:t>
      </w:r>
      <w:r w:rsidRPr="00E03546">
        <w:rPr>
          <w:rFonts w:ascii="Verdana" w:eastAsia="Calibri" w:hAnsi="Verdana" w:cs="Arial"/>
        </w:rPr>
        <w:t>palabras de la doctrina, “[…] el contratista deberá otorgarla con una vigencia igual al plazo</w:t>
      </w:r>
      <w:r w:rsidRPr="00E03546">
        <w:rPr>
          <w:rFonts w:ascii="Verdana" w:eastAsia="Calibri" w:hAnsi="Verdana" w:cs="Arial"/>
          <w:spacing w:val="63"/>
        </w:rPr>
        <w:t xml:space="preserve"> </w:t>
      </w:r>
      <w:r w:rsidRPr="00E03546">
        <w:rPr>
          <w:rFonts w:ascii="Verdana" w:eastAsia="Calibri" w:hAnsi="Verdana" w:cs="Arial"/>
        </w:rPr>
        <w:t>del</w:t>
      </w:r>
      <w:r w:rsidRPr="00E03546">
        <w:rPr>
          <w:rFonts w:ascii="Verdana" w:eastAsia="Calibri" w:hAnsi="Verdana" w:cs="Arial"/>
          <w:spacing w:val="62"/>
        </w:rPr>
        <w:t xml:space="preserve"> </w:t>
      </w:r>
      <w:r w:rsidRPr="00E03546">
        <w:rPr>
          <w:rFonts w:ascii="Verdana" w:eastAsia="Calibri" w:hAnsi="Verdana" w:cs="Arial"/>
        </w:rPr>
        <w:t>contrato</w:t>
      </w:r>
      <w:r w:rsidRPr="00E03546">
        <w:rPr>
          <w:rFonts w:ascii="Verdana" w:eastAsia="Calibri" w:hAnsi="Verdana" w:cs="Arial"/>
          <w:spacing w:val="64"/>
        </w:rPr>
        <w:t xml:space="preserve"> </w:t>
      </w:r>
      <w:r w:rsidRPr="00E03546">
        <w:rPr>
          <w:rFonts w:ascii="Verdana" w:eastAsia="Calibri" w:hAnsi="Verdana" w:cs="Arial"/>
        </w:rPr>
        <w:t>garantizado</w:t>
      </w:r>
      <w:r w:rsidRPr="00E03546">
        <w:rPr>
          <w:rFonts w:ascii="Verdana" w:eastAsia="Calibri" w:hAnsi="Verdana" w:cs="Arial"/>
          <w:spacing w:val="65"/>
        </w:rPr>
        <w:t xml:space="preserve"> </w:t>
      </w:r>
      <w:r w:rsidRPr="00E03546">
        <w:rPr>
          <w:rFonts w:ascii="Verdana" w:eastAsia="Calibri" w:hAnsi="Verdana" w:cs="Arial"/>
        </w:rPr>
        <w:t>más</w:t>
      </w:r>
      <w:r w:rsidRPr="00E03546">
        <w:rPr>
          <w:rFonts w:ascii="Verdana" w:eastAsia="Calibri" w:hAnsi="Verdana" w:cs="Arial"/>
          <w:spacing w:val="62"/>
        </w:rPr>
        <w:t xml:space="preserve"> </w:t>
      </w:r>
      <w:r w:rsidRPr="00E03546">
        <w:rPr>
          <w:rFonts w:ascii="Verdana" w:eastAsia="Calibri" w:hAnsi="Verdana" w:cs="Arial"/>
        </w:rPr>
        <w:t>el</w:t>
      </w:r>
      <w:r w:rsidRPr="00E03546">
        <w:rPr>
          <w:rFonts w:ascii="Verdana" w:eastAsia="Calibri" w:hAnsi="Verdana" w:cs="Arial"/>
          <w:spacing w:val="62"/>
        </w:rPr>
        <w:t xml:space="preserve"> </w:t>
      </w:r>
      <w:r w:rsidRPr="00E03546">
        <w:rPr>
          <w:rFonts w:ascii="Verdana" w:eastAsia="Calibri" w:hAnsi="Verdana" w:cs="Arial"/>
        </w:rPr>
        <w:t>plazo</w:t>
      </w:r>
      <w:r w:rsidRPr="00E03546">
        <w:rPr>
          <w:rFonts w:ascii="Verdana" w:eastAsia="Calibri" w:hAnsi="Verdana" w:cs="Arial"/>
          <w:spacing w:val="63"/>
        </w:rPr>
        <w:t xml:space="preserve"> </w:t>
      </w:r>
      <w:r w:rsidRPr="00E03546">
        <w:rPr>
          <w:rFonts w:ascii="Verdana" w:eastAsia="Calibri" w:hAnsi="Verdana" w:cs="Arial"/>
        </w:rPr>
        <w:t>contractual</w:t>
      </w:r>
      <w:r w:rsidRPr="00E03546">
        <w:rPr>
          <w:rFonts w:ascii="Verdana" w:eastAsia="Calibri" w:hAnsi="Verdana" w:cs="Arial"/>
          <w:spacing w:val="65"/>
        </w:rPr>
        <w:t xml:space="preserve"> </w:t>
      </w:r>
      <w:r w:rsidRPr="00E03546">
        <w:rPr>
          <w:rFonts w:ascii="Verdana" w:eastAsia="Calibri" w:hAnsi="Verdana" w:cs="Arial"/>
        </w:rPr>
        <w:t>previsto</w:t>
      </w:r>
      <w:r w:rsidRPr="00E03546">
        <w:rPr>
          <w:rFonts w:ascii="Verdana" w:eastAsia="Calibri" w:hAnsi="Verdana" w:cs="Arial"/>
          <w:spacing w:val="64"/>
        </w:rPr>
        <w:t xml:space="preserve"> </w:t>
      </w:r>
      <w:r w:rsidRPr="00E03546">
        <w:rPr>
          <w:rFonts w:ascii="Verdana" w:eastAsia="Calibri" w:hAnsi="Verdana" w:cs="Arial"/>
        </w:rPr>
        <w:t>para</w:t>
      </w:r>
      <w:r w:rsidRPr="00E03546">
        <w:rPr>
          <w:rFonts w:ascii="Verdana" w:eastAsia="Calibri" w:hAnsi="Verdana" w:cs="Arial"/>
          <w:spacing w:val="63"/>
        </w:rPr>
        <w:t xml:space="preserve"> </w:t>
      </w:r>
      <w:r w:rsidRPr="00E03546">
        <w:rPr>
          <w:rFonts w:ascii="Verdana" w:eastAsia="Calibri" w:hAnsi="Verdana" w:cs="Arial"/>
        </w:rPr>
        <w:t>la liquidación de aquel. En caso de no haberse convenido por las partes un término para la liquidación del contrato, la garantía deberá mantenerse vigente por el término legal previsto para este efecto […]”.</w:t>
      </w:r>
    </w:p>
    <w:p w14:paraId="18EC877C" w14:textId="13F2AB65" w:rsidR="00C30472" w:rsidRDefault="00C30472" w:rsidP="00C30472">
      <w:pPr>
        <w:spacing w:before="120" w:after="120" w:line="276" w:lineRule="auto"/>
        <w:ind w:left="142" w:right="49"/>
        <w:jc w:val="both"/>
        <w:rPr>
          <w:rFonts w:ascii="Verdana" w:eastAsia="Calibri" w:hAnsi="Verdana" w:cs="Arial"/>
        </w:rPr>
      </w:pPr>
      <w:r>
        <w:rPr>
          <w:rFonts w:ascii="Verdana" w:eastAsia="Calibri" w:hAnsi="Verdana" w:cs="Arial"/>
        </w:rPr>
        <w:t>A pesar de ello</w:t>
      </w:r>
      <w:r w:rsidRPr="00E03546">
        <w:rPr>
          <w:rFonts w:ascii="Verdana" w:eastAsia="Calibri" w:hAnsi="Verdana" w:cs="Arial"/>
        </w:rPr>
        <w:t xml:space="preserve">, </w:t>
      </w:r>
      <w:r w:rsidRPr="00FB49A3">
        <w:rPr>
          <w:rFonts w:ascii="Verdana" w:eastAsia="Calibri" w:hAnsi="Verdana" w:cs="Arial"/>
        </w:rPr>
        <w:t xml:space="preserve">los interesados adoptarán las medidas que estimen pertinentes respecto a la vigencia del amparo de cumplimiento después de vencer el término para liquidar. Especialmente, previa asesoría de sus representantes legales, los contratistas del Estado deberán evaluar los cursos de acción disponibles frente a la falta de liquidación oportuna. En ambos casos, al tratarse de un análisis que debe realizarse en cada procedimiento contractual </w:t>
      </w:r>
      <w:r w:rsidRPr="00FB49A3">
        <w:rPr>
          <w:rFonts w:ascii="Verdana" w:eastAsia="Calibri" w:hAnsi="Verdana" w:cs="Arial"/>
        </w:rPr>
        <w:lastRenderedPageBreak/>
        <w:t>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p w14:paraId="07C5285E" w14:textId="77777777" w:rsidR="00C30472" w:rsidRDefault="00C30472" w:rsidP="00C30472">
      <w:pPr>
        <w:jc w:val="both"/>
        <w:rPr>
          <w:rFonts w:ascii="Verdana" w:eastAsia="Calibri" w:hAnsi="Verdana" w:cs="Arial"/>
        </w:rPr>
      </w:pPr>
    </w:p>
    <w:p w14:paraId="6F912735" w14:textId="77777777" w:rsidR="00C30472" w:rsidRDefault="00C30472" w:rsidP="00C30472">
      <w:pPr>
        <w:jc w:val="both"/>
        <w:rPr>
          <w:rFonts w:ascii="Verdana" w:eastAsia="Calibri" w:hAnsi="Verdana" w:cs="Arial"/>
        </w:rPr>
      </w:pPr>
    </w:p>
    <w:p w14:paraId="65B06F60" w14:textId="77777777" w:rsidR="00C30472" w:rsidRDefault="00C30472" w:rsidP="00C30472">
      <w:pPr>
        <w:jc w:val="both"/>
        <w:rPr>
          <w:rFonts w:ascii="Verdana" w:eastAsia="Calibri" w:hAnsi="Verdana" w:cs="Arial"/>
        </w:rPr>
      </w:pPr>
    </w:p>
    <w:p w14:paraId="6B54FB4B" w14:textId="77777777" w:rsidR="00C30472" w:rsidRDefault="00C30472" w:rsidP="00C30472">
      <w:pPr>
        <w:jc w:val="both"/>
        <w:rPr>
          <w:rFonts w:ascii="Verdana" w:eastAsia="Calibri" w:hAnsi="Verdana" w:cs="Arial"/>
        </w:rPr>
      </w:pPr>
    </w:p>
    <w:p w14:paraId="530DF497" w14:textId="77777777" w:rsidR="00C30472" w:rsidRDefault="00C30472" w:rsidP="00C30472">
      <w:pPr>
        <w:jc w:val="both"/>
        <w:rPr>
          <w:rFonts w:ascii="Verdana" w:eastAsia="Calibri" w:hAnsi="Verdana" w:cs="Arial"/>
        </w:rPr>
      </w:pPr>
    </w:p>
    <w:p w14:paraId="4D056464" w14:textId="77777777" w:rsidR="00C30472" w:rsidRDefault="00C30472" w:rsidP="00C30472">
      <w:pPr>
        <w:jc w:val="both"/>
        <w:rPr>
          <w:rFonts w:ascii="Verdana" w:eastAsia="Calibri" w:hAnsi="Verdana" w:cs="Arial"/>
        </w:rPr>
      </w:pPr>
    </w:p>
    <w:p w14:paraId="28A14729" w14:textId="77777777" w:rsidR="00C30472" w:rsidRDefault="00C30472" w:rsidP="00C30472">
      <w:pPr>
        <w:jc w:val="both"/>
        <w:rPr>
          <w:rFonts w:ascii="Verdana" w:eastAsia="Calibri" w:hAnsi="Verdana" w:cs="Arial"/>
        </w:rPr>
      </w:pPr>
    </w:p>
    <w:p w14:paraId="3392A5B0" w14:textId="77777777" w:rsidR="00C30472" w:rsidRDefault="00C30472" w:rsidP="00C30472">
      <w:pPr>
        <w:jc w:val="both"/>
        <w:rPr>
          <w:rFonts w:ascii="Verdana" w:eastAsia="Calibri" w:hAnsi="Verdana" w:cs="Arial"/>
        </w:rPr>
      </w:pPr>
    </w:p>
    <w:p w14:paraId="237C7804" w14:textId="77777777" w:rsidR="00C30472" w:rsidRDefault="00C30472" w:rsidP="00C30472">
      <w:pPr>
        <w:jc w:val="both"/>
        <w:rPr>
          <w:rFonts w:ascii="Verdana" w:eastAsia="Calibri" w:hAnsi="Verdana" w:cs="Arial"/>
        </w:rPr>
      </w:pPr>
    </w:p>
    <w:p w14:paraId="34D84B04" w14:textId="77777777" w:rsidR="00C30472" w:rsidRDefault="00C30472" w:rsidP="00C30472">
      <w:pPr>
        <w:jc w:val="both"/>
        <w:rPr>
          <w:rFonts w:ascii="Verdana" w:eastAsia="Calibri" w:hAnsi="Verdana" w:cs="Arial"/>
        </w:rPr>
      </w:pPr>
    </w:p>
    <w:p w14:paraId="112A6E51" w14:textId="77777777" w:rsidR="00C30472" w:rsidRDefault="00C30472" w:rsidP="00C30472">
      <w:pPr>
        <w:jc w:val="both"/>
        <w:rPr>
          <w:rFonts w:ascii="Verdana" w:eastAsia="Calibri" w:hAnsi="Verdana" w:cs="Arial"/>
        </w:rPr>
      </w:pPr>
    </w:p>
    <w:p w14:paraId="0387FFB2" w14:textId="77777777" w:rsidR="00C30472" w:rsidRDefault="00C30472" w:rsidP="00C30472">
      <w:pPr>
        <w:jc w:val="both"/>
        <w:rPr>
          <w:rFonts w:ascii="Verdana" w:eastAsia="Calibri" w:hAnsi="Verdana" w:cs="Arial"/>
        </w:rPr>
      </w:pPr>
    </w:p>
    <w:p w14:paraId="3F4586C4" w14:textId="77777777" w:rsidR="00C30472" w:rsidRDefault="00C30472" w:rsidP="00C30472">
      <w:pPr>
        <w:jc w:val="both"/>
        <w:rPr>
          <w:rFonts w:ascii="Verdana" w:eastAsia="Calibri" w:hAnsi="Verdana" w:cs="Arial"/>
        </w:rPr>
      </w:pPr>
    </w:p>
    <w:p w14:paraId="3A735641" w14:textId="77777777" w:rsidR="00C30472" w:rsidRDefault="00C30472" w:rsidP="00C30472">
      <w:pPr>
        <w:jc w:val="both"/>
        <w:rPr>
          <w:rFonts w:ascii="Verdana" w:eastAsia="Calibri" w:hAnsi="Verdana" w:cs="Arial"/>
        </w:rPr>
      </w:pPr>
    </w:p>
    <w:p w14:paraId="04D40549" w14:textId="77777777" w:rsidR="00C30472" w:rsidRPr="00C30472" w:rsidRDefault="00C30472" w:rsidP="00C30472">
      <w:pPr>
        <w:jc w:val="both"/>
        <w:rPr>
          <w:rFonts w:ascii="Verdana" w:eastAsia="Times New Roman" w:hAnsi="Verdana" w:cs="Arial"/>
          <w:b/>
          <w:bCs/>
          <w:lang w:eastAsia="es-ES_tradnl"/>
        </w:rPr>
      </w:pPr>
    </w:p>
    <w:p w14:paraId="7D7EBB7F" w14:textId="77777777" w:rsidR="00C30472" w:rsidRDefault="00C30472" w:rsidP="00023FF6">
      <w:pPr>
        <w:rPr>
          <w:rFonts w:ascii="Verdana" w:eastAsia="Times New Roman" w:hAnsi="Verdana" w:cs="Arial"/>
          <w:lang w:eastAsia="es-ES_tradnl"/>
        </w:rPr>
      </w:pPr>
    </w:p>
    <w:p w14:paraId="52AAEB4D" w14:textId="77777777" w:rsidR="00C30472" w:rsidRDefault="00C30472" w:rsidP="00023FF6">
      <w:pPr>
        <w:rPr>
          <w:rFonts w:ascii="Verdana" w:eastAsia="Times New Roman" w:hAnsi="Verdana" w:cs="Arial"/>
          <w:lang w:eastAsia="es-ES_tradnl"/>
        </w:rPr>
      </w:pPr>
    </w:p>
    <w:p w14:paraId="01B5C859" w14:textId="77777777" w:rsidR="00C30472" w:rsidRDefault="00C30472" w:rsidP="00023FF6">
      <w:pPr>
        <w:rPr>
          <w:rFonts w:ascii="Verdana" w:eastAsia="Times New Roman" w:hAnsi="Verdana" w:cs="Arial"/>
          <w:lang w:eastAsia="es-ES_tradnl"/>
        </w:rPr>
      </w:pPr>
    </w:p>
    <w:p w14:paraId="16F16882" w14:textId="77777777" w:rsidR="00C30472" w:rsidRDefault="00C30472" w:rsidP="00023FF6">
      <w:pPr>
        <w:rPr>
          <w:rFonts w:ascii="Verdana" w:eastAsia="Times New Roman" w:hAnsi="Verdana" w:cs="Arial"/>
          <w:lang w:eastAsia="es-ES_tradnl"/>
        </w:rPr>
      </w:pPr>
    </w:p>
    <w:p w14:paraId="13B6F547" w14:textId="77777777" w:rsidR="00C30472" w:rsidRDefault="00C30472" w:rsidP="00023FF6">
      <w:pPr>
        <w:rPr>
          <w:rFonts w:ascii="Verdana" w:eastAsia="Times New Roman" w:hAnsi="Verdana" w:cs="Arial"/>
          <w:lang w:eastAsia="es-ES_tradnl"/>
        </w:rPr>
      </w:pPr>
    </w:p>
    <w:p w14:paraId="45309C24" w14:textId="77777777" w:rsidR="00C30472" w:rsidRDefault="00C30472" w:rsidP="00023FF6">
      <w:pPr>
        <w:rPr>
          <w:rFonts w:ascii="Verdana" w:eastAsia="Times New Roman" w:hAnsi="Verdana" w:cs="Arial"/>
          <w:lang w:eastAsia="es-ES_tradnl"/>
        </w:rPr>
      </w:pPr>
    </w:p>
    <w:p w14:paraId="16957934" w14:textId="437A7E51" w:rsidR="00023FF6" w:rsidRPr="006F44C3" w:rsidRDefault="00023FF6" w:rsidP="00023FF6">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C30472">
        <w:rPr>
          <w:rFonts w:ascii="Verdana" w:eastAsia="Times New Roman" w:hAnsi="Verdana" w:cs="Arial"/>
          <w:lang w:eastAsia="es-ES_tradnl"/>
        </w:rPr>
        <w:t>20</w:t>
      </w:r>
      <w:r w:rsidRPr="00093B55">
        <w:rPr>
          <w:rFonts w:ascii="Verdana" w:eastAsia="Times New Roman" w:hAnsi="Verdana" w:cs="Arial"/>
          <w:lang w:eastAsia="es-ES_tradnl"/>
        </w:rPr>
        <w:t xml:space="preserve"> de </w:t>
      </w:r>
      <w:r w:rsidR="00C30472">
        <w:rPr>
          <w:rFonts w:ascii="Verdana" w:eastAsia="Times New Roman" w:hAnsi="Verdana" w:cs="Arial"/>
          <w:lang w:eastAsia="es-ES_tradnl"/>
        </w:rPr>
        <w:t>octubre</w:t>
      </w:r>
      <w:r w:rsidRPr="00093B55">
        <w:rPr>
          <w:rFonts w:ascii="Verdana" w:eastAsia="Times New Roman" w:hAnsi="Verdana" w:cs="Arial"/>
          <w:lang w:eastAsia="es-ES_tradnl"/>
        </w:rPr>
        <w:t xml:space="preserve"> de </w:t>
      </w:r>
      <w:r w:rsidR="00C30472">
        <w:rPr>
          <w:rFonts w:ascii="Verdana" w:eastAsia="Times New Roman" w:hAnsi="Verdana" w:cs="Arial"/>
          <w:lang w:eastAsia="es-ES_tradnl"/>
        </w:rPr>
        <w:t>2025</w:t>
      </w:r>
    </w:p>
    <w:p w14:paraId="7F577F20" w14:textId="695FC150" w:rsidR="00023FF6" w:rsidRDefault="00C30472" w:rsidP="00C30472">
      <w:pPr>
        <w:spacing w:after="0" w:line="276" w:lineRule="auto"/>
        <w:ind w:left="4248"/>
        <w:rPr>
          <w:rFonts w:ascii="Verdana" w:eastAsia="Times New Roman" w:hAnsi="Verdana" w:cs="Arial"/>
          <w:lang w:eastAsia="es-ES_tradnl"/>
        </w:rPr>
      </w:pPr>
      <w:r w:rsidRPr="00C30472">
        <w:rPr>
          <w:rFonts w:ascii="Verdana" w:eastAsia="Times New Roman" w:hAnsi="Verdana" w:cs="Arial"/>
          <w:noProof/>
          <w:lang w:eastAsia="es-ES_tradnl"/>
        </w:rPr>
        <w:drawing>
          <wp:inline distT="0" distB="0" distL="0" distR="0" wp14:anchorId="19881625" wp14:editId="14C65B7E">
            <wp:extent cx="2648320" cy="752580"/>
            <wp:effectExtent l="0" t="0" r="0" b="9525"/>
            <wp:docPr id="719719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71971" name=""/>
                    <pic:cNvPicPr/>
                  </pic:nvPicPr>
                  <pic:blipFill>
                    <a:blip r:embed="rId10"/>
                    <a:stretch>
                      <a:fillRect/>
                    </a:stretch>
                  </pic:blipFill>
                  <pic:spPr>
                    <a:xfrm>
                      <a:off x="0" y="0"/>
                      <a:ext cx="2648320" cy="752580"/>
                    </a:xfrm>
                    <a:prstGeom prst="rect">
                      <a:avLst/>
                    </a:prstGeom>
                  </pic:spPr>
                </pic:pic>
              </a:graphicData>
            </a:graphic>
          </wp:inline>
        </w:drawing>
      </w:r>
    </w:p>
    <w:p w14:paraId="2ACB2236" w14:textId="77777777" w:rsidR="00C30472" w:rsidRPr="00093B55" w:rsidRDefault="00C30472" w:rsidP="00C30472">
      <w:pPr>
        <w:spacing w:after="0" w:line="276" w:lineRule="auto"/>
        <w:rPr>
          <w:rFonts w:ascii="Verdana" w:eastAsia="Times New Roman" w:hAnsi="Verdana" w:cs="Arial"/>
          <w:lang w:eastAsia="es-ES_tradnl"/>
        </w:rPr>
      </w:pPr>
    </w:p>
    <w:p w14:paraId="5AB4FA84" w14:textId="77777777" w:rsidR="00023FF6" w:rsidRPr="00486D98" w:rsidRDefault="00023FF6" w:rsidP="00023FF6">
      <w:pPr>
        <w:spacing w:after="0" w:line="276" w:lineRule="auto"/>
        <w:jc w:val="both"/>
        <w:rPr>
          <w:rFonts w:ascii="Verdana" w:eastAsia="Calibri" w:hAnsi="Verdana" w:cs="Arial"/>
          <w:lang w:eastAsia="es-ES_tradnl"/>
        </w:rPr>
      </w:pPr>
      <w:r w:rsidRPr="00486D98">
        <w:rPr>
          <w:rFonts w:ascii="Verdana" w:eastAsia="Calibri" w:hAnsi="Verdana" w:cs="Arial"/>
          <w:lang w:eastAsia="es-ES_tradnl"/>
        </w:rPr>
        <w:t>Señor</w:t>
      </w:r>
    </w:p>
    <w:p w14:paraId="6BFB7896" w14:textId="77777777" w:rsidR="00023FF6" w:rsidRDefault="00023FF6" w:rsidP="00023FF6">
      <w:pPr>
        <w:spacing w:after="0" w:line="276" w:lineRule="auto"/>
        <w:rPr>
          <w:rFonts w:ascii="Verdana" w:eastAsia="Calibri" w:hAnsi="Verdana" w:cs="Arial"/>
          <w:b/>
          <w:bCs/>
          <w:lang w:eastAsia="es-ES_tradnl"/>
        </w:rPr>
      </w:pPr>
      <w:proofErr w:type="spellStart"/>
      <w:r>
        <w:rPr>
          <w:rFonts w:ascii="Verdana" w:eastAsia="Calibri" w:hAnsi="Verdana" w:cs="Arial"/>
          <w:b/>
          <w:bCs/>
          <w:lang w:eastAsia="es-ES_tradnl"/>
        </w:rPr>
        <w:t>Briam</w:t>
      </w:r>
      <w:proofErr w:type="spellEnd"/>
      <w:r>
        <w:rPr>
          <w:rFonts w:ascii="Verdana" w:eastAsia="Calibri" w:hAnsi="Verdana" w:cs="Arial"/>
          <w:b/>
          <w:bCs/>
          <w:lang w:eastAsia="es-ES_tradnl"/>
        </w:rPr>
        <w:t xml:space="preserve"> </w:t>
      </w:r>
      <w:r w:rsidRPr="00486D98">
        <w:rPr>
          <w:rFonts w:ascii="Verdana" w:eastAsia="Calibri" w:hAnsi="Verdana" w:cs="Arial"/>
          <w:b/>
          <w:bCs/>
          <w:lang w:eastAsia="es-ES_tradnl"/>
        </w:rPr>
        <w:t xml:space="preserve">Alexander Hernández Cano </w:t>
      </w:r>
    </w:p>
    <w:p w14:paraId="294DFC25" w14:textId="77777777" w:rsidR="00023FF6" w:rsidRPr="00486D98" w:rsidRDefault="006F3FEE" w:rsidP="00023FF6">
      <w:pPr>
        <w:spacing w:after="0" w:line="276" w:lineRule="auto"/>
        <w:rPr>
          <w:rFonts w:ascii="Verdana" w:eastAsia="Calibri" w:hAnsi="Verdana" w:cs="Arial"/>
          <w:b/>
          <w:bCs/>
          <w:lang w:eastAsia="es-ES_tradnl"/>
        </w:rPr>
      </w:pPr>
      <w:hyperlink r:id="rId11" w:history="1">
        <w:r w:rsidR="00023FF6" w:rsidRPr="00486D98">
          <w:rPr>
            <w:rStyle w:val="Hipervnculo"/>
            <w:rFonts w:ascii="Verdana" w:eastAsia="Calibri" w:hAnsi="Verdana" w:cs="Arial"/>
            <w:lang w:eastAsia="es-ES_tradnl"/>
          </w:rPr>
          <w:t>neobriam@yahoo.es</w:t>
        </w:r>
      </w:hyperlink>
      <w:r w:rsidR="00023FF6" w:rsidRPr="00486D98">
        <w:rPr>
          <w:rFonts w:ascii="Verdana" w:eastAsia="Calibri" w:hAnsi="Verdana" w:cs="Arial"/>
          <w:lang w:eastAsia="es-ES_tradnl"/>
        </w:rPr>
        <w:t xml:space="preserve">; </w:t>
      </w:r>
      <w:r w:rsidR="00023FF6" w:rsidRPr="00486D98">
        <w:rPr>
          <w:rFonts w:ascii="Verdana" w:eastAsia="Calibri" w:hAnsi="Verdana" w:cs="Arial"/>
          <w:u w:val="single"/>
          <w:lang w:eastAsia="es-ES_tradnl"/>
        </w:rPr>
        <w:t xml:space="preserve"> </w:t>
      </w:r>
    </w:p>
    <w:p w14:paraId="2FCECF6A" w14:textId="77777777" w:rsidR="00023FF6" w:rsidRPr="00E03546" w:rsidRDefault="00023FF6" w:rsidP="00023FF6">
      <w:pPr>
        <w:spacing w:after="0" w:line="276" w:lineRule="auto"/>
        <w:rPr>
          <w:rFonts w:ascii="Verdana" w:eastAsia="Calibri" w:hAnsi="Verdana" w:cs="Arial"/>
          <w:lang w:eastAsia="es-ES_tradnl"/>
        </w:rPr>
      </w:pPr>
    </w:p>
    <w:p w14:paraId="2BF7E349" w14:textId="77777777" w:rsidR="00023FF6" w:rsidRPr="00E03546" w:rsidRDefault="00023FF6" w:rsidP="00023FF6">
      <w:pPr>
        <w:spacing w:after="0" w:line="276" w:lineRule="auto"/>
        <w:rPr>
          <w:rFonts w:ascii="Verdana" w:eastAsia="Calibri" w:hAnsi="Verdana" w:cs="Arial"/>
          <w:lang w:val="fr-FR" w:eastAsia="es-ES_tradnl"/>
        </w:rPr>
      </w:pPr>
    </w:p>
    <w:p w14:paraId="5FD72FD3" w14:textId="77777777" w:rsidR="00023FF6" w:rsidRPr="00E03546" w:rsidRDefault="00023FF6" w:rsidP="00023FF6">
      <w:pPr>
        <w:spacing w:after="0" w:line="276" w:lineRule="auto"/>
        <w:rPr>
          <w:rFonts w:ascii="Verdana" w:eastAsia="Calibri" w:hAnsi="Verdana" w:cs="Arial"/>
          <w:b/>
          <w:bCs/>
          <w:lang w:val="fr-FR" w:eastAsia="es-ES_tradnl"/>
        </w:rPr>
      </w:pPr>
      <w:r w:rsidRPr="00E03546">
        <w:rPr>
          <w:rFonts w:ascii="Verdana" w:eastAsia="Calibri" w:hAnsi="Verdana" w:cs="Arial"/>
          <w:lang w:val="fr-FR" w:eastAsia="es-ES_tradnl"/>
        </w:rPr>
        <w:tab/>
      </w:r>
      <w:r w:rsidRPr="00E03546">
        <w:rPr>
          <w:rFonts w:ascii="Verdana" w:eastAsia="Calibri" w:hAnsi="Verdana" w:cs="Arial"/>
          <w:lang w:val="fr-FR" w:eastAsia="es-ES_tradnl"/>
        </w:rPr>
        <w:tab/>
      </w:r>
      <w:r w:rsidRPr="00E03546">
        <w:rPr>
          <w:rFonts w:ascii="Verdana" w:eastAsia="Calibri" w:hAnsi="Verdana" w:cs="Arial"/>
          <w:lang w:val="fr-FR" w:eastAsia="es-ES_tradnl"/>
        </w:rPr>
        <w:tab/>
      </w:r>
      <w:r w:rsidRPr="00E03546">
        <w:rPr>
          <w:rFonts w:ascii="Verdana" w:eastAsia="Calibri" w:hAnsi="Verdana" w:cs="Arial"/>
          <w:lang w:val="fr-FR" w:eastAsia="es-ES_tradnl"/>
        </w:rPr>
        <w:tab/>
        <w:t xml:space="preserve">    </w:t>
      </w:r>
      <w:proofErr w:type="spellStart"/>
      <w:r w:rsidRPr="00E03546">
        <w:rPr>
          <w:rFonts w:ascii="Verdana" w:eastAsia="Calibri" w:hAnsi="Verdana" w:cs="Arial"/>
          <w:b/>
          <w:bCs/>
          <w:lang w:val="fr-FR" w:eastAsia="es-ES_tradnl"/>
        </w:rPr>
        <w:t>Concepto</w:t>
      </w:r>
      <w:proofErr w:type="spellEnd"/>
      <w:r w:rsidRPr="00E03546">
        <w:rPr>
          <w:rFonts w:ascii="Verdana" w:eastAsia="Calibri" w:hAnsi="Verdana" w:cs="Arial"/>
          <w:b/>
          <w:bCs/>
          <w:lang w:val="fr-FR" w:eastAsia="es-ES_tradnl"/>
        </w:rPr>
        <w:t xml:space="preserve"> </w:t>
      </w:r>
      <w:r w:rsidRPr="006F44C3">
        <w:rPr>
          <w:rFonts w:ascii="Verdana" w:eastAsia="Calibri" w:hAnsi="Verdana" w:cs="Arial"/>
          <w:b/>
          <w:bCs/>
          <w:lang w:val="fr-FR" w:eastAsia="es-ES_tradnl"/>
        </w:rPr>
        <w:t>C-1</w:t>
      </w:r>
      <w:r>
        <w:rPr>
          <w:rFonts w:ascii="Verdana" w:eastAsia="Calibri" w:hAnsi="Verdana" w:cs="Arial"/>
          <w:b/>
          <w:bCs/>
          <w:lang w:val="fr-FR" w:eastAsia="es-ES_tradnl"/>
        </w:rPr>
        <w:t xml:space="preserve">412 de </w:t>
      </w:r>
      <w:r w:rsidRPr="00E03546">
        <w:rPr>
          <w:rFonts w:ascii="Verdana" w:eastAsia="Calibri" w:hAnsi="Verdana" w:cs="Arial"/>
          <w:b/>
          <w:bCs/>
          <w:lang w:val="fr-FR" w:eastAsia="es-ES_tradnl"/>
        </w:rPr>
        <w:t>2025</w:t>
      </w:r>
    </w:p>
    <w:p w14:paraId="5D52965B" w14:textId="77777777" w:rsidR="00023FF6" w:rsidRPr="00E03546" w:rsidRDefault="00023FF6" w:rsidP="00023FF6">
      <w:pPr>
        <w:spacing w:after="0" w:line="276" w:lineRule="auto"/>
        <w:jc w:val="both"/>
        <w:rPr>
          <w:rFonts w:ascii="Verdana" w:eastAsia="Calibri" w:hAnsi="Verdana" w:cs="Arial"/>
          <w:lang w:val="fr-FR" w:eastAsia="es-ES_tradnl"/>
        </w:rPr>
      </w:pPr>
    </w:p>
    <w:tbl>
      <w:tblPr>
        <w:tblStyle w:val="Tablaconcuadrcula"/>
        <w:tblW w:w="8788"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8"/>
        <w:gridCol w:w="6100"/>
      </w:tblGrid>
      <w:tr w:rsidR="00023FF6" w:rsidRPr="00E03546" w14:paraId="30C78617" w14:textId="77777777" w:rsidTr="00636F25">
        <w:trPr>
          <w:trHeight w:val="661"/>
          <w:jc w:val="right"/>
        </w:trPr>
        <w:tc>
          <w:tcPr>
            <w:tcW w:w="2688" w:type="dxa"/>
          </w:tcPr>
          <w:p w14:paraId="445EFFB1" w14:textId="77777777" w:rsidR="00023FF6" w:rsidRPr="00E03546" w:rsidRDefault="00023FF6" w:rsidP="00636F25">
            <w:pPr>
              <w:spacing w:line="276" w:lineRule="auto"/>
              <w:rPr>
                <w:rFonts w:ascii="Verdana" w:eastAsia="Calibri" w:hAnsi="Verdana" w:cs="Arial"/>
                <w:b/>
                <w:bCs/>
                <w:lang w:eastAsia="es-ES_tradnl"/>
              </w:rPr>
            </w:pPr>
            <w:r w:rsidRPr="00E03546">
              <w:rPr>
                <w:rFonts w:ascii="Verdana" w:eastAsia="Calibri" w:hAnsi="Verdana" w:cs="Arial"/>
                <w:b/>
                <w:bCs/>
                <w:lang w:eastAsia="es-ES_tradnl"/>
              </w:rPr>
              <w:t>Temas:</w:t>
            </w:r>
          </w:p>
        </w:tc>
        <w:tc>
          <w:tcPr>
            <w:tcW w:w="6100" w:type="dxa"/>
          </w:tcPr>
          <w:p w14:paraId="0B8412F4" w14:textId="77777777" w:rsidR="00023FF6" w:rsidRPr="00E03546" w:rsidRDefault="00023FF6" w:rsidP="00636F25">
            <w:pPr>
              <w:tabs>
                <w:tab w:val="left" w:pos="1332"/>
              </w:tabs>
              <w:spacing w:after="120"/>
              <w:ind w:left="429" w:right="899"/>
              <w:jc w:val="both"/>
              <w:rPr>
                <w:rFonts w:ascii="Verdana" w:eastAsia="Verdana" w:hAnsi="Verdana" w:cs="Verdana"/>
                <w:spacing w:val="2"/>
                <w:lang w:val="es-ES"/>
              </w:rPr>
            </w:pPr>
            <w:bookmarkStart w:id="0" w:name="_Hlk178601733"/>
            <w:r w:rsidRPr="008F05E3">
              <w:rPr>
                <w:rFonts w:ascii="Verdana" w:eastAsia="Verdana" w:hAnsi="Verdana" w:cs="Verdana"/>
                <w:spacing w:val="2"/>
                <w:lang w:val="es-ES"/>
              </w:rPr>
              <w:t>CONTRATACION DIRECTA – Contratos y/o convenios interadministrativos - GARANTÍA DE ÚNICA DE CUMPLIMIENTO – Definición – Fundamento normativo / LIQUIDACIÓN DEL CONTRATO – Definición - Objetivo   / LIQUIDACIÓN DEL CONTRATO – Normativa / LIQUIDACIÓN DEL CONTRATO – Garantía Única de Cumplimiento – Suficiencia</w:t>
            </w:r>
            <w:r w:rsidRPr="00E03546">
              <w:rPr>
                <w:rFonts w:ascii="Verdana" w:eastAsia="Verdana" w:hAnsi="Verdana" w:cs="Verdana"/>
                <w:spacing w:val="2"/>
                <w:lang w:val="es-ES"/>
              </w:rPr>
              <w:t xml:space="preserve"> </w:t>
            </w:r>
          </w:p>
          <w:bookmarkEnd w:id="0"/>
          <w:p w14:paraId="64D7D276" w14:textId="77777777" w:rsidR="00023FF6" w:rsidRPr="00E03546" w:rsidRDefault="00023FF6" w:rsidP="00636F25">
            <w:pPr>
              <w:tabs>
                <w:tab w:val="left" w:pos="5193"/>
              </w:tabs>
              <w:spacing w:line="276" w:lineRule="auto"/>
              <w:jc w:val="both"/>
              <w:rPr>
                <w:rFonts w:ascii="Verdana" w:eastAsia="Calibri" w:hAnsi="Verdana" w:cs="Arial"/>
                <w:bCs/>
                <w:color w:val="000000"/>
              </w:rPr>
            </w:pPr>
          </w:p>
          <w:p w14:paraId="46B1DF12" w14:textId="77777777" w:rsidR="00023FF6" w:rsidRPr="00E03546" w:rsidRDefault="00023FF6" w:rsidP="00636F25">
            <w:pPr>
              <w:tabs>
                <w:tab w:val="left" w:pos="5193"/>
              </w:tabs>
              <w:spacing w:line="276" w:lineRule="auto"/>
              <w:jc w:val="both"/>
              <w:rPr>
                <w:rFonts w:ascii="Verdana" w:eastAsia="Calibri" w:hAnsi="Verdana" w:cs="Arial"/>
                <w:lang w:val="es-MX" w:eastAsia="es-ES_tradnl"/>
              </w:rPr>
            </w:pPr>
          </w:p>
        </w:tc>
      </w:tr>
      <w:tr w:rsidR="00023FF6" w:rsidRPr="00E03546" w14:paraId="5212F76D" w14:textId="77777777" w:rsidTr="00636F25">
        <w:trPr>
          <w:trHeight w:val="83"/>
          <w:jc w:val="right"/>
        </w:trPr>
        <w:tc>
          <w:tcPr>
            <w:tcW w:w="2688" w:type="dxa"/>
          </w:tcPr>
          <w:p w14:paraId="716FDDF2" w14:textId="77777777" w:rsidR="00023FF6" w:rsidRPr="00E03546" w:rsidRDefault="00023FF6" w:rsidP="00636F25">
            <w:pPr>
              <w:spacing w:line="276" w:lineRule="auto"/>
              <w:rPr>
                <w:rFonts w:ascii="Verdana" w:eastAsia="Calibri" w:hAnsi="Verdana" w:cs="Arial"/>
                <w:b/>
                <w:lang w:eastAsia="es-ES_tradnl"/>
              </w:rPr>
            </w:pPr>
            <w:r w:rsidRPr="00E03546">
              <w:rPr>
                <w:rFonts w:ascii="Verdana" w:eastAsia="Calibri" w:hAnsi="Verdana" w:cs="Arial"/>
                <w:b/>
                <w:lang w:eastAsia="es-ES_tradnl"/>
              </w:rPr>
              <w:t>Radicación:</w:t>
            </w:r>
          </w:p>
        </w:tc>
        <w:tc>
          <w:tcPr>
            <w:tcW w:w="6100" w:type="dxa"/>
          </w:tcPr>
          <w:p w14:paraId="6BA27297" w14:textId="77777777" w:rsidR="00023FF6" w:rsidRPr="00E03546" w:rsidRDefault="00023FF6" w:rsidP="00636F25">
            <w:pPr>
              <w:tabs>
                <w:tab w:val="left" w:pos="6092"/>
              </w:tabs>
              <w:spacing w:line="276" w:lineRule="auto"/>
              <w:ind w:left="429"/>
              <w:jc w:val="both"/>
              <w:rPr>
                <w:rFonts w:ascii="Verdana" w:eastAsia="Calibri" w:hAnsi="Verdana" w:cs="Arial"/>
                <w:lang w:eastAsia="es-ES_tradnl"/>
              </w:rPr>
            </w:pPr>
            <w:r w:rsidRPr="00E03546">
              <w:rPr>
                <w:rFonts w:ascii="Verdana" w:eastAsia="Calibri" w:hAnsi="Verdana" w:cs="Arial"/>
                <w:lang w:eastAsia="es-ES_tradnl"/>
              </w:rPr>
              <w:t>Respuesta de consulta No. 1</w:t>
            </w:r>
            <w:r w:rsidRPr="00486D98">
              <w:rPr>
                <w:rFonts w:ascii="Verdana" w:eastAsia="Calibri" w:hAnsi="Verdana" w:cs="Arial"/>
                <w:lang w:eastAsia="es-ES_tradnl"/>
              </w:rPr>
              <w:t>_2025_10_01_010903</w:t>
            </w:r>
          </w:p>
        </w:tc>
      </w:tr>
    </w:tbl>
    <w:p w14:paraId="3CAAF214" w14:textId="77777777" w:rsidR="00023FF6" w:rsidRPr="00E03546" w:rsidRDefault="00023FF6" w:rsidP="00023FF6">
      <w:pPr>
        <w:spacing w:after="0" w:line="276" w:lineRule="auto"/>
        <w:jc w:val="both"/>
        <w:rPr>
          <w:rFonts w:ascii="Verdana" w:eastAsia="Calibri" w:hAnsi="Verdana" w:cs="Arial"/>
          <w:lang w:eastAsia="es-ES_tradnl"/>
        </w:rPr>
      </w:pPr>
    </w:p>
    <w:p w14:paraId="0515CF2C" w14:textId="77777777" w:rsidR="00023FF6" w:rsidRPr="00E03546" w:rsidRDefault="00023FF6" w:rsidP="00023FF6">
      <w:pPr>
        <w:spacing w:after="0" w:line="276" w:lineRule="auto"/>
        <w:jc w:val="both"/>
        <w:rPr>
          <w:rFonts w:ascii="Verdana" w:eastAsia="Calibri" w:hAnsi="Verdana" w:cs="Arial"/>
          <w:lang w:eastAsia="es-ES_tradnl"/>
        </w:rPr>
      </w:pPr>
    </w:p>
    <w:p w14:paraId="30B97FA9" w14:textId="77777777" w:rsidR="00023FF6" w:rsidRPr="00E03546" w:rsidRDefault="00023FF6" w:rsidP="00023FF6">
      <w:pPr>
        <w:spacing w:after="0" w:line="276" w:lineRule="auto"/>
        <w:contextualSpacing/>
        <w:jc w:val="both"/>
        <w:rPr>
          <w:rFonts w:ascii="Verdana" w:eastAsia="Calibri" w:hAnsi="Verdana" w:cs="Arial"/>
          <w:bCs/>
          <w:lang w:eastAsia="es-ES_tradnl"/>
        </w:rPr>
      </w:pPr>
      <w:r w:rsidRPr="00E03546">
        <w:rPr>
          <w:rFonts w:ascii="Verdana" w:eastAsia="Calibri" w:hAnsi="Verdana" w:cs="Arial"/>
          <w:lang w:eastAsia="es-ES_tradnl"/>
        </w:rPr>
        <w:t>Estimad</w:t>
      </w:r>
      <w:r>
        <w:rPr>
          <w:rFonts w:ascii="Verdana" w:eastAsia="Calibri" w:hAnsi="Verdana" w:cs="Arial"/>
          <w:lang w:eastAsia="es-ES_tradnl"/>
        </w:rPr>
        <w:t>o</w:t>
      </w:r>
      <w:r w:rsidRPr="00E03546">
        <w:rPr>
          <w:rFonts w:ascii="Verdana" w:eastAsia="Calibri" w:hAnsi="Verdana" w:cs="Arial"/>
          <w:lang w:eastAsia="es-ES_tradnl"/>
        </w:rPr>
        <w:t xml:space="preserve"> </w:t>
      </w:r>
      <w:r>
        <w:rPr>
          <w:rFonts w:ascii="Verdana" w:eastAsia="Calibri" w:hAnsi="Verdana" w:cs="Arial"/>
          <w:lang w:eastAsia="es-ES_tradnl"/>
        </w:rPr>
        <w:t>señor</w:t>
      </w:r>
      <w:r w:rsidRPr="00E03546">
        <w:rPr>
          <w:rFonts w:ascii="Verdana" w:eastAsia="Calibri" w:hAnsi="Verdana" w:cs="Arial"/>
          <w:lang w:eastAsia="es-ES_tradnl"/>
        </w:rPr>
        <w:t xml:space="preserve"> </w:t>
      </w:r>
      <w:r>
        <w:rPr>
          <w:rFonts w:ascii="Verdana" w:eastAsia="Calibri" w:hAnsi="Verdana" w:cs="Arial"/>
          <w:lang w:eastAsia="es-ES_tradnl"/>
        </w:rPr>
        <w:t>Hernández</w:t>
      </w:r>
      <w:r w:rsidRPr="00E03546">
        <w:rPr>
          <w:rFonts w:ascii="Verdana" w:eastAsia="Calibri" w:hAnsi="Verdana" w:cs="Arial"/>
          <w:lang w:eastAsia="es-ES_tradnl"/>
        </w:rPr>
        <w:t>,</w:t>
      </w:r>
    </w:p>
    <w:p w14:paraId="57634478" w14:textId="77777777" w:rsidR="00023FF6" w:rsidRPr="00E03546" w:rsidRDefault="00023FF6" w:rsidP="00023FF6">
      <w:pPr>
        <w:spacing w:after="0" w:line="276" w:lineRule="auto"/>
        <w:contextualSpacing/>
        <w:jc w:val="both"/>
        <w:rPr>
          <w:rFonts w:ascii="Verdana" w:eastAsia="Calibri" w:hAnsi="Verdana" w:cs="Arial"/>
          <w:lang w:eastAsia="es-ES_tradnl"/>
        </w:rPr>
      </w:pPr>
    </w:p>
    <w:p w14:paraId="164693C7" w14:textId="77777777" w:rsidR="00023FF6" w:rsidRPr="00E03546" w:rsidRDefault="00023FF6" w:rsidP="00023FF6">
      <w:pPr>
        <w:spacing w:line="276" w:lineRule="auto"/>
        <w:jc w:val="both"/>
        <w:rPr>
          <w:rFonts w:ascii="Verdana" w:eastAsia="Calibri" w:hAnsi="Verdana" w:cs="Arial"/>
          <w:lang w:eastAsia="es-ES_tradnl"/>
        </w:rPr>
      </w:pPr>
      <w:r w:rsidRPr="00E03546">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 responde su solicitud de consulta de fecha </w:t>
      </w:r>
      <w:r>
        <w:rPr>
          <w:rFonts w:ascii="Verdana" w:eastAsia="Calibri" w:hAnsi="Verdana" w:cs="Arial"/>
          <w:lang w:eastAsia="es-ES_tradnl"/>
        </w:rPr>
        <w:t>01</w:t>
      </w:r>
      <w:r w:rsidRPr="00E03546">
        <w:rPr>
          <w:rFonts w:ascii="Verdana" w:eastAsia="Calibri" w:hAnsi="Verdana" w:cs="Arial"/>
          <w:lang w:eastAsia="es-ES_tradnl"/>
        </w:rPr>
        <w:t xml:space="preserve"> de</w:t>
      </w:r>
      <w:r>
        <w:rPr>
          <w:rFonts w:ascii="Verdana" w:eastAsia="Calibri" w:hAnsi="Verdana" w:cs="Arial"/>
          <w:lang w:eastAsia="es-ES_tradnl"/>
        </w:rPr>
        <w:t xml:space="preserve"> octubre</w:t>
      </w:r>
      <w:r w:rsidRPr="00E03546">
        <w:rPr>
          <w:rFonts w:ascii="Verdana" w:eastAsia="Calibri" w:hAnsi="Verdana" w:cs="Arial"/>
          <w:lang w:eastAsia="es-ES_tradnl"/>
        </w:rPr>
        <w:t xml:space="preserve"> de 2025, en la cual consulta lo siguiente: </w:t>
      </w:r>
    </w:p>
    <w:p w14:paraId="2C9FE727" w14:textId="77777777" w:rsidR="00023FF6" w:rsidRPr="00E03546" w:rsidRDefault="00023FF6" w:rsidP="00023FF6">
      <w:pPr>
        <w:spacing w:after="0" w:line="276" w:lineRule="auto"/>
        <w:jc w:val="both"/>
        <w:rPr>
          <w:rFonts w:ascii="Verdana" w:eastAsia="Calibri" w:hAnsi="Verdana" w:cs="Arial"/>
          <w:lang w:eastAsia="es-ES_tradnl"/>
        </w:rPr>
      </w:pPr>
    </w:p>
    <w:p w14:paraId="0D737CF1" w14:textId="77777777" w:rsidR="00023FF6" w:rsidRPr="00BA744B" w:rsidRDefault="00023FF6" w:rsidP="00023FF6">
      <w:pPr>
        <w:spacing w:after="0" w:line="276" w:lineRule="auto"/>
        <w:ind w:left="709" w:right="709"/>
        <w:jc w:val="both"/>
        <w:rPr>
          <w:rFonts w:ascii="Verdana" w:eastAsia="Times New Roman" w:hAnsi="Verdana" w:cs="Arial"/>
          <w:iCs/>
          <w:sz w:val="21"/>
          <w:szCs w:val="21"/>
          <w:lang w:eastAsia="es-ES_tradnl"/>
        </w:rPr>
      </w:pPr>
      <w:r w:rsidRPr="00BA744B">
        <w:rPr>
          <w:rFonts w:ascii="Verdana" w:eastAsia="Times New Roman" w:hAnsi="Verdana" w:cs="Arial"/>
          <w:iCs/>
          <w:sz w:val="21"/>
          <w:szCs w:val="21"/>
          <w:lang w:eastAsia="es-ES_tradnl"/>
        </w:rPr>
        <w:t xml:space="preserve">“[…] </w:t>
      </w:r>
      <w:r w:rsidRPr="00CF12B0">
        <w:rPr>
          <w:rFonts w:ascii="Verdana" w:eastAsia="Times New Roman" w:hAnsi="Verdana" w:cs="Arial"/>
          <w:iCs/>
          <w:sz w:val="21"/>
          <w:szCs w:val="21"/>
          <w:lang w:eastAsia="es-ES_tradnl"/>
        </w:rPr>
        <w:t xml:space="preserve">Carácter no obligatorio y decisión de exigir Confirmar que, de acuerdo con el art. 7 de la Ley 1150 de 2007, en los contratos </w:t>
      </w:r>
      <w:r w:rsidRPr="00CF12B0">
        <w:rPr>
          <w:rFonts w:ascii="Verdana" w:eastAsia="Times New Roman" w:hAnsi="Verdana" w:cs="Arial"/>
          <w:iCs/>
          <w:sz w:val="21"/>
          <w:szCs w:val="21"/>
          <w:lang w:eastAsia="es-ES_tradnl"/>
        </w:rPr>
        <w:lastRenderedPageBreak/>
        <w:t xml:space="preserve">interadministrativos no es obligatoria la exigencia de garantías y que, por tanto, su solicitud por parte de la entidad obedece a una decisión motivada de gestión del riesgo en los estudios y documentos previos. </w:t>
      </w:r>
    </w:p>
    <w:p w14:paraId="228CDEC1" w14:textId="77777777" w:rsidR="00023FF6" w:rsidRPr="00CF12B0" w:rsidRDefault="00023FF6" w:rsidP="00023FF6">
      <w:pPr>
        <w:spacing w:after="0" w:line="276" w:lineRule="auto"/>
        <w:ind w:left="709" w:right="709"/>
        <w:jc w:val="both"/>
        <w:rPr>
          <w:rFonts w:ascii="Verdana" w:eastAsia="Times New Roman" w:hAnsi="Verdana" w:cs="Arial"/>
          <w:iCs/>
          <w:sz w:val="21"/>
          <w:szCs w:val="21"/>
          <w:lang w:eastAsia="es-ES_tradnl"/>
        </w:rPr>
      </w:pPr>
    </w:p>
    <w:p w14:paraId="114A443E" w14:textId="77777777" w:rsidR="00023FF6" w:rsidRPr="00BA744B" w:rsidRDefault="00023FF6" w:rsidP="00023FF6">
      <w:pPr>
        <w:spacing w:after="0" w:line="276" w:lineRule="auto"/>
        <w:ind w:left="709" w:right="709"/>
        <w:jc w:val="both"/>
        <w:rPr>
          <w:rFonts w:ascii="Verdana" w:eastAsia="Times New Roman" w:hAnsi="Verdana" w:cs="Arial"/>
          <w:iCs/>
          <w:sz w:val="21"/>
          <w:szCs w:val="21"/>
          <w:lang w:eastAsia="es-ES_tradnl"/>
        </w:rPr>
      </w:pPr>
      <w:r w:rsidRPr="00CF12B0">
        <w:rPr>
          <w:rFonts w:ascii="Verdana" w:eastAsia="Times New Roman" w:hAnsi="Verdana" w:cs="Arial"/>
          <w:iCs/>
          <w:sz w:val="21"/>
          <w:szCs w:val="21"/>
          <w:lang w:eastAsia="es-ES_tradnl"/>
        </w:rPr>
        <w:t xml:space="preserve">Alcance de “hasta la liquidación del contrato” (regla del D. 1082) Precisar si la expresión del art. 2.2.1.2.3.1.12 del Decreto 1082 de 2015 —“vigencia mínima hasta la liquidación del contrato”— significa que, cuando la entidad exige póliza de cumplimiento en un interadministrativo, la garantía debe mantenerse vigente como mínimo hasta la fecha efectiva de la liquidación (acta bilateral o acto unilateral), aun si la minuta inicialmente dijo “ejecución + 6 meses” y la liquidación ocurre con posterioridad. </w:t>
      </w:r>
    </w:p>
    <w:p w14:paraId="6928C5DA" w14:textId="77777777" w:rsidR="00023FF6" w:rsidRPr="00BA744B" w:rsidRDefault="00023FF6" w:rsidP="00023FF6">
      <w:pPr>
        <w:spacing w:after="0" w:line="276" w:lineRule="auto"/>
        <w:ind w:left="709" w:right="709"/>
        <w:jc w:val="both"/>
        <w:rPr>
          <w:rFonts w:ascii="Verdana" w:eastAsia="Times New Roman" w:hAnsi="Verdana" w:cs="Arial"/>
          <w:iCs/>
          <w:sz w:val="21"/>
          <w:szCs w:val="21"/>
          <w:lang w:eastAsia="es-ES_tradnl"/>
        </w:rPr>
      </w:pPr>
      <w:r w:rsidRPr="00BA744B">
        <w:rPr>
          <w:rFonts w:ascii="Verdana" w:eastAsia="Times New Roman" w:hAnsi="Verdana" w:cs="Arial"/>
          <w:iCs/>
          <w:sz w:val="21"/>
          <w:szCs w:val="21"/>
          <w:lang w:eastAsia="es-ES_tradnl"/>
        </w:rPr>
        <w:t xml:space="preserve">Vinculación con los plazos legales de liquidación (art. 11 Ley 1150) Solicitar que CCE clarifique si, a falta de un plazo de liquidación pactado, la </w:t>
      </w:r>
      <w:r w:rsidRPr="00CF12B0">
        <w:rPr>
          <w:rFonts w:ascii="Verdana" w:eastAsia="Times New Roman" w:hAnsi="Verdana" w:cs="Arial"/>
          <w:iCs/>
          <w:sz w:val="21"/>
          <w:szCs w:val="21"/>
          <w:lang w:eastAsia="es-ES_tradnl"/>
        </w:rPr>
        <w:t xml:space="preserve">implica extenderla, como mínimo, por todo el horizonte legal supletivo: </w:t>
      </w:r>
    </w:p>
    <w:p w14:paraId="5C3B3966" w14:textId="77777777" w:rsidR="00023FF6" w:rsidRPr="00BA744B" w:rsidRDefault="00023FF6" w:rsidP="00023FF6">
      <w:pPr>
        <w:pStyle w:val="Prrafodelista"/>
        <w:numPr>
          <w:ilvl w:val="0"/>
          <w:numId w:val="17"/>
        </w:numPr>
        <w:spacing w:after="0" w:line="276" w:lineRule="auto"/>
        <w:ind w:left="709" w:right="709"/>
        <w:jc w:val="both"/>
        <w:rPr>
          <w:rFonts w:ascii="Verdana" w:eastAsia="Times New Roman" w:hAnsi="Verdana" w:cs="Arial"/>
          <w:iCs/>
          <w:sz w:val="21"/>
          <w:szCs w:val="21"/>
          <w:lang w:eastAsia="es-ES_tradnl"/>
        </w:rPr>
      </w:pPr>
      <w:r w:rsidRPr="00BA744B">
        <w:rPr>
          <w:rFonts w:ascii="Verdana" w:eastAsia="Times New Roman" w:hAnsi="Verdana" w:cs="Arial"/>
          <w:iCs/>
          <w:sz w:val="21"/>
          <w:szCs w:val="21"/>
          <w:lang w:eastAsia="es-ES_tradnl"/>
        </w:rPr>
        <w:t xml:space="preserve">hasta 4 meses para liquidación de mutuo acuerdo, </w:t>
      </w:r>
    </w:p>
    <w:p w14:paraId="6715EBE6" w14:textId="77777777" w:rsidR="00023FF6" w:rsidRPr="00BA744B" w:rsidRDefault="00023FF6" w:rsidP="00023FF6">
      <w:pPr>
        <w:pStyle w:val="Prrafodelista"/>
        <w:numPr>
          <w:ilvl w:val="0"/>
          <w:numId w:val="17"/>
        </w:numPr>
        <w:spacing w:after="0" w:line="276" w:lineRule="auto"/>
        <w:ind w:left="709" w:right="709"/>
        <w:jc w:val="both"/>
        <w:rPr>
          <w:rFonts w:ascii="Verdana" w:eastAsia="Times New Roman" w:hAnsi="Verdana" w:cs="Arial"/>
          <w:iCs/>
          <w:sz w:val="21"/>
          <w:szCs w:val="21"/>
          <w:lang w:eastAsia="es-ES_tradnl"/>
        </w:rPr>
      </w:pPr>
      <w:r w:rsidRPr="00BA744B">
        <w:rPr>
          <w:rFonts w:ascii="Verdana" w:eastAsia="Times New Roman" w:hAnsi="Verdana" w:cs="Arial"/>
          <w:iCs/>
          <w:sz w:val="21"/>
          <w:szCs w:val="21"/>
          <w:lang w:eastAsia="es-ES_tradnl"/>
        </w:rPr>
        <w:t xml:space="preserve">+ 2 meses para liquidación unilateral, y </w:t>
      </w:r>
    </w:p>
    <w:p w14:paraId="4F07BB55" w14:textId="77777777" w:rsidR="00023FF6" w:rsidRPr="00BA744B" w:rsidRDefault="00023FF6" w:rsidP="00023FF6">
      <w:pPr>
        <w:pStyle w:val="Prrafodelista"/>
        <w:numPr>
          <w:ilvl w:val="0"/>
          <w:numId w:val="17"/>
        </w:numPr>
        <w:spacing w:after="0" w:line="276" w:lineRule="auto"/>
        <w:ind w:left="709" w:right="709"/>
        <w:jc w:val="both"/>
        <w:rPr>
          <w:rFonts w:ascii="Verdana" w:eastAsia="Times New Roman" w:hAnsi="Verdana" w:cs="Arial"/>
          <w:iCs/>
          <w:sz w:val="21"/>
          <w:szCs w:val="21"/>
          <w:lang w:eastAsia="es-ES_tradnl"/>
        </w:rPr>
      </w:pPr>
      <w:r w:rsidRPr="00BA744B">
        <w:rPr>
          <w:rFonts w:ascii="Verdana" w:eastAsia="Times New Roman" w:hAnsi="Verdana" w:cs="Arial"/>
          <w:iCs/>
          <w:sz w:val="21"/>
          <w:szCs w:val="21"/>
          <w:lang w:eastAsia="es-ES_tradnl"/>
        </w:rPr>
        <w:t xml:space="preserve">dentro del término adicional de 2 años (24 meses) en el cual todavía puede realizarse la liquidación (mutuo acuerdo o unilateral), de modo que la garantía cubra cualquiera de esos escenarios si la liquidación efectiva se produce en ese periodo. </w:t>
      </w:r>
    </w:p>
    <w:p w14:paraId="76AA917B" w14:textId="77777777" w:rsidR="00023FF6" w:rsidRPr="00BA744B" w:rsidRDefault="00023FF6" w:rsidP="00023FF6">
      <w:pPr>
        <w:spacing w:after="0" w:line="276" w:lineRule="auto"/>
        <w:ind w:left="709" w:right="709"/>
        <w:jc w:val="both"/>
        <w:rPr>
          <w:rFonts w:ascii="Verdana" w:hAnsi="Verdana" w:cs="Aptos"/>
          <w:color w:val="000000"/>
          <w:sz w:val="21"/>
          <w:szCs w:val="21"/>
        </w:rPr>
      </w:pPr>
      <w:r w:rsidRPr="00BA744B">
        <w:rPr>
          <w:rFonts w:ascii="Verdana" w:hAnsi="Verdana" w:cs="Aptos"/>
          <w:color w:val="000000"/>
          <w:sz w:val="21"/>
          <w:szCs w:val="21"/>
        </w:rPr>
        <w:t>Prevalencia entre cláusula contractual y regla reglamentaria Indicar si, a juicio de CCE, en caso de divergencia entre: (i) una cláusula de minuta que fije “ejecución + X meses”, y (</w:t>
      </w:r>
      <w:proofErr w:type="spellStart"/>
      <w:r w:rsidRPr="00BA744B">
        <w:rPr>
          <w:rFonts w:ascii="Verdana" w:hAnsi="Verdana" w:cs="Aptos"/>
          <w:color w:val="000000"/>
          <w:sz w:val="21"/>
          <w:szCs w:val="21"/>
        </w:rPr>
        <w:t>ii</w:t>
      </w:r>
      <w:proofErr w:type="spellEnd"/>
      <w:r w:rsidRPr="00BA744B">
        <w:rPr>
          <w:rFonts w:ascii="Verdana" w:hAnsi="Verdana" w:cs="Aptos"/>
          <w:color w:val="000000"/>
          <w:sz w:val="21"/>
          <w:szCs w:val="21"/>
        </w:rPr>
        <w:t xml:space="preserve">) la regla del D. 1082 que impone vigencia mínima “hasta la liquidación”, prevalece esta última por ser una exigencia reglamentaria de mínimos cuando la garantía se exige, y si por ende la entidad debe gestionar la ampliación o extensión de la póliza hasta la liquidación efectiva o se puede apartar de este lineamiento por autonomía de la voluntad. </w:t>
      </w:r>
    </w:p>
    <w:p w14:paraId="089C0137" w14:textId="77777777" w:rsidR="00023FF6" w:rsidRPr="00BA744B" w:rsidRDefault="00023FF6" w:rsidP="00023FF6">
      <w:pPr>
        <w:spacing w:after="0" w:line="276" w:lineRule="auto"/>
        <w:ind w:left="709" w:right="709"/>
        <w:jc w:val="both"/>
        <w:rPr>
          <w:rFonts w:ascii="Verdana" w:eastAsia="Times New Roman" w:hAnsi="Verdana" w:cs="Arial"/>
          <w:iCs/>
          <w:sz w:val="21"/>
          <w:szCs w:val="21"/>
          <w:lang w:eastAsia="es-ES_tradnl"/>
        </w:rPr>
      </w:pPr>
      <w:r w:rsidRPr="00CF12B0">
        <w:rPr>
          <w:rFonts w:ascii="Verdana" w:eastAsia="Times New Roman" w:hAnsi="Verdana" w:cs="Arial"/>
          <w:iCs/>
          <w:sz w:val="21"/>
          <w:szCs w:val="21"/>
          <w:lang w:eastAsia="es-ES_tradnl"/>
        </w:rPr>
        <w:t xml:space="preserve">Recomendación de redacción de cláusula Finalmente, se solicita recomendar una redacción tipo de la cláusula de vigencia del amparo de cumplimiento para contratos interadministrativos cuando la entidad decida exigirlo, que armonice: </w:t>
      </w:r>
    </w:p>
    <w:p w14:paraId="63E75340" w14:textId="77777777" w:rsidR="00023FF6" w:rsidRPr="00BA744B" w:rsidRDefault="00023FF6" w:rsidP="00023FF6">
      <w:pPr>
        <w:pStyle w:val="Prrafodelista"/>
        <w:numPr>
          <w:ilvl w:val="0"/>
          <w:numId w:val="17"/>
        </w:numPr>
        <w:spacing w:after="0" w:line="276" w:lineRule="auto"/>
        <w:ind w:left="709" w:right="709"/>
        <w:jc w:val="both"/>
        <w:rPr>
          <w:rFonts w:ascii="Verdana" w:hAnsi="Verdana" w:cs="Aptos"/>
          <w:color w:val="000000"/>
          <w:sz w:val="21"/>
          <w:szCs w:val="21"/>
        </w:rPr>
      </w:pPr>
      <w:r w:rsidRPr="00BA744B">
        <w:rPr>
          <w:rFonts w:ascii="Verdana" w:eastAsia="Times New Roman" w:hAnsi="Verdana" w:cs="Arial"/>
          <w:iCs/>
          <w:sz w:val="21"/>
          <w:szCs w:val="21"/>
          <w:lang w:eastAsia="es-ES_tradnl"/>
        </w:rPr>
        <w:t xml:space="preserve">el principio de riesgo y proporcionalidad, </w:t>
      </w:r>
    </w:p>
    <w:p w14:paraId="3C71A7E6" w14:textId="77777777" w:rsidR="00023FF6" w:rsidRPr="00BA744B" w:rsidRDefault="00023FF6" w:rsidP="00023FF6">
      <w:pPr>
        <w:pStyle w:val="Prrafodelista"/>
        <w:numPr>
          <w:ilvl w:val="0"/>
          <w:numId w:val="17"/>
        </w:numPr>
        <w:spacing w:after="0" w:line="276" w:lineRule="auto"/>
        <w:ind w:left="709" w:right="709"/>
        <w:jc w:val="both"/>
        <w:rPr>
          <w:rFonts w:ascii="Verdana" w:hAnsi="Verdana" w:cs="Aptos"/>
          <w:color w:val="000000"/>
          <w:sz w:val="21"/>
          <w:szCs w:val="21"/>
        </w:rPr>
      </w:pPr>
      <w:r w:rsidRPr="00BA744B">
        <w:rPr>
          <w:rFonts w:ascii="Verdana" w:eastAsia="Times New Roman" w:hAnsi="Verdana" w:cs="Arial"/>
          <w:iCs/>
          <w:sz w:val="21"/>
          <w:szCs w:val="21"/>
          <w:lang w:eastAsia="es-ES_tradnl"/>
        </w:rPr>
        <w:t xml:space="preserve">la regla mínima reglamentaria (“hasta la liquidación”), y </w:t>
      </w:r>
    </w:p>
    <w:p w14:paraId="6F4300BD" w14:textId="77777777" w:rsidR="00023FF6" w:rsidRPr="00BA744B" w:rsidRDefault="00023FF6" w:rsidP="00023FF6">
      <w:pPr>
        <w:pStyle w:val="Prrafodelista"/>
        <w:numPr>
          <w:ilvl w:val="0"/>
          <w:numId w:val="17"/>
        </w:numPr>
        <w:spacing w:after="0" w:line="276" w:lineRule="auto"/>
        <w:ind w:left="709" w:right="709"/>
        <w:jc w:val="both"/>
        <w:rPr>
          <w:rFonts w:ascii="Verdana" w:hAnsi="Verdana" w:cs="Aptos"/>
          <w:color w:val="000000"/>
          <w:sz w:val="21"/>
          <w:szCs w:val="21"/>
        </w:rPr>
      </w:pPr>
      <w:r w:rsidRPr="00BA744B">
        <w:rPr>
          <w:rFonts w:ascii="Verdana" w:eastAsia="Times New Roman" w:hAnsi="Verdana" w:cs="Arial"/>
          <w:iCs/>
          <w:sz w:val="21"/>
          <w:szCs w:val="21"/>
          <w:lang w:eastAsia="es-ES_tradnl"/>
        </w:rPr>
        <w:t xml:space="preserve">los plazos legales del art. 11 Ley 1150, evitando ambigüedades prácticas en las renovaciones/extensiones de la póliza.  </w:t>
      </w:r>
      <w:r w:rsidRPr="00BA744B">
        <w:rPr>
          <w:rFonts w:ascii="Verdana" w:eastAsia="Times New Roman" w:hAnsi="Verdana" w:cs="Arial"/>
          <w:iCs/>
          <w:lang w:eastAsia="es-ES_tradnl"/>
        </w:rPr>
        <w:t>[…]” (SIC).</w:t>
      </w:r>
    </w:p>
    <w:p w14:paraId="788038DC" w14:textId="77777777" w:rsidR="00023FF6" w:rsidRPr="00E03546" w:rsidRDefault="00023FF6" w:rsidP="00023FF6">
      <w:pPr>
        <w:spacing w:after="120" w:line="276" w:lineRule="auto"/>
        <w:ind w:left="709" w:right="709"/>
        <w:jc w:val="both"/>
        <w:rPr>
          <w:rFonts w:ascii="Verdana" w:eastAsia="Times New Roman" w:hAnsi="Verdana" w:cs="Arial"/>
          <w:i/>
          <w:lang w:eastAsia="es-ES_tradnl"/>
        </w:rPr>
      </w:pPr>
    </w:p>
    <w:p w14:paraId="6A1246D5" w14:textId="77777777" w:rsidR="00023FF6" w:rsidRPr="00E03546" w:rsidRDefault="00023FF6" w:rsidP="00023FF6">
      <w:pPr>
        <w:spacing w:after="120" w:line="276" w:lineRule="auto"/>
        <w:ind w:firstLine="709"/>
        <w:jc w:val="both"/>
        <w:rPr>
          <w:rFonts w:ascii="Verdana" w:eastAsia="Calibri" w:hAnsi="Verdana" w:cs="Arial"/>
          <w:color w:val="000000"/>
          <w:lang w:eastAsia="es-ES_tradnl"/>
        </w:rPr>
      </w:pPr>
      <w:r w:rsidRPr="00E0354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ni para definir la modalidad de selección o la tipología del negocio jurídico que pretendan adelantar las entidades estatales en su actividad contractual.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03546">
        <w:rPr>
          <w:rFonts w:ascii="Verdana" w:eastAsia="Calibri" w:hAnsi="Verdana" w:cs="Arial"/>
          <w:color w:val="000000"/>
          <w:lang w:eastAsia="es-ES_tradnl"/>
        </w:rPr>
        <w:tab/>
      </w:r>
    </w:p>
    <w:p w14:paraId="5A343D68" w14:textId="77777777" w:rsidR="00023FF6" w:rsidRPr="00E03546" w:rsidRDefault="00023FF6" w:rsidP="00023FF6">
      <w:pPr>
        <w:spacing w:after="120" w:line="276" w:lineRule="auto"/>
        <w:ind w:firstLine="709"/>
        <w:jc w:val="both"/>
        <w:rPr>
          <w:rFonts w:ascii="Verdana" w:eastAsia="Calibri" w:hAnsi="Verdana" w:cs="Arial"/>
          <w:lang w:eastAsia="es-ES"/>
        </w:rPr>
      </w:pPr>
      <w:r w:rsidRPr="00E03546">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exponiendo algunas consideraciones sobre las normas generales relacionadas </w:t>
      </w:r>
      <w:r>
        <w:rPr>
          <w:rFonts w:ascii="Verdana" w:eastAsia="Calibri" w:hAnsi="Verdana" w:cs="Arial"/>
          <w:lang w:eastAsia="es-ES"/>
        </w:rPr>
        <w:t xml:space="preserve">con </w:t>
      </w:r>
      <w:r w:rsidRPr="00E03546">
        <w:rPr>
          <w:rFonts w:ascii="Verdana" w:eastAsia="Calibri" w:hAnsi="Verdana" w:cs="Arial"/>
          <w:lang w:eastAsia="es-ES"/>
        </w:rPr>
        <w:t xml:space="preserve">su consulta. </w:t>
      </w:r>
    </w:p>
    <w:p w14:paraId="2124AB6E" w14:textId="77777777" w:rsidR="00023FF6" w:rsidRPr="00E03546" w:rsidRDefault="00023FF6" w:rsidP="00023FF6">
      <w:pPr>
        <w:spacing w:after="0" w:line="276" w:lineRule="auto"/>
        <w:ind w:firstLine="709"/>
        <w:jc w:val="both"/>
        <w:rPr>
          <w:rFonts w:ascii="Verdana" w:eastAsia="Times New Roman" w:hAnsi="Verdana" w:cs="Arial"/>
          <w:lang w:eastAsia="es-ES_tradnl"/>
        </w:rPr>
      </w:pPr>
    </w:p>
    <w:p w14:paraId="16D15CFA" w14:textId="77777777" w:rsidR="00023FF6" w:rsidRPr="00E03546" w:rsidRDefault="00023FF6" w:rsidP="00023FF6">
      <w:pPr>
        <w:tabs>
          <w:tab w:val="left" w:pos="0"/>
          <w:tab w:val="left" w:pos="284"/>
        </w:tabs>
        <w:spacing w:after="0" w:line="276" w:lineRule="auto"/>
        <w:contextualSpacing/>
        <w:jc w:val="both"/>
        <w:rPr>
          <w:rFonts w:ascii="Verdana" w:eastAsia="Calibri" w:hAnsi="Verdana" w:cs="Arial"/>
          <w:b/>
        </w:rPr>
      </w:pPr>
      <w:r w:rsidRPr="00E03546">
        <w:rPr>
          <w:rFonts w:ascii="Verdana" w:eastAsia="Calibri" w:hAnsi="Verdana" w:cs="Arial"/>
          <w:b/>
        </w:rPr>
        <w:t>1. Problema planteado:</w:t>
      </w:r>
    </w:p>
    <w:p w14:paraId="78E89744" w14:textId="77777777" w:rsidR="00023FF6" w:rsidRPr="00E03546" w:rsidRDefault="00023FF6" w:rsidP="00023FF6">
      <w:pPr>
        <w:spacing w:after="0" w:line="276" w:lineRule="auto"/>
        <w:jc w:val="both"/>
        <w:rPr>
          <w:rFonts w:ascii="Verdana" w:eastAsia="Century Gothic" w:hAnsi="Verdana" w:cs="Century Gothic"/>
        </w:rPr>
      </w:pPr>
    </w:p>
    <w:p w14:paraId="0E00119A" w14:textId="77777777" w:rsidR="00023FF6" w:rsidRPr="0040395C" w:rsidRDefault="00023FF6" w:rsidP="00023FF6">
      <w:pPr>
        <w:spacing w:after="0" w:line="276" w:lineRule="auto"/>
        <w:jc w:val="both"/>
        <w:rPr>
          <w:rFonts w:ascii="Verdana" w:eastAsia="Century Gothic" w:hAnsi="Verdana" w:cs="Century Gothic"/>
        </w:rPr>
      </w:pPr>
      <w:r w:rsidRPr="00E03546">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E03546">
        <w:rPr>
          <w:rFonts w:ascii="Verdana" w:eastAsia="Century Gothic" w:hAnsi="Verdana" w:cs="Century Gothic"/>
        </w:rPr>
        <w:t xml:space="preserve"> siguiente</w:t>
      </w:r>
      <w:r>
        <w:rPr>
          <w:rFonts w:ascii="Verdana" w:eastAsia="Century Gothic" w:hAnsi="Verdana" w:cs="Century Gothic"/>
        </w:rPr>
        <w:t xml:space="preserve">s </w:t>
      </w:r>
      <w:r w:rsidRPr="00E03546">
        <w:rPr>
          <w:rFonts w:ascii="Verdana" w:eastAsia="Century Gothic" w:hAnsi="Verdana" w:cs="Century Gothic"/>
        </w:rPr>
        <w:t>problema</w:t>
      </w:r>
      <w:r>
        <w:rPr>
          <w:rFonts w:ascii="Verdana" w:eastAsia="Century Gothic" w:hAnsi="Verdana" w:cs="Century Gothic"/>
        </w:rPr>
        <w:t>s</w:t>
      </w:r>
      <w:r w:rsidRPr="00E03546">
        <w:rPr>
          <w:rFonts w:ascii="Verdana" w:eastAsia="Century Gothic" w:hAnsi="Verdana" w:cs="Century Gothic"/>
        </w:rPr>
        <w:t xml:space="preserve"> jurídico</w:t>
      </w:r>
      <w:r>
        <w:rPr>
          <w:rFonts w:ascii="Verdana" w:eastAsia="Century Gothic" w:hAnsi="Verdana" w:cs="Century Gothic"/>
        </w:rPr>
        <w:t>s</w:t>
      </w:r>
      <w:r w:rsidRPr="00E03546">
        <w:rPr>
          <w:rFonts w:ascii="Verdana" w:eastAsia="Century Gothic" w:hAnsi="Verdana" w:cs="Century Gothic"/>
        </w:rPr>
        <w:t xml:space="preserve">: </w:t>
      </w:r>
      <w:r>
        <w:rPr>
          <w:rFonts w:ascii="Verdana" w:eastAsia="Century Gothic" w:hAnsi="Verdana" w:cs="Century Gothic"/>
        </w:rPr>
        <w:t xml:space="preserve">i) </w:t>
      </w:r>
      <w:r w:rsidRPr="0040395C">
        <w:rPr>
          <w:rFonts w:ascii="Verdana" w:eastAsia="Century Gothic" w:hAnsi="Verdana" w:cs="Century Gothic"/>
        </w:rPr>
        <w:t>¿Es obligatorio para la entidad estatal exigir garantías contractuales al celebrar un contrato mediante la modalidad de contratación directa</w:t>
      </w:r>
      <w:r>
        <w:rPr>
          <w:rFonts w:ascii="Verdana" w:eastAsia="Century Gothic" w:hAnsi="Verdana" w:cs="Century Gothic"/>
        </w:rPr>
        <w:t>, puntualmente para la celebración de convenios y/o contratos interadministrativos</w:t>
      </w:r>
      <w:r w:rsidRPr="0040395C">
        <w:rPr>
          <w:rFonts w:ascii="Verdana" w:eastAsia="Century Gothic" w:hAnsi="Verdana" w:cs="Century Gothic"/>
        </w:rPr>
        <w:t>?</w:t>
      </w:r>
      <w:r>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xml:space="preserve">) </w:t>
      </w:r>
      <w:proofErr w:type="gramStart"/>
      <w:r w:rsidRPr="00E03546">
        <w:rPr>
          <w:rFonts w:ascii="Verdana" w:eastAsia="Verdana" w:hAnsi="Verdana" w:cs="Verdana"/>
          <w:lang w:val="es-ES"/>
        </w:rPr>
        <w:t>¿</w:t>
      </w:r>
      <w:r w:rsidRPr="00E03546">
        <w:rPr>
          <w:rFonts w:ascii="Verdana" w:eastAsia="Calibri" w:hAnsi="Verdana" w:cs="Arial"/>
        </w:rPr>
        <w:t>De acuerdo con 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w:t>
      </w:r>
      <w:proofErr w:type="gramEnd"/>
      <w:r w:rsidRPr="00E03546">
        <w:rPr>
          <w:rFonts w:ascii="Verdana" w:eastAsia="Calibri" w:hAnsi="Verdana" w:cs="Arial"/>
        </w:rPr>
        <w:t>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cual debe ser la vigencia mínima de la garantía de cumplimiento?</w:t>
      </w:r>
      <w:r w:rsidRPr="00E03546">
        <w:rPr>
          <w:rFonts w:ascii="Verdana" w:eastAsia="Century Gothic" w:hAnsi="Verdana" w:cs="Century Gothic"/>
        </w:rPr>
        <w:t xml:space="preserve"> </w:t>
      </w:r>
    </w:p>
    <w:p w14:paraId="33B00B33" w14:textId="77777777" w:rsidR="00023FF6" w:rsidRPr="00E03546" w:rsidRDefault="00023FF6" w:rsidP="00023FF6">
      <w:pPr>
        <w:spacing w:after="0" w:line="276" w:lineRule="auto"/>
        <w:jc w:val="both"/>
        <w:rPr>
          <w:rFonts w:ascii="Verdana" w:eastAsia="Century Gothic" w:hAnsi="Verdana" w:cs="Century Gothic"/>
          <w:color w:val="7030A0"/>
        </w:rPr>
      </w:pPr>
    </w:p>
    <w:p w14:paraId="4FB743D4" w14:textId="02E0482A" w:rsidR="000A09A9" w:rsidRDefault="00023FF6" w:rsidP="00023FF6">
      <w:pPr>
        <w:tabs>
          <w:tab w:val="left" w:pos="0"/>
          <w:tab w:val="left" w:pos="284"/>
        </w:tabs>
        <w:spacing w:after="0" w:line="276" w:lineRule="auto"/>
        <w:contextualSpacing/>
        <w:jc w:val="both"/>
        <w:rPr>
          <w:rFonts w:ascii="Verdana" w:eastAsia="Calibri" w:hAnsi="Verdana" w:cs="Arial"/>
          <w:b/>
        </w:rPr>
      </w:pPr>
      <w:r w:rsidRPr="00E03546">
        <w:rPr>
          <w:rFonts w:ascii="Verdana" w:eastAsia="Calibri" w:hAnsi="Verdana" w:cs="Arial"/>
          <w:b/>
        </w:rPr>
        <w:t>2. Respuesta:</w:t>
      </w:r>
    </w:p>
    <w:p w14:paraId="18D427C6" w14:textId="77777777" w:rsidR="000A09A9" w:rsidRDefault="000A09A9" w:rsidP="000A09A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A09A9" w:rsidRPr="00DE5508" w14:paraId="79C61B9C" w14:textId="77777777" w:rsidTr="00B409F1">
        <w:tc>
          <w:tcPr>
            <w:tcW w:w="8828" w:type="dxa"/>
            <w:tcBorders>
              <w:top w:val="dotted" w:sz="4" w:space="0" w:color="auto"/>
              <w:left w:val="dotted" w:sz="4" w:space="0" w:color="auto"/>
              <w:bottom w:val="dotted" w:sz="4" w:space="0" w:color="auto"/>
              <w:right w:val="dotted" w:sz="4" w:space="0" w:color="auto"/>
            </w:tcBorders>
          </w:tcPr>
          <w:p w14:paraId="2D1B3E41" w14:textId="77777777" w:rsidR="000A09A9" w:rsidRPr="005D7601" w:rsidRDefault="000A09A9" w:rsidP="000A09A9">
            <w:pPr>
              <w:spacing w:before="120" w:after="120" w:line="276" w:lineRule="auto"/>
              <w:ind w:left="103" w:right="101"/>
              <w:jc w:val="both"/>
              <w:rPr>
                <w:rFonts w:ascii="Verdana" w:eastAsia="Calibri" w:hAnsi="Verdana" w:cs="Arial"/>
              </w:rPr>
            </w:pPr>
            <w:r>
              <w:rPr>
                <w:rFonts w:ascii="Verdana" w:eastAsia="Calibri" w:hAnsi="Verdana" w:cs="Arial"/>
              </w:rPr>
              <w:t>i) No, e</w:t>
            </w:r>
            <w:r w:rsidRPr="005D7601">
              <w:rPr>
                <w:rFonts w:ascii="Verdana" w:eastAsia="Calibri" w:hAnsi="Verdana" w:cs="Arial"/>
              </w:rPr>
              <w:t xml:space="preserve">l artículo 7 de la Ley 1150 de 2007 dispone expresamente que </w:t>
            </w:r>
            <w:r w:rsidRPr="005D7601">
              <w:rPr>
                <w:rFonts w:ascii="Verdana" w:eastAsia="Calibri" w:hAnsi="Verdana" w:cs="Arial"/>
                <w:i/>
                <w:iCs/>
              </w:rPr>
              <w:t>“las garantías no serán obligatorias en los contratos de empréstito, en los interadministrativos, en los de seguro y en los contratos cuyo valor sea inferior al 10 % de la menor cuantía…”</w:t>
            </w:r>
            <w:r w:rsidRPr="005D7601">
              <w:rPr>
                <w:rFonts w:ascii="Verdana" w:eastAsia="Calibri" w:hAnsi="Verdana" w:cs="Arial"/>
              </w:rPr>
              <w:t xml:space="preserve"> En ese sentido, el legislador reconoce </w:t>
            </w:r>
            <w:r w:rsidRPr="005D7601">
              <w:rPr>
                <w:rFonts w:ascii="Verdana" w:eastAsia="Calibri" w:hAnsi="Verdana" w:cs="Arial"/>
              </w:rPr>
              <w:lastRenderedPageBreak/>
              <w:t>una excepción a la regla general de exigir garantías para los contratos estatales, justamente cuando se trata de contratos interadministrativos.</w:t>
            </w:r>
          </w:p>
          <w:p w14:paraId="09301271" w14:textId="77777777" w:rsidR="000A09A9" w:rsidRDefault="000A09A9" w:rsidP="000A09A9">
            <w:pPr>
              <w:spacing w:before="120" w:after="120" w:line="276" w:lineRule="auto"/>
              <w:ind w:left="103" w:right="101"/>
              <w:jc w:val="both"/>
              <w:rPr>
                <w:rFonts w:ascii="Verdana" w:eastAsia="Calibri" w:hAnsi="Verdana" w:cs="Arial"/>
              </w:rPr>
            </w:pPr>
            <w:r w:rsidRPr="005D7601">
              <w:rPr>
                <w:rFonts w:ascii="Verdana" w:eastAsia="Calibri" w:hAnsi="Verdana" w:cs="Arial"/>
              </w:rPr>
              <w:t>Por su parte, el Decreto 1082 de 2015, en su artículo 2.2.1.2.1.4.5 (y normas conexas), reitera ese principio en el contexto de la contratación directa: “la exigencia de garantías (…) no es obligatoria y la justificación para exigirlas o no debe estar en los estudios y documentos previos</w:t>
            </w:r>
            <w:r>
              <w:rPr>
                <w:rFonts w:ascii="Verdana" w:eastAsia="Calibri" w:hAnsi="Verdana" w:cs="Arial"/>
              </w:rPr>
              <w:t>.</w:t>
            </w:r>
          </w:p>
          <w:p w14:paraId="14402FD4" w14:textId="77777777" w:rsidR="000A09A9" w:rsidRPr="00E03546" w:rsidRDefault="000A09A9" w:rsidP="000A09A9">
            <w:pPr>
              <w:spacing w:before="120" w:after="120" w:line="276" w:lineRule="auto"/>
              <w:ind w:left="103" w:right="101"/>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xml:space="preserve">) </w:t>
            </w:r>
            <w:r w:rsidRPr="00E03546">
              <w:rPr>
                <w:rFonts w:ascii="Verdana" w:eastAsia="Calibri" w:hAnsi="Verdana" w:cs="Arial"/>
              </w:rPr>
              <w:t>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regula</w:t>
            </w:r>
            <w:r w:rsidRPr="00E03546">
              <w:rPr>
                <w:rFonts w:ascii="Verdana" w:eastAsia="Calibri" w:hAnsi="Verdana" w:cs="Arial"/>
                <w:spacing w:val="-4"/>
              </w:rPr>
              <w:t xml:space="preserve"> </w:t>
            </w:r>
            <w:r w:rsidRPr="00E03546">
              <w:rPr>
                <w:rFonts w:ascii="Verdana" w:eastAsia="Calibri" w:hAnsi="Verdana" w:cs="Arial"/>
              </w:rPr>
              <w:t>la</w:t>
            </w:r>
            <w:r w:rsidRPr="00E03546">
              <w:rPr>
                <w:rFonts w:ascii="Verdana" w:eastAsia="Calibri" w:hAnsi="Verdana" w:cs="Arial"/>
                <w:spacing w:val="-5"/>
              </w:rPr>
              <w:t xml:space="preserve"> </w:t>
            </w:r>
            <w:r w:rsidRPr="00E03546">
              <w:rPr>
                <w:rFonts w:ascii="Verdana" w:eastAsia="Calibri" w:hAnsi="Verdana" w:cs="Arial"/>
              </w:rPr>
              <w:t>suficiencia</w:t>
            </w:r>
            <w:r w:rsidRPr="00E03546">
              <w:rPr>
                <w:rFonts w:ascii="Verdana" w:eastAsia="Calibri" w:hAnsi="Verdana" w:cs="Arial"/>
                <w:spacing w:val="-2"/>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 xml:space="preserve">la garantía de cumplimiento. Esta debe tener una vigencia mínima hasta la liquidación y, por regla general un valor de por lo menos el diez por ciento (10%) del total del contrato, siempre que este sea inferior a un millón (1.000.000) de </w:t>
            </w:r>
            <w:proofErr w:type="spellStart"/>
            <w:r w:rsidRPr="00E03546">
              <w:rPr>
                <w:rFonts w:ascii="Verdana" w:eastAsia="Calibri" w:hAnsi="Verdana" w:cs="Arial"/>
              </w:rPr>
              <w:t>smmlv</w:t>
            </w:r>
            <w:proofErr w:type="spellEnd"/>
            <w:r w:rsidRPr="00E03546">
              <w:rPr>
                <w:rFonts w:ascii="Verdana" w:eastAsia="Calibri" w:hAnsi="Verdana" w:cs="Arial"/>
              </w:rPr>
              <w:t xml:space="preserve">. Conforme la norma citada, el amparo cubre tanto el </w:t>
            </w:r>
            <w:r w:rsidRPr="00E03546">
              <w:rPr>
                <w:rFonts w:ascii="Verdana" w:eastAsia="Calibri" w:hAnsi="Verdana" w:cs="Arial"/>
                <w:i/>
              </w:rPr>
              <w:t xml:space="preserve">plazo de ejecución </w:t>
            </w:r>
            <w:r w:rsidRPr="00E03546">
              <w:rPr>
                <w:rFonts w:ascii="Verdana" w:eastAsia="Calibri" w:hAnsi="Verdana" w:cs="Arial"/>
              </w:rPr>
              <w:t xml:space="preserve">como el </w:t>
            </w:r>
            <w:r w:rsidRPr="00E03546">
              <w:rPr>
                <w:rFonts w:ascii="Verdana" w:eastAsia="Calibri" w:hAnsi="Verdana" w:cs="Arial"/>
                <w:i/>
              </w:rPr>
              <w:t xml:space="preserve">plazo de vigencia </w:t>
            </w:r>
            <w:r w:rsidRPr="00E03546">
              <w:rPr>
                <w:rFonts w:ascii="Verdana" w:eastAsia="Calibri" w:hAnsi="Verdana" w:cs="Arial"/>
              </w:rPr>
              <w:t>del contrato.</w:t>
            </w:r>
          </w:p>
          <w:p w14:paraId="7D778305" w14:textId="77777777" w:rsidR="000A09A9" w:rsidRPr="00E03546" w:rsidRDefault="000A09A9" w:rsidP="000A09A9">
            <w:pPr>
              <w:spacing w:before="95" w:after="120" w:line="276" w:lineRule="auto"/>
              <w:ind w:left="142" w:right="49"/>
              <w:jc w:val="both"/>
              <w:rPr>
                <w:rFonts w:ascii="Verdana" w:eastAsia="Calibri" w:hAnsi="Verdana" w:cs="Arial"/>
              </w:rPr>
            </w:pPr>
            <w:r w:rsidRPr="00E03546">
              <w:rPr>
                <w:rFonts w:ascii="Verdana" w:eastAsia="Calibri" w:hAnsi="Verdana" w:cs="Arial"/>
              </w:rPr>
              <w:t>Así,</w:t>
            </w:r>
            <w:r w:rsidRPr="00E03546">
              <w:rPr>
                <w:rFonts w:ascii="Verdana" w:eastAsia="Calibri" w:hAnsi="Verdana" w:cs="Arial"/>
                <w:spacing w:val="-5"/>
              </w:rPr>
              <w:t xml:space="preserve"> </w:t>
            </w:r>
            <w:r w:rsidRPr="00E03546">
              <w:rPr>
                <w:rFonts w:ascii="Verdana" w:eastAsia="Calibri" w:hAnsi="Verdana" w:cs="Arial"/>
              </w:rPr>
              <w:t>la</w:t>
            </w:r>
            <w:r w:rsidRPr="00E03546">
              <w:rPr>
                <w:rFonts w:ascii="Verdana" w:eastAsia="Calibri" w:hAnsi="Verdana" w:cs="Arial"/>
                <w:spacing w:val="-6"/>
              </w:rPr>
              <w:t xml:space="preserve"> </w:t>
            </w:r>
            <w:r w:rsidRPr="00E03546">
              <w:rPr>
                <w:rFonts w:ascii="Verdana" w:eastAsia="Calibri" w:hAnsi="Verdana" w:cs="Arial"/>
              </w:rPr>
              <w:t>cobertura</w:t>
            </w:r>
            <w:r w:rsidRPr="00E03546">
              <w:rPr>
                <w:rFonts w:ascii="Verdana" w:eastAsia="Calibri" w:hAnsi="Verdana" w:cs="Arial"/>
                <w:spacing w:val="-4"/>
              </w:rPr>
              <w:t xml:space="preserve"> </w:t>
            </w:r>
            <w:r w:rsidRPr="00E03546">
              <w:rPr>
                <w:rFonts w:ascii="Verdana" w:eastAsia="Calibri" w:hAnsi="Verdana" w:cs="Arial"/>
              </w:rPr>
              <w:t>mínima</w:t>
            </w:r>
            <w:r w:rsidRPr="00E03546">
              <w:rPr>
                <w:rFonts w:ascii="Verdana" w:eastAsia="Calibri" w:hAnsi="Verdana" w:cs="Arial"/>
                <w:spacing w:val="-5"/>
              </w:rPr>
              <w:t xml:space="preserve"> </w:t>
            </w:r>
            <w:r w:rsidRPr="00E03546">
              <w:rPr>
                <w:rFonts w:ascii="Verdana" w:eastAsia="Calibri" w:hAnsi="Verdana" w:cs="Arial"/>
              </w:rPr>
              <w:t>del</w:t>
            </w:r>
            <w:r w:rsidRPr="00E03546">
              <w:rPr>
                <w:rFonts w:ascii="Verdana" w:eastAsia="Calibri" w:hAnsi="Verdana" w:cs="Arial"/>
                <w:spacing w:val="-6"/>
              </w:rPr>
              <w:t xml:space="preserve"> </w:t>
            </w:r>
            <w:r w:rsidRPr="00E03546">
              <w:rPr>
                <w:rFonts w:ascii="Verdana" w:eastAsia="Calibri" w:hAnsi="Verdana" w:cs="Arial"/>
              </w:rPr>
              <w:t>amparo</w:t>
            </w:r>
            <w:r w:rsidRPr="00E03546">
              <w:rPr>
                <w:rFonts w:ascii="Verdana" w:eastAsia="Calibri" w:hAnsi="Verdana" w:cs="Arial"/>
                <w:spacing w:val="-5"/>
              </w:rPr>
              <w:t xml:space="preserve"> </w:t>
            </w:r>
            <w:r w:rsidRPr="00E03546">
              <w:rPr>
                <w:rFonts w:ascii="Verdana" w:eastAsia="Calibri" w:hAnsi="Verdana" w:cs="Arial"/>
              </w:rPr>
              <w:t>de</w:t>
            </w:r>
            <w:r w:rsidRPr="00E03546">
              <w:rPr>
                <w:rFonts w:ascii="Verdana" w:eastAsia="Calibri" w:hAnsi="Verdana" w:cs="Arial"/>
                <w:spacing w:val="-6"/>
              </w:rPr>
              <w:t xml:space="preserve"> </w:t>
            </w:r>
            <w:r w:rsidRPr="00E03546">
              <w:rPr>
                <w:rFonts w:ascii="Verdana" w:eastAsia="Calibri" w:hAnsi="Verdana" w:cs="Arial"/>
              </w:rPr>
              <w:t>cumplimiento</w:t>
            </w:r>
            <w:r w:rsidRPr="00E03546">
              <w:rPr>
                <w:rFonts w:ascii="Verdana" w:eastAsia="Calibri" w:hAnsi="Verdana" w:cs="Arial"/>
                <w:spacing w:val="-2"/>
              </w:rPr>
              <w:t xml:space="preserve"> </w:t>
            </w:r>
            <w:r w:rsidRPr="00E03546">
              <w:rPr>
                <w:rFonts w:ascii="Verdana" w:eastAsia="Calibri" w:hAnsi="Verdana" w:cs="Arial"/>
              </w:rPr>
              <w:t>cubre</w:t>
            </w:r>
            <w:r w:rsidRPr="00E03546">
              <w:rPr>
                <w:rFonts w:ascii="Verdana" w:eastAsia="Calibri" w:hAnsi="Verdana" w:cs="Arial"/>
                <w:spacing w:val="-5"/>
              </w:rPr>
              <w:t xml:space="preserve"> </w:t>
            </w:r>
            <w:r w:rsidRPr="00E03546">
              <w:rPr>
                <w:rFonts w:ascii="Verdana" w:eastAsia="Calibri" w:hAnsi="Verdana" w:cs="Arial"/>
              </w:rPr>
              <w:t>el</w:t>
            </w:r>
            <w:r w:rsidRPr="00E03546">
              <w:rPr>
                <w:rFonts w:ascii="Verdana" w:eastAsia="Calibri" w:hAnsi="Verdana" w:cs="Arial"/>
                <w:spacing w:val="-6"/>
              </w:rPr>
              <w:t xml:space="preserve"> </w:t>
            </w:r>
            <w:r w:rsidRPr="00E03546">
              <w:rPr>
                <w:rFonts w:ascii="Verdana" w:eastAsia="Calibri" w:hAnsi="Verdana" w:cs="Arial"/>
                <w:i/>
              </w:rPr>
              <w:t>plazo</w:t>
            </w:r>
            <w:r w:rsidRPr="00E03546">
              <w:rPr>
                <w:rFonts w:ascii="Verdana" w:eastAsia="Calibri" w:hAnsi="Verdana" w:cs="Arial"/>
                <w:i/>
                <w:spacing w:val="-5"/>
              </w:rPr>
              <w:t xml:space="preserve"> </w:t>
            </w:r>
            <w:r w:rsidRPr="00E03546">
              <w:rPr>
                <w:rFonts w:ascii="Verdana" w:eastAsia="Calibri" w:hAnsi="Verdana" w:cs="Arial"/>
                <w:i/>
              </w:rPr>
              <w:t>de ejecución</w:t>
            </w:r>
            <w:r w:rsidRPr="00E03546">
              <w:rPr>
                <w:rFonts w:ascii="Verdana" w:eastAsia="Calibri" w:hAnsi="Verdana" w:cs="Arial"/>
                <w:i/>
                <w:spacing w:val="-5"/>
              </w:rPr>
              <w:t xml:space="preserve"> </w:t>
            </w:r>
            <w:r w:rsidRPr="00E03546">
              <w:rPr>
                <w:rFonts w:ascii="Verdana" w:eastAsia="Calibri" w:hAnsi="Verdana" w:cs="Arial"/>
              </w:rPr>
              <w:t>y</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i/>
              </w:rPr>
              <w:t>plazo</w:t>
            </w:r>
            <w:r w:rsidRPr="00E03546">
              <w:rPr>
                <w:rFonts w:ascii="Verdana" w:eastAsia="Calibri" w:hAnsi="Verdana" w:cs="Arial"/>
                <w:i/>
                <w:spacing w:val="-7"/>
              </w:rPr>
              <w:t xml:space="preserve"> </w:t>
            </w:r>
            <w:r w:rsidRPr="00E03546">
              <w:rPr>
                <w:rFonts w:ascii="Verdana" w:eastAsia="Calibri" w:hAnsi="Verdana" w:cs="Arial"/>
                <w:i/>
              </w:rPr>
              <w:t>de</w:t>
            </w:r>
            <w:r w:rsidRPr="00E03546">
              <w:rPr>
                <w:rFonts w:ascii="Verdana" w:eastAsia="Calibri" w:hAnsi="Verdana" w:cs="Arial"/>
                <w:i/>
                <w:spacing w:val="-8"/>
              </w:rPr>
              <w:t xml:space="preserve"> </w:t>
            </w:r>
            <w:r w:rsidRPr="00E03546">
              <w:rPr>
                <w:rFonts w:ascii="Verdana" w:eastAsia="Calibri" w:hAnsi="Verdana" w:cs="Arial"/>
                <w:i/>
              </w:rPr>
              <w:t>vigencia</w:t>
            </w:r>
            <w:r w:rsidRPr="00E03546">
              <w:rPr>
                <w:rFonts w:ascii="Verdana" w:eastAsia="Calibri" w:hAnsi="Verdana" w:cs="Arial"/>
              </w:rPr>
              <w:t>,</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rPr>
              <w:t>cual</w:t>
            </w:r>
            <w:r w:rsidRPr="00E03546">
              <w:rPr>
                <w:rFonts w:ascii="Verdana" w:eastAsia="Calibri" w:hAnsi="Verdana" w:cs="Arial"/>
                <w:spacing w:val="-7"/>
              </w:rPr>
              <w:t xml:space="preserve"> </w:t>
            </w:r>
            <w:r w:rsidRPr="00E03546">
              <w:rPr>
                <w:rFonts w:ascii="Verdana" w:eastAsia="Calibri" w:hAnsi="Verdana" w:cs="Arial"/>
              </w:rPr>
              <w:t>finaliza</w:t>
            </w:r>
            <w:r w:rsidRPr="00E03546">
              <w:rPr>
                <w:rFonts w:ascii="Verdana" w:eastAsia="Calibri" w:hAnsi="Verdana" w:cs="Arial"/>
                <w:spacing w:val="-6"/>
              </w:rPr>
              <w:t xml:space="preserve"> </w:t>
            </w:r>
            <w:r w:rsidRPr="00E03546">
              <w:rPr>
                <w:rFonts w:ascii="Verdana" w:eastAsia="Calibri" w:hAnsi="Verdana" w:cs="Arial"/>
              </w:rPr>
              <w:t>con</w:t>
            </w:r>
            <w:r w:rsidRPr="00E03546">
              <w:rPr>
                <w:rFonts w:ascii="Verdana" w:eastAsia="Calibri" w:hAnsi="Verdana" w:cs="Arial"/>
                <w:spacing w:val="-8"/>
              </w:rPr>
              <w:t xml:space="preserve"> </w:t>
            </w:r>
            <w:r w:rsidRPr="00E03546">
              <w:rPr>
                <w:rFonts w:ascii="Verdana" w:eastAsia="Calibri" w:hAnsi="Verdana" w:cs="Arial"/>
              </w:rPr>
              <w:t>la</w:t>
            </w:r>
            <w:r w:rsidRPr="00E03546">
              <w:rPr>
                <w:rFonts w:ascii="Verdana" w:eastAsia="Calibri" w:hAnsi="Verdana" w:cs="Arial"/>
                <w:spacing w:val="-8"/>
              </w:rPr>
              <w:t xml:space="preserve"> </w:t>
            </w:r>
            <w:r w:rsidRPr="00E03546">
              <w:rPr>
                <w:rFonts w:ascii="Verdana" w:eastAsia="Calibri" w:hAnsi="Verdana" w:cs="Arial"/>
              </w:rPr>
              <w:t>liquidación.</w:t>
            </w:r>
            <w:r w:rsidRPr="00E03546">
              <w:rPr>
                <w:rFonts w:ascii="Verdana" w:eastAsia="Calibri" w:hAnsi="Verdana" w:cs="Arial"/>
                <w:spacing w:val="-5"/>
              </w:rPr>
              <w:t xml:space="preserve"> </w:t>
            </w:r>
            <w:r w:rsidRPr="00E03546">
              <w:rPr>
                <w:rFonts w:ascii="Verdana" w:eastAsia="Calibri" w:hAnsi="Verdana" w:cs="Arial"/>
              </w:rPr>
              <w:t>En</w:t>
            </w:r>
            <w:r w:rsidRPr="00E03546">
              <w:rPr>
                <w:rFonts w:ascii="Verdana" w:eastAsia="Calibri" w:hAnsi="Verdana" w:cs="Arial"/>
                <w:spacing w:val="-8"/>
              </w:rPr>
              <w:t xml:space="preserve"> </w:t>
            </w:r>
            <w:r w:rsidRPr="00E03546">
              <w:rPr>
                <w:rFonts w:ascii="Verdana" w:eastAsia="Calibri" w:hAnsi="Verdana" w:cs="Arial"/>
              </w:rPr>
              <w:t>palabras de la doctrina, “[…] el contratista deberá otorgarla con una vigencia igual al plazo</w:t>
            </w:r>
            <w:r w:rsidRPr="00E03546">
              <w:rPr>
                <w:rFonts w:ascii="Verdana" w:eastAsia="Calibri" w:hAnsi="Verdana" w:cs="Arial"/>
                <w:spacing w:val="63"/>
              </w:rPr>
              <w:t xml:space="preserve"> </w:t>
            </w:r>
            <w:r w:rsidRPr="00E03546">
              <w:rPr>
                <w:rFonts w:ascii="Verdana" w:eastAsia="Calibri" w:hAnsi="Verdana" w:cs="Arial"/>
              </w:rPr>
              <w:t>del</w:t>
            </w:r>
            <w:r w:rsidRPr="00E03546">
              <w:rPr>
                <w:rFonts w:ascii="Verdana" w:eastAsia="Calibri" w:hAnsi="Verdana" w:cs="Arial"/>
                <w:spacing w:val="62"/>
              </w:rPr>
              <w:t xml:space="preserve"> </w:t>
            </w:r>
            <w:r w:rsidRPr="00E03546">
              <w:rPr>
                <w:rFonts w:ascii="Verdana" w:eastAsia="Calibri" w:hAnsi="Verdana" w:cs="Arial"/>
              </w:rPr>
              <w:t>contrato</w:t>
            </w:r>
            <w:r w:rsidRPr="00E03546">
              <w:rPr>
                <w:rFonts w:ascii="Verdana" w:eastAsia="Calibri" w:hAnsi="Verdana" w:cs="Arial"/>
                <w:spacing w:val="64"/>
              </w:rPr>
              <w:t xml:space="preserve"> </w:t>
            </w:r>
            <w:r w:rsidRPr="00E03546">
              <w:rPr>
                <w:rFonts w:ascii="Verdana" w:eastAsia="Calibri" w:hAnsi="Verdana" w:cs="Arial"/>
              </w:rPr>
              <w:t>garantizado</w:t>
            </w:r>
            <w:r w:rsidRPr="00E03546">
              <w:rPr>
                <w:rFonts w:ascii="Verdana" w:eastAsia="Calibri" w:hAnsi="Verdana" w:cs="Arial"/>
                <w:spacing w:val="65"/>
              </w:rPr>
              <w:t xml:space="preserve"> </w:t>
            </w:r>
            <w:r w:rsidRPr="00E03546">
              <w:rPr>
                <w:rFonts w:ascii="Verdana" w:eastAsia="Calibri" w:hAnsi="Verdana" w:cs="Arial"/>
              </w:rPr>
              <w:t>más</w:t>
            </w:r>
            <w:r w:rsidRPr="00E03546">
              <w:rPr>
                <w:rFonts w:ascii="Verdana" w:eastAsia="Calibri" w:hAnsi="Verdana" w:cs="Arial"/>
                <w:spacing w:val="62"/>
              </w:rPr>
              <w:t xml:space="preserve"> </w:t>
            </w:r>
            <w:r w:rsidRPr="00E03546">
              <w:rPr>
                <w:rFonts w:ascii="Verdana" w:eastAsia="Calibri" w:hAnsi="Verdana" w:cs="Arial"/>
              </w:rPr>
              <w:t>el</w:t>
            </w:r>
            <w:r w:rsidRPr="00E03546">
              <w:rPr>
                <w:rFonts w:ascii="Verdana" w:eastAsia="Calibri" w:hAnsi="Verdana" w:cs="Arial"/>
                <w:spacing w:val="62"/>
              </w:rPr>
              <w:t xml:space="preserve"> </w:t>
            </w:r>
            <w:r w:rsidRPr="00E03546">
              <w:rPr>
                <w:rFonts w:ascii="Verdana" w:eastAsia="Calibri" w:hAnsi="Verdana" w:cs="Arial"/>
              </w:rPr>
              <w:t>plazo</w:t>
            </w:r>
            <w:r w:rsidRPr="00E03546">
              <w:rPr>
                <w:rFonts w:ascii="Verdana" w:eastAsia="Calibri" w:hAnsi="Verdana" w:cs="Arial"/>
                <w:spacing w:val="63"/>
              </w:rPr>
              <w:t xml:space="preserve"> </w:t>
            </w:r>
            <w:r w:rsidRPr="00E03546">
              <w:rPr>
                <w:rFonts w:ascii="Verdana" w:eastAsia="Calibri" w:hAnsi="Verdana" w:cs="Arial"/>
              </w:rPr>
              <w:t>contractual</w:t>
            </w:r>
            <w:r w:rsidRPr="00E03546">
              <w:rPr>
                <w:rFonts w:ascii="Verdana" w:eastAsia="Calibri" w:hAnsi="Verdana" w:cs="Arial"/>
                <w:spacing w:val="65"/>
              </w:rPr>
              <w:t xml:space="preserve"> </w:t>
            </w:r>
            <w:r w:rsidRPr="00E03546">
              <w:rPr>
                <w:rFonts w:ascii="Verdana" w:eastAsia="Calibri" w:hAnsi="Verdana" w:cs="Arial"/>
              </w:rPr>
              <w:t>previsto</w:t>
            </w:r>
            <w:r w:rsidRPr="00E03546">
              <w:rPr>
                <w:rFonts w:ascii="Verdana" w:eastAsia="Calibri" w:hAnsi="Verdana" w:cs="Arial"/>
                <w:spacing w:val="64"/>
              </w:rPr>
              <w:t xml:space="preserve"> </w:t>
            </w:r>
            <w:r w:rsidRPr="00E03546">
              <w:rPr>
                <w:rFonts w:ascii="Verdana" w:eastAsia="Calibri" w:hAnsi="Verdana" w:cs="Arial"/>
              </w:rPr>
              <w:t>para</w:t>
            </w:r>
            <w:r w:rsidRPr="00E03546">
              <w:rPr>
                <w:rFonts w:ascii="Verdana" w:eastAsia="Calibri" w:hAnsi="Verdana" w:cs="Arial"/>
                <w:spacing w:val="63"/>
              </w:rPr>
              <w:t xml:space="preserve"> </w:t>
            </w:r>
            <w:r w:rsidRPr="00E03546">
              <w:rPr>
                <w:rFonts w:ascii="Verdana" w:eastAsia="Calibri" w:hAnsi="Verdana" w:cs="Arial"/>
              </w:rPr>
              <w:t>la liquidación de aquel. En caso de no haberse convenido por las partes un término para la liquidación del contrato, la garantía deberá mantenerse vigente por el término legal previsto para este efecto […]”.</w:t>
            </w:r>
          </w:p>
          <w:p w14:paraId="6CEA610F" w14:textId="77777777" w:rsidR="000A09A9" w:rsidRDefault="000A09A9" w:rsidP="000A09A9">
            <w:pPr>
              <w:spacing w:before="120" w:after="120" w:line="276" w:lineRule="auto"/>
              <w:ind w:left="142" w:right="49"/>
              <w:jc w:val="both"/>
              <w:rPr>
                <w:rFonts w:ascii="Verdana" w:eastAsia="Calibri" w:hAnsi="Verdana" w:cs="Arial"/>
              </w:rPr>
            </w:pPr>
            <w:r>
              <w:rPr>
                <w:rFonts w:ascii="Verdana" w:eastAsia="Calibri" w:hAnsi="Verdana" w:cs="Arial"/>
              </w:rPr>
              <w:t>A pesar de ello</w:t>
            </w:r>
            <w:r w:rsidRPr="00E03546">
              <w:rPr>
                <w:rFonts w:ascii="Verdana" w:eastAsia="Calibri" w:hAnsi="Verdana" w:cs="Arial"/>
              </w:rPr>
              <w:t xml:space="preserve">, </w:t>
            </w:r>
            <w:r w:rsidRPr="00FB49A3">
              <w:rPr>
                <w:rFonts w:ascii="Verdana" w:eastAsia="Calibri" w:hAnsi="Verdana" w:cs="Arial"/>
              </w:rPr>
              <w:t>los interesados adoptarán las medidas que estimen pertinentes respecto a la vigencia del amparo de cumplimiento después de vencer el término para liquidar. Especialmente, previa asesoría de sus representantes legales, los contratistas del Estado deberán evaluar los cursos de acción disponibles frente a la falta de liquidación oportuna. En ambos casos,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p w14:paraId="769A5B3B" w14:textId="77777777" w:rsidR="000A09A9" w:rsidRPr="00A550FA" w:rsidRDefault="000A09A9" w:rsidP="000A09A9">
            <w:pPr>
              <w:spacing w:before="120" w:after="120" w:line="276" w:lineRule="auto"/>
              <w:ind w:left="142" w:right="49"/>
              <w:jc w:val="both"/>
              <w:rPr>
                <w:rFonts w:ascii="Verdana" w:eastAsia="Calibri" w:hAnsi="Verdana" w:cs="Arial"/>
                <w:bCs/>
              </w:rPr>
            </w:pPr>
            <w:r w:rsidRPr="00A550FA">
              <w:rPr>
                <w:rFonts w:ascii="Verdana" w:eastAsia="Calibri" w:hAnsi="Verdana" w:cs="Arial"/>
                <w:bCs/>
              </w:rPr>
              <w:t xml:space="preserve">En este contexto, corresponde a cada entidad contratante, con base en su autonomía y en el análisis técnico y jurídico que realicen sus asesores, definir en cada caso concreto la forma en que desarrollará su gestión contractual </w:t>
            </w:r>
            <w:r w:rsidRPr="00A550FA">
              <w:rPr>
                <w:rFonts w:ascii="Verdana" w:eastAsia="Calibri" w:hAnsi="Verdana" w:cs="Arial"/>
                <w:bCs/>
              </w:rPr>
              <w:lastRenderedPageBreak/>
              <w:t xml:space="preserve">respecto al </w:t>
            </w:r>
            <w:r>
              <w:rPr>
                <w:rFonts w:ascii="Verdana" w:eastAsia="Calibri" w:hAnsi="Verdana" w:cs="Arial"/>
                <w:bCs/>
              </w:rPr>
              <w:t>a la liquidación de sus contratos estatales</w:t>
            </w:r>
            <w:r w:rsidRPr="00A550FA">
              <w:rPr>
                <w:rFonts w:ascii="Verdana" w:eastAsia="Calibri" w:hAnsi="Verdana" w:cs="Arial"/>
                <w:bCs/>
              </w:rPr>
              <w:t xml:space="preserve">, lo cual debe reflejarse expresamente en </w:t>
            </w:r>
            <w:r>
              <w:rPr>
                <w:rFonts w:ascii="Verdana" w:eastAsia="Calibri" w:hAnsi="Verdana" w:cs="Arial"/>
                <w:bCs/>
              </w:rPr>
              <w:t>clausulado del mismo</w:t>
            </w:r>
            <w:r w:rsidRPr="00A550FA">
              <w:rPr>
                <w:rFonts w:ascii="Verdana" w:eastAsia="Calibri" w:hAnsi="Verdana" w:cs="Arial"/>
                <w:bCs/>
              </w:rPr>
              <w:t>. Esta determinación debe adoptarse con observancia del principio de juridicidad y atendiendo la normativa vigente al momento de su aplicación.</w:t>
            </w:r>
          </w:p>
          <w:p w14:paraId="5DB166EB" w14:textId="688FC1B9" w:rsidR="000A09A9" w:rsidRPr="005176C9" w:rsidRDefault="000A09A9" w:rsidP="00B92C71">
            <w:pPr>
              <w:spacing w:before="120" w:after="120" w:line="276" w:lineRule="auto"/>
              <w:ind w:left="142" w:right="49"/>
              <w:jc w:val="both"/>
              <w:rPr>
                <w:rFonts w:ascii="Verdana" w:eastAsia="Calibri" w:hAnsi="Verdana" w:cs="Arial"/>
              </w:rPr>
            </w:pPr>
            <w:r w:rsidRPr="00A550FA">
              <w:rPr>
                <w:rFonts w:ascii="Verdana" w:eastAsia="Calibri" w:hAnsi="Verdana" w:cs="Arial"/>
                <w:bCs/>
              </w:rPr>
              <w:t>Finalmente, se reitera que no corresponde a esta entidad validar actuaciones particulares de otras entidades públicas, ni emitir juicios de valor sobre casos específicos, en tanto ello es competencia de los órganos de control, jurisdiccionales o disciplinarios, según el caso</w:t>
            </w:r>
            <w:r>
              <w:rPr>
                <w:rFonts w:ascii="Verdana" w:eastAsia="Calibri" w:hAnsi="Verdana" w:cs="Arial"/>
                <w:bCs/>
              </w:rPr>
              <w:t>.</w:t>
            </w:r>
          </w:p>
        </w:tc>
      </w:tr>
    </w:tbl>
    <w:p w14:paraId="79371133" w14:textId="77777777" w:rsidR="00023FF6" w:rsidRPr="00E03546" w:rsidRDefault="00023FF6" w:rsidP="00023FF6">
      <w:pPr>
        <w:spacing w:after="0" w:line="276" w:lineRule="auto"/>
        <w:contextualSpacing/>
        <w:jc w:val="both"/>
        <w:rPr>
          <w:rFonts w:ascii="Verdana" w:eastAsia="Times New Roman" w:hAnsi="Verdana" w:cs="Arial"/>
          <w:lang w:eastAsia="es-ES_tradnl"/>
        </w:rPr>
      </w:pPr>
    </w:p>
    <w:p w14:paraId="509BD2C7" w14:textId="77777777" w:rsidR="00023FF6" w:rsidRDefault="00023FF6" w:rsidP="00023FF6">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3. Razones de la respuesta:</w:t>
      </w:r>
      <w:bookmarkStart w:id="1" w:name="_Hlk36018082"/>
    </w:p>
    <w:p w14:paraId="04F202E0" w14:textId="77777777" w:rsidR="00023FF6" w:rsidRPr="008F05E3" w:rsidRDefault="00023FF6" w:rsidP="00023FF6">
      <w:pPr>
        <w:tabs>
          <w:tab w:val="left" w:pos="142"/>
          <w:tab w:val="left" w:pos="284"/>
        </w:tabs>
        <w:spacing w:after="0" w:line="276" w:lineRule="auto"/>
        <w:jc w:val="both"/>
        <w:rPr>
          <w:rFonts w:ascii="Verdana" w:eastAsia="Century Gothic" w:hAnsi="Verdana" w:cs="Century Gothic"/>
          <w:b/>
          <w:bCs/>
        </w:rPr>
      </w:pPr>
    </w:p>
    <w:p w14:paraId="5364F20A" w14:textId="77777777" w:rsidR="00023FF6" w:rsidRPr="00E03546" w:rsidRDefault="00023FF6" w:rsidP="00023FF6">
      <w:pPr>
        <w:spacing w:line="276" w:lineRule="auto"/>
        <w:jc w:val="both"/>
        <w:rPr>
          <w:rFonts w:ascii="Verdana" w:eastAsia="Calibri" w:hAnsi="Verdana" w:cs="Arial"/>
        </w:rPr>
      </w:pPr>
      <w:r w:rsidRPr="00E03546">
        <w:rPr>
          <w:rFonts w:ascii="Verdana" w:eastAsia="Calibri" w:hAnsi="Verdana" w:cs="Arial"/>
        </w:rPr>
        <w:t xml:space="preserve">Lo anterior se sustenta en las siguientes consideraciones: </w:t>
      </w:r>
    </w:p>
    <w:bookmarkEnd w:id="1"/>
    <w:p w14:paraId="62A638FB" w14:textId="77777777" w:rsidR="00023FF6" w:rsidRDefault="00023FF6" w:rsidP="00023FF6">
      <w:pPr>
        <w:spacing w:before="120" w:after="120" w:line="276" w:lineRule="auto"/>
        <w:jc w:val="both"/>
        <w:rPr>
          <w:rFonts w:ascii="Verdana" w:eastAsia="Calibri" w:hAnsi="Verdana" w:cs="Arial"/>
        </w:rPr>
      </w:pPr>
      <w:r>
        <w:rPr>
          <w:rFonts w:ascii="Verdana" w:eastAsia="Calibri" w:hAnsi="Verdana" w:cs="Arial"/>
        </w:rPr>
        <w:t xml:space="preserve">i) </w:t>
      </w:r>
      <w:r w:rsidRPr="008F05E3">
        <w:rPr>
          <w:rFonts w:ascii="Verdana" w:eastAsia="Calibri" w:hAnsi="Verdana" w:cs="Arial"/>
        </w:rPr>
        <w:t xml:space="preserve">Es necesario analizar la modalidad de selección de contratación directa y sus causales, para de determinar si es aplicable a la celebración de convenios interadministrativos y qué garantías se deben solicitar. </w:t>
      </w:r>
    </w:p>
    <w:p w14:paraId="1DE4DCBD" w14:textId="77777777" w:rsidR="00023FF6" w:rsidRPr="008F05E3" w:rsidRDefault="00023FF6" w:rsidP="00023FF6">
      <w:pPr>
        <w:spacing w:before="120" w:after="120" w:line="276" w:lineRule="auto"/>
        <w:ind w:firstLine="708"/>
        <w:jc w:val="both"/>
        <w:rPr>
          <w:rFonts w:ascii="Verdana" w:eastAsia="Calibri" w:hAnsi="Verdana" w:cs="Arial"/>
        </w:rPr>
      </w:pPr>
      <w:r w:rsidRPr="008F05E3">
        <w:rPr>
          <w:rFonts w:ascii="Verdana" w:eastAsia="Calibri" w:hAnsi="Verdana" w:cs="Arial"/>
        </w:rPr>
        <w:t>La contratación directa es una modalidad de aplicación restrictiva, esto es, solo procede por las causales señaladas taxativamente en el numeral 4 del artículo 2 de la Ley 1150 de 2007, ya que es una excepción al principio de libre concurrencia y libre competencia que aplica a los procedimientos de contratación, para que cualquier persona interesada en satisfacer la necesidad de una entidad pueda presentar una oferta. En la contratación directa no es necesario que la entidad reciba más de una oferta, la cual proviene de la persona que la entidad señala directamente y la invita a ofertar el servicio que se requiere.</w:t>
      </w:r>
    </w:p>
    <w:p w14:paraId="6FF4F32F" w14:textId="77777777" w:rsidR="00023FF6" w:rsidRPr="008F05E3" w:rsidRDefault="00023FF6" w:rsidP="00023FF6">
      <w:pPr>
        <w:spacing w:before="120" w:after="120" w:line="276" w:lineRule="auto"/>
        <w:ind w:firstLine="708"/>
        <w:jc w:val="both"/>
        <w:rPr>
          <w:rFonts w:ascii="Verdana" w:eastAsia="Calibri" w:hAnsi="Verdana" w:cs="Arial"/>
        </w:rPr>
      </w:pPr>
      <w:r w:rsidRPr="008F05E3">
        <w:rPr>
          <w:rFonts w:ascii="Verdana" w:eastAsia="Calibri" w:hAnsi="Verdana" w:cs="Arial"/>
        </w:rPr>
        <w:t>Lo anterior puede obedecer a que el proponente es único, o a que el legislador privilegió algunos objetos contractuales u oferentes para contratarlos de manera directa, lo cual implica que el procedimiento es simplificado, corto, ágil y expedito, por no exigir una convocatoria pública, sin que esto obvie garantizar los principios rectores de la contratación pública.</w:t>
      </w:r>
    </w:p>
    <w:p w14:paraId="23223894" w14:textId="77777777" w:rsidR="00023FF6" w:rsidRPr="008F05E3" w:rsidRDefault="00023FF6" w:rsidP="00023FF6">
      <w:pPr>
        <w:spacing w:before="120" w:after="120" w:line="276" w:lineRule="auto"/>
        <w:ind w:firstLine="708"/>
        <w:jc w:val="both"/>
        <w:rPr>
          <w:rFonts w:ascii="Verdana" w:eastAsia="Calibri" w:hAnsi="Verdana" w:cs="Arial"/>
        </w:rPr>
      </w:pPr>
      <w:r w:rsidRPr="008F05E3">
        <w:rPr>
          <w:rFonts w:ascii="Verdana" w:eastAsia="Calibri" w:hAnsi="Verdana" w:cs="Arial"/>
        </w:rPr>
        <w:t xml:space="preserve">En todo caso, las entidades deben escoger a sus contratistas a través de procesos en los que participe una pluralidad de oferentes, prevaleciendo entre ellos, como regla general, la licitación pública, y dependiendo de las características o especialidad del bien o servicio o su cuantía, adelantarán un proceso en el que existan varias ofertas por las modalidades de selección de abreviada, concurso de méritos o mínima cuantía; y solo de manera excepcional </w:t>
      </w:r>
      <w:r w:rsidRPr="008F05E3">
        <w:rPr>
          <w:rFonts w:ascii="Verdana" w:eastAsia="Calibri" w:hAnsi="Verdana" w:cs="Arial"/>
        </w:rPr>
        <w:lastRenderedPageBreak/>
        <w:t>escogerán al contratista a través de la modalidad de selección de contratación directa. Al respecto, el Consejo de Estado indicó frente a la modalidad de selección de contratación directa que:</w:t>
      </w:r>
    </w:p>
    <w:p w14:paraId="72E14BD2" w14:textId="77777777" w:rsidR="00023FF6" w:rsidRPr="008F05E3" w:rsidRDefault="00023FF6" w:rsidP="00023FF6">
      <w:pPr>
        <w:pStyle w:val="Textoindependiente"/>
        <w:spacing w:before="120" w:after="120"/>
        <w:rPr>
          <w:rFonts w:ascii="Verdana" w:hAnsi="Verdana"/>
        </w:rPr>
      </w:pPr>
    </w:p>
    <w:p w14:paraId="4826B11F" w14:textId="77777777" w:rsidR="00023FF6" w:rsidRDefault="00023FF6" w:rsidP="00023FF6">
      <w:pPr>
        <w:pStyle w:val="Textoindependiente"/>
        <w:spacing w:before="120" w:after="120"/>
        <w:ind w:left="709" w:right="709"/>
        <w:jc w:val="both"/>
        <w:rPr>
          <w:rFonts w:ascii="Verdana" w:hAnsi="Verdana"/>
          <w:sz w:val="21"/>
          <w:szCs w:val="21"/>
        </w:rPr>
      </w:pPr>
      <w:r w:rsidRPr="008F05E3">
        <w:rPr>
          <w:rFonts w:ascii="Verdana" w:hAnsi="Verdana"/>
          <w:sz w:val="21"/>
          <w:szCs w:val="21"/>
        </w:rPr>
        <w:t xml:space="preserve">[...] No obstante, si bien la administración tiene la posibilidad de celebrar este tipo de contratos, sin acudir a licitación o concurso público, tal libertad no es absoluta, toda vez que en la selección del contratista se “deberá garantizar el cumplimiento de los principios de economía, transparencia y en especial el deber de selección objetiva, establecidos en la Ley 80 de 1993”. En efecto, en la contratación, ya sea de manera directa o a través de licitación o concurso públicos, la administración está obligada a respetar principios que rigen la contratación estatal y, especialmente, ciertos criterios de selección objetiva a la hora de escoger el contratista al que se le adjudicará el contrato. Respecto a la contratación directa, en interpretación de la norma precitada, la Sala observa </w:t>
      </w:r>
      <w:proofErr w:type="gramStart"/>
      <w:r w:rsidRPr="008F05E3">
        <w:rPr>
          <w:rFonts w:ascii="Verdana" w:hAnsi="Verdana"/>
          <w:sz w:val="21"/>
          <w:szCs w:val="21"/>
        </w:rPr>
        <w:t>que</w:t>
      </w:r>
      <w:proofErr w:type="gramEnd"/>
      <w:r w:rsidRPr="008F05E3">
        <w:rPr>
          <w:rFonts w:ascii="Verdana" w:hAnsi="Verdana"/>
          <w:sz w:val="21"/>
          <w:szCs w:val="21"/>
        </w:rPr>
        <w:t xml:space="preserve"> con anterioridad a la suscripción del contrato, es deber de la administración hacer un análisis previo a la suscripción del contrato, análisis en el cual se deberán examinar factores tales como experiencia, equipos, capacidad económica, precios, entre otros, con el fin de determinar si la propuesta presentada resulta ser la más ventajosa para la entidad que contrata</w:t>
      </w:r>
      <w:r w:rsidRPr="008F05E3">
        <w:rPr>
          <w:rFonts w:ascii="Verdana" w:hAnsi="Verdana"/>
          <w:spacing w:val="-4"/>
          <w:sz w:val="21"/>
          <w:szCs w:val="21"/>
        </w:rPr>
        <w:t xml:space="preserve"> </w:t>
      </w:r>
      <w:r w:rsidRPr="008F05E3">
        <w:rPr>
          <w:rFonts w:ascii="Verdana" w:hAnsi="Verdana"/>
          <w:sz w:val="21"/>
          <w:szCs w:val="21"/>
        </w:rPr>
        <w:t>[...]</w:t>
      </w:r>
      <w:r w:rsidRPr="008F05E3">
        <w:rPr>
          <w:rStyle w:val="Refdenotaalpie"/>
          <w:rFonts w:ascii="Verdana" w:hAnsi="Verdana"/>
          <w:sz w:val="21"/>
          <w:szCs w:val="21"/>
        </w:rPr>
        <w:footnoteReference w:id="1"/>
      </w:r>
      <w:r w:rsidRPr="008F05E3">
        <w:rPr>
          <w:rFonts w:ascii="Verdana" w:hAnsi="Verdana"/>
          <w:sz w:val="21"/>
          <w:szCs w:val="21"/>
        </w:rPr>
        <w:t>.</w:t>
      </w:r>
    </w:p>
    <w:p w14:paraId="0F65D997" w14:textId="77777777" w:rsidR="00023FF6" w:rsidRPr="008F05E3" w:rsidRDefault="00023FF6" w:rsidP="00023FF6">
      <w:pPr>
        <w:pStyle w:val="Textoindependiente"/>
        <w:spacing w:before="120" w:after="120"/>
        <w:ind w:left="709" w:right="709"/>
        <w:jc w:val="both"/>
        <w:rPr>
          <w:rFonts w:ascii="Verdana" w:hAnsi="Verdana"/>
          <w:sz w:val="21"/>
          <w:szCs w:val="21"/>
        </w:rPr>
      </w:pPr>
    </w:p>
    <w:p w14:paraId="51593BD6" w14:textId="77777777" w:rsidR="00023FF6" w:rsidRPr="008F05E3" w:rsidRDefault="00023FF6" w:rsidP="00023FF6">
      <w:pPr>
        <w:spacing w:before="120" w:after="120" w:line="276" w:lineRule="auto"/>
        <w:ind w:firstLine="708"/>
        <w:jc w:val="both"/>
        <w:rPr>
          <w:rFonts w:ascii="Verdana" w:eastAsia="Calibri" w:hAnsi="Verdana" w:cs="Arial"/>
        </w:rPr>
      </w:pPr>
      <w:r w:rsidRPr="008F05E3">
        <w:rPr>
          <w:rFonts w:ascii="Verdana" w:eastAsia="Calibri" w:hAnsi="Verdana" w:cs="Arial"/>
        </w:rPr>
        <w:t xml:space="preserve">Existe una diferencia fundamental con otras modalidades de selección, y es que en la contratación directa no se otorga puntaje a las ofertas para ponderarlas y elegir el ofrecimiento más favorable, ya que la entidad recibe solo una. Lo anterior es complementado por el Consejo de Estado, al definir qué significa contratación directa: </w:t>
      </w:r>
    </w:p>
    <w:p w14:paraId="6759739B" w14:textId="77777777" w:rsidR="00023FF6" w:rsidRPr="008F05E3" w:rsidRDefault="00023FF6" w:rsidP="00023FF6">
      <w:pPr>
        <w:spacing w:before="120" w:after="120"/>
        <w:ind w:left="708" w:right="709"/>
        <w:jc w:val="both"/>
        <w:rPr>
          <w:rFonts w:ascii="Verdana" w:hAnsi="Verdana" w:cs="Arial"/>
          <w:sz w:val="21"/>
          <w:szCs w:val="21"/>
        </w:rPr>
      </w:pPr>
      <w:r w:rsidRPr="008F05E3">
        <w:rPr>
          <w:rFonts w:ascii="Verdana" w:hAnsi="Verdana" w:cs="Arial"/>
          <w:sz w:val="21"/>
          <w:szCs w:val="21"/>
        </w:rPr>
        <w:t xml:space="preserve">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 Para los efectos de la ley de garantías, y dada su finalidad, el enunciado ‘contratación directa’ es sinónimo de cualquier </w:t>
      </w:r>
      <w:r w:rsidRPr="008F05E3">
        <w:rPr>
          <w:rFonts w:ascii="Verdana" w:hAnsi="Verdana" w:cs="Arial"/>
          <w:sz w:val="21"/>
          <w:szCs w:val="21"/>
        </w:rPr>
        <w:lastRenderedPageBreak/>
        <w:t>sistema diferente de la licitación pública, y no del procedimiento especial regulado por la ley 80 de 1993</w:t>
      </w:r>
      <w:r w:rsidRPr="008F05E3">
        <w:rPr>
          <w:rStyle w:val="Refdenotaalpie"/>
          <w:rFonts w:ascii="Verdana" w:hAnsi="Verdana" w:cs="Arial"/>
          <w:sz w:val="21"/>
          <w:szCs w:val="21"/>
        </w:rPr>
        <w:footnoteReference w:id="2"/>
      </w:r>
      <w:r w:rsidRPr="008F05E3">
        <w:rPr>
          <w:rFonts w:ascii="Verdana" w:hAnsi="Verdana" w:cs="Arial"/>
          <w:sz w:val="21"/>
          <w:szCs w:val="21"/>
        </w:rPr>
        <w:t>.</w:t>
      </w:r>
    </w:p>
    <w:p w14:paraId="6DB4EC9A" w14:textId="77777777" w:rsidR="00023FF6" w:rsidRPr="008F05E3" w:rsidRDefault="00023FF6" w:rsidP="00023FF6">
      <w:pPr>
        <w:spacing w:before="120" w:after="120"/>
        <w:jc w:val="both"/>
        <w:rPr>
          <w:rFonts w:ascii="Verdana" w:hAnsi="Verdana" w:cs="Arial"/>
          <w:sz w:val="20"/>
          <w:szCs w:val="20"/>
        </w:rPr>
      </w:pPr>
    </w:p>
    <w:p w14:paraId="50E5D458" w14:textId="77777777" w:rsidR="00023FF6" w:rsidRPr="008F05E3" w:rsidRDefault="00023FF6" w:rsidP="00023FF6">
      <w:pPr>
        <w:spacing w:before="120" w:after="120" w:line="276" w:lineRule="auto"/>
        <w:ind w:firstLine="708"/>
        <w:jc w:val="both"/>
        <w:rPr>
          <w:rFonts w:ascii="Verdana" w:eastAsia="Calibri" w:hAnsi="Verdana" w:cs="Arial"/>
        </w:rPr>
      </w:pPr>
      <w:r w:rsidRPr="008F05E3">
        <w:rPr>
          <w:rFonts w:ascii="Verdana" w:eastAsia="Calibri" w:hAnsi="Verdana" w:cs="Arial"/>
        </w:rPr>
        <w:t>Por su parte, el artículo 2, numeral 4, literal c) de la Ley 1150 de 2007, señala que, de manera excepcional, las entidades estatales pueden contratar directamente, entre otras, los «Contratos interadministrativos, siempre que las obligaciones derivadas del mismo tengan relación directa con el objeto de la entidad ejecutora señalado en la ley o en sus reglamentos». No obstante, esta disposición exceptuó celebrar de manera directa contratos o convenios interadministrativos cuando se trate de un contrato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Estas entidades pueden ejecutar aquellos contratos siempre que resulten adjudicatarias en un proceso abierto y con la participación de una pluralidad de oferentes, pues en dichos casos la entidad estatal que así lo requiera deberá adelantar una licitación pública, concurso de méritos o selección abreviada</w:t>
      </w:r>
      <w:r w:rsidRPr="008F05E3">
        <w:rPr>
          <w:rStyle w:val="Refdenotaalpie"/>
          <w:rFonts w:ascii="Verdana" w:eastAsia="Calibri" w:hAnsi="Verdana" w:cs="Arial"/>
        </w:rPr>
        <w:footnoteReference w:id="3"/>
      </w:r>
      <w:r w:rsidRPr="008F05E3">
        <w:rPr>
          <w:rFonts w:ascii="Verdana" w:eastAsia="Calibri" w:hAnsi="Verdana" w:cs="Arial"/>
        </w:rPr>
        <w:t>.</w:t>
      </w:r>
    </w:p>
    <w:p w14:paraId="1C100C50" w14:textId="77777777" w:rsidR="00023FF6" w:rsidRPr="008F05E3" w:rsidRDefault="00023FF6" w:rsidP="00023FF6">
      <w:pPr>
        <w:spacing w:before="120" w:after="120" w:line="276" w:lineRule="auto"/>
        <w:ind w:firstLine="708"/>
        <w:jc w:val="both"/>
        <w:rPr>
          <w:rFonts w:ascii="Verdana" w:eastAsia="Calibri" w:hAnsi="Verdana" w:cs="Arial"/>
        </w:rPr>
      </w:pPr>
      <w:r w:rsidRPr="008F05E3">
        <w:rPr>
          <w:rFonts w:ascii="Verdana" w:eastAsia="Calibri" w:hAnsi="Verdana" w:cs="Arial"/>
        </w:rPr>
        <w:t xml:space="preserve">Si bien la Ley 1150 de 2007 establece que las entidades estatales pueden celebrar contratos o convenios interadministrativos de manera directa, siempre que las obligaciones derivadas del mismo tengan relación directa con el objeto de la entidad ejecutora, la misma establece excepciones a esta regla, la cual está condicionada a que ciertas tipologías contractuales sean ejecutadas por las entidades estatales allí previstas. Nótese que, pese a tratarse de entidades del Estado, la Ley no restringió su denominación de contrato interadministrativo, sino que exceptuó el procedimiento de selección del contratista. Asimismo, hay </w:t>
      </w:r>
      <w:r w:rsidRPr="008F05E3">
        <w:rPr>
          <w:rFonts w:ascii="Verdana" w:eastAsia="Calibri" w:hAnsi="Verdana" w:cs="Arial"/>
        </w:rPr>
        <w:lastRenderedPageBreak/>
        <w:t xml:space="preserve">otras excepciones a la celebración de contratos interadministrativos, como la contemplada en el último párrafo del literal c, numeral 4, artículo 2 ibidem: </w:t>
      </w:r>
      <w:r>
        <w:rPr>
          <w:rFonts w:ascii="Verdana" w:eastAsia="Calibri" w:hAnsi="Verdana" w:cs="Arial"/>
        </w:rPr>
        <w:t>“</w:t>
      </w:r>
      <w:r w:rsidRPr="008F05E3">
        <w:rPr>
          <w:rFonts w:ascii="Verdana" w:eastAsia="Calibri" w:hAnsi="Verdana" w:cs="Arial"/>
        </w:rPr>
        <w:t>Estarán exceptuados de la figura del contrato interadministrativo, los contratos de seguro de las entidades estatales</w:t>
      </w:r>
      <w:r>
        <w:rPr>
          <w:rFonts w:ascii="Verdana" w:eastAsia="Calibri" w:hAnsi="Verdana" w:cs="Arial"/>
        </w:rPr>
        <w:t>”</w:t>
      </w:r>
      <w:r w:rsidRPr="008F05E3">
        <w:rPr>
          <w:rFonts w:ascii="Verdana" w:eastAsia="Calibri" w:hAnsi="Verdana" w:cs="Arial"/>
        </w:rPr>
        <w:t>.</w:t>
      </w:r>
    </w:p>
    <w:p w14:paraId="2EB51275" w14:textId="77777777" w:rsidR="00023FF6" w:rsidRPr="008F05E3" w:rsidRDefault="00023FF6" w:rsidP="00023FF6">
      <w:pPr>
        <w:spacing w:before="120" w:after="120" w:line="276" w:lineRule="auto"/>
        <w:ind w:firstLine="708"/>
        <w:jc w:val="both"/>
        <w:rPr>
          <w:rFonts w:ascii="Verdana" w:eastAsia="Calibri" w:hAnsi="Verdana" w:cs="Arial"/>
        </w:rPr>
      </w:pPr>
      <w:r w:rsidRPr="008F05E3">
        <w:rPr>
          <w:rFonts w:ascii="Verdana" w:eastAsia="Calibri" w:hAnsi="Verdana" w:cs="Arial"/>
        </w:rPr>
        <w:t>Así las cosas, la Ley no limitó la celebración de contratos interadministrativos a la modalidad de selección de contratación directa,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en el que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 estatales.</w:t>
      </w:r>
    </w:p>
    <w:p w14:paraId="7391F196" w14:textId="77777777" w:rsidR="00023FF6" w:rsidRPr="008F05E3" w:rsidRDefault="00023FF6" w:rsidP="00023FF6">
      <w:pPr>
        <w:spacing w:before="120" w:after="120" w:line="276" w:lineRule="auto"/>
        <w:ind w:firstLine="708"/>
        <w:jc w:val="both"/>
        <w:rPr>
          <w:rFonts w:ascii="Verdana" w:eastAsia="Calibri" w:hAnsi="Verdana" w:cs="Arial"/>
        </w:rPr>
      </w:pPr>
      <w:r w:rsidRPr="008F05E3">
        <w:rPr>
          <w:rFonts w:ascii="Verdana" w:eastAsia="Calibri" w:hAnsi="Verdana" w:cs="Arial"/>
        </w:rPr>
        <w:t>Finalmente, el artículo 7 de la Ley 1150 de 2007 establece que en los contratos interadministrativos las garantías no serán obligatorias</w:t>
      </w:r>
      <w:r w:rsidRPr="008F05E3">
        <w:rPr>
          <w:rStyle w:val="Refdenotaalpie"/>
          <w:rFonts w:ascii="Verdana" w:eastAsia="Calibri" w:hAnsi="Verdana" w:cs="Arial"/>
        </w:rPr>
        <w:footnoteReference w:id="4"/>
      </w:r>
      <w:r w:rsidRPr="008F05E3">
        <w:rPr>
          <w:rFonts w:ascii="Verdana" w:eastAsia="Calibri" w:hAnsi="Verdana" w:cs="Arial"/>
        </w:rPr>
        <w:t>. En el mismo sentido, el Decreto 1082 de 2015 prevé que en los convenios interadministrativos la exigencia de garantías no es obligatoria, y la justificación para exigirlas o no debe estar en los estudios previos</w:t>
      </w:r>
      <w:r w:rsidRPr="008F05E3">
        <w:rPr>
          <w:rStyle w:val="Refdenotaalpie"/>
          <w:rFonts w:ascii="Verdana" w:eastAsia="Calibri" w:hAnsi="Verdana" w:cs="Arial"/>
        </w:rPr>
        <w:footnoteReference w:id="5"/>
      </w:r>
      <w:r w:rsidRPr="008F05E3">
        <w:rPr>
          <w:rFonts w:ascii="Verdana" w:eastAsia="Calibri" w:hAnsi="Verdana" w:cs="Arial"/>
        </w:rPr>
        <w:t>.</w:t>
      </w:r>
    </w:p>
    <w:p w14:paraId="40EDF497" w14:textId="77777777" w:rsidR="00023FF6" w:rsidRPr="00E03546" w:rsidRDefault="00023FF6" w:rsidP="00023FF6">
      <w:pPr>
        <w:spacing w:before="120" w:after="0" w:line="276" w:lineRule="auto"/>
        <w:jc w:val="both"/>
        <w:rPr>
          <w:rFonts w:ascii="Verdana" w:eastAsia="Calibri" w:hAnsi="Verdana" w:cs="Arial"/>
        </w:rPr>
      </w:pPr>
      <w:proofErr w:type="spellStart"/>
      <w:r>
        <w:rPr>
          <w:rFonts w:ascii="Verdana" w:eastAsia="Times New Roman" w:hAnsi="Verdana" w:cs="Arial"/>
          <w:color w:val="000000"/>
          <w:lang w:eastAsia="es-CO"/>
        </w:rPr>
        <w:t>ii</w:t>
      </w:r>
      <w:proofErr w:type="spellEnd"/>
      <w:r>
        <w:rPr>
          <w:rFonts w:ascii="Verdana" w:eastAsia="Times New Roman" w:hAnsi="Verdana" w:cs="Arial"/>
          <w:color w:val="000000"/>
          <w:lang w:eastAsia="es-CO"/>
        </w:rPr>
        <w:t>) E</w:t>
      </w:r>
      <w:r w:rsidRPr="00E03546">
        <w:rPr>
          <w:rFonts w:ascii="Verdana" w:eastAsia="Times New Roman" w:hAnsi="Verdana" w:cs="Arial"/>
          <w:color w:val="000000"/>
          <w:lang w:eastAsia="es-CO"/>
        </w:rPr>
        <w:t xml:space="preserve">l artículo 2.2.1.2.3.1.12 regula la suficiencia de la garantía de cumplimiento. Esta debe tener una vigencia mínima hasta la liquidación y, por regla general un valor de por lo menos el diez por ciento (10%) del total del contrato, siempre que este sea inferior a un millón (1.000.000) de </w:t>
      </w:r>
      <w:proofErr w:type="spellStart"/>
      <w:r w:rsidRPr="00E03546">
        <w:rPr>
          <w:rFonts w:ascii="Verdana" w:eastAsia="Times New Roman" w:hAnsi="Verdana" w:cs="Arial"/>
          <w:color w:val="000000"/>
          <w:lang w:eastAsia="es-CO"/>
        </w:rPr>
        <w:t>smmlv</w:t>
      </w:r>
      <w:proofErr w:type="spellEnd"/>
      <w:r w:rsidRPr="00E03546">
        <w:rPr>
          <w:rFonts w:ascii="Verdana" w:eastAsia="Times New Roman" w:hAnsi="Verdana" w:cs="Arial"/>
          <w:color w:val="000000"/>
          <w:lang w:eastAsia="es-CO"/>
        </w:rPr>
        <w:t xml:space="preserve">. Conforme la norma citada, el amparo cubre tanto el </w:t>
      </w:r>
      <w:r w:rsidRPr="00E03546">
        <w:rPr>
          <w:rFonts w:ascii="Verdana" w:eastAsia="Times New Roman" w:hAnsi="Verdana" w:cs="Arial"/>
          <w:i/>
          <w:iCs/>
          <w:color w:val="000000"/>
          <w:lang w:eastAsia="es-CO"/>
        </w:rPr>
        <w:t>plazo de ejecución</w:t>
      </w:r>
      <w:r w:rsidRPr="00E03546">
        <w:rPr>
          <w:rFonts w:ascii="Verdana" w:eastAsia="Times New Roman" w:hAnsi="Verdana" w:cs="Arial"/>
          <w:color w:val="000000"/>
          <w:lang w:eastAsia="es-CO"/>
        </w:rPr>
        <w:t xml:space="preserve"> como el </w:t>
      </w:r>
      <w:r w:rsidRPr="00E03546">
        <w:rPr>
          <w:rFonts w:ascii="Verdana" w:eastAsia="Times New Roman" w:hAnsi="Verdana" w:cs="Arial"/>
          <w:i/>
          <w:iCs/>
          <w:color w:val="000000"/>
          <w:lang w:eastAsia="es-CO"/>
        </w:rPr>
        <w:t>plazo de vigencia</w:t>
      </w:r>
      <w:r w:rsidRPr="00E03546">
        <w:rPr>
          <w:rFonts w:ascii="Verdana" w:eastAsia="Times New Roman" w:hAnsi="Verdana" w:cs="Arial"/>
          <w:color w:val="000000"/>
          <w:lang w:eastAsia="es-CO"/>
        </w:rPr>
        <w:t xml:space="preserve"> del contrato. </w:t>
      </w:r>
      <w:r w:rsidRPr="00E03546">
        <w:rPr>
          <w:rFonts w:ascii="Verdana" w:eastAsia="Calibri" w:hAnsi="Verdana" w:cs="Arial"/>
        </w:rPr>
        <w:t xml:space="preserve">Al respecto, la jurisprudencia define el </w:t>
      </w:r>
      <w:r w:rsidRPr="00E03546">
        <w:rPr>
          <w:rFonts w:ascii="Verdana" w:eastAsia="Calibri" w:hAnsi="Verdana" w:cs="Arial"/>
          <w:i/>
          <w:iCs/>
        </w:rPr>
        <w:t>plazo de ejecución</w:t>
      </w:r>
      <w:r w:rsidRPr="00E03546">
        <w:rPr>
          <w:rFonts w:ascii="Verdana" w:eastAsia="Calibri" w:hAnsi="Verdana" w:cs="Arial"/>
        </w:rPr>
        <w:t xml:space="preserve"> como el establecido para la realización de las prestaciones contractuales y, de igual </w:t>
      </w:r>
      <w:r w:rsidRPr="00E03546">
        <w:rPr>
          <w:rFonts w:ascii="Verdana" w:eastAsia="Calibri" w:hAnsi="Verdana" w:cs="Arial"/>
        </w:rPr>
        <w:lastRenderedPageBreak/>
        <w:t xml:space="preserve">forma, considera que el </w:t>
      </w:r>
      <w:r w:rsidRPr="00E03546">
        <w:rPr>
          <w:rFonts w:ascii="Verdana" w:eastAsia="Calibri" w:hAnsi="Verdana" w:cs="Arial"/>
          <w:i/>
          <w:iCs/>
        </w:rPr>
        <w:t>plazo de vigencia</w:t>
      </w:r>
      <w:r w:rsidRPr="00E03546">
        <w:rPr>
          <w:rFonts w:ascii="Verdana" w:eastAsia="Calibri" w:hAnsi="Verdana" w:cs="Arial"/>
        </w:rPr>
        <w:t xml:space="preserve"> de este no ha finalizado mientras subsista la obligación para las partes de liquidar el contrato</w:t>
      </w:r>
      <w:r w:rsidRPr="00E03546">
        <w:rPr>
          <w:rFonts w:ascii="Verdana" w:eastAsia="Calibri" w:hAnsi="Verdana" w:cs="Arial"/>
          <w:vertAlign w:val="superscript"/>
        </w:rPr>
        <w:footnoteReference w:id="6"/>
      </w:r>
      <w:r w:rsidRPr="00E03546">
        <w:rPr>
          <w:rFonts w:ascii="Verdana" w:eastAsia="Calibri" w:hAnsi="Verdana" w:cs="Arial"/>
        </w:rPr>
        <w:t>. Por ello, explica lo siguiente:</w:t>
      </w:r>
    </w:p>
    <w:p w14:paraId="03CD0A51" w14:textId="77777777" w:rsidR="00023FF6" w:rsidRPr="00E03546" w:rsidRDefault="00023FF6" w:rsidP="00023FF6">
      <w:pPr>
        <w:spacing w:after="0" w:line="276" w:lineRule="auto"/>
        <w:ind w:firstLine="708"/>
        <w:jc w:val="both"/>
        <w:rPr>
          <w:rFonts w:ascii="Verdana" w:eastAsia="Calibri" w:hAnsi="Verdana" w:cs="Arial"/>
        </w:rPr>
      </w:pPr>
    </w:p>
    <w:p w14:paraId="6C118783" w14:textId="77777777" w:rsidR="00023FF6" w:rsidRPr="00E03546" w:rsidRDefault="00023FF6" w:rsidP="00023FF6">
      <w:pPr>
        <w:spacing w:after="0" w:line="276" w:lineRule="auto"/>
        <w:ind w:left="709" w:right="709"/>
        <w:jc w:val="both"/>
        <w:rPr>
          <w:rFonts w:ascii="Verdana" w:eastAsia="Times New Roman" w:hAnsi="Verdana" w:cs="Arial"/>
          <w:color w:val="000000"/>
          <w:sz w:val="20"/>
          <w:szCs w:val="20"/>
          <w:lang w:eastAsia="es-CO"/>
        </w:rPr>
      </w:pPr>
      <w:r w:rsidRPr="00E03546">
        <w:rPr>
          <w:rFonts w:ascii="Verdana" w:eastAsia="Times New Roman" w:hAnsi="Verdana" w:cs="Arial"/>
          <w:color w:val="000000"/>
          <w:sz w:val="20"/>
          <w:szCs w:val="20"/>
          <w:lang w:eastAsia="es-CO"/>
        </w:rPr>
        <w:t>“[…]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r w:rsidRPr="00E03546">
        <w:rPr>
          <w:rFonts w:ascii="Verdana" w:eastAsia="Times New Roman" w:hAnsi="Verdana" w:cs="Arial"/>
          <w:color w:val="000000"/>
          <w:sz w:val="20"/>
          <w:szCs w:val="20"/>
          <w:vertAlign w:val="superscript"/>
          <w:lang w:eastAsia="es-CO"/>
        </w:rPr>
        <w:footnoteReference w:id="7"/>
      </w:r>
      <w:r w:rsidRPr="00E03546">
        <w:rPr>
          <w:rFonts w:ascii="Verdana" w:eastAsia="Times New Roman" w:hAnsi="Verdana" w:cs="Arial"/>
          <w:color w:val="000000"/>
          <w:sz w:val="20"/>
          <w:szCs w:val="20"/>
          <w:lang w:eastAsia="es-CO"/>
        </w:rPr>
        <w:t>.</w:t>
      </w:r>
    </w:p>
    <w:p w14:paraId="77888E5E" w14:textId="77777777" w:rsidR="00023FF6" w:rsidRPr="00E03546" w:rsidRDefault="00023FF6" w:rsidP="00023FF6">
      <w:pPr>
        <w:spacing w:after="0" w:line="276" w:lineRule="auto"/>
        <w:jc w:val="both"/>
        <w:rPr>
          <w:rFonts w:ascii="Verdana" w:eastAsia="Times New Roman" w:hAnsi="Verdana" w:cs="Arial"/>
          <w:color w:val="000000"/>
          <w:lang w:eastAsia="es-CO"/>
        </w:rPr>
      </w:pPr>
    </w:p>
    <w:p w14:paraId="4CCAAE00" w14:textId="77777777" w:rsidR="00023FF6" w:rsidRPr="00E03546" w:rsidRDefault="00023FF6" w:rsidP="00023FF6">
      <w:pPr>
        <w:spacing w:after="0" w:line="276" w:lineRule="auto"/>
        <w:ind w:firstLine="709"/>
        <w:jc w:val="both"/>
        <w:rPr>
          <w:rFonts w:ascii="Verdana" w:eastAsia="Times New Roman" w:hAnsi="Verdana" w:cs="Arial"/>
          <w:color w:val="000000"/>
          <w:lang w:eastAsia="es-CO"/>
        </w:rPr>
      </w:pPr>
      <w:r w:rsidRPr="00E03546">
        <w:rPr>
          <w:rFonts w:ascii="Verdana" w:eastAsia="Times New Roman" w:hAnsi="Verdana" w:cs="Arial"/>
          <w:color w:val="000000"/>
          <w:lang w:eastAsia="es-CO"/>
        </w:rPr>
        <w:t xml:space="preserve">Así, la cobertura mínima del amparo de cumplimiento cubre el </w:t>
      </w:r>
      <w:r w:rsidRPr="00E03546">
        <w:rPr>
          <w:rFonts w:ascii="Verdana" w:eastAsia="Times New Roman" w:hAnsi="Verdana" w:cs="Arial"/>
          <w:i/>
          <w:iCs/>
          <w:color w:val="000000"/>
          <w:lang w:eastAsia="es-CO"/>
        </w:rPr>
        <w:t>plazo de ejecución</w:t>
      </w:r>
      <w:r w:rsidRPr="00E03546">
        <w:rPr>
          <w:rFonts w:ascii="Verdana" w:eastAsia="Times New Roman" w:hAnsi="Verdana" w:cs="Arial"/>
          <w:color w:val="000000"/>
          <w:lang w:eastAsia="es-CO"/>
        </w:rPr>
        <w:t xml:space="preserve"> y el </w:t>
      </w:r>
      <w:r w:rsidRPr="00E03546">
        <w:rPr>
          <w:rFonts w:ascii="Verdana" w:eastAsia="Times New Roman" w:hAnsi="Verdana" w:cs="Arial"/>
          <w:i/>
          <w:iCs/>
          <w:color w:val="000000"/>
          <w:lang w:eastAsia="es-CO"/>
        </w:rPr>
        <w:t>plazo de vigencia</w:t>
      </w:r>
      <w:r w:rsidRPr="00E03546">
        <w:rPr>
          <w:rFonts w:ascii="Verdana" w:eastAsia="Times New Roman" w:hAnsi="Verdana" w:cs="Arial"/>
          <w:color w:val="000000"/>
          <w:lang w:eastAsia="es-CO"/>
        </w:rPr>
        <w:t>,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r w:rsidRPr="00E03546">
        <w:rPr>
          <w:rFonts w:ascii="Verdana" w:eastAsia="Times New Roman" w:hAnsi="Verdana" w:cs="Arial"/>
          <w:color w:val="000000"/>
          <w:vertAlign w:val="superscript"/>
          <w:lang w:eastAsia="es-CO"/>
        </w:rPr>
        <w:footnoteReference w:id="8"/>
      </w:r>
      <w:r w:rsidRPr="00E03546">
        <w:rPr>
          <w:rFonts w:ascii="Verdana" w:eastAsia="Times New Roman" w:hAnsi="Verdana" w:cs="Arial"/>
          <w:color w:val="000000"/>
          <w:lang w:eastAsia="es-CO"/>
        </w:rPr>
        <w:t>. Teniendo en cuenta lo anterior, corresponde analizar los plazos para liquidar los contratos estatales, aspecto que se abordará en el siguiente apartado.</w:t>
      </w:r>
    </w:p>
    <w:p w14:paraId="1682079A" w14:textId="77777777" w:rsidR="00023FF6" w:rsidRPr="00E03546" w:rsidRDefault="00023FF6" w:rsidP="00023FF6">
      <w:pPr>
        <w:spacing w:after="0" w:line="276" w:lineRule="auto"/>
        <w:jc w:val="both"/>
        <w:rPr>
          <w:rFonts w:ascii="Verdana" w:eastAsia="Calibri" w:hAnsi="Verdana" w:cs="Arial"/>
        </w:rPr>
      </w:pPr>
    </w:p>
    <w:p w14:paraId="156A4B02" w14:textId="77777777" w:rsidR="00023FF6" w:rsidRPr="00E03546" w:rsidRDefault="00023FF6" w:rsidP="00023FF6">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4. Referencias normativas, jurisprudenciales y otras fuentes:</w:t>
      </w:r>
    </w:p>
    <w:p w14:paraId="29CC37B6" w14:textId="77777777" w:rsidR="00023FF6" w:rsidRPr="00E03546" w:rsidRDefault="00023FF6" w:rsidP="00023FF6">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3FF6" w:rsidRPr="00E03546" w14:paraId="7B440B56" w14:textId="77777777" w:rsidTr="00636F25">
        <w:trPr>
          <w:trHeight w:val="359"/>
        </w:trPr>
        <w:tc>
          <w:tcPr>
            <w:tcW w:w="8647" w:type="dxa"/>
          </w:tcPr>
          <w:p w14:paraId="1A820C7F" w14:textId="77777777"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Ley 80 de 1993, artículo 60. Disponible en: </w:t>
            </w:r>
            <w:hyperlink r:id="rId12" w:history="1">
              <w:r w:rsidRPr="00E03546">
                <w:rPr>
                  <w:rFonts w:ascii="Verdana" w:eastAsia="Calibri" w:hAnsi="Verdana" w:cs="Arial"/>
                  <w:color w:val="0000FF"/>
                  <w:u w:val="single"/>
                </w:rPr>
                <w:t>https://relatoria.colombiacompra.gov.co/normativa/ley-80-de-1993/</w:t>
              </w:r>
            </w:hyperlink>
          </w:p>
          <w:p w14:paraId="0A2633A4"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p>
          <w:p w14:paraId="7697C356" w14:textId="593AFCFB"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Ley 1150 de 2007, artículo</w:t>
            </w:r>
            <w:r w:rsidR="00E121C4">
              <w:rPr>
                <w:rFonts w:ascii="Verdana" w:eastAsia="Calibri" w:hAnsi="Verdana" w:cs="Arial"/>
              </w:rPr>
              <w:t>s</w:t>
            </w:r>
            <w:r w:rsidRPr="00E03546">
              <w:rPr>
                <w:rFonts w:ascii="Verdana" w:eastAsia="Calibri" w:hAnsi="Verdana" w:cs="Arial"/>
              </w:rPr>
              <w:t xml:space="preserve"> </w:t>
            </w:r>
            <w:r w:rsidR="001F5BAD">
              <w:rPr>
                <w:rFonts w:ascii="Verdana" w:eastAsia="Calibri" w:hAnsi="Verdana" w:cs="Arial"/>
              </w:rPr>
              <w:t xml:space="preserve">7 y </w:t>
            </w:r>
            <w:r w:rsidRPr="00E03546">
              <w:rPr>
                <w:rFonts w:ascii="Verdana" w:eastAsia="Calibri" w:hAnsi="Verdana" w:cs="Arial"/>
              </w:rPr>
              <w:t xml:space="preserve">11. Disponible en: </w:t>
            </w:r>
            <w:hyperlink r:id="rId13" w:history="1">
              <w:r w:rsidRPr="00E03546">
                <w:rPr>
                  <w:rFonts w:ascii="Verdana" w:eastAsia="Calibri" w:hAnsi="Verdana" w:cs="Arial"/>
                  <w:color w:val="0000FF"/>
                  <w:u w:val="single"/>
                </w:rPr>
                <w:t>https://relatoria.colombiacompra.gov.co/normativa/ley-1150-de-2007/</w:t>
              </w:r>
            </w:hyperlink>
          </w:p>
          <w:p w14:paraId="372DB341" w14:textId="77777777"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lastRenderedPageBreak/>
              <w:t xml:space="preserve">Código de Comercio, artículo 1048. Disponible en: </w:t>
            </w:r>
            <w:hyperlink r:id="rId14" w:history="1">
              <w:r w:rsidRPr="00E03546">
                <w:rPr>
                  <w:rFonts w:ascii="Verdana" w:eastAsia="Calibri" w:hAnsi="Verdana" w:cs="Arial"/>
                  <w:color w:val="0000FF"/>
                  <w:u w:val="single"/>
                </w:rPr>
                <w:t>https://relatoria.colombiacompra.gov.co/normativa/codigo-de-comercio-decreto-410-de-1971/</w:t>
              </w:r>
            </w:hyperlink>
          </w:p>
          <w:p w14:paraId="6F428593"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p>
          <w:p w14:paraId="660B44BF" w14:textId="4F45DE29"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Decreto</w:t>
            </w:r>
            <w:r w:rsidRPr="00E03546">
              <w:rPr>
                <w:rFonts w:ascii="Verdana" w:eastAsia="Calibri" w:hAnsi="Verdana" w:cs="Arial"/>
              </w:rPr>
              <w:tab/>
              <w:t>1082</w:t>
            </w:r>
            <w:r w:rsidRPr="00E03546">
              <w:rPr>
                <w:rFonts w:ascii="Verdana" w:eastAsia="Calibri" w:hAnsi="Verdana" w:cs="Arial"/>
              </w:rPr>
              <w:tab/>
              <w:t>de</w:t>
            </w:r>
            <w:r w:rsidRPr="00E03546">
              <w:rPr>
                <w:rFonts w:ascii="Verdana" w:eastAsia="Calibri" w:hAnsi="Verdana" w:cs="Arial"/>
              </w:rPr>
              <w:tab/>
              <w:t>2015,</w:t>
            </w:r>
            <w:r w:rsidRPr="00E03546">
              <w:rPr>
                <w:rFonts w:ascii="Verdana" w:eastAsia="Calibri" w:hAnsi="Verdana" w:cs="Arial"/>
              </w:rPr>
              <w:tab/>
              <w:t>artículos</w:t>
            </w:r>
            <w:r w:rsidRPr="00E03546">
              <w:rPr>
                <w:rFonts w:ascii="Verdana" w:eastAsia="Calibri" w:hAnsi="Verdana" w:cs="Arial"/>
              </w:rPr>
              <w:tab/>
              <w:t>2.2.1.2.3.1.3,</w:t>
            </w:r>
            <w:r w:rsidRPr="00E03546">
              <w:rPr>
                <w:rFonts w:ascii="Verdana" w:eastAsia="Calibri" w:hAnsi="Verdana" w:cs="Arial"/>
              </w:rPr>
              <w:tab/>
              <w:t>2.2.1.2.3.1.7, 2.2.1.2.3.1.12</w:t>
            </w:r>
            <w:r>
              <w:rPr>
                <w:rFonts w:ascii="Verdana" w:eastAsia="Calibri" w:hAnsi="Verdana" w:cs="Arial"/>
              </w:rPr>
              <w:t xml:space="preserve">, </w:t>
            </w:r>
            <w:r w:rsidRPr="005D7601">
              <w:rPr>
                <w:rFonts w:ascii="Verdana" w:eastAsia="Calibri" w:hAnsi="Verdana" w:cs="Arial"/>
              </w:rPr>
              <w:t>2.2.1.2.1.4.5</w:t>
            </w:r>
            <w:r w:rsidR="001F5BAD">
              <w:rPr>
                <w:rFonts w:ascii="Verdana" w:eastAsia="Calibri" w:hAnsi="Verdana" w:cs="Arial"/>
              </w:rPr>
              <w:t>.</w:t>
            </w:r>
            <w:r w:rsidRPr="00E03546">
              <w:rPr>
                <w:rFonts w:ascii="Verdana" w:eastAsia="Calibri" w:hAnsi="Verdana" w:cs="Arial"/>
              </w:rPr>
              <w:t xml:space="preserve"> Disponible en: </w:t>
            </w:r>
            <w:hyperlink r:id="rId15" w:history="1">
              <w:r w:rsidRPr="00E03546">
                <w:rPr>
                  <w:rFonts w:ascii="Verdana" w:eastAsia="Calibri" w:hAnsi="Verdana" w:cs="Arial"/>
                  <w:color w:val="0000FF"/>
                  <w:u w:val="single"/>
                </w:rPr>
                <w:t>https://relatoria.colombiacompra.gov.co/normativa/decreto-1082-de-2015/</w:t>
              </w:r>
            </w:hyperlink>
          </w:p>
          <w:p w14:paraId="59594667"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p>
          <w:p w14:paraId="50EEB04A" w14:textId="77777777"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Sección Tercera. Subsección A. Sentencia del 12 de febrero de 2015. </w:t>
            </w:r>
            <w:proofErr w:type="spellStart"/>
            <w:r w:rsidRPr="00E03546">
              <w:rPr>
                <w:rFonts w:ascii="Verdana" w:eastAsia="Calibri" w:hAnsi="Verdana" w:cs="Arial"/>
              </w:rPr>
              <w:t>Exp</w:t>
            </w:r>
            <w:proofErr w:type="spellEnd"/>
            <w:r w:rsidRPr="00E03546">
              <w:rPr>
                <w:rFonts w:ascii="Verdana" w:eastAsia="Calibri" w:hAnsi="Verdana" w:cs="Arial"/>
              </w:rPr>
              <w:t xml:space="preserve">. 28278. C.P. Carlos Alberto Zambrano Barrera. Disponible: </w:t>
            </w:r>
            <w:hyperlink r:id="rId16" w:history="1">
              <w:r w:rsidRPr="00E03546">
                <w:rPr>
                  <w:rFonts w:ascii="Verdana" w:eastAsia="Calibri" w:hAnsi="Verdana" w:cs="Arial"/>
                  <w:color w:val="0000FF"/>
                  <w:u w:val="single"/>
                </w:rPr>
                <w:t>https://relatoria.colombiacompra.gov.co/providencias/25000-23-26-000-2003-00874-01_28278/</w:t>
              </w:r>
            </w:hyperlink>
          </w:p>
          <w:p w14:paraId="6FEDDCAC"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p>
          <w:p w14:paraId="1337B1DE" w14:textId="77777777"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Sección Tercera. Sentencia del 29 de julio de 2015. </w:t>
            </w:r>
            <w:proofErr w:type="spellStart"/>
            <w:r w:rsidRPr="00E03546">
              <w:rPr>
                <w:rFonts w:ascii="Verdana" w:eastAsia="Calibri" w:hAnsi="Verdana" w:cs="Arial"/>
              </w:rPr>
              <w:t>Exp</w:t>
            </w:r>
            <w:proofErr w:type="spellEnd"/>
            <w:r w:rsidRPr="00E03546">
              <w:rPr>
                <w:rFonts w:ascii="Verdana" w:eastAsia="Calibri" w:hAnsi="Verdana" w:cs="Arial"/>
              </w:rPr>
              <w:t xml:space="preserve">. 42.494. C.P. Jaime Orlando Santofimio Gamboa. Disponible en: </w:t>
            </w:r>
            <w:hyperlink r:id="rId17" w:history="1">
              <w:r w:rsidRPr="00E03546">
                <w:rPr>
                  <w:rFonts w:ascii="Verdana" w:eastAsia="Calibri" w:hAnsi="Verdana" w:cs="Arial"/>
                  <w:color w:val="0000FF"/>
                  <w:u w:val="single"/>
                </w:rPr>
                <w:t>https://relatoria.colombiacompra.gov.co/providencias/25000-23-26-000-2007-00108-01_42494/</w:t>
              </w:r>
            </w:hyperlink>
          </w:p>
          <w:p w14:paraId="5AAF3D08"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p>
          <w:p w14:paraId="0FC53C44" w14:textId="77777777"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CONSEJO DE ESTADO. Sección Tercera. Subsección C. Radicado No. 05001-23-31-000-1998-00038-01. Número Interno 27.777. M.P.</w:t>
            </w:r>
          </w:p>
          <w:p w14:paraId="1CA5C6CF"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r w:rsidRPr="00E03546">
              <w:rPr>
                <w:rFonts w:ascii="Verdana" w:eastAsia="Calibri" w:hAnsi="Verdana" w:cs="Arial"/>
              </w:rPr>
              <w:t>Enrique Gil Botero</w:t>
            </w:r>
          </w:p>
          <w:p w14:paraId="1EC8BF54" w14:textId="77777777" w:rsidR="00023FF6" w:rsidRPr="00E03546" w:rsidRDefault="00023FF6" w:rsidP="00636F25">
            <w:pPr>
              <w:widowControl w:val="0"/>
              <w:autoSpaceDE w:val="0"/>
              <w:autoSpaceDN w:val="0"/>
              <w:spacing w:after="120"/>
              <w:jc w:val="both"/>
              <w:rPr>
                <w:rFonts w:ascii="Verdana" w:eastAsia="Calibri" w:hAnsi="Verdana" w:cs="Arial"/>
              </w:rPr>
            </w:pPr>
          </w:p>
          <w:p w14:paraId="1660C1F9" w14:textId="77777777"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Sección Tercera. Sentencia del 13 de septiembre de 1999. </w:t>
            </w:r>
            <w:proofErr w:type="spellStart"/>
            <w:r w:rsidRPr="00E03546">
              <w:rPr>
                <w:rFonts w:ascii="Verdana" w:eastAsia="Calibri" w:hAnsi="Verdana" w:cs="Arial"/>
              </w:rPr>
              <w:t>Exp</w:t>
            </w:r>
            <w:proofErr w:type="spellEnd"/>
            <w:r w:rsidRPr="00E03546">
              <w:rPr>
                <w:rFonts w:ascii="Verdana" w:eastAsia="Calibri" w:hAnsi="Verdana" w:cs="Arial"/>
              </w:rPr>
              <w:t>. 10.264. C.P. Ricardo Hoyos Duque.</w:t>
            </w:r>
          </w:p>
          <w:p w14:paraId="18FE39BD"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p>
          <w:p w14:paraId="6BF9B7B0" w14:textId="77777777"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Sala de Consulta y Servicio Civil. Concepto de 28 de junio de 2016. Radicación: 2253. C.P. Álvaro </w:t>
            </w:r>
            <w:proofErr w:type="spellStart"/>
            <w:r w:rsidRPr="00E03546">
              <w:rPr>
                <w:rFonts w:ascii="Verdana" w:eastAsia="Calibri" w:hAnsi="Verdana" w:cs="Arial"/>
              </w:rPr>
              <w:t>Namén</w:t>
            </w:r>
            <w:proofErr w:type="spellEnd"/>
            <w:r w:rsidRPr="00E03546">
              <w:rPr>
                <w:rFonts w:ascii="Verdana" w:eastAsia="Calibri" w:hAnsi="Verdana" w:cs="Arial"/>
              </w:rPr>
              <w:t xml:space="preserve"> Vargas</w:t>
            </w:r>
          </w:p>
          <w:p w14:paraId="6608C555" w14:textId="77777777" w:rsidR="00023FF6" w:rsidRPr="00E03546" w:rsidRDefault="00023FF6" w:rsidP="00636F25">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Sección Tercera. </w:t>
            </w:r>
            <w:r w:rsidRPr="006F44C3">
              <w:rPr>
                <w:rFonts w:ascii="Verdana" w:eastAsia="Calibri" w:hAnsi="Verdana" w:cs="Arial"/>
                <w:lang w:val="pt-PT"/>
              </w:rPr>
              <w:t xml:space="preserve">Sala Plena. Auto de 1 de agosto de 2019. </w:t>
            </w:r>
            <w:proofErr w:type="spellStart"/>
            <w:r w:rsidRPr="00E03546">
              <w:rPr>
                <w:rFonts w:ascii="Verdana" w:eastAsia="Calibri" w:hAnsi="Verdana" w:cs="Arial"/>
              </w:rPr>
              <w:t>Exp</w:t>
            </w:r>
            <w:proofErr w:type="spellEnd"/>
            <w:r w:rsidRPr="00E03546">
              <w:rPr>
                <w:rFonts w:ascii="Verdana" w:eastAsia="Calibri" w:hAnsi="Verdana" w:cs="Arial"/>
              </w:rPr>
              <w:t xml:space="preserve">. 62009. C.P. Jaime Enrique Rodríguez Navas. Disponible en: </w:t>
            </w:r>
            <w:hyperlink r:id="rId18" w:history="1">
              <w:r w:rsidRPr="00E03546">
                <w:rPr>
                  <w:rFonts w:ascii="Verdana" w:eastAsia="Calibri" w:hAnsi="Verdana" w:cs="Arial"/>
                  <w:color w:val="0000FF"/>
                  <w:u w:val="single"/>
                </w:rPr>
                <w:t>https://relatoria.colombiacompra.gov.co/providencias/2019_05001-23-33-000-2018-00342-01_62009/</w:t>
              </w:r>
            </w:hyperlink>
          </w:p>
          <w:p w14:paraId="79874B61"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p>
          <w:p w14:paraId="5663D1F5" w14:textId="77777777" w:rsidR="00023FF6" w:rsidRPr="00E03546" w:rsidRDefault="00023FF6" w:rsidP="00636F25">
            <w:pPr>
              <w:widowControl w:val="0"/>
              <w:numPr>
                <w:ilvl w:val="0"/>
                <w:numId w:val="16"/>
              </w:numPr>
              <w:autoSpaceDE w:val="0"/>
              <w:autoSpaceDN w:val="0"/>
              <w:spacing w:after="120"/>
              <w:contextualSpacing/>
              <w:rPr>
                <w:rFonts w:ascii="Verdana" w:eastAsia="Calibri" w:hAnsi="Verdana" w:cs="Arial"/>
              </w:rPr>
            </w:pPr>
            <w:r w:rsidRPr="00E03546">
              <w:rPr>
                <w:rFonts w:ascii="Verdana" w:eastAsia="Calibri" w:hAnsi="Verdana" w:cs="Arial"/>
              </w:rPr>
              <w:t>COLOMBIA COMPRA EFICIENTE. Guía para la Liquidación de los Procesos</w:t>
            </w:r>
            <w:r w:rsidRPr="00E03546">
              <w:rPr>
                <w:rFonts w:ascii="Verdana" w:eastAsia="Calibri" w:hAnsi="Verdana" w:cs="Arial"/>
              </w:rPr>
              <w:tab/>
              <w:t>de</w:t>
            </w:r>
            <w:r w:rsidRPr="00E03546">
              <w:rPr>
                <w:rFonts w:ascii="Verdana" w:eastAsia="Calibri" w:hAnsi="Verdana" w:cs="Arial"/>
              </w:rPr>
              <w:tab/>
              <w:t>Contratación.</w:t>
            </w:r>
            <w:r w:rsidRPr="00E03546">
              <w:rPr>
                <w:rFonts w:ascii="Verdana" w:eastAsia="Calibri" w:hAnsi="Verdana" w:cs="Arial"/>
              </w:rPr>
              <w:tab/>
              <w:t>Disponible</w:t>
            </w:r>
            <w:r w:rsidRPr="00E03546">
              <w:rPr>
                <w:rFonts w:ascii="Verdana" w:eastAsia="Calibri" w:hAnsi="Verdana" w:cs="Arial"/>
              </w:rPr>
              <w:tab/>
              <w:t xml:space="preserve">en: </w:t>
            </w:r>
            <w:hyperlink r:id="rId19" w:history="1">
              <w:r w:rsidRPr="00E03546">
                <w:rPr>
                  <w:rFonts w:ascii="Verdana" w:eastAsia="Calibri" w:hAnsi="Verdana" w:cs="Arial"/>
                  <w:color w:val="0000FF"/>
                  <w:u w:val="single"/>
                </w:rPr>
                <w:t>https://www.colombiacompra.gov.co/sites/cce_public/files/cce_documents/cce_guia_liquidacion_procesos.pdf</w:t>
              </w:r>
            </w:hyperlink>
          </w:p>
          <w:p w14:paraId="4E7A7873" w14:textId="77777777" w:rsidR="00023FF6" w:rsidRPr="00E03546" w:rsidRDefault="00023FF6" w:rsidP="00636F25">
            <w:pPr>
              <w:widowControl w:val="0"/>
              <w:autoSpaceDE w:val="0"/>
              <w:autoSpaceDN w:val="0"/>
              <w:spacing w:after="120"/>
              <w:ind w:left="720"/>
              <w:contextualSpacing/>
              <w:jc w:val="both"/>
              <w:rPr>
                <w:rFonts w:ascii="Verdana" w:eastAsia="Calibri" w:hAnsi="Verdana" w:cs="Arial"/>
              </w:rPr>
            </w:pPr>
          </w:p>
          <w:p w14:paraId="4B6BA274" w14:textId="77777777" w:rsidR="00023FF6" w:rsidRPr="00E03546" w:rsidRDefault="00023FF6" w:rsidP="00636F25">
            <w:pPr>
              <w:numPr>
                <w:ilvl w:val="0"/>
                <w:numId w:val="16"/>
              </w:numPr>
              <w:spacing w:after="120" w:line="276" w:lineRule="auto"/>
              <w:contextualSpacing/>
              <w:jc w:val="both"/>
              <w:rPr>
                <w:rFonts w:ascii="Verdana" w:eastAsia="Calibri" w:hAnsi="Verdana" w:cs="Arial"/>
              </w:rPr>
            </w:pPr>
            <w:r w:rsidRPr="00E03546">
              <w:rPr>
                <w:rFonts w:ascii="Verdana" w:eastAsia="Calibri" w:hAnsi="Verdana" w:cs="Arial"/>
              </w:rPr>
              <w:lastRenderedPageBreak/>
              <w:t>PALACIO HINCAPIÉ, Juan Ángel. La contratación de las entidades estatales. Octava edición. Medellín: Librería Jurídica Sánchez R. SAS, 2020.</w:t>
            </w:r>
          </w:p>
        </w:tc>
      </w:tr>
    </w:tbl>
    <w:p w14:paraId="7C73E237" w14:textId="77777777" w:rsidR="00023FF6" w:rsidRPr="00E03546" w:rsidRDefault="00023FF6" w:rsidP="00023FF6">
      <w:pPr>
        <w:tabs>
          <w:tab w:val="left" w:pos="142"/>
          <w:tab w:val="left" w:pos="284"/>
        </w:tabs>
        <w:spacing w:after="0" w:line="276" w:lineRule="auto"/>
        <w:jc w:val="both"/>
        <w:rPr>
          <w:rFonts w:ascii="Verdana" w:eastAsia="Century Gothic" w:hAnsi="Verdana" w:cs="Century Gothic"/>
          <w:b/>
          <w:bCs/>
        </w:rPr>
      </w:pPr>
    </w:p>
    <w:p w14:paraId="04BA617A" w14:textId="77777777" w:rsidR="00023FF6" w:rsidRPr="00E03546" w:rsidRDefault="00023FF6" w:rsidP="00023FF6">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5. Doctrina de la Agencia Nacional de Contratación Pública:</w:t>
      </w:r>
    </w:p>
    <w:p w14:paraId="7D3A44C8" w14:textId="77777777" w:rsidR="00023FF6" w:rsidRPr="00E03546" w:rsidRDefault="00023FF6" w:rsidP="00023FF6">
      <w:pPr>
        <w:spacing w:after="0" w:line="276" w:lineRule="auto"/>
        <w:ind w:firstLine="709"/>
        <w:jc w:val="both"/>
        <w:rPr>
          <w:rFonts w:ascii="Verdana" w:eastAsia="Times New Roman" w:hAnsi="Verdana" w:cs="Arial"/>
          <w:lang w:eastAsia="es-ES_tradnl"/>
        </w:rPr>
      </w:pPr>
    </w:p>
    <w:p w14:paraId="3F6DA717" w14:textId="77777777" w:rsidR="00023FF6" w:rsidRPr="00E03546" w:rsidRDefault="00023FF6" w:rsidP="00023FF6">
      <w:pPr>
        <w:widowControl w:val="0"/>
        <w:autoSpaceDE w:val="0"/>
        <w:autoSpaceDN w:val="0"/>
        <w:spacing w:after="0" w:line="276" w:lineRule="auto"/>
        <w:jc w:val="both"/>
        <w:rPr>
          <w:rFonts w:ascii="Verdana" w:eastAsia="Calibri" w:hAnsi="Verdana" w:cs="Arial"/>
          <w:lang w:eastAsia="es-ES_tradnl"/>
        </w:rPr>
      </w:pPr>
      <w:r w:rsidRPr="00E03546">
        <w:rPr>
          <w:rFonts w:ascii="Verdana" w:eastAsia="Calibri" w:hAnsi="Verdana" w:cs="Arial"/>
          <w:lang w:val="es-ES_tradnl" w:eastAsia="es-ES_tradnl"/>
        </w:rPr>
        <w:t>La Agencia Nacional de Contratación Pública – Colombia Compra Eficiente se ha pronunciado s</w:t>
      </w:r>
      <w:r w:rsidRPr="00E03546">
        <w:rPr>
          <w:rFonts w:ascii="Verdana" w:eastAsia="Calibri" w:hAnsi="Verdana" w:cs="Arial"/>
          <w:color w:val="000000"/>
          <w:shd w:val="clear" w:color="auto" w:fill="FFFFFF"/>
          <w:lang w:val="es-ES"/>
        </w:rPr>
        <w:t>obre las garantías en la contratación estatal en los conceptos 2201913000009075 del 9 de diciembre de 2019, C-080 del 8 de abril de 2021, C-525 del 24 de septiembre de 2021, C-584 del 26 de septiembre de 2022 y C-066 del 21 de abril de 2024, entre otros. También se ha pronunciado sobre la liquidación de los contratos estatales en los conceptos 4201912000004908 del 27 de septiembre de 2019, CU-028 de 25 de febrero de 2020, C-221 de 21 de abril de 2020, C-078 del 17 de marzo de 2021, C-220 del 18 de mayo de 2021, C-548 del 5 de octubre de 2021 y C-739 del 29 de noviembre de 2022, C-144 del 9 de julio de 2024 y C-129 del 29 de julio de 2024, C-335 del 26 de agosto de 2024</w:t>
      </w:r>
      <w:r w:rsidRPr="00E03546">
        <w:rPr>
          <w:rFonts w:ascii="Verdana" w:eastAsia="Calibri" w:hAnsi="Verdana" w:cs="Arial"/>
          <w:color w:val="000000"/>
          <w:shd w:val="clear" w:color="auto" w:fill="FFFFFF"/>
          <w:lang w:val="es-ES_tradnl"/>
        </w:rPr>
        <w:t xml:space="preserve">, </w:t>
      </w:r>
      <w:r w:rsidRPr="00E03546">
        <w:rPr>
          <w:rFonts w:ascii="Verdana" w:eastAsia="Calibri" w:hAnsi="Verdana" w:cs="Arial"/>
          <w:color w:val="000000"/>
          <w:shd w:val="clear" w:color="auto" w:fill="FFFFFF"/>
          <w:lang w:val="es-ES"/>
        </w:rPr>
        <w:t>entre otros</w:t>
      </w:r>
      <w:r w:rsidRPr="00E03546">
        <w:rPr>
          <w:rFonts w:ascii="Verdana" w:eastAsia="Calibri" w:hAnsi="Verdana" w:cs="Arial"/>
          <w:lang w:val="es-ES" w:eastAsia="es-ES_tradnl"/>
        </w:rPr>
        <w:t>.</w:t>
      </w:r>
      <w:r w:rsidRPr="00E03546">
        <w:rPr>
          <w:rFonts w:ascii="Verdana" w:eastAsia="Calibri" w:hAnsi="Verdana" w:cs="Arial"/>
          <w:lang w:eastAsia="es-ES_tradnl"/>
        </w:rPr>
        <w:t xml:space="preserve"> </w:t>
      </w:r>
      <w:r w:rsidRPr="00E03546">
        <w:rPr>
          <w:rFonts w:ascii="Verdana" w:eastAsia="Calibri" w:hAnsi="Verdana" w:cs="Arial"/>
          <w:shd w:val="clear" w:color="auto" w:fill="FFFFFF"/>
        </w:rPr>
        <w:t xml:space="preserve">Estos y otros conceptos los podrá consultar en el siguiente enlace: </w:t>
      </w:r>
      <w:hyperlink r:id="rId20" w:tooltip="Dirección URL original: https://relatoria.colombiacompra.gov.co/. Haga clic o pulse si confía en este vínculo." w:history="1">
        <w:r w:rsidRPr="00E03546">
          <w:rPr>
            <w:rFonts w:ascii="Verdana" w:eastAsia="Calibri" w:hAnsi="Verdana" w:cs="Arial"/>
            <w:color w:val="0000FF"/>
            <w:u w:val="single"/>
            <w:lang w:eastAsia="es-ES_tradnl"/>
          </w:rPr>
          <w:t>https://relatoria.colombiacompra.gov.co/</w:t>
        </w:r>
      </w:hyperlink>
      <w:r w:rsidRPr="00E03546">
        <w:rPr>
          <w:rFonts w:ascii="Verdana" w:eastAsia="Calibri" w:hAnsi="Verdana" w:cs="Arial"/>
          <w:lang w:eastAsia="es-ES_tradnl"/>
        </w:rPr>
        <w:t> </w:t>
      </w:r>
    </w:p>
    <w:p w14:paraId="6CAFEFB3" w14:textId="77777777" w:rsidR="00023FF6" w:rsidRPr="00E03546" w:rsidRDefault="00023FF6" w:rsidP="00023FF6">
      <w:pPr>
        <w:widowControl w:val="0"/>
        <w:autoSpaceDE w:val="0"/>
        <w:autoSpaceDN w:val="0"/>
        <w:spacing w:after="0" w:line="276" w:lineRule="auto"/>
        <w:jc w:val="both"/>
        <w:rPr>
          <w:rFonts w:ascii="Verdana" w:eastAsia="Aptos" w:hAnsi="Verdana" w:cs="Arial"/>
          <w:shd w:val="clear" w:color="auto" w:fill="FFFFFF"/>
        </w:rPr>
      </w:pPr>
    </w:p>
    <w:p w14:paraId="348B97C5" w14:textId="77777777" w:rsidR="00023FF6" w:rsidRPr="00E03546" w:rsidRDefault="00023FF6" w:rsidP="00023FF6">
      <w:pPr>
        <w:spacing w:after="0" w:line="276" w:lineRule="auto"/>
        <w:jc w:val="both"/>
        <w:rPr>
          <w:rFonts w:ascii="Verdana" w:eastAsia="Calibri" w:hAnsi="Verdana" w:cs="Arial"/>
        </w:rPr>
      </w:pPr>
      <w:r w:rsidRPr="00E03546">
        <w:rPr>
          <w:rFonts w:ascii="Verdana" w:eastAsia="Calibri" w:hAnsi="Verdana" w:cs="Arial"/>
        </w:rPr>
        <w:t>Te informamos que ya se encuentra disponible la </w:t>
      </w:r>
      <w:r w:rsidRPr="00E03546">
        <w:rPr>
          <w:rFonts w:ascii="Verdana" w:eastAsia="Calibri" w:hAnsi="Verdana" w:cs="Arial"/>
          <w:b/>
          <w:bCs/>
        </w:rPr>
        <w:t>Cartilla para incentivar y fortalecer el acceso a las compras y contratación pública de los pueblos y comunidades étnicas en Colombia.</w:t>
      </w:r>
      <w:r w:rsidRPr="00E03546">
        <w:rPr>
          <w:rFonts w:ascii="Verdana" w:eastAsia="Calibri" w:hAnsi="Verdana" w:cs="Arial"/>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21" w:tgtFrame="_blank" w:tooltip="Dirección URL original: https://www.colombiacompra.gov.co/manuales-guias-y-pliegos-tipo/manuales-y-guias/cartilla-para-incentivar-y-fortalecer-el-acceso-las. Haga clic o pulse si confía en este vínculo." w:history="1">
        <w:r w:rsidRPr="00E03546">
          <w:rPr>
            <w:rFonts w:ascii="Verdana" w:eastAsia="Calibri" w:hAnsi="Verdana" w:cs="Arial"/>
            <w:color w:val="0000FF"/>
            <w:u w:val="single"/>
          </w:rPr>
          <w:t>Cartilla para incentivar y fortalecer el acceso a las compras y contratación pública de los pueblos y comunidades étnicas en Colombia | Colombia Compra Eficiente | Agencia Nacional de Contratación Pública</w:t>
        </w:r>
      </w:hyperlink>
    </w:p>
    <w:p w14:paraId="6A4A3037" w14:textId="77777777" w:rsidR="00023FF6" w:rsidRPr="00E03546" w:rsidRDefault="00023FF6" w:rsidP="00023FF6">
      <w:pPr>
        <w:spacing w:after="0" w:line="276" w:lineRule="auto"/>
        <w:jc w:val="both"/>
        <w:rPr>
          <w:rFonts w:ascii="Verdana" w:eastAsia="Calibri" w:hAnsi="Verdana" w:cs="Arial"/>
        </w:rPr>
      </w:pPr>
    </w:p>
    <w:p w14:paraId="3B288B0B" w14:textId="77777777" w:rsidR="00023FF6" w:rsidRPr="00E03546" w:rsidRDefault="00023FF6" w:rsidP="00023FF6">
      <w:pPr>
        <w:spacing w:after="0" w:line="276" w:lineRule="auto"/>
        <w:jc w:val="both"/>
        <w:rPr>
          <w:rFonts w:ascii="Verdana" w:eastAsia="Calibri" w:hAnsi="Verdana" w:cs="Arial"/>
        </w:rPr>
      </w:pPr>
      <w:r w:rsidRPr="00E03546">
        <w:rPr>
          <w:rFonts w:ascii="Verdana" w:eastAsia="Calibri" w:hAnsi="Verdana" w:cs="Arial"/>
        </w:rPr>
        <w:t xml:space="preserve">Por último, lo invitamos a seguirnos en las redes sociales en las cuales se difunde información institucional: </w:t>
      </w:r>
    </w:p>
    <w:p w14:paraId="1D6AEF67" w14:textId="77777777" w:rsidR="00023FF6" w:rsidRPr="00E03546" w:rsidRDefault="00023FF6" w:rsidP="00023FF6">
      <w:pPr>
        <w:spacing w:after="0" w:line="276" w:lineRule="auto"/>
        <w:jc w:val="both"/>
        <w:rPr>
          <w:rFonts w:ascii="Verdana" w:eastAsia="Calibri" w:hAnsi="Verdana" w:cs="Arial"/>
        </w:rPr>
      </w:pPr>
    </w:p>
    <w:p w14:paraId="2A6F040F" w14:textId="77777777" w:rsidR="00023FF6" w:rsidRPr="00E03546" w:rsidRDefault="00023FF6" w:rsidP="00023FF6">
      <w:pPr>
        <w:spacing w:after="0" w:line="276" w:lineRule="auto"/>
        <w:jc w:val="both"/>
        <w:rPr>
          <w:rFonts w:ascii="Verdana" w:eastAsia="Calibri" w:hAnsi="Verdana" w:cs="Arial"/>
        </w:rPr>
      </w:pPr>
      <w:r w:rsidRPr="00E03546">
        <w:rPr>
          <w:rFonts w:ascii="Verdana" w:eastAsia="Calibri" w:hAnsi="Verdana" w:cs="Arial"/>
        </w:rPr>
        <w:t xml:space="preserve">Twitter: </w:t>
      </w:r>
      <w:r w:rsidRPr="00E03546">
        <w:rPr>
          <w:rFonts w:ascii="Verdana" w:eastAsia="Calibri" w:hAnsi="Verdana" w:cs="Arial"/>
          <w:color w:val="4472C4"/>
          <w:u w:val="single"/>
        </w:rPr>
        <w:t>@colombiacompra</w:t>
      </w:r>
      <w:r w:rsidRPr="00E03546">
        <w:rPr>
          <w:rFonts w:ascii="Verdana" w:eastAsia="Calibri" w:hAnsi="Verdana" w:cs="Arial"/>
          <w:color w:val="4472C4"/>
        </w:rPr>
        <w:t xml:space="preserve"> </w:t>
      </w:r>
    </w:p>
    <w:p w14:paraId="7FFB6B6B" w14:textId="77777777" w:rsidR="00023FF6" w:rsidRPr="00E03546" w:rsidRDefault="00023FF6" w:rsidP="00023FF6">
      <w:pPr>
        <w:spacing w:after="0" w:line="276" w:lineRule="auto"/>
        <w:jc w:val="both"/>
        <w:rPr>
          <w:rFonts w:ascii="Verdana" w:eastAsia="Calibri" w:hAnsi="Verdana" w:cs="Arial"/>
        </w:rPr>
      </w:pPr>
      <w:r w:rsidRPr="00E03546">
        <w:rPr>
          <w:rFonts w:ascii="Verdana" w:eastAsia="Calibri" w:hAnsi="Verdana" w:cs="Arial"/>
        </w:rPr>
        <w:t xml:space="preserve">Facebook: </w:t>
      </w:r>
      <w:proofErr w:type="spellStart"/>
      <w:r w:rsidRPr="00E03546">
        <w:rPr>
          <w:rFonts w:ascii="Verdana" w:eastAsia="Calibri" w:hAnsi="Verdana" w:cs="Arial"/>
          <w:color w:val="4472C4"/>
          <w:u w:val="single"/>
        </w:rPr>
        <w:t>ColombiaCompraEficiente</w:t>
      </w:r>
      <w:proofErr w:type="spellEnd"/>
    </w:p>
    <w:p w14:paraId="6B54DC02" w14:textId="77777777" w:rsidR="00023FF6" w:rsidRPr="00E03546" w:rsidRDefault="00023FF6" w:rsidP="00023FF6">
      <w:pPr>
        <w:spacing w:after="0" w:line="276" w:lineRule="auto"/>
        <w:jc w:val="both"/>
        <w:rPr>
          <w:rFonts w:ascii="Verdana" w:eastAsia="Calibri" w:hAnsi="Verdana" w:cs="Arial"/>
        </w:rPr>
      </w:pPr>
      <w:r w:rsidRPr="00E03546">
        <w:rPr>
          <w:rFonts w:ascii="Verdana" w:eastAsia="Calibri" w:hAnsi="Verdana" w:cs="Arial"/>
        </w:rPr>
        <w:t xml:space="preserve">LinkedIn: </w:t>
      </w:r>
      <w:r w:rsidRPr="00E03546">
        <w:rPr>
          <w:rFonts w:ascii="Verdana" w:eastAsia="Calibri" w:hAnsi="Verdana" w:cs="Arial"/>
          <w:color w:val="4472C4"/>
          <w:u w:val="single"/>
        </w:rPr>
        <w:t>Agencia Nacional de Contratación Pública - Colombia Compra Eficiente</w:t>
      </w:r>
      <w:r w:rsidRPr="00E03546">
        <w:rPr>
          <w:rFonts w:ascii="Verdana" w:eastAsia="Calibri" w:hAnsi="Verdana" w:cs="Arial"/>
          <w:color w:val="4472C4"/>
        </w:rPr>
        <w:t xml:space="preserve"> </w:t>
      </w:r>
      <w:r w:rsidRPr="00E03546">
        <w:rPr>
          <w:rFonts w:ascii="Verdana" w:eastAsia="Calibri" w:hAnsi="Verdana" w:cs="Arial"/>
        </w:rPr>
        <w:t xml:space="preserve">Instagram: </w:t>
      </w:r>
      <w:r w:rsidRPr="00E03546">
        <w:rPr>
          <w:rFonts w:ascii="Verdana" w:eastAsia="Calibri" w:hAnsi="Verdana" w:cs="Arial"/>
          <w:color w:val="4472C4"/>
          <w:u w:val="single"/>
        </w:rPr>
        <w:t>@colombiacompraeficiente_cce</w:t>
      </w:r>
    </w:p>
    <w:p w14:paraId="3189278C" w14:textId="77777777" w:rsidR="00023FF6" w:rsidRPr="00E03546" w:rsidRDefault="00023FF6" w:rsidP="00023FF6">
      <w:pPr>
        <w:widowControl w:val="0"/>
        <w:autoSpaceDE w:val="0"/>
        <w:autoSpaceDN w:val="0"/>
        <w:spacing w:after="0" w:line="276" w:lineRule="auto"/>
        <w:jc w:val="both"/>
        <w:rPr>
          <w:rFonts w:ascii="Verdana" w:eastAsia="Calibri" w:hAnsi="Verdana" w:cs="Arial"/>
        </w:rPr>
      </w:pPr>
    </w:p>
    <w:p w14:paraId="75BEF235" w14:textId="77777777" w:rsidR="00023FF6" w:rsidRPr="00E03546" w:rsidRDefault="00023FF6" w:rsidP="00023FF6">
      <w:pPr>
        <w:widowControl w:val="0"/>
        <w:autoSpaceDE w:val="0"/>
        <w:autoSpaceDN w:val="0"/>
        <w:spacing w:after="0" w:line="276" w:lineRule="auto"/>
        <w:jc w:val="both"/>
        <w:rPr>
          <w:rFonts w:ascii="Verdana" w:eastAsia="Calibri" w:hAnsi="Verdana" w:cs="Arial"/>
        </w:rPr>
      </w:pPr>
      <w:r w:rsidRPr="00E03546">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95EDEFB" w14:textId="77777777" w:rsidR="00023FF6" w:rsidRPr="00E03546" w:rsidRDefault="00023FF6" w:rsidP="00023FF6">
      <w:pPr>
        <w:spacing w:after="0" w:line="276" w:lineRule="auto"/>
        <w:ind w:firstLine="709"/>
        <w:jc w:val="both"/>
        <w:rPr>
          <w:rFonts w:ascii="Verdana" w:eastAsia="Times New Roman" w:hAnsi="Verdana" w:cs="Arial"/>
          <w:lang w:eastAsia="es-ES_tradnl"/>
        </w:rPr>
      </w:pPr>
    </w:p>
    <w:p w14:paraId="079D0340" w14:textId="77777777" w:rsidR="00023FF6" w:rsidRPr="00E03546" w:rsidRDefault="00023FF6" w:rsidP="00023FF6">
      <w:pPr>
        <w:spacing w:after="0" w:line="276" w:lineRule="auto"/>
        <w:jc w:val="both"/>
        <w:rPr>
          <w:rFonts w:ascii="Verdana" w:eastAsia="Times New Roman" w:hAnsi="Verdana" w:cs="Arial"/>
          <w:lang w:eastAsia="es-CO"/>
        </w:rPr>
      </w:pPr>
      <w:bookmarkStart w:id="2" w:name="_Hlk117695077"/>
      <w:r w:rsidRPr="00E03546">
        <w:rPr>
          <w:rFonts w:ascii="Verdana" w:eastAsia="Times New Roman" w:hAnsi="Verdana" w:cs="Arial"/>
          <w:lang w:eastAsia="es-CO"/>
        </w:rPr>
        <w:t>Atentamente,</w:t>
      </w:r>
    </w:p>
    <w:bookmarkEnd w:id="2"/>
    <w:p w14:paraId="2D926D57" w14:textId="6D77DC8A" w:rsidR="00023FF6" w:rsidRDefault="00C30472" w:rsidP="00023FF6">
      <w:pPr>
        <w:spacing w:after="18" w:line="276" w:lineRule="auto"/>
        <w:jc w:val="center"/>
        <w:rPr>
          <w:rFonts w:ascii="Verdana" w:eastAsia="Times New Roman" w:hAnsi="Verdana" w:cs="Arial"/>
          <w:lang w:eastAsia="es-CO"/>
        </w:rPr>
      </w:pPr>
      <w:r w:rsidRPr="002C3AD6">
        <w:rPr>
          <w:rFonts w:ascii="Century Gothic" w:hAnsi="Century Gothic"/>
          <w:noProof/>
        </w:rPr>
        <w:drawing>
          <wp:inline distT="0" distB="0" distL="0" distR="0" wp14:anchorId="2A549252" wp14:editId="097E14C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772426" cy="1400370"/>
                    </a:xfrm>
                    <a:prstGeom prst="rect">
                      <a:avLst/>
                    </a:prstGeom>
                  </pic:spPr>
                </pic:pic>
              </a:graphicData>
            </a:graphic>
          </wp:inline>
        </w:drawing>
      </w:r>
    </w:p>
    <w:p w14:paraId="65797A32" w14:textId="77777777" w:rsidR="00023FF6" w:rsidRPr="007D1ADE" w:rsidRDefault="00023FF6" w:rsidP="00023FF6">
      <w:pPr>
        <w:spacing w:after="18" w:line="276" w:lineRule="auto"/>
        <w:jc w:val="center"/>
        <w:rPr>
          <w:rFonts w:ascii="Verdana" w:eastAsia="Times New Roman" w:hAnsi="Verdana" w:cs="Arial"/>
          <w:sz w:val="16"/>
          <w:szCs w:val="16"/>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2"/>
        <w:gridCol w:w="5182"/>
      </w:tblGrid>
      <w:tr w:rsidR="00023FF6" w:rsidRPr="007D1ADE" w14:paraId="09FB9717" w14:textId="77777777" w:rsidTr="00636F25">
        <w:trPr>
          <w:trHeight w:val="292"/>
        </w:trPr>
        <w:tc>
          <w:tcPr>
            <w:tcW w:w="1112" w:type="dxa"/>
            <w:vAlign w:val="center"/>
            <w:hideMark/>
          </w:tcPr>
          <w:p w14:paraId="0051B6F8"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Elaboró:</w:t>
            </w:r>
          </w:p>
        </w:tc>
        <w:tc>
          <w:tcPr>
            <w:tcW w:w="5182" w:type="dxa"/>
            <w:tcBorders>
              <w:top w:val="nil"/>
              <w:left w:val="nil"/>
              <w:bottom w:val="dotted" w:sz="4" w:space="0" w:color="7F7F7F" w:themeColor="text1" w:themeTint="80"/>
              <w:right w:val="nil"/>
            </w:tcBorders>
            <w:vAlign w:val="center"/>
            <w:hideMark/>
          </w:tcPr>
          <w:p w14:paraId="59E503A9"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 xml:space="preserve">Richard Andrés Montenegro </w:t>
            </w:r>
            <w:proofErr w:type="spellStart"/>
            <w:r w:rsidRPr="007D1ADE">
              <w:rPr>
                <w:rFonts w:ascii="Verdana" w:eastAsia="Times New Roman" w:hAnsi="Verdana" w:cs="Arial"/>
                <w:sz w:val="16"/>
                <w:szCs w:val="16"/>
                <w:lang w:eastAsia="es-ES"/>
              </w:rPr>
              <w:t>Siefken</w:t>
            </w:r>
            <w:proofErr w:type="spellEnd"/>
            <w:r w:rsidRPr="007D1ADE">
              <w:rPr>
                <w:rFonts w:ascii="Verdana" w:eastAsia="Times New Roman" w:hAnsi="Verdana" w:cs="Arial"/>
                <w:sz w:val="16"/>
                <w:szCs w:val="16"/>
                <w:lang w:eastAsia="es-ES"/>
              </w:rPr>
              <w:t xml:space="preserve"> </w:t>
            </w:r>
          </w:p>
          <w:p w14:paraId="41CA53BF"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Contratista de la Subdirección de Gestión Contractual</w:t>
            </w:r>
          </w:p>
        </w:tc>
      </w:tr>
      <w:tr w:rsidR="00023FF6" w:rsidRPr="007D1ADE" w14:paraId="6FD2D108" w14:textId="77777777" w:rsidTr="00636F25">
        <w:trPr>
          <w:trHeight w:val="305"/>
        </w:trPr>
        <w:tc>
          <w:tcPr>
            <w:tcW w:w="1112" w:type="dxa"/>
            <w:vAlign w:val="center"/>
            <w:hideMark/>
          </w:tcPr>
          <w:p w14:paraId="13DFF286"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Revisó:</w:t>
            </w:r>
          </w:p>
        </w:tc>
        <w:tc>
          <w:tcPr>
            <w:tcW w:w="5182" w:type="dxa"/>
            <w:tcBorders>
              <w:top w:val="dotted" w:sz="4" w:space="0" w:color="7F7F7F" w:themeColor="text1" w:themeTint="80"/>
              <w:left w:val="nil"/>
              <w:bottom w:val="dotted" w:sz="4" w:space="0" w:color="7F7F7F" w:themeColor="text1" w:themeTint="80"/>
              <w:right w:val="nil"/>
            </w:tcBorders>
            <w:vAlign w:val="center"/>
            <w:hideMark/>
          </w:tcPr>
          <w:p w14:paraId="1167B5C1"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Juan Carlos González Vásquez</w:t>
            </w:r>
          </w:p>
          <w:p w14:paraId="52B473FF"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Contratista de la Subdirección de Gestión Contractual</w:t>
            </w:r>
          </w:p>
        </w:tc>
      </w:tr>
      <w:tr w:rsidR="00023FF6" w:rsidRPr="007D1ADE" w14:paraId="225FF591" w14:textId="77777777" w:rsidTr="00636F25">
        <w:trPr>
          <w:trHeight w:val="278"/>
        </w:trPr>
        <w:tc>
          <w:tcPr>
            <w:tcW w:w="1112" w:type="dxa"/>
            <w:vAlign w:val="center"/>
            <w:hideMark/>
          </w:tcPr>
          <w:p w14:paraId="05AA001E"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Aprobó:</w:t>
            </w:r>
          </w:p>
        </w:tc>
        <w:tc>
          <w:tcPr>
            <w:tcW w:w="5182" w:type="dxa"/>
            <w:tcBorders>
              <w:top w:val="dotted" w:sz="4" w:space="0" w:color="7F7F7F" w:themeColor="text1" w:themeTint="80"/>
              <w:left w:val="nil"/>
              <w:bottom w:val="dotted" w:sz="4" w:space="0" w:color="7F7F7F" w:themeColor="text1" w:themeTint="80"/>
              <w:right w:val="nil"/>
            </w:tcBorders>
            <w:vAlign w:val="center"/>
            <w:hideMark/>
          </w:tcPr>
          <w:p w14:paraId="65D33B10"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 xml:space="preserve">Carolina Quintero </w:t>
            </w:r>
            <w:proofErr w:type="spellStart"/>
            <w:r w:rsidRPr="007D1ADE">
              <w:rPr>
                <w:rFonts w:ascii="Verdana" w:eastAsia="Times New Roman" w:hAnsi="Verdana" w:cs="Arial"/>
                <w:sz w:val="16"/>
                <w:szCs w:val="16"/>
                <w:lang w:eastAsia="es-ES"/>
              </w:rPr>
              <w:t>Gacharná</w:t>
            </w:r>
            <w:proofErr w:type="spellEnd"/>
          </w:p>
          <w:p w14:paraId="738DCF8B" w14:textId="77777777" w:rsidR="00023FF6" w:rsidRPr="007D1ADE" w:rsidRDefault="00023FF6" w:rsidP="00636F25">
            <w:pPr>
              <w:rPr>
                <w:rFonts w:ascii="Verdana" w:eastAsia="Times New Roman" w:hAnsi="Verdana" w:cs="Arial"/>
                <w:sz w:val="16"/>
                <w:szCs w:val="16"/>
                <w:lang w:eastAsia="es-ES"/>
              </w:rPr>
            </w:pPr>
            <w:r w:rsidRPr="007D1ADE">
              <w:rPr>
                <w:rFonts w:ascii="Verdana" w:eastAsia="Times New Roman" w:hAnsi="Verdana" w:cs="Arial"/>
                <w:sz w:val="16"/>
                <w:szCs w:val="16"/>
                <w:lang w:eastAsia="es-ES"/>
              </w:rPr>
              <w:t>Subdirectora de Gestión Contractual ANCP – CCE</w:t>
            </w:r>
          </w:p>
        </w:tc>
      </w:tr>
    </w:tbl>
    <w:p w14:paraId="565C8F12" w14:textId="77777777" w:rsidR="00023FF6" w:rsidRPr="007D1ADE" w:rsidRDefault="00023FF6" w:rsidP="00023FF6">
      <w:pPr>
        <w:spacing w:after="0" w:line="276" w:lineRule="auto"/>
        <w:jc w:val="both"/>
        <w:rPr>
          <w:rFonts w:ascii="Verdana" w:eastAsia="Times New Roman" w:hAnsi="Verdana" w:cs="Arial"/>
          <w:sz w:val="16"/>
          <w:szCs w:val="16"/>
        </w:rPr>
      </w:pPr>
    </w:p>
    <w:p w14:paraId="37E985BF" w14:textId="77777777" w:rsidR="00023FF6" w:rsidRPr="007D1ADE" w:rsidRDefault="00023FF6" w:rsidP="00023FF6">
      <w:pPr>
        <w:spacing w:after="0" w:line="276" w:lineRule="auto"/>
        <w:jc w:val="both"/>
        <w:rPr>
          <w:rFonts w:ascii="Verdana" w:eastAsia="Times New Roman" w:hAnsi="Verdana" w:cs="Arial"/>
          <w:sz w:val="16"/>
          <w:szCs w:val="16"/>
        </w:rPr>
      </w:pPr>
    </w:p>
    <w:p w14:paraId="14BCD2EC" w14:textId="77777777" w:rsidR="00023FF6" w:rsidRPr="007D1ADE" w:rsidRDefault="00023FF6" w:rsidP="00023FF6">
      <w:pPr>
        <w:spacing w:line="276" w:lineRule="auto"/>
        <w:rPr>
          <w:rFonts w:ascii="Verdana" w:eastAsia="Calibri" w:hAnsi="Verdana" w:cs="Arial"/>
          <w:sz w:val="16"/>
          <w:szCs w:val="16"/>
        </w:rPr>
      </w:pPr>
    </w:p>
    <w:p w14:paraId="2AF455BE" w14:textId="77777777" w:rsidR="00023FF6" w:rsidRPr="00E03546" w:rsidRDefault="00023FF6" w:rsidP="00023FF6">
      <w:pPr>
        <w:spacing w:line="276" w:lineRule="auto"/>
        <w:rPr>
          <w:rFonts w:ascii="Verdana" w:eastAsia="Calibri" w:hAnsi="Verdana" w:cs="Arial"/>
        </w:rPr>
      </w:pPr>
    </w:p>
    <w:p w14:paraId="7A8A21BA" w14:textId="77777777" w:rsidR="00023FF6" w:rsidRPr="0044528D" w:rsidRDefault="00023FF6" w:rsidP="00023FF6">
      <w:pPr>
        <w:spacing w:after="0"/>
        <w:rPr>
          <w:rFonts w:ascii="Verdana" w:hAnsi="Verdana"/>
        </w:rPr>
      </w:pPr>
    </w:p>
    <w:p w14:paraId="203CD642" w14:textId="77777777" w:rsidR="00023FF6" w:rsidRPr="00093B55" w:rsidRDefault="00023FF6" w:rsidP="00023FF6">
      <w:pPr>
        <w:spacing w:line="276" w:lineRule="auto"/>
        <w:rPr>
          <w:rFonts w:ascii="Verdana" w:hAnsi="Verdana"/>
        </w:rPr>
      </w:pPr>
    </w:p>
    <w:p w14:paraId="58F454DA" w14:textId="77777777" w:rsidR="00023FF6" w:rsidRPr="003652B5" w:rsidRDefault="00023FF6" w:rsidP="00023FF6"/>
    <w:p w14:paraId="0F293BF4" w14:textId="25BAFD1C" w:rsidR="00127233" w:rsidRPr="0086023C" w:rsidRDefault="00127233" w:rsidP="0086023C"/>
    <w:sectPr w:rsidR="00127233" w:rsidRPr="0086023C"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D3F6C" w14:textId="77777777" w:rsidR="001B2C9A" w:rsidRDefault="001B2C9A" w:rsidP="004A1847">
      <w:pPr>
        <w:spacing w:after="0" w:line="240" w:lineRule="auto"/>
      </w:pPr>
      <w:r>
        <w:separator/>
      </w:r>
    </w:p>
  </w:endnote>
  <w:endnote w:type="continuationSeparator" w:id="0">
    <w:p w14:paraId="0CD8911C" w14:textId="77777777" w:rsidR="001B2C9A" w:rsidRDefault="001B2C9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ptos">
    <w:altName w:val="Arial"/>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D6292" w14:textId="77777777" w:rsidR="001B2C9A" w:rsidRDefault="001B2C9A" w:rsidP="004A1847">
      <w:pPr>
        <w:spacing w:after="0" w:line="240" w:lineRule="auto"/>
      </w:pPr>
      <w:r>
        <w:separator/>
      </w:r>
    </w:p>
  </w:footnote>
  <w:footnote w:type="continuationSeparator" w:id="0">
    <w:p w14:paraId="1E91D56E" w14:textId="77777777" w:rsidR="001B2C9A" w:rsidRDefault="001B2C9A" w:rsidP="004A1847">
      <w:pPr>
        <w:spacing w:after="0" w:line="240" w:lineRule="auto"/>
      </w:pPr>
      <w:r>
        <w:continuationSeparator/>
      </w:r>
    </w:p>
  </w:footnote>
  <w:footnote w:id="1">
    <w:p w14:paraId="39EF053F" w14:textId="77777777" w:rsidR="00023FF6" w:rsidRPr="008F05E3" w:rsidRDefault="00023FF6" w:rsidP="00023FF6">
      <w:pPr>
        <w:pStyle w:val="Textonotapie"/>
        <w:ind w:firstLine="708"/>
        <w:jc w:val="both"/>
        <w:rPr>
          <w:rFonts w:ascii="Verdana" w:hAnsi="Verdana" w:cs="Arial"/>
          <w:sz w:val="16"/>
          <w:szCs w:val="16"/>
        </w:rPr>
      </w:pPr>
      <w:r w:rsidRPr="008F05E3">
        <w:rPr>
          <w:rStyle w:val="Refdenotaalpie"/>
          <w:rFonts w:ascii="Verdana" w:hAnsi="Verdana" w:cs="Arial"/>
          <w:sz w:val="16"/>
          <w:szCs w:val="16"/>
        </w:rPr>
        <w:footnoteRef/>
      </w:r>
      <w:r w:rsidRPr="008F05E3">
        <w:rPr>
          <w:rFonts w:ascii="Verdana" w:hAnsi="Verdana" w:cs="Arial"/>
          <w:sz w:val="16"/>
          <w:szCs w:val="16"/>
        </w:rPr>
        <w:t xml:space="preserve"> Consejo de Estado. Sentencia del 29 de agosto de 2007. Radicado No. 15.305. Consejero Ponente: Mauricio Fajardo Gómez.</w:t>
      </w:r>
    </w:p>
    <w:p w14:paraId="21A90373" w14:textId="77777777" w:rsidR="00023FF6" w:rsidRPr="008F05E3" w:rsidRDefault="00023FF6" w:rsidP="00023FF6">
      <w:pPr>
        <w:pStyle w:val="Textonotapie"/>
        <w:ind w:firstLine="708"/>
        <w:jc w:val="both"/>
        <w:rPr>
          <w:rFonts w:ascii="Verdana" w:hAnsi="Verdana" w:cs="Arial"/>
          <w:sz w:val="16"/>
          <w:szCs w:val="16"/>
        </w:rPr>
      </w:pPr>
    </w:p>
  </w:footnote>
  <w:footnote w:id="2">
    <w:p w14:paraId="6BF62A24" w14:textId="77777777" w:rsidR="00023FF6" w:rsidRPr="008F05E3" w:rsidRDefault="00023FF6" w:rsidP="00023FF6">
      <w:pPr>
        <w:pStyle w:val="Textonotapie"/>
        <w:ind w:firstLine="708"/>
        <w:jc w:val="both"/>
        <w:rPr>
          <w:rFonts w:ascii="Verdana" w:hAnsi="Verdana" w:cs="Arial"/>
          <w:sz w:val="16"/>
          <w:szCs w:val="16"/>
        </w:rPr>
      </w:pPr>
      <w:r w:rsidRPr="008F05E3">
        <w:rPr>
          <w:rStyle w:val="Refdenotaalpie"/>
          <w:rFonts w:ascii="Verdana" w:hAnsi="Verdana" w:cs="Arial"/>
          <w:sz w:val="16"/>
          <w:szCs w:val="16"/>
        </w:rPr>
        <w:footnoteRef/>
      </w:r>
      <w:r w:rsidRPr="008F05E3">
        <w:rPr>
          <w:rFonts w:ascii="Verdana" w:hAnsi="Verdana" w:cs="Arial"/>
          <w:sz w:val="16"/>
          <w:szCs w:val="16"/>
        </w:rPr>
        <w:t xml:space="preserve"> Consejo de Estado. Sala de consulta y servicio civil. Sentencia del 20 de febrero de 2006. Radicado No. 1.727. Consejero Ponente: Enrique José Arboleda Perdomo.</w:t>
      </w:r>
    </w:p>
    <w:p w14:paraId="5DBB9F56" w14:textId="77777777" w:rsidR="00023FF6" w:rsidRPr="008F05E3" w:rsidRDefault="00023FF6" w:rsidP="00023FF6">
      <w:pPr>
        <w:pStyle w:val="Textonotapie"/>
        <w:ind w:firstLine="708"/>
        <w:jc w:val="both"/>
        <w:rPr>
          <w:rFonts w:ascii="Verdana" w:hAnsi="Verdana" w:cs="Arial"/>
          <w:sz w:val="16"/>
          <w:szCs w:val="16"/>
        </w:rPr>
      </w:pPr>
    </w:p>
  </w:footnote>
  <w:footnote w:id="3">
    <w:p w14:paraId="063E13DF" w14:textId="08BFA43A" w:rsidR="00023FF6" w:rsidRPr="008F05E3" w:rsidRDefault="00023FF6" w:rsidP="001F5BAD">
      <w:pPr>
        <w:pStyle w:val="Textonotapie"/>
        <w:ind w:firstLine="708"/>
        <w:jc w:val="both"/>
        <w:rPr>
          <w:rFonts w:ascii="Verdana" w:hAnsi="Verdana" w:cs="Arial"/>
          <w:sz w:val="16"/>
          <w:szCs w:val="16"/>
        </w:rPr>
      </w:pPr>
      <w:r w:rsidRPr="008F05E3">
        <w:rPr>
          <w:rStyle w:val="Refdenotaalpie"/>
          <w:rFonts w:ascii="Verdana" w:hAnsi="Verdana" w:cs="Arial"/>
          <w:sz w:val="16"/>
          <w:szCs w:val="16"/>
        </w:rPr>
        <w:footnoteRef/>
      </w:r>
      <w:r w:rsidRPr="008F05E3">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r w:rsidR="001F5BAD">
        <w:rPr>
          <w:rFonts w:ascii="Verdana" w:hAnsi="Verdana" w:cs="Arial"/>
          <w:sz w:val="16"/>
          <w:szCs w:val="16"/>
        </w:rPr>
        <w:t xml:space="preserve"> </w:t>
      </w:r>
      <w:r w:rsidRPr="008F05E3">
        <w:rPr>
          <w:rFonts w:ascii="Verdana" w:hAnsi="Verdana" w:cs="Arial"/>
          <w:sz w:val="16"/>
          <w:szCs w:val="16"/>
        </w:rPr>
        <w:t>[...].</w:t>
      </w:r>
    </w:p>
    <w:p w14:paraId="168CF469" w14:textId="77777777" w:rsidR="00023FF6" w:rsidRPr="005E30AE" w:rsidRDefault="00023FF6" w:rsidP="00023FF6">
      <w:pPr>
        <w:pStyle w:val="Textonotapie"/>
        <w:jc w:val="both"/>
        <w:rPr>
          <w:rFonts w:ascii="Arial" w:hAnsi="Arial" w:cs="Arial"/>
          <w:sz w:val="19"/>
          <w:szCs w:val="19"/>
        </w:rPr>
      </w:pPr>
    </w:p>
  </w:footnote>
  <w:footnote w:id="4">
    <w:p w14:paraId="38891290" w14:textId="2576DD2D" w:rsidR="00023FF6" w:rsidRPr="007D1ADE" w:rsidRDefault="00023FF6" w:rsidP="00023FF6">
      <w:pPr>
        <w:pStyle w:val="Textonotapie"/>
        <w:ind w:firstLine="708"/>
        <w:jc w:val="both"/>
        <w:rPr>
          <w:rFonts w:ascii="Verdana" w:hAnsi="Verdana" w:cs="Arial"/>
          <w:sz w:val="16"/>
          <w:szCs w:val="16"/>
        </w:rPr>
      </w:pPr>
      <w:r w:rsidRPr="007D1ADE">
        <w:rPr>
          <w:rStyle w:val="Refdenotaalpie"/>
          <w:rFonts w:ascii="Verdana" w:hAnsi="Verdana" w:cs="Arial"/>
          <w:sz w:val="16"/>
          <w:szCs w:val="16"/>
        </w:rPr>
        <w:footnoteRef/>
      </w:r>
      <w:r w:rsidRPr="007D1ADE">
        <w:rPr>
          <w:rFonts w:ascii="Verdana" w:hAnsi="Verdana" w:cs="Arial"/>
          <w:sz w:val="16"/>
          <w:szCs w:val="16"/>
        </w:rPr>
        <w:t xml:space="preserve"> Ley 150 de 2007: </w:t>
      </w:r>
      <w:r w:rsidR="001F5BAD">
        <w:rPr>
          <w:rFonts w:ascii="Verdana" w:hAnsi="Verdana" w:cs="Arial"/>
          <w:sz w:val="16"/>
          <w:szCs w:val="16"/>
        </w:rPr>
        <w:t>“</w:t>
      </w:r>
      <w:r w:rsidRPr="007D1ADE">
        <w:rPr>
          <w:rFonts w:ascii="Verdana" w:hAnsi="Verdana" w:cs="Arial"/>
          <w:sz w:val="16"/>
          <w:szCs w:val="16"/>
        </w:rPr>
        <w:t xml:space="preserve">Artículo 7. De las garantías en la contratación. </w:t>
      </w:r>
    </w:p>
    <w:p w14:paraId="7D99F244" w14:textId="77777777" w:rsidR="00023FF6" w:rsidRPr="007D1ADE" w:rsidRDefault="00023FF6" w:rsidP="00023FF6">
      <w:pPr>
        <w:pStyle w:val="Textonotapie"/>
        <w:ind w:firstLine="708"/>
        <w:jc w:val="both"/>
        <w:rPr>
          <w:rFonts w:ascii="Verdana" w:hAnsi="Verdana" w:cs="Arial"/>
          <w:sz w:val="16"/>
          <w:szCs w:val="16"/>
        </w:rPr>
      </w:pPr>
      <w:r w:rsidRPr="007D1ADE">
        <w:rPr>
          <w:rFonts w:ascii="Verdana" w:hAnsi="Verdana" w:cs="Arial"/>
          <w:sz w:val="16"/>
          <w:szCs w:val="16"/>
        </w:rPr>
        <w:t>[…] “Las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15F01C08" w14:textId="77777777" w:rsidR="00023FF6" w:rsidRPr="007D1ADE" w:rsidRDefault="00023FF6" w:rsidP="00023FF6">
      <w:pPr>
        <w:pStyle w:val="Textonotapie"/>
        <w:jc w:val="both"/>
        <w:rPr>
          <w:rFonts w:ascii="Verdana" w:hAnsi="Verdana" w:cs="Arial"/>
          <w:sz w:val="16"/>
          <w:szCs w:val="16"/>
        </w:rPr>
      </w:pPr>
      <w:r w:rsidRPr="007D1ADE">
        <w:rPr>
          <w:rFonts w:ascii="Verdana" w:hAnsi="Verdana" w:cs="Arial"/>
          <w:sz w:val="16"/>
          <w:szCs w:val="16"/>
        </w:rPr>
        <w:t>[…]”.</w:t>
      </w:r>
    </w:p>
  </w:footnote>
  <w:footnote w:id="5">
    <w:p w14:paraId="3770262A" w14:textId="77777777" w:rsidR="00023FF6" w:rsidRPr="007D1ADE" w:rsidRDefault="00023FF6" w:rsidP="00023FF6">
      <w:pPr>
        <w:pStyle w:val="Textonotapie"/>
        <w:jc w:val="both"/>
        <w:rPr>
          <w:rFonts w:ascii="Verdana" w:hAnsi="Verdana" w:cs="Arial"/>
          <w:sz w:val="16"/>
          <w:szCs w:val="16"/>
        </w:rPr>
      </w:pPr>
    </w:p>
    <w:p w14:paraId="6474E921" w14:textId="77777777" w:rsidR="00023FF6" w:rsidRPr="008F05E3" w:rsidRDefault="00023FF6" w:rsidP="00023FF6">
      <w:pPr>
        <w:pStyle w:val="Textonotapie"/>
        <w:ind w:firstLine="708"/>
        <w:jc w:val="both"/>
        <w:rPr>
          <w:rFonts w:ascii="Verdana" w:hAnsi="Verdana" w:cs="Arial"/>
          <w:sz w:val="14"/>
          <w:szCs w:val="14"/>
          <w:lang w:val="es-ES"/>
        </w:rPr>
      </w:pPr>
      <w:r w:rsidRPr="007D1ADE">
        <w:rPr>
          <w:rStyle w:val="Refdenotaalpie"/>
          <w:rFonts w:ascii="Verdana" w:hAnsi="Verdana" w:cs="Arial"/>
          <w:sz w:val="16"/>
          <w:szCs w:val="16"/>
        </w:rPr>
        <w:footnoteRef/>
      </w:r>
      <w:r w:rsidRPr="007D1ADE">
        <w:rPr>
          <w:rFonts w:ascii="Verdana" w:hAnsi="Verdana" w:cs="Arial"/>
          <w:sz w:val="16"/>
          <w:szCs w:val="16"/>
        </w:rPr>
        <w:t xml:space="preserve">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6">
    <w:p w14:paraId="742088F4" w14:textId="77777777" w:rsidR="00023FF6" w:rsidRPr="008F05E3" w:rsidRDefault="00023FF6" w:rsidP="00023FF6">
      <w:pPr>
        <w:pStyle w:val="Textonotapie"/>
        <w:ind w:firstLine="709"/>
        <w:jc w:val="both"/>
        <w:rPr>
          <w:rFonts w:ascii="Verdana" w:hAnsi="Verdana" w:cs="Arial"/>
          <w:sz w:val="16"/>
          <w:szCs w:val="16"/>
          <w:lang w:val="pt-PT"/>
        </w:rPr>
      </w:pPr>
      <w:r w:rsidRPr="008F05E3">
        <w:rPr>
          <w:rStyle w:val="Refdenotaalpie"/>
          <w:rFonts w:ascii="Verdana" w:hAnsi="Verdana" w:cs="Arial"/>
          <w:sz w:val="16"/>
          <w:szCs w:val="16"/>
        </w:rPr>
        <w:footnoteRef/>
      </w:r>
      <w:r w:rsidRPr="008F05E3">
        <w:rPr>
          <w:rFonts w:ascii="Verdana" w:hAnsi="Verdana" w:cs="Arial"/>
          <w:sz w:val="16"/>
          <w:szCs w:val="16"/>
        </w:rPr>
        <w:t xml:space="preserve"> CONSEJO DE ESTADO. Sección Tercera. Sentencia del 29 de julio de 2015. </w:t>
      </w:r>
      <w:r w:rsidRPr="008F05E3">
        <w:rPr>
          <w:rFonts w:ascii="Verdana" w:hAnsi="Verdana" w:cs="Arial"/>
          <w:sz w:val="16"/>
          <w:szCs w:val="16"/>
          <w:lang w:val="pt-PT"/>
        </w:rPr>
        <w:t>Exp. 42.494. C.P. Jaime Orlando Santofimio Gamboa.</w:t>
      </w:r>
    </w:p>
  </w:footnote>
  <w:footnote w:id="7">
    <w:p w14:paraId="1F32DD0C" w14:textId="77777777" w:rsidR="00023FF6" w:rsidRPr="008F05E3" w:rsidRDefault="00023FF6" w:rsidP="00023FF6">
      <w:pPr>
        <w:pStyle w:val="Textonotapie"/>
        <w:ind w:firstLine="708"/>
        <w:jc w:val="both"/>
        <w:rPr>
          <w:rFonts w:ascii="Verdana" w:hAnsi="Verdana" w:cs="Arial"/>
          <w:sz w:val="16"/>
          <w:szCs w:val="16"/>
        </w:rPr>
      </w:pPr>
      <w:r w:rsidRPr="008F05E3">
        <w:rPr>
          <w:rStyle w:val="Refdenotaalpie"/>
          <w:rFonts w:ascii="Verdana" w:hAnsi="Verdana" w:cs="Arial"/>
          <w:sz w:val="16"/>
          <w:szCs w:val="16"/>
        </w:rPr>
        <w:footnoteRef/>
      </w:r>
      <w:r w:rsidRPr="008F05E3">
        <w:rPr>
          <w:rFonts w:ascii="Verdana" w:hAnsi="Verdana" w:cs="Arial"/>
          <w:sz w:val="16"/>
          <w:szCs w:val="16"/>
          <w:lang w:val="pt-PT"/>
        </w:rPr>
        <w:t xml:space="preserve"> </w:t>
      </w:r>
      <w:r w:rsidRPr="008F05E3">
        <w:rPr>
          <w:rFonts w:ascii="Verdana" w:hAnsi="Verdana" w:cs="Arial"/>
          <w:sz w:val="16"/>
          <w:szCs w:val="16"/>
          <w:lang w:val="pt-PT"/>
        </w:rPr>
        <w:t xml:space="preserve">CONSEJO </w:t>
      </w:r>
      <w:r w:rsidRPr="008F05E3">
        <w:rPr>
          <w:rFonts w:ascii="Verdana" w:hAnsi="Verdana" w:cs="Arial"/>
          <w:sz w:val="16"/>
          <w:szCs w:val="16"/>
          <w:lang w:val="pt-PT"/>
        </w:rPr>
        <w:t xml:space="preserve">DE ESTADO. </w:t>
      </w:r>
      <w:r w:rsidRPr="008F05E3">
        <w:rPr>
          <w:rFonts w:ascii="Verdana" w:hAnsi="Verdana" w:cs="Arial"/>
          <w:sz w:val="16"/>
          <w:szCs w:val="16"/>
        </w:rPr>
        <w:t xml:space="preserve">Sección Tercera. Sentencia del 13 de septiembre de 1999. </w:t>
      </w:r>
      <w:proofErr w:type="spellStart"/>
      <w:r w:rsidRPr="008F05E3">
        <w:rPr>
          <w:rFonts w:ascii="Verdana" w:hAnsi="Verdana" w:cs="Arial"/>
          <w:sz w:val="16"/>
          <w:szCs w:val="16"/>
        </w:rPr>
        <w:t>Exp</w:t>
      </w:r>
      <w:proofErr w:type="spellEnd"/>
      <w:r w:rsidRPr="008F05E3">
        <w:rPr>
          <w:rFonts w:ascii="Verdana" w:hAnsi="Verdana" w:cs="Arial"/>
          <w:sz w:val="16"/>
          <w:szCs w:val="16"/>
        </w:rPr>
        <w:t>. 10.264. C.P. Ricardo Hoyos Duque.</w:t>
      </w:r>
    </w:p>
  </w:footnote>
  <w:footnote w:id="8">
    <w:p w14:paraId="7D56D81E" w14:textId="77777777" w:rsidR="00023FF6" w:rsidRPr="00411232" w:rsidRDefault="00023FF6" w:rsidP="00023FF6">
      <w:pPr>
        <w:pStyle w:val="Textonotapie"/>
        <w:ind w:firstLine="708"/>
        <w:jc w:val="both"/>
        <w:rPr>
          <w:rFonts w:ascii="Century Gothic" w:hAnsi="Century Gothic" w:cs="Arial"/>
          <w:sz w:val="16"/>
          <w:szCs w:val="16"/>
          <w:lang w:val="es-ES"/>
        </w:rPr>
      </w:pPr>
      <w:r w:rsidRPr="008F05E3">
        <w:rPr>
          <w:rStyle w:val="Refdenotaalpie"/>
          <w:rFonts w:ascii="Verdana" w:hAnsi="Verdana" w:cs="Arial"/>
          <w:sz w:val="16"/>
          <w:szCs w:val="16"/>
        </w:rPr>
        <w:footnoteRef/>
      </w:r>
      <w:r w:rsidRPr="008F05E3">
        <w:rPr>
          <w:rFonts w:ascii="Verdana" w:hAnsi="Verdana" w:cs="Arial"/>
          <w:sz w:val="16"/>
          <w:szCs w:val="16"/>
        </w:rPr>
        <w:t xml:space="preserve"> PALACIO HINCAPIÉ, Juan Ángel. La contratación de las entidades estatales. Octava edición. Medellín: Librería Jurídica Sánchez R. SAS, 2020. p. 659.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4" type="#_x0000_t75" style="width:11.1pt;height:1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C42ABC"/>
    <w:multiLevelType w:val="hybridMultilevel"/>
    <w:tmpl w:val="DA2A3FA0"/>
    <w:lvl w:ilvl="0" w:tplc="7EC82320">
      <w:numFmt w:val="bullet"/>
      <w:lvlText w:val="-"/>
      <w:lvlJc w:val="left"/>
      <w:pPr>
        <w:ind w:left="1069" w:hanging="360"/>
      </w:pPr>
      <w:rPr>
        <w:rFonts w:ascii="Verdana" w:eastAsia="Times New Roman"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9796081"/>
    <w:multiLevelType w:val="hybridMultilevel"/>
    <w:tmpl w:val="20DAD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2"/>
  </w:num>
  <w:num w:numId="7">
    <w:abstractNumId w:val="5"/>
  </w:num>
  <w:num w:numId="8">
    <w:abstractNumId w:val="11"/>
  </w:num>
  <w:num w:numId="9">
    <w:abstractNumId w:val="7"/>
  </w:num>
  <w:num w:numId="10">
    <w:abstractNumId w:val="10"/>
  </w:num>
  <w:num w:numId="11">
    <w:abstractNumId w:val="8"/>
  </w:num>
  <w:num w:numId="12">
    <w:abstractNumId w:val="0"/>
  </w:num>
  <w:num w:numId="13">
    <w:abstractNumId w:val="2"/>
  </w:num>
  <w:num w:numId="14">
    <w:abstractNumId w:val="13"/>
  </w:num>
  <w:num w:numId="15">
    <w:abstractNumId w:val="9"/>
  </w:num>
  <w:num w:numId="16">
    <w:abstractNumId w:val="1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FF6"/>
    <w:rsid w:val="00046945"/>
    <w:rsid w:val="00061B2A"/>
    <w:rsid w:val="00082362"/>
    <w:rsid w:val="000A09A9"/>
    <w:rsid w:val="000A683E"/>
    <w:rsid w:val="000B19B9"/>
    <w:rsid w:val="000D0334"/>
    <w:rsid w:val="000F6486"/>
    <w:rsid w:val="00125105"/>
    <w:rsid w:val="00127233"/>
    <w:rsid w:val="001B2C9A"/>
    <w:rsid w:val="001E4177"/>
    <w:rsid w:val="001F5BAD"/>
    <w:rsid w:val="001F7DC6"/>
    <w:rsid w:val="002421BB"/>
    <w:rsid w:val="0025796E"/>
    <w:rsid w:val="002707A2"/>
    <w:rsid w:val="002951A0"/>
    <w:rsid w:val="002962BC"/>
    <w:rsid w:val="002A093D"/>
    <w:rsid w:val="002A0DD0"/>
    <w:rsid w:val="002A49AC"/>
    <w:rsid w:val="002A64FD"/>
    <w:rsid w:val="002C431A"/>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3C9C"/>
    <w:rsid w:val="005C5CDC"/>
    <w:rsid w:val="005D476C"/>
    <w:rsid w:val="006219F8"/>
    <w:rsid w:val="006302F7"/>
    <w:rsid w:val="00665D70"/>
    <w:rsid w:val="006900D9"/>
    <w:rsid w:val="006A760C"/>
    <w:rsid w:val="006F3FEE"/>
    <w:rsid w:val="006F53AA"/>
    <w:rsid w:val="00706C16"/>
    <w:rsid w:val="00756841"/>
    <w:rsid w:val="007649AB"/>
    <w:rsid w:val="00771D0C"/>
    <w:rsid w:val="007833AC"/>
    <w:rsid w:val="007B268C"/>
    <w:rsid w:val="007B7171"/>
    <w:rsid w:val="007C0C0F"/>
    <w:rsid w:val="007C3DC2"/>
    <w:rsid w:val="007E5497"/>
    <w:rsid w:val="00806F5F"/>
    <w:rsid w:val="00820278"/>
    <w:rsid w:val="0086023C"/>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40DFA"/>
    <w:rsid w:val="00AB0ADB"/>
    <w:rsid w:val="00B00C0E"/>
    <w:rsid w:val="00B01B1A"/>
    <w:rsid w:val="00B44A47"/>
    <w:rsid w:val="00B72CD3"/>
    <w:rsid w:val="00B72FFF"/>
    <w:rsid w:val="00B92C71"/>
    <w:rsid w:val="00BC3D36"/>
    <w:rsid w:val="00BD7F72"/>
    <w:rsid w:val="00C04FB3"/>
    <w:rsid w:val="00C30472"/>
    <w:rsid w:val="00C330EB"/>
    <w:rsid w:val="00C3641B"/>
    <w:rsid w:val="00C754BE"/>
    <w:rsid w:val="00C76B1C"/>
    <w:rsid w:val="00CB6357"/>
    <w:rsid w:val="00CC1B26"/>
    <w:rsid w:val="00D34065"/>
    <w:rsid w:val="00D423A2"/>
    <w:rsid w:val="00D520D8"/>
    <w:rsid w:val="00D6197C"/>
    <w:rsid w:val="00D63AC2"/>
    <w:rsid w:val="00D7383B"/>
    <w:rsid w:val="00DA231B"/>
    <w:rsid w:val="00DC39FC"/>
    <w:rsid w:val="00DF5254"/>
    <w:rsid w:val="00E121C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023FF6"/>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23FF6"/>
    <w:pPr>
      <w:spacing w:line="240" w:lineRule="exact"/>
    </w:pPr>
    <w:rPr>
      <w:vertAlign w:val="superscript"/>
    </w:rPr>
  </w:style>
  <w:style w:type="paragraph" w:styleId="Textoindependiente">
    <w:name w:val="Body Text"/>
    <w:basedOn w:val="Normal"/>
    <w:link w:val="TextoindependienteCar"/>
    <w:uiPriority w:val="1"/>
    <w:qFormat/>
    <w:rsid w:val="00023FF6"/>
    <w:pPr>
      <w:widowControl w:val="0"/>
      <w:autoSpaceDE w:val="0"/>
      <w:autoSpaceDN w:val="0"/>
      <w:spacing w:after="0" w:line="240" w:lineRule="auto"/>
    </w:pPr>
    <w:rPr>
      <w:rFonts w:ascii="Arial" w:eastAsia="Arial" w:hAnsi="Arial" w:cs="Arial"/>
      <w:sz w:val="20"/>
      <w:szCs w:val="20"/>
      <w:lang w:val="es-ES" w:eastAsia="es-ES" w:bidi="es-ES"/>
    </w:rPr>
  </w:style>
  <w:style w:type="character" w:customStyle="1" w:styleId="TextoindependienteCar">
    <w:name w:val="Texto independiente Car"/>
    <w:basedOn w:val="Fuentedeprrafopredeter"/>
    <w:link w:val="Textoindependiente"/>
    <w:uiPriority w:val="1"/>
    <w:rsid w:val="00023FF6"/>
    <w:rPr>
      <w:rFonts w:ascii="Arial" w:eastAsia="Arial" w:hAnsi="Arial" w:cs="Arial"/>
      <w:sz w:val="20"/>
      <w:szCs w:val="20"/>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1150-de-2007/" TargetMode="External"/><Relationship Id="rId18" Type="http://schemas.openxmlformats.org/officeDocument/2006/relationships/hyperlink" Target="https://relatoria.colombiacompra.gov.co/providencias/2019_05001-23-33-000-2018-00342-01_62009/"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manuales-guias-y-pliegos-tipo%2Fmanuales-y-guias%2Fcartilla-para-incentivar-y-fortalecer-el-acceso-las&amp;data=05%7C02%7Cmartha.romero%40colombiacompra.gov.co%7Ceb0fd05604104aa4d3bc08dd4c4ad35e%7C7b09041e245149d08cb179d5e3d8c1be%7C0%7C0%7C638750606448637423%7CUnknown%7CTWFpbGZsb3d8eyJFbXB0eU1hcGkiOnRydWUsIlYiOiIwLjAuMDAwMCIsIlAiOiJXaW4zMiIsIkFOIjoiTWFpbCIsIldUIjoyfQ%3D%3D%7C0%7C%7C%7C&amp;sdata=A3YK7jNEkvtbDxh5nXtXi%2FZkzWcbC7%2FsT8xKSXACzv4%3D&amp;reserved=0" TargetMode="External"/><Relationship Id="rId7" Type="http://schemas.openxmlformats.org/officeDocument/2006/relationships/webSettings" Target="webSettings.xml"/><Relationship Id="rId12" Type="http://schemas.openxmlformats.org/officeDocument/2006/relationships/hyperlink" Target="https://relatoria.colombiacompra.gov.co/normativa/ley-80-de-1993/" TargetMode="External"/><Relationship Id="rId17" Type="http://schemas.openxmlformats.org/officeDocument/2006/relationships/hyperlink" Target="https://relatoria.colombiacompra.gov.co/providencias/25000-23-26-000-2007-00108-01_4249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elatoria.colombiacompra.gov.co/providencias/25000-23-26-000-2003-00874-01_28278/" TargetMode="External"/><Relationship Id="rId20"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obriam@yahoo.es"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relatoria.colombiacompra.gov.co/normativa/decreto-1082-de-2015/"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www.colombiacompra.gov.co/sites/cce_public/files/cce_documents/cce_guia_liquidacion_procesos.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codigo-de-comercio-decreto-410-de-1971/"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FBA9EF6-F19B-4316-B2CC-E9B083781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dcmitype/"/>
    <ds:schemaRef ds:uri="http://schemas.microsoft.com/office/2006/documentManagement/types"/>
    <ds:schemaRef ds:uri="http://schemas.openxmlformats.org/package/2006/metadata/core-properties"/>
    <ds:schemaRef ds:uri="http://purl.org/dc/elements/1.1/"/>
    <ds:schemaRef ds:uri="http://www.w3.org/XML/1998/namespace"/>
    <ds:schemaRef ds:uri="http://schemas.microsoft.com/office/infopath/2007/PartnerControls"/>
    <ds:schemaRef ds:uri="a6cb9e4b-f1d1-4245-83ec-6cad768d538a"/>
    <ds:schemaRef ds:uri="http://schemas.microsoft.com/office/2006/metadata/properties"/>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14</Pages>
  <Words>4328</Words>
  <Characters>23804</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2025-10-29T03:51:00Z</dcterms:created>
  <dcterms:modified xsi:type="dcterms:W3CDTF">2025-10-29T03:51:00Z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