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B78EE" w14:textId="24CC969D" w:rsidR="00A607BC" w:rsidRDefault="00A607BC" w:rsidP="00A607BC">
      <w:pPr>
        <w:spacing w:before="120" w:after="120" w:line="276" w:lineRule="auto"/>
        <w:jc w:val="both"/>
        <w:rPr>
          <w:rFonts w:ascii="Verdana" w:eastAsia="Calibri" w:hAnsi="Verdana" w:cs="Arial"/>
        </w:rPr>
      </w:pPr>
      <w:bookmarkStart w:id="0" w:name="_Hlk143780582"/>
      <w:r w:rsidRPr="009A07F1">
        <w:rPr>
          <w:rFonts w:ascii="Verdana" w:hAnsi="Verdana" w:cs="Arial"/>
          <w:b/>
          <w:lang w:val="es-MX" w:eastAsia="es-ES"/>
        </w:rPr>
        <w:t xml:space="preserve">PRINCIPIO DE ECONOMÍA – </w:t>
      </w:r>
      <w:r w:rsidR="00C34EBC">
        <w:rPr>
          <w:rFonts w:ascii="Verdana" w:hAnsi="Verdana" w:cs="Arial"/>
          <w:b/>
          <w:lang w:val="es-MX" w:eastAsia="es-ES"/>
        </w:rPr>
        <w:t>A</w:t>
      </w:r>
      <w:r w:rsidRPr="009A07F1">
        <w:rPr>
          <w:rFonts w:ascii="Verdana" w:hAnsi="Verdana" w:cs="Arial"/>
          <w:b/>
          <w:lang w:val="es-MX" w:eastAsia="es-ES"/>
        </w:rPr>
        <w:t>rtículo 25 Ley 80 de 1993</w:t>
      </w:r>
    </w:p>
    <w:p w14:paraId="0AEB1303" w14:textId="77777777" w:rsidR="00A607BC" w:rsidRPr="009A07F1" w:rsidRDefault="00A607BC" w:rsidP="00A607BC">
      <w:pPr>
        <w:spacing w:before="120" w:after="120" w:line="240" w:lineRule="auto"/>
        <w:jc w:val="both"/>
        <w:rPr>
          <w:rFonts w:ascii="Verdana" w:eastAsia="Times New Roman" w:hAnsi="Verdana" w:cs="Arial"/>
          <w:color w:val="000000" w:themeColor="text1"/>
          <w:sz w:val="20"/>
          <w:szCs w:val="20"/>
        </w:rPr>
      </w:pPr>
      <w:r w:rsidRPr="009A07F1">
        <w:rPr>
          <w:rFonts w:ascii="Verdana" w:eastAsia="Calibri" w:hAnsi="Verdana" w:cs="Arial"/>
          <w:sz w:val="20"/>
          <w:szCs w:val="20"/>
        </w:rPr>
        <w:t>En aplicación del principio de economía, consagrado en</w:t>
      </w:r>
      <w:r w:rsidRPr="009A07F1">
        <w:rPr>
          <w:rFonts w:ascii="Verdana" w:eastAsia="Times New Roman" w:hAnsi="Verdana" w:cs="Arial"/>
          <w:color w:val="000000" w:themeColor="text1"/>
          <w:sz w:val="20"/>
          <w:szCs w:val="20"/>
        </w:rPr>
        <w:t xml:space="preserve"> el numeral primero del artículo 25 de la Ley 80 de 1993, deben cumplirse los procedimientos y etapas estrictamente necesarios para asegurar la selección objetiva de la propuesta más favorable, por lo que se señalarán términos preclusivos y perentorios para las diferentes etapas del proceso de selección. En virtud de este principio, las partes del proceso de contratación, así como los funcionarios públicos, se encuentran obligados a respetar y acatar tales etapas.</w:t>
      </w:r>
    </w:p>
    <w:p w14:paraId="774517AE" w14:textId="77777777" w:rsidR="00A607BC" w:rsidRDefault="00A607BC" w:rsidP="00A607BC">
      <w:pPr>
        <w:spacing w:after="0" w:line="240" w:lineRule="auto"/>
        <w:jc w:val="both"/>
        <w:rPr>
          <w:rFonts w:ascii="Verdana" w:eastAsia="Geomanist Light" w:hAnsi="Verdana" w:cs="Arial"/>
          <w:b/>
          <w:bCs/>
          <w:lang w:val="es-ES"/>
        </w:rPr>
      </w:pPr>
    </w:p>
    <w:p w14:paraId="30AA53E4" w14:textId="77777777" w:rsidR="00A607BC" w:rsidRPr="007E1698" w:rsidRDefault="00A607BC" w:rsidP="00A607BC">
      <w:pPr>
        <w:spacing w:after="0" w:line="240" w:lineRule="auto"/>
        <w:jc w:val="both"/>
        <w:rPr>
          <w:rFonts w:ascii="Verdana" w:eastAsia="Geomanist Light" w:hAnsi="Verdana" w:cs="Arial"/>
          <w:b/>
          <w:bCs/>
          <w:lang w:val="es-ES"/>
        </w:rPr>
      </w:pPr>
      <w:r w:rsidRPr="007E1698">
        <w:rPr>
          <w:rFonts w:ascii="Verdana" w:eastAsia="Geomanist Light" w:hAnsi="Verdana" w:cs="Arial"/>
          <w:b/>
          <w:bCs/>
          <w:lang w:val="es-ES"/>
        </w:rPr>
        <w:t>PUBLICIDAD – Procesos de contratación – Cronograma – Horario – Actividad contractual</w:t>
      </w:r>
    </w:p>
    <w:p w14:paraId="1161180A" w14:textId="77777777" w:rsidR="00A607BC" w:rsidRPr="007E1698" w:rsidRDefault="00A607BC" w:rsidP="00A607BC">
      <w:pPr>
        <w:spacing w:after="0" w:line="240" w:lineRule="auto"/>
        <w:jc w:val="both"/>
        <w:rPr>
          <w:rFonts w:ascii="Verdana" w:eastAsia="Geomanist Light" w:hAnsi="Verdana" w:cs="Arial"/>
          <w:lang w:val="es-ES"/>
        </w:rPr>
      </w:pPr>
    </w:p>
    <w:p w14:paraId="54E3F2AD" w14:textId="49D1886F" w:rsidR="00A607BC" w:rsidRPr="009A07F1" w:rsidRDefault="00721899" w:rsidP="00A607BC">
      <w:pPr>
        <w:spacing w:before="120" w:after="120" w:line="240" w:lineRule="auto"/>
        <w:jc w:val="both"/>
        <w:rPr>
          <w:rFonts w:ascii="Verdana" w:eastAsia="Calibri" w:hAnsi="Verdana" w:cs="Arial"/>
          <w:sz w:val="20"/>
          <w:szCs w:val="20"/>
        </w:rPr>
      </w:pPr>
      <w:r>
        <w:rPr>
          <w:rFonts w:ascii="Verdana" w:eastAsia="Calibri" w:hAnsi="Verdana" w:cs="Arial"/>
          <w:sz w:val="20"/>
          <w:szCs w:val="20"/>
        </w:rPr>
        <w:t xml:space="preserve">[…] </w:t>
      </w:r>
      <w:r w:rsidRPr="00721899">
        <w:rPr>
          <w:rFonts w:ascii="Verdana" w:eastAsia="Calibri" w:hAnsi="Verdana" w:cs="Arial"/>
          <w:sz w:val="20"/>
          <w:szCs w:val="20"/>
        </w:rPr>
        <w:t xml:space="preserve">Esto implica que, para dar aplicación a la anterior regla, las entidades deberán establecer, en la respectiva invitación o pliego de condiciones, el lapso durante el cual recibirán ofertas, definiendo expresamente la hora hasta la cual recibirán las ofertas, de tal manera que este pueda ser conocido con anticipación por los interesados. </w:t>
      </w:r>
      <w:r w:rsidR="0055588F" w:rsidRPr="0055588F">
        <w:rPr>
          <w:rFonts w:ascii="Verdana" w:eastAsia="Calibri" w:hAnsi="Verdana" w:cs="Arial"/>
          <w:sz w:val="20"/>
          <w:szCs w:val="20"/>
        </w:rPr>
        <w:t>Por lo anterior, las fechas, horas y plazos de los procesos de contratación se encuentran regulados en el cronograma que establezca la entidad al hacer la invitación a participar o publicar el pliego de condiciones. Sin embargo, los artículos 2.2.1.1.1.7.1 y 2.2.1.1.2.2.1. del Decreto 1082 de 2015 precisan un término y horario para la publicación de las actividades contractuales</w:t>
      </w:r>
      <w:r w:rsidR="00A607BC" w:rsidRPr="009A07F1">
        <w:rPr>
          <w:rFonts w:ascii="Verdana" w:eastAsia="Calibri" w:hAnsi="Verdana" w:cs="Arial"/>
          <w:sz w:val="20"/>
          <w:szCs w:val="20"/>
        </w:rPr>
        <w:t xml:space="preserve">. </w:t>
      </w:r>
    </w:p>
    <w:p w14:paraId="47E1B5C8" w14:textId="77777777" w:rsidR="00A607BC" w:rsidRPr="007E1698" w:rsidRDefault="00A607BC" w:rsidP="00A607BC">
      <w:pPr>
        <w:spacing w:after="0" w:line="240" w:lineRule="auto"/>
        <w:jc w:val="both"/>
        <w:rPr>
          <w:rFonts w:ascii="Verdana" w:eastAsia="Geomanist Light" w:hAnsi="Verdana" w:cs="Arial"/>
          <w:sz w:val="20"/>
          <w:szCs w:val="20"/>
          <w:lang w:val="es-ES"/>
        </w:rPr>
      </w:pPr>
    </w:p>
    <w:p w14:paraId="390798D1" w14:textId="77777777" w:rsidR="00A607BC" w:rsidRPr="009A07F1" w:rsidRDefault="00A607BC" w:rsidP="00A607BC">
      <w:pPr>
        <w:spacing w:line="240" w:lineRule="auto"/>
        <w:contextualSpacing/>
        <w:jc w:val="both"/>
        <w:rPr>
          <w:rFonts w:ascii="Verdana" w:eastAsia="Geomanist Light" w:hAnsi="Verdana" w:cs="Arial"/>
          <w:b/>
          <w:bCs/>
          <w:lang w:val="es-ES"/>
        </w:rPr>
      </w:pPr>
      <w:r w:rsidRPr="009A07F1">
        <w:rPr>
          <w:rFonts w:ascii="Verdana" w:eastAsia="Geomanist Light" w:hAnsi="Verdana" w:cs="Arial"/>
          <w:b/>
          <w:bCs/>
          <w:lang w:val="es-ES"/>
        </w:rPr>
        <w:t>TÉRMINOS O PLAZOS DE LAS ETAPAS DEL PROCESO DE SELECCIÓN CONTRACTUAL – Preclusivos y perentorios</w:t>
      </w:r>
    </w:p>
    <w:p w14:paraId="737E57A0" w14:textId="77777777" w:rsidR="00A607BC" w:rsidRPr="004D1C50" w:rsidRDefault="00A607BC" w:rsidP="00A607BC">
      <w:pPr>
        <w:spacing w:line="240" w:lineRule="auto"/>
        <w:contextualSpacing/>
        <w:jc w:val="both"/>
        <w:rPr>
          <w:rFonts w:ascii="Verdana" w:eastAsia="Geomanist Light" w:hAnsi="Verdana" w:cs="Arial"/>
          <w:sz w:val="20"/>
          <w:szCs w:val="20"/>
          <w:lang w:val="es-ES"/>
        </w:rPr>
      </w:pPr>
    </w:p>
    <w:p w14:paraId="50F47CD3" w14:textId="77777777" w:rsidR="00A607BC" w:rsidRPr="009A07F1" w:rsidRDefault="00A607BC" w:rsidP="00A607BC">
      <w:pPr>
        <w:spacing w:before="120" w:after="120" w:line="240" w:lineRule="auto"/>
        <w:jc w:val="both"/>
        <w:rPr>
          <w:rFonts w:ascii="Verdana" w:eastAsia="Calibri" w:hAnsi="Verdana" w:cs="Arial"/>
          <w:sz w:val="20"/>
          <w:szCs w:val="20"/>
        </w:rPr>
      </w:pPr>
      <w:r w:rsidRPr="009A07F1">
        <w:rPr>
          <w:rFonts w:ascii="Verdana" w:eastAsia="Calibri" w:hAnsi="Verdana" w:cs="Arial"/>
          <w:sz w:val="20"/>
          <w:szCs w:val="20"/>
        </w:rPr>
        <w:t xml:space="preserve">“[…] Las condiciones de participación previstas en los pliegos de condiciones o sus equivalentes, deben ser lo suficientemente claras  para que los interesados tengan en cuenta los plazos y término con el que disponen para elaborar sus ofertas, así como el plazo que se tomará la entidad para estudiarlas y el término en que procederá a la adjudicación o declaratoria de desierta, al punto que, si no se acatan, las consecuencias para uno u otro serán determinantes, tales como rechazar la propuesta por extemporánea o perder la facultad para adjudicar si no se hace en el tiempo previsto. </w:t>
      </w:r>
    </w:p>
    <w:p w14:paraId="4E65937A" w14:textId="77777777" w:rsidR="00A607BC" w:rsidRDefault="00A607BC" w:rsidP="00A607BC">
      <w:pPr>
        <w:spacing w:after="0" w:line="240" w:lineRule="auto"/>
        <w:jc w:val="both"/>
        <w:rPr>
          <w:rFonts w:ascii="Verdana" w:eastAsia="Geomanist Light" w:hAnsi="Verdana" w:cs="Arial"/>
          <w:sz w:val="20"/>
          <w:szCs w:val="20"/>
          <w:lang w:val="es-ES_tradnl"/>
        </w:rPr>
      </w:pPr>
    </w:p>
    <w:p w14:paraId="29D78D95" w14:textId="77777777" w:rsidR="00A607BC" w:rsidRPr="009A07F1" w:rsidRDefault="00A607BC" w:rsidP="00A607BC">
      <w:pPr>
        <w:spacing w:after="0" w:line="240" w:lineRule="auto"/>
        <w:jc w:val="both"/>
        <w:rPr>
          <w:rFonts w:ascii="Verdana" w:hAnsi="Verdana" w:cs="Arial"/>
          <w:b/>
          <w:lang w:val="es-MX" w:eastAsia="es-ES"/>
        </w:rPr>
      </w:pPr>
      <w:r w:rsidRPr="009A07F1">
        <w:rPr>
          <w:rFonts w:ascii="Verdana" w:hAnsi="Verdana" w:cs="Arial"/>
          <w:b/>
          <w:lang w:val="es-MX" w:eastAsia="es-ES"/>
        </w:rPr>
        <w:t>CRONOGRAMA – Definición – Importancia</w:t>
      </w:r>
    </w:p>
    <w:p w14:paraId="4D5F53F0" w14:textId="77777777" w:rsidR="00A607BC" w:rsidRDefault="00A607BC" w:rsidP="00A607BC">
      <w:pPr>
        <w:spacing w:after="0" w:line="240" w:lineRule="auto"/>
        <w:jc w:val="both"/>
        <w:rPr>
          <w:rFonts w:ascii="Verdana" w:hAnsi="Verdana" w:cs="Arial"/>
          <w:bCs/>
          <w:lang w:val="es-MX" w:eastAsia="es-ES"/>
        </w:rPr>
      </w:pPr>
    </w:p>
    <w:p w14:paraId="5D23EA9D" w14:textId="77777777" w:rsidR="00A607BC" w:rsidRPr="009A07F1" w:rsidRDefault="00A607BC" w:rsidP="00A607BC">
      <w:pPr>
        <w:spacing w:before="120" w:after="120" w:line="240" w:lineRule="auto"/>
        <w:jc w:val="both"/>
        <w:rPr>
          <w:rFonts w:ascii="Verdana" w:eastAsia="Calibri" w:hAnsi="Verdana" w:cs="Arial"/>
          <w:sz w:val="20"/>
          <w:szCs w:val="20"/>
        </w:rPr>
      </w:pPr>
      <w:r w:rsidRPr="009A07F1">
        <w:rPr>
          <w:rFonts w:ascii="Verdana" w:eastAsia="Calibri" w:hAnsi="Verdana" w:cs="Arial"/>
          <w:sz w:val="20"/>
          <w:szCs w:val="20"/>
        </w:rPr>
        <w:t xml:space="preserve">“[…] el artículo 2.2.1.1.1.3.1, literal 11 del 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45EC6D5D" w14:textId="77777777" w:rsidR="00A607BC" w:rsidRPr="009A07F1" w:rsidRDefault="00A607BC" w:rsidP="00A607BC">
      <w:pPr>
        <w:spacing w:after="0" w:line="240" w:lineRule="auto"/>
        <w:jc w:val="both"/>
        <w:rPr>
          <w:rFonts w:ascii="Verdana" w:eastAsia="Geomanist Light" w:hAnsi="Verdana" w:cs="Arial"/>
          <w:sz w:val="20"/>
          <w:szCs w:val="20"/>
        </w:rPr>
      </w:pPr>
    </w:p>
    <w:p w14:paraId="1A2C6AF2" w14:textId="77777777" w:rsidR="00A607BC" w:rsidRPr="00C34EBC" w:rsidRDefault="00A607BC" w:rsidP="00A607BC">
      <w:pPr>
        <w:spacing w:after="0" w:line="240" w:lineRule="auto"/>
        <w:jc w:val="both"/>
        <w:rPr>
          <w:rFonts w:ascii="Verdana" w:eastAsia="Geomanist Light" w:hAnsi="Verdana" w:cs="Arial"/>
          <w:b/>
          <w:bCs/>
          <w:lang w:val="es-ES_tradnl"/>
        </w:rPr>
      </w:pPr>
      <w:r w:rsidRPr="00C34EBC">
        <w:rPr>
          <w:rFonts w:ascii="Verdana" w:eastAsia="Geomanist Light" w:hAnsi="Verdana" w:cs="Arial"/>
          <w:b/>
          <w:bCs/>
          <w:lang w:val="es-ES_tradnl"/>
        </w:rPr>
        <w:lastRenderedPageBreak/>
        <w:t xml:space="preserve">PRINCIPIO DE TRANSPARENCIA </w:t>
      </w:r>
      <w:r w:rsidRPr="00C34EBC">
        <w:rPr>
          <w:rFonts w:ascii="Verdana" w:eastAsia="Geomanist Light" w:hAnsi="Verdana" w:cs="Arial"/>
          <w:b/>
          <w:bCs/>
          <w:lang w:val="es-ES"/>
        </w:rPr>
        <w:t>–</w:t>
      </w:r>
      <w:r w:rsidRPr="00C34EBC">
        <w:rPr>
          <w:rFonts w:ascii="Verdana" w:eastAsia="Geomanist Light" w:hAnsi="Verdana" w:cs="Arial"/>
          <w:b/>
          <w:bCs/>
          <w:lang w:val="es-ES_tradnl"/>
        </w:rPr>
        <w:t xml:space="preserve"> Reglas aplicables a la presentación de ofertas</w:t>
      </w:r>
    </w:p>
    <w:p w14:paraId="350F7771" w14:textId="77777777" w:rsidR="00A607BC" w:rsidRDefault="00A607BC" w:rsidP="00A607BC">
      <w:pPr>
        <w:spacing w:after="0" w:line="240" w:lineRule="auto"/>
        <w:jc w:val="both"/>
        <w:rPr>
          <w:rFonts w:ascii="Verdana" w:eastAsia="Geomanist Light" w:hAnsi="Verdana" w:cs="Arial"/>
          <w:sz w:val="20"/>
          <w:szCs w:val="20"/>
          <w:lang w:val="es-ES_tradnl"/>
        </w:rPr>
      </w:pPr>
    </w:p>
    <w:p w14:paraId="2D66065D" w14:textId="77777777" w:rsidR="00A607BC" w:rsidRDefault="00A607BC" w:rsidP="00A607BC">
      <w:pPr>
        <w:spacing w:after="0" w:line="240" w:lineRule="auto"/>
        <w:jc w:val="both"/>
        <w:rPr>
          <w:rFonts w:ascii="Verdana" w:eastAsia="Calibri" w:hAnsi="Verdana" w:cs="Arial"/>
          <w:sz w:val="20"/>
          <w:szCs w:val="20"/>
        </w:rPr>
      </w:pPr>
      <w:r w:rsidRPr="009A07F1">
        <w:rPr>
          <w:rFonts w:ascii="Verdana" w:eastAsia="Calibri" w:hAnsi="Verdana" w:cs="Arial"/>
          <w:sz w:val="20"/>
          <w:szCs w:val="20"/>
        </w:rPr>
        <w:t>“[…] de conformidad con los mandatos derivados del principio de transparencia, consagrado en el artículo 24 de la Ley 80 de 1993, y lo dispuesto en el artículo 2.2.1.1.2.1.3 del Decreto 1082 de 2015,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 o pliego de condiciones, el lapso durante el cual recibirán ofertas, definiendo expresamente la hora hasta la cual recibirán las ofertas, de tal manera que este pueda ser conocido con anticipación por los interesados.</w:t>
      </w:r>
    </w:p>
    <w:p w14:paraId="6FD6A06B" w14:textId="77777777" w:rsidR="00A607BC" w:rsidRDefault="00A607BC" w:rsidP="00A607BC">
      <w:pPr>
        <w:spacing w:after="0" w:line="240" w:lineRule="auto"/>
        <w:jc w:val="both"/>
        <w:rPr>
          <w:rFonts w:ascii="Verdana" w:eastAsia="Calibri" w:hAnsi="Verdana" w:cs="Arial"/>
          <w:sz w:val="20"/>
          <w:szCs w:val="20"/>
        </w:rPr>
      </w:pPr>
    </w:p>
    <w:p w14:paraId="6470B3DC" w14:textId="77777777" w:rsidR="00A607BC" w:rsidRDefault="00A607BC" w:rsidP="00A607BC">
      <w:pPr>
        <w:spacing w:after="0" w:line="240" w:lineRule="auto"/>
        <w:jc w:val="both"/>
        <w:rPr>
          <w:rFonts w:ascii="Verdana" w:eastAsia="Calibri" w:hAnsi="Verdana" w:cs="Arial"/>
          <w:sz w:val="20"/>
          <w:szCs w:val="20"/>
        </w:rPr>
      </w:pPr>
    </w:p>
    <w:p w14:paraId="66E59216" w14:textId="77777777" w:rsidR="00A607BC" w:rsidRDefault="00A607BC" w:rsidP="00A607BC">
      <w:pPr>
        <w:spacing w:after="0" w:line="240" w:lineRule="auto"/>
        <w:jc w:val="both"/>
        <w:rPr>
          <w:rFonts w:ascii="Verdana" w:eastAsia="Calibri" w:hAnsi="Verdana" w:cs="Arial"/>
          <w:sz w:val="20"/>
          <w:szCs w:val="20"/>
        </w:rPr>
      </w:pPr>
    </w:p>
    <w:p w14:paraId="0C8E992A" w14:textId="77777777" w:rsidR="00A607BC" w:rsidRDefault="00A607BC" w:rsidP="00A607BC">
      <w:pPr>
        <w:spacing w:after="0" w:line="240" w:lineRule="auto"/>
        <w:jc w:val="both"/>
        <w:rPr>
          <w:rFonts w:ascii="Verdana" w:eastAsia="Calibri" w:hAnsi="Verdana" w:cs="Arial"/>
          <w:sz w:val="20"/>
          <w:szCs w:val="20"/>
        </w:rPr>
      </w:pPr>
    </w:p>
    <w:p w14:paraId="0C8906A7" w14:textId="77777777" w:rsidR="00A607BC" w:rsidRDefault="00A607BC" w:rsidP="00A607BC">
      <w:pPr>
        <w:spacing w:after="0" w:line="240" w:lineRule="auto"/>
        <w:jc w:val="both"/>
        <w:rPr>
          <w:rFonts w:ascii="Verdana" w:eastAsia="Calibri" w:hAnsi="Verdana" w:cs="Arial"/>
          <w:sz w:val="20"/>
          <w:szCs w:val="20"/>
        </w:rPr>
      </w:pPr>
    </w:p>
    <w:p w14:paraId="0E9CEBA4" w14:textId="77777777" w:rsidR="00A607BC" w:rsidRDefault="00A607BC" w:rsidP="00A607BC">
      <w:pPr>
        <w:spacing w:after="0" w:line="240" w:lineRule="auto"/>
        <w:jc w:val="both"/>
        <w:rPr>
          <w:rFonts w:ascii="Verdana" w:eastAsia="Calibri" w:hAnsi="Verdana" w:cs="Arial"/>
          <w:sz w:val="20"/>
          <w:szCs w:val="20"/>
        </w:rPr>
      </w:pPr>
    </w:p>
    <w:p w14:paraId="26DA4424" w14:textId="77777777" w:rsidR="00A607BC" w:rsidRDefault="00A607BC" w:rsidP="00A607BC">
      <w:pPr>
        <w:spacing w:after="0" w:line="240" w:lineRule="auto"/>
        <w:jc w:val="both"/>
        <w:rPr>
          <w:rFonts w:ascii="Verdana" w:eastAsia="Calibri" w:hAnsi="Verdana" w:cs="Arial"/>
          <w:sz w:val="20"/>
          <w:szCs w:val="20"/>
        </w:rPr>
      </w:pPr>
    </w:p>
    <w:p w14:paraId="0461D809" w14:textId="77777777" w:rsidR="00A607BC" w:rsidRDefault="00A607BC" w:rsidP="00A607BC">
      <w:pPr>
        <w:spacing w:after="0" w:line="240" w:lineRule="auto"/>
        <w:jc w:val="both"/>
        <w:rPr>
          <w:rFonts w:ascii="Verdana" w:eastAsia="Calibri" w:hAnsi="Verdana" w:cs="Arial"/>
          <w:sz w:val="20"/>
          <w:szCs w:val="20"/>
        </w:rPr>
      </w:pPr>
    </w:p>
    <w:p w14:paraId="58ACF833" w14:textId="77777777" w:rsidR="00A607BC" w:rsidRDefault="00A607BC" w:rsidP="00A607BC">
      <w:pPr>
        <w:spacing w:after="0" w:line="240" w:lineRule="auto"/>
        <w:jc w:val="both"/>
        <w:rPr>
          <w:rFonts w:ascii="Verdana" w:eastAsia="Calibri" w:hAnsi="Verdana" w:cs="Arial"/>
          <w:sz w:val="20"/>
          <w:szCs w:val="20"/>
        </w:rPr>
      </w:pPr>
    </w:p>
    <w:p w14:paraId="5680AD52" w14:textId="77777777" w:rsidR="00A607BC" w:rsidRDefault="00A607BC" w:rsidP="00A607BC">
      <w:pPr>
        <w:spacing w:after="0" w:line="240" w:lineRule="auto"/>
        <w:jc w:val="both"/>
        <w:rPr>
          <w:rFonts w:ascii="Verdana" w:eastAsia="Calibri" w:hAnsi="Verdana" w:cs="Arial"/>
          <w:sz w:val="20"/>
          <w:szCs w:val="20"/>
        </w:rPr>
      </w:pPr>
    </w:p>
    <w:p w14:paraId="2D7B6FAD" w14:textId="77777777" w:rsidR="00A607BC" w:rsidRDefault="00A607BC" w:rsidP="00A607BC">
      <w:pPr>
        <w:spacing w:after="0" w:line="240" w:lineRule="auto"/>
        <w:jc w:val="both"/>
        <w:rPr>
          <w:rFonts w:ascii="Verdana" w:eastAsia="Calibri" w:hAnsi="Verdana" w:cs="Arial"/>
          <w:sz w:val="20"/>
          <w:szCs w:val="20"/>
        </w:rPr>
      </w:pPr>
    </w:p>
    <w:p w14:paraId="613F0974" w14:textId="77777777" w:rsidR="00A607BC" w:rsidRDefault="00A607BC" w:rsidP="00A607BC">
      <w:pPr>
        <w:spacing w:after="0" w:line="240" w:lineRule="auto"/>
        <w:jc w:val="both"/>
        <w:rPr>
          <w:rFonts w:ascii="Verdana" w:eastAsia="Calibri" w:hAnsi="Verdana" w:cs="Arial"/>
          <w:sz w:val="20"/>
          <w:szCs w:val="20"/>
        </w:rPr>
      </w:pPr>
    </w:p>
    <w:p w14:paraId="0F185795" w14:textId="77777777" w:rsidR="00A607BC" w:rsidRDefault="00A607BC" w:rsidP="00A607BC">
      <w:pPr>
        <w:spacing w:after="0" w:line="240" w:lineRule="auto"/>
        <w:jc w:val="both"/>
        <w:rPr>
          <w:rFonts w:ascii="Verdana" w:eastAsia="Calibri" w:hAnsi="Verdana" w:cs="Arial"/>
          <w:sz w:val="20"/>
          <w:szCs w:val="20"/>
        </w:rPr>
      </w:pPr>
    </w:p>
    <w:p w14:paraId="633F3D00" w14:textId="77777777" w:rsidR="00A607BC" w:rsidRDefault="00A607BC" w:rsidP="00A607BC">
      <w:pPr>
        <w:spacing w:after="0" w:line="240" w:lineRule="auto"/>
        <w:jc w:val="both"/>
        <w:rPr>
          <w:rFonts w:ascii="Verdana" w:eastAsia="Calibri" w:hAnsi="Verdana" w:cs="Arial"/>
          <w:sz w:val="20"/>
          <w:szCs w:val="20"/>
        </w:rPr>
      </w:pPr>
    </w:p>
    <w:p w14:paraId="775EBC88" w14:textId="77777777" w:rsidR="00A607BC" w:rsidRDefault="00A607BC" w:rsidP="00A607BC">
      <w:pPr>
        <w:spacing w:after="0" w:line="240" w:lineRule="auto"/>
        <w:jc w:val="both"/>
        <w:rPr>
          <w:rFonts w:ascii="Verdana" w:eastAsia="Calibri" w:hAnsi="Verdana" w:cs="Arial"/>
          <w:sz w:val="20"/>
          <w:szCs w:val="20"/>
        </w:rPr>
      </w:pPr>
    </w:p>
    <w:p w14:paraId="58AFCD3A" w14:textId="77777777" w:rsidR="00A607BC" w:rsidRDefault="00A607BC" w:rsidP="00A607BC">
      <w:pPr>
        <w:spacing w:after="0" w:line="240" w:lineRule="auto"/>
        <w:jc w:val="both"/>
        <w:rPr>
          <w:rFonts w:ascii="Verdana" w:eastAsia="Calibri" w:hAnsi="Verdana" w:cs="Arial"/>
          <w:sz w:val="20"/>
          <w:szCs w:val="20"/>
        </w:rPr>
      </w:pPr>
    </w:p>
    <w:p w14:paraId="07BF86B4" w14:textId="77777777" w:rsidR="00A607BC" w:rsidRDefault="00A607BC" w:rsidP="00A607BC">
      <w:pPr>
        <w:spacing w:after="0" w:line="240" w:lineRule="auto"/>
        <w:jc w:val="both"/>
        <w:rPr>
          <w:rFonts w:ascii="Verdana" w:eastAsia="Calibri" w:hAnsi="Verdana" w:cs="Arial"/>
          <w:sz w:val="20"/>
          <w:szCs w:val="20"/>
        </w:rPr>
      </w:pPr>
    </w:p>
    <w:p w14:paraId="51064CFA" w14:textId="77777777" w:rsidR="00A607BC" w:rsidRDefault="00A607BC" w:rsidP="00A607BC">
      <w:pPr>
        <w:spacing w:after="0" w:line="240" w:lineRule="auto"/>
        <w:jc w:val="both"/>
        <w:rPr>
          <w:rFonts w:ascii="Verdana" w:eastAsia="Calibri" w:hAnsi="Verdana" w:cs="Arial"/>
          <w:sz w:val="20"/>
          <w:szCs w:val="20"/>
        </w:rPr>
      </w:pPr>
    </w:p>
    <w:p w14:paraId="6B862AA2" w14:textId="77777777" w:rsidR="00A607BC" w:rsidRDefault="00A607BC" w:rsidP="00A607BC">
      <w:pPr>
        <w:spacing w:after="0" w:line="240" w:lineRule="auto"/>
        <w:jc w:val="both"/>
        <w:rPr>
          <w:rFonts w:ascii="Verdana" w:eastAsia="Calibri" w:hAnsi="Verdana" w:cs="Arial"/>
          <w:sz w:val="20"/>
          <w:szCs w:val="20"/>
        </w:rPr>
      </w:pPr>
    </w:p>
    <w:p w14:paraId="4F20B3F8" w14:textId="77777777" w:rsidR="00A607BC" w:rsidRDefault="00A607BC" w:rsidP="00A607BC">
      <w:pPr>
        <w:spacing w:after="0" w:line="240" w:lineRule="auto"/>
        <w:jc w:val="both"/>
        <w:rPr>
          <w:rFonts w:ascii="Verdana" w:eastAsia="Calibri" w:hAnsi="Verdana" w:cs="Arial"/>
          <w:sz w:val="20"/>
          <w:szCs w:val="20"/>
        </w:rPr>
      </w:pPr>
    </w:p>
    <w:p w14:paraId="3E1F3C47" w14:textId="77777777" w:rsidR="00A607BC" w:rsidRDefault="00A607BC" w:rsidP="00A607BC">
      <w:pPr>
        <w:spacing w:after="0" w:line="240" w:lineRule="auto"/>
        <w:jc w:val="both"/>
        <w:rPr>
          <w:rFonts w:ascii="Verdana" w:eastAsia="Calibri" w:hAnsi="Verdana" w:cs="Arial"/>
          <w:sz w:val="20"/>
          <w:szCs w:val="20"/>
        </w:rPr>
      </w:pPr>
    </w:p>
    <w:p w14:paraId="06A39955" w14:textId="77777777" w:rsidR="00A607BC" w:rsidRDefault="00A607BC" w:rsidP="00A607BC">
      <w:pPr>
        <w:spacing w:after="0" w:line="240" w:lineRule="auto"/>
        <w:jc w:val="both"/>
        <w:rPr>
          <w:rFonts w:ascii="Verdana" w:eastAsia="Calibri" w:hAnsi="Verdana" w:cs="Arial"/>
          <w:sz w:val="20"/>
          <w:szCs w:val="20"/>
        </w:rPr>
      </w:pPr>
    </w:p>
    <w:p w14:paraId="5FDBE02B" w14:textId="77777777" w:rsidR="00A607BC" w:rsidRDefault="00A607BC" w:rsidP="00A607BC">
      <w:pPr>
        <w:spacing w:after="0" w:line="240" w:lineRule="auto"/>
        <w:jc w:val="both"/>
        <w:rPr>
          <w:rFonts w:ascii="Verdana" w:eastAsia="Calibri" w:hAnsi="Verdana" w:cs="Arial"/>
          <w:sz w:val="20"/>
          <w:szCs w:val="20"/>
        </w:rPr>
      </w:pPr>
    </w:p>
    <w:p w14:paraId="0864E71A" w14:textId="77777777" w:rsidR="00A607BC" w:rsidRDefault="00A607BC" w:rsidP="00A607BC">
      <w:pPr>
        <w:spacing w:after="0" w:line="240" w:lineRule="auto"/>
        <w:jc w:val="both"/>
        <w:rPr>
          <w:rFonts w:ascii="Verdana" w:eastAsia="Calibri" w:hAnsi="Verdana" w:cs="Arial"/>
          <w:sz w:val="20"/>
          <w:szCs w:val="20"/>
        </w:rPr>
      </w:pPr>
    </w:p>
    <w:p w14:paraId="53BCFB3A" w14:textId="77777777" w:rsidR="00A607BC" w:rsidRDefault="00A607BC" w:rsidP="00A607BC">
      <w:pPr>
        <w:spacing w:after="0" w:line="240" w:lineRule="auto"/>
        <w:jc w:val="both"/>
        <w:rPr>
          <w:rFonts w:ascii="Verdana" w:eastAsia="Calibri" w:hAnsi="Verdana" w:cs="Arial"/>
          <w:sz w:val="20"/>
          <w:szCs w:val="20"/>
        </w:rPr>
      </w:pPr>
    </w:p>
    <w:p w14:paraId="2FCFBE91" w14:textId="77777777" w:rsidR="00A607BC" w:rsidRDefault="00A607BC" w:rsidP="00A607BC">
      <w:pPr>
        <w:spacing w:after="0" w:line="240" w:lineRule="auto"/>
        <w:jc w:val="both"/>
        <w:rPr>
          <w:rFonts w:ascii="Verdana" w:eastAsia="Calibri" w:hAnsi="Verdana" w:cs="Arial"/>
          <w:sz w:val="20"/>
          <w:szCs w:val="20"/>
        </w:rPr>
      </w:pPr>
    </w:p>
    <w:p w14:paraId="40A9528D" w14:textId="77777777" w:rsidR="00A607BC" w:rsidRDefault="00A607BC" w:rsidP="00A607BC">
      <w:pPr>
        <w:spacing w:after="0" w:line="240" w:lineRule="auto"/>
        <w:jc w:val="both"/>
        <w:rPr>
          <w:rFonts w:ascii="Verdana" w:eastAsia="Calibri" w:hAnsi="Verdana" w:cs="Arial"/>
          <w:sz w:val="20"/>
          <w:szCs w:val="20"/>
        </w:rPr>
      </w:pPr>
    </w:p>
    <w:p w14:paraId="77FF1324" w14:textId="77777777" w:rsidR="00A607BC" w:rsidRDefault="00A607BC" w:rsidP="00A607BC">
      <w:pPr>
        <w:spacing w:after="0" w:line="240" w:lineRule="auto"/>
        <w:jc w:val="both"/>
        <w:rPr>
          <w:rFonts w:ascii="Verdana" w:eastAsia="Calibri" w:hAnsi="Verdana" w:cs="Arial"/>
          <w:sz w:val="20"/>
          <w:szCs w:val="20"/>
        </w:rPr>
      </w:pPr>
    </w:p>
    <w:p w14:paraId="62954684" w14:textId="77777777" w:rsidR="00A607BC" w:rsidRDefault="00A607BC" w:rsidP="00A607BC">
      <w:pPr>
        <w:spacing w:after="0" w:line="240" w:lineRule="auto"/>
        <w:jc w:val="both"/>
        <w:rPr>
          <w:rFonts w:ascii="Verdana" w:eastAsia="Calibri" w:hAnsi="Verdana" w:cs="Arial"/>
          <w:sz w:val="20"/>
          <w:szCs w:val="20"/>
        </w:rPr>
      </w:pPr>
    </w:p>
    <w:p w14:paraId="28B0182A" w14:textId="77777777" w:rsidR="00A607BC" w:rsidRDefault="00A607BC" w:rsidP="00A607BC">
      <w:pPr>
        <w:spacing w:after="0" w:line="240" w:lineRule="auto"/>
        <w:jc w:val="both"/>
        <w:rPr>
          <w:rFonts w:ascii="Verdana" w:eastAsia="Calibri" w:hAnsi="Verdana" w:cs="Arial"/>
          <w:sz w:val="20"/>
          <w:szCs w:val="20"/>
        </w:rPr>
      </w:pPr>
    </w:p>
    <w:p w14:paraId="203C6AC5" w14:textId="77777777" w:rsidR="00A607BC" w:rsidRDefault="00A607BC" w:rsidP="00A607BC">
      <w:pPr>
        <w:spacing w:after="0" w:line="240" w:lineRule="auto"/>
        <w:jc w:val="both"/>
        <w:rPr>
          <w:rFonts w:ascii="Verdana" w:eastAsia="Calibri" w:hAnsi="Verdana" w:cs="Arial"/>
          <w:sz w:val="20"/>
          <w:szCs w:val="20"/>
        </w:rPr>
      </w:pPr>
    </w:p>
    <w:p w14:paraId="4194583D" w14:textId="77777777" w:rsidR="00A607BC" w:rsidRDefault="00A607BC" w:rsidP="00A607BC">
      <w:pPr>
        <w:spacing w:after="0" w:line="240" w:lineRule="auto"/>
        <w:jc w:val="both"/>
        <w:rPr>
          <w:rFonts w:ascii="Verdana" w:eastAsia="Calibri" w:hAnsi="Verdana" w:cs="Arial"/>
          <w:sz w:val="20"/>
          <w:szCs w:val="20"/>
        </w:rPr>
      </w:pPr>
    </w:p>
    <w:p w14:paraId="629EF39B" w14:textId="77777777" w:rsidR="00A607BC" w:rsidRDefault="00A607BC" w:rsidP="00A607BC">
      <w:pPr>
        <w:spacing w:after="0" w:line="240" w:lineRule="auto"/>
        <w:jc w:val="both"/>
        <w:rPr>
          <w:rFonts w:ascii="Verdana" w:eastAsia="Calibri" w:hAnsi="Verdana" w:cs="Arial"/>
          <w:sz w:val="20"/>
          <w:szCs w:val="20"/>
        </w:rPr>
      </w:pPr>
    </w:p>
    <w:p w14:paraId="33A19C84" w14:textId="77777777" w:rsidR="00A607BC" w:rsidRPr="009A07F1" w:rsidRDefault="00A607BC" w:rsidP="00A607BC">
      <w:pPr>
        <w:spacing w:after="0" w:line="240" w:lineRule="auto"/>
        <w:jc w:val="both"/>
        <w:rPr>
          <w:rFonts w:ascii="Verdana" w:eastAsia="Calibri" w:hAnsi="Verdana" w:cs="Arial"/>
          <w:sz w:val="20"/>
          <w:szCs w:val="20"/>
        </w:rPr>
      </w:pPr>
    </w:p>
    <w:p w14:paraId="3FE2184B" w14:textId="767B1358" w:rsidR="00E245AB" w:rsidRPr="0044528D" w:rsidRDefault="00897A3A" w:rsidP="00E245AB">
      <w:pPr>
        <w:spacing w:after="0"/>
        <w:rPr>
          <w:rFonts w:ascii="Verdana" w:hAnsi="Verdana"/>
        </w:rPr>
      </w:pPr>
      <w:r w:rsidRPr="0044528D">
        <w:rPr>
          <w:rFonts w:ascii="Verdana" w:hAnsi="Verdana"/>
        </w:rPr>
        <w:t xml:space="preserve">Bogotá D.C., </w:t>
      </w:r>
      <w:r w:rsidR="00935220">
        <w:rPr>
          <w:rFonts w:ascii="Verdana" w:hAnsi="Verdana"/>
        </w:rPr>
        <w:t>2</w:t>
      </w:r>
      <w:r w:rsidR="00512CB7">
        <w:rPr>
          <w:rFonts w:ascii="Verdana" w:hAnsi="Verdana"/>
        </w:rPr>
        <w:t>1</w:t>
      </w:r>
      <w:r w:rsidR="00935220">
        <w:rPr>
          <w:rFonts w:ascii="Verdana" w:hAnsi="Verdana"/>
        </w:rPr>
        <w:t xml:space="preserve"> de octubre de 2025</w:t>
      </w:r>
      <w:r w:rsidR="00891928" w:rsidRPr="0044528D">
        <w:rPr>
          <w:rFonts w:ascii="Verdana" w:hAnsi="Verdana"/>
        </w:rPr>
        <w:tab/>
      </w:r>
    </w:p>
    <w:p w14:paraId="5FCADBF9" w14:textId="5A8C3283" w:rsidR="00E245AB" w:rsidRPr="0044528D" w:rsidRDefault="00E245AB" w:rsidP="00E245AB">
      <w:pPr>
        <w:spacing w:after="0"/>
        <w:rPr>
          <w:rFonts w:ascii="Verdana" w:hAnsi="Verdana"/>
        </w:rPr>
      </w:pPr>
    </w:p>
    <w:p w14:paraId="42C3B52E" w14:textId="4F7AAECB" w:rsidR="008F0E9A" w:rsidRDefault="00C34EBC" w:rsidP="008F0E9A">
      <w:pPr>
        <w:spacing w:after="0" w:line="240" w:lineRule="auto"/>
        <w:jc w:val="both"/>
        <w:rPr>
          <w:rFonts w:ascii="Verdana" w:eastAsia="Geomanist Light" w:hAnsi="Verdana" w:cs="Arial"/>
          <w:sz w:val="20"/>
          <w:szCs w:val="20"/>
          <w:lang w:val="es-ES_tradnl"/>
        </w:rPr>
      </w:pPr>
      <w:r w:rsidRPr="00512CB7">
        <w:rPr>
          <w:rFonts w:ascii="Verdana" w:eastAsia="Geomanist Light" w:hAnsi="Verdana" w:cs="Arial"/>
          <w:noProof/>
          <w:sz w:val="20"/>
          <w:szCs w:val="20"/>
          <w:lang w:val="es-ES_tradnl"/>
        </w:rPr>
        <w:drawing>
          <wp:anchor distT="0" distB="0" distL="114300" distR="114300" simplePos="0" relativeHeight="251657216" behindDoc="1" locked="0" layoutInCell="1" allowOverlap="1" wp14:anchorId="555A58F5" wp14:editId="7264DF2D">
            <wp:simplePos x="0" y="0"/>
            <wp:positionH relativeFrom="margin">
              <wp:posOffset>2752090</wp:posOffset>
            </wp:positionH>
            <wp:positionV relativeFrom="paragraph">
              <wp:posOffset>10160</wp:posOffset>
            </wp:positionV>
            <wp:extent cx="2850515" cy="858520"/>
            <wp:effectExtent l="0" t="0" r="6985" b="0"/>
            <wp:wrapSquare wrapText="bothSides"/>
            <wp:docPr id="172858452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58452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50515" cy="858520"/>
                    </a:xfrm>
                    <a:prstGeom prst="rect">
                      <a:avLst/>
                    </a:prstGeom>
                  </pic:spPr>
                </pic:pic>
              </a:graphicData>
            </a:graphic>
            <wp14:sizeRelH relativeFrom="margin">
              <wp14:pctWidth>0</wp14:pctWidth>
            </wp14:sizeRelH>
            <wp14:sizeRelV relativeFrom="margin">
              <wp14:pctHeight>0</wp14:pctHeight>
            </wp14:sizeRelV>
          </wp:anchor>
        </w:drawing>
      </w:r>
    </w:p>
    <w:p w14:paraId="3E99AAF4" w14:textId="77777777" w:rsidR="008F0E9A" w:rsidRPr="00A81AD8" w:rsidRDefault="008F0E9A" w:rsidP="008F0E9A">
      <w:pPr>
        <w:spacing w:after="0" w:line="240" w:lineRule="auto"/>
        <w:rPr>
          <w:rFonts w:ascii="Verdana" w:eastAsia="Calibri" w:hAnsi="Verdana" w:cs="Arial"/>
          <w:lang w:val="es-MX" w:eastAsia="es-ES"/>
        </w:rPr>
      </w:pPr>
      <w:r w:rsidRPr="00A81AD8">
        <w:rPr>
          <w:rFonts w:ascii="Verdana" w:eastAsia="Calibri" w:hAnsi="Verdana" w:cs="Arial"/>
          <w:lang w:val="es-MX" w:eastAsia="es-ES"/>
        </w:rPr>
        <w:t>Señor</w:t>
      </w:r>
    </w:p>
    <w:p w14:paraId="28401DF2" w14:textId="77777777" w:rsidR="008F0E9A" w:rsidRPr="00A81AD8" w:rsidRDefault="008F0E9A" w:rsidP="008F0E9A">
      <w:pPr>
        <w:spacing w:after="0" w:line="240" w:lineRule="auto"/>
        <w:rPr>
          <w:rFonts w:ascii="Verdana" w:eastAsia="Calibri" w:hAnsi="Verdana" w:cs="Arial"/>
          <w:b/>
          <w:bCs/>
          <w:lang w:val="es-MX" w:eastAsia="es-ES"/>
        </w:rPr>
      </w:pPr>
      <w:r w:rsidRPr="00A81AD8">
        <w:rPr>
          <w:rFonts w:ascii="Verdana" w:eastAsia="Calibri" w:hAnsi="Verdana" w:cs="Arial"/>
          <w:b/>
          <w:bCs/>
          <w:lang w:val="es-MX" w:eastAsia="es-ES"/>
        </w:rPr>
        <w:t>Daniel Castro Ceballos</w:t>
      </w:r>
    </w:p>
    <w:p w14:paraId="3EC99572" w14:textId="77777777" w:rsidR="008F0E9A" w:rsidRPr="00A81AD8" w:rsidRDefault="008F0E9A" w:rsidP="008F0E9A">
      <w:pPr>
        <w:spacing w:after="0" w:line="240" w:lineRule="auto"/>
        <w:rPr>
          <w:rFonts w:ascii="Verdana" w:eastAsia="Calibri" w:hAnsi="Verdana" w:cs="Arial"/>
          <w:b/>
          <w:bCs/>
          <w:lang w:val="es-MX" w:eastAsia="es-ES"/>
        </w:rPr>
      </w:pPr>
      <w:r w:rsidRPr="00A81AD8">
        <w:rPr>
          <w:rFonts w:ascii="Verdana" w:hAnsi="Verdana"/>
        </w:rPr>
        <w:t>danny27_cc@hotmail.com</w:t>
      </w:r>
      <w:r w:rsidRPr="00A81AD8">
        <w:rPr>
          <w:rFonts w:ascii="Verdana" w:eastAsia="Calibri" w:hAnsi="Verdana" w:cs="Arial"/>
          <w:lang w:val="es-MX" w:eastAsia="es-ES"/>
        </w:rPr>
        <w:t xml:space="preserve"> </w:t>
      </w:r>
    </w:p>
    <w:p w14:paraId="567709A9" w14:textId="77777777" w:rsidR="008F0E9A" w:rsidRPr="00A81AD8" w:rsidRDefault="008F0E9A" w:rsidP="008F0E9A">
      <w:pPr>
        <w:spacing w:after="0" w:line="240" w:lineRule="auto"/>
        <w:rPr>
          <w:rFonts w:ascii="Verdana" w:eastAsia="Calibri" w:hAnsi="Verdana" w:cs="Arial"/>
          <w:lang w:val="pt-BR" w:eastAsia="es-ES"/>
        </w:rPr>
      </w:pPr>
      <w:r w:rsidRPr="00A81AD8">
        <w:rPr>
          <w:rFonts w:ascii="Verdana" w:eastAsia="Calibri" w:hAnsi="Verdana" w:cs="Arial"/>
          <w:lang w:val="es-MX" w:eastAsia="es-ES"/>
        </w:rPr>
        <w:t>Bogotá D.C</w:t>
      </w:r>
    </w:p>
    <w:p w14:paraId="2FBA6AAB" w14:textId="77777777" w:rsidR="008F0E9A" w:rsidRDefault="008F0E9A" w:rsidP="008F0E9A">
      <w:pPr>
        <w:spacing w:after="0" w:line="240" w:lineRule="auto"/>
        <w:rPr>
          <w:rFonts w:ascii="Verdana" w:eastAsia="Calibri" w:hAnsi="Verdana" w:cs="Arial"/>
          <w:lang w:val="pt-BR" w:eastAsia="es-ES"/>
        </w:rPr>
      </w:pPr>
    </w:p>
    <w:p w14:paraId="1D7A8B48" w14:textId="77777777" w:rsidR="0038763A" w:rsidRDefault="0038763A" w:rsidP="008F0E9A">
      <w:pPr>
        <w:spacing w:after="0" w:line="240" w:lineRule="auto"/>
        <w:rPr>
          <w:rFonts w:ascii="Verdana" w:eastAsia="Calibri" w:hAnsi="Verdana" w:cs="Arial"/>
          <w:lang w:val="pt-BR" w:eastAsia="es-ES"/>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398"/>
      </w:tblGrid>
      <w:tr w:rsidR="008F0E9A" w:rsidRPr="009322DA" w14:paraId="494B6100" w14:textId="77777777" w:rsidTr="000525F8">
        <w:trPr>
          <w:trHeight w:val="999"/>
        </w:trPr>
        <w:tc>
          <w:tcPr>
            <w:tcW w:w="2835" w:type="dxa"/>
          </w:tcPr>
          <w:p w14:paraId="06C5DB2D" w14:textId="77777777" w:rsidR="008F0E9A" w:rsidRDefault="008F0E9A" w:rsidP="000525F8">
            <w:pPr>
              <w:jc w:val="both"/>
              <w:rPr>
                <w:rFonts w:ascii="Verdana" w:hAnsi="Verdana" w:cs="Arial"/>
                <w:b/>
                <w:bCs/>
                <w:lang w:val="es-ES_tradnl" w:eastAsia="es-ES_tradnl"/>
              </w:rPr>
            </w:pPr>
          </w:p>
          <w:p w14:paraId="1868B24C" w14:textId="77777777" w:rsidR="0038763A" w:rsidRPr="009322DA" w:rsidRDefault="0038763A" w:rsidP="000525F8">
            <w:pPr>
              <w:jc w:val="both"/>
              <w:rPr>
                <w:rFonts w:ascii="Verdana" w:hAnsi="Verdana" w:cs="Arial"/>
                <w:b/>
                <w:bCs/>
                <w:lang w:val="es-ES_tradnl" w:eastAsia="es-ES_tradnl"/>
              </w:rPr>
            </w:pPr>
          </w:p>
        </w:tc>
        <w:tc>
          <w:tcPr>
            <w:tcW w:w="6398" w:type="dxa"/>
            <w:hideMark/>
          </w:tcPr>
          <w:p w14:paraId="038CBD6B" w14:textId="77777777" w:rsidR="008F0E9A" w:rsidRPr="009322DA" w:rsidRDefault="008F0E9A" w:rsidP="000525F8">
            <w:pPr>
              <w:jc w:val="both"/>
              <w:rPr>
                <w:rFonts w:ascii="Verdana" w:hAnsi="Verdana" w:cs="Arial"/>
                <w:b/>
                <w:bCs/>
                <w:lang w:val="es-ES" w:eastAsia="es-ES"/>
              </w:rPr>
            </w:pPr>
            <w:r w:rsidRPr="009322DA">
              <w:rPr>
                <w:rFonts w:ascii="Verdana" w:hAnsi="Verdana" w:cs="Arial"/>
                <w:b/>
                <w:bCs/>
                <w:lang w:val="es-ES" w:eastAsia="es-ES"/>
              </w:rPr>
              <w:t xml:space="preserve">Concepto C- </w:t>
            </w:r>
            <w:r>
              <w:rPr>
                <w:rFonts w:ascii="Verdana" w:hAnsi="Verdana" w:cs="Arial"/>
                <w:b/>
                <w:bCs/>
                <w:lang w:val="es-ES" w:eastAsia="es-ES"/>
              </w:rPr>
              <w:t xml:space="preserve">1420 </w:t>
            </w:r>
            <w:r w:rsidRPr="009322DA">
              <w:rPr>
                <w:rFonts w:ascii="Verdana" w:hAnsi="Verdana" w:cs="Arial"/>
                <w:b/>
                <w:bCs/>
                <w:lang w:val="es-ES" w:eastAsia="es-ES"/>
              </w:rPr>
              <w:t>de 202</w:t>
            </w:r>
            <w:r>
              <w:rPr>
                <w:rFonts w:ascii="Verdana" w:hAnsi="Verdana" w:cs="Arial"/>
                <w:b/>
                <w:bCs/>
                <w:lang w:val="es-ES" w:eastAsia="es-ES"/>
              </w:rPr>
              <w:t>5</w:t>
            </w:r>
          </w:p>
        </w:tc>
      </w:tr>
      <w:tr w:rsidR="008F0E9A" w:rsidRPr="009322DA" w14:paraId="4A5E0541" w14:textId="77777777" w:rsidTr="000525F8">
        <w:trPr>
          <w:trHeight w:val="999"/>
        </w:trPr>
        <w:tc>
          <w:tcPr>
            <w:tcW w:w="2835" w:type="dxa"/>
            <w:hideMark/>
          </w:tcPr>
          <w:p w14:paraId="6BD52081" w14:textId="77777777" w:rsidR="008F0E9A" w:rsidRPr="009322DA" w:rsidRDefault="008F0E9A" w:rsidP="000525F8">
            <w:pPr>
              <w:jc w:val="both"/>
              <w:rPr>
                <w:rFonts w:ascii="Verdana" w:hAnsi="Verdana" w:cs="Arial"/>
                <w:lang w:val="es-ES_tradnl" w:eastAsia="es-ES_tradnl"/>
              </w:rPr>
            </w:pPr>
            <w:r w:rsidRPr="009322DA">
              <w:rPr>
                <w:rFonts w:ascii="Verdana" w:hAnsi="Verdana" w:cs="Arial"/>
                <w:b/>
                <w:lang w:val="es-ES_tradnl" w:eastAsia="es-ES_tradnl"/>
              </w:rPr>
              <w:t>Temas:</w:t>
            </w:r>
            <w:r w:rsidRPr="009322DA">
              <w:rPr>
                <w:rFonts w:ascii="Verdana" w:hAnsi="Verdana" w:cs="Arial"/>
                <w:lang w:val="es-ES_tradnl" w:eastAsia="es-ES_tradnl"/>
              </w:rPr>
              <w:t xml:space="preserve">                   </w:t>
            </w:r>
          </w:p>
        </w:tc>
        <w:tc>
          <w:tcPr>
            <w:tcW w:w="6398" w:type="dxa"/>
          </w:tcPr>
          <w:p w14:paraId="6A4CD718" w14:textId="245A874E" w:rsidR="008F0E9A" w:rsidRPr="009A07F1" w:rsidRDefault="008F0E9A" w:rsidP="000525F8">
            <w:pPr>
              <w:jc w:val="both"/>
              <w:rPr>
                <w:rFonts w:ascii="Verdana" w:hAnsi="Verdana" w:cs="Arial"/>
                <w:bCs/>
                <w:lang w:val="es-MX" w:eastAsia="es-ES"/>
              </w:rPr>
            </w:pPr>
            <w:r w:rsidRPr="001B2D32">
              <w:rPr>
                <w:rFonts w:ascii="Verdana" w:hAnsi="Verdana" w:cs="Arial"/>
                <w:bCs/>
                <w:lang w:val="es-MX" w:eastAsia="es-ES"/>
              </w:rPr>
              <w:t xml:space="preserve">PRINCIPIO DE ECONOMÍA – artículo 25 Ley 80 de 1993/ </w:t>
            </w:r>
            <w:r w:rsidRPr="009A07F1">
              <w:rPr>
                <w:rFonts w:ascii="Verdana" w:eastAsia="Geomanist Light" w:hAnsi="Verdana" w:cs="Arial"/>
                <w:lang w:val="es-ES"/>
              </w:rPr>
              <w:t>PUBLICIDAD – Procesos de contratación – Cronograma – Horario – Actividad contractual</w:t>
            </w:r>
            <w:r>
              <w:rPr>
                <w:rFonts w:ascii="Verdana" w:eastAsia="Geomanist Light" w:hAnsi="Verdana" w:cs="Arial"/>
                <w:lang w:val="es-ES"/>
              </w:rPr>
              <w:t xml:space="preserve">/ </w:t>
            </w:r>
            <w:r w:rsidRPr="001B2D32">
              <w:rPr>
                <w:rFonts w:ascii="Verdana" w:hAnsi="Verdana" w:cs="Arial"/>
                <w:bCs/>
                <w:lang w:val="es-MX" w:eastAsia="es-ES"/>
              </w:rPr>
              <w:t xml:space="preserve">TÉRMINOS O PLAZOS DE LAS ETAPAS DEL PROCESO DE SELECCIÓN CONTRACTUAL – Preclusivos y perentorios/ CRONOGRAMA – Definición – Importancia / </w:t>
            </w:r>
            <w:r w:rsidRPr="009A07F1">
              <w:rPr>
                <w:rFonts w:ascii="Verdana" w:hAnsi="Verdana" w:cs="Arial"/>
                <w:bCs/>
                <w:lang w:val="es-MX" w:eastAsia="es-ES"/>
              </w:rPr>
              <w:t>PRINCIPIO DE TRANSPARENCIA – Reglas aplicables a la presentación de ofertas</w:t>
            </w:r>
          </w:p>
          <w:p w14:paraId="20E492A8" w14:textId="77777777" w:rsidR="008F0E9A" w:rsidRPr="001B2D32" w:rsidRDefault="008F0E9A" w:rsidP="000525F8">
            <w:pPr>
              <w:jc w:val="both"/>
              <w:rPr>
                <w:rFonts w:ascii="Verdana" w:hAnsi="Verdana" w:cs="Arial"/>
                <w:bCs/>
                <w:lang w:val="es-MX" w:eastAsia="es-ES"/>
              </w:rPr>
            </w:pPr>
            <w:r w:rsidRPr="001B2D32">
              <w:rPr>
                <w:rFonts w:ascii="Verdana" w:hAnsi="Verdana" w:cs="Arial"/>
                <w:bCs/>
                <w:lang w:val="es-MX" w:eastAsia="es-ES"/>
              </w:rPr>
              <w:t xml:space="preserve"> </w:t>
            </w:r>
          </w:p>
          <w:p w14:paraId="192F65B8" w14:textId="77777777" w:rsidR="008F0E9A" w:rsidRPr="00EB3000" w:rsidRDefault="008F0E9A" w:rsidP="000525F8">
            <w:pPr>
              <w:jc w:val="both"/>
              <w:rPr>
                <w:rFonts w:ascii="Verdana" w:hAnsi="Verdana" w:cs="Arial"/>
                <w:lang w:val="es-ES_tradnl" w:eastAsia="es-ES"/>
              </w:rPr>
            </w:pPr>
          </w:p>
        </w:tc>
      </w:tr>
      <w:tr w:rsidR="008F0E9A" w:rsidRPr="009322DA" w14:paraId="494365EA" w14:textId="77777777" w:rsidTr="000525F8">
        <w:trPr>
          <w:trHeight w:val="597"/>
        </w:trPr>
        <w:tc>
          <w:tcPr>
            <w:tcW w:w="2835" w:type="dxa"/>
            <w:hideMark/>
          </w:tcPr>
          <w:p w14:paraId="13FC7E69" w14:textId="77777777" w:rsidR="008F0E9A" w:rsidRPr="009322DA" w:rsidRDefault="008F0E9A" w:rsidP="000525F8">
            <w:pPr>
              <w:jc w:val="both"/>
              <w:rPr>
                <w:rFonts w:ascii="Verdana" w:hAnsi="Verdana" w:cs="Arial"/>
                <w:b/>
                <w:lang w:val="es-ES_tradnl" w:eastAsia="es-ES_tradnl"/>
              </w:rPr>
            </w:pPr>
            <w:r w:rsidRPr="009322DA">
              <w:rPr>
                <w:rFonts w:ascii="Verdana" w:hAnsi="Verdana" w:cs="Arial"/>
                <w:b/>
                <w:lang w:val="es-ES_tradnl" w:eastAsia="es-ES_tradnl"/>
              </w:rPr>
              <w:t>Radicación:</w:t>
            </w:r>
            <w:r w:rsidRPr="009322DA">
              <w:rPr>
                <w:rFonts w:ascii="Verdana" w:hAnsi="Verdana" w:cs="Arial"/>
                <w:lang w:val="es-ES_tradnl" w:eastAsia="es-ES_tradnl"/>
              </w:rPr>
              <w:t xml:space="preserve">               </w:t>
            </w:r>
          </w:p>
        </w:tc>
        <w:tc>
          <w:tcPr>
            <w:tcW w:w="6398" w:type="dxa"/>
          </w:tcPr>
          <w:p w14:paraId="588A35EB" w14:textId="085E57ED" w:rsidR="008F0E9A" w:rsidRPr="009322DA" w:rsidRDefault="008F0E9A" w:rsidP="000525F8">
            <w:pPr>
              <w:jc w:val="both"/>
              <w:rPr>
                <w:rFonts w:ascii="Verdana" w:hAnsi="Verdana" w:cs="Arial"/>
                <w:lang w:val="es-ES_tradnl" w:eastAsia="es-ES_tradnl"/>
              </w:rPr>
            </w:pPr>
            <w:r w:rsidRPr="009322DA">
              <w:rPr>
                <w:rFonts w:ascii="Verdana" w:hAnsi="Verdana" w:cs="Arial"/>
                <w:lang w:val="es-ES_tradnl" w:eastAsia="es-ES_tradnl"/>
              </w:rPr>
              <w:t xml:space="preserve">Respuesta a consulta con radicado No. </w:t>
            </w:r>
            <w:r w:rsidRPr="00F8120C">
              <w:rPr>
                <w:rFonts w:ascii="Verdana" w:hAnsi="Verdana"/>
                <w:lang w:eastAsia="es-ES_tradnl"/>
              </w:rPr>
              <w:t>1_2025_10_02_010950</w:t>
            </w:r>
          </w:p>
        </w:tc>
      </w:tr>
    </w:tbl>
    <w:p w14:paraId="39A9B147" w14:textId="77777777" w:rsidR="008F0E9A" w:rsidRPr="009322DA" w:rsidRDefault="008F0E9A" w:rsidP="008F0E9A">
      <w:pPr>
        <w:spacing w:after="0" w:line="240" w:lineRule="auto"/>
        <w:jc w:val="both"/>
        <w:rPr>
          <w:rFonts w:ascii="Verdana" w:eastAsia="Calibri" w:hAnsi="Verdana" w:cs="Arial"/>
          <w:lang w:val="es-ES_tradnl" w:eastAsia="es-ES_tradnl"/>
        </w:rPr>
      </w:pPr>
    </w:p>
    <w:p w14:paraId="3E02C084" w14:textId="77777777" w:rsidR="008F0E9A" w:rsidRPr="009322DA" w:rsidRDefault="008F0E9A" w:rsidP="008F0E9A">
      <w:pPr>
        <w:spacing w:after="0" w:line="240" w:lineRule="auto"/>
        <w:jc w:val="both"/>
        <w:rPr>
          <w:rFonts w:ascii="Verdana" w:eastAsia="Calibri" w:hAnsi="Verdana" w:cs="Arial"/>
          <w:lang w:val="es-ES_tradnl" w:eastAsia="es-ES_tradnl"/>
        </w:rPr>
      </w:pPr>
    </w:p>
    <w:p w14:paraId="0AA06BFC" w14:textId="77777777" w:rsidR="008F0E9A" w:rsidRPr="009322DA" w:rsidRDefault="008F0E9A" w:rsidP="008F0E9A">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Estimad</w:t>
      </w:r>
      <w:r>
        <w:rPr>
          <w:rFonts w:ascii="Verdana" w:eastAsia="Calibri" w:hAnsi="Verdana" w:cs="Arial"/>
          <w:lang w:val="es-ES" w:eastAsia="es-ES"/>
        </w:rPr>
        <w:t>o</w:t>
      </w:r>
      <w:r w:rsidRPr="009322DA">
        <w:rPr>
          <w:rFonts w:ascii="Verdana" w:eastAsia="Calibri" w:hAnsi="Verdana" w:cs="Arial"/>
          <w:lang w:val="es-ES" w:eastAsia="es-ES"/>
        </w:rPr>
        <w:t xml:space="preserve"> señor</w:t>
      </w:r>
      <w:r>
        <w:rPr>
          <w:rFonts w:ascii="Verdana" w:eastAsia="Calibri" w:hAnsi="Verdana" w:cs="Arial"/>
          <w:lang w:val="es-ES" w:eastAsia="es-ES"/>
        </w:rPr>
        <w:t xml:space="preserve"> Castro: </w:t>
      </w:r>
      <w:r w:rsidRPr="009322DA">
        <w:rPr>
          <w:rFonts w:ascii="Verdana" w:eastAsia="Calibri" w:hAnsi="Verdana" w:cs="Arial"/>
          <w:lang w:val="es-ES" w:eastAsia="es-ES"/>
        </w:rPr>
        <w:t xml:space="preserve"> </w:t>
      </w:r>
    </w:p>
    <w:p w14:paraId="475B68D4" w14:textId="77777777" w:rsidR="008F0E9A" w:rsidRPr="009322DA" w:rsidRDefault="008F0E9A" w:rsidP="008F0E9A">
      <w:pPr>
        <w:tabs>
          <w:tab w:val="left" w:pos="3768"/>
        </w:tabs>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ab/>
      </w:r>
    </w:p>
    <w:p w14:paraId="18D17565" w14:textId="77777777" w:rsidR="008F0E9A" w:rsidRPr="009322DA" w:rsidRDefault="008F0E9A" w:rsidP="008F0E9A">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En ejercicio de la competencia otorgada por los artículos 3, numeral 5º, y 11, numeral 8º, del Decreto Ley 4170 de 2011,</w:t>
      </w:r>
      <w:r w:rsidRPr="009322DA">
        <w:rPr>
          <w:rFonts w:ascii="Verdana" w:eastAsia="Arial MT" w:hAnsi="Verdana" w:cs="Arial MT"/>
          <w:lang w:val="es-ES" w:eastAsia="es-ES"/>
        </w:rPr>
        <w:t xml:space="preserve"> </w:t>
      </w:r>
      <w:r w:rsidRPr="009322DA">
        <w:rPr>
          <w:rFonts w:ascii="Verdana" w:eastAsia="Calibri" w:hAnsi="Verdana" w:cs="Arial"/>
        </w:rPr>
        <w:t xml:space="preserve">así como lo establecido en el artículo 4 de la Resolución 1707 de 2018 expedida por esta Entidad, </w:t>
      </w:r>
      <w:r w:rsidRPr="009322DA">
        <w:rPr>
          <w:rFonts w:ascii="Verdana" w:eastAsia="Calibri" w:hAnsi="Verdana" w:cs="Arial"/>
          <w:lang w:val="es-ES" w:eastAsia="es-ES"/>
        </w:rPr>
        <w:t xml:space="preserve">la Agencia Nacional de Contratación Pública – Colombia Compra Eficiente– responde su solicitud de consulta de fecha de </w:t>
      </w:r>
      <w:r>
        <w:rPr>
          <w:rFonts w:ascii="Verdana" w:eastAsia="Calibri" w:hAnsi="Verdana" w:cs="Arial"/>
          <w:lang w:val="es-ES" w:eastAsia="es-ES"/>
        </w:rPr>
        <w:t>2 de octubre de 2025</w:t>
      </w:r>
      <w:r w:rsidRPr="009322DA">
        <w:rPr>
          <w:rFonts w:ascii="Verdana" w:eastAsia="Calibri" w:hAnsi="Verdana" w:cs="Arial"/>
          <w:lang w:val="es-ES" w:eastAsia="es-ES"/>
        </w:rPr>
        <w:t xml:space="preserve">, en la cual manifiesta lo siguiente: </w:t>
      </w:r>
    </w:p>
    <w:p w14:paraId="36915824" w14:textId="77777777" w:rsidR="008F0E9A" w:rsidRPr="009322DA" w:rsidRDefault="008F0E9A" w:rsidP="008F0E9A">
      <w:pPr>
        <w:spacing w:after="0" w:line="240" w:lineRule="auto"/>
        <w:ind w:left="709" w:right="709"/>
        <w:jc w:val="both"/>
        <w:rPr>
          <w:rFonts w:ascii="Verdana" w:eastAsia="Century Gothic" w:hAnsi="Verdana" w:cs="Century Gothic"/>
          <w:sz w:val="20"/>
          <w:szCs w:val="20"/>
          <w:lang w:val="es-ES"/>
        </w:rPr>
      </w:pPr>
      <w:bookmarkStart w:id="1" w:name="_Hlk95313578"/>
    </w:p>
    <w:p w14:paraId="00EF3C9E" w14:textId="77777777" w:rsidR="008F0E9A" w:rsidRDefault="008F0E9A" w:rsidP="008F0E9A">
      <w:pPr>
        <w:spacing w:line="240" w:lineRule="auto"/>
        <w:ind w:left="709" w:right="680"/>
        <w:jc w:val="both"/>
        <w:rPr>
          <w:rFonts w:ascii="Verdana" w:eastAsia="Century Gothic" w:hAnsi="Verdana" w:cs="Century Gothic"/>
          <w:sz w:val="20"/>
          <w:szCs w:val="20"/>
          <w:lang w:val="es-MX"/>
        </w:rPr>
      </w:pPr>
      <w:r w:rsidRPr="004D70FC">
        <w:rPr>
          <w:rFonts w:ascii="Verdana" w:eastAsia="Century Gothic" w:hAnsi="Verdana" w:cs="Century Gothic"/>
          <w:sz w:val="20"/>
          <w:szCs w:val="20"/>
          <w:lang w:val="es-ES"/>
        </w:rPr>
        <w:t>“</w:t>
      </w:r>
      <w:bookmarkEnd w:id="1"/>
      <w:r w:rsidRPr="00234D91">
        <w:rPr>
          <w:rFonts w:ascii="Verdana" w:eastAsia="Century Gothic" w:hAnsi="Verdana" w:cs="Century Gothic"/>
          <w:sz w:val="20"/>
          <w:szCs w:val="20"/>
          <w:lang w:val="es-MX"/>
        </w:rPr>
        <w:t>Por medio del presente quisiera solicitar si existe un instructivo o me pueden facilitar la información detallada de los términos de ley de cada una de las modalidades de contratación para realizar el cronograma es decir cuántos días para presentar</w:t>
      </w:r>
      <w:r w:rsidRPr="00005DF8">
        <w:rPr>
          <w:rFonts w:ascii="Verdana" w:eastAsia="Century Gothic" w:hAnsi="Verdana" w:cs="Century Gothic"/>
          <w:sz w:val="20"/>
          <w:szCs w:val="20"/>
          <w:lang w:val="es-MX"/>
        </w:rPr>
        <w:t xml:space="preserve"> ofertas a los cuantos días apertura </w:t>
      </w:r>
      <w:proofErr w:type="spellStart"/>
      <w:r w:rsidRPr="00005DF8">
        <w:rPr>
          <w:rFonts w:ascii="Verdana" w:eastAsia="Century Gothic" w:hAnsi="Verdana" w:cs="Century Gothic"/>
          <w:sz w:val="20"/>
          <w:szCs w:val="20"/>
          <w:lang w:val="es-MX"/>
        </w:rPr>
        <w:t>etc</w:t>
      </w:r>
      <w:proofErr w:type="spellEnd"/>
      <w:r>
        <w:rPr>
          <w:rFonts w:ascii="Verdana" w:eastAsia="Century Gothic" w:hAnsi="Verdana" w:cs="Century Gothic"/>
          <w:sz w:val="20"/>
          <w:szCs w:val="20"/>
          <w:lang w:val="es-MX"/>
        </w:rPr>
        <w:t>…</w:t>
      </w:r>
      <w:r w:rsidRPr="00005DF8">
        <w:rPr>
          <w:rFonts w:ascii="Verdana" w:eastAsia="Century Gothic" w:hAnsi="Verdana" w:cs="Century Gothic"/>
          <w:sz w:val="20"/>
          <w:szCs w:val="20"/>
          <w:lang w:val="es-MX"/>
        </w:rPr>
        <w:t xml:space="preserve"> </w:t>
      </w:r>
    </w:p>
    <w:p w14:paraId="74F51D36" w14:textId="77777777" w:rsidR="008F0E9A" w:rsidRPr="004D70FC" w:rsidRDefault="008F0E9A" w:rsidP="008F0E9A">
      <w:pPr>
        <w:spacing w:line="240" w:lineRule="auto"/>
        <w:ind w:left="709" w:right="680"/>
        <w:jc w:val="both"/>
        <w:rPr>
          <w:rFonts w:ascii="Verdana" w:eastAsia="Century Gothic" w:hAnsi="Verdana" w:cs="Century Gothic"/>
          <w:b/>
          <w:bCs/>
          <w:sz w:val="20"/>
          <w:szCs w:val="20"/>
          <w:lang w:val="es-ES"/>
        </w:rPr>
      </w:pPr>
      <w:r w:rsidRPr="00005DF8">
        <w:rPr>
          <w:rFonts w:ascii="Verdana" w:eastAsia="Century Gothic" w:hAnsi="Verdana" w:cs="Century Gothic"/>
          <w:sz w:val="20"/>
          <w:szCs w:val="20"/>
          <w:lang w:val="es-MX"/>
        </w:rPr>
        <w:t>lo anterior que no tengo claro los términos de ley para las distintas modalidades y su respectivo cronograma</w:t>
      </w:r>
      <w:r>
        <w:rPr>
          <w:rFonts w:ascii="Verdana" w:eastAsia="Century Gothic" w:hAnsi="Verdana" w:cs="Century Gothic"/>
          <w:sz w:val="20"/>
          <w:szCs w:val="20"/>
          <w:lang w:val="es-ES"/>
        </w:rPr>
        <w:t>.” [sic]</w:t>
      </w:r>
    </w:p>
    <w:p w14:paraId="7A6E9A13" w14:textId="77777777" w:rsidR="008F0E9A" w:rsidRPr="009322DA" w:rsidRDefault="008F0E9A" w:rsidP="008F0E9A">
      <w:pPr>
        <w:spacing w:after="120" w:line="276" w:lineRule="auto"/>
        <w:ind w:firstLine="709"/>
        <w:jc w:val="both"/>
        <w:rPr>
          <w:rFonts w:ascii="Verdana" w:eastAsia="Calibri" w:hAnsi="Verdana" w:cs="Arial"/>
          <w:szCs w:val="24"/>
          <w:lang w:val="es-ES_tradnl" w:eastAsia="es-ES_tradnl"/>
        </w:rPr>
      </w:pPr>
      <w:r w:rsidRPr="009322DA">
        <w:rPr>
          <w:rFonts w:ascii="Verdana" w:eastAsia="Calibri" w:hAnsi="Verdana" w:cs="Arial"/>
          <w:lang w:val="es-ES" w:eastAsia="es-ES"/>
        </w:rPr>
        <w:lastRenderedPageBreak/>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0019C138" w14:textId="77777777" w:rsidR="008F0E9A" w:rsidRPr="009322DA" w:rsidRDefault="008F0E9A" w:rsidP="008F0E9A">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7162DA0" w14:textId="77777777" w:rsidR="008F0E9A" w:rsidRPr="009322DA" w:rsidRDefault="008F0E9A" w:rsidP="008F0E9A">
      <w:pPr>
        <w:spacing w:after="0" w:line="276" w:lineRule="auto"/>
        <w:ind w:firstLine="709"/>
        <w:jc w:val="both"/>
        <w:rPr>
          <w:rFonts w:ascii="Verdana" w:eastAsia="Calibri" w:hAnsi="Verdana" w:cs="Arial"/>
          <w:lang w:val="es-ES" w:eastAsia="es-ES"/>
        </w:rPr>
      </w:pPr>
    </w:p>
    <w:p w14:paraId="28E13A61" w14:textId="77777777" w:rsidR="008F0E9A" w:rsidRPr="009322DA" w:rsidRDefault="008F0E9A" w:rsidP="008F0E9A">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Problema planteado:</w:t>
      </w:r>
    </w:p>
    <w:p w14:paraId="6389680A" w14:textId="77777777" w:rsidR="008F0E9A" w:rsidRPr="009322DA" w:rsidRDefault="008F0E9A" w:rsidP="008F0E9A">
      <w:pPr>
        <w:tabs>
          <w:tab w:val="left" w:pos="426"/>
        </w:tabs>
        <w:spacing w:after="0" w:line="276" w:lineRule="auto"/>
        <w:jc w:val="both"/>
        <w:rPr>
          <w:rFonts w:ascii="Verdana" w:eastAsia="Century Gothic" w:hAnsi="Verdana" w:cs="Century Gothic"/>
          <w:lang w:val="es-ES"/>
        </w:rPr>
      </w:pPr>
    </w:p>
    <w:p w14:paraId="29692871" w14:textId="77777777" w:rsidR="008F0E9A" w:rsidRPr="009322DA" w:rsidRDefault="008F0E9A" w:rsidP="008F0E9A">
      <w:pPr>
        <w:spacing w:after="0" w:line="276" w:lineRule="auto"/>
        <w:jc w:val="both"/>
        <w:rPr>
          <w:rFonts w:ascii="Verdana" w:eastAsia="Century Gothic" w:hAnsi="Verdana" w:cs="Century Gothic"/>
        </w:rPr>
      </w:pPr>
      <w:r w:rsidRPr="3278CCE9">
        <w:rPr>
          <w:rFonts w:ascii="Verdana" w:eastAsia="Century Gothic" w:hAnsi="Verdana" w:cs="Century Gothic"/>
        </w:rPr>
        <w:t>De acuerdo con el contenido de su solicitud, esta Agencia resolverá los siguientes problemas jurídicos</w:t>
      </w:r>
      <w:r w:rsidRPr="003F32BE">
        <w:rPr>
          <w:rFonts w:ascii="Verdana" w:eastAsia="Century Gothic" w:hAnsi="Verdana" w:cs="Century Gothic"/>
        </w:rPr>
        <w:t xml:space="preserve">: </w:t>
      </w:r>
      <w:r w:rsidRPr="009A07F1">
        <w:rPr>
          <w:rFonts w:ascii="Verdana" w:eastAsia="Century Gothic" w:hAnsi="Verdana" w:cs="Century Gothic"/>
        </w:rPr>
        <w:t xml:space="preserve">¿Existe </w:t>
      </w:r>
      <w:r w:rsidRPr="009A07F1">
        <w:rPr>
          <w:rFonts w:ascii="Verdana" w:eastAsia="Century Gothic" w:hAnsi="Verdana" w:cs="Century Gothic"/>
          <w:lang w:val="es-MX"/>
        </w:rPr>
        <w:t>normativa en la cual se establezcan tiempos mínimos en el desarrollo del cronograma de los procesos de contratación en sus diferentes modalidades</w:t>
      </w:r>
      <w:r w:rsidRPr="009A07F1">
        <w:rPr>
          <w:rFonts w:ascii="Verdana" w:eastAsia="Century Gothic" w:hAnsi="Verdana" w:cs="Century Gothic"/>
        </w:rPr>
        <w:t>?</w:t>
      </w:r>
    </w:p>
    <w:p w14:paraId="4241449A" w14:textId="77777777" w:rsidR="008F0E9A" w:rsidRPr="009322DA" w:rsidRDefault="008F0E9A" w:rsidP="008F0E9A">
      <w:pPr>
        <w:spacing w:after="0" w:line="276" w:lineRule="auto"/>
        <w:jc w:val="both"/>
        <w:rPr>
          <w:rFonts w:ascii="Verdana" w:eastAsia="Calibri" w:hAnsi="Verdana" w:cs="Arial"/>
          <w:lang w:val="es-ES"/>
        </w:rPr>
      </w:pPr>
    </w:p>
    <w:p w14:paraId="5CF1A1B5" w14:textId="77777777" w:rsidR="008F0E9A" w:rsidRPr="009322DA" w:rsidRDefault="008F0E9A" w:rsidP="008F0E9A">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3278CCE9">
        <w:rPr>
          <w:rFonts w:ascii="Verdana" w:eastAsia="Century Gothic" w:hAnsi="Verdana" w:cs="Century Gothic"/>
          <w:b/>
          <w:bCs/>
          <w:lang w:val="es-ES"/>
        </w:rPr>
        <w:t>Respuesta:</w:t>
      </w: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F0E9A" w:rsidRPr="009322DA" w14:paraId="13D2CD67" w14:textId="77777777" w:rsidTr="000525F8">
        <w:tc>
          <w:tcPr>
            <w:tcW w:w="8828" w:type="dxa"/>
            <w:tcBorders>
              <w:top w:val="dotted" w:sz="4" w:space="0" w:color="auto"/>
              <w:left w:val="dotted" w:sz="4" w:space="0" w:color="auto"/>
              <w:bottom w:val="dotted" w:sz="4" w:space="0" w:color="auto"/>
              <w:right w:val="dotted" w:sz="4" w:space="0" w:color="auto"/>
            </w:tcBorders>
          </w:tcPr>
          <w:p w14:paraId="3CD58DD2" w14:textId="7601C6D4" w:rsidR="008F0E9A" w:rsidRDefault="008F0E9A" w:rsidP="000525F8">
            <w:pPr>
              <w:spacing w:before="120" w:after="120" w:line="276" w:lineRule="auto"/>
              <w:jc w:val="both"/>
              <w:rPr>
                <w:rFonts w:ascii="Verdana" w:eastAsia="Calibri" w:hAnsi="Verdana" w:cs="Arial"/>
              </w:rPr>
            </w:pPr>
            <w:r>
              <w:rPr>
                <w:rFonts w:ascii="Verdana" w:eastAsia="Times New Roman" w:hAnsi="Verdana" w:cs="Arial"/>
                <w:color w:val="000000" w:themeColor="text1"/>
              </w:rPr>
              <w:t xml:space="preserve">En </w:t>
            </w:r>
            <w:r>
              <w:rPr>
                <w:rFonts w:ascii="Verdana" w:eastAsia="Calibri" w:hAnsi="Verdana" w:cs="Arial"/>
              </w:rPr>
              <w:t xml:space="preserve">el ordenamiento jurídico colombiano no existe </w:t>
            </w:r>
            <w:r w:rsidRPr="00AE7FEF">
              <w:rPr>
                <w:rFonts w:ascii="Verdana" w:eastAsia="Calibri" w:hAnsi="Verdana" w:cs="Arial"/>
              </w:rPr>
              <w:t xml:space="preserve">una norma única que establezca tiempos mínimos uniformes para el desarrollo </w:t>
            </w:r>
            <w:r>
              <w:rPr>
                <w:rFonts w:ascii="Verdana" w:eastAsia="Calibri" w:hAnsi="Verdana" w:cs="Arial"/>
              </w:rPr>
              <w:t xml:space="preserve">de cada una de las etapas </w:t>
            </w:r>
            <w:r w:rsidR="00CB09E2">
              <w:rPr>
                <w:rFonts w:ascii="Verdana" w:eastAsia="Calibri" w:hAnsi="Verdana" w:cs="Arial"/>
              </w:rPr>
              <w:t>del proceso de selección</w:t>
            </w:r>
            <w:r w:rsidR="00732E73">
              <w:rPr>
                <w:rFonts w:ascii="Verdana" w:eastAsia="Calibri" w:hAnsi="Verdana" w:cs="Arial"/>
              </w:rPr>
              <w:t xml:space="preserve"> ni la manera de establecer la totalidad </w:t>
            </w:r>
            <w:proofErr w:type="gramStart"/>
            <w:r w:rsidR="00732E73">
              <w:rPr>
                <w:rFonts w:ascii="Verdana" w:eastAsia="Calibri" w:hAnsi="Verdana" w:cs="Arial"/>
              </w:rPr>
              <w:t xml:space="preserve">del </w:t>
            </w:r>
            <w:r>
              <w:rPr>
                <w:rFonts w:ascii="Verdana" w:eastAsia="Calibri" w:hAnsi="Verdana" w:cs="Arial"/>
              </w:rPr>
              <w:t xml:space="preserve"> </w:t>
            </w:r>
            <w:r w:rsidRPr="00AE7FEF">
              <w:rPr>
                <w:rFonts w:ascii="Verdana" w:eastAsia="Calibri" w:hAnsi="Verdana" w:cs="Arial"/>
              </w:rPr>
              <w:t>cronograma</w:t>
            </w:r>
            <w:proofErr w:type="gramEnd"/>
            <w:r w:rsidRPr="00AE7FEF">
              <w:rPr>
                <w:rFonts w:ascii="Verdana" w:eastAsia="Calibri" w:hAnsi="Verdana" w:cs="Arial"/>
              </w:rPr>
              <w:t xml:space="preserve"> en todas las modalidades de contratación</w:t>
            </w:r>
            <w:r>
              <w:rPr>
                <w:rFonts w:ascii="Verdana" w:eastAsia="Calibri" w:hAnsi="Verdana" w:cs="Arial"/>
              </w:rPr>
              <w:t xml:space="preserve"> señaladas en la Ley 1150 de 2007</w:t>
            </w:r>
            <w:r w:rsidRPr="00AE7FEF">
              <w:rPr>
                <w:rFonts w:ascii="Verdana" w:eastAsia="Calibri" w:hAnsi="Verdana" w:cs="Arial"/>
              </w:rPr>
              <w:t>, pero sí hay disposiciones normativas que fijan plazos mínimos específicos para ciertas etapas del proceso, dependiendo de la modalidad de selección.</w:t>
            </w:r>
            <w:r>
              <w:rPr>
                <w:rFonts w:ascii="Verdana" w:eastAsia="Calibri" w:hAnsi="Verdana" w:cs="Arial"/>
              </w:rPr>
              <w:t xml:space="preserve"> </w:t>
            </w:r>
          </w:p>
          <w:p w14:paraId="67AE8ECC" w14:textId="77777777" w:rsidR="008F0E9A" w:rsidRDefault="008F0E9A" w:rsidP="000525F8">
            <w:pPr>
              <w:spacing w:before="120" w:after="120" w:line="276" w:lineRule="auto"/>
              <w:ind w:firstLine="709"/>
              <w:jc w:val="both"/>
              <w:rPr>
                <w:rFonts w:ascii="Verdana" w:eastAsia="Calibri" w:hAnsi="Verdana" w:cs="Arial"/>
                <w:lang w:val="es-MX"/>
              </w:rPr>
            </w:pPr>
            <w:r w:rsidRPr="00E865D5">
              <w:rPr>
                <w:rFonts w:ascii="Verdana" w:eastAsia="Calibri" w:hAnsi="Verdana" w:cs="Arial"/>
              </w:rPr>
              <w:t xml:space="preserve">A continuación, se presentan algunos de los plazos establecidos para las distintas modalidades de selección, los cuales constituyen referentes </w:t>
            </w:r>
            <w:r w:rsidRPr="00E865D5">
              <w:rPr>
                <w:rFonts w:ascii="Verdana" w:eastAsia="Calibri" w:hAnsi="Verdana" w:cs="Arial"/>
              </w:rPr>
              <w:lastRenderedPageBreak/>
              <w:t>normativos relevantes dentro del sistema de compra pública. Estos plazos han sido definidos en disposiciones específicas que, según el caso, regulan etapas puntuales del proceso de contratación. Entre ellos se destacan, por ejemplo:</w:t>
            </w:r>
            <w:r w:rsidRPr="001B4B10">
              <w:rPr>
                <w:rFonts w:ascii="Verdana" w:eastAsia="Calibri" w:hAnsi="Verdana" w:cs="Arial"/>
                <w:lang w:val="es-MX"/>
              </w:rPr>
              <w:t xml:space="preserve"> </w:t>
            </w:r>
          </w:p>
          <w:p w14:paraId="2EA91C53" w14:textId="77777777" w:rsidR="008F0E9A" w:rsidRDefault="008F0E9A" w:rsidP="008F0E9A">
            <w:pPr>
              <w:pStyle w:val="Prrafodelista"/>
              <w:numPr>
                <w:ilvl w:val="0"/>
                <w:numId w:val="18"/>
              </w:numPr>
              <w:spacing w:before="120" w:after="120" w:line="276" w:lineRule="auto"/>
              <w:ind w:left="709" w:firstLine="0"/>
              <w:jc w:val="both"/>
              <w:rPr>
                <w:rFonts w:ascii="Verdana" w:eastAsia="Calibri" w:hAnsi="Verdana" w:cs="Arial"/>
              </w:rPr>
            </w:pPr>
            <w:r>
              <w:rPr>
                <w:rFonts w:ascii="Verdana" w:eastAsia="Calibri" w:hAnsi="Verdana" w:cs="Arial"/>
                <w:lang w:val="es-MX"/>
              </w:rPr>
              <w:t xml:space="preserve"> </w:t>
            </w:r>
            <w:r w:rsidRPr="009A07F1">
              <w:rPr>
                <w:rFonts w:ascii="Verdana" w:eastAsia="Calibri" w:hAnsi="Verdana" w:cs="Arial"/>
                <w:lang w:val="es-MX"/>
              </w:rPr>
              <w:t>Para el caso de los avisos en la licitación pública, el numeral tercero del artículo 30 de la ley 80 de 1993 señala, que d</w:t>
            </w:r>
            <w:r w:rsidRPr="009A07F1">
              <w:rPr>
                <w:rFonts w:ascii="Verdana" w:eastAsia="Calibri" w:hAnsi="Verdana" w:cs="Arial"/>
              </w:rPr>
              <w:t>entro de los diez (10) a veinte (20) días calendario anteriores a la apertura de la licitación se publicarán hasta tres (3) avisos con intervalos entre dos (2) y cinco (5) días calendario, según lo exija la naturaleza, objeto y cuantía del contrato, en la página Web de la entidad contratante y en el Sistema Electrónico para la Contratación Pública -SECOP. </w:t>
            </w:r>
          </w:p>
          <w:p w14:paraId="28B06B6E" w14:textId="77777777" w:rsidR="008F0E9A" w:rsidRDefault="008F0E9A" w:rsidP="000525F8">
            <w:pPr>
              <w:pStyle w:val="Prrafodelista"/>
              <w:spacing w:before="120" w:after="120" w:line="276" w:lineRule="auto"/>
              <w:ind w:left="709"/>
              <w:jc w:val="both"/>
              <w:rPr>
                <w:rFonts w:ascii="Verdana" w:eastAsia="Calibri" w:hAnsi="Verdana" w:cs="Arial"/>
              </w:rPr>
            </w:pPr>
          </w:p>
          <w:p w14:paraId="1316152F" w14:textId="77777777" w:rsidR="008F0E9A" w:rsidRPr="009A07F1" w:rsidRDefault="008F0E9A" w:rsidP="008F0E9A">
            <w:pPr>
              <w:pStyle w:val="Prrafodelista"/>
              <w:numPr>
                <w:ilvl w:val="0"/>
                <w:numId w:val="18"/>
              </w:numPr>
              <w:spacing w:before="120" w:after="120" w:line="276" w:lineRule="auto"/>
              <w:ind w:left="709" w:firstLine="0"/>
              <w:jc w:val="both"/>
              <w:rPr>
                <w:rFonts w:ascii="Verdana" w:eastAsia="Calibri" w:hAnsi="Verdana" w:cs="Arial"/>
              </w:rPr>
            </w:pPr>
            <w:r>
              <w:rPr>
                <w:rFonts w:ascii="Verdana" w:eastAsia="Calibri" w:hAnsi="Verdana" w:cs="Arial"/>
                <w:lang w:val="es-MX"/>
              </w:rPr>
              <w:t xml:space="preserve"> Respecto de l</w:t>
            </w:r>
            <w:r w:rsidRPr="009A07F1">
              <w:rPr>
                <w:rFonts w:ascii="Verdana" w:eastAsia="Calibri" w:hAnsi="Verdana" w:cs="Arial"/>
                <w:lang w:val="es-MX"/>
              </w:rPr>
              <w:t>as observaciones al proyecto de pliego de condiciones se podrán presentar durante un término de diez (10) días hábiles en la licitación pública y durante el término de cinco (5) días hábiles en la selección abreviada y el concurso de méritos</w:t>
            </w:r>
            <w:r>
              <w:rPr>
                <w:rStyle w:val="Refdenotaalpie"/>
                <w:rFonts w:ascii="Verdana" w:eastAsia="Calibri" w:hAnsi="Verdana" w:cs="Arial"/>
                <w:lang w:val="es-MX"/>
              </w:rPr>
              <w:footnoteReference w:id="1"/>
            </w:r>
            <w:r w:rsidRPr="009A07F1">
              <w:rPr>
                <w:rFonts w:ascii="Verdana" w:eastAsia="Calibri" w:hAnsi="Verdana" w:cs="Arial"/>
                <w:lang w:val="es-MX"/>
              </w:rPr>
              <w:t xml:space="preserve">. </w:t>
            </w:r>
          </w:p>
          <w:p w14:paraId="513764B8" w14:textId="77777777" w:rsidR="008F0E9A" w:rsidRPr="009A07F1" w:rsidRDefault="008F0E9A" w:rsidP="000525F8">
            <w:pPr>
              <w:pStyle w:val="Prrafodelista"/>
              <w:spacing w:before="120" w:after="120" w:line="276" w:lineRule="auto"/>
              <w:ind w:left="709"/>
              <w:jc w:val="both"/>
              <w:rPr>
                <w:rFonts w:ascii="Verdana" w:eastAsia="Calibri" w:hAnsi="Verdana" w:cs="Arial"/>
              </w:rPr>
            </w:pPr>
          </w:p>
          <w:p w14:paraId="551FCCF8" w14:textId="77777777" w:rsidR="008F0E9A" w:rsidRPr="009A07F1" w:rsidRDefault="008F0E9A" w:rsidP="008F0E9A">
            <w:pPr>
              <w:pStyle w:val="Prrafodelista"/>
              <w:numPr>
                <w:ilvl w:val="0"/>
                <w:numId w:val="18"/>
              </w:numPr>
              <w:spacing w:before="120" w:after="120" w:line="276" w:lineRule="auto"/>
              <w:ind w:left="709" w:firstLine="0"/>
              <w:jc w:val="both"/>
              <w:rPr>
                <w:rFonts w:ascii="Verdana" w:eastAsia="Calibri" w:hAnsi="Verdana" w:cs="Arial"/>
              </w:rPr>
            </w:pPr>
            <w:r>
              <w:rPr>
                <w:rFonts w:ascii="Verdana" w:eastAsia="Calibri" w:hAnsi="Verdana" w:cs="Arial"/>
                <w:lang w:val="es-MX"/>
              </w:rPr>
              <w:t xml:space="preserve"> En cuanto a la p</w:t>
            </w:r>
            <w:r w:rsidRPr="009A07F1">
              <w:rPr>
                <w:rFonts w:ascii="Verdana" w:eastAsia="Calibri" w:hAnsi="Verdana" w:cs="Arial"/>
                <w:lang w:val="es-MX"/>
              </w:rPr>
              <w:t>ublicación de adendas</w:t>
            </w:r>
            <w:r>
              <w:rPr>
                <w:rFonts w:ascii="Verdana" w:eastAsia="Calibri" w:hAnsi="Verdana" w:cs="Arial"/>
                <w:lang w:val="es-MX"/>
              </w:rPr>
              <w:t>, deben realizarse</w:t>
            </w:r>
            <w:r w:rsidRPr="009A07F1">
              <w:rPr>
                <w:rFonts w:ascii="Verdana" w:eastAsia="Calibri" w:hAnsi="Verdana" w:cs="Arial"/>
                <w:lang w:val="es-MX"/>
              </w:rPr>
              <w:t xml:space="preserve"> en los días hábiles entre las 7:00 am y 7:00 pm</w:t>
            </w:r>
            <w:r>
              <w:rPr>
                <w:rFonts w:ascii="Verdana" w:eastAsia="Calibri" w:hAnsi="Verdana" w:cs="Arial"/>
                <w:lang w:val="es-MX"/>
              </w:rPr>
              <w:t>,</w:t>
            </w:r>
            <w:r w:rsidRPr="009A07F1">
              <w:rPr>
                <w:rFonts w:ascii="Verdana" w:eastAsia="Calibri" w:hAnsi="Verdana" w:cs="Arial"/>
                <w:lang w:val="es-MX"/>
              </w:rPr>
              <w:t xml:space="preserve"> </w:t>
            </w:r>
            <w:r w:rsidRPr="009A07F1">
              <w:rPr>
                <w:rFonts w:ascii="Verdana" w:eastAsia="Calibri" w:hAnsi="Verdana" w:cs="Arial"/>
              </w:rPr>
              <w:t>a más tardar el día hábil anterior al vencimiento del plazo para presentar ofertas a la hora fijada para tal presentación, salvo en la licitación pública pues de conformidad con la ley la publicación debe hacerse con tres (3) días de anticipación</w:t>
            </w:r>
            <w:r>
              <w:rPr>
                <w:rStyle w:val="Refdenotaalpie"/>
                <w:rFonts w:ascii="Verdana" w:eastAsia="Calibri" w:hAnsi="Verdana" w:cs="Arial"/>
              </w:rPr>
              <w:footnoteReference w:id="2"/>
            </w:r>
            <w:r w:rsidRPr="009A07F1">
              <w:rPr>
                <w:rFonts w:ascii="Verdana" w:eastAsia="Calibri" w:hAnsi="Verdana" w:cs="Arial"/>
                <w:lang w:val="es-MX"/>
              </w:rPr>
              <w:t xml:space="preserve">. </w:t>
            </w:r>
            <w:r>
              <w:rPr>
                <w:rFonts w:ascii="Verdana" w:eastAsia="Calibri" w:hAnsi="Verdana" w:cs="Arial"/>
                <w:lang w:val="es-MX"/>
              </w:rPr>
              <w:t>E</w:t>
            </w:r>
            <w:r w:rsidRPr="009A07F1">
              <w:rPr>
                <w:rFonts w:ascii="Verdana" w:eastAsia="Calibri" w:hAnsi="Verdana" w:cs="Arial"/>
              </w:rPr>
              <w:t>l artículo 2.2.1.1.2.2.1 del Decreto 1082 de 2015, reglamenta la posibilidad que tienen las entidades de modificar los pliegos de condiciones a través de adendas. Al respecto señala la norma:</w:t>
            </w:r>
          </w:p>
          <w:p w14:paraId="40073609" w14:textId="77777777" w:rsidR="008F0E9A" w:rsidRPr="00EB3000" w:rsidRDefault="008F0E9A" w:rsidP="000525F8">
            <w:pPr>
              <w:pStyle w:val="Prrafodelista"/>
              <w:jc w:val="both"/>
              <w:rPr>
                <w:rFonts w:ascii="Verdana" w:eastAsia="Calibri" w:hAnsi="Verdana" w:cs="Arial"/>
              </w:rPr>
            </w:pPr>
          </w:p>
          <w:p w14:paraId="6FB0DF58" w14:textId="77777777" w:rsidR="008F0E9A" w:rsidRPr="00EB3000" w:rsidRDefault="008F0E9A" w:rsidP="000525F8">
            <w:pPr>
              <w:pStyle w:val="Prrafodelista"/>
              <w:ind w:left="1416"/>
              <w:jc w:val="both"/>
              <w:rPr>
                <w:rFonts w:ascii="Verdana" w:eastAsia="Calibri" w:hAnsi="Verdana" w:cs="Arial"/>
                <w:sz w:val="20"/>
                <w:szCs w:val="20"/>
              </w:rPr>
            </w:pPr>
            <w:r w:rsidRPr="00EB3000">
              <w:rPr>
                <w:rFonts w:ascii="Verdana" w:eastAsia="Calibri" w:hAnsi="Verdana" w:cs="Arial"/>
                <w:sz w:val="20"/>
                <w:szCs w:val="20"/>
              </w:rPr>
              <w:t>“Artículo 2.2.1.1.2.2.1. Modificación de los pliegos de condiciones. La Entidad Estatal puede modificar los pliegos de condiciones a través de Adendas expedidas antes del vencimiento del plazo para presentar ofertas.</w:t>
            </w:r>
          </w:p>
          <w:p w14:paraId="6F751845" w14:textId="77777777" w:rsidR="008F0E9A" w:rsidRPr="00EB3000" w:rsidRDefault="008F0E9A" w:rsidP="000525F8">
            <w:pPr>
              <w:pStyle w:val="Prrafodelista"/>
              <w:jc w:val="both"/>
              <w:rPr>
                <w:rFonts w:ascii="Verdana" w:eastAsia="Calibri" w:hAnsi="Verdana" w:cs="Arial"/>
                <w:sz w:val="20"/>
                <w:szCs w:val="20"/>
              </w:rPr>
            </w:pPr>
          </w:p>
          <w:p w14:paraId="7A30FF15" w14:textId="77777777" w:rsidR="008F0E9A" w:rsidRPr="00EB3000" w:rsidRDefault="008F0E9A" w:rsidP="000525F8">
            <w:pPr>
              <w:pStyle w:val="Prrafodelista"/>
              <w:ind w:left="1416"/>
              <w:jc w:val="both"/>
              <w:rPr>
                <w:rFonts w:ascii="Verdana" w:eastAsia="Calibri" w:hAnsi="Verdana" w:cs="Arial"/>
                <w:sz w:val="20"/>
                <w:szCs w:val="20"/>
              </w:rPr>
            </w:pPr>
            <w:r w:rsidRPr="00EB3000">
              <w:rPr>
                <w:rFonts w:ascii="Verdana" w:eastAsia="Calibri" w:hAnsi="Verdana" w:cs="Arial"/>
                <w:sz w:val="20"/>
                <w:szCs w:val="20"/>
              </w:rPr>
              <w:t>La Entidad Estatal puede expedir Adendas para modificar el Cronograma una vez vencido el término para la presentación de las ofertas y antes de la adjudicación del contrato.</w:t>
            </w:r>
          </w:p>
          <w:p w14:paraId="44B6B7BF" w14:textId="77777777" w:rsidR="008F0E9A" w:rsidRPr="00EB3000" w:rsidRDefault="008F0E9A" w:rsidP="000525F8">
            <w:pPr>
              <w:pStyle w:val="Prrafodelista"/>
              <w:jc w:val="both"/>
              <w:rPr>
                <w:rFonts w:ascii="Verdana" w:eastAsia="Calibri" w:hAnsi="Verdana" w:cs="Arial"/>
                <w:sz w:val="20"/>
                <w:szCs w:val="20"/>
              </w:rPr>
            </w:pPr>
          </w:p>
          <w:p w14:paraId="30B4029D" w14:textId="77777777" w:rsidR="008F0E9A" w:rsidRDefault="008F0E9A" w:rsidP="000525F8">
            <w:pPr>
              <w:pStyle w:val="Prrafodelista"/>
              <w:ind w:left="1416"/>
              <w:jc w:val="both"/>
              <w:rPr>
                <w:rFonts w:ascii="Verdana" w:eastAsia="Calibri" w:hAnsi="Verdana" w:cs="Arial"/>
                <w:sz w:val="20"/>
                <w:szCs w:val="20"/>
              </w:rPr>
            </w:pPr>
            <w:r w:rsidRPr="00EB3000">
              <w:rPr>
                <w:rFonts w:ascii="Verdana" w:eastAsia="Calibri" w:hAnsi="Verdana" w:cs="Arial"/>
                <w:sz w:val="20"/>
                <w:szCs w:val="20"/>
              </w:rPr>
              <w:t xml:space="preserve">La Entidad Estatal debe publicar las Adendas en los días hábiles, entre las 7:00 a.m. y las 7:00 p. m., a más tardar el día hábil anterior al </w:t>
            </w:r>
            <w:r w:rsidRPr="00EB3000">
              <w:rPr>
                <w:rFonts w:ascii="Verdana" w:eastAsia="Calibri" w:hAnsi="Verdana" w:cs="Arial"/>
                <w:sz w:val="20"/>
                <w:szCs w:val="20"/>
              </w:rPr>
              <w:lastRenderedPageBreak/>
              <w:t>vencimiento del plazo para presentar ofertas a la hora fijada para tal presentación, salvo en la licitación pública pues de conformidad con la ley la publicación debe hacerse con tres (3) días de anticipación”.</w:t>
            </w:r>
          </w:p>
          <w:p w14:paraId="04D50DEA" w14:textId="77777777" w:rsidR="008F0E9A" w:rsidRDefault="008F0E9A" w:rsidP="000525F8">
            <w:pPr>
              <w:pStyle w:val="Prrafodelista"/>
              <w:ind w:left="1416"/>
              <w:jc w:val="both"/>
              <w:rPr>
                <w:rFonts w:ascii="Verdana" w:eastAsia="Calibri" w:hAnsi="Verdana" w:cs="Arial"/>
                <w:sz w:val="20"/>
                <w:szCs w:val="20"/>
              </w:rPr>
            </w:pPr>
          </w:p>
          <w:p w14:paraId="7C838B6B" w14:textId="77777777" w:rsidR="008F0E9A" w:rsidRDefault="008F0E9A" w:rsidP="000525F8">
            <w:pPr>
              <w:pStyle w:val="Prrafodelista"/>
              <w:jc w:val="both"/>
              <w:rPr>
                <w:rFonts w:ascii="Verdana" w:eastAsia="Calibri" w:hAnsi="Verdana" w:cs="Arial"/>
              </w:rPr>
            </w:pPr>
            <w:r w:rsidRPr="00EB3000">
              <w:rPr>
                <w:rFonts w:ascii="Verdana" w:eastAsia="Calibri" w:hAnsi="Verdana" w:cs="Arial"/>
              </w:rPr>
              <w:t>De lo anterior se observa que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la recepción de ofertas y antes de la adjudicación del contrato, en las que solo se permite modificar los plazos de las etapas siguientes.</w:t>
            </w:r>
          </w:p>
          <w:p w14:paraId="5D8877AA" w14:textId="77777777" w:rsidR="008F0E9A" w:rsidRDefault="008F0E9A" w:rsidP="000525F8">
            <w:pPr>
              <w:pStyle w:val="Prrafodelista"/>
              <w:jc w:val="both"/>
              <w:rPr>
                <w:rFonts w:ascii="Verdana" w:eastAsia="Calibri" w:hAnsi="Verdana" w:cs="Arial"/>
              </w:rPr>
            </w:pPr>
          </w:p>
          <w:p w14:paraId="57638EE5" w14:textId="77777777" w:rsidR="008F0E9A" w:rsidRDefault="008F0E9A" w:rsidP="008F0E9A">
            <w:pPr>
              <w:pStyle w:val="Prrafodelista"/>
              <w:numPr>
                <w:ilvl w:val="0"/>
                <w:numId w:val="18"/>
              </w:numPr>
              <w:spacing w:before="120" w:after="120" w:line="276" w:lineRule="auto"/>
              <w:ind w:left="709" w:firstLine="0"/>
              <w:jc w:val="both"/>
              <w:rPr>
                <w:rFonts w:ascii="Verdana" w:eastAsia="Calibri" w:hAnsi="Verdana" w:cs="Arial"/>
                <w:lang w:val="es-MX"/>
              </w:rPr>
            </w:pPr>
            <w:r>
              <w:rPr>
                <w:rFonts w:ascii="Verdana" w:eastAsia="Calibri" w:hAnsi="Verdana" w:cs="Arial"/>
                <w:lang w:val="es-MX"/>
              </w:rPr>
              <w:t xml:space="preserve"> </w:t>
            </w:r>
            <w:r w:rsidRPr="009A07F1">
              <w:rPr>
                <w:rFonts w:ascii="Verdana" w:eastAsia="Calibri" w:hAnsi="Verdana" w:cs="Arial"/>
                <w:lang w:val="es-MX"/>
              </w:rPr>
              <w:t xml:space="preserve">Respecto a la publicación del informe de evaluación, la entidad estatal debe publicar </w:t>
            </w:r>
            <w:r w:rsidRPr="00F46615">
              <w:rPr>
                <w:rFonts w:ascii="Verdana" w:eastAsia="Calibri" w:hAnsi="Verdana" w:cs="Arial"/>
                <w:lang w:val="es-CO"/>
              </w:rPr>
              <w:t>por un término de cinco (5) días hábiles para que los oferentes presenten las observaciones que estimen pertinentes</w:t>
            </w:r>
            <w:r>
              <w:rPr>
                <w:rFonts w:ascii="Verdana" w:eastAsia="Calibri" w:hAnsi="Verdana" w:cs="Arial"/>
                <w:lang w:val="es-CO"/>
              </w:rPr>
              <w:t xml:space="preserve"> en el caso de la licitación pública, el término será de</w:t>
            </w:r>
            <w:r w:rsidRPr="00F46615">
              <w:rPr>
                <w:rFonts w:ascii="Verdana" w:eastAsia="Calibri" w:hAnsi="Verdana" w:cs="Arial"/>
                <w:lang w:val="es-CO"/>
              </w:rPr>
              <w:t xml:space="preserve"> </w:t>
            </w:r>
            <w:r>
              <w:rPr>
                <w:rFonts w:ascii="Verdana" w:eastAsia="Calibri" w:hAnsi="Verdana" w:cs="Arial"/>
                <w:lang w:val="es-CO"/>
              </w:rPr>
              <w:t>tres (</w:t>
            </w:r>
            <w:r w:rsidRPr="00F46615">
              <w:rPr>
                <w:rFonts w:ascii="Verdana" w:eastAsia="Calibri" w:hAnsi="Verdana" w:cs="Arial"/>
                <w:lang w:val="es-CO"/>
              </w:rPr>
              <w:t>3</w:t>
            </w:r>
            <w:r>
              <w:rPr>
                <w:rFonts w:ascii="Verdana" w:eastAsia="Calibri" w:hAnsi="Verdana" w:cs="Arial"/>
                <w:lang w:val="es-CO"/>
              </w:rPr>
              <w:t>)</w:t>
            </w:r>
            <w:r w:rsidRPr="009A07F1">
              <w:rPr>
                <w:rFonts w:ascii="Verdana" w:eastAsia="Calibri" w:hAnsi="Verdana" w:cs="Arial"/>
                <w:lang w:val="es-MX"/>
              </w:rPr>
              <w:t xml:space="preserve"> días hábiles para la selección abreviada de menor cuantía y concurso de méritos; </w:t>
            </w:r>
            <w:r>
              <w:rPr>
                <w:rFonts w:ascii="Verdana" w:eastAsia="Calibri" w:hAnsi="Verdana" w:cs="Arial"/>
                <w:lang w:val="es-MX"/>
              </w:rPr>
              <w:t xml:space="preserve">y </w:t>
            </w:r>
            <w:r w:rsidRPr="009A07F1">
              <w:rPr>
                <w:rFonts w:ascii="Verdana" w:eastAsia="Calibri" w:hAnsi="Verdana" w:cs="Arial"/>
                <w:lang w:val="es-MX"/>
              </w:rPr>
              <w:t xml:space="preserve">en el caso de la mínima cuantía, el plazo será de un </w:t>
            </w:r>
            <w:r>
              <w:rPr>
                <w:rFonts w:ascii="Verdana" w:eastAsia="Calibri" w:hAnsi="Verdana" w:cs="Arial"/>
                <w:lang w:val="es-MX"/>
              </w:rPr>
              <w:t xml:space="preserve">(1) </w:t>
            </w:r>
            <w:r w:rsidRPr="009A07F1">
              <w:rPr>
                <w:rFonts w:ascii="Verdana" w:eastAsia="Calibri" w:hAnsi="Verdana" w:cs="Arial"/>
                <w:lang w:val="es-MX"/>
              </w:rPr>
              <w:t xml:space="preserve">día hábil. </w:t>
            </w:r>
          </w:p>
          <w:p w14:paraId="216DD4BD" w14:textId="77777777" w:rsidR="008F0E9A" w:rsidRDefault="008F0E9A" w:rsidP="000525F8">
            <w:pPr>
              <w:pStyle w:val="Prrafodelista"/>
              <w:spacing w:before="120" w:after="120" w:line="276" w:lineRule="auto"/>
              <w:ind w:left="709"/>
              <w:jc w:val="both"/>
              <w:rPr>
                <w:rFonts w:ascii="Verdana" w:eastAsia="Calibri" w:hAnsi="Verdana" w:cs="Arial"/>
                <w:lang w:val="es-MX"/>
              </w:rPr>
            </w:pPr>
          </w:p>
          <w:p w14:paraId="0D871F92" w14:textId="07C9D084" w:rsidR="008F0E9A" w:rsidRPr="009322DA" w:rsidRDefault="008F0E9A" w:rsidP="008F0E9A">
            <w:pPr>
              <w:pStyle w:val="Prrafodelista"/>
              <w:numPr>
                <w:ilvl w:val="0"/>
                <w:numId w:val="18"/>
              </w:numPr>
              <w:spacing w:before="120" w:after="120" w:line="276" w:lineRule="auto"/>
              <w:ind w:left="709" w:firstLine="0"/>
              <w:jc w:val="both"/>
              <w:rPr>
                <w:rFonts w:ascii="Verdana" w:eastAsia="Calibri" w:hAnsi="Verdana" w:cs="Arial"/>
              </w:rPr>
            </w:pPr>
            <w:r w:rsidRPr="00E55FF1">
              <w:rPr>
                <w:rFonts w:ascii="Verdana" w:eastAsia="Calibri" w:hAnsi="Verdana" w:cs="Arial"/>
                <w:lang w:val="es-MX"/>
              </w:rPr>
              <w:t xml:space="preserve"> </w:t>
            </w:r>
            <w:r w:rsidRPr="00E76454">
              <w:rPr>
                <w:rFonts w:ascii="Verdana" w:eastAsia="Calibri" w:hAnsi="Verdana" w:cs="Arial"/>
                <w:lang w:val="es-CO"/>
              </w:rPr>
              <w:t>Adicionalmente, en lo que concierne a la</w:t>
            </w:r>
            <w:r>
              <w:rPr>
                <w:rFonts w:ascii="Verdana" w:eastAsia="Calibri" w:hAnsi="Verdana" w:cs="Arial"/>
                <w:lang w:val="es-CO"/>
              </w:rPr>
              <w:t xml:space="preserve"> modalidad de</w:t>
            </w:r>
            <w:r w:rsidRPr="00E55FF1">
              <w:rPr>
                <w:rFonts w:ascii="Verdana" w:eastAsia="Calibri" w:hAnsi="Verdana" w:cs="Arial"/>
                <w:lang w:val="es-MX"/>
              </w:rPr>
              <w:t xml:space="preserve"> mínima cuantía</w:t>
            </w:r>
            <w:r>
              <w:rPr>
                <w:rFonts w:ascii="Verdana" w:eastAsia="Calibri" w:hAnsi="Verdana" w:cs="Arial"/>
                <w:lang w:val="es-MX"/>
              </w:rPr>
              <w:t>,</w:t>
            </w:r>
            <w:r w:rsidRPr="00E55FF1">
              <w:rPr>
                <w:rFonts w:ascii="Verdana" w:eastAsia="Calibri" w:hAnsi="Verdana" w:cs="Arial"/>
                <w:lang w:val="es-MX"/>
              </w:rPr>
              <w:t xml:space="preserve"> la invitación pública será publicada por un término no inferior a un (1) día hábil </w:t>
            </w:r>
            <w:r w:rsidRPr="00E55FF1">
              <w:rPr>
                <w:rFonts w:ascii="Verdana" w:eastAsia="Calibri" w:hAnsi="Verdana" w:cs="Arial"/>
              </w:rPr>
              <w:t xml:space="preserve">para que los interesados se informen de su contenido y formulen observaciones o comentarios, los cuales </w:t>
            </w:r>
            <w:proofErr w:type="gramStart"/>
            <w:r w:rsidRPr="00E55FF1">
              <w:rPr>
                <w:rFonts w:ascii="Verdana" w:eastAsia="Calibri" w:hAnsi="Verdana" w:cs="Arial"/>
              </w:rPr>
              <w:t xml:space="preserve">serán </w:t>
            </w:r>
            <w:r w:rsidR="795D557C" w:rsidRPr="5B60387E">
              <w:rPr>
                <w:rFonts w:ascii="Verdana" w:eastAsia="Calibri" w:hAnsi="Verdana" w:cs="Arial"/>
              </w:rPr>
              <w:t xml:space="preserve"> resueltos</w:t>
            </w:r>
            <w:proofErr w:type="gramEnd"/>
            <w:r w:rsidRPr="00E55FF1">
              <w:rPr>
                <w:rFonts w:ascii="Verdana" w:eastAsia="Calibri" w:hAnsi="Verdana" w:cs="Arial"/>
              </w:rPr>
              <w:t xml:space="preserve"> por la Entidad Estatal antes del inicio del plazo para presentar ofertas. De conformidad con el parágrafo del artículo</w:t>
            </w:r>
            <w:r w:rsidRPr="00E55FF1">
              <w:rPr>
                <w:rFonts w:ascii="Verdana" w:eastAsia="Calibri" w:hAnsi="Verdana" w:cs="Arial"/>
                <w:b/>
                <w:bCs/>
              </w:rPr>
              <w:t> </w:t>
            </w:r>
            <w:r w:rsidRPr="009A07F1">
              <w:rPr>
                <w:rFonts w:ascii="Verdana" w:eastAsia="Calibri" w:hAnsi="Verdana" w:cs="Arial"/>
              </w:rPr>
              <w:t>2.2.1.2.1.5.2.</w:t>
            </w:r>
            <w:r>
              <w:rPr>
                <w:rFonts w:ascii="Verdana" w:eastAsia="Calibri" w:hAnsi="Verdana" w:cs="Arial"/>
              </w:rPr>
              <w:t xml:space="preserve"> del Decreto 1082 de 2015.</w:t>
            </w:r>
            <w:r w:rsidRPr="00E55FF1">
              <w:rPr>
                <w:rFonts w:ascii="Verdana" w:eastAsia="Calibri" w:hAnsi="Verdana" w:cs="Arial"/>
              </w:rPr>
              <w:t xml:space="preserve"> Por otra parte, se dispondrá un término adicional dentro del cual los proponentes podrán presentar sus ofertas, el cual será de mínimo un (1) día hábil luego de publicado el aviso en que se informe si el proceso se limita o no a </w:t>
            </w:r>
            <w:proofErr w:type="spellStart"/>
            <w:r w:rsidRPr="00E55FF1">
              <w:rPr>
                <w:rFonts w:ascii="Verdana" w:eastAsia="Calibri" w:hAnsi="Verdana" w:cs="Arial"/>
              </w:rPr>
              <w:t>Mipymes</w:t>
            </w:r>
            <w:proofErr w:type="spellEnd"/>
            <w:r w:rsidRPr="00E55FF1">
              <w:rPr>
                <w:rFonts w:ascii="Verdana" w:eastAsia="Calibri" w:hAnsi="Verdana" w:cs="Arial"/>
              </w:rPr>
              <w:t>.</w:t>
            </w:r>
          </w:p>
        </w:tc>
      </w:tr>
    </w:tbl>
    <w:p w14:paraId="191EA616" w14:textId="77777777" w:rsidR="008F0E9A" w:rsidRPr="009322DA" w:rsidRDefault="008F0E9A" w:rsidP="008F0E9A">
      <w:pPr>
        <w:tabs>
          <w:tab w:val="left" w:pos="142"/>
          <w:tab w:val="left" w:pos="284"/>
        </w:tabs>
        <w:spacing w:after="0" w:line="276" w:lineRule="auto"/>
        <w:jc w:val="both"/>
        <w:rPr>
          <w:rFonts w:ascii="Verdana" w:eastAsia="Century Gothic" w:hAnsi="Verdana" w:cs="Century Gothic"/>
          <w:b/>
          <w:bCs/>
          <w:lang w:val="es-ES"/>
        </w:rPr>
      </w:pPr>
    </w:p>
    <w:p w14:paraId="47D66046" w14:textId="77777777" w:rsidR="008F0E9A" w:rsidRPr="009322DA" w:rsidRDefault="008F0E9A" w:rsidP="008F0E9A">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Razones de la respuesta:</w:t>
      </w:r>
    </w:p>
    <w:p w14:paraId="063845CF" w14:textId="77777777" w:rsidR="008F0E9A" w:rsidRPr="009322DA" w:rsidRDefault="008F0E9A" w:rsidP="008F0E9A">
      <w:pPr>
        <w:spacing w:after="0" w:line="276" w:lineRule="auto"/>
        <w:jc w:val="both"/>
        <w:rPr>
          <w:rFonts w:ascii="Verdana" w:eastAsia="Calibri" w:hAnsi="Verdana" w:cs="Arial"/>
          <w:lang w:val="es-ES"/>
        </w:rPr>
      </w:pPr>
    </w:p>
    <w:p w14:paraId="37DACAA6" w14:textId="77777777" w:rsidR="008F0E9A" w:rsidRDefault="008F0E9A" w:rsidP="008F0E9A">
      <w:pPr>
        <w:spacing w:after="0" w:line="276" w:lineRule="auto"/>
        <w:jc w:val="both"/>
        <w:rPr>
          <w:rFonts w:ascii="Verdana" w:eastAsia="Calibri" w:hAnsi="Verdana" w:cs="Arial"/>
          <w:lang w:val="es-ES"/>
        </w:rPr>
      </w:pPr>
      <w:r w:rsidRPr="009322DA">
        <w:rPr>
          <w:rFonts w:ascii="Verdana" w:eastAsia="Calibri" w:hAnsi="Verdana" w:cs="Arial"/>
          <w:lang w:val="es-ES"/>
        </w:rPr>
        <w:t xml:space="preserve">Lo anterior se sustenta en las siguientes consideraciones: </w:t>
      </w:r>
    </w:p>
    <w:p w14:paraId="5F9D21D6" w14:textId="77777777" w:rsidR="008F0E9A" w:rsidRDefault="008F0E9A" w:rsidP="008F0E9A">
      <w:pPr>
        <w:spacing w:after="0" w:line="276" w:lineRule="auto"/>
        <w:jc w:val="both"/>
        <w:rPr>
          <w:rFonts w:ascii="Verdana" w:eastAsia="Calibri" w:hAnsi="Verdana" w:cs="Arial"/>
          <w:lang w:val="es-ES"/>
        </w:rPr>
      </w:pPr>
    </w:p>
    <w:p w14:paraId="2A27FF49" w14:textId="77777777" w:rsidR="008F0E9A" w:rsidRDefault="008F0E9A" w:rsidP="008F0E9A">
      <w:pPr>
        <w:spacing w:after="120" w:line="276" w:lineRule="auto"/>
        <w:ind w:firstLine="709"/>
        <w:jc w:val="both"/>
        <w:rPr>
          <w:rFonts w:ascii="Verdana" w:eastAsia="Calibri" w:hAnsi="Verdana" w:cs="Arial"/>
          <w:color w:val="000000"/>
          <w:szCs w:val="24"/>
          <w:lang w:eastAsia="es-ES_tradnl"/>
        </w:rPr>
      </w:pPr>
      <w:r w:rsidRPr="00EB36D9">
        <w:rPr>
          <w:rFonts w:ascii="Verdana" w:hAnsi="Verdana" w:cs="Arial"/>
          <w:color w:val="000000" w:themeColor="text1"/>
        </w:rPr>
        <w:t xml:space="preserve">El artículo 2 de la Ley 1150 de 2007 establece cinco modalidades de selección para la escogencia del contratista: 1) licitación pública, 2) selección </w:t>
      </w:r>
      <w:r w:rsidRPr="00EB36D9">
        <w:rPr>
          <w:rFonts w:ascii="Verdana" w:hAnsi="Verdana" w:cs="Arial"/>
          <w:color w:val="000000" w:themeColor="text1"/>
        </w:rPr>
        <w:lastRenderedPageBreak/>
        <w:t>abreviada, 3) concurso de méritos, 4) contratación directa y 5) mínima cuantía. Cada una responde a condiciones de procedencia específicas, determinadas por la naturaleza del objeto contractual, la cuantía, el grado de especialización técnica requerido y otros factores jurídicamente relevantes.</w:t>
      </w:r>
    </w:p>
    <w:p w14:paraId="5B79669D" w14:textId="77777777" w:rsidR="008F0E9A" w:rsidRDefault="008F0E9A" w:rsidP="008F0E9A">
      <w:pPr>
        <w:spacing w:before="120" w:after="120" w:line="276" w:lineRule="auto"/>
        <w:ind w:firstLine="709"/>
        <w:jc w:val="both"/>
        <w:rPr>
          <w:rFonts w:ascii="Verdana" w:eastAsia="Times New Roman" w:hAnsi="Verdana" w:cs="Arial"/>
          <w:color w:val="000000" w:themeColor="text1"/>
        </w:rPr>
      </w:pPr>
      <w:r w:rsidRPr="0015360A">
        <w:rPr>
          <w:rFonts w:ascii="Verdana" w:eastAsia="Calibri" w:hAnsi="Verdana" w:cs="Arial"/>
        </w:rPr>
        <w:t>En aplicación del principio de economía, consagrado en</w:t>
      </w:r>
      <w:r w:rsidRPr="008C2C92">
        <w:rPr>
          <w:rFonts w:ascii="Verdana" w:eastAsia="Times New Roman" w:hAnsi="Verdana" w:cs="Arial"/>
          <w:color w:val="000000" w:themeColor="text1"/>
        </w:rPr>
        <w:t xml:space="preserve"> el numeral primero del artículo 25 de la Ley 80 de 1993, deben cumplirse los procedimientos y etapas estrictamente necesarios para asegurar la selección objetiva de la propuesta más favorable, por lo que se señalarán términos preclusivos y perentorios para las diferentes etapas del proceso de selección. En virtud de este principio, las partes del proceso de contratación, así como los funcionarios públicos, se encuentran obligados a respetar y acatar tales etapas.</w:t>
      </w:r>
    </w:p>
    <w:p w14:paraId="5B627FBB" w14:textId="77777777" w:rsidR="008F0E9A" w:rsidRPr="00AE7CF3" w:rsidRDefault="008F0E9A" w:rsidP="008F0E9A">
      <w:pPr>
        <w:spacing w:after="120" w:line="276" w:lineRule="auto"/>
        <w:ind w:firstLine="709"/>
        <w:jc w:val="both"/>
        <w:rPr>
          <w:rFonts w:ascii="Verdana" w:eastAsia="Calibri" w:hAnsi="Verdana" w:cs="Arial"/>
        </w:rPr>
      </w:pPr>
      <w:r>
        <w:rPr>
          <w:rFonts w:ascii="Verdana" w:eastAsia="Calibri" w:hAnsi="Verdana" w:cs="Arial"/>
        </w:rPr>
        <w:t>Por su parte, e</w:t>
      </w:r>
      <w:r w:rsidRPr="00AE7CF3">
        <w:rPr>
          <w:rFonts w:ascii="Verdana" w:eastAsia="Calibri" w:hAnsi="Verdana" w:cs="Arial"/>
        </w:rPr>
        <w:t>l artículo 2.2.1.1.1.3.1, literal 11</w:t>
      </w:r>
      <w:r>
        <w:rPr>
          <w:rFonts w:ascii="Verdana" w:eastAsia="Calibri" w:hAnsi="Verdana" w:cs="Arial"/>
        </w:rPr>
        <w:t xml:space="preserve"> del </w:t>
      </w:r>
      <w:r w:rsidRPr="00AE7CF3">
        <w:rPr>
          <w:rFonts w:ascii="Verdana" w:eastAsia="Calibri" w:hAnsi="Verdana" w:cs="Arial"/>
        </w:rPr>
        <w:t xml:space="preserve">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0FBE334D" w14:textId="5C11D130" w:rsidR="00390A76" w:rsidRDefault="008F0E9A" w:rsidP="00390A76">
      <w:pPr>
        <w:spacing w:before="120" w:after="120" w:line="276" w:lineRule="auto"/>
        <w:ind w:firstLine="708"/>
        <w:jc w:val="both"/>
        <w:rPr>
          <w:rFonts w:ascii="Verdana" w:eastAsia="Calibri" w:hAnsi="Verdana" w:cs="Arial"/>
        </w:rPr>
      </w:pPr>
      <w:r>
        <w:rPr>
          <w:rFonts w:ascii="Verdana" w:eastAsia="Times New Roman" w:hAnsi="Verdana" w:cs="Arial"/>
          <w:color w:val="000000" w:themeColor="text1"/>
        </w:rPr>
        <w:t xml:space="preserve">Ahora bien, </w:t>
      </w:r>
      <w:r w:rsidR="00390A76">
        <w:rPr>
          <w:rFonts w:ascii="Verdana" w:eastAsia="Times New Roman" w:hAnsi="Verdana" w:cs="Arial"/>
          <w:color w:val="000000" w:themeColor="text1"/>
        </w:rPr>
        <w:t xml:space="preserve">en </w:t>
      </w:r>
      <w:r w:rsidR="00390A76">
        <w:rPr>
          <w:rFonts w:ascii="Verdana" w:eastAsia="Calibri" w:hAnsi="Verdana" w:cs="Arial"/>
        </w:rPr>
        <w:t xml:space="preserve">el ordenamiento jurídico colombiano no existe </w:t>
      </w:r>
      <w:r w:rsidR="00390A76" w:rsidRPr="00AE7FEF">
        <w:rPr>
          <w:rFonts w:ascii="Verdana" w:eastAsia="Calibri" w:hAnsi="Verdana" w:cs="Arial"/>
        </w:rPr>
        <w:t xml:space="preserve">una norma única que establezca tiempos mínimos uniformes para el desarrollo </w:t>
      </w:r>
      <w:r w:rsidR="00390A76">
        <w:rPr>
          <w:rFonts w:ascii="Verdana" w:eastAsia="Calibri" w:hAnsi="Verdana" w:cs="Arial"/>
        </w:rPr>
        <w:t>de cada una de las etapas del proceso de selección</w:t>
      </w:r>
      <w:r w:rsidR="004944F3">
        <w:rPr>
          <w:rFonts w:ascii="Verdana" w:eastAsia="Calibri" w:hAnsi="Verdana" w:cs="Arial"/>
        </w:rPr>
        <w:t>,</w:t>
      </w:r>
      <w:r w:rsidR="00390A76">
        <w:rPr>
          <w:rFonts w:ascii="Verdana" w:eastAsia="Calibri" w:hAnsi="Verdana" w:cs="Arial"/>
        </w:rPr>
        <w:t xml:space="preserve"> ni la manera de establecer la totalidad </w:t>
      </w:r>
      <w:r w:rsidR="004944F3">
        <w:rPr>
          <w:rFonts w:ascii="Verdana" w:eastAsia="Calibri" w:hAnsi="Verdana" w:cs="Arial"/>
        </w:rPr>
        <w:t>del cronograma</w:t>
      </w:r>
      <w:r w:rsidR="00390A76" w:rsidRPr="00AE7FEF">
        <w:rPr>
          <w:rFonts w:ascii="Verdana" w:eastAsia="Calibri" w:hAnsi="Verdana" w:cs="Arial"/>
        </w:rPr>
        <w:t xml:space="preserve"> en todas las modalidades de contratación</w:t>
      </w:r>
      <w:r w:rsidR="00390A76">
        <w:rPr>
          <w:rFonts w:ascii="Verdana" w:eastAsia="Calibri" w:hAnsi="Verdana" w:cs="Arial"/>
        </w:rPr>
        <w:t xml:space="preserve"> señaladas en la Ley 1150 de 2007</w:t>
      </w:r>
      <w:r w:rsidR="00390A76" w:rsidRPr="00AE7FEF">
        <w:rPr>
          <w:rFonts w:ascii="Verdana" w:eastAsia="Calibri" w:hAnsi="Verdana" w:cs="Arial"/>
        </w:rPr>
        <w:t>, pero sí hay disposiciones normativas que fijan plazos mínimos específicos para ciertas etapas del proceso, dependiendo de la modalidad de selección.</w:t>
      </w:r>
      <w:r w:rsidR="00390A76">
        <w:rPr>
          <w:rFonts w:ascii="Verdana" w:eastAsia="Calibri" w:hAnsi="Verdana" w:cs="Arial"/>
        </w:rPr>
        <w:t xml:space="preserve"> </w:t>
      </w:r>
    </w:p>
    <w:p w14:paraId="46FC0C26" w14:textId="77777777" w:rsidR="008F0E9A" w:rsidRDefault="008F0E9A" w:rsidP="008F0E9A">
      <w:pPr>
        <w:spacing w:before="120" w:after="120" w:line="276" w:lineRule="auto"/>
        <w:ind w:firstLine="709"/>
        <w:jc w:val="both"/>
        <w:rPr>
          <w:rFonts w:ascii="Verdana" w:eastAsia="Calibri" w:hAnsi="Verdana" w:cs="Arial"/>
          <w:lang w:val="es-MX"/>
        </w:rPr>
      </w:pPr>
      <w:r w:rsidRPr="00E865D5">
        <w:rPr>
          <w:rFonts w:ascii="Verdana" w:eastAsia="Calibri" w:hAnsi="Verdana" w:cs="Arial"/>
        </w:rPr>
        <w:t>A continuación, se presentan algunos de los plazos establecidos para las distintas modalidades de selección, los cuales constituyen referentes normativos relevantes dentro del sistema de compra pública. Estos plazos han sido definidos en disposiciones específicas que, según el caso, regulan etapas puntuales del proceso de contratación. Entre ellos se destacan, por ejemplo:</w:t>
      </w:r>
      <w:r w:rsidRPr="001B4B10">
        <w:rPr>
          <w:rFonts w:ascii="Verdana" w:eastAsia="Calibri" w:hAnsi="Verdana" w:cs="Arial"/>
          <w:lang w:val="es-MX"/>
        </w:rPr>
        <w:t xml:space="preserve"> </w:t>
      </w:r>
    </w:p>
    <w:p w14:paraId="4E6AE3BF" w14:textId="77777777" w:rsidR="008F0E9A" w:rsidRDefault="008F0E9A" w:rsidP="004B38BD">
      <w:pPr>
        <w:pStyle w:val="Prrafodelista"/>
        <w:numPr>
          <w:ilvl w:val="0"/>
          <w:numId w:val="19"/>
        </w:numPr>
        <w:spacing w:before="120" w:after="120" w:line="276" w:lineRule="auto"/>
        <w:ind w:left="993"/>
        <w:jc w:val="both"/>
        <w:rPr>
          <w:rFonts w:ascii="Verdana" w:eastAsia="Calibri" w:hAnsi="Verdana" w:cs="Arial"/>
        </w:rPr>
      </w:pPr>
      <w:r>
        <w:rPr>
          <w:rFonts w:ascii="Verdana" w:eastAsia="Calibri" w:hAnsi="Verdana" w:cs="Arial"/>
          <w:lang w:val="es-MX"/>
        </w:rPr>
        <w:t xml:space="preserve"> </w:t>
      </w:r>
      <w:r w:rsidRPr="009A07F1">
        <w:rPr>
          <w:rFonts w:ascii="Verdana" w:eastAsia="Calibri" w:hAnsi="Verdana" w:cs="Arial"/>
          <w:lang w:val="es-MX"/>
        </w:rPr>
        <w:t>Para el caso de los avisos en la licitación pública, el numeral tercero del artículo 30 de la ley 80 de 1993 señala, que d</w:t>
      </w:r>
      <w:r w:rsidRPr="009A07F1">
        <w:rPr>
          <w:rFonts w:ascii="Verdana" w:eastAsia="Calibri" w:hAnsi="Verdana" w:cs="Arial"/>
        </w:rPr>
        <w:t xml:space="preserve">entro de los diez (10) a veinte (20) días calendario anteriores a la apertura de la licitación se publicarán hasta tres (3) avisos con intervalos entre dos (2) y cinco (5) días calendario, según lo exija la naturaleza, objeto y cuantía del </w:t>
      </w:r>
      <w:r w:rsidRPr="009A07F1">
        <w:rPr>
          <w:rFonts w:ascii="Verdana" w:eastAsia="Calibri" w:hAnsi="Verdana" w:cs="Arial"/>
        </w:rPr>
        <w:lastRenderedPageBreak/>
        <w:t>contrato, en la página Web de la entidad contratante y en el Sistema Electrónico para la Contratación Pública -SECOP. </w:t>
      </w:r>
    </w:p>
    <w:p w14:paraId="75AFFD56" w14:textId="77777777" w:rsidR="008F0E9A" w:rsidRDefault="008F0E9A" w:rsidP="008F0E9A">
      <w:pPr>
        <w:pStyle w:val="Prrafodelista"/>
        <w:spacing w:before="120" w:after="120" w:line="276" w:lineRule="auto"/>
        <w:ind w:left="709"/>
        <w:jc w:val="both"/>
        <w:rPr>
          <w:rFonts w:ascii="Verdana" w:eastAsia="Calibri" w:hAnsi="Verdana" w:cs="Arial"/>
        </w:rPr>
      </w:pPr>
    </w:p>
    <w:p w14:paraId="7B96BC1B" w14:textId="77777777" w:rsidR="008F0E9A" w:rsidRPr="009A07F1" w:rsidRDefault="008F0E9A" w:rsidP="008F0E9A">
      <w:pPr>
        <w:pStyle w:val="Prrafodelista"/>
        <w:numPr>
          <w:ilvl w:val="0"/>
          <w:numId w:val="19"/>
        </w:numPr>
        <w:spacing w:before="120" w:after="120" w:line="276" w:lineRule="auto"/>
        <w:ind w:left="709" w:firstLine="0"/>
        <w:jc w:val="both"/>
        <w:rPr>
          <w:rFonts w:ascii="Verdana" w:eastAsia="Calibri" w:hAnsi="Verdana" w:cs="Arial"/>
        </w:rPr>
      </w:pPr>
      <w:r>
        <w:rPr>
          <w:rFonts w:ascii="Verdana" w:eastAsia="Calibri" w:hAnsi="Verdana" w:cs="Arial"/>
          <w:lang w:val="es-MX"/>
        </w:rPr>
        <w:t xml:space="preserve"> Respecto de l</w:t>
      </w:r>
      <w:r w:rsidRPr="009A07F1">
        <w:rPr>
          <w:rFonts w:ascii="Verdana" w:eastAsia="Calibri" w:hAnsi="Verdana" w:cs="Arial"/>
          <w:lang w:val="es-MX"/>
        </w:rPr>
        <w:t>as observaciones al proyecto de pliego de condiciones se podrán presentar durante un término de diez (10) días hábiles en la licitación pública y durante el término de cinco (5) días hábiles en la selección abreviada y el concurso de méritos</w:t>
      </w:r>
      <w:r>
        <w:rPr>
          <w:rStyle w:val="Refdenotaalpie"/>
          <w:rFonts w:ascii="Verdana" w:eastAsia="Calibri" w:hAnsi="Verdana" w:cs="Arial"/>
          <w:lang w:val="es-MX"/>
        </w:rPr>
        <w:footnoteReference w:id="3"/>
      </w:r>
      <w:r w:rsidRPr="009A07F1">
        <w:rPr>
          <w:rFonts w:ascii="Verdana" w:eastAsia="Calibri" w:hAnsi="Verdana" w:cs="Arial"/>
          <w:lang w:val="es-MX"/>
        </w:rPr>
        <w:t xml:space="preserve">. </w:t>
      </w:r>
    </w:p>
    <w:p w14:paraId="60BB5F5A" w14:textId="77777777" w:rsidR="008F0E9A" w:rsidRPr="009A07F1" w:rsidRDefault="008F0E9A" w:rsidP="008F0E9A">
      <w:pPr>
        <w:pStyle w:val="Prrafodelista"/>
        <w:spacing w:before="120" w:after="120" w:line="276" w:lineRule="auto"/>
        <w:ind w:left="709"/>
        <w:jc w:val="both"/>
        <w:rPr>
          <w:rFonts w:ascii="Verdana" w:eastAsia="Calibri" w:hAnsi="Verdana" w:cs="Arial"/>
        </w:rPr>
      </w:pPr>
    </w:p>
    <w:p w14:paraId="0F45F02A" w14:textId="77777777" w:rsidR="008F0E9A" w:rsidRPr="009A07F1" w:rsidRDefault="008F0E9A" w:rsidP="008F0E9A">
      <w:pPr>
        <w:pStyle w:val="Prrafodelista"/>
        <w:numPr>
          <w:ilvl w:val="0"/>
          <w:numId w:val="19"/>
        </w:numPr>
        <w:spacing w:before="120" w:after="120" w:line="276" w:lineRule="auto"/>
        <w:ind w:left="709" w:firstLine="0"/>
        <w:jc w:val="both"/>
        <w:rPr>
          <w:rFonts w:ascii="Verdana" w:eastAsia="Calibri" w:hAnsi="Verdana" w:cs="Arial"/>
        </w:rPr>
      </w:pPr>
      <w:r>
        <w:rPr>
          <w:rFonts w:ascii="Verdana" w:eastAsia="Calibri" w:hAnsi="Verdana" w:cs="Arial"/>
          <w:lang w:val="es-MX"/>
        </w:rPr>
        <w:t xml:space="preserve"> En cuanto a la p</w:t>
      </w:r>
      <w:r w:rsidRPr="009A07F1">
        <w:rPr>
          <w:rFonts w:ascii="Verdana" w:eastAsia="Calibri" w:hAnsi="Verdana" w:cs="Arial"/>
          <w:lang w:val="es-MX"/>
        </w:rPr>
        <w:t>ublicación de adendas</w:t>
      </w:r>
      <w:r>
        <w:rPr>
          <w:rFonts w:ascii="Verdana" w:eastAsia="Calibri" w:hAnsi="Verdana" w:cs="Arial"/>
          <w:lang w:val="es-MX"/>
        </w:rPr>
        <w:t>, deben realizarse</w:t>
      </w:r>
      <w:r w:rsidRPr="009A07F1">
        <w:rPr>
          <w:rFonts w:ascii="Verdana" w:eastAsia="Calibri" w:hAnsi="Verdana" w:cs="Arial"/>
          <w:lang w:val="es-MX"/>
        </w:rPr>
        <w:t xml:space="preserve"> en los días hábiles entre las 7:00 am y 7:00 pm</w:t>
      </w:r>
      <w:r>
        <w:rPr>
          <w:rFonts w:ascii="Verdana" w:eastAsia="Calibri" w:hAnsi="Verdana" w:cs="Arial"/>
          <w:lang w:val="es-MX"/>
        </w:rPr>
        <w:t>,</w:t>
      </w:r>
      <w:r w:rsidRPr="009A07F1">
        <w:rPr>
          <w:rFonts w:ascii="Verdana" w:eastAsia="Calibri" w:hAnsi="Verdana" w:cs="Arial"/>
          <w:lang w:val="es-MX"/>
        </w:rPr>
        <w:t xml:space="preserve"> </w:t>
      </w:r>
      <w:r w:rsidRPr="009A07F1">
        <w:rPr>
          <w:rFonts w:ascii="Verdana" w:eastAsia="Calibri" w:hAnsi="Verdana" w:cs="Arial"/>
        </w:rPr>
        <w:t>a más tardar el día hábil anterior al vencimiento del plazo para presentar ofertas a la hora fijada para tal presentación, salvo en la licitación pública pues de conformidad con la ley la publicación debe hacerse con tres (3) días de anticipación</w:t>
      </w:r>
      <w:r>
        <w:rPr>
          <w:rStyle w:val="Refdenotaalpie"/>
          <w:rFonts w:ascii="Verdana" w:eastAsia="Calibri" w:hAnsi="Verdana" w:cs="Arial"/>
        </w:rPr>
        <w:footnoteReference w:id="4"/>
      </w:r>
      <w:r w:rsidRPr="009A07F1">
        <w:rPr>
          <w:rFonts w:ascii="Verdana" w:eastAsia="Calibri" w:hAnsi="Verdana" w:cs="Arial"/>
          <w:lang w:val="es-MX"/>
        </w:rPr>
        <w:t xml:space="preserve">. </w:t>
      </w:r>
      <w:r>
        <w:rPr>
          <w:rFonts w:ascii="Verdana" w:eastAsia="Calibri" w:hAnsi="Verdana" w:cs="Arial"/>
          <w:lang w:val="es-MX"/>
        </w:rPr>
        <w:t>E</w:t>
      </w:r>
      <w:r w:rsidRPr="009A07F1">
        <w:rPr>
          <w:rFonts w:ascii="Verdana" w:eastAsia="Calibri" w:hAnsi="Verdana" w:cs="Arial"/>
        </w:rPr>
        <w:t>l artículo 2.2.1.1.2.2.1 del Decreto 1082 de 2015, reglamenta la posibilidad que tienen las entidades de modificar los pliegos de condiciones a través de adendas. Al respecto señala la norma:</w:t>
      </w:r>
    </w:p>
    <w:p w14:paraId="091B4763" w14:textId="77777777" w:rsidR="008F0E9A" w:rsidRPr="00EB3000" w:rsidRDefault="008F0E9A" w:rsidP="008F0E9A">
      <w:pPr>
        <w:pStyle w:val="Prrafodelista"/>
        <w:jc w:val="both"/>
        <w:rPr>
          <w:rFonts w:ascii="Verdana" w:eastAsia="Calibri" w:hAnsi="Verdana" w:cs="Arial"/>
        </w:rPr>
      </w:pPr>
    </w:p>
    <w:p w14:paraId="768E696B" w14:textId="77777777" w:rsidR="008F0E9A" w:rsidRPr="00EB3000" w:rsidRDefault="008F0E9A" w:rsidP="008F0E9A">
      <w:pPr>
        <w:pStyle w:val="Prrafodelista"/>
        <w:ind w:left="1416"/>
        <w:jc w:val="both"/>
        <w:rPr>
          <w:rFonts w:ascii="Verdana" w:eastAsia="Calibri" w:hAnsi="Verdana" w:cs="Arial"/>
          <w:sz w:val="20"/>
          <w:szCs w:val="20"/>
        </w:rPr>
      </w:pPr>
      <w:r w:rsidRPr="00EB3000">
        <w:rPr>
          <w:rFonts w:ascii="Verdana" w:eastAsia="Calibri" w:hAnsi="Verdana" w:cs="Arial"/>
          <w:sz w:val="20"/>
          <w:szCs w:val="20"/>
        </w:rPr>
        <w:t>“Artículo 2.2.1.1.2.2.1. Modificación de los pliegos de condiciones. La Entidad Estatal puede modificar los pliegos de condiciones a través de Adendas expedidas antes del vencimiento del plazo para presentar ofertas.</w:t>
      </w:r>
    </w:p>
    <w:p w14:paraId="506F2083" w14:textId="77777777" w:rsidR="008F0E9A" w:rsidRPr="00EB3000" w:rsidRDefault="008F0E9A" w:rsidP="008F0E9A">
      <w:pPr>
        <w:pStyle w:val="Prrafodelista"/>
        <w:jc w:val="both"/>
        <w:rPr>
          <w:rFonts w:ascii="Verdana" w:eastAsia="Calibri" w:hAnsi="Verdana" w:cs="Arial"/>
          <w:sz w:val="20"/>
          <w:szCs w:val="20"/>
        </w:rPr>
      </w:pPr>
    </w:p>
    <w:p w14:paraId="523F1822" w14:textId="77777777" w:rsidR="008F0E9A" w:rsidRPr="00EB3000" w:rsidRDefault="008F0E9A" w:rsidP="008F0E9A">
      <w:pPr>
        <w:pStyle w:val="Prrafodelista"/>
        <w:ind w:left="1416"/>
        <w:jc w:val="both"/>
        <w:rPr>
          <w:rFonts w:ascii="Verdana" w:eastAsia="Calibri" w:hAnsi="Verdana" w:cs="Arial"/>
          <w:sz w:val="20"/>
          <w:szCs w:val="20"/>
        </w:rPr>
      </w:pPr>
      <w:r w:rsidRPr="00EB3000">
        <w:rPr>
          <w:rFonts w:ascii="Verdana" w:eastAsia="Calibri" w:hAnsi="Verdana" w:cs="Arial"/>
          <w:sz w:val="20"/>
          <w:szCs w:val="20"/>
        </w:rPr>
        <w:t>La Entidad Estatal puede expedir Adendas para modificar el Cronograma una vez vencido el término para la presentación de las ofertas y antes de la adjudicación del contrato.</w:t>
      </w:r>
    </w:p>
    <w:p w14:paraId="598DA252" w14:textId="77777777" w:rsidR="008F0E9A" w:rsidRPr="00EB3000" w:rsidRDefault="008F0E9A" w:rsidP="008F0E9A">
      <w:pPr>
        <w:pStyle w:val="Prrafodelista"/>
        <w:jc w:val="both"/>
        <w:rPr>
          <w:rFonts w:ascii="Verdana" w:eastAsia="Calibri" w:hAnsi="Verdana" w:cs="Arial"/>
          <w:sz w:val="20"/>
          <w:szCs w:val="20"/>
        </w:rPr>
      </w:pPr>
    </w:p>
    <w:p w14:paraId="2999190E" w14:textId="77777777" w:rsidR="008F0E9A" w:rsidRDefault="008F0E9A" w:rsidP="008F0E9A">
      <w:pPr>
        <w:pStyle w:val="Prrafodelista"/>
        <w:ind w:left="1416"/>
        <w:jc w:val="both"/>
        <w:rPr>
          <w:rFonts w:ascii="Verdana" w:eastAsia="Calibri" w:hAnsi="Verdana" w:cs="Arial"/>
          <w:sz w:val="20"/>
          <w:szCs w:val="20"/>
        </w:rPr>
      </w:pPr>
      <w:r w:rsidRPr="00EB3000">
        <w:rPr>
          <w:rFonts w:ascii="Verdana" w:eastAsia="Calibri" w:hAnsi="Verdana" w:cs="Arial"/>
          <w:sz w:val="20"/>
          <w:szCs w:val="20"/>
        </w:rPr>
        <w:t>La Entidad Estatal debe publicar las Adendas en los días hábiles, entre las 7:00 a.m. y las 7:00 p. m., a más tardar el día hábil anterior al vencimiento del plazo para presentar ofertas a la hora fijada para tal presentación, salvo en la licitación pública pues de conformidad con la ley la publicación debe hacerse con tres (3) días de anticipación”.</w:t>
      </w:r>
    </w:p>
    <w:p w14:paraId="7162EBD3" w14:textId="77777777" w:rsidR="008F0E9A" w:rsidRDefault="008F0E9A" w:rsidP="008F0E9A">
      <w:pPr>
        <w:pStyle w:val="Prrafodelista"/>
        <w:ind w:left="1416"/>
        <w:jc w:val="both"/>
        <w:rPr>
          <w:rFonts w:ascii="Verdana" w:eastAsia="Calibri" w:hAnsi="Verdana" w:cs="Arial"/>
          <w:sz w:val="20"/>
          <w:szCs w:val="20"/>
        </w:rPr>
      </w:pPr>
    </w:p>
    <w:p w14:paraId="7AFDF143" w14:textId="77777777" w:rsidR="008F0E9A" w:rsidRDefault="008F0E9A" w:rsidP="008F0E9A">
      <w:pPr>
        <w:pStyle w:val="Prrafodelista"/>
        <w:jc w:val="both"/>
        <w:rPr>
          <w:rFonts w:ascii="Verdana" w:eastAsia="Calibri" w:hAnsi="Verdana" w:cs="Arial"/>
        </w:rPr>
      </w:pPr>
      <w:r w:rsidRPr="00EB3000">
        <w:rPr>
          <w:rFonts w:ascii="Verdana" w:eastAsia="Calibri" w:hAnsi="Verdana" w:cs="Arial"/>
        </w:rPr>
        <w:t xml:space="preserve">De lo anterior se observa que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w:t>
      </w:r>
      <w:r w:rsidRPr="00EB3000">
        <w:rPr>
          <w:rFonts w:ascii="Verdana" w:eastAsia="Calibri" w:hAnsi="Verdana" w:cs="Arial"/>
        </w:rPr>
        <w:lastRenderedPageBreak/>
        <w:t>cronograma del proceso de selección una vez vencido el plazo para la recepción de ofertas y antes de la adjudicación del contrato, en las que solo se permite modificar los plazos de las etapas siguientes.</w:t>
      </w:r>
    </w:p>
    <w:p w14:paraId="7B1DA207" w14:textId="77777777" w:rsidR="008F0E9A" w:rsidRDefault="008F0E9A" w:rsidP="008F0E9A">
      <w:pPr>
        <w:pStyle w:val="Prrafodelista"/>
        <w:jc w:val="both"/>
        <w:rPr>
          <w:rFonts w:ascii="Verdana" w:eastAsia="Calibri" w:hAnsi="Verdana" w:cs="Arial"/>
        </w:rPr>
      </w:pPr>
    </w:p>
    <w:p w14:paraId="3ADDEF23" w14:textId="77777777" w:rsidR="008F0E9A" w:rsidRDefault="008F0E9A" w:rsidP="008F0E9A">
      <w:pPr>
        <w:pStyle w:val="Prrafodelista"/>
        <w:numPr>
          <w:ilvl w:val="0"/>
          <w:numId w:val="19"/>
        </w:numPr>
        <w:spacing w:before="120" w:after="120" w:line="276" w:lineRule="auto"/>
        <w:ind w:left="709" w:firstLine="0"/>
        <w:jc w:val="both"/>
        <w:rPr>
          <w:rFonts w:ascii="Verdana" w:eastAsia="Calibri" w:hAnsi="Verdana" w:cs="Arial"/>
          <w:lang w:val="es-MX"/>
        </w:rPr>
      </w:pPr>
      <w:r>
        <w:rPr>
          <w:rFonts w:ascii="Verdana" w:eastAsia="Calibri" w:hAnsi="Verdana" w:cs="Arial"/>
          <w:lang w:val="es-MX"/>
        </w:rPr>
        <w:t xml:space="preserve"> </w:t>
      </w:r>
      <w:r w:rsidRPr="009A07F1">
        <w:rPr>
          <w:rFonts w:ascii="Verdana" w:eastAsia="Calibri" w:hAnsi="Verdana" w:cs="Arial"/>
          <w:lang w:val="es-MX"/>
        </w:rPr>
        <w:t xml:space="preserve">Respecto a la publicación del informe de evaluación, la entidad estatal debe publicar </w:t>
      </w:r>
      <w:r w:rsidRPr="00F46615">
        <w:rPr>
          <w:rFonts w:ascii="Verdana" w:eastAsia="Calibri" w:hAnsi="Verdana" w:cs="Arial"/>
          <w:lang w:val="es-CO"/>
        </w:rPr>
        <w:t>por un término de cinco (5) días hábiles para que los oferentes presenten las observaciones que estimen pertinentes</w:t>
      </w:r>
      <w:r>
        <w:rPr>
          <w:rFonts w:ascii="Verdana" w:eastAsia="Calibri" w:hAnsi="Verdana" w:cs="Arial"/>
          <w:lang w:val="es-CO"/>
        </w:rPr>
        <w:t xml:space="preserve"> en el caso de la licitación pública, el término será de</w:t>
      </w:r>
      <w:r w:rsidRPr="00F46615">
        <w:rPr>
          <w:rFonts w:ascii="Verdana" w:eastAsia="Calibri" w:hAnsi="Verdana" w:cs="Arial"/>
          <w:lang w:val="es-CO"/>
        </w:rPr>
        <w:t xml:space="preserve"> </w:t>
      </w:r>
      <w:r>
        <w:rPr>
          <w:rFonts w:ascii="Verdana" w:eastAsia="Calibri" w:hAnsi="Verdana" w:cs="Arial"/>
          <w:lang w:val="es-CO"/>
        </w:rPr>
        <w:t>tres (</w:t>
      </w:r>
      <w:r w:rsidRPr="00F46615">
        <w:rPr>
          <w:rFonts w:ascii="Verdana" w:eastAsia="Calibri" w:hAnsi="Verdana" w:cs="Arial"/>
          <w:lang w:val="es-CO"/>
        </w:rPr>
        <w:t>3</w:t>
      </w:r>
      <w:r>
        <w:rPr>
          <w:rFonts w:ascii="Verdana" w:eastAsia="Calibri" w:hAnsi="Verdana" w:cs="Arial"/>
          <w:lang w:val="es-CO"/>
        </w:rPr>
        <w:t>)</w:t>
      </w:r>
      <w:r w:rsidRPr="009A07F1">
        <w:rPr>
          <w:rFonts w:ascii="Verdana" w:eastAsia="Calibri" w:hAnsi="Verdana" w:cs="Arial"/>
          <w:lang w:val="es-MX"/>
        </w:rPr>
        <w:t xml:space="preserve"> días hábiles para la selección abreviada de menor cuantía y concurso de méritos; </w:t>
      </w:r>
      <w:r>
        <w:rPr>
          <w:rFonts w:ascii="Verdana" w:eastAsia="Calibri" w:hAnsi="Verdana" w:cs="Arial"/>
          <w:lang w:val="es-MX"/>
        </w:rPr>
        <w:t xml:space="preserve">y </w:t>
      </w:r>
      <w:r w:rsidRPr="009A07F1">
        <w:rPr>
          <w:rFonts w:ascii="Verdana" w:eastAsia="Calibri" w:hAnsi="Verdana" w:cs="Arial"/>
          <w:lang w:val="es-MX"/>
        </w:rPr>
        <w:t xml:space="preserve">en el caso de la mínima cuantía, el plazo será de un </w:t>
      </w:r>
      <w:r>
        <w:rPr>
          <w:rFonts w:ascii="Verdana" w:eastAsia="Calibri" w:hAnsi="Verdana" w:cs="Arial"/>
          <w:lang w:val="es-MX"/>
        </w:rPr>
        <w:t xml:space="preserve">(1) </w:t>
      </w:r>
      <w:r w:rsidRPr="009A07F1">
        <w:rPr>
          <w:rFonts w:ascii="Verdana" w:eastAsia="Calibri" w:hAnsi="Verdana" w:cs="Arial"/>
          <w:lang w:val="es-MX"/>
        </w:rPr>
        <w:t>día hábil</w:t>
      </w:r>
      <w:r>
        <w:rPr>
          <w:rStyle w:val="Refdenotaalpie"/>
          <w:rFonts w:ascii="Verdana" w:eastAsia="Calibri" w:hAnsi="Verdana" w:cs="Arial"/>
          <w:lang w:val="es-MX"/>
        </w:rPr>
        <w:footnoteReference w:id="5"/>
      </w:r>
      <w:r w:rsidRPr="009A07F1">
        <w:rPr>
          <w:rFonts w:ascii="Verdana" w:eastAsia="Calibri" w:hAnsi="Verdana" w:cs="Arial"/>
          <w:lang w:val="es-MX"/>
        </w:rPr>
        <w:t xml:space="preserve">. </w:t>
      </w:r>
    </w:p>
    <w:p w14:paraId="6F2BF0A5" w14:textId="77777777" w:rsidR="008F0E9A" w:rsidRDefault="008F0E9A" w:rsidP="008F0E9A">
      <w:pPr>
        <w:pStyle w:val="Prrafodelista"/>
        <w:spacing w:before="120" w:after="120" w:line="276" w:lineRule="auto"/>
        <w:ind w:left="709"/>
        <w:jc w:val="both"/>
        <w:rPr>
          <w:rFonts w:ascii="Verdana" w:eastAsia="Calibri" w:hAnsi="Verdana" w:cs="Arial"/>
          <w:lang w:val="es-MX"/>
        </w:rPr>
      </w:pPr>
    </w:p>
    <w:p w14:paraId="03BBEF78" w14:textId="3471DD5E" w:rsidR="008F0E9A" w:rsidRPr="00E55FF1" w:rsidRDefault="008F0E9A" w:rsidP="008F0E9A">
      <w:pPr>
        <w:pStyle w:val="Prrafodelista"/>
        <w:numPr>
          <w:ilvl w:val="0"/>
          <w:numId w:val="19"/>
        </w:numPr>
        <w:spacing w:before="120" w:after="120" w:line="276" w:lineRule="auto"/>
        <w:ind w:left="709" w:firstLine="0"/>
        <w:jc w:val="both"/>
        <w:rPr>
          <w:rFonts w:ascii="Verdana" w:eastAsia="Calibri" w:hAnsi="Verdana" w:cs="Arial"/>
        </w:rPr>
      </w:pPr>
      <w:r w:rsidRPr="00E55FF1">
        <w:rPr>
          <w:rFonts w:ascii="Verdana" w:eastAsia="Calibri" w:hAnsi="Verdana" w:cs="Arial"/>
          <w:lang w:val="es-MX"/>
        </w:rPr>
        <w:t xml:space="preserve"> </w:t>
      </w:r>
      <w:r w:rsidRPr="00E76454">
        <w:rPr>
          <w:rFonts w:ascii="Verdana" w:eastAsia="Calibri" w:hAnsi="Verdana" w:cs="Arial"/>
          <w:lang w:val="es-CO"/>
        </w:rPr>
        <w:t>Adicionalmente, en lo que concierne a la</w:t>
      </w:r>
      <w:r>
        <w:rPr>
          <w:rFonts w:ascii="Verdana" w:eastAsia="Calibri" w:hAnsi="Verdana" w:cs="Arial"/>
          <w:lang w:val="es-CO"/>
        </w:rPr>
        <w:t xml:space="preserve"> modalidad de</w:t>
      </w:r>
      <w:r w:rsidRPr="00E55FF1">
        <w:rPr>
          <w:rFonts w:ascii="Verdana" w:eastAsia="Calibri" w:hAnsi="Verdana" w:cs="Arial"/>
          <w:lang w:val="es-MX"/>
        </w:rPr>
        <w:t xml:space="preserve"> mínima cuantía</w:t>
      </w:r>
      <w:r>
        <w:rPr>
          <w:rFonts w:ascii="Verdana" w:eastAsia="Calibri" w:hAnsi="Verdana" w:cs="Arial"/>
          <w:lang w:val="es-MX"/>
        </w:rPr>
        <w:t>,</w:t>
      </w:r>
      <w:r w:rsidRPr="00E55FF1">
        <w:rPr>
          <w:rFonts w:ascii="Verdana" w:eastAsia="Calibri" w:hAnsi="Verdana" w:cs="Arial"/>
          <w:lang w:val="es-MX"/>
        </w:rPr>
        <w:t xml:space="preserve"> la invitación pública será publicada por un término no inferior a un (1) día hábil </w:t>
      </w:r>
      <w:r w:rsidRPr="00E55FF1">
        <w:rPr>
          <w:rFonts w:ascii="Verdana" w:eastAsia="Calibri" w:hAnsi="Verdana" w:cs="Arial"/>
        </w:rPr>
        <w:t xml:space="preserve">para que los interesados se informen de su contenido y formulen observaciones o comentarios, los cuales serán </w:t>
      </w:r>
      <w:r w:rsidR="5576F67B" w:rsidRPr="00E55FF1">
        <w:rPr>
          <w:rFonts w:ascii="Verdana" w:eastAsia="Calibri" w:hAnsi="Verdana" w:cs="Arial"/>
        </w:rPr>
        <w:t>resueltos</w:t>
      </w:r>
      <w:r w:rsidRPr="00E55FF1">
        <w:rPr>
          <w:rFonts w:ascii="Verdana" w:eastAsia="Calibri" w:hAnsi="Verdana" w:cs="Arial"/>
        </w:rPr>
        <w:t xml:space="preserve"> por la Entidad Estatal antes del inicio del plazo para presentar ofertas. De conformidad con el parágrafo del artículo</w:t>
      </w:r>
      <w:r w:rsidRPr="00E55FF1">
        <w:rPr>
          <w:rFonts w:ascii="Verdana" w:eastAsia="Calibri" w:hAnsi="Verdana" w:cs="Arial"/>
          <w:b/>
          <w:bCs/>
        </w:rPr>
        <w:t> </w:t>
      </w:r>
      <w:r w:rsidRPr="009A07F1">
        <w:rPr>
          <w:rFonts w:ascii="Verdana" w:eastAsia="Calibri" w:hAnsi="Verdana" w:cs="Arial"/>
        </w:rPr>
        <w:t>2.2.1.2.1.5.2.</w:t>
      </w:r>
      <w:r>
        <w:rPr>
          <w:rFonts w:ascii="Verdana" w:eastAsia="Calibri" w:hAnsi="Verdana" w:cs="Arial"/>
        </w:rPr>
        <w:t xml:space="preserve"> del Decreto 1082 de 2015.</w:t>
      </w:r>
      <w:r w:rsidRPr="00E55FF1">
        <w:rPr>
          <w:rFonts w:ascii="Verdana" w:eastAsia="Calibri" w:hAnsi="Verdana" w:cs="Arial"/>
        </w:rPr>
        <w:t xml:space="preserve"> Por otra parte, se dispondrá un término adicional dentro del cual los proponentes podrán presentar sus ofertas, el cual será de mínimo un (1) día hábil luego de publicado el aviso en que se informe si el proceso se limita o no a </w:t>
      </w:r>
      <w:proofErr w:type="spellStart"/>
      <w:r w:rsidRPr="00E55FF1">
        <w:rPr>
          <w:rFonts w:ascii="Verdana" w:eastAsia="Calibri" w:hAnsi="Verdana" w:cs="Arial"/>
        </w:rPr>
        <w:t>Mipymes</w:t>
      </w:r>
      <w:proofErr w:type="spellEnd"/>
      <w:r>
        <w:rPr>
          <w:rStyle w:val="Refdenotaalpie"/>
          <w:rFonts w:ascii="Verdana" w:eastAsia="Calibri" w:hAnsi="Verdana" w:cs="Arial"/>
        </w:rPr>
        <w:footnoteReference w:id="6"/>
      </w:r>
      <w:r w:rsidRPr="00E55FF1">
        <w:rPr>
          <w:rFonts w:ascii="Verdana" w:eastAsia="Calibri" w:hAnsi="Verdana" w:cs="Arial"/>
        </w:rPr>
        <w:t>.</w:t>
      </w:r>
    </w:p>
    <w:p w14:paraId="5BDE7614" w14:textId="21573EAE" w:rsidR="008F0E9A" w:rsidRDefault="008F0E9A" w:rsidP="008F0E9A">
      <w:pPr>
        <w:spacing w:after="120" w:line="276" w:lineRule="auto"/>
        <w:ind w:firstLine="709"/>
        <w:jc w:val="both"/>
        <w:rPr>
          <w:rFonts w:ascii="Verdana" w:eastAsia="Times New Roman" w:hAnsi="Verdana" w:cs="Arial"/>
          <w:color w:val="000000" w:themeColor="text1"/>
        </w:rPr>
      </w:pPr>
      <w:r w:rsidRPr="00FA53A6">
        <w:rPr>
          <w:rFonts w:ascii="Verdana" w:eastAsia="Calibri" w:hAnsi="Verdana" w:cs="Arial"/>
          <w:lang w:val="es-MX"/>
        </w:rPr>
        <w:t>Por otro lado, los plazos que no han sido regulados expresamente por la ley pueden ser definidos por la entidad estatal en ejercicio de su autonomía</w:t>
      </w:r>
      <w:r>
        <w:rPr>
          <w:rFonts w:ascii="Verdana" w:eastAsia="Calibri" w:hAnsi="Verdana" w:cs="Arial"/>
          <w:lang w:val="es-MX"/>
        </w:rPr>
        <w:t xml:space="preserve"> </w:t>
      </w:r>
      <w:r w:rsidRPr="00706E53">
        <w:rPr>
          <w:rFonts w:ascii="Verdana" w:eastAsia="Calibri" w:hAnsi="Verdana" w:cs="Arial"/>
          <w:lang w:val="es-MX"/>
        </w:rPr>
        <w:t>de manera discrecional y razonable en atención al objeto condiciones y cantidad del proceso</w:t>
      </w:r>
      <w:r w:rsidR="00D41F9A">
        <w:rPr>
          <w:rFonts w:ascii="Verdana" w:eastAsia="Calibri" w:hAnsi="Verdana" w:cs="Arial"/>
          <w:lang w:val="es-MX"/>
        </w:rPr>
        <w:t>,</w:t>
      </w:r>
      <w:r w:rsidRPr="00706E53">
        <w:rPr>
          <w:rFonts w:ascii="Verdana" w:eastAsia="Calibri" w:hAnsi="Verdana" w:cs="Arial"/>
          <w:lang w:val="es-MX"/>
        </w:rPr>
        <w:t xml:space="preserve"> entendiendo que existen procesos más complejos que otros y a los que se presentan un gran número de proponentes</w:t>
      </w:r>
      <w:r>
        <w:rPr>
          <w:rFonts w:ascii="Verdana" w:eastAsia="Calibri" w:hAnsi="Verdana" w:cs="Arial"/>
          <w:lang w:val="es-MX"/>
        </w:rPr>
        <w:t>.</w:t>
      </w:r>
      <w:r>
        <w:rPr>
          <w:rFonts w:ascii="Verdana" w:eastAsia="Calibri" w:hAnsi="Verdana" w:cs="Arial"/>
        </w:rPr>
        <w:t xml:space="preserve"> </w:t>
      </w:r>
      <w:r w:rsidRPr="008C2C92">
        <w:rPr>
          <w:rFonts w:ascii="Verdana" w:eastAsia="Times New Roman" w:hAnsi="Verdana" w:cs="Arial"/>
          <w:color w:val="000000" w:themeColor="text1"/>
        </w:rPr>
        <w:t xml:space="preserve">Adicionalmente, hay normas específicas del EGCAP que establecen la facultad de prorrogar plazos de algunas etapas del proceso, pero en todo caso esto debe efectuarse antes de su vencimiento. A título de ejemplo, el numeral 5 de artículo 30 de la Ley 80 de 1993 señala que la entidad, de oficio o a solicitud de un número plural de posibles oferentes, podrá prorrogar el plazo para el cierre del proceso antes de su vencimiento, por un término no superior a la mitad del inicialmente fijado. De igual manera, el jefe de la entidad puede prorrogar el plazo para efectuar la </w:t>
      </w:r>
      <w:r w:rsidRPr="008C2C92">
        <w:rPr>
          <w:rFonts w:ascii="Verdana" w:eastAsia="Times New Roman" w:hAnsi="Verdana" w:cs="Arial"/>
          <w:color w:val="000000" w:themeColor="text1"/>
        </w:rPr>
        <w:lastRenderedPageBreak/>
        <w:t xml:space="preserve">adjudicación, y para la firma del contrato, respetando los limites perentorios de ley, esto es, antes del vencimiento de dichos plazos y por un término no mayor a la mitad del inicialmente fijado, cuando sea requerido. </w:t>
      </w:r>
    </w:p>
    <w:p w14:paraId="0064D2E8" w14:textId="77777777" w:rsidR="008F0E9A" w:rsidRPr="009A07F1" w:rsidRDefault="008F0E9A" w:rsidP="008F0E9A">
      <w:pPr>
        <w:spacing w:after="120" w:line="276" w:lineRule="auto"/>
        <w:ind w:firstLine="709"/>
        <w:jc w:val="both"/>
        <w:rPr>
          <w:rFonts w:ascii="Verdana" w:eastAsia="Times New Roman" w:hAnsi="Verdana" w:cs="Arial"/>
          <w:color w:val="000000" w:themeColor="text1"/>
        </w:rPr>
      </w:pPr>
      <w:r w:rsidRPr="009A07F1">
        <w:rPr>
          <w:rFonts w:ascii="Verdana" w:eastAsia="Times New Roman" w:hAnsi="Verdana" w:cs="Arial"/>
          <w:color w:val="000000" w:themeColor="text1"/>
        </w:rPr>
        <w:t xml:space="preserve">Las condiciones de participación previstas en los pliegos de condiciones o sus equivalentes, deben ser lo suficientemente claras  para que los interesados tengan en cuenta los plazos y término con el que disponen para elaborar sus ofertas, así como el plazo que se tomará la entidad para estudiarlas y el término en que procederá a la adjudicación o declaratoria de desierta, al punto que, si no se acatan, las consecuencias para uno u otro serán determinantes, tales como rechazar la propuesta por extemporánea o perder la facultad para adjudicar si no se hace en el tiempo previsto. </w:t>
      </w:r>
    </w:p>
    <w:p w14:paraId="36FBC880" w14:textId="77777777" w:rsidR="008F0E9A" w:rsidRDefault="008F0E9A" w:rsidP="008F0E9A">
      <w:pPr>
        <w:spacing w:after="120" w:line="276" w:lineRule="auto"/>
        <w:ind w:firstLine="709"/>
        <w:jc w:val="both"/>
        <w:rPr>
          <w:rFonts w:ascii="Verdana" w:eastAsia="Times New Roman" w:hAnsi="Verdana" w:cs="Arial"/>
          <w:color w:val="000000" w:themeColor="text1"/>
        </w:rPr>
      </w:pPr>
      <w:r w:rsidRPr="00676756">
        <w:rPr>
          <w:rFonts w:ascii="Verdana" w:eastAsia="Calibri" w:hAnsi="Verdana" w:cs="Arial"/>
        </w:rPr>
        <w:t>Finalmente</w:t>
      </w:r>
      <w:r>
        <w:rPr>
          <w:rFonts w:ascii="Verdana" w:eastAsia="Calibri" w:hAnsi="Verdana" w:cs="Arial"/>
        </w:rPr>
        <w:t xml:space="preserve">, </w:t>
      </w:r>
      <w:r w:rsidRPr="00676756">
        <w:rPr>
          <w:rFonts w:ascii="Verdana" w:eastAsia="Calibri" w:hAnsi="Verdana" w:cs="Arial"/>
        </w:rPr>
        <w:t>de conformidad con los mandatos derivados del principio de transparencia, consagrado en el artículo 24 de la Ley 80 de 1993, y lo dispuesto en el artículo 2.2.1.1.2.1.3 del Decreto 1082 de 2015</w:t>
      </w:r>
      <w:r w:rsidRPr="00547EFD">
        <w:rPr>
          <w:vertAlign w:val="superscript"/>
        </w:rPr>
        <w:footnoteReference w:id="7"/>
      </w:r>
      <w:r w:rsidRPr="00676756">
        <w:rPr>
          <w:rFonts w:ascii="Verdana" w:eastAsia="Calibri" w:hAnsi="Verdana" w:cs="Arial"/>
        </w:rPr>
        <w:t>,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w:t>
      </w:r>
      <w:r>
        <w:rPr>
          <w:rFonts w:ascii="Verdana" w:eastAsia="Calibri" w:hAnsi="Verdana" w:cs="Arial"/>
        </w:rPr>
        <w:t xml:space="preserve"> o pliego de condiciones</w:t>
      </w:r>
      <w:r w:rsidRPr="00676756">
        <w:rPr>
          <w:rFonts w:ascii="Verdana" w:eastAsia="Calibri" w:hAnsi="Verdana" w:cs="Arial"/>
        </w:rPr>
        <w:t xml:space="preserve">, el lapso durante el cual recibirán ofertas, definiendo expresamente la hora hasta la cual recibirán las ofertas, de tal manera que este pueda ser conocido con anticipación por los interesados. </w:t>
      </w:r>
      <w:r>
        <w:rPr>
          <w:rFonts w:ascii="Verdana" w:eastAsia="Times New Roman" w:hAnsi="Verdana" w:cs="Arial"/>
          <w:color w:val="000000" w:themeColor="text1"/>
        </w:rPr>
        <w:t xml:space="preserve">Por lo anterior, </w:t>
      </w:r>
      <w:r w:rsidRPr="000525F8">
        <w:rPr>
          <w:rFonts w:ascii="Verdana" w:eastAsia="Times New Roman" w:hAnsi="Verdana" w:cs="Arial"/>
          <w:color w:val="000000" w:themeColor="text1"/>
        </w:rPr>
        <w:t xml:space="preserve">las fechas, horas y plazos de los procesos de contratación se encuentran regulados en el cronograma que establezca la entidad al hacer la invitación a participar o publicar el pliego de condiciones. Sin embargo, los artículos 2.2.1.1.1.7.1 y 2.2.1.1.2.2.1. del Decreto 1082 de 2015 precisan un término y horario para la publicación de las actividades contractuales. </w:t>
      </w:r>
    </w:p>
    <w:p w14:paraId="2532B14A" w14:textId="77777777" w:rsidR="00390A76" w:rsidRPr="000525F8" w:rsidRDefault="00390A76" w:rsidP="008F0E9A">
      <w:pPr>
        <w:spacing w:after="120" w:line="276" w:lineRule="auto"/>
        <w:ind w:firstLine="709"/>
        <w:jc w:val="both"/>
        <w:rPr>
          <w:rFonts w:ascii="Verdana" w:eastAsia="Times New Roman" w:hAnsi="Verdana" w:cs="Arial"/>
          <w:color w:val="000000" w:themeColor="text1"/>
        </w:rPr>
      </w:pPr>
    </w:p>
    <w:p w14:paraId="7447B582" w14:textId="77777777" w:rsidR="008F0E9A" w:rsidRPr="009322DA" w:rsidRDefault="008F0E9A" w:rsidP="008F0E9A">
      <w:pPr>
        <w:jc w:val="both"/>
        <w:rPr>
          <w:rFonts w:ascii="Verdana" w:eastAsia="Calibri" w:hAnsi="Verdana" w:cs="Arial"/>
          <w:b/>
          <w:bCs/>
        </w:rPr>
      </w:pPr>
      <w:r w:rsidRPr="00676756">
        <w:rPr>
          <w:rFonts w:ascii="Verdana" w:eastAsia="Calibri" w:hAnsi="Verdana" w:cs="Arial"/>
        </w:rPr>
        <w:lastRenderedPageBreak/>
        <w:t xml:space="preserve">   </w:t>
      </w:r>
      <w:r w:rsidRPr="009322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F0E9A" w:rsidRPr="009322DA" w14:paraId="77903109" w14:textId="77777777" w:rsidTr="000525F8">
        <w:trPr>
          <w:trHeight w:val="870"/>
        </w:trPr>
        <w:tc>
          <w:tcPr>
            <w:tcW w:w="8647" w:type="dxa"/>
            <w:tcBorders>
              <w:top w:val="dotted" w:sz="4" w:space="0" w:color="auto"/>
              <w:left w:val="dotted" w:sz="4" w:space="0" w:color="auto"/>
              <w:bottom w:val="dotted" w:sz="4" w:space="0" w:color="auto"/>
              <w:right w:val="dotted" w:sz="4" w:space="0" w:color="auto"/>
            </w:tcBorders>
          </w:tcPr>
          <w:p w14:paraId="7E0B30BD" w14:textId="77777777" w:rsidR="008F0E9A" w:rsidRPr="004F5EEA" w:rsidRDefault="008F0E9A" w:rsidP="008F0E9A">
            <w:pPr>
              <w:pStyle w:val="Prrafodelista"/>
              <w:numPr>
                <w:ilvl w:val="0"/>
                <w:numId w:val="17"/>
              </w:numPr>
              <w:jc w:val="both"/>
              <w:rPr>
                <w:rFonts w:ascii="Verdana" w:eastAsia="Calibri" w:hAnsi="Verdana" w:cs="Arial"/>
                <w:bCs/>
              </w:rPr>
            </w:pPr>
            <w:r w:rsidRPr="004F5EEA">
              <w:rPr>
                <w:rFonts w:ascii="Verdana" w:eastAsia="Calibri" w:hAnsi="Verdana" w:cs="Arial"/>
                <w:bCs/>
              </w:rPr>
              <w:t xml:space="preserve">Ley 80 de 1993, articulo 24 y 30 </w:t>
            </w:r>
          </w:p>
          <w:p w14:paraId="0E59ADE3" w14:textId="77777777" w:rsidR="008F0E9A" w:rsidRPr="004F5EEA" w:rsidRDefault="008F0E9A" w:rsidP="008F0E9A">
            <w:pPr>
              <w:pStyle w:val="Prrafodelista"/>
              <w:numPr>
                <w:ilvl w:val="0"/>
                <w:numId w:val="17"/>
              </w:numPr>
              <w:jc w:val="both"/>
              <w:rPr>
                <w:rFonts w:ascii="Verdana" w:eastAsia="Calibri" w:hAnsi="Verdana" w:cs="Arial"/>
                <w:bCs/>
              </w:rPr>
            </w:pPr>
            <w:r w:rsidRPr="004F5EEA">
              <w:rPr>
                <w:rFonts w:ascii="Verdana" w:eastAsia="Calibri" w:hAnsi="Verdana" w:cs="Arial"/>
                <w:bCs/>
              </w:rPr>
              <w:t>Decreto 1082 de 2015, articulo 2.2.1.1.2.2.1,2.2.1.1.2.1.3, 2.2.1.1.1.3.1 literal 11</w:t>
            </w:r>
          </w:p>
          <w:p w14:paraId="21708E3F" w14:textId="77777777" w:rsidR="008F0E9A" w:rsidRPr="004F5EEA" w:rsidRDefault="008F0E9A" w:rsidP="008F0E9A">
            <w:pPr>
              <w:pStyle w:val="Prrafodelista"/>
              <w:numPr>
                <w:ilvl w:val="0"/>
                <w:numId w:val="17"/>
              </w:numPr>
              <w:jc w:val="both"/>
              <w:rPr>
                <w:rFonts w:ascii="Verdana" w:eastAsia="Calibri" w:hAnsi="Verdana" w:cs="Arial"/>
                <w:bCs/>
              </w:rPr>
            </w:pPr>
            <w:r w:rsidRPr="004F5EEA">
              <w:rPr>
                <w:rFonts w:ascii="Verdana" w:eastAsia="Calibri" w:hAnsi="Verdana" w:cs="Arial"/>
                <w:bCs/>
              </w:rPr>
              <w:t>Ley 1150 de 2007</w:t>
            </w:r>
          </w:p>
          <w:p w14:paraId="760DC3E0" w14:textId="77777777" w:rsidR="008F0E9A" w:rsidRPr="004F5EEA" w:rsidRDefault="008F0E9A" w:rsidP="008F0E9A">
            <w:pPr>
              <w:pStyle w:val="Prrafodelista"/>
              <w:numPr>
                <w:ilvl w:val="0"/>
                <w:numId w:val="17"/>
              </w:numPr>
              <w:jc w:val="both"/>
              <w:rPr>
                <w:rFonts w:ascii="Verdana" w:eastAsia="Calibri" w:hAnsi="Verdana" w:cs="Arial"/>
                <w:bCs/>
              </w:rPr>
            </w:pPr>
            <w:r w:rsidRPr="004F5EEA">
              <w:rPr>
                <w:rFonts w:ascii="Verdana" w:eastAsia="Calibri" w:hAnsi="Verdana" w:cs="Arial"/>
                <w:bCs/>
              </w:rPr>
              <w:t>Ley 1882 de 2018, articulo 4</w:t>
            </w:r>
          </w:p>
          <w:p w14:paraId="09206309" w14:textId="77777777" w:rsidR="008F0E9A" w:rsidRPr="004F5EEA" w:rsidRDefault="008F0E9A" w:rsidP="008F0E9A">
            <w:pPr>
              <w:pStyle w:val="Prrafodelista"/>
              <w:numPr>
                <w:ilvl w:val="0"/>
                <w:numId w:val="17"/>
              </w:numPr>
              <w:jc w:val="both"/>
              <w:rPr>
                <w:rFonts w:ascii="Verdana" w:eastAsia="Calibri" w:hAnsi="Verdana" w:cs="Arial"/>
                <w:bCs/>
              </w:rPr>
            </w:pPr>
            <w:r w:rsidRPr="004F5EEA">
              <w:rPr>
                <w:rFonts w:ascii="Verdana" w:eastAsia="Calibri" w:hAnsi="Verdana" w:cs="Arial"/>
                <w:bCs/>
              </w:rPr>
              <w:t>Ley 2022 de 2020</w:t>
            </w:r>
          </w:p>
          <w:p w14:paraId="3A841115" w14:textId="77777777" w:rsidR="008F0E9A" w:rsidRPr="00775458" w:rsidRDefault="008F0E9A" w:rsidP="000525F8">
            <w:pPr>
              <w:widowControl w:val="0"/>
              <w:autoSpaceDE w:val="0"/>
              <w:autoSpaceDN w:val="0"/>
              <w:spacing w:line="276" w:lineRule="auto"/>
              <w:contextualSpacing/>
              <w:jc w:val="both"/>
              <w:rPr>
                <w:rFonts w:ascii="Verdana" w:hAnsi="Verdana" w:cs="Arial"/>
              </w:rPr>
            </w:pPr>
          </w:p>
        </w:tc>
      </w:tr>
    </w:tbl>
    <w:p w14:paraId="71B62160" w14:textId="77777777" w:rsidR="008F0E9A" w:rsidRPr="009322DA" w:rsidRDefault="008F0E9A" w:rsidP="008F0E9A">
      <w:pPr>
        <w:tabs>
          <w:tab w:val="left" w:pos="142"/>
          <w:tab w:val="left" w:pos="284"/>
        </w:tabs>
        <w:spacing w:after="0" w:line="276" w:lineRule="auto"/>
        <w:jc w:val="both"/>
        <w:rPr>
          <w:rFonts w:ascii="Verdana" w:eastAsia="Calibri" w:hAnsi="Verdana" w:cs="Arial"/>
        </w:rPr>
      </w:pPr>
    </w:p>
    <w:p w14:paraId="732B4A7F" w14:textId="77777777" w:rsidR="008F0E9A" w:rsidRPr="009322DA" w:rsidRDefault="008F0E9A" w:rsidP="008F0E9A">
      <w:pPr>
        <w:tabs>
          <w:tab w:val="left" w:pos="142"/>
          <w:tab w:val="left" w:pos="284"/>
        </w:tabs>
        <w:spacing w:after="0" w:line="276" w:lineRule="auto"/>
        <w:jc w:val="both"/>
        <w:rPr>
          <w:rFonts w:ascii="Verdana" w:eastAsia="Century Gothic" w:hAnsi="Verdana" w:cs="Century Gothic"/>
          <w:b/>
          <w:bCs/>
          <w:lang w:val="es-ES"/>
        </w:rPr>
      </w:pPr>
      <w:r w:rsidRPr="00F50092">
        <w:rPr>
          <w:rFonts w:ascii="Verdana" w:eastAsia="Calibri" w:hAnsi="Verdana" w:cs="Arial"/>
          <w:b/>
          <w:bCs/>
        </w:rPr>
        <w:t>5.</w:t>
      </w:r>
      <w:r>
        <w:rPr>
          <w:rFonts w:ascii="Verdana" w:eastAsia="Calibri" w:hAnsi="Verdana" w:cs="Arial"/>
        </w:rPr>
        <w:t xml:space="preserve"> </w:t>
      </w:r>
      <w:r w:rsidRPr="009322DA">
        <w:rPr>
          <w:rFonts w:ascii="Verdana" w:eastAsia="Century Gothic" w:hAnsi="Verdana" w:cs="Century Gothic"/>
          <w:b/>
          <w:bCs/>
          <w:lang w:val="es-ES"/>
        </w:rPr>
        <w:t>Doctrina de la Agencia Nacional de Contratación Pública:</w:t>
      </w:r>
    </w:p>
    <w:p w14:paraId="5ED5D642" w14:textId="77777777" w:rsidR="008F0E9A" w:rsidRPr="009322DA" w:rsidRDefault="008F0E9A" w:rsidP="008F0E9A">
      <w:pPr>
        <w:widowControl w:val="0"/>
        <w:autoSpaceDE w:val="0"/>
        <w:autoSpaceDN w:val="0"/>
        <w:spacing w:after="0" w:line="276" w:lineRule="auto"/>
        <w:jc w:val="both"/>
        <w:rPr>
          <w:rFonts w:ascii="Verdana" w:eastAsia="Calibri" w:hAnsi="Verdana" w:cs="Arial"/>
        </w:rPr>
      </w:pPr>
    </w:p>
    <w:p w14:paraId="4C898003" w14:textId="39645792" w:rsidR="008F0E9A" w:rsidRDefault="008F0E9A" w:rsidP="008F0E9A">
      <w:pPr>
        <w:widowControl w:val="0"/>
        <w:autoSpaceDE w:val="0"/>
        <w:autoSpaceDN w:val="0"/>
        <w:spacing w:after="0" w:line="276" w:lineRule="auto"/>
        <w:jc w:val="both"/>
        <w:rPr>
          <w:rFonts w:ascii="Verdana" w:eastAsia="Calibri" w:hAnsi="Verdana" w:cs="Arial"/>
          <w:shd w:val="clear" w:color="auto" w:fill="FFFFFF"/>
          <w:lang w:val="es-ES"/>
        </w:rPr>
      </w:pPr>
      <w:r w:rsidRPr="00C269C0">
        <w:rPr>
          <w:rFonts w:ascii="Verdana" w:eastAsia="Calibri" w:hAnsi="Verdana" w:cs="Arial"/>
          <w:shd w:val="clear" w:color="auto" w:fill="FFFFFF"/>
        </w:rPr>
        <w:t>L</w:t>
      </w:r>
      <w:r w:rsidRPr="00C269C0">
        <w:rPr>
          <w:rFonts w:ascii="Verdana" w:eastAsia="Calibri" w:hAnsi="Verdana" w:cs="Arial"/>
          <w:shd w:val="clear" w:color="auto" w:fill="FFFFFF"/>
          <w:lang w:val="es-ES"/>
        </w:rPr>
        <w:t xml:space="preserve">a Agencia Nacional de Contratación Pública – Colombia Compra Eficiente, </w:t>
      </w:r>
      <w:r w:rsidR="001226FC">
        <w:rPr>
          <w:rFonts w:ascii="Verdana" w:eastAsia="Calibri" w:hAnsi="Verdana" w:cs="Arial"/>
          <w:shd w:val="clear" w:color="auto" w:fill="FFFFFF"/>
          <w:lang w:val="es-ES"/>
        </w:rPr>
        <w:t>se ha pronunciado sobre el cronograma en los procesos de contratación</w:t>
      </w:r>
      <w:r w:rsidR="001226FC" w:rsidRPr="00C269C0">
        <w:rPr>
          <w:rFonts w:ascii="Verdana" w:eastAsia="Calibri" w:hAnsi="Verdana" w:cs="Arial"/>
          <w:shd w:val="clear" w:color="auto" w:fill="FFFFFF"/>
          <w:lang w:val="es-ES"/>
        </w:rPr>
        <w:t xml:space="preserve"> </w:t>
      </w:r>
      <w:r w:rsidRPr="00C269C0">
        <w:rPr>
          <w:rFonts w:ascii="Verdana" w:eastAsia="Calibri" w:hAnsi="Verdana" w:cs="Arial"/>
          <w:shd w:val="clear" w:color="auto" w:fill="FFFFFF"/>
          <w:lang w:val="es-ES"/>
        </w:rPr>
        <w:t>en los conceptos</w:t>
      </w:r>
      <w:r>
        <w:rPr>
          <w:rFonts w:ascii="Verdana" w:eastAsia="Calibri" w:hAnsi="Verdana" w:cs="Arial"/>
          <w:shd w:val="clear" w:color="auto" w:fill="FFFFFF"/>
          <w:lang w:val="es-ES"/>
        </w:rPr>
        <w:t xml:space="preserve"> C- 218 del 13 de julio de 2023, C- 065 del 20 de mayo de 2024, C- 284 del 08 de julio de 2024, C- 299 del 21 de agosto de 2024, C- 393 del 09 de septiembre de 2024, C- 415 del 12 de septiembre de 2024, C- 432 del 16 de septiembre de 2024, C- 493 del 01 de octubre de 2024, C- 782 del 18 de noviembre de 2024, C- 793 del 18 de noviembre de 2024 y C- 861 del 12 de diciembre de 2024.</w:t>
      </w:r>
    </w:p>
    <w:p w14:paraId="5200CB5B" w14:textId="77777777" w:rsidR="008F0E9A" w:rsidRDefault="008F0E9A" w:rsidP="008F0E9A">
      <w:pPr>
        <w:widowControl w:val="0"/>
        <w:autoSpaceDE w:val="0"/>
        <w:autoSpaceDN w:val="0"/>
        <w:spacing w:after="0" w:line="276" w:lineRule="auto"/>
        <w:jc w:val="both"/>
        <w:rPr>
          <w:rFonts w:ascii="Verdana" w:eastAsia="Calibri" w:hAnsi="Verdana" w:cs="Arial"/>
          <w:shd w:val="clear" w:color="auto" w:fill="FFFFFF"/>
          <w:lang w:val="es-ES"/>
        </w:rPr>
      </w:pPr>
    </w:p>
    <w:p w14:paraId="03863ADA" w14:textId="77777777" w:rsidR="008F0E9A" w:rsidRPr="000C14B8" w:rsidRDefault="008F0E9A" w:rsidP="008F0E9A">
      <w:pPr>
        <w:widowControl w:val="0"/>
        <w:autoSpaceDE w:val="0"/>
        <w:autoSpaceDN w:val="0"/>
        <w:spacing w:after="0" w:line="276" w:lineRule="auto"/>
        <w:jc w:val="both"/>
        <w:rPr>
          <w:rFonts w:ascii="Verdana" w:hAnsi="Verdana" w:cs="Arial"/>
          <w:color w:val="000000" w:themeColor="text1"/>
          <w:shd w:val="clear" w:color="auto" w:fill="FFFFFF"/>
          <w:lang w:val="es-ES"/>
        </w:rPr>
      </w:pPr>
      <w:r w:rsidRPr="3F2B4452">
        <w:rPr>
          <w:rFonts w:ascii="Verdana" w:eastAsia="Calibri" w:hAnsi="Verdana" w:cs="Arial"/>
          <w:lang w:val="es-ES" w:eastAsia="es-ES"/>
        </w:rPr>
        <w:t>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4F8C7A09" w14:textId="77777777" w:rsidR="008F0E9A" w:rsidRPr="00505CD6" w:rsidRDefault="008F0E9A" w:rsidP="008F0E9A">
      <w:pPr>
        <w:widowControl w:val="0"/>
        <w:autoSpaceDE w:val="0"/>
        <w:autoSpaceDN w:val="0"/>
        <w:spacing w:after="0" w:line="276" w:lineRule="auto"/>
        <w:jc w:val="both"/>
        <w:rPr>
          <w:rFonts w:ascii="Verdana" w:hAnsi="Verdana" w:cs="Arial"/>
          <w:color w:val="000000" w:themeColor="text1"/>
          <w:shd w:val="clear" w:color="auto" w:fill="FFFFFF"/>
        </w:rPr>
      </w:pPr>
    </w:p>
    <w:p w14:paraId="5B3297FD" w14:textId="77777777" w:rsidR="008F0E9A" w:rsidRPr="00A73656" w:rsidRDefault="008F0E9A" w:rsidP="008F0E9A">
      <w:pPr>
        <w:spacing w:after="0" w:line="276" w:lineRule="auto"/>
        <w:jc w:val="both"/>
        <w:rPr>
          <w:rFonts w:ascii="Verdana" w:eastAsia="Calibri" w:hAnsi="Verdana" w:cs="Arial"/>
          <w:shd w:val="clear" w:color="auto" w:fill="FFFFFF"/>
        </w:rPr>
      </w:pPr>
      <w:r w:rsidRPr="00A73656">
        <w:rPr>
          <w:rFonts w:ascii="Verdana" w:eastAsia="Calibri" w:hAnsi="Verdana" w:cs="Arial"/>
          <w:shd w:val="clear" w:color="auto" w:fill="FFFFFF"/>
        </w:rPr>
        <w:t>Te informamos que ya se encuentra disponible la </w:t>
      </w:r>
      <w:r w:rsidRPr="00A73656">
        <w:rPr>
          <w:rFonts w:ascii="Verdana" w:eastAsia="Calibri" w:hAnsi="Verdana" w:cs="Arial"/>
          <w:b/>
          <w:bCs/>
          <w:shd w:val="clear" w:color="auto" w:fill="FFFFFF"/>
        </w:rPr>
        <w:t>Cartilla para incentivar y fortalecer el acceso a las compras y contratación pública de los pueblos y comunidades étnicas en Colombia.</w:t>
      </w:r>
      <w:r w:rsidRPr="00A73656">
        <w:rPr>
          <w:rFonts w:ascii="Verdana" w:eastAsia="Calibri" w:hAnsi="Verdana" w:cs="Arial"/>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1" w:tgtFrame="_blank" w:tooltip="Dirección URL original: https://www.colombiacompra.gov.co/manuales-guias-y-pliegos-tipo/manuales-y-guias/cartilla-para-incentivar-y-fortalecer-el-acceso-las. Haga clic o pulse si confía en este vínculo." w:history="1">
        <w:r w:rsidRPr="00A73656">
          <w:rPr>
            <w:rFonts w:ascii="Verdana" w:eastAsia="Calibri" w:hAnsi="Verdana" w:cs="Arial"/>
            <w:color w:val="0563C1" w:themeColor="hyperlink"/>
            <w:u w:val="single"/>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3EFDB441" w14:textId="77777777" w:rsidR="008F0E9A" w:rsidRDefault="008F0E9A" w:rsidP="008F0E9A">
      <w:pPr>
        <w:widowControl w:val="0"/>
        <w:autoSpaceDE w:val="0"/>
        <w:autoSpaceDN w:val="0"/>
        <w:spacing w:after="0" w:line="276" w:lineRule="auto"/>
        <w:jc w:val="both"/>
      </w:pPr>
    </w:p>
    <w:p w14:paraId="5B5AA83E" w14:textId="77777777" w:rsidR="008F0E9A" w:rsidRPr="00505CD6" w:rsidRDefault="008F0E9A" w:rsidP="008F0E9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 xml:space="preserve">y las </w:t>
      </w:r>
      <w:r w:rsidRPr="00505CD6">
        <w:rPr>
          <w:rFonts w:ascii="Verdana" w:hAnsi="Verdana" w:cs="Arial"/>
          <w:lang w:val="es-ES_tradnl"/>
        </w:rPr>
        <w:lastRenderedPageBreak/>
        <w:t>expresiones aquí utilizadas con mayúscula inicial deben ser entendidas con el significado que les otorga el artículo 2.2.1.1.1.3.1. del Decreto 1082 de 2015.</w:t>
      </w:r>
    </w:p>
    <w:p w14:paraId="3FF53F8B" w14:textId="77777777" w:rsidR="008F0E9A" w:rsidRPr="00505CD6" w:rsidRDefault="008F0E9A" w:rsidP="008F0E9A">
      <w:pPr>
        <w:widowControl w:val="0"/>
        <w:autoSpaceDE w:val="0"/>
        <w:autoSpaceDN w:val="0"/>
        <w:spacing w:after="0" w:line="276" w:lineRule="auto"/>
        <w:jc w:val="both"/>
        <w:rPr>
          <w:rFonts w:ascii="Verdana" w:hAnsi="Verdana" w:cs="Arial"/>
        </w:rPr>
      </w:pPr>
    </w:p>
    <w:p w14:paraId="3E939C5A" w14:textId="77777777" w:rsidR="008F0E9A" w:rsidRPr="006D034C" w:rsidRDefault="008F0E9A" w:rsidP="008F0E9A">
      <w:pPr>
        <w:spacing w:after="0" w:line="276" w:lineRule="auto"/>
        <w:rPr>
          <w:rFonts w:ascii="Verdana" w:hAnsi="Verdana" w:cs="Arial"/>
          <w:lang w:eastAsia="es-CO"/>
        </w:rPr>
      </w:pPr>
      <w:r w:rsidRPr="006D034C">
        <w:rPr>
          <w:rFonts w:ascii="Verdana" w:eastAsia="Times New Roman" w:hAnsi="Verdana" w:cs="Arial"/>
          <w:lang w:eastAsia="es-CO"/>
        </w:rPr>
        <w:t>Atentamente,</w:t>
      </w:r>
      <w:r w:rsidRPr="006D034C">
        <w:rPr>
          <w:rFonts w:ascii="Verdana" w:hAnsi="Verdana" w:cs="Arial"/>
          <w:lang w:eastAsia="es-CO"/>
        </w:rPr>
        <w:t xml:space="preserve"> </w:t>
      </w:r>
    </w:p>
    <w:p w14:paraId="3FE1EEE7" w14:textId="6F25DC49" w:rsidR="008F0E9A" w:rsidRDefault="00935220" w:rsidP="008F0E9A">
      <w:pPr>
        <w:spacing w:after="0"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A80C2B9" wp14:editId="58BB03C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5996F553" w14:textId="77777777" w:rsidR="008F0E9A" w:rsidRPr="007A0E81" w:rsidRDefault="008F0E9A" w:rsidP="008F0E9A">
      <w:pPr>
        <w:spacing w:after="0" w:line="276" w:lineRule="auto"/>
        <w:jc w:val="center"/>
        <w:rPr>
          <w:rFonts w:ascii="Verdana" w:hAnsi="Verdana" w:cs="Arial"/>
          <w:color w:val="000000"/>
          <w:lang w:val="es-ES_tradnl" w:eastAsia="es-CO"/>
        </w:rPr>
      </w:pPr>
    </w:p>
    <w:p w14:paraId="0F4E5017" w14:textId="77777777" w:rsidR="008F0E9A" w:rsidRDefault="008F0E9A" w:rsidP="008F0E9A">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F0E9A" w:rsidRPr="007A0E81" w14:paraId="10E4EF29" w14:textId="77777777" w:rsidTr="000525F8">
        <w:trPr>
          <w:trHeight w:val="315"/>
        </w:trPr>
        <w:tc>
          <w:tcPr>
            <w:tcW w:w="893" w:type="dxa"/>
            <w:vAlign w:val="center"/>
            <w:hideMark/>
          </w:tcPr>
          <w:p w14:paraId="4A633B27" w14:textId="77777777" w:rsidR="008F0E9A" w:rsidRPr="007A0E81" w:rsidRDefault="008F0E9A" w:rsidP="000525F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E114DE" w14:textId="77777777" w:rsidR="008F0E9A" w:rsidRPr="007A0E81" w:rsidRDefault="008F0E9A" w:rsidP="000525F8">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64EA7059" w14:textId="77777777" w:rsidR="008F0E9A" w:rsidRPr="007A0E81" w:rsidRDefault="008F0E9A" w:rsidP="000525F8">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8F0E9A" w:rsidRPr="007A0E81" w14:paraId="6A89486B" w14:textId="77777777" w:rsidTr="000525F8">
        <w:trPr>
          <w:trHeight w:val="330"/>
        </w:trPr>
        <w:tc>
          <w:tcPr>
            <w:tcW w:w="893" w:type="dxa"/>
            <w:vAlign w:val="center"/>
            <w:hideMark/>
          </w:tcPr>
          <w:p w14:paraId="39B7AFCB" w14:textId="77777777" w:rsidR="008F0E9A" w:rsidRPr="007A0E81" w:rsidRDefault="008F0E9A" w:rsidP="000525F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DFC58D" w14:textId="77777777" w:rsidR="008F0E9A" w:rsidRPr="007A0E81" w:rsidRDefault="008F0E9A" w:rsidP="000525F8">
            <w:pPr>
              <w:spacing w:line="276" w:lineRule="auto"/>
              <w:rPr>
                <w:rFonts w:ascii="Verdana" w:eastAsia="Times New Roman" w:hAnsi="Verdana" w:cs="Arial"/>
                <w:color w:val="000000"/>
                <w:sz w:val="16"/>
                <w:szCs w:val="16"/>
              </w:rPr>
            </w:pPr>
            <w:r w:rsidRPr="4CB833AE">
              <w:rPr>
                <w:rFonts w:ascii="Verdana" w:eastAsia="Times New Roman" w:hAnsi="Verdana" w:cs="Arial"/>
                <w:color w:val="000000" w:themeColor="text1"/>
                <w:sz w:val="16"/>
                <w:szCs w:val="16"/>
              </w:rPr>
              <w:t>Juan Carlos González Vásquez</w:t>
            </w:r>
          </w:p>
          <w:p w14:paraId="61AAA503" w14:textId="77777777" w:rsidR="008F0E9A" w:rsidRPr="007A0E81" w:rsidRDefault="008F0E9A" w:rsidP="000525F8">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8F0E9A" w:rsidRPr="007A0E81" w14:paraId="770067A9" w14:textId="77777777" w:rsidTr="000525F8">
        <w:trPr>
          <w:trHeight w:val="300"/>
        </w:trPr>
        <w:tc>
          <w:tcPr>
            <w:tcW w:w="893" w:type="dxa"/>
            <w:vAlign w:val="center"/>
          </w:tcPr>
          <w:p w14:paraId="2FAC1307" w14:textId="77777777" w:rsidR="008F0E9A" w:rsidRPr="007A0E81" w:rsidRDefault="008F0E9A" w:rsidP="000525F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62CB6E" w14:textId="77777777" w:rsidR="008F0E9A" w:rsidRPr="007A0E81" w:rsidRDefault="008F0E9A" w:rsidP="000525F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24233DA3" w14:textId="77777777" w:rsidR="008F0E9A" w:rsidRPr="007A0E81" w:rsidRDefault="008F0E9A" w:rsidP="000525F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6595A93E" w14:textId="77777777" w:rsidR="008F0E9A" w:rsidRPr="0035417C" w:rsidRDefault="008F0E9A" w:rsidP="008F0E9A">
      <w:pPr>
        <w:spacing w:after="0"/>
        <w:rPr>
          <w:rFonts w:ascii="Verdana" w:hAnsi="Verdana"/>
          <w:lang w:val="es-ES"/>
        </w:rPr>
      </w:pPr>
    </w:p>
    <w:p w14:paraId="398A8A43" w14:textId="77777777" w:rsidR="008F0E9A" w:rsidRPr="0044528D" w:rsidRDefault="008F0E9A" w:rsidP="008F0E9A">
      <w:pPr>
        <w:spacing w:after="0"/>
        <w:jc w:val="both"/>
        <w:rPr>
          <w:rStyle w:val="Hipervnculo"/>
          <w:rFonts w:ascii="Verdana" w:hAnsi="Verdana"/>
        </w:rPr>
      </w:pPr>
    </w:p>
    <w:p w14:paraId="12E704E8" w14:textId="77777777" w:rsidR="008F0E9A" w:rsidRPr="0044528D" w:rsidRDefault="008F0E9A" w:rsidP="008F0E9A">
      <w:pPr>
        <w:spacing w:after="0"/>
        <w:jc w:val="both"/>
        <w:rPr>
          <w:rStyle w:val="Hipervnculo"/>
          <w:rFonts w:ascii="Verdana" w:hAnsi="Verdana"/>
        </w:rPr>
      </w:pPr>
    </w:p>
    <w:p w14:paraId="43B40695" w14:textId="77777777" w:rsidR="008F0E9A" w:rsidRPr="0044528D" w:rsidRDefault="008F0E9A" w:rsidP="008F0E9A">
      <w:pPr>
        <w:spacing w:after="0"/>
        <w:jc w:val="both"/>
        <w:rPr>
          <w:rStyle w:val="Hipervnculo"/>
          <w:rFonts w:ascii="Verdana" w:hAnsi="Verdana"/>
        </w:rPr>
      </w:pPr>
    </w:p>
    <w:p w14:paraId="6C6D54D9" w14:textId="77777777" w:rsidR="008F0E9A" w:rsidRPr="0044528D" w:rsidRDefault="008F0E9A" w:rsidP="008F0E9A">
      <w:pPr>
        <w:spacing w:after="0" w:line="240" w:lineRule="auto"/>
        <w:textAlignment w:val="baseline"/>
        <w:rPr>
          <w:rFonts w:ascii="Verdana" w:eastAsia="Times New Roman" w:hAnsi="Verdana" w:cs="Segoe UI"/>
          <w:b/>
          <w:bCs/>
          <w:color w:val="46589C"/>
          <w:lang w:val="es-ES" w:eastAsia="es-CO"/>
        </w:rPr>
      </w:pPr>
    </w:p>
    <w:p w14:paraId="395CF70D" w14:textId="77777777" w:rsidR="008F0E9A" w:rsidRDefault="008F0E9A" w:rsidP="008F0E9A">
      <w:pPr>
        <w:spacing w:line="276" w:lineRule="auto"/>
        <w:jc w:val="center"/>
        <w:rPr>
          <w:rFonts w:ascii="Verdana" w:hAnsi="Verdana"/>
          <w:noProof/>
        </w:rPr>
      </w:pPr>
    </w:p>
    <w:p w14:paraId="3E7E8F0E" w14:textId="77777777" w:rsidR="008F0E9A" w:rsidRPr="00FA58F9" w:rsidRDefault="008F0E9A" w:rsidP="008F0E9A">
      <w:pPr>
        <w:spacing w:line="276" w:lineRule="auto"/>
        <w:jc w:val="center"/>
        <w:rPr>
          <w:rFonts w:ascii="Verdana" w:hAnsi="Verdana"/>
          <w:noProof/>
        </w:rPr>
      </w:pPr>
    </w:p>
    <w:p w14:paraId="1842E40E" w14:textId="77777777" w:rsidR="008F0E9A" w:rsidRPr="0044528D" w:rsidRDefault="008F0E9A" w:rsidP="008F0E9A">
      <w:pPr>
        <w:spacing w:after="0"/>
        <w:rPr>
          <w:rFonts w:ascii="Verdana" w:hAnsi="Verdana"/>
        </w:rPr>
      </w:pPr>
    </w:p>
    <w:p w14:paraId="5933AA00" w14:textId="77777777" w:rsidR="008F0E9A" w:rsidRPr="00EA6F8B" w:rsidRDefault="008F0E9A" w:rsidP="008F0E9A"/>
    <w:p w14:paraId="2E0DB5B1" w14:textId="77777777" w:rsidR="008F0E9A" w:rsidRPr="00DE435A" w:rsidRDefault="008F0E9A" w:rsidP="008F0E9A">
      <w:pPr>
        <w:rPr>
          <w:lang w:val="es-ES"/>
        </w:rPr>
      </w:pPr>
    </w:p>
    <w:p w14:paraId="5F000C29" w14:textId="77777777" w:rsidR="008F0E9A" w:rsidRPr="0044528D" w:rsidRDefault="008F0E9A" w:rsidP="008F0E9A">
      <w:pPr>
        <w:spacing w:after="0"/>
        <w:jc w:val="both"/>
        <w:rPr>
          <w:rStyle w:val="Hipervnculo"/>
          <w:rFonts w:ascii="Verdana" w:hAnsi="Verdana"/>
        </w:rPr>
      </w:pPr>
    </w:p>
    <w:p w14:paraId="1FDF57F7" w14:textId="77777777" w:rsidR="008F0E9A" w:rsidRPr="00304415" w:rsidRDefault="008F0E9A" w:rsidP="008F0E9A">
      <w:pPr>
        <w:spacing w:after="0" w:line="240" w:lineRule="auto"/>
        <w:jc w:val="both"/>
      </w:pPr>
    </w:p>
    <w:bookmarkEnd w:id="0"/>
    <w:p w14:paraId="50D9A252" w14:textId="77777777" w:rsidR="008F0E9A" w:rsidRPr="0044528D" w:rsidRDefault="008F0E9A" w:rsidP="00E245AB">
      <w:pPr>
        <w:spacing w:after="0"/>
        <w:rPr>
          <w:rFonts w:ascii="Verdana" w:hAnsi="Verdana"/>
        </w:rPr>
      </w:pPr>
    </w:p>
    <w:sectPr w:rsidR="008F0E9A" w:rsidRPr="0044528D" w:rsidSect="00250537">
      <w:headerReference w:type="default" r:id="rId13"/>
      <w:footerReference w:type="default" r:id="rId14"/>
      <w:pgSz w:w="12240" w:h="15840" w:code="1"/>
      <w:pgMar w:top="1417" w:right="1701" w:bottom="1417" w:left="1701" w:header="709" w:footer="9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F1F08" w14:textId="77777777" w:rsidR="00E272EC" w:rsidRDefault="00E272EC" w:rsidP="004A1847">
      <w:pPr>
        <w:spacing w:after="0" w:line="240" w:lineRule="auto"/>
      </w:pPr>
      <w:r>
        <w:separator/>
      </w:r>
    </w:p>
  </w:endnote>
  <w:endnote w:type="continuationSeparator" w:id="0">
    <w:p w14:paraId="06B9D535" w14:textId="77777777" w:rsidR="00E272EC" w:rsidRDefault="00E272E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B026E" w14:textId="77777777" w:rsidR="00E272EC" w:rsidRDefault="00E272EC" w:rsidP="004A1847">
      <w:pPr>
        <w:spacing w:after="0" w:line="240" w:lineRule="auto"/>
      </w:pPr>
      <w:r>
        <w:separator/>
      </w:r>
    </w:p>
  </w:footnote>
  <w:footnote w:type="continuationSeparator" w:id="0">
    <w:p w14:paraId="014986DD" w14:textId="77777777" w:rsidR="00E272EC" w:rsidRDefault="00E272EC" w:rsidP="004A1847">
      <w:pPr>
        <w:spacing w:after="0" w:line="240" w:lineRule="auto"/>
      </w:pPr>
      <w:r>
        <w:continuationSeparator/>
      </w:r>
    </w:p>
  </w:footnote>
  <w:footnote w:id="1">
    <w:p w14:paraId="135949C6" w14:textId="77777777" w:rsidR="008F0E9A" w:rsidRPr="009A07F1" w:rsidRDefault="008F0E9A" w:rsidP="008F0E9A">
      <w:pPr>
        <w:pStyle w:val="Textonotapie"/>
        <w:ind w:firstLine="709"/>
        <w:rPr>
          <w:lang w:val="es-ES"/>
        </w:rPr>
      </w:pPr>
      <w:r>
        <w:rPr>
          <w:rStyle w:val="Refdenotaalpie"/>
        </w:rPr>
        <w:footnoteRef/>
      </w:r>
      <w:r>
        <w:t xml:space="preserve"> </w:t>
      </w:r>
      <w:r w:rsidRPr="00A66F55">
        <w:rPr>
          <w:lang w:val="es-CO"/>
        </w:rPr>
        <w:t xml:space="preserve">Artículo 2.2.1.1.2.1.4. </w:t>
      </w:r>
      <w:r>
        <w:rPr>
          <w:lang w:val="es-CO"/>
        </w:rPr>
        <w:t>d</w:t>
      </w:r>
      <w:r w:rsidRPr="00A66F55">
        <w:rPr>
          <w:lang w:val="es-CO"/>
        </w:rPr>
        <w:t xml:space="preserve">el Decreto 1082 </w:t>
      </w:r>
      <w:r>
        <w:rPr>
          <w:lang w:val="es-CO"/>
        </w:rPr>
        <w:t>d</w:t>
      </w:r>
      <w:r w:rsidRPr="00A66F55">
        <w:rPr>
          <w:lang w:val="es-CO"/>
        </w:rPr>
        <w:t>e 2015</w:t>
      </w:r>
    </w:p>
  </w:footnote>
  <w:footnote w:id="2">
    <w:p w14:paraId="636FE587" w14:textId="77777777" w:rsidR="008F0E9A" w:rsidRPr="009A07F1" w:rsidRDefault="008F0E9A" w:rsidP="008F0E9A">
      <w:pPr>
        <w:pStyle w:val="Textonotapie"/>
        <w:ind w:firstLine="709"/>
        <w:rPr>
          <w:lang w:val="es-ES"/>
        </w:rPr>
      </w:pPr>
      <w:r w:rsidRPr="00A66F55">
        <w:rPr>
          <w:rStyle w:val="Refdenotaalpie"/>
        </w:rPr>
        <w:footnoteRef/>
      </w:r>
      <w:r w:rsidRPr="00A66F55">
        <w:t xml:space="preserve"> </w:t>
      </w:r>
      <w:r w:rsidRPr="00A66F55">
        <w:rPr>
          <w:lang w:val="es-CO"/>
        </w:rPr>
        <w:t>Artículo 2.2.1.1.2.2.1.</w:t>
      </w:r>
      <w:r>
        <w:rPr>
          <w:lang w:val="es-CO"/>
        </w:rPr>
        <w:t xml:space="preserve"> d</w:t>
      </w:r>
      <w:r w:rsidRPr="00A66F55">
        <w:rPr>
          <w:lang w:val="es-CO"/>
        </w:rPr>
        <w:t xml:space="preserve">el Decreto 1082 </w:t>
      </w:r>
      <w:r>
        <w:rPr>
          <w:lang w:val="es-CO"/>
        </w:rPr>
        <w:t>d</w:t>
      </w:r>
      <w:r w:rsidRPr="00A66F55">
        <w:rPr>
          <w:lang w:val="es-CO"/>
        </w:rPr>
        <w:t>e 2015</w:t>
      </w:r>
    </w:p>
  </w:footnote>
  <w:footnote w:id="3">
    <w:p w14:paraId="56C55983" w14:textId="77777777" w:rsidR="008F0E9A" w:rsidRPr="009A07F1" w:rsidRDefault="008F0E9A" w:rsidP="008F0E9A">
      <w:pPr>
        <w:pStyle w:val="Textonotapie"/>
        <w:ind w:firstLine="709"/>
        <w:rPr>
          <w:lang w:val="es-ES"/>
        </w:rPr>
      </w:pPr>
      <w:r>
        <w:rPr>
          <w:rStyle w:val="Refdenotaalpie"/>
        </w:rPr>
        <w:footnoteRef/>
      </w:r>
      <w:r>
        <w:t xml:space="preserve"> </w:t>
      </w:r>
      <w:r w:rsidRPr="00A66F55">
        <w:rPr>
          <w:lang w:val="es-CO"/>
        </w:rPr>
        <w:t>Artículo </w:t>
      </w:r>
      <w:bookmarkStart w:id="2" w:name="2.2.1.1.2.1.4"/>
      <w:bookmarkEnd w:id="2"/>
      <w:r w:rsidRPr="00A66F55">
        <w:rPr>
          <w:lang w:val="es-CO"/>
        </w:rPr>
        <w:t xml:space="preserve">2.2.1.1.2.1.4. </w:t>
      </w:r>
      <w:r>
        <w:rPr>
          <w:lang w:val="es-CO"/>
        </w:rPr>
        <w:t>d</w:t>
      </w:r>
      <w:r w:rsidRPr="00A66F55">
        <w:rPr>
          <w:lang w:val="es-CO"/>
        </w:rPr>
        <w:t xml:space="preserve">el Decreto 1082 </w:t>
      </w:r>
      <w:r>
        <w:rPr>
          <w:lang w:val="es-CO"/>
        </w:rPr>
        <w:t>d</w:t>
      </w:r>
      <w:r w:rsidRPr="00A66F55">
        <w:rPr>
          <w:lang w:val="es-CO"/>
        </w:rPr>
        <w:t>e 2015</w:t>
      </w:r>
    </w:p>
  </w:footnote>
  <w:footnote w:id="4">
    <w:p w14:paraId="6C07DEE3" w14:textId="77777777" w:rsidR="008F0E9A" w:rsidRPr="009A07F1" w:rsidRDefault="008F0E9A" w:rsidP="008F0E9A">
      <w:pPr>
        <w:pStyle w:val="Textonotapie"/>
        <w:ind w:firstLine="709"/>
        <w:rPr>
          <w:lang w:val="es-ES"/>
        </w:rPr>
      </w:pPr>
      <w:r w:rsidRPr="00A66F55">
        <w:rPr>
          <w:rStyle w:val="Refdenotaalpie"/>
        </w:rPr>
        <w:footnoteRef/>
      </w:r>
      <w:r w:rsidRPr="00A66F55">
        <w:t xml:space="preserve"> </w:t>
      </w:r>
      <w:r w:rsidRPr="00A66F55">
        <w:rPr>
          <w:lang w:val="es-CO"/>
        </w:rPr>
        <w:t>Artículo </w:t>
      </w:r>
      <w:bookmarkStart w:id="3" w:name="2.2.1.1.2.2.1"/>
      <w:bookmarkEnd w:id="3"/>
      <w:r w:rsidRPr="00A66F55">
        <w:rPr>
          <w:lang w:val="es-CO"/>
        </w:rPr>
        <w:t>2.2.1.1.2.2.1.</w:t>
      </w:r>
      <w:r>
        <w:rPr>
          <w:lang w:val="es-CO"/>
        </w:rPr>
        <w:t xml:space="preserve"> d</w:t>
      </w:r>
      <w:r w:rsidRPr="00A66F55">
        <w:rPr>
          <w:lang w:val="es-CO"/>
        </w:rPr>
        <w:t xml:space="preserve">el Decreto 1082 </w:t>
      </w:r>
      <w:r>
        <w:rPr>
          <w:lang w:val="es-CO"/>
        </w:rPr>
        <w:t>d</w:t>
      </w:r>
      <w:r w:rsidRPr="00A66F55">
        <w:rPr>
          <w:lang w:val="es-CO"/>
        </w:rPr>
        <w:t>e 2015</w:t>
      </w:r>
    </w:p>
  </w:footnote>
  <w:footnote w:id="5">
    <w:p w14:paraId="04FEA4AD" w14:textId="77777777" w:rsidR="008F0E9A" w:rsidRPr="00AE5E02" w:rsidRDefault="008F0E9A" w:rsidP="008F0E9A">
      <w:pPr>
        <w:pStyle w:val="Textonotapie"/>
        <w:ind w:firstLine="709"/>
        <w:rPr>
          <w:rFonts w:ascii="Verdana" w:hAnsi="Verdana"/>
          <w:sz w:val="18"/>
          <w:szCs w:val="18"/>
          <w:lang w:val="es-ES"/>
        </w:rPr>
      </w:pPr>
      <w:r>
        <w:rPr>
          <w:rStyle w:val="Refdenotaalpie"/>
        </w:rPr>
        <w:footnoteRef/>
      </w:r>
      <w:r>
        <w:t xml:space="preserve"> </w:t>
      </w:r>
      <w:r w:rsidRPr="00AE5E02">
        <w:rPr>
          <w:rFonts w:ascii="Verdana" w:hAnsi="Verdana"/>
          <w:sz w:val="18"/>
          <w:szCs w:val="18"/>
          <w:lang w:val="es-CO"/>
        </w:rPr>
        <w:t>ARTÍCULO</w:t>
      </w:r>
      <w:bookmarkStart w:id="4" w:name="2.2.1.2.1.5.2"/>
      <w:bookmarkEnd w:id="4"/>
      <w:r w:rsidRPr="00AE5E02">
        <w:rPr>
          <w:rFonts w:ascii="Verdana" w:hAnsi="Verdana"/>
          <w:sz w:val="18"/>
          <w:szCs w:val="18"/>
          <w:lang w:val="es-CO"/>
        </w:rPr>
        <w:t> 2.2.1.2.1.5.2. del Decreto 1082 de 2015</w:t>
      </w:r>
    </w:p>
    <w:p w14:paraId="38003E37" w14:textId="77777777" w:rsidR="008F0E9A" w:rsidRPr="00AE5E02" w:rsidRDefault="008F0E9A" w:rsidP="008F0E9A">
      <w:pPr>
        <w:pStyle w:val="Textonotapie"/>
        <w:rPr>
          <w:rFonts w:ascii="Verdana" w:hAnsi="Verdana"/>
          <w:sz w:val="18"/>
          <w:szCs w:val="18"/>
          <w:lang w:val="es-ES"/>
        </w:rPr>
      </w:pPr>
    </w:p>
  </w:footnote>
  <w:footnote w:id="6">
    <w:p w14:paraId="7C5F94C0" w14:textId="77777777" w:rsidR="008F0E9A" w:rsidRPr="00AE5E02" w:rsidRDefault="008F0E9A" w:rsidP="008F0E9A">
      <w:pPr>
        <w:pStyle w:val="Textonotapie"/>
        <w:ind w:firstLine="708"/>
        <w:rPr>
          <w:rFonts w:ascii="Verdana" w:hAnsi="Verdana"/>
          <w:sz w:val="18"/>
          <w:szCs w:val="18"/>
          <w:lang w:val="es-ES"/>
        </w:rPr>
      </w:pPr>
      <w:r w:rsidRPr="00AE5E02">
        <w:rPr>
          <w:rStyle w:val="Refdenotaalpie"/>
          <w:rFonts w:ascii="Verdana" w:hAnsi="Verdana"/>
          <w:sz w:val="18"/>
          <w:szCs w:val="18"/>
        </w:rPr>
        <w:footnoteRef/>
      </w:r>
      <w:r w:rsidRPr="00AE5E02">
        <w:rPr>
          <w:rFonts w:ascii="Verdana" w:hAnsi="Verdana"/>
          <w:sz w:val="18"/>
          <w:szCs w:val="18"/>
        </w:rPr>
        <w:t xml:space="preserve"> </w:t>
      </w:r>
      <w:r w:rsidRPr="00AE5E02">
        <w:rPr>
          <w:rFonts w:ascii="Verdana" w:eastAsia="Calibri" w:hAnsi="Verdana" w:cs="Arial"/>
          <w:sz w:val="18"/>
          <w:szCs w:val="18"/>
          <w:lang w:val="es-CO"/>
        </w:rPr>
        <w:t>Artículo</w:t>
      </w:r>
      <w:r w:rsidRPr="00AE5E02">
        <w:rPr>
          <w:rFonts w:ascii="Verdana" w:eastAsia="Calibri" w:hAnsi="Verdana" w:cs="Arial"/>
          <w:b/>
          <w:bCs/>
          <w:sz w:val="18"/>
          <w:szCs w:val="18"/>
        </w:rPr>
        <w:t> </w:t>
      </w:r>
      <w:r w:rsidRPr="00AE5E02">
        <w:rPr>
          <w:rFonts w:ascii="Verdana" w:eastAsia="Calibri" w:hAnsi="Verdana" w:cs="Arial"/>
          <w:sz w:val="18"/>
          <w:szCs w:val="18"/>
        </w:rPr>
        <w:t>2.2.1.2.1.5.2. del Decreto 1082 de 2015</w:t>
      </w:r>
    </w:p>
  </w:footnote>
  <w:footnote w:id="7">
    <w:p w14:paraId="79DA829B" w14:textId="77777777" w:rsidR="008F0E9A" w:rsidRPr="009A07F1" w:rsidRDefault="008F0E9A" w:rsidP="008F0E9A">
      <w:pPr>
        <w:pStyle w:val="Textonotapie"/>
        <w:ind w:firstLine="708"/>
        <w:jc w:val="both"/>
        <w:rPr>
          <w:rFonts w:ascii="Verdana" w:hAnsi="Verdana" w:cs="Arial"/>
          <w:color w:val="000000"/>
          <w:sz w:val="16"/>
          <w:szCs w:val="16"/>
        </w:rPr>
      </w:pPr>
    </w:p>
    <w:p w14:paraId="4ED17410" w14:textId="77777777" w:rsidR="008F0E9A" w:rsidRPr="009A07F1" w:rsidRDefault="008F0E9A" w:rsidP="008F0E9A">
      <w:pPr>
        <w:pStyle w:val="Textonotapie"/>
        <w:ind w:firstLine="708"/>
        <w:jc w:val="both"/>
        <w:rPr>
          <w:rFonts w:ascii="Verdana" w:hAnsi="Verdana" w:cs="Arial"/>
          <w:color w:val="000000"/>
          <w:sz w:val="16"/>
          <w:szCs w:val="16"/>
        </w:rPr>
      </w:pPr>
      <w:r w:rsidRPr="009A07F1">
        <w:rPr>
          <w:rStyle w:val="Refdenotaalpie"/>
          <w:rFonts w:ascii="Verdana" w:hAnsi="Verdana" w:cs="Arial"/>
          <w:color w:val="000000"/>
          <w:sz w:val="16"/>
          <w:szCs w:val="16"/>
        </w:rPr>
        <w:footnoteRef/>
      </w:r>
      <w:r w:rsidRPr="009A07F1">
        <w:rPr>
          <w:rFonts w:ascii="Verdana" w:hAnsi="Verdana" w:cs="Arial"/>
          <w:color w:val="000000"/>
          <w:sz w:val="16"/>
          <w:szCs w:val="16"/>
        </w:rPr>
        <w:t xml:space="preserve"> “Artículo 2.2.1.1.2.1.3. Pliegos de condiciones. Los pliegos de condiciones deben contener por lo menos la siguiente información: </w:t>
      </w:r>
    </w:p>
    <w:p w14:paraId="545E581D" w14:textId="77777777" w:rsidR="008F0E9A" w:rsidRPr="009A07F1" w:rsidRDefault="008F0E9A" w:rsidP="008F0E9A">
      <w:pPr>
        <w:pStyle w:val="Textonotapie"/>
        <w:ind w:firstLine="708"/>
        <w:jc w:val="both"/>
        <w:rPr>
          <w:rFonts w:ascii="Verdana" w:hAnsi="Verdana" w:cs="Arial"/>
          <w:color w:val="000000"/>
          <w:sz w:val="16"/>
          <w:szCs w:val="16"/>
        </w:rPr>
      </w:pPr>
      <w:r w:rsidRPr="009A07F1">
        <w:rPr>
          <w:rFonts w:ascii="Verdana" w:hAnsi="Verdana" w:cs="Arial"/>
          <w:color w:val="000000"/>
          <w:sz w:val="16"/>
          <w:szCs w:val="16"/>
        </w:rPr>
        <w:t>[…]</w:t>
      </w:r>
    </w:p>
    <w:p w14:paraId="42672342" w14:textId="77777777" w:rsidR="008F0E9A" w:rsidRPr="009A07F1" w:rsidRDefault="008F0E9A" w:rsidP="008F0E9A">
      <w:pPr>
        <w:pStyle w:val="Textonotapie"/>
        <w:ind w:firstLine="708"/>
        <w:jc w:val="both"/>
        <w:rPr>
          <w:rFonts w:ascii="Verdana" w:hAnsi="Verdana" w:cs="Arial"/>
          <w:color w:val="000000"/>
          <w:sz w:val="16"/>
          <w:szCs w:val="16"/>
        </w:rPr>
      </w:pPr>
      <w:r w:rsidRPr="009A07F1">
        <w:rPr>
          <w:rFonts w:ascii="Verdana" w:hAnsi="Verdana" w:cs="Arial"/>
          <w:color w:val="000000"/>
          <w:sz w:val="16"/>
          <w:szCs w:val="16"/>
        </w:rPr>
        <w:t xml:space="preserve">5. Las reglas aplicables a la presentación de las ofertas, su evaluación y a la adjudicación del contrato. </w:t>
      </w:r>
    </w:p>
    <w:p w14:paraId="09C062D6" w14:textId="77777777" w:rsidR="008F0E9A" w:rsidRPr="009A07F1" w:rsidRDefault="008F0E9A" w:rsidP="008F0E9A">
      <w:pPr>
        <w:pStyle w:val="Textonotapie"/>
        <w:ind w:firstLine="708"/>
        <w:jc w:val="both"/>
        <w:rPr>
          <w:rFonts w:ascii="Verdana" w:hAnsi="Verdana" w:cs="Arial"/>
          <w:color w:val="000000"/>
          <w:sz w:val="16"/>
          <w:szCs w:val="16"/>
        </w:rPr>
      </w:pPr>
      <w:r w:rsidRPr="009A07F1">
        <w:rPr>
          <w:rFonts w:ascii="Verdana" w:hAnsi="Verdana" w:cs="Arial"/>
          <w:color w:val="000000"/>
          <w:sz w:val="16"/>
          <w:szCs w:val="16"/>
        </w:rPr>
        <w:t>[…]</w:t>
      </w:r>
    </w:p>
    <w:p w14:paraId="349C66A3" w14:textId="77777777" w:rsidR="008F0E9A" w:rsidRPr="009A07F1" w:rsidRDefault="008F0E9A" w:rsidP="008F0E9A">
      <w:pPr>
        <w:pStyle w:val="Textonotapie"/>
        <w:ind w:firstLine="708"/>
        <w:jc w:val="both"/>
        <w:rPr>
          <w:rFonts w:ascii="Verdana" w:hAnsi="Verdana" w:cs="Arial"/>
          <w:color w:val="000000"/>
          <w:sz w:val="16"/>
          <w:szCs w:val="16"/>
        </w:rPr>
      </w:pPr>
      <w:r w:rsidRPr="009A07F1">
        <w:rPr>
          <w:rFonts w:ascii="Verdana" w:hAnsi="Verdana" w:cs="Arial"/>
          <w:color w:val="000000"/>
          <w:sz w:val="16"/>
          <w:szCs w:val="16"/>
        </w:rPr>
        <w:t>14. El Cronograma”.</w:t>
      </w:r>
    </w:p>
    <w:p w14:paraId="6F1A4C36" w14:textId="77777777" w:rsidR="008F0E9A" w:rsidRPr="00721CE1" w:rsidRDefault="008F0E9A" w:rsidP="008F0E9A">
      <w:pPr>
        <w:pStyle w:val="Textonotapie"/>
        <w:ind w:firstLine="708"/>
        <w:jc w:val="both"/>
        <w:rPr>
          <w:rFonts w:ascii="Arial" w:hAnsi="Arial" w:cs="Arial"/>
          <w:color w:val="000000"/>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5923268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76752254" name="Imagen 37675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924635"/>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D0A61C3"/>
    <w:multiLevelType w:val="hybridMultilevel"/>
    <w:tmpl w:val="2D6E2C9A"/>
    <w:lvl w:ilvl="0" w:tplc="240A001B">
      <w:start w:val="1"/>
      <w:numFmt w:val="lowerRoman"/>
      <w:lvlText w:val="%1."/>
      <w:lvlJc w:val="righ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1" w15:restartNumberingAfterBreak="0">
    <w:nsid w:val="54562C8F"/>
    <w:multiLevelType w:val="hybridMultilevel"/>
    <w:tmpl w:val="2D6E2C9A"/>
    <w:lvl w:ilvl="0" w:tplc="FFFFFFFF">
      <w:start w:val="1"/>
      <w:numFmt w:val="lowerRoman"/>
      <w:lvlText w:val="%1."/>
      <w:lvlJc w:val="righ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48108540">
    <w:abstractNumId w:val="3"/>
  </w:num>
  <w:num w:numId="18" w16cid:durableId="1744451248">
    <w:abstractNumId w:val="10"/>
  </w:num>
  <w:num w:numId="19" w16cid:durableId="8192704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338F"/>
    <w:rsid w:val="000D0334"/>
    <w:rsid w:val="000F6486"/>
    <w:rsid w:val="001226FC"/>
    <w:rsid w:val="00125105"/>
    <w:rsid w:val="00127233"/>
    <w:rsid w:val="00137D1D"/>
    <w:rsid w:val="001E4177"/>
    <w:rsid w:val="001F7DC6"/>
    <w:rsid w:val="002421BB"/>
    <w:rsid w:val="00250537"/>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763A"/>
    <w:rsid w:val="00390A76"/>
    <w:rsid w:val="003A779E"/>
    <w:rsid w:val="003D0F4D"/>
    <w:rsid w:val="003D5B0D"/>
    <w:rsid w:val="003E0499"/>
    <w:rsid w:val="003F3941"/>
    <w:rsid w:val="003F6599"/>
    <w:rsid w:val="00406575"/>
    <w:rsid w:val="00414C74"/>
    <w:rsid w:val="0042722E"/>
    <w:rsid w:val="0044528D"/>
    <w:rsid w:val="004944F3"/>
    <w:rsid w:val="004A1847"/>
    <w:rsid w:val="004A305D"/>
    <w:rsid w:val="004B38BD"/>
    <w:rsid w:val="004F21C4"/>
    <w:rsid w:val="004F685F"/>
    <w:rsid w:val="00512CB7"/>
    <w:rsid w:val="0055588F"/>
    <w:rsid w:val="005566E8"/>
    <w:rsid w:val="00574867"/>
    <w:rsid w:val="00591460"/>
    <w:rsid w:val="005B2333"/>
    <w:rsid w:val="005C3777"/>
    <w:rsid w:val="005C5CDC"/>
    <w:rsid w:val="005D476C"/>
    <w:rsid w:val="006219F8"/>
    <w:rsid w:val="006302F7"/>
    <w:rsid w:val="00665D70"/>
    <w:rsid w:val="006900D9"/>
    <w:rsid w:val="006A760C"/>
    <w:rsid w:val="00706C16"/>
    <w:rsid w:val="00721899"/>
    <w:rsid w:val="00732E73"/>
    <w:rsid w:val="00744C58"/>
    <w:rsid w:val="00756841"/>
    <w:rsid w:val="007649AB"/>
    <w:rsid w:val="00771D0C"/>
    <w:rsid w:val="007833AC"/>
    <w:rsid w:val="00785358"/>
    <w:rsid w:val="007B268C"/>
    <w:rsid w:val="007B7171"/>
    <w:rsid w:val="007C0C0F"/>
    <w:rsid w:val="007C3DC2"/>
    <w:rsid w:val="007E5497"/>
    <w:rsid w:val="00806F5F"/>
    <w:rsid w:val="00820278"/>
    <w:rsid w:val="00867F95"/>
    <w:rsid w:val="008843B6"/>
    <w:rsid w:val="00891928"/>
    <w:rsid w:val="00897A3A"/>
    <w:rsid w:val="008A446D"/>
    <w:rsid w:val="008D180B"/>
    <w:rsid w:val="008F0E9A"/>
    <w:rsid w:val="008F0EA7"/>
    <w:rsid w:val="00923EEF"/>
    <w:rsid w:val="00935220"/>
    <w:rsid w:val="009419F9"/>
    <w:rsid w:val="0095685E"/>
    <w:rsid w:val="00961B09"/>
    <w:rsid w:val="00965334"/>
    <w:rsid w:val="0097093E"/>
    <w:rsid w:val="009A0DFA"/>
    <w:rsid w:val="009B25A8"/>
    <w:rsid w:val="009B2D26"/>
    <w:rsid w:val="009C71FA"/>
    <w:rsid w:val="009C72E7"/>
    <w:rsid w:val="009D128D"/>
    <w:rsid w:val="009D3058"/>
    <w:rsid w:val="009F3A13"/>
    <w:rsid w:val="00A122D3"/>
    <w:rsid w:val="00A17F13"/>
    <w:rsid w:val="00A20739"/>
    <w:rsid w:val="00A33C78"/>
    <w:rsid w:val="00A607BC"/>
    <w:rsid w:val="00AB0ADB"/>
    <w:rsid w:val="00AE4BFC"/>
    <w:rsid w:val="00AE5E02"/>
    <w:rsid w:val="00B00C0E"/>
    <w:rsid w:val="00B01B1A"/>
    <w:rsid w:val="00B44A47"/>
    <w:rsid w:val="00B72CD3"/>
    <w:rsid w:val="00B72FFF"/>
    <w:rsid w:val="00BC3D36"/>
    <w:rsid w:val="00BD4121"/>
    <w:rsid w:val="00BD7F72"/>
    <w:rsid w:val="00C04FB3"/>
    <w:rsid w:val="00C330EB"/>
    <w:rsid w:val="00C34EBC"/>
    <w:rsid w:val="00C53AF9"/>
    <w:rsid w:val="00C754BE"/>
    <w:rsid w:val="00C76B1C"/>
    <w:rsid w:val="00CB09E2"/>
    <w:rsid w:val="00CB6357"/>
    <w:rsid w:val="00CC1B26"/>
    <w:rsid w:val="00D41F9A"/>
    <w:rsid w:val="00D423A2"/>
    <w:rsid w:val="00D520D8"/>
    <w:rsid w:val="00D63AC2"/>
    <w:rsid w:val="00D7383B"/>
    <w:rsid w:val="00DA231B"/>
    <w:rsid w:val="00DC39FC"/>
    <w:rsid w:val="00DF5254"/>
    <w:rsid w:val="00E16408"/>
    <w:rsid w:val="00E20894"/>
    <w:rsid w:val="00E245AB"/>
    <w:rsid w:val="00E272EC"/>
    <w:rsid w:val="00E2764C"/>
    <w:rsid w:val="00E27F2E"/>
    <w:rsid w:val="00E50AFE"/>
    <w:rsid w:val="00E75C92"/>
    <w:rsid w:val="00E771DC"/>
    <w:rsid w:val="00E8772A"/>
    <w:rsid w:val="00E90F6B"/>
    <w:rsid w:val="00E92C27"/>
    <w:rsid w:val="00EA0E3D"/>
    <w:rsid w:val="00EA117D"/>
    <w:rsid w:val="00EC38A7"/>
    <w:rsid w:val="00EE1AA8"/>
    <w:rsid w:val="00F31EDC"/>
    <w:rsid w:val="00F34B96"/>
    <w:rsid w:val="00F462B3"/>
    <w:rsid w:val="00F5664F"/>
    <w:rsid w:val="00F666C4"/>
    <w:rsid w:val="00F76AFC"/>
    <w:rsid w:val="00FA47C0"/>
    <w:rsid w:val="00FB5DD1"/>
    <w:rsid w:val="00FC2B5D"/>
    <w:rsid w:val="00FF1449"/>
    <w:rsid w:val="1C0CFAF8"/>
    <w:rsid w:val="2EA45906"/>
    <w:rsid w:val="5576F67B"/>
    <w:rsid w:val="5B60387E"/>
    <w:rsid w:val="795D557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F0E9A"/>
    <w:pPr>
      <w:spacing w:line="240" w:lineRule="exact"/>
    </w:pPr>
    <w:rPr>
      <w:vertAlign w:val="superscript"/>
    </w:rPr>
  </w:style>
  <w:style w:type="table" w:customStyle="1" w:styleId="Tablaconcuadrcula1">
    <w:name w:val="Tabla con cuadrícula1"/>
    <w:basedOn w:val="Tablanormal"/>
    <w:next w:val="Tablaconcuadrcula"/>
    <w:uiPriority w:val="39"/>
    <w:qFormat/>
    <w:rsid w:val="008F0E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F0E9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colombiacompra.gov.co%2Fmanuales-guias-y-pliegos-tipo%2Fmanuales-y-guias%2Fcartilla-para-incentivar-y-fortalecer-el-acceso-las&amp;data=05%7C02%7Cximena.rios%40colombiacompra.gov.co%7Ceb0fd05604104aa4d3bc08dd4c4ad35e%7C7b09041e245149d08cb179d5e3d8c1be%7C0%7C0%7C638750606446821386%7CUnknown%7CTWFpbGZsb3d8eyJFbXB0eU1hcGkiOnRydWUsIlYiOiIwLjAuMDAwMCIsIlAiOiJXaW4zMiIsIkFOIjoiTWFpbCIsIldUIjoyfQ%3D%3D%7C0%7C%7C%7C&amp;sdata=W%2Fk14yMQuRl%2BxOXtgXkYqvRvU0sNxDeKufexVKwz2Jw%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5268170-CCE1-47FD-9C01-343A0C99D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a6cb9e4b-f1d1-4245-83ec-6cad768d538a"/>
    <ds:schemaRef ds:uri="http://purl.org/dc/elements/1.1/"/>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3742</Words>
  <Characters>19536</Characters>
  <Application>Microsoft Office Word</Application>
  <DocSecurity>0</DocSecurity>
  <Lines>454</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2025-10-21T21:32:00Z</dcterms:created>
  <dcterms:modified xsi:type="dcterms:W3CDTF">2025-10-21T21:32:00Z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