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3C45D9" w14:textId="77777777" w:rsidR="00800018" w:rsidRPr="00B77EC4" w:rsidRDefault="00800018" w:rsidP="00800018">
      <w:pPr>
        <w:spacing w:after="0" w:line="240" w:lineRule="auto"/>
        <w:jc w:val="both"/>
        <w:rPr>
          <w:rFonts w:ascii="Verdana" w:eastAsia="Calibri" w:hAnsi="Verdana" w:cs="Arial"/>
          <w:b/>
          <w:lang w:eastAsia="es-ES"/>
        </w:rPr>
      </w:pPr>
      <w:bookmarkStart w:id="0" w:name="_Hlk143780582"/>
      <w:r w:rsidRPr="00B77EC4">
        <w:rPr>
          <w:rFonts w:ascii="Verdana" w:eastAsia="Calibri" w:hAnsi="Verdana" w:cs="Arial"/>
          <w:b/>
          <w:lang w:eastAsia="es-ES"/>
        </w:rPr>
        <w:t>DOCUMENTOS TIPO – Interventoría de infraestructura de transporte – Versión 3</w:t>
      </w:r>
    </w:p>
    <w:p w14:paraId="0C507ECF" w14:textId="77777777" w:rsidR="00800018" w:rsidRPr="00B77EC4" w:rsidRDefault="00800018" w:rsidP="00800018">
      <w:pPr>
        <w:spacing w:after="0" w:line="276" w:lineRule="auto"/>
        <w:jc w:val="both"/>
        <w:rPr>
          <w:rFonts w:ascii="Verdana" w:eastAsia="Calibri" w:hAnsi="Verdana" w:cs="Arial"/>
          <w:b/>
          <w:sz w:val="20"/>
          <w:szCs w:val="20"/>
          <w:lang w:eastAsia="es-ES"/>
        </w:rPr>
      </w:pPr>
    </w:p>
    <w:p w14:paraId="071D911C" w14:textId="77777777" w:rsidR="00800018" w:rsidRPr="00B77EC4" w:rsidRDefault="00800018" w:rsidP="00800018">
      <w:pPr>
        <w:spacing w:after="0" w:line="240" w:lineRule="auto"/>
        <w:jc w:val="both"/>
        <w:rPr>
          <w:rFonts w:ascii="Verdana" w:eastAsia="Aptos" w:hAnsi="Verdana" w:cs="ArialMT"/>
          <w:sz w:val="20"/>
          <w:szCs w:val="20"/>
        </w:rPr>
      </w:pPr>
      <w:r w:rsidRPr="00B77EC4">
        <w:rPr>
          <w:rFonts w:ascii="Verdana" w:eastAsia="Aptos" w:hAnsi="Verdana" w:cs="ArialMT"/>
          <w:sz w:val="20"/>
          <w:szCs w:val="20"/>
        </w:rPr>
        <w:t xml:space="preserve">Mediante la Resolución 725 del 19 de diciembre de 2024, se adoptó la versión 3 de los documentos tipo para los procesos de selección de concurso de méritos para contratar la interventoría de obras públicas de infraestructura de transporte, y se derogó la versión 2 que se había adoptado por medio de la Resolución 326 de 2022. De acuerdo con el artículo séptimo de la Resolución 725 de 2024, los documentos tipo que se adoptan aplican para los procesos de selección cuyo aviso de convocatoria se publique a partir del 3 de febrero de 2025. </w:t>
      </w:r>
    </w:p>
    <w:p w14:paraId="1454A4B5" w14:textId="77777777" w:rsidR="00800018" w:rsidRPr="00B77EC4" w:rsidRDefault="00800018" w:rsidP="00800018">
      <w:pPr>
        <w:spacing w:after="0" w:line="240" w:lineRule="auto"/>
        <w:jc w:val="both"/>
        <w:rPr>
          <w:rFonts w:ascii="Verdana" w:eastAsia="Aptos" w:hAnsi="Verdana" w:cs="Arial"/>
          <w:color w:val="000000"/>
          <w:sz w:val="20"/>
          <w:szCs w:val="20"/>
          <w:highlight w:val="yellow"/>
          <w:lang w:val="es-ES"/>
        </w:rPr>
      </w:pPr>
    </w:p>
    <w:p w14:paraId="0E3F7CD0" w14:textId="77777777" w:rsidR="00800018" w:rsidRPr="00353C74" w:rsidRDefault="00800018" w:rsidP="00800018">
      <w:pPr>
        <w:spacing w:after="0" w:line="240" w:lineRule="auto"/>
        <w:jc w:val="both"/>
        <w:rPr>
          <w:rFonts w:ascii="Verdana" w:eastAsia="Calibri" w:hAnsi="Verdana" w:cs="Arial"/>
          <w:b/>
          <w:bCs/>
          <w:color w:val="000000"/>
          <w:kern w:val="2"/>
          <w:lang w:val="es-ES_tradnl"/>
          <w14:ligatures w14:val="standardContextual"/>
        </w:rPr>
      </w:pPr>
      <w:r w:rsidRPr="00353C74">
        <w:rPr>
          <w:rFonts w:ascii="Verdana" w:eastAsia="Calibri" w:hAnsi="Verdana" w:cs="Arial"/>
          <w:b/>
          <w:bCs/>
          <w:color w:val="000000"/>
          <w:kern w:val="2"/>
          <w:lang w:val="es-ES_tradnl"/>
          <w14:ligatures w14:val="standardContextual"/>
        </w:rPr>
        <w:t xml:space="preserve">DOCUMENTOS TIPO – </w:t>
      </w:r>
      <w:r w:rsidRPr="00353C74">
        <w:rPr>
          <w:rFonts w:ascii="Verdana" w:eastAsia="Aptos" w:hAnsi="Verdana" w:cs="Arial"/>
          <w:b/>
          <w:bCs/>
          <w:color w:val="000000"/>
          <w:kern w:val="2"/>
          <w:lang w:val="es-ES"/>
          <w14:ligatures w14:val="standardContextual"/>
        </w:rPr>
        <w:t xml:space="preserve">Interventoría </w:t>
      </w:r>
      <w:r w:rsidRPr="00353C74">
        <w:rPr>
          <w:rFonts w:ascii="Verdana" w:eastAsia="Calibri" w:hAnsi="Verdana" w:cs="Arial"/>
          <w:b/>
          <w:bCs/>
          <w:color w:val="000000"/>
          <w:kern w:val="2"/>
          <w:lang w:val="es-ES_tradnl"/>
          <w14:ligatures w14:val="standardContextual"/>
        </w:rPr>
        <w:t>de obra pública de infraestructura de transporte – Asignación de puntaje por la experiencia del proponente – Numeral 4.1 – Literal C – Alcance</w:t>
      </w:r>
    </w:p>
    <w:p w14:paraId="34A3EEDC" w14:textId="77777777" w:rsidR="00800018" w:rsidRPr="00C30B31" w:rsidRDefault="00800018" w:rsidP="00800018">
      <w:pPr>
        <w:spacing w:after="0" w:line="276" w:lineRule="auto"/>
        <w:jc w:val="both"/>
        <w:rPr>
          <w:rFonts w:ascii="Verdana" w:eastAsia="Times New Roman" w:hAnsi="Verdana" w:cs="Arial"/>
          <w:color w:val="000000"/>
          <w:kern w:val="2"/>
          <w:sz w:val="24"/>
          <w:szCs w:val="24"/>
          <w:lang w:val="es-MX" w:eastAsia="es-ES_tradnl"/>
          <w14:ligatures w14:val="standardContextual"/>
        </w:rPr>
      </w:pPr>
    </w:p>
    <w:p w14:paraId="100F49B6" w14:textId="77777777" w:rsidR="00800018" w:rsidRPr="00C30B31" w:rsidRDefault="00800018" w:rsidP="00800018">
      <w:pPr>
        <w:spacing w:after="120" w:line="240" w:lineRule="auto"/>
        <w:jc w:val="both"/>
        <w:rPr>
          <w:rFonts w:ascii="Verdana" w:eastAsia="Calibri" w:hAnsi="Verdana" w:cs="Arial"/>
          <w:color w:val="000000"/>
          <w:sz w:val="20"/>
          <w:szCs w:val="20"/>
          <w:lang w:val="es-ES_tradnl"/>
        </w:rPr>
      </w:pPr>
      <w:r w:rsidRPr="00C30B31">
        <w:rPr>
          <w:rFonts w:ascii="Verdana" w:eastAsia="Calibri" w:hAnsi="Verdana" w:cs="Arial"/>
          <w:color w:val="000000"/>
          <w:sz w:val="20"/>
          <w:szCs w:val="20"/>
          <w:lang w:val="es-ES_tradnl"/>
        </w:rPr>
        <w:t xml:space="preserve">(…) En este sentido, el método aleatorio en función de la Tasa Representativo del Mercado TRM que la Entidad utilizará para determinar el método de ponderación -según se indica- corresponderá al que rija “(…) </w:t>
      </w:r>
      <w:r w:rsidRPr="00C30B31">
        <w:rPr>
          <w:rFonts w:ascii="Verdana" w:eastAsia="Arial" w:hAnsi="Verdana" w:cs="Arial"/>
          <w:sz w:val="20"/>
          <w:szCs w:val="20"/>
          <w:lang w:eastAsia="es-ES"/>
        </w:rPr>
        <w:t xml:space="preserve">el </w:t>
      </w:r>
      <w:r w:rsidRPr="00C30B31">
        <w:rPr>
          <w:rFonts w:ascii="Verdana" w:eastAsia="Arial" w:hAnsi="Verdana" w:cs="Arial"/>
          <w:i/>
          <w:iCs/>
          <w:sz w:val="20"/>
          <w:szCs w:val="20"/>
          <w:lang w:eastAsia="es-ES"/>
        </w:rPr>
        <w:t xml:space="preserve">segundo día hábil después de finalizado el periodo de traslado del informe de evaluación (…)”. </w:t>
      </w:r>
    </w:p>
    <w:p w14:paraId="358B9226" w14:textId="77777777" w:rsidR="00800018" w:rsidRPr="00C30B31" w:rsidRDefault="00800018" w:rsidP="00800018">
      <w:pPr>
        <w:spacing w:after="120" w:line="240" w:lineRule="auto"/>
        <w:jc w:val="both"/>
        <w:rPr>
          <w:rFonts w:ascii="Verdana" w:eastAsia="Calibri" w:hAnsi="Verdana" w:cs="Arial"/>
          <w:color w:val="000000"/>
          <w:sz w:val="20"/>
          <w:szCs w:val="20"/>
          <w:lang w:val="es-ES_tradnl"/>
        </w:rPr>
      </w:pPr>
      <w:r>
        <w:rPr>
          <w:rFonts w:ascii="Verdana" w:eastAsia="Calibri" w:hAnsi="Verdana" w:cs="Arial"/>
          <w:color w:val="000000"/>
          <w:sz w:val="20"/>
          <w:szCs w:val="20"/>
          <w:lang w:val="es-ES_tradnl"/>
        </w:rPr>
        <w:t>Por lo anterior</w:t>
      </w:r>
      <w:r w:rsidRPr="00C30B31">
        <w:rPr>
          <w:rFonts w:ascii="Verdana" w:eastAsia="Calibri" w:hAnsi="Verdana" w:cs="Arial"/>
          <w:color w:val="000000"/>
          <w:sz w:val="20"/>
          <w:szCs w:val="20"/>
          <w:lang w:val="es-ES_tradnl"/>
        </w:rPr>
        <w:t xml:space="preserve">, en el inciso dos (2) del literal C del numeral 4.1 se establece entre corchetes y resaltado en gris -a modo de ejemplo- la forma como la entidad determinará el método aleatorio de ponderación a partir de la TRM para lo cual señala que, “(…) si el termino de traslado del informe de evaluación finaliza el 10 de febrero, la TRM que se usará para determinar el método de evaluación será la del 12 de febrero, que se publica en la tarde del 11 de febrero”. Esto, teniendo en cuenta lo señalado en el párrafo precedente, esto es, que la TRM que la Entidad utilizará será la del segundo día hábil después de finalizado el traslado del informe de evaluación. </w:t>
      </w:r>
    </w:p>
    <w:p w14:paraId="46729D23" w14:textId="77777777" w:rsidR="00800018" w:rsidRPr="00C30B31" w:rsidRDefault="00800018" w:rsidP="00800018">
      <w:pPr>
        <w:spacing w:after="0" w:line="240" w:lineRule="auto"/>
        <w:jc w:val="both"/>
        <w:rPr>
          <w:rFonts w:ascii="Verdana" w:eastAsia="Calibri" w:hAnsi="Verdana" w:cs="Arial"/>
          <w:color w:val="000000"/>
          <w:sz w:val="20"/>
          <w:szCs w:val="20"/>
          <w:lang w:val="es-ES_tradnl"/>
        </w:rPr>
      </w:pPr>
      <w:r w:rsidRPr="00C30B31">
        <w:rPr>
          <w:rFonts w:ascii="Verdana" w:eastAsia="Calibri" w:hAnsi="Verdana" w:cs="Arial"/>
          <w:color w:val="000000"/>
          <w:sz w:val="20"/>
          <w:szCs w:val="20"/>
          <w:lang w:val="es-ES_tradnl"/>
        </w:rPr>
        <w:t xml:space="preserve">Tal como se señaló con anterioridad, en relación con la </w:t>
      </w:r>
      <w:proofErr w:type="spellStart"/>
      <w:r w:rsidRPr="00C30B31">
        <w:rPr>
          <w:rFonts w:ascii="Verdana" w:eastAsia="Calibri" w:hAnsi="Verdana" w:cs="Arial"/>
          <w:color w:val="000000"/>
          <w:sz w:val="20"/>
          <w:szCs w:val="20"/>
          <w:lang w:val="es-ES_tradnl"/>
        </w:rPr>
        <w:t>subsanabilidad</w:t>
      </w:r>
      <w:proofErr w:type="spellEnd"/>
      <w:r w:rsidRPr="00C30B31">
        <w:rPr>
          <w:rFonts w:ascii="Verdana" w:eastAsia="Calibri" w:hAnsi="Verdana" w:cs="Arial"/>
          <w:color w:val="000000"/>
          <w:sz w:val="20"/>
          <w:szCs w:val="20"/>
          <w:lang w:val="es-ES_tradnl"/>
        </w:rPr>
        <w:t xml:space="preserve"> de las ofertas, </w:t>
      </w:r>
      <w:r w:rsidRPr="00C30B31">
        <w:rPr>
          <w:rFonts w:ascii="Verdana" w:eastAsia="Arial" w:hAnsi="Verdana" w:cs="Arial"/>
          <w:color w:val="000000"/>
          <w:sz w:val="20"/>
          <w:szCs w:val="20"/>
        </w:rPr>
        <w:t xml:space="preserve">se permite que la Administración requiera al oferente durante el proceso de evaluación de las propuestas, tan pronto advierta que hace falta un documento o requisito que se puede subsanar. </w:t>
      </w:r>
      <w:r w:rsidRPr="00C30B31">
        <w:rPr>
          <w:rFonts w:ascii="Verdana" w:eastAsia="Calibri" w:hAnsi="Verdana" w:cs="Arial"/>
          <w:color w:val="000000"/>
          <w:sz w:val="20"/>
          <w:szCs w:val="20"/>
          <w:lang w:val="es-ES_tradnl"/>
        </w:rPr>
        <w:t>Ahora, y en el evento que se presente una situación excepcional en la cual la Entidad no hubiese advertido durante el proceso de evaluación la ausencia de requisitos o la falta de documentos referentes a la futura contratación o al Proponente, ya sea en relación con los requisitos habilitantes o para aclarar aspectos que otorgan puntaje o relativos a los factores de desempate y, por ende, no los haya requerido, podrá hacerlo posteriormente, otorgándole al Proponente un término igual al establecido para el traslado del informe de evaluación,</w:t>
      </w:r>
      <w:r w:rsidRPr="00C30B31" w:rsidDel="008C5B46">
        <w:rPr>
          <w:rFonts w:ascii="Verdana" w:eastAsia="Calibri" w:hAnsi="Verdana" w:cs="Arial"/>
          <w:color w:val="000000"/>
          <w:sz w:val="20"/>
          <w:szCs w:val="20"/>
          <w:lang w:val="es-ES_tradnl"/>
        </w:rPr>
        <w:t xml:space="preserve"> </w:t>
      </w:r>
      <w:r w:rsidRPr="00C30B31">
        <w:rPr>
          <w:rFonts w:ascii="Verdana" w:eastAsia="Calibri" w:hAnsi="Verdana" w:cs="Arial"/>
          <w:color w:val="000000"/>
          <w:sz w:val="20"/>
          <w:szCs w:val="20"/>
          <w:lang w:val="es-ES_tradnl"/>
        </w:rPr>
        <w:t xml:space="preserve">con el fin de que los allegue. En este sentido, en el inciso tercero del literal C del numeral 4.1 se definió una regla aplicable a estas situaciones, para determinar la TRM que la Entidad utilizará para determinar el método de ponderación, según la cual: </w:t>
      </w:r>
    </w:p>
    <w:p w14:paraId="36031FAE" w14:textId="77777777" w:rsidR="00800018" w:rsidRPr="00C30B31" w:rsidRDefault="00800018" w:rsidP="00800018">
      <w:pPr>
        <w:spacing w:after="0" w:line="240" w:lineRule="auto"/>
        <w:ind w:firstLine="708"/>
        <w:jc w:val="both"/>
        <w:rPr>
          <w:rFonts w:ascii="Verdana" w:eastAsia="Calibri" w:hAnsi="Verdana" w:cs="Arial"/>
          <w:color w:val="000000"/>
          <w:sz w:val="20"/>
          <w:szCs w:val="20"/>
          <w:lang w:val="es-ES_tradnl"/>
        </w:rPr>
      </w:pPr>
    </w:p>
    <w:p w14:paraId="30E3397E" w14:textId="77777777" w:rsidR="00800018" w:rsidRPr="00C30B31" w:rsidRDefault="00800018" w:rsidP="00800018">
      <w:pPr>
        <w:spacing w:after="0" w:line="240" w:lineRule="auto"/>
        <w:ind w:right="709"/>
        <w:jc w:val="both"/>
        <w:rPr>
          <w:rFonts w:ascii="Verdana" w:eastAsia="Calibri" w:hAnsi="Verdana" w:cs="Arial"/>
          <w:color w:val="000000"/>
          <w:sz w:val="20"/>
          <w:szCs w:val="20"/>
          <w:lang w:val="es-ES_tradnl"/>
        </w:rPr>
      </w:pPr>
      <w:r w:rsidRPr="00C30B31">
        <w:rPr>
          <w:rFonts w:ascii="Verdana" w:eastAsia="Calibri" w:hAnsi="Verdana" w:cs="Arial"/>
          <w:color w:val="000000"/>
          <w:sz w:val="20"/>
          <w:szCs w:val="20"/>
          <w:lang w:val="es-ES_tradnl"/>
        </w:rPr>
        <w:t xml:space="preserve">(…) </w:t>
      </w:r>
    </w:p>
    <w:p w14:paraId="1821641A" w14:textId="77777777" w:rsidR="00800018" w:rsidRPr="00C30B31" w:rsidRDefault="00800018" w:rsidP="00800018">
      <w:pPr>
        <w:spacing w:after="0" w:line="240" w:lineRule="auto"/>
        <w:jc w:val="both"/>
        <w:rPr>
          <w:rFonts w:ascii="Verdana" w:eastAsia="Calibri" w:hAnsi="Verdana" w:cs="Arial"/>
          <w:color w:val="000000"/>
          <w:sz w:val="20"/>
          <w:szCs w:val="20"/>
          <w:lang w:val="es-ES"/>
        </w:rPr>
      </w:pPr>
      <w:r w:rsidRPr="1A970C30">
        <w:rPr>
          <w:rFonts w:ascii="Verdana" w:eastAsia="Calibri" w:hAnsi="Verdana" w:cs="Arial"/>
          <w:color w:val="000000" w:themeColor="text1"/>
          <w:sz w:val="20"/>
          <w:szCs w:val="20"/>
          <w:lang w:val="es-ES"/>
        </w:rPr>
        <w:t xml:space="preserve">En el marco de esta excepcionalidad, se inscriben las situaciones planteadas por el peticionario, toda vez que, si la Entidad requiere al proponente en un momento posterior al proceso de evaluación, la determinación de la Tasa Representativa del Mercado TRM, </w:t>
      </w:r>
      <w:r w:rsidRPr="1A970C30">
        <w:rPr>
          <w:rFonts w:ascii="Verdana" w:eastAsia="Calibri" w:hAnsi="Verdana" w:cs="Arial"/>
          <w:color w:val="000000" w:themeColor="text1"/>
          <w:sz w:val="20"/>
          <w:szCs w:val="20"/>
          <w:lang w:val="es-ES"/>
        </w:rPr>
        <w:lastRenderedPageBreak/>
        <w:t xml:space="preserve">que la Entidad utilizará para determinar el método de ponderación será la que rija el segundo día hábil después de finalizado el periodo concedido al proponente requerido para la subsanación de requisitos habilitantes y/o para aclarar aspectos que otorgan puntaje o relativos a factores de desempate. </w:t>
      </w:r>
    </w:p>
    <w:p w14:paraId="5409FE4E" w14:textId="77777777" w:rsidR="00800018" w:rsidRPr="00C30B31" w:rsidRDefault="00800018" w:rsidP="00800018">
      <w:pPr>
        <w:spacing w:after="0"/>
        <w:rPr>
          <w:rFonts w:ascii="Verdana" w:eastAsia="Calibri" w:hAnsi="Verdana" w:cs="Times New Roman"/>
        </w:rPr>
      </w:pPr>
    </w:p>
    <w:p w14:paraId="1E6DCD68" w14:textId="77777777" w:rsidR="00800018" w:rsidRPr="00353C74" w:rsidRDefault="00800018" w:rsidP="00800018">
      <w:pPr>
        <w:spacing w:after="0" w:line="240" w:lineRule="auto"/>
        <w:jc w:val="both"/>
        <w:rPr>
          <w:rFonts w:ascii="Verdana" w:eastAsia="Calibri" w:hAnsi="Verdana" w:cs="Arial"/>
          <w:b/>
          <w:lang w:eastAsia="es-ES"/>
        </w:rPr>
      </w:pPr>
      <w:r w:rsidRPr="00353C74">
        <w:rPr>
          <w:rFonts w:ascii="Verdana" w:eastAsia="Calibri" w:hAnsi="Verdana" w:cs="Arial"/>
          <w:b/>
          <w:lang w:eastAsia="es-ES"/>
        </w:rPr>
        <w:t xml:space="preserve">DOCUMENTOS TIPO – Interventoría de infraestructura de transporte – Versión 3 – Métodos de ponderación </w:t>
      </w:r>
    </w:p>
    <w:p w14:paraId="756DC4CD" w14:textId="77777777" w:rsidR="00800018" w:rsidRPr="00C30B31" w:rsidRDefault="00800018" w:rsidP="00800018">
      <w:pPr>
        <w:spacing w:after="0" w:line="276" w:lineRule="auto"/>
        <w:jc w:val="both"/>
        <w:rPr>
          <w:rFonts w:ascii="Verdana" w:eastAsia="Calibri" w:hAnsi="Verdana" w:cs="Arial"/>
          <w:b/>
          <w:lang w:eastAsia="es-ES"/>
        </w:rPr>
      </w:pPr>
    </w:p>
    <w:p w14:paraId="0F23EB41" w14:textId="77777777" w:rsidR="00800018" w:rsidRPr="00C30B31" w:rsidRDefault="00800018" w:rsidP="00800018">
      <w:pPr>
        <w:spacing w:after="0" w:line="240" w:lineRule="auto"/>
        <w:jc w:val="both"/>
        <w:rPr>
          <w:rFonts w:ascii="Verdana" w:eastAsia="Aptos" w:hAnsi="Verdana" w:cs="ArialMT"/>
          <w:sz w:val="20"/>
          <w:szCs w:val="20"/>
          <w14:ligatures w14:val="standardContextual"/>
        </w:rPr>
      </w:pPr>
      <w:r w:rsidRPr="00C30B31">
        <w:rPr>
          <w:rFonts w:ascii="Verdana" w:eastAsia="Aptos" w:hAnsi="Verdana" w:cs="ArialMT"/>
          <w:sz w:val="20"/>
          <w:szCs w:val="20"/>
          <w14:ligatures w14:val="standardContextual"/>
        </w:rPr>
        <w:t xml:space="preserve">En los procedimientos de concurso de méritos para la escogencia de interventores de obra pública de infraestructura de transporte adelantados con documentos tipo, la experiencia del proponente debe ser ponderada, de acuerdo con un método aleatorio, a efectos de determinar el puntaje que le corresponde. Al respecto, el Documento Base de los documentos tipo de interventoría de obra pública de infraestructura de transporte – versión 3, establece cuatro (4) alternativas para ponderar la experiencia de los proponentes, aplicables según la TRM que rija en el momento indicado en los apartes citados, dando lugar a la aplicación de alguno de los siguientes métodos: i) media con valor absoluto; </w:t>
      </w:r>
      <w:proofErr w:type="spellStart"/>
      <w:r w:rsidRPr="00C30B31">
        <w:rPr>
          <w:rFonts w:ascii="Verdana" w:eastAsia="Aptos" w:hAnsi="Verdana" w:cs="ArialMT"/>
          <w:sz w:val="20"/>
          <w:szCs w:val="20"/>
          <w14:ligatures w14:val="standardContextual"/>
        </w:rPr>
        <w:t>ii</w:t>
      </w:r>
      <w:proofErr w:type="spellEnd"/>
      <w:r w:rsidRPr="00C30B31">
        <w:rPr>
          <w:rFonts w:ascii="Verdana" w:eastAsia="Aptos" w:hAnsi="Verdana" w:cs="ArialMT"/>
          <w:sz w:val="20"/>
          <w:szCs w:val="20"/>
          <w14:ligatures w14:val="standardContextual"/>
        </w:rPr>
        <w:t xml:space="preserve">) media geométrica y </w:t>
      </w:r>
      <w:proofErr w:type="spellStart"/>
      <w:r w:rsidRPr="00C30B31">
        <w:rPr>
          <w:rFonts w:ascii="Verdana" w:eastAsia="Aptos" w:hAnsi="Verdana" w:cs="ArialMT"/>
          <w:sz w:val="20"/>
          <w:szCs w:val="20"/>
          <w14:ligatures w14:val="standardContextual"/>
        </w:rPr>
        <w:t>iii</w:t>
      </w:r>
      <w:proofErr w:type="spellEnd"/>
      <w:r w:rsidRPr="00C30B31">
        <w:rPr>
          <w:rFonts w:ascii="Verdana" w:eastAsia="Aptos" w:hAnsi="Verdana" w:cs="ArialMT"/>
          <w:sz w:val="20"/>
          <w:szCs w:val="20"/>
          <w14:ligatures w14:val="standardContextual"/>
        </w:rPr>
        <w:t xml:space="preserve">) media aritmética alta y </w:t>
      </w:r>
      <w:proofErr w:type="spellStart"/>
      <w:r w:rsidRPr="00C30B31">
        <w:rPr>
          <w:rFonts w:ascii="Verdana" w:eastAsia="Aptos" w:hAnsi="Verdana" w:cs="ArialMT"/>
          <w:sz w:val="20"/>
          <w:szCs w:val="20"/>
          <w14:ligatures w14:val="standardContextual"/>
        </w:rPr>
        <w:t>iv</w:t>
      </w:r>
      <w:proofErr w:type="spellEnd"/>
      <w:r w:rsidRPr="00C30B31">
        <w:rPr>
          <w:rFonts w:ascii="Verdana" w:eastAsia="Aptos" w:hAnsi="Verdana" w:cs="ArialMT"/>
          <w:sz w:val="20"/>
          <w:szCs w:val="20"/>
          <w14:ligatures w14:val="standardContextual"/>
        </w:rPr>
        <w:t>) media aritmética baja cuya selección es aleatoria.</w:t>
      </w:r>
    </w:p>
    <w:p w14:paraId="7004DCF9" w14:textId="77777777" w:rsidR="00800018" w:rsidRDefault="00800018" w:rsidP="00800018">
      <w:pPr>
        <w:spacing w:after="0"/>
        <w:jc w:val="both"/>
        <w:rPr>
          <w:rFonts w:ascii="Verdana" w:eastAsia="Aptos" w:hAnsi="Verdana" w:cs="ArialMT"/>
        </w:rPr>
      </w:pPr>
    </w:p>
    <w:p w14:paraId="059E3DCA" w14:textId="77777777" w:rsidR="00800018" w:rsidRPr="00353C74" w:rsidRDefault="00800018" w:rsidP="00800018">
      <w:pPr>
        <w:spacing w:after="0" w:line="240" w:lineRule="auto"/>
        <w:jc w:val="both"/>
        <w:rPr>
          <w:rFonts w:ascii="Verdana" w:eastAsia="Calibri" w:hAnsi="Verdana" w:cs="Arial"/>
          <w:b/>
          <w:bCs/>
          <w:color w:val="000000"/>
          <w:kern w:val="2"/>
          <w:lang w:val="es-ES_tradnl"/>
          <w14:ligatures w14:val="standardContextual"/>
        </w:rPr>
      </w:pPr>
      <w:r w:rsidRPr="00353C74">
        <w:rPr>
          <w:rFonts w:ascii="Verdana" w:eastAsia="Calibri" w:hAnsi="Verdana" w:cs="Arial"/>
          <w:b/>
          <w:bCs/>
          <w:color w:val="000000"/>
          <w:kern w:val="2"/>
          <w:lang w:val="es-ES_tradnl"/>
          <w14:ligatures w14:val="standardContextual"/>
        </w:rPr>
        <w:t>Numeral 4.1 – Literal C</w:t>
      </w:r>
      <w:r w:rsidRPr="00353C74">
        <w:rPr>
          <w:rFonts w:ascii="Verdana" w:eastAsia="Calibri" w:hAnsi="Verdana" w:cs="Arial"/>
          <w:b/>
          <w:bCs/>
          <w:color w:val="000000"/>
          <w:lang w:val="es-ES_tradnl"/>
        </w:rPr>
        <w:t xml:space="preserve"> </w:t>
      </w:r>
      <w:r w:rsidRPr="00353C74">
        <w:rPr>
          <w:rFonts w:ascii="Verdana" w:eastAsia="Calibri" w:hAnsi="Verdana" w:cs="Arial"/>
          <w:b/>
          <w:bCs/>
          <w:color w:val="000000"/>
          <w:kern w:val="2"/>
          <w:lang w:val="es-ES_tradnl"/>
          <w14:ligatures w14:val="standardContextual"/>
        </w:rPr>
        <w:t>–</w:t>
      </w:r>
      <w:r w:rsidRPr="00353C74">
        <w:rPr>
          <w:rFonts w:ascii="Verdana" w:eastAsia="Calibri" w:hAnsi="Verdana" w:cs="Arial"/>
          <w:b/>
          <w:bCs/>
          <w:color w:val="000000"/>
          <w:lang w:val="es-ES_tradnl"/>
        </w:rPr>
        <w:t xml:space="preserve"> Documentos tipo</w:t>
      </w:r>
      <w:r w:rsidRPr="00353C74">
        <w:rPr>
          <w:rFonts w:ascii="Verdana" w:eastAsia="Calibri" w:hAnsi="Verdana" w:cs="Arial"/>
          <w:b/>
          <w:bCs/>
          <w:color w:val="000000"/>
          <w:kern w:val="2"/>
          <w:lang w:val="es-ES_tradnl"/>
          <w14:ligatures w14:val="standardContextual"/>
        </w:rPr>
        <w:t xml:space="preserve"> – </w:t>
      </w:r>
      <w:r w:rsidRPr="00353C74">
        <w:rPr>
          <w:rFonts w:ascii="Verdana" w:eastAsia="Aptos" w:hAnsi="Verdana" w:cs="Arial"/>
          <w:b/>
          <w:bCs/>
          <w:color w:val="000000"/>
          <w:kern w:val="2"/>
          <w:lang w:val="es-ES"/>
          <w14:ligatures w14:val="standardContextual"/>
        </w:rPr>
        <w:t xml:space="preserve">Interventoría </w:t>
      </w:r>
      <w:r w:rsidRPr="00353C74">
        <w:rPr>
          <w:rFonts w:ascii="Verdana" w:eastAsia="Calibri" w:hAnsi="Verdana" w:cs="Arial"/>
          <w:b/>
          <w:bCs/>
          <w:color w:val="000000"/>
          <w:kern w:val="2"/>
          <w:lang w:val="es-ES_tradnl"/>
          <w14:ligatures w14:val="standardContextual"/>
        </w:rPr>
        <w:t xml:space="preserve">de obra pública de infraestructura de transporte – </w:t>
      </w:r>
      <w:r w:rsidRPr="00353C74">
        <w:rPr>
          <w:rFonts w:ascii="Verdana" w:eastAsia="Calibri" w:hAnsi="Verdana" w:cs="Arial"/>
          <w:b/>
          <w:bCs/>
          <w:color w:val="000000"/>
          <w:lang w:val="es-ES_tradnl"/>
        </w:rPr>
        <w:t xml:space="preserve">Versión 3 </w:t>
      </w:r>
      <w:r w:rsidRPr="00353C74">
        <w:rPr>
          <w:rFonts w:ascii="Verdana" w:eastAsia="Calibri" w:hAnsi="Verdana" w:cs="Arial"/>
          <w:b/>
          <w:bCs/>
          <w:color w:val="000000"/>
          <w:kern w:val="2"/>
          <w:lang w:val="es-ES_tradnl"/>
          <w14:ligatures w14:val="standardContextual"/>
        </w:rPr>
        <w:t>–</w:t>
      </w:r>
      <w:r w:rsidRPr="00353C74">
        <w:rPr>
          <w:rFonts w:ascii="Verdana" w:eastAsia="Calibri" w:hAnsi="Verdana" w:cs="Arial"/>
          <w:b/>
          <w:bCs/>
          <w:color w:val="000000"/>
          <w:lang w:val="es-ES_tradnl"/>
        </w:rPr>
        <w:t xml:space="preserve"> Finalidad </w:t>
      </w:r>
    </w:p>
    <w:p w14:paraId="22B50F21" w14:textId="77777777" w:rsidR="00800018" w:rsidRPr="00B77EC4" w:rsidRDefault="00800018" w:rsidP="00800018">
      <w:pPr>
        <w:spacing w:after="0"/>
        <w:jc w:val="both"/>
        <w:rPr>
          <w:rFonts w:ascii="Verdana" w:eastAsia="Calibri" w:hAnsi="Verdana" w:cs="Arial"/>
          <w:color w:val="000000"/>
          <w:lang w:val="es-ES_tradnl"/>
        </w:rPr>
      </w:pPr>
    </w:p>
    <w:p w14:paraId="79DE8B71" w14:textId="77777777" w:rsidR="005D37AA" w:rsidRPr="00A719AA" w:rsidRDefault="005D37AA" w:rsidP="005D37AA">
      <w:pPr>
        <w:spacing w:after="120" w:line="240" w:lineRule="auto"/>
        <w:jc w:val="both"/>
        <w:rPr>
          <w:rFonts w:ascii="Verdana" w:eastAsia="Aptos" w:hAnsi="Verdana" w:cs="Times New Roman"/>
          <w:sz w:val="20"/>
          <w:szCs w:val="20"/>
        </w:rPr>
      </w:pPr>
      <w:r w:rsidRPr="00A719AA">
        <w:rPr>
          <w:rFonts w:ascii="Verdana" w:eastAsia="Calibri" w:hAnsi="Verdana" w:cs="Arial"/>
          <w:color w:val="000000"/>
          <w:sz w:val="20"/>
          <w:szCs w:val="20"/>
        </w:rPr>
        <w:t>U</w:t>
      </w:r>
      <w:r w:rsidRPr="00A719AA">
        <w:rPr>
          <w:rFonts w:ascii="Verdana" w:eastAsia="Aptos" w:hAnsi="Verdana" w:cs="Times New Roman"/>
          <w:sz w:val="20"/>
          <w:szCs w:val="20"/>
        </w:rPr>
        <w:t xml:space="preserve">na de las principales modificaciones que en relación con el literal C. del numeral 4.1 del documento base, se relaciona con que “La TRM que la Entidad utilizará para determinar el método de ponderación será la que rija el segundo día hábil </w:t>
      </w:r>
      <w:r w:rsidRPr="00A719AA">
        <w:rPr>
          <w:rFonts w:ascii="Verdana" w:eastAsia="Aptos" w:hAnsi="Verdana" w:cs="Times New Roman"/>
          <w:i/>
          <w:iCs/>
          <w:sz w:val="20"/>
          <w:szCs w:val="20"/>
        </w:rPr>
        <w:t>después de finalizado el periodo de traslado del informe de evaluación</w:t>
      </w:r>
      <w:r w:rsidRPr="00A719AA">
        <w:rPr>
          <w:rFonts w:ascii="Verdana" w:eastAsia="Aptos" w:hAnsi="Verdana" w:cs="Times New Roman"/>
          <w:sz w:val="20"/>
          <w:szCs w:val="20"/>
        </w:rPr>
        <w:t xml:space="preserve">”. Sobre el particular, la versión 2 de los documentos tipo indicados, establecía que “la TRM que la Entidad utilizará para determinar el método de ponderación será la que rija el segundo día hábil de la </w:t>
      </w:r>
      <w:r w:rsidRPr="00A719AA">
        <w:rPr>
          <w:rFonts w:ascii="Verdana" w:eastAsia="Aptos" w:hAnsi="Verdana" w:cs="Times New Roman"/>
          <w:i/>
          <w:iCs/>
          <w:sz w:val="20"/>
          <w:szCs w:val="20"/>
        </w:rPr>
        <w:t>fecha de cierre</w:t>
      </w:r>
      <w:r w:rsidRPr="00A719AA">
        <w:rPr>
          <w:rFonts w:ascii="Verdana" w:eastAsia="Aptos" w:hAnsi="Verdana" w:cs="Times New Roman"/>
          <w:sz w:val="20"/>
          <w:szCs w:val="20"/>
        </w:rPr>
        <w:t>”. Así, la incorporación de esta y otras precisiones se incluyeron con el objetivo de conocer la TRM que definirá el método de ponderación, con posterioridad a la subsanación de la oferta que pueda incidir en la ponderación de la experiencia, como sucedía en la versión 2 de los documentos tipo.</w:t>
      </w:r>
    </w:p>
    <w:p w14:paraId="171226EE" w14:textId="77777777" w:rsidR="00800018" w:rsidRPr="005D37AA" w:rsidRDefault="00800018" w:rsidP="00800018">
      <w:pPr>
        <w:spacing w:after="0"/>
        <w:jc w:val="both"/>
        <w:rPr>
          <w:rFonts w:ascii="Verdana" w:eastAsia="Calibri" w:hAnsi="Verdana" w:cs="Arial"/>
          <w:color w:val="000000"/>
        </w:rPr>
      </w:pPr>
    </w:p>
    <w:p w14:paraId="2E6C25F2" w14:textId="77777777" w:rsidR="00800018" w:rsidRDefault="00800018" w:rsidP="00800018">
      <w:pPr>
        <w:spacing w:after="0"/>
        <w:jc w:val="both"/>
        <w:rPr>
          <w:rFonts w:ascii="Verdana" w:eastAsia="Calibri" w:hAnsi="Verdana" w:cs="Arial"/>
          <w:color w:val="000000"/>
          <w:lang w:val="es-ES_tradnl"/>
        </w:rPr>
      </w:pPr>
    </w:p>
    <w:p w14:paraId="05F87236" w14:textId="77777777" w:rsidR="00800018" w:rsidRDefault="00800018" w:rsidP="00800018">
      <w:pPr>
        <w:spacing w:after="0"/>
        <w:jc w:val="both"/>
        <w:rPr>
          <w:rFonts w:ascii="Verdana" w:eastAsia="Calibri" w:hAnsi="Verdana" w:cs="Arial"/>
          <w:color w:val="000000"/>
          <w:lang w:val="es-ES_tradnl"/>
        </w:rPr>
      </w:pPr>
    </w:p>
    <w:p w14:paraId="2742250F" w14:textId="77777777" w:rsidR="00800018" w:rsidRDefault="00800018" w:rsidP="00800018">
      <w:pPr>
        <w:spacing w:after="0"/>
        <w:jc w:val="both"/>
        <w:rPr>
          <w:rFonts w:ascii="Verdana" w:eastAsia="Calibri" w:hAnsi="Verdana" w:cs="Arial"/>
          <w:color w:val="000000"/>
          <w:lang w:val="es-ES_tradnl"/>
        </w:rPr>
      </w:pPr>
    </w:p>
    <w:p w14:paraId="2F948711" w14:textId="77777777" w:rsidR="00800018" w:rsidRDefault="00800018" w:rsidP="00800018">
      <w:pPr>
        <w:spacing w:after="0"/>
        <w:jc w:val="both"/>
        <w:rPr>
          <w:rFonts w:ascii="Verdana" w:eastAsia="Calibri" w:hAnsi="Verdana" w:cs="Arial"/>
          <w:color w:val="000000"/>
          <w:lang w:val="es-ES_tradnl"/>
        </w:rPr>
      </w:pPr>
    </w:p>
    <w:p w14:paraId="700E701D" w14:textId="77777777" w:rsidR="00800018" w:rsidRDefault="00800018" w:rsidP="00800018">
      <w:pPr>
        <w:spacing w:after="0"/>
        <w:jc w:val="both"/>
        <w:rPr>
          <w:rFonts w:ascii="Verdana" w:eastAsia="Calibri" w:hAnsi="Verdana" w:cs="Arial"/>
          <w:color w:val="000000"/>
          <w:lang w:val="es-ES_tradnl"/>
        </w:rPr>
      </w:pPr>
    </w:p>
    <w:p w14:paraId="74EFF9AD" w14:textId="77777777" w:rsidR="00800018" w:rsidRDefault="00800018" w:rsidP="00800018">
      <w:pPr>
        <w:spacing w:after="0"/>
        <w:jc w:val="both"/>
        <w:rPr>
          <w:rFonts w:ascii="Verdana" w:eastAsia="Calibri" w:hAnsi="Verdana" w:cs="Arial"/>
          <w:color w:val="000000"/>
          <w:lang w:val="es-ES_tradnl"/>
        </w:rPr>
      </w:pPr>
    </w:p>
    <w:p w14:paraId="354A4654" w14:textId="77777777" w:rsidR="00800018" w:rsidRDefault="00800018" w:rsidP="00800018">
      <w:pPr>
        <w:spacing w:after="0"/>
        <w:jc w:val="both"/>
        <w:rPr>
          <w:rFonts w:ascii="Verdana" w:eastAsia="Calibri" w:hAnsi="Verdana" w:cs="Arial"/>
          <w:color w:val="000000"/>
          <w:lang w:val="es-ES_tradnl"/>
        </w:rPr>
      </w:pPr>
    </w:p>
    <w:p w14:paraId="7D78CE51" w14:textId="77777777" w:rsidR="00800018" w:rsidRDefault="00800018" w:rsidP="00800018">
      <w:pPr>
        <w:spacing w:after="0"/>
        <w:jc w:val="both"/>
        <w:rPr>
          <w:rFonts w:ascii="Verdana" w:eastAsia="Calibri" w:hAnsi="Verdana" w:cs="Arial"/>
          <w:color w:val="000000"/>
          <w:lang w:val="es-ES_tradnl"/>
        </w:rPr>
      </w:pPr>
    </w:p>
    <w:p w14:paraId="1E8FF669" w14:textId="77777777" w:rsidR="00800018" w:rsidRDefault="00800018" w:rsidP="00800018">
      <w:pPr>
        <w:spacing w:after="0"/>
        <w:jc w:val="both"/>
        <w:rPr>
          <w:rFonts w:ascii="Verdana" w:eastAsia="Calibri" w:hAnsi="Verdana" w:cs="Arial"/>
          <w:color w:val="000000"/>
          <w:lang w:val="es-ES_tradnl"/>
        </w:rPr>
      </w:pPr>
    </w:p>
    <w:p w14:paraId="13ECCCB9" w14:textId="77777777" w:rsidR="00800018" w:rsidRDefault="00800018" w:rsidP="00800018">
      <w:pPr>
        <w:spacing w:after="0"/>
        <w:jc w:val="both"/>
        <w:rPr>
          <w:rFonts w:ascii="Verdana" w:eastAsia="Calibri" w:hAnsi="Verdana" w:cs="Arial"/>
          <w:color w:val="000000"/>
          <w:lang w:val="es-ES_tradnl"/>
        </w:rPr>
      </w:pPr>
    </w:p>
    <w:p w14:paraId="7A21C65B" w14:textId="21FC025A" w:rsidR="00800018" w:rsidRPr="004014BF" w:rsidRDefault="00800018" w:rsidP="00800018">
      <w:pPr>
        <w:spacing w:after="0" w:line="240" w:lineRule="auto"/>
        <w:rPr>
          <w:rFonts w:ascii="Verdana" w:hAnsi="Verdana"/>
        </w:rPr>
      </w:pPr>
      <w:r w:rsidRPr="00CF5A7A">
        <w:rPr>
          <w:rFonts w:ascii="Verdana" w:eastAsia="Calibri" w:hAnsi="Verdana" w:cs="Vrinda"/>
        </w:rPr>
        <w:lastRenderedPageBreak/>
        <w:t xml:space="preserve">Bogotá D.C., </w:t>
      </w:r>
      <w:r w:rsidR="00472B2B">
        <w:rPr>
          <w:rFonts w:ascii="Verdana" w:eastAsia="Calibri" w:hAnsi="Verdana" w:cs="Vrinda"/>
        </w:rPr>
        <w:t>27 octubre 2025</w:t>
      </w:r>
    </w:p>
    <w:p w14:paraId="7CC37B01" w14:textId="77777777" w:rsidR="00800018" w:rsidRDefault="00800018" w:rsidP="00800018">
      <w:pPr>
        <w:spacing w:after="0"/>
        <w:jc w:val="right"/>
        <w:rPr>
          <w:rFonts w:ascii="Verdana" w:eastAsia="Calibri" w:hAnsi="Verdana" w:cs="Times New Roman"/>
        </w:rPr>
      </w:pPr>
    </w:p>
    <w:p w14:paraId="153BBB8D" w14:textId="028021A2" w:rsidR="00472B2B" w:rsidRDefault="00472B2B" w:rsidP="00800018">
      <w:pPr>
        <w:spacing w:after="0"/>
        <w:jc w:val="right"/>
        <w:rPr>
          <w:rFonts w:ascii="Verdana" w:eastAsia="Calibri" w:hAnsi="Verdana" w:cs="Times New Roman"/>
        </w:rPr>
      </w:pPr>
    </w:p>
    <w:p w14:paraId="17D2E001" w14:textId="08970545" w:rsidR="00472B2B" w:rsidRPr="00B77EC4" w:rsidRDefault="00622948" w:rsidP="00800018">
      <w:pPr>
        <w:spacing w:after="0"/>
        <w:jc w:val="right"/>
        <w:rPr>
          <w:rFonts w:ascii="Verdana" w:eastAsia="Calibri" w:hAnsi="Verdana" w:cs="Times New Roman"/>
        </w:rPr>
      </w:pPr>
      <w:r w:rsidRPr="006F704C">
        <w:rPr>
          <w:rFonts w:ascii="Verdana" w:eastAsia="Calibri" w:hAnsi="Verdana" w:cs="Times New Roman"/>
          <w:noProof/>
        </w:rPr>
        <w:drawing>
          <wp:anchor distT="0" distB="0" distL="114300" distR="114300" simplePos="0" relativeHeight="251658240" behindDoc="0" locked="0" layoutInCell="1" allowOverlap="1" wp14:anchorId="1E4A9685" wp14:editId="348B7478">
            <wp:simplePos x="0" y="0"/>
            <wp:positionH relativeFrom="margin">
              <wp:align>right</wp:align>
            </wp:positionH>
            <wp:positionV relativeFrom="paragraph">
              <wp:posOffset>11126</wp:posOffset>
            </wp:positionV>
            <wp:extent cx="2564130" cy="897890"/>
            <wp:effectExtent l="0" t="0" r="7620" b="0"/>
            <wp:wrapSquare wrapText="bothSides"/>
            <wp:docPr id="24055320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553208" name=""/>
                    <pic:cNvPicPr/>
                  </pic:nvPicPr>
                  <pic:blipFill>
                    <a:blip r:embed="rId10">
                      <a:extLst>
                        <a:ext uri="{28A0092B-C50C-407E-A947-70E740481C1C}">
                          <a14:useLocalDpi xmlns:a14="http://schemas.microsoft.com/office/drawing/2010/main" val="0"/>
                        </a:ext>
                      </a:extLst>
                    </a:blip>
                    <a:stretch>
                      <a:fillRect/>
                    </a:stretch>
                  </pic:blipFill>
                  <pic:spPr>
                    <a:xfrm>
                      <a:off x="0" y="0"/>
                      <a:ext cx="2573556" cy="901617"/>
                    </a:xfrm>
                    <a:prstGeom prst="rect">
                      <a:avLst/>
                    </a:prstGeom>
                  </pic:spPr>
                </pic:pic>
              </a:graphicData>
            </a:graphic>
            <wp14:sizeRelV relativeFrom="margin">
              <wp14:pctHeight>0</wp14:pctHeight>
            </wp14:sizeRelV>
          </wp:anchor>
        </w:drawing>
      </w:r>
    </w:p>
    <w:bookmarkEnd w:id="0"/>
    <w:p w14:paraId="7252CF6B" w14:textId="77777777" w:rsidR="00800018" w:rsidRDefault="00800018" w:rsidP="00800018">
      <w:pPr>
        <w:spacing w:after="0" w:line="240" w:lineRule="auto"/>
        <w:jc w:val="both"/>
        <w:rPr>
          <w:rFonts w:ascii="Verdana" w:eastAsia="Calibri" w:hAnsi="Verdana" w:cs="Arial"/>
          <w:color w:val="000000"/>
        </w:rPr>
      </w:pPr>
      <w:r w:rsidRPr="00B77EC4">
        <w:rPr>
          <w:rFonts w:ascii="Verdana" w:eastAsia="Calibri" w:hAnsi="Verdana" w:cs="Arial"/>
          <w:color w:val="000000"/>
        </w:rPr>
        <w:t>Señor</w:t>
      </w:r>
    </w:p>
    <w:p w14:paraId="6DEC3806" w14:textId="77777777" w:rsidR="00800018" w:rsidRPr="00B77EC4" w:rsidRDefault="00800018" w:rsidP="00800018">
      <w:pPr>
        <w:spacing w:after="0" w:line="240" w:lineRule="auto"/>
        <w:jc w:val="both"/>
        <w:rPr>
          <w:rFonts w:ascii="Verdana" w:eastAsia="Calibri" w:hAnsi="Verdana" w:cs="Arial"/>
          <w:b/>
          <w:bCs/>
          <w:color w:val="000000"/>
        </w:rPr>
      </w:pPr>
      <w:r>
        <w:rPr>
          <w:rFonts w:ascii="Verdana" w:eastAsia="Calibri" w:hAnsi="Verdana" w:cs="Arial"/>
          <w:b/>
          <w:bCs/>
          <w:color w:val="000000"/>
        </w:rPr>
        <w:t>O</w:t>
      </w:r>
      <w:r w:rsidRPr="00D83ED9">
        <w:rPr>
          <w:rFonts w:ascii="Verdana" w:eastAsia="Calibri" w:hAnsi="Verdana" w:cs="Arial"/>
          <w:b/>
          <w:bCs/>
          <w:color w:val="000000"/>
        </w:rPr>
        <w:t xml:space="preserve">scar </w:t>
      </w:r>
      <w:r>
        <w:rPr>
          <w:rFonts w:ascii="Verdana" w:eastAsia="Calibri" w:hAnsi="Verdana" w:cs="Arial"/>
          <w:b/>
          <w:bCs/>
          <w:color w:val="000000"/>
        </w:rPr>
        <w:t>A</w:t>
      </w:r>
      <w:r w:rsidRPr="00D83ED9">
        <w:rPr>
          <w:rFonts w:ascii="Verdana" w:eastAsia="Calibri" w:hAnsi="Verdana" w:cs="Arial"/>
          <w:b/>
          <w:bCs/>
          <w:color w:val="000000"/>
        </w:rPr>
        <w:t xml:space="preserve">lfredo </w:t>
      </w:r>
      <w:r>
        <w:rPr>
          <w:rFonts w:ascii="Verdana" w:eastAsia="Calibri" w:hAnsi="Verdana" w:cs="Arial"/>
          <w:b/>
          <w:bCs/>
          <w:color w:val="000000"/>
        </w:rPr>
        <w:t>M</w:t>
      </w:r>
      <w:r w:rsidRPr="00D83ED9">
        <w:rPr>
          <w:rFonts w:ascii="Verdana" w:eastAsia="Calibri" w:hAnsi="Verdana" w:cs="Arial"/>
          <w:b/>
          <w:bCs/>
          <w:color w:val="000000"/>
        </w:rPr>
        <w:t xml:space="preserve">ontoya </w:t>
      </w:r>
      <w:r>
        <w:rPr>
          <w:rFonts w:ascii="Verdana" w:eastAsia="Calibri" w:hAnsi="Verdana" w:cs="Arial"/>
          <w:b/>
          <w:bCs/>
          <w:color w:val="000000"/>
        </w:rPr>
        <w:t>C</w:t>
      </w:r>
      <w:r w:rsidRPr="00D83ED9">
        <w:rPr>
          <w:rFonts w:ascii="Verdana" w:eastAsia="Calibri" w:hAnsi="Verdana" w:cs="Arial"/>
          <w:b/>
          <w:bCs/>
          <w:color w:val="000000"/>
        </w:rPr>
        <w:t>astro</w:t>
      </w:r>
    </w:p>
    <w:p w14:paraId="1A2E3DA3" w14:textId="77777777" w:rsidR="00800018" w:rsidRPr="00D83ED9" w:rsidRDefault="00800018" w:rsidP="00800018">
      <w:pPr>
        <w:spacing w:after="0" w:line="240" w:lineRule="auto"/>
        <w:jc w:val="both"/>
        <w:rPr>
          <w:rFonts w:ascii="Verdana" w:eastAsia="Calibri" w:hAnsi="Verdana" w:cs="Arial"/>
          <w:color w:val="000000"/>
        </w:rPr>
      </w:pPr>
      <w:r w:rsidRPr="00D83ED9">
        <w:rPr>
          <w:rFonts w:ascii="Verdana" w:eastAsia="Calibri" w:hAnsi="Verdana" w:cs="Arial"/>
          <w:color w:val="000000"/>
        </w:rPr>
        <w:t>Representante Legal</w:t>
      </w:r>
    </w:p>
    <w:p w14:paraId="7AFF48A3" w14:textId="77777777" w:rsidR="00800018" w:rsidRPr="00D83ED9" w:rsidRDefault="00800018" w:rsidP="00800018">
      <w:pPr>
        <w:spacing w:after="0" w:line="240" w:lineRule="auto"/>
        <w:jc w:val="both"/>
        <w:rPr>
          <w:rFonts w:ascii="Verdana" w:eastAsia="Calibri" w:hAnsi="Verdana" w:cs="Arial"/>
          <w:color w:val="000000"/>
        </w:rPr>
      </w:pPr>
      <w:r w:rsidRPr="00D83ED9">
        <w:rPr>
          <w:rFonts w:ascii="Verdana" w:eastAsia="Calibri" w:hAnsi="Verdana" w:cs="Arial"/>
          <w:color w:val="000000"/>
        </w:rPr>
        <w:t>Grupo Metro Colombia S.A.S</w:t>
      </w:r>
    </w:p>
    <w:p w14:paraId="2E929EC9" w14:textId="77777777" w:rsidR="00800018" w:rsidRPr="00B77EC4" w:rsidRDefault="00800018" w:rsidP="00800018">
      <w:pPr>
        <w:spacing w:after="0" w:line="240" w:lineRule="auto"/>
        <w:rPr>
          <w:rFonts w:ascii="Verdana" w:eastAsia="Calibri" w:hAnsi="Verdana" w:cs="Arial"/>
          <w:b/>
          <w:bCs/>
          <w:color w:val="000000"/>
          <w:lang w:eastAsia="es-ES_tradnl"/>
        </w:rPr>
      </w:pPr>
      <w:r>
        <w:rPr>
          <w:rFonts w:ascii="Verdana" w:eastAsia="Calibri" w:hAnsi="Verdana" w:cs="Arial"/>
          <w:color w:val="000000"/>
        </w:rPr>
        <w:t>Bogotá, D.C</w:t>
      </w:r>
    </w:p>
    <w:tbl>
      <w:tblPr>
        <w:tblStyle w:val="Tablaconcuadrcula"/>
        <w:tblW w:w="89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725"/>
        <w:gridCol w:w="6183"/>
      </w:tblGrid>
      <w:tr w:rsidR="00800018" w:rsidRPr="00B77EC4" w14:paraId="0B39E80A" w14:textId="77777777" w:rsidTr="007746B4">
        <w:trPr>
          <w:trHeight w:val="910"/>
        </w:trPr>
        <w:tc>
          <w:tcPr>
            <w:tcW w:w="2725" w:type="dxa"/>
          </w:tcPr>
          <w:p w14:paraId="49E24B60" w14:textId="77777777" w:rsidR="00800018" w:rsidRPr="00B77EC4" w:rsidRDefault="00800018" w:rsidP="007746B4">
            <w:pPr>
              <w:jc w:val="both"/>
              <w:rPr>
                <w:rFonts w:ascii="Verdana" w:eastAsia="Calibri" w:hAnsi="Verdana" w:cs="Arial"/>
                <w:b/>
                <w:bCs/>
                <w:color w:val="7030A0"/>
                <w:lang w:eastAsia="es-ES_tradnl"/>
              </w:rPr>
            </w:pPr>
          </w:p>
        </w:tc>
        <w:tc>
          <w:tcPr>
            <w:tcW w:w="6183" w:type="dxa"/>
          </w:tcPr>
          <w:p w14:paraId="09729139" w14:textId="77777777" w:rsidR="00800018" w:rsidRPr="00B77EC4" w:rsidRDefault="00800018" w:rsidP="007746B4">
            <w:pPr>
              <w:jc w:val="both"/>
              <w:rPr>
                <w:rFonts w:ascii="Verdana" w:eastAsia="Calibri" w:hAnsi="Verdana" w:cs="Arial"/>
                <w:b/>
                <w:bCs/>
                <w:lang w:eastAsia="es-ES"/>
              </w:rPr>
            </w:pPr>
            <w:r w:rsidRPr="00B77EC4">
              <w:rPr>
                <w:rFonts w:ascii="Verdana" w:eastAsia="Calibri" w:hAnsi="Verdana" w:cs="Arial"/>
                <w:b/>
                <w:bCs/>
                <w:lang w:eastAsia="es-ES"/>
              </w:rPr>
              <w:t>Concepto C-</w:t>
            </w:r>
            <w:r>
              <w:rPr>
                <w:rFonts w:ascii="Verdana" w:eastAsia="Calibri" w:hAnsi="Verdana" w:cs="Arial"/>
                <w:b/>
                <w:bCs/>
                <w:lang w:eastAsia="es-ES"/>
              </w:rPr>
              <w:t>1425</w:t>
            </w:r>
            <w:r w:rsidRPr="00B77EC4">
              <w:rPr>
                <w:rFonts w:ascii="Verdana" w:eastAsia="Calibri" w:hAnsi="Verdana" w:cs="Arial"/>
                <w:b/>
                <w:bCs/>
                <w:lang w:eastAsia="es-ES"/>
              </w:rPr>
              <w:t xml:space="preserve"> de 2025</w:t>
            </w:r>
          </w:p>
        </w:tc>
      </w:tr>
      <w:tr w:rsidR="00800018" w:rsidRPr="00B77EC4" w14:paraId="6739E392" w14:textId="77777777" w:rsidTr="007746B4">
        <w:trPr>
          <w:trHeight w:val="910"/>
        </w:trPr>
        <w:tc>
          <w:tcPr>
            <w:tcW w:w="2725" w:type="dxa"/>
          </w:tcPr>
          <w:p w14:paraId="4787812D" w14:textId="77777777" w:rsidR="00800018" w:rsidRPr="00B77EC4" w:rsidRDefault="00800018" w:rsidP="007746B4">
            <w:pPr>
              <w:jc w:val="both"/>
              <w:rPr>
                <w:rFonts w:ascii="Verdana" w:eastAsia="Calibri" w:hAnsi="Verdana" w:cs="Arial"/>
                <w:color w:val="000000"/>
                <w:lang w:eastAsia="es-ES_tradnl"/>
              </w:rPr>
            </w:pPr>
            <w:r w:rsidRPr="00B77EC4">
              <w:rPr>
                <w:rFonts w:ascii="Verdana" w:eastAsia="Calibri" w:hAnsi="Verdana" w:cs="Arial"/>
                <w:b/>
                <w:color w:val="000000"/>
                <w:lang w:eastAsia="es-ES_tradnl"/>
              </w:rPr>
              <w:t>Temas:</w:t>
            </w:r>
            <w:r w:rsidRPr="00B77EC4">
              <w:rPr>
                <w:rFonts w:ascii="Verdana" w:eastAsia="Calibri" w:hAnsi="Verdana" w:cs="Arial"/>
                <w:color w:val="000000"/>
                <w:lang w:eastAsia="es-ES_tradnl"/>
              </w:rPr>
              <w:t xml:space="preserve">                   </w:t>
            </w:r>
          </w:p>
        </w:tc>
        <w:tc>
          <w:tcPr>
            <w:tcW w:w="6183" w:type="dxa"/>
          </w:tcPr>
          <w:p w14:paraId="3473885F" w14:textId="77777777" w:rsidR="00800018" w:rsidRPr="00353C74" w:rsidRDefault="00800018" w:rsidP="007746B4">
            <w:pPr>
              <w:jc w:val="both"/>
              <w:rPr>
                <w:rFonts w:ascii="Verdana" w:eastAsia="Calibri" w:hAnsi="Verdana" w:cs="Arial"/>
                <w:b/>
                <w:bCs/>
                <w:color w:val="000000"/>
                <w:kern w:val="2"/>
                <w:lang w:val="es-ES_tradnl"/>
                <w14:ligatures w14:val="standardContextual"/>
              </w:rPr>
            </w:pPr>
            <w:r w:rsidRPr="00353C74">
              <w:rPr>
                <w:rFonts w:ascii="Verdana" w:eastAsia="Calibri" w:hAnsi="Verdana" w:cs="Arial"/>
                <w:bCs/>
                <w:color w:val="000000" w:themeColor="text1"/>
                <w:lang w:eastAsia="es-ES"/>
              </w:rPr>
              <w:t xml:space="preserve">DOCUMENTOS TIPO – Interventoría de infraestructura de transporte – Versión 3 </w:t>
            </w:r>
            <w:r w:rsidRPr="00353C74">
              <w:rPr>
                <w:rFonts w:ascii="Verdana" w:eastAsia="Calibri" w:hAnsi="Verdana" w:cs="Arial"/>
                <w:bCs/>
                <w:color w:val="000000" w:themeColor="text1"/>
                <w:lang w:val="es-ES_tradnl"/>
              </w:rPr>
              <w:t xml:space="preserve">/ </w:t>
            </w:r>
            <w:r w:rsidRPr="00353C74">
              <w:rPr>
                <w:rFonts w:ascii="Verdana" w:eastAsia="Calibri" w:hAnsi="Verdana" w:cs="Arial"/>
                <w:bCs/>
                <w:color w:val="000000" w:themeColor="text1"/>
                <w:kern w:val="2"/>
                <w:lang w:val="es-ES_tradnl"/>
                <w14:ligatures w14:val="standardContextual"/>
              </w:rPr>
              <w:t xml:space="preserve">DOCUMENTOS TIPO – </w:t>
            </w:r>
            <w:r w:rsidRPr="00353C74">
              <w:rPr>
                <w:rFonts w:ascii="Verdana" w:eastAsia="Aptos" w:hAnsi="Verdana" w:cs="Arial"/>
                <w:bCs/>
                <w:color w:val="000000" w:themeColor="text1"/>
                <w:kern w:val="2"/>
                <w:lang w:val="es-ES"/>
                <w14:ligatures w14:val="standardContextual"/>
              </w:rPr>
              <w:t xml:space="preserve">Interventoría </w:t>
            </w:r>
            <w:r w:rsidRPr="00353C74">
              <w:rPr>
                <w:rFonts w:ascii="Verdana" w:eastAsia="Calibri" w:hAnsi="Verdana" w:cs="Arial"/>
                <w:bCs/>
                <w:color w:val="000000" w:themeColor="text1"/>
                <w:kern w:val="2"/>
                <w:lang w:val="es-ES_tradnl"/>
                <w14:ligatures w14:val="standardContextual"/>
              </w:rPr>
              <w:t xml:space="preserve">de obra pública de infraestructura de transporte – Asignación de puntaje por la experiencia del proponente – Numeral 4.1 – Literal C – Alcance / </w:t>
            </w:r>
            <w:r w:rsidRPr="00353C74">
              <w:rPr>
                <w:rFonts w:ascii="Verdana" w:eastAsia="Calibri" w:hAnsi="Verdana" w:cs="Arial"/>
                <w:bCs/>
                <w:color w:val="000000" w:themeColor="text1"/>
                <w:lang w:eastAsia="es-ES"/>
              </w:rPr>
              <w:t xml:space="preserve">DOCUMENTOS TIPO – Interventoría de infraestructura de transporte – Versión 3 – Métodos de ponderación </w:t>
            </w:r>
            <w:r>
              <w:rPr>
                <w:rFonts w:ascii="Verdana" w:eastAsia="Calibri" w:hAnsi="Verdana" w:cs="Arial"/>
                <w:bCs/>
                <w:color w:val="000000" w:themeColor="text1"/>
                <w:lang w:eastAsia="es-ES"/>
              </w:rPr>
              <w:t xml:space="preserve">/ </w:t>
            </w:r>
            <w:r w:rsidRPr="00353C74">
              <w:rPr>
                <w:rFonts w:ascii="Verdana" w:eastAsia="Calibri" w:hAnsi="Verdana" w:cs="Arial"/>
                <w:color w:val="000000"/>
                <w:kern w:val="2"/>
                <w:lang w:val="es-ES_tradnl"/>
                <w14:ligatures w14:val="standardContextual"/>
              </w:rPr>
              <w:t>Numeral 4.1 – Literal C</w:t>
            </w:r>
            <w:r w:rsidRPr="00353C74">
              <w:rPr>
                <w:rFonts w:ascii="Verdana" w:eastAsia="Calibri" w:hAnsi="Verdana" w:cs="Arial"/>
                <w:color w:val="000000"/>
                <w:lang w:val="es-ES_tradnl"/>
              </w:rPr>
              <w:t xml:space="preserve"> </w:t>
            </w:r>
            <w:r w:rsidRPr="00353C74">
              <w:rPr>
                <w:rFonts w:ascii="Verdana" w:eastAsia="Calibri" w:hAnsi="Verdana" w:cs="Arial"/>
                <w:color w:val="000000"/>
                <w:kern w:val="2"/>
                <w:lang w:val="es-ES_tradnl"/>
                <w14:ligatures w14:val="standardContextual"/>
              </w:rPr>
              <w:t>–</w:t>
            </w:r>
            <w:r w:rsidRPr="00353C74">
              <w:rPr>
                <w:rFonts w:ascii="Verdana" w:eastAsia="Calibri" w:hAnsi="Verdana" w:cs="Arial"/>
                <w:color w:val="000000"/>
                <w:lang w:val="es-ES_tradnl"/>
              </w:rPr>
              <w:t xml:space="preserve"> Documentos tipo</w:t>
            </w:r>
            <w:r w:rsidRPr="00353C74">
              <w:rPr>
                <w:rFonts w:ascii="Verdana" w:eastAsia="Calibri" w:hAnsi="Verdana" w:cs="Arial"/>
                <w:color w:val="000000"/>
                <w:kern w:val="2"/>
                <w:lang w:val="es-ES_tradnl"/>
                <w14:ligatures w14:val="standardContextual"/>
              </w:rPr>
              <w:t xml:space="preserve"> – </w:t>
            </w:r>
            <w:r w:rsidRPr="00353C74">
              <w:rPr>
                <w:rFonts w:ascii="Verdana" w:eastAsia="Aptos" w:hAnsi="Verdana" w:cs="Arial"/>
                <w:color w:val="000000"/>
                <w:kern w:val="2"/>
                <w:lang w:val="es-ES"/>
                <w14:ligatures w14:val="standardContextual"/>
              </w:rPr>
              <w:t xml:space="preserve">Interventoría </w:t>
            </w:r>
            <w:r w:rsidRPr="00353C74">
              <w:rPr>
                <w:rFonts w:ascii="Verdana" w:eastAsia="Calibri" w:hAnsi="Verdana" w:cs="Arial"/>
                <w:color w:val="000000"/>
                <w:kern w:val="2"/>
                <w:lang w:val="es-ES_tradnl"/>
                <w14:ligatures w14:val="standardContextual"/>
              </w:rPr>
              <w:t xml:space="preserve">de obra pública de infraestructura de transporte – </w:t>
            </w:r>
            <w:r w:rsidRPr="00353C74">
              <w:rPr>
                <w:rFonts w:ascii="Verdana" w:eastAsia="Calibri" w:hAnsi="Verdana" w:cs="Arial"/>
                <w:color w:val="000000"/>
                <w:lang w:val="es-ES_tradnl"/>
              </w:rPr>
              <w:t xml:space="preserve">Versión 3 </w:t>
            </w:r>
            <w:r w:rsidRPr="00353C74">
              <w:rPr>
                <w:rFonts w:ascii="Verdana" w:eastAsia="Calibri" w:hAnsi="Verdana" w:cs="Arial"/>
                <w:color w:val="000000"/>
                <w:kern w:val="2"/>
                <w:lang w:val="es-ES_tradnl"/>
                <w14:ligatures w14:val="standardContextual"/>
              </w:rPr>
              <w:t>–</w:t>
            </w:r>
            <w:r w:rsidRPr="00353C74">
              <w:rPr>
                <w:rFonts w:ascii="Verdana" w:eastAsia="Calibri" w:hAnsi="Verdana" w:cs="Arial"/>
                <w:color w:val="000000"/>
                <w:lang w:val="es-ES_tradnl"/>
              </w:rPr>
              <w:t xml:space="preserve"> Finalidad</w:t>
            </w:r>
            <w:r>
              <w:rPr>
                <w:rFonts w:ascii="Verdana" w:eastAsia="Calibri" w:hAnsi="Verdana" w:cs="Arial"/>
                <w:b/>
                <w:bCs/>
                <w:color w:val="000000"/>
                <w:lang w:val="es-ES_tradnl"/>
              </w:rPr>
              <w:t xml:space="preserve"> </w:t>
            </w:r>
          </w:p>
          <w:p w14:paraId="4F436300" w14:textId="77777777" w:rsidR="00800018" w:rsidRPr="00353C74" w:rsidRDefault="00800018" w:rsidP="007746B4">
            <w:pPr>
              <w:spacing w:line="276" w:lineRule="auto"/>
              <w:jc w:val="both"/>
              <w:rPr>
                <w:rFonts w:ascii="Verdana" w:eastAsia="Calibri" w:hAnsi="Verdana" w:cs="Arial"/>
                <w:bCs/>
                <w:color w:val="000000" w:themeColor="text1"/>
                <w:lang w:val="es-ES_tradnl" w:eastAsia="es-ES"/>
              </w:rPr>
            </w:pPr>
          </w:p>
        </w:tc>
      </w:tr>
      <w:tr w:rsidR="00800018" w:rsidRPr="00B77EC4" w14:paraId="73319A7D" w14:textId="77777777" w:rsidTr="007746B4">
        <w:trPr>
          <w:trHeight w:val="556"/>
        </w:trPr>
        <w:tc>
          <w:tcPr>
            <w:tcW w:w="2725" w:type="dxa"/>
          </w:tcPr>
          <w:p w14:paraId="32DC3972" w14:textId="77777777" w:rsidR="00800018" w:rsidRPr="00B77EC4" w:rsidRDefault="00800018" w:rsidP="007746B4">
            <w:pPr>
              <w:jc w:val="both"/>
              <w:rPr>
                <w:rFonts w:ascii="Verdana" w:eastAsia="Calibri" w:hAnsi="Verdana" w:cs="Arial"/>
                <w:lang w:eastAsia="es-ES_tradnl"/>
              </w:rPr>
            </w:pPr>
            <w:r w:rsidRPr="00B77EC4">
              <w:rPr>
                <w:rFonts w:ascii="Verdana" w:eastAsia="Calibri" w:hAnsi="Verdana" w:cs="Arial"/>
                <w:lang w:eastAsia="es-ES_tradnl"/>
              </w:rPr>
              <w:t xml:space="preserve">Radicación:               </w:t>
            </w:r>
          </w:p>
        </w:tc>
        <w:tc>
          <w:tcPr>
            <w:tcW w:w="6183" w:type="dxa"/>
          </w:tcPr>
          <w:p w14:paraId="4594A959" w14:textId="77777777" w:rsidR="00800018" w:rsidRPr="00B77EC4" w:rsidRDefault="00800018" w:rsidP="007746B4">
            <w:pPr>
              <w:jc w:val="both"/>
              <w:rPr>
                <w:rFonts w:ascii="Verdana" w:eastAsia="Calibri" w:hAnsi="Verdana" w:cs="Arial"/>
                <w:lang w:eastAsia="es-ES_tradnl"/>
              </w:rPr>
            </w:pPr>
            <w:r w:rsidRPr="00B77EC4">
              <w:rPr>
                <w:rFonts w:ascii="Verdana" w:eastAsia="Calibri" w:hAnsi="Verdana" w:cs="Arial"/>
                <w:lang w:eastAsia="es-ES_tradnl"/>
              </w:rPr>
              <w:t xml:space="preserve">Respuesta a consulta con radicado No. </w:t>
            </w:r>
            <w:r w:rsidRPr="00D83ED9">
              <w:rPr>
                <w:rFonts w:ascii="Verdana" w:eastAsia="Calibri" w:hAnsi="Verdana" w:cs="Arial"/>
                <w:lang w:eastAsia="es-ES_tradnl"/>
              </w:rPr>
              <w:t>1_2025_10_02_010968</w:t>
            </w:r>
          </w:p>
        </w:tc>
      </w:tr>
    </w:tbl>
    <w:p w14:paraId="5100A179" w14:textId="77777777" w:rsidR="00800018" w:rsidRPr="00B77EC4" w:rsidRDefault="00800018" w:rsidP="00800018">
      <w:pPr>
        <w:spacing w:after="0" w:line="240" w:lineRule="auto"/>
        <w:jc w:val="both"/>
        <w:rPr>
          <w:rFonts w:ascii="Verdana" w:eastAsia="Calibri" w:hAnsi="Verdana" w:cs="Arial"/>
          <w:lang w:eastAsia="es-ES_tradnl"/>
        </w:rPr>
      </w:pPr>
    </w:p>
    <w:p w14:paraId="203F86BC" w14:textId="77777777" w:rsidR="00800018" w:rsidRPr="00B77EC4" w:rsidRDefault="00800018" w:rsidP="00800018">
      <w:pPr>
        <w:spacing w:after="0" w:line="276" w:lineRule="auto"/>
        <w:jc w:val="both"/>
        <w:rPr>
          <w:rFonts w:ascii="Verdana" w:eastAsia="Calibri" w:hAnsi="Verdana" w:cs="Arial"/>
          <w:color w:val="000000"/>
          <w:lang w:eastAsia="es-ES"/>
        </w:rPr>
      </w:pPr>
      <w:r w:rsidRPr="00B77EC4">
        <w:rPr>
          <w:rFonts w:ascii="Verdana" w:eastAsia="Calibri" w:hAnsi="Verdana" w:cs="Arial"/>
          <w:color w:val="000000"/>
          <w:lang w:eastAsia="es-ES"/>
        </w:rPr>
        <w:t xml:space="preserve">Estimado señor </w:t>
      </w:r>
      <w:r w:rsidRPr="00D83ED9">
        <w:rPr>
          <w:rFonts w:ascii="Verdana" w:eastAsia="Calibri" w:hAnsi="Verdana" w:cs="Arial"/>
          <w:color w:val="000000"/>
        </w:rPr>
        <w:t>Montoya Castro</w:t>
      </w:r>
      <w:r w:rsidRPr="00B77EC4">
        <w:rPr>
          <w:rFonts w:ascii="Verdana" w:eastAsia="Calibri" w:hAnsi="Verdana" w:cs="Arial"/>
          <w:color w:val="000000"/>
          <w:lang w:eastAsia="es-ES"/>
        </w:rPr>
        <w:t xml:space="preserve">: </w:t>
      </w:r>
    </w:p>
    <w:p w14:paraId="4020A3BA" w14:textId="77777777" w:rsidR="00800018" w:rsidRPr="00B77EC4" w:rsidRDefault="00800018" w:rsidP="00800018">
      <w:pPr>
        <w:tabs>
          <w:tab w:val="left" w:pos="3768"/>
        </w:tabs>
        <w:spacing w:after="0" w:line="276" w:lineRule="auto"/>
        <w:jc w:val="both"/>
        <w:rPr>
          <w:rFonts w:ascii="Verdana" w:eastAsia="Calibri" w:hAnsi="Verdana" w:cs="Arial"/>
          <w:color w:val="000000"/>
          <w:lang w:eastAsia="es-ES"/>
        </w:rPr>
      </w:pPr>
      <w:r w:rsidRPr="00B77EC4">
        <w:rPr>
          <w:rFonts w:ascii="Verdana" w:eastAsia="Calibri" w:hAnsi="Verdana" w:cs="Arial"/>
          <w:color w:val="000000"/>
          <w:lang w:eastAsia="es-ES"/>
        </w:rPr>
        <w:tab/>
      </w:r>
    </w:p>
    <w:p w14:paraId="3F35F0B6" w14:textId="77777777" w:rsidR="00800018" w:rsidRDefault="00800018" w:rsidP="00800018">
      <w:pPr>
        <w:spacing w:after="0" w:line="276" w:lineRule="auto"/>
        <w:jc w:val="both"/>
        <w:rPr>
          <w:rFonts w:ascii="Verdana" w:eastAsia="Calibri" w:hAnsi="Verdana" w:cs="Arial"/>
          <w:color w:val="000000"/>
          <w:lang w:eastAsia="es-ES"/>
        </w:rPr>
      </w:pPr>
      <w:r w:rsidRPr="00B77EC4">
        <w:rPr>
          <w:rFonts w:ascii="Verdana" w:eastAsia="Calibri" w:hAnsi="Verdana" w:cs="Arial"/>
          <w:color w:val="000000"/>
          <w:lang w:eastAsia="es-ES"/>
        </w:rPr>
        <w:t>En ejercicio de la competencia otorgada por los artículos 3, numeral 5º, y 11, numeral 8º, del Decreto Ley 4170 de 2011,</w:t>
      </w:r>
      <w:r w:rsidRPr="00B77EC4">
        <w:rPr>
          <w:rFonts w:ascii="Verdana" w:eastAsia="Arial MT" w:hAnsi="Verdana" w:cs="Arial MT"/>
          <w:lang w:eastAsia="es-ES"/>
        </w:rPr>
        <w:t xml:space="preserve"> </w:t>
      </w:r>
      <w:r w:rsidRPr="00B77EC4">
        <w:rPr>
          <w:rFonts w:ascii="Verdana" w:eastAsia="Calibri" w:hAnsi="Verdana" w:cs="Arial"/>
        </w:rPr>
        <w:t xml:space="preserve">así como lo establecido en el artículo 4 de la Resolución 1707 de 2018 expedida por esta Entidad, </w:t>
      </w:r>
      <w:r w:rsidRPr="00B77EC4">
        <w:rPr>
          <w:rFonts w:ascii="Verdana" w:eastAsia="Calibri" w:hAnsi="Verdana" w:cs="Arial"/>
          <w:color w:val="000000"/>
          <w:lang w:eastAsia="es-ES"/>
        </w:rPr>
        <w:t xml:space="preserve">la Agencia Nacional de Contratación Pública – Colombia Compra Eficiente– responde su solicitud de consulta de fecha </w:t>
      </w:r>
      <w:r>
        <w:rPr>
          <w:rFonts w:ascii="Verdana" w:eastAsia="Calibri" w:hAnsi="Verdana" w:cs="Arial"/>
          <w:color w:val="000000"/>
          <w:lang w:eastAsia="es-ES"/>
        </w:rPr>
        <w:t>2</w:t>
      </w:r>
      <w:r w:rsidRPr="00B77EC4">
        <w:rPr>
          <w:rFonts w:ascii="Verdana" w:eastAsia="Calibri" w:hAnsi="Verdana" w:cs="Arial"/>
          <w:color w:val="000000"/>
          <w:lang w:eastAsia="es-ES"/>
        </w:rPr>
        <w:t xml:space="preserve"> de </w:t>
      </w:r>
      <w:r>
        <w:rPr>
          <w:rFonts w:ascii="Verdana" w:eastAsia="Calibri" w:hAnsi="Verdana" w:cs="Arial"/>
          <w:color w:val="000000"/>
          <w:lang w:eastAsia="es-ES"/>
        </w:rPr>
        <w:t>octubre</w:t>
      </w:r>
      <w:r w:rsidRPr="00B77EC4">
        <w:rPr>
          <w:rFonts w:ascii="Verdana" w:eastAsia="Calibri" w:hAnsi="Verdana" w:cs="Arial"/>
          <w:color w:val="000000"/>
          <w:lang w:eastAsia="es-ES"/>
        </w:rPr>
        <w:t xml:space="preserve"> de 2025, en la cual, </w:t>
      </w:r>
      <w:r>
        <w:rPr>
          <w:rFonts w:ascii="Verdana" w:eastAsia="Calibri" w:hAnsi="Verdana" w:cs="Arial"/>
          <w:color w:val="000000"/>
          <w:lang w:eastAsia="es-ES"/>
        </w:rPr>
        <w:t>manifiesta lo siguiente:</w:t>
      </w:r>
    </w:p>
    <w:p w14:paraId="13603D4D" w14:textId="77777777" w:rsidR="00800018" w:rsidRDefault="00800018" w:rsidP="00800018">
      <w:pPr>
        <w:spacing w:after="0" w:line="276" w:lineRule="auto"/>
        <w:jc w:val="both"/>
        <w:rPr>
          <w:rFonts w:ascii="Verdana" w:eastAsia="Calibri" w:hAnsi="Verdana" w:cs="Arial"/>
          <w:color w:val="000000"/>
          <w:lang w:eastAsia="es-ES"/>
        </w:rPr>
      </w:pPr>
    </w:p>
    <w:p w14:paraId="6E1C7BE0" w14:textId="77777777" w:rsidR="00800018" w:rsidRDefault="00800018" w:rsidP="00800018">
      <w:pPr>
        <w:spacing w:after="120" w:line="240" w:lineRule="auto"/>
        <w:ind w:left="709" w:right="709"/>
        <w:jc w:val="both"/>
        <w:rPr>
          <w:rFonts w:ascii="Verdana" w:eastAsia="Calibri" w:hAnsi="Verdana" w:cs="Times New Roman"/>
          <w:sz w:val="21"/>
          <w:szCs w:val="21"/>
        </w:rPr>
      </w:pPr>
      <w:r>
        <w:rPr>
          <w:rFonts w:ascii="Verdana" w:eastAsia="Calibri" w:hAnsi="Verdana" w:cs="Times New Roman"/>
          <w:sz w:val="21"/>
          <w:szCs w:val="21"/>
        </w:rPr>
        <w:t>“</w:t>
      </w:r>
      <w:r w:rsidRPr="00D83ED9">
        <w:rPr>
          <w:rFonts w:ascii="Verdana" w:eastAsia="Calibri" w:hAnsi="Verdana" w:cs="Times New Roman"/>
          <w:sz w:val="21"/>
          <w:szCs w:val="21"/>
        </w:rPr>
        <w:t xml:space="preserve">PRIMERO. El DOCUMENTO BASE INTERVENTORÍA DE OBRA PÚBLICA DE INFRAESTRUCTURA DE TRANSPORTE – VERSIÓN 3. LITERAL C DEL NUMERAL 4.1 FORMA DE VERIFICACION Y ASIGNACION DE PUNTAJE POR LA EXPERIENCIA DEL PROPONENTE establece: </w:t>
      </w:r>
    </w:p>
    <w:p w14:paraId="55C93676" w14:textId="77777777" w:rsidR="00800018" w:rsidRPr="00D83ED9" w:rsidRDefault="00800018" w:rsidP="00800018">
      <w:pPr>
        <w:spacing w:after="120" w:line="240" w:lineRule="auto"/>
        <w:ind w:left="709" w:right="709"/>
        <w:jc w:val="both"/>
        <w:rPr>
          <w:rFonts w:ascii="Verdana" w:eastAsia="Calibri" w:hAnsi="Verdana" w:cs="Times New Roman"/>
          <w:b/>
          <w:bCs/>
          <w:sz w:val="21"/>
          <w:szCs w:val="21"/>
          <w:u w:val="single"/>
        </w:rPr>
      </w:pPr>
      <w:r w:rsidRPr="00D83ED9">
        <w:rPr>
          <w:rFonts w:ascii="Verdana" w:eastAsia="Calibri" w:hAnsi="Verdana" w:cs="Times New Roman"/>
          <w:sz w:val="21"/>
          <w:szCs w:val="21"/>
        </w:rPr>
        <w:t xml:space="preserve">(…) C. Posteriormente, se seleccionará un método aleatorio en función de la Tasa de cambio Representativa del Mercado (TRM) certificada por </w:t>
      </w:r>
      <w:r w:rsidRPr="00D83ED9">
        <w:rPr>
          <w:rFonts w:ascii="Verdana" w:eastAsia="Calibri" w:hAnsi="Verdana" w:cs="Times New Roman"/>
          <w:sz w:val="21"/>
          <w:szCs w:val="21"/>
        </w:rPr>
        <w:lastRenderedPageBreak/>
        <w:t xml:space="preserve">la Superintendencia Financiera de Colombia [en su sitio web: https://www.superfinanciera.gov.co/publicacion/60819]. La TRM que la entidad utilizará para determinar el método de ponderación será la que rija el segundo día hábil después del cierre del proceso. Esto es, la que la Superintendencia publique en horas de la tarde del día hábil siguiente a la fecha efectiva del cierre del proceso. Por ejemplo, si el cierre del proceso se realiza el 10 de febrero, la TRM que se usará para determinar el método de evaluación será la del 12 de febrero, que se publica en la tarde del 11 de febrero. </w:t>
      </w:r>
      <w:r w:rsidRPr="00D83ED9">
        <w:rPr>
          <w:rFonts w:ascii="Verdana" w:eastAsia="Calibri" w:hAnsi="Verdana" w:cs="Times New Roman"/>
          <w:b/>
          <w:bCs/>
          <w:sz w:val="21"/>
          <w:szCs w:val="21"/>
          <w:u w:val="single"/>
        </w:rPr>
        <w:t xml:space="preserve">En el evento excepcional establecido en el numeral 1.6, cuando la Entidad no hubiese advertido durante el proceso de evaluación la ausencia de requisitos o la falta de documentos referentes a la futura contratación o al Proponente, ya sea en relación con los requisitos habilitantes o para aclarar aspectos que otorgan puntaje o relativos a los factores de desempate, y por ende, deba requerir a algún proponente, la TRM que la Entidad utilizará para determinar el método de ponderación será la que rija el segundo día hábil después de finalizado el periodo concedido al proponente requerido para allegar la subsanación y/o aclaración solicitada. </w:t>
      </w:r>
    </w:p>
    <w:p w14:paraId="233B30E6" w14:textId="77777777" w:rsidR="00800018" w:rsidRDefault="00800018" w:rsidP="00800018">
      <w:pPr>
        <w:spacing w:after="120" w:line="240" w:lineRule="auto"/>
        <w:ind w:left="709" w:right="709"/>
        <w:jc w:val="both"/>
        <w:rPr>
          <w:rFonts w:ascii="Verdana" w:eastAsia="Calibri" w:hAnsi="Verdana" w:cs="Times New Roman"/>
          <w:sz w:val="21"/>
          <w:szCs w:val="21"/>
        </w:rPr>
      </w:pPr>
      <w:r w:rsidRPr="00D83ED9">
        <w:rPr>
          <w:rFonts w:ascii="Verdana" w:eastAsia="Calibri" w:hAnsi="Verdana" w:cs="Times New Roman"/>
          <w:sz w:val="21"/>
          <w:szCs w:val="21"/>
        </w:rPr>
        <w:t>Al momento de definir o modificar el cronograma del Proceso de Contratación la entidad deberá verificar que el día hábil siguiente a la finalización del periodo de traslado del informe de evaluación, no corresponda a un día festivo en Estados Unidos, con el objetivo de no afectar el proceso de definición del método de ponderación de las propuestas. El método de ponderación se determinará de acuerdo con los rangos del siguiente cuadro, en función de la parte decimal -centavos- de la TRM:</w:t>
      </w:r>
    </w:p>
    <w:p w14:paraId="30CFADD7" w14:textId="77777777" w:rsidR="00800018" w:rsidRDefault="00800018" w:rsidP="00800018">
      <w:pPr>
        <w:spacing w:after="120" w:line="240" w:lineRule="auto"/>
        <w:ind w:left="709" w:right="709"/>
        <w:jc w:val="both"/>
        <w:rPr>
          <w:rFonts w:ascii="Verdana" w:eastAsia="Calibri" w:hAnsi="Verdana" w:cs="Times New Roman"/>
          <w:sz w:val="21"/>
          <w:szCs w:val="21"/>
        </w:rPr>
      </w:pPr>
      <w:r>
        <w:rPr>
          <w:rFonts w:ascii="Verdana" w:eastAsia="Calibri" w:hAnsi="Verdana" w:cs="Times New Roman"/>
          <w:sz w:val="21"/>
          <w:szCs w:val="21"/>
        </w:rPr>
        <w:t>(…)</w:t>
      </w:r>
    </w:p>
    <w:p w14:paraId="2A4CD31E" w14:textId="77777777" w:rsidR="00800018" w:rsidRDefault="00800018" w:rsidP="00800018">
      <w:pPr>
        <w:spacing w:after="120" w:line="240" w:lineRule="auto"/>
        <w:ind w:left="709" w:right="709"/>
        <w:jc w:val="both"/>
        <w:rPr>
          <w:rFonts w:ascii="Verdana" w:eastAsia="Calibri" w:hAnsi="Verdana" w:cs="Times New Roman"/>
          <w:sz w:val="21"/>
          <w:szCs w:val="21"/>
        </w:rPr>
      </w:pPr>
      <w:r w:rsidRPr="00D83ED9">
        <w:rPr>
          <w:rFonts w:ascii="Verdana" w:eastAsia="Calibri" w:hAnsi="Verdana" w:cs="Times New Roman"/>
          <w:sz w:val="21"/>
          <w:szCs w:val="21"/>
        </w:rPr>
        <w:t>En todos los casos se tendrá en cuenta hasta el séptimo (7°) decimal del valor obtenido como puntaje y las fórmulas se aplicarán con las propuestas que no han sido rechazadas y se encuentren válidas. (…) Énfasis fuera de texto.</w:t>
      </w:r>
    </w:p>
    <w:p w14:paraId="604C00B6" w14:textId="77777777" w:rsidR="00800018" w:rsidRDefault="00800018" w:rsidP="00800018">
      <w:pPr>
        <w:spacing w:after="120" w:line="240" w:lineRule="auto"/>
        <w:ind w:left="709" w:right="709"/>
        <w:jc w:val="both"/>
        <w:rPr>
          <w:rFonts w:ascii="Verdana" w:eastAsia="Calibri" w:hAnsi="Verdana" w:cs="Times New Roman"/>
          <w:sz w:val="21"/>
          <w:szCs w:val="21"/>
        </w:rPr>
      </w:pPr>
      <w:r w:rsidRPr="00D83ED9">
        <w:rPr>
          <w:rFonts w:ascii="Verdana" w:eastAsia="Calibri" w:hAnsi="Verdana" w:cs="Times New Roman"/>
          <w:sz w:val="21"/>
          <w:szCs w:val="21"/>
        </w:rPr>
        <w:t xml:space="preserve">SEGUNDO. El día 23 de julio de 2025 mediante Resolución 074 la GOBERNACION DE NORTE DE SANTANDER en adelante la entidad; público en la plataforma transaccional SECOP II los pliegos Tipo definitivos para el proceso CM-SV-02459-2025 cuyo objeto contractual es: INTERVENTORÍA TÉCNICA, ADMINISTRATIVA, JURÍDICA Y FINANCIERA PARA LA CONSTRUCCIÓN DEL INTERCAMBIADOR VIAL (GLORIETA PINAR DEL RIO), MUNICIPIO DE LOS PATIOS, DEPARTAMENTO NORTE DE SANTANDER. El día 29 de julio de 2025 fue la fecha de cierre de recepción de ofertas al proceso con un total de 31 proponentes. El día 19 de agosto de 2025 la entidad pública </w:t>
      </w:r>
      <w:r w:rsidRPr="00D83ED9">
        <w:rPr>
          <w:rFonts w:ascii="Verdana" w:eastAsia="Calibri" w:hAnsi="Verdana" w:cs="Times New Roman"/>
          <w:sz w:val="21"/>
          <w:szCs w:val="21"/>
        </w:rPr>
        <w:lastRenderedPageBreak/>
        <w:t>Informe de evaluación 1 CO1.AWD.2321025 en el cual la entidad evalúa al proponente nro. 2 GRUPO METRO COLOMBIA SAS como hábil en los criterios de evaluación jurídico, financiero, económico y técnico, sin embargo el promedio de contratos de GRUPO METRO COLOMBIA SAS tenía un valor calculado diferente para lo cual el día 20 de agosto de 2025 mediante mensaje publicado en SECOP II con número de constancia CO1.MSG.8341265 la empresa GRUPO METRO COLOMBIA SAS envía oficio de observaciones al informe de evaluación 1 solicitando que se corrigiera el promedio de contratos presentado por el proponente; ya que de conformidad con la TRM aplicada para el segundo día hábil posterior a la fecha de cierre del proceso esto es el día 31 de julio de 2025</w:t>
      </w:r>
      <w:r>
        <w:rPr>
          <w:rFonts w:ascii="Verdana" w:eastAsia="Calibri" w:hAnsi="Verdana" w:cs="Times New Roman"/>
          <w:sz w:val="21"/>
          <w:szCs w:val="21"/>
        </w:rPr>
        <w:t>.</w:t>
      </w:r>
    </w:p>
    <w:p w14:paraId="5EC425A6" w14:textId="77777777" w:rsidR="00800018" w:rsidRDefault="00800018" w:rsidP="00800018">
      <w:pPr>
        <w:spacing w:after="120" w:line="240" w:lineRule="auto"/>
        <w:ind w:left="709" w:right="709"/>
        <w:jc w:val="both"/>
        <w:rPr>
          <w:rFonts w:ascii="Verdana" w:eastAsia="Calibri" w:hAnsi="Verdana" w:cs="Times New Roman"/>
          <w:sz w:val="21"/>
          <w:szCs w:val="21"/>
        </w:rPr>
      </w:pPr>
      <w:r>
        <w:rPr>
          <w:rFonts w:ascii="Verdana" w:eastAsia="Calibri" w:hAnsi="Verdana" w:cs="Times New Roman"/>
          <w:sz w:val="21"/>
          <w:szCs w:val="21"/>
        </w:rPr>
        <w:t>(…)</w:t>
      </w:r>
    </w:p>
    <w:p w14:paraId="25E541D9" w14:textId="77777777" w:rsidR="00800018" w:rsidRDefault="00800018" w:rsidP="00800018">
      <w:pPr>
        <w:spacing w:after="120" w:line="240" w:lineRule="auto"/>
        <w:ind w:left="709" w:right="709"/>
        <w:jc w:val="both"/>
        <w:rPr>
          <w:rFonts w:ascii="Verdana" w:eastAsia="Calibri" w:hAnsi="Verdana" w:cs="Times New Roman"/>
          <w:sz w:val="21"/>
          <w:szCs w:val="21"/>
        </w:rPr>
      </w:pPr>
      <w:r w:rsidRPr="00D83ED9">
        <w:rPr>
          <w:rFonts w:ascii="Verdana" w:eastAsia="Calibri" w:hAnsi="Verdana" w:cs="Times New Roman"/>
          <w:sz w:val="21"/>
          <w:szCs w:val="21"/>
        </w:rPr>
        <w:t>Es decir que la probabilidad que la Media aritmética alta se habilitara por segunda vez es igual a (1/4) * (1/4) = 1/16 = 0.0625 o 6.35% y la probabilidad que se habiliten los métodos restantes Mediana con valor absoluto, Media Geométrica y Media aritmética baja es de 0,3125 o 31.25%. Si la entidad genera un nuevo requerimiento la probabilidad que el mismo método de media aritmética alta se habilite es igual a (1/4) * (1/4) * (1/4) = 1/64 = 0.0156 o 1.56%, lo que le confiere al comité evaluador el poder de cambiar el método de evaluación generando nuevos requerimientos a los proponentes ante una supuesta ausencia de requisitos o la falta de documentos aun cuando los mismos sean aportados por los proponentes a la fecha de cierre del proceso de selección</w:t>
      </w:r>
      <w:r>
        <w:rPr>
          <w:rFonts w:ascii="Verdana" w:eastAsia="Calibri" w:hAnsi="Verdana" w:cs="Times New Roman"/>
          <w:sz w:val="21"/>
          <w:szCs w:val="21"/>
        </w:rPr>
        <w:t>.</w:t>
      </w:r>
    </w:p>
    <w:p w14:paraId="671BF4ED" w14:textId="77777777" w:rsidR="00800018" w:rsidRDefault="00800018" w:rsidP="00800018">
      <w:pPr>
        <w:spacing w:after="120" w:line="240" w:lineRule="auto"/>
        <w:ind w:left="709" w:right="709"/>
        <w:jc w:val="both"/>
        <w:rPr>
          <w:rFonts w:ascii="Verdana" w:eastAsia="Calibri" w:hAnsi="Verdana" w:cs="Times New Roman"/>
          <w:sz w:val="21"/>
          <w:szCs w:val="21"/>
        </w:rPr>
      </w:pPr>
      <w:r w:rsidRPr="00D83ED9">
        <w:rPr>
          <w:rFonts w:ascii="Verdana" w:eastAsia="Calibri" w:hAnsi="Verdana" w:cs="Times New Roman"/>
          <w:sz w:val="21"/>
          <w:szCs w:val="21"/>
        </w:rPr>
        <w:t>QUINTO. Como participantes del proceso CM-SV-02459-2025 además como veedores del mismo consideramos que el LITERAL C en mención permite en la practica la toma de decisiones por parte de los comités evaluadores que pueden no dar cumplimiento de la Ley 80 de 1993; articulo 24 Del principio de Transparencia numeral 2. Del artículo 26 Del Principio de Responsabilidad numerales 1 al 8, es responsabilidad de los servidores públicos</w:t>
      </w:r>
      <w:r>
        <w:rPr>
          <w:rFonts w:ascii="Verdana" w:eastAsia="Calibri" w:hAnsi="Verdana" w:cs="Times New Roman"/>
          <w:sz w:val="21"/>
          <w:szCs w:val="21"/>
        </w:rPr>
        <w:t xml:space="preserve"> </w:t>
      </w:r>
      <w:r w:rsidRPr="00D83ED9">
        <w:rPr>
          <w:rFonts w:ascii="Verdana" w:eastAsia="Calibri" w:hAnsi="Verdana" w:cs="Times New Roman"/>
          <w:sz w:val="21"/>
          <w:szCs w:val="21"/>
        </w:rPr>
        <w:t>y de los contratistas velar por la buena calidad del objeto contratado; y el artículo 5 de la Ley 1150 de 2007 (artículo 88 de la Ley 1474 de 2011), Del deber de selección objetiva (…) Es objetiva la selección en la cual la escogencia se hace al ofrecimiento más favorable a la entidad y a los fines que ella busca, sin tener en consideración factores de afecto o de interés y, en general, cualquier clase de motivación subjetiva (…).</w:t>
      </w:r>
    </w:p>
    <w:p w14:paraId="369012CC" w14:textId="77777777" w:rsidR="00800018" w:rsidRDefault="00800018" w:rsidP="00800018">
      <w:pPr>
        <w:spacing w:after="120" w:line="240" w:lineRule="auto"/>
        <w:ind w:left="709" w:right="709"/>
        <w:jc w:val="center"/>
        <w:rPr>
          <w:rFonts w:ascii="Verdana" w:eastAsia="Calibri" w:hAnsi="Verdana" w:cs="Times New Roman"/>
          <w:sz w:val="21"/>
          <w:szCs w:val="21"/>
        </w:rPr>
      </w:pPr>
      <w:r w:rsidRPr="00D83ED9">
        <w:rPr>
          <w:rFonts w:ascii="Verdana" w:eastAsia="Calibri" w:hAnsi="Verdana" w:cs="Times New Roman"/>
          <w:b/>
          <w:bCs/>
          <w:sz w:val="21"/>
          <w:szCs w:val="21"/>
        </w:rPr>
        <w:t>PETICIÓN</w:t>
      </w:r>
    </w:p>
    <w:p w14:paraId="502DE8C3" w14:textId="77777777" w:rsidR="00800018" w:rsidRPr="00B77EC4" w:rsidRDefault="00800018" w:rsidP="00800018">
      <w:pPr>
        <w:spacing w:after="0" w:line="240" w:lineRule="auto"/>
        <w:ind w:left="709" w:right="709"/>
        <w:jc w:val="both"/>
        <w:rPr>
          <w:rFonts w:ascii="Verdana" w:eastAsia="Calibri" w:hAnsi="Verdana" w:cs="Times New Roman"/>
          <w:sz w:val="21"/>
          <w:szCs w:val="21"/>
          <w:lang w:val="es-MX"/>
        </w:rPr>
      </w:pPr>
      <w:r w:rsidRPr="00D83ED9">
        <w:rPr>
          <w:rFonts w:ascii="Verdana" w:eastAsia="Calibri" w:hAnsi="Verdana" w:cs="Times New Roman"/>
          <w:sz w:val="21"/>
          <w:szCs w:val="21"/>
        </w:rPr>
        <w:t xml:space="preserve">Solicitar a la AGENCIA NACIONAL DE CONTRATACION PUBLICA – COLOMBIA COMPRA EFICIENTE la modificación del LITERAL C DEL NUMERAL 4.1 FORMA DE VERIFICACION Y ASIGNACION DE PUNTAJE </w:t>
      </w:r>
      <w:r w:rsidRPr="00D83ED9">
        <w:rPr>
          <w:rFonts w:ascii="Verdana" w:eastAsia="Calibri" w:hAnsi="Verdana" w:cs="Times New Roman"/>
          <w:sz w:val="21"/>
          <w:szCs w:val="21"/>
        </w:rPr>
        <w:lastRenderedPageBreak/>
        <w:t>POR LA EXPERIENCIA DEL PROPONENTE. DOCUMENTO BASE INTERVENTORÍA DE OBRA PÚBLICA DE INFRAESTRUCTURA DE TRANSPORTE – VERSIÓN 3; No permitiendo que se cambie la TRM aplicada al proceso si la entidad contratante publica nuevos requerimientos a los proponentes máxime cuando los mismos carecen de fundamentos</w:t>
      </w:r>
      <w:r>
        <w:rPr>
          <w:rFonts w:ascii="Verdana" w:eastAsia="Calibri" w:hAnsi="Verdana" w:cs="Times New Roman"/>
          <w:sz w:val="21"/>
          <w:szCs w:val="21"/>
        </w:rPr>
        <w:t>”</w:t>
      </w:r>
      <w:r w:rsidRPr="00D83ED9">
        <w:rPr>
          <w:rFonts w:ascii="Verdana" w:eastAsia="Calibri" w:hAnsi="Verdana" w:cs="Times New Roman"/>
          <w:sz w:val="21"/>
          <w:szCs w:val="21"/>
        </w:rPr>
        <w:t>.</w:t>
      </w:r>
    </w:p>
    <w:p w14:paraId="0C4753B7" w14:textId="77777777" w:rsidR="00800018" w:rsidRPr="00B77EC4" w:rsidRDefault="00800018" w:rsidP="00800018">
      <w:pPr>
        <w:tabs>
          <w:tab w:val="left" w:pos="142"/>
          <w:tab w:val="left" w:pos="284"/>
        </w:tabs>
        <w:spacing w:after="0" w:line="276" w:lineRule="auto"/>
        <w:jc w:val="both"/>
        <w:rPr>
          <w:rFonts w:ascii="Verdana" w:eastAsia="Century Gothic" w:hAnsi="Verdana" w:cs="Century Gothic"/>
          <w:b/>
          <w:bCs/>
        </w:rPr>
      </w:pPr>
    </w:p>
    <w:p w14:paraId="276342E9" w14:textId="77777777" w:rsidR="00800018" w:rsidRPr="00B77EC4" w:rsidRDefault="00800018" w:rsidP="00800018">
      <w:pPr>
        <w:spacing w:after="120" w:line="276" w:lineRule="auto"/>
        <w:ind w:firstLine="709"/>
        <w:jc w:val="both"/>
        <w:rPr>
          <w:rFonts w:ascii="Verdana" w:eastAsia="Calibri" w:hAnsi="Verdana" w:cs="Arial"/>
          <w:color w:val="000000"/>
          <w:lang w:eastAsia="es-ES_tradnl"/>
        </w:rPr>
      </w:pPr>
      <w:r w:rsidRPr="00B77EC4">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77EC4">
        <w:rPr>
          <w:rFonts w:ascii="Verdana" w:eastAsia="Calibri" w:hAnsi="Verdana" w:cs="Arial"/>
          <w:color w:val="000000"/>
          <w:lang w:eastAsia="es-ES_tradnl"/>
        </w:rPr>
        <w:tab/>
      </w:r>
    </w:p>
    <w:p w14:paraId="260ABDA9" w14:textId="77777777" w:rsidR="00800018" w:rsidRPr="00B77EC4" w:rsidRDefault="00800018" w:rsidP="00800018">
      <w:pPr>
        <w:spacing w:after="0" w:line="276" w:lineRule="auto"/>
        <w:ind w:firstLine="709"/>
        <w:jc w:val="both"/>
        <w:rPr>
          <w:rFonts w:ascii="Verdana" w:eastAsia="Calibri" w:hAnsi="Verdana" w:cs="Arial"/>
          <w:color w:val="000000"/>
          <w:lang w:eastAsia="es-ES"/>
        </w:rPr>
      </w:pPr>
      <w:r w:rsidRPr="00B77EC4">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051ACE25" w14:textId="77777777" w:rsidR="00800018" w:rsidRPr="00B77EC4" w:rsidRDefault="00800018" w:rsidP="00800018">
      <w:pPr>
        <w:spacing w:after="0" w:line="276" w:lineRule="auto"/>
        <w:ind w:firstLine="709"/>
        <w:jc w:val="both"/>
        <w:rPr>
          <w:rFonts w:ascii="Verdana" w:eastAsia="Calibri" w:hAnsi="Verdana" w:cs="Arial"/>
          <w:color w:val="000000"/>
          <w:lang w:eastAsia="es-ES"/>
        </w:rPr>
      </w:pPr>
      <w:r w:rsidRPr="00B77EC4">
        <w:rPr>
          <w:rFonts w:ascii="Verdana" w:eastAsia="Calibri" w:hAnsi="Verdana" w:cs="Arial"/>
          <w:color w:val="000000"/>
          <w:lang w:eastAsia="es-ES"/>
        </w:rPr>
        <w:t xml:space="preserve"> </w:t>
      </w:r>
    </w:p>
    <w:p w14:paraId="70631B6F" w14:textId="77777777" w:rsidR="00800018" w:rsidRPr="00B77EC4" w:rsidRDefault="00800018" w:rsidP="00800018">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B77EC4">
        <w:rPr>
          <w:rFonts w:ascii="Verdana" w:eastAsia="Century Gothic" w:hAnsi="Verdana" w:cs="Century Gothic"/>
          <w:b/>
          <w:bCs/>
        </w:rPr>
        <w:t>Problema planteado:</w:t>
      </w:r>
    </w:p>
    <w:p w14:paraId="252061CB" w14:textId="77777777" w:rsidR="00800018" w:rsidRPr="00B77EC4" w:rsidRDefault="00800018" w:rsidP="00800018">
      <w:pPr>
        <w:tabs>
          <w:tab w:val="left" w:pos="142"/>
          <w:tab w:val="left" w:pos="284"/>
        </w:tabs>
        <w:spacing w:after="0" w:line="276" w:lineRule="auto"/>
        <w:jc w:val="both"/>
        <w:rPr>
          <w:rFonts w:ascii="Verdana" w:eastAsia="Century Gothic" w:hAnsi="Verdana" w:cs="Century Gothic"/>
          <w:b/>
          <w:bCs/>
        </w:rPr>
      </w:pPr>
    </w:p>
    <w:p w14:paraId="665474F2" w14:textId="77777777" w:rsidR="00800018" w:rsidRPr="00B77EC4" w:rsidRDefault="00800018" w:rsidP="00800018">
      <w:pPr>
        <w:tabs>
          <w:tab w:val="left" w:pos="142"/>
          <w:tab w:val="left" w:pos="284"/>
        </w:tabs>
        <w:spacing w:after="0" w:line="276" w:lineRule="auto"/>
        <w:jc w:val="both"/>
        <w:rPr>
          <w:rFonts w:ascii="Verdana" w:eastAsia="Century Gothic" w:hAnsi="Verdana" w:cs="Century Gothic"/>
        </w:rPr>
      </w:pPr>
      <w:r w:rsidRPr="00B77EC4">
        <w:rPr>
          <w:rFonts w:ascii="Verdana" w:eastAsia="Century Gothic" w:hAnsi="Verdana" w:cs="Century Gothic"/>
        </w:rPr>
        <w:t xml:space="preserve">De acuerdo con el contenido de su solicitud, en relación con los </w:t>
      </w:r>
      <w:r w:rsidRPr="00B77EC4">
        <w:rPr>
          <w:rFonts w:ascii="Verdana" w:eastAsia="Aptos" w:hAnsi="Verdana" w:cs="Times New Roman"/>
        </w:rPr>
        <w:t xml:space="preserve">documentos tipo de interventoría de obra pública de infraestructura de transporte – versión 3, </w:t>
      </w:r>
      <w:r w:rsidRPr="0014585E">
        <w:rPr>
          <w:rFonts w:ascii="Verdana" w:eastAsia="Century Gothic" w:hAnsi="Verdana" w:cs="Century Gothic"/>
        </w:rPr>
        <w:t xml:space="preserve">esta Agencia resolverá los siguientes problemas jurídicos: i) </w:t>
      </w:r>
      <w:r w:rsidRPr="0014585E">
        <w:rPr>
          <w:rFonts w:ascii="Verdana" w:eastAsia="Aptos" w:hAnsi="Verdana" w:cs="Times New Roman"/>
        </w:rPr>
        <w:t xml:space="preserve">¿Cuál es el alcance de los incisos dos (2) y tres (3) del literal C del numeral 4.1? y </w:t>
      </w:r>
      <w:proofErr w:type="spellStart"/>
      <w:r w:rsidRPr="0014585E">
        <w:rPr>
          <w:rFonts w:ascii="Verdana" w:eastAsia="Aptos" w:hAnsi="Verdana" w:cs="Times New Roman"/>
        </w:rPr>
        <w:t>ii</w:t>
      </w:r>
      <w:proofErr w:type="spellEnd"/>
      <w:r w:rsidRPr="0014585E">
        <w:rPr>
          <w:rFonts w:ascii="Verdana" w:eastAsia="Aptos" w:hAnsi="Verdana" w:cs="Times New Roman"/>
        </w:rPr>
        <w:t>) ¿Cuál fue la finalidad del ajuste realizado en la versión 3 en relación con los incisos dos (2) y tres (3) del literal C del numeral 4.1?</w:t>
      </w:r>
    </w:p>
    <w:p w14:paraId="51175DB3" w14:textId="77777777" w:rsidR="00800018" w:rsidRPr="00B77EC4" w:rsidRDefault="00800018" w:rsidP="00800018">
      <w:pPr>
        <w:spacing w:after="0" w:line="276" w:lineRule="auto"/>
        <w:jc w:val="both"/>
        <w:rPr>
          <w:rFonts w:ascii="Verdana" w:eastAsia="Calibri" w:hAnsi="Verdana" w:cs="Arial"/>
          <w:color w:val="7030A0"/>
        </w:rPr>
      </w:pPr>
    </w:p>
    <w:p w14:paraId="08728A8D" w14:textId="77777777" w:rsidR="00800018" w:rsidRPr="00B77EC4" w:rsidRDefault="00800018" w:rsidP="00800018">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B77EC4">
        <w:rPr>
          <w:rFonts w:ascii="Verdana" w:eastAsia="Century Gothic" w:hAnsi="Verdana" w:cs="Century Gothic"/>
          <w:b/>
          <w:bCs/>
        </w:rPr>
        <w:t>Respuesta:</w:t>
      </w:r>
    </w:p>
    <w:p w14:paraId="2D39F3A1" w14:textId="77777777" w:rsidR="00800018" w:rsidRPr="00B77EC4" w:rsidRDefault="00800018" w:rsidP="00800018">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00018" w:rsidRPr="00B77EC4" w14:paraId="0042FE9D" w14:textId="77777777" w:rsidTr="007746B4">
        <w:tc>
          <w:tcPr>
            <w:tcW w:w="8828" w:type="dxa"/>
          </w:tcPr>
          <w:p w14:paraId="23442801" w14:textId="77777777" w:rsidR="00800018" w:rsidRDefault="00800018" w:rsidP="007746B4">
            <w:pPr>
              <w:spacing w:after="120" w:line="276" w:lineRule="auto"/>
              <w:jc w:val="both"/>
              <w:rPr>
                <w:rFonts w:ascii="Verdana" w:eastAsia="Arial" w:hAnsi="Verdana" w:cs="Arial"/>
                <w:i/>
                <w:iCs/>
                <w:lang w:eastAsia="es-ES"/>
              </w:rPr>
            </w:pPr>
            <w:r w:rsidRPr="00B77EC4">
              <w:rPr>
                <w:rFonts w:ascii="Verdana" w:eastAsia="Calibri" w:hAnsi="Verdana" w:cs="Arial"/>
                <w:color w:val="000000"/>
                <w:lang w:val="es-ES_tradnl"/>
              </w:rPr>
              <w:t xml:space="preserve">i) El inciso segundo del literal C del numeral 4.1 de los documentos tipo de interventoría de obra pública de infraestructura de transporte – versión 3, </w:t>
            </w:r>
            <w:r w:rsidRPr="00B77EC4">
              <w:rPr>
                <w:rFonts w:ascii="Verdana" w:eastAsia="Calibri" w:hAnsi="Verdana" w:cs="Arial"/>
                <w:color w:val="000000"/>
                <w:lang w:val="es-ES_tradnl"/>
              </w:rPr>
              <w:lastRenderedPageBreak/>
              <w:t xml:space="preserve">establece que el método aleatorio en función de la Tasa Representativo del Mercado TRM que la Entidad utilizará para determinar el método de ponderación corresponderá al que rija “(…) </w:t>
            </w:r>
            <w:r w:rsidRPr="00B77EC4">
              <w:rPr>
                <w:rFonts w:ascii="Verdana" w:eastAsia="Arial" w:hAnsi="Verdana" w:cs="Arial"/>
                <w:lang w:eastAsia="es-ES"/>
              </w:rPr>
              <w:t xml:space="preserve">el </w:t>
            </w:r>
            <w:r w:rsidRPr="00B77EC4">
              <w:rPr>
                <w:rFonts w:ascii="Verdana" w:eastAsia="Arial" w:hAnsi="Verdana" w:cs="Arial"/>
                <w:i/>
                <w:iCs/>
                <w:lang w:eastAsia="es-ES"/>
              </w:rPr>
              <w:t xml:space="preserve">segundo día hábil después de finalizado el periodo de traslado del informe de evaluación (…)”. </w:t>
            </w:r>
          </w:p>
          <w:p w14:paraId="08BF70E7" w14:textId="77777777" w:rsidR="00800018" w:rsidRPr="0004446A" w:rsidRDefault="00800018" w:rsidP="007746B4">
            <w:pPr>
              <w:spacing w:after="120" w:line="276" w:lineRule="auto"/>
              <w:ind w:firstLine="708"/>
              <w:jc w:val="both"/>
              <w:rPr>
                <w:rFonts w:ascii="Verdana" w:eastAsia="Yu Mincho" w:hAnsi="Verdana" w:cs="Arial"/>
                <w:sz w:val="20"/>
                <w:szCs w:val="20"/>
                <w:lang w:val="es-ES" w:eastAsia="es-ES"/>
              </w:rPr>
            </w:pPr>
            <w:r>
              <w:rPr>
                <w:rFonts w:ascii="Verdana" w:eastAsia="Calibri" w:hAnsi="Verdana" w:cs="Arial"/>
                <w:color w:val="000000"/>
                <w:lang w:val="es-ES_tradnl"/>
              </w:rPr>
              <w:t>Por lo anterior</w:t>
            </w:r>
            <w:r w:rsidRPr="0004446A">
              <w:rPr>
                <w:rFonts w:ascii="Verdana" w:eastAsia="Calibri" w:hAnsi="Verdana" w:cs="Arial"/>
                <w:color w:val="000000"/>
                <w:lang w:val="es-ES_tradnl"/>
              </w:rPr>
              <w:t xml:space="preserve">, en el inciso dos (2) del literal C del numeral 4.1 se establece entre corchetes y resaltado en gris -a modo de ejemplo- la forma como la entidad determinará el método aleatorio de ponderación a partir de la TRM para lo cual señala que, “(…) si el termino de traslado del informe de evaluación finaliza el 10 de febrero, la TRM que se usará para determinar el método de evaluación será la del 12 de febrero, que se publica en la tarde del 11 de febrero”. Esto, teniendo en cuenta lo señalado en el párrafo precedente, esto es, que la TRM que la Entidad utilizará será la del segundo día hábil después de finalizado el traslado del informe de evaluación. </w:t>
            </w:r>
          </w:p>
          <w:p w14:paraId="335B0CC9" w14:textId="77777777" w:rsidR="00800018" w:rsidRDefault="00800018" w:rsidP="007746B4">
            <w:pPr>
              <w:spacing w:after="120" w:line="276" w:lineRule="auto"/>
              <w:ind w:firstLine="708"/>
              <w:jc w:val="both"/>
              <w:rPr>
                <w:rFonts w:ascii="Verdana" w:eastAsia="Calibri" w:hAnsi="Verdana" w:cs="Arial"/>
                <w:color w:val="000000"/>
                <w:lang w:val="es-ES_tradnl"/>
              </w:rPr>
            </w:pPr>
            <w:r w:rsidRPr="0004446A">
              <w:rPr>
                <w:rFonts w:ascii="Verdana" w:eastAsia="Calibri" w:hAnsi="Verdana" w:cs="Arial"/>
                <w:color w:val="000000"/>
                <w:lang w:val="es-ES_tradnl"/>
              </w:rPr>
              <w:t xml:space="preserve">En relación con la </w:t>
            </w:r>
            <w:proofErr w:type="spellStart"/>
            <w:r w:rsidRPr="0004446A">
              <w:rPr>
                <w:rFonts w:ascii="Verdana" w:eastAsia="Calibri" w:hAnsi="Verdana" w:cs="Arial"/>
                <w:color w:val="000000"/>
                <w:lang w:val="es-ES_tradnl"/>
              </w:rPr>
              <w:t>subsanabilidad</w:t>
            </w:r>
            <w:proofErr w:type="spellEnd"/>
            <w:r w:rsidRPr="0004446A">
              <w:rPr>
                <w:rFonts w:ascii="Verdana" w:eastAsia="Calibri" w:hAnsi="Verdana" w:cs="Arial"/>
                <w:color w:val="000000"/>
                <w:lang w:val="es-ES_tradnl"/>
              </w:rPr>
              <w:t xml:space="preserve"> de las ofertas, </w:t>
            </w:r>
            <w:r w:rsidRPr="0004446A">
              <w:rPr>
                <w:rFonts w:ascii="Verdana" w:eastAsia="Arial" w:hAnsi="Verdana" w:cs="Arial"/>
                <w:color w:val="000000"/>
              </w:rPr>
              <w:t xml:space="preserve">se permite que la Administración requiera al oferente durante el proceso de evaluación de las propuestas, tan pronto advierta que hace falta un documento o requisito que se puede subsanar. </w:t>
            </w:r>
            <w:r w:rsidRPr="0004446A">
              <w:rPr>
                <w:rFonts w:ascii="Verdana" w:eastAsia="Calibri" w:hAnsi="Verdana" w:cs="Arial"/>
                <w:color w:val="000000"/>
                <w:lang w:val="es-ES_tradnl"/>
              </w:rPr>
              <w:t>Ahora, y en el evento que se presente una situación excepcional en la cual la Entidad no hubiese advertido durante el proceso de evaluación la ausencia de requisitos o la falta de documentos referentes a la futura contratación o al Proponente, ya sea en relación con los requisitos habilitantes o para aclarar aspectos que otorgan puntaje o relativos a los factores de desempate y, por ende, no los haya requerido, podrá hacerlo posteriormente, otorgándole al Proponente un término igual al establecido para el traslado del informe de evaluación,</w:t>
            </w:r>
            <w:r w:rsidRPr="0004446A" w:rsidDel="008C5B46">
              <w:rPr>
                <w:rFonts w:ascii="Verdana" w:eastAsia="Calibri" w:hAnsi="Verdana" w:cs="Arial"/>
                <w:color w:val="000000"/>
                <w:lang w:val="es-ES_tradnl"/>
              </w:rPr>
              <w:t xml:space="preserve"> </w:t>
            </w:r>
            <w:r w:rsidRPr="0004446A">
              <w:rPr>
                <w:rFonts w:ascii="Verdana" w:eastAsia="Calibri" w:hAnsi="Verdana" w:cs="Arial"/>
                <w:color w:val="000000"/>
                <w:lang w:val="es-ES_tradnl"/>
              </w:rPr>
              <w:t>con el fin de que los allegue. Al respecto, en el inciso tercero del literal C del numeral 4.1 se definió una regla aplicable a estas situaciones, para determinar la TRM que la Entidad utilizará para establecer el método de ponderación</w:t>
            </w:r>
            <w:r>
              <w:rPr>
                <w:rFonts w:ascii="Verdana" w:eastAsia="Calibri" w:hAnsi="Verdana" w:cs="Arial"/>
                <w:color w:val="000000"/>
                <w:lang w:val="es-ES_tradnl"/>
              </w:rPr>
              <w:t>.</w:t>
            </w:r>
          </w:p>
          <w:p w14:paraId="47063DB5" w14:textId="77777777" w:rsidR="00800018" w:rsidRPr="002B69A5" w:rsidRDefault="00800018" w:rsidP="007746B4">
            <w:pPr>
              <w:spacing w:after="120" w:line="276" w:lineRule="auto"/>
              <w:ind w:firstLine="708"/>
              <w:jc w:val="both"/>
              <w:rPr>
                <w:rFonts w:ascii="Verdana" w:eastAsia="Calibri" w:hAnsi="Verdana" w:cs="Arial"/>
                <w:color w:val="000000"/>
                <w:sz w:val="21"/>
                <w:szCs w:val="21"/>
                <w:lang w:val="es-ES_tradnl"/>
              </w:rPr>
            </w:pPr>
            <w:r w:rsidRPr="0004446A">
              <w:rPr>
                <w:rFonts w:ascii="Verdana" w:eastAsia="Calibri" w:hAnsi="Verdana" w:cs="Arial"/>
                <w:color w:val="000000"/>
              </w:rPr>
              <w:t xml:space="preserve">Así, en caso de que la Entidad requiera al proponente en un momento posterior al proceso de evaluación, la determinación de la Tasa Representativa del Mercado TRM, que la Entidad utilizará para determinar el método de ponderación será la que rija el segundo día hábil después de finalizado el periodo concedido al proponente requerido para la subsanación de requisitos habilitantes y/o para aclarar aspectos que otorgan puntaje o relativos a factores de desempate. </w:t>
            </w:r>
          </w:p>
          <w:p w14:paraId="557A158E" w14:textId="77777777" w:rsidR="00800018" w:rsidRPr="0004446A" w:rsidRDefault="00800018" w:rsidP="007746B4">
            <w:pPr>
              <w:spacing w:after="120"/>
              <w:ind w:firstLine="708"/>
              <w:jc w:val="both"/>
              <w:rPr>
                <w:rFonts w:ascii="Verdana" w:eastAsia="Calibri" w:hAnsi="Verdana" w:cs="Arial"/>
                <w:color w:val="000000"/>
              </w:rPr>
            </w:pPr>
            <w:r>
              <w:rPr>
                <w:rFonts w:ascii="Verdana" w:eastAsia="Calibri" w:hAnsi="Verdana" w:cs="Arial"/>
                <w:color w:val="000000"/>
                <w:lang w:val="es-ES_tradnl"/>
              </w:rPr>
              <w:t>D</w:t>
            </w:r>
            <w:r w:rsidRPr="0004446A">
              <w:rPr>
                <w:rFonts w:ascii="Verdana" w:eastAsia="Calibri" w:hAnsi="Verdana" w:cs="Arial"/>
                <w:color w:val="000000"/>
                <w:lang w:val="es-ES_tradnl"/>
              </w:rPr>
              <w:t xml:space="preserve">ebe indicarse que, en los procedimientos de concurso de méritos para la escogencia de interventores de obra pública de infraestructura de transporte </w:t>
            </w:r>
            <w:r w:rsidRPr="0004446A">
              <w:rPr>
                <w:rFonts w:ascii="Verdana" w:eastAsia="Calibri" w:hAnsi="Verdana" w:cs="Arial"/>
                <w:color w:val="000000"/>
                <w:lang w:val="es-ES_tradnl"/>
              </w:rPr>
              <w:lastRenderedPageBreak/>
              <w:t>adelantados con documentos tipo, la experiencia del proponente debe ser ponderada, de acuerdo con un método aleatorio, a efectos de determinar el puntaje que le corresponde.</w:t>
            </w:r>
            <w:r w:rsidRPr="0004446A">
              <w:rPr>
                <w:rFonts w:ascii="Verdana" w:eastAsia="Calibri" w:hAnsi="Verdana" w:cs="Arial"/>
                <w:lang w:val="es-MX"/>
              </w:rPr>
              <w:t xml:space="preserve"> Al respecto, el documento base, establece cuatro (</w:t>
            </w:r>
            <w:r w:rsidRPr="0004446A">
              <w:rPr>
                <w:rFonts w:ascii="Verdana" w:eastAsia="Calibri" w:hAnsi="Verdana" w:cs="Arial"/>
                <w:color w:val="000000"/>
                <w:lang w:val="es-ES_tradnl"/>
              </w:rPr>
              <w:t xml:space="preserve">4) alternativas para ponderar la experiencia de los proponentes, aplicables según la TRM que rija – de acuerdo con lo establecido en los supuestos del literal C del numeral 4.1 del documento base previamente señalados– a saber: i) mediana con valor absoluto; </w:t>
            </w:r>
            <w:proofErr w:type="spellStart"/>
            <w:r w:rsidRPr="0004446A">
              <w:rPr>
                <w:rFonts w:ascii="Verdana" w:eastAsia="Calibri" w:hAnsi="Verdana" w:cs="Arial"/>
                <w:color w:val="000000"/>
                <w:lang w:val="es-ES_tradnl"/>
              </w:rPr>
              <w:t>ii</w:t>
            </w:r>
            <w:proofErr w:type="spellEnd"/>
            <w:r w:rsidRPr="0004446A">
              <w:rPr>
                <w:rFonts w:ascii="Verdana" w:eastAsia="Calibri" w:hAnsi="Verdana" w:cs="Arial"/>
                <w:color w:val="000000"/>
                <w:lang w:val="es-ES_tradnl"/>
              </w:rPr>
              <w:t xml:space="preserve">) media geométrica; </w:t>
            </w:r>
            <w:proofErr w:type="spellStart"/>
            <w:r w:rsidRPr="0004446A">
              <w:rPr>
                <w:rFonts w:ascii="Verdana" w:eastAsia="Calibri" w:hAnsi="Verdana" w:cs="Arial"/>
                <w:color w:val="000000"/>
                <w:lang w:val="es-ES_tradnl"/>
              </w:rPr>
              <w:t>iii</w:t>
            </w:r>
            <w:proofErr w:type="spellEnd"/>
            <w:r w:rsidRPr="0004446A">
              <w:rPr>
                <w:rFonts w:ascii="Verdana" w:eastAsia="Calibri" w:hAnsi="Verdana" w:cs="Arial"/>
                <w:color w:val="000000"/>
                <w:lang w:val="es-ES_tradnl"/>
              </w:rPr>
              <w:t xml:space="preserve">) media aritmética alta y </w:t>
            </w:r>
            <w:proofErr w:type="spellStart"/>
            <w:r w:rsidRPr="0004446A">
              <w:rPr>
                <w:rFonts w:ascii="Verdana" w:eastAsia="Calibri" w:hAnsi="Verdana" w:cs="Arial"/>
                <w:color w:val="000000"/>
                <w:lang w:val="es-ES_tradnl"/>
              </w:rPr>
              <w:t>iv</w:t>
            </w:r>
            <w:proofErr w:type="spellEnd"/>
            <w:r w:rsidRPr="0004446A">
              <w:rPr>
                <w:rFonts w:ascii="Verdana" w:eastAsia="Calibri" w:hAnsi="Verdana" w:cs="Arial"/>
                <w:color w:val="000000"/>
                <w:lang w:val="es-ES_tradnl"/>
              </w:rPr>
              <w:t xml:space="preserve">) media aritmética baja, cuya selección es aleatoria. </w:t>
            </w:r>
          </w:p>
          <w:p w14:paraId="4799C965" w14:textId="77777777" w:rsidR="00800018" w:rsidRPr="0004446A" w:rsidRDefault="00800018" w:rsidP="007746B4">
            <w:pPr>
              <w:spacing w:after="120" w:line="276" w:lineRule="auto"/>
              <w:ind w:firstLine="708"/>
              <w:jc w:val="both"/>
              <w:rPr>
                <w:rFonts w:ascii="Verdana" w:eastAsia="Calibri" w:hAnsi="Verdana" w:cs="Arial"/>
                <w:color w:val="000000"/>
                <w:lang w:val="es-ES_tradnl"/>
              </w:rPr>
            </w:pPr>
            <w:r w:rsidRPr="0004446A">
              <w:rPr>
                <w:rFonts w:ascii="Verdana" w:eastAsia="Calibri" w:hAnsi="Verdana" w:cs="Arial"/>
                <w:color w:val="000000"/>
                <w:lang w:val="es-ES_tradnl"/>
              </w:rPr>
              <w:t>La Tasa de Cambio Representativa del Mercado – TRM “</w:t>
            </w:r>
            <w:r w:rsidRPr="0004446A">
              <w:rPr>
                <w:rFonts w:ascii="Verdana" w:eastAsia="Calibri" w:hAnsi="Verdana" w:cs="Arial"/>
                <w:lang w:val="es-MX"/>
              </w:rPr>
              <w:t>es el promedio ponderado por monto de las operaciones de compra y venta de dólares de los Estados Unidos de América a cambio de moneda legal colombiana, pactadas para cumplimiento en ambas monedas el mismo día de su negociación, efectuadas por los Intermediarios del Mercado Cambiario (IMC) entre las 7:30 a.m. y la 1:00 p.m.</w:t>
            </w:r>
            <w:r w:rsidRPr="0004446A">
              <w:rPr>
                <w:rFonts w:ascii="Verdana" w:eastAsia="Calibri" w:hAnsi="Verdana" w:cs="Arial"/>
                <w:color w:val="000000"/>
                <w:lang w:val="es-ES_tradnl"/>
              </w:rPr>
              <w:t>”</w:t>
            </w:r>
            <w:r w:rsidRPr="0004446A">
              <w:rPr>
                <w:rFonts w:ascii="Calibri" w:eastAsia="Calibri" w:hAnsi="Calibri" w:cs="Times New Roman"/>
                <w:color w:val="000000"/>
                <w:vertAlign w:val="superscript"/>
                <w:lang w:val="es-ES_tradnl"/>
              </w:rPr>
              <w:footnoteReference w:id="2"/>
            </w:r>
            <w:r w:rsidRPr="0004446A">
              <w:rPr>
                <w:rFonts w:ascii="Verdana" w:eastAsia="Calibri" w:hAnsi="Verdana" w:cs="Arial"/>
                <w:color w:val="000000"/>
                <w:lang w:val="es-ES_tradnl"/>
              </w:rPr>
              <w:t>, definido por la Superintendencia Financiera, es decir, denota la relación entre la moneda colombiana y el dólar. Por su parte, el Banco de la República ha definido la tasa de cambio representativa del mercado como “la cantidad de pesos colombianos por un dólar de los Estados Unidos</w:t>
            </w:r>
            <w:r w:rsidRPr="0004446A">
              <w:rPr>
                <w:rFonts w:ascii="Calibri" w:eastAsia="Calibri" w:hAnsi="Calibri" w:cs="Times New Roman"/>
                <w:color w:val="000000"/>
                <w:vertAlign w:val="superscript"/>
                <w:lang w:val="es-ES_tradnl"/>
              </w:rPr>
              <w:footnoteReference w:id="3"/>
            </w:r>
            <w:r w:rsidRPr="0004446A">
              <w:rPr>
                <w:rFonts w:ascii="Verdana" w:eastAsia="Calibri" w:hAnsi="Verdana" w:cs="Arial"/>
                <w:color w:val="000000"/>
                <w:lang w:val="es-ES_tradnl"/>
              </w:rPr>
              <w:t>”. Es decir que, es claro que la TRM es un valor que se origina en la fluctuación del mercado.</w:t>
            </w:r>
          </w:p>
          <w:p w14:paraId="71CFF53D" w14:textId="77777777" w:rsidR="00800018" w:rsidRPr="006A73B6" w:rsidRDefault="00800018" w:rsidP="007746B4">
            <w:pPr>
              <w:spacing w:after="120" w:line="276" w:lineRule="auto"/>
              <w:ind w:firstLine="708"/>
              <w:jc w:val="both"/>
              <w:rPr>
                <w:rFonts w:ascii="Verdana" w:eastAsia="Calibri" w:hAnsi="Verdana" w:cs="Arial"/>
                <w:color w:val="000000"/>
              </w:rPr>
            </w:pPr>
            <w:r w:rsidRPr="0004446A">
              <w:rPr>
                <w:rFonts w:ascii="Verdana" w:eastAsia="Calibri" w:hAnsi="Verdana" w:cs="Arial"/>
                <w:color w:val="000000"/>
              </w:rPr>
              <w:t xml:space="preserve">De lo anterior, se tiene que del documento tipo acudió a este valor como el criterio de escogencia del método aleatorio para evaluar la experiencia de los proponentes, porque su definición no depende de la discrecionalidad de la administración pública en cualquiera de sus órdenes y niveles, pues aunque se establece y certifica por parte de la Superintendencia Financiera, su determinación depende de las dinámicas del mercado de divisas, garantizando una escogencia aleatoria del método de ponderación aplicable para tal propósito, lo </w:t>
            </w:r>
            <w:r w:rsidRPr="006A73B6">
              <w:rPr>
                <w:rFonts w:ascii="Verdana" w:eastAsia="Calibri" w:hAnsi="Verdana" w:cs="Arial"/>
                <w:color w:val="000000"/>
              </w:rPr>
              <w:t xml:space="preserve">que dota de transparencia la evaluación de las ofertas. </w:t>
            </w:r>
          </w:p>
          <w:p w14:paraId="52002549" w14:textId="77777777" w:rsidR="00800018" w:rsidRPr="0013220C" w:rsidRDefault="00800018" w:rsidP="007746B4">
            <w:pPr>
              <w:spacing w:after="120" w:line="276" w:lineRule="auto"/>
              <w:jc w:val="both"/>
              <w:rPr>
                <w:rFonts w:ascii="Verdana" w:eastAsia="Aptos" w:hAnsi="Verdana" w:cs="Times New Roman"/>
              </w:rPr>
            </w:pPr>
            <w:proofErr w:type="spellStart"/>
            <w:r>
              <w:rPr>
                <w:rFonts w:ascii="Verdana" w:eastAsia="Calibri" w:hAnsi="Verdana" w:cs="Arial"/>
                <w:color w:val="000000"/>
              </w:rPr>
              <w:t>ii</w:t>
            </w:r>
            <w:proofErr w:type="spellEnd"/>
            <w:r>
              <w:rPr>
                <w:rFonts w:ascii="Verdana" w:eastAsia="Calibri" w:hAnsi="Verdana" w:cs="Arial"/>
                <w:color w:val="000000"/>
              </w:rPr>
              <w:t>) U</w:t>
            </w:r>
            <w:r w:rsidRPr="0013220C">
              <w:rPr>
                <w:rFonts w:ascii="Verdana" w:eastAsia="Aptos" w:hAnsi="Verdana" w:cs="Times New Roman"/>
              </w:rPr>
              <w:t xml:space="preserve">na de las principales modificaciones que en relación con el literal C. del numeral 4.1 del documento base, se relaciona con que “La TRM que la Entidad utilizará para determinar el método de ponderación será la que rija el segundo día hábil </w:t>
            </w:r>
            <w:r w:rsidRPr="0013220C">
              <w:rPr>
                <w:rFonts w:ascii="Verdana" w:eastAsia="Aptos" w:hAnsi="Verdana" w:cs="Times New Roman"/>
                <w:i/>
                <w:iCs/>
              </w:rPr>
              <w:t>después de finalizado el periodo de traslado del informe de evaluación</w:t>
            </w:r>
            <w:r w:rsidRPr="0013220C">
              <w:rPr>
                <w:rFonts w:ascii="Verdana" w:eastAsia="Aptos" w:hAnsi="Verdana" w:cs="Times New Roman"/>
              </w:rPr>
              <w:t xml:space="preserve">”. </w:t>
            </w:r>
            <w:r>
              <w:rPr>
                <w:rFonts w:ascii="Verdana" w:eastAsia="Aptos" w:hAnsi="Verdana" w:cs="Times New Roman"/>
              </w:rPr>
              <w:t xml:space="preserve">Sobre el particular, </w:t>
            </w:r>
            <w:r w:rsidRPr="0013220C">
              <w:rPr>
                <w:rFonts w:ascii="Verdana" w:eastAsia="Aptos" w:hAnsi="Verdana" w:cs="Times New Roman"/>
              </w:rPr>
              <w:t xml:space="preserve">la versión 2 de los documentos tipo </w:t>
            </w:r>
            <w:r>
              <w:rPr>
                <w:rFonts w:ascii="Verdana" w:eastAsia="Aptos" w:hAnsi="Verdana" w:cs="Times New Roman"/>
              </w:rPr>
              <w:t>indicados</w:t>
            </w:r>
            <w:r w:rsidRPr="0013220C">
              <w:rPr>
                <w:rFonts w:ascii="Verdana" w:eastAsia="Aptos" w:hAnsi="Verdana" w:cs="Times New Roman"/>
              </w:rPr>
              <w:t xml:space="preserve">, establecía que “la TRM que la Entidad utilizará para determinar el método de </w:t>
            </w:r>
            <w:r w:rsidRPr="0013220C">
              <w:rPr>
                <w:rFonts w:ascii="Verdana" w:eastAsia="Aptos" w:hAnsi="Verdana" w:cs="Times New Roman"/>
              </w:rPr>
              <w:lastRenderedPageBreak/>
              <w:t xml:space="preserve">ponderación será la que rija el segundo día hábil de la </w:t>
            </w:r>
            <w:r w:rsidRPr="0013220C">
              <w:rPr>
                <w:rFonts w:ascii="Verdana" w:eastAsia="Aptos" w:hAnsi="Verdana" w:cs="Times New Roman"/>
                <w:i/>
                <w:iCs/>
              </w:rPr>
              <w:t>fecha de cierre</w:t>
            </w:r>
            <w:r w:rsidRPr="0013220C">
              <w:rPr>
                <w:rFonts w:ascii="Verdana" w:eastAsia="Aptos" w:hAnsi="Verdana" w:cs="Times New Roman"/>
              </w:rPr>
              <w:t xml:space="preserve">”. Así, la incorporación de esta y otras precisiones se incluyeron con el objetivo de conocer la TRM que definirá el método de ponderación, con posterioridad </w:t>
            </w:r>
            <w:r>
              <w:rPr>
                <w:rFonts w:ascii="Verdana" w:eastAsia="Aptos" w:hAnsi="Verdana" w:cs="Times New Roman"/>
              </w:rPr>
              <w:t xml:space="preserve">a la </w:t>
            </w:r>
            <w:r w:rsidRPr="0013220C">
              <w:rPr>
                <w:rFonts w:ascii="Verdana" w:eastAsia="Aptos" w:hAnsi="Verdana" w:cs="Times New Roman"/>
              </w:rPr>
              <w:t xml:space="preserve">subsanación </w:t>
            </w:r>
            <w:r>
              <w:rPr>
                <w:rFonts w:ascii="Verdana" w:eastAsia="Aptos" w:hAnsi="Verdana" w:cs="Times New Roman"/>
              </w:rPr>
              <w:t xml:space="preserve">de la oferta </w:t>
            </w:r>
            <w:r w:rsidRPr="0013220C">
              <w:rPr>
                <w:rFonts w:ascii="Verdana" w:eastAsia="Aptos" w:hAnsi="Verdana" w:cs="Times New Roman"/>
              </w:rPr>
              <w:t>que pueda incidir en la ponderación de la experiencia, c</w:t>
            </w:r>
            <w:r>
              <w:rPr>
                <w:rFonts w:ascii="Verdana" w:eastAsia="Aptos" w:hAnsi="Verdana" w:cs="Times New Roman"/>
              </w:rPr>
              <w:t>o</w:t>
            </w:r>
            <w:r w:rsidRPr="0013220C">
              <w:rPr>
                <w:rFonts w:ascii="Verdana" w:eastAsia="Aptos" w:hAnsi="Verdana" w:cs="Times New Roman"/>
              </w:rPr>
              <w:t>mo sucedía en l</w:t>
            </w:r>
            <w:r>
              <w:rPr>
                <w:rFonts w:ascii="Verdana" w:eastAsia="Aptos" w:hAnsi="Verdana" w:cs="Times New Roman"/>
              </w:rPr>
              <w:t xml:space="preserve">a versión 2 de los </w:t>
            </w:r>
            <w:r w:rsidRPr="004F6C5F">
              <w:rPr>
                <w:rFonts w:ascii="Verdana" w:eastAsia="Aptos" w:hAnsi="Verdana" w:cs="Times New Roman"/>
              </w:rPr>
              <w:t>documentos tipo</w:t>
            </w:r>
            <w:r w:rsidRPr="0013220C">
              <w:rPr>
                <w:rFonts w:ascii="Verdana" w:eastAsia="Aptos" w:hAnsi="Verdana" w:cs="Times New Roman"/>
              </w:rPr>
              <w:t>.</w:t>
            </w:r>
          </w:p>
          <w:p w14:paraId="6AA35296" w14:textId="77777777" w:rsidR="00800018" w:rsidRPr="0013220C" w:rsidRDefault="00800018" w:rsidP="007746B4">
            <w:pPr>
              <w:spacing w:after="120" w:line="276" w:lineRule="auto"/>
              <w:ind w:firstLine="708"/>
              <w:jc w:val="both"/>
              <w:rPr>
                <w:rFonts w:ascii="Verdana" w:eastAsia="Aptos" w:hAnsi="Verdana" w:cs="Times New Roman"/>
              </w:rPr>
            </w:pPr>
            <w:r w:rsidRPr="0013220C">
              <w:rPr>
                <w:rFonts w:ascii="Verdana" w:eastAsia="Aptos" w:hAnsi="Verdana" w:cs="Times New Roman"/>
              </w:rPr>
              <w:t>De esta forma, el cambio se originó como resultado de observaciones remitidas por Entidades Técnicas y especializadas del sector transport</w:t>
            </w:r>
            <w:r>
              <w:rPr>
                <w:rFonts w:ascii="Verdana" w:eastAsia="Aptos" w:hAnsi="Verdana" w:cs="Times New Roman"/>
              </w:rPr>
              <w:t xml:space="preserve">e, con la finalidad de que se permitiera </w:t>
            </w:r>
            <w:r w:rsidRPr="0013220C">
              <w:rPr>
                <w:rFonts w:ascii="Verdana" w:eastAsia="Aptos" w:hAnsi="Verdana" w:cs="Times New Roman"/>
              </w:rPr>
              <w:t>un ejercicio más transparente de ponderación de puntaje por concepto de experiencia, evitando que se pud</w:t>
            </w:r>
            <w:r>
              <w:rPr>
                <w:rFonts w:ascii="Verdana" w:eastAsia="Aptos" w:hAnsi="Verdana" w:cs="Times New Roman"/>
              </w:rPr>
              <w:t>iera</w:t>
            </w:r>
            <w:r w:rsidRPr="0013220C">
              <w:rPr>
                <w:rFonts w:ascii="Verdana" w:eastAsia="Aptos" w:hAnsi="Verdana" w:cs="Times New Roman"/>
              </w:rPr>
              <w:t xml:space="preserve"> incidir de manera directa en los potenciales resultados al conocer previamente el método de ponderación que se utilizar</w:t>
            </w:r>
            <w:r>
              <w:rPr>
                <w:rFonts w:ascii="Verdana" w:eastAsia="Aptos" w:hAnsi="Verdana" w:cs="Times New Roman"/>
              </w:rPr>
              <w:t>ía</w:t>
            </w:r>
            <w:r w:rsidRPr="0013220C">
              <w:rPr>
                <w:rFonts w:ascii="Verdana" w:eastAsia="Aptos" w:hAnsi="Verdana" w:cs="Times New Roman"/>
              </w:rPr>
              <w:t xml:space="preserve"> en el proceso.</w:t>
            </w:r>
            <w:r>
              <w:rPr>
                <w:rFonts w:ascii="Verdana" w:eastAsia="Aptos" w:hAnsi="Verdana" w:cs="Times New Roman"/>
              </w:rPr>
              <w:t xml:space="preserve"> Así mismo, estos documento con el ajuste señalados -en su etapa de elaboración-, se publicaron para comentarios de la ciudadanía y/o grupos de interés</w:t>
            </w:r>
            <w:r>
              <w:rPr>
                <w:rStyle w:val="Refdenotaalpie"/>
                <w:rFonts w:ascii="Verdana" w:eastAsia="Aptos" w:hAnsi="Verdana" w:cs="Times New Roman"/>
              </w:rPr>
              <w:footnoteReference w:id="4"/>
            </w:r>
            <w:r>
              <w:rPr>
                <w:rFonts w:ascii="Verdana" w:eastAsia="Aptos" w:hAnsi="Verdana" w:cs="Times New Roman"/>
              </w:rPr>
              <w:t xml:space="preserve">. </w:t>
            </w:r>
          </w:p>
          <w:p w14:paraId="16A42201" w14:textId="77777777" w:rsidR="00800018" w:rsidRPr="00302D0E" w:rsidRDefault="00800018" w:rsidP="007746B4">
            <w:pPr>
              <w:spacing w:after="120" w:line="276" w:lineRule="auto"/>
              <w:ind w:firstLine="708"/>
              <w:jc w:val="both"/>
              <w:rPr>
                <w:rFonts w:ascii="Verdana" w:eastAsia="Aptos" w:hAnsi="Verdana" w:cs="Times New Roman"/>
              </w:rPr>
            </w:pPr>
            <w:r w:rsidRPr="0013220C">
              <w:rPr>
                <w:rFonts w:ascii="Verdana" w:eastAsia="Aptos" w:hAnsi="Verdana" w:cs="Times New Roman"/>
              </w:rPr>
              <w:t>Por otro lado, la incorporación de la regla mediante la cual la Entidad define el método de ponderación una vez “</w:t>
            </w:r>
            <w:r w:rsidRPr="0013220C">
              <w:rPr>
                <w:rFonts w:ascii="Verdana" w:eastAsia="Aptos" w:hAnsi="Verdana" w:cs="Times New Roman"/>
                <w:i/>
                <w:iCs/>
              </w:rPr>
              <w:t>finalice el periodo concedido al proponente requerido para allegar la subsanación y/o aclaración solicitada”</w:t>
            </w:r>
            <w:r w:rsidRPr="0013220C">
              <w:rPr>
                <w:rFonts w:ascii="Verdana" w:eastAsia="Aptos" w:hAnsi="Verdana" w:cs="Times New Roman"/>
              </w:rPr>
              <w:t>,</w:t>
            </w:r>
            <w:r w:rsidRPr="0013220C">
              <w:rPr>
                <w:rFonts w:ascii="Verdana" w:eastAsia="Aptos" w:hAnsi="Verdana" w:cs="Times New Roman"/>
                <w:b/>
                <w:bCs/>
              </w:rPr>
              <w:t xml:space="preserve"> </w:t>
            </w:r>
            <w:r>
              <w:rPr>
                <w:rFonts w:ascii="Verdana" w:eastAsia="Aptos" w:hAnsi="Verdana" w:cs="Times New Roman"/>
              </w:rPr>
              <w:t xml:space="preserve">este supuesto, se concibe </w:t>
            </w:r>
            <w:r w:rsidRPr="00302D0E">
              <w:rPr>
                <w:rFonts w:ascii="Verdana" w:eastAsia="Aptos" w:hAnsi="Verdana" w:cs="Times New Roman"/>
              </w:rPr>
              <w:t xml:space="preserve">como una </w:t>
            </w:r>
            <w:r w:rsidRPr="00302D0E">
              <w:rPr>
                <w:rFonts w:ascii="Verdana" w:eastAsia="Aptos" w:hAnsi="Verdana" w:cs="Times New Roman"/>
                <w:i/>
                <w:iCs/>
              </w:rPr>
              <w:t>“excepcionalidad”</w:t>
            </w:r>
            <w:r>
              <w:rPr>
                <w:rFonts w:ascii="Verdana" w:eastAsia="Aptos" w:hAnsi="Verdana" w:cs="Times New Roman"/>
                <w:i/>
                <w:iCs/>
              </w:rPr>
              <w:t xml:space="preserve"> -</w:t>
            </w:r>
            <w:r>
              <w:rPr>
                <w:rFonts w:ascii="Verdana" w:eastAsia="Aptos" w:hAnsi="Verdana" w:cs="Times New Roman"/>
              </w:rPr>
              <w:t>en los términos y con el alcance explicado ut supra-,</w:t>
            </w:r>
            <w:r w:rsidRPr="00302D0E">
              <w:rPr>
                <w:rFonts w:ascii="Verdana" w:eastAsia="Aptos" w:hAnsi="Verdana" w:cs="Times New Roman"/>
              </w:rPr>
              <w:t xml:space="preserve"> y no como una regla preestablecida </w:t>
            </w:r>
            <w:r>
              <w:rPr>
                <w:rFonts w:ascii="Verdana" w:eastAsia="Aptos" w:hAnsi="Verdana" w:cs="Times New Roman"/>
              </w:rPr>
              <w:t xml:space="preserve">diseñada </w:t>
            </w:r>
            <w:r w:rsidRPr="00302D0E">
              <w:rPr>
                <w:rFonts w:ascii="Verdana" w:eastAsia="Aptos" w:hAnsi="Verdana" w:cs="Times New Roman"/>
              </w:rPr>
              <w:t>en el margen de probabilidad para que determinado método de ponderación otorgue el puntaje por el factor de experiencia</w:t>
            </w:r>
            <w:r>
              <w:rPr>
                <w:rFonts w:ascii="Verdana" w:eastAsia="Aptos" w:hAnsi="Verdana" w:cs="Times New Roman"/>
              </w:rPr>
              <w:t xml:space="preserve">. </w:t>
            </w:r>
          </w:p>
          <w:p w14:paraId="31B94E37" w14:textId="77777777" w:rsidR="00800018" w:rsidRPr="0013220C" w:rsidRDefault="00800018" w:rsidP="007746B4">
            <w:pPr>
              <w:spacing w:after="120" w:line="276" w:lineRule="auto"/>
              <w:ind w:firstLine="708"/>
              <w:jc w:val="both"/>
              <w:rPr>
                <w:rFonts w:ascii="Verdana" w:eastAsia="Aptos" w:hAnsi="Verdana" w:cs="Times New Roman"/>
              </w:rPr>
            </w:pPr>
            <w:r w:rsidRPr="0013220C">
              <w:rPr>
                <w:rFonts w:ascii="Verdana" w:eastAsia="Aptos" w:hAnsi="Verdana" w:cs="Times New Roman"/>
              </w:rPr>
              <w:t xml:space="preserve">El </w:t>
            </w:r>
            <w:r>
              <w:rPr>
                <w:rFonts w:ascii="Verdana" w:eastAsia="Aptos" w:hAnsi="Verdana" w:cs="Times New Roman"/>
              </w:rPr>
              <w:t>núcleo fundamental</w:t>
            </w:r>
            <w:r w:rsidRPr="0013220C">
              <w:rPr>
                <w:rFonts w:ascii="Verdana" w:eastAsia="Aptos" w:hAnsi="Verdana" w:cs="Times New Roman"/>
              </w:rPr>
              <w:t xml:space="preserve"> de la modificación realizada en el mecanismo para la determinación del método de ponderación es que se conozca la T</w:t>
            </w:r>
            <w:r>
              <w:rPr>
                <w:rFonts w:ascii="Verdana" w:eastAsia="Aptos" w:hAnsi="Verdana" w:cs="Times New Roman"/>
              </w:rPr>
              <w:t xml:space="preserve">asa </w:t>
            </w:r>
            <w:r w:rsidRPr="0013220C">
              <w:rPr>
                <w:rFonts w:ascii="Verdana" w:eastAsia="Aptos" w:hAnsi="Verdana" w:cs="Times New Roman"/>
              </w:rPr>
              <w:t>R</w:t>
            </w:r>
            <w:r>
              <w:rPr>
                <w:rFonts w:ascii="Verdana" w:eastAsia="Aptos" w:hAnsi="Verdana" w:cs="Times New Roman"/>
              </w:rPr>
              <w:t xml:space="preserve">epresentativa del </w:t>
            </w:r>
            <w:r w:rsidRPr="0013220C">
              <w:rPr>
                <w:rFonts w:ascii="Verdana" w:eastAsia="Aptos" w:hAnsi="Verdana" w:cs="Times New Roman"/>
              </w:rPr>
              <w:t>M</w:t>
            </w:r>
            <w:r>
              <w:rPr>
                <w:rFonts w:ascii="Verdana" w:eastAsia="Aptos" w:hAnsi="Verdana" w:cs="Times New Roman"/>
              </w:rPr>
              <w:t>ercado - TRM</w:t>
            </w:r>
            <w:r w:rsidRPr="0013220C">
              <w:rPr>
                <w:rFonts w:ascii="Verdana" w:eastAsia="Aptos" w:hAnsi="Verdana" w:cs="Times New Roman"/>
              </w:rPr>
              <w:t xml:space="preserve"> que definirá</w:t>
            </w:r>
            <w:r>
              <w:rPr>
                <w:rFonts w:ascii="Verdana" w:eastAsia="Aptos" w:hAnsi="Verdana" w:cs="Times New Roman"/>
              </w:rPr>
              <w:t xml:space="preserve"> dicho método</w:t>
            </w:r>
            <w:r w:rsidRPr="0013220C">
              <w:rPr>
                <w:rFonts w:ascii="Verdana" w:eastAsia="Aptos" w:hAnsi="Verdana" w:cs="Times New Roman"/>
              </w:rPr>
              <w:t xml:space="preserve">, con posterioridad al desarrollo de cualquier proceso </w:t>
            </w:r>
            <w:r>
              <w:rPr>
                <w:rFonts w:ascii="Verdana" w:eastAsia="Aptos" w:hAnsi="Verdana" w:cs="Times New Roman"/>
              </w:rPr>
              <w:t>adelantado en la etapa de subsanación que pueda</w:t>
            </w:r>
            <w:r w:rsidRPr="0013220C">
              <w:rPr>
                <w:rFonts w:ascii="Verdana" w:eastAsia="Aptos" w:hAnsi="Verdana" w:cs="Times New Roman"/>
              </w:rPr>
              <w:t xml:space="preserve"> incidir en la ponderación de la experiencia.</w:t>
            </w:r>
          </w:p>
          <w:p w14:paraId="2CFA6342" w14:textId="77777777" w:rsidR="00800018" w:rsidRPr="0013220C" w:rsidRDefault="00800018" w:rsidP="007746B4">
            <w:pPr>
              <w:spacing w:after="120" w:line="276" w:lineRule="auto"/>
              <w:ind w:firstLine="708"/>
              <w:jc w:val="both"/>
              <w:rPr>
                <w:rFonts w:ascii="Verdana" w:eastAsia="Aptos" w:hAnsi="Verdana" w:cs="Times New Roman"/>
              </w:rPr>
            </w:pPr>
            <w:r w:rsidRPr="0013220C">
              <w:rPr>
                <w:rFonts w:ascii="Verdana" w:eastAsia="Aptos" w:hAnsi="Verdana" w:cs="Times New Roman"/>
              </w:rPr>
              <w:t xml:space="preserve">Mantener el mismo método de ponderación cuando se presente esta situación </w:t>
            </w:r>
            <w:r>
              <w:rPr>
                <w:rFonts w:ascii="Verdana" w:eastAsia="Aptos" w:hAnsi="Verdana" w:cs="Times New Roman"/>
              </w:rPr>
              <w:t>“</w:t>
            </w:r>
            <w:r w:rsidRPr="0013220C">
              <w:rPr>
                <w:rFonts w:ascii="Verdana" w:eastAsia="Aptos" w:hAnsi="Verdana" w:cs="Times New Roman"/>
              </w:rPr>
              <w:t>excepcional</w:t>
            </w:r>
            <w:r>
              <w:rPr>
                <w:rFonts w:ascii="Verdana" w:eastAsia="Aptos" w:hAnsi="Verdana" w:cs="Times New Roman"/>
              </w:rPr>
              <w:t>”</w:t>
            </w:r>
            <w:r w:rsidRPr="0013220C">
              <w:rPr>
                <w:rFonts w:ascii="Verdana" w:eastAsia="Aptos" w:hAnsi="Verdana" w:cs="Times New Roman"/>
              </w:rPr>
              <w:t xml:space="preserve"> en el marco del proceso de evaluación, podría reactivar la problemática que se buscó subsanar con las modificaciones incorporadas en el nuevo documento tipo (versión 3), permitiendo que los proponentes conozcan el método de ponderación con anticipación aun encontrándose </w:t>
            </w:r>
            <w:r w:rsidRPr="0013220C">
              <w:rPr>
                <w:rFonts w:ascii="Verdana" w:eastAsia="Aptos" w:hAnsi="Verdana" w:cs="Times New Roman"/>
              </w:rPr>
              <w:lastRenderedPageBreak/>
              <w:t>facultados para realizar subsanaciones que puedan impactar el orden de elegibilidad.</w:t>
            </w:r>
          </w:p>
          <w:p w14:paraId="1CBE9533" w14:textId="77777777" w:rsidR="00800018" w:rsidRPr="0013220C" w:rsidRDefault="00800018" w:rsidP="007746B4">
            <w:pPr>
              <w:spacing w:after="120" w:line="276" w:lineRule="auto"/>
              <w:ind w:firstLine="708"/>
              <w:jc w:val="both"/>
              <w:rPr>
                <w:rFonts w:ascii="Verdana" w:eastAsia="Aptos" w:hAnsi="Verdana" w:cs="Times New Roman"/>
              </w:rPr>
            </w:pPr>
            <w:r>
              <w:rPr>
                <w:rFonts w:ascii="Verdana" w:eastAsia="Aptos" w:hAnsi="Verdana" w:cs="Times New Roman"/>
              </w:rPr>
              <w:t>Así las cosas</w:t>
            </w:r>
            <w:r w:rsidRPr="0013220C">
              <w:rPr>
                <w:rFonts w:ascii="Verdana" w:eastAsia="Aptos" w:hAnsi="Verdana" w:cs="Times New Roman"/>
              </w:rPr>
              <w:t xml:space="preserve">, desde la óptica de la Agencia, los problemas e inconsistencias que se presentaban en la versión anterior del documento tipo, respecto a los potenciales </w:t>
            </w:r>
            <w:r>
              <w:rPr>
                <w:rFonts w:ascii="Verdana" w:eastAsia="Aptos" w:hAnsi="Verdana" w:cs="Times New Roman"/>
              </w:rPr>
              <w:t>casos</w:t>
            </w:r>
            <w:r w:rsidRPr="0013220C">
              <w:rPr>
                <w:rFonts w:ascii="Verdana" w:eastAsia="Aptos" w:hAnsi="Verdana" w:cs="Times New Roman"/>
              </w:rPr>
              <w:t xml:space="preserve"> de manipulación de los resultados de los métodos de ponderación</w:t>
            </w:r>
            <w:r>
              <w:rPr>
                <w:rFonts w:ascii="Verdana" w:eastAsia="Aptos" w:hAnsi="Verdana" w:cs="Times New Roman"/>
              </w:rPr>
              <w:t>,</w:t>
            </w:r>
            <w:r w:rsidRPr="0013220C">
              <w:rPr>
                <w:rFonts w:ascii="Verdana" w:eastAsia="Aptos" w:hAnsi="Verdana" w:cs="Times New Roman"/>
              </w:rPr>
              <w:t xml:space="preserve"> se subsanaron al modificar la etapa del proceso de contratación que servirá de referencia para conocer la TRM con la cual se determinará el método para ponderar la experiencia de los proponentes</w:t>
            </w:r>
            <w:r>
              <w:rPr>
                <w:rFonts w:ascii="Verdana" w:eastAsia="Aptos" w:hAnsi="Verdana" w:cs="Times New Roman"/>
              </w:rPr>
              <w:t>. Esto dificultará que</w:t>
            </w:r>
            <w:r w:rsidRPr="0013220C">
              <w:rPr>
                <w:rFonts w:ascii="Verdana" w:eastAsia="Aptos" w:hAnsi="Verdana" w:cs="Times New Roman"/>
              </w:rPr>
              <w:t xml:space="preserve"> los proponentes</w:t>
            </w:r>
            <w:r>
              <w:rPr>
                <w:rFonts w:ascii="Verdana" w:eastAsia="Aptos" w:hAnsi="Verdana" w:cs="Times New Roman"/>
              </w:rPr>
              <w:t xml:space="preserve"> realicen </w:t>
            </w:r>
            <w:r w:rsidRPr="0013220C">
              <w:rPr>
                <w:rFonts w:ascii="Verdana" w:eastAsia="Aptos" w:hAnsi="Verdana" w:cs="Times New Roman"/>
              </w:rPr>
              <w:t>ajustes</w:t>
            </w:r>
            <w:r>
              <w:rPr>
                <w:rFonts w:ascii="Verdana" w:eastAsia="Aptos" w:hAnsi="Verdana" w:cs="Times New Roman"/>
              </w:rPr>
              <w:t>,</w:t>
            </w:r>
            <w:r w:rsidRPr="0013220C">
              <w:rPr>
                <w:rFonts w:ascii="Verdana" w:eastAsia="Aptos" w:hAnsi="Verdana" w:cs="Times New Roman"/>
              </w:rPr>
              <w:t xml:space="preserve"> modificaciones o subsanaciones, con posterioridad a conocer el método de ponderación con el cual se evaluarán las ofertas. </w:t>
            </w:r>
          </w:p>
          <w:p w14:paraId="566E7E2C" w14:textId="77777777" w:rsidR="00800018" w:rsidRPr="0014328B" w:rsidRDefault="00800018" w:rsidP="007746B4">
            <w:pPr>
              <w:spacing w:after="120" w:line="276" w:lineRule="auto"/>
              <w:ind w:firstLine="708"/>
              <w:jc w:val="both"/>
              <w:rPr>
                <w:rFonts w:ascii="Verdana" w:eastAsia="Aptos" w:hAnsi="Verdana" w:cs="Times New Roman"/>
              </w:rPr>
            </w:pPr>
            <w:r w:rsidRPr="0014328B">
              <w:rPr>
                <w:rFonts w:ascii="Verdana" w:eastAsia="Aptos" w:hAnsi="Verdana" w:cs="Times New Roman"/>
              </w:rPr>
              <w:t xml:space="preserve">Sin perjuicio de las explicaciones realizadas en este concepto, y considerando su petición, en la cual se expone algunas situaciones que eventualmente pueden incidir en la evaluación de la oferta, la Agencia Nacional de Contratación Pública – Colombia Compra Eficiente analizará, en el marco de futuras modificaciones del documento tipo de interventoría de obra pública de infraestructura de transporte – versión 3, lo planteado en su petición, con el fin de determinar qué otros mecanismos podrían incorporarse para evitar que </w:t>
            </w:r>
            <w:r>
              <w:rPr>
                <w:rFonts w:ascii="Verdana" w:eastAsia="Aptos" w:hAnsi="Verdana" w:cs="Times New Roman"/>
              </w:rPr>
              <w:t xml:space="preserve">eventualmente, </w:t>
            </w:r>
            <w:r w:rsidRPr="0014328B">
              <w:rPr>
                <w:rFonts w:ascii="Verdana" w:eastAsia="Aptos" w:hAnsi="Verdana" w:cs="Times New Roman"/>
              </w:rPr>
              <w:t xml:space="preserve">este tipo de situaciones afecten el desarrollo normal del proceso de selección. </w:t>
            </w:r>
            <w:r w:rsidRPr="00142FA9">
              <w:rPr>
                <w:rFonts w:ascii="Verdana" w:eastAsia="Aptos" w:hAnsi="Verdana" w:cs="Times New Roman"/>
              </w:rPr>
              <w:t>Por lo tanto, su solicitud hará parte de un repositorio de observaciones.</w:t>
            </w:r>
            <w:r>
              <w:rPr>
                <w:rFonts w:ascii="Verdana" w:eastAsia="Calibri" w:hAnsi="Verdana" w:cs="Arial"/>
                <w:color w:val="000000"/>
                <w:shd w:val="clear" w:color="auto" w:fill="FFFFFF"/>
              </w:rPr>
              <w:t xml:space="preserve"> </w:t>
            </w:r>
          </w:p>
          <w:p w14:paraId="67EB441C" w14:textId="77777777" w:rsidR="00800018" w:rsidRPr="006A73B6" w:rsidRDefault="00800018" w:rsidP="007746B4">
            <w:pPr>
              <w:spacing w:after="120" w:line="276" w:lineRule="auto"/>
              <w:ind w:firstLine="708"/>
              <w:jc w:val="both"/>
              <w:rPr>
                <w:rFonts w:ascii="Verdana" w:eastAsia="Times New Roman" w:hAnsi="Verdana" w:cs="Times New Roman"/>
                <w:color w:val="000000"/>
                <w:lang w:eastAsia="es-MX"/>
              </w:rPr>
            </w:pPr>
            <w:r w:rsidRPr="006A73B6">
              <w:rPr>
                <w:rFonts w:ascii="Verdana" w:eastAsia="Calibri" w:hAnsi="Verdana" w:cs="Times New Roman"/>
                <w:lang w:val="es-ES"/>
              </w:rPr>
              <w:t>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r w:rsidRPr="006A73B6">
              <w:rPr>
                <w:rFonts w:ascii="Verdana" w:eastAsia="Aptos" w:hAnsi="Verdana" w:cs="Arial"/>
                <w:color w:val="000000"/>
              </w:rPr>
              <w:t>.</w:t>
            </w:r>
          </w:p>
          <w:p w14:paraId="47A0D61D" w14:textId="77777777" w:rsidR="00800018" w:rsidRPr="00F85678" w:rsidRDefault="00800018" w:rsidP="007746B4">
            <w:pPr>
              <w:spacing w:line="276" w:lineRule="auto"/>
              <w:ind w:firstLine="708"/>
              <w:jc w:val="both"/>
              <w:rPr>
                <w:rFonts w:ascii="Century Gothic" w:eastAsia="Times New Roman" w:hAnsi="Century Gothic" w:cs="Times New Roman"/>
                <w:color w:val="000000"/>
                <w:lang w:eastAsia="es-MX"/>
              </w:rPr>
            </w:pPr>
            <w:r w:rsidRPr="006A73B6">
              <w:rPr>
                <w:rFonts w:ascii="Verdana" w:eastAsia="Calibri" w:hAnsi="Verdana" w:cs="Times New Roman"/>
                <w:lang w:val="es-E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w:t>
            </w:r>
            <w:r w:rsidRPr="006A73B6">
              <w:rPr>
                <w:rFonts w:ascii="Verdana" w:eastAsia="Calibri" w:hAnsi="Verdana" w:cs="Times New Roman"/>
                <w:lang w:val="es-ES"/>
              </w:rPr>
              <w:lastRenderedPageBreak/>
              <w:t>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252E8BFA" w14:textId="77777777" w:rsidR="00800018" w:rsidRPr="00B77EC4" w:rsidRDefault="00800018" w:rsidP="00800018">
      <w:pPr>
        <w:tabs>
          <w:tab w:val="left" w:pos="142"/>
          <w:tab w:val="left" w:pos="284"/>
        </w:tabs>
        <w:spacing w:after="0" w:line="276" w:lineRule="auto"/>
        <w:jc w:val="both"/>
        <w:rPr>
          <w:rFonts w:ascii="Verdana" w:eastAsia="Century Gothic" w:hAnsi="Verdana" w:cs="Century Gothic"/>
          <w:b/>
          <w:bCs/>
        </w:rPr>
      </w:pPr>
    </w:p>
    <w:p w14:paraId="05BCBF7B" w14:textId="77777777" w:rsidR="00800018" w:rsidRPr="00B77EC4" w:rsidRDefault="00800018" w:rsidP="00800018">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B77EC4">
        <w:rPr>
          <w:rFonts w:ascii="Verdana" w:eastAsia="Century Gothic" w:hAnsi="Verdana" w:cs="Century Gothic"/>
          <w:b/>
          <w:bCs/>
        </w:rPr>
        <w:t>Razones de la respuesta:</w:t>
      </w:r>
    </w:p>
    <w:p w14:paraId="350A8263" w14:textId="77777777" w:rsidR="00800018" w:rsidRPr="0004446A" w:rsidRDefault="00800018" w:rsidP="00800018">
      <w:pPr>
        <w:spacing w:after="0" w:line="276" w:lineRule="auto"/>
        <w:jc w:val="both"/>
        <w:rPr>
          <w:rFonts w:ascii="Verdana" w:eastAsia="Calibri" w:hAnsi="Verdana" w:cs="Arial"/>
          <w:color w:val="7030A0"/>
        </w:rPr>
      </w:pPr>
    </w:p>
    <w:p w14:paraId="6F38EC59" w14:textId="77777777" w:rsidR="00800018" w:rsidRPr="0004446A" w:rsidRDefault="00800018" w:rsidP="00800018">
      <w:pPr>
        <w:spacing w:after="0" w:line="276" w:lineRule="auto"/>
        <w:jc w:val="both"/>
        <w:rPr>
          <w:rFonts w:ascii="Verdana" w:eastAsia="Calibri" w:hAnsi="Verdana" w:cs="Arial"/>
        </w:rPr>
      </w:pPr>
      <w:r w:rsidRPr="0004446A">
        <w:rPr>
          <w:rFonts w:ascii="Verdana" w:eastAsia="Calibri" w:hAnsi="Verdana" w:cs="Arial"/>
        </w:rPr>
        <w:t xml:space="preserve">Lo anterior se sustenta en las siguientes consideraciones: </w:t>
      </w:r>
    </w:p>
    <w:p w14:paraId="75D0111C" w14:textId="77777777" w:rsidR="00800018" w:rsidRPr="0004446A" w:rsidRDefault="00800018" w:rsidP="00800018">
      <w:pPr>
        <w:spacing w:after="0" w:line="276" w:lineRule="auto"/>
        <w:jc w:val="both"/>
        <w:rPr>
          <w:rFonts w:ascii="Verdana" w:eastAsia="Calibri" w:hAnsi="Verdana" w:cs="Arial"/>
        </w:rPr>
      </w:pPr>
    </w:p>
    <w:p w14:paraId="4A2D45E6" w14:textId="77777777" w:rsidR="00800018" w:rsidRPr="0004446A" w:rsidRDefault="00800018" w:rsidP="00800018">
      <w:pPr>
        <w:spacing w:after="120"/>
        <w:jc w:val="both"/>
        <w:rPr>
          <w:rFonts w:ascii="Verdana" w:eastAsia="Aptos" w:hAnsi="Verdana" w:cs="ArialMT"/>
        </w:rPr>
      </w:pPr>
      <w:r w:rsidRPr="0004446A">
        <w:rPr>
          <w:rFonts w:ascii="Verdana" w:eastAsia="Aptos" w:hAnsi="Verdana" w:cs="Arial"/>
        </w:rPr>
        <w:t xml:space="preserve">Los documentos tipo expedidos por la Agencia Nacional de Contratación Pública </w:t>
      </w:r>
      <w:r w:rsidRPr="0004446A">
        <w:rPr>
          <w:rFonts w:ascii="Verdana" w:eastAsia="Aptos" w:hAnsi="Verdana" w:cs="ArialMT"/>
        </w:rPr>
        <w:t xml:space="preserve">– Colombia Compra Eficiente </w:t>
      </w:r>
      <w:r w:rsidRPr="0004446A">
        <w:rPr>
          <w:rFonts w:ascii="Verdana" w:eastAsia="Aptos" w:hAnsi="Verdana" w:cs="Arial"/>
        </w:rPr>
        <w:t>en ejercicio de la potestad otorgada</w:t>
      </w:r>
      <w:r w:rsidRPr="0004446A">
        <w:rPr>
          <w:rFonts w:ascii="Verdana" w:eastAsia="Aptos" w:hAnsi="Verdana" w:cs="ArialMT"/>
        </w:rPr>
        <w:t xml:space="preserve">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Así mismo, los sujetos obligados a su aplicación, no podrán variar los requisitos que en ellos sean fijados, ni establecer reglas o requisitos adicionales a los establecidos en estos para la presentación de las ofertas y la acreditación de los requisitos habilitantes.</w:t>
      </w:r>
    </w:p>
    <w:p w14:paraId="45DF6398" w14:textId="77777777" w:rsidR="00800018" w:rsidRPr="0004446A" w:rsidRDefault="00800018" w:rsidP="00800018">
      <w:pPr>
        <w:spacing w:after="120" w:line="276" w:lineRule="auto"/>
        <w:ind w:firstLine="708"/>
        <w:jc w:val="both"/>
        <w:rPr>
          <w:rFonts w:ascii="Verdana" w:eastAsia="Aptos" w:hAnsi="Verdana" w:cs="ArialMT"/>
        </w:rPr>
      </w:pPr>
      <w:r w:rsidRPr="0004446A">
        <w:rPr>
          <w:rFonts w:ascii="Verdana" w:eastAsia="Aptos" w:hAnsi="Verdana" w:cs="ArialMT"/>
        </w:rPr>
        <w:t>La Agencia Nacional de Contratación Pública – Colombia Compra Eficiente expidió documentos tipo para los sectores de infraestructura de transporte, agua potable y 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04446A">
        <w:rPr>
          <w:rFonts w:ascii="Calibri" w:eastAsia="Calibri" w:hAnsi="Calibri" w:cs="Times New Roman"/>
          <w:vertAlign w:val="superscript"/>
        </w:rPr>
        <w:footnoteReference w:id="5"/>
      </w:r>
      <w:r w:rsidRPr="0004446A">
        <w:rPr>
          <w:rFonts w:ascii="Verdana" w:eastAsia="Aptos" w:hAnsi="Verdana" w:cs="ArialMT"/>
        </w:rPr>
        <w:t xml:space="preserve">. </w:t>
      </w:r>
    </w:p>
    <w:p w14:paraId="25FC8C4C" w14:textId="77777777" w:rsidR="00800018" w:rsidRPr="0004446A" w:rsidRDefault="00800018" w:rsidP="00800018">
      <w:pPr>
        <w:spacing w:after="120"/>
        <w:ind w:firstLine="708"/>
        <w:jc w:val="both"/>
        <w:rPr>
          <w:rFonts w:ascii="Verdana" w:eastAsia="Aptos" w:hAnsi="Verdana" w:cs="ArialMT"/>
        </w:rPr>
      </w:pPr>
      <w:r w:rsidRPr="0004446A">
        <w:rPr>
          <w:rFonts w:ascii="Verdana" w:eastAsia="Aptos" w:hAnsi="Verdana" w:cs="ArialMT"/>
        </w:rPr>
        <w:t>En el sector de infraestructura de transporte, la Agencia Nacional de Contratación Pública – Colombia Compra Eficiente expidió documentos tipo para contratar obras públicas de infraestructura de transporte bajo las modalidades de selección de licitación pública, selección abreviada de menor cuantía y mínima cuantía. Así mismo, esta Agencia expidió documentos tipo de concurso de méritos para contratar la interventoría y la consultoría de estudios de ingeniería de infraestructura de transporte</w:t>
      </w:r>
      <w:r w:rsidRPr="0004446A">
        <w:rPr>
          <w:rFonts w:ascii="Calibri" w:eastAsia="Calibri" w:hAnsi="Calibri" w:cs="Times New Roman"/>
          <w:vertAlign w:val="superscript"/>
        </w:rPr>
        <w:footnoteReference w:id="6"/>
      </w:r>
      <w:r w:rsidRPr="0004446A">
        <w:rPr>
          <w:rFonts w:ascii="Verdana" w:eastAsia="Aptos" w:hAnsi="Verdana" w:cs="ArialMT"/>
        </w:rPr>
        <w:t xml:space="preserve">. </w:t>
      </w:r>
    </w:p>
    <w:p w14:paraId="649EFD6C" w14:textId="77777777" w:rsidR="00800018" w:rsidRPr="0004446A" w:rsidRDefault="00800018" w:rsidP="00800018">
      <w:pPr>
        <w:spacing w:after="120"/>
        <w:ind w:firstLine="708"/>
        <w:jc w:val="both"/>
        <w:rPr>
          <w:rFonts w:ascii="Verdana" w:eastAsia="Aptos" w:hAnsi="Verdana" w:cs="ArialMT"/>
        </w:rPr>
      </w:pPr>
      <w:r w:rsidRPr="0004446A">
        <w:rPr>
          <w:rFonts w:ascii="Verdana" w:eastAsia="Aptos" w:hAnsi="Verdana" w:cs="ArialMT"/>
        </w:rPr>
        <w:lastRenderedPageBreak/>
        <w:t xml:space="preserve">La Ley 2022 de 2020 indicó que la Agencia Nacional de Contratación Pública – Colombia Compra Eficiente, debe revisar constantemente el contenido de los documentos tipo que expida. En desarrollo de este deber, esta agencia estableció un procedimiento para recibir y revisar los comentarios a los documentos tipo de infraestructura de transporte, realizados por todos los partícipes del sistema de la compra pública en el primero y parte del segundo semestre del año 2024. Como consecuencia de ello, se expidieron los diferentes actos administrativos por medio de los cuales se adoptaron y/o modificaron los documentos tipo de este sector, y en simultaneo se publicaron las respuestas a todas las observaciones y/o comentarios realizados a los proyectos de documentos tipo. </w:t>
      </w:r>
    </w:p>
    <w:p w14:paraId="426D12D1" w14:textId="77777777" w:rsidR="00800018" w:rsidRPr="0004446A" w:rsidRDefault="00800018" w:rsidP="00800018">
      <w:pPr>
        <w:spacing w:after="120"/>
        <w:ind w:firstLine="708"/>
        <w:jc w:val="both"/>
        <w:rPr>
          <w:rFonts w:ascii="Verdana" w:eastAsia="Aptos" w:hAnsi="Verdana" w:cs="ArialMT"/>
        </w:rPr>
      </w:pPr>
      <w:r w:rsidRPr="0004446A">
        <w:rPr>
          <w:rFonts w:ascii="Verdana" w:eastAsia="Aptos" w:hAnsi="Verdana" w:cs="ArialMT"/>
        </w:rPr>
        <w:t xml:space="preserve">Así, los documentos tipo del sector de infraestructura de transporte fueron modificados después de surtir el procedimiento interno establecido por esta Agencia. En la actualización de estos documentos tipo, participaron entidades técnicas y especializadas del sector transporte, tales como el Instituto Nacional de Vías – INVIAS, el Instituto de Desarrollo Urbano – UDU, el Instituto de Infraestructura y Concesiones de Cundinamarca – ICCU, entre otras. </w:t>
      </w:r>
    </w:p>
    <w:p w14:paraId="6D77BC0E" w14:textId="77777777" w:rsidR="00800018" w:rsidRPr="0004446A" w:rsidRDefault="00800018" w:rsidP="00800018">
      <w:pPr>
        <w:spacing w:after="120"/>
        <w:ind w:firstLine="708"/>
        <w:jc w:val="both"/>
        <w:rPr>
          <w:rFonts w:ascii="Verdana" w:eastAsia="Aptos" w:hAnsi="Verdana" w:cs="ArialMT"/>
        </w:rPr>
      </w:pPr>
      <w:r w:rsidRPr="0004446A">
        <w:rPr>
          <w:rFonts w:ascii="Verdana" w:eastAsia="Aptos" w:hAnsi="Verdana" w:cs="ArialMT"/>
        </w:rPr>
        <w:t xml:space="preserve">En este sentido, mediante la Resolución 725 del 19 de diciembre de 2024, se adoptó la versión 3 de los documentos tipo para los procesos de selección de </w:t>
      </w:r>
      <w:r w:rsidRPr="0004446A">
        <w:rPr>
          <w:rFonts w:ascii="Verdana" w:eastAsia="Aptos" w:hAnsi="Verdana" w:cs="ArialMT"/>
        </w:rPr>
        <w:lastRenderedPageBreak/>
        <w:t xml:space="preserve">concurso de méritos para contratar la interventoría de obras públicas de infraestructura de transporte, y se derogó la versión 2 que se había adoptado por medio de la Resolución 326 de 2022. De acuerdo con el artículo séptimo de la Resolución 725 de 2024, los documentos tipo que se acogen aplican para los procesos de selección cuyo aviso de convocatoria se publique a partir del 3 de febrero de 2025. </w:t>
      </w:r>
    </w:p>
    <w:p w14:paraId="25766703" w14:textId="77777777" w:rsidR="00800018" w:rsidRPr="0004446A" w:rsidRDefault="00800018" w:rsidP="00800018">
      <w:pPr>
        <w:spacing w:after="0" w:line="276" w:lineRule="auto"/>
        <w:ind w:firstLine="708"/>
        <w:jc w:val="both"/>
        <w:rPr>
          <w:rFonts w:ascii="Verdana" w:eastAsia="Aptos" w:hAnsi="Verdana" w:cs="ArialMT"/>
        </w:rPr>
      </w:pPr>
      <w:r w:rsidRPr="0004446A">
        <w:rPr>
          <w:rFonts w:ascii="Verdana" w:eastAsia="Calibri" w:hAnsi="Verdana" w:cs="Arial"/>
          <w:color w:val="000000"/>
          <w:lang w:val="es-ES_tradnl"/>
        </w:rPr>
        <w:t xml:space="preserve">El Documento Base de los </w:t>
      </w:r>
      <w:r w:rsidRPr="0004446A">
        <w:rPr>
          <w:rFonts w:ascii="Verdana" w:eastAsia="Calibri" w:hAnsi="Verdana" w:cs="Arial"/>
        </w:rPr>
        <w:t xml:space="preserve">documentos </w:t>
      </w:r>
      <w:r w:rsidRPr="0004446A">
        <w:rPr>
          <w:rFonts w:ascii="Verdana" w:eastAsia="Calibri" w:hAnsi="Verdana" w:cs="Arial"/>
          <w:lang w:val="es-MX"/>
        </w:rPr>
        <w:t xml:space="preserve">tipo de interventoría de obra pública de </w:t>
      </w:r>
      <w:r w:rsidRPr="0004446A">
        <w:rPr>
          <w:rFonts w:ascii="Verdana" w:eastAsia="Calibri" w:hAnsi="Verdana" w:cs="Arial"/>
        </w:rPr>
        <w:t>infraestructura de transporte – versión 3</w:t>
      </w:r>
      <w:r w:rsidRPr="0004446A">
        <w:rPr>
          <w:rFonts w:ascii="Verdana" w:eastAsia="Calibri" w:hAnsi="Verdana" w:cs="Arial"/>
          <w:color w:val="000000"/>
          <w:lang w:val="es-ES_tradnl"/>
        </w:rPr>
        <w:t>, en lo relativo a la evaluación de la experiencia del proponente, establece un método de ponderación de los requisitos de este factor de asignación de puntaje. Al respecto, el numeral 4.1</w:t>
      </w:r>
      <w:r>
        <w:rPr>
          <w:rFonts w:ascii="Verdana" w:eastAsia="Calibri" w:hAnsi="Verdana" w:cs="Arial"/>
          <w:color w:val="000000"/>
          <w:lang w:val="es-ES_tradnl"/>
        </w:rPr>
        <w:t xml:space="preserve"> “Forma de verificación y asignación de puntaje por la experiencia del proponente”</w:t>
      </w:r>
      <w:r w:rsidRPr="0004446A">
        <w:rPr>
          <w:rFonts w:ascii="Verdana" w:eastAsia="Calibri" w:hAnsi="Verdana" w:cs="Arial"/>
          <w:color w:val="000000"/>
          <w:lang w:val="es-ES_tradnl"/>
        </w:rPr>
        <w:t xml:space="preserve">, en los literales A y B del Pliego Tipo </w:t>
      </w:r>
      <w:r w:rsidRPr="0004446A">
        <w:rPr>
          <w:rFonts w:ascii="Verdana" w:eastAsia="Calibri" w:hAnsi="Verdana" w:cs="Arial"/>
          <w:bCs/>
          <w:color w:val="000000"/>
          <w:lang w:val="es-ES_tradnl" w:eastAsia="es-ES_tradnl"/>
        </w:rPr>
        <w:t>estudiado establecen:</w:t>
      </w:r>
    </w:p>
    <w:p w14:paraId="4A5AB694" w14:textId="77777777" w:rsidR="00800018" w:rsidRPr="0004446A" w:rsidRDefault="00800018" w:rsidP="00800018">
      <w:pPr>
        <w:spacing w:after="0" w:line="276" w:lineRule="auto"/>
        <w:ind w:firstLine="708"/>
        <w:jc w:val="both"/>
        <w:rPr>
          <w:rFonts w:ascii="Verdana" w:eastAsia="Calibri" w:hAnsi="Verdana" w:cs="Arial"/>
          <w:bCs/>
          <w:color w:val="000000"/>
          <w:lang w:val="es-ES_tradnl" w:eastAsia="es-ES_tradnl"/>
        </w:rPr>
      </w:pPr>
    </w:p>
    <w:p w14:paraId="151B3977" w14:textId="77777777" w:rsidR="00800018" w:rsidRPr="0004446A" w:rsidRDefault="00800018" w:rsidP="00800018">
      <w:pPr>
        <w:spacing w:after="120" w:line="240" w:lineRule="auto"/>
        <w:ind w:left="709" w:right="709"/>
        <w:jc w:val="both"/>
        <w:rPr>
          <w:rFonts w:ascii="Verdana" w:eastAsia="Calibri" w:hAnsi="Verdana" w:cs="Arial"/>
          <w:color w:val="000000"/>
          <w:sz w:val="21"/>
          <w:szCs w:val="21"/>
          <w:lang w:val="es-ES"/>
        </w:rPr>
      </w:pPr>
      <w:r w:rsidRPr="0004446A">
        <w:rPr>
          <w:rFonts w:ascii="Verdana" w:eastAsia="Calibri" w:hAnsi="Verdana" w:cs="Arial"/>
          <w:color w:val="000000"/>
          <w:sz w:val="21"/>
          <w:szCs w:val="21"/>
          <w:lang w:val="es-ES"/>
        </w:rPr>
        <w:t>“A. El proponente cumplirá con la exigencia mínima de experiencia prevista en el numeral 3.8.1 del Pliego de Condiciones. De acuerdo con lo anterior, si el Proponente debió subsanar el cumplimiento de la experiencia mínima, para la asignación de puntaje no se tendrán en cuenta los contratos que hayan sido objeto de subsanación para definir el promedio de los contratos válidos aportados que se refiere el literal B) de este numeral.</w:t>
      </w:r>
    </w:p>
    <w:p w14:paraId="50783AB5" w14:textId="77777777" w:rsidR="00800018" w:rsidRPr="0004446A" w:rsidRDefault="00800018" w:rsidP="00800018">
      <w:pPr>
        <w:spacing w:after="120" w:line="240" w:lineRule="auto"/>
        <w:ind w:left="709" w:right="709"/>
        <w:jc w:val="both"/>
        <w:rPr>
          <w:rFonts w:ascii="Verdana" w:eastAsia="Calibri" w:hAnsi="Verdana" w:cs="Arial"/>
          <w:color w:val="000000"/>
          <w:sz w:val="21"/>
          <w:szCs w:val="21"/>
          <w:lang w:val="es-ES"/>
        </w:rPr>
      </w:pPr>
      <w:r w:rsidRPr="0004446A">
        <w:rPr>
          <w:rFonts w:ascii="Verdana" w:eastAsia="Calibri" w:hAnsi="Verdana" w:cs="Arial"/>
          <w:color w:val="000000"/>
          <w:sz w:val="21"/>
          <w:szCs w:val="21"/>
          <w:lang w:val="es-ES"/>
        </w:rPr>
        <w:t>Cuando un Proponente haya subsanado la totalidad de los contratos aportados, su oferta no será tenida en cuenta para aplicar las fórmulas para la ponderación de la experiencia del Proponente, por lo que, además, por este criterio de asignación de puntaje obtendrá cero (0) puntos.</w:t>
      </w:r>
    </w:p>
    <w:p w14:paraId="2F711F9A" w14:textId="77777777" w:rsidR="00800018" w:rsidRPr="0004446A" w:rsidRDefault="00800018" w:rsidP="00800018">
      <w:pPr>
        <w:spacing w:after="0" w:line="240" w:lineRule="auto"/>
        <w:ind w:left="709" w:right="709"/>
        <w:jc w:val="both"/>
        <w:rPr>
          <w:rFonts w:ascii="Verdana" w:eastAsia="Calibri" w:hAnsi="Verdana" w:cs="Arial"/>
          <w:color w:val="000000"/>
          <w:sz w:val="21"/>
          <w:szCs w:val="21"/>
          <w:lang w:val="es-ES_tradnl"/>
        </w:rPr>
      </w:pPr>
      <w:r w:rsidRPr="0004446A">
        <w:rPr>
          <w:rFonts w:ascii="Verdana" w:eastAsia="Calibri" w:hAnsi="Verdana" w:cs="Arial"/>
          <w:color w:val="000000"/>
          <w:sz w:val="21"/>
          <w:szCs w:val="21"/>
          <w:lang w:val="es-ES_tradnl"/>
        </w:rPr>
        <w:t xml:space="preserve">B. </w:t>
      </w:r>
      <w:r w:rsidRPr="0004446A">
        <w:rPr>
          <w:rFonts w:ascii="Verdana" w:eastAsia="Times New Roman" w:hAnsi="Verdana" w:cs="Arial"/>
          <w:color w:val="000000"/>
          <w:sz w:val="21"/>
          <w:szCs w:val="21"/>
          <w:shd w:val="clear" w:color="auto" w:fill="FFFFFF"/>
          <w:lang w:eastAsia="es-ES_tradnl"/>
        </w:rPr>
        <w:t>Para la asignación de puntaje, se tomará el promedio de los contratos válidos aportados de cada propuesta hábil expresados en </w:t>
      </w:r>
      <w:r w:rsidRPr="0004446A">
        <w:rPr>
          <w:rFonts w:ascii="Verdana" w:eastAsia="Calibri" w:hAnsi="Verdana" w:cs="Arial"/>
          <w:color w:val="000000"/>
          <w:sz w:val="21"/>
          <w:szCs w:val="21"/>
          <w:lang w:val="es-ES_tradnl"/>
        </w:rPr>
        <w:t>SMMLV registrados en el Registro Único de Proponentes (RUP) o en alguno de los documentos válidos señalados en el numeral 10.1.5, que acredite su experiencia relacionada en el RUP, y que en total hayan cumplido con lo mencionado en el literal A de esta sección. Dicho promedio será el valor que lo hará participar para la asignación del puntaje, según se detalla en esta sección</w:t>
      </w:r>
      <w:r w:rsidRPr="0004446A">
        <w:rPr>
          <w:rFonts w:ascii="Verdana" w:eastAsia="Times New Roman" w:hAnsi="Verdana" w:cs="Arial"/>
          <w:color w:val="000000"/>
          <w:sz w:val="21"/>
          <w:szCs w:val="21"/>
          <w:shd w:val="clear" w:color="auto" w:fill="FFFFFF"/>
          <w:lang w:eastAsia="es-ES_tradnl"/>
        </w:rPr>
        <w:t xml:space="preserve">. </w:t>
      </w:r>
    </w:p>
    <w:p w14:paraId="21D6155D" w14:textId="77777777" w:rsidR="00800018" w:rsidRPr="0004446A" w:rsidRDefault="00800018" w:rsidP="00800018">
      <w:pPr>
        <w:spacing w:after="0" w:line="276" w:lineRule="auto"/>
        <w:ind w:firstLine="708"/>
        <w:jc w:val="both"/>
        <w:rPr>
          <w:rFonts w:ascii="Verdana" w:eastAsia="Times New Roman" w:hAnsi="Verdana" w:cs="Arial"/>
          <w:color w:val="000000"/>
          <w:lang w:val="es-MX" w:eastAsia="es-ES_tradnl"/>
        </w:rPr>
      </w:pPr>
    </w:p>
    <w:p w14:paraId="2CFE5007" w14:textId="77777777" w:rsidR="00800018" w:rsidRPr="0004446A" w:rsidRDefault="00800018" w:rsidP="00800018">
      <w:pPr>
        <w:spacing w:after="120" w:line="276" w:lineRule="auto"/>
        <w:ind w:firstLine="708"/>
        <w:jc w:val="both"/>
        <w:rPr>
          <w:rFonts w:ascii="Verdana" w:eastAsia="Times New Roman" w:hAnsi="Verdana" w:cs="Arial"/>
          <w:color w:val="000000"/>
          <w:lang w:val="es-MX" w:eastAsia="es-ES_tradnl"/>
        </w:rPr>
      </w:pPr>
      <w:r w:rsidRPr="0004446A">
        <w:rPr>
          <w:rFonts w:ascii="Verdana" w:eastAsia="Times New Roman" w:hAnsi="Verdana" w:cs="Arial"/>
          <w:color w:val="000000"/>
          <w:lang w:val="es-MX" w:eastAsia="es-ES_tradnl"/>
        </w:rPr>
        <w:t>Conforme indican estos literales, la valoración de la experiencia del proponente, de cara a la asignación del puntaje correspondiente a este factor de evaluación, debe hacerse de acuerdo con el promedio de los valores de los contratos expresados en SMMLV. Esto salvo en los casos en los que el proponente haya subsanado la acreditación de la experiencia mínima habilitante.</w:t>
      </w:r>
    </w:p>
    <w:p w14:paraId="3350DBB5" w14:textId="77777777" w:rsidR="00800018" w:rsidRPr="0004446A" w:rsidRDefault="00800018" w:rsidP="00800018">
      <w:pPr>
        <w:spacing w:after="120" w:line="276" w:lineRule="auto"/>
        <w:ind w:firstLine="708"/>
        <w:jc w:val="both"/>
        <w:rPr>
          <w:rFonts w:ascii="Verdana" w:eastAsia="Times New Roman" w:hAnsi="Verdana" w:cs="Arial"/>
          <w:color w:val="000000"/>
          <w:lang w:val="es-MX" w:eastAsia="es-ES_tradnl"/>
        </w:rPr>
      </w:pPr>
      <w:r w:rsidRPr="0004446A">
        <w:rPr>
          <w:rFonts w:ascii="Verdana" w:eastAsia="Times New Roman" w:hAnsi="Verdana" w:cs="Arial"/>
          <w:color w:val="000000"/>
          <w:lang w:val="es-MX" w:eastAsia="es-ES_tradnl"/>
        </w:rPr>
        <w:lastRenderedPageBreak/>
        <w:t xml:space="preserve">Para determinar el puntaje que corresponde al proponente por este factor de evaluación, el referido valor promedio de los contratos aportados para acreditar la experiencia, conforme indican los literales C y D del numeral 4.1., debe ser objeto de ponderación de acuerdo con alguno de los métodos de ponderación señalados en el </w:t>
      </w:r>
      <w:r>
        <w:rPr>
          <w:rFonts w:ascii="Verdana" w:eastAsia="Times New Roman" w:hAnsi="Verdana" w:cs="Arial"/>
          <w:color w:val="000000"/>
          <w:lang w:val="es-MX" w:eastAsia="es-ES_tradnl"/>
        </w:rPr>
        <w:t>d</w:t>
      </w:r>
      <w:r w:rsidRPr="0004446A">
        <w:rPr>
          <w:rFonts w:ascii="Verdana" w:eastAsia="Times New Roman" w:hAnsi="Verdana" w:cs="Arial"/>
          <w:color w:val="000000"/>
          <w:lang w:val="es-MX" w:eastAsia="es-ES_tradnl"/>
        </w:rPr>
        <w:t xml:space="preserve">ocumento </w:t>
      </w:r>
      <w:r>
        <w:rPr>
          <w:rFonts w:ascii="Verdana" w:eastAsia="Times New Roman" w:hAnsi="Verdana" w:cs="Arial"/>
          <w:color w:val="000000"/>
          <w:lang w:val="es-MX" w:eastAsia="es-ES_tradnl"/>
        </w:rPr>
        <w:t>b</w:t>
      </w:r>
      <w:r w:rsidRPr="0004446A">
        <w:rPr>
          <w:rFonts w:ascii="Verdana" w:eastAsia="Times New Roman" w:hAnsi="Verdana" w:cs="Arial"/>
          <w:color w:val="000000"/>
          <w:lang w:val="es-MX" w:eastAsia="es-ES_tradnl"/>
        </w:rPr>
        <w:t>ase, cuya escogencia debe hacerse de manera aleatoria, a partir de la Tasa Representativa del Mercado–TRM–. Al respecto los literales C y D del numeral 4.1 señalan:</w:t>
      </w:r>
    </w:p>
    <w:p w14:paraId="40098D50" w14:textId="77777777" w:rsidR="00800018" w:rsidRPr="0004446A" w:rsidRDefault="00800018" w:rsidP="00800018">
      <w:pPr>
        <w:spacing w:after="0" w:line="240" w:lineRule="auto"/>
        <w:ind w:left="709" w:right="709"/>
        <w:contextualSpacing/>
        <w:jc w:val="both"/>
        <w:rPr>
          <w:rFonts w:ascii="Verdana" w:eastAsia="Arial" w:hAnsi="Verdana" w:cs="Arial"/>
          <w:sz w:val="21"/>
          <w:szCs w:val="21"/>
          <w:lang w:val="es-MX" w:eastAsia="es-ES"/>
        </w:rPr>
      </w:pPr>
    </w:p>
    <w:p w14:paraId="497F18BE" w14:textId="77777777" w:rsidR="00800018" w:rsidRPr="0004446A" w:rsidRDefault="00800018" w:rsidP="00800018">
      <w:pPr>
        <w:numPr>
          <w:ilvl w:val="0"/>
          <w:numId w:val="18"/>
        </w:numPr>
        <w:spacing w:after="120" w:line="240" w:lineRule="auto"/>
        <w:ind w:right="709"/>
        <w:contextualSpacing/>
        <w:jc w:val="both"/>
        <w:rPr>
          <w:rFonts w:ascii="Verdana" w:eastAsia="Arial" w:hAnsi="Verdana" w:cs="Arial"/>
          <w:sz w:val="20"/>
          <w:szCs w:val="20"/>
          <w:lang w:val="es-ES" w:eastAsia="es-ES"/>
        </w:rPr>
      </w:pPr>
      <w:r w:rsidRPr="0004446A">
        <w:rPr>
          <w:rFonts w:ascii="Verdana" w:eastAsia="Arial" w:hAnsi="Verdana" w:cs="Arial"/>
          <w:sz w:val="20"/>
          <w:szCs w:val="20"/>
          <w:lang w:val="es-ES" w:eastAsia="es-ES"/>
        </w:rPr>
        <w:t xml:space="preserve">Posteriormente, se seleccionará un método aleatorio en función de la Tasa Representativa del Mercado (TRM) certificada por la Superintendencia Financiera de Colombia </w:t>
      </w:r>
      <w:r w:rsidRPr="0004446A">
        <w:rPr>
          <w:rFonts w:ascii="Verdana" w:eastAsia="Arial" w:hAnsi="Verdana" w:cs="Arial"/>
          <w:sz w:val="20"/>
          <w:szCs w:val="20"/>
          <w:highlight w:val="lightGray"/>
          <w:lang w:val="es-ES" w:eastAsia="es-ES"/>
        </w:rPr>
        <w:t xml:space="preserve">[en su sitio web: </w:t>
      </w:r>
      <w:hyperlink r:id="rId11">
        <w:r w:rsidRPr="0004446A">
          <w:rPr>
            <w:rFonts w:ascii="Verdana" w:eastAsia="Arial" w:hAnsi="Verdana" w:cs="Times New Roman"/>
            <w:sz w:val="20"/>
            <w:szCs w:val="20"/>
            <w:highlight w:val="lightGray"/>
            <w:lang w:val="es-ES" w:eastAsia="es-ES"/>
          </w:rPr>
          <w:t>https://www.superfinanciera.gov.co/publicacion/60819</w:t>
        </w:r>
      </w:hyperlink>
      <w:r w:rsidRPr="0004446A">
        <w:rPr>
          <w:rFonts w:ascii="Verdana" w:eastAsia="Arial" w:hAnsi="Verdana" w:cs="Arial"/>
          <w:sz w:val="20"/>
          <w:szCs w:val="20"/>
          <w:highlight w:val="lightGray"/>
          <w:lang w:val="es-ES" w:eastAsia="es-ES"/>
        </w:rPr>
        <w:t>]</w:t>
      </w:r>
      <w:r w:rsidRPr="0004446A">
        <w:rPr>
          <w:rFonts w:ascii="Verdana" w:eastAsia="Arial" w:hAnsi="Verdana" w:cs="Arial"/>
          <w:sz w:val="20"/>
          <w:szCs w:val="20"/>
          <w:lang w:val="es-ES" w:eastAsia="es-ES"/>
        </w:rPr>
        <w:t>.</w:t>
      </w:r>
    </w:p>
    <w:p w14:paraId="2BE51355" w14:textId="77777777" w:rsidR="00800018" w:rsidRPr="0004446A" w:rsidRDefault="00800018" w:rsidP="00800018">
      <w:pPr>
        <w:spacing w:before="120" w:after="120" w:line="240" w:lineRule="auto"/>
        <w:ind w:left="709" w:right="709"/>
        <w:jc w:val="both"/>
        <w:rPr>
          <w:rFonts w:ascii="Verdana" w:eastAsia="Arial" w:hAnsi="Verdana" w:cs="Arial"/>
          <w:sz w:val="20"/>
          <w:szCs w:val="20"/>
          <w:lang w:eastAsia="es-ES"/>
        </w:rPr>
      </w:pPr>
      <w:r w:rsidRPr="0004446A">
        <w:rPr>
          <w:rFonts w:ascii="Verdana" w:eastAsia="Arial" w:hAnsi="Verdana" w:cs="Arial"/>
          <w:sz w:val="20"/>
          <w:szCs w:val="20"/>
          <w:lang w:eastAsia="es-ES"/>
        </w:rPr>
        <w:t xml:space="preserve">La TRM que la Entidad utilizará para determinar el método de ponderación será la que rija el </w:t>
      </w:r>
      <w:r w:rsidRPr="0004446A">
        <w:rPr>
          <w:rFonts w:ascii="Verdana" w:eastAsia="Arial" w:hAnsi="Verdana" w:cs="Arial"/>
          <w:i/>
          <w:iCs/>
          <w:sz w:val="20"/>
          <w:szCs w:val="20"/>
          <w:lang w:eastAsia="es-ES"/>
        </w:rPr>
        <w:t>segundo día hábil después de finalizado el periodo de traslado del informe de evaluación</w:t>
      </w:r>
      <w:r w:rsidRPr="0004446A">
        <w:rPr>
          <w:rFonts w:ascii="Verdana" w:eastAsia="Arial" w:hAnsi="Verdana" w:cs="Arial"/>
          <w:sz w:val="20"/>
          <w:szCs w:val="20"/>
          <w:lang w:eastAsia="es-CO"/>
        </w:rPr>
        <w:t>.</w:t>
      </w:r>
      <w:r w:rsidRPr="0004446A">
        <w:rPr>
          <w:rFonts w:ascii="Verdana" w:eastAsia="Arial" w:hAnsi="Verdana" w:cs="Arial"/>
          <w:sz w:val="20"/>
          <w:szCs w:val="20"/>
          <w:lang w:eastAsia="es-ES"/>
        </w:rPr>
        <w:t xml:space="preserve"> Esto es, la que la Superintendencia publique en horas de la tarde del día hábil siguiente a la fecha efectiva de finalizado el periodo de traslado del informe de evaluación. </w:t>
      </w:r>
      <w:r w:rsidRPr="0004446A">
        <w:rPr>
          <w:rFonts w:ascii="Verdana" w:eastAsia="Arial" w:hAnsi="Verdana" w:cs="Arial"/>
          <w:sz w:val="20"/>
          <w:szCs w:val="20"/>
          <w:highlight w:val="lightGray"/>
          <w:lang w:eastAsia="es-ES"/>
        </w:rPr>
        <w:t>[Por ejemplo, si el termino de traslado del informe de evaluación finaliza el 10 de febrero, la TRM que se usará para determinar el método de evaluación será la del 12 de febrero, que se publica en la tarde del 11 de febrero]</w:t>
      </w:r>
      <w:r w:rsidRPr="0004446A">
        <w:rPr>
          <w:rFonts w:ascii="Verdana" w:eastAsia="Arial" w:hAnsi="Verdana" w:cs="Arial"/>
          <w:sz w:val="20"/>
          <w:szCs w:val="20"/>
          <w:lang w:eastAsia="es-ES"/>
        </w:rPr>
        <w:t xml:space="preserve"> </w:t>
      </w:r>
    </w:p>
    <w:p w14:paraId="0E236359" w14:textId="77777777" w:rsidR="00800018" w:rsidRPr="0004446A" w:rsidRDefault="00800018" w:rsidP="00800018">
      <w:pPr>
        <w:spacing w:before="120" w:after="120" w:line="240" w:lineRule="auto"/>
        <w:ind w:left="709" w:right="709"/>
        <w:jc w:val="both"/>
        <w:rPr>
          <w:rFonts w:ascii="Verdana" w:eastAsia="BlinkMacSystemFont" w:hAnsi="Verdana" w:cs="Arial"/>
          <w:i/>
          <w:iCs/>
          <w:sz w:val="20"/>
          <w:szCs w:val="20"/>
          <w:u w:val="single"/>
          <w:lang w:eastAsia="es-CO"/>
        </w:rPr>
      </w:pPr>
      <w:r w:rsidRPr="0004446A">
        <w:rPr>
          <w:rFonts w:ascii="Verdana" w:eastAsia="BlinkMacSystemFont" w:hAnsi="Verdana" w:cs="Arial"/>
          <w:sz w:val="20"/>
          <w:szCs w:val="20"/>
          <w:lang w:eastAsia="es-CO"/>
        </w:rPr>
        <w:t xml:space="preserve">En el evento excepcional establecido en el numeral 1.6, cuando la Entidad no hubiese advertido durante el proceso de evaluación la ausencia de requisitos o la falta de documentos referentes a la futura contratación o al Proponente, ya sea en relación con los requisitos habilitantes o para aclarar aspectos que otorgan puntaje o relativos a los factores de desempate, y por ende, deba requerir a algún proponente, </w:t>
      </w:r>
      <w:r w:rsidRPr="0004446A">
        <w:rPr>
          <w:rFonts w:ascii="Verdana" w:eastAsia="BlinkMacSystemFont" w:hAnsi="Verdana" w:cs="Arial"/>
          <w:sz w:val="20"/>
          <w:szCs w:val="20"/>
          <w:u w:val="single"/>
          <w:lang w:eastAsia="es-CO"/>
        </w:rPr>
        <w:t xml:space="preserve">la TRM que la Entidad utilizará para determinar el método de ponderación será la que rija el </w:t>
      </w:r>
      <w:r w:rsidRPr="0004446A">
        <w:rPr>
          <w:rFonts w:ascii="Verdana" w:eastAsia="BlinkMacSystemFont" w:hAnsi="Verdana" w:cs="Arial"/>
          <w:i/>
          <w:iCs/>
          <w:sz w:val="20"/>
          <w:szCs w:val="20"/>
          <w:u w:val="single"/>
          <w:lang w:eastAsia="es-CO"/>
        </w:rPr>
        <w:t>segundo día hábil después de finalizado el periodo concedido al proponente requerido para allegar la subsanación y/o aclaración solicitada</w:t>
      </w:r>
      <w:r w:rsidRPr="0004446A">
        <w:rPr>
          <w:rFonts w:ascii="Verdana" w:eastAsia="BlinkMacSystemFont" w:hAnsi="Verdana" w:cs="Arial"/>
          <w:sz w:val="20"/>
          <w:szCs w:val="20"/>
          <w:u w:val="single"/>
          <w:lang w:eastAsia="es-CO"/>
        </w:rPr>
        <w:t>.</w:t>
      </w:r>
      <w:r w:rsidRPr="0004446A">
        <w:rPr>
          <w:rFonts w:ascii="Verdana" w:eastAsia="BlinkMacSystemFont" w:hAnsi="Verdana" w:cs="Arial"/>
          <w:i/>
          <w:iCs/>
          <w:sz w:val="20"/>
          <w:szCs w:val="20"/>
          <w:u w:val="single"/>
          <w:lang w:eastAsia="es-CO"/>
        </w:rPr>
        <w:t xml:space="preserve"> </w:t>
      </w:r>
    </w:p>
    <w:p w14:paraId="7EA6FB09" w14:textId="77777777" w:rsidR="00800018" w:rsidRPr="0004446A" w:rsidRDefault="00800018" w:rsidP="00800018">
      <w:pPr>
        <w:spacing w:after="120" w:line="240" w:lineRule="auto"/>
        <w:ind w:left="709" w:right="709"/>
        <w:jc w:val="both"/>
        <w:rPr>
          <w:rFonts w:ascii="Verdana" w:eastAsia="Yu Mincho" w:hAnsi="Verdana" w:cs="Arial"/>
          <w:sz w:val="20"/>
          <w:szCs w:val="20"/>
          <w:lang w:eastAsia="es-ES"/>
        </w:rPr>
      </w:pPr>
      <w:r w:rsidRPr="0004446A">
        <w:rPr>
          <w:rFonts w:ascii="Verdana" w:eastAsia="Yu Mincho" w:hAnsi="Verdana" w:cs="Arial"/>
          <w:sz w:val="20"/>
          <w:szCs w:val="20"/>
          <w:lang w:eastAsia="es-ES"/>
        </w:rPr>
        <w:t>(…)</w:t>
      </w:r>
    </w:p>
    <w:p w14:paraId="66F980D4" w14:textId="77777777" w:rsidR="00800018" w:rsidRPr="0004446A" w:rsidRDefault="00800018" w:rsidP="00800018">
      <w:pPr>
        <w:numPr>
          <w:ilvl w:val="0"/>
          <w:numId w:val="18"/>
        </w:numPr>
        <w:spacing w:after="0" w:line="240" w:lineRule="auto"/>
        <w:ind w:right="709"/>
        <w:jc w:val="both"/>
        <w:rPr>
          <w:rFonts w:ascii="Verdana" w:eastAsia="Yu Mincho" w:hAnsi="Verdana" w:cs="Arial"/>
          <w:sz w:val="20"/>
          <w:szCs w:val="20"/>
          <w:lang w:val="es-ES" w:eastAsia="es-ES"/>
        </w:rPr>
      </w:pPr>
      <w:r w:rsidRPr="0004446A">
        <w:rPr>
          <w:rFonts w:ascii="Verdana" w:eastAsia="Arial" w:hAnsi="Verdana" w:cs="Arial"/>
          <w:sz w:val="20"/>
          <w:szCs w:val="20"/>
          <w:lang w:val="es-ES" w:eastAsia="es-ES"/>
        </w:rPr>
        <w:t>Dependiendo del método aleatorio establecido según la TRM, cada uno de los Proponentes habilitados participarán con el valor del promedio de los contratos válidos aportados, que no fueron objeto de subsanación, según la metodología descrita para cada alternativa.</w:t>
      </w:r>
      <w:r>
        <w:rPr>
          <w:rFonts w:ascii="Verdana" w:eastAsia="Arial" w:hAnsi="Verdana" w:cs="Arial"/>
          <w:sz w:val="20"/>
          <w:szCs w:val="20"/>
          <w:lang w:val="es-ES" w:eastAsia="es-ES"/>
        </w:rPr>
        <w:t xml:space="preserve"> (énfasis fuera del texto original)</w:t>
      </w:r>
      <w:r w:rsidRPr="0004446A">
        <w:rPr>
          <w:rFonts w:ascii="Verdana" w:eastAsia="Arial" w:hAnsi="Verdana" w:cs="Arial"/>
          <w:sz w:val="20"/>
          <w:szCs w:val="20"/>
          <w:lang w:val="es-ES" w:eastAsia="es-ES"/>
        </w:rPr>
        <w:t xml:space="preserve"> </w:t>
      </w:r>
    </w:p>
    <w:p w14:paraId="0CD028E6" w14:textId="77777777" w:rsidR="00800018" w:rsidRPr="0004446A" w:rsidRDefault="00800018" w:rsidP="00800018">
      <w:pPr>
        <w:spacing w:after="0" w:line="240" w:lineRule="auto"/>
        <w:ind w:right="709"/>
        <w:jc w:val="both"/>
        <w:rPr>
          <w:rFonts w:ascii="Verdana" w:eastAsia="Calibri" w:hAnsi="Verdana" w:cs="Arial"/>
          <w:color w:val="000000"/>
          <w:lang w:val="es-ES_tradnl"/>
        </w:rPr>
      </w:pPr>
    </w:p>
    <w:p w14:paraId="28BDB7E7" w14:textId="77777777" w:rsidR="00800018" w:rsidRPr="0004446A" w:rsidRDefault="00800018" w:rsidP="00800018">
      <w:pPr>
        <w:spacing w:after="120" w:line="276" w:lineRule="auto"/>
        <w:ind w:firstLine="708"/>
        <w:jc w:val="both"/>
        <w:rPr>
          <w:rFonts w:ascii="Verdana" w:eastAsia="Yu Mincho" w:hAnsi="Verdana" w:cs="Arial"/>
          <w:sz w:val="20"/>
          <w:szCs w:val="20"/>
          <w:lang w:val="es-ES" w:eastAsia="es-ES"/>
        </w:rPr>
      </w:pPr>
      <w:r w:rsidRPr="0004446A">
        <w:rPr>
          <w:rFonts w:ascii="Verdana" w:eastAsia="Calibri" w:hAnsi="Verdana" w:cs="Arial"/>
          <w:color w:val="000000"/>
          <w:lang w:val="es-ES_tradnl"/>
        </w:rPr>
        <w:t>Conforme con lo anterior, en relación con su solicitud, conviene mencionar el contenido del inciso segundo y tercero del literal C. previamente citado.</w:t>
      </w:r>
      <w:r>
        <w:rPr>
          <w:rFonts w:ascii="Verdana" w:eastAsia="Calibri" w:hAnsi="Verdana" w:cs="Arial"/>
          <w:color w:val="000000"/>
          <w:lang w:val="es-ES_tradnl"/>
        </w:rPr>
        <w:t xml:space="preserve"> Así</w:t>
      </w:r>
      <w:r w:rsidRPr="0004446A">
        <w:rPr>
          <w:rFonts w:ascii="Verdana" w:eastAsia="Calibri" w:hAnsi="Verdana" w:cs="Arial"/>
          <w:color w:val="000000"/>
          <w:lang w:val="es-ES_tradnl"/>
        </w:rPr>
        <w:t xml:space="preserve">, el método aleatorio en función de la Tasa Representativo del Mercado TRM que la Entidad utilizará para determinar el método de ponderación -según se indica- </w:t>
      </w:r>
      <w:r w:rsidRPr="0004446A">
        <w:rPr>
          <w:rFonts w:ascii="Verdana" w:eastAsia="Calibri" w:hAnsi="Verdana" w:cs="Arial"/>
          <w:color w:val="000000"/>
          <w:lang w:val="es-ES_tradnl"/>
        </w:rPr>
        <w:lastRenderedPageBreak/>
        <w:t xml:space="preserve">corresponderá al que rija “(…) </w:t>
      </w:r>
      <w:r w:rsidRPr="0004446A">
        <w:rPr>
          <w:rFonts w:ascii="Verdana" w:eastAsia="Arial" w:hAnsi="Verdana" w:cs="Arial"/>
          <w:lang w:eastAsia="es-ES"/>
        </w:rPr>
        <w:t xml:space="preserve">el </w:t>
      </w:r>
      <w:r w:rsidRPr="0004446A">
        <w:rPr>
          <w:rFonts w:ascii="Verdana" w:eastAsia="Arial" w:hAnsi="Verdana" w:cs="Arial"/>
          <w:i/>
          <w:iCs/>
          <w:lang w:eastAsia="es-ES"/>
        </w:rPr>
        <w:t xml:space="preserve">segundo día hábil después de finalizado el periodo de traslado del informe de evaluación (…)”. </w:t>
      </w:r>
    </w:p>
    <w:p w14:paraId="1144E32D" w14:textId="77777777" w:rsidR="00800018" w:rsidRPr="0004446A" w:rsidRDefault="00800018" w:rsidP="00800018">
      <w:pPr>
        <w:spacing w:after="120" w:line="276" w:lineRule="auto"/>
        <w:ind w:firstLine="708"/>
        <w:jc w:val="both"/>
        <w:rPr>
          <w:rFonts w:ascii="Verdana" w:eastAsia="Yu Mincho" w:hAnsi="Verdana" w:cs="Arial"/>
          <w:sz w:val="20"/>
          <w:szCs w:val="20"/>
          <w:lang w:val="es-ES" w:eastAsia="es-ES"/>
        </w:rPr>
      </w:pPr>
      <w:r>
        <w:rPr>
          <w:rFonts w:ascii="Verdana" w:eastAsia="Calibri" w:hAnsi="Verdana" w:cs="Arial"/>
          <w:color w:val="000000"/>
          <w:lang w:val="es-ES_tradnl"/>
        </w:rPr>
        <w:t>Por lo anterior</w:t>
      </w:r>
      <w:r w:rsidRPr="0004446A">
        <w:rPr>
          <w:rFonts w:ascii="Verdana" w:eastAsia="Calibri" w:hAnsi="Verdana" w:cs="Arial"/>
          <w:color w:val="000000"/>
          <w:lang w:val="es-ES_tradnl"/>
        </w:rPr>
        <w:t xml:space="preserve">, en el inciso dos (2) del literal C del numeral 4.1 se establece entre corchetes y resaltado en gris -a modo de ejemplo- la forma como la entidad determinará el método aleatorio de ponderación a partir de la TRM para lo cual señala que, “(…) si el termino de traslado del informe de evaluación finaliza el 10 de febrero, la TRM que se usará para determinar el método de evaluación será la del 12 de febrero, que se publica en la tarde del 11 de febrero”. Esto, teniendo en cuenta lo señalado en el párrafo precedente, esto es, que la TRM que la Entidad utilizará será la del segundo día hábil después de finalizado el traslado del informe de evaluación. </w:t>
      </w:r>
    </w:p>
    <w:p w14:paraId="1ACBE90D" w14:textId="77777777" w:rsidR="00800018" w:rsidRPr="0004446A" w:rsidRDefault="00800018" w:rsidP="00800018">
      <w:pPr>
        <w:spacing w:after="0" w:line="276" w:lineRule="auto"/>
        <w:ind w:firstLine="708"/>
        <w:jc w:val="both"/>
        <w:rPr>
          <w:rFonts w:ascii="Verdana" w:eastAsia="Yu Mincho" w:hAnsi="Verdana" w:cs="Arial"/>
          <w:sz w:val="20"/>
          <w:szCs w:val="20"/>
          <w:lang w:val="es-ES" w:eastAsia="es-ES"/>
        </w:rPr>
      </w:pPr>
      <w:r w:rsidRPr="0004446A">
        <w:rPr>
          <w:rFonts w:ascii="Verdana" w:eastAsia="Calibri" w:hAnsi="Verdana" w:cs="Arial"/>
          <w:color w:val="000000"/>
          <w:lang w:val="es-ES_tradnl"/>
        </w:rPr>
        <w:t xml:space="preserve">En relación con la </w:t>
      </w:r>
      <w:proofErr w:type="spellStart"/>
      <w:r w:rsidRPr="0004446A">
        <w:rPr>
          <w:rFonts w:ascii="Verdana" w:eastAsia="Calibri" w:hAnsi="Verdana" w:cs="Arial"/>
          <w:color w:val="000000"/>
          <w:lang w:val="es-ES_tradnl"/>
        </w:rPr>
        <w:t>subsanabilidad</w:t>
      </w:r>
      <w:proofErr w:type="spellEnd"/>
      <w:r w:rsidRPr="0004446A">
        <w:rPr>
          <w:rFonts w:ascii="Verdana" w:eastAsia="Calibri" w:hAnsi="Verdana" w:cs="Arial"/>
          <w:color w:val="000000"/>
          <w:lang w:val="es-ES_tradnl"/>
        </w:rPr>
        <w:t xml:space="preserve"> de las ofertas, </w:t>
      </w:r>
      <w:r w:rsidRPr="0004446A">
        <w:rPr>
          <w:rFonts w:ascii="Verdana" w:eastAsia="Arial" w:hAnsi="Verdana" w:cs="Arial"/>
          <w:color w:val="000000"/>
        </w:rPr>
        <w:t xml:space="preserve">se permite que la Administración requiera al oferente durante el proceso de evaluación de las propuestas, tan pronto advierta que hace falta un documento o requisito que se puede subsanar. </w:t>
      </w:r>
      <w:r w:rsidRPr="0004446A">
        <w:rPr>
          <w:rFonts w:ascii="Verdana" w:eastAsia="Calibri" w:hAnsi="Verdana" w:cs="Arial"/>
          <w:color w:val="000000"/>
          <w:lang w:val="es-ES_tradnl"/>
        </w:rPr>
        <w:t>Ahora, y en el evento que se presente una situación excepcional en la cual la Entidad no hubiese advertido durante el proceso de evaluación la ausencia de requisitos o la falta de documentos referentes a la futura contratación o al Proponente, ya sea en relación con los requisitos habilitantes o para aclarar aspectos que otorgan puntaje o relativos a los factores de desempate y, por ende, no los haya requerido, podrá hacerlo posteriormente, otorgándole al Proponente un término igual al establecido para el traslado del informe de evaluación,</w:t>
      </w:r>
      <w:r w:rsidRPr="0004446A" w:rsidDel="008C5B46">
        <w:rPr>
          <w:rFonts w:ascii="Verdana" w:eastAsia="Calibri" w:hAnsi="Verdana" w:cs="Arial"/>
          <w:color w:val="000000"/>
          <w:lang w:val="es-ES_tradnl"/>
        </w:rPr>
        <w:t xml:space="preserve"> </w:t>
      </w:r>
      <w:r w:rsidRPr="0004446A">
        <w:rPr>
          <w:rFonts w:ascii="Verdana" w:eastAsia="Calibri" w:hAnsi="Verdana" w:cs="Arial"/>
          <w:color w:val="000000"/>
          <w:lang w:val="es-ES_tradnl"/>
        </w:rPr>
        <w:t xml:space="preserve">con el fin de que los allegue. Al respecto, en el inciso tercero del literal C del numeral 4.1 se definió una regla aplicable a estas situaciones, para determinar la TRM que la Entidad utilizará para establecer el método de ponderación, según la cual: </w:t>
      </w:r>
    </w:p>
    <w:p w14:paraId="1BB857F0" w14:textId="77777777" w:rsidR="00800018" w:rsidRPr="0004446A" w:rsidRDefault="00800018" w:rsidP="00800018">
      <w:pPr>
        <w:spacing w:after="0"/>
        <w:ind w:firstLine="708"/>
        <w:jc w:val="both"/>
        <w:rPr>
          <w:rFonts w:ascii="Verdana" w:eastAsia="Calibri" w:hAnsi="Verdana" w:cs="Arial"/>
          <w:color w:val="000000"/>
          <w:lang w:val="es-ES_tradnl"/>
        </w:rPr>
      </w:pPr>
    </w:p>
    <w:p w14:paraId="0A125F38" w14:textId="77777777" w:rsidR="00800018" w:rsidRPr="0004446A" w:rsidRDefault="00800018" w:rsidP="00800018">
      <w:pPr>
        <w:spacing w:after="0" w:line="240" w:lineRule="auto"/>
        <w:ind w:left="708" w:right="709"/>
        <w:jc w:val="both"/>
        <w:rPr>
          <w:rFonts w:ascii="Verdana" w:eastAsia="Calibri" w:hAnsi="Verdana" w:cs="Arial"/>
          <w:color w:val="000000"/>
          <w:sz w:val="21"/>
          <w:szCs w:val="21"/>
          <w:lang w:val="es-ES_tradnl"/>
        </w:rPr>
      </w:pPr>
      <w:r w:rsidRPr="0004446A">
        <w:rPr>
          <w:rFonts w:ascii="Verdana" w:eastAsia="Calibri" w:hAnsi="Verdana" w:cs="Arial"/>
          <w:color w:val="000000"/>
          <w:sz w:val="21"/>
          <w:szCs w:val="21"/>
          <w:lang w:val="es-ES_tradnl"/>
        </w:rPr>
        <w:t>“En el evento excepcional establecido en el numeral 1.6, cuando la Entidad no hubiese advertido durante el proceso de evaluación la ausencia de requisitos o la falta de documentos referentes a la futura contratación o al Proponente, ya sea en relación con los requisitos habilitantes o para aclarar aspectos que otorgan puntaje o relativos a los factores de desempate, y por ende, deba requerir a algún proponente, la TRM que la Entidad utilizará para determinar el método de ponderación será la que rija el segundo día hábil después de finalizado el periodo concedido al proponente requerido para allegar la subsanación y/o aclaración solicitada”.</w:t>
      </w:r>
    </w:p>
    <w:p w14:paraId="7DDB9053" w14:textId="77777777" w:rsidR="00800018" w:rsidRPr="0004446A" w:rsidRDefault="00800018" w:rsidP="00800018">
      <w:pPr>
        <w:spacing w:after="0"/>
        <w:ind w:left="708" w:right="709"/>
        <w:jc w:val="both"/>
        <w:rPr>
          <w:rFonts w:ascii="Verdana" w:eastAsia="Calibri" w:hAnsi="Verdana" w:cs="Arial"/>
          <w:color w:val="000000"/>
          <w:sz w:val="21"/>
          <w:szCs w:val="21"/>
          <w:lang w:val="es-ES_tradnl"/>
        </w:rPr>
      </w:pPr>
    </w:p>
    <w:p w14:paraId="6B3CCE10" w14:textId="77777777" w:rsidR="00800018" w:rsidRPr="0004446A" w:rsidRDefault="00800018" w:rsidP="00800018">
      <w:pPr>
        <w:spacing w:after="120" w:line="276" w:lineRule="auto"/>
        <w:ind w:firstLine="708"/>
        <w:jc w:val="both"/>
        <w:rPr>
          <w:rFonts w:ascii="Verdana" w:eastAsia="Calibri" w:hAnsi="Verdana" w:cs="Arial"/>
          <w:color w:val="000000"/>
        </w:rPr>
      </w:pPr>
      <w:r w:rsidRPr="0004446A">
        <w:rPr>
          <w:rFonts w:ascii="Verdana" w:eastAsia="Calibri" w:hAnsi="Verdana" w:cs="Arial"/>
          <w:color w:val="000000"/>
        </w:rPr>
        <w:lastRenderedPageBreak/>
        <w:t xml:space="preserve">En el marco de esta excepcionalidad, se enmarca la consulta del peticionario. Así, en caso de que la Entidad requiera al proponente en un momento posterior al proceso de evaluación, la determinación de la Tasa Representativa del Mercado TRM, que la Entidad utilizará para determinar el método de ponderación será la que rija el segundo día hábil después de finalizado el periodo concedido al proponente requerido para la subsanación de requisitos habilitantes y/o para aclarar aspectos que otorgan puntaje o relativos a factores de desempate. </w:t>
      </w:r>
    </w:p>
    <w:p w14:paraId="16BA3D11" w14:textId="77777777" w:rsidR="00800018" w:rsidRPr="0004446A" w:rsidRDefault="00800018" w:rsidP="00800018">
      <w:pPr>
        <w:spacing w:after="120"/>
        <w:ind w:firstLine="708"/>
        <w:jc w:val="both"/>
        <w:rPr>
          <w:rFonts w:ascii="Verdana" w:eastAsia="Calibri" w:hAnsi="Verdana" w:cs="Arial"/>
          <w:color w:val="000000"/>
        </w:rPr>
      </w:pPr>
      <w:r w:rsidRPr="0004446A">
        <w:rPr>
          <w:rFonts w:ascii="Verdana" w:eastAsia="Calibri" w:hAnsi="Verdana" w:cs="Arial"/>
          <w:color w:val="000000"/>
          <w:lang w:val="es-ES_tradnl"/>
        </w:rPr>
        <w:t>En relación con su solicitud, debe indicarse que, en los procedimientos de concurso de méritos para la escogencia de interventores de obra pública de infraestructura de transporte adelantados con documentos tipo, la experiencia del proponente debe ser ponderada, de acuerdo con un método aleatorio, a efectos de determinar el puntaje que le corresponde.</w:t>
      </w:r>
      <w:r w:rsidRPr="0004446A">
        <w:rPr>
          <w:rFonts w:ascii="Verdana" w:eastAsia="Calibri" w:hAnsi="Verdana" w:cs="Arial"/>
          <w:lang w:val="es-MX"/>
        </w:rPr>
        <w:t xml:space="preserve"> Al respecto, el documento base, establece cuatro (</w:t>
      </w:r>
      <w:r w:rsidRPr="0004446A">
        <w:rPr>
          <w:rFonts w:ascii="Verdana" w:eastAsia="Calibri" w:hAnsi="Verdana" w:cs="Arial"/>
          <w:color w:val="000000"/>
          <w:lang w:val="es-ES_tradnl"/>
        </w:rPr>
        <w:t xml:space="preserve">4) alternativas para ponderar la experiencia de los proponentes, aplicables según la TRM que rija – de acuerdo con lo establecido en los supuestos del literal C del numeral 4.1 del documento base previamente señalados– a saber: i) mediana con valor absoluto; </w:t>
      </w:r>
      <w:proofErr w:type="spellStart"/>
      <w:r w:rsidRPr="0004446A">
        <w:rPr>
          <w:rFonts w:ascii="Verdana" w:eastAsia="Calibri" w:hAnsi="Verdana" w:cs="Arial"/>
          <w:color w:val="000000"/>
          <w:lang w:val="es-ES_tradnl"/>
        </w:rPr>
        <w:t>ii</w:t>
      </w:r>
      <w:proofErr w:type="spellEnd"/>
      <w:r w:rsidRPr="0004446A">
        <w:rPr>
          <w:rFonts w:ascii="Verdana" w:eastAsia="Calibri" w:hAnsi="Verdana" w:cs="Arial"/>
          <w:color w:val="000000"/>
          <w:lang w:val="es-ES_tradnl"/>
        </w:rPr>
        <w:t xml:space="preserve">) media geométrica; </w:t>
      </w:r>
      <w:proofErr w:type="spellStart"/>
      <w:r w:rsidRPr="0004446A">
        <w:rPr>
          <w:rFonts w:ascii="Verdana" w:eastAsia="Calibri" w:hAnsi="Verdana" w:cs="Arial"/>
          <w:color w:val="000000"/>
          <w:lang w:val="es-ES_tradnl"/>
        </w:rPr>
        <w:t>iii</w:t>
      </w:r>
      <w:proofErr w:type="spellEnd"/>
      <w:r w:rsidRPr="0004446A">
        <w:rPr>
          <w:rFonts w:ascii="Verdana" w:eastAsia="Calibri" w:hAnsi="Verdana" w:cs="Arial"/>
          <w:color w:val="000000"/>
          <w:lang w:val="es-ES_tradnl"/>
        </w:rPr>
        <w:t xml:space="preserve">) media aritmética alta y </w:t>
      </w:r>
      <w:proofErr w:type="spellStart"/>
      <w:r w:rsidRPr="0004446A">
        <w:rPr>
          <w:rFonts w:ascii="Verdana" w:eastAsia="Calibri" w:hAnsi="Verdana" w:cs="Arial"/>
          <w:color w:val="000000"/>
          <w:lang w:val="es-ES_tradnl"/>
        </w:rPr>
        <w:t>iv</w:t>
      </w:r>
      <w:proofErr w:type="spellEnd"/>
      <w:r w:rsidRPr="0004446A">
        <w:rPr>
          <w:rFonts w:ascii="Verdana" w:eastAsia="Calibri" w:hAnsi="Verdana" w:cs="Arial"/>
          <w:color w:val="000000"/>
          <w:lang w:val="es-ES_tradnl"/>
        </w:rPr>
        <w:t xml:space="preserve">) media aritmética baja, cuya selección es aleatoria. </w:t>
      </w:r>
    </w:p>
    <w:p w14:paraId="01C57565" w14:textId="77777777" w:rsidR="00800018" w:rsidRPr="0004446A" w:rsidRDefault="00800018" w:rsidP="00800018">
      <w:pPr>
        <w:spacing w:after="120" w:line="276" w:lineRule="auto"/>
        <w:ind w:firstLine="708"/>
        <w:jc w:val="both"/>
        <w:rPr>
          <w:rFonts w:ascii="Verdana" w:eastAsia="Calibri" w:hAnsi="Verdana" w:cs="Arial"/>
          <w:color w:val="000000"/>
          <w:lang w:val="es-ES_tradnl"/>
        </w:rPr>
      </w:pPr>
      <w:r w:rsidRPr="0004446A">
        <w:rPr>
          <w:rFonts w:ascii="Verdana" w:eastAsia="Calibri" w:hAnsi="Verdana" w:cs="Arial"/>
          <w:color w:val="000000"/>
          <w:lang w:val="es-ES_tradnl"/>
        </w:rPr>
        <w:t>La Tasa de Cambio Representativa del Mercado – TRM “</w:t>
      </w:r>
      <w:r w:rsidRPr="0004446A">
        <w:rPr>
          <w:rFonts w:ascii="Verdana" w:eastAsia="Calibri" w:hAnsi="Verdana" w:cs="Arial"/>
          <w:lang w:val="es-MX"/>
        </w:rPr>
        <w:t>es el promedio ponderado por monto de las operaciones de compra y venta de dólares de los Estados Unidos de América a cambio de moneda legal colombiana, pactadas para cumplimiento en ambas monedas el mismo día de su negociación, efectuadas por los Intermediarios del Mercado Cambiario (IMC) entre las 7:30 a.m. y la 1:00 p.m.</w:t>
      </w:r>
      <w:r w:rsidRPr="0004446A">
        <w:rPr>
          <w:rFonts w:ascii="Verdana" w:eastAsia="Calibri" w:hAnsi="Verdana" w:cs="Arial"/>
          <w:color w:val="000000"/>
          <w:lang w:val="es-ES_tradnl"/>
        </w:rPr>
        <w:t>”</w:t>
      </w:r>
      <w:r w:rsidRPr="0004446A">
        <w:rPr>
          <w:rFonts w:ascii="Calibri" w:eastAsia="Calibri" w:hAnsi="Calibri" w:cs="Times New Roman"/>
          <w:color w:val="000000"/>
          <w:vertAlign w:val="superscript"/>
          <w:lang w:val="es-ES_tradnl"/>
        </w:rPr>
        <w:footnoteReference w:id="7"/>
      </w:r>
      <w:r w:rsidRPr="0004446A">
        <w:rPr>
          <w:rFonts w:ascii="Verdana" w:eastAsia="Calibri" w:hAnsi="Verdana" w:cs="Arial"/>
          <w:color w:val="000000"/>
          <w:lang w:val="es-ES_tradnl"/>
        </w:rPr>
        <w:t>, definido por la Superintendencia Financiera, es decir, denota la relación entre la moneda colombiana y el dólar. Por su parte, el Banco de la República ha definido la tasa de cambio representativa del mercado como “la cantidad de pesos colombianos por un dólar de los Estados Unidos</w:t>
      </w:r>
      <w:r w:rsidRPr="0004446A">
        <w:rPr>
          <w:rFonts w:ascii="Calibri" w:eastAsia="Calibri" w:hAnsi="Calibri" w:cs="Times New Roman"/>
          <w:color w:val="000000"/>
          <w:vertAlign w:val="superscript"/>
          <w:lang w:val="es-ES_tradnl"/>
        </w:rPr>
        <w:footnoteReference w:id="8"/>
      </w:r>
      <w:r w:rsidRPr="0004446A">
        <w:rPr>
          <w:rFonts w:ascii="Verdana" w:eastAsia="Calibri" w:hAnsi="Verdana" w:cs="Arial"/>
          <w:color w:val="000000"/>
          <w:lang w:val="es-ES_tradnl"/>
        </w:rPr>
        <w:t>”. Es decir que, es claro que la TRM es un valor que se origina en la fluctuación del mercado.</w:t>
      </w:r>
    </w:p>
    <w:p w14:paraId="0F354A5C" w14:textId="77777777" w:rsidR="00800018" w:rsidRPr="006A73B6" w:rsidRDefault="00800018" w:rsidP="00800018">
      <w:pPr>
        <w:spacing w:after="120" w:line="276" w:lineRule="auto"/>
        <w:ind w:firstLine="708"/>
        <w:jc w:val="both"/>
        <w:rPr>
          <w:rFonts w:ascii="Verdana" w:eastAsia="Calibri" w:hAnsi="Verdana" w:cs="Arial"/>
          <w:color w:val="000000"/>
        </w:rPr>
      </w:pPr>
      <w:r w:rsidRPr="0004446A">
        <w:rPr>
          <w:rFonts w:ascii="Verdana" w:eastAsia="Calibri" w:hAnsi="Verdana" w:cs="Arial"/>
          <w:color w:val="000000"/>
        </w:rPr>
        <w:t xml:space="preserve">De lo anterior, se tiene que del documento tipo acudió a este valor como el criterio de escogencia del método aleatorio para evaluar la experiencia de los proponentes, porque su definición no depende de la discrecionalidad de la administración pública en cualquiera de sus órdenes y niveles, pues aunque se establece y certifica por parte de la Superintendencia Financiera, su </w:t>
      </w:r>
      <w:r w:rsidRPr="0004446A">
        <w:rPr>
          <w:rFonts w:ascii="Verdana" w:eastAsia="Calibri" w:hAnsi="Verdana" w:cs="Arial"/>
          <w:color w:val="000000"/>
        </w:rPr>
        <w:lastRenderedPageBreak/>
        <w:t xml:space="preserve">determinación depende de las dinámicas del mercado de divisas, garantizando una escogencia aleatoria del método de ponderación aplicable para tal propósito, lo </w:t>
      </w:r>
      <w:r w:rsidRPr="006A73B6">
        <w:rPr>
          <w:rFonts w:ascii="Verdana" w:eastAsia="Calibri" w:hAnsi="Verdana" w:cs="Arial"/>
          <w:color w:val="000000"/>
        </w:rPr>
        <w:t xml:space="preserve">que dota de transparencia la evaluación de las ofertas. </w:t>
      </w:r>
    </w:p>
    <w:p w14:paraId="0A72546A" w14:textId="77777777" w:rsidR="00800018" w:rsidRPr="0013220C" w:rsidRDefault="00800018" w:rsidP="00800018">
      <w:pPr>
        <w:spacing w:after="120" w:line="276" w:lineRule="auto"/>
        <w:jc w:val="both"/>
        <w:rPr>
          <w:rFonts w:ascii="Verdana" w:eastAsia="Aptos" w:hAnsi="Verdana" w:cs="Times New Roman"/>
        </w:rPr>
      </w:pPr>
      <w:r w:rsidRPr="006A73B6">
        <w:rPr>
          <w:rFonts w:ascii="Verdana" w:eastAsia="Calibri" w:hAnsi="Verdana" w:cs="Arial"/>
          <w:color w:val="000000"/>
        </w:rPr>
        <w:tab/>
        <w:t xml:space="preserve">De acuerdo con lo señalado con anterioridad, </w:t>
      </w:r>
      <w:r w:rsidRPr="0013220C">
        <w:rPr>
          <w:rFonts w:ascii="Verdana" w:eastAsia="Aptos" w:hAnsi="Verdana" w:cs="Times New Roman"/>
        </w:rPr>
        <w:t xml:space="preserve">una de las principales modificaciones que en relación con el literal C. del numeral 4.1 del documento base, se relaciona con que “La TRM que la Entidad utilizará para determinar el método de ponderación será la que rija el segundo día hábil </w:t>
      </w:r>
      <w:r w:rsidRPr="0013220C">
        <w:rPr>
          <w:rFonts w:ascii="Verdana" w:eastAsia="Aptos" w:hAnsi="Verdana" w:cs="Times New Roman"/>
          <w:i/>
          <w:iCs/>
        </w:rPr>
        <w:t>después de finalizado el periodo de traslado del informe de evaluación</w:t>
      </w:r>
      <w:r w:rsidRPr="0013220C">
        <w:rPr>
          <w:rFonts w:ascii="Verdana" w:eastAsia="Aptos" w:hAnsi="Verdana" w:cs="Times New Roman"/>
        </w:rPr>
        <w:t xml:space="preserve">”. </w:t>
      </w:r>
      <w:r>
        <w:rPr>
          <w:rFonts w:ascii="Verdana" w:eastAsia="Aptos" w:hAnsi="Verdana" w:cs="Times New Roman"/>
        </w:rPr>
        <w:t xml:space="preserve">Sobre el particular, </w:t>
      </w:r>
      <w:r w:rsidRPr="0013220C">
        <w:rPr>
          <w:rFonts w:ascii="Verdana" w:eastAsia="Aptos" w:hAnsi="Verdana" w:cs="Times New Roman"/>
        </w:rPr>
        <w:t xml:space="preserve">la versión 2 de los documentos tipo </w:t>
      </w:r>
      <w:r>
        <w:rPr>
          <w:rFonts w:ascii="Verdana" w:eastAsia="Aptos" w:hAnsi="Verdana" w:cs="Times New Roman"/>
        </w:rPr>
        <w:t>indicados</w:t>
      </w:r>
      <w:r w:rsidRPr="0013220C">
        <w:rPr>
          <w:rFonts w:ascii="Verdana" w:eastAsia="Aptos" w:hAnsi="Verdana" w:cs="Times New Roman"/>
        </w:rPr>
        <w:t xml:space="preserve">, establecía que “la TRM que la Entidad utilizará para determinar el método de ponderación será la que rija el segundo día hábil de la </w:t>
      </w:r>
      <w:r w:rsidRPr="0013220C">
        <w:rPr>
          <w:rFonts w:ascii="Verdana" w:eastAsia="Aptos" w:hAnsi="Verdana" w:cs="Times New Roman"/>
          <w:i/>
          <w:iCs/>
        </w:rPr>
        <w:t>fecha de cierre</w:t>
      </w:r>
      <w:r w:rsidRPr="0013220C">
        <w:rPr>
          <w:rFonts w:ascii="Verdana" w:eastAsia="Aptos" w:hAnsi="Verdana" w:cs="Times New Roman"/>
        </w:rPr>
        <w:t xml:space="preserve">”. Así, la incorporación de esta y otras precisiones se incluyeron con el objetivo de conocer la TRM que definirá el método de ponderación, con posterioridad </w:t>
      </w:r>
      <w:r>
        <w:rPr>
          <w:rFonts w:ascii="Verdana" w:eastAsia="Aptos" w:hAnsi="Verdana" w:cs="Times New Roman"/>
        </w:rPr>
        <w:t xml:space="preserve">a la </w:t>
      </w:r>
      <w:r w:rsidRPr="0013220C">
        <w:rPr>
          <w:rFonts w:ascii="Verdana" w:eastAsia="Aptos" w:hAnsi="Verdana" w:cs="Times New Roman"/>
        </w:rPr>
        <w:t xml:space="preserve">subsanación </w:t>
      </w:r>
      <w:r>
        <w:rPr>
          <w:rFonts w:ascii="Verdana" w:eastAsia="Aptos" w:hAnsi="Verdana" w:cs="Times New Roman"/>
        </w:rPr>
        <w:t xml:space="preserve">de la oferta </w:t>
      </w:r>
      <w:r w:rsidRPr="0013220C">
        <w:rPr>
          <w:rFonts w:ascii="Verdana" w:eastAsia="Aptos" w:hAnsi="Verdana" w:cs="Times New Roman"/>
        </w:rPr>
        <w:t>que pueda incidir en la ponderación de la experiencia, c</w:t>
      </w:r>
      <w:r>
        <w:rPr>
          <w:rFonts w:ascii="Verdana" w:eastAsia="Aptos" w:hAnsi="Verdana" w:cs="Times New Roman"/>
        </w:rPr>
        <w:t>o</w:t>
      </w:r>
      <w:r w:rsidRPr="0013220C">
        <w:rPr>
          <w:rFonts w:ascii="Verdana" w:eastAsia="Aptos" w:hAnsi="Verdana" w:cs="Times New Roman"/>
        </w:rPr>
        <w:t>mo sucedía en l</w:t>
      </w:r>
      <w:r>
        <w:rPr>
          <w:rFonts w:ascii="Verdana" w:eastAsia="Aptos" w:hAnsi="Verdana" w:cs="Times New Roman"/>
        </w:rPr>
        <w:t xml:space="preserve">a versión 2 de los </w:t>
      </w:r>
      <w:r w:rsidRPr="004F6C5F">
        <w:rPr>
          <w:rFonts w:ascii="Verdana" w:eastAsia="Aptos" w:hAnsi="Verdana" w:cs="Times New Roman"/>
        </w:rPr>
        <w:t>documentos tipo</w:t>
      </w:r>
      <w:r w:rsidRPr="0013220C">
        <w:rPr>
          <w:rFonts w:ascii="Verdana" w:eastAsia="Aptos" w:hAnsi="Verdana" w:cs="Times New Roman"/>
        </w:rPr>
        <w:t>.</w:t>
      </w:r>
    </w:p>
    <w:p w14:paraId="5F1D1855" w14:textId="77777777" w:rsidR="00800018" w:rsidRPr="0013220C" w:rsidRDefault="00800018" w:rsidP="00800018">
      <w:pPr>
        <w:spacing w:after="120" w:line="276" w:lineRule="auto"/>
        <w:ind w:firstLine="708"/>
        <w:jc w:val="both"/>
        <w:rPr>
          <w:rFonts w:ascii="Verdana" w:eastAsia="Aptos" w:hAnsi="Verdana" w:cs="Times New Roman"/>
        </w:rPr>
      </w:pPr>
      <w:r w:rsidRPr="0013220C">
        <w:rPr>
          <w:rFonts w:ascii="Verdana" w:eastAsia="Aptos" w:hAnsi="Verdana" w:cs="Times New Roman"/>
        </w:rPr>
        <w:t>De esta forma, el cambio se originó como resultado de observaciones remitidas por Entidades Técnicas y especializadas del sector transport</w:t>
      </w:r>
      <w:r>
        <w:rPr>
          <w:rFonts w:ascii="Verdana" w:eastAsia="Aptos" w:hAnsi="Verdana" w:cs="Times New Roman"/>
        </w:rPr>
        <w:t xml:space="preserve">e, con la finalidad de que se permitiera </w:t>
      </w:r>
      <w:r w:rsidRPr="0013220C">
        <w:rPr>
          <w:rFonts w:ascii="Verdana" w:eastAsia="Aptos" w:hAnsi="Verdana" w:cs="Times New Roman"/>
        </w:rPr>
        <w:t>un ejercicio más transparente de ponderación de puntaje por concepto de experiencia, evitando que se pud</w:t>
      </w:r>
      <w:r>
        <w:rPr>
          <w:rFonts w:ascii="Verdana" w:eastAsia="Aptos" w:hAnsi="Verdana" w:cs="Times New Roman"/>
        </w:rPr>
        <w:t>iera</w:t>
      </w:r>
      <w:r w:rsidRPr="0013220C">
        <w:rPr>
          <w:rFonts w:ascii="Verdana" w:eastAsia="Aptos" w:hAnsi="Verdana" w:cs="Times New Roman"/>
        </w:rPr>
        <w:t xml:space="preserve"> incidir de manera directa en los potenciales resultados al conocer previamente el método de ponderación que se utilizar</w:t>
      </w:r>
      <w:r>
        <w:rPr>
          <w:rFonts w:ascii="Verdana" w:eastAsia="Aptos" w:hAnsi="Verdana" w:cs="Times New Roman"/>
        </w:rPr>
        <w:t>ía</w:t>
      </w:r>
      <w:r w:rsidRPr="0013220C">
        <w:rPr>
          <w:rFonts w:ascii="Verdana" w:eastAsia="Aptos" w:hAnsi="Verdana" w:cs="Times New Roman"/>
        </w:rPr>
        <w:t xml:space="preserve"> en el proceso.</w:t>
      </w:r>
      <w:r>
        <w:rPr>
          <w:rFonts w:ascii="Verdana" w:eastAsia="Aptos" w:hAnsi="Verdana" w:cs="Times New Roman"/>
        </w:rPr>
        <w:t xml:space="preserve"> Así mismo, estos documento con el ajuste señalados -en su etapa de elaboración-, se publicaron para comentarios de la ciudadanía y/o grupos de interés</w:t>
      </w:r>
      <w:r>
        <w:rPr>
          <w:rStyle w:val="Refdenotaalpie"/>
          <w:rFonts w:ascii="Verdana" w:eastAsia="Aptos" w:hAnsi="Verdana" w:cs="Times New Roman"/>
        </w:rPr>
        <w:footnoteReference w:id="9"/>
      </w:r>
      <w:r>
        <w:rPr>
          <w:rFonts w:ascii="Verdana" w:eastAsia="Aptos" w:hAnsi="Verdana" w:cs="Times New Roman"/>
        </w:rPr>
        <w:t xml:space="preserve">. </w:t>
      </w:r>
    </w:p>
    <w:p w14:paraId="7A3B6D10" w14:textId="77777777" w:rsidR="00800018" w:rsidRPr="00302D0E" w:rsidRDefault="00800018" w:rsidP="00800018">
      <w:pPr>
        <w:spacing w:after="120" w:line="276" w:lineRule="auto"/>
        <w:ind w:firstLine="708"/>
        <w:jc w:val="both"/>
        <w:rPr>
          <w:rFonts w:ascii="Verdana" w:eastAsia="Aptos" w:hAnsi="Verdana" w:cs="Times New Roman"/>
        </w:rPr>
      </w:pPr>
      <w:r w:rsidRPr="0013220C">
        <w:rPr>
          <w:rFonts w:ascii="Verdana" w:eastAsia="Aptos" w:hAnsi="Verdana" w:cs="Times New Roman"/>
        </w:rPr>
        <w:t>Por otro lado, la incorporación de la regla mediante la cual la Entidad define el método de ponderación una vez “</w:t>
      </w:r>
      <w:r w:rsidRPr="0013220C">
        <w:rPr>
          <w:rFonts w:ascii="Verdana" w:eastAsia="Aptos" w:hAnsi="Verdana" w:cs="Times New Roman"/>
          <w:i/>
          <w:iCs/>
        </w:rPr>
        <w:t>finalice el periodo concedido al proponente requerido para allegar la subsanación y/o aclaración solicitada”</w:t>
      </w:r>
      <w:r w:rsidRPr="0013220C">
        <w:rPr>
          <w:rFonts w:ascii="Verdana" w:eastAsia="Aptos" w:hAnsi="Verdana" w:cs="Times New Roman"/>
        </w:rPr>
        <w:t>,</w:t>
      </w:r>
      <w:r w:rsidRPr="0013220C">
        <w:rPr>
          <w:rFonts w:ascii="Verdana" w:eastAsia="Aptos" w:hAnsi="Verdana" w:cs="Times New Roman"/>
          <w:b/>
          <w:bCs/>
        </w:rPr>
        <w:t xml:space="preserve"> </w:t>
      </w:r>
      <w:r>
        <w:rPr>
          <w:rFonts w:ascii="Verdana" w:eastAsia="Aptos" w:hAnsi="Verdana" w:cs="Times New Roman"/>
        </w:rPr>
        <w:t xml:space="preserve">este supuesto, se concibe </w:t>
      </w:r>
      <w:r w:rsidRPr="00302D0E">
        <w:rPr>
          <w:rFonts w:ascii="Verdana" w:eastAsia="Aptos" w:hAnsi="Verdana" w:cs="Times New Roman"/>
        </w:rPr>
        <w:t xml:space="preserve">como una </w:t>
      </w:r>
      <w:r w:rsidRPr="00302D0E">
        <w:rPr>
          <w:rFonts w:ascii="Verdana" w:eastAsia="Aptos" w:hAnsi="Verdana" w:cs="Times New Roman"/>
          <w:i/>
          <w:iCs/>
        </w:rPr>
        <w:t>“excepcionalidad”</w:t>
      </w:r>
      <w:r>
        <w:rPr>
          <w:rFonts w:ascii="Verdana" w:eastAsia="Aptos" w:hAnsi="Verdana" w:cs="Times New Roman"/>
          <w:i/>
          <w:iCs/>
        </w:rPr>
        <w:t xml:space="preserve"> -</w:t>
      </w:r>
      <w:r>
        <w:rPr>
          <w:rFonts w:ascii="Verdana" w:eastAsia="Aptos" w:hAnsi="Verdana" w:cs="Times New Roman"/>
        </w:rPr>
        <w:t>en los términos y con el alcance explicado ut supra-,</w:t>
      </w:r>
      <w:r w:rsidRPr="00302D0E">
        <w:rPr>
          <w:rFonts w:ascii="Verdana" w:eastAsia="Aptos" w:hAnsi="Verdana" w:cs="Times New Roman"/>
        </w:rPr>
        <w:t xml:space="preserve"> y no como una regla preestablecida </w:t>
      </w:r>
      <w:r>
        <w:rPr>
          <w:rFonts w:ascii="Verdana" w:eastAsia="Aptos" w:hAnsi="Verdana" w:cs="Times New Roman"/>
        </w:rPr>
        <w:t xml:space="preserve">diseñada </w:t>
      </w:r>
      <w:r w:rsidRPr="00302D0E">
        <w:rPr>
          <w:rFonts w:ascii="Verdana" w:eastAsia="Aptos" w:hAnsi="Verdana" w:cs="Times New Roman"/>
        </w:rPr>
        <w:t>en el margen de probabilidad para que determinado método de ponderación otorgue el puntaje por el factor de experiencia</w:t>
      </w:r>
      <w:r>
        <w:rPr>
          <w:rFonts w:ascii="Verdana" w:eastAsia="Aptos" w:hAnsi="Verdana" w:cs="Times New Roman"/>
        </w:rPr>
        <w:t xml:space="preserve">. </w:t>
      </w:r>
    </w:p>
    <w:p w14:paraId="54D3E623" w14:textId="77777777" w:rsidR="00800018" w:rsidRPr="0013220C" w:rsidRDefault="00800018" w:rsidP="00800018">
      <w:pPr>
        <w:spacing w:after="120" w:line="276" w:lineRule="auto"/>
        <w:ind w:firstLine="708"/>
        <w:jc w:val="both"/>
        <w:rPr>
          <w:rFonts w:ascii="Verdana" w:eastAsia="Aptos" w:hAnsi="Verdana" w:cs="Times New Roman"/>
        </w:rPr>
      </w:pPr>
      <w:r w:rsidRPr="0013220C">
        <w:rPr>
          <w:rFonts w:ascii="Verdana" w:eastAsia="Aptos" w:hAnsi="Verdana" w:cs="Times New Roman"/>
        </w:rPr>
        <w:lastRenderedPageBreak/>
        <w:t xml:space="preserve">El </w:t>
      </w:r>
      <w:r>
        <w:rPr>
          <w:rFonts w:ascii="Verdana" w:eastAsia="Aptos" w:hAnsi="Verdana" w:cs="Times New Roman"/>
        </w:rPr>
        <w:t>núcleo fundamental</w:t>
      </w:r>
      <w:r w:rsidRPr="0013220C">
        <w:rPr>
          <w:rFonts w:ascii="Verdana" w:eastAsia="Aptos" w:hAnsi="Verdana" w:cs="Times New Roman"/>
        </w:rPr>
        <w:t xml:space="preserve"> de la modificación realizada en el mecanismo para la determinación del método de ponderación es que se conozca la T</w:t>
      </w:r>
      <w:r>
        <w:rPr>
          <w:rFonts w:ascii="Verdana" w:eastAsia="Aptos" w:hAnsi="Verdana" w:cs="Times New Roman"/>
        </w:rPr>
        <w:t xml:space="preserve">asa </w:t>
      </w:r>
      <w:r w:rsidRPr="0013220C">
        <w:rPr>
          <w:rFonts w:ascii="Verdana" w:eastAsia="Aptos" w:hAnsi="Verdana" w:cs="Times New Roman"/>
        </w:rPr>
        <w:t>R</w:t>
      </w:r>
      <w:r>
        <w:rPr>
          <w:rFonts w:ascii="Verdana" w:eastAsia="Aptos" w:hAnsi="Verdana" w:cs="Times New Roman"/>
        </w:rPr>
        <w:t xml:space="preserve">epresentativa del </w:t>
      </w:r>
      <w:r w:rsidRPr="0013220C">
        <w:rPr>
          <w:rFonts w:ascii="Verdana" w:eastAsia="Aptos" w:hAnsi="Verdana" w:cs="Times New Roman"/>
        </w:rPr>
        <w:t>M</w:t>
      </w:r>
      <w:r>
        <w:rPr>
          <w:rFonts w:ascii="Verdana" w:eastAsia="Aptos" w:hAnsi="Verdana" w:cs="Times New Roman"/>
        </w:rPr>
        <w:t>ercado - TRM</w:t>
      </w:r>
      <w:r w:rsidRPr="0013220C">
        <w:rPr>
          <w:rFonts w:ascii="Verdana" w:eastAsia="Aptos" w:hAnsi="Verdana" w:cs="Times New Roman"/>
        </w:rPr>
        <w:t xml:space="preserve"> que definirá</w:t>
      </w:r>
      <w:r>
        <w:rPr>
          <w:rFonts w:ascii="Verdana" w:eastAsia="Aptos" w:hAnsi="Verdana" w:cs="Times New Roman"/>
        </w:rPr>
        <w:t xml:space="preserve"> dicho método</w:t>
      </w:r>
      <w:r w:rsidRPr="0013220C">
        <w:rPr>
          <w:rFonts w:ascii="Verdana" w:eastAsia="Aptos" w:hAnsi="Verdana" w:cs="Times New Roman"/>
        </w:rPr>
        <w:t xml:space="preserve">, con posterioridad al desarrollo de cualquier proceso </w:t>
      </w:r>
      <w:r>
        <w:rPr>
          <w:rFonts w:ascii="Verdana" w:eastAsia="Aptos" w:hAnsi="Verdana" w:cs="Times New Roman"/>
        </w:rPr>
        <w:t>adelantado en la etapa de subsanación que pueda</w:t>
      </w:r>
      <w:r w:rsidRPr="0013220C">
        <w:rPr>
          <w:rFonts w:ascii="Verdana" w:eastAsia="Aptos" w:hAnsi="Verdana" w:cs="Times New Roman"/>
        </w:rPr>
        <w:t xml:space="preserve"> incidir en la ponderación de la experiencia.</w:t>
      </w:r>
    </w:p>
    <w:p w14:paraId="6030B922" w14:textId="77777777" w:rsidR="00800018" w:rsidRPr="0013220C" w:rsidRDefault="00800018" w:rsidP="00800018">
      <w:pPr>
        <w:spacing w:after="120" w:line="276" w:lineRule="auto"/>
        <w:ind w:firstLine="708"/>
        <w:jc w:val="both"/>
        <w:rPr>
          <w:rFonts w:ascii="Verdana" w:eastAsia="Aptos" w:hAnsi="Verdana" w:cs="Times New Roman"/>
        </w:rPr>
      </w:pPr>
      <w:r w:rsidRPr="0013220C">
        <w:rPr>
          <w:rFonts w:ascii="Verdana" w:eastAsia="Aptos" w:hAnsi="Verdana" w:cs="Times New Roman"/>
        </w:rPr>
        <w:t xml:space="preserve">Mantener el mismo método de ponderación cuando se presente esta situación </w:t>
      </w:r>
      <w:r>
        <w:rPr>
          <w:rFonts w:ascii="Verdana" w:eastAsia="Aptos" w:hAnsi="Verdana" w:cs="Times New Roman"/>
        </w:rPr>
        <w:t>“</w:t>
      </w:r>
      <w:r w:rsidRPr="0013220C">
        <w:rPr>
          <w:rFonts w:ascii="Verdana" w:eastAsia="Aptos" w:hAnsi="Verdana" w:cs="Times New Roman"/>
        </w:rPr>
        <w:t>excepcional</w:t>
      </w:r>
      <w:r>
        <w:rPr>
          <w:rFonts w:ascii="Verdana" w:eastAsia="Aptos" w:hAnsi="Verdana" w:cs="Times New Roman"/>
        </w:rPr>
        <w:t>”</w:t>
      </w:r>
      <w:r w:rsidRPr="0013220C">
        <w:rPr>
          <w:rFonts w:ascii="Verdana" w:eastAsia="Aptos" w:hAnsi="Verdana" w:cs="Times New Roman"/>
        </w:rPr>
        <w:t xml:space="preserve"> en el marco del proceso de evaluación, podría reactivar la problemática que se buscó subsanar con las modificaciones incorporadas en el nuevo documento tipo (versión 3), permitiendo que los proponentes conozcan el método de ponderación con anticipación aun encontrándose facultados para realizar subsanaciones que puedan impactar el orden de elegibilidad.</w:t>
      </w:r>
    </w:p>
    <w:p w14:paraId="483B472F" w14:textId="77777777" w:rsidR="00800018" w:rsidRPr="0013220C" w:rsidRDefault="00800018" w:rsidP="00800018">
      <w:pPr>
        <w:spacing w:after="120" w:line="276" w:lineRule="auto"/>
        <w:ind w:firstLine="708"/>
        <w:jc w:val="both"/>
        <w:rPr>
          <w:rFonts w:ascii="Verdana" w:eastAsia="Aptos" w:hAnsi="Verdana" w:cs="Times New Roman"/>
        </w:rPr>
      </w:pPr>
      <w:r>
        <w:rPr>
          <w:rFonts w:ascii="Verdana" w:eastAsia="Aptos" w:hAnsi="Verdana" w:cs="Times New Roman"/>
        </w:rPr>
        <w:t>Así las cosas</w:t>
      </w:r>
      <w:r w:rsidRPr="0013220C">
        <w:rPr>
          <w:rFonts w:ascii="Verdana" w:eastAsia="Aptos" w:hAnsi="Verdana" w:cs="Times New Roman"/>
        </w:rPr>
        <w:t xml:space="preserve">, desde la óptica de la Agencia, los problemas e inconsistencias que se presentaban en la versión anterior del documento tipo, respecto a los potenciales </w:t>
      </w:r>
      <w:r>
        <w:rPr>
          <w:rFonts w:ascii="Verdana" w:eastAsia="Aptos" w:hAnsi="Verdana" w:cs="Times New Roman"/>
        </w:rPr>
        <w:t>casos</w:t>
      </w:r>
      <w:r w:rsidRPr="0013220C">
        <w:rPr>
          <w:rFonts w:ascii="Verdana" w:eastAsia="Aptos" w:hAnsi="Verdana" w:cs="Times New Roman"/>
        </w:rPr>
        <w:t xml:space="preserve"> de manipulación de los resultados de los métodos de ponderación</w:t>
      </w:r>
      <w:r>
        <w:rPr>
          <w:rFonts w:ascii="Verdana" w:eastAsia="Aptos" w:hAnsi="Verdana" w:cs="Times New Roman"/>
        </w:rPr>
        <w:t>,</w:t>
      </w:r>
      <w:r w:rsidRPr="0013220C">
        <w:rPr>
          <w:rFonts w:ascii="Verdana" w:eastAsia="Aptos" w:hAnsi="Verdana" w:cs="Times New Roman"/>
        </w:rPr>
        <w:t xml:space="preserve"> se subsanaron al modificar la etapa del proceso de contratación que servirá de referencia para conocer la TRM con la cual se determinará el método para ponderar la experiencia de los proponentes</w:t>
      </w:r>
      <w:r>
        <w:rPr>
          <w:rFonts w:ascii="Verdana" w:eastAsia="Aptos" w:hAnsi="Verdana" w:cs="Times New Roman"/>
        </w:rPr>
        <w:t>. Esto dificultará que</w:t>
      </w:r>
      <w:r w:rsidRPr="0013220C">
        <w:rPr>
          <w:rFonts w:ascii="Verdana" w:eastAsia="Aptos" w:hAnsi="Verdana" w:cs="Times New Roman"/>
        </w:rPr>
        <w:t xml:space="preserve"> los proponentes</w:t>
      </w:r>
      <w:r>
        <w:rPr>
          <w:rFonts w:ascii="Verdana" w:eastAsia="Aptos" w:hAnsi="Verdana" w:cs="Times New Roman"/>
        </w:rPr>
        <w:t xml:space="preserve"> realicen </w:t>
      </w:r>
      <w:r w:rsidRPr="0013220C">
        <w:rPr>
          <w:rFonts w:ascii="Verdana" w:eastAsia="Aptos" w:hAnsi="Verdana" w:cs="Times New Roman"/>
        </w:rPr>
        <w:t>ajustes</w:t>
      </w:r>
      <w:r>
        <w:rPr>
          <w:rFonts w:ascii="Verdana" w:eastAsia="Aptos" w:hAnsi="Verdana" w:cs="Times New Roman"/>
        </w:rPr>
        <w:t>,</w:t>
      </w:r>
      <w:r w:rsidRPr="0013220C">
        <w:rPr>
          <w:rFonts w:ascii="Verdana" w:eastAsia="Aptos" w:hAnsi="Verdana" w:cs="Times New Roman"/>
        </w:rPr>
        <w:t xml:space="preserve"> modificaciones o subsanaciones, con posterioridad a conocer el método de ponderación con el cual se evaluarán las ofertas. </w:t>
      </w:r>
    </w:p>
    <w:p w14:paraId="2526BD41" w14:textId="77777777" w:rsidR="00800018" w:rsidRPr="0014328B" w:rsidRDefault="00800018" w:rsidP="00800018">
      <w:pPr>
        <w:spacing w:after="120" w:line="276" w:lineRule="auto"/>
        <w:ind w:firstLine="708"/>
        <w:jc w:val="both"/>
        <w:rPr>
          <w:rFonts w:ascii="Verdana" w:eastAsia="Aptos" w:hAnsi="Verdana" w:cs="Times New Roman"/>
        </w:rPr>
      </w:pPr>
      <w:r w:rsidRPr="0014328B">
        <w:rPr>
          <w:rFonts w:ascii="Verdana" w:eastAsia="Aptos" w:hAnsi="Verdana" w:cs="Times New Roman"/>
        </w:rPr>
        <w:t xml:space="preserve">Sin perjuicio de las explicaciones realizadas en este concepto, y considerando su petición, en la cual se expone algunas situaciones que eventualmente pueden incidir en la evaluación de la oferta, la Agencia Nacional de Contratación Pública – Colombia Compra Eficiente analizará, en el marco de futuras modificaciones del documento tipo de interventoría de obra pública de infraestructura de transporte – versión 3, lo planteado en su petición, con el fin de determinar qué otros mecanismos podrían incorporarse para evitar que </w:t>
      </w:r>
      <w:r>
        <w:rPr>
          <w:rFonts w:ascii="Verdana" w:eastAsia="Aptos" w:hAnsi="Verdana" w:cs="Times New Roman"/>
        </w:rPr>
        <w:t xml:space="preserve">eventualmente, </w:t>
      </w:r>
      <w:r w:rsidRPr="0014328B">
        <w:rPr>
          <w:rFonts w:ascii="Verdana" w:eastAsia="Aptos" w:hAnsi="Verdana" w:cs="Times New Roman"/>
        </w:rPr>
        <w:t xml:space="preserve">este tipo de situaciones afecten el desarrollo normal del proceso de selección. </w:t>
      </w:r>
      <w:r w:rsidRPr="00142FA9">
        <w:rPr>
          <w:rFonts w:ascii="Verdana" w:eastAsia="Aptos" w:hAnsi="Verdana" w:cs="Times New Roman"/>
        </w:rPr>
        <w:t>Por lo tanto, su solicitud hará parte de un repositorio de observaciones.</w:t>
      </w:r>
      <w:r>
        <w:rPr>
          <w:rFonts w:ascii="Verdana" w:eastAsia="Calibri" w:hAnsi="Verdana" w:cs="Arial"/>
          <w:color w:val="000000"/>
          <w:shd w:val="clear" w:color="auto" w:fill="FFFFFF"/>
        </w:rPr>
        <w:t xml:space="preserve"> </w:t>
      </w:r>
    </w:p>
    <w:p w14:paraId="5A371EA9" w14:textId="77777777" w:rsidR="00800018" w:rsidRPr="006A73B6" w:rsidRDefault="00800018" w:rsidP="00800018">
      <w:pPr>
        <w:spacing w:after="120" w:line="276" w:lineRule="auto"/>
        <w:ind w:firstLine="708"/>
        <w:jc w:val="both"/>
        <w:rPr>
          <w:rFonts w:ascii="Verdana" w:eastAsia="Times New Roman" w:hAnsi="Verdana" w:cs="Times New Roman"/>
          <w:color w:val="000000"/>
          <w:lang w:eastAsia="es-MX"/>
        </w:rPr>
      </w:pPr>
      <w:r w:rsidRPr="006A73B6">
        <w:rPr>
          <w:rFonts w:ascii="Verdana" w:eastAsia="Calibri" w:hAnsi="Verdana" w:cs="Times New Roman"/>
          <w:lang w:val="es-ES"/>
        </w:rPr>
        <w:t xml:space="preserve">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w:t>
      </w:r>
      <w:r w:rsidRPr="006A73B6">
        <w:rPr>
          <w:rFonts w:ascii="Verdana" w:eastAsia="Calibri" w:hAnsi="Verdana" w:cs="Times New Roman"/>
          <w:lang w:val="es-ES"/>
        </w:rPr>
        <w:lastRenderedPageBreak/>
        <w:t>situaciones particulares corresponde a los interesados adoptar la decisión correspondiente y, en caso de conflicto, a las autoridades judiciales, fiscales y disciplinarias</w:t>
      </w:r>
      <w:r w:rsidRPr="006A73B6">
        <w:rPr>
          <w:rFonts w:ascii="Verdana" w:eastAsia="Aptos" w:hAnsi="Verdana" w:cs="Arial"/>
          <w:color w:val="000000"/>
        </w:rPr>
        <w:t>.</w:t>
      </w:r>
    </w:p>
    <w:p w14:paraId="0FA00E24" w14:textId="77777777" w:rsidR="00800018" w:rsidRPr="006A73B6" w:rsidRDefault="00800018" w:rsidP="00800018">
      <w:pPr>
        <w:spacing w:after="0" w:line="276" w:lineRule="auto"/>
        <w:ind w:firstLine="708"/>
        <w:jc w:val="both"/>
        <w:rPr>
          <w:rFonts w:ascii="Century Gothic" w:eastAsia="Times New Roman" w:hAnsi="Century Gothic" w:cs="Times New Roman"/>
          <w:color w:val="000000"/>
          <w:lang w:eastAsia="es-MX"/>
        </w:rPr>
      </w:pPr>
      <w:r w:rsidRPr="006A73B6">
        <w:rPr>
          <w:rFonts w:ascii="Verdana" w:eastAsia="Calibri" w:hAnsi="Verdana" w:cs="Times New Roman"/>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A4B3F44" w14:textId="77777777" w:rsidR="00800018" w:rsidRPr="00B77EC4" w:rsidRDefault="00800018" w:rsidP="00800018">
      <w:pPr>
        <w:spacing w:after="0" w:line="276" w:lineRule="auto"/>
        <w:jc w:val="both"/>
        <w:rPr>
          <w:rFonts w:ascii="Verdana" w:eastAsia="Calibri" w:hAnsi="Verdana" w:cs="Arial"/>
        </w:rPr>
      </w:pPr>
    </w:p>
    <w:p w14:paraId="03C6D26C" w14:textId="77777777" w:rsidR="00800018" w:rsidRPr="00B77EC4" w:rsidRDefault="00800018" w:rsidP="00800018">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B77EC4">
        <w:rPr>
          <w:rFonts w:ascii="Verdana" w:eastAsia="Century Gothic" w:hAnsi="Verdana" w:cs="Century Gothic"/>
          <w:b/>
          <w:bCs/>
        </w:rPr>
        <w:t>Referencias normativas, jurisprudenciales y otras fuentes:</w:t>
      </w:r>
    </w:p>
    <w:p w14:paraId="7D832DFB" w14:textId="77777777" w:rsidR="00800018" w:rsidRPr="00B77EC4" w:rsidRDefault="00800018" w:rsidP="00800018">
      <w:pPr>
        <w:widowControl w:val="0"/>
        <w:autoSpaceDE w:val="0"/>
        <w:autoSpaceDN w:val="0"/>
        <w:spacing w:after="0" w:line="276" w:lineRule="auto"/>
        <w:jc w:val="both"/>
        <w:rPr>
          <w:rFonts w:ascii="Verdana" w:eastAsia="Calibri"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00018" w:rsidRPr="00B77EC4" w14:paraId="5EC17E79" w14:textId="77777777" w:rsidTr="007746B4">
        <w:trPr>
          <w:trHeight w:val="491"/>
        </w:trPr>
        <w:tc>
          <w:tcPr>
            <w:tcW w:w="8647" w:type="dxa"/>
          </w:tcPr>
          <w:p w14:paraId="2C87F198" w14:textId="77777777" w:rsidR="00800018" w:rsidRPr="00B77EC4" w:rsidRDefault="00800018" w:rsidP="00800018">
            <w:pPr>
              <w:widowControl w:val="0"/>
              <w:numPr>
                <w:ilvl w:val="0"/>
                <w:numId w:val="17"/>
              </w:numPr>
              <w:autoSpaceDE w:val="0"/>
              <w:autoSpaceDN w:val="0"/>
              <w:spacing w:after="120" w:line="276" w:lineRule="auto"/>
              <w:jc w:val="both"/>
              <w:rPr>
                <w:rFonts w:ascii="Verdana" w:eastAsia="Calibri" w:hAnsi="Verdana" w:cs="Arial"/>
              </w:rPr>
            </w:pPr>
            <w:r w:rsidRPr="00B77EC4">
              <w:rPr>
                <w:rFonts w:ascii="Verdana" w:eastAsia="Calibri" w:hAnsi="Verdana" w:cs="Arial"/>
              </w:rPr>
              <w:t>Ley 2022 de 2020</w:t>
            </w:r>
          </w:p>
          <w:p w14:paraId="764C0DFC" w14:textId="77777777" w:rsidR="00800018" w:rsidRPr="00B77EC4" w:rsidRDefault="00800018" w:rsidP="00800018">
            <w:pPr>
              <w:widowControl w:val="0"/>
              <w:numPr>
                <w:ilvl w:val="0"/>
                <w:numId w:val="17"/>
              </w:numPr>
              <w:autoSpaceDE w:val="0"/>
              <w:autoSpaceDN w:val="0"/>
              <w:spacing w:after="120" w:line="276" w:lineRule="auto"/>
              <w:jc w:val="both"/>
              <w:rPr>
                <w:rFonts w:ascii="Verdana" w:eastAsia="Calibri" w:hAnsi="Verdana" w:cs="Arial"/>
              </w:rPr>
            </w:pPr>
            <w:r w:rsidRPr="00B77EC4">
              <w:rPr>
                <w:rFonts w:ascii="Verdana" w:eastAsia="Aptos" w:hAnsi="Verdana" w:cs="Arial"/>
                <w:bCs/>
                <w:color w:val="000000"/>
                <w:lang w:eastAsia="es-MX"/>
              </w:rPr>
              <w:t xml:space="preserve">Documentos tipo expedidos por la Agencia Nacional de Contratación Pública – Colombia Compra Eficiente disponibles en el siguiente enlace: </w:t>
            </w:r>
            <w:hyperlink r:id="rId12" w:history="1">
              <w:r w:rsidRPr="00B77EC4">
                <w:rPr>
                  <w:rFonts w:ascii="Verdana" w:eastAsia="Aptos" w:hAnsi="Verdana" w:cs="Arial"/>
                  <w:bCs/>
                  <w:color w:val="0000FF"/>
                  <w:u w:val="single"/>
                  <w:lang w:eastAsia="es-MX"/>
                </w:rPr>
                <w:t>https://www.colombiacompra.gov.co/normativa-y-relatoria/documentos-tipo</w:t>
              </w:r>
            </w:hyperlink>
            <w:r w:rsidRPr="00B77EC4">
              <w:rPr>
                <w:rFonts w:ascii="Verdana" w:eastAsia="Aptos" w:hAnsi="Verdana" w:cs="Arial"/>
                <w:bCs/>
                <w:color w:val="000000"/>
                <w:lang w:eastAsia="es-MX"/>
              </w:rPr>
              <w:t xml:space="preserve"> </w:t>
            </w:r>
          </w:p>
        </w:tc>
      </w:tr>
    </w:tbl>
    <w:p w14:paraId="401DC073" w14:textId="77777777" w:rsidR="00800018" w:rsidRPr="00B77EC4" w:rsidRDefault="00800018" w:rsidP="00800018">
      <w:pPr>
        <w:widowControl w:val="0"/>
        <w:autoSpaceDE w:val="0"/>
        <w:autoSpaceDN w:val="0"/>
        <w:spacing w:after="0" w:line="276" w:lineRule="auto"/>
        <w:jc w:val="both"/>
        <w:rPr>
          <w:rFonts w:ascii="Verdana" w:eastAsia="Calibri" w:hAnsi="Verdana" w:cs="Arial"/>
        </w:rPr>
      </w:pPr>
    </w:p>
    <w:p w14:paraId="506CC31C" w14:textId="77777777" w:rsidR="00800018" w:rsidRPr="00B77EC4" w:rsidRDefault="00800018" w:rsidP="00800018">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B77EC4">
        <w:rPr>
          <w:rFonts w:ascii="Verdana" w:eastAsia="Century Gothic" w:hAnsi="Verdana" w:cs="Century Gothic"/>
          <w:b/>
          <w:bCs/>
        </w:rPr>
        <w:t>Doctrina de la Agencia Nacional de Contratación Pública:</w:t>
      </w:r>
    </w:p>
    <w:p w14:paraId="7785E003" w14:textId="77777777" w:rsidR="00800018" w:rsidRPr="00B77EC4" w:rsidRDefault="00800018" w:rsidP="00800018">
      <w:pPr>
        <w:widowControl w:val="0"/>
        <w:autoSpaceDE w:val="0"/>
        <w:autoSpaceDN w:val="0"/>
        <w:spacing w:after="0" w:line="276" w:lineRule="auto"/>
        <w:jc w:val="both"/>
        <w:rPr>
          <w:rFonts w:ascii="Verdana" w:eastAsia="Calibri" w:hAnsi="Verdana" w:cs="Arial"/>
        </w:rPr>
      </w:pPr>
    </w:p>
    <w:p w14:paraId="65EFC0EF" w14:textId="77777777" w:rsidR="00800018" w:rsidRPr="00B77EC4" w:rsidRDefault="00800018" w:rsidP="00800018">
      <w:pPr>
        <w:spacing w:after="0" w:line="240" w:lineRule="auto"/>
        <w:jc w:val="both"/>
        <w:rPr>
          <w:rFonts w:ascii="Verdana" w:eastAsia="Aptos" w:hAnsi="Verdana" w:cs="Arial"/>
          <w:shd w:val="clear" w:color="auto" w:fill="FFFFFF"/>
          <w:lang w:val="es-ES"/>
        </w:rPr>
      </w:pPr>
      <w:r w:rsidRPr="00B77EC4">
        <w:rPr>
          <w:rFonts w:ascii="Verdana" w:eastAsia="Aptos" w:hAnsi="Verdana" w:cs="Arial"/>
          <w:shd w:val="clear" w:color="auto" w:fill="FFFFFF"/>
          <w:lang w:val="es-ES"/>
        </w:rPr>
        <w:t xml:space="preserve">Esta Subdirección se ha pronunciado sobre la regla de </w:t>
      </w:r>
      <w:proofErr w:type="spellStart"/>
      <w:r w:rsidRPr="00B77EC4">
        <w:rPr>
          <w:rFonts w:ascii="Verdana" w:eastAsia="Aptos" w:hAnsi="Verdana" w:cs="Arial"/>
          <w:shd w:val="clear" w:color="auto" w:fill="FFFFFF"/>
          <w:lang w:val="es-ES"/>
        </w:rPr>
        <w:t>subsanabilidad</w:t>
      </w:r>
      <w:proofErr w:type="spellEnd"/>
      <w:r w:rsidRPr="00B77EC4">
        <w:rPr>
          <w:rFonts w:ascii="Verdana" w:eastAsia="Aptos" w:hAnsi="Verdana" w:cs="Arial"/>
          <w:shd w:val="clear" w:color="auto" w:fill="FFFFFF"/>
          <w:lang w:val="es-ES"/>
        </w:rPr>
        <w:t xml:space="preserve"> en los Conceptos C-218 del 2 de abril de 2020, C-229 del 16 de abril de 2020, C-307 del 21 de mayo de 2020, C-396 del 16 de julio de 2020, C-410 del 26 de junio de 2020, C-429 del 24 de julio de 2020, C-481 del 27 de julio de 2020, C-548 del 21 de agosto de 2020, C-633 del 2 de octubre de 2020, C-634 del 21 de octubre de 2020, C-675 del 25 de noviembre de 2020, C-802 del 1° de febrero de 2021, C-010 del 16 de febrero de 2021, C-083 del 18 de marzo de 2021, C-090 del 23 de marzo de 2021, C-152 del 12 de abril de 2021, C-207 del 10 de mayo de 2021, C-217 del 14 de mayo de 2021, C-250 del 2 de junio de 2021, C-311 del 10 de junio de 2021, C-409 del 13 de agosto de 2021, C-424 del 27 de septiembre de 2021, C-477 del 6 de septiembre de 2021, C-485 del 13 de octubre de 2021, C-498 del 14 de septiembre de 2021, C-501 del 16 de agosto de 2021, C-521 del 24 de septiembre de 2021, C-565 del 11 de octubre de 2021, C-691 del 28 de diciembre de 2021, C-716 del 23 de enero de 2022, C-728 del 26 de enero de 2022, C-753 del 6 de febrero de 2022, C-114 del 22 de marzo </w:t>
      </w:r>
      <w:r w:rsidRPr="00B77EC4">
        <w:rPr>
          <w:rFonts w:ascii="Verdana" w:eastAsia="Aptos" w:hAnsi="Verdana" w:cs="Arial"/>
          <w:shd w:val="clear" w:color="auto" w:fill="FFFFFF"/>
          <w:lang w:val="es-ES"/>
        </w:rPr>
        <w:lastRenderedPageBreak/>
        <w:t>de 2022, C-140 del 28 de marzo de 2022, C-162 del 5 de abril de 2022, C-285 del 20 de mayo de 2022, C-343 del 31 de mayo de 2022, C-381 del 15 de julio de 2022, C-416 del 30 de junio de 2022, C-431 del 7 de julio de 2022, C-434 del 8 de julio de 2022, C-542 del 23 de agosto de 2022, C-595 del 9 de septiembre de 2022, C-772 del 28 de noviembre de 2022, C-793 del 21 de noviembre de 2022, C-923 del 27 de diciembre de 2022, C-965 del 27 de enero de 2023, C-058 del 10 de mayo de 2023, C-082 del 19 de abril de 2023, C-216 del 6 de junio de 2023, C-304 del 4 de julio de 2023 y C-051 del 21 de marzo de 2025.</w:t>
      </w:r>
    </w:p>
    <w:p w14:paraId="39C9759A" w14:textId="77777777" w:rsidR="00800018" w:rsidRPr="00B77EC4" w:rsidRDefault="00800018" w:rsidP="00800018">
      <w:pPr>
        <w:spacing w:after="0" w:line="240" w:lineRule="auto"/>
        <w:jc w:val="both"/>
        <w:rPr>
          <w:rFonts w:ascii="Verdana" w:eastAsia="Aptos" w:hAnsi="Verdana" w:cs="Arial"/>
          <w:shd w:val="clear" w:color="auto" w:fill="FFFFFF"/>
          <w:lang w:val="es-ES"/>
        </w:rPr>
      </w:pPr>
    </w:p>
    <w:p w14:paraId="00B17A8D" w14:textId="77777777" w:rsidR="00800018" w:rsidRPr="00B77EC4" w:rsidRDefault="00800018" w:rsidP="00800018">
      <w:pPr>
        <w:spacing w:after="0" w:line="240" w:lineRule="auto"/>
        <w:jc w:val="both"/>
        <w:rPr>
          <w:rFonts w:ascii="Verdana" w:eastAsia="Calibri" w:hAnsi="Verdana" w:cs="Arial"/>
          <w:shd w:val="clear" w:color="auto" w:fill="FFFFFF"/>
          <w:lang w:val="es-ES_tradnl"/>
        </w:rPr>
      </w:pPr>
      <w:r w:rsidRPr="00B77EC4">
        <w:rPr>
          <w:rFonts w:ascii="Verdana" w:eastAsia="Calibri" w:hAnsi="Verdana" w:cs="Arial"/>
          <w:shd w:val="clear" w:color="auto" w:fill="FFFFFF"/>
          <w:lang w:val="es-ES_tradnl"/>
        </w:rPr>
        <w:t>Por otra parte, esta Agencia se pronunció en relación con los métodos de ponderación en particular, en los conceptos C-042 del 3 de marzo de 2021, C-174 del 26 de abril de 2021, C-402 y C-425 de 19 de agosto de 2021, C-209 del 02 de marzo de 2022, 20240322004912 del 22 de marzo de 2024, C-546 del 11 de octubre de 2024, C-555 del 25 de octubre de 2024, C-843 del 26 de diciembre de 2024</w:t>
      </w:r>
      <w:r>
        <w:rPr>
          <w:rFonts w:ascii="Verdana" w:eastAsia="Calibri" w:hAnsi="Verdana" w:cs="Arial"/>
          <w:shd w:val="clear" w:color="auto" w:fill="FFFFFF"/>
          <w:lang w:val="es-ES_tradnl"/>
        </w:rPr>
        <w:t xml:space="preserve">, </w:t>
      </w:r>
      <w:r w:rsidRPr="00B77EC4">
        <w:rPr>
          <w:rFonts w:ascii="Verdana" w:eastAsia="Calibri" w:hAnsi="Verdana" w:cs="Arial"/>
          <w:shd w:val="clear" w:color="auto" w:fill="FFFFFF"/>
          <w:lang w:val="es-ES_tradnl"/>
        </w:rPr>
        <w:t>C-164 del 20 de marzo de 2025</w:t>
      </w:r>
      <w:r>
        <w:rPr>
          <w:rFonts w:ascii="Verdana" w:eastAsia="Calibri" w:hAnsi="Verdana" w:cs="Arial"/>
          <w:shd w:val="clear" w:color="auto" w:fill="FFFFFF"/>
          <w:lang w:val="es-ES_tradnl"/>
        </w:rPr>
        <w:t>, C-488 del 3 de junio de 2025 y C-733 del 15 de julio de 2025</w:t>
      </w:r>
      <w:r w:rsidRPr="00B77EC4">
        <w:rPr>
          <w:rFonts w:ascii="Verdana" w:eastAsia="Calibri" w:hAnsi="Verdana" w:cs="Arial"/>
          <w:shd w:val="clear" w:color="auto" w:fill="FFFFFF"/>
          <w:lang w:val="es-ES_tradnl"/>
        </w:rPr>
        <w:t>.</w:t>
      </w:r>
    </w:p>
    <w:p w14:paraId="33B73263" w14:textId="77777777" w:rsidR="00800018" w:rsidRPr="00B77EC4" w:rsidRDefault="00800018" w:rsidP="00800018">
      <w:pPr>
        <w:spacing w:after="0" w:line="240" w:lineRule="auto"/>
        <w:jc w:val="both"/>
        <w:rPr>
          <w:rFonts w:ascii="Verdana" w:eastAsia="Aptos" w:hAnsi="Verdana" w:cs="Arial"/>
          <w:shd w:val="clear" w:color="auto" w:fill="FFFFFF"/>
          <w:lang w:val="es-ES"/>
        </w:rPr>
      </w:pPr>
    </w:p>
    <w:p w14:paraId="1614DE87" w14:textId="77777777" w:rsidR="00800018" w:rsidRPr="00B77EC4" w:rsidRDefault="00800018" w:rsidP="00800018">
      <w:pPr>
        <w:widowControl w:val="0"/>
        <w:autoSpaceDE w:val="0"/>
        <w:autoSpaceDN w:val="0"/>
        <w:spacing w:after="0" w:line="276" w:lineRule="auto"/>
        <w:jc w:val="both"/>
        <w:rPr>
          <w:rFonts w:ascii="Verdana" w:eastAsia="Times New Roman" w:hAnsi="Verdana" w:cs="Arial"/>
          <w:shd w:val="clear" w:color="auto" w:fill="FFFFFF"/>
          <w:lang w:val="es-ES"/>
        </w:rPr>
      </w:pPr>
      <w:r w:rsidRPr="00B77EC4">
        <w:rPr>
          <w:rFonts w:ascii="Verdana" w:eastAsia="Calibri" w:hAnsi="Verdana" w:cs="Arial"/>
          <w:color w:val="000000"/>
          <w:shd w:val="clear" w:color="auto" w:fill="FFFFFF"/>
        </w:rPr>
        <w:t>Este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B77EC4">
          <w:rPr>
            <w:rFonts w:ascii="Verdana" w:eastAsia="Aptos" w:hAnsi="Verdana" w:cs="Times New Roman"/>
            <w:color w:val="0000FF"/>
            <w:u w:val="single"/>
            <w:lang w:val="es-ES" w:eastAsia="es-ES"/>
          </w:rPr>
          <w:t>https://relatoria.colombiacompra.gov.co/</w:t>
        </w:r>
      </w:hyperlink>
      <w:r w:rsidRPr="00B77EC4">
        <w:rPr>
          <w:rFonts w:ascii="Verdana" w:eastAsia="Aptos" w:hAnsi="Verdana" w:cs="Times New Roman"/>
          <w:color w:val="0000FF"/>
          <w:u w:val="single"/>
          <w:lang w:val="es-ES" w:eastAsia="es-ES"/>
        </w:rPr>
        <w:t> .</w:t>
      </w:r>
    </w:p>
    <w:p w14:paraId="39A9A8DD" w14:textId="77777777" w:rsidR="00800018" w:rsidRPr="00B77EC4" w:rsidRDefault="00800018" w:rsidP="00800018">
      <w:pPr>
        <w:spacing w:after="0" w:line="240" w:lineRule="auto"/>
        <w:jc w:val="both"/>
        <w:rPr>
          <w:rFonts w:ascii="Verdana" w:eastAsia="Calibri" w:hAnsi="Verdana" w:cs="Arial"/>
          <w:shd w:val="clear" w:color="auto" w:fill="FFFFFF"/>
        </w:rPr>
      </w:pPr>
    </w:p>
    <w:p w14:paraId="3CBFF0E0" w14:textId="77777777" w:rsidR="00800018" w:rsidRPr="00B77EC4" w:rsidRDefault="00800018" w:rsidP="00800018">
      <w:pPr>
        <w:spacing w:after="0" w:line="240" w:lineRule="auto"/>
        <w:jc w:val="both"/>
        <w:rPr>
          <w:rFonts w:ascii="Verdana" w:eastAsia="Calibri" w:hAnsi="Verdana" w:cs="Times New Roman"/>
          <w:color w:val="000000"/>
        </w:rPr>
      </w:pPr>
      <w:r w:rsidRPr="00B77EC4">
        <w:rPr>
          <w:rFonts w:ascii="Verdana" w:eastAsia="Calibri" w:hAnsi="Verdana" w:cs="Times New Roman"/>
          <w:color w:val="000000"/>
        </w:rPr>
        <w:t>la Agencia Nacional de Contratación Pública – Colombia Compra Eficiente le informa, que ya se encuentra disponible la </w:t>
      </w:r>
      <w:r w:rsidRPr="00B77EC4">
        <w:rPr>
          <w:rFonts w:ascii="Verdana" w:eastAsia="Calibri" w:hAnsi="Verdana" w:cs="Times New Roman"/>
          <w:b/>
          <w:bCs/>
          <w:color w:val="000000"/>
        </w:rPr>
        <w:t>Guía de lineamientos de transparencia y selección objetiva para el departamento de La Guajira – Objetivo sexto constitucional de la Sentencia T-302 del 2017. </w:t>
      </w:r>
      <w:r w:rsidRPr="00B77EC4">
        <w:rPr>
          <w:rFonts w:ascii="Verdana" w:eastAsia="Calibri" w:hAnsi="Verdana" w:cs="Times New Roman"/>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B77EC4">
        <w:rPr>
          <w:rFonts w:ascii="Verdana" w:eastAsia="Calibri" w:hAnsi="Verdana" w:cs="Times New Roman"/>
          <w:color w:val="000000"/>
        </w:rPr>
        <w:t>Wayúu</w:t>
      </w:r>
      <w:proofErr w:type="spellEnd"/>
      <w:r w:rsidRPr="00B77EC4">
        <w:rPr>
          <w:rFonts w:ascii="Verdana" w:eastAsia="Calibri" w:hAnsi="Verdana" w:cs="Times New Roman"/>
          <w:color w:val="000000"/>
        </w:rPr>
        <w:t xml:space="preserve">. Puede consultar la guía en el </w:t>
      </w:r>
      <w:r w:rsidRPr="00B77EC4">
        <w:rPr>
          <w:rFonts w:ascii="Verdana" w:eastAsia="Calibri" w:hAnsi="Verdana" w:cs="Arial"/>
          <w:shd w:val="clear" w:color="auto" w:fill="FFFFFF"/>
          <w:lang w:val="es-ES_tradnl"/>
        </w:rPr>
        <w:t>siguiente enlace: </w:t>
      </w:r>
      <w:hyperlink r:id="rId14" w:tgtFrame="_blank" w:tooltip="https://nam02.safelinks.protection.outlook.com/?url=https%3A%2F%2Fwww.colombiacompra.gov.co%2Fwp-content%2Fuploads%2F2025%2F05%2FGUIA-DE-LINEAMIENTOS-DE-TRANSPARENCIA-Y-SELECCION-OBJETIVA-1.0.pdf&amp;data=05%7C02%7Ccarlos.castrillon%40colombiacompra.gov.co%7C7cfff" w:history="1">
        <w:r w:rsidRPr="00B77EC4">
          <w:rPr>
            <w:rFonts w:ascii="Verdana" w:eastAsia="Calibri" w:hAnsi="Verdana" w:cs="Times New Roman"/>
            <w:color w:val="0078D7"/>
            <w:u w:val="single"/>
          </w:rPr>
          <w:t>Guía de lineamientos de transparencia y selección objetiva para el departamento de La Guajira – Objetivo sexto constitucional de la Sentencia T-302 del 2017</w:t>
        </w:r>
      </w:hyperlink>
      <w:r w:rsidRPr="00B77EC4">
        <w:rPr>
          <w:rFonts w:ascii="Verdana" w:eastAsia="Calibri" w:hAnsi="Verdana" w:cs="Times New Roman"/>
          <w:color w:val="0078D7"/>
          <w:u w:val="single"/>
        </w:rPr>
        <w:t>"</w:t>
      </w:r>
    </w:p>
    <w:p w14:paraId="2A88A7A7" w14:textId="77777777" w:rsidR="00800018" w:rsidRPr="00B77EC4" w:rsidRDefault="00800018" w:rsidP="00800018">
      <w:pPr>
        <w:spacing w:after="0" w:line="240" w:lineRule="auto"/>
        <w:jc w:val="both"/>
        <w:rPr>
          <w:rFonts w:ascii="Verdana" w:eastAsia="Calibri" w:hAnsi="Verdana" w:cs="Arial"/>
          <w:shd w:val="clear" w:color="auto" w:fill="FFFFFF"/>
          <w:lang w:val="es-ES_tradnl"/>
        </w:rPr>
      </w:pPr>
    </w:p>
    <w:p w14:paraId="5794892F" w14:textId="77777777" w:rsidR="00800018" w:rsidRPr="00B77EC4" w:rsidRDefault="00800018" w:rsidP="00800018">
      <w:pPr>
        <w:spacing w:after="0" w:line="240" w:lineRule="auto"/>
        <w:jc w:val="both"/>
        <w:rPr>
          <w:rFonts w:ascii="Verdana" w:eastAsia="Calibri" w:hAnsi="Verdana" w:cs="Times New Roman"/>
        </w:rPr>
      </w:pPr>
      <w:r w:rsidRPr="00B77EC4">
        <w:rPr>
          <w:rFonts w:ascii="Verdana" w:eastAsia="Calibri" w:hAnsi="Verdana" w:cs="Arial"/>
          <w:shd w:val="clear" w:color="auto" w:fill="FFFFFF"/>
          <w:lang w:val="es-ES_tradnl"/>
        </w:rPr>
        <w:t>Aprovechamos la oportunidad de manifestar la entera disposición de la Agencia Nacional</w:t>
      </w:r>
      <w:r w:rsidRPr="00B77EC4">
        <w:rPr>
          <w:rFonts w:ascii="Verdana" w:eastAsia="Calibri" w:hAnsi="Verdana" w:cs="Times New Roman"/>
        </w:rPr>
        <w:t xml:space="preserve"> de Contratación Pública –Colombia Compra Eficiente– para atender las peticiones o solicitudes, así como para brindar el apoyo que se requiera en el marco de nuestras funciones a través de nuestros diferentes canales de atención: </w:t>
      </w:r>
    </w:p>
    <w:p w14:paraId="785FAFE8" w14:textId="77777777" w:rsidR="00800018" w:rsidRPr="00B77EC4" w:rsidRDefault="00800018" w:rsidP="00800018">
      <w:pPr>
        <w:spacing w:after="0" w:line="240" w:lineRule="auto"/>
        <w:jc w:val="both"/>
        <w:rPr>
          <w:rFonts w:ascii="Verdana" w:eastAsia="Calibri" w:hAnsi="Verdana" w:cs="Times New Roman"/>
        </w:rPr>
      </w:pPr>
    </w:p>
    <w:p w14:paraId="09EC3D56" w14:textId="77777777" w:rsidR="00800018" w:rsidRPr="00B77EC4" w:rsidRDefault="00800018" w:rsidP="00800018">
      <w:pPr>
        <w:numPr>
          <w:ilvl w:val="0"/>
          <w:numId w:val="15"/>
        </w:numPr>
        <w:spacing w:after="0" w:line="240" w:lineRule="auto"/>
        <w:contextualSpacing/>
        <w:jc w:val="both"/>
        <w:rPr>
          <w:rFonts w:ascii="Verdana" w:eastAsia="Calibri" w:hAnsi="Verdana" w:cs="Times New Roman"/>
        </w:rPr>
      </w:pPr>
      <w:r w:rsidRPr="00B77EC4">
        <w:rPr>
          <w:rFonts w:ascii="Verdana" w:eastAsia="Calibri" w:hAnsi="Verdana" w:cs="Times New Roman"/>
        </w:rPr>
        <w:t>Línea nacional gratuita o servicio a la ciudadanía: 01800 0520808</w:t>
      </w:r>
    </w:p>
    <w:p w14:paraId="46F9CEDA" w14:textId="77777777" w:rsidR="00800018" w:rsidRPr="00B77EC4" w:rsidRDefault="00800018" w:rsidP="00800018">
      <w:pPr>
        <w:numPr>
          <w:ilvl w:val="0"/>
          <w:numId w:val="15"/>
        </w:numPr>
        <w:spacing w:after="0" w:line="240" w:lineRule="auto"/>
        <w:contextualSpacing/>
        <w:jc w:val="both"/>
        <w:rPr>
          <w:rFonts w:ascii="Verdana" w:eastAsia="Calibri" w:hAnsi="Verdana" w:cs="Times New Roman"/>
        </w:rPr>
      </w:pPr>
      <w:r w:rsidRPr="00B77EC4">
        <w:rPr>
          <w:rFonts w:ascii="Verdana" w:eastAsia="Calibri" w:hAnsi="Verdana" w:cs="Times New Roman"/>
        </w:rPr>
        <w:t>Línea en Bogotá (Mesa de servicio): +57 601 7456788</w:t>
      </w:r>
    </w:p>
    <w:p w14:paraId="78816D63" w14:textId="77777777" w:rsidR="00800018" w:rsidRPr="00B77EC4" w:rsidRDefault="00800018" w:rsidP="00800018">
      <w:pPr>
        <w:numPr>
          <w:ilvl w:val="0"/>
          <w:numId w:val="15"/>
        </w:numPr>
        <w:spacing w:after="0" w:line="240" w:lineRule="auto"/>
        <w:contextualSpacing/>
        <w:jc w:val="both"/>
        <w:rPr>
          <w:rFonts w:ascii="Verdana" w:eastAsia="Calibri" w:hAnsi="Verdana" w:cs="Times New Roman"/>
        </w:rPr>
      </w:pPr>
      <w:r w:rsidRPr="00B77EC4">
        <w:rPr>
          <w:rFonts w:ascii="Verdana" w:eastAsia="Calibri" w:hAnsi="Verdana" w:cs="Times New Roman"/>
        </w:rPr>
        <w:t>Línea de servicio y atención al ciudadano: +57 601 7956600</w:t>
      </w:r>
    </w:p>
    <w:p w14:paraId="184E7A42" w14:textId="77777777" w:rsidR="00800018" w:rsidRPr="00B77EC4" w:rsidRDefault="00800018" w:rsidP="00800018">
      <w:pPr>
        <w:numPr>
          <w:ilvl w:val="0"/>
          <w:numId w:val="15"/>
        </w:numPr>
        <w:spacing w:after="0" w:line="240" w:lineRule="auto"/>
        <w:contextualSpacing/>
        <w:jc w:val="both"/>
        <w:rPr>
          <w:rFonts w:ascii="Verdana" w:eastAsia="Calibri" w:hAnsi="Verdana" w:cs="Times New Roman"/>
        </w:rPr>
      </w:pPr>
      <w:r w:rsidRPr="00B77EC4">
        <w:rPr>
          <w:rFonts w:ascii="Verdana" w:eastAsia="Calibri" w:hAnsi="Verdana" w:cs="Times New Roman"/>
        </w:rPr>
        <w:t xml:space="preserve">Página web: </w:t>
      </w:r>
      <w:hyperlink r:id="rId15" w:history="1">
        <w:r w:rsidRPr="00B77EC4">
          <w:rPr>
            <w:rFonts w:ascii="Verdana" w:eastAsia="Calibri" w:hAnsi="Verdana" w:cs="Times New Roman"/>
            <w:color w:val="0000FF"/>
            <w:u w:val="single"/>
          </w:rPr>
          <w:t>www.colombiacompra.gov.co</w:t>
        </w:r>
      </w:hyperlink>
    </w:p>
    <w:p w14:paraId="15B5033B" w14:textId="77777777" w:rsidR="00800018" w:rsidRPr="00B77EC4" w:rsidRDefault="00800018" w:rsidP="00800018">
      <w:pPr>
        <w:spacing w:after="0" w:line="240" w:lineRule="auto"/>
        <w:ind w:left="785"/>
        <w:contextualSpacing/>
        <w:jc w:val="both"/>
        <w:rPr>
          <w:rFonts w:ascii="Verdana" w:eastAsia="Calibri" w:hAnsi="Verdana" w:cs="Times New Roman"/>
        </w:rPr>
      </w:pPr>
    </w:p>
    <w:p w14:paraId="5C49AC53" w14:textId="77777777" w:rsidR="00800018" w:rsidRPr="00B77EC4" w:rsidRDefault="00800018" w:rsidP="00800018">
      <w:pPr>
        <w:spacing w:after="0" w:line="240" w:lineRule="auto"/>
        <w:jc w:val="both"/>
        <w:rPr>
          <w:rFonts w:ascii="Verdana" w:eastAsia="Calibri" w:hAnsi="Verdana" w:cs="Times New Roman"/>
        </w:rPr>
      </w:pPr>
      <w:r w:rsidRPr="00B77EC4">
        <w:rPr>
          <w:rFonts w:ascii="Verdana" w:eastAsia="Calibri" w:hAnsi="Verdana" w:cs="Times New Roman"/>
        </w:rPr>
        <w:t xml:space="preserve">Por último, lo invitamos a seguirnos en las redes sociales en las cuales se difunde información institucional: </w:t>
      </w:r>
    </w:p>
    <w:p w14:paraId="1164C758" w14:textId="77777777" w:rsidR="00800018" w:rsidRPr="00B77EC4" w:rsidRDefault="00800018" w:rsidP="00800018">
      <w:pPr>
        <w:spacing w:after="0" w:line="240" w:lineRule="auto"/>
        <w:jc w:val="both"/>
        <w:rPr>
          <w:rFonts w:ascii="Verdana" w:eastAsia="Calibri" w:hAnsi="Verdana" w:cs="Arial"/>
          <w:color w:val="000000"/>
          <w:shd w:val="clear" w:color="auto" w:fill="FFFFFF"/>
        </w:rPr>
      </w:pPr>
      <w:r w:rsidRPr="00B77EC4">
        <w:rPr>
          <w:rFonts w:ascii="Verdana" w:eastAsia="Calibri" w:hAnsi="Verdana" w:cs="Arial"/>
          <w:color w:val="000000"/>
          <w:shd w:val="clear" w:color="auto" w:fill="FFFFFF"/>
        </w:rPr>
        <w:t>  </w:t>
      </w:r>
    </w:p>
    <w:p w14:paraId="6240309E" w14:textId="77777777" w:rsidR="00800018" w:rsidRPr="00B77EC4" w:rsidRDefault="00800018" w:rsidP="00800018">
      <w:pPr>
        <w:spacing w:after="0" w:line="240" w:lineRule="auto"/>
        <w:jc w:val="both"/>
        <w:rPr>
          <w:rFonts w:ascii="Verdana" w:eastAsia="Calibri" w:hAnsi="Verdana" w:cs="Times New Roman"/>
        </w:rPr>
      </w:pPr>
      <w:r w:rsidRPr="00B77EC4">
        <w:rPr>
          <w:rFonts w:ascii="Verdana" w:eastAsia="Calibri" w:hAnsi="Verdana" w:cs="Times New Roman"/>
        </w:rPr>
        <w:t xml:space="preserve">Twitter: </w:t>
      </w:r>
      <w:r w:rsidRPr="00B77EC4">
        <w:rPr>
          <w:rFonts w:ascii="Verdana" w:eastAsia="Calibri" w:hAnsi="Verdana" w:cs="Times New Roman"/>
          <w:color w:val="4472C4"/>
          <w:u w:val="single"/>
        </w:rPr>
        <w:t>@colombiacompra</w:t>
      </w:r>
      <w:r w:rsidRPr="00B77EC4">
        <w:rPr>
          <w:rFonts w:ascii="Verdana" w:eastAsia="Calibri" w:hAnsi="Verdana" w:cs="Times New Roman"/>
          <w:color w:val="4472C4"/>
        </w:rPr>
        <w:t xml:space="preserve"> </w:t>
      </w:r>
    </w:p>
    <w:p w14:paraId="5395F956" w14:textId="77777777" w:rsidR="00800018" w:rsidRPr="00B77EC4" w:rsidRDefault="00800018" w:rsidP="00800018">
      <w:pPr>
        <w:spacing w:after="0" w:line="240" w:lineRule="auto"/>
        <w:jc w:val="both"/>
        <w:rPr>
          <w:rFonts w:ascii="Verdana" w:eastAsia="Calibri" w:hAnsi="Verdana" w:cs="Times New Roman"/>
        </w:rPr>
      </w:pPr>
      <w:r w:rsidRPr="00B77EC4">
        <w:rPr>
          <w:rFonts w:ascii="Verdana" w:eastAsia="Calibri" w:hAnsi="Verdana" w:cs="Times New Roman"/>
        </w:rPr>
        <w:t xml:space="preserve">Facebook: </w:t>
      </w:r>
      <w:proofErr w:type="spellStart"/>
      <w:r w:rsidRPr="00B77EC4">
        <w:rPr>
          <w:rFonts w:ascii="Verdana" w:eastAsia="Calibri" w:hAnsi="Verdana" w:cs="Times New Roman"/>
          <w:color w:val="4472C4"/>
          <w:u w:val="single"/>
        </w:rPr>
        <w:t>ColombiaCompraEficiente</w:t>
      </w:r>
      <w:proofErr w:type="spellEnd"/>
    </w:p>
    <w:p w14:paraId="3B8B2D36" w14:textId="77777777" w:rsidR="00800018" w:rsidRPr="00B77EC4" w:rsidRDefault="00800018" w:rsidP="00800018">
      <w:pPr>
        <w:spacing w:after="0" w:line="240" w:lineRule="auto"/>
        <w:jc w:val="both"/>
        <w:rPr>
          <w:rFonts w:ascii="Verdana" w:eastAsia="Calibri" w:hAnsi="Verdana" w:cs="Times New Roman"/>
        </w:rPr>
      </w:pPr>
      <w:r w:rsidRPr="00B77EC4">
        <w:rPr>
          <w:rFonts w:ascii="Verdana" w:eastAsia="Calibri" w:hAnsi="Verdana" w:cs="Times New Roman"/>
        </w:rPr>
        <w:t xml:space="preserve">LinkedIn: </w:t>
      </w:r>
      <w:r w:rsidRPr="00B77EC4">
        <w:rPr>
          <w:rFonts w:ascii="Verdana" w:eastAsia="Calibri" w:hAnsi="Verdana" w:cs="Times New Roman"/>
          <w:color w:val="4472C4"/>
          <w:u w:val="single"/>
        </w:rPr>
        <w:t>Agencia Nacional de Contratación Pública - Colombia Compra Eficiente</w:t>
      </w:r>
      <w:r w:rsidRPr="00B77EC4">
        <w:rPr>
          <w:rFonts w:ascii="Verdana" w:eastAsia="Calibri" w:hAnsi="Verdana" w:cs="Times New Roman"/>
          <w:color w:val="4472C4"/>
        </w:rPr>
        <w:t xml:space="preserve"> </w:t>
      </w:r>
      <w:r w:rsidRPr="00B77EC4">
        <w:rPr>
          <w:rFonts w:ascii="Verdana" w:eastAsia="Calibri" w:hAnsi="Verdana" w:cs="Times New Roman"/>
        </w:rPr>
        <w:t xml:space="preserve">Instagram: </w:t>
      </w:r>
      <w:r w:rsidRPr="00B77EC4">
        <w:rPr>
          <w:rFonts w:ascii="Verdana" w:eastAsia="Calibri" w:hAnsi="Verdana" w:cs="Times New Roman"/>
          <w:color w:val="4472C4"/>
          <w:u w:val="single"/>
        </w:rPr>
        <w:t>@colombiacompraeficiente_cce</w:t>
      </w:r>
    </w:p>
    <w:p w14:paraId="655249B4" w14:textId="77777777" w:rsidR="00800018" w:rsidRPr="00B77EC4" w:rsidRDefault="00800018" w:rsidP="00800018">
      <w:pPr>
        <w:widowControl w:val="0"/>
        <w:autoSpaceDE w:val="0"/>
        <w:autoSpaceDN w:val="0"/>
        <w:spacing w:after="0" w:line="276" w:lineRule="auto"/>
        <w:jc w:val="both"/>
        <w:rPr>
          <w:rFonts w:ascii="Verdana" w:eastAsia="Calibri" w:hAnsi="Verdana" w:cs="Arial"/>
        </w:rPr>
      </w:pPr>
    </w:p>
    <w:p w14:paraId="20E27D79" w14:textId="77777777" w:rsidR="00800018" w:rsidRPr="00B77EC4" w:rsidRDefault="00800018" w:rsidP="00800018">
      <w:pPr>
        <w:widowControl w:val="0"/>
        <w:autoSpaceDE w:val="0"/>
        <w:autoSpaceDN w:val="0"/>
        <w:spacing w:after="0" w:line="276" w:lineRule="auto"/>
        <w:jc w:val="both"/>
        <w:rPr>
          <w:rFonts w:ascii="Verdana" w:eastAsia="Calibri" w:hAnsi="Verdana" w:cs="Arial"/>
        </w:rPr>
      </w:pPr>
      <w:r w:rsidRPr="00B77EC4">
        <w:rPr>
          <w:rFonts w:ascii="Verdana" w:eastAsia="Calibri"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BF440D5" w14:textId="77777777" w:rsidR="00800018" w:rsidRPr="00B77EC4" w:rsidRDefault="00800018" w:rsidP="00800018">
      <w:pPr>
        <w:widowControl w:val="0"/>
        <w:autoSpaceDE w:val="0"/>
        <w:autoSpaceDN w:val="0"/>
        <w:spacing w:after="0" w:line="276" w:lineRule="auto"/>
        <w:jc w:val="both"/>
        <w:rPr>
          <w:rFonts w:ascii="Verdana" w:eastAsia="Calibri" w:hAnsi="Verdana" w:cs="Arial"/>
        </w:rPr>
      </w:pPr>
    </w:p>
    <w:p w14:paraId="5467F5DB" w14:textId="77777777" w:rsidR="00800018" w:rsidRPr="00B77EC4" w:rsidRDefault="00800018" w:rsidP="00800018">
      <w:pPr>
        <w:spacing w:after="0" w:line="240" w:lineRule="auto"/>
        <w:rPr>
          <w:rFonts w:ascii="Verdana" w:eastAsia="Calibri" w:hAnsi="Verdana" w:cs="Arial"/>
          <w:lang w:eastAsia="es-CO"/>
        </w:rPr>
      </w:pPr>
      <w:r w:rsidRPr="00B77EC4">
        <w:rPr>
          <w:rFonts w:ascii="Verdana" w:eastAsia="Times New Roman" w:hAnsi="Verdana" w:cs="Arial"/>
          <w:lang w:eastAsia="es-CO"/>
        </w:rPr>
        <w:t>Atentamente,</w:t>
      </w:r>
      <w:r w:rsidRPr="00B77EC4">
        <w:rPr>
          <w:rFonts w:ascii="Verdana" w:eastAsia="Calibri" w:hAnsi="Verdana" w:cs="Arial"/>
          <w:lang w:eastAsia="es-CO"/>
        </w:rPr>
        <w:t xml:space="preserve"> </w:t>
      </w:r>
    </w:p>
    <w:p w14:paraId="334FC187" w14:textId="049DD32D" w:rsidR="00800018" w:rsidRPr="00B77EC4" w:rsidRDefault="0047364C" w:rsidP="00800018">
      <w:pPr>
        <w:spacing w:line="276" w:lineRule="auto"/>
        <w:jc w:val="center"/>
        <w:rPr>
          <w:rFonts w:ascii="Verdana" w:eastAsia="Calibri" w:hAnsi="Verdana" w:cs="Arial"/>
          <w:color w:val="000000"/>
          <w:lang w:eastAsia="es-CO"/>
        </w:rPr>
      </w:pPr>
      <w:r w:rsidRPr="004D5C25">
        <w:rPr>
          <w:rFonts w:ascii="Century Gothic" w:hAnsi="Century Gothic"/>
          <w:noProof/>
        </w:rPr>
        <w:drawing>
          <wp:inline distT="0" distB="0" distL="0" distR="0" wp14:anchorId="35BB19F3" wp14:editId="65DF4662">
            <wp:extent cx="2724150" cy="1169492"/>
            <wp:effectExtent l="0" t="0" r="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2764331" cy="118674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00018" w:rsidRPr="00C30B31" w14:paraId="2FAA5608" w14:textId="77777777" w:rsidTr="007746B4">
        <w:trPr>
          <w:trHeight w:val="315"/>
        </w:trPr>
        <w:tc>
          <w:tcPr>
            <w:tcW w:w="893" w:type="dxa"/>
            <w:vAlign w:val="center"/>
            <w:hideMark/>
          </w:tcPr>
          <w:p w14:paraId="15C03242" w14:textId="77777777" w:rsidR="00800018" w:rsidRPr="00C30B31" w:rsidRDefault="00800018" w:rsidP="007746B4">
            <w:pPr>
              <w:contextualSpacing/>
              <w:rPr>
                <w:rFonts w:ascii="Verdana" w:eastAsia="Calibri" w:hAnsi="Verdana" w:cs="Arial"/>
                <w:sz w:val="16"/>
                <w:szCs w:val="16"/>
                <w:lang w:eastAsia="es-ES"/>
              </w:rPr>
            </w:pPr>
            <w:r w:rsidRPr="00C30B31">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0954DC21" w14:textId="77777777" w:rsidR="00800018" w:rsidRPr="00C30B31" w:rsidRDefault="00800018" w:rsidP="007746B4">
            <w:pPr>
              <w:contextualSpacing/>
              <w:rPr>
                <w:rFonts w:ascii="Verdana" w:eastAsia="Arial" w:hAnsi="Verdana" w:cs="Arial"/>
                <w:sz w:val="16"/>
                <w:szCs w:val="16"/>
              </w:rPr>
            </w:pPr>
            <w:r w:rsidRPr="00C30B31">
              <w:rPr>
                <w:rFonts w:ascii="Verdana" w:eastAsia="Arial" w:hAnsi="Verdana" w:cs="Arial"/>
                <w:sz w:val="16"/>
                <w:szCs w:val="16"/>
              </w:rPr>
              <w:t xml:space="preserve">Carlos Mario </w:t>
            </w:r>
            <w:proofErr w:type="spellStart"/>
            <w:r w:rsidRPr="00C30B31">
              <w:rPr>
                <w:rFonts w:ascii="Verdana" w:eastAsia="Arial" w:hAnsi="Verdana" w:cs="Arial"/>
                <w:sz w:val="16"/>
                <w:szCs w:val="16"/>
              </w:rPr>
              <w:t>Castrillon</w:t>
            </w:r>
            <w:proofErr w:type="spellEnd"/>
            <w:r w:rsidRPr="00C30B31">
              <w:rPr>
                <w:rFonts w:ascii="Verdana" w:eastAsia="Arial" w:hAnsi="Verdana" w:cs="Arial"/>
                <w:sz w:val="16"/>
                <w:szCs w:val="16"/>
              </w:rPr>
              <w:t xml:space="preserve"> Endo</w:t>
            </w:r>
          </w:p>
          <w:p w14:paraId="178DA2C6" w14:textId="77777777" w:rsidR="00800018" w:rsidRPr="00C30B31" w:rsidRDefault="00800018" w:rsidP="007746B4">
            <w:pPr>
              <w:contextualSpacing/>
              <w:rPr>
                <w:rFonts w:ascii="Verdana" w:eastAsia="Arial" w:hAnsi="Verdana" w:cs="Arial"/>
                <w:sz w:val="16"/>
                <w:szCs w:val="16"/>
              </w:rPr>
            </w:pPr>
            <w:r w:rsidRPr="00C30B31">
              <w:rPr>
                <w:rFonts w:ascii="Verdana" w:eastAsia="Arial" w:hAnsi="Verdana" w:cs="Arial"/>
                <w:sz w:val="16"/>
                <w:szCs w:val="16"/>
              </w:rPr>
              <w:t xml:space="preserve">Contratista de la Subdirección de Gestión Contractual </w:t>
            </w:r>
          </w:p>
        </w:tc>
      </w:tr>
      <w:tr w:rsidR="00800018" w:rsidRPr="00C30B31" w14:paraId="280203A4" w14:textId="77777777" w:rsidTr="007746B4">
        <w:trPr>
          <w:trHeight w:val="330"/>
        </w:trPr>
        <w:tc>
          <w:tcPr>
            <w:tcW w:w="893" w:type="dxa"/>
            <w:vAlign w:val="center"/>
            <w:hideMark/>
          </w:tcPr>
          <w:p w14:paraId="34B32B0D" w14:textId="77777777" w:rsidR="00800018" w:rsidRPr="00C30B31" w:rsidRDefault="00800018" w:rsidP="007746B4">
            <w:pPr>
              <w:contextualSpacing/>
              <w:rPr>
                <w:rFonts w:ascii="Verdana" w:eastAsia="Calibri" w:hAnsi="Verdana" w:cs="Arial"/>
                <w:sz w:val="16"/>
                <w:szCs w:val="16"/>
                <w:lang w:eastAsia="es-ES"/>
              </w:rPr>
            </w:pPr>
            <w:r w:rsidRPr="00C30B31">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588769C3" w14:textId="77777777" w:rsidR="00800018" w:rsidRPr="00C30B31" w:rsidRDefault="00800018" w:rsidP="007746B4">
            <w:pPr>
              <w:contextualSpacing/>
              <w:rPr>
                <w:rFonts w:ascii="Verdana" w:eastAsia="Arial" w:hAnsi="Verdana" w:cs="Arial"/>
                <w:sz w:val="16"/>
                <w:szCs w:val="16"/>
              </w:rPr>
            </w:pPr>
            <w:r w:rsidRPr="00C30B31">
              <w:rPr>
                <w:rFonts w:ascii="Verdana" w:eastAsia="Arial" w:hAnsi="Verdana" w:cs="Arial"/>
                <w:sz w:val="16"/>
                <w:szCs w:val="16"/>
              </w:rPr>
              <w:t xml:space="preserve">Alejandro Gamboa Cárdenas </w:t>
            </w:r>
          </w:p>
          <w:p w14:paraId="5DF14816" w14:textId="77777777" w:rsidR="00800018" w:rsidRPr="00C30B31" w:rsidRDefault="00800018" w:rsidP="007746B4">
            <w:pPr>
              <w:contextualSpacing/>
              <w:textAlignment w:val="baseline"/>
              <w:rPr>
                <w:rFonts w:ascii="Verdana" w:eastAsia="Arial" w:hAnsi="Verdana" w:cs="Arial"/>
                <w:sz w:val="16"/>
                <w:szCs w:val="16"/>
              </w:rPr>
            </w:pPr>
            <w:r w:rsidRPr="00C30B31">
              <w:rPr>
                <w:rFonts w:ascii="Verdana" w:eastAsia="Arial" w:hAnsi="Verdana" w:cs="Arial"/>
                <w:sz w:val="16"/>
                <w:szCs w:val="16"/>
              </w:rPr>
              <w:t>Contratista de la Subdirección de Gestión Contractual</w:t>
            </w:r>
          </w:p>
          <w:p w14:paraId="0C676390" w14:textId="77777777" w:rsidR="00800018" w:rsidRPr="00C30B31" w:rsidRDefault="00800018" w:rsidP="007746B4">
            <w:pPr>
              <w:contextualSpacing/>
              <w:textAlignment w:val="baseline"/>
              <w:rPr>
                <w:rFonts w:ascii="Verdana" w:eastAsia="Times New Roman" w:hAnsi="Verdana" w:cs="Segoe UI"/>
                <w:sz w:val="16"/>
                <w:szCs w:val="16"/>
                <w:lang w:eastAsia="es-ES_tradnl"/>
              </w:rPr>
            </w:pPr>
            <w:r w:rsidRPr="00C30B31">
              <w:rPr>
                <w:rFonts w:ascii="Verdana" w:eastAsia="Times New Roman" w:hAnsi="Verdana" w:cs="Segoe UI"/>
                <w:sz w:val="16"/>
                <w:szCs w:val="16"/>
                <w:lang w:eastAsia="es-ES_tradnl"/>
              </w:rPr>
              <w:t>Juan David Cárdenas Cabeza</w:t>
            </w:r>
          </w:p>
          <w:p w14:paraId="7563508B" w14:textId="77777777" w:rsidR="00800018" w:rsidRPr="00C30B31" w:rsidRDefault="00800018" w:rsidP="007746B4">
            <w:pPr>
              <w:contextualSpacing/>
              <w:textAlignment w:val="baseline"/>
              <w:rPr>
                <w:rFonts w:ascii="Verdana" w:eastAsia="Arial" w:hAnsi="Verdana" w:cs="Arial"/>
                <w:sz w:val="16"/>
                <w:szCs w:val="16"/>
              </w:rPr>
            </w:pPr>
            <w:r w:rsidRPr="00C30B31">
              <w:rPr>
                <w:rFonts w:ascii="Verdana" w:eastAsia="Arial" w:hAnsi="Verdana" w:cs="Arial"/>
                <w:sz w:val="16"/>
                <w:szCs w:val="16"/>
              </w:rPr>
              <w:t>Contratista de la Subdirección de Gestión Contractual</w:t>
            </w:r>
          </w:p>
          <w:p w14:paraId="7E15DE67" w14:textId="77777777" w:rsidR="00800018" w:rsidRPr="00C30B31" w:rsidRDefault="00800018" w:rsidP="007746B4">
            <w:pPr>
              <w:contextualSpacing/>
              <w:textAlignment w:val="baseline"/>
              <w:rPr>
                <w:rFonts w:ascii="Verdana" w:eastAsia="Times New Roman" w:hAnsi="Verdana" w:cs="Segoe UI"/>
                <w:sz w:val="16"/>
                <w:szCs w:val="16"/>
                <w:lang w:eastAsia="es-ES_tradnl"/>
              </w:rPr>
            </w:pPr>
          </w:p>
        </w:tc>
      </w:tr>
      <w:tr w:rsidR="00800018" w:rsidRPr="00C30B31" w14:paraId="589D5626" w14:textId="77777777" w:rsidTr="007746B4">
        <w:trPr>
          <w:trHeight w:val="300"/>
        </w:trPr>
        <w:tc>
          <w:tcPr>
            <w:tcW w:w="893" w:type="dxa"/>
            <w:vAlign w:val="center"/>
          </w:tcPr>
          <w:p w14:paraId="7052658B" w14:textId="77777777" w:rsidR="00800018" w:rsidRPr="00C30B31" w:rsidRDefault="00800018" w:rsidP="007746B4">
            <w:pPr>
              <w:contextualSpacing/>
              <w:rPr>
                <w:rFonts w:ascii="Verdana" w:eastAsia="Calibri" w:hAnsi="Verdana" w:cs="Arial"/>
                <w:sz w:val="16"/>
                <w:szCs w:val="16"/>
                <w:lang w:eastAsia="es-ES"/>
              </w:rPr>
            </w:pPr>
            <w:r w:rsidRPr="00C30B31">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240E83D4" w14:textId="77777777" w:rsidR="00800018" w:rsidRPr="00C30B31" w:rsidRDefault="00800018" w:rsidP="007746B4">
            <w:pPr>
              <w:contextualSpacing/>
              <w:rPr>
                <w:rFonts w:ascii="Verdana" w:eastAsia="Calibri" w:hAnsi="Verdana" w:cs="Arial"/>
                <w:sz w:val="16"/>
                <w:szCs w:val="16"/>
                <w:lang w:eastAsia="es-ES"/>
              </w:rPr>
            </w:pPr>
            <w:r w:rsidRPr="00C30B31">
              <w:rPr>
                <w:rFonts w:ascii="Verdana" w:eastAsia="Calibri" w:hAnsi="Verdana" w:cs="Arial"/>
                <w:sz w:val="16"/>
                <w:szCs w:val="16"/>
                <w:lang w:eastAsia="es-ES"/>
              </w:rPr>
              <w:t xml:space="preserve">Carolina Quintero </w:t>
            </w:r>
            <w:proofErr w:type="spellStart"/>
            <w:r w:rsidRPr="00C30B31">
              <w:rPr>
                <w:rFonts w:ascii="Verdana" w:eastAsia="Calibri" w:hAnsi="Verdana" w:cs="Arial"/>
                <w:sz w:val="16"/>
                <w:szCs w:val="16"/>
                <w:lang w:eastAsia="es-ES"/>
              </w:rPr>
              <w:t>Gacharná</w:t>
            </w:r>
            <w:proofErr w:type="spellEnd"/>
          </w:p>
          <w:p w14:paraId="5BE418EE" w14:textId="77777777" w:rsidR="00800018" w:rsidRPr="00C30B31" w:rsidRDefault="00800018" w:rsidP="007746B4">
            <w:pPr>
              <w:contextualSpacing/>
              <w:rPr>
                <w:rFonts w:ascii="Verdana" w:eastAsia="Calibri" w:hAnsi="Verdana" w:cs="Arial"/>
                <w:sz w:val="16"/>
                <w:szCs w:val="16"/>
                <w:lang w:eastAsia="es-ES"/>
              </w:rPr>
            </w:pPr>
            <w:r w:rsidRPr="00C30B31">
              <w:rPr>
                <w:rFonts w:ascii="Verdana" w:eastAsia="Calibri" w:hAnsi="Verdana" w:cs="Arial"/>
                <w:sz w:val="16"/>
                <w:szCs w:val="16"/>
                <w:lang w:eastAsia="es-ES"/>
              </w:rPr>
              <w:t>Subdirectora de Gestión Contractual ANCP – CCE</w:t>
            </w:r>
          </w:p>
        </w:tc>
      </w:tr>
    </w:tbl>
    <w:p w14:paraId="0F293BF4" w14:textId="61657084" w:rsidR="00127233" w:rsidRPr="0009677F" w:rsidRDefault="00127233" w:rsidP="0009677F"/>
    <w:sectPr w:rsidR="00127233" w:rsidRPr="0009677F"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A0F233" w14:textId="77777777" w:rsidR="009B25A8" w:rsidRDefault="009B25A8" w:rsidP="004A1847">
      <w:pPr>
        <w:spacing w:after="0" w:line="240" w:lineRule="auto"/>
      </w:pPr>
      <w:r>
        <w:separator/>
      </w:r>
    </w:p>
  </w:endnote>
  <w:endnote w:type="continuationSeparator" w:id="0">
    <w:p w14:paraId="42E43FDB" w14:textId="77777777" w:rsidR="009B25A8" w:rsidRDefault="009B25A8" w:rsidP="004A1847">
      <w:pPr>
        <w:spacing w:after="0" w:line="240" w:lineRule="auto"/>
      </w:pPr>
      <w:r>
        <w:continuationSeparator/>
      </w:r>
    </w:p>
  </w:endnote>
  <w:endnote w:type="continuationNotice" w:id="1">
    <w:p w14:paraId="37716BF3" w14:textId="77777777" w:rsidR="00042E39" w:rsidRDefault="00042E3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MT">
    <w:altName w:val="Arial"/>
    <w:panose1 w:val="00000000000000000000"/>
    <w:charset w:val="00"/>
    <w:family w:val="roman"/>
    <w:notTrueType/>
    <w:pitch w:val="default"/>
  </w:font>
  <w:font w:name="Vrinda">
    <w:panose1 w:val="00000400000000000000"/>
    <w:charset w:val="00"/>
    <w:family w:val="swiss"/>
    <w:pitch w:val="variable"/>
    <w:sig w:usb0="0001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Yu Mincho">
    <w:charset w:val="80"/>
    <w:family w:val="roman"/>
    <w:pitch w:val="variable"/>
    <w:sig w:usb0="800002E7" w:usb1="2AC7FCFF" w:usb2="00000012" w:usb3="00000000" w:csb0="0002009F" w:csb1="00000000"/>
  </w:font>
  <w:font w:name="BlinkMacSystemFon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85B0AC" w14:textId="77777777" w:rsidR="009B25A8" w:rsidRDefault="009B25A8" w:rsidP="004A1847">
      <w:pPr>
        <w:spacing w:after="0" w:line="240" w:lineRule="auto"/>
      </w:pPr>
      <w:r>
        <w:separator/>
      </w:r>
    </w:p>
  </w:footnote>
  <w:footnote w:type="continuationSeparator" w:id="0">
    <w:p w14:paraId="0480898D" w14:textId="77777777" w:rsidR="009B25A8" w:rsidRDefault="009B25A8" w:rsidP="004A1847">
      <w:pPr>
        <w:spacing w:after="0" w:line="240" w:lineRule="auto"/>
      </w:pPr>
      <w:r>
        <w:continuationSeparator/>
      </w:r>
    </w:p>
  </w:footnote>
  <w:footnote w:type="continuationNotice" w:id="1">
    <w:p w14:paraId="0863E7A5" w14:textId="77777777" w:rsidR="00042E39" w:rsidRDefault="00042E39">
      <w:pPr>
        <w:spacing w:after="0" w:line="240" w:lineRule="auto"/>
      </w:pPr>
    </w:p>
  </w:footnote>
  <w:footnote w:id="2">
    <w:p w14:paraId="4811ED31" w14:textId="77777777" w:rsidR="00800018" w:rsidRPr="0013220C" w:rsidRDefault="00800018" w:rsidP="00800018">
      <w:pPr>
        <w:pStyle w:val="Textonotapie"/>
        <w:ind w:firstLine="708"/>
        <w:jc w:val="both"/>
        <w:rPr>
          <w:rFonts w:ascii="Verdana" w:hAnsi="Verdana" w:cs="Arial"/>
          <w:sz w:val="19"/>
          <w:szCs w:val="19"/>
        </w:rPr>
      </w:pPr>
      <w:r w:rsidRPr="0013220C">
        <w:rPr>
          <w:rStyle w:val="Refdenotaalpie"/>
          <w:rFonts w:ascii="Verdana" w:hAnsi="Verdana" w:cs="Arial"/>
          <w:sz w:val="19"/>
          <w:szCs w:val="19"/>
        </w:rPr>
        <w:footnoteRef/>
      </w:r>
      <w:r w:rsidRPr="0013220C">
        <w:rPr>
          <w:rFonts w:ascii="Verdana" w:hAnsi="Verdana" w:cs="Arial"/>
          <w:sz w:val="19"/>
          <w:szCs w:val="19"/>
        </w:rPr>
        <w:t xml:space="preserve"> Circular Reglamentaria Externa – DOAM- 146 de 4 de noviembre de 2020, expedida por la junta directiva del Banco de la República de Colombia. </w:t>
      </w:r>
    </w:p>
    <w:p w14:paraId="72C55919" w14:textId="77777777" w:rsidR="00800018" w:rsidRPr="0013220C" w:rsidRDefault="00800018" w:rsidP="00800018">
      <w:pPr>
        <w:pStyle w:val="Textonotapie"/>
        <w:ind w:firstLine="708"/>
        <w:jc w:val="both"/>
        <w:rPr>
          <w:rFonts w:ascii="Verdana" w:hAnsi="Verdana" w:cs="Arial"/>
          <w:sz w:val="19"/>
          <w:szCs w:val="19"/>
        </w:rPr>
      </w:pPr>
    </w:p>
  </w:footnote>
  <w:footnote w:id="3">
    <w:p w14:paraId="17F80E4B" w14:textId="77777777" w:rsidR="00800018" w:rsidRPr="0013220C" w:rsidRDefault="00800018" w:rsidP="00800018">
      <w:pPr>
        <w:pStyle w:val="Textonotapie"/>
        <w:ind w:firstLine="708"/>
        <w:jc w:val="both"/>
        <w:rPr>
          <w:rFonts w:ascii="Verdana" w:hAnsi="Verdana" w:cs="Arial"/>
          <w:sz w:val="19"/>
          <w:szCs w:val="19"/>
        </w:rPr>
      </w:pPr>
      <w:r w:rsidRPr="0013220C">
        <w:rPr>
          <w:rStyle w:val="Refdenotaalpie"/>
          <w:rFonts w:ascii="Verdana" w:hAnsi="Verdana" w:cs="Arial"/>
          <w:sz w:val="19"/>
          <w:szCs w:val="19"/>
        </w:rPr>
        <w:footnoteRef/>
      </w:r>
      <w:r w:rsidRPr="0013220C">
        <w:rPr>
          <w:rFonts w:ascii="Verdana" w:hAnsi="Verdana" w:cs="Arial"/>
          <w:sz w:val="19"/>
          <w:szCs w:val="19"/>
        </w:rPr>
        <w:t xml:space="preserve"> </w:t>
      </w:r>
      <w:hyperlink r:id="rId1" w:history="1">
        <w:r w:rsidRPr="0013220C">
          <w:rPr>
            <w:rStyle w:val="Hipervnculo"/>
            <w:rFonts w:ascii="Verdana" w:hAnsi="Verdana" w:cs="Arial"/>
            <w:sz w:val="19"/>
            <w:szCs w:val="19"/>
          </w:rPr>
          <w:t>https://www.banrep.gov.co/es/estadisticas/trm</w:t>
        </w:r>
      </w:hyperlink>
      <w:r w:rsidRPr="0013220C">
        <w:rPr>
          <w:rFonts w:ascii="Verdana" w:hAnsi="Verdana" w:cs="Arial"/>
          <w:sz w:val="19"/>
          <w:szCs w:val="19"/>
        </w:rPr>
        <w:t xml:space="preserve"> </w:t>
      </w:r>
    </w:p>
  </w:footnote>
  <w:footnote w:id="4">
    <w:p w14:paraId="2249109D" w14:textId="77777777" w:rsidR="00800018" w:rsidRPr="002C57E8" w:rsidRDefault="00800018" w:rsidP="00800018">
      <w:pPr>
        <w:pStyle w:val="Textonotapie"/>
        <w:ind w:firstLine="708"/>
        <w:jc w:val="both"/>
        <w:rPr>
          <w:rFonts w:ascii="Verdana" w:hAnsi="Verdana"/>
          <w:sz w:val="19"/>
          <w:szCs w:val="19"/>
          <w:lang w:val="es-ES_tradnl"/>
        </w:rPr>
      </w:pPr>
      <w:r w:rsidRPr="002C57E8">
        <w:rPr>
          <w:rStyle w:val="Refdenotaalpie"/>
          <w:rFonts w:ascii="Verdana" w:hAnsi="Verdana"/>
          <w:sz w:val="19"/>
          <w:szCs w:val="19"/>
        </w:rPr>
        <w:footnoteRef/>
      </w:r>
      <w:r w:rsidRPr="002C57E8">
        <w:rPr>
          <w:rFonts w:ascii="Verdana" w:hAnsi="Verdana"/>
          <w:sz w:val="19"/>
          <w:szCs w:val="19"/>
        </w:rPr>
        <w:t xml:space="preserve"> De acuerdo con el documento “Informe global de participación ciudadana y grupos de interés frente al proyecto de Resolución “Por la cual se adopta la versión 3 de los Documentos Tipo para los procesos de selección de concurso de méritos para contratar la interventoría de obras públicas de infraestructura de transporte y se deroga la Resolución 326 de 2022”, los documento tipo fueron publicados para comentarios de ciudadnaos y grupos de interés entre el 24 de octubre de 2024 y el 10 de noviembre de ese año.  </w:t>
      </w:r>
    </w:p>
  </w:footnote>
  <w:footnote w:id="5">
    <w:p w14:paraId="680F27CE" w14:textId="77777777" w:rsidR="00800018" w:rsidRPr="0013220C" w:rsidRDefault="00800018" w:rsidP="00800018">
      <w:pPr>
        <w:pStyle w:val="Textonotapie"/>
        <w:ind w:firstLine="708"/>
        <w:jc w:val="both"/>
        <w:rPr>
          <w:rFonts w:ascii="Verdana" w:hAnsi="Verdana"/>
          <w:sz w:val="19"/>
          <w:szCs w:val="19"/>
          <w:lang w:val="es-CO"/>
        </w:rPr>
      </w:pPr>
      <w:r w:rsidRPr="0013220C">
        <w:rPr>
          <w:rStyle w:val="Refdenotaalpie"/>
          <w:rFonts w:ascii="Verdana" w:hAnsi="Verdana"/>
          <w:sz w:val="19"/>
          <w:szCs w:val="19"/>
          <w:lang w:val="es-CO"/>
        </w:rPr>
        <w:footnoteRef/>
      </w:r>
      <w:r w:rsidRPr="0013220C">
        <w:rPr>
          <w:rFonts w:ascii="Verdana" w:hAnsi="Verdana"/>
          <w:sz w:val="19"/>
          <w:szCs w:val="19"/>
          <w:lang w:val="es-CO"/>
        </w:rPr>
        <w:t xml:space="preserve"> Estos Documentos Tipo pueden ser consultados en la página web de Colombia Compra Eficiente, a través del siguiente enlace: </w:t>
      </w:r>
      <w:hyperlink r:id="rId2" w:history="1">
        <w:r w:rsidRPr="0013220C">
          <w:rPr>
            <w:rStyle w:val="Hipervnculo"/>
            <w:rFonts w:ascii="Verdana" w:hAnsi="Verdana"/>
            <w:sz w:val="19"/>
            <w:szCs w:val="19"/>
            <w:lang w:val="es-CO"/>
          </w:rPr>
          <w:t>https://www.colombiacompra.gov.co/documentos-tipo/documentos-tipo</w:t>
        </w:r>
      </w:hyperlink>
      <w:r w:rsidRPr="0013220C">
        <w:rPr>
          <w:rFonts w:ascii="Verdana" w:hAnsi="Verdana"/>
          <w:sz w:val="19"/>
          <w:szCs w:val="19"/>
          <w:lang w:val="es-CO"/>
        </w:rPr>
        <w:t xml:space="preserve"> </w:t>
      </w:r>
    </w:p>
  </w:footnote>
  <w:footnote w:id="6">
    <w:p w14:paraId="287702B2" w14:textId="77777777" w:rsidR="00800018" w:rsidRPr="0013220C" w:rsidRDefault="00800018" w:rsidP="00800018">
      <w:pPr>
        <w:spacing w:after="0" w:line="240" w:lineRule="auto"/>
        <w:jc w:val="both"/>
        <w:rPr>
          <w:rFonts w:ascii="Verdana" w:hAnsi="Verdana"/>
          <w:sz w:val="19"/>
          <w:szCs w:val="19"/>
        </w:rPr>
      </w:pPr>
    </w:p>
    <w:p w14:paraId="78AF3FFA" w14:textId="77777777" w:rsidR="00800018" w:rsidRPr="0013220C" w:rsidRDefault="00800018" w:rsidP="00800018">
      <w:pPr>
        <w:spacing w:after="0" w:line="240" w:lineRule="auto"/>
        <w:ind w:firstLine="708"/>
        <w:jc w:val="both"/>
        <w:rPr>
          <w:rFonts w:ascii="Verdana" w:eastAsia="Calibri" w:hAnsi="Verdana" w:cs="Arial"/>
          <w:bCs/>
          <w:sz w:val="19"/>
          <w:szCs w:val="19"/>
        </w:rPr>
      </w:pPr>
      <w:r w:rsidRPr="0013220C">
        <w:rPr>
          <w:rStyle w:val="Refdenotaalpie"/>
          <w:rFonts w:ascii="Verdana" w:hAnsi="Verdana"/>
          <w:sz w:val="19"/>
          <w:szCs w:val="19"/>
        </w:rPr>
        <w:footnoteRef/>
      </w:r>
      <w:r w:rsidRPr="0013220C">
        <w:rPr>
          <w:rFonts w:ascii="Verdana" w:hAnsi="Verdana"/>
          <w:sz w:val="19"/>
          <w:szCs w:val="19"/>
        </w:rPr>
        <w:t xml:space="preserve"> </w:t>
      </w:r>
      <w:r w:rsidRPr="0013220C">
        <w:rPr>
          <w:rFonts w:ascii="Verdana" w:eastAsia="Calibri" w:hAnsi="Verdana" w:cs="Arial"/>
          <w:bCs/>
          <w:sz w:val="19"/>
          <w:szCs w:val="19"/>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76364770" w14:textId="77777777" w:rsidR="00800018" w:rsidRPr="0013220C" w:rsidRDefault="00800018" w:rsidP="00800018">
      <w:pPr>
        <w:spacing w:after="0" w:line="240" w:lineRule="auto"/>
        <w:ind w:firstLine="708"/>
        <w:jc w:val="both"/>
        <w:rPr>
          <w:rFonts w:ascii="Verdana" w:eastAsia="Calibri" w:hAnsi="Verdana" w:cs="Arial"/>
          <w:bCs/>
          <w:sz w:val="19"/>
          <w:szCs w:val="19"/>
        </w:rPr>
      </w:pPr>
    </w:p>
    <w:p w14:paraId="1B5F8A00" w14:textId="77777777" w:rsidR="00800018" w:rsidRPr="0013220C" w:rsidRDefault="00800018" w:rsidP="00800018">
      <w:pPr>
        <w:spacing w:after="0" w:line="240" w:lineRule="auto"/>
        <w:ind w:firstLine="708"/>
        <w:jc w:val="both"/>
        <w:rPr>
          <w:rFonts w:ascii="Verdana" w:eastAsia="Calibri" w:hAnsi="Verdana" w:cs="Arial"/>
          <w:bCs/>
          <w:sz w:val="19"/>
          <w:szCs w:val="19"/>
        </w:rPr>
      </w:pPr>
      <w:r w:rsidRPr="0013220C">
        <w:rPr>
          <w:rFonts w:ascii="Verdana" w:eastAsia="Calibri" w:hAnsi="Verdana" w:cs="Arial"/>
          <w:bCs/>
          <w:sz w:val="19"/>
          <w:szCs w:val="19"/>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3B3DF4A6" w14:textId="77777777" w:rsidR="00800018" w:rsidRPr="0013220C" w:rsidRDefault="00800018" w:rsidP="00800018">
      <w:pPr>
        <w:spacing w:after="0" w:line="240" w:lineRule="auto"/>
        <w:jc w:val="both"/>
        <w:rPr>
          <w:rFonts w:ascii="Verdana" w:eastAsia="Calibri" w:hAnsi="Verdana" w:cs="Arial"/>
          <w:bCs/>
          <w:sz w:val="19"/>
          <w:szCs w:val="19"/>
        </w:rPr>
      </w:pPr>
    </w:p>
    <w:p w14:paraId="52DF4531" w14:textId="77777777" w:rsidR="00800018" w:rsidRPr="0013220C" w:rsidRDefault="00800018" w:rsidP="00800018">
      <w:pPr>
        <w:spacing w:after="0" w:line="240" w:lineRule="auto"/>
        <w:ind w:firstLine="708"/>
        <w:jc w:val="both"/>
        <w:rPr>
          <w:rFonts w:ascii="Verdana" w:eastAsia="Calibri" w:hAnsi="Verdana" w:cs="Arial"/>
          <w:bCs/>
          <w:sz w:val="19"/>
          <w:szCs w:val="19"/>
        </w:rPr>
      </w:pPr>
      <w:r w:rsidRPr="0013220C">
        <w:rPr>
          <w:rFonts w:ascii="Verdana" w:eastAsia="Calibri" w:hAnsi="Verdana" w:cs="Arial"/>
          <w:bCs/>
          <w:sz w:val="19"/>
          <w:szCs w:val="19"/>
        </w:rPr>
        <w:t xml:space="preserve">Resolución 464 del 10 de septiembre de 2024: “Por la cual se actualizan los documentos tipo para los procesos de obra pública de infraestructura de transporte adelantados bajo la modalidad de mínima cuantía”. </w:t>
      </w:r>
    </w:p>
    <w:p w14:paraId="5A6E4E2D" w14:textId="77777777" w:rsidR="00800018" w:rsidRPr="0013220C" w:rsidRDefault="00800018" w:rsidP="00800018">
      <w:pPr>
        <w:spacing w:after="0" w:line="240" w:lineRule="auto"/>
        <w:ind w:firstLine="708"/>
        <w:jc w:val="both"/>
        <w:rPr>
          <w:rFonts w:ascii="Verdana" w:eastAsia="Calibri" w:hAnsi="Verdana" w:cs="Arial"/>
          <w:bCs/>
          <w:sz w:val="19"/>
          <w:szCs w:val="19"/>
        </w:rPr>
      </w:pPr>
    </w:p>
    <w:p w14:paraId="54BA0B55" w14:textId="77777777" w:rsidR="00800018" w:rsidRPr="0013220C" w:rsidRDefault="00800018" w:rsidP="00800018">
      <w:pPr>
        <w:spacing w:after="0" w:line="240" w:lineRule="auto"/>
        <w:ind w:firstLine="708"/>
        <w:jc w:val="both"/>
        <w:rPr>
          <w:rFonts w:ascii="Verdana" w:eastAsia="Calibri" w:hAnsi="Verdana" w:cs="Arial"/>
          <w:bCs/>
          <w:sz w:val="19"/>
          <w:szCs w:val="19"/>
        </w:rPr>
      </w:pPr>
      <w:r w:rsidRPr="0013220C">
        <w:rPr>
          <w:rFonts w:ascii="Verdana" w:eastAsia="Calibri" w:hAnsi="Verdana" w:cs="Arial"/>
          <w:bCs/>
          <w:sz w:val="19"/>
          <w:szCs w:val="19"/>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0051A6CE" w14:textId="77777777" w:rsidR="00800018" w:rsidRPr="0013220C" w:rsidRDefault="00800018" w:rsidP="00800018">
      <w:pPr>
        <w:spacing w:after="0" w:line="240" w:lineRule="auto"/>
        <w:ind w:firstLine="708"/>
        <w:jc w:val="both"/>
        <w:rPr>
          <w:rFonts w:ascii="Verdana" w:eastAsia="Calibri" w:hAnsi="Verdana" w:cs="Arial"/>
          <w:bCs/>
          <w:sz w:val="19"/>
          <w:szCs w:val="19"/>
        </w:rPr>
      </w:pPr>
    </w:p>
    <w:p w14:paraId="5778E807" w14:textId="77777777" w:rsidR="00800018" w:rsidRPr="0013220C" w:rsidRDefault="00800018" w:rsidP="00800018">
      <w:pPr>
        <w:spacing w:after="0" w:line="240" w:lineRule="auto"/>
        <w:ind w:firstLine="708"/>
        <w:jc w:val="both"/>
        <w:rPr>
          <w:rFonts w:ascii="Verdana" w:eastAsia="Calibri" w:hAnsi="Verdana" w:cs="Arial"/>
          <w:bCs/>
          <w:sz w:val="19"/>
          <w:szCs w:val="19"/>
        </w:rPr>
      </w:pPr>
      <w:r w:rsidRPr="0013220C">
        <w:rPr>
          <w:rFonts w:ascii="Verdana" w:eastAsia="Calibri" w:hAnsi="Verdana" w:cs="Arial"/>
          <w:bCs/>
          <w:sz w:val="19"/>
          <w:szCs w:val="19"/>
        </w:rPr>
        <w:t>Resolución 456 del 10 de septiembre de 2024: “Por la cual se adopta la versión 4 de los documentos tipo para los procesos de selección de licitación de obra pública de infraestructura de transporte y se deroga la Resolución 240 de 2020”.</w:t>
      </w:r>
    </w:p>
    <w:p w14:paraId="546A416A" w14:textId="77777777" w:rsidR="00800018" w:rsidRPr="0013220C" w:rsidRDefault="00800018" w:rsidP="00800018">
      <w:pPr>
        <w:spacing w:after="0" w:line="240" w:lineRule="auto"/>
        <w:ind w:firstLine="708"/>
        <w:jc w:val="both"/>
        <w:rPr>
          <w:rFonts w:ascii="Verdana" w:eastAsia="Calibri" w:hAnsi="Verdana" w:cs="Arial"/>
          <w:bCs/>
          <w:sz w:val="19"/>
          <w:szCs w:val="19"/>
        </w:rPr>
      </w:pPr>
    </w:p>
    <w:p w14:paraId="0B5C64D0" w14:textId="77777777" w:rsidR="00800018" w:rsidRPr="0013220C" w:rsidRDefault="00800018" w:rsidP="00800018">
      <w:pPr>
        <w:pStyle w:val="Textonotapie"/>
        <w:rPr>
          <w:rFonts w:ascii="Verdana" w:hAnsi="Verdana"/>
          <w:sz w:val="19"/>
          <w:szCs w:val="19"/>
          <w:lang w:val="es-CO"/>
        </w:rPr>
      </w:pPr>
    </w:p>
  </w:footnote>
  <w:footnote w:id="7">
    <w:p w14:paraId="72944937" w14:textId="77777777" w:rsidR="00800018" w:rsidRPr="0013220C" w:rsidRDefault="00800018" w:rsidP="00800018">
      <w:pPr>
        <w:pStyle w:val="Textonotapie"/>
        <w:ind w:firstLine="708"/>
        <w:jc w:val="both"/>
        <w:rPr>
          <w:rFonts w:ascii="Verdana" w:hAnsi="Verdana" w:cs="Arial"/>
          <w:sz w:val="19"/>
          <w:szCs w:val="19"/>
        </w:rPr>
      </w:pPr>
      <w:r w:rsidRPr="0013220C">
        <w:rPr>
          <w:rStyle w:val="Refdenotaalpie"/>
          <w:rFonts w:ascii="Verdana" w:hAnsi="Verdana" w:cs="Arial"/>
          <w:sz w:val="19"/>
          <w:szCs w:val="19"/>
        </w:rPr>
        <w:footnoteRef/>
      </w:r>
      <w:r w:rsidRPr="0013220C">
        <w:rPr>
          <w:rFonts w:ascii="Verdana" w:hAnsi="Verdana" w:cs="Arial"/>
          <w:sz w:val="19"/>
          <w:szCs w:val="19"/>
        </w:rPr>
        <w:t xml:space="preserve"> Circular Reglamentaria Externa – DOAM- 146 de 4 de noviembre de 2020, expedida por la junta directiva del Banco de la República de Colombia. </w:t>
      </w:r>
    </w:p>
    <w:p w14:paraId="3DC9B206" w14:textId="77777777" w:rsidR="00800018" w:rsidRPr="0013220C" w:rsidRDefault="00800018" w:rsidP="00800018">
      <w:pPr>
        <w:pStyle w:val="Textonotapie"/>
        <w:ind w:firstLine="708"/>
        <w:jc w:val="both"/>
        <w:rPr>
          <w:rFonts w:ascii="Verdana" w:hAnsi="Verdana" w:cs="Arial"/>
          <w:sz w:val="19"/>
          <w:szCs w:val="19"/>
        </w:rPr>
      </w:pPr>
    </w:p>
  </w:footnote>
  <w:footnote w:id="8">
    <w:p w14:paraId="7DBF715C" w14:textId="77777777" w:rsidR="00800018" w:rsidRPr="0013220C" w:rsidRDefault="00800018" w:rsidP="00800018">
      <w:pPr>
        <w:pStyle w:val="Textonotapie"/>
        <w:ind w:firstLine="708"/>
        <w:jc w:val="both"/>
        <w:rPr>
          <w:rFonts w:ascii="Verdana" w:hAnsi="Verdana" w:cs="Arial"/>
          <w:sz w:val="19"/>
          <w:szCs w:val="19"/>
        </w:rPr>
      </w:pPr>
      <w:r w:rsidRPr="0013220C">
        <w:rPr>
          <w:rStyle w:val="Refdenotaalpie"/>
          <w:rFonts w:ascii="Verdana" w:hAnsi="Verdana" w:cs="Arial"/>
          <w:sz w:val="19"/>
          <w:szCs w:val="19"/>
        </w:rPr>
        <w:footnoteRef/>
      </w:r>
      <w:r w:rsidRPr="0013220C">
        <w:rPr>
          <w:rFonts w:ascii="Verdana" w:hAnsi="Verdana" w:cs="Arial"/>
          <w:sz w:val="19"/>
          <w:szCs w:val="19"/>
        </w:rPr>
        <w:t xml:space="preserve"> </w:t>
      </w:r>
      <w:hyperlink r:id="rId3" w:history="1">
        <w:r w:rsidRPr="0013220C">
          <w:rPr>
            <w:rStyle w:val="Hipervnculo"/>
            <w:rFonts w:ascii="Verdana" w:hAnsi="Verdana" w:cs="Arial"/>
            <w:sz w:val="19"/>
            <w:szCs w:val="19"/>
          </w:rPr>
          <w:t>https://www.banrep.gov.co/es/estadisticas/trm</w:t>
        </w:r>
      </w:hyperlink>
      <w:r w:rsidRPr="0013220C">
        <w:rPr>
          <w:rFonts w:ascii="Verdana" w:hAnsi="Verdana" w:cs="Arial"/>
          <w:sz w:val="19"/>
          <w:szCs w:val="19"/>
        </w:rPr>
        <w:t xml:space="preserve"> </w:t>
      </w:r>
    </w:p>
  </w:footnote>
  <w:footnote w:id="9">
    <w:p w14:paraId="346CC6D1" w14:textId="77777777" w:rsidR="00800018" w:rsidRPr="002C57E8" w:rsidRDefault="00800018" w:rsidP="00800018">
      <w:pPr>
        <w:pStyle w:val="Textonotapie"/>
        <w:ind w:firstLine="708"/>
        <w:jc w:val="both"/>
        <w:rPr>
          <w:rFonts w:ascii="Verdana" w:hAnsi="Verdana"/>
          <w:sz w:val="19"/>
          <w:szCs w:val="19"/>
          <w:lang w:val="es-ES_tradnl"/>
        </w:rPr>
      </w:pPr>
      <w:r w:rsidRPr="002C57E8">
        <w:rPr>
          <w:rStyle w:val="Refdenotaalpie"/>
          <w:rFonts w:ascii="Verdana" w:hAnsi="Verdana"/>
          <w:sz w:val="19"/>
          <w:szCs w:val="19"/>
        </w:rPr>
        <w:footnoteRef/>
      </w:r>
      <w:r w:rsidRPr="002C57E8">
        <w:rPr>
          <w:rFonts w:ascii="Verdana" w:hAnsi="Verdana"/>
          <w:sz w:val="19"/>
          <w:szCs w:val="19"/>
        </w:rPr>
        <w:t xml:space="preserve"> De acuerdo con el documento “Informe global de participación ciudadana y grupos de interés frente al proyecto de Resolución “Por la cual se adopta la versión 3 de los Documentos Tipo para los procesos de selección de concurso de méritos para contratar la interventoría de obras públicas de infraestructura de transporte y se deroga la Resolución 326 de 2022”, los documento tipo fueron publicados para comentarios de ciudadnaos y grupos de interés entre el 24 de octubre de 2024 y el 10 de noviembre de ese año.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578" w:hanging="360"/>
      </w:pPr>
      <w:rPr>
        <w:b/>
        <w:color w:val="000000" w:themeColor="text1"/>
      </w:rPr>
    </w:lvl>
    <w:lvl w:ilvl="1">
      <w:start w:val="2"/>
      <w:numFmt w:val="decimal"/>
      <w:isLgl/>
      <w:lvlText w:val="%1.%2"/>
      <w:lvlJc w:val="left"/>
      <w:pPr>
        <w:ind w:left="-938" w:hanging="360"/>
      </w:pPr>
    </w:lvl>
    <w:lvl w:ilvl="2">
      <w:start w:val="1"/>
      <w:numFmt w:val="decimal"/>
      <w:isLgl/>
      <w:lvlText w:val="%1.%2.%3"/>
      <w:lvlJc w:val="left"/>
      <w:pPr>
        <w:ind w:left="-218" w:hanging="720"/>
      </w:pPr>
    </w:lvl>
    <w:lvl w:ilvl="3">
      <w:start w:val="1"/>
      <w:numFmt w:val="decimal"/>
      <w:isLgl/>
      <w:lvlText w:val="%1.%2.%3.%4"/>
      <w:lvlJc w:val="left"/>
      <w:pPr>
        <w:ind w:left="-218" w:hanging="720"/>
      </w:pPr>
    </w:lvl>
    <w:lvl w:ilvl="4">
      <w:start w:val="1"/>
      <w:numFmt w:val="decimal"/>
      <w:isLgl/>
      <w:lvlText w:val="%1.%2.%3.%4.%5"/>
      <w:lvlJc w:val="left"/>
      <w:pPr>
        <w:ind w:left="142" w:hanging="1080"/>
      </w:pPr>
    </w:lvl>
    <w:lvl w:ilvl="5">
      <w:start w:val="1"/>
      <w:numFmt w:val="decimal"/>
      <w:isLgl/>
      <w:lvlText w:val="%1.%2.%3.%4.%5.%6"/>
      <w:lvlJc w:val="left"/>
      <w:pPr>
        <w:ind w:left="142" w:hanging="1080"/>
      </w:pPr>
    </w:lvl>
    <w:lvl w:ilvl="6">
      <w:start w:val="1"/>
      <w:numFmt w:val="decimal"/>
      <w:isLgl/>
      <w:lvlText w:val="%1.%2.%3.%4.%5.%6.%7"/>
      <w:lvlJc w:val="left"/>
      <w:pPr>
        <w:ind w:left="502" w:hanging="1440"/>
      </w:pPr>
    </w:lvl>
    <w:lvl w:ilvl="7">
      <w:start w:val="1"/>
      <w:numFmt w:val="decimal"/>
      <w:isLgl/>
      <w:lvlText w:val="%1.%2.%3.%4.%5.%6.%7.%8"/>
      <w:lvlJc w:val="left"/>
      <w:pPr>
        <w:ind w:left="502" w:hanging="1440"/>
      </w:pPr>
    </w:lvl>
    <w:lvl w:ilvl="8">
      <w:start w:val="1"/>
      <w:numFmt w:val="decimal"/>
      <w:isLgl/>
      <w:lvlText w:val="%1.%2.%3.%4.%5.%6.%7.%8.%9"/>
      <w:lvlJc w:val="left"/>
      <w:pPr>
        <w:ind w:left="862"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29316E0"/>
    <w:multiLevelType w:val="hybridMultilevel"/>
    <w:tmpl w:val="A28C5D42"/>
    <w:lvl w:ilvl="0" w:tplc="240A0015">
      <w:start w:val="3"/>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679089576">
    <w:abstractNumId w:val="10"/>
  </w:num>
  <w:num w:numId="18" w16cid:durableId="20126422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716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2E39"/>
    <w:rsid w:val="00046945"/>
    <w:rsid w:val="00061B2A"/>
    <w:rsid w:val="00082362"/>
    <w:rsid w:val="0009677F"/>
    <w:rsid w:val="000A683E"/>
    <w:rsid w:val="000B19B9"/>
    <w:rsid w:val="000D0334"/>
    <w:rsid w:val="000E4046"/>
    <w:rsid w:val="000F6486"/>
    <w:rsid w:val="00125105"/>
    <w:rsid w:val="00127233"/>
    <w:rsid w:val="001D0BE8"/>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53A46"/>
    <w:rsid w:val="00374F5E"/>
    <w:rsid w:val="00377E3E"/>
    <w:rsid w:val="003A779E"/>
    <w:rsid w:val="003D0F4D"/>
    <w:rsid w:val="003D5B0D"/>
    <w:rsid w:val="003E0499"/>
    <w:rsid w:val="003F3941"/>
    <w:rsid w:val="00406575"/>
    <w:rsid w:val="00414C74"/>
    <w:rsid w:val="0042722E"/>
    <w:rsid w:val="0044528D"/>
    <w:rsid w:val="00472B2B"/>
    <w:rsid w:val="0047364C"/>
    <w:rsid w:val="004A1847"/>
    <w:rsid w:val="004A305D"/>
    <w:rsid w:val="004F21C4"/>
    <w:rsid w:val="004F685F"/>
    <w:rsid w:val="005566E8"/>
    <w:rsid w:val="00557590"/>
    <w:rsid w:val="00574867"/>
    <w:rsid w:val="00591460"/>
    <w:rsid w:val="005C27F6"/>
    <w:rsid w:val="005C3777"/>
    <w:rsid w:val="005C5CDC"/>
    <w:rsid w:val="005D37AA"/>
    <w:rsid w:val="005D476C"/>
    <w:rsid w:val="006219F8"/>
    <w:rsid w:val="00622948"/>
    <w:rsid w:val="006302F7"/>
    <w:rsid w:val="00665D70"/>
    <w:rsid w:val="006900D9"/>
    <w:rsid w:val="006A760C"/>
    <w:rsid w:val="006F704C"/>
    <w:rsid w:val="00706C16"/>
    <w:rsid w:val="00715D9D"/>
    <w:rsid w:val="00756841"/>
    <w:rsid w:val="007649AB"/>
    <w:rsid w:val="00771D0C"/>
    <w:rsid w:val="007833AC"/>
    <w:rsid w:val="007B268C"/>
    <w:rsid w:val="007B7171"/>
    <w:rsid w:val="007C0C0F"/>
    <w:rsid w:val="007C3DC2"/>
    <w:rsid w:val="007E5497"/>
    <w:rsid w:val="00800018"/>
    <w:rsid w:val="00806F5F"/>
    <w:rsid w:val="00820278"/>
    <w:rsid w:val="00867F95"/>
    <w:rsid w:val="008843B6"/>
    <w:rsid w:val="00891928"/>
    <w:rsid w:val="00897A3A"/>
    <w:rsid w:val="008A446D"/>
    <w:rsid w:val="008D180B"/>
    <w:rsid w:val="008E3C0D"/>
    <w:rsid w:val="008F0EA7"/>
    <w:rsid w:val="008F7417"/>
    <w:rsid w:val="00921664"/>
    <w:rsid w:val="00923EEF"/>
    <w:rsid w:val="00924808"/>
    <w:rsid w:val="009419F9"/>
    <w:rsid w:val="0095685E"/>
    <w:rsid w:val="00961B09"/>
    <w:rsid w:val="00965334"/>
    <w:rsid w:val="0097093E"/>
    <w:rsid w:val="009A0DFA"/>
    <w:rsid w:val="009B25A8"/>
    <w:rsid w:val="009B2D26"/>
    <w:rsid w:val="009C71FA"/>
    <w:rsid w:val="009C72E7"/>
    <w:rsid w:val="009D3058"/>
    <w:rsid w:val="009E1CA1"/>
    <w:rsid w:val="009F325B"/>
    <w:rsid w:val="009F3A13"/>
    <w:rsid w:val="00A122D3"/>
    <w:rsid w:val="00A17F13"/>
    <w:rsid w:val="00A20739"/>
    <w:rsid w:val="00A33C78"/>
    <w:rsid w:val="00A70E2D"/>
    <w:rsid w:val="00A77DD6"/>
    <w:rsid w:val="00AB0ADB"/>
    <w:rsid w:val="00B00C0E"/>
    <w:rsid w:val="00B01B1A"/>
    <w:rsid w:val="00B44A47"/>
    <w:rsid w:val="00B72CD3"/>
    <w:rsid w:val="00B72FFF"/>
    <w:rsid w:val="00B73C15"/>
    <w:rsid w:val="00BC3D36"/>
    <w:rsid w:val="00BD7F72"/>
    <w:rsid w:val="00C04FB3"/>
    <w:rsid w:val="00C330EB"/>
    <w:rsid w:val="00C754BE"/>
    <w:rsid w:val="00C76B1C"/>
    <w:rsid w:val="00CB6357"/>
    <w:rsid w:val="00CC1B26"/>
    <w:rsid w:val="00D423A2"/>
    <w:rsid w:val="00D520D8"/>
    <w:rsid w:val="00D63AC2"/>
    <w:rsid w:val="00D64E31"/>
    <w:rsid w:val="00D7383B"/>
    <w:rsid w:val="00DA231B"/>
    <w:rsid w:val="00DC39FC"/>
    <w:rsid w:val="00DF5254"/>
    <w:rsid w:val="00E16408"/>
    <w:rsid w:val="00E20894"/>
    <w:rsid w:val="00E245AB"/>
    <w:rsid w:val="00E2764C"/>
    <w:rsid w:val="00E27F2E"/>
    <w:rsid w:val="00E50AFE"/>
    <w:rsid w:val="00E60B23"/>
    <w:rsid w:val="00E75C92"/>
    <w:rsid w:val="00E771DC"/>
    <w:rsid w:val="00E8772A"/>
    <w:rsid w:val="00E90F6B"/>
    <w:rsid w:val="00E92C27"/>
    <w:rsid w:val="00EA0E3D"/>
    <w:rsid w:val="00EC38A7"/>
    <w:rsid w:val="00ED41E8"/>
    <w:rsid w:val="00EE1AA8"/>
    <w:rsid w:val="00F31EDC"/>
    <w:rsid w:val="00F462B3"/>
    <w:rsid w:val="00F5664F"/>
    <w:rsid w:val="00F666C4"/>
    <w:rsid w:val="00F76AFC"/>
    <w:rsid w:val="00FA47C0"/>
    <w:rsid w:val="00FB5DD1"/>
    <w:rsid w:val="00FC2B5D"/>
    <w:rsid w:val="00FF1449"/>
    <w:rsid w:val="1A970C3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169"/>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00018"/>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normativa-y-relatoria/documentos-tip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superfinanciera.gov.co/publicacion/60819" TargetMode="External"/><Relationship Id="rId5" Type="http://schemas.openxmlformats.org/officeDocument/2006/relationships/styles" Target="styles.xml"/><Relationship Id="rId15" Type="http://schemas.openxmlformats.org/officeDocument/2006/relationships/hyperlink" Target="http://www.colombiacompra.gov.co"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banrep.gov.co/es/estadisticas/trm" TargetMode="External"/><Relationship Id="rId2" Type="http://schemas.openxmlformats.org/officeDocument/2006/relationships/hyperlink" Target="https://www.colombiacompra.gov.co/documentos-tipo/documentos-tipo" TargetMode="External"/><Relationship Id="rId1" Type="http://schemas.openxmlformats.org/officeDocument/2006/relationships/hyperlink" Target="https://www.banrep.gov.co/es/estadisticas/tr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infopath/2007/PartnerControls"/>
    <ds:schemaRef ds:uri="http://schemas.microsoft.com/office/2006/documentManagement/types"/>
    <ds:schemaRef ds:uri="http://schemas.microsoft.com/office/2006/metadata/properties"/>
    <ds:schemaRef ds:uri="http://purl.org/dc/elements/1.1/"/>
    <ds:schemaRef ds:uri="9d85dbaf-23eb-4e57-a637-93dcacc8b1a1"/>
    <ds:schemaRef ds:uri="http://schemas.openxmlformats.org/package/2006/metadata/core-properties"/>
    <ds:schemaRef ds:uri="http://purl.org/dc/terms/"/>
    <ds:schemaRef ds:uri="a6cb9e4b-f1d1-4245-83ec-6cad768d538a"/>
    <ds:schemaRef ds:uri="http://www.w3.org/XML/1998/namespace"/>
    <ds:schemaRef ds:uri="http://purl.org/dc/dcmitype/"/>
  </ds:schemaRefs>
</ds:datastoreItem>
</file>

<file path=customXml/itemProps3.xml><?xml version="1.0" encoding="utf-8"?>
<ds:datastoreItem xmlns:ds="http://schemas.openxmlformats.org/officeDocument/2006/customXml" ds:itemID="{0B0FB1E3-A482-44F3-8E03-7E255BA65D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21</Pages>
  <Words>7978</Words>
  <Characters>41727</Characters>
  <Application>Microsoft Office Word</Application>
  <DocSecurity>0</DocSecurity>
  <Lines>802</Lines>
  <Paragraphs>151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2025-10-28T20:50:00Z</dcterms:created>
  <dcterms:modified xsi:type="dcterms:W3CDTF">2025-10-28T20:50:00Z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