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C1B08" w14:textId="77777777" w:rsidR="00FF67F0" w:rsidRPr="00FF67F0" w:rsidRDefault="00FF67F0" w:rsidP="00FF67F0">
      <w:pPr>
        <w:spacing w:after="0" w:line="240" w:lineRule="auto"/>
        <w:jc w:val="both"/>
        <w:rPr>
          <w:rFonts w:ascii="Verdana" w:hAnsi="Verdana"/>
          <w:b/>
          <w:bCs/>
          <w:sz w:val="20"/>
          <w:szCs w:val="20"/>
          <w:lang w:val="es-ES"/>
        </w:rPr>
      </w:pPr>
    </w:p>
    <w:p w14:paraId="57B5FA2A" w14:textId="77777777" w:rsidR="00FF67F0" w:rsidRPr="00FF67F0" w:rsidRDefault="00FF67F0" w:rsidP="00FF67F0">
      <w:pPr>
        <w:spacing w:after="0" w:line="240" w:lineRule="auto"/>
        <w:jc w:val="both"/>
        <w:rPr>
          <w:rFonts w:ascii="Verdana" w:hAnsi="Verdana"/>
          <w:b/>
          <w:sz w:val="20"/>
          <w:szCs w:val="20"/>
        </w:rPr>
      </w:pPr>
      <w:r w:rsidRPr="00FF67F0">
        <w:rPr>
          <w:rFonts w:ascii="Verdana" w:hAnsi="Verdana"/>
          <w:b/>
          <w:sz w:val="20"/>
          <w:szCs w:val="20"/>
        </w:rPr>
        <w:t>EQUILIBRIO ECONÓMICO – Contrato estatal – Fundamento</w:t>
      </w:r>
    </w:p>
    <w:p w14:paraId="7B4B0B8D" w14:textId="77777777" w:rsidR="00FF67F0" w:rsidRPr="00FF67F0" w:rsidRDefault="00FF67F0" w:rsidP="00FF67F0">
      <w:pPr>
        <w:spacing w:after="0" w:line="240" w:lineRule="auto"/>
        <w:jc w:val="both"/>
        <w:rPr>
          <w:rFonts w:ascii="Verdana" w:hAnsi="Verdana"/>
          <w:bCs/>
          <w:sz w:val="20"/>
          <w:szCs w:val="20"/>
        </w:rPr>
      </w:pPr>
    </w:p>
    <w:p w14:paraId="09070874" w14:textId="77777777" w:rsidR="00FF67F0" w:rsidRPr="00FF67F0" w:rsidRDefault="00FF67F0" w:rsidP="00FF67F0">
      <w:pPr>
        <w:spacing w:after="0" w:line="240" w:lineRule="auto"/>
        <w:jc w:val="both"/>
        <w:rPr>
          <w:rFonts w:ascii="Verdana" w:eastAsia="Calibri" w:hAnsi="Verdana" w:cs="Arial"/>
          <w:sz w:val="20"/>
          <w:szCs w:val="20"/>
          <w:shd w:val="clear" w:color="auto" w:fill="FFFFFF"/>
          <w:lang w:val="es-ES"/>
        </w:rPr>
      </w:pPr>
      <w:r w:rsidRPr="00FF67F0">
        <w:rPr>
          <w:rFonts w:ascii="Verdana" w:eastAsia="Calibri" w:hAnsi="Verdana" w:cs="Arial"/>
          <w:sz w:val="20"/>
          <w:szCs w:val="20"/>
          <w:shd w:val="clear" w:color="auto" w:fill="FFFFFF"/>
          <w:lang w:val="es-ES"/>
        </w:rPr>
        <w:t xml:space="preserve">De conformidad con el artículo 3 de la Ley 80 de 1993 la celebración y ejecución de los contratos estatales 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 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 </w:t>
      </w:r>
    </w:p>
    <w:p w14:paraId="6DDBF0BA" w14:textId="77777777" w:rsidR="00FF67F0" w:rsidRPr="00FF67F0" w:rsidRDefault="00FF67F0" w:rsidP="00FF67F0">
      <w:pPr>
        <w:spacing w:after="0" w:line="240" w:lineRule="auto"/>
        <w:jc w:val="both"/>
        <w:rPr>
          <w:rFonts w:ascii="Verdana" w:eastAsia="Calibri" w:hAnsi="Verdana" w:cs="Arial"/>
          <w:sz w:val="20"/>
          <w:szCs w:val="20"/>
          <w:shd w:val="clear" w:color="auto" w:fill="FFFFFF"/>
          <w:lang w:val="es-ES"/>
        </w:rPr>
      </w:pPr>
    </w:p>
    <w:p w14:paraId="29AEFE51" w14:textId="77777777" w:rsidR="00FF67F0" w:rsidRPr="00FF67F0" w:rsidRDefault="00FF67F0" w:rsidP="00FF67F0">
      <w:pPr>
        <w:spacing w:after="0" w:line="240" w:lineRule="auto"/>
        <w:jc w:val="both"/>
        <w:rPr>
          <w:rFonts w:ascii="Verdana" w:eastAsia="Arial MT" w:hAnsi="Verdana" w:cs="Arial"/>
          <w:sz w:val="20"/>
          <w:szCs w:val="20"/>
          <w:lang w:eastAsia="es-ES" w:bidi="es-ES"/>
        </w:rPr>
      </w:pPr>
      <w:r w:rsidRPr="00FF67F0">
        <w:rPr>
          <w:rFonts w:ascii="Verdana" w:eastAsia="Calibri" w:hAnsi="Verdana" w:cs="Arial"/>
          <w:sz w:val="20"/>
          <w:szCs w:val="20"/>
          <w:shd w:val="clear" w:color="auto" w:fill="FFFFFF"/>
          <w:lang w:val="es-ES"/>
        </w:rPr>
        <w:t>De esta manera, los contratos estatales se deben pactar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w:t>
      </w:r>
    </w:p>
    <w:p w14:paraId="395F2EBC" w14:textId="77777777" w:rsidR="00FF67F0" w:rsidRPr="00FF67F0" w:rsidRDefault="00FF67F0" w:rsidP="00FF67F0">
      <w:pPr>
        <w:spacing w:after="0" w:line="240" w:lineRule="auto"/>
        <w:jc w:val="both"/>
        <w:rPr>
          <w:rFonts w:ascii="Verdana" w:hAnsi="Verdana"/>
          <w:bCs/>
          <w:sz w:val="20"/>
          <w:szCs w:val="20"/>
        </w:rPr>
      </w:pPr>
    </w:p>
    <w:p w14:paraId="1390BCD0" w14:textId="77777777" w:rsidR="00FF67F0" w:rsidRPr="00FF67F0" w:rsidRDefault="00FF67F0" w:rsidP="00FF67F0">
      <w:pPr>
        <w:spacing w:after="0" w:line="240" w:lineRule="auto"/>
        <w:jc w:val="both"/>
        <w:rPr>
          <w:rFonts w:ascii="Verdana" w:hAnsi="Verdana"/>
          <w:b/>
          <w:sz w:val="20"/>
          <w:szCs w:val="20"/>
        </w:rPr>
      </w:pPr>
      <w:r w:rsidRPr="00FF67F0">
        <w:rPr>
          <w:rFonts w:ascii="Verdana" w:hAnsi="Verdana"/>
          <w:b/>
          <w:sz w:val="20"/>
          <w:szCs w:val="20"/>
        </w:rPr>
        <w:t>EQUILIBRIO ECONÓMICO – Contrato estatal – Concepto</w:t>
      </w:r>
    </w:p>
    <w:p w14:paraId="32A83B39" w14:textId="77777777" w:rsidR="00FF67F0" w:rsidRPr="00FF67F0" w:rsidRDefault="00FF67F0" w:rsidP="00FF67F0">
      <w:pPr>
        <w:spacing w:after="0" w:line="240" w:lineRule="auto"/>
        <w:jc w:val="both"/>
        <w:rPr>
          <w:rFonts w:ascii="Verdana" w:hAnsi="Verdana"/>
          <w:bCs/>
          <w:sz w:val="20"/>
          <w:szCs w:val="20"/>
        </w:rPr>
      </w:pPr>
    </w:p>
    <w:p w14:paraId="7AF4D45E" w14:textId="77777777" w:rsidR="00FF67F0" w:rsidRPr="00FF67F0" w:rsidRDefault="00FF67F0" w:rsidP="00FF67F0">
      <w:pPr>
        <w:spacing w:after="0" w:line="240" w:lineRule="auto"/>
        <w:jc w:val="both"/>
        <w:rPr>
          <w:rFonts w:ascii="Verdana" w:hAnsi="Verdana"/>
          <w:b/>
          <w:bCs/>
          <w:sz w:val="20"/>
          <w:szCs w:val="20"/>
        </w:rPr>
      </w:pPr>
      <w:r w:rsidRPr="00FF67F0">
        <w:rPr>
          <w:rFonts w:ascii="Verdana" w:eastAsia="Arial MT" w:hAnsi="Verdana" w:cs="Arial"/>
          <w:sz w:val="20"/>
          <w:szCs w:val="20"/>
          <w:lang w:eastAsia="es-ES" w:bidi="es-ES"/>
        </w:rPr>
        <w:t>Sobre el principio del equilibrio financiero del contrato, el Consejo de Estado ha señalado que consiste «en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 En concordancia, la doctrina ha indicado que con este principio, también denominado «el de la honesta equivalencia de prestaciones», se privilegia el carácter conmutativo o sinalagmático que, por regla general, tiene el contrato estatal, «lo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p>
    <w:p w14:paraId="1D84121C" w14:textId="77777777" w:rsidR="00FF67F0" w:rsidRPr="00FF67F0" w:rsidRDefault="00FF67F0" w:rsidP="00FF67F0">
      <w:pPr>
        <w:spacing w:after="0" w:line="240" w:lineRule="auto"/>
        <w:jc w:val="both"/>
        <w:rPr>
          <w:rFonts w:ascii="Verdana" w:hAnsi="Verdana"/>
          <w:b/>
          <w:bCs/>
          <w:sz w:val="20"/>
          <w:szCs w:val="20"/>
        </w:rPr>
      </w:pPr>
    </w:p>
    <w:p w14:paraId="6EB78EAA" w14:textId="77777777" w:rsidR="00FF67F0" w:rsidRPr="00FF67F0" w:rsidRDefault="00FF67F0" w:rsidP="00FF67F0">
      <w:pPr>
        <w:spacing w:after="0" w:line="240" w:lineRule="auto"/>
        <w:jc w:val="both"/>
        <w:rPr>
          <w:rFonts w:ascii="Verdana" w:hAnsi="Verdana"/>
          <w:b/>
          <w:bCs/>
          <w:sz w:val="20"/>
          <w:szCs w:val="20"/>
        </w:rPr>
      </w:pPr>
      <w:r w:rsidRPr="00FF67F0">
        <w:rPr>
          <w:rFonts w:ascii="Verdana" w:hAnsi="Verdana"/>
          <w:b/>
          <w:bCs/>
          <w:sz w:val="20"/>
          <w:szCs w:val="20"/>
        </w:rPr>
        <w:t>EQUILIBRIO ECONÓMICO – Contrato estatal – Restablecimiento – Procedencia – Requisitos</w:t>
      </w:r>
    </w:p>
    <w:p w14:paraId="12E90F70" w14:textId="77777777" w:rsidR="00FF67F0" w:rsidRPr="00FF67F0" w:rsidRDefault="00FF67F0" w:rsidP="00FF67F0">
      <w:pPr>
        <w:spacing w:after="0" w:line="240" w:lineRule="auto"/>
        <w:jc w:val="both"/>
        <w:rPr>
          <w:rFonts w:ascii="Verdana" w:hAnsi="Verdana"/>
          <w:b/>
          <w:bCs/>
          <w:sz w:val="20"/>
          <w:szCs w:val="20"/>
        </w:rPr>
      </w:pPr>
    </w:p>
    <w:p w14:paraId="120202F3" w14:textId="77777777" w:rsidR="00FF67F0" w:rsidRPr="00FF67F0" w:rsidRDefault="00FF67F0" w:rsidP="00FF67F0">
      <w:pPr>
        <w:spacing w:after="0" w:line="240" w:lineRule="auto"/>
        <w:jc w:val="both"/>
        <w:rPr>
          <w:rFonts w:ascii="Verdana" w:hAnsi="Verdana"/>
          <w:sz w:val="20"/>
          <w:szCs w:val="20"/>
        </w:rPr>
      </w:pPr>
      <w:r w:rsidRPr="00FF67F0">
        <w:rPr>
          <w:rFonts w:ascii="Verdana" w:hAnsi="Verdana"/>
          <w:sz w:val="20"/>
          <w:szCs w:val="20"/>
          <w:lang w:bidi="es-ES"/>
        </w:rPr>
        <w:t xml:space="preserve">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w:t>
      </w:r>
      <w:r w:rsidRPr="00FF67F0">
        <w:rPr>
          <w:rFonts w:ascii="Verdana" w:hAnsi="Verdana"/>
          <w:sz w:val="20"/>
          <w:szCs w:val="20"/>
          <w:lang w:bidi="es-ES"/>
        </w:rPr>
        <w:lastRenderedPageBreak/>
        <w:t xml:space="preserve">partes contractuales. Además, es necesario que las reclamaciones para el restablecimiento se realicen en la oportunidad debida, de manera que </w:t>
      </w:r>
      <w:r w:rsidRPr="00FF67F0">
        <w:rPr>
          <w:rFonts w:ascii="Verdana" w:hAnsi="Verdana"/>
          <w:sz w:val="20"/>
          <w:szCs w:val="20"/>
        </w:rPr>
        <w:t xml:space="preserve">si las solicitudes, o salvedades </w:t>
      </w:r>
      <w:r w:rsidRPr="00FF67F0">
        <w:rPr>
          <w:rFonts w:ascii="Verdana" w:hAnsi="Verdana"/>
          <w:sz w:val="20"/>
          <w:szCs w:val="20"/>
          <w:lang w:val="es-MX"/>
        </w:rPr>
        <w:t>«</w:t>
      </w:r>
      <w:r w:rsidRPr="00FF67F0">
        <w:rPr>
          <w:rFonts w:ascii="Verdana" w:hAnsi="Verdana"/>
          <w:sz w:val="20"/>
          <w:szCs w:val="20"/>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sidRPr="00FF67F0">
        <w:rPr>
          <w:rFonts w:ascii="Verdana" w:hAnsi="Verdana"/>
          <w:sz w:val="20"/>
          <w:szCs w:val="20"/>
          <w:lang w:val="es-MX"/>
        </w:rPr>
        <w:t xml:space="preserve">». </w:t>
      </w:r>
    </w:p>
    <w:p w14:paraId="7237CDC9" w14:textId="77777777" w:rsidR="00FF67F0" w:rsidRPr="00FF67F0" w:rsidRDefault="00FF67F0" w:rsidP="00FF67F0">
      <w:pPr>
        <w:spacing w:after="0" w:line="240" w:lineRule="auto"/>
        <w:jc w:val="both"/>
        <w:rPr>
          <w:rFonts w:ascii="Verdana" w:hAnsi="Verdana"/>
          <w:sz w:val="20"/>
          <w:szCs w:val="20"/>
          <w:lang w:bidi="es-ES"/>
        </w:rPr>
      </w:pPr>
    </w:p>
    <w:p w14:paraId="61DE89FC" w14:textId="77777777" w:rsidR="00FF67F0" w:rsidRPr="00FF67F0" w:rsidRDefault="00FF67F0" w:rsidP="00FF67F0">
      <w:pPr>
        <w:spacing w:after="0" w:line="240" w:lineRule="auto"/>
        <w:jc w:val="both"/>
        <w:rPr>
          <w:rFonts w:ascii="Verdana" w:hAnsi="Verdana"/>
          <w:sz w:val="20"/>
          <w:szCs w:val="20"/>
          <w:lang w:bidi="es-ES"/>
        </w:rPr>
      </w:pPr>
      <w:r w:rsidRPr="00FF67F0">
        <w:rPr>
          <w:rFonts w:ascii="Verdana" w:hAnsi="Verdana"/>
          <w:sz w:val="20"/>
          <w:szCs w:val="20"/>
          <w:lang w:bidi="es-ES"/>
        </w:rPr>
        <w:t xml:space="preserve">De este modo, conforme a esta postura del Consejo de Estado no basta 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31606D07" w14:textId="77777777" w:rsidR="00FF67F0" w:rsidRPr="00FF67F0" w:rsidRDefault="00FF67F0" w:rsidP="00FF67F0">
      <w:pPr>
        <w:spacing w:after="0" w:line="240" w:lineRule="auto"/>
        <w:jc w:val="both"/>
        <w:rPr>
          <w:rFonts w:ascii="Verdana" w:hAnsi="Verdana"/>
          <w:sz w:val="20"/>
          <w:szCs w:val="20"/>
        </w:rPr>
      </w:pPr>
    </w:p>
    <w:p w14:paraId="5B436F45" w14:textId="77777777" w:rsidR="00FF67F0" w:rsidRPr="00FF67F0" w:rsidRDefault="00FF67F0" w:rsidP="00FF67F0">
      <w:pPr>
        <w:spacing w:after="0" w:line="240" w:lineRule="auto"/>
        <w:jc w:val="both"/>
        <w:rPr>
          <w:rFonts w:ascii="Verdana" w:hAnsi="Verdana"/>
          <w:sz w:val="20"/>
          <w:szCs w:val="20"/>
        </w:rPr>
      </w:pPr>
      <w:r w:rsidRPr="00FF67F0">
        <w:rPr>
          <w:rFonts w:ascii="Verdana" w:hAnsi="Verdana"/>
          <w:sz w:val="20"/>
          <w:szCs w:val="20"/>
          <w:lang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FF67F0">
        <w:rPr>
          <w:rFonts w:ascii="Verdana" w:hAnsi="Verdana"/>
          <w:sz w:val="20"/>
          <w:szCs w:val="20"/>
        </w:rPr>
        <w:t xml:space="preserve"> cada caso el contenido del respectivo acuerdo y de sus antecedentes, para determinar el alcance de los otrosíes o de las actas de suspensión correspondientes.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sidRPr="00FF67F0">
        <w:rPr>
          <w:rFonts w:ascii="Verdana" w:hAnsi="Verdana"/>
          <w:sz w:val="20"/>
          <w:szCs w:val="20"/>
          <w:lang w:val="es-MX"/>
        </w:rPr>
        <w:t>«</w:t>
      </w:r>
      <w:r w:rsidRPr="00FF67F0">
        <w:rPr>
          <w:rFonts w:ascii="Verdana" w:hAnsi="Verdana"/>
          <w:sz w:val="20"/>
          <w:szCs w:val="20"/>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 de tales situaciones, haya concurrido a suscribirlo, sin dejar alguna manifestación sobre la insuficiencia de ese acuerdo para satisfacer sus reclamaciones</w:t>
      </w:r>
      <w:r w:rsidRPr="00FF67F0">
        <w:rPr>
          <w:rFonts w:ascii="Verdana" w:hAnsi="Verdana"/>
          <w:sz w:val="20"/>
          <w:szCs w:val="20"/>
          <w:lang w:val="es-MX"/>
        </w:rPr>
        <w:t>»</w:t>
      </w:r>
      <w:r w:rsidRPr="00FF67F0">
        <w:rPr>
          <w:rFonts w:ascii="Verdana" w:hAnsi="Verdana"/>
          <w:sz w:val="20"/>
          <w:szCs w:val="20"/>
        </w:rPr>
        <w:t>.</w:t>
      </w:r>
    </w:p>
    <w:p w14:paraId="4510A014" w14:textId="77777777" w:rsidR="00FF67F0" w:rsidRPr="00FF67F0" w:rsidRDefault="00FF67F0" w:rsidP="00FF67F0">
      <w:pPr>
        <w:spacing w:after="0" w:line="240" w:lineRule="auto"/>
        <w:jc w:val="both"/>
        <w:rPr>
          <w:rFonts w:ascii="Verdana" w:hAnsi="Verdana"/>
          <w:sz w:val="20"/>
          <w:szCs w:val="20"/>
        </w:rPr>
      </w:pPr>
    </w:p>
    <w:p w14:paraId="29D9FC54" w14:textId="77777777" w:rsidR="00FF67F0" w:rsidRPr="00FF67F0" w:rsidRDefault="00FF67F0" w:rsidP="00FF67F0">
      <w:pPr>
        <w:tabs>
          <w:tab w:val="left" w:pos="426"/>
        </w:tabs>
        <w:spacing w:after="0" w:line="240" w:lineRule="auto"/>
        <w:jc w:val="both"/>
        <w:rPr>
          <w:rFonts w:ascii="Verdana" w:hAnsi="Verdana" w:cs="Arial"/>
          <w:b/>
          <w:sz w:val="20"/>
          <w:szCs w:val="20"/>
          <w:lang w:eastAsia="es-CO"/>
        </w:rPr>
      </w:pPr>
      <w:r w:rsidRPr="00FF67F0">
        <w:rPr>
          <w:rFonts w:ascii="Verdana" w:hAnsi="Verdana" w:cs="Arial"/>
          <w:b/>
          <w:sz w:val="20"/>
          <w:szCs w:val="20"/>
          <w:lang w:val="es-ES_tradnl" w:eastAsia="es-CO"/>
        </w:rPr>
        <w:t>RESTABLECIMIENTO DE LA ECUACIÓN ECONÓMICA</w:t>
      </w:r>
      <w:r w:rsidRPr="00FF67F0">
        <w:rPr>
          <w:rFonts w:ascii="Verdana" w:hAnsi="Verdana" w:cs="Arial"/>
          <w:b/>
          <w:sz w:val="20"/>
          <w:szCs w:val="20"/>
          <w:lang w:eastAsia="es-CO"/>
        </w:rPr>
        <w:t xml:space="preserve"> – Liquidación  </w:t>
      </w:r>
    </w:p>
    <w:p w14:paraId="2AB1ECEC" w14:textId="77777777" w:rsidR="00FF67F0" w:rsidRPr="00FF67F0" w:rsidRDefault="00FF67F0" w:rsidP="00FF67F0">
      <w:pPr>
        <w:tabs>
          <w:tab w:val="left" w:pos="426"/>
        </w:tabs>
        <w:spacing w:after="0" w:line="240" w:lineRule="auto"/>
        <w:jc w:val="both"/>
        <w:rPr>
          <w:rFonts w:ascii="Verdana" w:hAnsi="Verdana" w:cs="Arial"/>
          <w:b/>
          <w:sz w:val="20"/>
          <w:szCs w:val="20"/>
          <w:lang w:eastAsia="es-CO"/>
        </w:rPr>
      </w:pPr>
    </w:p>
    <w:p w14:paraId="06DADB60" w14:textId="77777777" w:rsidR="00FF67F0" w:rsidRPr="00FF67F0" w:rsidRDefault="00FF67F0" w:rsidP="00FF67F0">
      <w:pPr>
        <w:spacing w:after="0" w:line="240" w:lineRule="auto"/>
        <w:jc w:val="both"/>
        <w:rPr>
          <w:rFonts w:ascii="Verdana" w:hAnsi="Verdana" w:cs="Arial"/>
          <w:bCs/>
          <w:sz w:val="20"/>
          <w:szCs w:val="20"/>
          <w:lang w:eastAsia="es-CO"/>
        </w:rPr>
      </w:pPr>
      <w:r w:rsidRPr="00FF67F0">
        <w:rPr>
          <w:rFonts w:ascii="Verdana" w:hAnsi="Verdana" w:cs="Arial"/>
          <w:bCs/>
          <w:sz w:val="20"/>
          <w:szCs w:val="20"/>
          <w:lang w:eastAsia="es-CO"/>
        </w:rPr>
        <w:t>De los incisos segundo y tercero del artículo 60 del EGCAP se desprende que en la liquidación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w:t>
      </w:r>
    </w:p>
    <w:p w14:paraId="151EA9D9" w14:textId="77777777" w:rsidR="00FF67F0" w:rsidRPr="00FF67F0" w:rsidRDefault="00FF67F0" w:rsidP="00FF67F0">
      <w:pPr>
        <w:spacing w:after="0" w:line="240" w:lineRule="auto"/>
        <w:jc w:val="both"/>
        <w:rPr>
          <w:rFonts w:ascii="Verdana" w:hAnsi="Verdana" w:cs="Arial"/>
          <w:bCs/>
          <w:sz w:val="20"/>
          <w:szCs w:val="20"/>
          <w:lang w:eastAsia="es-CO"/>
        </w:rPr>
      </w:pPr>
    </w:p>
    <w:p w14:paraId="5466B79B" w14:textId="77777777" w:rsidR="00FF67F0" w:rsidRPr="00FF67F0" w:rsidRDefault="00FF67F0" w:rsidP="00FF67F0">
      <w:pPr>
        <w:spacing w:after="0" w:line="240" w:lineRule="auto"/>
        <w:jc w:val="both"/>
        <w:rPr>
          <w:rFonts w:ascii="Verdana" w:eastAsia="Geomanist Light" w:hAnsi="Verdana" w:cs="Arial"/>
          <w:color w:val="000000" w:themeColor="text1"/>
          <w:sz w:val="20"/>
          <w:szCs w:val="20"/>
        </w:rPr>
      </w:pPr>
      <w:r w:rsidRPr="00FF67F0">
        <w:rPr>
          <w:rFonts w:ascii="Verdana" w:hAnsi="Verdana" w:cs="Arial"/>
          <w:bCs/>
          <w:sz w:val="20"/>
          <w:szCs w:val="20"/>
          <w:lang w:eastAsia="es-CO"/>
        </w:rPr>
        <w:t xml:space="preserve">No obstante, de acuerdo con la Sentencia de Unificación del 19 de noviembre de 2012 de la Sala Plena del Consejo de Estado, por regla general, no es posible solicitar reconocimientos económicos por la ejecución de obras extras o adicionales, sin la previa </w:t>
      </w:r>
      <w:r w:rsidRPr="00FF67F0">
        <w:rPr>
          <w:rFonts w:ascii="Verdana" w:hAnsi="Verdana" w:cs="Arial"/>
          <w:bCs/>
          <w:sz w:val="20"/>
          <w:szCs w:val="20"/>
          <w:lang w:eastAsia="es-CO"/>
        </w:rPr>
        <w:lastRenderedPageBreak/>
        <w:t>suscripción de un contrato adicional que las justifique. Esto en la medida que los artículos 39 y 41 del EGCAP disponen que los contratos estatales son solemnes y, por tanto, requieren formalidad escrita, salvo que se presente una situación de urgencia manifiesta. De cara al artículo 10 del CPACA, considerando las tres (3) excepciones contempladas en dicha sentencia, en la actualidad está limitada la posibilidad de reconocer en la liquidación actividades no incluidas dentro del contrato. Así, su pago no sólo está sujeto al soporte probatorio, sino que la decisión también debe armonizarse con la doctrina fijada por el máximo órgano de la jurisdicción contenciosa administrativa</w:t>
      </w:r>
      <w:r w:rsidRPr="00FF67F0">
        <w:rPr>
          <w:rFonts w:ascii="Verdana" w:eastAsia="Geomanist Light" w:hAnsi="Verdana" w:cs="Arial"/>
          <w:color w:val="000000" w:themeColor="text1"/>
          <w:sz w:val="20"/>
          <w:szCs w:val="20"/>
        </w:rPr>
        <w:t>.</w:t>
      </w:r>
    </w:p>
    <w:p w14:paraId="039EA3FB" w14:textId="77777777" w:rsidR="00FF67F0" w:rsidRPr="00FF67F0" w:rsidRDefault="00FF67F0" w:rsidP="00FF67F0">
      <w:pPr>
        <w:spacing w:after="0" w:line="240" w:lineRule="auto"/>
        <w:jc w:val="both"/>
        <w:rPr>
          <w:rFonts w:ascii="Verdana" w:hAnsi="Verdana" w:cs="Arial"/>
          <w:sz w:val="20"/>
          <w:szCs w:val="20"/>
        </w:rPr>
      </w:pPr>
    </w:p>
    <w:p w14:paraId="78059285" w14:textId="77777777" w:rsidR="00FF67F0" w:rsidRPr="00FF67F0" w:rsidRDefault="00FF67F0" w:rsidP="00FF67F0">
      <w:pPr>
        <w:spacing w:after="0" w:line="240" w:lineRule="auto"/>
        <w:jc w:val="both"/>
        <w:rPr>
          <w:rFonts w:ascii="Verdana" w:hAnsi="Verdana"/>
          <w:b/>
          <w:sz w:val="20"/>
          <w:szCs w:val="20"/>
        </w:rPr>
      </w:pPr>
      <w:r w:rsidRPr="00FF67F0">
        <w:rPr>
          <w:rFonts w:ascii="Verdana" w:hAnsi="Verdana"/>
          <w:b/>
          <w:sz w:val="20"/>
          <w:szCs w:val="20"/>
        </w:rPr>
        <w:t xml:space="preserve">ENRIQUECIMIENTO SIN JUSTA CAUSA – Sentencia de Unificación del 19 de noviembre de 2012 – Alcance </w:t>
      </w:r>
    </w:p>
    <w:p w14:paraId="08D2FD51" w14:textId="77777777" w:rsidR="00FF67F0" w:rsidRPr="00FF67F0" w:rsidRDefault="00FF67F0" w:rsidP="00FF67F0">
      <w:pPr>
        <w:spacing w:after="0" w:line="240" w:lineRule="auto"/>
        <w:jc w:val="both"/>
        <w:rPr>
          <w:rFonts w:ascii="Verdana" w:hAnsi="Verdana"/>
          <w:b/>
          <w:sz w:val="20"/>
          <w:szCs w:val="20"/>
        </w:rPr>
      </w:pPr>
    </w:p>
    <w:p w14:paraId="214CCFCA" w14:textId="77777777" w:rsidR="00FF67F0" w:rsidRPr="00FF67F0" w:rsidRDefault="00FF67F0" w:rsidP="00FF67F0">
      <w:pPr>
        <w:spacing w:after="0" w:line="240" w:lineRule="auto"/>
        <w:jc w:val="both"/>
        <w:rPr>
          <w:rFonts w:ascii="Verdana" w:hAnsi="Verdana"/>
          <w:sz w:val="20"/>
          <w:szCs w:val="20"/>
        </w:rPr>
      </w:pPr>
      <w:r w:rsidRPr="00FF67F0">
        <w:rPr>
          <w:rFonts w:ascii="Verdana" w:hAnsi="Verdana"/>
          <w:sz w:val="20"/>
          <w:szCs w:val="20"/>
        </w:rPr>
        <w:t xml:space="preserve">[…] la Sala Plena del Consejo de Estado en la Sentencia de Unificación del 19 de noviembre de 2012, </w:t>
      </w:r>
      <w:r w:rsidRPr="00FF67F0">
        <w:rPr>
          <w:rFonts w:ascii="Verdana" w:hAnsi="Verdana"/>
          <w:i/>
          <w:iCs/>
          <w:sz w:val="20"/>
          <w:szCs w:val="20"/>
        </w:rPr>
        <w:t>por regla general,</w:t>
      </w:r>
      <w:r w:rsidRPr="00FF67F0">
        <w:rPr>
          <w:rFonts w:ascii="Verdana" w:hAnsi="Verdana"/>
          <w:sz w:val="20"/>
          <w:szCs w:val="20"/>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w:t>
      </w:r>
    </w:p>
    <w:p w14:paraId="1ACC372D" w14:textId="77777777" w:rsidR="00FF67F0" w:rsidRPr="00FF67F0" w:rsidRDefault="00FF67F0" w:rsidP="00FF67F0">
      <w:pPr>
        <w:spacing w:after="0" w:line="240" w:lineRule="auto"/>
        <w:jc w:val="both"/>
        <w:rPr>
          <w:rFonts w:ascii="Verdana" w:hAnsi="Verdana"/>
          <w:sz w:val="20"/>
          <w:szCs w:val="20"/>
        </w:rPr>
      </w:pPr>
    </w:p>
    <w:p w14:paraId="276D7511" w14:textId="77777777" w:rsidR="00FF67F0" w:rsidRPr="00FF67F0" w:rsidRDefault="00FF67F0" w:rsidP="00FF67F0">
      <w:pPr>
        <w:spacing w:after="0" w:line="240" w:lineRule="auto"/>
        <w:jc w:val="both"/>
        <w:rPr>
          <w:rFonts w:ascii="Verdana" w:hAnsi="Verdana"/>
          <w:sz w:val="20"/>
          <w:szCs w:val="20"/>
        </w:rPr>
      </w:pPr>
      <w:r w:rsidRPr="00FF67F0">
        <w:rPr>
          <w:rFonts w:ascii="Verdana" w:hAnsi="Verdana"/>
          <w:i/>
          <w:iCs/>
          <w:sz w:val="20"/>
          <w:szCs w:val="20"/>
        </w:rPr>
        <w:t>Excepcionalmente</w:t>
      </w:r>
      <w:r w:rsidRPr="00FF67F0">
        <w:rPr>
          <w:rFonts w:ascii="Verdana" w:hAnsi="Verdana"/>
          <w:sz w:val="20"/>
          <w:szCs w:val="20"/>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w:t>
      </w:r>
      <w:proofErr w:type="spellStart"/>
      <w:r w:rsidRPr="00FF67F0">
        <w:rPr>
          <w:rFonts w:ascii="Verdana" w:hAnsi="Verdana"/>
          <w:sz w:val="20"/>
          <w:szCs w:val="20"/>
        </w:rPr>
        <w:t>ii</w:t>
      </w:r>
      <w:proofErr w:type="spellEnd"/>
      <w:r w:rsidRPr="00FF67F0">
        <w:rPr>
          <w:rFonts w:ascii="Verdana" w:hAnsi="Verdana"/>
          <w:sz w:val="20"/>
          <w:szCs w:val="20"/>
        </w:rPr>
        <w:t xml:space="preserve">) que fueran urgentes para evitar una lesión inminente e irreversible al derecho a la salud; y </w:t>
      </w:r>
      <w:proofErr w:type="spellStart"/>
      <w:r w:rsidRPr="00FF67F0">
        <w:rPr>
          <w:rFonts w:ascii="Verdana" w:hAnsi="Verdana"/>
          <w:sz w:val="20"/>
          <w:szCs w:val="20"/>
        </w:rPr>
        <w:t>iii</w:t>
      </w:r>
      <w:proofErr w:type="spellEnd"/>
      <w:r w:rsidRPr="00FF67F0">
        <w:rPr>
          <w:rFonts w:ascii="Verdana" w:hAnsi="Verdana"/>
          <w:sz w:val="20"/>
          <w:szCs w:val="20"/>
        </w:rPr>
        <w:t xml:space="preserve">) cuando se omite el decreto de la urgencia manifiesta y concurren las circunstancias para que ésta hubiera sido declarada.  </w:t>
      </w:r>
    </w:p>
    <w:p w14:paraId="2D30DE1A" w14:textId="77777777" w:rsidR="00FF67F0" w:rsidRPr="00FF67F0" w:rsidRDefault="00FF67F0" w:rsidP="00FF67F0">
      <w:pPr>
        <w:spacing w:after="0" w:line="240" w:lineRule="auto"/>
        <w:jc w:val="both"/>
        <w:rPr>
          <w:rFonts w:ascii="Verdana" w:hAnsi="Verdana"/>
          <w:b/>
          <w:sz w:val="20"/>
          <w:szCs w:val="20"/>
        </w:rPr>
      </w:pPr>
      <w:r w:rsidRPr="00FF67F0">
        <w:rPr>
          <w:rFonts w:ascii="Verdana" w:hAnsi="Verdana"/>
          <w:b/>
          <w:sz w:val="20"/>
          <w:szCs w:val="20"/>
        </w:rPr>
        <w:t xml:space="preserve"> </w:t>
      </w:r>
    </w:p>
    <w:p w14:paraId="46C54584" w14:textId="77777777" w:rsidR="00FF67F0" w:rsidRPr="00FF67F0" w:rsidRDefault="00FF67F0" w:rsidP="00FF67F0">
      <w:pPr>
        <w:spacing w:after="0" w:line="240" w:lineRule="auto"/>
        <w:jc w:val="both"/>
        <w:rPr>
          <w:rFonts w:ascii="Verdana" w:hAnsi="Verdana"/>
          <w:b/>
          <w:sz w:val="20"/>
          <w:szCs w:val="20"/>
        </w:rPr>
      </w:pPr>
      <w:r w:rsidRPr="00FF67F0">
        <w:rPr>
          <w:rFonts w:ascii="Verdana" w:hAnsi="Verdana"/>
          <w:b/>
          <w:sz w:val="20"/>
          <w:szCs w:val="20"/>
        </w:rPr>
        <w:t xml:space="preserve">ENRIQUECIMIENTO SIN JUSTA CAUSA – Nueva Postura – Sentencia de Unificación Jurisprudencial – Elementos – Prueba de la Actividad - Circunstancia Excepcional - Procedencia  </w:t>
      </w:r>
    </w:p>
    <w:p w14:paraId="1908AA07" w14:textId="77777777" w:rsidR="00FF67F0" w:rsidRPr="00FF67F0" w:rsidRDefault="00FF67F0" w:rsidP="00FF67F0">
      <w:pPr>
        <w:spacing w:after="0" w:line="240" w:lineRule="auto"/>
        <w:jc w:val="both"/>
        <w:rPr>
          <w:rFonts w:ascii="Verdana" w:hAnsi="Verdana"/>
          <w:sz w:val="20"/>
          <w:szCs w:val="20"/>
        </w:rPr>
      </w:pPr>
    </w:p>
    <w:p w14:paraId="7C6F968C" w14:textId="77777777" w:rsidR="00FF67F0" w:rsidRPr="00FF67F0" w:rsidRDefault="00FF67F0" w:rsidP="00FF67F0">
      <w:pPr>
        <w:spacing w:after="0" w:line="240" w:lineRule="auto"/>
        <w:jc w:val="both"/>
        <w:rPr>
          <w:rFonts w:ascii="Verdana" w:hAnsi="Verdana"/>
          <w:sz w:val="20"/>
          <w:szCs w:val="20"/>
        </w:rPr>
      </w:pPr>
      <w:r w:rsidRPr="00FF67F0">
        <w:rPr>
          <w:rFonts w:ascii="Verdana" w:hAnsi="Verdana"/>
          <w:sz w:val="20"/>
          <w:szCs w:val="20"/>
        </w:rPr>
        <w:t xml:space="preserve">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 </w:t>
      </w:r>
    </w:p>
    <w:p w14:paraId="5FEF680D" w14:textId="77777777" w:rsidR="00FF67F0" w:rsidRPr="00FF67F0" w:rsidRDefault="00FF67F0" w:rsidP="00FF67F0">
      <w:pPr>
        <w:spacing w:after="0" w:line="240" w:lineRule="auto"/>
        <w:jc w:val="both"/>
        <w:rPr>
          <w:rFonts w:ascii="Verdana" w:hAnsi="Verdana"/>
          <w:sz w:val="20"/>
          <w:szCs w:val="20"/>
        </w:rPr>
      </w:pPr>
    </w:p>
    <w:p w14:paraId="7E77A9D6" w14:textId="77777777" w:rsidR="00FF67F0" w:rsidRPr="00FF67F0" w:rsidRDefault="00FF67F0" w:rsidP="00FF67F0">
      <w:pPr>
        <w:spacing w:after="0" w:line="240" w:lineRule="auto"/>
        <w:jc w:val="both"/>
        <w:rPr>
          <w:rFonts w:ascii="Verdana" w:hAnsi="Verdana"/>
          <w:sz w:val="20"/>
          <w:szCs w:val="20"/>
        </w:rPr>
      </w:pPr>
      <w:r w:rsidRPr="00FF67F0">
        <w:rPr>
          <w:rFonts w:ascii="Verdana" w:hAnsi="Verdana"/>
          <w:sz w:val="20"/>
          <w:szCs w:val="20"/>
        </w:rPr>
        <w:t>[…]</w:t>
      </w:r>
    </w:p>
    <w:p w14:paraId="4FBB8541" w14:textId="77777777" w:rsidR="00FF67F0" w:rsidRPr="00FF67F0" w:rsidRDefault="00FF67F0" w:rsidP="00FF67F0">
      <w:pPr>
        <w:spacing w:after="0" w:line="240" w:lineRule="auto"/>
        <w:jc w:val="both"/>
        <w:rPr>
          <w:rFonts w:ascii="Verdana" w:hAnsi="Verdana"/>
          <w:sz w:val="20"/>
          <w:szCs w:val="20"/>
        </w:rPr>
      </w:pPr>
    </w:p>
    <w:p w14:paraId="67F3FAE2" w14:textId="77777777" w:rsidR="00FF67F0" w:rsidRPr="00FF67F0" w:rsidRDefault="00FF67F0" w:rsidP="00FF67F0">
      <w:pPr>
        <w:spacing w:after="0" w:line="240" w:lineRule="auto"/>
        <w:jc w:val="both"/>
        <w:rPr>
          <w:rFonts w:ascii="Verdana" w:hAnsi="Verdana"/>
          <w:sz w:val="20"/>
          <w:szCs w:val="20"/>
          <w:lang w:val="es-ES"/>
        </w:rPr>
      </w:pPr>
      <w:r w:rsidRPr="00FF67F0">
        <w:rPr>
          <w:rFonts w:ascii="Verdana" w:hAnsi="Verdana"/>
          <w:sz w:val="20"/>
          <w:szCs w:val="20"/>
        </w:rPr>
        <w:t xml:space="preserve">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w:t>
      </w:r>
      <w:r w:rsidRPr="00FF67F0">
        <w:rPr>
          <w:rFonts w:ascii="Verdana" w:hAnsi="Verdana"/>
          <w:sz w:val="20"/>
          <w:szCs w:val="20"/>
        </w:rPr>
        <w:lastRenderedPageBreak/>
        <w:t>enriquecimiento sin causa, de forma que no podrá dejarse de conceder lo pedido por el solo hecho de que el caso no se enmarque en los eventos indicados en la Sentencia del 19 de noviembre de 2012.</w:t>
      </w:r>
    </w:p>
    <w:p w14:paraId="15EC9C00" w14:textId="77777777" w:rsidR="00FF67F0" w:rsidRDefault="00FF67F0" w:rsidP="00FF67F0">
      <w:pPr>
        <w:spacing w:after="0" w:line="240" w:lineRule="auto"/>
        <w:jc w:val="both"/>
        <w:rPr>
          <w:rFonts w:ascii="Verdana" w:eastAsia="Times New Roman" w:hAnsi="Verdana" w:cs="Arial"/>
          <w:color w:val="000000"/>
          <w:sz w:val="20"/>
          <w:szCs w:val="20"/>
          <w:lang w:eastAsia="es-MX"/>
        </w:rPr>
      </w:pPr>
      <w:r>
        <w:rPr>
          <w:rFonts w:ascii="Verdana" w:eastAsia="Times New Roman" w:hAnsi="Verdana" w:cs="Arial"/>
          <w:color w:val="000000"/>
          <w:sz w:val="20"/>
          <w:szCs w:val="20"/>
          <w:lang w:eastAsia="es-MX"/>
        </w:rPr>
        <w:t xml:space="preserve"> </w:t>
      </w:r>
    </w:p>
    <w:p w14:paraId="3129750E" w14:textId="77777777" w:rsidR="00FF67F0" w:rsidRPr="00705C5F" w:rsidRDefault="00FF67F0" w:rsidP="00FF67F0">
      <w:pPr>
        <w:spacing w:after="0" w:line="240" w:lineRule="auto"/>
        <w:jc w:val="both"/>
        <w:rPr>
          <w:rFonts w:ascii="Verdana" w:eastAsia="Times New Roman" w:hAnsi="Verdana" w:cs="Arial"/>
          <w:color w:val="000000"/>
          <w:sz w:val="20"/>
          <w:szCs w:val="20"/>
          <w:lang w:eastAsia="es-MX"/>
        </w:rPr>
      </w:pPr>
    </w:p>
    <w:p w14:paraId="1E7C77C0" w14:textId="77777777" w:rsidR="00FF67F0" w:rsidRPr="00DE2AC7" w:rsidRDefault="00FF67F0" w:rsidP="00FF67F0">
      <w:pPr>
        <w:spacing w:after="0" w:line="240" w:lineRule="auto"/>
        <w:jc w:val="both"/>
        <w:rPr>
          <w:rFonts w:ascii="Verdana" w:eastAsia="Geomanist Light" w:hAnsi="Verdana" w:cs="Arial"/>
          <w:color w:val="000000" w:themeColor="text1"/>
        </w:rPr>
      </w:pPr>
    </w:p>
    <w:p w14:paraId="280AB62D" w14:textId="77777777" w:rsidR="00FF67F0" w:rsidRDefault="00FF67F0" w:rsidP="00FF67F0">
      <w:pPr>
        <w:spacing w:after="0" w:line="240" w:lineRule="auto"/>
        <w:rPr>
          <w:rFonts w:ascii="Verdana" w:eastAsia="Geomanist Light" w:hAnsi="Verdana" w:cs="Arial"/>
          <w:color w:val="000000" w:themeColor="text1"/>
          <w:lang w:val="es-MX"/>
        </w:rPr>
      </w:pPr>
    </w:p>
    <w:p w14:paraId="3DFBA361" w14:textId="77777777" w:rsidR="00FF67F0" w:rsidRDefault="00FF67F0" w:rsidP="00FF67F0">
      <w:pPr>
        <w:spacing w:after="0" w:line="240" w:lineRule="auto"/>
        <w:rPr>
          <w:rFonts w:ascii="Verdana" w:eastAsia="Geomanist Light" w:hAnsi="Verdana" w:cs="Arial"/>
          <w:color w:val="000000" w:themeColor="text1"/>
          <w:lang w:val="es-MX"/>
        </w:rPr>
      </w:pPr>
    </w:p>
    <w:p w14:paraId="79B7A191" w14:textId="77777777" w:rsidR="00FF67F0" w:rsidRDefault="00FF67F0" w:rsidP="00FF67F0">
      <w:pPr>
        <w:spacing w:after="0" w:line="240" w:lineRule="auto"/>
        <w:rPr>
          <w:rFonts w:ascii="Verdana" w:eastAsia="Geomanist Light" w:hAnsi="Verdana" w:cs="Arial"/>
          <w:color w:val="000000" w:themeColor="text1"/>
          <w:lang w:val="es-MX"/>
        </w:rPr>
      </w:pPr>
    </w:p>
    <w:p w14:paraId="14BE3602" w14:textId="77777777" w:rsidR="00FF67F0" w:rsidRDefault="00FF67F0" w:rsidP="00FF67F0">
      <w:pPr>
        <w:spacing w:after="0" w:line="240" w:lineRule="auto"/>
        <w:rPr>
          <w:rFonts w:ascii="Verdana" w:eastAsia="Geomanist Light" w:hAnsi="Verdana" w:cs="Arial"/>
          <w:color w:val="000000" w:themeColor="text1"/>
          <w:lang w:val="es-MX"/>
        </w:rPr>
      </w:pPr>
    </w:p>
    <w:p w14:paraId="602AA7A4" w14:textId="77777777" w:rsidR="00FF67F0" w:rsidRDefault="00FF67F0" w:rsidP="00FF67F0">
      <w:pPr>
        <w:spacing w:after="0" w:line="240" w:lineRule="auto"/>
        <w:rPr>
          <w:rFonts w:ascii="Verdana" w:eastAsia="Geomanist Light" w:hAnsi="Verdana" w:cs="Arial"/>
          <w:color w:val="000000" w:themeColor="text1"/>
          <w:lang w:val="es-MX"/>
        </w:rPr>
      </w:pPr>
    </w:p>
    <w:p w14:paraId="5F6E3244" w14:textId="77777777" w:rsidR="00FF67F0" w:rsidRDefault="00FF67F0" w:rsidP="00FF67F0">
      <w:pPr>
        <w:spacing w:after="0" w:line="240" w:lineRule="auto"/>
        <w:rPr>
          <w:rFonts w:ascii="Verdana" w:eastAsia="Geomanist Light" w:hAnsi="Verdana" w:cs="Arial"/>
          <w:color w:val="000000" w:themeColor="text1"/>
          <w:lang w:val="es-MX"/>
        </w:rPr>
      </w:pPr>
    </w:p>
    <w:p w14:paraId="218B45ED" w14:textId="77777777" w:rsidR="00FF67F0" w:rsidRDefault="00FF67F0" w:rsidP="00FF67F0">
      <w:pPr>
        <w:spacing w:after="0" w:line="240" w:lineRule="auto"/>
        <w:rPr>
          <w:rFonts w:ascii="Verdana" w:eastAsia="Geomanist Light" w:hAnsi="Verdana" w:cs="Arial"/>
          <w:color w:val="000000" w:themeColor="text1"/>
          <w:lang w:val="es-MX"/>
        </w:rPr>
      </w:pPr>
    </w:p>
    <w:p w14:paraId="77066C29" w14:textId="77777777" w:rsidR="00FF67F0" w:rsidRDefault="00FF67F0" w:rsidP="00FF67F0">
      <w:pPr>
        <w:spacing w:after="0" w:line="240" w:lineRule="auto"/>
        <w:rPr>
          <w:rFonts w:ascii="Verdana" w:eastAsia="Geomanist Light" w:hAnsi="Verdana" w:cs="Arial"/>
          <w:color w:val="000000" w:themeColor="text1"/>
          <w:lang w:val="es-MX"/>
        </w:rPr>
      </w:pPr>
    </w:p>
    <w:p w14:paraId="4C7063A5" w14:textId="77777777" w:rsidR="00FF67F0" w:rsidRDefault="00FF67F0" w:rsidP="00FF67F0">
      <w:pPr>
        <w:spacing w:after="0" w:line="240" w:lineRule="auto"/>
        <w:rPr>
          <w:rFonts w:ascii="Verdana" w:eastAsia="Geomanist Light" w:hAnsi="Verdana" w:cs="Arial"/>
          <w:color w:val="000000" w:themeColor="text1"/>
          <w:lang w:val="es-MX"/>
        </w:rPr>
      </w:pPr>
    </w:p>
    <w:p w14:paraId="0EAB896F" w14:textId="77777777" w:rsidR="00FF67F0" w:rsidRDefault="00FF67F0" w:rsidP="00FF67F0">
      <w:pPr>
        <w:spacing w:after="0" w:line="240" w:lineRule="auto"/>
        <w:rPr>
          <w:rFonts w:ascii="Verdana" w:eastAsia="Geomanist Light" w:hAnsi="Verdana" w:cs="Arial"/>
          <w:color w:val="000000" w:themeColor="text1"/>
          <w:lang w:val="es-MX"/>
        </w:rPr>
      </w:pPr>
    </w:p>
    <w:p w14:paraId="65C42EA7" w14:textId="77777777" w:rsidR="00FF67F0" w:rsidRDefault="00FF67F0" w:rsidP="00FF67F0">
      <w:pPr>
        <w:spacing w:after="0" w:line="240" w:lineRule="auto"/>
        <w:rPr>
          <w:rFonts w:ascii="Verdana" w:eastAsia="Geomanist Light" w:hAnsi="Verdana" w:cs="Arial"/>
          <w:color w:val="000000" w:themeColor="text1"/>
          <w:lang w:val="es-MX"/>
        </w:rPr>
      </w:pPr>
    </w:p>
    <w:p w14:paraId="323EB9E0" w14:textId="77777777" w:rsidR="00FF67F0" w:rsidRDefault="00FF67F0" w:rsidP="00FF67F0">
      <w:pPr>
        <w:spacing w:after="0" w:line="240" w:lineRule="auto"/>
        <w:rPr>
          <w:rFonts w:ascii="Verdana" w:eastAsia="Geomanist Light" w:hAnsi="Verdana" w:cs="Arial"/>
          <w:color w:val="000000" w:themeColor="text1"/>
          <w:lang w:val="es-MX"/>
        </w:rPr>
      </w:pPr>
    </w:p>
    <w:p w14:paraId="2B6D8DDC" w14:textId="77777777" w:rsidR="00FF67F0" w:rsidRDefault="00FF67F0" w:rsidP="00FF67F0">
      <w:pPr>
        <w:spacing w:after="0" w:line="240" w:lineRule="auto"/>
        <w:rPr>
          <w:rFonts w:ascii="Verdana" w:eastAsia="Geomanist Light" w:hAnsi="Verdana" w:cs="Arial"/>
          <w:color w:val="000000" w:themeColor="text1"/>
          <w:lang w:val="es-MX"/>
        </w:rPr>
      </w:pPr>
    </w:p>
    <w:p w14:paraId="24E7EF57" w14:textId="77777777" w:rsidR="00FF67F0" w:rsidRDefault="00FF67F0" w:rsidP="00FF67F0">
      <w:pPr>
        <w:spacing w:after="0" w:line="240" w:lineRule="auto"/>
        <w:rPr>
          <w:rFonts w:ascii="Verdana" w:eastAsia="Geomanist Light" w:hAnsi="Verdana" w:cs="Arial"/>
          <w:color w:val="000000" w:themeColor="text1"/>
          <w:lang w:val="es-MX"/>
        </w:rPr>
      </w:pPr>
    </w:p>
    <w:p w14:paraId="70D59BD8" w14:textId="77777777" w:rsidR="00FF67F0" w:rsidRDefault="00FF67F0" w:rsidP="00FF67F0">
      <w:pPr>
        <w:spacing w:after="0" w:line="240" w:lineRule="auto"/>
        <w:rPr>
          <w:rFonts w:ascii="Verdana" w:eastAsia="Geomanist Light" w:hAnsi="Verdana" w:cs="Arial"/>
          <w:color w:val="000000" w:themeColor="text1"/>
          <w:lang w:val="es-MX"/>
        </w:rPr>
      </w:pPr>
    </w:p>
    <w:p w14:paraId="4DC892FF" w14:textId="77777777" w:rsidR="00FF67F0" w:rsidRDefault="00FF67F0" w:rsidP="00FF67F0">
      <w:pPr>
        <w:spacing w:after="0" w:line="240" w:lineRule="auto"/>
        <w:rPr>
          <w:rFonts w:ascii="Verdana" w:eastAsia="Geomanist Light" w:hAnsi="Verdana" w:cs="Arial"/>
          <w:color w:val="000000" w:themeColor="text1"/>
          <w:lang w:val="es-MX"/>
        </w:rPr>
      </w:pPr>
    </w:p>
    <w:p w14:paraId="22BC1F46" w14:textId="77777777" w:rsidR="00FF67F0" w:rsidRDefault="00FF67F0" w:rsidP="00FF67F0">
      <w:pPr>
        <w:spacing w:after="0" w:line="240" w:lineRule="auto"/>
        <w:rPr>
          <w:rFonts w:ascii="Verdana" w:eastAsia="Geomanist Light" w:hAnsi="Verdana" w:cs="Arial"/>
          <w:color w:val="000000" w:themeColor="text1"/>
          <w:lang w:val="es-MX"/>
        </w:rPr>
      </w:pPr>
    </w:p>
    <w:p w14:paraId="260883B8" w14:textId="77777777" w:rsidR="00FF67F0" w:rsidRDefault="00FF67F0" w:rsidP="00FF67F0">
      <w:pPr>
        <w:spacing w:after="0" w:line="240" w:lineRule="auto"/>
        <w:rPr>
          <w:rFonts w:ascii="Verdana" w:eastAsia="Geomanist Light" w:hAnsi="Verdana" w:cs="Arial"/>
          <w:color w:val="000000" w:themeColor="text1"/>
          <w:lang w:val="es-MX"/>
        </w:rPr>
      </w:pPr>
    </w:p>
    <w:p w14:paraId="2FB1E1AB" w14:textId="77777777" w:rsidR="00FF67F0" w:rsidRDefault="00FF67F0" w:rsidP="00FF67F0">
      <w:pPr>
        <w:spacing w:after="0" w:line="240" w:lineRule="auto"/>
        <w:rPr>
          <w:rFonts w:ascii="Verdana" w:eastAsia="Geomanist Light" w:hAnsi="Verdana" w:cs="Arial"/>
          <w:color w:val="000000" w:themeColor="text1"/>
          <w:lang w:val="es-MX"/>
        </w:rPr>
      </w:pPr>
    </w:p>
    <w:p w14:paraId="562B1CF5" w14:textId="77777777" w:rsidR="00FF67F0" w:rsidRDefault="00FF67F0" w:rsidP="00FF67F0">
      <w:pPr>
        <w:spacing w:after="0" w:line="240" w:lineRule="auto"/>
        <w:rPr>
          <w:rFonts w:ascii="Verdana" w:eastAsia="Geomanist Light" w:hAnsi="Verdana" w:cs="Arial"/>
          <w:color w:val="000000" w:themeColor="text1"/>
          <w:lang w:val="es-MX"/>
        </w:rPr>
      </w:pPr>
    </w:p>
    <w:p w14:paraId="4F02D9EA" w14:textId="77777777" w:rsidR="00FF67F0" w:rsidRDefault="00FF67F0" w:rsidP="00FF67F0">
      <w:pPr>
        <w:spacing w:after="0" w:line="240" w:lineRule="auto"/>
        <w:rPr>
          <w:rFonts w:ascii="Verdana" w:eastAsia="Geomanist Light" w:hAnsi="Verdana" w:cs="Arial"/>
          <w:color w:val="000000" w:themeColor="text1"/>
          <w:lang w:val="es-MX"/>
        </w:rPr>
      </w:pPr>
    </w:p>
    <w:p w14:paraId="3B6EC9F6" w14:textId="77777777" w:rsidR="00FF67F0" w:rsidRDefault="00FF67F0" w:rsidP="00FF67F0">
      <w:pPr>
        <w:spacing w:after="0" w:line="240" w:lineRule="auto"/>
        <w:rPr>
          <w:rFonts w:ascii="Verdana" w:eastAsia="Geomanist Light" w:hAnsi="Verdana" w:cs="Arial"/>
          <w:color w:val="000000" w:themeColor="text1"/>
          <w:lang w:val="es-MX"/>
        </w:rPr>
      </w:pPr>
    </w:p>
    <w:p w14:paraId="2446C80C" w14:textId="77777777" w:rsidR="00FF67F0" w:rsidRDefault="00FF67F0" w:rsidP="00FF67F0">
      <w:pPr>
        <w:spacing w:after="0" w:line="240" w:lineRule="auto"/>
        <w:rPr>
          <w:rFonts w:ascii="Verdana" w:eastAsia="Geomanist Light" w:hAnsi="Verdana" w:cs="Arial"/>
          <w:color w:val="000000" w:themeColor="text1"/>
          <w:lang w:val="es-MX"/>
        </w:rPr>
      </w:pPr>
    </w:p>
    <w:p w14:paraId="4A753A7E" w14:textId="77777777" w:rsidR="00FF67F0" w:rsidRDefault="00FF67F0" w:rsidP="00FF67F0">
      <w:pPr>
        <w:spacing w:after="0" w:line="240" w:lineRule="auto"/>
        <w:rPr>
          <w:rFonts w:ascii="Verdana" w:eastAsia="Geomanist Light" w:hAnsi="Verdana" w:cs="Arial"/>
          <w:color w:val="000000" w:themeColor="text1"/>
          <w:lang w:val="es-MX"/>
        </w:rPr>
      </w:pPr>
    </w:p>
    <w:p w14:paraId="0E51CE37" w14:textId="77777777" w:rsidR="00FF67F0" w:rsidRDefault="00FF67F0" w:rsidP="00FF67F0">
      <w:pPr>
        <w:spacing w:after="0" w:line="240" w:lineRule="auto"/>
        <w:rPr>
          <w:rFonts w:ascii="Verdana" w:eastAsia="Geomanist Light" w:hAnsi="Verdana" w:cs="Arial"/>
          <w:color w:val="000000" w:themeColor="text1"/>
          <w:lang w:val="es-MX"/>
        </w:rPr>
      </w:pPr>
    </w:p>
    <w:p w14:paraId="7360D0AB" w14:textId="77777777" w:rsidR="00FF67F0" w:rsidRDefault="00FF67F0" w:rsidP="00FF67F0">
      <w:pPr>
        <w:spacing w:after="0" w:line="240" w:lineRule="auto"/>
        <w:rPr>
          <w:rFonts w:ascii="Verdana" w:eastAsia="Geomanist Light" w:hAnsi="Verdana" w:cs="Arial"/>
          <w:color w:val="000000" w:themeColor="text1"/>
          <w:lang w:val="es-MX"/>
        </w:rPr>
      </w:pPr>
    </w:p>
    <w:p w14:paraId="64323544" w14:textId="77777777" w:rsidR="00FF67F0" w:rsidRDefault="00FF67F0" w:rsidP="00FF67F0">
      <w:pPr>
        <w:spacing w:after="0" w:line="240" w:lineRule="auto"/>
        <w:rPr>
          <w:rFonts w:ascii="Verdana" w:eastAsia="Geomanist Light" w:hAnsi="Verdana" w:cs="Arial"/>
          <w:color w:val="000000" w:themeColor="text1"/>
          <w:lang w:val="es-MX"/>
        </w:rPr>
      </w:pPr>
    </w:p>
    <w:p w14:paraId="7532695C" w14:textId="77777777" w:rsidR="00FF67F0" w:rsidRDefault="00FF67F0" w:rsidP="00FF67F0">
      <w:pPr>
        <w:spacing w:after="0" w:line="240" w:lineRule="auto"/>
        <w:rPr>
          <w:rFonts w:ascii="Verdana" w:eastAsia="Geomanist Light" w:hAnsi="Verdana" w:cs="Arial"/>
          <w:color w:val="000000" w:themeColor="text1"/>
          <w:lang w:val="es-MX"/>
        </w:rPr>
      </w:pPr>
    </w:p>
    <w:p w14:paraId="2A00F1B3" w14:textId="77777777" w:rsidR="00FF67F0" w:rsidRDefault="00FF67F0" w:rsidP="00FF67F0">
      <w:pPr>
        <w:spacing w:after="0" w:line="240" w:lineRule="auto"/>
        <w:rPr>
          <w:rFonts w:ascii="Verdana" w:eastAsia="Geomanist Light" w:hAnsi="Verdana" w:cs="Arial"/>
          <w:color w:val="000000" w:themeColor="text1"/>
          <w:lang w:val="es-MX"/>
        </w:rPr>
      </w:pPr>
    </w:p>
    <w:p w14:paraId="01451C80" w14:textId="77777777" w:rsidR="00FF67F0" w:rsidRDefault="00FF67F0" w:rsidP="00FF67F0">
      <w:pPr>
        <w:spacing w:after="0" w:line="240" w:lineRule="auto"/>
        <w:rPr>
          <w:rFonts w:ascii="Verdana" w:eastAsia="Geomanist Light" w:hAnsi="Verdana" w:cs="Arial"/>
          <w:color w:val="000000" w:themeColor="text1"/>
          <w:lang w:val="es-MX"/>
        </w:rPr>
      </w:pPr>
    </w:p>
    <w:p w14:paraId="5362FE04" w14:textId="77777777" w:rsidR="00FF67F0" w:rsidRDefault="00FF67F0" w:rsidP="00FF67F0">
      <w:pPr>
        <w:spacing w:after="0" w:line="240" w:lineRule="auto"/>
        <w:rPr>
          <w:rFonts w:ascii="Verdana" w:eastAsia="Geomanist Light" w:hAnsi="Verdana" w:cs="Arial"/>
          <w:color w:val="000000" w:themeColor="text1"/>
          <w:lang w:val="es-MX"/>
        </w:rPr>
      </w:pPr>
    </w:p>
    <w:p w14:paraId="17B7BD0B" w14:textId="77777777" w:rsidR="00FF67F0" w:rsidRDefault="00FF67F0" w:rsidP="00FF67F0">
      <w:pPr>
        <w:spacing w:after="0" w:line="240" w:lineRule="auto"/>
        <w:rPr>
          <w:rFonts w:ascii="Verdana" w:eastAsia="Geomanist Light" w:hAnsi="Verdana" w:cs="Arial"/>
          <w:color w:val="000000" w:themeColor="text1"/>
          <w:lang w:val="es-MX"/>
        </w:rPr>
      </w:pPr>
    </w:p>
    <w:p w14:paraId="7EDC08EA" w14:textId="77777777" w:rsidR="00FF67F0" w:rsidRDefault="00FF67F0" w:rsidP="00FF67F0">
      <w:pPr>
        <w:spacing w:after="0" w:line="240" w:lineRule="auto"/>
        <w:rPr>
          <w:rFonts w:ascii="Verdana" w:eastAsia="Geomanist Light" w:hAnsi="Verdana" w:cs="Arial"/>
          <w:color w:val="000000" w:themeColor="text1"/>
          <w:lang w:val="es-MX"/>
        </w:rPr>
      </w:pPr>
    </w:p>
    <w:p w14:paraId="5A4EE281" w14:textId="77777777" w:rsidR="00FF67F0" w:rsidRDefault="00FF67F0" w:rsidP="00FF67F0">
      <w:pPr>
        <w:spacing w:after="0" w:line="240" w:lineRule="auto"/>
        <w:rPr>
          <w:rFonts w:ascii="Verdana" w:eastAsia="Geomanist Light" w:hAnsi="Verdana" w:cs="Arial"/>
          <w:color w:val="000000" w:themeColor="text1"/>
          <w:lang w:val="es-MX"/>
        </w:rPr>
      </w:pPr>
    </w:p>
    <w:p w14:paraId="43D88D68" w14:textId="77777777" w:rsidR="00FF67F0" w:rsidRDefault="00FF67F0" w:rsidP="007F707F">
      <w:pPr>
        <w:spacing w:after="0" w:line="240" w:lineRule="auto"/>
        <w:rPr>
          <w:rFonts w:ascii="Verdana" w:eastAsia="Geomanist Light" w:hAnsi="Verdana" w:cs="Arial"/>
          <w:color w:val="000000" w:themeColor="text1"/>
          <w:lang w:val="es-MX"/>
        </w:rPr>
      </w:pPr>
    </w:p>
    <w:p w14:paraId="1902851F" w14:textId="77777777" w:rsidR="00FF67F0" w:rsidRDefault="00FF67F0" w:rsidP="007F707F">
      <w:pPr>
        <w:spacing w:after="0" w:line="240" w:lineRule="auto"/>
        <w:rPr>
          <w:rFonts w:ascii="Verdana" w:eastAsia="Geomanist Light" w:hAnsi="Verdana" w:cs="Arial"/>
          <w:color w:val="000000" w:themeColor="text1"/>
          <w:lang w:val="es-MX"/>
        </w:rPr>
      </w:pPr>
    </w:p>
    <w:p w14:paraId="4A0DBF6F" w14:textId="77777777" w:rsidR="00FF67F0" w:rsidRDefault="00FF67F0" w:rsidP="007F707F">
      <w:pPr>
        <w:spacing w:after="0" w:line="240" w:lineRule="auto"/>
        <w:rPr>
          <w:rFonts w:ascii="Verdana" w:eastAsia="Geomanist Light" w:hAnsi="Verdana" w:cs="Arial"/>
          <w:color w:val="000000" w:themeColor="text1"/>
          <w:lang w:val="es-MX"/>
        </w:rPr>
      </w:pPr>
    </w:p>
    <w:p w14:paraId="0E649EDF" w14:textId="7FF3E10D" w:rsidR="007F707F" w:rsidRPr="00593A5F" w:rsidRDefault="007F707F" w:rsidP="007F707F">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843AEC">
        <w:rPr>
          <w:rFonts w:ascii="Verdana" w:eastAsia="Geomanist Light" w:hAnsi="Verdana" w:cs="Arial"/>
          <w:color w:val="000000" w:themeColor="text1"/>
          <w:lang w:val="es-MX"/>
        </w:rPr>
        <w:t>21</w:t>
      </w:r>
      <w:r w:rsidR="00843AEC" w:rsidRPr="00843AEC">
        <w:rPr>
          <w:rFonts w:ascii="Verdana" w:eastAsia="Geomanist Light" w:hAnsi="Verdana" w:cs="Arial"/>
          <w:color w:val="000000" w:themeColor="text1"/>
          <w:lang w:val="es-MX"/>
        </w:rPr>
        <w:t xml:space="preserve"> de Octubre de 2025</w:t>
      </w:r>
    </w:p>
    <w:p w14:paraId="452F8B02" w14:textId="77777777" w:rsidR="007F707F" w:rsidRDefault="007F707F" w:rsidP="007F707F">
      <w:pPr>
        <w:spacing w:after="0" w:line="240" w:lineRule="auto"/>
        <w:jc w:val="both"/>
        <w:rPr>
          <w:rFonts w:ascii="Verdana" w:eastAsia="Calibri" w:hAnsi="Verdana" w:cs="Arial"/>
          <w:color w:val="000000"/>
          <w:lang w:val="es-ES"/>
        </w:rPr>
      </w:pPr>
    </w:p>
    <w:p w14:paraId="507DD788" w14:textId="56866FAC" w:rsidR="00B96236" w:rsidRDefault="00B96236" w:rsidP="00B96236">
      <w:pPr>
        <w:spacing w:after="0" w:line="240" w:lineRule="auto"/>
        <w:jc w:val="right"/>
        <w:rPr>
          <w:rFonts w:ascii="Verdana" w:eastAsia="Calibri" w:hAnsi="Verdana" w:cs="Arial"/>
          <w:color w:val="000000"/>
          <w:lang w:val="es-ES"/>
        </w:rPr>
      </w:pPr>
      <w:r w:rsidRPr="00B96236">
        <w:rPr>
          <w:rFonts w:ascii="Verdana" w:eastAsia="Calibri" w:hAnsi="Verdana" w:cs="Arial"/>
          <w:noProof/>
          <w:color w:val="000000"/>
          <w:lang w:val="es-ES"/>
        </w:rPr>
        <w:drawing>
          <wp:inline distT="0" distB="0" distL="0" distR="0" wp14:anchorId="7E7700F5" wp14:editId="366CB14A">
            <wp:extent cx="2400300" cy="622300"/>
            <wp:effectExtent l="0" t="0" r="0" b="0"/>
            <wp:docPr id="20423204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320453" name=""/>
                    <pic:cNvPicPr/>
                  </pic:nvPicPr>
                  <pic:blipFill>
                    <a:blip r:embed="rId10"/>
                    <a:stretch>
                      <a:fillRect/>
                    </a:stretch>
                  </pic:blipFill>
                  <pic:spPr>
                    <a:xfrm>
                      <a:off x="0" y="0"/>
                      <a:ext cx="2400300" cy="622300"/>
                    </a:xfrm>
                    <a:prstGeom prst="rect">
                      <a:avLst/>
                    </a:prstGeom>
                  </pic:spPr>
                </pic:pic>
              </a:graphicData>
            </a:graphic>
          </wp:inline>
        </w:drawing>
      </w:r>
    </w:p>
    <w:p w14:paraId="14D391B9" w14:textId="77777777" w:rsidR="007F707F" w:rsidRDefault="007F707F" w:rsidP="007F707F">
      <w:pPr>
        <w:spacing w:after="0" w:line="240" w:lineRule="auto"/>
        <w:jc w:val="both"/>
        <w:rPr>
          <w:rFonts w:ascii="Verdana" w:eastAsia="Calibri" w:hAnsi="Verdana" w:cs="Arial"/>
          <w:lang w:val="es-ES" w:eastAsia="es-ES"/>
        </w:rPr>
      </w:pPr>
    </w:p>
    <w:p w14:paraId="0124D883" w14:textId="60E38E36" w:rsidR="007F707F" w:rsidRPr="00B96799" w:rsidRDefault="007F707F" w:rsidP="007F707F">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7D92BBAE" w14:textId="77777777" w:rsidR="007F707F" w:rsidRPr="0085423D" w:rsidRDefault="007F707F" w:rsidP="007F707F">
      <w:pPr>
        <w:spacing w:after="0" w:line="240" w:lineRule="auto"/>
        <w:rPr>
          <w:rFonts w:ascii="Verdana" w:eastAsia="Calibri" w:hAnsi="Verdana" w:cs="Arial"/>
          <w:b/>
          <w:lang w:val="es-ES_tradnl" w:eastAsia="es-ES_tradnl"/>
        </w:rPr>
      </w:pPr>
      <w:bookmarkStart w:id="0" w:name="OLE_LINK1"/>
      <w:r w:rsidRPr="006A0322">
        <w:rPr>
          <w:rFonts w:ascii="Verdana" w:eastAsia="Calibri" w:hAnsi="Verdana" w:cs="Arial"/>
          <w:b/>
          <w:lang w:val="es-ES_tradnl" w:eastAsia="es-ES_tradnl"/>
        </w:rPr>
        <w:t>Juan Mauricio Manosalva Amaya</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0136F4DB" w14:textId="77777777" w:rsidR="007F707F" w:rsidRPr="00A04039" w:rsidRDefault="007F707F" w:rsidP="007F707F">
      <w:pPr>
        <w:spacing w:after="0" w:line="240" w:lineRule="auto"/>
        <w:rPr>
          <w:rFonts w:ascii="Verdana" w:eastAsia="Calibri" w:hAnsi="Verdana" w:cs="Arial"/>
          <w:lang w:val="pt-BR" w:eastAsia="es-ES"/>
        </w:rPr>
      </w:pPr>
      <w:r>
        <w:rPr>
          <w:rFonts w:ascii="Verdana" w:hAnsi="Verdana"/>
        </w:rPr>
        <w:fldChar w:fldCharType="begin"/>
      </w:r>
      <w:r w:rsidRPr="00A04039">
        <w:rPr>
          <w:rFonts w:ascii="Verdana" w:hAnsi="Verdana"/>
          <w:lang w:val="pt-BR"/>
        </w:rPr>
        <w:instrText>HYPERLINK "mailto:ingtec96.sas@gmail.com"</w:instrText>
      </w:r>
      <w:r>
        <w:rPr>
          <w:rFonts w:ascii="Verdana" w:hAnsi="Verdana"/>
        </w:rPr>
      </w:r>
      <w:r>
        <w:rPr>
          <w:rFonts w:ascii="Verdana" w:hAnsi="Verdana"/>
        </w:rPr>
        <w:fldChar w:fldCharType="separate"/>
      </w:r>
      <w:r w:rsidRPr="00A04039">
        <w:rPr>
          <w:rStyle w:val="Hipervnculo"/>
          <w:rFonts w:ascii="Verdana" w:hAnsi="Verdana"/>
          <w:lang w:val="pt-BR"/>
        </w:rPr>
        <w:t>ingtec96.sas@gmail.com</w:t>
      </w:r>
      <w:r>
        <w:rPr>
          <w:rFonts w:ascii="Verdana" w:hAnsi="Verdana"/>
        </w:rPr>
        <w:fldChar w:fldCharType="end"/>
      </w:r>
      <w:r w:rsidRPr="00A04039">
        <w:rPr>
          <w:rFonts w:ascii="Verdana" w:hAnsi="Verdana"/>
          <w:lang w:val="pt-BR"/>
        </w:rPr>
        <w:t xml:space="preserve">                 </w:t>
      </w:r>
      <w:r w:rsidRPr="00A04039">
        <w:rPr>
          <w:rFonts w:ascii="Verdana" w:eastAsia="Calibri" w:hAnsi="Verdana" w:cs="Arial"/>
          <w:lang w:val="pt-BR" w:eastAsia="es-ES"/>
        </w:rPr>
        <w:t xml:space="preserve">    </w:t>
      </w:r>
    </w:p>
    <w:p w14:paraId="345C3121" w14:textId="77777777" w:rsidR="007F707F" w:rsidRPr="00A04039" w:rsidRDefault="007F707F" w:rsidP="007F707F">
      <w:pPr>
        <w:spacing w:after="0" w:line="240" w:lineRule="auto"/>
        <w:rPr>
          <w:rFonts w:ascii="Verdana" w:eastAsia="Calibri" w:hAnsi="Verdana" w:cs="Arial"/>
          <w:lang w:val="pt-BR" w:eastAsia="es-ES"/>
        </w:rPr>
      </w:pPr>
      <w:r w:rsidRPr="00A04039">
        <w:rPr>
          <w:rFonts w:ascii="Verdana" w:eastAsia="Calibri" w:hAnsi="Verdana" w:cs="Arial"/>
          <w:lang w:val="pt-BR" w:eastAsia="es-ES"/>
        </w:rPr>
        <w:t xml:space="preserve">Duitama, Boyacá </w:t>
      </w:r>
    </w:p>
    <w:p w14:paraId="4FD581FA" w14:textId="77777777" w:rsidR="007F707F" w:rsidRPr="00A04039" w:rsidRDefault="007F707F" w:rsidP="007F707F">
      <w:pPr>
        <w:spacing w:after="0" w:line="240" w:lineRule="auto"/>
        <w:rPr>
          <w:rFonts w:ascii="Verdana" w:eastAsia="Calibri" w:hAnsi="Verdana" w:cs="Arial"/>
          <w:b/>
          <w:color w:val="000000"/>
          <w:lang w:val="pt-BR" w:eastAsia="es-ES_tradnl"/>
        </w:rPr>
      </w:pPr>
    </w:p>
    <w:p w14:paraId="4CE821A2" w14:textId="77777777" w:rsidR="007F707F" w:rsidRPr="00A04039" w:rsidRDefault="007F707F" w:rsidP="007F707F">
      <w:pPr>
        <w:spacing w:after="0" w:line="240" w:lineRule="auto"/>
        <w:rPr>
          <w:rFonts w:ascii="Verdana" w:eastAsia="Calibri" w:hAnsi="Verdana" w:cs="Arial"/>
          <w:b/>
          <w:color w:val="000000"/>
          <w:lang w:val="pt-BR"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F707F" w:rsidRPr="00593A5F" w14:paraId="2E78144E" w14:textId="77777777" w:rsidTr="00F90ECF">
        <w:trPr>
          <w:trHeight w:val="884"/>
        </w:trPr>
        <w:tc>
          <w:tcPr>
            <w:tcW w:w="2689" w:type="dxa"/>
          </w:tcPr>
          <w:p w14:paraId="005F22DD" w14:textId="77777777" w:rsidR="007F707F" w:rsidRPr="00A04039" w:rsidRDefault="007F707F" w:rsidP="00F90ECF">
            <w:pPr>
              <w:jc w:val="both"/>
              <w:rPr>
                <w:rFonts w:ascii="Verdana" w:eastAsia="Calibri" w:hAnsi="Verdana" w:cs="Arial"/>
                <w:b/>
                <w:color w:val="7030A0"/>
                <w:lang w:val="pt-BR" w:eastAsia="es-ES_tradnl"/>
              </w:rPr>
            </w:pPr>
          </w:p>
        </w:tc>
        <w:tc>
          <w:tcPr>
            <w:tcW w:w="6100" w:type="dxa"/>
          </w:tcPr>
          <w:p w14:paraId="5CC9380C" w14:textId="77777777" w:rsidR="007F707F" w:rsidRPr="00C00976" w:rsidRDefault="007F707F" w:rsidP="00F90EC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1429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7F707F" w:rsidRPr="00593A5F" w14:paraId="1C05B01F" w14:textId="77777777" w:rsidTr="00F90ECF">
        <w:trPr>
          <w:trHeight w:val="884"/>
        </w:trPr>
        <w:tc>
          <w:tcPr>
            <w:tcW w:w="2689" w:type="dxa"/>
          </w:tcPr>
          <w:p w14:paraId="4FAFC46F" w14:textId="77777777" w:rsidR="007F707F" w:rsidRPr="00593A5F" w:rsidRDefault="007F707F" w:rsidP="00F90EC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50FB6D5" w14:textId="77777777" w:rsidR="007F707F" w:rsidRDefault="007F707F" w:rsidP="00F90ECF">
            <w:pPr>
              <w:spacing w:line="276" w:lineRule="auto"/>
              <w:jc w:val="both"/>
              <w:rPr>
                <w:rFonts w:ascii="Verdana" w:eastAsia="Calibri" w:hAnsi="Verdana" w:cs="Arial"/>
                <w:lang w:val="es-ES" w:eastAsia="es-ES"/>
              </w:rPr>
            </w:pPr>
            <w:r w:rsidRPr="00660AA2">
              <w:rPr>
                <w:rFonts w:ascii="Verdana" w:eastAsia="Calibri" w:hAnsi="Verdana" w:cs="Arial"/>
                <w:lang w:val="es-ES" w:eastAsia="es-ES"/>
              </w:rPr>
              <w:t>EQUILIBRIO ECONÓMICO – Contrato estatal – Fundamento / EQUILIBRIO ECONÓMICO – Contrato estatal – Concepto / EQUILIBRIO ECONÓMICO – Contrato estatal – Restablecimiento – Procedencia – Requisitos</w:t>
            </w:r>
            <w:r>
              <w:rPr>
                <w:rFonts w:ascii="Verdana" w:eastAsia="Calibri" w:hAnsi="Verdana" w:cs="Arial"/>
                <w:lang w:val="es-ES" w:eastAsia="es-ES"/>
              </w:rPr>
              <w:t xml:space="preserve"> / </w:t>
            </w:r>
            <w:r w:rsidRPr="00660AA2">
              <w:rPr>
                <w:rFonts w:ascii="Verdana" w:eastAsia="Calibri" w:hAnsi="Verdana" w:cs="Arial"/>
                <w:lang w:val="es-ES" w:eastAsia="es-ES"/>
              </w:rPr>
              <w:t xml:space="preserve">RESTABLECIMIENTO DE LA ECUACIÓN ECONÓMICA – Liquidación </w:t>
            </w:r>
            <w:r>
              <w:rPr>
                <w:rFonts w:ascii="Verdana" w:eastAsia="Calibri" w:hAnsi="Verdana" w:cs="Arial"/>
                <w:lang w:val="es-ES" w:eastAsia="es-ES"/>
              </w:rPr>
              <w:t xml:space="preserve">/ </w:t>
            </w:r>
            <w:r w:rsidRPr="00A04C35">
              <w:rPr>
                <w:rFonts w:ascii="Verdana" w:hAnsi="Verdana" w:cs="Arial"/>
                <w:lang w:val="es-ES" w:eastAsia="es-ES"/>
              </w:rPr>
              <w:t>ENRIQUECIMIENTO SIN JUSTA CAUSA – Sentencia de Unificación del 19 de noviembre de 2012 – Alcance / ENRIQUECIMIENTO SIN JUSTA CAUSA – Nueva Postura – Sentencia de Unificación Jurisprudencial – Elementos – Prueba de la Actividad - Circunstancia Excepcional - Procedencia</w:t>
            </w:r>
          </w:p>
          <w:p w14:paraId="66E5E16B" w14:textId="77777777" w:rsidR="007F707F" w:rsidRPr="00593A5F" w:rsidRDefault="007F707F" w:rsidP="00F90EC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7F707F" w:rsidRPr="008E6AD9" w14:paraId="445A2690" w14:textId="77777777" w:rsidTr="00F90ECF">
        <w:tc>
          <w:tcPr>
            <w:tcW w:w="2689" w:type="dxa"/>
          </w:tcPr>
          <w:p w14:paraId="21425E78" w14:textId="77777777" w:rsidR="007F707F" w:rsidRPr="008E6AD9" w:rsidRDefault="007F707F" w:rsidP="00F90EC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A2EE6D5" w14:textId="77777777" w:rsidR="007F707F" w:rsidRPr="00B92340" w:rsidRDefault="007F707F" w:rsidP="00F90ECF">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3130C1">
              <w:rPr>
                <w:rFonts w:ascii="Verdana" w:eastAsia="Calibri" w:hAnsi="Verdana" w:cs="Arial"/>
                <w:lang w:val="es-ES_tradnl" w:eastAsia="es-ES_tradnl"/>
              </w:rPr>
              <w:t>1_2025_10_02_011011</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51862A18" w14:textId="77777777" w:rsidR="007F707F" w:rsidRPr="00593A5F" w:rsidRDefault="007F707F" w:rsidP="007F707F">
      <w:pPr>
        <w:spacing w:after="0" w:line="240" w:lineRule="auto"/>
        <w:jc w:val="both"/>
        <w:rPr>
          <w:rFonts w:ascii="Verdana" w:eastAsia="Calibri" w:hAnsi="Verdana" w:cs="Arial"/>
          <w:color w:val="000000"/>
          <w:lang w:val="es-ES_tradnl" w:eastAsia="es-ES_tradnl"/>
        </w:rPr>
      </w:pPr>
    </w:p>
    <w:p w14:paraId="2309B502" w14:textId="77777777" w:rsidR="007F707F" w:rsidRPr="00593A5F" w:rsidRDefault="007F707F" w:rsidP="007F707F">
      <w:pPr>
        <w:spacing w:after="0" w:line="240" w:lineRule="auto"/>
        <w:jc w:val="both"/>
        <w:rPr>
          <w:rFonts w:ascii="Verdana" w:eastAsia="Calibri" w:hAnsi="Verdana" w:cs="Arial"/>
          <w:color w:val="000000"/>
          <w:lang w:val="es-ES_tradnl" w:eastAsia="es-ES_tradnl"/>
        </w:rPr>
      </w:pPr>
    </w:p>
    <w:p w14:paraId="4671E2D8" w14:textId="77777777" w:rsidR="007F707F" w:rsidRPr="008E6AD9" w:rsidRDefault="007F707F" w:rsidP="007F707F">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0F4870">
        <w:rPr>
          <w:rFonts w:ascii="Verdana" w:eastAsia="Calibri" w:hAnsi="Verdana" w:cs="Arial"/>
          <w:lang w:val="es-ES" w:eastAsia="es-ES"/>
        </w:rPr>
        <w:t>Manosalva Amaya</w:t>
      </w:r>
      <w:r w:rsidRPr="008E6AD9">
        <w:rPr>
          <w:rFonts w:ascii="Verdana" w:eastAsia="Calibri" w:hAnsi="Verdana" w:cs="Arial"/>
          <w:lang w:val="es-ES" w:eastAsia="es-ES"/>
        </w:rPr>
        <w:t xml:space="preserve">: </w:t>
      </w:r>
    </w:p>
    <w:p w14:paraId="1A185F7F" w14:textId="77777777" w:rsidR="007F707F" w:rsidRDefault="007F707F" w:rsidP="007F707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4145B9C" w14:textId="77777777" w:rsidR="007F707F" w:rsidRPr="00593A5F" w:rsidRDefault="007F707F" w:rsidP="007F707F">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 de octubre de 2025, en la cual pregunta lo siguiente</w:t>
      </w:r>
      <w:r w:rsidRPr="008E6AD9">
        <w:rPr>
          <w:rFonts w:ascii="Verdana" w:eastAsia="Calibri" w:hAnsi="Verdana" w:cs="Arial"/>
          <w:lang w:val="es-ES" w:eastAsia="es-ES"/>
        </w:rPr>
        <w:t xml:space="preserve">: </w:t>
      </w:r>
    </w:p>
    <w:p w14:paraId="0C0B4CA9" w14:textId="77777777" w:rsidR="007F707F" w:rsidRPr="00272A7B" w:rsidRDefault="007F707F" w:rsidP="007F707F">
      <w:pPr>
        <w:pStyle w:val="Prrafodelista"/>
        <w:tabs>
          <w:tab w:val="left" w:pos="142"/>
          <w:tab w:val="left" w:pos="284"/>
        </w:tabs>
        <w:spacing w:after="0" w:line="276" w:lineRule="auto"/>
        <w:ind w:left="0"/>
        <w:jc w:val="both"/>
        <w:rPr>
          <w:rFonts w:ascii="Verdana" w:eastAsia="Century Gothic" w:hAnsi="Verdana" w:cs="Century Gothic"/>
          <w:b/>
          <w:bCs/>
        </w:rPr>
      </w:pPr>
    </w:p>
    <w:p w14:paraId="2888B2D5" w14:textId="77777777" w:rsidR="007F707F" w:rsidRPr="00AA6517" w:rsidRDefault="007F707F" w:rsidP="007F707F">
      <w:pPr>
        <w:spacing w:after="0" w:line="240" w:lineRule="auto"/>
        <w:ind w:left="709" w:right="709"/>
        <w:jc w:val="both"/>
        <w:rPr>
          <w:rFonts w:ascii="Verdana" w:eastAsia="Century Gothic" w:hAnsi="Verdana" w:cs="Century Gothic"/>
          <w:sz w:val="20"/>
          <w:szCs w:val="20"/>
          <w:lang w:val="es-ES"/>
        </w:rPr>
      </w:pPr>
      <w:bookmarkStart w:id="1" w:name="_Hlk95313578"/>
      <w:r w:rsidRPr="00AA6517">
        <w:rPr>
          <w:rFonts w:ascii="Verdana" w:eastAsia="Century Gothic" w:hAnsi="Verdana" w:cs="Century Gothic"/>
          <w:sz w:val="20"/>
          <w:szCs w:val="20"/>
          <w:lang w:val="es-ES"/>
        </w:rPr>
        <w:lastRenderedPageBreak/>
        <w:t>“</w:t>
      </w:r>
      <w:bookmarkEnd w:id="1"/>
      <w:r w:rsidRPr="00AA6517">
        <w:rPr>
          <w:rFonts w:ascii="Verdana" w:eastAsia="Century Gothic" w:hAnsi="Verdana" w:cs="Century Gothic"/>
          <w:sz w:val="20"/>
          <w:szCs w:val="20"/>
          <w:lang w:val="es-ES"/>
        </w:rPr>
        <w:t>¿En el evento en que, por circunstancias de la obra, se requiera la ejecución de meses adicionales a los inicialmente previstos, derivados de la inclusión de ítems no previstos y del ajuste de mayores y menores cantidades que generaron un incremento en el valor contractual y una adición en tiempo, el Plan de Manejo de Tránsito (PMT) y el Plan de Adaptación de la Guía Ambiental (PAGA) deben ser objeto de adición presupuestal o se deben ejecutar con el valor inicialmente definido en el contrato?</w:t>
      </w:r>
      <w:r w:rsidRPr="00AA6517">
        <w:rPr>
          <w:rFonts w:ascii="Verdana" w:eastAsia="Century Gothic" w:hAnsi="Verdana" w:cs="Century Gothic"/>
          <w:sz w:val="20"/>
          <w:szCs w:val="20"/>
        </w:rPr>
        <w:t>”.</w:t>
      </w:r>
      <w:r>
        <w:rPr>
          <w:rFonts w:ascii="Verdana" w:eastAsia="Century Gothic" w:hAnsi="Verdana" w:cs="Century Gothic"/>
          <w:sz w:val="21"/>
          <w:szCs w:val="21"/>
        </w:rPr>
        <w:t xml:space="preserve"> </w:t>
      </w:r>
    </w:p>
    <w:p w14:paraId="1F415B24" w14:textId="77777777" w:rsidR="007F707F" w:rsidRPr="008E6AD9" w:rsidRDefault="007F707F" w:rsidP="007F707F">
      <w:pPr>
        <w:pStyle w:val="Prrafodelista"/>
        <w:tabs>
          <w:tab w:val="left" w:pos="142"/>
          <w:tab w:val="left" w:pos="284"/>
        </w:tabs>
        <w:spacing w:after="0" w:line="276" w:lineRule="auto"/>
        <w:ind w:left="0"/>
        <w:jc w:val="both"/>
        <w:rPr>
          <w:rFonts w:ascii="Verdana" w:eastAsia="Century Gothic" w:hAnsi="Verdana" w:cs="Century Gothic"/>
          <w:b/>
          <w:bCs/>
        </w:rPr>
      </w:pPr>
    </w:p>
    <w:p w14:paraId="29522BAD" w14:textId="77777777" w:rsidR="007F707F" w:rsidRPr="00A652FF" w:rsidRDefault="007F707F" w:rsidP="007F707F">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0625D25" w14:textId="77777777" w:rsidR="007F707F" w:rsidRDefault="007F707F" w:rsidP="007F707F">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89C315A" w14:textId="77777777" w:rsidR="007F707F" w:rsidRPr="00593A5F" w:rsidRDefault="007F707F" w:rsidP="007F707F">
      <w:pPr>
        <w:spacing w:after="0" w:line="276" w:lineRule="auto"/>
        <w:ind w:firstLine="709"/>
        <w:jc w:val="both"/>
        <w:rPr>
          <w:rFonts w:ascii="Verdana" w:eastAsia="Calibri" w:hAnsi="Verdana" w:cs="Arial"/>
          <w:color w:val="000000"/>
          <w:lang w:val="es-ES" w:eastAsia="es-ES"/>
        </w:rPr>
      </w:pPr>
    </w:p>
    <w:p w14:paraId="4B1E2C86" w14:textId="77777777" w:rsidR="007F707F" w:rsidRPr="00593A5F" w:rsidRDefault="007F707F" w:rsidP="007F707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F9F00EC" w14:textId="77777777" w:rsidR="007F707F" w:rsidRPr="00593A5F" w:rsidRDefault="007F707F" w:rsidP="007F707F">
      <w:pPr>
        <w:tabs>
          <w:tab w:val="left" w:pos="426"/>
        </w:tabs>
        <w:spacing w:after="0" w:line="276" w:lineRule="auto"/>
        <w:jc w:val="both"/>
        <w:rPr>
          <w:rFonts w:ascii="Verdana" w:eastAsia="Century Gothic" w:hAnsi="Verdana" w:cs="Century Gothic"/>
          <w:lang w:val="es-ES"/>
        </w:rPr>
      </w:pPr>
    </w:p>
    <w:p w14:paraId="71F33B51" w14:textId="39A756C8" w:rsidR="007F707F" w:rsidRPr="00593A5F" w:rsidRDefault="007F707F" w:rsidP="007F707F">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sidR="00A04039">
        <w:rPr>
          <w:rFonts w:ascii="Verdana" w:eastAsia="Century Gothic" w:hAnsi="Verdana" w:cs="Century Gothic"/>
        </w:rPr>
        <w:t>R</w:t>
      </w:r>
      <w:r>
        <w:rPr>
          <w:rFonts w:ascii="Verdana" w:eastAsia="Century Gothic" w:hAnsi="Verdana" w:cs="Century Gothic"/>
        </w:rPr>
        <w:t xml:space="preserve">especto a la variación del precio de los valores unitarios en el tiempo, </w:t>
      </w:r>
      <w:r w:rsidR="00A04039">
        <w:rPr>
          <w:rFonts w:ascii="Verdana" w:eastAsia="Century Gothic" w:hAnsi="Verdana" w:cs="Century Gothic"/>
        </w:rPr>
        <w:t>¿</w:t>
      </w:r>
      <w:r>
        <w:rPr>
          <w:rFonts w:ascii="Verdana" w:eastAsia="Century Gothic" w:hAnsi="Verdana" w:cs="Century Gothic"/>
        </w:rPr>
        <w:t xml:space="preserve">cuáles son los mecanismos para el restablecimiento de la ecuación financiera del contrato? </w:t>
      </w:r>
    </w:p>
    <w:p w14:paraId="1B378D9C" w14:textId="77777777" w:rsidR="007F707F" w:rsidRPr="004B140F" w:rsidRDefault="007F707F" w:rsidP="007F707F">
      <w:pPr>
        <w:spacing w:after="0" w:line="276" w:lineRule="auto"/>
        <w:jc w:val="both"/>
        <w:rPr>
          <w:rFonts w:ascii="Verdana" w:eastAsia="Calibri" w:hAnsi="Verdana" w:cs="Arial"/>
          <w:color w:val="7030A0"/>
        </w:rPr>
      </w:pPr>
    </w:p>
    <w:p w14:paraId="3D4064D3" w14:textId="77777777" w:rsidR="007F707F" w:rsidRPr="00593A5F" w:rsidRDefault="007F707F" w:rsidP="007F707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A68D39B" w14:textId="77777777" w:rsidR="007F707F" w:rsidRPr="00593A5F" w:rsidRDefault="007F707F" w:rsidP="007F707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F707F" w:rsidRPr="00593A5F" w14:paraId="085EAF3A" w14:textId="77777777" w:rsidTr="00F90ECF">
        <w:trPr>
          <w:jc w:val="center"/>
        </w:trPr>
        <w:tc>
          <w:tcPr>
            <w:tcW w:w="8828" w:type="dxa"/>
          </w:tcPr>
          <w:p w14:paraId="528AE329" w14:textId="77777777" w:rsidR="007F707F" w:rsidRDefault="007F707F" w:rsidP="00F90ECF">
            <w:pPr>
              <w:spacing w:after="120" w:line="276" w:lineRule="auto"/>
              <w:ind w:right="51"/>
              <w:jc w:val="both"/>
              <w:rPr>
                <w:rFonts w:ascii="Verdana" w:eastAsia="Arial" w:hAnsi="Verdana" w:cs="Arial"/>
                <w:color w:val="000000" w:themeColor="text1"/>
                <w:lang w:eastAsia="es-ES" w:bidi="es-ES"/>
              </w:rPr>
            </w:pPr>
            <w:bookmarkStart w:id="2" w:name="_Hlk171694685"/>
            <w:r>
              <w:rPr>
                <w:rFonts w:ascii="Verdana" w:eastAsia="Calibri" w:hAnsi="Verdana" w:cs="Arial"/>
                <w:bCs/>
                <w:color w:val="000000" w:themeColor="text1"/>
              </w:rPr>
              <w:t>Conforme a la interpretación general de las normas del sistema de compras públicas, p</w:t>
            </w:r>
            <w:r>
              <w:rPr>
                <w:rFonts w:ascii="Verdana" w:eastAsia="Arial" w:hAnsi="Verdana" w:cs="Arial"/>
                <w:color w:val="000000" w:themeColor="text1"/>
                <w:lang w:eastAsia="es-ES" w:bidi="es-ES"/>
              </w:rPr>
              <w:t xml:space="preserve">or remisión de los artículos 13, 32 y 40 del EGCAP al derecho </w:t>
            </w:r>
            <w:r>
              <w:rPr>
                <w:rFonts w:ascii="Verdana" w:eastAsia="Arial" w:hAnsi="Verdana" w:cs="Arial"/>
                <w:color w:val="000000" w:themeColor="text1"/>
                <w:lang w:eastAsia="es-ES" w:bidi="es-ES"/>
              </w:rPr>
              <w:lastRenderedPageBreak/>
              <w:t xml:space="preserve">privado, el contrato es ley para las partes conforme al artículo 1602 del Código Civil.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 xml:space="preserve">obligaciones. </w:t>
            </w:r>
          </w:p>
          <w:p w14:paraId="35396D6B" w14:textId="77777777" w:rsidR="007F707F" w:rsidRDefault="007F707F" w:rsidP="00F90ECF">
            <w:pPr>
              <w:spacing w:after="120" w:line="276" w:lineRule="auto"/>
              <w:ind w:right="51" w:firstLine="737"/>
              <w:jc w:val="both"/>
              <w:rPr>
                <w:rFonts w:ascii="Verdana" w:eastAsia="Arial" w:hAnsi="Verdana" w:cs="Arial"/>
                <w:color w:val="000000" w:themeColor="text1"/>
                <w:lang w:eastAsia="es-ES" w:bidi="es-ES"/>
              </w:rPr>
            </w:pPr>
            <w:r>
              <w:rPr>
                <w:rFonts w:ascii="Verdana" w:eastAsia="Arial" w:hAnsi="Verdana" w:cs="Arial"/>
                <w:color w:val="000000" w:themeColor="text1"/>
                <w:lang w:val="es-ES" w:eastAsia="es-ES" w:bidi="es-ES"/>
              </w:rPr>
              <w:t xml:space="preserve">Para estos efectos, </w:t>
            </w:r>
            <w:r w:rsidRPr="00E97A27">
              <w:rPr>
                <w:rFonts w:ascii="Verdana" w:eastAsia="Arial" w:hAnsi="Verdana" w:cs="Arial"/>
                <w:color w:val="000000" w:themeColor="text1"/>
                <w:lang w:val="es-ES" w:eastAsia="es-ES" w:bidi="es-ES"/>
              </w:rPr>
              <w:t xml:space="preserve">el numeral 3 del artículo 4 </w:t>
            </w:r>
            <w:r>
              <w:rPr>
                <w:rFonts w:ascii="Verdana" w:eastAsia="Arial" w:hAnsi="Verdana" w:cs="Arial"/>
                <w:color w:val="000000" w:themeColor="text1"/>
                <w:lang w:val="es-ES" w:eastAsia="es-ES" w:bidi="es-ES"/>
              </w:rPr>
              <w:t>del EGCAP</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w:t>
            </w:r>
            <w:r>
              <w:rPr>
                <w:rFonts w:ascii="Verdana" w:eastAsia="Arial" w:hAnsi="Verdana" w:cs="Arial"/>
                <w:color w:val="000000" w:themeColor="text1"/>
                <w:lang w:val="es-ES" w:eastAsia="es-ES" w:bidi="es-ES"/>
              </w:rPr>
              <w:t>.</w:t>
            </w:r>
          </w:p>
          <w:p w14:paraId="77276D52" w14:textId="77777777" w:rsidR="007F707F" w:rsidRPr="00324083" w:rsidRDefault="007F707F" w:rsidP="00F90ECF">
            <w:pPr>
              <w:spacing w:after="120" w:line="276" w:lineRule="auto"/>
              <w:ind w:right="51" w:firstLine="737"/>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Asimismo, </w:t>
            </w:r>
            <w:r w:rsidRPr="00E97A27">
              <w:rPr>
                <w:rFonts w:ascii="Verdana" w:eastAsia="Arial" w:hAnsi="Verdana" w:cs="Arial"/>
                <w:color w:val="000000" w:themeColor="text1"/>
                <w:lang w:val="es-ES" w:eastAsia="es-ES" w:bidi="es-ES"/>
              </w:rPr>
              <w:t>cuando se presenten situaciones que generen el desequilibrio económico del contrato, previa revisión de su procedencia, conforme el análisis del caso concreto, la entidad deberá adoptar las medidas correspondientes para su restablecimiento, si a ello hay lugar, para lo cual tiene la potestad de suscribir los acuerdos necesarios sobre cuantía, condiciones, forma de pago, etc.</w:t>
            </w:r>
            <w:r>
              <w:rPr>
                <w:rFonts w:ascii="Verdana" w:eastAsia="Arial" w:hAnsi="Verdana" w:cs="Arial"/>
                <w:color w:val="000000" w:themeColor="text1"/>
                <w:lang w:val="es-ES" w:eastAsia="es-ES" w:bidi="es-ES"/>
              </w:rPr>
              <w:t xml:space="preserve"> </w:t>
            </w:r>
            <w:r w:rsidRPr="00E97A27">
              <w:rPr>
                <w:rFonts w:ascii="Verdana" w:eastAsia="Arial" w:hAnsi="Verdana" w:cs="Arial"/>
                <w:color w:val="000000" w:themeColor="text1"/>
                <w:lang w:val="es-ES" w:eastAsia="es-ES" w:bidi="es-ES"/>
              </w:rPr>
              <w:t>Estas medidas podrán materializarse a través de los distintos acuerdos que suscriban las partes como prórrogas, adiciones, otrosíes o cualquier acuerdo modificatorio que se considere necesarios para solventar el desequilibrio del contrato de acuerdo con las particularidades de cada caso. Igualmente, podrá efectuarse dicho reconocimiento por parte del juez mediante el ejercicio de la acción judicial correspondiente.</w:t>
            </w:r>
          </w:p>
          <w:p w14:paraId="3E99DF9F" w14:textId="77777777" w:rsidR="007F707F" w:rsidRPr="00324083" w:rsidRDefault="007F707F" w:rsidP="00F90ECF">
            <w:pPr>
              <w:spacing w:after="120" w:line="276" w:lineRule="auto"/>
              <w:ind w:firstLine="737"/>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Finalmente, conforme a los incisos segundo y tercero del artículo 60 del EGCAP, en la liquidación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En el marco </w:t>
            </w:r>
            <w:r w:rsidRPr="00A04C35">
              <w:rPr>
                <w:rFonts w:ascii="Verdana" w:eastAsia="Times New Roman" w:hAnsi="Verdana" w:cs="Arial"/>
                <w:color w:val="000000"/>
                <w:bdr w:val="none" w:sz="0" w:space="0" w:color="auto" w:frame="1"/>
                <w:shd w:val="clear" w:color="auto" w:fill="FFFFFF"/>
                <w:lang w:eastAsia="es-ES_tradnl"/>
              </w:rPr>
              <w:t>la Sentencia de Unificación del 31 de julio de 2025</w:t>
            </w:r>
            <w:r>
              <w:rPr>
                <w:rFonts w:ascii="Verdana" w:eastAsia="Times New Roman" w:hAnsi="Verdana" w:cs="Arial"/>
                <w:color w:val="000000"/>
                <w:bdr w:val="none" w:sz="0" w:space="0" w:color="auto" w:frame="1"/>
                <w:shd w:val="clear" w:color="auto" w:fill="FFFFFF"/>
                <w:lang w:eastAsia="es-ES_tradnl"/>
              </w:rPr>
              <w:t xml:space="preserve">, </w:t>
            </w:r>
            <w:r w:rsidRPr="00A04C35">
              <w:rPr>
                <w:rFonts w:ascii="Verdana" w:eastAsia="Times New Roman" w:hAnsi="Verdana" w:cs="Arial"/>
                <w:color w:val="000000"/>
                <w:bdr w:val="none" w:sz="0" w:space="0" w:color="auto" w:frame="1"/>
                <w:shd w:val="clear" w:color="auto" w:fill="FFFFFF"/>
                <w:lang w:eastAsia="es-ES_tradnl"/>
              </w:rPr>
              <w:t xml:space="preserve">existe la posibilidad de reconocer en la liquidación actividades no incluidas o </w:t>
            </w:r>
            <w:r w:rsidRPr="0044442B">
              <w:rPr>
                <w:rFonts w:ascii="Verdana" w:eastAsia="Times New Roman" w:hAnsi="Verdana" w:cs="Arial"/>
                <w:color w:val="000000"/>
                <w:bdr w:val="none" w:sz="0" w:space="0" w:color="auto" w:frame="1"/>
                <w:shd w:val="clear" w:color="auto" w:fill="FFFFFF"/>
                <w:lang w:eastAsia="es-ES_tradnl"/>
              </w:rPr>
              <w:t>ítems</w:t>
            </w:r>
            <w:r w:rsidRPr="00A04C35">
              <w:rPr>
                <w:rFonts w:ascii="Verdana" w:eastAsia="Times New Roman" w:hAnsi="Verdana" w:cs="Arial"/>
                <w:color w:val="000000"/>
                <w:bdr w:val="none" w:sz="0" w:space="0" w:color="auto" w:frame="1"/>
                <w:shd w:val="clear" w:color="auto" w:fill="FFFFFF"/>
                <w:lang w:eastAsia="es-ES_tradnl"/>
              </w:rPr>
              <w:t xml:space="preserve"> no previstos dentro del contrato, pues no se limita a los </w:t>
            </w:r>
            <w:r w:rsidRPr="00A04C35">
              <w:rPr>
                <w:rFonts w:ascii="Verdana" w:eastAsia="Times New Roman" w:hAnsi="Verdana" w:cs="Arial"/>
                <w:color w:val="000000"/>
                <w:bdr w:val="none" w:sz="0" w:space="0" w:color="auto" w:frame="1"/>
                <w:shd w:val="clear" w:color="auto" w:fill="FFFFFF"/>
                <w:lang w:eastAsia="es-ES_tradnl"/>
              </w:rPr>
              <w:lastRenderedPageBreak/>
              <w:t>supuestos planteados de la Sentencia de Unificación del 19 de noviembre de 2012, sino que se configuren los elementos del enriquecimiento sin justa causa, la prueba de la actividad, sumado a la circunstancia excepcional que se invoca.</w:t>
            </w:r>
          </w:p>
          <w:p w14:paraId="3024A1C4" w14:textId="77777777" w:rsidR="007F707F" w:rsidRPr="001941FD" w:rsidRDefault="007F707F" w:rsidP="00F90ECF">
            <w:pPr>
              <w:spacing w:line="276" w:lineRule="auto"/>
              <w:ind w:firstLine="709"/>
              <w:jc w:val="both"/>
              <w:rPr>
                <w:rFonts w:ascii="Verdana" w:eastAsia="Calibri" w:hAnsi="Verdana" w:cs="Arial"/>
                <w:bCs/>
                <w:color w:val="000000" w:themeColor="text1"/>
              </w:rPr>
            </w:pPr>
            <w:r w:rsidRPr="005A13AE">
              <w:rPr>
                <w:rStyle w:val="s15"/>
                <w:rFonts w:ascii="Verdana" w:hAnsi="Verdana"/>
                <w:color w:val="000000"/>
              </w:rPr>
              <w:t>Al margen de la explicación precedente debe advertirse que el análisis requerido para resolver problemas específicos en torno a los reconocimientos económicos derivados del desequilibrio en el contrato debe ser realizado por quienes tengan interés en ello, de acuerdo con lo explicado la aclaración preliminar del presente oficio</w:t>
            </w:r>
            <w:r w:rsidRPr="001941FD">
              <w:rPr>
                <w:rStyle w:val="s15"/>
                <w:rFonts w:ascii="Verdana" w:hAnsi="Verdana"/>
                <w:color w:val="000000"/>
              </w:rPr>
              <w:t>.</w:t>
            </w:r>
            <w:r w:rsidRPr="001941FD">
              <w:rPr>
                <w:rStyle w:val="apple-converted-space"/>
                <w:rFonts w:ascii="Verdana" w:hAnsi="Verdana"/>
                <w:color w:val="000000"/>
              </w:rPr>
              <w:t> </w:t>
            </w:r>
            <w:r w:rsidRPr="001941FD">
              <w:rPr>
                <w:rStyle w:val="s15"/>
                <w:rFonts w:ascii="Verdana" w:hAnsi="Verdana"/>
                <w:color w:val="000000"/>
              </w:rPr>
              <w:t>Por lo anterior,</w:t>
            </w:r>
            <w:r>
              <w:rPr>
                <w:rStyle w:val="s15"/>
                <w:rFonts w:ascii="Verdana" w:hAnsi="Verdana"/>
                <w:color w:val="000000"/>
              </w:rPr>
              <w:t xml:space="preserve"> </w:t>
            </w:r>
            <w:r>
              <w:rPr>
                <w:rFonts w:ascii="Verdana" w:hAnsi="Verdana" w:cs="Arial"/>
                <w:lang w:eastAsia="es-ES"/>
              </w:rPr>
              <w:t>de acuerdo con la distribución de los riesgos</w:t>
            </w:r>
            <w:r w:rsidRPr="001941FD">
              <w:rPr>
                <w:rStyle w:val="s15"/>
                <w:rFonts w:ascii="Verdana" w:hAnsi="Verdana"/>
                <w:color w:val="000000"/>
              </w:rPr>
              <w:t xml:space="preserve">, corresponde </w:t>
            </w:r>
            <w:r>
              <w:rPr>
                <w:rStyle w:val="s15"/>
                <w:rFonts w:ascii="Verdana" w:hAnsi="Verdana"/>
                <w:color w:val="000000"/>
              </w:rPr>
              <w:t>a las partes del contrato</w:t>
            </w:r>
            <w:r w:rsidRPr="001941FD">
              <w:rPr>
                <w:rStyle w:val="s15"/>
                <w:rFonts w:ascii="Verdana" w:hAnsi="Verdana"/>
                <w:color w:val="000000"/>
              </w:rPr>
              <w:t xml:space="preserve"> </w:t>
            </w:r>
            <w:r>
              <w:rPr>
                <w:rStyle w:val="s15"/>
                <w:rFonts w:ascii="Verdana" w:hAnsi="Verdana"/>
                <w:color w:val="000000"/>
              </w:rPr>
              <w:t xml:space="preserve">definir si determinados </w:t>
            </w:r>
            <w:r w:rsidRPr="0013555B">
              <w:rPr>
                <w:rStyle w:val="s15"/>
                <w:rFonts w:ascii="Verdana" w:hAnsi="Verdana"/>
                <w:i/>
                <w:iCs/>
                <w:color w:val="000000"/>
              </w:rPr>
              <w:t>ítems</w:t>
            </w:r>
            <w:r w:rsidRPr="0013555B">
              <w:rPr>
                <w:rStyle w:val="s15"/>
                <w:rFonts w:ascii="Verdana" w:hAnsi="Verdana"/>
                <w:color w:val="000000"/>
              </w:rPr>
              <w:t xml:space="preserve"> </w:t>
            </w:r>
            <w:r>
              <w:rPr>
                <w:rStyle w:val="s15"/>
                <w:rFonts w:ascii="Verdana" w:hAnsi="Verdana"/>
                <w:color w:val="000000"/>
              </w:rPr>
              <w:t xml:space="preserve">serán objeto de </w:t>
            </w:r>
            <w:r w:rsidRPr="0013555B">
              <w:rPr>
                <w:rStyle w:val="s15"/>
                <w:rFonts w:ascii="Verdana" w:hAnsi="Verdana"/>
                <w:color w:val="000000"/>
              </w:rPr>
              <w:t>adición presupuestal o deben ejecutar</w:t>
            </w:r>
            <w:r>
              <w:rPr>
                <w:rStyle w:val="s15"/>
                <w:rFonts w:ascii="Verdana" w:hAnsi="Verdana"/>
                <w:color w:val="000000"/>
              </w:rPr>
              <w:t>se</w:t>
            </w:r>
            <w:r w:rsidRPr="0013555B">
              <w:rPr>
                <w:rStyle w:val="s15"/>
                <w:rFonts w:ascii="Verdana" w:hAnsi="Verdana"/>
                <w:color w:val="000000"/>
              </w:rPr>
              <w:t xml:space="preserve"> con el valor inicialmente definido </w:t>
            </w:r>
            <w:r>
              <w:rPr>
                <w:rStyle w:val="s15"/>
                <w:rFonts w:ascii="Verdana" w:hAnsi="Verdana"/>
                <w:color w:val="000000"/>
              </w:rPr>
              <w:t>en los documentos del proceso; motivo por el cual,</w:t>
            </w:r>
            <w:r w:rsidRPr="001941FD">
              <w:rPr>
                <w:rStyle w:val="s15"/>
                <w:rFonts w:ascii="Verdana" w:hAnsi="Verdana"/>
                <w:color w:val="000000"/>
              </w:rPr>
              <w:t xml:space="preserve"> en caso de conflicto, </w:t>
            </w:r>
            <w:r>
              <w:rPr>
                <w:rStyle w:val="s15"/>
                <w:rFonts w:ascii="Verdana" w:hAnsi="Verdana"/>
                <w:color w:val="000000"/>
              </w:rPr>
              <w:t xml:space="preserve">intervendrán </w:t>
            </w:r>
            <w:r w:rsidRPr="001941FD">
              <w:rPr>
                <w:rStyle w:val="s15"/>
                <w:rFonts w:ascii="Verdana" w:hAnsi="Verdana"/>
                <w:color w:val="000000"/>
              </w:rPr>
              <w:t>las autoridades judiciales, fiscales y disciplinarias. Así, cada entidad definirá la forma de adelantar su gestión contractual, sin que sea atribución de Colombia Compra Eficiente validar sus actuaciones.</w:t>
            </w:r>
          </w:p>
        </w:tc>
      </w:tr>
    </w:tbl>
    <w:p w14:paraId="33750170" w14:textId="77777777" w:rsidR="007F707F" w:rsidRPr="00593A5F" w:rsidRDefault="007F707F" w:rsidP="007F707F">
      <w:pPr>
        <w:tabs>
          <w:tab w:val="left" w:pos="142"/>
          <w:tab w:val="left" w:pos="284"/>
        </w:tabs>
        <w:spacing w:after="0" w:line="276" w:lineRule="auto"/>
        <w:jc w:val="both"/>
        <w:rPr>
          <w:rFonts w:ascii="Verdana" w:eastAsia="Century Gothic" w:hAnsi="Verdana" w:cs="Century Gothic"/>
          <w:b/>
          <w:bCs/>
          <w:lang w:val="es-ES"/>
        </w:rPr>
      </w:pPr>
    </w:p>
    <w:bookmarkEnd w:id="2"/>
    <w:p w14:paraId="2AC4F676" w14:textId="77777777" w:rsidR="007F707F" w:rsidRPr="00593A5F" w:rsidRDefault="007F707F" w:rsidP="007F707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12FDF5D" w14:textId="77777777" w:rsidR="007F707F" w:rsidRPr="00593A5F" w:rsidRDefault="007F707F" w:rsidP="007F707F">
      <w:pPr>
        <w:spacing w:after="0" w:line="276" w:lineRule="auto"/>
        <w:jc w:val="both"/>
        <w:rPr>
          <w:rFonts w:ascii="Verdana" w:eastAsia="Calibri" w:hAnsi="Verdana" w:cs="Arial"/>
          <w:color w:val="7030A0"/>
          <w:lang w:val="es-ES"/>
        </w:rPr>
      </w:pPr>
    </w:p>
    <w:p w14:paraId="0498CC1B" w14:textId="77777777" w:rsidR="007F707F" w:rsidRDefault="007F707F" w:rsidP="007F707F">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4DAC8B3" w14:textId="77777777" w:rsidR="007F707F" w:rsidRPr="00415608" w:rsidRDefault="007F707F" w:rsidP="007F707F">
      <w:pPr>
        <w:spacing w:after="0" w:line="276" w:lineRule="auto"/>
        <w:jc w:val="both"/>
        <w:rPr>
          <w:rFonts w:ascii="Verdana" w:eastAsia="Calibri" w:hAnsi="Verdana" w:cs="Arial"/>
          <w:lang w:val="es-ES"/>
        </w:rPr>
      </w:pPr>
    </w:p>
    <w:p w14:paraId="08527145" w14:textId="77777777" w:rsidR="007F707F" w:rsidRPr="00E97A27" w:rsidRDefault="007F707F" w:rsidP="007F707F">
      <w:pPr>
        <w:widowControl w:val="0"/>
        <w:autoSpaceDE w:val="0"/>
        <w:autoSpaceDN w:val="0"/>
        <w:spacing w:after="0" w:line="276" w:lineRule="auto"/>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De conformidad con el artículo 3 de la Ley 80 de 1993 la celebración y ejecución de los contratos estatales </w:t>
      </w:r>
      <w:r w:rsidRPr="00E97A27">
        <w:rPr>
          <w:rFonts w:ascii="Verdana" w:eastAsia="Arial" w:hAnsi="Verdana" w:cs="Arial"/>
          <w:color w:val="000000" w:themeColor="text1"/>
          <w:lang w:eastAsia="es-ES" w:bidi="es-ES"/>
        </w:rPr>
        <w:t>tiene como fin el cumplimiento de los fines estatales, la continua y eficiente prestación de los servicios públicos y la efectividad de los derechos e intereses de los administrados que colaboran con ellas en la consecución de dichos fines. Por su parte, los particulares que celebran y ejecutan contratos con las entidades estatales tendrán en cuenta que</w:t>
      </w:r>
      <w:r w:rsidRPr="00E97A27">
        <w:rPr>
          <w:rFonts w:ascii="Verdana" w:hAnsi="Verdana" w:cs="Arial"/>
          <w:color w:val="4B4949"/>
          <w:sz w:val="18"/>
          <w:szCs w:val="18"/>
        </w:rPr>
        <w:t xml:space="preserve"> </w:t>
      </w:r>
      <w:r w:rsidRPr="00E97A27">
        <w:rPr>
          <w:rFonts w:ascii="Verdana" w:eastAsia="Arial" w:hAnsi="Verdana" w:cs="Arial"/>
          <w:color w:val="000000" w:themeColor="text1"/>
          <w:lang w:eastAsia="es-ES" w:bidi="es-ES"/>
        </w:rPr>
        <w:t xml:space="preserve">colaboran con ellas en el logro de sus fines y cumplen una función social que, como tal, implica obligaciones. Así, con la celebración del contrato estatal surgen derechos y obligaciones para cada una de las partes que tienen como propósito, por un lado, la continua y eficiente prestación de los servicios públicos y la satisfacción del interés general y por otro lado, generar un beneficio económico para el particular que colabora en su ejecución. </w:t>
      </w:r>
    </w:p>
    <w:p w14:paraId="5DD0094E" w14:textId="77777777" w:rsidR="007F707F" w:rsidRPr="00E97A27" w:rsidRDefault="007F707F" w:rsidP="007F707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Pr>
          <w:rFonts w:ascii="Verdana" w:eastAsia="Arial" w:hAnsi="Verdana" w:cs="Arial"/>
          <w:color w:val="000000" w:themeColor="text1"/>
          <w:lang w:eastAsia="es-ES" w:bidi="es-ES"/>
        </w:rPr>
        <w:t xml:space="preserve">Por remisión de los artículos 13, 32 y 40 del EGCAP al derecho privado, el contrato es ley para las partes conforme al artículo 1602 del Código Civil. Sin embargo, aunque la </w:t>
      </w:r>
      <w:r w:rsidRPr="00752476">
        <w:rPr>
          <w:rFonts w:ascii="Verdana" w:eastAsia="Arial" w:hAnsi="Verdana" w:cs="Arial"/>
          <w:i/>
          <w:iCs/>
          <w:color w:val="000000" w:themeColor="text1"/>
          <w:lang w:eastAsia="es-ES" w:bidi="es-ES"/>
        </w:rPr>
        <w:t>regla general</w:t>
      </w:r>
      <w:r>
        <w:rPr>
          <w:rFonts w:ascii="Verdana" w:eastAsia="Arial" w:hAnsi="Verdana" w:cs="Arial"/>
          <w:color w:val="000000" w:themeColor="text1"/>
          <w:lang w:eastAsia="es-ES" w:bidi="es-ES"/>
        </w:rPr>
        <w:t xml:space="preserve"> es el cumplimiento de los precios pactados, </w:t>
      </w:r>
      <w:r>
        <w:rPr>
          <w:rFonts w:ascii="Verdana" w:eastAsia="Arial" w:hAnsi="Verdana" w:cs="Arial"/>
          <w:i/>
          <w:iCs/>
          <w:color w:val="000000" w:themeColor="text1"/>
          <w:lang w:eastAsia="es-ES" w:bidi="es-ES"/>
        </w:rPr>
        <w:lastRenderedPageBreak/>
        <w:t>de forma excepcional</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pueden surgir circunstancias imprevistas que</w:t>
      </w:r>
      <w:r>
        <w:rPr>
          <w:rFonts w:ascii="Verdana" w:eastAsia="Arial" w:hAnsi="Verdana" w:cs="Arial"/>
          <w:color w:val="000000" w:themeColor="text1"/>
          <w:lang w:eastAsia="es-ES" w:bidi="es-ES"/>
        </w:rPr>
        <w:t xml:space="preserve"> </w:t>
      </w:r>
      <w:r w:rsidRPr="00752476">
        <w:rPr>
          <w:rFonts w:ascii="Verdana" w:eastAsia="Arial" w:hAnsi="Verdana" w:cs="Arial"/>
          <w:color w:val="000000" w:themeColor="text1"/>
          <w:lang w:eastAsia="es-ES" w:bidi="es-ES"/>
        </w:rPr>
        <w:t>hagan</w:t>
      </w:r>
      <w:r>
        <w:rPr>
          <w:rFonts w:ascii="Verdana" w:eastAsia="Arial" w:hAnsi="Verdana" w:cs="Arial"/>
          <w:color w:val="000000" w:themeColor="text1"/>
          <w:lang w:eastAsia="es-ES" w:bidi="es-ES"/>
        </w:rPr>
        <w:t xml:space="preserve"> la ejecución</w:t>
      </w:r>
      <w:r w:rsidRPr="00752476">
        <w:rPr>
          <w:rFonts w:ascii="Verdana" w:eastAsia="Arial" w:hAnsi="Verdana" w:cs="Arial"/>
          <w:color w:val="000000" w:themeColor="text1"/>
          <w:lang w:eastAsia="es-ES" w:bidi="es-ES"/>
        </w:rPr>
        <w:t xml:space="preserve"> excesivamente gravos</w:t>
      </w:r>
      <w:r>
        <w:rPr>
          <w:rFonts w:ascii="Verdana" w:eastAsia="Arial" w:hAnsi="Verdana" w:cs="Arial"/>
          <w:color w:val="000000" w:themeColor="text1"/>
          <w:lang w:eastAsia="es-ES" w:bidi="es-ES"/>
        </w:rPr>
        <w:t>a</w:t>
      </w:r>
      <w:r w:rsidRPr="00752476">
        <w:rPr>
          <w:rFonts w:ascii="Verdana" w:eastAsia="Arial" w:hAnsi="Verdana" w:cs="Arial"/>
          <w:color w:val="000000" w:themeColor="text1"/>
          <w:lang w:eastAsia="es-ES" w:bidi="es-ES"/>
        </w:rPr>
        <w:t xml:space="preserve">, por lo que se han creado mecanismos para mantener la equidad y el equilibrio entre las </w:t>
      </w:r>
      <w:r>
        <w:rPr>
          <w:rFonts w:ascii="Verdana" w:eastAsia="Arial" w:hAnsi="Verdana" w:cs="Arial"/>
          <w:color w:val="000000" w:themeColor="text1"/>
          <w:lang w:eastAsia="es-ES" w:bidi="es-ES"/>
        </w:rPr>
        <w:t>obligaciones</w:t>
      </w:r>
      <w:r w:rsidRPr="00752476">
        <w:rPr>
          <w:rFonts w:ascii="Verdana" w:eastAsia="Arial" w:hAnsi="Verdana" w:cs="Arial"/>
          <w:color w:val="000000" w:themeColor="text1"/>
          <w:lang w:eastAsia="es-ES" w:bidi="es-ES"/>
        </w:rPr>
        <w:t>.</w:t>
      </w:r>
      <w:r>
        <w:rPr>
          <w:rFonts w:ascii="Verdana" w:eastAsia="Arial" w:hAnsi="Verdana" w:cs="Arial"/>
          <w:color w:val="000000" w:themeColor="text1"/>
          <w:lang w:eastAsia="es-ES" w:bidi="es-ES"/>
        </w:rPr>
        <w:t xml:space="preserve"> </w:t>
      </w:r>
      <w:r w:rsidRPr="00E97A27">
        <w:rPr>
          <w:rFonts w:ascii="Verdana" w:eastAsia="Arial" w:hAnsi="Verdana" w:cs="Arial"/>
          <w:color w:val="000000" w:themeColor="text1"/>
          <w:lang w:eastAsia="es-ES" w:bidi="es-ES"/>
        </w:rPr>
        <w:t>De esta manera, los contratos estatales deben pactar</w:t>
      </w:r>
      <w:r>
        <w:rPr>
          <w:rFonts w:ascii="Verdana" w:eastAsia="Arial" w:hAnsi="Verdana" w:cs="Arial"/>
          <w:color w:val="000000" w:themeColor="text1"/>
          <w:lang w:eastAsia="es-ES" w:bidi="es-ES"/>
        </w:rPr>
        <w:t>se</w:t>
      </w:r>
      <w:r w:rsidRPr="00E97A27">
        <w:rPr>
          <w:rFonts w:ascii="Verdana" w:eastAsia="Arial" w:hAnsi="Verdana" w:cs="Arial"/>
          <w:color w:val="000000" w:themeColor="text1"/>
          <w:lang w:eastAsia="es-ES" w:bidi="es-ES"/>
        </w:rPr>
        <w:t xml:space="preserve">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que prescribe lo siguiente: </w:t>
      </w:r>
    </w:p>
    <w:p w14:paraId="1101D9BE" w14:textId="77777777" w:rsidR="007F707F" w:rsidRPr="00E97A27" w:rsidRDefault="007F707F" w:rsidP="007F707F">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0F0B10CA" w14:textId="77777777" w:rsidR="007F707F" w:rsidRPr="00AA6517" w:rsidRDefault="007F707F" w:rsidP="007F707F">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“En los contratos estatales se mantendrá la igualdad o equivalencia entre derechos y obligaciones surgidos al momento de proponer o de contratar, según el caso. Si dicha igualdad o equivalencia se rompe por causas no imputables a quien resulte afectado, las partes adoptarán en el menor tiempo posible las medidas necesarias para su restablecimiento. Para tales efectos, las partes suscribirán los acuerdos y pactos necesarios sobre cuantía, condiciones y forma de pago de gastos adicionales, reconocimiento de costos financieros e intereses, si a ello hubiere lugar, ajustando la cancelación a las disponibilidades de la apropiación de que trata el numeral 14 del artículo </w:t>
      </w:r>
      <w:hyperlink r:id="rId11" w:anchor="25" w:history="1">
        <w:r w:rsidRPr="00AA6517">
          <w:rPr>
            <w:rFonts w:ascii="Verdana" w:hAnsi="Verdana" w:cs="Arial"/>
            <w:sz w:val="20"/>
            <w:szCs w:val="20"/>
            <w:lang w:val="es-ES" w:eastAsia="es-ES" w:bidi="es-ES"/>
          </w:rPr>
          <w:t>25</w:t>
        </w:r>
      </w:hyperlink>
      <w:r w:rsidRPr="00AA6517">
        <w:rPr>
          <w:rFonts w:ascii="Verdana" w:eastAsia="Arial" w:hAnsi="Verdana" w:cs="Arial"/>
          <w:color w:val="000000" w:themeColor="text1"/>
          <w:sz w:val="20"/>
          <w:szCs w:val="20"/>
          <w:lang w:val="es-ES" w:eastAsia="es-ES" w:bidi="es-ES"/>
        </w:rPr>
        <w:t>. En todo caso, las entidades deberán adoptar las medidas necesarias que aseguren la efectividad de estos pagos y reconocimientos al contratista en la misma o en la siguiente vigencia de que se trate”.</w:t>
      </w:r>
    </w:p>
    <w:p w14:paraId="368FC2CA" w14:textId="77777777" w:rsidR="007F707F" w:rsidRPr="00E97A27" w:rsidRDefault="007F707F" w:rsidP="007F707F">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44309C12" w14:textId="77777777" w:rsidR="007F707F" w:rsidRPr="00E97A27" w:rsidRDefault="007F707F" w:rsidP="007F707F">
      <w:pPr>
        <w:autoSpaceDE w:val="0"/>
        <w:autoSpaceDN w:val="0"/>
        <w:adjustRightInd w:val="0"/>
        <w:spacing w:after="0" w:line="276" w:lineRule="auto"/>
        <w:ind w:firstLine="709"/>
        <w:jc w:val="both"/>
        <w:rPr>
          <w:rFonts w:ascii="Verdana" w:hAnsi="Verdana" w:cs="Arial"/>
        </w:rPr>
      </w:pPr>
      <w:r w:rsidRPr="00E97A27">
        <w:rPr>
          <w:rFonts w:ascii="Verdana" w:eastAsia="Arial" w:hAnsi="Verdana" w:cs="Arial"/>
          <w:color w:val="000000" w:themeColor="text1"/>
          <w:lang w:val="es-ES" w:eastAsia="es-ES" w:bidi="es-ES"/>
        </w:rPr>
        <w:t xml:space="preserve">Sobre el principio del equilibrio financiero del contrato, el Consejo de Estado ha señalado que </w:t>
      </w:r>
      <w:r w:rsidRPr="00E97A27">
        <w:rPr>
          <w:rFonts w:ascii="Verdana" w:eastAsia="Arial" w:hAnsi="Verdana" w:cs="Arial"/>
          <w:color w:val="000000" w:themeColor="text1"/>
          <w:lang w:eastAsia="es-ES" w:bidi="es-ES"/>
        </w:rPr>
        <w:t xml:space="preserve">consiste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2"/>
      </w:r>
      <w:r w:rsidRPr="00E97A27">
        <w:rPr>
          <w:rFonts w:ascii="Verdana" w:eastAsia="Arial" w:hAnsi="Verdana" w:cs="Arial"/>
          <w:color w:val="000000" w:themeColor="text1"/>
          <w:lang w:val="es-MX" w:eastAsia="es-ES" w:bidi="es-ES"/>
        </w:rPr>
        <w:t>. En concordancia, la doctrina ha indicado que con este</w:t>
      </w:r>
      <w:r w:rsidRPr="00E97A27">
        <w:rPr>
          <w:rFonts w:ascii="Verdana" w:hAnsi="Verdana" w:cs="Arial"/>
        </w:rPr>
        <w:t xml:space="preserve"> principio, también denominado </w:t>
      </w:r>
      <w:r>
        <w:rPr>
          <w:rFonts w:ascii="Verdana" w:eastAsia="Arial" w:hAnsi="Verdana" w:cs="Arial"/>
          <w:color w:val="000000" w:themeColor="text1"/>
          <w:lang w:val="es-MX" w:eastAsia="es-ES" w:bidi="es-ES"/>
        </w:rPr>
        <w:t>“</w:t>
      </w:r>
      <w:r w:rsidRPr="00E97A27">
        <w:rPr>
          <w:rFonts w:ascii="Verdana" w:hAnsi="Verdana" w:cs="Arial"/>
        </w:rPr>
        <w:t>el de la honesta equivalencia de prestaciones</w:t>
      </w:r>
      <w:r>
        <w:rPr>
          <w:rFonts w:ascii="Verdana" w:eastAsia="Arial" w:hAnsi="Verdana" w:cs="Arial"/>
          <w:color w:val="000000" w:themeColor="text1"/>
          <w:lang w:val="es-MX" w:eastAsia="es-ES" w:bidi="es-ES"/>
        </w:rPr>
        <w:t>”</w:t>
      </w:r>
      <w:r w:rsidRPr="00E97A27">
        <w:rPr>
          <w:rFonts w:ascii="Verdana" w:hAnsi="Verdana" w:cs="Arial"/>
        </w:rPr>
        <w:t xml:space="preserve">, se privilegia el carácter conmutativo o sinalagmático que, por regla general, tiene el contrato estatal, </w:t>
      </w:r>
      <w:r>
        <w:rPr>
          <w:rFonts w:ascii="Verdana" w:eastAsia="Arial" w:hAnsi="Verdana" w:cs="Arial"/>
          <w:color w:val="000000" w:themeColor="text1"/>
          <w:lang w:val="es-MX" w:eastAsia="es-ES" w:bidi="es-ES"/>
        </w:rPr>
        <w:t>“</w:t>
      </w:r>
      <w:r w:rsidRPr="00E97A27">
        <w:rPr>
          <w:rFonts w:ascii="Verdana" w:hAnsi="Verdana" w:cs="Arial"/>
        </w:rPr>
        <w:t xml:space="preserve">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w:t>
      </w:r>
      <w:r w:rsidRPr="00E97A27">
        <w:rPr>
          <w:rFonts w:ascii="Verdana" w:hAnsi="Verdana" w:cs="Arial"/>
        </w:rPr>
        <w:lastRenderedPageBreak/>
        <w:t>permanezca intacta durante su ejecución, y a que se restablezca esa equivalencia en caso de su ruptura por circunstancias o causas sobrevinientes, imprevisibles e imputables o no a ellas</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3"/>
      </w:r>
      <w:r w:rsidRPr="00E97A27">
        <w:rPr>
          <w:rFonts w:ascii="Verdana" w:hAnsi="Verdana" w:cs="Arial"/>
        </w:rPr>
        <w:t xml:space="preserve">.  </w:t>
      </w:r>
    </w:p>
    <w:p w14:paraId="17E02C78" w14:textId="77777777" w:rsidR="007F707F" w:rsidRPr="00E97A27" w:rsidRDefault="007F707F" w:rsidP="007F707F">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MX" w:eastAsia="es-ES" w:bidi="es-ES"/>
        </w:rPr>
        <w:t xml:space="preserve">Conforme a lo anterior el equilibrio financiero del contrato se constituye en un principio medular de la contratación estatal que </w:t>
      </w:r>
      <w:r w:rsidRPr="00E97A27">
        <w:rPr>
          <w:rFonts w:ascii="Verdana" w:eastAsia="Arial" w:hAnsi="Verdana" w:cs="Arial"/>
          <w:color w:val="000000" w:themeColor="text1"/>
          <w:lang w:eastAsia="es-ES" w:bidi="es-ES"/>
        </w:rPr>
        <w:t xml:space="preserve">busca, precisamente, mantener las mismas condiciones </w:t>
      </w:r>
      <w:r w:rsidRPr="00E97A27">
        <w:rPr>
          <w:rFonts w:ascii="Verdana" w:eastAsia="Arial" w:hAnsi="Verdana" w:cs="Arial"/>
          <w:color w:val="000000" w:themeColor="text1"/>
          <w:lang w:val="es-ES" w:eastAsia="es-ES" w:bidi="es-ES"/>
        </w:rPr>
        <w:t>existente al tiempo de su celebración, de tal suerte que las 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0E16A77A" w14:textId="77777777" w:rsidR="007F707F" w:rsidRDefault="007F707F" w:rsidP="007F707F">
      <w:pPr>
        <w:widowControl w:val="0"/>
        <w:autoSpaceDE w:val="0"/>
        <w:autoSpaceDN w:val="0"/>
        <w:spacing w:before="120"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Además de lo previsto en el artículo 27 de la Ley 80 de 1993, la obligación de mantener el equilibrio económico del contrato se encuentra establecida en diferentes disposiciones de dicha Ley. En efecto, el numeral 3 del artículo 4 </w:t>
      </w:r>
      <w:r w:rsidRPr="00E97A27">
        <w:rPr>
          <w:rFonts w:ascii="Verdana" w:eastAsia="Arial" w:hAnsi="Verdana" w:cs="Arial"/>
          <w:i/>
          <w:iCs/>
          <w:color w:val="000000" w:themeColor="text1"/>
          <w:lang w:val="es-ES" w:eastAsia="es-ES" w:bidi="es-ES"/>
        </w:rPr>
        <w:t>ibidem</w:t>
      </w:r>
      <w:r w:rsidRPr="00E97A27">
        <w:rPr>
          <w:rFonts w:ascii="Verdana" w:eastAsia="Arial" w:hAnsi="Verdana" w:cs="Arial"/>
          <w:color w:val="000000" w:themeColor="text1"/>
          <w:lang w:val="es-ES" w:eastAsia="es-ES" w:bidi="es-ES"/>
        </w:rPr>
        <w:t xml:space="preserve"> señala que las entidades estatales solicitarán la actualización o la revisión de los precios cuando se produzcan fenómenos que alteren en su contra </w:t>
      </w:r>
      <w:r w:rsidRPr="00E97A27">
        <w:rPr>
          <w:rFonts w:ascii="Verdana" w:eastAsia="Arial" w:hAnsi="Verdana" w:cs="Arial"/>
          <w:i/>
          <w:iCs/>
          <w:color w:val="000000" w:themeColor="text1"/>
          <w:lang w:val="es-ES" w:eastAsia="es-ES" w:bidi="es-ES"/>
        </w:rPr>
        <w:t>el equilibrio económico o financiero</w:t>
      </w:r>
      <w:r w:rsidRPr="00E97A27">
        <w:rPr>
          <w:rFonts w:ascii="Verdana" w:eastAsia="Arial" w:hAnsi="Verdana" w:cs="Arial"/>
          <w:color w:val="000000" w:themeColor="text1"/>
          <w:lang w:val="es-ES" w:eastAsia="es-ES" w:bidi="es-ES"/>
        </w:rPr>
        <w:t xml:space="preserve">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 </w:t>
      </w:r>
      <w:r>
        <w:rPr>
          <w:rFonts w:ascii="Verdana" w:eastAsia="Arial" w:hAnsi="Verdana" w:cs="Arial"/>
          <w:color w:val="000000" w:themeColor="text1"/>
          <w:lang w:val="es-ES" w:eastAsia="es-ES" w:bidi="es-ES"/>
        </w:rPr>
        <w:t>De acuerdo con la jurisprudencia:</w:t>
      </w:r>
    </w:p>
    <w:p w14:paraId="1623A96C" w14:textId="77777777" w:rsidR="007F707F" w:rsidRDefault="007F707F" w:rsidP="007F707F">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71274D41" w14:textId="77777777" w:rsidR="007F707F" w:rsidRPr="000E4887" w:rsidRDefault="007F707F" w:rsidP="007F707F">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0E4887">
        <w:rPr>
          <w:rFonts w:ascii="Verdana" w:eastAsia="Arial" w:hAnsi="Verdana" w:cs="Arial"/>
          <w:color w:val="000000" w:themeColor="text1"/>
          <w:sz w:val="20"/>
          <w:szCs w:val="20"/>
          <w:lang w:val="es-ES" w:eastAsia="es-ES" w:bidi="es-ES"/>
        </w:rPr>
        <w:t>“[…] la cláusula de estabilización o ajuste de precios resulta ser una medida preventiva frente a una situación previsible que puede afectar el resultado económico final del contrato en contra de cualquiera de las 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largo de la ejecución del negocio jurídico, en tal forma que la remuneración recibida finalmente por el contratista corresponda a la que contempló al momento de presentar su propuesta y celebrar el contrato.</w:t>
      </w:r>
    </w:p>
    <w:p w14:paraId="0BCB9939" w14:textId="77777777" w:rsidR="007F707F" w:rsidRDefault="007F707F" w:rsidP="007F707F">
      <w:pPr>
        <w:widowControl w:val="0"/>
        <w:autoSpaceDE w:val="0"/>
        <w:autoSpaceDN w:val="0"/>
        <w:spacing w:before="120" w:after="0" w:line="240" w:lineRule="auto"/>
        <w:ind w:left="709" w:right="709"/>
        <w:jc w:val="both"/>
        <w:rPr>
          <w:rFonts w:ascii="Verdana" w:eastAsia="Arial" w:hAnsi="Verdana" w:cs="Arial"/>
          <w:color w:val="000000" w:themeColor="text1"/>
          <w:lang w:val="es-ES" w:eastAsia="es-ES" w:bidi="es-ES"/>
        </w:rPr>
      </w:pPr>
      <w:r w:rsidRPr="000E4887">
        <w:rPr>
          <w:rFonts w:ascii="Verdana" w:eastAsia="Arial" w:hAnsi="Verdana" w:cs="Arial"/>
          <w:color w:val="000000" w:themeColor="text1"/>
          <w:sz w:val="20"/>
          <w:szCs w:val="20"/>
          <w:lang w:val="es-ES" w:eastAsia="es-ES" w:bidi="es-ES"/>
        </w:rPr>
        <w:lastRenderedPageBreak/>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r>
        <w:rPr>
          <w:rStyle w:val="Refdenotaalpie"/>
          <w:rFonts w:ascii="Verdana" w:eastAsia="Arial" w:hAnsi="Verdana" w:cs="Arial"/>
          <w:color w:val="000000" w:themeColor="text1"/>
          <w:sz w:val="20"/>
          <w:szCs w:val="20"/>
          <w:lang w:val="es-ES" w:eastAsia="es-ES" w:bidi="es-ES"/>
        </w:rPr>
        <w:footnoteReference w:id="4"/>
      </w:r>
      <w:r w:rsidRPr="000E4887">
        <w:rPr>
          <w:rFonts w:ascii="Verdana" w:eastAsia="Arial" w:hAnsi="Verdana" w:cs="Arial"/>
          <w:color w:val="000000" w:themeColor="text1"/>
          <w:sz w:val="20"/>
          <w:szCs w:val="20"/>
          <w:lang w:val="es-ES" w:eastAsia="es-ES" w:bidi="es-ES"/>
        </w:rPr>
        <w:t>.</w:t>
      </w:r>
    </w:p>
    <w:p w14:paraId="1CC1D4AF" w14:textId="77777777" w:rsidR="007F707F" w:rsidRPr="000E4887" w:rsidRDefault="007F707F" w:rsidP="007F707F">
      <w:pPr>
        <w:widowControl w:val="0"/>
        <w:autoSpaceDE w:val="0"/>
        <w:autoSpaceDN w:val="0"/>
        <w:spacing w:after="0" w:line="276" w:lineRule="auto"/>
        <w:jc w:val="both"/>
        <w:rPr>
          <w:rFonts w:ascii="Verdana" w:eastAsia="Arial" w:hAnsi="Verdana" w:cs="Arial"/>
          <w:color w:val="000000" w:themeColor="text1"/>
          <w:lang w:val="es-ES" w:eastAsia="es-ES" w:bidi="es-ES"/>
        </w:rPr>
      </w:pPr>
    </w:p>
    <w:p w14:paraId="53090129" w14:textId="77777777" w:rsidR="007F707F" w:rsidRPr="00E97A27" w:rsidRDefault="007F707F" w:rsidP="007F707F">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Por su parte, el numeral 1 del artículo 5 de la Ley 80 de 1993 indica que el contratista tiene derecho a recibir oportunamente la remuneración pactada y a que el valor intrínseco de la misma no se altere o modifique durante la vigencia del contrato. En consecuencia, tendrán derecho, previa solicitud, a que la administración les restablezca </w:t>
      </w:r>
      <w:r w:rsidRPr="00E97A27">
        <w:rPr>
          <w:rFonts w:ascii="Verdana" w:eastAsia="Arial" w:hAnsi="Verdana" w:cs="Arial"/>
          <w:i/>
          <w:iCs/>
          <w:color w:val="000000" w:themeColor="text1"/>
          <w:lang w:val="es-ES" w:eastAsia="es-ES" w:bidi="es-ES"/>
        </w:rPr>
        <w:t>el equilibrio de la ecuación económica</w:t>
      </w:r>
      <w:r w:rsidRPr="00E97A27">
        <w:rPr>
          <w:rFonts w:ascii="Verdana" w:eastAsia="Arial" w:hAnsi="Verdana" w:cs="Arial"/>
          <w:color w:val="000000" w:themeColor="text1"/>
          <w:lang w:val="es-ES" w:eastAsia="es-ES" w:bidi="es-ES"/>
        </w:rPr>
        <w:t xml:space="preserve"> del contrato por la ocurrencia de situaciones imprevistas que no sean imputables a los contratistas. Si dicho equilibrio se rompe por incumplimiento de la entidad estatal contratante, tendrá que restablecerse la ecuación surgida al momento del nacimiento del contrato.</w:t>
      </w:r>
    </w:p>
    <w:p w14:paraId="1B7E5598" w14:textId="77777777" w:rsidR="007F707F" w:rsidRPr="00E97A27" w:rsidRDefault="007F707F" w:rsidP="007F707F">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Adicionalmente, el numeral 1 del artículo 14 establece que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w:t>
      </w:r>
      <w:r w:rsidRPr="00E97A27">
        <w:rPr>
          <w:rFonts w:ascii="Verdana" w:eastAsia="Arial" w:hAnsi="Verdana" w:cs="Arial"/>
          <w:i/>
          <w:iCs/>
          <w:color w:val="000000" w:themeColor="text1"/>
          <w:lang w:val="es-ES" w:eastAsia="es-ES" w:bidi="es-ES"/>
        </w:rPr>
        <w:t>la ecuación o equilibrio inicial.</w:t>
      </w:r>
    </w:p>
    <w:p w14:paraId="58A65792" w14:textId="77777777" w:rsidR="007F707F" w:rsidRDefault="007F707F" w:rsidP="007F707F">
      <w:pPr>
        <w:widowControl w:val="0"/>
        <w:autoSpaceDE w:val="0"/>
        <w:autoSpaceDN w:val="0"/>
        <w:spacing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Según se advierte, el Estatuto General de Contratación de la Administración Pública establece la necesidad de mantener durante la ejecución del contrato el equilibrio o equivalencia de las prestaciones de las partes surgidas al momento de contratar, para lo cual determina deberes y derechos para las entidades estatales y los contratistas en pro de su conservación. Dentro de estas obligaciones se prevé el deber de la entidad de adoptar las medidas correspondientes de manera que se pueda precaver las diferencias que se lleguen a presentar como consecuencia de la vulneración del principio del equilibrio económico del contrato y evitar una mayor onerosidad.</w:t>
      </w:r>
    </w:p>
    <w:p w14:paraId="007A7474" w14:textId="77777777" w:rsidR="007F707F" w:rsidRPr="00E97A27" w:rsidRDefault="007F707F" w:rsidP="007F707F">
      <w:pPr>
        <w:widowControl w:val="0"/>
        <w:autoSpaceDE w:val="0"/>
        <w:autoSpaceDN w:val="0"/>
        <w:spacing w:after="0" w:line="276" w:lineRule="auto"/>
        <w:ind w:firstLine="708"/>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 xml:space="preserve">En relación con las causas por las cuales puede verse afectado el equilibrio económico del contrato y su procedencia el Consejo de Estado ha desarrollado </w:t>
      </w:r>
      <w:r w:rsidRPr="00E97A27">
        <w:rPr>
          <w:rFonts w:ascii="Verdana" w:eastAsia="Arial" w:hAnsi="Verdana" w:cs="Arial"/>
          <w:color w:val="000000" w:themeColor="text1"/>
          <w:lang w:val="es-ES" w:eastAsia="es-ES" w:bidi="es-ES"/>
        </w:rPr>
        <w:lastRenderedPageBreak/>
        <w:t xml:space="preserve">ampliamente la materia. En tal sentido, ha manifestado reiteradamente que el desequilibrio económico del contrato se puede presentar por diferentes situaciones: </w:t>
      </w:r>
    </w:p>
    <w:p w14:paraId="74D235A4" w14:textId="77777777" w:rsidR="007F707F" w:rsidRPr="00E97A27" w:rsidRDefault="007F707F" w:rsidP="007F707F">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3F60DAED" w14:textId="77777777" w:rsidR="007F707F" w:rsidRPr="00AA6517" w:rsidRDefault="007F707F" w:rsidP="007F707F">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“a) Actos o hechos de la entidad administrativa contratante, como cuando no cumple con las obligaciones derivadas del contrato o introduce modificaciones al mismo -ius variandi-, sean éstas abusivas o no. </w:t>
      </w:r>
    </w:p>
    <w:p w14:paraId="01BB8F31" w14:textId="77777777" w:rsidR="007F707F" w:rsidRPr="00AA6517" w:rsidRDefault="007F707F" w:rsidP="007F707F">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 xml:space="preserve">b) Actos generales de la administración como Estado, o ‘teoría del hecho del príncipe’, como cuando en ejercicio de sus potestades constitucionales y legales, cuya voluntad se manifiesta mediante leyes o actos administrativos de carácter general, afecta negativamente el contrato. </w:t>
      </w:r>
    </w:p>
    <w:p w14:paraId="1370FD28" w14:textId="77777777" w:rsidR="007F707F" w:rsidRPr="00AA6517" w:rsidRDefault="007F707F" w:rsidP="007F707F">
      <w:pPr>
        <w:widowControl w:val="0"/>
        <w:autoSpaceDE w:val="0"/>
        <w:autoSpaceDN w:val="0"/>
        <w:spacing w:after="120" w:line="240" w:lineRule="auto"/>
        <w:ind w:left="709" w:right="709"/>
        <w:jc w:val="both"/>
        <w:rPr>
          <w:rFonts w:ascii="Verdana" w:eastAsia="Arial" w:hAnsi="Verdana" w:cs="Arial"/>
          <w:color w:val="000000" w:themeColor="text1"/>
          <w:sz w:val="20"/>
          <w:szCs w:val="20"/>
          <w:lang w:val="es-ES" w:eastAsia="es-ES" w:bidi="es-ES"/>
        </w:rPr>
      </w:pPr>
      <w:r w:rsidRPr="00AA6517">
        <w:rPr>
          <w:rFonts w:ascii="Verdana" w:eastAsia="Arial" w:hAnsi="Verdana" w:cs="Arial"/>
          <w:color w:val="000000" w:themeColor="text1"/>
          <w:sz w:val="20"/>
          <w:szCs w:val="20"/>
          <w:lang w:val="es-ES" w:eastAsia="es-ES" w:bidi="es-ES"/>
        </w:rPr>
        <w:t>c) Factores exógenos a las partes del negocio, o ‘teoría de la imprevisión’, o ‘sujeciones materiales imprevistas’, que involucran circunstancias no imputables al Estado y externas al contrato pero con incidencia en él.</w:t>
      </w:r>
    </w:p>
    <w:p w14:paraId="70AC9D68" w14:textId="77777777" w:rsidR="007F707F" w:rsidRPr="00E97A27" w:rsidRDefault="007F707F" w:rsidP="007F707F">
      <w:pPr>
        <w:widowControl w:val="0"/>
        <w:autoSpaceDE w:val="0"/>
        <w:autoSpaceDN w:val="0"/>
        <w:spacing w:after="0" w:line="240" w:lineRule="auto"/>
        <w:ind w:left="709" w:right="709"/>
        <w:jc w:val="both"/>
        <w:rPr>
          <w:rFonts w:ascii="Verdana" w:eastAsia="Arial" w:hAnsi="Verdana" w:cs="Arial"/>
          <w:color w:val="000000" w:themeColor="text1"/>
          <w:sz w:val="21"/>
          <w:szCs w:val="21"/>
          <w:lang w:val="es-ES" w:eastAsia="es-ES" w:bidi="es-ES"/>
        </w:rPr>
      </w:pPr>
      <w:r w:rsidRPr="00AA6517">
        <w:rPr>
          <w:rFonts w:ascii="Verdana" w:eastAsia="Arial" w:hAnsi="Verdana" w:cs="Arial"/>
          <w:color w:val="000000" w:themeColor="text1"/>
          <w:sz w:val="20"/>
          <w:szCs w:val="20"/>
          <w:lang w:val="es-ES" w:eastAsia="es-ES" w:bidi="es-ES"/>
        </w:rPr>
        <w:t>En todos estos eventos surge la obligación de la administración contratante de auxiliar al contratista colaborador asumiendo mediante una compensación -llevarlo hasta el punto de no pérdida- o nace el deber de indemnizarlo integralmente, según el caso y si se cumplen los requisitos señalados para cada figura”</w:t>
      </w:r>
      <w:r w:rsidRPr="00AA6517">
        <w:rPr>
          <w:rStyle w:val="Refdenotaalpie"/>
          <w:rFonts w:ascii="Verdana" w:eastAsia="Arial" w:hAnsi="Verdana" w:cs="Arial"/>
          <w:color w:val="000000" w:themeColor="text1"/>
          <w:sz w:val="20"/>
          <w:szCs w:val="20"/>
          <w:lang w:val="es-ES" w:eastAsia="es-ES" w:bidi="es-ES"/>
        </w:rPr>
        <w:footnoteReference w:id="5"/>
      </w:r>
      <w:r w:rsidRPr="00AA6517">
        <w:rPr>
          <w:rFonts w:ascii="Verdana" w:eastAsia="Arial" w:hAnsi="Verdana" w:cs="Arial"/>
          <w:color w:val="000000" w:themeColor="text1"/>
          <w:sz w:val="20"/>
          <w:szCs w:val="20"/>
          <w:lang w:val="es-ES" w:eastAsia="es-ES" w:bidi="es-ES"/>
        </w:rPr>
        <w:t>.</w:t>
      </w:r>
    </w:p>
    <w:p w14:paraId="291F8044" w14:textId="77777777" w:rsidR="007F707F" w:rsidRPr="00E97A27" w:rsidRDefault="007F707F" w:rsidP="007F707F">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38887051" w14:textId="77777777" w:rsidR="007F707F" w:rsidRPr="00E97A27" w:rsidRDefault="007F707F" w:rsidP="007F707F">
      <w:pPr>
        <w:widowControl w:val="0"/>
        <w:autoSpaceDE w:val="0"/>
        <w:autoSpaceDN w:val="0"/>
        <w:spacing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lo que atañe a la procedencia del restablecimiento del equilibrio financiero del contrato cuando este se vulnera, la jurisprudencia ha señalado que para estos efectos es imperativo la prueba del menoscabo, demostrar que este es grave y que además no corresponde a un riesgo propio de la actividad que deba ser asumido por una de las partes contractuales</w:t>
      </w:r>
      <w:r w:rsidRPr="00E97A27">
        <w:rPr>
          <w:rStyle w:val="Refdenotaalpie"/>
          <w:rFonts w:ascii="Verdana" w:eastAsia="Arial" w:hAnsi="Verdana" w:cs="Arial"/>
          <w:color w:val="000000" w:themeColor="text1"/>
          <w:lang w:val="es-ES" w:eastAsia="es-ES" w:bidi="es-ES"/>
        </w:rPr>
        <w:footnoteReference w:id="6"/>
      </w:r>
      <w:r w:rsidRPr="00E97A27">
        <w:rPr>
          <w:rFonts w:ascii="Verdana" w:eastAsia="Arial" w:hAnsi="Verdana" w:cs="Arial"/>
          <w:color w:val="000000" w:themeColor="text1"/>
          <w:lang w:val="es-ES" w:eastAsia="es-ES" w:bidi="es-ES"/>
        </w:rPr>
        <w:t xml:space="preserve">. Además, es necesario que las reclamaciones para el restablecimiento se realicen en la oportunidad debida, de manera que </w:t>
      </w:r>
      <w:r w:rsidRPr="00E97A27">
        <w:rPr>
          <w:rFonts w:ascii="Verdana" w:eastAsia="Arial" w:hAnsi="Verdana" w:cs="Arial"/>
          <w:color w:val="000000" w:themeColor="text1"/>
          <w:lang w:eastAsia="es-ES" w:bidi="es-ES"/>
        </w:rPr>
        <w:t xml:space="preserve">si las solicitudes, o salvedades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no se hacen al momento de suscribir las suspensiones, adiciones o prórrogas del plazo contractual, contratos adicionales, otrosíes, etc., que por tal motivo se convinieren, cualquier solicitud, reclamación o pretensión ulterior es extemporánea, improcedente e impróspera por vulnerar el principio de la buena fe contractual</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7"/>
      </w:r>
      <w:r w:rsidRPr="00E97A27">
        <w:rPr>
          <w:rFonts w:ascii="Verdana" w:eastAsia="Arial" w:hAnsi="Verdana" w:cs="Arial"/>
          <w:color w:val="000000" w:themeColor="text1"/>
          <w:lang w:val="es-MX" w:eastAsia="es-ES" w:bidi="es-ES"/>
        </w:rPr>
        <w:t xml:space="preserve">. </w:t>
      </w:r>
    </w:p>
    <w:p w14:paraId="6549B56E" w14:textId="77777777" w:rsidR="007F707F" w:rsidRPr="00E97A27" w:rsidRDefault="007F707F" w:rsidP="007F707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De este modo, conforme a esta postura del Consejo de Estado no basta </w:t>
      </w:r>
      <w:r w:rsidRPr="00E97A27">
        <w:rPr>
          <w:rFonts w:ascii="Verdana" w:eastAsia="Arial" w:hAnsi="Verdana" w:cs="Arial"/>
          <w:color w:val="000000" w:themeColor="text1"/>
          <w:lang w:val="es-ES" w:eastAsia="es-ES" w:bidi="es-ES"/>
        </w:rPr>
        <w:lastRenderedPageBreak/>
        <w:t xml:space="preserve">con la alegación del rompimiento del equilibrio del contrato puesto que resulta indispensable demostrar la afectación grave de las condiciones del contrato y, además, que la reclamación o solicitud en que se fundamenta el desequilibrio económico del contrato se realice en el momento oportuno, esto es, cuando se celebren las modificaciones, prórrogas, suspensiones, entre otros y no con posterioridad a ella. </w:t>
      </w:r>
    </w:p>
    <w:p w14:paraId="57C22D47" w14:textId="77777777" w:rsidR="007F707F" w:rsidRPr="00E97A27" w:rsidRDefault="007F707F" w:rsidP="007F707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En sentencias recientes el Consejo de Estado ha morigerado la postura anterior en relación con la oportunidad de la reclamación, en la medida en que, si bien es importante considerar el principio de buena fe al momento de suscribir los acuerdos entre las partes, se resalta la necesidad de analizar</w:t>
      </w:r>
      <w:r w:rsidRPr="00E97A27">
        <w:rPr>
          <w:rFonts w:ascii="Verdana" w:eastAsia="Arial" w:hAnsi="Verdana" w:cs="Arial"/>
          <w:color w:val="000000" w:themeColor="text1"/>
          <w:lang w:eastAsia="es-ES" w:bidi="es-ES"/>
        </w:rPr>
        <w:t xml:space="preserve"> cada caso el contenido del respectivo acuerdo y de sus antecedentes, para determinar el alcance de los otrosíes o de las actas de suspensión correspondientes</w:t>
      </w:r>
      <w:r w:rsidRPr="00E97A27">
        <w:rPr>
          <w:rStyle w:val="Refdenotaalpie"/>
          <w:rFonts w:ascii="Verdana" w:eastAsia="Arial" w:hAnsi="Verdana" w:cs="Arial"/>
          <w:color w:val="000000" w:themeColor="text1"/>
          <w:lang w:eastAsia="es-ES" w:bidi="es-ES"/>
        </w:rPr>
        <w:footnoteReference w:id="8"/>
      </w:r>
      <w:r w:rsidRPr="00E97A27">
        <w:rPr>
          <w:rFonts w:ascii="Verdana" w:eastAsia="Arial" w:hAnsi="Verdana" w:cs="Arial"/>
          <w:color w:val="000000" w:themeColor="text1"/>
          <w:lang w:eastAsia="es-ES" w:bidi="es-ES"/>
        </w:rPr>
        <w:t xml:space="preserve">. En tal sentido, con base en esta posición se considera que la inexistencia de una salvedad en la prórroga o suspensión o cualquier acuerdo de voluntades que se efectúe por las partes no es suficiente para determinar la improcedencia de la reclamación, ya que es necesario revisar los antecedentes y los hechos que justificaron dicho acuerdo. Esto se fundamente en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la denegatoria de tales pretensiones, es el hecho de que el acuerdo suscrito haya servido, precisamente, para solventar situaciones que se hayan presentado durante la ejecución del contrato, por lo que no se entendería que, de considerar que subsistía un perjuicio para el contratista derivado</w:t>
      </w:r>
      <w:r w:rsidRPr="00E97A27">
        <w:rPr>
          <w:rFonts w:ascii="Verdana" w:hAnsi="Verdana" w:cs="Arial"/>
        </w:rPr>
        <w:t xml:space="preserve"> </w:t>
      </w:r>
      <w:r w:rsidRPr="00E97A27">
        <w:rPr>
          <w:rFonts w:ascii="Verdana" w:eastAsia="Arial" w:hAnsi="Verdana" w:cs="Arial"/>
          <w:color w:val="000000" w:themeColor="text1"/>
          <w:lang w:eastAsia="es-ES" w:bidi="es-ES"/>
        </w:rPr>
        <w:t>de tales situaciones, haya concurrido a suscribirlo, sin dejar alguna manifestación sobre la insuficiencia de ese acuerdo para satisfacer sus reclamaciones</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eastAsia="es-ES" w:bidi="es-ES"/>
        </w:rPr>
        <w:t>.</w:t>
      </w:r>
    </w:p>
    <w:p w14:paraId="4F4FE159" w14:textId="77777777" w:rsidR="007F707F" w:rsidRPr="00E97A27" w:rsidRDefault="007F707F" w:rsidP="007F707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Bajo estas consideraciones y más allá de las distintas posturas que se han generado al interior del Consejo de Estado en torno a la oportunidad de la reclamación del restablecimiento del equilibrio económico del contrato, lo relevante de lo expuesto, para efectos de la consulta, es que este restablecimiento podrá realizarlo directamente la Administración durante la ejecución del contrato adoptando las medidas necesarias que aseguren la efectividad de los pagos y reconocimientos al contratista que haya lugar. Estas medidas podrán materializarse a través de los distintos acuerdos que suscriban las partes como prórrogas, adiciones, otrosíes o cualquier acuerdo modificatorio que se considere necesarios para solventar el desequilibrio del contrato de </w:t>
      </w:r>
      <w:r w:rsidRPr="00E97A27">
        <w:rPr>
          <w:rFonts w:ascii="Verdana" w:eastAsia="Arial" w:hAnsi="Verdana" w:cs="Arial"/>
          <w:color w:val="000000" w:themeColor="text1"/>
          <w:lang w:val="es-ES" w:eastAsia="es-ES" w:bidi="es-ES"/>
        </w:rPr>
        <w:lastRenderedPageBreak/>
        <w:t xml:space="preserve">acuerdo con las particularidades de cada caso. Igualmente, podrá efectuarse dicho reconocimiento por parte del juez mediante el ejercicio de la acción judicial correspondiente. </w:t>
      </w:r>
    </w:p>
    <w:p w14:paraId="4684E408" w14:textId="77777777" w:rsidR="007F707F" w:rsidRPr="00E97A27" w:rsidRDefault="007F707F" w:rsidP="007F707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Ello encuentra sustento legal en los artículos 4.8, 5.1 y 27 de la Ley 80 de 1993, que, como se explicó, imponen el deber a la entidad de adoptar las medidas necesarias para mantener durante el desarrollo y ejecución del contrato las condiciones técnicas, económicas y financieras existentes al momento de su celebración y restablecer la ecuación financiera del contrato cuando a ello haya lugar. Para estos efectos, le corresponde a la entidad realizar un análisis detallado del asunto, revisar su procedencia, verificar las circunstancias fácticas y jurídicas que fundamente dicho restablecimiento y las limitaciones legales sobre el particular, de manera que mediante los acuerdos que se celebren se autorregulen los intereses de las partes.</w:t>
      </w:r>
    </w:p>
    <w:p w14:paraId="732CD26E" w14:textId="77777777" w:rsidR="007F707F" w:rsidRPr="00E97A27" w:rsidRDefault="007F707F" w:rsidP="007F707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Aunado a lo expuesto, la jurisprudencia resalta que la posibilidad de modificar los contratos estatales es una especial forma de hacer prevalecer la finalidad de este, en particular en aquellos contratos de largo plazo, como el de obra, en los que es difícil prever todas las contingencias que puedan afectar su ejecución. De esta manera, la Administración podrá variar, dadas ciertas condiciones, algunos aspectos del contrato cuando sea necesario para el cumplimiento del objeto y de los fines generales del Estado, por lo que</w:t>
      </w:r>
      <w:r w:rsidRPr="00E97A27">
        <w:rPr>
          <w:rFonts w:ascii="Verdana" w:eastAsia="Arial" w:hAnsi="Verdana" w:cs="Arial"/>
          <w:lang w:val="es-ES" w:eastAsia="es-ES" w:bidi="es-ES"/>
        </w:rPr>
        <w:t xml:space="preserve"> es </w:t>
      </w:r>
      <w:r>
        <w:rPr>
          <w:rFonts w:ascii="Verdana" w:eastAsia="Arial" w:hAnsi="Verdana" w:cs="Arial"/>
          <w:color w:val="000000" w:themeColor="text1"/>
          <w:lang w:val="es-MX" w:eastAsia="es-ES" w:bidi="es-ES"/>
        </w:rPr>
        <w:t>“</w:t>
      </w:r>
      <w:r w:rsidRPr="00E97A27">
        <w:rPr>
          <w:rFonts w:ascii="Verdana" w:eastAsia="Arial" w:hAnsi="Verdana" w:cs="Arial"/>
          <w:lang w:val="es-ES" w:eastAsia="es-ES" w:bidi="es-ES"/>
        </w:rPr>
        <w:t>preciso entonces el diseño de reglas que permitan la adaptación y la resolución pacífica de las controversias para evitar el fracaso</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MX" w:eastAsia="es-ES" w:bidi="es-ES"/>
        </w:rPr>
        <w:footnoteReference w:id="9"/>
      </w:r>
      <w:r w:rsidRPr="00E97A27">
        <w:rPr>
          <w:rFonts w:ascii="Verdana" w:eastAsia="Arial" w:hAnsi="Verdana" w:cs="Arial"/>
          <w:lang w:val="es-ES" w:eastAsia="es-ES" w:bidi="es-ES"/>
        </w:rPr>
        <w:t>.</w:t>
      </w:r>
      <w:r w:rsidRPr="00E97A27">
        <w:rPr>
          <w:rFonts w:ascii="Verdana" w:eastAsia="Arial" w:hAnsi="Verdana" w:cs="Arial"/>
          <w:sz w:val="21"/>
          <w:szCs w:val="21"/>
          <w:lang w:val="es-ES" w:eastAsia="es-ES" w:bidi="es-ES"/>
        </w:rPr>
        <w:t xml:space="preserve"> </w:t>
      </w:r>
    </w:p>
    <w:p w14:paraId="1991C9C3" w14:textId="77777777" w:rsidR="007F707F" w:rsidRPr="00E97A27" w:rsidRDefault="007F707F" w:rsidP="007F707F">
      <w:pPr>
        <w:widowControl w:val="0"/>
        <w:autoSpaceDE w:val="0"/>
        <w:autoSpaceDN w:val="0"/>
        <w:spacing w:before="120" w:after="0" w:line="276" w:lineRule="auto"/>
        <w:ind w:firstLine="709"/>
        <w:jc w:val="both"/>
        <w:rPr>
          <w:rFonts w:ascii="Verdana" w:eastAsia="Arial" w:hAnsi="Verdana" w:cs="Arial"/>
          <w:color w:val="000000" w:themeColor="text1"/>
          <w:lang w:eastAsia="es-ES" w:bidi="es-ES"/>
        </w:rPr>
      </w:pPr>
      <w:r w:rsidRPr="00E97A27">
        <w:rPr>
          <w:rFonts w:ascii="Verdana" w:eastAsia="Arial" w:hAnsi="Verdana" w:cs="Arial"/>
          <w:color w:val="000000" w:themeColor="text1"/>
          <w:lang w:val="es-ES" w:eastAsia="es-ES" w:bidi="es-ES"/>
        </w:rPr>
        <w:t xml:space="preserve">En armonía con lo anterior, la doctrina ha señalado que </w:t>
      </w:r>
      <w:r>
        <w:rPr>
          <w:rFonts w:ascii="Verdana" w:eastAsia="Arial" w:hAnsi="Verdana" w:cs="Arial"/>
          <w:color w:val="000000" w:themeColor="text1"/>
          <w:lang w:val="es-MX" w:eastAsia="es-ES" w:bidi="es-ES"/>
        </w:rPr>
        <w:t>“</w:t>
      </w:r>
      <w:r w:rsidRPr="00E97A27">
        <w:rPr>
          <w:rFonts w:ascii="Verdana" w:eastAsia="Arial" w:hAnsi="Verdana" w:cs="Arial"/>
          <w:color w:val="000000" w:themeColor="text1"/>
          <w:lang w:val="es-ES" w:eastAsia="es-ES" w:bidi="es-ES"/>
        </w:rPr>
        <w:t xml:space="preserve">durante la vigencia del contrato, esto es, el periodo que comprende el interregno que va desde el perfeccionamiento del contrato (acuerdo sobre el objeto y la contraprestación elevado a escrito al tenor del art. 41 </w:t>
      </w:r>
      <w:proofErr w:type="spellStart"/>
      <w:r w:rsidRPr="00E97A27">
        <w:rPr>
          <w:rFonts w:ascii="Verdana" w:eastAsia="Arial" w:hAnsi="Verdana" w:cs="Arial"/>
          <w:color w:val="000000" w:themeColor="text1"/>
          <w:lang w:val="es-ES" w:eastAsia="es-ES" w:bidi="es-ES"/>
        </w:rPr>
        <w:t>inc</w:t>
      </w:r>
      <w:proofErr w:type="spellEnd"/>
      <w:r w:rsidRPr="00E97A27">
        <w:rPr>
          <w:rFonts w:ascii="Verdana" w:eastAsia="Arial" w:hAnsi="Verdana" w:cs="Arial"/>
          <w:color w:val="000000" w:themeColor="text1"/>
          <w:lang w:val="es-ES" w:eastAsia="es-ES" w:bidi="es-ES"/>
        </w:rPr>
        <w:t xml:space="preserve"> 1° de la Ley 80 de 1993) hasta su liquidación, los contratantes tienen la potestad de pactar lo que consideren necesario a efectos de reequilibrar la ecuación contractual, por ejemplo, pueden ajustar la cuantía, las condiciones de ejecución, las formas de pago, los costos financieros y los interés, en el evento en que los haya</w:t>
      </w:r>
      <w:r>
        <w:rPr>
          <w:rFonts w:ascii="Verdana" w:eastAsia="Arial" w:hAnsi="Verdana" w:cs="Arial"/>
          <w:color w:val="000000" w:themeColor="text1"/>
          <w:lang w:val="es-MX" w:eastAsia="es-ES" w:bidi="es-ES"/>
        </w:rPr>
        <w:t>”</w:t>
      </w:r>
      <w:r w:rsidRPr="00E97A27">
        <w:rPr>
          <w:rStyle w:val="Refdenotaalpie"/>
          <w:rFonts w:ascii="Verdana" w:eastAsia="Arial" w:hAnsi="Verdana" w:cs="Arial"/>
          <w:color w:val="000000" w:themeColor="text1"/>
          <w:lang w:val="es-ES" w:eastAsia="es-ES" w:bidi="es-ES"/>
        </w:rPr>
        <w:footnoteReference w:id="10"/>
      </w:r>
      <w:r w:rsidRPr="00E97A27">
        <w:rPr>
          <w:rFonts w:ascii="Verdana" w:eastAsia="Arial" w:hAnsi="Verdana" w:cs="Arial"/>
          <w:color w:val="000000" w:themeColor="text1"/>
          <w:lang w:val="es-ES" w:eastAsia="es-ES" w:bidi="es-ES"/>
        </w:rPr>
        <w:t xml:space="preserve">. </w:t>
      </w:r>
    </w:p>
    <w:p w14:paraId="08F604CD" w14:textId="77777777" w:rsidR="007F707F" w:rsidRDefault="007F707F" w:rsidP="007F707F">
      <w:pPr>
        <w:widowControl w:val="0"/>
        <w:autoSpaceDE w:val="0"/>
        <w:autoSpaceDN w:val="0"/>
        <w:spacing w:before="120" w:after="120" w:line="276" w:lineRule="auto"/>
        <w:ind w:firstLine="709"/>
        <w:jc w:val="both"/>
        <w:rPr>
          <w:rFonts w:ascii="Verdana" w:eastAsia="Arial" w:hAnsi="Verdana" w:cs="Arial"/>
          <w:color w:val="000000" w:themeColor="text1"/>
          <w:lang w:val="es-ES" w:eastAsia="es-ES" w:bidi="es-ES"/>
        </w:rPr>
      </w:pPr>
      <w:r w:rsidRPr="00E97A27">
        <w:rPr>
          <w:rFonts w:ascii="Verdana" w:eastAsia="Arial" w:hAnsi="Verdana" w:cs="Arial"/>
          <w:color w:val="000000" w:themeColor="text1"/>
          <w:lang w:val="es-ES" w:eastAsia="es-ES" w:bidi="es-ES"/>
        </w:rPr>
        <w:t>Así la cosas, con fundamento en el EGCAP, en la jurisprudencia y en la doctrina puede concluir</w:t>
      </w:r>
      <w:r>
        <w:rPr>
          <w:rFonts w:ascii="Verdana" w:eastAsia="Arial" w:hAnsi="Verdana" w:cs="Arial"/>
          <w:color w:val="000000" w:themeColor="text1"/>
          <w:lang w:val="es-ES" w:eastAsia="es-ES" w:bidi="es-ES"/>
        </w:rPr>
        <w:t>se</w:t>
      </w:r>
      <w:r w:rsidRPr="00E97A27">
        <w:rPr>
          <w:rFonts w:ascii="Verdana" w:eastAsia="Arial" w:hAnsi="Verdana" w:cs="Arial"/>
          <w:color w:val="000000" w:themeColor="text1"/>
          <w:lang w:val="es-ES" w:eastAsia="es-ES" w:bidi="es-ES"/>
        </w:rPr>
        <w:t xml:space="preserve"> que cuando se presenten situaciones que generen el desequilibrio económico del contrato, previa revisión de su procedencia, </w:t>
      </w:r>
      <w:r w:rsidRPr="00E97A27">
        <w:rPr>
          <w:rFonts w:ascii="Verdana" w:eastAsia="Arial" w:hAnsi="Verdana" w:cs="Arial"/>
          <w:color w:val="000000" w:themeColor="text1"/>
          <w:lang w:val="es-ES" w:eastAsia="es-ES" w:bidi="es-ES"/>
        </w:rPr>
        <w:lastRenderedPageBreak/>
        <w:t xml:space="preserve">conforme el análisis del caso concreto, la entidad deberá adoptar las medidas correspondientes para su restablecimiento, si a ello hay lugar, para lo cual tiene la potestad de suscribir los acuerdos necesarios sobre cuantía, condiciones, forma de pago, etc. </w:t>
      </w:r>
    </w:p>
    <w:p w14:paraId="6122E079" w14:textId="77777777" w:rsidR="007F707F"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R</w:t>
      </w:r>
      <w:r w:rsidRPr="004474BA">
        <w:rPr>
          <w:rFonts w:ascii="Verdana" w:eastAsia="Times New Roman" w:hAnsi="Verdana" w:cs="Arial"/>
          <w:color w:val="000000"/>
          <w:bdr w:val="none" w:sz="0" w:space="0" w:color="auto" w:frame="1"/>
          <w:shd w:val="clear" w:color="auto" w:fill="FFFFFF"/>
          <w:lang w:eastAsia="es-ES_tradnl"/>
        </w:rPr>
        <w:t>especto al contenido de la liquidación</w:t>
      </w:r>
      <w:r>
        <w:rPr>
          <w:rFonts w:ascii="Verdana" w:eastAsia="Times New Roman" w:hAnsi="Verdana" w:cs="Arial"/>
          <w:color w:val="000000"/>
          <w:bdr w:val="none" w:sz="0" w:space="0" w:color="auto" w:frame="1"/>
          <w:shd w:val="clear" w:color="auto" w:fill="FFFFFF"/>
          <w:lang w:eastAsia="es-ES_tradnl"/>
        </w:rPr>
        <w:t xml:space="preserve">, conforme a los incisos segundo y tercero del artículo 60 del EGCAP, “[…] </w:t>
      </w:r>
      <w:r w:rsidRPr="00D118AB">
        <w:rPr>
          <w:rFonts w:ascii="Verdana" w:eastAsia="Times New Roman" w:hAnsi="Verdana" w:cs="Arial"/>
          <w:color w:val="000000"/>
          <w:bdr w:val="none" w:sz="0" w:space="0" w:color="auto" w:frame="1"/>
          <w:shd w:val="clear" w:color="auto" w:fill="FFFFFF"/>
          <w:lang w:eastAsia="es-ES_tradnl"/>
        </w:rPr>
        <w:t>las partes acordarán los ajustes, revisiones y reconocimientos a que haya lugar</w:t>
      </w:r>
      <w:r>
        <w:rPr>
          <w:rFonts w:ascii="Verdana" w:eastAsia="Times New Roman" w:hAnsi="Verdana" w:cs="Arial"/>
          <w:color w:val="000000"/>
          <w:bdr w:val="none" w:sz="0" w:space="0" w:color="auto" w:frame="1"/>
          <w:shd w:val="clear" w:color="auto" w:fill="FFFFFF"/>
          <w:lang w:eastAsia="es-ES_tradnl"/>
        </w:rPr>
        <w:t xml:space="preserve">” y en ella “[…] </w:t>
      </w:r>
      <w:r w:rsidRPr="00D118AB">
        <w:rPr>
          <w:rFonts w:ascii="Verdana" w:eastAsia="Times New Roman" w:hAnsi="Verdana" w:cs="Arial"/>
          <w:color w:val="000000"/>
          <w:bdr w:val="none" w:sz="0" w:space="0" w:color="auto" w:frame="1"/>
          <w:shd w:val="clear" w:color="auto" w:fill="FFFFFF"/>
          <w:lang w:eastAsia="es-ES_tradnl"/>
        </w:rPr>
        <w:t>constarán los acuerdos, conciliaciones y transacciones a que llegaren las partes para poner fin a las divergencias presentadas y poder declararse a paz y salvo</w:t>
      </w:r>
      <w:r>
        <w:rPr>
          <w:rFonts w:ascii="Verdana" w:eastAsia="Times New Roman" w:hAnsi="Verdana" w:cs="Arial"/>
          <w:color w:val="000000"/>
          <w:bdr w:val="none" w:sz="0" w:space="0" w:color="auto" w:frame="1"/>
          <w:shd w:val="clear" w:color="auto" w:fill="FFFFFF"/>
          <w:lang w:eastAsia="es-ES_tradnl"/>
        </w:rPr>
        <w:t>”</w:t>
      </w:r>
      <w:r w:rsidRPr="00D118AB">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Esto hace que la liquidación no sólo sea un mecanismo alternativo de solución de conflictos, sino también un medio para resolver asuntos relacionados con el desequilibrio económico del contrato. Sobre esta última faceta, la doctrina explica que la norma en comento consagra una posibilidad para que las entidades públicas garanticen el equilibrio económico si éste resultó afectado en la ejecución del negocio jurídico, así que la liquidación es el momento oportuno para resolver las diferencias existentes. De esta manera: </w:t>
      </w:r>
    </w:p>
    <w:p w14:paraId="120A5E0C" w14:textId="77777777" w:rsidR="007F707F"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32C6AEE7" w14:textId="77777777" w:rsidR="007F707F" w:rsidRPr="00AA6517" w:rsidRDefault="007F707F" w:rsidP="007F707F">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A6517">
        <w:rPr>
          <w:rFonts w:ascii="Verdana" w:eastAsia="Times New Roman" w:hAnsi="Verdana" w:cs="Arial"/>
          <w:color w:val="000000"/>
          <w:sz w:val="20"/>
          <w:szCs w:val="20"/>
          <w:bdr w:val="none" w:sz="0" w:space="0" w:color="auto" w:frame="1"/>
          <w:shd w:val="clear" w:color="auto" w:fill="FFFFFF"/>
          <w:lang w:eastAsia="es-ES_tradnl"/>
        </w:rPr>
        <w:t>“A través de la liquidación de los contratos se busca en especial establecer el equilibrio final en las relaciones suscitadas entre la entidad estatal y el contratista, con el objeto de dejar niveladas las prestaciones y derechos surgidos del negocio jurídico. En este sentido, el principio de la conmutatividad, entendido como la equivalencia obvia que debe existir entre lo que se da o hace por una parte y lo que se recibe por la otra, se torna en regla vinculante e imperativa, que debe ser restablecida al final de la relación jurídica, con el propósito de que el negocio finalmente sea equivalente entre las partes”</w:t>
      </w:r>
      <w:r w:rsidRPr="00AA6517">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11"/>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0B30A4C5" w14:textId="77777777" w:rsidR="007F707F"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642DCCAA" w14:textId="77777777" w:rsidR="007F707F"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t xml:space="preserve">De acuerdo con la Sentencia de Unificación del 19 de noviembre de 2012 de la Sala Plena del Consejo de Estado, </w:t>
      </w:r>
      <w:r>
        <w:rPr>
          <w:rFonts w:ascii="Verdana" w:eastAsia="Times New Roman" w:hAnsi="Verdana" w:cs="Arial"/>
          <w:i/>
          <w:iCs/>
          <w:color w:val="000000"/>
          <w:bdr w:val="none" w:sz="0" w:space="0" w:color="auto" w:frame="1"/>
          <w:shd w:val="clear" w:color="auto" w:fill="FFFFFF"/>
          <w:lang w:eastAsia="es-ES_tradnl"/>
        </w:rPr>
        <w:t>por regla general,</w:t>
      </w:r>
      <w:r>
        <w:rPr>
          <w:rFonts w:ascii="Verdana" w:eastAsia="Times New Roman" w:hAnsi="Verdana" w:cs="Arial"/>
          <w:color w:val="000000"/>
          <w:bdr w:val="none" w:sz="0" w:space="0" w:color="auto" w:frame="1"/>
          <w:shd w:val="clear" w:color="auto" w:fill="FFFFFF"/>
          <w:lang w:eastAsia="es-ES_tradnl"/>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 Dentro de esta línea:</w:t>
      </w:r>
    </w:p>
    <w:p w14:paraId="4C119150" w14:textId="77777777" w:rsidR="007F707F"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5900980E" w14:textId="77777777" w:rsidR="007F707F" w:rsidRPr="00AA6517" w:rsidRDefault="007F707F" w:rsidP="007F707F">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A6517">
        <w:rPr>
          <w:rFonts w:ascii="Verdana" w:eastAsia="Times New Roman" w:hAnsi="Verdana" w:cs="Arial"/>
          <w:color w:val="000000"/>
          <w:sz w:val="20"/>
          <w:szCs w:val="20"/>
          <w:bdr w:val="none" w:sz="0" w:space="0" w:color="auto" w:frame="1"/>
          <w:shd w:val="clear" w:color="auto" w:fill="FFFFFF"/>
          <w:lang w:eastAsia="es-ES_tradnl"/>
        </w:rPr>
        <w:t xml:space="preserve">“EL E.C. establece que en el acta de liquidación del contrato podrán efectuarse las transacciones a las que hubiere lugar. Se trata de un </w:t>
      </w:r>
      <w:r w:rsidRPr="00AA6517">
        <w:rPr>
          <w:rFonts w:ascii="Verdana" w:eastAsia="Times New Roman" w:hAnsi="Verdana" w:cs="Arial"/>
          <w:color w:val="000000"/>
          <w:sz w:val="20"/>
          <w:szCs w:val="20"/>
          <w:bdr w:val="none" w:sz="0" w:space="0" w:color="auto" w:frame="1"/>
          <w:shd w:val="clear" w:color="auto" w:fill="FFFFFF"/>
          <w:lang w:eastAsia="es-ES_tradnl"/>
        </w:rPr>
        <w:lastRenderedPageBreak/>
        <w:t>mecanismo de solucionar eventuales conflictos de orden contractual, por esto, no se podrán incorporar reconocimientos que se han causado y que resulten ajenos a las obligaciones contractuales y legales. Aquellas actividades ejecutadas por el contratista que no se desprendan o se encuentren incorporadas en el contrato, no podrán ser reconocidas en el acta de liquidación. Esto no significa que a la entidad se le cierre la posibilidad de solucionar directamente el conflicto, pero, podrá precaverlo, suscribiendo un contrato de transacción con las formalidades establecidas en nuestro ordenamiento”</w:t>
      </w:r>
      <w:r w:rsidRPr="00AA6517">
        <w:rPr>
          <w:rStyle w:val="Refdenotaalpie"/>
          <w:rFonts w:ascii="Verdana" w:eastAsia="Times New Roman" w:hAnsi="Verdana" w:cs="Arial"/>
          <w:color w:val="000000"/>
          <w:sz w:val="20"/>
          <w:szCs w:val="20"/>
          <w:bdr w:val="none" w:sz="0" w:space="0" w:color="auto" w:frame="1"/>
          <w:shd w:val="clear" w:color="auto" w:fill="FFFFFF"/>
          <w:lang w:eastAsia="es-ES_tradnl"/>
        </w:rPr>
        <w:footnoteReference w:id="12"/>
      </w:r>
      <w:r w:rsidRPr="00AA6517">
        <w:rPr>
          <w:rFonts w:ascii="Verdana" w:eastAsia="Times New Roman" w:hAnsi="Verdana" w:cs="Arial"/>
          <w:color w:val="000000"/>
          <w:sz w:val="20"/>
          <w:szCs w:val="20"/>
          <w:bdr w:val="none" w:sz="0" w:space="0" w:color="auto" w:frame="1"/>
          <w:shd w:val="clear" w:color="auto" w:fill="FFFFFF"/>
          <w:lang w:eastAsia="es-ES_tradnl"/>
        </w:rPr>
        <w:t xml:space="preserve">.  </w:t>
      </w:r>
    </w:p>
    <w:p w14:paraId="06D643CE" w14:textId="77777777" w:rsidR="007F707F"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64F3ECD5" w14:textId="77777777" w:rsidR="007F707F" w:rsidRDefault="007F707F" w:rsidP="007F707F">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r>
      <w:r w:rsidRPr="001C48E6">
        <w:rPr>
          <w:rFonts w:ascii="Verdana" w:eastAsia="Times New Roman" w:hAnsi="Verdana" w:cs="Arial"/>
          <w:i/>
          <w:iCs/>
          <w:color w:val="000000"/>
          <w:bdr w:val="none" w:sz="0" w:space="0" w:color="auto" w:frame="1"/>
          <w:shd w:val="clear" w:color="auto" w:fill="FFFFFF"/>
          <w:lang w:eastAsia="es-ES_tradnl"/>
        </w:rPr>
        <w:t>Excepcionalmente</w:t>
      </w:r>
      <w:r>
        <w:rPr>
          <w:rFonts w:ascii="Verdana" w:eastAsia="Times New Roman" w:hAnsi="Verdana" w:cs="Arial"/>
          <w:color w:val="000000"/>
          <w:bdr w:val="none" w:sz="0" w:space="0" w:color="auto" w:frame="1"/>
          <w:shd w:val="clear" w:color="auto" w:fill="FFFFFF"/>
          <w:lang w:eastAsia="es-ES_tradnl"/>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w:t>
      </w:r>
      <w:proofErr w:type="spellStart"/>
      <w:r>
        <w:rPr>
          <w:rFonts w:ascii="Verdana" w:eastAsia="Times New Roman" w:hAnsi="Verdana" w:cs="Arial"/>
          <w:color w:val="000000"/>
          <w:bdr w:val="none" w:sz="0" w:space="0" w:color="auto" w:frame="1"/>
          <w:shd w:val="clear" w:color="auto" w:fill="FFFFFF"/>
          <w:lang w:eastAsia="es-ES_tradnl"/>
        </w:rPr>
        <w:t>ii</w:t>
      </w:r>
      <w:proofErr w:type="spellEnd"/>
      <w:r>
        <w:rPr>
          <w:rFonts w:ascii="Verdana" w:eastAsia="Times New Roman" w:hAnsi="Verdana" w:cs="Arial"/>
          <w:color w:val="000000"/>
          <w:bdr w:val="none" w:sz="0" w:space="0" w:color="auto" w:frame="1"/>
          <w:shd w:val="clear" w:color="auto" w:fill="FFFFFF"/>
          <w:lang w:eastAsia="es-ES_tradnl"/>
        </w:rPr>
        <w:t xml:space="preserve">) que fueran urgentes para evitar una lesión inminente e irreversible al derecho a la salud; y </w:t>
      </w:r>
      <w:proofErr w:type="spellStart"/>
      <w:r>
        <w:rPr>
          <w:rFonts w:ascii="Verdana" w:eastAsia="Times New Roman" w:hAnsi="Verdana" w:cs="Arial"/>
          <w:color w:val="000000"/>
          <w:bdr w:val="none" w:sz="0" w:space="0" w:color="auto" w:frame="1"/>
          <w:shd w:val="clear" w:color="auto" w:fill="FFFFFF"/>
          <w:lang w:eastAsia="es-ES_tradnl"/>
        </w:rPr>
        <w:t>iii</w:t>
      </w:r>
      <w:proofErr w:type="spellEnd"/>
      <w:r>
        <w:rPr>
          <w:rFonts w:ascii="Verdana" w:eastAsia="Times New Roman" w:hAnsi="Verdana" w:cs="Arial"/>
          <w:color w:val="000000"/>
          <w:bdr w:val="none" w:sz="0" w:space="0" w:color="auto" w:frame="1"/>
          <w:shd w:val="clear" w:color="auto" w:fill="FFFFFF"/>
          <w:lang w:eastAsia="es-ES_tradnl"/>
        </w:rPr>
        <w:t xml:space="preserve">) cuando se omite el decreto de la urgencia manifiesta y concurren las circunstancias para que ésta hubiera sido declarada.  </w:t>
      </w:r>
    </w:p>
    <w:p w14:paraId="7CD18DA7" w14:textId="77777777" w:rsidR="007F707F" w:rsidRPr="00A04C35"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r>
      <w:r w:rsidRPr="00A04C35">
        <w:rPr>
          <w:rFonts w:ascii="Verdana" w:eastAsia="Times New Roman" w:hAnsi="Verdana" w:cs="Arial"/>
          <w:color w:val="000000"/>
          <w:bdr w:val="none" w:sz="0" w:space="0" w:color="auto" w:frame="1"/>
          <w:shd w:val="clear" w:color="auto" w:fill="FFFFFF"/>
          <w:lang w:eastAsia="es-ES_tradnl"/>
        </w:rPr>
        <w:t xml:space="preserve">No obstante, la Sala Plena del Consejo de Estado expidió la Sentencia de Unificación del 19 de noviembre de 2012, </w:t>
      </w:r>
      <w:r w:rsidRPr="00A04C35">
        <w:rPr>
          <w:rFonts w:ascii="Verdana" w:eastAsia="Times New Roman" w:hAnsi="Verdana" w:cs="Arial"/>
          <w:i/>
          <w:iCs/>
          <w:color w:val="000000"/>
          <w:bdr w:val="none" w:sz="0" w:space="0" w:color="auto" w:frame="1"/>
          <w:shd w:val="clear" w:color="auto" w:fill="FFFFFF"/>
          <w:lang w:eastAsia="es-ES_tradnl"/>
        </w:rPr>
        <w:t>por regla general,</w:t>
      </w:r>
      <w:r w:rsidRPr="00A04C35">
        <w:rPr>
          <w:rFonts w:ascii="Verdana" w:eastAsia="Times New Roman" w:hAnsi="Verdana" w:cs="Arial"/>
          <w:color w:val="000000"/>
          <w:bdr w:val="none" w:sz="0" w:space="0" w:color="auto" w:frame="1"/>
          <w:shd w:val="clear" w:color="auto" w:fill="FFFFFF"/>
          <w:lang w:eastAsia="es-ES_tradnl"/>
        </w:rPr>
        <w:t xml:space="preserve"> no es posible solicitar reconocimientos económicos por la ejecución de obras extras o adicionales, sin la previa suscripción de un contrato adicional que las justifique. Esto en la medida que los artículos 39 y 41 del EGCAP disponen que los contratos estatales son solemnes y, por tanto, requieren formalidad escrita, salvo que se presente una situación de urgencia manifiesta.</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3"/>
      </w:r>
      <w:r w:rsidRPr="00A04C35">
        <w:rPr>
          <w:rFonts w:ascii="Verdana" w:eastAsia="Times New Roman" w:hAnsi="Verdana" w:cs="Arial"/>
          <w:color w:val="000000"/>
          <w:bdr w:val="none" w:sz="0" w:space="0" w:color="auto" w:frame="1"/>
          <w:shd w:val="clear" w:color="auto" w:fill="FFFFFF"/>
          <w:lang w:eastAsia="es-ES_tradnl"/>
        </w:rPr>
        <w:t xml:space="preserve"> Dentro de esta línea:</w:t>
      </w:r>
    </w:p>
    <w:p w14:paraId="0E343D8D" w14:textId="77777777" w:rsidR="007F707F" w:rsidRPr="00A04C35"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052A03B2" w14:textId="77777777" w:rsidR="007F707F" w:rsidRPr="00A04C35" w:rsidRDefault="007F707F" w:rsidP="007F707F">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 xml:space="preserve">“EL E.C. establece que en el acta de liquidación del contrato podrán efectuarse las transacciones a las que hubiere lugar. Se trata de un mecanismo de solucionar eventuales conflictos de orden contractual, por esto, no se podrán incorporar reconocimientos que se han causado y que resulten ajenos a las obligaciones contractuales y legales. Aquellas actividades ejecutadas por el contratista que no se desprendan o se encuentren incorporadas en el contrato, no podrán ser reconocidas en el acta de liquidación. Esto no significa que a la entidad se le cierre la posibilidad de solucionar directamente el conflicto, pero, podrá precaverlo, </w:t>
      </w:r>
      <w:r w:rsidRPr="00A04C35">
        <w:rPr>
          <w:rFonts w:ascii="Verdana" w:eastAsia="Times New Roman" w:hAnsi="Verdana" w:cs="Arial"/>
          <w:color w:val="000000"/>
          <w:sz w:val="20"/>
          <w:szCs w:val="20"/>
          <w:bdr w:val="none" w:sz="0" w:space="0" w:color="auto" w:frame="1"/>
          <w:shd w:val="clear" w:color="auto" w:fill="FFFFFF"/>
          <w:lang w:eastAsia="es-ES_tradnl"/>
        </w:rPr>
        <w:lastRenderedPageBreak/>
        <w:t>suscribiendo un contrato de transacción con las formalidades establecidas en nuestro ordenamiento”</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4"/>
      </w:r>
      <w:r w:rsidRPr="00A04C35">
        <w:rPr>
          <w:rFonts w:ascii="Verdana" w:eastAsia="Times New Roman" w:hAnsi="Verdana" w:cs="Arial"/>
          <w:color w:val="000000"/>
          <w:sz w:val="20"/>
          <w:szCs w:val="20"/>
          <w:bdr w:val="none" w:sz="0" w:space="0" w:color="auto" w:frame="1"/>
          <w:shd w:val="clear" w:color="auto" w:fill="FFFFFF"/>
          <w:lang w:eastAsia="es-ES_tradnl"/>
        </w:rPr>
        <w:t xml:space="preserve">.  </w:t>
      </w:r>
    </w:p>
    <w:p w14:paraId="37DC835B" w14:textId="77777777" w:rsidR="007F707F" w:rsidRPr="00A04C35" w:rsidRDefault="007F707F" w:rsidP="007F707F">
      <w:pPr>
        <w:tabs>
          <w:tab w:val="left" w:pos="709"/>
        </w:tabs>
        <w:spacing w:after="0" w:line="240" w:lineRule="auto"/>
        <w:jc w:val="both"/>
        <w:rPr>
          <w:rFonts w:ascii="Verdana" w:eastAsia="Times New Roman" w:hAnsi="Verdana" w:cs="Arial"/>
          <w:color w:val="000000"/>
          <w:bdr w:val="none" w:sz="0" w:space="0" w:color="auto" w:frame="1"/>
          <w:shd w:val="clear" w:color="auto" w:fill="FFFFFF"/>
          <w:lang w:eastAsia="es-ES_tradnl"/>
        </w:rPr>
      </w:pPr>
    </w:p>
    <w:p w14:paraId="21A7FCAC" w14:textId="77777777" w:rsidR="007F707F" w:rsidRPr="00A04C35" w:rsidRDefault="007F707F" w:rsidP="007F707F">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r>
      <w:r w:rsidRPr="00A04C35">
        <w:rPr>
          <w:rFonts w:ascii="Verdana" w:eastAsia="Times New Roman" w:hAnsi="Verdana" w:cs="Arial"/>
          <w:i/>
          <w:iCs/>
          <w:color w:val="000000"/>
          <w:bdr w:val="none" w:sz="0" w:space="0" w:color="auto" w:frame="1"/>
          <w:shd w:val="clear" w:color="auto" w:fill="FFFFFF"/>
          <w:lang w:eastAsia="es-ES_tradnl"/>
        </w:rPr>
        <w:t>Excepcionalmente</w:t>
      </w:r>
      <w:r w:rsidRPr="00A04C35">
        <w:rPr>
          <w:rFonts w:ascii="Verdana" w:eastAsia="Times New Roman" w:hAnsi="Verdana" w:cs="Arial"/>
          <w:color w:val="000000"/>
          <w:bdr w:val="none" w:sz="0" w:space="0" w:color="auto" w:frame="1"/>
          <w:shd w:val="clear" w:color="auto" w:fill="FFFFFF"/>
          <w:lang w:eastAsia="es-ES_tradnl"/>
        </w:rPr>
        <w:t xml:space="preserve">, la jurisprudencia citada admitió la posibilidad de reconocer al contratista la ejecución de obras extras o adicionales en tres (3) eventos de interpretación restrictiva: i) cuando existe prueba fehaciente de que la ejecución de obras o servicios extras o adicionales o el suministro de bienes, por fuera del objeto contractual, se haya realizado por la imposición de la entidad, en ejercicio de su autoridad; </w:t>
      </w:r>
      <w:proofErr w:type="spellStart"/>
      <w:r w:rsidRPr="00A04C35">
        <w:rPr>
          <w:rFonts w:ascii="Verdana" w:eastAsia="Times New Roman" w:hAnsi="Verdana" w:cs="Arial"/>
          <w:color w:val="000000"/>
          <w:bdr w:val="none" w:sz="0" w:space="0" w:color="auto" w:frame="1"/>
          <w:shd w:val="clear" w:color="auto" w:fill="FFFFFF"/>
          <w:lang w:eastAsia="es-ES_tradnl"/>
        </w:rPr>
        <w:t>ii</w:t>
      </w:r>
      <w:proofErr w:type="spellEnd"/>
      <w:r w:rsidRPr="00A04C35">
        <w:rPr>
          <w:rFonts w:ascii="Verdana" w:eastAsia="Times New Roman" w:hAnsi="Verdana" w:cs="Arial"/>
          <w:color w:val="000000"/>
          <w:bdr w:val="none" w:sz="0" w:space="0" w:color="auto" w:frame="1"/>
          <w:shd w:val="clear" w:color="auto" w:fill="FFFFFF"/>
          <w:lang w:eastAsia="es-ES_tradnl"/>
        </w:rPr>
        <w:t xml:space="preserve">) que fueran urgentes para evitar una lesión inminente e irreversible al derecho a la salud; y </w:t>
      </w:r>
      <w:proofErr w:type="spellStart"/>
      <w:r w:rsidRPr="00A04C35">
        <w:rPr>
          <w:rFonts w:ascii="Verdana" w:eastAsia="Times New Roman" w:hAnsi="Verdana" w:cs="Arial"/>
          <w:color w:val="000000"/>
          <w:bdr w:val="none" w:sz="0" w:space="0" w:color="auto" w:frame="1"/>
          <w:shd w:val="clear" w:color="auto" w:fill="FFFFFF"/>
          <w:lang w:eastAsia="es-ES_tradnl"/>
        </w:rPr>
        <w:t>iii</w:t>
      </w:r>
      <w:proofErr w:type="spellEnd"/>
      <w:r w:rsidRPr="00A04C35">
        <w:rPr>
          <w:rFonts w:ascii="Verdana" w:eastAsia="Times New Roman" w:hAnsi="Verdana" w:cs="Arial"/>
          <w:color w:val="000000"/>
          <w:bdr w:val="none" w:sz="0" w:space="0" w:color="auto" w:frame="1"/>
          <w:shd w:val="clear" w:color="auto" w:fill="FFFFFF"/>
          <w:lang w:eastAsia="es-ES_tradnl"/>
        </w:rPr>
        <w:t>) cuando se omite el decreto de la urgencia manifiesta y concurren las circunstancias para que ésta hubiera sido declarada</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5"/>
      </w:r>
      <w:r w:rsidRPr="00A04C35">
        <w:rPr>
          <w:rFonts w:ascii="Verdana" w:eastAsia="Times New Roman" w:hAnsi="Verdana" w:cs="Arial"/>
          <w:color w:val="000000"/>
          <w:bdr w:val="none" w:sz="0" w:space="0" w:color="auto" w:frame="1"/>
          <w:shd w:val="clear" w:color="auto" w:fill="FFFFFF"/>
          <w:lang w:eastAsia="es-ES_tradnl"/>
        </w:rPr>
        <w:t xml:space="preserve">.  </w:t>
      </w:r>
    </w:p>
    <w:p w14:paraId="44951851" w14:textId="77777777" w:rsidR="007F707F" w:rsidRPr="00A04C35"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En todo caso, esta postura jurisprudencial consolidada cambió con la Sentencia de Unificación del 31 de julio de 2025, en la que se expresó la compensación del enriquecimiento sin justa causa no está condicionado a la subsunción de ciertos hechos que se concuerdan con una lista de hipótesis fácticas previa y taxativamente definidas, sino que corresponde al juez, en virtud de los elementos sustantivos y la revisión el comportamiento de las partes, establecer la viabilidad de ordenar que haya una corrección al traslado patrimonial injustificado por bienes y obras no previstos en el contrato</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6"/>
      </w:r>
      <w:r w:rsidRPr="00A04C35">
        <w:rPr>
          <w:rFonts w:ascii="Verdana" w:eastAsia="Times New Roman" w:hAnsi="Verdana" w:cs="Arial"/>
          <w:color w:val="000000"/>
          <w:bdr w:val="none" w:sz="0" w:space="0" w:color="auto" w:frame="1"/>
          <w:shd w:val="clear" w:color="auto" w:fill="FFFFFF"/>
          <w:lang w:eastAsia="es-ES_tradnl"/>
        </w:rPr>
        <w:t xml:space="preserve">. Dicho reconocimiento está supeditado a que la parte interesada demuestre la concurrencia de los siguientes elementos: </w:t>
      </w:r>
    </w:p>
    <w:p w14:paraId="26D2C05B" w14:textId="77777777" w:rsidR="007F707F" w:rsidRPr="00A04C35"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7E2A303B" w14:textId="77777777" w:rsidR="007F707F" w:rsidRPr="00A04C35" w:rsidRDefault="007F707F" w:rsidP="007F707F">
      <w:pPr>
        <w:tabs>
          <w:tab w:val="left" w:pos="709"/>
        </w:tabs>
        <w:spacing w:after="0" w:line="240" w:lineRule="auto"/>
        <w:ind w:left="709" w:right="709"/>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“Ese reconocimiento, además, está supeditado a que se reúnan los siguientes elementos: (i) la existencia de una ventaja patrimonial en beneficio de la entidad;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ii</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un empobrecimiento correlativo sufrido por el demandante, el cual pueda atribuirse al acrecimiento mencionado;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iii</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la ausencia de causa jurídica en el desequilibrio producido, en cuanto a que no haya sido generada por un hecho o un acto jurídico, como tampoco por una disposición expresa de la ley; (</w:t>
      </w:r>
      <w:proofErr w:type="spellStart"/>
      <w:r w:rsidRPr="00A04C35">
        <w:rPr>
          <w:rFonts w:ascii="Verdana" w:eastAsia="Times New Roman" w:hAnsi="Verdana" w:cs="Arial"/>
          <w:color w:val="000000"/>
          <w:sz w:val="20"/>
          <w:szCs w:val="20"/>
          <w:bdr w:val="none" w:sz="0" w:space="0" w:color="auto" w:frame="1"/>
          <w:shd w:val="clear" w:color="auto" w:fill="FFFFFF"/>
          <w:lang w:eastAsia="es-ES_tradnl"/>
        </w:rPr>
        <w:t>iv</w:t>
      </w:r>
      <w:proofErr w:type="spellEnd"/>
      <w:r w:rsidRPr="00A04C35">
        <w:rPr>
          <w:rFonts w:ascii="Verdana" w:eastAsia="Times New Roman" w:hAnsi="Verdana" w:cs="Arial"/>
          <w:color w:val="000000"/>
          <w:sz w:val="20"/>
          <w:szCs w:val="20"/>
          <w:bdr w:val="none" w:sz="0" w:space="0" w:color="auto" w:frame="1"/>
          <w:shd w:val="clear" w:color="auto" w:fill="FFFFFF"/>
          <w:lang w:eastAsia="es-ES_tradnl"/>
        </w:rPr>
        <w:t>) que el demandante carezca de cualquier otro mecanismo para reclamar la compensación, lo que pone en evidencia su subsidiariedad; y (v) la compensación no procede cuando con ella se pretende soslayar una disposición imperativa de la ley”</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7"/>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33894B15" w14:textId="77777777" w:rsidR="007F707F" w:rsidRPr="00A04C35"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35124403" w14:textId="77777777" w:rsidR="007F707F" w:rsidRPr="00A04C35"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lastRenderedPageBreak/>
        <w:tab/>
        <w:t>Teniendo en cuenta los elementos, debe tenerse en cuenta la prueba de la actividad, sumado a la circunstancia excepcional que se invoca. El Consejo de Estado estableció que esta regla sobre el reconocimiento económico debe aplicarse a partir de la ejecutoria de la nueva sentencia de unificación, en aquellas pretensiones de compensación por enriquecimiento sin causa, de forma que no podrá dejarse de conceder lo pedido por el solo hecho de que el caso no se enmarque en los eventos indicados en la Sentencia del 19 de noviembre de 2012</w:t>
      </w:r>
      <w:r w:rsidRPr="00A04C35">
        <w:rPr>
          <w:rFonts w:ascii="Verdana" w:eastAsia="Times New Roman" w:hAnsi="Verdana" w:cs="Arial"/>
          <w:color w:val="000000"/>
          <w:bdr w:val="none" w:sz="0" w:space="0" w:color="auto" w:frame="1"/>
          <w:shd w:val="clear" w:color="auto" w:fill="FFFFFF"/>
          <w:vertAlign w:val="superscript"/>
          <w:lang w:eastAsia="es-ES_tradnl"/>
        </w:rPr>
        <w:footnoteReference w:id="18"/>
      </w:r>
      <w:r w:rsidRPr="00A04C35">
        <w:rPr>
          <w:rFonts w:ascii="Verdana" w:eastAsia="Times New Roman" w:hAnsi="Verdana" w:cs="Arial"/>
          <w:color w:val="000000"/>
          <w:bdr w:val="none" w:sz="0" w:space="0" w:color="auto" w:frame="1"/>
          <w:shd w:val="clear" w:color="auto" w:fill="FFFFFF"/>
          <w:lang w:eastAsia="es-ES_tradnl"/>
        </w:rPr>
        <w:t xml:space="preserve">. De este modo, dicha Sentencia de Unificación expresa: </w:t>
      </w:r>
    </w:p>
    <w:p w14:paraId="18C809B3" w14:textId="77777777" w:rsidR="007F707F" w:rsidRPr="00A04C35" w:rsidRDefault="007F707F" w:rsidP="007F707F">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4D28CD00" w14:textId="77777777" w:rsidR="007F707F" w:rsidRPr="00A04C35" w:rsidRDefault="007F707F" w:rsidP="007F707F">
      <w:pPr>
        <w:tabs>
          <w:tab w:val="left" w:pos="709"/>
        </w:tabs>
        <w:spacing w:after="0" w:line="240" w:lineRule="auto"/>
        <w:ind w:left="709" w:right="709"/>
        <w:jc w:val="both"/>
        <w:rPr>
          <w:rFonts w:ascii="Verdana" w:eastAsia="Times New Roman" w:hAnsi="Verdana" w:cs="Arial"/>
          <w:color w:val="000000"/>
          <w:sz w:val="20"/>
          <w:szCs w:val="20"/>
          <w:bdr w:val="none" w:sz="0" w:space="0" w:color="auto" w:frame="1"/>
          <w:shd w:val="clear" w:color="auto" w:fill="FFFFFF"/>
          <w:lang w:eastAsia="es-ES_tradnl"/>
        </w:rPr>
      </w:pPr>
      <w:r w:rsidRPr="00A04C35">
        <w:rPr>
          <w:rFonts w:ascii="Verdana" w:eastAsia="Times New Roman" w:hAnsi="Verdana" w:cs="Arial"/>
          <w:color w:val="000000"/>
          <w:sz w:val="20"/>
          <w:szCs w:val="20"/>
          <w:bdr w:val="none" w:sz="0" w:space="0" w:color="auto" w:frame="1"/>
          <w:shd w:val="clear" w:color="auto" w:fill="FFFFFF"/>
          <w:lang w:eastAsia="es-ES_tradnl"/>
        </w:rPr>
        <w:t>“Sobre lo primero, en torno a la configuración y procedencia del enriquecimiento sin justa causa cuando se han ejecutado actividades sin el respaldo de un contrato, en favor de entidades que -en su gestión- deben aplicar el Estatuto General de Contratación Pública, se decantó que la respectiva pretensión de compensación, cuando se carezca de otro mecanismo para reclamar, debe cumplir los presupuestos procesales de la reparación directa (incluso cuando se ha celebrado un contrato cuyo objeto se haya agotado para el momento de la extinción del plazo previsto y ante el desarrollo de actividades con posterioridad a la finalización), sin que sea exigible haber provocado una decisión por parte de la administración y, al satisfacerse, debe ser tramitada, pese a que el demandante mencione otro medio o guarde silencio sobre su denominación. Su prosperidad es absolutamente excepcional, depende de la plena prueba de la actividad desarrollada, sustentada en la demostración de una circunstancia extraordinaria y en razones de interés general, sin que, al respecto, se preestablezcan hipótesis fácticas taxativas; pero, sí se debe supeditar a la existencia de una ventaja patrimonial en beneficio de la demandada, un empobrecimiento correlativo sufrido por el demandante, la ausencia de causa jurídica en el desequilibrio producido y que no se haya soslayado la ley. Cumplido lo anterior, procede corregir el traslado patrimonial injustificado, mas no indemnizar un daño, salvo que el menoscabo emane de una conducta constitutiva de responsabilidad extracontractual del Estado, como una coacción o constreñimiento, que realmente constituyen eventos de falla del servicio”</w:t>
      </w:r>
      <w:r w:rsidRPr="00A04C35">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9"/>
      </w:r>
      <w:r w:rsidRPr="00A04C35">
        <w:rPr>
          <w:rFonts w:ascii="Verdana" w:eastAsia="Times New Roman" w:hAnsi="Verdana" w:cs="Arial"/>
          <w:color w:val="000000"/>
          <w:sz w:val="20"/>
          <w:szCs w:val="20"/>
          <w:bdr w:val="none" w:sz="0" w:space="0" w:color="auto" w:frame="1"/>
          <w:shd w:val="clear" w:color="auto" w:fill="FFFFFF"/>
          <w:lang w:eastAsia="es-ES_tradnl"/>
        </w:rPr>
        <w:t>.</w:t>
      </w:r>
    </w:p>
    <w:p w14:paraId="314D62F3" w14:textId="77777777" w:rsidR="007F707F" w:rsidRPr="00A04C35" w:rsidRDefault="007F707F" w:rsidP="007F707F">
      <w:pPr>
        <w:tabs>
          <w:tab w:val="left" w:pos="709"/>
        </w:tabs>
        <w:spacing w:after="0" w:line="240" w:lineRule="auto"/>
        <w:jc w:val="both"/>
        <w:rPr>
          <w:rFonts w:ascii="Verdana" w:eastAsia="Times New Roman" w:hAnsi="Verdana" w:cs="Arial"/>
          <w:color w:val="000000"/>
          <w:bdr w:val="none" w:sz="0" w:space="0" w:color="auto" w:frame="1"/>
          <w:shd w:val="clear" w:color="auto" w:fill="FFFFFF"/>
          <w:lang w:eastAsia="es-ES_tradnl"/>
        </w:rPr>
      </w:pPr>
    </w:p>
    <w:p w14:paraId="00D9D7FA" w14:textId="77777777" w:rsidR="007F707F" w:rsidRDefault="007F707F" w:rsidP="007F707F">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sidRPr="00A04C35">
        <w:rPr>
          <w:rFonts w:ascii="Verdana" w:eastAsia="Times New Roman" w:hAnsi="Verdana" w:cs="Arial"/>
          <w:color w:val="000000"/>
          <w:bdr w:val="none" w:sz="0" w:space="0" w:color="auto" w:frame="1"/>
          <w:shd w:val="clear" w:color="auto" w:fill="FFFFFF"/>
          <w:lang w:eastAsia="es-ES_tradnl"/>
        </w:rPr>
        <w:tab/>
        <w:t xml:space="preserve">Conforme al artículo 10 de la Ley 1437 de 2011, “Al resolver los asuntos de su competencia, las autoridades aplicarán las disposiciones constitucionales, legales y reglamentarias de manera uniforme a situaciones que tengan los mismos supuestos fácticos y jurídicos. </w:t>
      </w:r>
      <w:r w:rsidRPr="00A04C35">
        <w:rPr>
          <w:rFonts w:ascii="Verdana" w:eastAsia="Times New Roman" w:hAnsi="Verdana" w:cs="Arial"/>
          <w:i/>
          <w:iCs/>
          <w:color w:val="000000"/>
          <w:bdr w:val="none" w:sz="0" w:space="0" w:color="auto" w:frame="1"/>
          <w:shd w:val="clear" w:color="auto" w:fill="FFFFFF"/>
          <w:lang w:eastAsia="es-ES_tradnl"/>
        </w:rPr>
        <w:t xml:space="preserve">Con este propósito, al adoptar las decisiones de su competencia, deberán tener en cuenta las sentencias de </w:t>
      </w:r>
      <w:r w:rsidRPr="00A04C35">
        <w:rPr>
          <w:rFonts w:ascii="Verdana" w:eastAsia="Times New Roman" w:hAnsi="Verdana" w:cs="Arial"/>
          <w:i/>
          <w:iCs/>
          <w:color w:val="000000"/>
          <w:bdr w:val="none" w:sz="0" w:space="0" w:color="auto" w:frame="1"/>
          <w:shd w:val="clear" w:color="auto" w:fill="FFFFFF"/>
          <w:lang w:eastAsia="es-ES_tradnl"/>
        </w:rPr>
        <w:lastRenderedPageBreak/>
        <w:t>unificación jurisprudencial del Consejo de Estado en las que se interpreten y apliquen dichas normas</w:t>
      </w:r>
      <w:r w:rsidRPr="00A04C35">
        <w:rPr>
          <w:rFonts w:ascii="Verdana" w:eastAsia="Times New Roman" w:hAnsi="Verdana" w:cs="Arial"/>
          <w:color w:val="000000"/>
          <w:bdr w:val="none" w:sz="0" w:space="0" w:color="auto" w:frame="1"/>
          <w:shd w:val="clear" w:color="auto" w:fill="FFFFFF"/>
          <w:lang w:eastAsia="es-ES_tradnl"/>
        </w:rPr>
        <w:t>” (Énfasis fuera de texto). Por tanto, en la actualidad existe la posibilidad de reconocer en la liquidación actividades no incluidas o ítems no previstos dentro del contrato, pues no se limita a los supuestos planteados de la Sentencia de Unificación del 19 de noviembre de 2012, sino que se configuren los elementos del enriquecimiento sin justa causa, la prueba de la actividad, sumado a la circunstancia excepcional que se invoca.</w:t>
      </w:r>
      <w:r>
        <w:rPr>
          <w:rFonts w:ascii="Verdana" w:eastAsia="Times New Roman" w:hAnsi="Verdana" w:cs="Arial"/>
          <w:color w:val="000000"/>
          <w:bdr w:val="none" w:sz="0" w:space="0" w:color="auto" w:frame="1"/>
          <w:shd w:val="clear" w:color="auto" w:fill="FFFFFF"/>
          <w:lang w:eastAsia="es-ES_tradnl"/>
        </w:rPr>
        <w:t xml:space="preserve">  </w:t>
      </w:r>
    </w:p>
    <w:p w14:paraId="403F412D" w14:textId="77777777" w:rsidR="007F707F" w:rsidRPr="006162A9" w:rsidRDefault="007F707F" w:rsidP="007F707F">
      <w:pPr>
        <w:widowControl w:val="0"/>
        <w:autoSpaceDE w:val="0"/>
        <w:autoSpaceDN w:val="0"/>
        <w:spacing w:after="0" w:line="276" w:lineRule="auto"/>
        <w:ind w:firstLine="708"/>
        <w:jc w:val="both"/>
        <w:rPr>
          <w:rFonts w:ascii="Verdana" w:hAnsi="Verdana"/>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los reconocimientos económicos derivados del desequilibrio en el contrato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1941FD">
        <w:rPr>
          <w:rStyle w:val="s15"/>
          <w:rFonts w:ascii="Verdana" w:hAnsi="Verdana"/>
          <w:color w:val="000000"/>
        </w:rPr>
        <w:t>Por lo anterior,</w:t>
      </w:r>
      <w:r>
        <w:rPr>
          <w:rStyle w:val="s15"/>
          <w:rFonts w:ascii="Verdana" w:hAnsi="Verdana"/>
          <w:color w:val="000000"/>
        </w:rPr>
        <w:t xml:space="preserve"> </w:t>
      </w:r>
      <w:r w:rsidRPr="001941FD">
        <w:rPr>
          <w:rStyle w:val="s15"/>
          <w:rFonts w:ascii="Verdana" w:hAnsi="Verdana"/>
          <w:color w:val="000000"/>
        </w:rPr>
        <w:t>previo</w:t>
      </w:r>
      <w:r w:rsidRPr="001941FD">
        <w:rPr>
          <w:rStyle w:val="apple-converted-space"/>
          <w:rFonts w:ascii="Verdana" w:hAnsi="Verdana"/>
          <w:color w:val="000000"/>
        </w:rPr>
        <w:t> </w:t>
      </w:r>
      <w:r w:rsidRPr="001941FD">
        <w:rPr>
          <w:rStyle w:val="s15"/>
          <w:rFonts w:ascii="Verdana" w:hAnsi="Verdana"/>
          <w:color w:val="000000"/>
        </w:rPr>
        <w:t xml:space="preserve">concepto de sus asesores, corresponde </w:t>
      </w:r>
      <w:r>
        <w:rPr>
          <w:rStyle w:val="s15"/>
          <w:rFonts w:ascii="Verdana" w:hAnsi="Verdana"/>
          <w:color w:val="000000"/>
        </w:rPr>
        <w:t>a las partes del contrato</w:t>
      </w:r>
      <w:r w:rsidRPr="001941FD">
        <w:rPr>
          <w:rStyle w:val="s15"/>
          <w:rFonts w:ascii="Verdana" w:hAnsi="Verdana"/>
          <w:color w:val="000000"/>
        </w:rPr>
        <w:t xml:space="preserve"> </w:t>
      </w:r>
      <w:r>
        <w:rPr>
          <w:rStyle w:val="s15"/>
          <w:rFonts w:ascii="Verdana" w:hAnsi="Verdana"/>
          <w:color w:val="000000"/>
        </w:rPr>
        <w:t xml:space="preserve">definir si determinados </w:t>
      </w:r>
      <w:r w:rsidRPr="0013555B">
        <w:rPr>
          <w:rStyle w:val="s15"/>
          <w:rFonts w:ascii="Verdana" w:hAnsi="Verdana"/>
          <w:i/>
          <w:iCs/>
          <w:color w:val="000000"/>
        </w:rPr>
        <w:t>ítems</w:t>
      </w:r>
      <w:r w:rsidRPr="0013555B">
        <w:rPr>
          <w:rStyle w:val="s15"/>
          <w:rFonts w:ascii="Verdana" w:hAnsi="Verdana"/>
          <w:color w:val="000000"/>
        </w:rPr>
        <w:t xml:space="preserve"> </w:t>
      </w:r>
      <w:r>
        <w:rPr>
          <w:rStyle w:val="s15"/>
          <w:rFonts w:ascii="Verdana" w:hAnsi="Verdana"/>
          <w:color w:val="000000"/>
        </w:rPr>
        <w:t xml:space="preserve">serán objeto de </w:t>
      </w:r>
      <w:r w:rsidRPr="0013555B">
        <w:rPr>
          <w:rStyle w:val="s15"/>
          <w:rFonts w:ascii="Verdana" w:hAnsi="Verdana"/>
          <w:color w:val="000000"/>
        </w:rPr>
        <w:t>adición presupuestal o deben ejecutar</w:t>
      </w:r>
      <w:r>
        <w:rPr>
          <w:rStyle w:val="s15"/>
          <w:rFonts w:ascii="Verdana" w:hAnsi="Verdana"/>
          <w:color w:val="000000"/>
        </w:rPr>
        <w:t>se</w:t>
      </w:r>
      <w:r w:rsidRPr="0013555B">
        <w:rPr>
          <w:rStyle w:val="s15"/>
          <w:rFonts w:ascii="Verdana" w:hAnsi="Verdana"/>
          <w:color w:val="000000"/>
        </w:rPr>
        <w:t xml:space="preserve"> con el valor inicialmente definido </w:t>
      </w:r>
      <w:r>
        <w:rPr>
          <w:rStyle w:val="s15"/>
          <w:rFonts w:ascii="Verdana" w:hAnsi="Verdana"/>
          <w:color w:val="000000"/>
        </w:rPr>
        <w:t>en los documentos del proceso; motivo por el cual,</w:t>
      </w:r>
      <w:r w:rsidRPr="001941FD">
        <w:rPr>
          <w:rStyle w:val="s15"/>
          <w:rFonts w:ascii="Verdana" w:hAnsi="Verdana"/>
          <w:color w:val="000000"/>
        </w:rPr>
        <w:t xml:space="preserve"> en caso de conflicto, </w:t>
      </w:r>
      <w:r>
        <w:rPr>
          <w:rStyle w:val="s15"/>
          <w:rFonts w:ascii="Verdana" w:hAnsi="Verdana"/>
          <w:color w:val="000000"/>
        </w:rPr>
        <w:t xml:space="preserve">intervendrán </w:t>
      </w:r>
      <w:r w:rsidRPr="001941FD">
        <w:rPr>
          <w:rStyle w:val="s15"/>
          <w:rFonts w:ascii="Verdana" w:hAnsi="Verdana"/>
          <w:color w:val="000000"/>
        </w:rPr>
        <w:t>las autoridades judiciales, fiscales y disciplinarias</w:t>
      </w:r>
      <w:r>
        <w:rPr>
          <w:rStyle w:val="s15"/>
          <w:rFonts w:ascii="Verdana" w:hAnsi="Verdana"/>
          <w:color w:val="000000"/>
        </w:rPr>
        <w:t>.</w:t>
      </w:r>
    </w:p>
    <w:p w14:paraId="55B42D65" w14:textId="77777777" w:rsidR="007F707F" w:rsidRPr="00301910" w:rsidRDefault="007F707F" w:rsidP="007F707F">
      <w:pPr>
        <w:spacing w:before="120" w:after="0" w:line="276" w:lineRule="auto"/>
        <w:ind w:firstLine="709"/>
        <w:jc w:val="both"/>
        <w:rPr>
          <w:rFonts w:ascii="Verdana" w:hAnsi="Verdana" w:cs="Arial"/>
          <w:lang w:eastAsia="es-ES"/>
        </w:rPr>
      </w:pPr>
      <w:r w:rsidRPr="00301910">
        <w:rPr>
          <w:rFonts w:ascii="Verdana" w:hAnsi="Verdana" w:cs="Arial"/>
          <w:lang w:eastAsia="es-ES"/>
        </w:rPr>
        <w:t xml:space="preserve">Dentro de este marco, </w:t>
      </w:r>
      <w:r>
        <w:rPr>
          <w:rFonts w:ascii="Verdana" w:hAnsi="Verdana" w:cs="Arial"/>
          <w:lang w:eastAsia="es-ES"/>
        </w:rPr>
        <w:t xml:space="preserve">de acuerdo con la distribución de los riesgos, </w:t>
      </w:r>
      <w:r w:rsidRPr="00301910">
        <w:rPr>
          <w:rFonts w:ascii="Verdana" w:hAnsi="Verdana" w:cs="Arial"/>
          <w:lang w:eastAsia="es-ES"/>
        </w:rPr>
        <w:t>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7C3E5D05" w14:textId="77777777" w:rsidR="007F707F" w:rsidRPr="00182C89" w:rsidRDefault="007F707F" w:rsidP="007F707F">
      <w:pPr>
        <w:tabs>
          <w:tab w:val="left" w:pos="709"/>
        </w:tabs>
        <w:spacing w:after="0" w:line="276" w:lineRule="auto"/>
        <w:jc w:val="both"/>
        <w:rPr>
          <w:rFonts w:ascii="Verdana" w:eastAsia="Calibri" w:hAnsi="Verdana" w:cs="Arial"/>
          <w:color w:val="000000" w:themeColor="text1"/>
        </w:rPr>
      </w:pPr>
    </w:p>
    <w:p w14:paraId="7F838724" w14:textId="77777777" w:rsidR="007F707F" w:rsidRPr="00AE65D5" w:rsidRDefault="007F707F" w:rsidP="007F707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73E479B8" w14:textId="77777777" w:rsidR="007F707F" w:rsidRPr="00593A5F" w:rsidRDefault="007F707F" w:rsidP="007F707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F707F" w:rsidRPr="002407CE" w14:paraId="48BDAC11" w14:textId="77777777" w:rsidTr="00F90ECF">
        <w:trPr>
          <w:trHeight w:val="870"/>
          <w:jc w:val="center"/>
        </w:trPr>
        <w:tc>
          <w:tcPr>
            <w:tcW w:w="8647" w:type="dxa"/>
          </w:tcPr>
          <w:p w14:paraId="1F1E7B9C" w14:textId="77777777" w:rsidR="007F707F" w:rsidRDefault="007F707F" w:rsidP="00F90EC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3, 4, 5, 13, 14, 27, 32, 39, 40, 41 y 60.</w:t>
            </w:r>
          </w:p>
          <w:p w14:paraId="6F78DB92" w14:textId="77777777" w:rsidR="007F707F" w:rsidRDefault="007F707F" w:rsidP="00F90EC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10.</w:t>
            </w:r>
          </w:p>
          <w:p w14:paraId="0A8C7052" w14:textId="77777777" w:rsidR="007F707F" w:rsidRPr="00AE65D5" w:rsidRDefault="007F707F" w:rsidP="00F90ECF">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 1602.</w:t>
            </w:r>
          </w:p>
        </w:tc>
      </w:tr>
    </w:tbl>
    <w:p w14:paraId="2F7EDD72" w14:textId="77777777" w:rsidR="007F707F" w:rsidRPr="002407CE" w:rsidRDefault="007F707F" w:rsidP="007F707F">
      <w:pPr>
        <w:widowControl w:val="0"/>
        <w:autoSpaceDE w:val="0"/>
        <w:autoSpaceDN w:val="0"/>
        <w:spacing w:after="0" w:line="276" w:lineRule="auto"/>
        <w:jc w:val="both"/>
        <w:rPr>
          <w:rFonts w:ascii="Verdana" w:hAnsi="Verdana" w:cs="Arial"/>
        </w:rPr>
      </w:pPr>
    </w:p>
    <w:p w14:paraId="31022D04" w14:textId="77777777" w:rsidR="007F707F" w:rsidRPr="00593A5F" w:rsidRDefault="007F707F" w:rsidP="007F707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lastRenderedPageBreak/>
        <w:t>Doctrina de la Agencia Nacional de Contratación Pública</w:t>
      </w:r>
      <w:r w:rsidRPr="00593A5F">
        <w:rPr>
          <w:rFonts w:ascii="Verdana" w:eastAsia="Century Gothic" w:hAnsi="Verdana" w:cs="Century Gothic"/>
          <w:b/>
          <w:bCs/>
        </w:rPr>
        <w:t>:</w:t>
      </w:r>
    </w:p>
    <w:p w14:paraId="3B85BAAF" w14:textId="77777777" w:rsidR="007F707F" w:rsidRPr="00593A5F" w:rsidRDefault="007F707F" w:rsidP="007F707F">
      <w:pPr>
        <w:widowControl w:val="0"/>
        <w:autoSpaceDE w:val="0"/>
        <w:autoSpaceDN w:val="0"/>
        <w:spacing w:after="0" w:line="276" w:lineRule="auto"/>
        <w:jc w:val="both"/>
        <w:rPr>
          <w:rFonts w:ascii="Verdana" w:hAnsi="Verdana" w:cs="Arial"/>
        </w:rPr>
      </w:pPr>
    </w:p>
    <w:p w14:paraId="1457A950" w14:textId="77777777" w:rsidR="007F707F" w:rsidRPr="007E4299" w:rsidRDefault="007F707F" w:rsidP="007F707F">
      <w:pPr>
        <w:widowControl w:val="0"/>
        <w:autoSpaceDE w:val="0"/>
        <w:autoSpaceDN w:val="0"/>
        <w:spacing w:after="0" w:line="276" w:lineRule="auto"/>
        <w:jc w:val="both"/>
        <w:rPr>
          <w:rStyle w:val="normaltextrun"/>
          <w:rFonts w:ascii="Verdana" w:hAnsi="Verdana"/>
        </w:rPr>
      </w:pPr>
      <w:r w:rsidRPr="00DA1FE4">
        <w:rPr>
          <w:rFonts w:ascii="Verdana" w:eastAsia="Calibri" w:hAnsi="Verdana" w:cs="Arial"/>
          <w:shd w:val="clear" w:color="auto" w:fill="FFFFFF"/>
        </w:rPr>
        <w:t xml:space="preserve">La Agencia Nacional de Contratación Pública – Colombia Compra Eficiente se pronunció sobre </w:t>
      </w:r>
      <w:r>
        <w:rPr>
          <w:rFonts w:ascii="Verdana" w:eastAsia="Calibri" w:hAnsi="Verdana" w:cs="Arial"/>
          <w:shd w:val="clear" w:color="auto" w:fill="FFFFFF"/>
        </w:rPr>
        <w:t xml:space="preserve">el equilibrio económico del contrato estatal en los Conceptos C-938 del 27 de diciembre de 2022, C-774 del 20 de noviembre de 2024, C-565 del 10 de junio de 2025, C-1029 del 31 de julio de 2025 y C-1035 del 8 de septiembre de 2025.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2071E75" w14:textId="77777777" w:rsidR="007F707F" w:rsidRPr="00096788" w:rsidRDefault="007F707F" w:rsidP="007F707F">
      <w:pPr>
        <w:widowControl w:val="0"/>
        <w:autoSpaceDE w:val="0"/>
        <w:autoSpaceDN w:val="0"/>
        <w:spacing w:after="0" w:line="276" w:lineRule="auto"/>
        <w:jc w:val="both"/>
        <w:rPr>
          <w:rFonts w:ascii="Verdana" w:hAnsi="Verdana" w:cs="Arial"/>
          <w:color w:val="000000" w:themeColor="text1"/>
          <w:shd w:val="clear" w:color="auto" w:fill="FFFFFF"/>
        </w:rPr>
      </w:pPr>
    </w:p>
    <w:p w14:paraId="6628316A" w14:textId="77777777" w:rsidR="007F707F" w:rsidRPr="001205D1" w:rsidRDefault="007F707F" w:rsidP="007F707F">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2EFC9138" w14:textId="77777777" w:rsidR="007F707F" w:rsidRPr="009C4035" w:rsidRDefault="007F707F" w:rsidP="007F707F">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2A5BD66E" w14:textId="77777777" w:rsidR="007F707F" w:rsidRPr="00593A5F" w:rsidRDefault="007F707F" w:rsidP="007F707F">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03DFF92" w14:textId="77777777" w:rsidR="007F707F" w:rsidRPr="00593A5F" w:rsidRDefault="007F707F" w:rsidP="007F707F">
      <w:pPr>
        <w:widowControl w:val="0"/>
        <w:autoSpaceDE w:val="0"/>
        <w:autoSpaceDN w:val="0"/>
        <w:spacing w:after="0" w:line="276" w:lineRule="auto"/>
        <w:jc w:val="both"/>
        <w:rPr>
          <w:rFonts w:ascii="Verdana" w:hAnsi="Verdana" w:cs="Arial"/>
        </w:rPr>
      </w:pPr>
    </w:p>
    <w:p w14:paraId="05825411" w14:textId="77777777" w:rsidR="007F707F" w:rsidRPr="00593A5F" w:rsidRDefault="007F707F" w:rsidP="007F707F">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3DFC359" w14:textId="6EE38996" w:rsidR="007F707F" w:rsidRPr="00593A5F" w:rsidRDefault="00975830" w:rsidP="007F707F">
      <w:pPr>
        <w:spacing w:line="276" w:lineRule="auto"/>
        <w:jc w:val="center"/>
        <w:rPr>
          <w:rFonts w:ascii="Verdana" w:hAnsi="Verdana" w:cs="Arial"/>
          <w:color w:val="000000"/>
          <w:lang w:val="es-ES_tradnl" w:eastAsia="es-CO"/>
        </w:rPr>
      </w:pPr>
      <w:r>
        <w:rPr>
          <w:noProof/>
        </w:rPr>
        <w:drawing>
          <wp:inline distT="0" distB="0" distL="0" distR="0" wp14:anchorId="2A222BD7" wp14:editId="7BF8A39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F707F" w:rsidRPr="00593A5F" w14:paraId="1797DD91" w14:textId="77777777" w:rsidTr="00F90ECF">
        <w:trPr>
          <w:trHeight w:val="315"/>
        </w:trPr>
        <w:tc>
          <w:tcPr>
            <w:tcW w:w="893" w:type="dxa"/>
            <w:vAlign w:val="center"/>
            <w:hideMark/>
          </w:tcPr>
          <w:p w14:paraId="6A562FDB" w14:textId="77777777" w:rsidR="007F707F" w:rsidRPr="003751C7" w:rsidRDefault="007F707F" w:rsidP="00F90ECF">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0776CE70" w14:textId="77777777" w:rsidR="007F707F" w:rsidRPr="00254A7A" w:rsidRDefault="007F707F" w:rsidP="00F90EC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3DA450C" w14:textId="77777777" w:rsidR="007F707F" w:rsidRPr="00254A7A" w:rsidRDefault="007F707F" w:rsidP="00F90EC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7F707F" w:rsidRPr="00593A5F" w14:paraId="7AC17176" w14:textId="77777777" w:rsidTr="00F90ECF">
        <w:trPr>
          <w:trHeight w:val="330"/>
        </w:trPr>
        <w:tc>
          <w:tcPr>
            <w:tcW w:w="893" w:type="dxa"/>
            <w:vAlign w:val="center"/>
            <w:hideMark/>
          </w:tcPr>
          <w:p w14:paraId="381BAF0F" w14:textId="77777777" w:rsidR="007F707F" w:rsidRPr="003751C7" w:rsidRDefault="007F707F" w:rsidP="00F90EC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917B2CF" w14:textId="77777777" w:rsidR="007F707F" w:rsidRPr="001B6B73" w:rsidRDefault="007F707F" w:rsidP="00F90ECF">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3D33794E" w14:textId="77777777" w:rsidR="007F707F" w:rsidRPr="00254A7A" w:rsidRDefault="007F707F" w:rsidP="00F90ECF">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7F707F" w:rsidRPr="00593A5F" w14:paraId="17E4B2CE" w14:textId="77777777" w:rsidTr="00F90ECF">
        <w:trPr>
          <w:trHeight w:val="300"/>
        </w:trPr>
        <w:tc>
          <w:tcPr>
            <w:tcW w:w="893" w:type="dxa"/>
            <w:vAlign w:val="center"/>
          </w:tcPr>
          <w:p w14:paraId="6A2AAAAF" w14:textId="77777777" w:rsidR="007F707F" w:rsidRPr="003751C7" w:rsidRDefault="007F707F" w:rsidP="00F90EC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1E2EE4B" w14:textId="77777777" w:rsidR="007F707F" w:rsidRPr="001133D2" w:rsidRDefault="007F707F" w:rsidP="00F90ECF">
            <w:pPr>
              <w:contextualSpacing/>
              <w:rPr>
                <w:rFonts w:ascii="Verdana" w:eastAsia="Calibri" w:hAnsi="Verdana" w:cs="Arial"/>
                <w:sz w:val="16"/>
                <w:szCs w:val="16"/>
                <w:lang w:val="es-ES" w:eastAsia="es-ES"/>
              </w:rPr>
            </w:pPr>
            <w:r w:rsidRPr="7170F9CA">
              <w:rPr>
                <w:rFonts w:ascii="Verdana" w:eastAsia="Calibri" w:hAnsi="Verdana" w:cs="Arial"/>
                <w:sz w:val="16"/>
                <w:szCs w:val="16"/>
                <w:lang w:val="es-ES" w:eastAsia="es-ES"/>
              </w:rPr>
              <w:t xml:space="preserve">Carolina Quintero </w:t>
            </w:r>
            <w:proofErr w:type="spellStart"/>
            <w:r w:rsidRPr="7170F9CA">
              <w:rPr>
                <w:rFonts w:ascii="Verdana" w:eastAsia="Calibri" w:hAnsi="Verdana" w:cs="Arial"/>
                <w:sz w:val="16"/>
                <w:szCs w:val="16"/>
                <w:lang w:val="es-ES" w:eastAsia="es-ES"/>
              </w:rPr>
              <w:t>Gacharná</w:t>
            </w:r>
            <w:proofErr w:type="spellEnd"/>
          </w:p>
          <w:p w14:paraId="79DC6A3E" w14:textId="77777777" w:rsidR="007F707F" w:rsidRPr="003751C7" w:rsidRDefault="007F707F" w:rsidP="00F90ECF">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3BAC50FE" w14:textId="77777777" w:rsidR="007F707F" w:rsidRPr="00543BFE" w:rsidRDefault="007F707F" w:rsidP="007F707F"/>
    <w:p w14:paraId="5CABF70A" w14:textId="77777777" w:rsidR="007F707F" w:rsidRPr="00543BFE" w:rsidRDefault="007F707F" w:rsidP="007F707F"/>
    <w:p w14:paraId="0F293BF4" w14:textId="6EF32093" w:rsidR="00127233" w:rsidRPr="000F39A6" w:rsidRDefault="00127233" w:rsidP="000F39A6"/>
    <w:sectPr w:rsidR="00127233" w:rsidRPr="000F39A6"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3C827B" w14:textId="77777777" w:rsidR="00B832F7" w:rsidRDefault="00B832F7" w:rsidP="004A1847">
      <w:pPr>
        <w:spacing w:after="0" w:line="240" w:lineRule="auto"/>
      </w:pPr>
      <w:r>
        <w:separator/>
      </w:r>
    </w:p>
  </w:endnote>
  <w:endnote w:type="continuationSeparator" w:id="0">
    <w:p w14:paraId="522E2EE4" w14:textId="77777777" w:rsidR="00B832F7" w:rsidRDefault="00B832F7" w:rsidP="004A1847">
      <w:pPr>
        <w:spacing w:after="0" w:line="240" w:lineRule="auto"/>
      </w:pPr>
      <w:r>
        <w:continuationSeparator/>
      </w:r>
    </w:p>
  </w:endnote>
  <w:endnote w:type="continuationNotice" w:id="1">
    <w:p w14:paraId="68D6C397" w14:textId="77777777" w:rsidR="00B832F7" w:rsidRDefault="00B832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ED800" w14:textId="77777777" w:rsidR="00B832F7" w:rsidRDefault="00B832F7" w:rsidP="004A1847">
      <w:pPr>
        <w:spacing w:after="0" w:line="240" w:lineRule="auto"/>
      </w:pPr>
      <w:r>
        <w:separator/>
      </w:r>
    </w:p>
  </w:footnote>
  <w:footnote w:type="continuationSeparator" w:id="0">
    <w:p w14:paraId="3CCE4407" w14:textId="77777777" w:rsidR="00B832F7" w:rsidRDefault="00B832F7" w:rsidP="004A1847">
      <w:pPr>
        <w:spacing w:after="0" w:line="240" w:lineRule="auto"/>
      </w:pPr>
      <w:r>
        <w:continuationSeparator/>
      </w:r>
    </w:p>
  </w:footnote>
  <w:footnote w:type="continuationNotice" w:id="1">
    <w:p w14:paraId="3E123A33" w14:textId="77777777" w:rsidR="00B832F7" w:rsidRDefault="00B832F7">
      <w:pPr>
        <w:spacing w:after="0" w:line="240" w:lineRule="auto"/>
      </w:pPr>
    </w:p>
  </w:footnote>
  <w:footnote w:id="2">
    <w:p w14:paraId="7B9DEDDA" w14:textId="77777777" w:rsidR="007F707F" w:rsidRPr="00210C7D" w:rsidRDefault="007F707F" w:rsidP="007F707F">
      <w:pPr>
        <w:pStyle w:val="Textonotapie"/>
        <w:ind w:firstLine="709"/>
        <w:jc w:val="both"/>
        <w:rPr>
          <w:rFonts w:ascii="Verdana" w:hAnsi="Verdana" w:cs="Arial"/>
          <w:color w:val="000000" w:themeColor="text1"/>
          <w:sz w:val="16"/>
          <w:szCs w:val="16"/>
        </w:rPr>
      </w:pPr>
      <w:r w:rsidRPr="00210C7D">
        <w:rPr>
          <w:rStyle w:val="Refdenotaalpie"/>
          <w:rFonts w:ascii="Verdana" w:hAnsi="Verdana" w:cs="Arial"/>
          <w:sz w:val="16"/>
          <w:szCs w:val="16"/>
        </w:rPr>
        <w:footnoteRef/>
      </w:r>
      <w:r w:rsidRPr="00210C7D">
        <w:rPr>
          <w:rFonts w:ascii="Verdana" w:hAnsi="Verdana" w:cs="Arial"/>
          <w:sz w:val="16"/>
          <w:szCs w:val="16"/>
        </w:rPr>
        <w:t xml:space="preserve"> </w:t>
      </w:r>
      <w:r w:rsidRPr="00210C7D">
        <w:rPr>
          <w:rFonts w:ascii="Verdana" w:hAnsi="Verdana" w:cs="Arial"/>
          <w:color w:val="000000" w:themeColor="text1"/>
          <w:sz w:val="16"/>
          <w:szCs w:val="16"/>
        </w:rPr>
        <w:t xml:space="preserve">Consejo de Estado. Sentencia del 28 de junio de 2012. Rad. Nro. 21990. C.P: Ruth Stella Correa Palacio. </w:t>
      </w:r>
    </w:p>
  </w:footnote>
  <w:footnote w:id="3">
    <w:p w14:paraId="74BAAD3E" w14:textId="77777777" w:rsidR="007F707F" w:rsidRPr="00210C7D" w:rsidRDefault="007F707F" w:rsidP="007F707F">
      <w:pPr>
        <w:pStyle w:val="Textonotapie"/>
        <w:ind w:firstLine="709"/>
        <w:jc w:val="both"/>
        <w:rPr>
          <w:rFonts w:ascii="Verdana" w:hAnsi="Verdana" w:cs="Arial"/>
          <w:iCs/>
          <w:sz w:val="16"/>
          <w:szCs w:val="16"/>
        </w:rPr>
      </w:pPr>
      <w:r w:rsidRPr="00210C7D">
        <w:rPr>
          <w:rStyle w:val="Refdenotaalpie"/>
          <w:rFonts w:ascii="Verdana" w:hAnsi="Verdana" w:cs="Arial"/>
          <w:sz w:val="16"/>
          <w:szCs w:val="16"/>
        </w:rPr>
        <w:footnoteRef/>
      </w:r>
      <w:r w:rsidRPr="00210C7D">
        <w:rPr>
          <w:rFonts w:ascii="Verdana" w:hAnsi="Verdana" w:cs="Arial"/>
          <w:sz w:val="16"/>
          <w:szCs w:val="16"/>
        </w:rPr>
        <w:t xml:space="preserve"> </w:t>
      </w:r>
      <w:r w:rsidRPr="00210C7D">
        <w:rPr>
          <w:rFonts w:ascii="Verdana" w:hAnsi="Verdana" w:cs="Arial"/>
          <w:iCs/>
          <w:sz w:val="16"/>
          <w:szCs w:val="16"/>
          <w:lang w:val="es-CO"/>
        </w:rPr>
        <w:t xml:space="preserve">IBAÑEZ NAJAR, Jorge Enrique. </w:t>
      </w:r>
      <w:r w:rsidRPr="00210C7D">
        <w:rPr>
          <w:rFonts w:ascii="Verdana" w:hAnsi="Verdana" w:cs="Arial"/>
          <w:iCs/>
          <w:sz w:val="16"/>
          <w:szCs w:val="16"/>
        </w:rPr>
        <w:t xml:space="preserve">La conmutatividad del contrato estatal y su equilibrio económico y financiero. La obligación de conservarlo, su ruptura y la obligación de restablecerlo según la ley </w:t>
      </w:r>
      <w:r w:rsidRPr="00210C7D">
        <w:rPr>
          <w:rFonts w:ascii="Verdana" w:hAnsi="Verdana" w:cs="Arial"/>
          <w:iCs/>
          <w:sz w:val="16"/>
          <w:szCs w:val="16"/>
          <w:lang w:val="es-CO"/>
        </w:rPr>
        <w:t>y la jurisprudencia. En: PALACIO JARAMILLO, María Teresa (editora académica). Contratos Estatales. Tomo II. 2022. Bogotá: Universidad del Rosario. P. 630</w:t>
      </w:r>
    </w:p>
  </w:footnote>
  <w:footnote w:id="4">
    <w:p w14:paraId="389516B0" w14:textId="77777777" w:rsidR="007F707F" w:rsidRPr="000E4887" w:rsidRDefault="007F707F" w:rsidP="007F707F">
      <w:pPr>
        <w:pStyle w:val="Textonotapie"/>
        <w:ind w:firstLine="708"/>
        <w:jc w:val="both"/>
        <w:rPr>
          <w:rFonts w:ascii="Verdana" w:hAnsi="Verdana"/>
          <w:sz w:val="16"/>
          <w:szCs w:val="16"/>
          <w:lang w:val="es-CO"/>
        </w:rPr>
      </w:pPr>
      <w:r w:rsidRPr="000E4887">
        <w:rPr>
          <w:rStyle w:val="Refdenotaalpie"/>
          <w:rFonts w:ascii="Verdana" w:hAnsi="Verdana"/>
          <w:sz w:val="16"/>
          <w:szCs w:val="16"/>
        </w:rPr>
        <w:footnoteRef/>
      </w:r>
      <w:r w:rsidRPr="000E4887">
        <w:rPr>
          <w:rFonts w:ascii="Verdana" w:hAnsi="Verdana"/>
          <w:sz w:val="16"/>
          <w:szCs w:val="16"/>
        </w:rPr>
        <w:t xml:space="preserve"> </w:t>
      </w:r>
      <w:r>
        <w:rPr>
          <w:rFonts w:ascii="Verdana" w:hAnsi="Verdana"/>
          <w:sz w:val="16"/>
          <w:szCs w:val="16"/>
        </w:rPr>
        <w:t xml:space="preserve">CONSEJO DE ESTADO. Sección Tercera. Subsección C. Sentencia del 20 de abril de 2022. Exp. </w:t>
      </w:r>
      <w:r w:rsidRPr="000E4887">
        <w:rPr>
          <w:rFonts w:ascii="Verdana" w:hAnsi="Verdana"/>
          <w:sz w:val="16"/>
          <w:szCs w:val="16"/>
        </w:rPr>
        <w:t>56508</w:t>
      </w:r>
      <w:r>
        <w:rPr>
          <w:rFonts w:ascii="Verdana" w:hAnsi="Verdana"/>
          <w:sz w:val="16"/>
          <w:szCs w:val="16"/>
        </w:rPr>
        <w:t xml:space="preserve">. C.P. </w:t>
      </w:r>
      <w:r w:rsidRPr="000E4887">
        <w:rPr>
          <w:rFonts w:ascii="Verdana" w:hAnsi="Verdana"/>
          <w:sz w:val="16"/>
          <w:szCs w:val="16"/>
        </w:rPr>
        <w:t>Nicolás Yepes Corrales</w:t>
      </w:r>
      <w:r>
        <w:rPr>
          <w:rFonts w:ascii="Verdana" w:hAnsi="Verdana"/>
          <w:sz w:val="16"/>
          <w:szCs w:val="16"/>
        </w:rPr>
        <w:t>.</w:t>
      </w:r>
    </w:p>
  </w:footnote>
  <w:footnote w:id="5">
    <w:p w14:paraId="4A943ED2" w14:textId="77777777" w:rsidR="007F707F" w:rsidRPr="00210C7D" w:rsidRDefault="007F707F" w:rsidP="007F707F">
      <w:pPr>
        <w:pStyle w:val="Textonotapie"/>
        <w:ind w:firstLine="709"/>
        <w:jc w:val="both"/>
        <w:rPr>
          <w:rFonts w:ascii="Verdana" w:hAnsi="Verdana" w:cs="Arial"/>
          <w:sz w:val="16"/>
          <w:szCs w:val="16"/>
          <w:lang w:val="es-CO"/>
        </w:rPr>
      </w:pPr>
      <w:r w:rsidRPr="00210C7D">
        <w:rPr>
          <w:rStyle w:val="Refdenotaalpie"/>
          <w:rFonts w:ascii="Verdana" w:hAnsi="Verdana" w:cs="Arial"/>
          <w:sz w:val="16"/>
          <w:szCs w:val="16"/>
        </w:rPr>
        <w:footnoteRef/>
      </w:r>
      <w:r w:rsidRPr="00210C7D">
        <w:rPr>
          <w:rFonts w:ascii="Verdana" w:hAnsi="Verdana" w:cs="Arial"/>
          <w:sz w:val="16"/>
          <w:szCs w:val="16"/>
        </w:rPr>
        <w:t xml:space="preserve">  Consejo de Estado. Sección Tercera. Sentencia del 31 de agosto de 2011. Exp. 18.080. CP.: Ruth Stella Correa Palacio. Reiterada en </w:t>
      </w:r>
      <w:r w:rsidRPr="00210C7D">
        <w:rPr>
          <w:rFonts w:ascii="Verdana" w:hAnsi="Verdana" w:cs="Arial"/>
          <w:sz w:val="16"/>
          <w:szCs w:val="16"/>
          <w:lang w:val="es-CO"/>
        </w:rPr>
        <w:t xml:space="preserve">Sentencia del 8 de febrero de 2012. Exp. 20344. </w:t>
      </w:r>
      <w:r w:rsidRPr="00210C7D">
        <w:rPr>
          <w:rFonts w:ascii="Verdana" w:hAnsi="Verdana" w:cs="Arial"/>
          <w:sz w:val="16"/>
          <w:szCs w:val="16"/>
        </w:rPr>
        <w:t>También ver: Consejo de Estado, Sección Tercera, sentencia de 9 de mayo de 1996, exp. 10.151, reiterada en sentencias de 29 de abril y 21 de julio de 1999, exp. 14.885 y exp. 14.943, C.P. Daniel Suárez Hernández.</w:t>
      </w:r>
    </w:p>
  </w:footnote>
  <w:footnote w:id="6">
    <w:p w14:paraId="343AD2CF" w14:textId="77777777" w:rsidR="007F707F" w:rsidRPr="00A04039" w:rsidRDefault="007F707F" w:rsidP="007F707F">
      <w:pPr>
        <w:pStyle w:val="Textonotapie"/>
        <w:ind w:firstLine="708"/>
        <w:jc w:val="both"/>
        <w:rPr>
          <w:rFonts w:ascii="Verdana" w:hAnsi="Verdana" w:cs="Arial"/>
          <w:sz w:val="16"/>
          <w:szCs w:val="16"/>
          <w:lang w:val="pt-BR"/>
        </w:rPr>
      </w:pPr>
      <w:r w:rsidRPr="00210C7D">
        <w:rPr>
          <w:rStyle w:val="Refdenotaalpie"/>
          <w:rFonts w:ascii="Verdana" w:hAnsi="Verdana" w:cs="Arial"/>
          <w:sz w:val="16"/>
          <w:szCs w:val="16"/>
        </w:rPr>
        <w:footnoteRef/>
      </w:r>
      <w:r w:rsidRPr="00210C7D">
        <w:rPr>
          <w:rFonts w:ascii="Verdana" w:hAnsi="Verdana" w:cs="Arial"/>
          <w:sz w:val="16"/>
          <w:szCs w:val="16"/>
        </w:rPr>
        <w:t xml:space="preserve"> Consejo de Estado. Sección Tercera. Sentencia del 29 de enero de 2018. </w:t>
      </w:r>
      <w:r w:rsidRPr="00A04039">
        <w:rPr>
          <w:rFonts w:ascii="Verdana" w:hAnsi="Verdana" w:cs="Arial"/>
          <w:sz w:val="16"/>
          <w:szCs w:val="16"/>
          <w:lang w:val="pt-BR"/>
        </w:rPr>
        <w:t>Exp. 52.666 CP.: Jaime Orlando Santofimio Gamboa.</w:t>
      </w:r>
    </w:p>
  </w:footnote>
  <w:footnote w:id="7">
    <w:p w14:paraId="4FB624D7" w14:textId="77777777" w:rsidR="007F707F" w:rsidRPr="00A04039" w:rsidRDefault="007F707F" w:rsidP="007F707F">
      <w:pPr>
        <w:pStyle w:val="Textonotapie"/>
        <w:ind w:firstLine="708"/>
        <w:jc w:val="both"/>
        <w:rPr>
          <w:rFonts w:ascii="Verdana" w:hAnsi="Verdana" w:cs="Arial"/>
          <w:sz w:val="16"/>
          <w:szCs w:val="16"/>
          <w:lang w:val="pt-BR"/>
        </w:rPr>
      </w:pPr>
      <w:r w:rsidRPr="00210C7D">
        <w:rPr>
          <w:rStyle w:val="Refdenotaalpie"/>
          <w:rFonts w:ascii="Verdana" w:hAnsi="Verdana" w:cs="Arial"/>
          <w:sz w:val="16"/>
          <w:szCs w:val="16"/>
        </w:rPr>
        <w:footnoteRef/>
      </w:r>
      <w:r w:rsidRPr="00A04039">
        <w:rPr>
          <w:rFonts w:ascii="Verdana" w:hAnsi="Verdana" w:cs="Arial"/>
          <w:sz w:val="16"/>
          <w:szCs w:val="16"/>
          <w:lang w:val="pt-BR"/>
        </w:rPr>
        <w:t xml:space="preserve"> Ibidem </w:t>
      </w:r>
    </w:p>
  </w:footnote>
  <w:footnote w:id="8">
    <w:p w14:paraId="19B03D8D" w14:textId="77777777" w:rsidR="007F707F" w:rsidRPr="00A04039" w:rsidRDefault="007F707F" w:rsidP="007F707F">
      <w:pPr>
        <w:pStyle w:val="Textonotapie"/>
        <w:ind w:firstLine="708"/>
        <w:jc w:val="both"/>
        <w:rPr>
          <w:rFonts w:ascii="Verdana" w:hAnsi="Verdana" w:cs="Arial"/>
          <w:sz w:val="16"/>
          <w:szCs w:val="16"/>
          <w:lang w:val="pt-BR"/>
        </w:rPr>
      </w:pPr>
      <w:r w:rsidRPr="00210C7D">
        <w:rPr>
          <w:rStyle w:val="Refdenotaalpie"/>
          <w:rFonts w:ascii="Verdana" w:hAnsi="Verdana" w:cs="Arial"/>
          <w:sz w:val="16"/>
          <w:szCs w:val="16"/>
        </w:rPr>
        <w:footnoteRef/>
      </w:r>
      <w:r w:rsidRPr="00A04039">
        <w:rPr>
          <w:rFonts w:ascii="Verdana" w:hAnsi="Verdana" w:cs="Arial"/>
          <w:sz w:val="16"/>
          <w:szCs w:val="16"/>
          <w:lang w:val="pt-BR"/>
        </w:rPr>
        <w:t xml:space="preserve"> Consejo de Estado. </w:t>
      </w:r>
      <w:r w:rsidRPr="00210C7D">
        <w:rPr>
          <w:rFonts w:ascii="Verdana" w:hAnsi="Verdana" w:cs="Arial"/>
          <w:sz w:val="16"/>
          <w:szCs w:val="16"/>
        </w:rPr>
        <w:t>Sección Tercera.</w:t>
      </w:r>
      <w:r w:rsidRPr="00210C7D">
        <w:rPr>
          <w:rFonts w:ascii="Verdana" w:hAnsi="Verdana" w:cs="Arial"/>
          <w:sz w:val="16"/>
          <w:szCs w:val="16"/>
          <w:lang w:val="es-CO"/>
        </w:rPr>
        <w:t xml:space="preserve"> Subsección A.</w:t>
      </w:r>
      <w:r w:rsidRPr="00210C7D">
        <w:rPr>
          <w:rFonts w:ascii="Verdana" w:hAnsi="Verdana" w:cs="Arial"/>
          <w:sz w:val="16"/>
          <w:szCs w:val="16"/>
        </w:rPr>
        <w:t xml:space="preserve"> Sentencia del 6 de julio de 2022. Exp. 54.319 CP.: María Adriana Marín. Ver también: </w:t>
      </w:r>
      <w:r w:rsidRPr="00210C7D">
        <w:rPr>
          <w:rFonts w:ascii="Verdana" w:hAnsi="Verdana" w:cs="Arial"/>
          <w:sz w:val="16"/>
          <w:szCs w:val="16"/>
          <w:lang w:val="es-CO"/>
        </w:rPr>
        <w:t xml:space="preserve">Consejo de Estado. Sección Tercera. Subsección A. Sentencia del 3 de junio de 2022. Exp. 53299. </w:t>
      </w:r>
      <w:r w:rsidRPr="00A04039">
        <w:rPr>
          <w:rFonts w:ascii="Verdana" w:hAnsi="Verdana" w:cs="Arial"/>
          <w:sz w:val="16"/>
          <w:szCs w:val="16"/>
          <w:lang w:val="pt-BR"/>
        </w:rPr>
        <w:t>C.P.: José Roberto Sáchica Méndez</w:t>
      </w:r>
    </w:p>
  </w:footnote>
  <w:footnote w:id="9">
    <w:p w14:paraId="1935FDDA" w14:textId="77777777" w:rsidR="007F707F" w:rsidRPr="00A04039" w:rsidRDefault="007F707F" w:rsidP="007F707F">
      <w:pPr>
        <w:pStyle w:val="Textonotapie"/>
        <w:ind w:firstLine="709"/>
        <w:jc w:val="both"/>
        <w:rPr>
          <w:rFonts w:ascii="Verdana" w:hAnsi="Verdana" w:cs="Arial"/>
          <w:sz w:val="16"/>
          <w:szCs w:val="16"/>
          <w:lang w:val="pt-BR" w:bidi="es-ES"/>
        </w:rPr>
      </w:pPr>
      <w:r w:rsidRPr="00210C7D">
        <w:rPr>
          <w:rStyle w:val="Refdenotaalpie"/>
          <w:rFonts w:ascii="Verdana" w:hAnsi="Verdana" w:cs="Arial"/>
          <w:sz w:val="16"/>
          <w:szCs w:val="16"/>
        </w:rPr>
        <w:footnoteRef/>
      </w:r>
      <w:r w:rsidRPr="00A04039">
        <w:rPr>
          <w:rFonts w:ascii="Verdana" w:hAnsi="Verdana" w:cs="Arial"/>
          <w:sz w:val="16"/>
          <w:szCs w:val="16"/>
          <w:lang w:val="pt-BR"/>
        </w:rPr>
        <w:t xml:space="preserve"> </w:t>
      </w:r>
      <w:r w:rsidRPr="00A04039">
        <w:rPr>
          <w:rFonts w:ascii="Verdana" w:hAnsi="Verdana" w:cs="Arial"/>
          <w:sz w:val="16"/>
          <w:szCs w:val="16"/>
          <w:lang w:val="pt-BR" w:bidi="es-ES"/>
        </w:rPr>
        <w:t xml:space="preserve">Corte Constitucional. Sentencia C-416 de 2012. </w:t>
      </w:r>
    </w:p>
  </w:footnote>
  <w:footnote w:id="10">
    <w:p w14:paraId="47584D71" w14:textId="77777777" w:rsidR="007F707F" w:rsidRPr="00210C7D" w:rsidRDefault="007F707F" w:rsidP="007F707F">
      <w:pPr>
        <w:pStyle w:val="Textonotapie"/>
        <w:ind w:firstLine="709"/>
        <w:jc w:val="both"/>
        <w:rPr>
          <w:rFonts w:ascii="Verdana" w:hAnsi="Verdana" w:cs="Arial"/>
          <w:sz w:val="16"/>
          <w:szCs w:val="16"/>
          <w:lang w:val="es-CO"/>
        </w:rPr>
      </w:pPr>
      <w:r w:rsidRPr="00210C7D">
        <w:rPr>
          <w:rStyle w:val="Refdenotaalpie"/>
          <w:rFonts w:ascii="Verdana" w:hAnsi="Verdana" w:cs="Arial"/>
          <w:sz w:val="16"/>
          <w:szCs w:val="16"/>
        </w:rPr>
        <w:footnoteRef/>
      </w:r>
      <w:r w:rsidRPr="00210C7D">
        <w:rPr>
          <w:rFonts w:ascii="Verdana" w:hAnsi="Verdana" w:cs="Arial"/>
          <w:sz w:val="16"/>
          <w:szCs w:val="16"/>
        </w:rPr>
        <w:t xml:space="preserve"> EXPÓSITO VÉLEZ, Juan Carlos. </w:t>
      </w:r>
      <w:r w:rsidRPr="00210C7D">
        <w:rPr>
          <w:rFonts w:ascii="Verdana" w:hAnsi="Verdana" w:cs="Arial"/>
          <w:sz w:val="16"/>
          <w:szCs w:val="16"/>
          <w:lang w:val="es-CO"/>
        </w:rPr>
        <w:t xml:space="preserve">Formas, formalidades y contenido del contrato estatal. Serie de derecho administrativo Nro. 34. Universidad Externado de Colombia. 2020. </w:t>
      </w:r>
    </w:p>
  </w:footnote>
  <w:footnote w:id="11">
    <w:p w14:paraId="219FB933" w14:textId="77777777" w:rsidR="007F707F" w:rsidRPr="00210C7D" w:rsidRDefault="007F707F" w:rsidP="007F707F">
      <w:pPr>
        <w:pStyle w:val="Textonotapie"/>
        <w:ind w:firstLine="708"/>
        <w:jc w:val="both"/>
        <w:rPr>
          <w:rFonts w:ascii="Verdana" w:hAnsi="Verdana"/>
          <w:sz w:val="16"/>
          <w:szCs w:val="16"/>
          <w:lang w:val="es-CO"/>
        </w:rPr>
      </w:pPr>
      <w:r w:rsidRPr="00210C7D">
        <w:rPr>
          <w:rStyle w:val="Refdenotaalpie"/>
          <w:rFonts w:ascii="Verdana" w:hAnsi="Verdana"/>
          <w:sz w:val="16"/>
          <w:szCs w:val="16"/>
        </w:rPr>
        <w:footnoteRef/>
      </w:r>
      <w:r w:rsidRPr="00210C7D">
        <w:rPr>
          <w:rFonts w:ascii="Verdana" w:hAnsi="Verdana"/>
          <w:sz w:val="16"/>
          <w:szCs w:val="16"/>
        </w:rPr>
        <w:t xml:space="preserve"> SANTOFIMIO GAMBOA, Jaime Orlando. Tratado de derecho administrativo: contratación indebida. Tomo IV. Bogotá: Universidad Externado de Colombia, 2004. pp. 388-389.</w:t>
      </w:r>
    </w:p>
  </w:footnote>
  <w:footnote w:id="12">
    <w:p w14:paraId="0790A881" w14:textId="77777777" w:rsidR="007F707F" w:rsidRPr="00210C7D" w:rsidRDefault="007F707F" w:rsidP="007F707F">
      <w:pPr>
        <w:pStyle w:val="Textonotapie"/>
        <w:ind w:firstLine="708"/>
        <w:jc w:val="both"/>
        <w:rPr>
          <w:rFonts w:ascii="Verdana" w:hAnsi="Verdana"/>
          <w:sz w:val="16"/>
          <w:szCs w:val="16"/>
          <w:lang w:val="es-CO"/>
        </w:rPr>
      </w:pPr>
      <w:r w:rsidRPr="00210C7D">
        <w:rPr>
          <w:rStyle w:val="Refdenotaalpie"/>
          <w:rFonts w:ascii="Verdana" w:hAnsi="Verdana"/>
          <w:sz w:val="16"/>
          <w:szCs w:val="16"/>
        </w:rPr>
        <w:footnoteRef/>
      </w:r>
      <w:r w:rsidRPr="00210C7D">
        <w:rPr>
          <w:rFonts w:ascii="Verdana" w:hAnsi="Verdana"/>
          <w:sz w:val="16"/>
          <w:szCs w:val="16"/>
        </w:rPr>
        <w:t xml:space="preserve"> PINO RICCI, Jorge. El régimen jurídico de los contratos estatales. Bogotá: Universidad Externado de Colombia, 2005. pp. 376-377.</w:t>
      </w:r>
    </w:p>
  </w:footnote>
  <w:footnote w:id="13">
    <w:p w14:paraId="539D2192" w14:textId="77777777" w:rsidR="007F707F" w:rsidRPr="00210C7D" w:rsidRDefault="007F707F" w:rsidP="007F707F">
      <w:pPr>
        <w:pStyle w:val="Textonotapie"/>
        <w:ind w:firstLine="708"/>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rPr>
        <w:t xml:space="preserve"> CONSEJO DE ESTADO. Sala Plena. Sección Tercera. Sentencia de Unificación del 19 de noviembre de 2012. </w:t>
      </w:r>
      <w:r w:rsidRPr="00210C7D">
        <w:rPr>
          <w:rFonts w:ascii="Verdana" w:hAnsi="Verdana"/>
          <w:sz w:val="16"/>
          <w:szCs w:val="16"/>
          <w:lang w:val="pt-BR"/>
        </w:rPr>
        <w:t>C.P. Jaime Orlando Santofimio Gamboa. Exp. 24987.</w:t>
      </w:r>
    </w:p>
  </w:footnote>
  <w:footnote w:id="14">
    <w:p w14:paraId="4E1DCD88" w14:textId="77777777" w:rsidR="007F707F" w:rsidRPr="00210C7D" w:rsidRDefault="007F707F" w:rsidP="007F707F">
      <w:pPr>
        <w:pStyle w:val="Textonotapie"/>
        <w:ind w:firstLine="708"/>
        <w:jc w:val="both"/>
        <w:rPr>
          <w:rFonts w:ascii="Verdana" w:hAnsi="Verdana"/>
          <w:sz w:val="16"/>
          <w:szCs w:val="16"/>
          <w:lang w:val="es-CO"/>
        </w:rPr>
      </w:pPr>
      <w:r w:rsidRPr="00210C7D">
        <w:rPr>
          <w:rStyle w:val="Refdenotaalpie"/>
          <w:rFonts w:ascii="Verdana" w:hAnsi="Verdana"/>
          <w:sz w:val="16"/>
          <w:szCs w:val="16"/>
        </w:rPr>
        <w:footnoteRef/>
      </w:r>
      <w:r w:rsidRPr="00210C7D">
        <w:rPr>
          <w:rFonts w:ascii="Verdana" w:hAnsi="Verdana"/>
          <w:sz w:val="16"/>
          <w:szCs w:val="16"/>
          <w:lang w:val="pt-BR"/>
        </w:rPr>
        <w:t xml:space="preserve"> PINO RICCI, Jorge. </w:t>
      </w:r>
      <w:r w:rsidRPr="00210C7D">
        <w:rPr>
          <w:rFonts w:ascii="Verdana" w:hAnsi="Verdana"/>
          <w:sz w:val="16"/>
          <w:szCs w:val="16"/>
        </w:rPr>
        <w:t>El régimen jurídico de los contratos estatales. Bogotá: Universidad Externado de Colombia, 2005. pp. 376-377.</w:t>
      </w:r>
    </w:p>
  </w:footnote>
  <w:footnote w:id="15">
    <w:p w14:paraId="6862BF08" w14:textId="77777777" w:rsidR="007F707F" w:rsidRPr="00210C7D" w:rsidRDefault="007F707F" w:rsidP="007F707F">
      <w:pPr>
        <w:pStyle w:val="Textonotapie"/>
        <w:ind w:firstLine="708"/>
        <w:jc w:val="both"/>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rPr>
        <w:t xml:space="preserve"> </w:t>
      </w:r>
      <w:r w:rsidRPr="00210C7D">
        <w:rPr>
          <w:rFonts w:ascii="Verdana" w:hAnsi="Verdana"/>
          <w:sz w:val="16"/>
          <w:szCs w:val="16"/>
          <w:lang w:val="es-CO"/>
        </w:rPr>
        <w:t xml:space="preserve">CONSEJO DE ESTADO. Sala Plena. Sección Tercera. Sentencia de Unificación del 19 de noviembre de 2012. </w:t>
      </w:r>
      <w:r w:rsidRPr="00210C7D">
        <w:rPr>
          <w:rFonts w:ascii="Verdana" w:hAnsi="Verdana"/>
          <w:sz w:val="16"/>
          <w:szCs w:val="16"/>
          <w:lang w:val="pt-BR"/>
        </w:rPr>
        <w:t>C.P. Jaime Orlando Santofimio Gamboa. Exp. 24987.</w:t>
      </w:r>
    </w:p>
  </w:footnote>
  <w:footnote w:id="16">
    <w:p w14:paraId="2F4793F0" w14:textId="77777777" w:rsidR="007F707F" w:rsidRPr="00210C7D" w:rsidRDefault="007F707F" w:rsidP="007F707F">
      <w:pPr>
        <w:pStyle w:val="Textonotapie"/>
        <w:ind w:firstLine="708"/>
        <w:jc w:val="both"/>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lang w:val="pt-BR"/>
        </w:rPr>
        <w:t xml:space="preserve"> CONSEJO DE ESTADO. </w:t>
      </w:r>
      <w:r w:rsidRPr="00210C7D">
        <w:rPr>
          <w:rFonts w:ascii="Verdana" w:hAnsi="Verdana"/>
          <w:sz w:val="16"/>
          <w:szCs w:val="16"/>
        </w:rPr>
        <w:t xml:space="preserve">Sala Plena. Sección Tercera. Sentencia de Unificación del 31 de julio de 2025. </w:t>
      </w:r>
      <w:r w:rsidRPr="00210C7D">
        <w:rPr>
          <w:rFonts w:ascii="Verdana" w:hAnsi="Verdana"/>
          <w:sz w:val="16"/>
          <w:szCs w:val="16"/>
          <w:lang w:val="pt-BR"/>
        </w:rPr>
        <w:t xml:space="preserve">C.P. Fernando Alexei Pardo Flórez. Exp. 57464. </w:t>
      </w:r>
    </w:p>
  </w:footnote>
  <w:footnote w:id="17">
    <w:p w14:paraId="68032598" w14:textId="77777777" w:rsidR="007F707F" w:rsidRPr="00210C7D" w:rsidRDefault="007F707F" w:rsidP="007F707F">
      <w:pPr>
        <w:pStyle w:val="Textonotapie"/>
        <w:ind w:firstLine="708"/>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lang w:val="pt-BR"/>
        </w:rPr>
        <w:t xml:space="preserve"> </w:t>
      </w:r>
      <w:r w:rsidRPr="00210C7D">
        <w:rPr>
          <w:rFonts w:ascii="Verdana" w:hAnsi="Verdana"/>
          <w:i/>
          <w:iCs/>
          <w:sz w:val="16"/>
          <w:szCs w:val="16"/>
          <w:lang w:val="pt-BR"/>
        </w:rPr>
        <w:t>Ibidem</w:t>
      </w:r>
      <w:r w:rsidRPr="00210C7D">
        <w:rPr>
          <w:rFonts w:ascii="Verdana" w:hAnsi="Verdana"/>
          <w:sz w:val="16"/>
          <w:szCs w:val="16"/>
          <w:lang w:val="pt-BR"/>
        </w:rPr>
        <w:t xml:space="preserve">. </w:t>
      </w:r>
    </w:p>
  </w:footnote>
  <w:footnote w:id="18">
    <w:p w14:paraId="5BC61607" w14:textId="77777777" w:rsidR="007F707F" w:rsidRPr="00210C7D" w:rsidRDefault="007F707F" w:rsidP="007F707F">
      <w:pPr>
        <w:pStyle w:val="Textonotapie"/>
        <w:ind w:firstLine="708"/>
        <w:rPr>
          <w:rFonts w:ascii="Verdana" w:hAnsi="Verdana"/>
          <w:sz w:val="16"/>
          <w:szCs w:val="16"/>
          <w:lang w:val="pt-BR"/>
        </w:rPr>
      </w:pPr>
      <w:r w:rsidRPr="00210C7D">
        <w:rPr>
          <w:rStyle w:val="Refdenotaalpie"/>
          <w:rFonts w:ascii="Verdana" w:hAnsi="Verdana"/>
          <w:sz w:val="16"/>
          <w:szCs w:val="16"/>
        </w:rPr>
        <w:footnoteRef/>
      </w:r>
      <w:r w:rsidRPr="00210C7D">
        <w:rPr>
          <w:rFonts w:ascii="Verdana" w:hAnsi="Verdana"/>
          <w:sz w:val="16"/>
          <w:szCs w:val="16"/>
          <w:lang w:val="pt-BR"/>
        </w:rPr>
        <w:t xml:space="preserve"> </w:t>
      </w:r>
      <w:r w:rsidRPr="00210C7D">
        <w:rPr>
          <w:rFonts w:ascii="Verdana" w:hAnsi="Verdana"/>
          <w:i/>
          <w:iCs/>
          <w:sz w:val="16"/>
          <w:szCs w:val="16"/>
          <w:lang w:val="pt-BR"/>
        </w:rPr>
        <w:t>Ibidem</w:t>
      </w:r>
      <w:r w:rsidRPr="00210C7D">
        <w:rPr>
          <w:rFonts w:ascii="Verdana" w:hAnsi="Verdana"/>
          <w:sz w:val="16"/>
          <w:szCs w:val="16"/>
          <w:lang w:val="pt-BR"/>
        </w:rPr>
        <w:t xml:space="preserve">.  </w:t>
      </w:r>
    </w:p>
  </w:footnote>
  <w:footnote w:id="19">
    <w:p w14:paraId="5947F444" w14:textId="77777777" w:rsidR="007F707F" w:rsidRPr="00210C7D" w:rsidRDefault="007F707F" w:rsidP="007F707F">
      <w:pPr>
        <w:pStyle w:val="Textonotapie"/>
        <w:ind w:firstLine="708"/>
        <w:rPr>
          <w:sz w:val="16"/>
          <w:szCs w:val="16"/>
          <w:lang w:val="pt-BR"/>
        </w:rPr>
      </w:pPr>
      <w:r w:rsidRPr="00210C7D">
        <w:rPr>
          <w:rStyle w:val="Refdenotaalpie"/>
          <w:rFonts w:ascii="Verdana" w:hAnsi="Verdana"/>
          <w:sz w:val="16"/>
          <w:szCs w:val="16"/>
        </w:rPr>
        <w:footnoteRef/>
      </w:r>
      <w:r w:rsidRPr="00210C7D">
        <w:rPr>
          <w:rFonts w:ascii="Verdana" w:hAnsi="Verdana"/>
          <w:sz w:val="16"/>
          <w:szCs w:val="16"/>
          <w:lang w:val="pt-BR"/>
        </w:rPr>
        <w:t xml:space="preserve"> Ibídem.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3C4"/>
    <w:rsid w:val="00046945"/>
    <w:rsid w:val="00061B2A"/>
    <w:rsid w:val="00082362"/>
    <w:rsid w:val="000A683E"/>
    <w:rsid w:val="000B19B9"/>
    <w:rsid w:val="000D0334"/>
    <w:rsid w:val="000E2E0C"/>
    <w:rsid w:val="000F39A6"/>
    <w:rsid w:val="000F6486"/>
    <w:rsid w:val="00125105"/>
    <w:rsid w:val="00127233"/>
    <w:rsid w:val="001E4177"/>
    <w:rsid w:val="001F7DC6"/>
    <w:rsid w:val="002421BB"/>
    <w:rsid w:val="0025796E"/>
    <w:rsid w:val="00261C80"/>
    <w:rsid w:val="002707A2"/>
    <w:rsid w:val="002951A0"/>
    <w:rsid w:val="002962BC"/>
    <w:rsid w:val="002A093D"/>
    <w:rsid w:val="002A0DD0"/>
    <w:rsid w:val="002A49AC"/>
    <w:rsid w:val="002A4B67"/>
    <w:rsid w:val="002A64FD"/>
    <w:rsid w:val="002C7A84"/>
    <w:rsid w:val="002E4FD9"/>
    <w:rsid w:val="00322A85"/>
    <w:rsid w:val="00324168"/>
    <w:rsid w:val="003448F4"/>
    <w:rsid w:val="00374F5E"/>
    <w:rsid w:val="00377E3E"/>
    <w:rsid w:val="003A779E"/>
    <w:rsid w:val="003C5458"/>
    <w:rsid w:val="003D0F4D"/>
    <w:rsid w:val="003D5B0D"/>
    <w:rsid w:val="003E0499"/>
    <w:rsid w:val="003F3941"/>
    <w:rsid w:val="00406575"/>
    <w:rsid w:val="00414C74"/>
    <w:rsid w:val="0042722E"/>
    <w:rsid w:val="0044528D"/>
    <w:rsid w:val="0048696C"/>
    <w:rsid w:val="004A1847"/>
    <w:rsid w:val="004A305D"/>
    <w:rsid w:val="004F21C4"/>
    <w:rsid w:val="004F685F"/>
    <w:rsid w:val="005460A8"/>
    <w:rsid w:val="005566E8"/>
    <w:rsid w:val="00574867"/>
    <w:rsid w:val="00591460"/>
    <w:rsid w:val="005C3777"/>
    <w:rsid w:val="005C5CDC"/>
    <w:rsid w:val="005D476C"/>
    <w:rsid w:val="006219F8"/>
    <w:rsid w:val="00624CB5"/>
    <w:rsid w:val="006302F7"/>
    <w:rsid w:val="00665D70"/>
    <w:rsid w:val="006860C1"/>
    <w:rsid w:val="006900D9"/>
    <w:rsid w:val="006A760C"/>
    <w:rsid w:val="00706C16"/>
    <w:rsid w:val="00756841"/>
    <w:rsid w:val="007649AB"/>
    <w:rsid w:val="00771D0C"/>
    <w:rsid w:val="007833AC"/>
    <w:rsid w:val="007B268C"/>
    <w:rsid w:val="007B7171"/>
    <w:rsid w:val="007B71D8"/>
    <w:rsid w:val="007C0C0F"/>
    <w:rsid w:val="007C3DC2"/>
    <w:rsid w:val="007E5497"/>
    <w:rsid w:val="007F707F"/>
    <w:rsid w:val="008031E4"/>
    <w:rsid w:val="00806F5F"/>
    <w:rsid w:val="00820278"/>
    <w:rsid w:val="00843AEC"/>
    <w:rsid w:val="00867F95"/>
    <w:rsid w:val="008843B6"/>
    <w:rsid w:val="00891928"/>
    <w:rsid w:val="00897A3A"/>
    <w:rsid w:val="008A446D"/>
    <w:rsid w:val="008D180B"/>
    <w:rsid w:val="008F0EA7"/>
    <w:rsid w:val="00923EEF"/>
    <w:rsid w:val="00926D5C"/>
    <w:rsid w:val="009419F9"/>
    <w:rsid w:val="0095685E"/>
    <w:rsid w:val="00961B09"/>
    <w:rsid w:val="00965334"/>
    <w:rsid w:val="0097093E"/>
    <w:rsid w:val="00975830"/>
    <w:rsid w:val="009A0DFA"/>
    <w:rsid w:val="009B25A8"/>
    <w:rsid w:val="009B2D26"/>
    <w:rsid w:val="009C71FA"/>
    <w:rsid w:val="009C72E7"/>
    <w:rsid w:val="009D3058"/>
    <w:rsid w:val="009F3A13"/>
    <w:rsid w:val="00A04039"/>
    <w:rsid w:val="00A122D3"/>
    <w:rsid w:val="00A17F13"/>
    <w:rsid w:val="00A20739"/>
    <w:rsid w:val="00A33C78"/>
    <w:rsid w:val="00A53E91"/>
    <w:rsid w:val="00AB0ADB"/>
    <w:rsid w:val="00AE333B"/>
    <w:rsid w:val="00B00C0E"/>
    <w:rsid w:val="00B01B1A"/>
    <w:rsid w:val="00B44A47"/>
    <w:rsid w:val="00B72CD3"/>
    <w:rsid w:val="00B72FFF"/>
    <w:rsid w:val="00B832F7"/>
    <w:rsid w:val="00B96236"/>
    <w:rsid w:val="00BC3D36"/>
    <w:rsid w:val="00BD7F72"/>
    <w:rsid w:val="00BF6AB9"/>
    <w:rsid w:val="00C04FB3"/>
    <w:rsid w:val="00C330EB"/>
    <w:rsid w:val="00C750BA"/>
    <w:rsid w:val="00C754BE"/>
    <w:rsid w:val="00C76B1C"/>
    <w:rsid w:val="00C86F91"/>
    <w:rsid w:val="00CB6357"/>
    <w:rsid w:val="00CC1B26"/>
    <w:rsid w:val="00D37DA4"/>
    <w:rsid w:val="00D423A2"/>
    <w:rsid w:val="00D520D8"/>
    <w:rsid w:val="00D63AC2"/>
    <w:rsid w:val="00D7383B"/>
    <w:rsid w:val="00DA231B"/>
    <w:rsid w:val="00DC39FC"/>
    <w:rsid w:val="00DD2DC3"/>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1092C"/>
    <w:rsid w:val="00F31EDC"/>
    <w:rsid w:val="00F462B3"/>
    <w:rsid w:val="00F5664F"/>
    <w:rsid w:val="00F666C4"/>
    <w:rsid w:val="00F76AFC"/>
    <w:rsid w:val="00F96BF8"/>
    <w:rsid w:val="00FA47C0"/>
    <w:rsid w:val="00FB5DD1"/>
    <w:rsid w:val="00FC2B5D"/>
    <w:rsid w:val="00FF1449"/>
    <w:rsid w:val="00FF332A"/>
    <w:rsid w:val="00FF67F0"/>
    <w:rsid w:val="7170F9C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F707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F707F"/>
    <w:rPr>
      <w:rFonts w:ascii="Geomanist Light" w:hAnsi="Geomanist Light"/>
      <w:lang w:val="es-ES"/>
    </w:rPr>
  </w:style>
  <w:style w:type="character" w:customStyle="1" w:styleId="s15">
    <w:name w:val="s15"/>
    <w:basedOn w:val="Fuentedeprrafopredeter"/>
    <w:rsid w:val="007F707F"/>
  </w:style>
  <w:style w:type="character" w:customStyle="1" w:styleId="apple-converted-space">
    <w:name w:val="apple-converted-space"/>
    <w:basedOn w:val="Fuentedeprrafopredeter"/>
    <w:rsid w:val="007F70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ley_0080_1993.html"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947B4E8-E8D5-44E0-86E9-0422E94B4010}"/>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21</Pages>
  <Words>7368</Words>
  <Characters>40526</Characters>
  <Application>Microsoft Office Word</Application>
  <DocSecurity>0</DocSecurity>
  <Lines>337</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2025-10-21T14:35:00Z</dcterms:created>
  <dcterms:modified xsi:type="dcterms:W3CDTF">2025-10-21T15:22:00Z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