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3A6E2" w14:textId="77777777" w:rsidR="00B17269" w:rsidRPr="005F25F0" w:rsidRDefault="00B17269" w:rsidP="00D75F79">
      <w:pPr>
        <w:spacing w:after="0" w:line="240" w:lineRule="auto"/>
        <w:jc w:val="both"/>
        <w:rPr>
          <w:rFonts w:ascii="Verdana" w:eastAsia="Calibri" w:hAnsi="Verdana" w:cs="Arial"/>
          <w:b/>
          <w:bCs/>
          <w:lang w:val="es-ES" w:eastAsia="es-ES"/>
        </w:rPr>
      </w:pPr>
      <w:bookmarkStart w:id="0" w:name="_Hlk143780582"/>
      <w:bookmarkStart w:id="1" w:name="_Hlk202875225"/>
      <w:bookmarkStart w:id="2" w:name="_Hlk203032812"/>
      <w:bookmarkStart w:id="3" w:name="_Hlk204367265"/>
      <w:bookmarkStart w:id="4" w:name="_Hlk206116713"/>
      <w:bookmarkStart w:id="5" w:name="_Hlk211857901"/>
      <w:bookmarkStart w:id="6" w:name="_Hlk211969425"/>
      <w:r w:rsidRPr="005F25F0">
        <w:rPr>
          <w:rFonts w:ascii="Verdana" w:eastAsia="Calibri" w:hAnsi="Verdana" w:cs="Arial"/>
          <w:b/>
          <w:bCs/>
          <w:lang w:val="es-ES" w:eastAsia="es-ES"/>
        </w:rPr>
        <w:t xml:space="preserve">CONSORCIOS Y UNIONES TEMPORALES – Capacidad para contratar – Participación en varios procesos </w:t>
      </w:r>
    </w:p>
    <w:p w14:paraId="1173169E" w14:textId="77777777" w:rsidR="00D75F79" w:rsidRDefault="00D75F79" w:rsidP="00B17269">
      <w:pPr>
        <w:spacing w:after="0" w:line="240" w:lineRule="auto"/>
        <w:jc w:val="both"/>
        <w:rPr>
          <w:rFonts w:ascii="Verdana" w:hAnsi="Verdana" w:cs="Arial"/>
          <w:color w:val="000000" w:themeColor="text1"/>
          <w:sz w:val="20"/>
          <w:szCs w:val="20"/>
        </w:rPr>
      </w:pPr>
    </w:p>
    <w:p w14:paraId="60362063" w14:textId="67E9DA93" w:rsidR="00B17269" w:rsidRDefault="00B17269" w:rsidP="00B17269">
      <w:pPr>
        <w:spacing w:after="0" w:line="240" w:lineRule="auto"/>
        <w:jc w:val="both"/>
        <w:rPr>
          <w:rFonts w:ascii="Verdana" w:eastAsia="Calibri" w:hAnsi="Verdana" w:cs="Arial"/>
          <w:sz w:val="20"/>
          <w:szCs w:val="20"/>
        </w:rPr>
      </w:pPr>
      <w:r w:rsidRPr="00B078CE">
        <w:rPr>
          <w:rFonts w:ascii="Verdana" w:hAnsi="Verdana" w:cs="Arial"/>
          <w:color w:val="000000" w:themeColor="text1"/>
          <w:sz w:val="20"/>
          <w:szCs w:val="20"/>
        </w:rPr>
        <w:t xml:space="preserve">De acuerdo con lo señalado en los numerales 6 y 7 del artículo 7 de la Ley 80 de 1993, la capacidad de los consorcios y uniones temporales para participar en la adjudicación, celebración y ejecución de </w:t>
      </w:r>
      <w:r w:rsidRPr="00B078CE">
        <w:rPr>
          <w:rFonts w:ascii="Verdana" w:hAnsi="Verdana" w:cs="Arial"/>
          <w:i/>
          <w:iCs/>
          <w:color w:val="000000" w:themeColor="text1"/>
          <w:sz w:val="20"/>
          <w:szCs w:val="20"/>
        </w:rPr>
        <w:t xml:space="preserve">uno o varios </w:t>
      </w:r>
      <w:r w:rsidRPr="00B078CE">
        <w:rPr>
          <w:rFonts w:ascii="Verdana" w:hAnsi="Verdana" w:cs="Arial"/>
          <w:color w:val="000000" w:themeColor="text1"/>
          <w:sz w:val="20"/>
          <w:szCs w:val="20"/>
        </w:rPr>
        <w:t xml:space="preserve">contratos estatales dependerá de dos aspectos: “i) que los integrantes de la estructural plural adopten la decisión conjunta de presentar una misma propuesta al proceso de selección; y </w:t>
      </w:r>
      <w:proofErr w:type="spellStart"/>
      <w:r w:rsidRPr="00B078CE">
        <w:rPr>
          <w:rFonts w:ascii="Verdana" w:hAnsi="Verdana" w:cs="Arial"/>
          <w:color w:val="000000" w:themeColor="text1"/>
          <w:sz w:val="20"/>
          <w:szCs w:val="20"/>
        </w:rPr>
        <w:t>ii</w:t>
      </w:r>
      <w:proofErr w:type="spellEnd"/>
      <w:r w:rsidRPr="00B078CE">
        <w:rPr>
          <w:rFonts w:ascii="Verdana" w:hAnsi="Verdana" w:cs="Arial"/>
          <w:color w:val="000000" w:themeColor="text1"/>
          <w:sz w:val="20"/>
          <w:szCs w:val="20"/>
        </w:rPr>
        <w:t xml:space="preserve">) que el objeto del consorcio o unión temporal se encuentre alineado con las actividades a desarrollar en un determinado proceso”. Así, </w:t>
      </w:r>
      <w:r w:rsidRPr="00B078CE">
        <w:rPr>
          <w:rFonts w:ascii="Verdana" w:eastAsia="Calibri" w:hAnsi="Verdana" w:cs="Arial"/>
          <w:sz w:val="20"/>
          <w:szCs w:val="20"/>
        </w:rPr>
        <w:t>no existe impedimento o prohibición alguna que limite la actividad de los consorcios o uniones temporales a un solo contrato.</w:t>
      </w:r>
    </w:p>
    <w:p w14:paraId="3ED661F1" w14:textId="77777777" w:rsidR="00B17269" w:rsidRDefault="00B17269" w:rsidP="00B17269">
      <w:pPr>
        <w:spacing w:after="0" w:line="240" w:lineRule="auto"/>
        <w:jc w:val="both"/>
        <w:rPr>
          <w:rFonts w:ascii="Verdana" w:eastAsia="Calibri" w:hAnsi="Verdana" w:cs="Arial"/>
          <w:sz w:val="20"/>
          <w:szCs w:val="20"/>
        </w:rPr>
      </w:pPr>
    </w:p>
    <w:p w14:paraId="3A28A164" w14:textId="74B3AF69" w:rsidR="00B17269" w:rsidRDefault="00B17269" w:rsidP="00B17269">
      <w:pPr>
        <w:spacing w:after="0" w:line="240" w:lineRule="auto"/>
        <w:jc w:val="both"/>
        <w:rPr>
          <w:rFonts w:ascii="Verdana" w:eastAsia="Calibri" w:hAnsi="Verdana" w:cs="Arial"/>
          <w:sz w:val="20"/>
          <w:szCs w:val="20"/>
        </w:rPr>
      </w:pPr>
      <w:r>
        <w:rPr>
          <w:rFonts w:ascii="Verdana" w:eastAsia="Calibri" w:hAnsi="Verdana" w:cs="Arial"/>
          <w:sz w:val="20"/>
          <w:szCs w:val="20"/>
        </w:rPr>
        <w:t>[…]</w:t>
      </w:r>
    </w:p>
    <w:p w14:paraId="125AFF6D" w14:textId="77777777" w:rsidR="00B17269" w:rsidRDefault="00B17269" w:rsidP="00B17269">
      <w:pPr>
        <w:spacing w:after="0" w:line="240" w:lineRule="auto"/>
        <w:jc w:val="both"/>
        <w:rPr>
          <w:rFonts w:ascii="Verdana" w:eastAsia="Calibri" w:hAnsi="Verdana" w:cs="Arial"/>
          <w:sz w:val="20"/>
          <w:szCs w:val="20"/>
        </w:rPr>
      </w:pPr>
    </w:p>
    <w:p w14:paraId="7EEBC295" w14:textId="77777777" w:rsidR="00B17269" w:rsidRDefault="00B17269" w:rsidP="00B17269">
      <w:pPr>
        <w:spacing w:after="0" w:line="240" w:lineRule="auto"/>
        <w:jc w:val="both"/>
        <w:rPr>
          <w:rFonts w:ascii="Verdana" w:eastAsia="Calibri" w:hAnsi="Verdana" w:cs="Arial"/>
          <w:sz w:val="20"/>
          <w:szCs w:val="20"/>
        </w:rPr>
      </w:pPr>
      <w:r w:rsidRPr="00CB750F">
        <w:rPr>
          <w:rFonts w:ascii="Verdana" w:eastAsia="Calibri" w:hAnsi="Verdana" w:cs="Arial"/>
          <w:sz w:val="20"/>
          <w:szCs w:val="20"/>
        </w:rPr>
        <w:t>En este contexto, esta Subdirección unifico a través del concepto CU-636 del 2 de julio de 2025 la línea doctrinal en este tema, reiterando la posición expuesta en los conceptos C-727 del 28 de octubre de 2024, C-016 del 11 de febrero de 2025, C-046 del 30 de enero de 2025, C-226 del 26 de marzo de 2025 y C-295 del 15 de abril de 2025, en el sentido de indicar que es jurídicamente viable que los proponentes plurales presenten propuestas para la adjudicación, celebración y ejecución de contratos estatales con una o varias entidades, lo anterior, en concordancia con el cumplimiento de los supuestos previamente descritos. En ese orden, las ofertas serán analizadas de acuerdo con los criterios habilitantes y factores de evaluación del pliego de condiciones o documento equivalente, en el marco de las reglas previstas en el Estatuto General de Contratación, sus normas complementarias y los reglamentos respectivos.</w:t>
      </w:r>
    </w:p>
    <w:p w14:paraId="053D1FFE" w14:textId="77777777" w:rsidR="00D75F79" w:rsidRDefault="00D75F79" w:rsidP="00B17269">
      <w:pPr>
        <w:spacing w:after="0" w:line="240" w:lineRule="auto"/>
        <w:jc w:val="both"/>
        <w:rPr>
          <w:rFonts w:ascii="Verdana" w:eastAsia="Calibri" w:hAnsi="Verdana" w:cs="Arial"/>
          <w:sz w:val="20"/>
          <w:szCs w:val="20"/>
        </w:rPr>
      </w:pPr>
    </w:p>
    <w:p w14:paraId="64051E91" w14:textId="24D7566F" w:rsidR="00D75F79" w:rsidRDefault="00D75F79" w:rsidP="00B17269">
      <w:pPr>
        <w:spacing w:after="0" w:line="240" w:lineRule="auto"/>
        <w:jc w:val="both"/>
        <w:rPr>
          <w:rFonts w:ascii="Verdana" w:eastAsia="Calibri" w:hAnsi="Verdana" w:cs="Arial"/>
          <w:sz w:val="20"/>
          <w:szCs w:val="20"/>
        </w:rPr>
      </w:pPr>
      <w:r w:rsidRPr="00D75F79">
        <w:rPr>
          <w:rFonts w:ascii="Verdana" w:eastAsia="Calibri" w:hAnsi="Verdana" w:cs="Arial"/>
          <w:sz w:val="20"/>
          <w:szCs w:val="20"/>
        </w:rPr>
        <w:t>Esta interpretación es la que más se ajusta al contenido de los numerales 6 y 7 del artículo 7 de la Ley 80 de 1993, en la medida en que en estos no se establece ninguna limitación respecto al número de contratos en los que un consorcio o unión temporal puede participar. Lo anterior, en armonía con la libertad de asociación de los consorcios y uniones temporales que permite que estos se puedan organizar libremente y acordar participar en más de un proceso contractual, mientras cumplan los requisitos legales. Aceptar la tesis contraría, implicaría aplicar una limitación de su participación restringiendo sin sustento legal su libertad de asociación y contratación.</w:t>
      </w:r>
    </w:p>
    <w:p w14:paraId="1C0ECD6E" w14:textId="77777777" w:rsidR="00B17269" w:rsidRDefault="00B17269" w:rsidP="00B17269">
      <w:pPr>
        <w:spacing w:after="0" w:line="240" w:lineRule="auto"/>
        <w:jc w:val="both"/>
        <w:rPr>
          <w:rFonts w:ascii="Verdana" w:eastAsia="Calibri" w:hAnsi="Verdana" w:cs="Arial"/>
          <w:sz w:val="20"/>
          <w:szCs w:val="20"/>
        </w:rPr>
      </w:pPr>
    </w:p>
    <w:p w14:paraId="7589277F" w14:textId="77777777" w:rsidR="00B17269" w:rsidRDefault="00B17269" w:rsidP="00D75F79">
      <w:pPr>
        <w:spacing w:after="0" w:line="240" w:lineRule="auto"/>
        <w:jc w:val="both"/>
        <w:rPr>
          <w:rFonts w:ascii="Verdana" w:eastAsia="Calibri" w:hAnsi="Verdana" w:cs="Arial"/>
          <w:b/>
          <w:bCs/>
          <w:color w:val="000000" w:themeColor="text1"/>
          <w:lang w:val="es-ES" w:eastAsia="es-ES"/>
        </w:rPr>
      </w:pPr>
      <w:r w:rsidRPr="005F25F0">
        <w:rPr>
          <w:rFonts w:ascii="Verdana" w:eastAsia="Calibri" w:hAnsi="Verdana" w:cs="Arial"/>
          <w:b/>
          <w:bCs/>
          <w:lang w:val="es-ES" w:eastAsia="es-ES"/>
        </w:rPr>
        <w:t>CONSORCIOS Y UNIONES TEMPORALES – Deber de registro en SECOP II – Presentación de ofertas en SECOP II</w:t>
      </w:r>
      <w:r w:rsidRPr="005F25F0">
        <w:rPr>
          <w:rFonts w:ascii="Verdana" w:eastAsia="Calibri" w:hAnsi="Verdana" w:cs="Arial"/>
          <w:b/>
          <w:bCs/>
          <w:color w:val="000000" w:themeColor="text1"/>
          <w:lang w:val="es-ES" w:eastAsia="es-ES"/>
        </w:rPr>
        <w:t xml:space="preserve"> </w:t>
      </w:r>
    </w:p>
    <w:p w14:paraId="196601BB" w14:textId="77777777" w:rsidR="00D75F79" w:rsidRPr="005F25F0" w:rsidRDefault="00D75F79" w:rsidP="00D75F79">
      <w:pPr>
        <w:spacing w:after="0" w:line="240" w:lineRule="auto"/>
        <w:jc w:val="both"/>
        <w:rPr>
          <w:rFonts w:ascii="Verdana" w:eastAsia="Calibri" w:hAnsi="Verdana" w:cs="Arial"/>
          <w:b/>
          <w:bCs/>
          <w:color w:val="000000" w:themeColor="text1"/>
          <w:lang w:val="es-ES" w:eastAsia="es-ES"/>
        </w:rPr>
      </w:pPr>
    </w:p>
    <w:p w14:paraId="29BD38E3" w14:textId="77777777" w:rsidR="00B17269" w:rsidRDefault="00B17269" w:rsidP="00B17269">
      <w:pPr>
        <w:spacing w:after="0" w:line="240" w:lineRule="auto"/>
        <w:jc w:val="both"/>
        <w:rPr>
          <w:rFonts w:ascii="Verdana" w:hAnsi="Verdana" w:cs="Arial"/>
          <w:color w:val="000000" w:themeColor="text1"/>
          <w:sz w:val="20"/>
          <w:szCs w:val="20"/>
        </w:rPr>
      </w:pPr>
      <w:r w:rsidRPr="00B078CE">
        <w:rPr>
          <w:rFonts w:ascii="Verdana" w:hAnsi="Verdana" w:cs="Arial"/>
          <w:color w:val="000000" w:themeColor="text1"/>
          <w:sz w:val="20"/>
          <w:szCs w:val="20"/>
        </w:rPr>
        <w:t xml:space="preserve">El proponente plural deberá estar debidamente constituido dentro de cada uno de los procesos en que desee participar, es decir, es deber de los proponentes realizar la respectiva inscripción del proponente plural de manera individual a cada proceso en el que pretende postularse de acuerdo con las condiciones de uso del SECOP II, sin la posibilidad de usar un mismo usuario para varios procesos de contratación. Considerando lo anterior, si un proponente plural desea participar nuevamente en un proceso de contratación desde la plataforma del SECOP II, tendrá que crear una nueva </w:t>
      </w:r>
      <w:r w:rsidRPr="00B078CE">
        <w:rPr>
          <w:rFonts w:ascii="Verdana" w:hAnsi="Verdana" w:cs="Arial"/>
          <w:color w:val="000000" w:themeColor="text1"/>
          <w:sz w:val="20"/>
          <w:szCs w:val="20"/>
        </w:rPr>
        <w:lastRenderedPageBreak/>
        <w:t>cuenta en la que cumpla los requisitos para su creación. Por consiguiente, deberá crear una nueva cuenta por cada proceso de contratación en el que participe.</w:t>
      </w:r>
    </w:p>
    <w:p w14:paraId="5B3C18C8" w14:textId="77777777" w:rsidR="00B17269" w:rsidRPr="00B078CE" w:rsidRDefault="00B17269" w:rsidP="00B17269">
      <w:pPr>
        <w:spacing w:after="0" w:line="240" w:lineRule="auto"/>
        <w:jc w:val="both"/>
        <w:rPr>
          <w:rFonts w:ascii="Verdana" w:hAnsi="Verdana" w:cs="Arial"/>
          <w:color w:val="000000" w:themeColor="text1"/>
          <w:sz w:val="20"/>
          <w:szCs w:val="20"/>
        </w:rPr>
      </w:pPr>
    </w:p>
    <w:p w14:paraId="2B8F92F7" w14:textId="77777777" w:rsidR="00B17269" w:rsidRPr="005F25F0" w:rsidRDefault="00B17269" w:rsidP="00B17269">
      <w:pPr>
        <w:spacing w:after="0" w:line="240" w:lineRule="auto"/>
        <w:jc w:val="both"/>
        <w:rPr>
          <w:rFonts w:ascii="Verdana" w:eastAsia="Geomanist Light" w:hAnsi="Verdana" w:cs="Arial"/>
          <w:b/>
          <w:bCs/>
          <w:lang w:val="es-ES"/>
        </w:rPr>
      </w:pPr>
      <w:r w:rsidRPr="005F25F0">
        <w:rPr>
          <w:rFonts w:ascii="Verdana" w:eastAsia="Calibri" w:hAnsi="Verdana" w:cs="Arial"/>
          <w:b/>
          <w:bCs/>
          <w:color w:val="000000" w:themeColor="text1"/>
          <w:lang w:val="es-ES" w:eastAsia="es-ES"/>
        </w:rPr>
        <w:t>CAUSALES DE RECHAZO – Alcance – Proponentes plurales</w:t>
      </w:r>
      <w:r w:rsidRPr="005F25F0">
        <w:rPr>
          <w:rFonts w:ascii="Verdana" w:eastAsia="Geomanist Light" w:hAnsi="Verdana" w:cs="Arial"/>
          <w:b/>
          <w:bCs/>
          <w:lang w:val="es-ES"/>
        </w:rPr>
        <w:t xml:space="preserve"> </w:t>
      </w:r>
    </w:p>
    <w:p w14:paraId="3E05CD32" w14:textId="77777777" w:rsidR="00B17269" w:rsidRPr="00B078CE" w:rsidRDefault="00B17269" w:rsidP="00B17269">
      <w:pPr>
        <w:spacing w:after="0" w:line="240" w:lineRule="auto"/>
        <w:jc w:val="both"/>
        <w:rPr>
          <w:rFonts w:ascii="Verdana" w:eastAsia="Calibri" w:hAnsi="Verdana" w:cs="Arial"/>
          <w:sz w:val="20"/>
          <w:szCs w:val="20"/>
          <w:lang w:val="es-ES"/>
        </w:rPr>
      </w:pPr>
    </w:p>
    <w:p w14:paraId="7F9DCB3B" w14:textId="14D69FE8" w:rsidR="00B17269" w:rsidRPr="00B078CE" w:rsidRDefault="00D75F79" w:rsidP="00D75F79">
      <w:pPr>
        <w:spacing w:after="0" w:line="240" w:lineRule="auto"/>
        <w:jc w:val="both"/>
        <w:rPr>
          <w:rFonts w:ascii="Verdana" w:eastAsia="Calibri" w:hAnsi="Verdana" w:cs="Arial"/>
          <w:sz w:val="20"/>
          <w:szCs w:val="20"/>
          <w:lang w:val="es-ES"/>
        </w:rPr>
      </w:pPr>
      <w:r>
        <w:rPr>
          <w:rFonts w:ascii="Verdana" w:eastAsia="Calibri" w:hAnsi="Verdana" w:cs="Arial"/>
          <w:sz w:val="20"/>
          <w:szCs w:val="20"/>
          <w:lang w:val="es-ES"/>
        </w:rPr>
        <w:t xml:space="preserve">[…] </w:t>
      </w:r>
      <w:r w:rsidR="00B17269" w:rsidRPr="00B078CE">
        <w:rPr>
          <w:rFonts w:ascii="Verdana" w:eastAsia="Calibri" w:hAnsi="Verdana" w:cs="Arial"/>
          <w:sz w:val="20"/>
          <w:szCs w:val="20"/>
          <w:lang w:val="es-ES"/>
        </w:rPr>
        <w:t>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788D6F6C" w14:textId="77777777" w:rsidR="00D75F79" w:rsidRDefault="00D75F79" w:rsidP="00D75F79">
      <w:pPr>
        <w:spacing w:after="0" w:line="240" w:lineRule="auto"/>
        <w:jc w:val="both"/>
        <w:rPr>
          <w:rFonts w:ascii="Verdana" w:eastAsia="Calibri" w:hAnsi="Verdana" w:cs="Arial"/>
          <w:sz w:val="20"/>
          <w:szCs w:val="20"/>
          <w:lang w:val="es-ES"/>
        </w:rPr>
      </w:pPr>
    </w:p>
    <w:p w14:paraId="638A8EFE" w14:textId="08C13EA8" w:rsidR="00B17269" w:rsidRPr="00B078CE" w:rsidRDefault="00B17269" w:rsidP="00D75F79">
      <w:pPr>
        <w:spacing w:after="0" w:line="240" w:lineRule="auto"/>
        <w:jc w:val="both"/>
        <w:rPr>
          <w:rFonts w:ascii="Verdana" w:eastAsia="Calibri" w:hAnsi="Verdana" w:cs="Arial"/>
          <w:b/>
          <w:bCs/>
          <w:color w:val="000000" w:themeColor="text1"/>
          <w:sz w:val="20"/>
          <w:szCs w:val="20"/>
          <w:lang w:val="es-ES" w:eastAsia="es-ES"/>
        </w:rPr>
      </w:pPr>
      <w:r w:rsidRPr="00B078CE">
        <w:rPr>
          <w:rFonts w:ascii="Verdana" w:eastAsia="Calibri" w:hAnsi="Verdana" w:cs="Arial"/>
          <w:sz w:val="20"/>
          <w:szCs w:val="20"/>
          <w:lang w:val="es-ES"/>
        </w:rPr>
        <w:t>[…]</w:t>
      </w:r>
    </w:p>
    <w:p w14:paraId="29413C02" w14:textId="77777777" w:rsidR="00D75F79" w:rsidRDefault="00D75F79" w:rsidP="00D75F79">
      <w:pPr>
        <w:spacing w:after="0" w:line="240" w:lineRule="auto"/>
        <w:jc w:val="both"/>
        <w:rPr>
          <w:rFonts w:ascii="Verdana" w:hAnsi="Verdana" w:cs="Arial"/>
          <w:bCs/>
          <w:color w:val="000000" w:themeColor="text1"/>
          <w:sz w:val="20"/>
          <w:szCs w:val="20"/>
        </w:rPr>
      </w:pPr>
    </w:p>
    <w:p w14:paraId="559C8A27" w14:textId="6BBBD4B0" w:rsidR="00B17269" w:rsidRPr="00B078CE" w:rsidRDefault="00B17269" w:rsidP="00D75F79">
      <w:pPr>
        <w:spacing w:after="0" w:line="240" w:lineRule="auto"/>
        <w:jc w:val="both"/>
        <w:rPr>
          <w:rFonts w:ascii="Verdana" w:hAnsi="Verdana" w:cs="Arial"/>
          <w:bCs/>
          <w:color w:val="000000" w:themeColor="text1"/>
          <w:sz w:val="20"/>
          <w:szCs w:val="20"/>
        </w:rPr>
      </w:pPr>
      <w:r w:rsidRPr="00B078CE">
        <w:rPr>
          <w:rFonts w:ascii="Verdana" w:hAnsi="Verdana" w:cs="Arial"/>
          <w:bCs/>
          <w:color w:val="000000" w:themeColor="text1"/>
          <w:sz w:val="20"/>
          <w:szCs w:val="20"/>
        </w:rPr>
        <w:t>Conforme con lo expuesto, se reitera que no existe un impedimento jurídico para que los proponentes puedan presentar ofertas en uno o en varios procesos de contratación.</w:t>
      </w:r>
      <w:r w:rsidR="00D75F79">
        <w:rPr>
          <w:rFonts w:ascii="Verdana" w:hAnsi="Verdana" w:cs="Arial"/>
          <w:bCs/>
          <w:color w:val="000000" w:themeColor="text1"/>
          <w:sz w:val="20"/>
          <w:szCs w:val="20"/>
        </w:rPr>
        <w:t xml:space="preserve"> </w:t>
      </w:r>
      <w:r w:rsidRPr="00B078CE">
        <w:rPr>
          <w:rFonts w:ascii="Verdana" w:hAnsi="Verdana" w:cs="Arial"/>
          <w:bCs/>
          <w:color w:val="000000" w:themeColor="text1"/>
          <w:sz w:val="20"/>
          <w:szCs w:val="20"/>
        </w:rPr>
        <w:t xml:space="preserve">En este sentido, no existe causal en la ley que dé lugar al rechazo en estos supuestos. </w:t>
      </w:r>
    </w:p>
    <w:p w14:paraId="344DD3A2" w14:textId="77777777" w:rsidR="00D75F79" w:rsidRDefault="00D75F79" w:rsidP="00D75F79">
      <w:pPr>
        <w:jc w:val="both"/>
        <w:rPr>
          <w:rFonts w:ascii="Verdana" w:hAnsi="Verdana" w:cs="Arial"/>
          <w:bCs/>
          <w:color w:val="000000" w:themeColor="text1"/>
          <w:sz w:val="20"/>
          <w:szCs w:val="20"/>
        </w:rPr>
      </w:pPr>
    </w:p>
    <w:p w14:paraId="716CD8E0" w14:textId="46A7F424" w:rsidR="00B17269" w:rsidRPr="00B078CE" w:rsidRDefault="00B17269" w:rsidP="00D75F79">
      <w:pPr>
        <w:jc w:val="both"/>
        <w:rPr>
          <w:rFonts w:ascii="Verdana" w:hAnsi="Verdana" w:cs="Arial"/>
          <w:bCs/>
          <w:color w:val="000000" w:themeColor="text1"/>
          <w:sz w:val="20"/>
          <w:szCs w:val="20"/>
        </w:rPr>
      </w:pPr>
      <w:r w:rsidRPr="00B078CE">
        <w:rPr>
          <w:rFonts w:ascii="Verdana" w:hAnsi="Verdana" w:cs="Arial"/>
          <w:bCs/>
          <w:color w:val="000000" w:themeColor="text1"/>
          <w:sz w:val="20"/>
          <w:szCs w:val="20"/>
        </w:rPr>
        <w:t>Sin embargo, será́ la Entidad Estatal quién determinará en los documentos del proceso las circunstancias que no permitan admitir una propuesta en un proceso de contratación.</w:t>
      </w:r>
    </w:p>
    <w:p w14:paraId="6712A49C" w14:textId="77777777" w:rsidR="00B17269" w:rsidRDefault="00B17269" w:rsidP="00B17269">
      <w:pPr>
        <w:spacing w:after="0" w:line="240" w:lineRule="auto"/>
        <w:rPr>
          <w:rFonts w:ascii="Verdana" w:eastAsia="Geomanist Light" w:hAnsi="Verdana" w:cs="Arial"/>
          <w:color w:val="000000" w:themeColor="text1"/>
        </w:rPr>
      </w:pPr>
    </w:p>
    <w:p w14:paraId="698C1AD8" w14:textId="77777777" w:rsidR="00B17269" w:rsidRDefault="00B17269" w:rsidP="009629BF">
      <w:pPr>
        <w:spacing w:after="0" w:line="240" w:lineRule="auto"/>
        <w:jc w:val="both"/>
        <w:rPr>
          <w:rFonts w:ascii="Verdana" w:hAnsi="Verdana"/>
        </w:rPr>
      </w:pPr>
    </w:p>
    <w:p w14:paraId="6738F127" w14:textId="77777777" w:rsidR="00B17269" w:rsidRDefault="00B17269" w:rsidP="009629BF">
      <w:pPr>
        <w:spacing w:after="0" w:line="240" w:lineRule="auto"/>
        <w:jc w:val="both"/>
        <w:rPr>
          <w:rFonts w:ascii="Verdana" w:hAnsi="Verdana"/>
        </w:rPr>
      </w:pPr>
    </w:p>
    <w:p w14:paraId="1C225EAF" w14:textId="77777777" w:rsidR="00B17269" w:rsidRDefault="00B17269" w:rsidP="009629BF">
      <w:pPr>
        <w:spacing w:after="0" w:line="240" w:lineRule="auto"/>
        <w:jc w:val="both"/>
        <w:rPr>
          <w:rFonts w:ascii="Verdana" w:hAnsi="Verdana"/>
        </w:rPr>
      </w:pPr>
    </w:p>
    <w:p w14:paraId="5BF89AE5" w14:textId="77777777" w:rsidR="00B17269" w:rsidRDefault="00B17269" w:rsidP="009629BF">
      <w:pPr>
        <w:spacing w:after="0" w:line="240" w:lineRule="auto"/>
        <w:jc w:val="both"/>
        <w:rPr>
          <w:rFonts w:ascii="Verdana" w:hAnsi="Verdana"/>
        </w:rPr>
      </w:pPr>
    </w:p>
    <w:p w14:paraId="25861EC4" w14:textId="77777777" w:rsidR="00B17269" w:rsidRDefault="00B17269" w:rsidP="009629BF">
      <w:pPr>
        <w:spacing w:after="0" w:line="240" w:lineRule="auto"/>
        <w:jc w:val="both"/>
        <w:rPr>
          <w:rFonts w:ascii="Verdana" w:hAnsi="Verdana"/>
        </w:rPr>
      </w:pPr>
    </w:p>
    <w:p w14:paraId="15247629" w14:textId="77777777" w:rsidR="00B17269" w:rsidRDefault="00B17269" w:rsidP="009629BF">
      <w:pPr>
        <w:spacing w:after="0" w:line="240" w:lineRule="auto"/>
        <w:jc w:val="both"/>
        <w:rPr>
          <w:rFonts w:ascii="Verdana" w:hAnsi="Verdana"/>
        </w:rPr>
      </w:pPr>
    </w:p>
    <w:p w14:paraId="3A4DB11C" w14:textId="77777777" w:rsidR="00D75F79" w:rsidRDefault="00D75F79" w:rsidP="009629BF">
      <w:pPr>
        <w:spacing w:after="0" w:line="240" w:lineRule="auto"/>
        <w:jc w:val="both"/>
        <w:rPr>
          <w:rFonts w:ascii="Verdana" w:hAnsi="Verdana"/>
        </w:rPr>
      </w:pPr>
    </w:p>
    <w:p w14:paraId="2AA22F07" w14:textId="77777777" w:rsidR="00D75F79" w:rsidRDefault="00D75F79" w:rsidP="009629BF">
      <w:pPr>
        <w:spacing w:after="0" w:line="240" w:lineRule="auto"/>
        <w:jc w:val="both"/>
        <w:rPr>
          <w:rFonts w:ascii="Verdana" w:hAnsi="Verdana"/>
        </w:rPr>
      </w:pPr>
    </w:p>
    <w:p w14:paraId="46C0517D" w14:textId="77777777" w:rsidR="00D75F79" w:rsidRDefault="00D75F79" w:rsidP="009629BF">
      <w:pPr>
        <w:spacing w:after="0" w:line="240" w:lineRule="auto"/>
        <w:jc w:val="both"/>
        <w:rPr>
          <w:rFonts w:ascii="Verdana" w:hAnsi="Verdana"/>
        </w:rPr>
      </w:pPr>
    </w:p>
    <w:p w14:paraId="1D8E4205" w14:textId="77777777" w:rsidR="00D75F79" w:rsidRDefault="00D75F79" w:rsidP="009629BF">
      <w:pPr>
        <w:spacing w:after="0" w:line="240" w:lineRule="auto"/>
        <w:jc w:val="both"/>
        <w:rPr>
          <w:rFonts w:ascii="Verdana" w:hAnsi="Verdana"/>
        </w:rPr>
      </w:pPr>
    </w:p>
    <w:p w14:paraId="68D47844" w14:textId="77777777" w:rsidR="00D75F79" w:rsidRDefault="00D75F79" w:rsidP="009629BF">
      <w:pPr>
        <w:spacing w:after="0" w:line="240" w:lineRule="auto"/>
        <w:jc w:val="both"/>
        <w:rPr>
          <w:rFonts w:ascii="Verdana" w:hAnsi="Verdana"/>
        </w:rPr>
      </w:pPr>
    </w:p>
    <w:p w14:paraId="171ABE79" w14:textId="77777777" w:rsidR="00D75F79" w:rsidRDefault="00D75F79" w:rsidP="009629BF">
      <w:pPr>
        <w:spacing w:after="0" w:line="240" w:lineRule="auto"/>
        <w:jc w:val="both"/>
        <w:rPr>
          <w:rFonts w:ascii="Verdana" w:hAnsi="Verdana"/>
        </w:rPr>
      </w:pPr>
    </w:p>
    <w:p w14:paraId="2F9B2752" w14:textId="77777777" w:rsidR="00D75F79" w:rsidRDefault="00D75F79" w:rsidP="009629BF">
      <w:pPr>
        <w:spacing w:after="0" w:line="240" w:lineRule="auto"/>
        <w:jc w:val="both"/>
        <w:rPr>
          <w:rFonts w:ascii="Verdana" w:hAnsi="Verdana"/>
        </w:rPr>
      </w:pPr>
    </w:p>
    <w:p w14:paraId="34154829" w14:textId="77777777" w:rsidR="00D75F79" w:rsidRDefault="00D75F79" w:rsidP="009629BF">
      <w:pPr>
        <w:spacing w:after="0" w:line="240" w:lineRule="auto"/>
        <w:jc w:val="both"/>
        <w:rPr>
          <w:rFonts w:ascii="Verdana" w:hAnsi="Verdana"/>
        </w:rPr>
      </w:pPr>
    </w:p>
    <w:p w14:paraId="15954C7D" w14:textId="77777777" w:rsidR="00D75F79" w:rsidRDefault="00D75F79" w:rsidP="009629BF">
      <w:pPr>
        <w:spacing w:after="0" w:line="240" w:lineRule="auto"/>
        <w:jc w:val="both"/>
        <w:rPr>
          <w:rFonts w:ascii="Verdana" w:hAnsi="Verdana"/>
        </w:rPr>
      </w:pPr>
    </w:p>
    <w:p w14:paraId="01A99C77" w14:textId="77777777" w:rsidR="00D75F79" w:rsidRDefault="00D75F79" w:rsidP="009629BF">
      <w:pPr>
        <w:spacing w:after="0" w:line="240" w:lineRule="auto"/>
        <w:jc w:val="both"/>
        <w:rPr>
          <w:rFonts w:ascii="Verdana" w:hAnsi="Verdana"/>
        </w:rPr>
      </w:pPr>
    </w:p>
    <w:p w14:paraId="67C6D56D" w14:textId="77777777" w:rsidR="00D75F79" w:rsidRDefault="00D75F79" w:rsidP="009629BF">
      <w:pPr>
        <w:spacing w:after="0" w:line="240" w:lineRule="auto"/>
        <w:jc w:val="both"/>
        <w:rPr>
          <w:rFonts w:ascii="Verdana" w:hAnsi="Verdana"/>
        </w:rPr>
      </w:pPr>
    </w:p>
    <w:p w14:paraId="7CB67758" w14:textId="77777777" w:rsidR="00D75F79" w:rsidRDefault="00D75F79" w:rsidP="009629BF">
      <w:pPr>
        <w:spacing w:after="0" w:line="240" w:lineRule="auto"/>
        <w:jc w:val="both"/>
        <w:rPr>
          <w:rFonts w:ascii="Verdana" w:hAnsi="Verdana"/>
        </w:rPr>
      </w:pPr>
    </w:p>
    <w:p w14:paraId="41F79B98" w14:textId="77777777" w:rsidR="00D75F79" w:rsidRDefault="00D75F79" w:rsidP="009629BF">
      <w:pPr>
        <w:spacing w:after="0" w:line="240" w:lineRule="auto"/>
        <w:jc w:val="both"/>
        <w:rPr>
          <w:rFonts w:ascii="Verdana" w:hAnsi="Verdana"/>
        </w:rPr>
      </w:pPr>
    </w:p>
    <w:p w14:paraId="7F8D37CE" w14:textId="77777777" w:rsidR="00D75F79" w:rsidRDefault="00D75F79" w:rsidP="009629BF">
      <w:pPr>
        <w:spacing w:after="0" w:line="240" w:lineRule="auto"/>
        <w:jc w:val="both"/>
        <w:rPr>
          <w:rFonts w:ascii="Verdana" w:hAnsi="Verdana"/>
        </w:rPr>
      </w:pPr>
    </w:p>
    <w:p w14:paraId="6F093291" w14:textId="77777777" w:rsidR="00D75F79" w:rsidRDefault="00D75F79" w:rsidP="009629BF">
      <w:pPr>
        <w:spacing w:after="0" w:line="240" w:lineRule="auto"/>
        <w:jc w:val="both"/>
        <w:rPr>
          <w:rFonts w:ascii="Verdana" w:hAnsi="Verdana"/>
        </w:rPr>
      </w:pPr>
    </w:p>
    <w:p w14:paraId="5FF8720B" w14:textId="77777777" w:rsidR="00D75F79" w:rsidRDefault="00D75F79" w:rsidP="009629BF">
      <w:pPr>
        <w:spacing w:after="0" w:line="240" w:lineRule="auto"/>
        <w:jc w:val="both"/>
        <w:rPr>
          <w:rFonts w:ascii="Verdana" w:hAnsi="Verdana"/>
        </w:rPr>
      </w:pPr>
    </w:p>
    <w:p w14:paraId="6E99F977" w14:textId="77777777" w:rsidR="00D75F79" w:rsidRDefault="00D75F79" w:rsidP="009629BF">
      <w:pPr>
        <w:spacing w:after="0" w:line="240" w:lineRule="auto"/>
        <w:jc w:val="both"/>
        <w:rPr>
          <w:rFonts w:ascii="Verdana" w:hAnsi="Verdana"/>
        </w:rPr>
      </w:pPr>
    </w:p>
    <w:p w14:paraId="0BDF3AA6" w14:textId="1B453637" w:rsidR="009629BF" w:rsidRPr="00FF007A" w:rsidRDefault="009629BF" w:rsidP="009629BF">
      <w:pPr>
        <w:spacing w:after="0" w:line="240" w:lineRule="auto"/>
        <w:jc w:val="both"/>
        <w:rPr>
          <w:rFonts w:ascii="Verdana" w:hAnsi="Verdana"/>
        </w:rPr>
      </w:pPr>
      <w:r w:rsidRPr="00FF007A">
        <w:rPr>
          <w:rFonts w:ascii="Verdana" w:hAnsi="Verdana"/>
        </w:rPr>
        <w:lastRenderedPageBreak/>
        <w:t xml:space="preserve">Bogotá D.C., </w:t>
      </w:r>
      <w:r w:rsidR="00B17269">
        <w:rPr>
          <w:rFonts w:ascii="Verdana" w:hAnsi="Verdana"/>
        </w:rPr>
        <w:t>28 de octubre de 2025</w:t>
      </w:r>
      <w:r w:rsidRPr="00FF007A">
        <w:rPr>
          <w:rFonts w:ascii="Verdana" w:hAnsi="Verdana"/>
        </w:rPr>
        <w:tab/>
      </w:r>
    </w:p>
    <w:p w14:paraId="0DD99EE4" w14:textId="77777777" w:rsidR="009629BF" w:rsidRPr="00FF007A" w:rsidRDefault="009629BF" w:rsidP="009629BF">
      <w:pPr>
        <w:spacing w:after="0" w:line="240" w:lineRule="auto"/>
        <w:jc w:val="both"/>
        <w:rPr>
          <w:rFonts w:ascii="Verdana" w:eastAsia="Calibri" w:hAnsi="Verdana" w:cs="Arial"/>
          <w:lang w:eastAsia="es-ES"/>
        </w:rPr>
      </w:pPr>
      <w:bookmarkStart w:id="7" w:name="_Hlk197462763"/>
      <w:bookmarkStart w:id="8" w:name="_Hlk197529996"/>
    </w:p>
    <w:p w14:paraId="58CD3CA2" w14:textId="06A09BB9" w:rsidR="00B17269" w:rsidRDefault="00B17269" w:rsidP="00B17269">
      <w:pPr>
        <w:spacing w:after="0" w:line="240" w:lineRule="auto"/>
        <w:jc w:val="right"/>
        <w:rPr>
          <w:rFonts w:ascii="Verdana" w:eastAsia="Calibri" w:hAnsi="Verdana" w:cs="Arial"/>
          <w:lang w:eastAsia="es-ES"/>
        </w:rPr>
      </w:pPr>
      <w:r w:rsidRPr="00B17269">
        <w:rPr>
          <w:rFonts w:ascii="Verdana" w:eastAsia="Calibri" w:hAnsi="Verdana" w:cs="Arial"/>
          <w:lang w:eastAsia="es-ES"/>
        </w:rPr>
        <w:drawing>
          <wp:inline distT="0" distB="0" distL="0" distR="0" wp14:anchorId="5A82C02D" wp14:editId="4D0ECED9">
            <wp:extent cx="3390900" cy="1044018"/>
            <wp:effectExtent l="0" t="0" r="0" b="3810"/>
            <wp:docPr id="13176996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699627" name=""/>
                    <pic:cNvPicPr/>
                  </pic:nvPicPr>
                  <pic:blipFill>
                    <a:blip r:embed="rId10"/>
                    <a:stretch>
                      <a:fillRect/>
                    </a:stretch>
                  </pic:blipFill>
                  <pic:spPr>
                    <a:xfrm>
                      <a:off x="0" y="0"/>
                      <a:ext cx="3418591" cy="1052544"/>
                    </a:xfrm>
                    <a:prstGeom prst="rect">
                      <a:avLst/>
                    </a:prstGeom>
                  </pic:spPr>
                </pic:pic>
              </a:graphicData>
            </a:graphic>
          </wp:inline>
        </w:drawing>
      </w:r>
    </w:p>
    <w:p w14:paraId="70B14739" w14:textId="5E936D19" w:rsidR="009629BF" w:rsidRPr="00D569B1" w:rsidRDefault="009629BF" w:rsidP="009629BF">
      <w:pPr>
        <w:spacing w:after="0" w:line="240" w:lineRule="auto"/>
        <w:jc w:val="both"/>
        <w:rPr>
          <w:rFonts w:ascii="Verdana" w:eastAsia="Calibri" w:hAnsi="Verdana" w:cs="Arial"/>
          <w:lang w:eastAsia="es-ES"/>
        </w:rPr>
      </w:pPr>
      <w:r w:rsidRPr="00D569B1">
        <w:rPr>
          <w:rFonts w:ascii="Verdana" w:eastAsia="Calibri" w:hAnsi="Verdana" w:cs="Arial"/>
          <w:lang w:eastAsia="es-ES"/>
        </w:rPr>
        <w:t>Señora</w:t>
      </w:r>
    </w:p>
    <w:p w14:paraId="5C0650F6" w14:textId="77777777" w:rsidR="009629BF" w:rsidRPr="00D569B1" w:rsidRDefault="009629BF" w:rsidP="009629BF">
      <w:pPr>
        <w:spacing w:after="0" w:line="240" w:lineRule="auto"/>
        <w:jc w:val="both"/>
        <w:rPr>
          <w:rFonts w:ascii="Verdana" w:eastAsia="Calibri" w:hAnsi="Verdana" w:cs="Arial"/>
          <w:b/>
          <w:lang w:eastAsia="es-ES_tradnl"/>
        </w:rPr>
      </w:pPr>
      <w:r w:rsidRPr="00D569B1">
        <w:rPr>
          <w:rFonts w:ascii="Verdana" w:eastAsia="Calibri" w:hAnsi="Verdana" w:cs="Arial"/>
          <w:b/>
          <w:lang w:eastAsia="es-ES_tradnl"/>
        </w:rPr>
        <w:t>Andrea Orozco Osorio</w:t>
      </w:r>
    </w:p>
    <w:p w14:paraId="795CE5EC" w14:textId="77777777" w:rsidR="009629BF" w:rsidRPr="002F3731" w:rsidRDefault="009629BF" w:rsidP="009629BF">
      <w:pPr>
        <w:spacing w:after="0" w:line="240" w:lineRule="auto"/>
        <w:jc w:val="both"/>
        <w:rPr>
          <w:rFonts w:ascii="Verdana" w:hAnsi="Verdana"/>
          <w:b/>
          <w:bCs/>
        </w:rPr>
      </w:pPr>
      <w:hyperlink r:id="rId11" w:history="1">
        <w:r w:rsidRPr="002F3731">
          <w:rPr>
            <w:rStyle w:val="Hipervnculo"/>
            <w:rFonts w:ascii="Verdana" w:hAnsi="Verdana"/>
            <w:b/>
            <w:bCs/>
          </w:rPr>
          <w:t>construccioneselemental@aol.com</w:t>
        </w:r>
      </w:hyperlink>
    </w:p>
    <w:p w14:paraId="7BED98E6" w14:textId="77777777" w:rsidR="009629BF" w:rsidRPr="007967F8" w:rsidRDefault="009629BF" w:rsidP="009629BF">
      <w:pPr>
        <w:spacing w:after="0" w:line="240" w:lineRule="auto"/>
        <w:jc w:val="both"/>
        <w:rPr>
          <w:rFonts w:ascii="Verdana" w:hAnsi="Verdana"/>
        </w:rPr>
      </w:pPr>
      <w:r>
        <w:rPr>
          <w:rFonts w:ascii="Verdana" w:hAnsi="Verdana"/>
        </w:rPr>
        <w:t>Pereira - Risaralda</w:t>
      </w:r>
    </w:p>
    <w:p w14:paraId="650FADA8" w14:textId="77777777" w:rsidR="009629BF" w:rsidRPr="007967F8" w:rsidRDefault="009629BF" w:rsidP="009629BF">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25"/>
        <w:gridCol w:w="5564"/>
      </w:tblGrid>
      <w:tr w:rsidR="009629BF" w:rsidRPr="007967F8" w14:paraId="44CE9BF4" w14:textId="77777777" w:rsidTr="70D179E5">
        <w:trPr>
          <w:trHeight w:val="162"/>
        </w:trPr>
        <w:tc>
          <w:tcPr>
            <w:tcW w:w="3225" w:type="dxa"/>
          </w:tcPr>
          <w:p w14:paraId="2585FAD9" w14:textId="77777777" w:rsidR="009629BF" w:rsidRPr="007967F8" w:rsidRDefault="009629BF" w:rsidP="00533115">
            <w:pPr>
              <w:jc w:val="both"/>
              <w:rPr>
                <w:rFonts w:ascii="Verdana" w:eastAsia="Calibri" w:hAnsi="Verdana" w:cs="Arial"/>
                <w:b/>
                <w:bCs/>
                <w:color w:val="7030A0"/>
                <w:lang w:eastAsia="es-ES_tradnl"/>
              </w:rPr>
            </w:pPr>
          </w:p>
        </w:tc>
        <w:tc>
          <w:tcPr>
            <w:tcW w:w="5564" w:type="dxa"/>
          </w:tcPr>
          <w:p w14:paraId="1FF51121" w14:textId="77777777" w:rsidR="009629BF" w:rsidRPr="007967F8" w:rsidRDefault="009629BF" w:rsidP="00533115">
            <w:pPr>
              <w:jc w:val="both"/>
              <w:rPr>
                <w:rFonts w:ascii="Verdana" w:eastAsia="Calibri" w:hAnsi="Verdana" w:cs="Arial"/>
                <w:b/>
                <w:bCs/>
                <w:lang w:eastAsia="es-ES"/>
              </w:rPr>
            </w:pPr>
            <w:r w:rsidRPr="007967F8">
              <w:rPr>
                <w:rFonts w:ascii="Verdana" w:eastAsia="Calibri" w:hAnsi="Verdana" w:cs="Arial"/>
                <w:b/>
                <w:bCs/>
                <w:lang w:eastAsia="es-ES"/>
              </w:rPr>
              <w:t>Concepto C-14</w:t>
            </w:r>
            <w:r>
              <w:rPr>
                <w:rFonts w:ascii="Verdana" w:eastAsia="Calibri" w:hAnsi="Verdana" w:cs="Arial"/>
                <w:b/>
                <w:bCs/>
                <w:lang w:eastAsia="es-ES"/>
              </w:rPr>
              <w:t>3</w:t>
            </w:r>
            <w:r w:rsidRPr="007967F8">
              <w:rPr>
                <w:rFonts w:ascii="Verdana" w:eastAsia="Calibri" w:hAnsi="Verdana" w:cs="Arial"/>
                <w:b/>
                <w:bCs/>
                <w:lang w:eastAsia="es-ES"/>
              </w:rPr>
              <w:t>1 de 2025</w:t>
            </w:r>
          </w:p>
          <w:p w14:paraId="179EDE9B" w14:textId="77777777" w:rsidR="009629BF" w:rsidRPr="007967F8" w:rsidRDefault="009629BF" w:rsidP="00533115">
            <w:pPr>
              <w:jc w:val="both"/>
              <w:rPr>
                <w:rFonts w:ascii="Verdana" w:eastAsia="Calibri" w:hAnsi="Verdana" w:cs="Arial"/>
                <w:b/>
                <w:bCs/>
                <w:color w:val="7030A0"/>
                <w:lang w:eastAsia="es-ES"/>
              </w:rPr>
            </w:pPr>
          </w:p>
        </w:tc>
      </w:tr>
      <w:tr w:rsidR="009629BF" w:rsidRPr="007967F8" w14:paraId="728C8804" w14:textId="77777777" w:rsidTr="70D179E5">
        <w:trPr>
          <w:trHeight w:val="884"/>
        </w:trPr>
        <w:tc>
          <w:tcPr>
            <w:tcW w:w="3225" w:type="dxa"/>
          </w:tcPr>
          <w:p w14:paraId="4541A998" w14:textId="77777777" w:rsidR="009629BF" w:rsidRPr="007967F8" w:rsidRDefault="009629BF" w:rsidP="00533115">
            <w:pPr>
              <w:jc w:val="both"/>
              <w:rPr>
                <w:rFonts w:ascii="Verdana" w:eastAsia="Calibri" w:hAnsi="Verdana" w:cs="Arial"/>
                <w:color w:val="000000"/>
                <w:lang w:eastAsia="es-ES_tradnl"/>
              </w:rPr>
            </w:pPr>
            <w:r w:rsidRPr="007967F8">
              <w:rPr>
                <w:rFonts w:ascii="Verdana" w:eastAsia="Calibri" w:hAnsi="Verdana" w:cs="Arial"/>
                <w:b/>
                <w:color w:val="000000"/>
                <w:lang w:eastAsia="es-ES_tradnl"/>
              </w:rPr>
              <w:t>Temas:</w:t>
            </w:r>
            <w:r w:rsidRPr="007967F8">
              <w:rPr>
                <w:rFonts w:ascii="Verdana" w:eastAsia="Calibri" w:hAnsi="Verdana" w:cs="Arial"/>
                <w:color w:val="000000"/>
                <w:lang w:eastAsia="es-ES_tradnl"/>
              </w:rPr>
              <w:t xml:space="preserve">                   </w:t>
            </w:r>
          </w:p>
        </w:tc>
        <w:tc>
          <w:tcPr>
            <w:tcW w:w="5564" w:type="dxa"/>
          </w:tcPr>
          <w:p w14:paraId="031410C7" w14:textId="77777777" w:rsidR="009629BF" w:rsidRDefault="009629BF" w:rsidP="00533115">
            <w:pPr>
              <w:jc w:val="both"/>
              <w:rPr>
                <w:rFonts w:ascii="Verdana" w:eastAsia="Geomanist Light" w:hAnsi="Verdana" w:cs="Arial"/>
                <w:bCs/>
                <w:lang w:val="es-ES"/>
              </w:rPr>
            </w:pPr>
            <w:r>
              <w:rPr>
                <w:rFonts w:ascii="Verdana" w:eastAsia="Calibri" w:hAnsi="Verdana" w:cs="Arial"/>
                <w:lang w:val="es-ES" w:eastAsia="es-ES"/>
              </w:rPr>
              <w:t>CONSORCIOS Y UNIONES TEMPORALES – Capacidad para contratar – Participación en varios procesos / CONSORCIOS Y UNIONES TEMPORALES – Deber de registro en SECOP II – Presentación de ofertas en SECOP II</w:t>
            </w:r>
            <w:r w:rsidRPr="00B35DC3">
              <w:rPr>
                <w:rFonts w:ascii="Verdana" w:eastAsia="Calibri" w:hAnsi="Verdana" w:cs="Arial"/>
                <w:color w:val="000000" w:themeColor="text1"/>
                <w:lang w:val="es-ES" w:eastAsia="es-ES"/>
              </w:rPr>
              <w:t xml:space="preserve"> / CAUSALES DE RECHAZO – Alcance – Proponentes plurales</w:t>
            </w:r>
            <w:r w:rsidRPr="00B35DC3">
              <w:rPr>
                <w:rFonts w:ascii="Verdana" w:eastAsia="Geomanist Light" w:hAnsi="Verdana" w:cs="Arial"/>
                <w:bCs/>
                <w:lang w:val="es-ES"/>
              </w:rPr>
              <w:t xml:space="preserve"> </w:t>
            </w:r>
          </w:p>
          <w:p w14:paraId="33D44CA1" w14:textId="77777777" w:rsidR="009629BF" w:rsidRPr="007967F8" w:rsidRDefault="009629BF" w:rsidP="00533115">
            <w:pPr>
              <w:jc w:val="both"/>
              <w:rPr>
                <w:rFonts w:ascii="Verdana" w:hAnsi="Verdana" w:cs="Arial"/>
                <w:color w:val="000000" w:themeColor="text1"/>
              </w:rPr>
            </w:pPr>
          </w:p>
        </w:tc>
      </w:tr>
      <w:tr w:rsidR="009629BF" w:rsidRPr="007967F8" w14:paraId="0820B0B1" w14:textId="77777777" w:rsidTr="70D179E5">
        <w:trPr>
          <w:trHeight w:val="360"/>
        </w:trPr>
        <w:tc>
          <w:tcPr>
            <w:tcW w:w="3225" w:type="dxa"/>
          </w:tcPr>
          <w:p w14:paraId="144AF5E5" w14:textId="77777777" w:rsidR="009629BF" w:rsidRPr="007967F8" w:rsidRDefault="009629BF" w:rsidP="00533115">
            <w:pPr>
              <w:jc w:val="both"/>
              <w:rPr>
                <w:rFonts w:ascii="Verdana" w:eastAsia="Calibri" w:hAnsi="Verdana" w:cs="Arial"/>
                <w:b/>
                <w:lang w:eastAsia="es-ES_tradnl"/>
              </w:rPr>
            </w:pPr>
            <w:r w:rsidRPr="007967F8">
              <w:rPr>
                <w:rFonts w:ascii="Verdana" w:eastAsia="Calibri" w:hAnsi="Verdana" w:cs="Arial"/>
                <w:b/>
                <w:lang w:eastAsia="es-ES_tradnl"/>
              </w:rPr>
              <w:t>Radicación:</w:t>
            </w:r>
            <w:r w:rsidRPr="007967F8">
              <w:rPr>
                <w:rFonts w:ascii="Verdana" w:eastAsia="Calibri" w:hAnsi="Verdana" w:cs="Arial"/>
                <w:lang w:eastAsia="es-ES_tradnl"/>
              </w:rPr>
              <w:t xml:space="preserve">               </w:t>
            </w:r>
          </w:p>
        </w:tc>
        <w:tc>
          <w:tcPr>
            <w:tcW w:w="5564" w:type="dxa"/>
          </w:tcPr>
          <w:p w14:paraId="1AC81029" w14:textId="77777777" w:rsidR="009629BF" w:rsidRPr="007967F8" w:rsidRDefault="009629BF" w:rsidP="00533115">
            <w:pPr>
              <w:jc w:val="both"/>
              <w:rPr>
                <w:rFonts w:ascii="Verdana" w:eastAsia="Calibri" w:hAnsi="Verdana" w:cs="Arial"/>
                <w:lang w:eastAsia="es-ES_tradnl"/>
              </w:rPr>
            </w:pPr>
            <w:r w:rsidRPr="007967F8">
              <w:rPr>
                <w:rFonts w:ascii="Verdana" w:eastAsia="Calibri" w:hAnsi="Verdana" w:cs="Arial"/>
                <w:lang w:eastAsia="es-ES_tradnl"/>
              </w:rPr>
              <w:t xml:space="preserve">Respuesta a consulta con radicado </w:t>
            </w:r>
            <w:r w:rsidRPr="00AD65E9">
              <w:rPr>
                <w:rFonts w:ascii="Verdana" w:eastAsia="Calibri" w:hAnsi="Verdana" w:cs="Arial"/>
                <w:lang w:eastAsia="es-ES_tradnl"/>
              </w:rPr>
              <w:t>1_2025_10_02_011014</w:t>
            </w:r>
          </w:p>
        </w:tc>
      </w:tr>
    </w:tbl>
    <w:p w14:paraId="692727D4" w14:textId="77777777" w:rsidR="009629BF" w:rsidRPr="007967F8" w:rsidRDefault="009629BF" w:rsidP="009629BF">
      <w:pPr>
        <w:spacing w:after="0" w:line="276" w:lineRule="auto"/>
        <w:jc w:val="both"/>
        <w:rPr>
          <w:rFonts w:ascii="Verdana" w:eastAsia="Calibri" w:hAnsi="Verdana" w:cs="Arial"/>
          <w:lang w:eastAsia="es-ES_tradnl"/>
        </w:rPr>
      </w:pPr>
    </w:p>
    <w:p w14:paraId="1E2FCC54" w14:textId="77777777" w:rsidR="009629BF" w:rsidRDefault="009629BF" w:rsidP="009629BF">
      <w:pPr>
        <w:spacing w:after="0" w:line="276" w:lineRule="auto"/>
        <w:jc w:val="both"/>
        <w:rPr>
          <w:rFonts w:ascii="Verdana" w:eastAsia="Calibri" w:hAnsi="Verdana" w:cs="Arial"/>
          <w:lang w:eastAsia="es-ES"/>
        </w:rPr>
      </w:pPr>
      <w:r w:rsidRPr="007967F8">
        <w:rPr>
          <w:rFonts w:ascii="Verdana" w:eastAsia="Calibri" w:hAnsi="Verdana" w:cs="Arial"/>
          <w:lang w:eastAsia="es-ES"/>
        </w:rPr>
        <w:t>Estimad</w:t>
      </w:r>
      <w:r>
        <w:rPr>
          <w:rFonts w:ascii="Verdana" w:eastAsia="Calibri" w:hAnsi="Verdana" w:cs="Arial"/>
          <w:lang w:eastAsia="es-ES"/>
        </w:rPr>
        <w:t>a señora Andrea</w:t>
      </w:r>
      <w:r w:rsidRPr="007967F8">
        <w:rPr>
          <w:rFonts w:ascii="Verdana" w:eastAsia="Calibri" w:hAnsi="Verdana" w:cs="Arial"/>
          <w:lang w:eastAsia="es-ES"/>
        </w:rPr>
        <w:t>:</w:t>
      </w:r>
    </w:p>
    <w:p w14:paraId="2ABE83F7" w14:textId="77777777" w:rsidR="009629BF" w:rsidRPr="00FF007A" w:rsidRDefault="009629BF" w:rsidP="009629BF">
      <w:pPr>
        <w:spacing w:after="0" w:line="276" w:lineRule="auto"/>
        <w:jc w:val="both"/>
        <w:rPr>
          <w:rFonts w:ascii="Verdana" w:eastAsia="Calibri" w:hAnsi="Verdana" w:cs="Arial"/>
          <w:lang w:eastAsia="es-ES"/>
        </w:rPr>
      </w:pPr>
      <w:r>
        <w:rPr>
          <w:rFonts w:ascii="Verdana" w:eastAsia="Calibri" w:hAnsi="Verdana" w:cs="Arial"/>
          <w:lang w:eastAsia="es-ES"/>
        </w:rPr>
        <w:t xml:space="preserve"> </w:t>
      </w:r>
    </w:p>
    <w:p w14:paraId="69D95F36" w14:textId="77777777" w:rsidR="009629BF" w:rsidRPr="00EA6E14" w:rsidRDefault="009629BF" w:rsidP="009629BF">
      <w:pPr>
        <w:tabs>
          <w:tab w:val="left" w:pos="3768"/>
        </w:tabs>
        <w:spacing w:after="120" w:line="276" w:lineRule="auto"/>
        <w:jc w:val="both"/>
        <w:rPr>
          <w:rFonts w:ascii="Verdana" w:eastAsia="Calibri" w:hAnsi="Verdana" w:cs="Arial"/>
          <w:lang w:eastAsia="es-ES"/>
        </w:rPr>
      </w:pPr>
      <w:r w:rsidRPr="00E05649">
        <w:rPr>
          <w:rFonts w:ascii="Verdana" w:eastAsia="Calibri" w:hAnsi="Verdana" w:cs="Arial"/>
          <w:lang w:eastAsia="es-ES"/>
        </w:rPr>
        <w:t>En ejercicio de la competencia otorgada por los artículos 3, numeral 5º, y 11, numeral 8º, del Decreto Ley 4170 de 2011,</w:t>
      </w:r>
      <w:r w:rsidRPr="00E05649">
        <w:rPr>
          <w:rFonts w:ascii="Verdana" w:eastAsia="Arial MT" w:hAnsi="Verdana" w:cs="Arial MT"/>
          <w:lang w:eastAsia="es-ES"/>
        </w:rPr>
        <w:t xml:space="preserve"> </w:t>
      </w:r>
      <w:r w:rsidRPr="00E05649">
        <w:rPr>
          <w:rFonts w:ascii="Verdana" w:hAnsi="Verdana" w:cs="Arial"/>
        </w:rPr>
        <w:t xml:space="preserve">así como lo establecido en el artículo 4 de la Resolución 1707 de 2018 expedida por esta Entidad, </w:t>
      </w:r>
      <w:r w:rsidRPr="00E05649">
        <w:rPr>
          <w:rFonts w:ascii="Verdana" w:eastAsia="Calibri" w:hAnsi="Verdana" w:cs="Arial"/>
          <w:lang w:eastAsia="es-ES"/>
        </w:rPr>
        <w:t xml:space="preserve">la Agencia Nacional de Contratación Pública – Colombia Compra Eficiente– responde su solicitud de consulta de fecha </w:t>
      </w:r>
      <w:r>
        <w:rPr>
          <w:rFonts w:ascii="Verdana" w:eastAsia="Calibri" w:hAnsi="Verdana" w:cs="Arial"/>
          <w:lang w:eastAsia="es-ES"/>
        </w:rPr>
        <w:t xml:space="preserve">2 de octubre de 2025, </w:t>
      </w:r>
      <w:r w:rsidRPr="00E05649">
        <w:rPr>
          <w:rFonts w:ascii="Verdana" w:eastAsia="Calibri" w:hAnsi="Verdana" w:cs="Arial"/>
          <w:lang w:eastAsia="es-ES"/>
        </w:rPr>
        <w:t xml:space="preserve">en la cual manifiesta lo siguiente: </w:t>
      </w:r>
    </w:p>
    <w:p w14:paraId="53269B91" w14:textId="77777777" w:rsidR="009629BF" w:rsidRDefault="009629BF" w:rsidP="009629BF">
      <w:pPr>
        <w:spacing w:after="0" w:line="240" w:lineRule="auto"/>
        <w:ind w:left="709" w:right="709"/>
        <w:jc w:val="both"/>
        <w:rPr>
          <w:rFonts w:ascii="Verdana" w:eastAsia="Century Gothic" w:hAnsi="Verdana" w:cs="Century Gothic"/>
          <w:sz w:val="20"/>
          <w:szCs w:val="20"/>
        </w:rPr>
      </w:pPr>
      <w:bookmarkStart w:id="9" w:name="_Hlk192699624"/>
      <w:bookmarkStart w:id="10" w:name="_Hlk199394899"/>
      <w:r w:rsidRPr="007C7B24">
        <w:rPr>
          <w:rFonts w:ascii="Verdana" w:eastAsia="Century Gothic" w:hAnsi="Verdana" w:cs="Century Gothic"/>
          <w:sz w:val="20"/>
          <w:szCs w:val="20"/>
        </w:rPr>
        <w:t xml:space="preserve">“(…) </w:t>
      </w:r>
      <w:bookmarkEnd w:id="9"/>
      <w:bookmarkEnd w:id="10"/>
      <w:r w:rsidRPr="00A33665">
        <w:rPr>
          <w:rFonts w:ascii="Verdana" w:eastAsia="Century Gothic" w:hAnsi="Verdana" w:cs="Century Gothic"/>
          <w:sz w:val="20"/>
          <w:szCs w:val="20"/>
        </w:rPr>
        <w:t xml:space="preserve">En el marco del proceso de contratación ICBF-SAMC-239050-2025-VAL, nos hemos visto excluidos como proponentes bajo el argumento de que el Consorcio Elemental ya había sido utilizado en ocasiones anteriores, a pesar de que no se ha ganado ninguna licitación previamente. Al respecto, hemos tenido comunicación con la mesa de trabajo de Colombia Compra Eficiente, quienes nos han confirmado que, desde la perspectiva técnica, no existe restricción alguna para que el mismo consorcio participe en varios procesos, incluso si ha resultado adjudicatario en licitaciones anteriores. Sin embargo, hemos observado que varias entidades no están aplicando correctamente este principio, como ocurrió también en otra </w:t>
      </w:r>
      <w:r w:rsidRPr="00A33665">
        <w:rPr>
          <w:rFonts w:ascii="Verdana" w:eastAsia="Century Gothic" w:hAnsi="Verdana" w:cs="Century Gothic"/>
          <w:sz w:val="20"/>
          <w:szCs w:val="20"/>
        </w:rPr>
        <w:lastRenderedPageBreak/>
        <w:t>manifestación de interés, en la que fuimos excluidos bajo el mismo fundamento. Por lo anterior, solicitamos a ustedes amablemente la revisión y rectificación de esta exclusión, conforme a lo dispuesto por las normativas vigentes y que se nos permita participar en dicho proceso</w:t>
      </w:r>
      <w:r>
        <w:rPr>
          <w:rFonts w:ascii="Verdana" w:eastAsia="Century Gothic" w:hAnsi="Verdana" w:cs="Century Gothic"/>
          <w:sz w:val="20"/>
          <w:szCs w:val="20"/>
        </w:rPr>
        <w:t xml:space="preserve"> (…)”</w:t>
      </w:r>
      <w:r w:rsidRPr="00EA7A80">
        <w:rPr>
          <w:rFonts w:ascii="Verdana" w:eastAsia="Century Gothic" w:hAnsi="Verdana" w:cs="Century Gothic"/>
          <w:sz w:val="20"/>
          <w:szCs w:val="20"/>
        </w:rPr>
        <w:t xml:space="preserve">. </w:t>
      </w:r>
    </w:p>
    <w:p w14:paraId="0B2AFAAC" w14:textId="77777777" w:rsidR="009629BF" w:rsidRPr="00CF7981" w:rsidRDefault="009629BF" w:rsidP="009629BF">
      <w:pPr>
        <w:pStyle w:val="Prrafodelista"/>
        <w:spacing w:after="0" w:line="240" w:lineRule="auto"/>
        <w:ind w:left="1429" w:right="709"/>
        <w:jc w:val="both"/>
        <w:rPr>
          <w:rFonts w:ascii="Verdana" w:eastAsia="Century Gothic" w:hAnsi="Verdana" w:cs="Century Gothic"/>
          <w:sz w:val="20"/>
          <w:szCs w:val="20"/>
        </w:rPr>
      </w:pPr>
    </w:p>
    <w:p w14:paraId="0ADF48AB" w14:textId="77777777" w:rsidR="009629BF" w:rsidRPr="00FF007A" w:rsidRDefault="009629BF" w:rsidP="009629BF">
      <w:pPr>
        <w:spacing w:after="120" w:line="276" w:lineRule="auto"/>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2F373BB" w14:textId="77777777" w:rsidR="009629BF" w:rsidRPr="00AF06A2" w:rsidRDefault="009629BF" w:rsidP="009629BF">
      <w:pPr>
        <w:spacing w:after="120" w:line="276" w:lineRule="auto"/>
        <w:ind w:firstLine="709"/>
        <w:jc w:val="both"/>
        <w:rPr>
          <w:rFonts w:ascii="Verdana" w:eastAsia="Calibri" w:hAnsi="Verdana" w:cs="Arial"/>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Pr>
          <w:rFonts w:ascii="Verdana" w:eastAsia="Calibri" w:hAnsi="Verdana" w:cs="Arial"/>
          <w:color w:val="000000"/>
          <w:lang w:eastAsia="es-ES"/>
        </w:rPr>
        <w:t>con los problemas jurídicos</w:t>
      </w:r>
      <w:r w:rsidRPr="00AF06A2">
        <w:rPr>
          <w:rFonts w:ascii="Verdana" w:eastAsia="Calibri" w:hAnsi="Verdana" w:cs="Arial"/>
          <w:color w:val="EE0000"/>
          <w:lang w:eastAsia="es-ES"/>
        </w:rPr>
        <w:t xml:space="preserve"> </w:t>
      </w:r>
      <w:r w:rsidRPr="00AF06A2">
        <w:rPr>
          <w:rFonts w:ascii="Verdana" w:eastAsia="Calibri" w:hAnsi="Verdana" w:cs="Arial"/>
          <w:lang w:eastAsia="es-ES"/>
        </w:rPr>
        <w:t xml:space="preserve">de su consulta.  </w:t>
      </w:r>
    </w:p>
    <w:p w14:paraId="40AB9BD5" w14:textId="77777777" w:rsidR="009629BF" w:rsidRDefault="009629BF" w:rsidP="009629B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AF06A2">
        <w:rPr>
          <w:rFonts w:ascii="Verdana" w:eastAsia="Century Gothic" w:hAnsi="Verdana" w:cs="Century Gothic"/>
          <w:b/>
          <w:bCs/>
          <w:lang w:val="es-CO"/>
        </w:rPr>
        <w:t>Problema planteado:</w:t>
      </w:r>
    </w:p>
    <w:p w14:paraId="12861E7C" w14:textId="77777777" w:rsidR="009629BF" w:rsidRPr="00AF06A2" w:rsidRDefault="009629BF" w:rsidP="009629BF">
      <w:pPr>
        <w:pStyle w:val="Prrafodelista"/>
        <w:tabs>
          <w:tab w:val="left" w:pos="142"/>
          <w:tab w:val="left" w:pos="284"/>
        </w:tabs>
        <w:spacing w:after="0" w:line="240" w:lineRule="auto"/>
        <w:ind w:left="0"/>
        <w:contextualSpacing w:val="0"/>
        <w:jc w:val="both"/>
        <w:rPr>
          <w:rFonts w:ascii="Verdana" w:eastAsia="Century Gothic" w:hAnsi="Verdana" w:cs="Century Gothic"/>
          <w:b/>
          <w:bCs/>
          <w:lang w:val="es-CO"/>
        </w:rPr>
      </w:pPr>
    </w:p>
    <w:p w14:paraId="3E4C484C" w14:textId="77777777" w:rsidR="009629BF" w:rsidRPr="007F4825" w:rsidRDefault="009629BF" w:rsidP="009629BF">
      <w:pPr>
        <w:spacing w:after="0" w:line="276" w:lineRule="auto"/>
        <w:jc w:val="both"/>
        <w:rPr>
          <w:rFonts w:ascii="Verdana" w:eastAsia="Century Gothic" w:hAnsi="Verdana" w:cs="Century Gothic"/>
          <w:sz w:val="20"/>
          <w:szCs w:val="20"/>
        </w:rPr>
      </w:pPr>
      <w:r w:rsidRPr="005779FD">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los s</w:t>
      </w:r>
      <w:r w:rsidRPr="005779FD">
        <w:rPr>
          <w:rFonts w:ascii="Verdana" w:eastAsia="Calibri" w:hAnsi="Verdana" w:cs="Arial"/>
          <w:color w:val="000000"/>
          <w:lang w:eastAsia="es-ES"/>
        </w:rPr>
        <w:t>iguiente</w:t>
      </w:r>
      <w:r>
        <w:rPr>
          <w:rFonts w:ascii="Verdana" w:eastAsia="Calibri" w:hAnsi="Verdana" w:cs="Arial"/>
          <w:color w:val="000000"/>
          <w:lang w:eastAsia="es-ES"/>
        </w:rPr>
        <w:t>s</w:t>
      </w:r>
      <w:r w:rsidRPr="005779FD">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5779FD">
        <w:rPr>
          <w:rFonts w:ascii="Verdana" w:eastAsia="Calibri" w:hAnsi="Verdana" w:cs="Arial"/>
          <w:color w:val="000000"/>
          <w:lang w:eastAsia="es-ES"/>
        </w:rPr>
        <w:t xml:space="preserve"> </w:t>
      </w:r>
      <w:r>
        <w:rPr>
          <w:rFonts w:ascii="Verdana" w:eastAsia="Calibri" w:hAnsi="Verdana" w:cs="Arial"/>
          <w:color w:val="000000"/>
          <w:lang w:eastAsia="es-ES"/>
        </w:rPr>
        <w:t xml:space="preserve">jurídicos: </w:t>
      </w:r>
      <w:r w:rsidRPr="00B35DC3">
        <w:rPr>
          <w:rFonts w:ascii="Verdana" w:eastAsia="Century Gothic" w:hAnsi="Verdana" w:cs="Century Gothic"/>
          <w:color w:val="000000" w:themeColor="text1"/>
        </w:rPr>
        <w:t xml:space="preserve">i) </w:t>
      </w:r>
      <w:r>
        <w:rPr>
          <w:rFonts w:ascii="Verdana" w:eastAsia="Century Gothic" w:hAnsi="Verdana" w:cs="Century Gothic"/>
          <w:color w:val="000000" w:themeColor="text1"/>
        </w:rPr>
        <w:t>¿L</w:t>
      </w:r>
      <w:r w:rsidRPr="00B35DC3">
        <w:rPr>
          <w:rFonts w:ascii="Verdana" w:eastAsia="Century Gothic" w:hAnsi="Verdana" w:cs="Century Gothic"/>
        </w:rPr>
        <w:t xml:space="preserve">os proponentes plurales </w:t>
      </w:r>
      <w:r>
        <w:rPr>
          <w:rFonts w:ascii="Verdana" w:eastAsia="Century Gothic" w:hAnsi="Verdana" w:cs="Century Gothic"/>
        </w:rPr>
        <w:t xml:space="preserve">pueden </w:t>
      </w:r>
      <w:r w:rsidRPr="00B35DC3">
        <w:rPr>
          <w:rFonts w:ascii="Verdana" w:eastAsia="Century Gothic" w:hAnsi="Verdana" w:cs="Century Gothic"/>
        </w:rPr>
        <w:t>participar en varios procesos de contratación pública</w:t>
      </w:r>
      <w:r w:rsidRPr="00B35DC3">
        <w:rPr>
          <w:rFonts w:ascii="Verdana" w:eastAsia="Century Gothic" w:hAnsi="Verdana" w:cs="Century Gothic"/>
          <w:color w:val="000000" w:themeColor="text1"/>
        </w:rPr>
        <w:t>? (</w:t>
      </w:r>
      <w:proofErr w:type="spellStart"/>
      <w:r w:rsidRPr="00B35DC3">
        <w:rPr>
          <w:rFonts w:ascii="Verdana" w:eastAsia="Century Gothic" w:hAnsi="Verdana" w:cs="Century Gothic"/>
          <w:color w:val="000000" w:themeColor="text1"/>
        </w:rPr>
        <w:t>ii</w:t>
      </w:r>
      <w:proofErr w:type="spellEnd"/>
      <w:r w:rsidRPr="00B35DC3">
        <w:rPr>
          <w:rFonts w:ascii="Verdana" w:eastAsia="Century Gothic" w:hAnsi="Verdana" w:cs="Century Gothic"/>
          <w:color w:val="000000" w:themeColor="text1"/>
        </w:rPr>
        <w:t>) ¿</w:t>
      </w:r>
      <w:r>
        <w:rPr>
          <w:rFonts w:ascii="Verdana" w:eastAsia="Century Gothic" w:hAnsi="Verdana" w:cs="Century Gothic"/>
          <w:color w:val="000000" w:themeColor="text1"/>
        </w:rPr>
        <w:t xml:space="preserve">Se configura una </w:t>
      </w:r>
      <w:r w:rsidRPr="00B35DC3">
        <w:rPr>
          <w:rFonts w:ascii="Verdana" w:eastAsia="Century Gothic" w:hAnsi="Verdana" w:cs="Century Gothic"/>
          <w:color w:val="000000" w:themeColor="text1"/>
        </w:rPr>
        <w:t xml:space="preserve">causal de rechazo </w:t>
      </w:r>
      <w:r>
        <w:rPr>
          <w:rFonts w:ascii="Verdana" w:eastAsia="Century Gothic" w:hAnsi="Verdana" w:cs="Century Gothic"/>
          <w:color w:val="000000" w:themeColor="text1"/>
        </w:rPr>
        <w:t xml:space="preserve">relativa a </w:t>
      </w:r>
      <w:r w:rsidRPr="00B35DC3">
        <w:rPr>
          <w:rFonts w:ascii="Verdana" w:eastAsia="Century Gothic" w:hAnsi="Verdana" w:cs="Century Gothic"/>
          <w:color w:val="000000" w:themeColor="text1"/>
        </w:rPr>
        <w:t>que los proponentes plurales se presenten a varios procesos de contratación?</w:t>
      </w:r>
    </w:p>
    <w:p w14:paraId="0F7E6FDE" w14:textId="77777777" w:rsidR="009629BF" w:rsidRDefault="009629BF" w:rsidP="009629BF">
      <w:pPr>
        <w:spacing w:after="0" w:line="276" w:lineRule="auto"/>
        <w:jc w:val="both"/>
        <w:rPr>
          <w:rFonts w:ascii="Verdana" w:eastAsia="Century Gothic" w:hAnsi="Verdana" w:cs="Century Gothic"/>
          <w:b/>
          <w:bCs/>
        </w:rPr>
      </w:pPr>
    </w:p>
    <w:p w14:paraId="00964C7A" w14:textId="77777777" w:rsidR="009629BF" w:rsidRDefault="009629BF" w:rsidP="009629BF">
      <w:pPr>
        <w:spacing w:after="0" w:line="276" w:lineRule="auto"/>
        <w:jc w:val="both"/>
        <w:rPr>
          <w:rFonts w:ascii="Verdana" w:eastAsia="Century Gothic" w:hAnsi="Verdana" w:cs="Century Gothic"/>
          <w:b/>
          <w:bCs/>
        </w:rPr>
      </w:pPr>
      <w:r w:rsidRPr="0026509B">
        <w:rPr>
          <w:rFonts w:ascii="Verdana" w:eastAsia="Century Gothic" w:hAnsi="Verdana" w:cs="Century Gothic"/>
          <w:b/>
          <w:bCs/>
        </w:rPr>
        <w:t>2. Respuesta:</w:t>
      </w:r>
    </w:p>
    <w:p w14:paraId="210099F9" w14:textId="77777777" w:rsidR="009629BF" w:rsidRPr="00FF007A" w:rsidRDefault="009629BF" w:rsidP="009629BF">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9629BF" w:rsidRPr="00FF007A" w14:paraId="40E36836" w14:textId="77777777" w:rsidTr="00533115">
        <w:tc>
          <w:tcPr>
            <w:tcW w:w="8828" w:type="dxa"/>
          </w:tcPr>
          <w:p w14:paraId="2F1F9B09" w14:textId="77777777" w:rsidR="009629BF" w:rsidRPr="00B35DC3" w:rsidRDefault="009629BF" w:rsidP="00533115">
            <w:pPr>
              <w:spacing w:after="120" w:line="276" w:lineRule="auto"/>
              <w:jc w:val="both"/>
              <w:rPr>
                <w:rFonts w:ascii="Verdana" w:eastAsia="Calibri" w:hAnsi="Verdana" w:cs="Arial"/>
                <w:lang w:val="es-ES" w:eastAsia="es-ES"/>
              </w:rPr>
            </w:pPr>
            <w:r>
              <w:rPr>
                <w:rFonts w:ascii="Verdana" w:eastAsia="Calibri" w:hAnsi="Verdana" w:cs="Arial"/>
                <w:lang w:val="es-ES"/>
              </w:rPr>
              <w:t>i)</w:t>
            </w:r>
            <w:r w:rsidRPr="00B35DC3">
              <w:rPr>
                <w:rFonts w:ascii="Verdana" w:eastAsia="Calibri" w:hAnsi="Verdana" w:cs="Arial"/>
                <w:lang w:val="es-ES"/>
              </w:rPr>
              <w:t xml:space="preserve"> De acuerdo con lo señalo en los numerales 6 y 7 del artículo 7 de la Ley 80 de 1993, el consorcio o la unión temporal se da “[c]</w:t>
            </w:r>
            <w:proofErr w:type="spellStart"/>
            <w:r w:rsidRPr="00B35DC3">
              <w:rPr>
                <w:rFonts w:ascii="Verdana" w:eastAsia="Calibri" w:hAnsi="Verdana" w:cs="Arial"/>
                <w:lang w:val="es-ES"/>
              </w:rPr>
              <w:t>uando</w:t>
            </w:r>
            <w:proofErr w:type="spellEnd"/>
            <w:r w:rsidRPr="00B35DC3">
              <w:rPr>
                <w:rFonts w:ascii="Verdana" w:eastAsia="Calibri" w:hAnsi="Verdana" w:cs="Arial"/>
                <w:lang w:val="es-ES"/>
              </w:rPr>
              <w:t xml:space="preserve"> dos o más personas en forma conjunta presentan una misma propuesta para la adjudicación, celebración y ejecución de un contrato […]”. Desde esta perspectiva, su capacidad para participar en la adjudicación, celebración y ejecución de uno o varios contratos estatales dependerá de dos aspectos: (i) que los integrantes </w:t>
            </w:r>
            <w:r w:rsidRPr="00B35DC3">
              <w:rPr>
                <w:rFonts w:ascii="Verdana" w:eastAsia="Calibri" w:hAnsi="Verdana" w:cs="Arial"/>
                <w:lang w:val="es-ES"/>
              </w:rPr>
              <w:lastRenderedPageBreak/>
              <w:t>de la estructural plural adopten la decisión conjunta de presentar una misma propuesta al proceso de selección; y (</w:t>
            </w:r>
            <w:proofErr w:type="spellStart"/>
            <w:r w:rsidRPr="00B35DC3">
              <w:rPr>
                <w:rFonts w:ascii="Verdana" w:eastAsia="Calibri" w:hAnsi="Verdana" w:cs="Arial"/>
                <w:lang w:val="es-ES"/>
              </w:rPr>
              <w:t>ii</w:t>
            </w:r>
            <w:proofErr w:type="spellEnd"/>
            <w:r w:rsidRPr="00B35DC3">
              <w:rPr>
                <w:rFonts w:ascii="Verdana" w:eastAsia="Calibri" w:hAnsi="Verdana" w:cs="Arial"/>
                <w:lang w:val="es-ES"/>
              </w:rPr>
              <w:t>) que el objeto del consorcio o unión temporal se encuentre alineado con las actividades a desarrollar en un determinado proceso.</w:t>
            </w:r>
          </w:p>
          <w:p w14:paraId="6A8B6260" w14:textId="77777777" w:rsidR="009629BF" w:rsidRPr="00B35DC3" w:rsidRDefault="009629BF" w:rsidP="00533115">
            <w:pPr>
              <w:spacing w:after="120" w:line="276" w:lineRule="auto"/>
              <w:ind w:firstLine="877"/>
              <w:jc w:val="both"/>
              <w:rPr>
                <w:rFonts w:ascii="Verdana" w:hAnsi="Verdana" w:cs="Arial"/>
                <w:color w:val="000000" w:themeColor="text1"/>
              </w:rPr>
            </w:pPr>
            <w:r w:rsidRPr="00B35DC3">
              <w:rPr>
                <w:rFonts w:ascii="Verdana" w:hAnsi="Verdana" w:cs="Arial"/>
                <w:color w:val="000000" w:themeColor="text1"/>
              </w:rPr>
              <w:t xml:space="preserve">En este contexto, </w:t>
            </w:r>
            <w:r>
              <w:rPr>
                <w:rFonts w:ascii="Verdana" w:hAnsi="Verdana" w:cs="Arial"/>
                <w:color w:val="000000" w:themeColor="text1"/>
              </w:rPr>
              <w:t>esta</w:t>
            </w:r>
            <w:r w:rsidRPr="00B35DC3">
              <w:rPr>
                <w:rFonts w:ascii="Verdana" w:hAnsi="Verdana" w:cs="Arial"/>
                <w:szCs w:val="24"/>
                <w:lang w:eastAsia="es-ES_tradnl"/>
              </w:rPr>
              <w:t xml:space="preserve"> Subdirección unific</w:t>
            </w:r>
            <w:r>
              <w:rPr>
                <w:rFonts w:ascii="Verdana" w:hAnsi="Verdana" w:cs="Arial"/>
                <w:szCs w:val="24"/>
                <w:lang w:eastAsia="es-ES_tradnl"/>
              </w:rPr>
              <w:t xml:space="preserve">o a través del concepto CU-636 del </w:t>
            </w:r>
            <w:r>
              <w:rPr>
                <w:rFonts w:ascii="Verdana" w:hAnsi="Verdana" w:cs="Arial"/>
                <w:color w:val="000000" w:themeColor="text1"/>
              </w:rPr>
              <w:t>2 de julio de 2025</w:t>
            </w:r>
            <w:r>
              <w:rPr>
                <w:rFonts w:ascii="Verdana" w:hAnsi="Verdana" w:cs="Arial"/>
                <w:szCs w:val="24"/>
                <w:lang w:eastAsia="es-ES_tradnl"/>
              </w:rPr>
              <w:t xml:space="preserve"> </w:t>
            </w:r>
            <w:r w:rsidRPr="00B35DC3">
              <w:rPr>
                <w:rFonts w:ascii="Verdana" w:hAnsi="Verdana" w:cs="Arial"/>
                <w:szCs w:val="24"/>
                <w:lang w:eastAsia="es-ES_tradnl"/>
              </w:rPr>
              <w:t xml:space="preserve">la línea doctrinal en este tema, reiterando la posición expuesta en los conceptos </w:t>
            </w:r>
            <w:r w:rsidRPr="00B35DC3">
              <w:rPr>
                <w:rFonts w:ascii="Verdana" w:hAnsi="Verdana" w:cs="Arial"/>
                <w:color w:val="000000" w:themeColor="text1"/>
              </w:rPr>
              <w:t xml:space="preserve">C-727 del 28 de octubre de 2024, C-016 del 11 de febrero de 2025, C-046 del 30 de enero de 2025, C-226 del 26 de marzo de 2025 y C-295 del 15 de abril de 2025, en el sentido de indicar que </w:t>
            </w:r>
            <w:r w:rsidRPr="00B35DC3">
              <w:rPr>
                <w:rFonts w:ascii="Verdana" w:hAnsi="Verdana" w:cs="Arial"/>
                <w:szCs w:val="24"/>
                <w:lang w:eastAsia="es-ES_tradnl"/>
              </w:rPr>
              <w:t xml:space="preserve">es </w:t>
            </w:r>
            <w:r w:rsidRPr="00B35DC3">
              <w:rPr>
                <w:rFonts w:ascii="Verdana" w:hAnsi="Verdana" w:cs="Arial"/>
                <w:color w:val="000000" w:themeColor="text1"/>
              </w:rPr>
              <w:t xml:space="preserve">jurídicamente viable que los proponentes plurales presenten propuestas para la adjudicación, celebración y ejecución de contratos estatales con </w:t>
            </w:r>
            <w:r w:rsidRPr="00B35DC3">
              <w:rPr>
                <w:rFonts w:ascii="Verdana" w:hAnsi="Verdana" w:cs="Arial"/>
                <w:i/>
                <w:iCs/>
                <w:color w:val="000000" w:themeColor="text1"/>
              </w:rPr>
              <w:t>una o varias</w:t>
            </w:r>
            <w:r w:rsidRPr="00B35DC3">
              <w:rPr>
                <w:rFonts w:ascii="Verdana" w:hAnsi="Verdana" w:cs="Arial"/>
                <w:color w:val="000000" w:themeColor="text1"/>
              </w:rPr>
              <w:t xml:space="preserve"> entidades, lo anterior, en concordancia con el cumplimiento de los supuestos previamente descritos. Lo anterior, sin desconocer la obligación de realizar la respectiva inscripción del consorcio de manera individual en cada proceso en el que pretenda postularse, de acuerdo con las condiciones de uso del SECOP II.</w:t>
            </w:r>
          </w:p>
          <w:p w14:paraId="0049E49E" w14:textId="77777777" w:rsidR="009629BF" w:rsidRPr="00B35DC3" w:rsidRDefault="009629BF" w:rsidP="00533115">
            <w:pPr>
              <w:spacing w:after="120" w:line="276" w:lineRule="auto"/>
              <w:jc w:val="both"/>
              <w:rPr>
                <w:rFonts w:ascii="Verdana" w:hAnsi="Verdana" w:cs="Arial"/>
                <w:bCs/>
                <w:color w:val="000000" w:themeColor="text1"/>
              </w:rPr>
            </w:pPr>
            <w:proofErr w:type="spellStart"/>
            <w:r w:rsidRPr="00B35DC3">
              <w:rPr>
                <w:rFonts w:ascii="Verdana" w:eastAsia="Calibri" w:hAnsi="Verdana" w:cs="Arial"/>
              </w:rPr>
              <w:t>ii</w:t>
            </w:r>
            <w:proofErr w:type="spellEnd"/>
            <w:r w:rsidRPr="00B35DC3">
              <w:rPr>
                <w:rFonts w:ascii="Verdana" w:eastAsia="Calibri" w:hAnsi="Verdana" w:cs="Arial"/>
              </w:rPr>
              <w:t>. E</w:t>
            </w:r>
            <w:r w:rsidRPr="00B35DC3">
              <w:rPr>
                <w:rFonts w:ascii="Verdana" w:eastAsia="Verdana" w:hAnsi="Verdana" w:cs="Verdana"/>
              </w:rPr>
              <w:t xml:space="preserve">s importante resaltar que </w:t>
            </w:r>
            <w:r w:rsidRPr="00B35DC3">
              <w:rPr>
                <w:rFonts w:ascii="Verdana" w:eastAsia="Century Gothic" w:hAnsi="Verdana" w:cs="Century Gothic"/>
              </w:rPr>
              <w:t>las causales de rechazo son las establecidas en la ley y las fijadas por la Entidad Estatal en los pliegos de condiciones. N</w:t>
            </w:r>
            <w:r w:rsidRPr="00B35DC3">
              <w:rPr>
                <w:rFonts w:ascii="Verdana" w:hAnsi="Verdana" w:cs="Arial"/>
                <w:bCs/>
                <w:color w:val="000000" w:themeColor="text1"/>
              </w:rPr>
              <w:t xml:space="preserve">o existe un impedimento jurídico para que los proponentes puedan presentar ofertas en uno o en varios procesos de contratación. En este sentido, no existe causal en la ley que dé lugar al rechazo en estos supuestos. </w:t>
            </w:r>
          </w:p>
          <w:p w14:paraId="2DD43434" w14:textId="77777777" w:rsidR="009629BF" w:rsidRPr="005D5BAD" w:rsidRDefault="009629BF" w:rsidP="00533115">
            <w:pPr>
              <w:spacing w:after="120" w:line="276" w:lineRule="auto"/>
              <w:ind w:firstLine="739"/>
              <w:jc w:val="both"/>
              <w:rPr>
                <w:rFonts w:ascii="Verdana" w:hAnsi="Verdana" w:cs="Arial"/>
                <w:bCs/>
                <w:color w:val="000000" w:themeColor="text1"/>
              </w:rPr>
            </w:pPr>
            <w:r w:rsidRPr="00B35DC3">
              <w:rPr>
                <w:rFonts w:ascii="Verdana" w:hAnsi="Verdana" w:cs="Arial"/>
                <w:bCs/>
                <w:color w:val="000000" w:themeColor="text1"/>
              </w:rPr>
              <w:t>Sin embargo, será́ la Entidad Estatal quién determinará en los documentos del proceso las circunstancias que no permitan admitir una propuesta en un proceso de contratación. En el ejercicio de esta facultad, las entidades deben respetar el deber de selección objetiva, de manera que las causales de rechazo que dispongan no impongan barreras injustificadas a la participación, y respondan a principios de proporcionalidad y razonabilidad.</w:t>
            </w:r>
          </w:p>
        </w:tc>
      </w:tr>
    </w:tbl>
    <w:p w14:paraId="6F21C61E" w14:textId="77777777" w:rsidR="009629BF" w:rsidRPr="00FF007A" w:rsidRDefault="009629BF" w:rsidP="009629BF">
      <w:pPr>
        <w:tabs>
          <w:tab w:val="left" w:pos="142"/>
          <w:tab w:val="left" w:pos="284"/>
        </w:tabs>
        <w:spacing w:after="0" w:line="276" w:lineRule="auto"/>
        <w:jc w:val="both"/>
        <w:rPr>
          <w:rFonts w:ascii="Verdana" w:eastAsia="Century Gothic" w:hAnsi="Verdana" w:cs="Century Gothic"/>
          <w:b/>
          <w:bCs/>
        </w:rPr>
      </w:pPr>
    </w:p>
    <w:p w14:paraId="7DBA5951" w14:textId="77777777" w:rsidR="009629BF" w:rsidRPr="00FF007A" w:rsidRDefault="009629BF" w:rsidP="009629BF">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3. Razones de la respuesta:</w:t>
      </w:r>
    </w:p>
    <w:p w14:paraId="71017255" w14:textId="77777777" w:rsidR="009629BF" w:rsidRPr="00FF007A" w:rsidRDefault="009629BF" w:rsidP="009629BF">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5F8C1519" w14:textId="77777777" w:rsidR="009629BF" w:rsidRDefault="009629BF" w:rsidP="009629BF">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1C12416B" w14:textId="77777777" w:rsidR="009629BF" w:rsidRPr="00B35DC3" w:rsidRDefault="009629BF" w:rsidP="009629BF">
      <w:pPr>
        <w:spacing w:before="120" w:after="120" w:line="276" w:lineRule="auto"/>
        <w:jc w:val="both"/>
        <w:rPr>
          <w:rFonts w:ascii="Verdana" w:eastAsia="Calibri" w:hAnsi="Verdana" w:cs="Arial"/>
        </w:rPr>
      </w:pPr>
      <w:r w:rsidRPr="00B35DC3">
        <w:rPr>
          <w:rFonts w:ascii="Verdana" w:eastAsia="Calibri" w:hAnsi="Verdana" w:cs="Arial"/>
          <w:shd w:val="clear" w:color="auto" w:fill="FFFFFF"/>
        </w:rPr>
        <w:t xml:space="preserve">i. </w:t>
      </w:r>
      <w:r w:rsidRPr="00B35DC3">
        <w:rPr>
          <w:rFonts w:ascii="Verdana" w:eastAsia="Calibri" w:hAnsi="Verdana" w:cs="Arial"/>
        </w:rPr>
        <w:t xml:space="preserve">El artículo 6 de la Ley 80 de 1993 señala que pueden celebrar contratos con las Entidades Estatales las personas naturales, las personas jurídicas que tengan dentro de su objeto social actividades relacionadas con el objeto a contratar y, por virtud de la ley, los consorcios y uniones temporales. </w:t>
      </w:r>
    </w:p>
    <w:p w14:paraId="0364577A" w14:textId="77777777" w:rsidR="009629BF" w:rsidRPr="00B35DC3" w:rsidRDefault="009629BF" w:rsidP="009629BF">
      <w:pPr>
        <w:spacing w:before="120" w:after="120" w:line="276" w:lineRule="auto"/>
        <w:ind w:firstLine="708"/>
        <w:jc w:val="both"/>
        <w:rPr>
          <w:rFonts w:ascii="Verdana" w:eastAsia="Calibri" w:hAnsi="Verdana" w:cs="Arial"/>
          <w:lang w:val="es-MX"/>
        </w:rPr>
      </w:pPr>
      <w:r w:rsidRPr="00B35DC3">
        <w:rPr>
          <w:rFonts w:ascii="Verdana" w:eastAsia="Calibri" w:hAnsi="Verdana" w:cs="Arial"/>
          <w:lang w:val="es-MX"/>
        </w:rPr>
        <w:lastRenderedPageBreak/>
        <w:t>La capacidad para contratar y de realizar actos jurídicamente vinculantes, como la presentación de una oferta en un procedimiento de selección de contratistas, se consideró por mucho tiempo uno de los atributos de la personalidad reservado a las personas jurídicas y naturales. No obstante, el progreso en las formas negociales y asociativas hizo necesario reconocer nuevas estructuras plurales y otorgarles atributos que tradicionalmente habían estado reservados a las personas jurídicas. En este sentido, la Corte Constitucional ha sostenido sobre la capacidad para contratar otorgada a los consorcios y uniones temporales:</w:t>
      </w:r>
    </w:p>
    <w:p w14:paraId="3B7CA03D" w14:textId="77777777" w:rsidR="009629BF" w:rsidRPr="00B35DC3" w:rsidRDefault="009629BF" w:rsidP="009629BF">
      <w:pPr>
        <w:spacing w:after="0" w:line="240" w:lineRule="auto"/>
        <w:ind w:left="709" w:right="616"/>
        <w:jc w:val="both"/>
        <w:rPr>
          <w:rFonts w:ascii="Verdana" w:eastAsia="Calibri" w:hAnsi="Verdana" w:cs="Arial"/>
          <w:sz w:val="20"/>
          <w:szCs w:val="20"/>
        </w:rPr>
      </w:pPr>
      <w:r w:rsidRPr="00B35DC3">
        <w:rPr>
          <w:rFonts w:ascii="Verdana" w:eastAsia="Calibri" w:hAnsi="Verdana" w:cs="Arial"/>
          <w:sz w:val="20"/>
          <w:szCs w:val="20"/>
        </w:rPr>
        <w:t>“Respecto de la capacidad legal para contratar y la personalidad jurídica señala, que la Ley 80 de 1993 al crear las figuras de los consorcios y uniones temporales, y construirlas como sujetos de la contratación 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Derecho, cumpla los cometidos para los cuales fue instituido- Preámbulo, artículos 1 y 2 de la Carta Política.</w:t>
      </w:r>
    </w:p>
    <w:p w14:paraId="371C117D" w14:textId="77777777" w:rsidR="009629BF" w:rsidRDefault="009629BF" w:rsidP="009629BF">
      <w:pPr>
        <w:spacing w:after="0" w:line="240" w:lineRule="auto"/>
        <w:ind w:left="709" w:right="616"/>
        <w:jc w:val="both"/>
        <w:rPr>
          <w:rFonts w:ascii="Verdana" w:eastAsia="Calibri" w:hAnsi="Verdana" w:cs="Arial"/>
          <w:sz w:val="20"/>
          <w:szCs w:val="20"/>
        </w:rPr>
      </w:pPr>
    </w:p>
    <w:p w14:paraId="4AD7AD45" w14:textId="77777777" w:rsidR="009629BF" w:rsidRPr="00B35DC3" w:rsidRDefault="009629BF" w:rsidP="009629BF">
      <w:pPr>
        <w:spacing w:after="0" w:line="240" w:lineRule="auto"/>
        <w:ind w:left="709" w:right="616"/>
        <w:jc w:val="both"/>
        <w:rPr>
          <w:rFonts w:ascii="Verdana" w:eastAsia="Calibri" w:hAnsi="Verdana" w:cs="Arial"/>
          <w:sz w:val="20"/>
          <w:szCs w:val="20"/>
        </w:rPr>
      </w:pPr>
      <w:r>
        <w:rPr>
          <w:rFonts w:ascii="Verdana" w:eastAsia="Calibri" w:hAnsi="Verdana" w:cs="Arial"/>
          <w:sz w:val="20"/>
          <w:szCs w:val="20"/>
        </w:rPr>
        <w:t>(…)</w:t>
      </w:r>
    </w:p>
    <w:p w14:paraId="4F1F0722" w14:textId="77777777" w:rsidR="009629BF" w:rsidRPr="00B35DC3" w:rsidRDefault="009629BF" w:rsidP="009629BF">
      <w:pPr>
        <w:spacing w:after="0" w:line="240" w:lineRule="auto"/>
        <w:ind w:left="709" w:right="616"/>
        <w:jc w:val="both"/>
        <w:rPr>
          <w:rFonts w:ascii="Verdana" w:eastAsia="Calibri" w:hAnsi="Verdana" w:cs="Arial"/>
          <w:sz w:val="20"/>
          <w:szCs w:val="20"/>
        </w:rPr>
      </w:pPr>
    </w:p>
    <w:p w14:paraId="74617FBC" w14:textId="77777777" w:rsidR="009629BF" w:rsidRPr="00B35DC3" w:rsidRDefault="009629BF" w:rsidP="009629BF">
      <w:pPr>
        <w:spacing w:after="0" w:line="240" w:lineRule="auto"/>
        <w:ind w:left="709" w:right="616"/>
        <w:jc w:val="both"/>
        <w:rPr>
          <w:rFonts w:ascii="Verdana" w:eastAsia="Calibri" w:hAnsi="Verdana" w:cs="Arial"/>
          <w:sz w:val="20"/>
          <w:szCs w:val="20"/>
        </w:rPr>
      </w:pPr>
      <w:r w:rsidRPr="00B35DC3">
        <w:rPr>
          <w:rFonts w:ascii="Verdana" w:eastAsia="Calibri" w:hAnsi="Verdana" w:cs="Arial"/>
          <w:sz w:val="20"/>
          <w:szCs w:val="20"/>
        </w:rPr>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 contractuales”</w:t>
      </w:r>
      <w:r w:rsidRPr="00B35DC3">
        <w:rPr>
          <w:rFonts w:ascii="Verdana" w:eastAsia="Calibri" w:hAnsi="Verdana" w:cs="Arial"/>
          <w:sz w:val="20"/>
          <w:szCs w:val="20"/>
          <w:vertAlign w:val="superscript"/>
        </w:rPr>
        <w:footnoteReference w:id="1"/>
      </w:r>
      <w:r w:rsidRPr="00B35DC3">
        <w:rPr>
          <w:rFonts w:ascii="Verdana" w:eastAsia="Calibri" w:hAnsi="Verdana" w:cs="Arial"/>
          <w:sz w:val="20"/>
          <w:szCs w:val="20"/>
        </w:rPr>
        <w:t>.</w:t>
      </w:r>
    </w:p>
    <w:p w14:paraId="5B6E4E13" w14:textId="77777777" w:rsidR="009629BF" w:rsidRPr="00B35DC3" w:rsidRDefault="009629BF" w:rsidP="009629BF">
      <w:pPr>
        <w:spacing w:after="0" w:line="240" w:lineRule="auto"/>
        <w:ind w:left="709" w:right="709"/>
        <w:jc w:val="both"/>
        <w:rPr>
          <w:rFonts w:ascii="Verdana" w:eastAsia="Calibri" w:hAnsi="Verdana" w:cs="Arial"/>
          <w:sz w:val="20"/>
          <w:szCs w:val="20"/>
        </w:rPr>
      </w:pPr>
    </w:p>
    <w:p w14:paraId="31B615A1" w14:textId="77777777" w:rsidR="009629BF" w:rsidRPr="00B35DC3" w:rsidRDefault="009629BF" w:rsidP="009629BF">
      <w:pPr>
        <w:spacing w:before="120" w:after="120" w:line="276" w:lineRule="auto"/>
        <w:ind w:firstLine="708"/>
        <w:jc w:val="both"/>
        <w:rPr>
          <w:rFonts w:ascii="Verdana" w:eastAsia="Calibri" w:hAnsi="Verdana"/>
        </w:rPr>
      </w:pPr>
      <w:r w:rsidRPr="00B35DC3">
        <w:rPr>
          <w:rFonts w:ascii="Verdana" w:eastAsia="Calibri" w:hAnsi="Verdana"/>
        </w:rPr>
        <w:t>De un lado, la Corte Constitucional destaca que las estructuras plurales son el reconocimiento de una realidad negocial en materia de contratación estatal, de otro, resalta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w:t>
      </w:r>
    </w:p>
    <w:p w14:paraId="31689C74" w14:textId="77777777" w:rsidR="009629BF" w:rsidRPr="00B35DC3" w:rsidRDefault="009629BF" w:rsidP="009629BF">
      <w:pPr>
        <w:spacing w:before="120" w:after="120" w:line="276" w:lineRule="auto"/>
        <w:ind w:firstLine="708"/>
        <w:jc w:val="both"/>
        <w:rPr>
          <w:rFonts w:ascii="Verdana" w:eastAsia="Calibri" w:hAnsi="Verdana" w:cs="Arial"/>
        </w:rPr>
      </w:pPr>
      <w:r w:rsidRPr="00B35DC3">
        <w:rPr>
          <w:rFonts w:ascii="Verdana" w:eastAsia="Calibri" w:hAnsi="Verdana" w:cs="Arial"/>
        </w:rPr>
        <w:lastRenderedPageBreak/>
        <w:t>En línea con lo anterior, los consorcios y las uniones temporales no son personas jurídicas, pero su creación depende de un acuerdo en el que concurre la voluntad de sus integrantes para determinar su objeto, la participación de los miembros, las obligaciones frente al proyecto, su responsabilidad, la forma en que regirán sus relaciones internas y el relacionamiento con la entidad contratante, mediante la designación de un representante. Al respecto, el parágrafo 1 del artículo 7 de la Ley 80 de 1993 dispone que:</w:t>
      </w:r>
    </w:p>
    <w:p w14:paraId="1546D540" w14:textId="77777777" w:rsidR="009629BF" w:rsidRPr="00B35DC3" w:rsidRDefault="009629BF" w:rsidP="009629BF">
      <w:pPr>
        <w:spacing w:after="0" w:line="240" w:lineRule="auto"/>
        <w:ind w:left="709" w:right="616"/>
        <w:contextualSpacing/>
        <w:jc w:val="both"/>
        <w:rPr>
          <w:rFonts w:ascii="Verdana" w:eastAsia="Calibri" w:hAnsi="Verdana" w:cs="Arial"/>
          <w:sz w:val="20"/>
          <w:szCs w:val="20"/>
          <w:lang w:val="es-MX"/>
        </w:rPr>
      </w:pPr>
      <w:r w:rsidRPr="00B35DC3">
        <w:rPr>
          <w:rFonts w:ascii="Verdana" w:eastAsia="Calibri" w:hAnsi="Verdana" w:cs="Arial"/>
          <w:bCs/>
          <w:color w:val="000000" w:themeColor="text1"/>
          <w:sz w:val="20"/>
          <w:szCs w:val="20"/>
          <w:lang w:val="es-MX"/>
        </w:rPr>
        <w:t>“</w:t>
      </w:r>
      <w:r w:rsidRPr="00B35DC3">
        <w:rPr>
          <w:rFonts w:ascii="Verdana" w:eastAsia="Calibri" w:hAnsi="Verdana" w:cs="Arial"/>
          <w:sz w:val="20"/>
          <w:szCs w:val="20"/>
          <w:lang w:val="es-MX"/>
        </w:rPr>
        <w:t>Para los efectos de esta Ley se entiende por</w:t>
      </w:r>
      <w:r>
        <w:rPr>
          <w:rFonts w:ascii="Verdana" w:eastAsia="Calibri" w:hAnsi="Verdana" w:cs="Arial"/>
          <w:sz w:val="20"/>
          <w:szCs w:val="20"/>
          <w:lang w:val="es-MX"/>
        </w:rPr>
        <w:t>: (...)</w:t>
      </w:r>
    </w:p>
    <w:p w14:paraId="596FBA30" w14:textId="77777777" w:rsidR="009629BF" w:rsidRPr="00B35DC3" w:rsidRDefault="009629BF" w:rsidP="009629BF">
      <w:pPr>
        <w:spacing w:after="0" w:line="240" w:lineRule="auto"/>
        <w:ind w:left="709" w:right="616"/>
        <w:contextualSpacing/>
        <w:jc w:val="both"/>
        <w:rPr>
          <w:rFonts w:ascii="Verdana" w:eastAsia="Calibri" w:hAnsi="Verdana" w:cs="Arial"/>
          <w:sz w:val="20"/>
          <w:szCs w:val="20"/>
          <w:lang w:val="es-MX"/>
        </w:rPr>
      </w:pPr>
    </w:p>
    <w:p w14:paraId="2E469749" w14:textId="77777777" w:rsidR="009629BF" w:rsidRPr="00B35DC3" w:rsidRDefault="009629BF" w:rsidP="009629BF">
      <w:pPr>
        <w:spacing w:after="120" w:line="240" w:lineRule="auto"/>
        <w:ind w:left="709" w:right="616"/>
        <w:contextualSpacing/>
        <w:jc w:val="both"/>
        <w:rPr>
          <w:rFonts w:ascii="Verdana" w:eastAsia="Calibri" w:hAnsi="Verdana" w:cs="Arial"/>
          <w:sz w:val="20"/>
          <w:szCs w:val="20"/>
          <w:lang w:val="es-MX"/>
        </w:rPr>
      </w:pPr>
      <w:r w:rsidRPr="00B35DC3">
        <w:rPr>
          <w:rFonts w:ascii="Verdana" w:eastAsia="Calibri" w:hAnsi="Verdana" w:cs="Arial"/>
          <w:sz w:val="20"/>
          <w:szCs w:val="20"/>
          <w:lang w:val="es-MX"/>
        </w:rPr>
        <w:t>6.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652688CF" w14:textId="77777777" w:rsidR="009629BF" w:rsidRPr="00B35DC3" w:rsidRDefault="009629BF" w:rsidP="009629BF">
      <w:pPr>
        <w:spacing w:after="120" w:line="240" w:lineRule="auto"/>
        <w:ind w:left="709" w:right="616"/>
        <w:contextualSpacing/>
        <w:jc w:val="both"/>
        <w:rPr>
          <w:rFonts w:ascii="Verdana" w:eastAsia="Calibri" w:hAnsi="Verdana" w:cs="Arial"/>
          <w:sz w:val="20"/>
          <w:szCs w:val="20"/>
          <w:lang w:val="es-MX"/>
        </w:rPr>
      </w:pPr>
    </w:p>
    <w:p w14:paraId="125B5D5F" w14:textId="77777777" w:rsidR="009629BF" w:rsidRPr="00B35DC3" w:rsidRDefault="009629BF" w:rsidP="009629BF">
      <w:pPr>
        <w:spacing w:after="0" w:line="240" w:lineRule="auto"/>
        <w:ind w:left="709" w:right="616"/>
        <w:contextualSpacing/>
        <w:jc w:val="both"/>
        <w:rPr>
          <w:rFonts w:ascii="Verdana" w:eastAsia="Calibri" w:hAnsi="Verdana" w:cs="Arial"/>
          <w:sz w:val="20"/>
          <w:szCs w:val="20"/>
          <w:lang w:val="es-MX"/>
        </w:rPr>
      </w:pPr>
      <w:r w:rsidRPr="00B35DC3">
        <w:rPr>
          <w:rFonts w:ascii="Verdana" w:eastAsia="Calibri" w:hAnsi="Verdana" w:cs="Arial"/>
          <w:sz w:val="20"/>
          <w:szCs w:val="20"/>
          <w:lang w:val="es-MX"/>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 </w:t>
      </w:r>
    </w:p>
    <w:p w14:paraId="5619B5C4" w14:textId="77777777" w:rsidR="009629BF" w:rsidRPr="00B35DC3" w:rsidRDefault="009629BF" w:rsidP="009629BF">
      <w:pPr>
        <w:spacing w:after="0" w:line="240" w:lineRule="auto"/>
        <w:ind w:left="709" w:right="616"/>
        <w:contextualSpacing/>
        <w:jc w:val="both"/>
        <w:rPr>
          <w:rFonts w:ascii="Verdana" w:eastAsia="Calibri" w:hAnsi="Verdana" w:cs="Arial"/>
          <w:bCs/>
          <w:color w:val="000000" w:themeColor="text1"/>
          <w:sz w:val="20"/>
          <w:szCs w:val="20"/>
          <w:lang w:val="es-MX"/>
        </w:rPr>
      </w:pPr>
      <w:r w:rsidRPr="00B35DC3">
        <w:rPr>
          <w:rFonts w:ascii="Verdana" w:eastAsia="Calibri" w:hAnsi="Verdana" w:cs="Arial"/>
          <w:bCs/>
          <w:color w:val="000000" w:themeColor="text1"/>
          <w:sz w:val="20"/>
          <w:szCs w:val="20"/>
          <w:lang w:val="es-MX"/>
        </w:rPr>
        <w:t>[…]</w:t>
      </w:r>
    </w:p>
    <w:p w14:paraId="335EF925" w14:textId="77777777" w:rsidR="009629BF" w:rsidRPr="00B35DC3" w:rsidRDefault="009629BF" w:rsidP="009629BF">
      <w:pPr>
        <w:spacing w:after="0" w:line="240" w:lineRule="auto"/>
        <w:ind w:left="709" w:right="616"/>
        <w:contextualSpacing/>
        <w:jc w:val="both"/>
        <w:rPr>
          <w:rFonts w:ascii="Verdana" w:eastAsia="Calibri" w:hAnsi="Verdana" w:cs="Arial"/>
          <w:bCs/>
          <w:color w:val="000000" w:themeColor="text1"/>
          <w:sz w:val="20"/>
          <w:szCs w:val="20"/>
          <w:lang w:val="es-MX"/>
        </w:rPr>
      </w:pPr>
    </w:p>
    <w:p w14:paraId="5D88CB38" w14:textId="77777777" w:rsidR="009629BF" w:rsidRPr="00B35DC3" w:rsidRDefault="009629BF" w:rsidP="009629BF">
      <w:pPr>
        <w:spacing w:after="0" w:line="240" w:lineRule="auto"/>
        <w:ind w:left="709" w:right="616"/>
        <w:contextualSpacing/>
        <w:jc w:val="both"/>
        <w:rPr>
          <w:rFonts w:ascii="Verdana" w:eastAsia="Calibri" w:hAnsi="Verdana" w:cs="Arial"/>
          <w:bCs/>
          <w:color w:val="000000" w:themeColor="text1"/>
          <w:sz w:val="20"/>
          <w:szCs w:val="20"/>
          <w:lang w:val="es-MX"/>
        </w:rPr>
      </w:pPr>
      <w:r w:rsidRPr="00B35DC3">
        <w:rPr>
          <w:rFonts w:ascii="Verdana" w:eastAsia="Calibri" w:hAnsi="Verdana" w:cs="Arial"/>
          <w:bCs/>
          <w:color w:val="000000" w:themeColor="text1"/>
          <w:sz w:val="20"/>
          <w:szCs w:val="20"/>
          <w:lang w:val="es-MX"/>
        </w:rPr>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63E907D2" w14:textId="77777777" w:rsidR="009629BF" w:rsidRPr="00B35DC3" w:rsidRDefault="009629BF" w:rsidP="009629BF">
      <w:pPr>
        <w:spacing w:after="0" w:line="240" w:lineRule="auto"/>
        <w:ind w:left="709" w:right="616"/>
        <w:contextualSpacing/>
        <w:jc w:val="both"/>
        <w:rPr>
          <w:rFonts w:ascii="Verdana" w:eastAsia="Calibri" w:hAnsi="Verdana" w:cs="Arial"/>
          <w:bCs/>
          <w:color w:val="000000" w:themeColor="text1"/>
          <w:sz w:val="20"/>
          <w:szCs w:val="20"/>
          <w:lang w:val="es-MX"/>
        </w:rPr>
      </w:pPr>
    </w:p>
    <w:p w14:paraId="7DDDF361" w14:textId="77777777" w:rsidR="009629BF" w:rsidRPr="00C6555F" w:rsidRDefault="009629BF" w:rsidP="009629BF">
      <w:pPr>
        <w:spacing w:after="0" w:line="240" w:lineRule="auto"/>
        <w:ind w:left="709" w:right="616"/>
        <w:contextualSpacing/>
        <w:jc w:val="both"/>
        <w:rPr>
          <w:rFonts w:ascii="Verdana" w:eastAsia="Calibri" w:hAnsi="Verdana" w:cs="Arial"/>
          <w:bCs/>
          <w:color w:val="000000" w:themeColor="text1"/>
          <w:sz w:val="20"/>
          <w:szCs w:val="20"/>
          <w:lang w:val="es-MX"/>
        </w:rPr>
      </w:pPr>
      <w:r w:rsidRPr="00B35DC3">
        <w:rPr>
          <w:rFonts w:ascii="Verdana" w:eastAsia="Calibri" w:hAnsi="Verdana" w:cs="Arial"/>
          <w:bCs/>
          <w:color w:val="000000" w:themeColor="text1"/>
          <w:sz w:val="20"/>
          <w:szCs w:val="20"/>
          <w:lang w:val="es-MX"/>
        </w:rPr>
        <w:t>Los miembros del consorcio y de la unión temporal deberán designar la persona que, para todos los efectos, representará al consorcio o unión temporal y señalarán las reglas básicas que regulen las relaciones entre ellos y su responsabilidad</w:t>
      </w:r>
      <w:r>
        <w:rPr>
          <w:rFonts w:ascii="Verdana" w:eastAsia="Calibri" w:hAnsi="Verdana" w:cs="Arial"/>
          <w:bCs/>
          <w:color w:val="000000" w:themeColor="text1"/>
          <w:sz w:val="20"/>
          <w:szCs w:val="20"/>
          <w:lang w:val="es-MX"/>
        </w:rPr>
        <w:t xml:space="preserve"> (…)</w:t>
      </w:r>
      <w:r w:rsidRPr="00B35DC3">
        <w:rPr>
          <w:rFonts w:ascii="Verdana" w:eastAsia="Calibri" w:hAnsi="Verdana" w:cs="Arial"/>
          <w:bCs/>
          <w:color w:val="000000" w:themeColor="text1"/>
          <w:sz w:val="20"/>
          <w:szCs w:val="20"/>
          <w:lang w:val="es-MX"/>
        </w:rPr>
        <w:t>”.</w:t>
      </w:r>
    </w:p>
    <w:p w14:paraId="46CEC640" w14:textId="77777777" w:rsidR="009629BF" w:rsidRPr="00B35DC3" w:rsidRDefault="009629BF" w:rsidP="009629BF">
      <w:pPr>
        <w:spacing w:after="0" w:line="276" w:lineRule="auto"/>
        <w:ind w:firstLine="709"/>
        <w:jc w:val="both"/>
        <w:rPr>
          <w:rFonts w:ascii="Verdana" w:eastAsia="Calibri" w:hAnsi="Verdana" w:cs="Arial"/>
          <w:sz w:val="20"/>
          <w:szCs w:val="20"/>
        </w:rPr>
      </w:pPr>
    </w:p>
    <w:p w14:paraId="05986264" w14:textId="77777777" w:rsidR="009629BF" w:rsidRPr="00B35DC3" w:rsidRDefault="009629BF" w:rsidP="009629BF">
      <w:pPr>
        <w:spacing w:after="120" w:line="276" w:lineRule="auto"/>
        <w:ind w:firstLine="708"/>
        <w:jc w:val="both"/>
        <w:rPr>
          <w:rFonts w:ascii="Verdana" w:hAnsi="Verdana" w:cs="Arial"/>
          <w:color w:val="000000" w:themeColor="text1"/>
        </w:rPr>
      </w:pPr>
      <w:r w:rsidRPr="00B35DC3">
        <w:rPr>
          <w:rFonts w:ascii="Verdana" w:hAnsi="Verdana" w:cs="Arial"/>
          <w:color w:val="000000" w:themeColor="text1"/>
        </w:rPr>
        <w:t xml:space="preserve">Como se observa, el artículo citado señala que el consorcio o la unión temporal se da “Cuando dos o más personas en forma conjunta presentan una misma propuesta para la adjudicación, celebración y ejecución de un contrato […]”. Desde esta perspectiva, su capacidad para participar en la adjudicación, celebración y ejecución de los contratos estatales depende de que los integrantes de la estructura plural adopten la decisión conjunta de presentar una misma </w:t>
      </w:r>
      <w:r w:rsidRPr="00B35DC3">
        <w:rPr>
          <w:rFonts w:ascii="Verdana" w:hAnsi="Verdana" w:cs="Arial"/>
          <w:color w:val="000000" w:themeColor="text1"/>
        </w:rPr>
        <w:lastRenderedPageBreak/>
        <w:t xml:space="preserve">propuesta al proceso de selección. Como existe una relación de medio – fin, sin la entrega de la oferta no surge la habilitación legal para todo lo demás. </w:t>
      </w:r>
    </w:p>
    <w:p w14:paraId="42034156" w14:textId="77777777" w:rsidR="009629BF" w:rsidRPr="00B35DC3" w:rsidRDefault="009629BF" w:rsidP="009629BF">
      <w:pPr>
        <w:spacing w:after="120" w:line="276" w:lineRule="auto"/>
        <w:ind w:firstLine="708"/>
        <w:jc w:val="both"/>
        <w:rPr>
          <w:rFonts w:ascii="Verdana" w:hAnsi="Verdana" w:cs="Arial"/>
          <w:color w:val="000000" w:themeColor="text1"/>
        </w:rPr>
      </w:pPr>
      <w:r w:rsidRPr="00B35DC3">
        <w:rPr>
          <w:rFonts w:ascii="Verdana" w:hAnsi="Verdana" w:cs="Arial"/>
          <w:color w:val="000000" w:themeColor="text1"/>
        </w:rPr>
        <w:t xml:space="preserve">De esta manera, 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11EE6420" w14:textId="77777777" w:rsidR="009629BF" w:rsidRPr="00B35DC3" w:rsidRDefault="009629BF" w:rsidP="009629BF">
      <w:pPr>
        <w:spacing w:after="120" w:line="276" w:lineRule="auto"/>
        <w:ind w:firstLine="708"/>
        <w:jc w:val="both"/>
        <w:rPr>
          <w:rFonts w:ascii="Verdana" w:hAnsi="Verdana" w:cs="Arial"/>
          <w:color w:val="000000" w:themeColor="text1"/>
        </w:rPr>
      </w:pPr>
      <w:r w:rsidRPr="00B35DC3">
        <w:rPr>
          <w:rFonts w:ascii="Verdana" w:hAnsi="Verdana" w:cs="Arial"/>
          <w:color w:val="000000" w:themeColor="text1"/>
        </w:rPr>
        <w:t xml:space="preserve">Ahora bien, para efectos de dar respuesta concreta a los problemas jurídicos planteados, es importante tener en cuenta las posturas que se han sustentado en torno a la posibilidad de que los proponentes plurales puedan </w:t>
      </w:r>
      <w:r w:rsidRPr="00B35DC3">
        <w:rPr>
          <w:rFonts w:ascii="Verdana" w:eastAsia="Century Gothic" w:hAnsi="Verdana" w:cs="Century Gothic"/>
        </w:rPr>
        <w:t>participar en varios procesos de contratación pública</w:t>
      </w:r>
      <w:r w:rsidRPr="00B35DC3">
        <w:rPr>
          <w:rFonts w:ascii="Verdana" w:hAnsi="Verdana" w:cs="Arial"/>
          <w:color w:val="000000" w:themeColor="text1"/>
        </w:rPr>
        <w:t>. Así, en concepto C-627 del 7 de octubre de 2024, se sostuvo que no era posible que estos proponentes participaran en varios procesos debido a que “</w:t>
      </w:r>
      <w:r w:rsidRPr="00B35DC3">
        <w:rPr>
          <w:rFonts w:ascii="Verdana" w:eastAsia="Calibri" w:hAnsi="Verdana" w:cs="Arial"/>
        </w:rPr>
        <w:t xml:space="preserve">la definición de estos convenios hace especial precisión en que la creación de estos tiene un fin claro y es la facultad de ser adjudicatarios de </w:t>
      </w:r>
      <w:r w:rsidRPr="008A3A29">
        <w:rPr>
          <w:rFonts w:ascii="Verdana" w:eastAsia="Calibri" w:hAnsi="Verdana" w:cs="Arial"/>
        </w:rPr>
        <w:t>un contrato estatal”</w:t>
      </w:r>
      <w:r w:rsidRPr="00B35DC3">
        <w:rPr>
          <w:rFonts w:ascii="Verdana" w:eastAsia="Calibri" w:hAnsi="Verdana" w:cs="Arial"/>
        </w:rPr>
        <w:t xml:space="preserve">. De esta manera, se argumentó que “la Ley 80 de 1993 se refiere al contrato en singular no por casualidad, sino en virtud del objeto de estos convenios que se realizan de manera temporal para un proceso de selección en el que requieran aunar fuerzas para poder ser adjudicatarios de un contrato estatal”. En tal sentido, debido a que la creación de los proponentes plurales tiene un fin de ser adjudicatarios de </w:t>
      </w:r>
      <w:r w:rsidRPr="00B35DC3">
        <w:rPr>
          <w:rFonts w:ascii="Verdana" w:eastAsia="Calibri" w:hAnsi="Verdana" w:cs="Arial"/>
          <w:i/>
          <w:iCs/>
        </w:rPr>
        <w:t>un contrato estatal</w:t>
      </w:r>
      <w:r w:rsidRPr="00B35DC3">
        <w:rPr>
          <w:rFonts w:ascii="Verdana" w:eastAsia="Calibri" w:hAnsi="Verdana" w:cs="Arial"/>
        </w:rPr>
        <w:t xml:space="preserve">, se concluía que no podían participar en varios procesos de contratación. </w:t>
      </w:r>
    </w:p>
    <w:p w14:paraId="0183D7FA" w14:textId="77777777" w:rsidR="009629BF" w:rsidRPr="00B35DC3" w:rsidRDefault="009629BF" w:rsidP="009629BF">
      <w:pPr>
        <w:spacing w:after="120" w:line="276" w:lineRule="auto"/>
        <w:ind w:firstLine="708"/>
        <w:jc w:val="both"/>
        <w:rPr>
          <w:rFonts w:ascii="Verdana" w:eastAsia="Calibri" w:hAnsi="Verdana" w:cs="Arial"/>
        </w:rPr>
      </w:pPr>
      <w:r w:rsidRPr="00B35DC3">
        <w:rPr>
          <w:rFonts w:ascii="Verdana" w:hAnsi="Verdana" w:cs="Arial"/>
          <w:color w:val="000000" w:themeColor="text1"/>
        </w:rPr>
        <w:t>No obstante, posteriormente, en el concepto C-727 del 28 de octubre de 2024, reiterado en los conceptos C-805 del 25 de noviembre de 2024, C-016 del 11 de febrero de 2025, C-046 del 30 de enero de 2025, C-226 del 26 de marzo de 2025</w:t>
      </w:r>
      <w:r>
        <w:rPr>
          <w:rFonts w:ascii="Verdana" w:hAnsi="Verdana" w:cs="Arial"/>
          <w:color w:val="000000" w:themeColor="text1"/>
        </w:rPr>
        <w:t>, C</w:t>
      </w:r>
      <w:r w:rsidRPr="00B35DC3">
        <w:rPr>
          <w:rFonts w:ascii="Verdana" w:hAnsi="Verdana" w:cs="Arial"/>
          <w:color w:val="000000" w:themeColor="text1"/>
        </w:rPr>
        <w:t>-295 del 15 de abril de 2025</w:t>
      </w:r>
      <w:r>
        <w:rPr>
          <w:rFonts w:ascii="Verdana" w:hAnsi="Verdana" w:cs="Arial"/>
          <w:color w:val="000000" w:themeColor="text1"/>
        </w:rPr>
        <w:t xml:space="preserve"> y CU-636 del 2 de julio de 2025, este último unificó </w:t>
      </w:r>
      <w:r w:rsidRPr="00B35DC3">
        <w:rPr>
          <w:rFonts w:ascii="Verdana" w:hAnsi="Verdana" w:cs="Arial"/>
          <w:color w:val="000000" w:themeColor="text1"/>
        </w:rPr>
        <w:t>la postura de esta Subdirección al determinar la viabilidad jurídica para que</w:t>
      </w:r>
      <w:r w:rsidRPr="00B35DC3">
        <w:rPr>
          <w:rFonts w:ascii="Verdana" w:eastAsia="Calibri" w:hAnsi="Verdana" w:cs="Arial"/>
          <w:lang w:val="es-ES" w:eastAsia="es-ES"/>
        </w:rPr>
        <w:t xml:space="preserve"> los</w:t>
      </w:r>
      <w:r w:rsidRPr="00B35DC3">
        <w:rPr>
          <w:rFonts w:ascii="Verdana" w:hAnsi="Verdana" w:cs="Arial"/>
          <w:color w:val="000000" w:themeColor="text1"/>
        </w:rPr>
        <w:t xml:space="preserve"> proponentes plurales presenten propuestas para la adjudicación, celebración y ejecución de contratos estatales con una o varias entidades. El argumento que apoya esta tesis se sustenta en que, de acuerdo con lo señalado </w:t>
      </w:r>
      <w:r w:rsidRPr="00B35DC3">
        <w:rPr>
          <w:rFonts w:ascii="Verdana" w:hAnsi="Verdana" w:cs="Arial"/>
          <w:color w:val="000000" w:themeColor="text1"/>
        </w:rPr>
        <w:lastRenderedPageBreak/>
        <w:t xml:space="preserve">en </w:t>
      </w:r>
      <w:bookmarkStart w:id="11" w:name="_Hlk202125829"/>
      <w:r w:rsidRPr="00B35DC3">
        <w:rPr>
          <w:rFonts w:ascii="Verdana" w:hAnsi="Verdana" w:cs="Arial"/>
          <w:color w:val="000000" w:themeColor="text1"/>
        </w:rPr>
        <w:t>los numerales 6 y 7 del artículo 7 de la Ley 80 de 1993</w:t>
      </w:r>
      <w:bookmarkEnd w:id="11"/>
      <w:r w:rsidRPr="00B35DC3">
        <w:rPr>
          <w:rFonts w:ascii="Verdana" w:hAnsi="Verdana" w:cs="Arial"/>
          <w:color w:val="000000" w:themeColor="text1"/>
        </w:rPr>
        <w:t xml:space="preserve">, la capacidad de los consorcios y uniones temporales para participar en la adjudicación, celebración y ejecución de </w:t>
      </w:r>
      <w:r w:rsidRPr="00B35DC3">
        <w:rPr>
          <w:rFonts w:ascii="Verdana" w:hAnsi="Verdana" w:cs="Arial"/>
          <w:i/>
          <w:iCs/>
          <w:color w:val="000000" w:themeColor="text1"/>
        </w:rPr>
        <w:t xml:space="preserve">uno o varios </w:t>
      </w:r>
      <w:r w:rsidRPr="00B35DC3">
        <w:rPr>
          <w:rFonts w:ascii="Verdana" w:hAnsi="Verdana" w:cs="Arial"/>
          <w:color w:val="000000" w:themeColor="text1"/>
        </w:rPr>
        <w:t xml:space="preserve">contratos estatales dependerá de dos aspectos: i) que los integrantes de la estructural plural adopten la decisión conjunta de presentar una misma propuesta al proceso de selección; y </w:t>
      </w:r>
      <w:proofErr w:type="spellStart"/>
      <w:r w:rsidRPr="00B35DC3">
        <w:rPr>
          <w:rFonts w:ascii="Verdana" w:hAnsi="Verdana" w:cs="Arial"/>
          <w:color w:val="000000" w:themeColor="text1"/>
        </w:rPr>
        <w:t>ii</w:t>
      </w:r>
      <w:proofErr w:type="spellEnd"/>
      <w:r w:rsidRPr="00B35DC3">
        <w:rPr>
          <w:rFonts w:ascii="Verdana" w:hAnsi="Verdana" w:cs="Arial"/>
          <w:color w:val="000000" w:themeColor="text1"/>
        </w:rPr>
        <w:t xml:space="preserve">) que el objeto del consorcio o unión temporal se encuentre alineado con las actividades a desarrollar en un determinado proceso. Así, </w:t>
      </w:r>
      <w:r w:rsidRPr="00B35DC3">
        <w:rPr>
          <w:rFonts w:ascii="Verdana" w:eastAsia="Calibri" w:hAnsi="Verdana" w:cs="Arial"/>
        </w:rPr>
        <w:t>no existe impedimento o prohibición alguna que limite la actividad de los consorcios o uniones temporales a un solo contrato.</w:t>
      </w:r>
    </w:p>
    <w:p w14:paraId="3A0135B6" w14:textId="77777777" w:rsidR="009629BF" w:rsidRPr="00B35DC3" w:rsidRDefault="009629BF" w:rsidP="009629BF">
      <w:pPr>
        <w:spacing w:after="120" w:line="276" w:lineRule="auto"/>
        <w:ind w:firstLine="709"/>
        <w:jc w:val="both"/>
        <w:rPr>
          <w:rFonts w:ascii="Verdana" w:hAnsi="Verdana" w:cs="Arial"/>
          <w:color w:val="000000" w:themeColor="text1"/>
        </w:rPr>
      </w:pPr>
      <w:r w:rsidRPr="00B35DC3">
        <w:rPr>
          <w:rFonts w:ascii="Verdana" w:hAnsi="Verdana" w:cs="Arial"/>
          <w:color w:val="000000" w:themeColor="text1"/>
        </w:rPr>
        <w:t xml:space="preserve">En este contexto, </w:t>
      </w:r>
      <w:r>
        <w:rPr>
          <w:rFonts w:ascii="Verdana" w:hAnsi="Verdana" w:cs="Arial"/>
          <w:color w:val="000000" w:themeColor="text1"/>
        </w:rPr>
        <w:t>esta</w:t>
      </w:r>
      <w:r w:rsidRPr="00B35DC3">
        <w:rPr>
          <w:rFonts w:ascii="Verdana" w:hAnsi="Verdana" w:cs="Arial"/>
          <w:szCs w:val="24"/>
          <w:lang w:eastAsia="es-ES_tradnl"/>
        </w:rPr>
        <w:t xml:space="preserve"> Subdirección unific</w:t>
      </w:r>
      <w:r>
        <w:rPr>
          <w:rFonts w:ascii="Verdana" w:hAnsi="Verdana" w:cs="Arial"/>
          <w:szCs w:val="24"/>
          <w:lang w:eastAsia="es-ES_tradnl"/>
        </w:rPr>
        <w:t xml:space="preserve">o a través del concepto CU-636 del </w:t>
      </w:r>
      <w:r>
        <w:rPr>
          <w:rFonts w:ascii="Verdana" w:hAnsi="Verdana" w:cs="Arial"/>
          <w:color w:val="000000" w:themeColor="text1"/>
        </w:rPr>
        <w:t>2 de julio de 2025</w:t>
      </w:r>
      <w:r>
        <w:rPr>
          <w:rFonts w:ascii="Verdana" w:hAnsi="Verdana" w:cs="Arial"/>
          <w:szCs w:val="24"/>
          <w:lang w:eastAsia="es-ES_tradnl"/>
        </w:rPr>
        <w:t xml:space="preserve"> </w:t>
      </w:r>
      <w:r w:rsidRPr="00B35DC3">
        <w:rPr>
          <w:rFonts w:ascii="Verdana" w:hAnsi="Verdana" w:cs="Arial"/>
          <w:szCs w:val="24"/>
          <w:lang w:eastAsia="es-ES_tradnl"/>
        </w:rPr>
        <w:t xml:space="preserve">la línea doctrinal en este tema, reiterando la posición expuesta en los conceptos </w:t>
      </w:r>
      <w:r w:rsidRPr="00B35DC3">
        <w:rPr>
          <w:rFonts w:ascii="Verdana" w:hAnsi="Verdana" w:cs="Arial"/>
          <w:color w:val="000000" w:themeColor="text1"/>
        </w:rPr>
        <w:t xml:space="preserve">C-727 del 28 de octubre de 2024, C-016 del 11 de febrero de 2025, C-046 del 30 de enero de 2025, C-226 del 26 de marzo de 2025 y C-295 del 15 de abril de 2025, en el sentido de indicar que </w:t>
      </w:r>
      <w:r w:rsidRPr="00B35DC3">
        <w:rPr>
          <w:rFonts w:ascii="Verdana" w:hAnsi="Verdana" w:cs="Arial"/>
          <w:szCs w:val="24"/>
          <w:lang w:eastAsia="es-ES_tradnl"/>
        </w:rPr>
        <w:t xml:space="preserve">es </w:t>
      </w:r>
      <w:r w:rsidRPr="00B35DC3">
        <w:rPr>
          <w:rFonts w:ascii="Verdana" w:hAnsi="Verdana" w:cs="Arial"/>
          <w:color w:val="000000" w:themeColor="text1"/>
        </w:rPr>
        <w:t xml:space="preserve">jurídicamente viable que los proponentes plurales presenten propuestas para la adjudicación, celebración y ejecución de contratos estatales con </w:t>
      </w:r>
      <w:r w:rsidRPr="00B35DC3">
        <w:rPr>
          <w:rFonts w:ascii="Verdana" w:hAnsi="Verdana" w:cs="Arial"/>
          <w:i/>
          <w:iCs/>
          <w:color w:val="000000" w:themeColor="text1"/>
        </w:rPr>
        <w:t>una o varias</w:t>
      </w:r>
      <w:r w:rsidRPr="00B35DC3">
        <w:rPr>
          <w:rFonts w:ascii="Verdana" w:hAnsi="Verdana" w:cs="Arial"/>
          <w:color w:val="000000" w:themeColor="text1"/>
        </w:rPr>
        <w:t xml:space="preserve"> entidades, lo anterior, en concordancia con el cumplimiento de los supuestos previamente descritos. En ese orden, las ofertas serán analizadas de acuerdo con los criterios habilitantes y factores de evaluación del pliego de condiciones o documento equivalente, en el marco de las reglas previstas en el Estatuto General de Contratación, sus normas complementarias y los reglamentos respectivos. </w:t>
      </w:r>
    </w:p>
    <w:p w14:paraId="5B76612E" w14:textId="77777777" w:rsidR="009629BF" w:rsidRPr="00B35DC3" w:rsidRDefault="009629BF" w:rsidP="009629BF">
      <w:pPr>
        <w:spacing w:after="120" w:line="276" w:lineRule="auto"/>
        <w:ind w:firstLine="708"/>
        <w:jc w:val="both"/>
        <w:rPr>
          <w:rFonts w:ascii="Verdana" w:eastAsia="Calibri" w:hAnsi="Verdana" w:cs="Arial"/>
        </w:rPr>
      </w:pPr>
      <w:r w:rsidRPr="00B35DC3">
        <w:rPr>
          <w:rFonts w:ascii="Verdana" w:eastAsia="Calibri" w:hAnsi="Verdana" w:cs="Arial"/>
        </w:rPr>
        <w:t xml:space="preserve">Esta interpretación es la que más se ajusta al contenido de </w:t>
      </w:r>
      <w:r w:rsidRPr="00B35DC3">
        <w:rPr>
          <w:rFonts w:ascii="Verdana" w:hAnsi="Verdana" w:cs="Arial"/>
          <w:color w:val="000000" w:themeColor="text1"/>
        </w:rPr>
        <w:t>los numerales 6 y 7 del artículo 7 de la Ley 80 de 1993</w:t>
      </w:r>
      <w:r w:rsidRPr="00B35DC3">
        <w:rPr>
          <w:rFonts w:ascii="Verdana" w:eastAsia="Calibri" w:hAnsi="Verdana" w:cs="Arial"/>
        </w:rPr>
        <w:t>, en la medida en que en estos no se establece ninguna limitación respecto al número de contratos en los que un consorcio o unión temporal puede participar. Lo anterior, en armonía con la libertad de asociación de los consorcios y uniones temporales que permite que estos se puedan organizar libremente y acordar participar en más de un proceso contractual, mientras cumplan los requisitos legales. Aceptar la tesis contraría, implicaría aplicar una limitación de su participación restringiendo sin sustento legal su libertad de asociación y contratación.</w:t>
      </w:r>
    </w:p>
    <w:p w14:paraId="677B13C0" w14:textId="77777777" w:rsidR="009629BF" w:rsidRPr="00B35DC3" w:rsidRDefault="009629BF" w:rsidP="009629BF">
      <w:pPr>
        <w:spacing w:after="120" w:line="276" w:lineRule="auto"/>
        <w:ind w:firstLine="709"/>
        <w:jc w:val="both"/>
        <w:rPr>
          <w:rFonts w:ascii="Verdana" w:hAnsi="Verdana" w:cs="Arial"/>
          <w:color w:val="000000" w:themeColor="text1"/>
        </w:rPr>
      </w:pPr>
      <w:r>
        <w:rPr>
          <w:rFonts w:ascii="Verdana" w:hAnsi="Verdana" w:cs="Arial"/>
          <w:color w:val="000000" w:themeColor="text1"/>
        </w:rPr>
        <w:t>Por otro lado</w:t>
      </w:r>
      <w:r w:rsidRPr="00B35DC3">
        <w:rPr>
          <w:rFonts w:ascii="Verdana" w:hAnsi="Verdana" w:cs="Arial"/>
          <w:color w:val="000000" w:themeColor="text1"/>
        </w:rPr>
        <w:t xml:space="preserve">, al encontrarse facultados por la ley los consorcios y uniones temporales para suscribir contratos estatales, a estos se les extiende la obligación de registrarse en el SECOP II, con el fin de que, puedan presentar sus respectivas ofertas al proceso de selección de su interés. En ese sentido, deberá tenerse en cuenta que la forma de presentar ofertas en dicha </w:t>
      </w:r>
      <w:proofErr w:type="gramStart"/>
      <w:r w:rsidRPr="00B35DC3">
        <w:rPr>
          <w:rFonts w:ascii="Verdana" w:hAnsi="Verdana" w:cs="Arial"/>
          <w:color w:val="000000" w:themeColor="text1"/>
        </w:rPr>
        <w:t>plataforma,</w:t>
      </w:r>
      <w:proofErr w:type="gramEnd"/>
      <w:r w:rsidRPr="00B35DC3">
        <w:rPr>
          <w:rFonts w:ascii="Verdana" w:hAnsi="Verdana" w:cs="Arial"/>
          <w:color w:val="000000" w:themeColor="text1"/>
        </w:rPr>
        <w:t xml:space="preserve"> se </w:t>
      </w:r>
      <w:r w:rsidRPr="00B35DC3">
        <w:rPr>
          <w:rFonts w:ascii="Verdana" w:hAnsi="Verdana" w:cs="Arial"/>
          <w:color w:val="000000" w:themeColor="text1"/>
        </w:rPr>
        <w:lastRenderedPageBreak/>
        <w:t xml:space="preserve">encuentra determinada en los términos y condiciones de uso y en las guías de uso del SECOP II, las cuales indican entre otros, los requisitos, formularios y procedimientos para manifestar interés, crear y presentar las ofertas en línea. De esta forma, </w:t>
      </w:r>
      <w:r w:rsidRPr="00B35DC3">
        <w:rPr>
          <w:rFonts w:ascii="Verdana" w:eastAsia="Calibri" w:hAnsi="Verdana" w:cs="Arial"/>
        </w:rPr>
        <w:t>en el SECOP II, los proveedores pueden participar en los procesos de contratación como proponente plural y para esto es necesario registrar esta cuenta como “Proveedor” en la plataforma.</w:t>
      </w:r>
    </w:p>
    <w:p w14:paraId="77B1981F" w14:textId="77777777" w:rsidR="009629BF" w:rsidRDefault="009629BF" w:rsidP="009629BF">
      <w:pPr>
        <w:spacing w:after="120" w:line="276" w:lineRule="auto"/>
        <w:ind w:firstLine="709"/>
        <w:jc w:val="both"/>
        <w:rPr>
          <w:rFonts w:ascii="Verdana" w:hAnsi="Verdana" w:cs="Arial"/>
          <w:color w:val="000000" w:themeColor="text1"/>
        </w:rPr>
      </w:pPr>
      <w:r w:rsidRPr="00B35DC3">
        <w:rPr>
          <w:rFonts w:ascii="Verdana" w:hAnsi="Verdana" w:cs="Arial"/>
          <w:color w:val="000000" w:themeColor="text1"/>
        </w:rPr>
        <w:t>Por consiguiente, “el proponente plural deberá estar debidamente constituido dentro de cada uno de los procesos en que desee participar, es decir, es deber de los proponentes realizar la respectiva inscripción del proponente plural de manera individual a cada proceso en el que pretende postularse de acuerdo con las condiciones de uso del SECOP II, sin la posibilidad de usar un mismo usuario para varios procesos de contratación”. Considerando lo anterior, si un proponente plural desea participar nuevamente en un proceso de contratación desde la plataforma del SECOP II, tendrá que crear una nueva cuenta en la que cumpla los requisitos para su creación. Por consiguiente, deberá crear una nueva cuenta por cada proceso de contratación en el que participe.</w:t>
      </w:r>
    </w:p>
    <w:p w14:paraId="7325C243" w14:textId="77777777" w:rsidR="009629BF" w:rsidRPr="00B35DC3" w:rsidRDefault="009629BF" w:rsidP="009629BF">
      <w:pPr>
        <w:spacing w:after="120" w:line="276" w:lineRule="auto"/>
        <w:jc w:val="both"/>
        <w:rPr>
          <w:rFonts w:ascii="Verdana" w:eastAsia="Century Gothic" w:hAnsi="Verdana" w:cs="Century Gothic"/>
        </w:rPr>
      </w:pPr>
      <w:r w:rsidRPr="00B35DC3">
        <w:rPr>
          <w:rFonts w:ascii="Verdana" w:eastAsia="Verdana" w:hAnsi="Verdana" w:cs="Verdana"/>
        </w:rPr>
        <w:t>(</w:t>
      </w:r>
      <w:proofErr w:type="spellStart"/>
      <w:r w:rsidRPr="00B35DC3">
        <w:rPr>
          <w:rFonts w:ascii="Verdana" w:eastAsia="Verdana" w:hAnsi="Verdana" w:cs="Verdana"/>
        </w:rPr>
        <w:t>ii</w:t>
      </w:r>
      <w:proofErr w:type="spellEnd"/>
      <w:r w:rsidRPr="00B35DC3">
        <w:rPr>
          <w:rFonts w:ascii="Verdana" w:eastAsia="Verdana" w:hAnsi="Verdana" w:cs="Verdana"/>
        </w:rPr>
        <w:t xml:space="preserve">) </w:t>
      </w:r>
      <w:r>
        <w:rPr>
          <w:rFonts w:ascii="Verdana" w:eastAsia="Verdana" w:hAnsi="Verdana" w:cs="Verdana"/>
        </w:rPr>
        <w:t>Respecto al segundo problema jurídico planteado,</w:t>
      </w:r>
      <w:r w:rsidRPr="00B35DC3">
        <w:rPr>
          <w:rFonts w:ascii="Verdana" w:eastAsia="Verdana" w:hAnsi="Verdana" w:cs="Verdana"/>
        </w:rPr>
        <w:t xml:space="preserve"> es importante resaltar que </w:t>
      </w:r>
      <w:r w:rsidRPr="00B35DC3">
        <w:rPr>
          <w:rFonts w:ascii="Verdana" w:eastAsia="Century Gothic" w:hAnsi="Verdana" w:cs="Century Gothic"/>
        </w:rPr>
        <w:t>las causales de rechazo son las establecidas en la ley y las fijadas por la Entidad Estatal en los pliegos de condiciones. No obstante, en el ejercicio de esta facultad las entidades no deben establecer causales de rechazo que afecten la selección objetiva en la contratación. Sobre el particular, el Consejo de Estado</w:t>
      </w:r>
      <w:r w:rsidRPr="00B35DC3">
        <w:rPr>
          <w:rFonts w:ascii="Verdana" w:eastAsia="Century Gothic" w:hAnsi="Verdana" w:cs="Century Gothic"/>
          <w:vertAlign w:val="superscript"/>
        </w:rPr>
        <w:footnoteReference w:id="2"/>
      </w:r>
      <w:r w:rsidRPr="00B35DC3">
        <w:rPr>
          <w:rFonts w:ascii="Verdana" w:eastAsia="Century Gothic" w:hAnsi="Verdana" w:cs="Century Gothic"/>
        </w:rPr>
        <w:t xml:space="preserve"> señala:</w:t>
      </w:r>
    </w:p>
    <w:p w14:paraId="0A9A7EDA" w14:textId="77777777" w:rsidR="009629BF" w:rsidRPr="00B35DC3" w:rsidRDefault="009629BF" w:rsidP="009629BF">
      <w:pPr>
        <w:spacing w:after="0" w:line="240" w:lineRule="auto"/>
        <w:ind w:left="567" w:right="618"/>
        <w:jc w:val="both"/>
        <w:rPr>
          <w:rFonts w:ascii="Verdana" w:eastAsia="Calibri" w:hAnsi="Verdana" w:cs="Arial"/>
          <w:sz w:val="20"/>
          <w:szCs w:val="20"/>
        </w:rPr>
      </w:pPr>
      <w:r w:rsidRPr="00B35DC3">
        <w:rPr>
          <w:rFonts w:ascii="Verdana" w:eastAsia="Century Gothic" w:hAnsi="Verdana" w:cs="Century Gothic"/>
          <w:sz w:val="20"/>
          <w:szCs w:val="20"/>
        </w:rPr>
        <w:t>“</w:t>
      </w:r>
      <w:r w:rsidRPr="00B35DC3">
        <w:rPr>
          <w:rFonts w:ascii="Verdana" w:eastAsia="Calibri" w:hAnsi="Verdana" w:cs="Arial"/>
          <w:sz w:val="20"/>
          <w:szCs w:val="20"/>
        </w:rPr>
        <w:t xml:space="preserve">Quiere con esto destacar la Sala que las causales de rechazo de las propuestas pueden ser legales y por lo mismo generan el efecto del descarte o exclusión de la oferta </w:t>
      </w:r>
      <w:proofErr w:type="spellStart"/>
      <w:r w:rsidRPr="00B35DC3">
        <w:rPr>
          <w:rFonts w:ascii="Verdana" w:eastAsia="Calibri" w:hAnsi="Verdana" w:cs="Arial"/>
          <w:sz w:val="20"/>
          <w:szCs w:val="20"/>
        </w:rPr>
        <w:t>ope</w:t>
      </w:r>
      <w:proofErr w:type="spellEnd"/>
      <w:r w:rsidRPr="00B35DC3">
        <w:rPr>
          <w:rFonts w:ascii="Verdana" w:eastAsia="Calibri" w:hAnsi="Verdana" w:cs="Arial"/>
          <w:sz w:val="20"/>
          <w:szCs w:val="20"/>
        </w:rPr>
        <w:t xml:space="preserve"> </w:t>
      </w:r>
      <w:proofErr w:type="spellStart"/>
      <w:r w:rsidRPr="00B35DC3">
        <w:rPr>
          <w:rFonts w:ascii="Verdana" w:eastAsia="Calibri" w:hAnsi="Verdana" w:cs="Arial"/>
          <w:sz w:val="20"/>
          <w:szCs w:val="20"/>
        </w:rPr>
        <w:t>legis</w:t>
      </w:r>
      <w:proofErr w:type="spellEnd"/>
      <w:r w:rsidRPr="00B35DC3">
        <w:rPr>
          <w:rFonts w:ascii="Verdana" w:eastAsia="Calibri" w:hAnsi="Verdana" w:cs="Arial"/>
          <w:sz w:val="20"/>
          <w:szCs w:val="20"/>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64012412" w14:textId="77777777" w:rsidR="009629BF" w:rsidRPr="00B35DC3" w:rsidRDefault="009629BF" w:rsidP="009629BF">
      <w:pPr>
        <w:spacing w:after="0" w:line="240" w:lineRule="auto"/>
        <w:ind w:firstLine="709"/>
        <w:jc w:val="both"/>
        <w:rPr>
          <w:rFonts w:ascii="Verdana" w:eastAsia="Century Gothic" w:hAnsi="Verdana" w:cs="Century Gothic"/>
        </w:rPr>
      </w:pPr>
    </w:p>
    <w:p w14:paraId="1AD1AD32" w14:textId="77777777" w:rsidR="009629BF" w:rsidRPr="00B35DC3" w:rsidRDefault="009629BF" w:rsidP="009629BF">
      <w:pPr>
        <w:spacing w:after="120" w:line="276" w:lineRule="auto"/>
        <w:ind w:firstLine="709"/>
        <w:jc w:val="both"/>
        <w:rPr>
          <w:rFonts w:ascii="Verdana" w:eastAsia="Century Gothic" w:hAnsi="Verdana" w:cs="Century Gothic"/>
        </w:rPr>
      </w:pPr>
      <w:r w:rsidRPr="00B35DC3">
        <w:rPr>
          <w:rFonts w:ascii="Verdana" w:eastAsia="Century Gothic" w:hAnsi="Verdana" w:cs="Century Gothic"/>
        </w:rPr>
        <w:t xml:space="preserve">De igual forma, esta Agencia ha reiterado la postura del Consejo de Estado, según la cual, por la naturaleza propia de las causales de rechazo, su </w:t>
      </w:r>
      <w:r w:rsidRPr="00B35DC3">
        <w:rPr>
          <w:rFonts w:ascii="Verdana" w:eastAsia="Century Gothic" w:hAnsi="Verdana" w:cs="Century Gothic"/>
        </w:rPr>
        <w:lastRenderedPageBreak/>
        <w:t>aplicación es estricta y restrictiva, lo que significa que su interpretación gramatical prevalece sobre una interpretación extensiva o de otra índole, mediante la cual se pretenda ampliar su alcance. Al respecto, el Consejo de Estado</w:t>
      </w:r>
      <w:r w:rsidRPr="00B35DC3">
        <w:rPr>
          <w:rFonts w:ascii="Verdana" w:eastAsia="Century Gothic" w:hAnsi="Verdana" w:cs="Century Gothic"/>
          <w:vertAlign w:val="superscript"/>
        </w:rPr>
        <w:footnoteReference w:id="3"/>
      </w:r>
      <w:r w:rsidRPr="00B35DC3">
        <w:rPr>
          <w:rFonts w:ascii="Verdana" w:eastAsia="Century Gothic" w:hAnsi="Verdana" w:cs="Century Gothic"/>
        </w:rPr>
        <w:t xml:space="preserve"> sostuvo:</w:t>
      </w:r>
    </w:p>
    <w:p w14:paraId="78EE04CB" w14:textId="77777777" w:rsidR="009629BF" w:rsidRPr="0086621B" w:rsidRDefault="009629BF" w:rsidP="009629BF">
      <w:pPr>
        <w:tabs>
          <w:tab w:val="left" w:pos="8222"/>
        </w:tabs>
        <w:spacing w:after="0" w:line="240" w:lineRule="auto"/>
        <w:ind w:left="567" w:right="618"/>
        <w:jc w:val="both"/>
        <w:rPr>
          <w:rFonts w:ascii="Verdana" w:eastAsia="Calibri" w:hAnsi="Verdana" w:cs="Arial"/>
          <w:sz w:val="20"/>
          <w:szCs w:val="20"/>
        </w:rPr>
      </w:pPr>
      <w:r w:rsidRPr="00B35DC3">
        <w:rPr>
          <w:rFonts w:ascii="Verdana" w:eastAsia="Century Gothic" w:hAnsi="Verdana" w:cs="Century Gothic"/>
          <w:sz w:val="20"/>
          <w:szCs w:val="20"/>
        </w:rPr>
        <w:t>“</w:t>
      </w:r>
      <w:r w:rsidRPr="00B35DC3">
        <w:rPr>
          <w:rFonts w:ascii="Verdana" w:eastAsia="Calibri" w:hAnsi="Verdana" w:cs="Arial"/>
          <w:sz w:val="20"/>
          <w:szCs w:val="20"/>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5E3AD156" w14:textId="77777777" w:rsidR="009629BF" w:rsidRPr="00B35DC3" w:rsidRDefault="009629BF" w:rsidP="009629BF">
      <w:pPr>
        <w:spacing w:before="120" w:after="120" w:line="276" w:lineRule="auto"/>
        <w:ind w:firstLine="708"/>
        <w:jc w:val="both"/>
        <w:rPr>
          <w:rFonts w:ascii="Verdana" w:eastAsia="Calibri" w:hAnsi="Verdana" w:cs="Arial"/>
          <w:lang w:val="es-ES"/>
        </w:rPr>
      </w:pPr>
      <w:r w:rsidRPr="00B35DC3">
        <w:rPr>
          <w:rFonts w:ascii="Verdana" w:eastAsia="Calibri" w:hAnsi="Verdana" w:cs="Arial"/>
          <w:lang w:val="es-ES"/>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117DB82C" w14:textId="77777777" w:rsidR="009629BF" w:rsidRPr="00B35DC3" w:rsidRDefault="009629BF" w:rsidP="009629BF">
      <w:pPr>
        <w:spacing w:before="120" w:after="120" w:line="276" w:lineRule="auto"/>
        <w:ind w:firstLine="708"/>
        <w:jc w:val="both"/>
        <w:rPr>
          <w:rFonts w:ascii="Verdana" w:eastAsia="Calibri" w:hAnsi="Verdana" w:cs="Arial"/>
          <w:lang w:val="es-ES"/>
        </w:rPr>
      </w:pPr>
      <w:r w:rsidRPr="00B35DC3">
        <w:rPr>
          <w:rFonts w:ascii="Verdana" w:eastAsia="Arial" w:hAnsi="Verdana" w:cs="Arial"/>
          <w:color w:val="000000"/>
        </w:rPr>
        <w:t xml:space="preserve">Por otra parte, es importante señalar que, uno de los principios transversales de los procedimientos de selección es el de </w:t>
      </w:r>
      <w:r w:rsidRPr="00B35DC3">
        <w:rPr>
          <w:rFonts w:ascii="Verdana" w:eastAsia="Arial" w:hAnsi="Verdana" w:cs="Arial"/>
          <w:i/>
          <w:color w:val="000000"/>
        </w:rPr>
        <w:t>selección objetiva</w:t>
      </w:r>
      <w:r w:rsidRPr="00B35DC3">
        <w:rPr>
          <w:rFonts w:ascii="Verdana" w:eastAsia="Arial" w:hAnsi="Verdana" w:cs="Arial"/>
          <w:color w:val="000000"/>
        </w:rPr>
        <w:t>. Se trata del postulado que exige que la escogencia de la oferta ganadora deba fundamentarse en factores objetivos, de carácter técnico, jurídico y financiero, y no en criterios subjetivos, como el afecto, la amistad, el ánimo de ayuda, el interés personal, etc. Si bien dentro de la historia de la contratación pública en Colombia se vislumbran antecedentes normativos que consagraban dicho principio</w:t>
      </w:r>
      <w:r w:rsidRPr="00B35DC3">
        <w:rPr>
          <w:rFonts w:ascii="Aptos" w:eastAsia="Aptos" w:hAnsi="Aptos" w:cs="Times New Roman"/>
          <w:sz w:val="24"/>
          <w:szCs w:val="24"/>
          <w:vertAlign w:val="superscript"/>
        </w:rPr>
        <w:footnoteReference w:id="4"/>
      </w:r>
      <w:r w:rsidRPr="00B35DC3">
        <w:rPr>
          <w:rFonts w:ascii="Verdana" w:eastAsia="Arial" w:hAnsi="Verdana" w:cs="Arial"/>
          <w:color w:val="000000"/>
        </w:rPr>
        <w:t xml:space="preserve">, en la actualidad la disposición legal que lo prevé de manera más clara </w:t>
      </w:r>
      <w:r w:rsidRPr="00B35DC3">
        <w:rPr>
          <w:rFonts w:ascii="Verdana" w:eastAsia="Arial" w:hAnsi="Verdana" w:cs="Arial"/>
          <w:color w:val="000000"/>
        </w:rPr>
        <w:lastRenderedPageBreak/>
        <w:t>y contundente es el artículo 5 de la Ley 1150 de 2007, modificado por el artículo 88 de la Ley 1474 de 2011 y por el artículo 5 de la Ley 1882 de 2018.</w:t>
      </w:r>
    </w:p>
    <w:p w14:paraId="1F0F20FD" w14:textId="77777777" w:rsidR="009629BF" w:rsidRPr="00B35DC3" w:rsidRDefault="009629BF" w:rsidP="009629BF">
      <w:pPr>
        <w:spacing w:before="120" w:after="120" w:line="276" w:lineRule="auto"/>
        <w:ind w:firstLine="708"/>
        <w:jc w:val="both"/>
        <w:rPr>
          <w:rFonts w:ascii="Verdana" w:eastAsia="Calibri" w:hAnsi="Verdana" w:cs="Arial"/>
          <w:lang w:val="es-ES"/>
        </w:rPr>
      </w:pPr>
      <w:r w:rsidRPr="00B35DC3">
        <w:rPr>
          <w:rFonts w:ascii="Verdana" w:eastAsia="Arial" w:hAnsi="Verdana" w:cs="Arial"/>
          <w:color w:val="000000"/>
        </w:rPr>
        <w:t>Para garantizar la selección objetiva, es necesario, entre otras, que las entidades estatales se abstengan de rechazar las ofertas por el incumplimiento de requisitos meramente formales, sacrificando la favorabilidad que podría representar la oferta que adolezca de estos defectos, si se permitiese su corrección. En otras palabras, la selección objetiva se encuentra ligada a la obligación que tienen las entidades estatales de permitir la subsanación de los requisitos de participación, bajo las condiciones indicadas en la ley, antes de tomar la decisión de rechazar las propuestas que hayan omitido la observancia de requisitos no necesarios para la comparación de las ofertas.</w:t>
      </w:r>
    </w:p>
    <w:p w14:paraId="22715BCF" w14:textId="77777777" w:rsidR="009629BF" w:rsidRPr="00B35DC3" w:rsidRDefault="009629BF" w:rsidP="009629BF">
      <w:pPr>
        <w:spacing w:before="120" w:after="120" w:line="276" w:lineRule="auto"/>
        <w:ind w:firstLine="708"/>
        <w:jc w:val="both"/>
        <w:rPr>
          <w:rFonts w:ascii="Verdana" w:hAnsi="Verdana" w:cs="Arial"/>
          <w:bCs/>
          <w:color w:val="000000" w:themeColor="text1"/>
        </w:rPr>
      </w:pPr>
      <w:r w:rsidRPr="00B35DC3">
        <w:rPr>
          <w:rFonts w:ascii="Verdana" w:eastAsia="Arial" w:hAnsi="Verdana" w:cs="Arial"/>
          <w:color w:val="000000"/>
        </w:rPr>
        <w:t>La decisión de rechazar, por regla general –salvo en los casos específicos previstos en la ley, como el de la imposibilidad de subsanar la no entrega de la garantía de seriedad de la oferta o de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r w:rsidRPr="00B35DC3">
        <w:rPr>
          <w:rFonts w:ascii="Verdana" w:hAnsi="Verdana" w:cs="Arial"/>
          <w:bCs/>
          <w:color w:val="000000" w:themeColor="text1"/>
        </w:rPr>
        <w:t xml:space="preserve"> En ese orden de ideas, el rechazo de las ofertas debe provenir entre otros factores, de la imposibilidad de hacer una escogencia favorable a la entidad estatal y a los fines que ella busca en cumplimiento del deber selección objetiva.</w:t>
      </w:r>
    </w:p>
    <w:p w14:paraId="71DBDC21" w14:textId="77777777" w:rsidR="009629BF" w:rsidRPr="00B35DC3" w:rsidRDefault="009629BF" w:rsidP="009629BF">
      <w:pPr>
        <w:spacing w:before="120" w:after="120" w:line="276" w:lineRule="auto"/>
        <w:ind w:firstLine="708"/>
        <w:jc w:val="both"/>
        <w:rPr>
          <w:rFonts w:ascii="Verdana" w:hAnsi="Verdana" w:cs="Arial"/>
          <w:bCs/>
          <w:color w:val="000000" w:themeColor="text1"/>
        </w:rPr>
      </w:pPr>
      <w:r w:rsidRPr="00B35DC3">
        <w:rPr>
          <w:rFonts w:ascii="Verdana" w:hAnsi="Verdana" w:cs="Arial"/>
          <w:bCs/>
          <w:color w:val="000000" w:themeColor="text1"/>
        </w:rPr>
        <w:t xml:space="preserve">Conforme con lo expuesto, se reitera que no existe un impedimento jurídico para que los proponentes puedan presentar ofertas en uno o en varios </w:t>
      </w:r>
      <w:r w:rsidRPr="00B35DC3">
        <w:rPr>
          <w:rFonts w:ascii="Verdana" w:hAnsi="Verdana" w:cs="Arial"/>
          <w:bCs/>
          <w:color w:val="000000" w:themeColor="text1"/>
        </w:rPr>
        <w:lastRenderedPageBreak/>
        <w:t xml:space="preserve">procesos de contratación. En este sentido, no existe causal en la ley que dé lugar al rechazo en estos supuestos. </w:t>
      </w:r>
    </w:p>
    <w:p w14:paraId="1A98C637" w14:textId="77777777" w:rsidR="009629BF" w:rsidRPr="00A33665" w:rsidRDefault="009629BF" w:rsidP="009629BF">
      <w:pPr>
        <w:spacing w:line="276" w:lineRule="auto"/>
        <w:ind w:firstLine="708"/>
        <w:jc w:val="both"/>
        <w:rPr>
          <w:rFonts w:ascii="Verdana" w:hAnsi="Verdana"/>
        </w:rPr>
      </w:pPr>
      <w:r w:rsidRPr="00B35DC3">
        <w:rPr>
          <w:rFonts w:ascii="Verdana" w:hAnsi="Verdana" w:cs="Arial"/>
          <w:bCs/>
          <w:color w:val="000000" w:themeColor="text1"/>
        </w:rPr>
        <w:t xml:space="preserve">Sin embargo, será́ la Entidad Estatal quién determinará en los documentos del proceso las circunstancias que no permitan admitir una propuesta en un proceso de contratación. Como se señaló antes, en el ejercicio de esta facultad, las entidades deben respetar el deber de selección objetiva, de manera que las causales de rechazo que dispongan no impongan barreras injustificadas a la participación, y respondan a principios de proporcionalidad y razonabilidad. Lo anterior, pues </w:t>
      </w:r>
      <w:r w:rsidRPr="00B35DC3">
        <w:rPr>
          <w:rFonts w:ascii="Verdana" w:hAnsi="Verdana"/>
        </w:rPr>
        <w:t>la</w:t>
      </w:r>
      <w:r w:rsidRPr="00B35DC3">
        <w:rPr>
          <w:rFonts w:ascii="Verdana" w:hAnsi="Verdana"/>
          <w:spacing w:val="-3"/>
        </w:rPr>
        <w:t xml:space="preserve"> </w:t>
      </w:r>
      <w:r w:rsidRPr="00B35DC3">
        <w:rPr>
          <w:rFonts w:ascii="Verdana" w:hAnsi="Verdana"/>
        </w:rPr>
        <w:t>ley</w:t>
      </w:r>
      <w:r w:rsidRPr="00B35DC3">
        <w:rPr>
          <w:rFonts w:ascii="Verdana" w:hAnsi="Verdana"/>
          <w:spacing w:val="-3"/>
        </w:rPr>
        <w:t xml:space="preserve"> </w:t>
      </w:r>
      <w:r w:rsidRPr="00B35DC3">
        <w:rPr>
          <w:rFonts w:ascii="Verdana" w:hAnsi="Verdana"/>
        </w:rPr>
        <w:t>dispone</w:t>
      </w:r>
      <w:r w:rsidRPr="00B35DC3">
        <w:rPr>
          <w:rFonts w:ascii="Verdana" w:hAnsi="Verdana"/>
          <w:spacing w:val="-2"/>
        </w:rPr>
        <w:t xml:space="preserve"> </w:t>
      </w:r>
      <w:r w:rsidRPr="00B35DC3">
        <w:rPr>
          <w:rFonts w:ascii="Verdana" w:hAnsi="Verdana"/>
        </w:rPr>
        <w:t>que</w:t>
      </w:r>
      <w:r w:rsidRPr="00B35DC3">
        <w:rPr>
          <w:rFonts w:ascii="Verdana" w:hAnsi="Verdana"/>
          <w:spacing w:val="-3"/>
        </w:rPr>
        <w:t xml:space="preserve"> la </w:t>
      </w:r>
      <w:r w:rsidRPr="00B35DC3">
        <w:rPr>
          <w:rFonts w:ascii="Verdana" w:hAnsi="Verdana"/>
        </w:rPr>
        <w:t>ausencia de requisitos o la falta de documentos referentes a la futura contratación o al proponente que no son necesarios para la comparación de las</w:t>
      </w:r>
      <w:r w:rsidRPr="00B35DC3">
        <w:rPr>
          <w:rFonts w:ascii="Verdana" w:hAnsi="Verdana"/>
          <w:spacing w:val="-3"/>
        </w:rPr>
        <w:t xml:space="preserve"> </w:t>
      </w:r>
      <w:r w:rsidRPr="00B35DC3">
        <w:rPr>
          <w:rFonts w:ascii="Verdana" w:hAnsi="Verdana"/>
        </w:rPr>
        <w:t>propuestas, no serán</w:t>
      </w:r>
      <w:r w:rsidRPr="00B35DC3">
        <w:rPr>
          <w:rFonts w:ascii="Verdana" w:hAnsi="Verdana"/>
          <w:spacing w:val="-3"/>
        </w:rPr>
        <w:t xml:space="preserve"> </w:t>
      </w:r>
      <w:r w:rsidRPr="00B35DC3">
        <w:rPr>
          <w:rFonts w:ascii="Verdana" w:hAnsi="Verdana"/>
        </w:rPr>
        <w:t>título</w:t>
      </w:r>
      <w:r w:rsidRPr="00B35DC3">
        <w:rPr>
          <w:rFonts w:ascii="Verdana" w:hAnsi="Verdana"/>
          <w:spacing w:val="-2"/>
        </w:rPr>
        <w:t xml:space="preserve"> </w:t>
      </w:r>
      <w:r w:rsidRPr="00B35DC3">
        <w:rPr>
          <w:rFonts w:ascii="Verdana" w:hAnsi="Verdana"/>
        </w:rPr>
        <w:t>suficiente para</w:t>
      </w:r>
      <w:r w:rsidRPr="00B35DC3">
        <w:rPr>
          <w:rFonts w:ascii="Verdana" w:hAnsi="Verdana"/>
          <w:spacing w:val="-3"/>
        </w:rPr>
        <w:t xml:space="preserve"> </w:t>
      </w:r>
      <w:r w:rsidRPr="00B35DC3">
        <w:rPr>
          <w:rFonts w:ascii="Verdana" w:hAnsi="Verdana"/>
        </w:rPr>
        <w:t>el</w:t>
      </w:r>
      <w:r w:rsidRPr="00B35DC3">
        <w:rPr>
          <w:rFonts w:ascii="Verdana" w:hAnsi="Verdana"/>
          <w:spacing w:val="-3"/>
        </w:rPr>
        <w:t xml:space="preserve"> </w:t>
      </w:r>
      <w:r w:rsidRPr="00B35DC3">
        <w:rPr>
          <w:rFonts w:ascii="Verdana" w:hAnsi="Verdana"/>
        </w:rPr>
        <w:t>rechazo de las propuestas.</w:t>
      </w:r>
    </w:p>
    <w:p w14:paraId="71F8F8EE" w14:textId="77777777" w:rsidR="009629BF" w:rsidRDefault="009629BF" w:rsidP="009629BF">
      <w:pPr>
        <w:tabs>
          <w:tab w:val="left" w:pos="142"/>
          <w:tab w:val="left" w:pos="284"/>
        </w:tabs>
        <w:spacing w:after="0" w:line="240" w:lineRule="auto"/>
        <w:rPr>
          <w:rFonts w:ascii="Verdana" w:eastAsia="Century Gothic" w:hAnsi="Verdana" w:cs="Century Gothic"/>
          <w:b/>
          <w:bCs/>
        </w:rPr>
      </w:pPr>
      <w:bookmarkStart w:id="12" w:name="_Hlk204854194"/>
      <w:r w:rsidRPr="00FF007A">
        <w:rPr>
          <w:rFonts w:ascii="Verdana" w:eastAsia="Century Gothic" w:hAnsi="Verdana" w:cs="Century Gothic"/>
          <w:b/>
          <w:bCs/>
        </w:rPr>
        <w:t>4. Referencias normativas:</w:t>
      </w:r>
      <w:bookmarkEnd w:id="12"/>
    </w:p>
    <w:p w14:paraId="7772B134" w14:textId="77777777" w:rsidR="009629BF" w:rsidRPr="00861D2F" w:rsidRDefault="009629BF" w:rsidP="009629BF">
      <w:pPr>
        <w:tabs>
          <w:tab w:val="left" w:pos="142"/>
          <w:tab w:val="left" w:pos="284"/>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629BF" w:rsidRPr="00FF007A" w14:paraId="09379473" w14:textId="77777777" w:rsidTr="00533115">
        <w:trPr>
          <w:trHeight w:val="1288"/>
          <w:jc w:val="center"/>
        </w:trPr>
        <w:tc>
          <w:tcPr>
            <w:tcW w:w="8647" w:type="dxa"/>
          </w:tcPr>
          <w:p w14:paraId="060503B7" w14:textId="77777777" w:rsidR="009629BF" w:rsidRDefault="009629BF" w:rsidP="00533115">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80 de 1993. Artículos 6 y 7. </w:t>
            </w:r>
          </w:p>
          <w:p w14:paraId="096C45A5" w14:textId="77777777" w:rsidR="009629BF" w:rsidRDefault="009629BF" w:rsidP="00533115">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Ley 1150 de 2007. Artículo 5.</w:t>
            </w:r>
          </w:p>
          <w:p w14:paraId="19B88D55" w14:textId="77777777" w:rsidR="009629BF" w:rsidRDefault="009629BF" w:rsidP="00533115">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Ley 1474 de 2011. Artículo 88.</w:t>
            </w:r>
          </w:p>
          <w:p w14:paraId="5812A6CE" w14:textId="77777777" w:rsidR="009629BF" w:rsidRDefault="009629BF" w:rsidP="00533115">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Ley 1882 de 2018. Artículo 5.</w:t>
            </w:r>
          </w:p>
          <w:p w14:paraId="5E961E20" w14:textId="77777777" w:rsidR="009629BF" w:rsidRDefault="009629BF" w:rsidP="00533115">
            <w:pPr>
              <w:pStyle w:val="Prrafodelista"/>
              <w:numPr>
                <w:ilvl w:val="0"/>
                <w:numId w:val="17"/>
              </w:numPr>
              <w:spacing w:line="276" w:lineRule="auto"/>
              <w:jc w:val="both"/>
              <w:rPr>
                <w:rFonts w:ascii="Verdana" w:eastAsia="Arial MT" w:hAnsi="Verdana" w:cs="Arial"/>
                <w:lang w:val="es-CO" w:eastAsia="es-ES" w:bidi="es-ES"/>
              </w:rPr>
            </w:pPr>
            <w:r w:rsidRPr="00002C64">
              <w:rPr>
                <w:rFonts w:ascii="Verdana" w:eastAsia="Arial MT" w:hAnsi="Verdana" w:cs="Arial"/>
                <w:lang w:val="es-CO" w:eastAsia="es-ES" w:bidi="es-ES"/>
              </w:rPr>
              <w:t>Corte Constituciona</w:t>
            </w:r>
            <w:r>
              <w:rPr>
                <w:rFonts w:ascii="Verdana" w:eastAsia="Arial MT" w:hAnsi="Verdana" w:cs="Arial"/>
                <w:lang w:val="es-CO" w:eastAsia="es-ES" w:bidi="es-ES"/>
              </w:rPr>
              <w:t>l</w:t>
            </w:r>
            <w:r w:rsidRPr="00002C64">
              <w:rPr>
                <w:rFonts w:ascii="Verdana" w:eastAsia="Arial MT" w:hAnsi="Verdana" w:cs="Arial"/>
                <w:lang w:val="es-CO" w:eastAsia="es-ES" w:bidi="es-ES"/>
              </w:rPr>
              <w:t xml:space="preserve">. Sentencia C-949 del 5 de septiembre de 2001. M.P: Clara Inés Vargas Hernández.  </w:t>
            </w:r>
          </w:p>
          <w:p w14:paraId="400EA40A" w14:textId="77777777" w:rsidR="009629BF" w:rsidRDefault="009629BF" w:rsidP="00533115">
            <w:pPr>
              <w:pStyle w:val="Prrafodelista"/>
              <w:numPr>
                <w:ilvl w:val="0"/>
                <w:numId w:val="17"/>
              </w:numPr>
              <w:spacing w:line="276" w:lineRule="auto"/>
              <w:jc w:val="both"/>
              <w:rPr>
                <w:rFonts w:ascii="Verdana" w:eastAsia="Arial MT" w:hAnsi="Verdana" w:cs="Arial"/>
                <w:lang w:val="es-CO" w:eastAsia="es-ES" w:bidi="es-ES"/>
              </w:rPr>
            </w:pPr>
            <w:r w:rsidRPr="001F2BCD">
              <w:rPr>
                <w:rFonts w:ascii="Verdana" w:eastAsia="Arial MT" w:hAnsi="Verdana" w:cs="Arial"/>
                <w:lang w:val="es-CO" w:eastAsia="es-ES" w:bidi="es-ES"/>
              </w:rPr>
              <w:t>Consejo de Estado. Sala de lo Contencioso Administrativo. Sección Tercera. Sentencia del 27 de abril de 2011. Radicado: 25000-23-26-000-1997-03924-01 (18.293). C.P: Ruth Stella Correa Palacio.</w:t>
            </w:r>
          </w:p>
          <w:p w14:paraId="0CB7FB7D" w14:textId="77777777" w:rsidR="009629BF" w:rsidRPr="005D5BAD" w:rsidRDefault="009629BF" w:rsidP="00533115">
            <w:pPr>
              <w:pStyle w:val="Prrafodelista"/>
              <w:numPr>
                <w:ilvl w:val="0"/>
                <w:numId w:val="17"/>
              </w:numPr>
              <w:jc w:val="both"/>
              <w:rPr>
                <w:rFonts w:ascii="Verdana" w:eastAsia="Arial MT" w:hAnsi="Verdana" w:cs="Arial"/>
                <w:lang w:val="es-CO" w:eastAsia="es-ES" w:bidi="es-ES"/>
              </w:rPr>
            </w:pPr>
            <w:r w:rsidRPr="001F2BCD">
              <w:rPr>
                <w:rFonts w:ascii="Verdana" w:eastAsia="Arial MT" w:hAnsi="Verdana" w:cs="Arial"/>
                <w:lang w:val="es-CO" w:eastAsia="es-ES" w:bidi="es-ES"/>
              </w:rPr>
              <w:t>Consejo de Estado. Sala de lo Contencioso Administrativo. Sección Tercera. Sentencia del 21 de noviembre de 2013. Radicado: 25000-23-26-000-1999-01850-01 (25397). C.P: Carlos Alberto Zambrano Barrera.</w:t>
            </w:r>
          </w:p>
        </w:tc>
      </w:tr>
    </w:tbl>
    <w:p w14:paraId="3446AF6F" w14:textId="77777777" w:rsidR="009629BF" w:rsidRPr="00FF007A" w:rsidRDefault="009629BF" w:rsidP="009629BF">
      <w:pPr>
        <w:widowControl w:val="0"/>
        <w:autoSpaceDE w:val="0"/>
        <w:autoSpaceDN w:val="0"/>
        <w:spacing w:after="0" w:line="276" w:lineRule="auto"/>
        <w:jc w:val="both"/>
        <w:rPr>
          <w:rFonts w:ascii="Verdana" w:hAnsi="Verdana" w:cs="Arial"/>
        </w:rPr>
      </w:pPr>
    </w:p>
    <w:p w14:paraId="16C4FCE2" w14:textId="77777777" w:rsidR="009629BF" w:rsidRPr="00FF007A" w:rsidRDefault="009629BF" w:rsidP="009629BF">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1E262F7D" w14:textId="77777777" w:rsidR="009629BF" w:rsidRDefault="009629BF" w:rsidP="009629BF">
      <w:pPr>
        <w:widowControl w:val="0"/>
        <w:autoSpaceDE w:val="0"/>
        <w:autoSpaceDN w:val="0"/>
        <w:spacing w:after="0" w:line="276" w:lineRule="auto"/>
        <w:jc w:val="both"/>
        <w:rPr>
          <w:rFonts w:ascii="Verdana" w:hAnsi="Verdana" w:cs="Arial"/>
          <w:shd w:val="clear" w:color="auto" w:fill="FFFFFF"/>
          <w:lang w:val="es-ES"/>
        </w:rPr>
      </w:pPr>
    </w:p>
    <w:p w14:paraId="39F88987" w14:textId="77777777" w:rsidR="009629BF" w:rsidRPr="00C6555F" w:rsidRDefault="009629BF" w:rsidP="009629BF">
      <w:pPr>
        <w:widowControl w:val="0"/>
        <w:autoSpaceDE w:val="0"/>
        <w:autoSpaceDN w:val="0"/>
        <w:spacing w:after="0" w:line="276" w:lineRule="auto"/>
        <w:jc w:val="both"/>
        <w:rPr>
          <w:rFonts w:ascii="Verdana" w:hAnsi="Verdana" w:cs="Arial"/>
          <w:shd w:val="clear" w:color="auto" w:fill="FFFFFF"/>
          <w:lang w:val="es-ES"/>
        </w:rPr>
      </w:pPr>
      <w:r w:rsidRPr="00B35DC3">
        <w:rPr>
          <w:rFonts w:ascii="Verdana" w:hAnsi="Verdana" w:cs="Arial"/>
          <w:shd w:val="clear" w:color="auto" w:fill="FFFFFF"/>
          <w:lang w:val="es-ES"/>
        </w:rPr>
        <w:t>Sobre la</w:t>
      </w:r>
      <w:r w:rsidRPr="00B35DC3">
        <w:rPr>
          <w:rFonts w:ascii="Verdana" w:hAnsi="Verdana" w:cs="Arial"/>
          <w:color w:val="000000" w:themeColor="text1"/>
        </w:rPr>
        <w:t xml:space="preserve"> posibilidad de que los proponentes plurales puedan </w:t>
      </w:r>
      <w:r w:rsidRPr="00B35DC3">
        <w:rPr>
          <w:rFonts w:ascii="Verdana" w:eastAsia="Century Gothic" w:hAnsi="Verdana" w:cs="Century Gothic"/>
        </w:rPr>
        <w:t>participar en varios procesos de contratación pública</w:t>
      </w:r>
      <w:r w:rsidRPr="00B35DC3">
        <w:rPr>
          <w:rFonts w:ascii="Verdana" w:hAnsi="Verdana" w:cs="Arial"/>
          <w:shd w:val="clear" w:color="auto" w:fill="FFFFFF"/>
          <w:lang w:val="es-ES"/>
        </w:rPr>
        <w:t xml:space="preserve"> esta Subdirección se ha pronunciado</w:t>
      </w:r>
      <w:r w:rsidRPr="00B35DC3">
        <w:rPr>
          <w:rFonts w:ascii="Verdana" w:hAnsi="Verdana" w:cs="Arial"/>
          <w:szCs w:val="24"/>
          <w:lang w:eastAsia="es-ES_tradnl"/>
        </w:rPr>
        <w:t xml:space="preserve"> en los conceptos </w:t>
      </w:r>
      <w:r w:rsidRPr="00B35DC3">
        <w:rPr>
          <w:rFonts w:ascii="Verdana" w:hAnsi="Verdana" w:cs="Arial"/>
          <w:color w:val="000000" w:themeColor="text1"/>
        </w:rPr>
        <w:t>C-727 del 28 de octubre de 2024</w:t>
      </w:r>
      <w:r>
        <w:rPr>
          <w:rFonts w:ascii="Verdana" w:hAnsi="Verdana" w:cs="Arial"/>
          <w:color w:val="000000" w:themeColor="text1"/>
        </w:rPr>
        <w:t xml:space="preserve">, </w:t>
      </w:r>
      <w:r w:rsidRPr="00B35DC3">
        <w:rPr>
          <w:rFonts w:ascii="Verdana" w:hAnsi="Verdana" w:cs="Arial"/>
          <w:color w:val="000000" w:themeColor="text1"/>
        </w:rPr>
        <w:t>C-016 del 11 de febrero de 2025, C-046 del 30 de enero de 2025, C-226 del 26 de marzo de 2025</w:t>
      </w:r>
      <w:r>
        <w:rPr>
          <w:rFonts w:ascii="Verdana" w:hAnsi="Verdana" w:cs="Arial"/>
          <w:color w:val="000000" w:themeColor="text1"/>
        </w:rPr>
        <w:t>,</w:t>
      </w:r>
      <w:r w:rsidRPr="00B35DC3">
        <w:rPr>
          <w:rFonts w:ascii="Verdana" w:hAnsi="Verdana" w:cs="Arial"/>
          <w:color w:val="000000" w:themeColor="text1"/>
        </w:rPr>
        <w:t xml:space="preserve"> C-295 del 15 de abril de 2025</w:t>
      </w:r>
      <w:r>
        <w:rPr>
          <w:rFonts w:ascii="Verdana" w:hAnsi="Verdana" w:cs="Arial"/>
          <w:color w:val="000000" w:themeColor="text1"/>
        </w:rPr>
        <w:t xml:space="preserve">, </w:t>
      </w:r>
      <w:r>
        <w:rPr>
          <w:rFonts w:ascii="Verdana" w:hAnsi="Verdana" w:cs="Arial"/>
          <w:shd w:val="clear" w:color="auto" w:fill="FFFFFF"/>
          <w:lang w:val="es-ES"/>
        </w:rPr>
        <w:t>CU-636 del 2 de julio de 2025.</w:t>
      </w:r>
      <w:r w:rsidRPr="00B35DC3">
        <w:rPr>
          <w:rFonts w:ascii="Verdana" w:hAnsi="Verdana" w:cs="Arial"/>
          <w:shd w:val="clear" w:color="auto" w:fill="FFFFFF"/>
          <w:lang w:val="es-ES"/>
        </w:rPr>
        <w:t xml:space="preserve"> entre otros</w:t>
      </w:r>
      <w:r>
        <w:rPr>
          <w:rFonts w:ascii="Verdana" w:hAnsi="Verdana" w:cs="Arial"/>
        </w:rPr>
        <w:t xml:space="preserve">, </w:t>
      </w:r>
      <w:r w:rsidRPr="009F635A">
        <w:rPr>
          <w:rFonts w:ascii="Verdana" w:hAnsi="Verdana" w:cs="Arial"/>
          <w:shd w:val="clear" w:color="auto" w:fill="FFFFFF"/>
          <w:lang w:val="es-ES"/>
        </w:rPr>
        <w:t>entre otros</w:t>
      </w:r>
      <w:r w:rsidRPr="009F635A">
        <w:rPr>
          <w:rFonts w:ascii="Verdana" w:eastAsia="Times New Roman" w:hAnsi="Verdana" w:cs="Arial"/>
          <w:shd w:val="clear" w:color="auto" w:fill="FFFFFF"/>
          <w:lang w:val="es-ES"/>
        </w:rPr>
        <w:t>.</w:t>
      </w:r>
      <w:r>
        <w:rPr>
          <w:rFonts w:ascii="Verdana" w:eastAsia="Times New Roman" w:hAnsi="Verdana" w:cs="Arial"/>
          <w:shd w:val="clear" w:color="auto" w:fill="FFFFFF"/>
          <w:lang w:val="es-ES"/>
        </w:rPr>
        <w:t xml:space="preserve"> </w:t>
      </w:r>
      <w:r w:rsidRPr="009F635A">
        <w:rPr>
          <w:rFonts w:ascii="Verdana" w:hAnsi="Verdana" w:cs="Arial"/>
        </w:rPr>
        <w:t xml:space="preserve">Estos y otros </w:t>
      </w:r>
      <w:r w:rsidRPr="009F635A">
        <w:rPr>
          <w:rFonts w:ascii="Verdana" w:hAnsi="Verdana"/>
        </w:rPr>
        <w:t>conceptos se encuentran disponibles para consulta en el Sistema</w:t>
      </w:r>
      <w:r w:rsidRPr="00FF007A">
        <w:rPr>
          <w:rFonts w:ascii="Verdana" w:hAnsi="Verdana"/>
        </w:rPr>
        <w:t xml:space="preserve"> de relatoría de la Agencia, al cual se puede acceder a través del siguiente enlace:</w:t>
      </w:r>
      <w:r w:rsidRPr="00FF007A">
        <w:rPr>
          <w:rFonts w:ascii="Verdana" w:hAnsi="Verdana" w:cs="Arial"/>
          <w:shd w:val="clear" w:color="auto" w:fill="FFFFFF"/>
        </w:rPr>
        <w:t xml:space="preserve"> </w:t>
      </w:r>
    </w:p>
    <w:p w14:paraId="0EC0E5F3" w14:textId="77777777" w:rsidR="009629BF" w:rsidRPr="00A454F0" w:rsidRDefault="009629BF" w:rsidP="009629BF">
      <w:pPr>
        <w:widowControl w:val="0"/>
        <w:autoSpaceDE w:val="0"/>
        <w:autoSpaceDN w:val="0"/>
        <w:spacing w:after="0" w:line="276" w:lineRule="auto"/>
        <w:jc w:val="both"/>
        <w:rPr>
          <w:rFonts w:ascii="Verdana" w:hAnsi="Verdana" w:cs="Arial"/>
          <w:shd w:val="clear" w:color="auto" w:fill="FFFFFF"/>
        </w:rPr>
      </w:pPr>
      <w:hyperlink r:id="rId12" w:history="1">
        <w:r w:rsidRPr="00E22850">
          <w:rPr>
            <w:rStyle w:val="Hipervnculo"/>
            <w:rFonts w:ascii="Verdana" w:hAnsi="Verdana" w:cs="Arial"/>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19424FF4" w14:textId="77777777" w:rsidR="009629BF" w:rsidRDefault="009629BF" w:rsidP="009629BF">
      <w:pPr>
        <w:spacing w:after="0" w:line="240" w:lineRule="auto"/>
        <w:jc w:val="both"/>
        <w:rPr>
          <w:rFonts w:ascii="Verdana" w:hAnsi="Verdana"/>
        </w:rPr>
      </w:pPr>
    </w:p>
    <w:p w14:paraId="200211B8" w14:textId="77777777" w:rsidR="009629BF" w:rsidRPr="00FF007A" w:rsidRDefault="009629BF" w:rsidP="009629BF">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A6E7DAA" w14:textId="77777777" w:rsidR="009629BF" w:rsidRPr="00FF007A" w:rsidRDefault="009629BF" w:rsidP="009629BF">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14:paraId="4BD7909D" w14:textId="77777777" w:rsidR="009629BF" w:rsidRPr="00FF007A" w:rsidRDefault="009629BF" w:rsidP="009629BF">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27D3B72C" w14:textId="77777777" w:rsidR="009629BF" w:rsidRPr="00FF007A" w:rsidRDefault="009629BF" w:rsidP="009629BF">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0026C830" w14:textId="77777777" w:rsidR="009629BF" w:rsidRPr="00FF007A" w:rsidRDefault="009629BF" w:rsidP="009629BF">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 xml:space="preserve">Página web: </w:t>
      </w:r>
      <w:hyperlink r:id="rId13" w:history="1">
        <w:r w:rsidRPr="00FF007A">
          <w:rPr>
            <w:rStyle w:val="Hipervnculo"/>
            <w:rFonts w:ascii="Verdana" w:hAnsi="Verdana"/>
            <w:lang w:val="es-CO"/>
          </w:rPr>
          <w:t>www.colombiacompra.gov.co</w:t>
        </w:r>
      </w:hyperlink>
    </w:p>
    <w:p w14:paraId="6ADA8B90" w14:textId="77777777" w:rsidR="009629BF" w:rsidRPr="00FF007A" w:rsidRDefault="009629BF" w:rsidP="009629BF">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5D290102" w14:textId="77777777" w:rsidR="009629BF" w:rsidRPr="00FF007A" w:rsidRDefault="009629BF" w:rsidP="009629BF">
      <w:pPr>
        <w:spacing w:after="0" w:line="276" w:lineRule="auto"/>
        <w:jc w:val="both"/>
        <w:rPr>
          <w:rFonts w:ascii="Verdana" w:hAnsi="Verdana"/>
        </w:rPr>
      </w:pPr>
    </w:p>
    <w:p w14:paraId="09188EF5" w14:textId="77777777" w:rsidR="009629BF" w:rsidRPr="00FF007A" w:rsidRDefault="009629BF" w:rsidP="009629BF">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0E310FB2" w14:textId="77777777" w:rsidR="009629BF" w:rsidRPr="00FF007A" w:rsidRDefault="009629BF" w:rsidP="009629BF">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14:paraId="0B33C61B" w14:textId="77777777" w:rsidR="009629BF" w:rsidRPr="00FF007A" w:rsidRDefault="009629BF" w:rsidP="009629BF">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5C43B440" w14:textId="77777777" w:rsidR="009629BF" w:rsidRPr="00FF007A" w:rsidRDefault="009629BF" w:rsidP="009629BF">
      <w:pPr>
        <w:spacing w:before="120" w:after="0" w:line="276" w:lineRule="auto"/>
        <w:jc w:val="both"/>
        <w:rPr>
          <w:rFonts w:ascii="Verdana" w:hAnsi="Verdana"/>
        </w:rPr>
      </w:pPr>
      <w:r w:rsidRPr="00FF007A">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C66EF2A" w14:textId="77777777" w:rsidR="009629BF" w:rsidRPr="00FF007A" w:rsidRDefault="009629BF" w:rsidP="009629BF">
      <w:pPr>
        <w:spacing w:after="0" w:line="276" w:lineRule="auto"/>
        <w:jc w:val="both"/>
        <w:rPr>
          <w:rFonts w:ascii="Verdana" w:eastAsia="Calibri" w:hAnsi="Verdana" w:cs="Times New Roman"/>
        </w:rPr>
      </w:pPr>
    </w:p>
    <w:p w14:paraId="03F1F807" w14:textId="77777777" w:rsidR="009629BF" w:rsidRPr="00FF007A" w:rsidRDefault="009629BF" w:rsidP="009629BF">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74C4C8E1" w14:textId="61247534" w:rsidR="009629BF" w:rsidRPr="00FF007A" w:rsidRDefault="00B17269" w:rsidP="009629BF">
      <w:pPr>
        <w:spacing w:after="0" w:line="256" w:lineRule="auto"/>
        <w:jc w:val="center"/>
        <w:rPr>
          <w:rFonts w:ascii="Verdana" w:eastAsia="Calibri" w:hAnsi="Verdana" w:cs="Times New Roman"/>
        </w:rPr>
      </w:pPr>
      <w:r>
        <w:rPr>
          <w:noProof/>
        </w:rPr>
        <w:drawing>
          <wp:inline distT="0" distB="0" distL="0" distR="0" wp14:anchorId="4EB1443A" wp14:editId="019333F9">
            <wp:extent cx="3962400" cy="1866900"/>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4"/>
                    <a:stretch>
                      <a:fillRect/>
                    </a:stretch>
                  </pic:blipFill>
                  <pic:spPr>
                    <a:xfrm>
                      <a:off x="0" y="0"/>
                      <a:ext cx="3962400" cy="1866900"/>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9629BF" w:rsidRPr="00FF007A" w14:paraId="6828BD3E" w14:textId="77777777" w:rsidTr="00533115">
        <w:trPr>
          <w:trHeight w:val="315"/>
        </w:trPr>
        <w:tc>
          <w:tcPr>
            <w:tcW w:w="893" w:type="dxa"/>
            <w:vAlign w:val="center"/>
            <w:hideMark/>
          </w:tcPr>
          <w:p w14:paraId="3C5B639D" w14:textId="77777777" w:rsidR="009629BF" w:rsidRPr="00FF007A" w:rsidRDefault="009629BF" w:rsidP="00533115">
            <w:pPr>
              <w:contextualSpacing/>
              <w:rPr>
                <w:rFonts w:ascii="Verdana" w:hAnsi="Verdana" w:cs="Arial"/>
                <w:sz w:val="16"/>
                <w:szCs w:val="16"/>
                <w:lang w:eastAsia="es-ES"/>
              </w:rPr>
            </w:pPr>
            <w:r w:rsidRPr="00FF007A">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19094BE3" w14:textId="77777777" w:rsidR="009629BF" w:rsidRPr="00FF007A" w:rsidRDefault="009629BF" w:rsidP="00533115">
            <w:pPr>
              <w:contextualSpacing/>
              <w:rPr>
                <w:rStyle w:val="normaltextrun"/>
                <w:rFonts w:ascii="Verdana" w:hAnsi="Verdana"/>
                <w:sz w:val="16"/>
                <w:szCs w:val="16"/>
              </w:rPr>
            </w:pPr>
            <w:r w:rsidRPr="00FF007A">
              <w:rPr>
                <w:rStyle w:val="normaltextrun"/>
                <w:rFonts w:ascii="Verdana" w:hAnsi="Verdana"/>
                <w:sz w:val="16"/>
                <w:szCs w:val="16"/>
              </w:rPr>
              <w:t xml:space="preserve">Esperanza Contreras P </w:t>
            </w:r>
          </w:p>
          <w:p w14:paraId="14B112BE" w14:textId="77777777" w:rsidR="009629BF" w:rsidRPr="00FF007A" w:rsidRDefault="009629BF" w:rsidP="00533115">
            <w:pPr>
              <w:contextualSpacing/>
              <w:rPr>
                <w:rFonts w:ascii="Verdana" w:eastAsia="Arial" w:hAnsi="Verdana" w:cs="Arial"/>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9629BF" w:rsidRPr="00FF007A" w14:paraId="6F8D6447" w14:textId="77777777" w:rsidTr="00533115">
        <w:trPr>
          <w:trHeight w:val="330"/>
        </w:trPr>
        <w:tc>
          <w:tcPr>
            <w:tcW w:w="893" w:type="dxa"/>
            <w:vAlign w:val="center"/>
            <w:hideMark/>
          </w:tcPr>
          <w:p w14:paraId="7DF0D287" w14:textId="77777777" w:rsidR="009629BF" w:rsidRPr="00FF007A" w:rsidRDefault="009629BF" w:rsidP="00533115">
            <w:pPr>
              <w:contextualSpacing/>
              <w:rPr>
                <w:rFonts w:ascii="Verdana" w:hAnsi="Verdana" w:cs="Arial"/>
                <w:sz w:val="16"/>
                <w:szCs w:val="16"/>
                <w:lang w:eastAsia="es-ES"/>
              </w:rPr>
            </w:pPr>
            <w:r w:rsidRPr="00FF007A">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1AC99189" w14:textId="77777777" w:rsidR="009629BF" w:rsidRPr="001F2BCD" w:rsidRDefault="009629BF" w:rsidP="00533115">
            <w:pPr>
              <w:pStyle w:val="paragraph"/>
              <w:spacing w:before="0" w:beforeAutospacing="0" w:after="0" w:afterAutospacing="0"/>
              <w:contextualSpacing/>
              <w:textAlignment w:val="baseline"/>
              <w:rPr>
                <w:rStyle w:val="normaltextrun"/>
                <w:rFonts w:ascii="Verdana" w:hAnsi="Verdana"/>
                <w:sz w:val="16"/>
                <w:szCs w:val="16"/>
              </w:rPr>
            </w:pPr>
            <w:r w:rsidRPr="001F2BCD">
              <w:rPr>
                <w:rStyle w:val="normaltextrun"/>
                <w:rFonts w:ascii="Verdana" w:hAnsi="Verdana"/>
                <w:sz w:val="16"/>
                <w:szCs w:val="16"/>
              </w:rPr>
              <w:t xml:space="preserve">Juan Carlos González Vásquez </w:t>
            </w:r>
          </w:p>
          <w:p w14:paraId="41E0FE6D" w14:textId="77777777" w:rsidR="009629BF" w:rsidRPr="001F2BCD" w:rsidRDefault="009629BF" w:rsidP="00533115">
            <w:pPr>
              <w:pStyle w:val="paragraph"/>
              <w:spacing w:before="0" w:beforeAutospacing="0" w:after="0" w:afterAutospacing="0"/>
              <w:contextualSpacing/>
              <w:textAlignment w:val="baseline"/>
              <w:rPr>
                <w:rFonts w:ascii="Verdana" w:hAnsi="Verdana" w:cs="Segoe UI"/>
                <w:sz w:val="16"/>
                <w:szCs w:val="16"/>
              </w:rPr>
            </w:pPr>
            <w:r w:rsidRPr="001F2BCD">
              <w:rPr>
                <w:rStyle w:val="normaltextrun"/>
                <w:rFonts w:ascii="Verdana" w:hAnsi="Verdana" w:cs="Arial"/>
                <w:sz w:val="16"/>
                <w:szCs w:val="16"/>
              </w:rPr>
              <w:t>Contratista de la Subdirección de Gestión Contractual</w:t>
            </w:r>
            <w:r w:rsidRPr="001F2BCD">
              <w:rPr>
                <w:rStyle w:val="eop"/>
                <w:rFonts w:ascii="Verdana" w:hAnsi="Verdana" w:cs="Arial"/>
                <w:sz w:val="16"/>
                <w:szCs w:val="16"/>
              </w:rPr>
              <w:t> </w:t>
            </w:r>
          </w:p>
        </w:tc>
      </w:tr>
      <w:tr w:rsidR="009629BF" w:rsidRPr="00FF007A" w14:paraId="03770188" w14:textId="77777777" w:rsidTr="00533115">
        <w:trPr>
          <w:trHeight w:val="300"/>
        </w:trPr>
        <w:tc>
          <w:tcPr>
            <w:tcW w:w="893" w:type="dxa"/>
            <w:vAlign w:val="center"/>
          </w:tcPr>
          <w:p w14:paraId="1E4CD8FA" w14:textId="77777777" w:rsidR="009629BF" w:rsidRPr="00FF007A" w:rsidRDefault="009629BF" w:rsidP="00533115">
            <w:pPr>
              <w:contextualSpacing/>
              <w:rPr>
                <w:rFonts w:ascii="Verdana" w:hAnsi="Verdana" w:cs="Arial"/>
                <w:sz w:val="16"/>
                <w:szCs w:val="16"/>
                <w:lang w:eastAsia="es-ES"/>
              </w:rPr>
            </w:pPr>
            <w:r w:rsidRPr="00FF007A">
              <w:rPr>
                <w:rFonts w:ascii="Verdana" w:hAnsi="Verdana" w:cs="Arial"/>
                <w:sz w:val="16"/>
                <w:szCs w:val="16"/>
                <w:lang w:eastAsia="es-ES"/>
              </w:rPr>
              <w:lastRenderedPageBreak/>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052CB8EE" w14:textId="77777777" w:rsidR="009629BF" w:rsidRPr="00FF007A" w:rsidRDefault="009629BF" w:rsidP="00533115">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 xml:space="preserve">Carolina Quintero </w:t>
            </w:r>
            <w:proofErr w:type="spellStart"/>
            <w:r w:rsidRPr="00FF007A">
              <w:rPr>
                <w:rFonts w:ascii="Verdana" w:eastAsia="Calibri" w:hAnsi="Verdana" w:cs="Arial"/>
                <w:sz w:val="16"/>
                <w:szCs w:val="16"/>
                <w:lang w:eastAsia="es-ES"/>
              </w:rPr>
              <w:t>Gacharná</w:t>
            </w:r>
            <w:proofErr w:type="spellEnd"/>
          </w:p>
          <w:p w14:paraId="1FBF283A" w14:textId="77777777" w:rsidR="009629BF" w:rsidRPr="00FF007A" w:rsidRDefault="009629BF" w:rsidP="00533115">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Subdirectora de Gestión Contractual ANCP – CCE</w:t>
            </w:r>
          </w:p>
        </w:tc>
      </w:tr>
      <w:bookmarkEnd w:id="0"/>
      <w:bookmarkEnd w:id="1"/>
      <w:bookmarkEnd w:id="2"/>
      <w:bookmarkEnd w:id="3"/>
      <w:bookmarkEnd w:id="4"/>
      <w:bookmarkEnd w:id="5"/>
      <w:bookmarkEnd w:id="6"/>
      <w:bookmarkEnd w:id="7"/>
      <w:bookmarkEnd w:id="8"/>
    </w:tbl>
    <w:p w14:paraId="0F293BF4" w14:textId="13F76B81" w:rsidR="00127233" w:rsidRPr="00E00203" w:rsidRDefault="00127233" w:rsidP="00E00203"/>
    <w:sectPr w:rsidR="00127233" w:rsidRPr="00E0020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C05A56" w14:textId="77777777" w:rsidR="00263432" w:rsidRDefault="00263432" w:rsidP="004A1847">
      <w:pPr>
        <w:spacing w:after="0" w:line="240" w:lineRule="auto"/>
      </w:pPr>
      <w:r>
        <w:separator/>
      </w:r>
    </w:p>
  </w:endnote>
  <w:endnote w:type="continuationSeparator" w:id="0">
    <w:p w14:paraId="7D2C5090" w14:textId="77777777" w:rsidR="00263432" w:rsidRDefault="0026343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A2936" w14:textId="77777777" w:rsidR="00263432" w:rsidRDefault="00263432" w:rsidP="004A1847">
      <w:pPr>
        <w:spacing w:after="0" w:line="240" w:lineRule="auto"/>
      </w:pPr>
      <w:r>
        <w:separator/>
      </w:r>
    </w:p>
  </w:footnote>
  <w:footnote w:type="continuationSeparator" w:id="0">
    <w:p w14:paraId="6F589156" w14:textId="77777777" w:rsidR="00263432" w:rsidRDefault="00263432" w:rsidP="004A1847">
      <w:pPr>
        <w:spacing w:after="0" w:line="240" w:lineRule="auto"/>
      </w:pPr>
      <w:r>
        <w:continuationSeparator/>
      </w:r>
    </w:p>
  </w:footnote>
  <w:footnote w:id="1">
    <w:p w14:paraId="05035051" w14:textId="77777777" w:rsidR="009629BF" w:rsidRPr="001E453D" w:rsidRDefault="009629BF" w:rsidP="009629BF">
      <w:pPr>
        <w:pStyle w:val="Textonotapie"/>
        <w:ind w:firstLine="708"/>
        <w:jc w:val="both"/>
        <w:rPr>
          <w:rFonts w:ascii="Verdana" w:hAnsi="Verdana"/>
          <w:sz w:val="16"/>
          <w:szCs w:val="16"/>
          <w:lang w:val="es-ES"/>
        </w:rPr>
      </w:pPr>
      <w:r w:rsidRPr="001E453D">
        <w:rPr>
          <w:rStyle w:val="Refdenotaalpie"/>
          <w:rFonts w:ascii="Verdana" w:hAnsi="Verdana"/>
          <w:sz w:val="16"/>
          <w:szCs w:val="16"/>
        </w:rPr>
        <w:footnoteRef/>
      </w:r>
      <w:r w:rsidRPr="001E453D">
        <w:rPr>
          <w:rFonts w:ascii="Verdana" w:hAnsi="Verdana"/>
          <w:sz w:val="16"/>
          <w:szCs w:val="16"/>
        </w:rPr>
        <w:t xml:space="preserve"> C</w:t>
      </w:r>
      <w:r>
        <w:rPr>
          <w:rFonts w:ascii="Verdana" w:hAnsi="Verdana"/>
          <w:sz w:val="16"/>
          <w:szCs w:val="16"/>
        </w:rPr>
        <w:t>orte Constitucional</w:t>
      </w:r>
      <w:r w:rsidRPr="001E453D">
        <w:rPr>
          <w:rFonts w:ascii="Verdana" w:hAnsi="Verdana"/>
          <w:sz w:val="16"/>
          <w:szCs w:val="16"/>
        </w:rPr>
        <w:t>. Sentencia C-949 del 5 de septiembre de 2001. M.P</w:t>
      </w:r>
      <w:r>
        <w:rPr>
          <w:rFonts w:ascii="Verdana" w:hAnsi="Verdana"/>
          <w:sz w:val="16"/>
          <w:szCs w:val="16"/>
        </w:rPr>
        <w:t>:</w:t>
      </w:r>
      <w:r w:rsidRPr="001E453D">
        <w:rPr>
          <w:rFonts w:ascii="Verdana" w:hAnsi="Verdana"/>
          <w:sz w:val="16"/>
          <w:szCs w:val="16"/>
        </w:rPr>
        <w:t xml:space="preserve"> Clara Inés Vargas Hernández.  </w:t>
      </w:r>
    </w:p>
  </w:footnote>
  <w:footnote w:id="2">
    <w:p w14:paraId="6B2CF07D" w14:textId="77777777" w:rsidR="009629BF" w:rsidRPr="001E453D" w:rsidRDefault="009629BF" w:rsidP="009629BF">
      <w:pPr>
        <w:pStyle w:val="Textonotapie"/>
        <w:ind w:firstLine="708"/>
        <w:jc w:val="both"/>
        <w:rPr>
          <w:rFonts w:ascii="Verdana" w:hAnsi="Verdana"/>
          <w:sz w:val="16"/>
          <w:szCs w:val="16"/>
          <w:lang w:val="es-ES"/>
        </w:rPr>
      </w:pPr>
      <w:r w:rsidRPr="001E453D">
        <w:rPr>
          <w:rStyle w:val="Refdenotaalpie"/>
          <w:rFonts w:ascii="Verdana" w:hAnsi="Verdana"/>
          <w:sz w:val="16"/>
          <w:szCs w:val="16"/>
        </w:rPr>
        <w:footnoteRef/>
      </w:r>
      <w:r w:rsidRPr="001E453D">
        <w:rPr>
          <w:rFonts w:ascii="Verdana" w:hAnsi="Verdana"/>
          <w:sz w:val="16"/>
          <w:szCs w:val="16"/>
        </w:rPr>
        <w:t xml:space="preserve"> Consejo de Estado.</w:t>
      </w:r>
      <w:r>
        <w:rPr>
          <w:rFonts w:ascii="Verdana" w:hAnsi="Verdana"/>
          <w:sz w:val="16"/>
          <w:szCs w:val="16"/>
        </w:rPr>
        <w:t xml:space="preserve"> Sala de lo Contencioso Administrativo.</w:t>
      </w:r>
      <w:r w:rsidRPr="001E453D">
        <w:rPr>
          <w:rFonts w:ascii="Verdana" w:hAnsi="Verdana"/>
          <w:sz w:val="16"/>
          <w:szCs w:val="16"/>
        </w:rPr>
        <w:t xml:space="preserve"> Sección Tercera. Sentencia del 27 de abril de 2011. </w:t>
      </w:r>
      <w:r>
        <w:rPr>
          <w:rFonts w:ascii="Verdana" w:hAnsi="Verdana"/>
          <w:sz w:val="16"/>
          <w:szCs w:val="16"/>
        </w:rPr>
        <w:t xml:space="preserve">Radicado: </w:t>
      </w:r>
      <w:r w:rsidRPr="0086621B">
        <w:rPr>
          <w:rFonts w:ascii="Verdana" w:hAnsi="Verdana"/>
          <w:sz w:val="16"/>
          <w:szCs w:val="16"/>
          <w:lang w:val="es-CO"/>
        </w:rPr>
        <w:t>25000-23-26-000-1997-03924-01</w:t>
      </w:r>
      <w:r w:rsidRPr="001E453D">
        <w:rPr>
          <w:rFonts w:ascii="Verdana" w:hAnsi="Verdana"/>
          <w:sz w:val="16"/>
          <w:szCs w:val="16"/>
        </w:rPr>
        <w:t xml:space="preserve"> </w:t>
      </w:r>
      <w:r>
        <w:rPr>
          <w:rFonts w:ascii="Verdana" w:hAnsi="Verdana"/>
          <w:sz w:val="16"/>
          <w:szCs w:val="16"/>
        </w:rPr>
        <w:t>(</w:t>
      </w:r>
      <w:r w:rsidRPr="001E453D">
        <w:rPr>
          <w:rFonts w:ascii="Verdana" w:hAnsi="Verdana"/>
          <w:sz w:val="16"/>
          <w:szCs w:val="16"/>
        </w:rPr>
        <w:t>18.293</w:t>
      </w:r>
      <w:r>
        <w:rPr>
          <w:rFonts w:ascii="Verdana" w:hAnsi="Verdana"/>
          <w:sz w:val="16"/>
          <w:szCs w:val="16"/>
        </w:rPr>
        <w:t>)</w:t>
      </w:r>
      <w:r w:rsidRPr="001E453D">
        <w:rPr>
          <w:rFonts w:ascii="Verdana" w:hAnsi="Verdana"/>
          <w:sz w:val="16"/>
          <w:szCs w:val="16"/>
        </w:rPr>
        <w:t>. C.P</w:t>
      </w:r>
      <w:r>
        <w:rPr>
          <w:rFonts w:ascii="Verdana" w:hAnsi="Verdana"/>
          <w:sz w:val="16"/>
          <w:szCs w:val="16"/>
        </w:rPr>
        <w:t>:</w:t>
      </w:r>
      <w:r w:rsidRPr="001E453D">
        <w:rPr>
          <w:rFonts w:ascii="Verdana" w:hAnsi="Verdana"/>
          <w:sz w:val="16"/>
          <w:szCs w:val="16"/>
        </w:rPr>
        <w:t xml:space="preserve"> Ruth Stella Correa Palacio.</w:t>
      </w:r>
    </w:p>
  </w:footnote>
  <w:footnote w:id="3">
    <w:p w14:paraId="3612ED09" w14:textId="77777777" w:rsidR="009629BF" w:rsidRDefault="009629BF" w:rsidP="009629BF">
      <w:pPr>
        <w:pStyle w:val="Textonotapie"/>
        <w:ind w:firstLine="708"/>
        <w:jc w:val="both"/>
        <w:rPr>
          <w:rFonts w:ascii="Verdana" w:hAnsi="Verdana"/>
          <w:sz w:val="16"/>
          <w:szCs w:val="16"/>
        </w:rPr>
      </w:pPr>
      <w:r w:rsidRPr="001E453D">
        <w:rPr>
          <w:rStyle w:val="Refdenotaalpie"/>
          <w:rFonts w:ascii="Verdana" w:hAnsi="Verdana"/>
          <w:sz w:val="16"/>
          <w:szCs w:val="16"/>
        </w:rPr>
        <w:footnoteRef/>
      </w:r>
      <w:r w:rsidRPr="001E453D">
        <w:rPr>
          <w:rFonts w:ascii="Verdana" w:hAnsi="Verdana"/>
          <w:sz w:val="16"/>
          <w:szCs w:val="16"/>
        </w:rPr>
        <w:t xml:space="preserve"> Consejo de Estado. </w:t>
      </w:r>
      <w:r>
        <w:rPr>
          <w:rFonts w:ascii="Verdana" w:hAnsi="Verdana"/>
          <w:sz w:val="16"/>
          <w:szCs w:val="16"/>
        </w:rPr>
        <w:t xml:space="preserve">Sala de lo Contencioso Administrativo. </w:t>
      </w:r>
      <w:r w:rsidRPr="001E453D">
        <w:rPr>
          <w:rFonts w:ascii="Verdana" w:hAnsi="Verdana"/>
          <w:sz w:val="16"/>
          <w:szCs w:val="16"/>
        </w:rPr>
        <w:t>Sección Tercera. Sentencia del 21 de noviembre de 2013</w:t>
      </w:r>
      <w:r>
        <w:rPr>
          <w:rFonts w:ascii="Verdana" w:hAnsi="Verdana"/>
          <w:sz w:val="16"/>
          <w:szCs w:val="16"/>
        </w:rPr>
        <w:t xml:space="preserve">. Radicado: </w:t>
      </w:r>
      <w:r w:rsidRPr="0086621B">
        <w:rPr>
          <w:rFonts w:ascii="Verdana" w:hAnsi="Verdana"/>
          <w:sz w:val="16"/>
          <w:szCs w:val="16"/>
          <w:lang w:val="es-CO"/>
        </w:rPr>
        <w:t>25000-23-26-000-1999-01850-01</w:t>
      </w:r>
      <w:r w:rsidRPr="001E453D">
        <w:rPr>
          <w:rFonts w:ascii="Verdana" w:hAnsi="Verdana"/>
          <w:sz w:val="16"/>
          <w:szCs w:val="16"/>
        </w:rPr>
        <w:t xml:space="preserve"> </w:t>
      </w:r>
      <w:r>
        <w:rPr>
          <w:rFonts w:ascii="Verdana" w:hAnsi="Verdana"/>
          <w:sz w:val="16"/>
          <w:szCs w:val="16"/>
        </w:rPr>
        <w:t>(</w:t>
      </w:r>
      <w:r w:rsidRPr="001E453D">
        <w:rPr>
          <w:rFonts w:ascii="Verdana" w:hAnsi="Verdana"/>
          <w:sz w:val="16"/>
          <w:szCs w:val="16"/>
        </w:rPr>
        <w:t>25397</w:t>
      </w:r>
      <w:r>
        <w:rPr>
          <w:rFonts w:ascii="Verdana" w:hAnsi="Verdana"/>
          <w:sz w:val="16"/>
          <w:szCs w:val="16"/>
        </w:rPr>
        <w:t>)</w:t>
      </w:r>
      <w:r w:rsidRPr="001E453D">
        <w:rPr>
          <w:rFonts w:ascii="Verdana" w:hAnsi="Verdana"/>
          <w:sz w:val="16"/>
          <w:szCs w:val="16"/>
        </w:rPr>
        <w:t>. C.P</w:t>
      </w:r>
      <w:r>
        <w:rPr>
          <w:rFonts w:ascii="Verdana" w:hAnsi="Verdana"/>
          <w:sz w:val="16"/>
          <w:szCs w:val="16"/>
        </w:rPr>
        <w:t>:</w:t>
      </w:r>
      <w:r w:rsidRPr="001E453D">
        <w:rPr>
          <w:rFonts w:ascii="Verdana" w:hAnsi="Verdana"/>
          <w:sz w:val="16"/>
          <w:szCs w:val="16"/>
        </w:rPr>
        <w:t xml:space="preserve"> Carlos Alberto Zambrano Barrera.</w:t>
      </w:r>
    </w:p>
    <w:p w14:paraId="0F1C5567" w14:textId="77777777" w:rsidR="009629BF" w:rsidRPr="001E453D" w:rsidRDefault="009629BF" w:rsidP="009629BF">
      <w:pPr>
        <w:pStyle w:val="Textonotapie"/>
        <w:ind w:firstLine="708"/>
        <w:jc w:val="both"/>
        <w:rPr>
          <w:rFonts w:ascii="Verdana" w:hAnsi="Verdana"/>
          <w:sz w:val="16"/>
          <w:szCs w:val="16"/>
          <w:lang w:val="es-ES"/>
        </w:rPr>
      </w:pPr>
    </w:p>
  </w:footnote>
  <w:footnote w:id="4">
    <w:p w14:paraId="4D050FCF" w14:textId="77777777" w:rsidR="009629BF" w:rsidRDefault="009629BF" w:rsidP="009629BF">
      <w:pPr>
        <w:spacing w:after="0" w:line="240" w:lineRule="auto"/>
        <w:ind w:firstLine="708"/>
        <w:jc w:val="both"/>
        <w:rPr>
          <w:rFonts w:ascii="Verdana" w:eastAsia="Arial" w:hAnsi="Verdana" w:cs="Arial"/>
          <w:color w:val="000000"/>
          <w:sz w:val="16"/>
          <w:szCs w:val="16"/>
        </w:rPr>
      </w:pPr>
      <w:r w:rsidRPr="001E453D">
        <w:rPr>
          <w:rFonts w:ascii="Verdana" w:hAnsi="Verdana" w:cs="Arial"/>
          <w:sz w:val="16"/>
          <w:szCs w:val="16"/>
          <w:vertAlign w:val="superscript"/>
        </w:rPr>
        <w:footnoteRef/>
      </w:r>
      <w:r w:rsidRPr="001E453D">
        <w:rPr>
          <w:rFonts w:ascii="Verdana" w:eastAsia="Arial" w:hAnsi="Verdana" w:cs="Arial"/>
          <w:color w:val="000000"/>
          <w:sz w:val="16"/>
          <w:szCs w:val="16"/>
        </w:rPr>
        <w:t xml:space="preserve"> Al respecto, conviene recordar el artículo 29 de la Ley 80 de 1993, derogado por el artículo 32 de la Ley 1150 de 2007, que establecía: </w:t>
      </w:r>
    </w:p>
    <w:p w14:paraId="563C454D" w14:textId="77777777" w:rsidR="009629BF" w:rsidRDefault="009629BF" w:rsidP="009629BF">
      <w:pPr>
        <w:spacing w:after="0" w:line="240" w:lineRule="auto"/>
        <w:ind w:firstLine="708"/>
        <w:jc w:val="both"/>
        <w:rPr>
          <w:rFonts w:ascii="Verdana" w:eastAsia="Arial" w:hAnsi="Verdana" w:cs="Arial"/>
          <w:color w:val="000000"/>
          <w:sz w:val="16"/>
          <w:szCs w:val="16"/>
        </w:rPr>
      </w:pPr>
      <w:r w:rsidRPr="001E453D">
        <w:rPr>
          <w:rFonts w:ascii="Verdana" w:eastAsia="Arial" w:hAnsi="Verdana" w:cs="Arial"/>
          <w:color w:val="000000"/>
          <w:sz w:val="16"/>
          <w:szCs w:val="16"/>
        </w:rPr>
        <w:t>“La selección de contratistas será objetiva.</w:t>
      </w:r>
    </w:p>
    <w:p w14:paraId="613B714A" w14:textId="77777777" w:rsidR="009629BF" w:rsidRPr="001E453D" w:rsidRDefault="009629BF" w:rsidP="009629BF">
      <w:pPr>
        <w:spacing w:after="0" w:line="240" w:lineRule="auto"/>
        <w:ind w:firstLine="708"/>
        <w:jc w:val="both"/>
        <w:rPr>
          <w:rFonts w:ascii="Verdana" w:eastAsia="Arial" w:hAnsi="Verdana" w:cs="Arial"/>
          <w:color w:val="000000"/>
          <w:sz w:val="16"/>
          <w:szCs w:val="16"/>
        </w:rPr>
      </w:pPr>
      <w:r w:rsidRPr="001E453D">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40760750" w14:textId="77777777" w:rsidR="009629BF" w:rsidRDefault="009629BF" w:rsidP="009629BF">
      <w:pPr>
        <w:spacing w:after="0" w:line="240" w:lineRule="auto"/>
        <w:jc w:val="both"/>
        <w:rPr>
          <w:rFonts w:ascii="Verdana" w:eastAsia="Arial" w:hAnsi="Verdana" w:cs="Arial"/>
          <w:color w:val="000000"/>
          <w:sz w:val="16"/>
          <w:szCs w:val="16"/>
        </w:rPr>
      </w:pPr>
      <w:r w:rsidRPr="001E453D">
        <w:rPr>
          <w:rFonts w:ascii="Verdana" w:eastAsia="Arial" w:hAnsi="Verdana" w:cs="Arial"/>
          <w:color w:val="000000"/>
          <w:sz w:val="16"/>
          <w:szCs w:val="16"/>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0B036354" w14:textId="77777777" w:rsidR="009629BF" w:rsidRPr="001E453D" w:rsidRDefault="009629BF" w:rsidP="009629BF">
      <w:pPr>
        <w:spacing w:after="0" w:line="240" w:lineRule="auto"/>
        <w:ind w:firstLine="709"/>
        <w:jc w:val="both"/>
        <w:rPr>
          <w:rFonts w:ascii="Verdana" w:eastAsia="Arial" w:hAnsi="Verdana" w:cs="Arial"/>
          <w:color w:val="000000"/>
          <w:sz w:val="16"/>
          <w:szCs w:val="16"/>
        </w:rPr>
      </w:pPr>
      <w:r w:rsidRPr="001E453D">
        <w:rPr>
          <w:rFonts w:ascii="Verdana" w:eastAsia="Arial" w:hAnsi="Verdana"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1C064A23" w14:textId="77777777" w:rsidR="009629BF" w:rsidRPr="001E453D" w:rsidRDefault="009629BF" w:rsidP="009629BF">
      <w:pPr>
        <w:spacing w:after="0" w:line="240" w:lineRule="auto"/>
        <w:ind w:firstLine="709"/>
        <w:jc w:val="both"/>
        <w:rPr>
          <w:rFonts w:ascii="Verdana" w:eastAsia="Arial" w:hAnsi="Verdana" w:cs="Arial"/>
          <w:color w:val="000000"/>
          <w:sz w:val="16"/>
          <w:szCs w:val="16"/>
        </w:rPr>
      </w:pPr>
      <w:r w:rsidRPr="001E453D">
        <w:rPr>
          <w:rFonts w:ascii="Verdana" w:eastAsia="Arial" w:hAnsi="Verdana" w:cs="Arial"/>
          <w:color w:val="000000"/>
          <w:sz w:val="16"/>
          <w:szCs w:val="16"/>
        </w:rPr>
        <w:t>En caso de comparación de propuestas nacionales y extranjeras, se incluirán los costos necesarios para la entrega del producto terminado en el lugar de su utilización”.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2909C8"/>
    <w:multiLevelType w:val="hybridMultilevel"/>
    <w:tmpl w:val="E2F20D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21058801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7DC6"/>
    <w:rsid w:val="002421BB"/>
    <w:rsid w:val="0025796E"/>
    <w:rsid w:val="00263432"/>
    <w:rsid w:val="002707A2"/>
    <w:rsid w:val="002951A0"/>
    <w:rsid w:val="002962BC"/>
    <w:rsid w:val="002A093D"/>
    <w:rsid w:val="002A0DD0"/>
    <w:rsid w:val="002A1EEC"/>
    <w:rsid w:val="002A49AC"/>
    <w:rsid w:val="002A64FD"/>
    <w:rsid w:val="002C7A84"/>
    <w:rsid w:val="002E4FD9"/>
    <w:rsid w:val="00322A85"/>
    <w:rsid w:val="00324168"/>
    <w:rsid w:val="003448F4"/>
    <w:rsid w:val="00354C0A"/>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4655D"/>
    <w:rsid w:val="005566E8"/>
    <w:rsid w:val="00574867"/>
    <w:rsid w:val="00591460"/>
    <w:rsid w:val="005C3777"/>
    <w:rsid w:val="005C5CDC"/>
    <w:rsid w:val="005D476C"/>
    <w:rsid w:val="006219F8"/>
    <w:rsid w:val="006302F7"/>
    <w:rsid w:val="00665D70"/>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B7693"/>
    <w:rsid w:val="008D180B"/>
    <w:rsid w:val="008F0EA7"/>
    <w:rsid w:val="00923EEF"/>
    <w:rsid w:val="0093040F"/>
    <w:rsid w:val="009419F9"/>
    <w:rsid w:val="0095685E"/>
    <w:rsid w:val="00961B09"/>
    <w:rsid w:val="009629BF"/>
    <w:rsid w:val="00965334"/>
    <w:rsid w:val="0097093E"/>
    <w:rsid w:val="009A0DFA"/>
    <w:rsid w:val="009B25A8"/>
    <w:rsid w:val="009B2D26"/>
    <w:rsid w:val="009C23BC"/>
    <w:rsid w:val="009C71FA"/>
    <w:rsid w:val="009C72E7"/>
    <w:rsid w:val="009D3058"/>
    <w:rsid w:val="009F3A13"/>
    <w:rsid w:val="00A122D3"/>
    <w:rsid w:val="00A17F13"/>
    <w:rsid w:val="00A20739"/>
    <w:rsid w:val="00A33C78"/>
    <w:rsid w:val="00AB0ADB"/>
    <w:rsid w:val="00B00C0E"/>
    <w:rsid w:val="00B01B1A"/>
    <w:rsid w:val="00B17269"/>
    <w:rsid w:val="00B44A47"/>
    <w:rsid w:val="00B72CD3"/>
    <w:rsid w:val="00B72FFF"/>
    <w:rsid w:val="00BC3D36"/>
    <w:rsid w:val="00BD7F72"/>
    <w:rsid w:val="00C04FB3"/>
    <w:rsid w:val="00C330EB"/>
    <w:rsid w:val="00C754BE"/>
    <w:rsid w:val="00C76B1C"/>
    <w:rsid w:val="00CB6357"/>
    <w:rsid w:val="00CC1B26"/>
    <w:rsid w:val="00D423A2"/>
    <w:rsid w:val="00D520D8"/>
    <w:rsid w:val="00D63AC2"/>
    <w:rsid w:val="00D7383B"/>
    <w:rsid w:val="00D75F79"/>
    <w:rsid w:val="00DA231B"/>
    <w:rsid w:val="00DC39FC"/>
    <w:rsid w:val="00DF5254"/>
    <w:rsid w:val="00E00203"/>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1525"/>
    <w:rsid w:val="00F31EDC"/>
    <w:rsid w:val="00F462B3"/>
    <w:rsid w:val="00F5664F"/>
    <w:rsid w:val="00F666C4"/>
    <w:rsid w:val="00F76AFC"/>
    <w:rsid w:val="00FA47C0"/>
    <w:rsid w:val="00FB5DD1"/>
    <w:rsid w:val="00FC2B5D"/>
    <w:rsid w:val="00FF1449"/>
    <w:rsid w:val="70D179E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629B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629BF"/>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STRUCCIONESELEMENTAL@AO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3478E8-792B-4576-A560-CDD23D7E25A9}"/>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15</Pages>
  <Words>4802</Words>
  <Characters>26411</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3</cp:revision>
  <cp:lastPrinted>2023-01-10T21:18:00Z</cp:lastPrinted>
  <dcterms:created xsi:type="dcterms:W3CDTF">2025-10-28T21:41:00Z</dcterms:created>
  <dcterms:modified xsi:type="dcterms:W3CDTF">2025-10-28T23:44:00Z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