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1B43F" w14:textId="77777777" w:rsidR="00F62BEE" w:rsidRPr="00F252D7" w:rsidRDefault="00F62BEE" w:rsidP="00F62BEE">
      <w:pPr>
        <w:spacing w:after="0" w:line="240" w:lineRule="auto"/>
        <w:contextualSpacing/>
        <w:jc w:val="both"/>
        <w:rPr>
          <w:rFonts w:ascii="Verdana" w:eastAsia="Calibri" w:hAnsi="Verdana" w:cs="Arial"/>
          <w:b/>
          <w:noProof/>
          <w:lang w:val="es-ES_tradnl" w:eastAsia="es-ES_tradnl"/>
        </w:rPr>
      </w:pPr>
      <w:bookmarkStart w:id="0" w:name="_Hlk143780582"/>
      <w:r w:rsidRPr="00F252D7">
        <w:rPr>
          <w:rFonts w:ascii="Verdana" w:eastAsia="Calibri" w:hAnsi="Verdana" w:cs="Arial"/>
          <w:b/>
          <w:noProof/>
          <w:lang w:val="es-ES_tradnl" w:eastAsia="es-ES_tradnl"/>
        </w:rPr>
        <w:t xml:space="preserve">PLANEACIÓN CONTRACTUAL – Noción </w:t>
      </w:r>
    </w:p>
    <w:p w14:paraId="137C8106" w14:textId="77777777" w:rsidR="00F62BEE" w:rsidRPr="00F252D7" w:rsidRDefault="00F62BEE" w:rsidP="00F62BEE">
      <w:pPr>
        <w:spacing w:after="0" w:line="240" w:lineRule="auto"/>
        <w:contextualSpacing/>
        <w:jc w:val="both"/>
        <w:rPr>
          <w:rFonts w:ascii="Verdana" w:eastAsia="Calibri" w:hAnsi="Verdana" w:cs="Arial"/>
          <w:b/>
          <w:noProof/>
          <w:sz w:val="20"/>
          <w:szCs w:val="20"/>
          <w:lang w:val="es-ES_tradnl" w:eastAsia="es-ES_tradnl"/>
        </w:rPr>
      </w:pPr>
    </w:p>
    <w:p w14:paraId="2A6E7623" w14:textId="77777777" w:rsidR="00F62BEE" w:rsidRPr="00F252D7" w:rsidRDefault="00F62BEE" w:rsidP="00F62BEE">
      <w:pPr>
        <w:spacing w:after="0" w:line="240" w:lineRule="auto"/>
        <w:contextualSpacing/>
        <w:jc w:val="both"/>
        <w:rPr>
          <w:rFonts w:ascii="Verdana" w:eastAsia="Calibri" w:hAnsi="Verdana" w:cs="Arial"/>
          <w:bCs/>
          <w:sz w:val="20"/>
          <w:szCs w:val="20"/>
          <w:lang w:val="es-ES_tradnl" w:eastAsia="es-MX"/>
        </w:rPr>
      </w:pPr>
      <w:r w:rsidRPr="00F252D7">
        <w:rPr>
          <w:rFonts w:ascii="Verdana" w:eastAsia="Calibri" w:hAnsi="Verdana" w:cs="Arial"/>
          <w:bCs/>
          <w:sz w:val="20"/>
          <w:szCs w:val="20"/>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6AB6D49C" w14:textId="77777777" w:rsidR="00F62BEE" w:rsidRPr="00F252D7" w:rsidRDefault="00F62BEE" w:rsidP="00F62BEE">
      <w:pPr>
        <w:spacing w:after="0" w:line="240" w:lineRule="auto"/>
        <w:contextualSpacing/>
        <w:jc w:val="both"/>
        <w:rPr>
          <w:rFonts w:ascii="Verdana" w:eastAsia="Times New Roman" w:hAnsi="Verdana" w:cs="Arial"/>
          <w:sz w:val="20"/>
          <w:szCs w:val="20"/>
          <w:lang w:val="es-ES_tradnl" w:eastAsia="es-MX"/>
        </w:rPr>
      </w:pPr>
    </w:p>
    <w:p w14:paraId="030751D9" w14:textId="77777777" w:rsidR="00F62BEE" w:rsidRPr="00F252D7" w:rsidRDefault="00F62BEE" w:rsidP="00F62BEE">
      <w:pPr>
        <w:spacing w:after="0" w:line="240" w:lineRule="auto"/>
        <w:contextualSpacing/>
        <w:jc w:val="both"/>
        <w:rPr>
          <w:rFonts w:ascii="Verdana" w:eastAsia="Calibri" w:hAnsi="Verdana" w:cs="Arial"/>
          <w:bCs/>
          <w:sz w:val="20"/>
          <w:szCs w:val="20"/>
          <w:lang w:val="es-MX" w:eastAsia="es-ES_tradnl"/>
        </w:rPr>
      </w:pPr>
      <w:r w:rsidRPr="00F252D7">
        <w:rPr>
          <w:rFonts w:ascii="Verdana" w:eastAsia="Calibri" w:hAnsi="Verdana" w:cs="Arial"/>
          <w:bCs/>
          <w:sz w:val="20"/>
          <w:szCs w:val="20"/>
          <w:lang w:val="es-MX" w:eastAsia="es-ES_tradnl"/>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4ADB97E5" w14:textId="77777777" w:rsidR="00F62BEE" w:rsidRPr="00F252D7" w:rsidRDefault="00F62BEE" w:rsidP="00F62BEE">
      <w:pPr>
        <w:spacing w:after="0" w:line="240" w:lineRule="auto"/>
        <w:contextualSpacing/>
        <w:jc w:val="both"/>
        <w:rPr>
          <w:rFonts w:ascii="Verdana" w:eastAsia="Calibri" w:hAnsi="Verdana" w:cs="Arial"/>
          <w:b/>
          <w:noProof/>
          <w:sz w:val="20"/>
          <w:szCs w:val="20"/>
          <w:lang w:val="es-ES_tradnl" w:eastAsia="es-ES_tradnl"/>
        </w:rPr>
      </w:pPr>
    </w:p>
    <w:p w14:paraId="655F1085" w14:textId="77777777" w:rsidR="00F62BEE" w:rsidRPr="00F252D7" w:rsidRDefault="00F62BEE" w:rsidP="00F62BEE">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Análisis del sector – Planeación en los procesos de contratación pública</w:t>
      </w:r>
    </w:p>
    <w:p w14:paraId="0B09B77B" w14:textId="77777777" w:rsidR="00F62BEE" w:rsidRPr="00F252D7" w:rsidRDefault="00F62BEE" w:rsidP="00F62BEE">
      <w:pPr>
        <w:spacing w:after="0" w:line="240" w:lineRule="auto"/>
        <w:contextualSpacing/>
        <w:jc w:val="both"/>
        <w:rPr>
          <w:rFonts w:ascii="Verdana" w:eastAsia="Times New Roman" w:hAnsi="Verdana" w:cs="Arial"/>
          <w:sz w:val="20"/>
          <w:szCs w:val="20"/>
          <w:lang w:eastAsia="es-ES_tradnl"/>
        </w:rPr>
      </w:pPr>
    </w:p>
    <w:p w14:paraId="0ED09226" w14:textId="77777777" w:rsidR="00F62BEE" w:rsidRDefault="00F62BEE" w:rsidP="00F62BEE">
      <w:pPr>
        <w:spacing w:after="0" w:line="240" w:lineRule="auto"/>
        <w:contextualSpacing/>
        <w:jc w:val="both"/>
        <w:rPr>
          <w:rFonts w:ascii="Verdana" w:eastAsia="Times New Roman" w:hAnsi="Verdana" w:cs="Arial"/>
          <w:sz w:val="20"/>
          <w:szCs w:val="20"/>
          <w:lang w:val="es-ES_tradnl" w:eastAsia="es-MX"/>
        </w:rPr>
      </w:pPr>
      <w:r w:rsidRPr="00F252D7">
        <w:rPr>
          <w:rFonts w:ascii="Verdana" w:eastAsia="Calibri" w:hAnsi="Verdana" w:cs="Arial"/>
          <w:sz w:val="20"/>
          <w:szCs w:val="20"/>
          <w:lang w:eastAsia="es-ES_tradnl"/>
        </w:rPr>
        <w:t xml:space="preserve">[…] </w:t>
      </w:r>
      <w:r w:rsidRPr="00F252D7">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w:t>
      </w:r>
      <w:proofErr w:type="spellStart"/>
      <w:r w:rsidRPr="00F252D7">
        <w:rPr>
          <w:rFonts w:ascii="Verdana" w:eastAsia="Times New Roman" w:hAnsi="Verdana" w:cs="Arial"/>
          <w:sz w:val="20"/>
          <w:szCs w:val="20"/>
          <w:lang w:val="es-ES_tradnl" w:eastAsia="es-MX"/>
        </w:rPr>
        <w:t>ii</w:t>
      </w:r>
      <w:proofErr w:type="spellEnd"/>
      <w:r w:rsidRPr="00F252D7">
        <w:rPr>
          <w:rFonts w:ascii="Verdana" w:eastAsia="Times New Roman" w:hAnsi="Verdana" w:cs="Arial"/>
          <w:sz w:val="20"/>
          <w:szCs w:val="20"/>
          <w:lang w:val="es-ES_tradnl" w:eastAsia="es-MX"/>
        </w:rPr>
        <w:t xml:space="preserve">) las modalidades existentes para satisfacer esa necesidad y las razones que justifiquen la modalidad o tipo contractual que se escoja; </w:t>
      </w:r>
      <w:proofErr w:type="spellStart"/>
      <w:r w:rsidRPr="00F252D7">
        <w:rPr>
          <w:rFonts w:ascii="Verdana" w:eastAsia="Times New Roman" w:hAnsi="Verdana" w:cs="Arial"/>
          <w:sz w:val="20"/>
          <w:szCs w:val="20"/>
          <w:lang w:val="es-ES_tradnl" w:eastAsia="es-MX"/>
        </w:rPr>
        <w:t>iii</w:t>
      </w:r>
      <w:proofErr w:type="spellEnd"/>
      <w:r w:rsidRPr="00F252D7">
        <w:rPr>
          <w:rFonts w:ascii="Verdana" w:eastAsia="Times New Roman" w:hAnsi="Verdana" w:cs="Arial"/>
          <w:sz w:val="20"/>
          <w:szCs w:val="20"/>
          <w:lang w:val="es-ES_tradnl" w:eastAsia="es-MX"/>
        </w:rPr>
        <w:t xml:space="preserve">) las calidades, especificaciones, cantidades y demás características que puedan o deban reunir los bienes, las obras o los servicios cuya contratación se haya determinado necesaria, </w:t>
      </w:r>
      <w:proofErr w:type="spellStart"/>
      <w:r w:rsidRPr="00F252D7">
        <w:rPr>
          <w:rFonts w:ascii="Verdana" w:eastAsia="Times New Roman" w:hAnsi="Verdana" w:cs="Arial"/>
          <w:sz w:val="20"/>
          <w:szCs w:val="20"/>
          <w:lang w:val="es-ES_tradnl" w:eastAsia="es-MX"/>
        </w:rPr>
        <w:t>iv</w:t>
      </w:r>
      <w:proofErr w:type="spellEnd"/>
      <w:r w:rsidRPr="00F252D7">
        <w:rPr>
          <w:rFonts w:ascii="Verdana" w:eastAsia="Times New Roman" w:hAnsi="Verdana" w:cs="Arial"/>
          <w:sz w:val="20"/>
          <w:szCs w:val="20"/>
          <w:lang w:val="es-ES_tradnl"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252D7">
        <w:rPr>
          <w:rFonts w:ascii="Verdana" w:eastAsia="Times New Roman" w:hAnsi="Verdana" w:cs="Arial"/>
          <w:sz w:val="20"/>
          <w:szCs w:val="20"/>
          <w:lang w:val="es-ES_tradnl" w:eastAsia="es-MX"/>
        </w:rPr>
        <w:t>vii</w:t>
      </w:r>
      <w:proofErr w:type="spellEnd"/>
      <w:r w:rsidRPr="00F252D7">
        <w:rPr>
          <w:rFonts w:ascii="Verdana" w:eastAsia="Times New Roman" w:hAnsi="Verdana" w:cs="Arial"/>
          <w:sz w:val="20"/>
          <w:szCs w:val="20"/>
          <w:lang w:val="es-ES_tradnl"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r w:rsidRPr="00F252D7">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F252D7">
        <w:rPr>
          <w:rFonts w:ascii="Verdana" w:eastAsia="Times New Roman" w:hAnsi="Verdana" w:cs="Arial"/>
          <w:sz w:val="20"/>
          <w:szCs w:val="20"/>
          <w:lang w:val="es-ES_tradnl" w:eastAsia="es-MX"/>
        </w:rPr>
        <w:t>en una adecuada ejecución.</w:t>
      </w:r>
    </w:p>
    <w:p w14:paraId="72837293" w14:textId="77777777" w:rsidR="00F62BEE" w:rsidRDefault="00F62BEE" w:rsidP="00F62BEE">
      <w:pPr>
        <w:spacing w:after="0" w:line="240" w:lineRule="auto"/>
        <w:contextualSpacing/>
        <w:jc w:val="both"/>
        <w:rPr>
          <w:rFonts w:ascii="Verdana" w:eastAsia="Times New Roman" w:hAnsi="Verdana" w:cs="Arial"/>
          <w:sz w:val="20"/>
          <w:szCs w:val="20"/>
          <w:lang w:val="es-ES_tradnl" w:eastAsia="es-MX"/>
        </w:rPr>
      </w:pPr>
    </w:p>
    <w:p w14:paraId="37CF6923" w14:textId="77777777" w:rsidR="00F62BEE" w:rsidRPr="006D4F5F" w:rsidRDefault="00F62BEE" w:rsidP="00F62BEE">
      <w:pPr>
        <w:spacing w:after="0" w:line="240" w:lineRule="auto"/>
        <w:contextualSpacing/>
        <w:rPr>
          <w:rFonts w:ascii="Verdana" w:eastAsia="Times New Roman" w:hAnsi="Verdana" w:cs="Arial"/>
          <w:b/>
          <w:bCs/>
          <w:lang w:eastAsia="es-ES_tradnl"/>
        </w:rPr>
      </w:pPr>
      <w:r w:rsidRPr="006D4F5F">
        <w:rPr>
          <w:rFonts w:ascii="Verdana" w:eastAsia="Times New Roman" w:hAnsi="Verdana" w:cs="Arial"/>
          <w:b/>
          <w:bCs/>
          <w:lang w:eastAsia="es-ES_tradnl"/>
        </w:rPr>
        <w:t>ESTUDIOS PREVIOS – Estudio del mercado</w:t>
      </w:r>
    </w:p>
    <w:p w14:paraId="2B0147BF" w14:textId="77777777" w:rsidR="00F62BEE" w:rsidRPr="006D4F5F" w:rsidRDefault="00F62BEE" w:rsidP="00F62BEE">
      <w:pPr>
        <w:spacing w:after="0" w:line="240" w:lineRule="auto"/>
        <w:contextualSpacing/>
        <w:jc w:val="both"/>
        <w:rPr>
          <w:rFonts w:ascii="Verdana" w:eastAsia="Calibri" w:hAnsi="Verdana" w:cs="Arial"/>
          <w:sz w:val="20"/>
          <w:szCs w:val="20"/>
          <w:lang w:val="es-ES" w:eastAsia="es-ES_tradnl"/>
        </w:rPr>
      </w:pPr>
    </w:p>
    <w:p w14:paraId="6B2A30AB" w14:textId="77777777" w:rsidR="00F62BEE" w:rsidRPr="006D4F5F" w:rsidRDefault="00F62BEE" w:rsidP="00F62BEE">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Por último, el </w:t>
      </w:r>
      <w:r w:rsidRPr="006D4F5F">
        <w:rPr>
          <w:rFonts w:ascii="Verdana" w:eastAsia="Calibri" w:hAnsi="Verdana" w:cs="Arial"/>
          <w:i/>
          <w:iCs/>
          <w:sz w:val="20"/>
          <w:szCs w:val="20"/>
          <w:lang w:val="es-ES" w:eastAsia="es-ES_tradnl"/>
        </w:rPr>
        <w:t xml:space="preserve">estudio del mercado, </w:t>
      </w:r>
      <w:r w:rsidRPr="006D4F5F">
        <w:rPr>
          <w:rFonts w:ascii="Verdana" w:eastAsia="Calibri" w:hAnsi="Verdana" w:cs="Arial"/>
          <w:sz w:val="20"/>
          <w:szCs w:val="20"/>
          <w:lang w:val="es-ES" w:eastAsia="es-ES_tradnl"/>
        </w:rPr>
        <w:t xml:space="preserve">al cual hace referencia en su consulta,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Este estudio de mercado </w:t>
      </w:r>
      <w:r w:rsidRPr="006D4F5F">
        <w:rPr>
          <w:rFonts w:ascii="Verdana" w:eastAsia="Calibri" w:hAnsi="Verdana" w:cs="Arial"/>
          <w:sz w:val="20"/>
          <w:szCs w:val="20"/>
          <w:lang w:val="es-ES" w:eastAsia="es-ES_tradnl"/>
        </w:rPr>
        <w:lastRenderedPageBreak/>
        <w:t xml:space="preserve">debe responder claramente cuáles son las dinámicas de precio y, de esta manera, establecer el presupuesto oficial del proceso de contratación. </w:t>
      </w:r>
    </w:p>
    <w:p w14:paraId="4C99F87F" w14:textId="77777777" w:rsidR="00F62BEE" w:rsidRPr="006D4F5F" w:rsidRDefault="00F62BEE" w:rsidP="00F62BEE">
      <w:pPr>
        <w:spacing w:after="0" w:line="240" w:lineRule="auto"/>
        <w:contextualSpacing/>
        <w:jc w:val="both"/>
        <w:rPr>
          <w:rFonts w:ascii="Verdana" w:eastAsia="Calibri" w:hAnsi="Verdana" w:cs="Arial"/>
          <w:sz w:val="20"/>
          <w:szCs w:val="20"/>
          <w:lang w:val="es-ES" w:eastAsia="es-ES_tradnl"/>
        </w:rPr>
      </w:pPr>
    </w:p>
    <w:p w14:paraId="49DEFB06" w14:textId="77777777" w:rsidR="00F62BEE" w:rsidRDefault="00F62BEE" w:rsidP="00F62BEE">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En relación con la </w:t>
      </w:r>
      <w:r w:rsidRPr="006D4F5F">
        <w:rPr>
          <w:rFonts w:ascii="Verdana" w:eastAsia="Calibri" w:hAnsi="Verdana" w:cs="Arial"/>
          <w:i/>
          <w:iCs/>
          <w:sz w:val="20"/>
          <w:szCs w:val="20"/>
          <w:lang w:val="es-ES" w:eastAsia="es-ES_tradnl"/>
        </w:rPr>
        <w:t>revisión de precios</w:t>
      </w:r>
      <w:r w:rsidRPr="006D4F5F">
        <w:rPr>
          <w:rFonts w:ascii="Verdana" w:eastAsia="Calibri" w:hAnsi="Verdana" w:cs="Arial"/>
          <w:sz w:val="20"/>
          <w:szCs w:val="20"/>
          <w:lang w:val="es-ES" w:eastAsia="es-ES_tradnl"/>
        </w:rPr>
        <w:t xml:space="preserve"> por solicitud de cotizaciones, 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 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0A50FBAF" w14:textId="77777777" w:rsidR="00F62BEE" w:rsidRPr="00F252D7" w:rsidRDefault="00F62BEE" w:rsidP="00F62BEE">
      <w:pPr>
        <w:spacing w:after="0" w:line="240" w:lineRule="auto"/>
        <w:contextualSpacing/>
        <w:jc w:val="both"/>
        <w:rPr>
          <w:rFonts w:ascii="Verdana" w:eastAsia="Calibri" w:hAnsi="Verdana" w:cs="Arial"/>
          <w:b/>
          <w:noProof/>
          <w:sz w:val="20"/>
          <w:szCs w:val="20"/>
          <w:lang w:val="es-ES_tradnl" w:eastAsia="es-ES_tradnl"/>
        </w:rPr>
      </w:pPr>
    </w:p>
    <w:p w14:paraId="5FD42EA1" w14:textId="77777777" w:rsidR="00F62BEE" w:rsidRPr="00F6440A" w:rsidRDefault="00F62BEE" w:rsidP="00F62BEE">
      <w:pPr>
        <w:spacing w:after="0" w:line="240" w:lineRule="auto"/>
        <w:contextualSpacing/>
        <w:jc w:val="both"/>
        <w:rPr>
          <w:rFonts w:ascii="Verdana" w:eastAsia="Times New Roman" w:hAnsi="Verdana" w:cs="Arial"/>
          <w:b/>
          <w:bCs/>
          <w:lang w:eastAsia="es-ES_tradnl"/>
        </w:rPr>
      </w:pPr>
      <w:r w:rsidRPr="00F6440A">
        <w:rPr>
          <w:rFonts w:ascii="Verdana" w:eastAsia="Times New Roman" w:hAnsi="Verdana" w:cs="Arial"/>
          <w:b/>
          <w:bCs/>
          <w:lang w:eastAsia="es-ES_tradnl"/>
        </w:rPr>
        <w:t>ESTUDIOS PREVIOS – Metodologías – Cotizaciones – Autonomía</w:t>
      </w:r>
    </w:p>
    <w:p w14:paraId="6A0DD052" w14:textId="77777777" w:rsidR="00F62BEE" w:rsidRPr="00867100" w:rsidRDefault="00F62BEE" w:rsidP="00F62BEE">
      <w:pPr>
        <w:spacing w:after="0" w:line="240" w:lineRule="auto"/>
        <w:jc w:val="both"/>
        <w:rPr>
          <w:rFonts w:ascii="Verdana" w:eastAsia="Times New Roman" w:hAnsi="Verdana" w:cs="Arial"/>
          <w:noProof/>
          <w:highlight w:val="yellow"/>
          <w:lang w:val="es-ES_tradnl" w:eastAsia="es-ES_tradnl"/>
        </w:rPr>
      </w:pPr>
    </w:p>
    <w:p w14:paraId="2EFDC0F7" w14:textId="77777777" w:rsidR="00F62BEE" w:rsidRDefault="00F62BEE" w:rsidP="00F62BEE">
      <w:pPr>
        <w:spacing w:after="0" w:line="240" w:lineRule="auto"/>
        <w:jc w:val="both"/>
        <w:rPr>
          <w:rFonts w:ascii="Verdana" w:eastAsia="Times New Roman" w:hAnsi="Verdana" w:cs="Arial"/>
          <w:sz w:val="20"/>
          <w:szCs w:val="20"/>
          <w:lang w:val="es-ES_tradnl" w:eastAsia="es-MX"/>
        </w:rPr>
      </w:pPr>
      <w:r w:rsidRPr="00275981">
        <w:rPr>
          <w:rFonts w:ascii="Verdana" w:eastAsia="Times New Roman" w:hAnsi="Verdana" w:cs="Arial"/>
          <w:sz w:val="20"/>
          <w:szCs w:val="20"/>
          <w:lang w:val="es-ES_tradnl" w:eastAsia="es-MX"/>
        </w:rPr>
        <w:t>En primer lugar,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w:t>
      </w:r>
    </w:p>
    <w:p w14:paraId="57E0A224" w14:textId="77777777" w:rsidR="00F62BEE" w:rsidRPr="00275981" w:rsidRDefault="00F62BEE" w:rsidP="00F62BEE">
      <w:pPr>
        <w:spacing w:after="0" w:line="240" w:lineRule="auto"/>
        <w:jc w:val="both"/>
        <w:rPr>
          <w:rFonts w:ascii="Verdana" w:eastAsia="Times New Roman" w:hAnsi="Verdana" w:cs="Arial"/>
          <w:sz w:val="20"/>
          <w:szCs w:val="20"/>
          <w:lang w:val="es-ES_tradnl" w:eastAsia="es-MX"/>
        </w:rPr>
      </w:pPr>
    </w:p>
    <w:p w14:paraId="5FB913D2" w14:textId="77777777" w:rsidR="00F62BEE" w:rsidRPr="00F252D7" w:rsidRDefault="00F62BEE" w:rsidP="00F62BEE">
      <w:pPr>
        <w:spacing w:after="0" w:line="240" w:lineRule="auto"/>
        <w:jc w:val="both"/>
        <w:rPr>
          <w:rFonts w:ascii="Verdana" w:eastAsia="Times New Roman" w:hAnsi="Verdana" w:cs="Arial"/>
          <w:noProof/>
          <w:lang w:val="es-ES" w:eastAsia="es-ES_tradnl"/>
        </w:rPr>
      </w:pPr>
      <w:r w:rsidRPr="00275981">
        <w:rPr>
          <w:rFonts w:ascii="Verdana" w:eastAsia="Times New Roman" w:hAnsi="Verdana" w:cs="Arial"/>
          <w:sz w:val="20"/>
          <w:szCs w:val="20"/>
          <w:lang w:val="es-ES_tradnl" w:eastAsia="es-MX"/>
        </w:rPr>
        <w:t>De acuerdo con la “Guía para la Elaboración de Estudios del Sector” expedida por Agencia Nacional de Contratación Pública – Colombia Compra Eficiente, allí se establecen varias metodologías, como las cotizaciones, que 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no obstante, las Entidades Públicas gozan de autonomía razonada, a la hora de aplicar una metodología para elaborar el Estudio del Sector, para lo cual dentro de su Manual de Contratación establecerán aquella que consideren pertinente,  siempre y cuando acaten la Ley 1150 de 2007 y el Decreto 1082 de 2015 frente a esta materia.</w:t>
      </w:r>
    </w:p>
    <w:p w14:paraId="5A3A49D6"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092F7BD3"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7DAE0266"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179EFE77"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4994D500"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6DBC3C8F"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696C38CD"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77CBFE3D"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67E56E55"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67C69C9A"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4972A519"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4E34922A"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51D8262E" w14:textId="77777777"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6C3D9324" w14:textId="0087B0BB" w:rsidR="00F62BEE" w:rsidRDefault="00F62BEE" w:rsidP="00F62BEE">
      <w:pPr>
        <w:spacing w:after="0" w:line="240" w:lineRule="auto"/>
        <w:jc w:val="both"/>
        <w:rPr>
          <w:rFonts w:ascii="Verdana" w:eastAsia="Times New Roman" w:hAnsi="Verdana" w:cs="Arial"/>
          <w:noProof/>
          <w:lang w:val="es-ES_tradnl" w:eastAsia="es-ES_tradnl"/>
        </w:rPr>
      </w:pPr>
      <w:r w:rsidRPr="0098756C">
        <w:rPr>
          <w:rFonts w:ascii="Verdana" w:eastAsia="Times New Roman" w:hAnsi="Verdana" w:cs="Arial"/>
          <w:noProof/>
          <w:lang w:val="es-ES_tradnl" w:eastAsia="es-ES_tradnl"/>
        </w:rPr>
        <w:t xml:space="preserve">Bogotá D.C., </w:t>
      </w:r>
      <w:r w:rsidR="00412FE1">
        <w:rPr>
          <w:rFonts w:ascii="Verdana" w:eastAsia="Times New Roman" w:hAnsi="Verdana" w:cs="Arial"/>
          <w:noProof/>
          <w:lang w:val="es-ES_tradnl" w:eastAsia="es-ES_tradnl"/>
        </w:rPr>
        <w:t>29 de octubre de 2025</w:t>
      </w:r>
    </w:p>
    <w:p w14:paraId="6AEB3D6C" w14:textId="77777777" w:rsidR="00412FE1" w:rsidRDefault="00412FE1" w:rsidP="00F62BEE">
      <w:pPr>
        <w:spacing w:after="0" w:line="240" w:lineRule="auto"/>
        <w:jc w:val="both"/>
        <w:rPr>
          <w:rFonts w:ascii="Verdana" w:eastAsia="Times New Roman" w:hAnsi="Verdana" w:cs="Arial"/>
          <w:noProof/>
          <w:lang w:val="es-ES_tradnl" w:eastAsia="es-ES_tradnl"/>
        </w:rPr>
      </w:pPr>
    </w:p>
    <w:p w14:paraId="663D8E2E" w14:textId="76DCEDDD" w:rsidR="00412FE1" w:rsidRDefault="00412FE1" w:rsidP="00412FE1">
      <w:pPr>
        <w:spacing w:after="0" w:line="240" w:lineRule="auto"/>
        <w:jc w:val="right"/>
        <w:rPr>
          <w:rFonts w:ascii="Verdana" w:eastAsia="Times New Roman" w:hAnsi="Verdana" w:cs="Arial"/>
          <w:noProof/>
          <w:lang w:val="es-ES_tradnl" w:eastAsia="es-ES_tradnl"/>
        </w:rPr>
      </w:pPr>
    </w:p>
    <w:p w14:paraId="1142C384" w14:textId="3217E632" w:rsidR="00F62BEE" w:rsidRPr="00F252D7" w:rsidRDefault="00F62BEE" w:rsidP="00F62BEE">
      <w:pPr>
        <w:spacing w:after="0" w:line="240" w:lineRule="auto"/>
        <w:jc w:val="both"/>
        <w:rPr>
          <w:rFonts w:ascii="Verdana" w:eastAsia="Times New Roman" w:hAnsi="Verdana" w:cs="Arial"/>
          <w:noProof/>
          <w:lang w:val="es-ES_tradnl" w:eastAsia="es-ES_tradnl"/>
        </w:rPr>
      </w:pPr>
    </w:p>
    <w:p w14:paraId="4953671C" w14:textId="06607D7D" w:rsidR="00F62BEE" w:rsidRPr="00F252D7" w:rsidRDefault="00F62BEE" w:rsidP="00F62BEE">
      <w:pPr>
        <w:spacing w:after="0" w:line="240" w:lineRule="auto"/>
        <w:jc w:val="right"/>
        <w:rPr>
          <w:rFonts w:ascii="Verdana" w:eastAsia="Times New Roman" w:hAnsi="Verdana" w:cs="Arial"/>
          <w:noProof/>
          <w:lang w:val="es-ES_tradnl" w:eastAsia="es-ES_tradnl"/>
        </w:rPr>
      </w:pPr>
    </w:p>
    <w:p w14:paraId="1FA773F1" w14:textId="149E1E17" w:rsidR="00F62BEE" w:rsidRPr="00F252D7" w:rsidRDefault="00C57926" w:rsidP="00F62BEE">
      <w:pPr>
        <w:spacing w:after="0" w:line="240" w:lineRule="auto"/>
        <w:jc w:val="both"/>
        <w:rPr>
          <w:rFonts w:ascii="Verdana" w:eastAsia="Calibri" w:hAnsi="Verdana" w:cs="Arial"/>
          <w:lang w:val="es-ES" w:eastAsia="es-ES_tradnl"/>
        </w:rPr>
      </w:pPr>
      <w:r w:rsidRPr="00412FE1">
        <w:rPr>
          <w:rFonts w:ascii="Verdana" w:eastAsia="Times New Roman" w:hAnsi="Verdana" w:cs="Arial"/>
          <w:noProof/>
          <w:lang w:val="es-ES_tradnl" w:eastAsia="es-ES_tradnl"/>
        </w:rPr>
        <w:drawing>
          <wp:anchor distT="0" distB="0" distL="114300" distR="114300" simplePos="0" relativeHeight="251657216" behindDoc="0" locked="0" layoutInCell="1" allowOverlap="1" wp14:anchorId="0C70C565" wp14:editId="3D4D920E">
            <wp:simplePos x="0" y="0"/>
            <wp:positionH relativeFrom="column">
              <wp:posOffset>3189605</wp:posOffset>
            </wp:positionH>
            <wp:positionV relativeFrom="paragraph">
              <wp:posOffset>5080</wp:posOffset>
            </wp:positionV>
            <wp:extent cx="2505075" cy="906145"/>
            <wp:effectExtent l="0" t="0" r="9525" b="8255"/>
            <wp:wrapSquare wrapText="bothSides"/>
            <wp:docPr id="19582367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236794" name=""/>
                    <pic:cNvPicPr/>
                  </pic:nvPicPr>
                  <pic:blipFill>
                    <a:blip r:embed="rId10">
                      <a:extLst>
                        <a:ext uri="{28A0092B-C50C-407E-A947-70E740481C1C}">
                          <a14:useLocalDpi xmlns:a14="http://schemas.microsoft.com/office/drawing/2010/main" val="0"/>
                        </a:ext>
                      </a:extLst>
                    </a:blip>
                    <a:stretch>
                      <a:fillRect/>
                    </a:stretch>
                  </pic:blipFill>
                  <pic:spPr>
                    <a:xfrm>
                      <a:off x="0" y="0"/>
                      <a:ext cx="2505075" cy="906145"/>
                    </a:xfrm>
                    <a:prstGeom prst="rect">
                      <a:avLst/>
                    </a:prstGeom>
                  </pic:spPr>
                </pic:pic>
              </a:graphicData>
            </a:graphic>
            <wp14:sizeRelV relativeFrom="margin">
              <wp14:pctHeight>0</wp14:pctHeight>
            </wp14:sizeRelV>
          </wp:anchor>
        </w:drawing>
      </w:r>
      <w:r w:rsidR="00F62BEE" w:rsidRPr="00F252D7">
        <w:rPr>
          <w:rFonts w:ascii="Verdana" w:eastAsia="Calibri" w:hAnsi="Verdana" w:cs="Arial"/>
          <w:lang w:val="es-ES" w:eastAsia="es-ES_tradnl"/>
        </w:rPr>
        <w:t>Señor</w:t>
      </w:r>
    </w:p>
    <w:p w14:paraId="7617A510" w14:textId="77777777" w:rsidR="00F62BEE" w:rsidRDefault="00F62BEE" w:rsidP="00F62BEE">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Andrés Felipe Tenjo Aguilar</w:t>
      </w:r>
    </w:p>
    <w:p w14:paraId="04243FB7" w14:textId="77777777" w:rsidR="00F62BEE" w:rsidRPr="003D734F" w:rsidRDefault="00F62BEE" w:rsidP="00F62BEE">
      <w:pPr>
        <w:spacing w:after="0" w:line="240" w:lineRule="auto"/>
        <w:rPr>
          <w:rFonts w:ascii="Verdana" w:eastAsia="Calibri" w:hAnsi="Verdana" w:cs="Arial"/>
          <w:lang w:val="es-ES" w:eastAsia="es-ES_tradnl"/>
        </w:rPr>
      </w:pPr>
      <w:r w:rsidRPr="003D734F">
        <w:rPr>
          <w:rFonts w:ascii="Verdana" w:eastAsia="Calibri" w:hAnsi="Verdana" w:cs="Arial"/>
          <w:lang w:val="es-ES" w:eastAsia="es-ES_tradnl"/>
        </w:rPr>
        <w:t>andres.tenjoaguilar@gmail.com</w:t>
      </w:r>
    </w:p>
    <w:p w14:paraId="7DAD0E58" w14:textId="77777777" w:rsidR="00F62BEE" w:rsidRPr="00F252D7" w:rsidRDefault="00F62BEE" w:rsidP="00F62BEE">
      <w:pPr>
        <w:spacing w:after="0" w:line="240" w:lineRule="auto"/>
        <w:rPr>
          <w:rFonts w:ascii="Verdana" w:eastAsia="Calibri" w:hAnsi="Verdana" w:cs="Arial"/>
          <w:lang w:val="es-ES_tradnl" w:eastAsia="es-ES_tradnl"/>
        </w:rPr>
      </w:pPr>
      <w:r w:rsidRPr="00F252D7">
        <w:rPr>
          <w:rFonts w:ascii="Verdana" w:eastAsia="Calibri" w:hAnsi="Verdana" w:cs="Arial"/>
          <w:bCs/>
          <w:lang w:val="es-ES_tradnl" w:eastAsia="es-ES_tradnl"/>
        </w:rPr>
        <w:t>Ciudad</w:t>
      </w:r>
    </w:p>
    <w:p w14:paraId="730C2F04" w14:textId="77777777" w:rsidR="00F62BEE" w:rsidRPr="00F252D7" w:rsidRDefault="00F62BEE" w:rsidP="00F62BEE">
      <w:pPr>
        <w:spacing w:after="0" w:line="240" w:lineRule="auto"/>
        <w:rPr>
          <w:rFonts w:ascii="Verdana" w:eastAsia="Calibri" w:hAnsi="Verdana" w:cs="Arial"/>
          <w:lang w:val="es-ES_tradnl" w:eastAsia="es-ES_tradnl"/>
        </w:rPr>
      </w:pPr>
    </w:p>
    <w:p w14:paraId="35749FC5" w14:textId="77777777" w:rsidR="00F62BEE" w:rsidRPr="00F252D7" w:rsidRDefault="00F62BEE" w:rsidP="00F62BEE">
      <w:pPr>
        <w:spacing w:after="0" w:line="240" w:lineRule="auto"/>
        <w:rPr>
          <w:rFonts w:ascii="Verdana" w:eastAsia="Calibri" w:hAnsi="Verdana" w:cs="Arial"/>
          <w:lang w:val="es-ES_tradnl" w:eastAsia="es-ES_tradnl"/>
        </w:rPr>
      </w:pPr>
    </w:p>
    <w:p w14:paraId="56221105" w14:textId="77777777" w:rsidR="00F62BEE" w:rsidRPr="00F252D7" w:rsidRDefault="00F62BEE" w:rsidP="00F62BEE">
      <w:pPr>
        <w:spacing w:after="0" w:line="240" w:lineRule="auto"/>
        <w:ind w:left="2694"/>
        <w:rPr>
          <w:rFonts w:ascii="Verdana" w:eastAsia="Calibri" w:hAnsi="Verdana" w:cs="Arial"/>
          <w:b/>
          <w:bCs/>
          <w:lang w:val="es-ES" w:eastAsia="es-ES_tradnl"/>
        </w:rPr>
      </w:pPr>
      <w:r w:rsidRPr="00F252D7">
        <w:rPr>
          <w:rFonts w:ascii="Verdana" w:eastAsia="Calibri" w:hAnsi="Verdana" w:cs="Arial"/>
          <w:b/>
          <w:bCs/>
          <w:lang w:val="es-ES" w:eastAsia="es-ES_tradnl"/>
        </w:rPr>
        <w:t>Concepto C-</w:t>
      </w:r>
      <w:r>
        <w:rPr>
          <w:rFonts w:ascii="Verdana" w:eastAsia="Calibri" w:hAnsi="Verdana" w:cs="Arial"/>
          <w:b/>
          <w:bCs/>
          <w:lang w:val="es-ES" w:eastAsia="es-ES_tradnl"/>
        </w:rPr>
        <w:t>1437</w:t>
      </w:r>
      <w:r w:rsidRPr="00F252D7">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73F3DF74" w14:textId="77777777" w:rsidR="00F62BEE" w:rsidRPr="00F252D7" w:rsidRDefault="00F62BEE" w:rsidP="00F62BEE">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F62BEE" w:rsidRPr="00F252D7" w14:paraId="4886D6D4" w14:textId="77777777" w:rsidTr="003E2688">
        <w:trPr>
          <w:jc w:val="right"/>
        </w:trPr>
        <w:tc>
          <w:tcPr>
            <w:tcW w:w="1838" w:type="dxa"/>
          </w:tcPr>
          <w:p w14:paraId="6DD061E5" w14:textId="77777777" w:rsidR="00F62BEE" w:rsidRPr="00F252D7" w:rsidRDefault="00F62BEE" w:rsidP="003E2688">
            <w:pPr>
              <w:jc w:val="center"/>
              <w:rPr>
                <w:rFonts w:ascii="Verdana" w:eastAsia="Calibri" w:hAnsi="Verdana" w:cs="Arial"/>
                <w:lang w:val="es-ES_tradnl" w:eastAsia="es-ES_tradnl"/>
              </w:rPr>
            </w:pPr>
            <w:r w:rsidRPr="00F252D7">
              <w:rPr>
                <w:rFonts w:ascii="Verdana" w:eastAsia="Calibri" w:hAnsi="Verdana" w:cs="Arial"/>
                <w:b/>
                <w:lang w:val="es-ES_tradnl" w:eastAsia="es-ES_tradnl"/>
              </w:rPr>
              <w:t>Temas:</w:t>
            </w:r>
          </w:p>
        </w:tc>
        <w:tc>
          <w:tcPr>
            <w:tcW w:w="6237" w:type="dxa"/>
          </w:tcPr>
          <w:p w14:paraId="6E4878A9" w14:textId="77777777" w:rsidR="00F62BEE" w:rsidRDefault="00F62BEE" w:rsidP="003E2688">
            <w:pPr>
              <w:jc w:val="both"/>
              <w:textAlignment w:val="baseline"/>
              <w:rPr>
                <w:rFonts w:ascii="Verdana" w:eastAsia="Times New Roman" w:hAnsi="Verdana" w:cs="Arial"/>
                <w:lang w:eastAsia="es-ES_tradnl"/>
              </w:rPr>
            </w:pPr>
            <w:r w:rsidRPr="00F252D7">
              <w:rPr>
                <w:rFonts w:ascii="Verdana" w:eastAsia="Times New Roman" w:hAnsi="Verdana" w:cs="Arial"/>
                <w:lang w:eastAsia="es-ES_tradnl"/>
              </w:rPr>
              <w:t>PLANEACIÓN – Estudios previos / ESTUDIOS PREVIOS – Análisis del sector – Planeación en los procesos de contratación pública /</w:t>
            </w:r>
            <w:r>
              <w:t xml:space="preserve"> </w:t>
            </w:r>
            <w:r w:rsidRPr="00352F58">
              <w:rPr>
                <w:rFonts w:ascii="Verdana" w:eastAsia="Times New Roman" w:hAnsi="Verdana" w:cs="Arial"/>
                <w:lang w:eastAsia="es-ES_tradnl"/>
              </w:rPr>
              <w:t>ESTUDIOS PREVIOS – Estudio del mercado</w:t>
            </w:r>
            <w:r>
              <w:rPr>
                <w:rFonts w:ascii="Verdana" w:eastAsia="Times New Roman" w:hAnsi="Verdana" w:cs="Arial"/>
                <w:lang w:eastAsia="es-ES_tradnl"/>
              </w:rPr>
              <w:t xml:space="preserve"> /</w:t>
            </w:r>
            <w:r w:rsidRPr="00F252D7">
              <w:rPr>
                <w:rFonts w:ascii="Verdana" w:eastAsia="Times New Roman" w:hAnsi="Verdana" w:cs="Arial"/>
                <w:lang w:eastAsia="es-ES_tradnl"/>
              </w:rPr>
              <w:t xml:space="preserve"> </w:t>
            </w:r>
            <w:r w:rsidRPr="00F6440A">
              <w:rPr>
                <w:rFonts w:ascii="Verdana" w:eastAsia="Times New Roman" w:hAnsi="Verdana" w:cs="Arial"/>
                <w:lang w:eastAsia="es-ES_tradnl"/>
              </w:rPr>
              <w:t>ESTUDIOS PREVIOS – Metodologías – Cotizaciones – Autonomía</w:t>
            </w:r>
          </w:p>
          <w:p w14:paraId="6D49EFF1" w14:textId="77777777" w:rsidR="00F62BEE" w:rsidRPr="00F252D7" w:rsidRDefault="00F62BEE" w:rsidP="003E2688">
            <w:pPr>
              <w:jc w:val="both"/>
              <w:textAlignment w:val="baseline"/>
              <w:rPr>
                <w:rFonts w:ascii="Verdana" w:eastAsia="Times New Roman" w:hAnsi="Verdana" w:cs="Arial"/>
                <w:lang w:val="es-ES_tradnl" w:eastAsia="es-ES_tradnl"/>
              </w:rPr>
            </w:pPr>
          </w:p>
        </w:tc>
      </w:tr>
      <w:tr w:rsidR="00F62BEE" w:rsidRPr="00F252D7" w14:paraId="211BBB1B" w14:textId="77777777" w:rsidTr="003E2688">
        <w:trPr>
          <w:jc w:val="right"/>
        </w:trPr>
        <w:tc>
          <w:tcPr>
            <w:tcW w:w="1838" w:type="dxa"/>
          </w:tcPr>
          <w:p w14:paraId="77EC5A9B" w14:textId="77777777" w:rsidR="00F62BEE" w:rsidRPr="00F252D7" w:rsidRDefault="00F62BEE" w:rsidP="003E2688">
            <w:pPr>
              <w:jc w:val="center"/>
              <w:rPr>
                <w:rFonts w:ascii="Verdana" w:eastAsia="Calibri" w:hAnsi="Verdana" w:cs="Arial"/>
                <w:b/>
                <w:lang w:val="es-ES" w:eastAsia="es-ES_tradnl"/>
              </w:rPr>
            </w:pPr>
            <w:r w:rsidRPr="00F252D7">
              <w:rPr>
                <w:rFonts w:ascii="Verdana" w:eastAsia="Calibri" w:hAnsi="Verdana" w:cs="Arial"/>
                <w:b/>
                <w:lang w:val="es-ES" w:eastAsia="es-ES_tradnl"/>
              </w:rPr>
              <w:t>Radicación:</w:t>
            </w:r>
          </w:p>
        </w:tc>
        <w:tc>
          <w:tcPr>
            <w:tcW w:w="6237" w:type="dxa"/>
          </w:tcPr>
          <w:p w14:paraId="415CD31C" w14:textId="77777777" w:rsidR="00F62BEE" w:rsidRPr="00F252D7" w:rsidRDefault="00F62BEE" w:rsidP="003E2688">
            <w:pPr>
              <w:jc w:val="both"/>
              <w:rPr>
                <w:rFonts w:ascii="Verdana" w:eastAsia="Calibri" w:hAnsi="Verdana" w:cs="Arial"/>
                <w:lang w:val="es-ES" w:eastAsia="es-ES_tradnl"/>
              </w:rPr>
            </w:pPr>
            <w:r w:rsidRPr="00F252D7">
              <w:rPr>
                <w:rFonts w:ascii="Verdana" w:eastAsia="Calibri" w:hAnsi="Verdana" w:cs="Arial"/>
                <w:lang w:val="es-ES" w:eastAsia="es-ES_tradnl"/>
              </w:rPr>
              <w:t xml:space="preserve">Respuesta a consulta radicado No. </w:t>
            </w:r>
            <w:r w:rsidRPr="00867100">
              <w:rPr>
                <w:rFonts w:ascii="Verdana" w:eastAsia="Times New Roman" w:hAnsi="Verdana" w:cs="Arial"/>
                <w:lang w:eastAsia="es-ES_tradnl"/>
              </w:rPr>
              <w:t>1_2025_10_06_011093</w:t>
            </w:r>
          </w:p>
        </w:tc>
      </w:tr>
    </w:tbl>
    <w:p w14:paraId="3FE5BDCB" w14:textId="77777777" w:rsidR="00F62BEE" w:rsidRPr="00F252D7" w:rsidRDefault="00F62BEE" w:rsidP="00F62BEE">
      <w:pPr>
        <w:spacing w:after="0" w:line="240" w:lineRule="auto"/>
        <w:jc w:val="both"/>
        <w:rPr>
          <w:rFonts w:ascii="Verdana" w:eastAsia="Calibri" w:hAnsi="Verdana" w:cs="Arial"/>
          <w:lang w:val="es-ES_tradnl" w:eastAsia="es-ES_tradnl"/>
        </w:rPr>
      </w:pPr>
    </w:p>
    <w:p w14:paraId="6BAEFD6B" w14:textId="77777777" w:rsidR="00F62BEE" w:rsidRPr="00F252D7" w:rsidRDefault="00F62BEE" w:rsidP="00F62BEE">
      <w:pPr>
        <w:spacing w:after="0" w:line="240" w:lineRule="auto"/>
        <w:jc w:val="both"/>
        <w:rPr>
          <w:rFonts w:ascii="Verdana" w:eastAsia="Calibri" w:hAnsi="Verdana" w:cs="Arial"/>
          <w:lang w:val="es-ES_tradnl" w:eastAsia="es-ES_tradnl"/>
        </w:rPr>
      </w:pPr>
    </w:p>
    <w:p w14:paraId="333CE88F" w14:textId="77777777" w:rsidR="00F62BEE" w:rsidRPr="00F252D7" w:rsidRDefault="00F62BEE" w:rsidP="00F62BEE">
      <w:pPr>
        <w:spacing w:after="0" w:line="276" w:lineRule="auto"/>
        <w:contextualSpacing/>
        <w:jc w:val="both"/>
        <w:rPr>
          <w:rFonts w:ascii="Verdana" w:eastAsia="Calibri" w:hAnsi="Verdana" w:cs="Arial"/>
          <w:bCs/>
          <w:lang w:val="es-ES_tradnl" w:eastAsia="es-ES_tradnl"/>
        </w:rPr>
      </w:pPr>
      <w:r w:rsidRPr="00F252D7">
        <w:rPr>
          <w:rFonts w:ascii="Verdana" w:eastAsia="Calibri" w:hAnsi="Verdana" w:cs="Arial"/>
          <w:lang w:val="es-ES_tradnl" w:eastAsia="es-ES_tradnl"/>
        </w:rPr>
        <w:t xml:space="preserve">Estimado señor </w:t>
      </w:r>
      <w:r>
        <w:rPr>
          <w:rFonts w:ascii="Verdana" w:eastAsia="Calibri" w:hAnsi="Verdana" w:cs="Arial"/>
          <w:lang w:val="es-ES_tradnl" w:eastAsia="es-ES_tradnl"/>
        </w:rPr>
        <w:t>Tenjo</w:t>
      </w:r>
      <w:r w:rsidRPr="00F252D7">
        <w:rPr>
          <w:rFonts w:ascii="Verdana" w:eastAsia="Calibri" w:hAnsi="Verdana" w:cs="Arial"/>
          <w:bCs/>
          <w:lang w:val="es-ES_tradnl" w:eastAsia="es-ES_tradnl"/>
        </w:rPr>
        <w:t>:</w:t>
      </w:r>
    </w:p>
    <w:p w14:paraId="42B28500" w14:textId="77777777" w:rsidR="00F62BEE" w:rsidRPr="00F252D7" w:rsidRDefault="00F62BEE" w:rsidP="00F62BEE">
      <w:pPr>
        <w:spacing w:after="0" w:line="276" w:lineRule="auto"/>
        <w:contextualSpacing/>
        <w:jc w:val="both"/>
        <w:rPr>
          <w:rFonts w:ascii="Verdana" w:eastAsia="Calibri" w:hAnsi="Verdana" w:cs="Arial"/>
          <w:lang w:val="es-ES_tradnl" w:eastAsia="es-ES_tradnl"/>
        </w:rPr>
      </w:pPr>
    </w:p>
    <w:p w14:paraId="55A51CAD" w14:textId="77777777" w:rsidR="00F62BEE" w:rsidRPr="00F252D7" w:rsidRDefault="00F62BEE" w:rsidP="00F62BEE">
      <w:pPr>
        <w:spacing w:after="0" w:line="276" w:lineRule="auto"/>
        <w:contextualSpacing/>
        <w:jc w:val="both"/>
        <w:rPr>
          <w:rFonts w:ascii="Verdana" w:eastAsia="Calibri" w:hAnsi="Verdana" w:cs="Arial"/>
          <w:lang w:val="es-ES" w:eastAsia="es-ES_tradnl"/>
        </w:rPr>
      </w:pPr>
      <w:r w:rsidRPr="00F252D7">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val="es-ES" w:eastAsia="es-ES_tradnl"/>
        </w:rPr>
        <w:t>6</w:t>
      </w:r>
      <w:r w:rsidRPr="00F252D7">
        <w:rPr>
          <w:rFonts w:ascii="Verdana" w:eastAsia="Calibri" w:hAnsi="Verdana" w:cs="Arial"/>
          <w:lang w:val="es-ES" w:eastAsia="es-ES_tradnl"/>
        </w:rPr>
        <w:t xml:space="preserve"> de </w:t>
      </w:r>
      <w:r>
        <w:rPr>
          <w:rFonts w:ascii="Verdana" w:eastAsia="Calibri" w:hAnsi="Verdana" w:cs="Arial"/>
          <w:lang w:val="es-ES" w:eastAsia="es-ES_tradnl"/>
        </w:rPr>
        <w:t>octubre</w:t>
      </w:r>
      <w:r w:rsidRPr="00F252D7">
        <w:rPr>
          <w:rFonts w:ascii="Verdana" w:eastAsia="Calibri" w:hAnsi="Verdana" w:cs="Arial"/>
          <w:lang w:val="es-ES" w:eastAsia="es-ES_tradnl"/>
        </w:rPr>
        <w:t xml:space="preserve"> de 202</w:t>
      </w:r>
      <w:r>
        <w:rPr>
          <w:rFonts w:ascii="Verdana" w:eastAsia="Calibri" w:hAnsi="Verdana" w:cs="Arial"/>
          <w:lang w:val="es-ES" w:eastAsia="es-ES_tradnl"/>
        </w:rPr>
        <w:t>5</w:t>
      </w:r>
      <w:r w:rsidRPr="00F252D7">
        <w:rPr>
          <w:rFonts w:ascii="Verdana" w:eastAsia="Calibri" w:hAnsi="Verdana" w:cs="Arial"/>
          <w:lang w:val="es-ES" w:eastAsia="es-ES_tradnl"/>
        </w:rPr>
        <w:t>, en la cual manifiesta lo siguiente:</w:t>
      </w:r>
    </w:p>
    <w:p w14:paraId="3A4A0438" w14:textId="77777777" w:rsidR="00F62BEE" w:rsidRPr="00F252D7" w:rsidRDefault="00F62BEE" w:rsidP="00F62BEE">
      <w:pPr>
        <w:spacing w:after="0" w:line="276" w:lineRule="auto"/>
        <w:contextualSpacing/>
        <w:jc w:val="both"/>
        <w:rPr>
          <w:rFonts w:ascii="Verdana" w:eastAsia="Calibri" w:hAnsi="Verdana" w:cs="Arial"/>
          <w:b/>
          <w:szCs w:val="24"/>
          <w:lang w:val="es-ES_tradnl" w:eastAsia="es-ES_tradnl"/>
        </w:rPr>
      </w:pPr>
    </w:p>
    <w:p w14:paraId="4490BD59"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eastAsia="es-ES_tradnl"/>
        </w:rPr>
      </w:pPr>
      <w:r w:rsidRPr="00A667C3">
        <w:rPr>
          <w:rFonts w:ascii="Verdana" w:eastAsia="Times New Roman" w:hAnsi="Verdana" w:cs="Arial"/>
          <w:sz w:val="21"/>
          <w:szCs w:val="21"/>
          <w:lang w:eastAsia="es-ES_tradnl"/>
        </w:rPr>
        <w:t>En relación a las Entidades Estatales que pretenden celebrar un contrato público a</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través de cualquier modalidad y tipología contractual, al momento de identificar una</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necesidad y realizar un evento de cotización, si los valores resultantes producto de</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esta cotización son evidentemente superiores a los valores del mercado, ¿Es</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mandatorio que la Entidad deba tomar esos valores como referencia para que</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futuros proponentes puedan ofertar sobre esa base? o ¿La Entidad puede</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separarse de esas cotizaciones teniendo en cuenta que sus precios no</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corresponden a un valor coherente con el mercado?, de ser así ¿Cuál debe ser la</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 xml:space="preserve">forma para establecer un nuevo </w:t>
      </w:r>
      <w:r w:rsidRPr="00A667C3">
        <w:rPr>
          <w:rFonts w:ascii="Verdana" w:eastAsia="Times New Roman" w:hAnsi="Verdana" w:cs="Arial"/>
          <w:sz w:val="21"/>
          <w:szCs w:val="21"/>
          <w:lang w:eastAsia="es-ES_tradnl"/>
        </w:rPr>
        <w:lastRenderedPageBreak/>
        <w:t>valor que este acorde al mercado (nuevas</w:t>
      </w:r>
      <w:r>
        <w:rPr>
          <w:rFonts w:ascii="Verdana" w:eastAsia="Times New Roman" w:hAnsi="Verdana" w:cs="Arial"/>
          <w:sz w:val="21"/>
          <w:szCs w:val="21"/>
          <w:lang w:eastAsia="es-ES_tradnl"/>
        </w:rPr>
        <w:t xml:space="preserve"> </w:t>
      </w:r>
      <w:r w:rsidRPr="00A667C3">
        <w:rPr>
          <w:rFonts w:ascii="Verdana" w:eastAsia="Times New Roman" w:hAnsi="Verdana" w:cs="Arial"/>
          <w:sz w:val="21"/>
          <w:szCs w:val="21"/>
          <w:lang w:eastAsia="es-ES_tradnl"/>
        </w:rPr>
        <w:t>cotizaciones, precios establecidos en otros procesos similares?</w:t>
      </w:r>
      <w:r w:rsidRPr="00F252D7">
        <w:rPr>
          <w:rFonts w:ascii="Verdana" w:eastAsia="Times New Roman" w:hAnsi="Verdana" w:cs="Arial"/>
          <w:sz w:val="21"/>
          <w:szCs w:val="21"/>
          <w:lang w:eastAsia="es-ES_tradnl"/>
        </w:rPr>
        <w:t>”.</w:t>
      </w:r>
    </w:p>
    <w:p w14:paraId="7FBCD379"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eastAsia="es-ES_tradnl"/>
        </w:rPr>
      </w:pPr>
    </w:p>
    <w:p w14:paraId="0A09C87D" w14:textId="77777777" w:rsidR="00F62BEE" w:rsidRPr="00F252D7" w:rsidRDefault="00F62BEE" w:rsidP="00F62BEE">
      <w:pPr>
        <w:spacing w:after="120" w:line="276" w:lineRule="auto"/>
        <w:ind w:firstLine="709"/>
        <w:jc w:val="both"/>
        <w:rPr>
          <w:rFonts w:ascii="Verdana" w:eastAsia="Calibri" w:hAnsi="Verdana" w:cs="Arial"/>
          <w:color w:val="000000"/>
          <w:szCs w:val="24"/>
          <w:lang w:val="es-ES_tradnl" w:eastAsia="es-ES_tradnl"/>
        </w:rPr>
      </w:pPr>
      <w:r w:rsidRPr="00F252D7">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252D7">
        <w:rPr>
          <w:rFonts w:ascii="Verdana" w:eastAsia="Calibri" w:hAnsi="Verdana" w:cs="Arial"/>
          <w:color w:val="000000"/>
          <w:szCs w:val="24"/>
          <w:lang w:val="es-ES_tradnl" w:eastAsia="es-ES_tradnl"/>
        </w:rPr>
        <w:tab/>
      </w:r>
    </w:p>
    <w:p w14:paraId="345D1CE2" w14:textId="77777777" w:rsidR="00F62BEE" w:rsidRPr="00F252D7" w:rsidRDefault="00F62BEE" w:rsidP="00F62BEE">
      <w:pPr>
        <w:spacing w:after="0" w:line="276" w:lineRule="auto"/>
        <w:ind w:firstLine="709"/>
        <w:jc w:val="both"/>
        <w:rPr>
          <w:rFonts w:ascii="Verdana" w:eastAsia="Calibri" w:hAnsi="Verdana" w:cs="Arial"/>
          <w:lang w:val="es-ES" w:eastAsia="es-ES"/>
        </w:rPr>
      </w:pPr>
      <w:r w:rsidRPr="00F252D7">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F252D7">
        <w:rPr>
          <w:rFonts w:ascii="Verdana" w:eastAsia="Calibri" w:hAnsi="Verdana" w:cs="Arial"/>
          <w:lang w:val="es-ES" w:eastAsia="es-ES"/>
        </w:rPr>
        <w:t xml:space="preserve"> </w:t>
      </w:r>
      <w:r>
        <w:rPr>
          <w:rFonts w:ascii="Verdana" w:eastAsia="Calibri" w:hAnsi="Verdana" w:cs="Arial"/>
          <w:lang w:val="es-ES" w:eastAsia="es-ES"/>
        </w:rPr>
        <w:t xml:space="preserve">siguiente </w:t>
      </w:r>
      <w:r w:rsidRPr="00F252D7">
        <w:rPr>
          <w:rFonts w:ascii="Verdana" w:eastAsia="Calibri" w:hAnsi="Verdana" w:cs="Arial"/>
          <w:lang w:val="es-ES" w:eastAsia="es-ES"/>
        </w:rPr>
        <w:t xml:space="preserve">problema jurídico de su consulta. </w:t>
      </w:r>
    </w:p>
    <w:p w14:paraId="7329C9CA" w14:textId="77777777" w:rsidR="00F62BEE" w:rsidRPr="00F252D7" w:rsidRDefault="00F62BEE" w:rsidP="00F62BEE">
      <w:pPr>
        <w:spacing w:after="0" w:line="276" w:lineRule="auto"/>
        <w:contextualSpacing/>
        <w:jc w:val="both"/>
        <w:rPr>
          <w:rFonts w:ascii="Verdana" w:eastAsia="Times New Roman" w:hAnsi="Verdana" w:cs="Arial"/>
          <w:szCs w:val="24"/>
          <w:lang w:val="es-ES_tradnl" w:eastAsia="es-ES_tradnl"/>
        </w:rPr>
      </w:pPr>
    </w:p>
    <w:p w14:paraId="252F335C" w14:textId="77777777" w:rsidR="00F62BEE" w:rsidRPr="00F252D7" w:rsidRDefault="00F62BEE" w:rsidP="00F62BEE">
      <w:pPr>
        <w:tabs>
          <w:tab w:val="left" w:pos="0"/>
          <w:tab w:val="left" w:pos="284"/>
        </w:tabs>
        <w:spacing w:after="0" w:line="276" w:lineRule="auto"/>
        <w:contextualSpacing/>
        <w:jc w:val="both"/>
        <w:rPr>
          <w:rFonts w:ascii="Verdana" w:eastAsia="Calibri" w:hAnsi="Verdana" w:cs="Arial"/>
          <w:b/>
          <w:lang w:val="es-ES_tradnl"/>
        </w:rPr>
      </w:pPr>
      <w:r w:rsidRPr="00F252D7">
        <w:rPr>
          <w:rFonts w:ascii="Verdana" w:eastAsia="Calibri" w:hAnsi="Verdana" w:cs="Arial"/>
          <w:b/>
          <w:lang w:val="es-ES_tradnl"/>
        </w:rPr>
        <w:t>1. Problema planteado:</w:t>
      </w:r>
    </w:p>
    <w:p w14:paraId="1ED21655" w14:textId="77777777" w:rsidR="00F62BEE" w:rsidRPr="00F252D7" w:rsidRDefault="00F62BEE" w:rsidP="00F62BEE">
      <w:pPr>
        <w:tabs>
          <w:tab w:val="left" w:pos="0"/>
          <w:tab w:val="left" w:pos="284"/>
        </w:tabs>
        <w:spacing w:after="0" w:line="276" w:lineRule="auto"/>
        <w:contextualSpacing/>
        <w:jc w:val="both"/>
        <w:rPr>
          <w:rFonts w:ascii="Verdana" w:eastAsia="Calibri" w:hAnsi="Verdana" w:cs="Arial"/>
          <w:b/>
          <w:lang w:val="es-ES_tradnl"/>
        </w:rPr>
      </w:pPr>
    </w:p>
    <w:p w14:paraId="7CAF8069" w14:textId="589B31FB" w:rsidR="00F62BEE" w:rsidRPr="00F252D7" w:rsidRDefault="00F62BEE" w:rsidP="00F62BEE">
      <w:pPr>
        <w:spacing w:after="0" w:line="276" w:lineRule="auto"/>
        <w:jc w:val="both"/>
        <w:rPr>
          <w:rFonts w:ascii="Verdana" w:eastAsia="Century Gothic" w:hAnsi="Verdana" w:cs="Century Gothic"/>
        </w:rPr>
      </w:pPr>
      <w:r w:rsidRPr="00F252D7">
        <w:rPr>
          <w:rFonts w:ascii="Verdana" w:eastAsia="Century Gothic" w:hAnsi="Verdana" w:cs="Century Gothic"/>
        </w:rPr>
        <w:t>De acuerdo con el contenido de su solicitud, esta Agencia resolverá el siguiente problema jurídico: ¿</w:t>
      </w:r>
      <w:r>
        <w:rPr>
          <w:rFonts w:ascii="Verdana" w:eastAsia="Century Gothic" w:hAnsi="Verdana" w:cs="Century Gothic"/>
        </w:rPr>
        <w:t xml:space="preserve">Cómo se determina el valor del </w:t>
      </w:r>
      <w:r w:rsidR="0320F63C" w:rsidRPr="07D7AD4D">
        <w:rPr>
          <w:rFonts w:ascii="Verdana" w:eastAsia="Century Gothic" w:hAnsi="Verdana" w:cs="Century Gothic"/>
        </w:rPr>
        <w:t xml:space="preserve">presupuesto </w:t>
      </w:r>
      <w:proofErr w:type="gramStart"/>
      <w:r w:rsidR="0320F63C" w:rsidRPr="07D7AD4D">
        <w:rPr>
          <w:rFonts w:ascii="Verdana" w:eastAsia="Century Gothic" w:hAnsi="Verdana" w:cs="Century Gothic"/>
        </w:rPr>
        <w:t xml:space="preserve">oficial </w:t>
      </w:r>
      <w:r>
        <w:rPr>
          <w:rFonts w:ascii="Verdana" w:eastAsia="Century Gothic" w:hAnsi="Verdana" w:cs="Century Gothic"/>
        </w:rPr>
        <w:t xml:space="preserve"> en</w:t>
      </w:r>
      <w:proofErr w:type="gramEnd"/>
      <w:r>
        <w:rPr>
          <w:rFonts w:ascii="Verdana" w:eastAsia="Century Gothic" w:hAnsi="Verdana" w:cs="Century Gothic"/>
        </w:rPr>
        <w:t xml:space="preserve"> los estudios previos</w:t>
      </w:r>
      <w:r w:rsidR="5DED58B7" w:rsidRPr="07D7AD4D">
        <w:rPr>
          <w:rFonts w:ascii="Verdana" w:eastAsia="Century Gothic" w:hAnsi="Verdana" w:cs="Century Gothic"/>
        </w:rPr>
        <w:t xml:space="preserve"> </w:t>
      </w:r>
      <w:r w:rsidR="3ACA25C6" w:rsidRPr="07D7AD4D">
        <w:rPr>
          <w:rFonts w:ascii="Verdana" w:eastAsia="Century Gothic" w:hAnsi="Verdana" w:cs="Century Gothic"/>
        </w:rPr>
        <w:t>de un proceso de contratación</w:t>
      </w:r>
      <w:r w:rsidRPr="00F252D7">
        <w:rPr>
          <w:rFonts w:ascii="Verdana" w:eastAsia="Century Gothic" w:hAnsi="Verdana" w:cs="Century Gothic"/>
        </w:rPr>
        <w:t xml:space="preserve">? </w:t>
      </w:r>
    </w:p>
    <w:p w14:paraId="73DE2B8F" w14:textId="77777777" w:rsidR="00F62BEE" w:rsidRPr="00F252D7" w:rsidRDefault="00F62BEE" w:rsidP="00F62BEE">
      <w:pPr>
        <w:spacing w:after="0" w:line="276" w:lineRule="auto"/>
        <w:ind w:firstLine="709"/>
        <w:jc w:val="both"/>
        <w:rPr>
          <w:rFonts w:ascii="Verdana" w:eastAsia="Calibri" w:hAnsi="Verdana" w:cs="Arial"/>
          <w:lang w:val="es-ES" w:eastAsia="es-ES_tradnl"/>
        </w:rPr>
      </w:pPr>
    </w:p>
    <w:p w14:paraId="2D3A110D"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2. Respuesta:</w:t>
      </w:r>
    </w:p>
    <w:p w14:paraId="27ACDC31"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2BEE" w:rsidRPr="00F252D7" w14:paraId="70AB349D" w14:textId="77777777" w:rsidTr="003E2688">
        <w:tc>
          <w:tcPr>
            <w:tcW w:w="8828" w:type="dxa"/>
          </w:tcPr>
          <w:p w14:paraId="2D880DAE" w14:textId="77777777" w:rsidR="00F62BEE" w:rsidRPr="00F252D7" w:rsidRDefault="00F62BEE" w:rsidP="003E2688">
            <w:pPr>
              <w:spacing w:after="120" w:line="276" w:lineRule="auto"/>
              <w:jc w:val="both"/>
              <w:rPr>
                <w:rFonts w:ascii="Verdana" w:eastAsia="Calibri" w:hAnsi="Verdana" w:cs="Arial"/>
                <w:szCs w:val="24"/>
                <w:lang w:val="es-ES" w:eastAsia="es-ES_tradnl"/>
              </w:rPr>
            </w:pPr>
            <w:r>
              <w:rPr>
                <w:rFonts w:ascii="Verdana" w:eastAsia="Calibri" w:hAnsi="Verdana" w:cs="Arial"/>
                <w:szCs w:val="24"/>
                <w:lang w:val="es-ES" w:eastAsia="es-ES_tradnl"/>
              </w:rPr>
              <w:t>En primer lugar, d</w:t>
            </w:r>
            <w:r w:rsidRPr="00594D84">
              <w:rPr>
                <w:rFonts w:ascii="Verdana" w:eastAsia="Calibri" w:hAnsi="Verdana" w:cs="Arial"/>
                <w:szCs w:val="24"/>
                <w:lang w:val="es-ES" w:eastAsia="es-ES_tradnl"/>
              </w:rPr>
              <w:t>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w:t>
            </w:r>
          </w:p>
          <w:p w14:paraId="5781A9CC" w14:textId="77777777" w:rsidR="00F62BEE" w:rsidRDefault="00F62BEE" w:rsidP="003E2688">
            <w:pPr>
              <w:spacing w:after="120" w:line="276" w:lineRule="auto"/>
              <w:ind w:firstLine="708"/>
              <w:jc w:val="both"/>
              <w:rPr>
                <w:rFonts w:ascii="Verdana" w:eastAsia="Calibri" w:hAnsi="Verdana" w:cs="Arial"/>
                <w:szCs w:val="24"/>
                <w:lang w:val="es-ES" w:eastAsia="es-ES_tradnl"/>
              </w:rPr>
            </w:pPr>
            <w:r w:rsidRPr="00594D84">
              <w:rPr>
                <w:rFonts w:ascii="Verdana" w:eastAsia="Times New Roman" w:hAnsi="Verdana" w:cs="Arial"/>
                <w:lang w:eastAsia="es-ES_tradnl"/>
              </w:rPr>
              <w:lastRenderedPageBreak/>
              <w:t>De</w:t>
            </w:r>
            <w:r w:rsidRPr="00F252D7">
              <w:rPr>
                <w:rFonts w:ascii="Verdana" w:eastAsia="Calibri" w:hAnsi="Verdana" w:cs="Arial"/>
                <w:szCs w:val="24"/>
                <w:lang w:val="es-ES" w:eastAsia="es-ES_tradnl"/>
              </w:rPr>
              <w:t xml:space="preserve"> acuerdo con la </w:t>
            </w:r>
            <w:r w:rsidRPr="00F252D7">
              <w:rPr>
                <w:rFonts w:ascii="Verdana" w:eastAsia="Calibri" w:hAnsi="Verdana" w:cs="Arial"/>
                <w:bCs/>
                <w:lang w:val="es-ES_tradnl" w:eastAsia="es-MX"/>
              </w:rPr>
              <w:t xml:space="preserve">“Guía para la Elaboración de Estudios del Sector” expedida por Agencia Nacional de Contratación Pública – Colombia Compra Eficiente, </w:t>
            </w:r>
            <w:r>
              <w:rPr>
                <w:rFonts w:ascii="Verdana" w:eastAsia="Calibri" w:hAnsi="Verdana" w:cs="Arial"/>
                <w:bCs/>
                <w:lang w:val="es-ES_tradnl" w:eastAsia="es-MX"/>
              </w:rPr>
              <w:t xml:space="preserve">allí se establecen varias metodologías, como las cotizaciones, que </w:t>
            </w:r>
            <w:r w:rsidRPr="006D4F5F">
              <w:rPr>
                <w:rFonts w:ascii="Verdana" w:eastAsia="Calibri" w:hAnsi="Verdana" w:cs="Arial"/>
                <w:szCs w:val="24"/>
                <w:lang w:val="es-ES" w:eastAsia="es-ES_tradnl"/>
              </w:rPr>
              <w:t>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r>
              <w:rPr>
                <w:rFonts w:ascii="Verdana" w:eastAsia="Calibri" w:hAnsi="Verdana" w:cs="Arial"/>
                <w:szCs w:val="24"/>
                <w:lang w:val="es-ES" w:eastAsia="es-ES_tradnl"/>
              </w:rPr>
              <w:t xml:space="preserve">; no obstante, las Entidades Públicas gozan de autonomía </w:t>
            </w:r>
            <w:r w:rsidRPr="008A306B">
              <w:rPr>
                <w:rFonts w:ascii="Verdana" w:eastAsia="Calibri" w:hAnsi="Verdana" w:cs="Arial"/>
                <w:szCs w:val="24"/>
                <w:lang w:eastAsia="es-ES_tradnl"/>
              </w:rPr>
              <w:t xml:space="preserve">razonada, a la hora de </w:t>
            </w:r>
            <w:r>
              <w:rPr>
                <w:rFonts w:ascii="Verdana" w:eastAsia="Calibri" w:hAnsi="Verdana" w:cs="Arial"/>
                <w:szCs w:val="24"/>
                <w:lang w:eastAsia="es-ES_tradnl"/>
              </w:rPr>
              <w:t>aplicar una metodología para elaborar el Estudio del Sector, para lo cual dentro de su Manual de Contratación establecerán aquella que consideren pertinente,  siempre y cuando acaten la</w:t>
            </w:r>
            <w:r w:rsidRPr="008A306B">
              <w:rPr>
                <w:rFonts w:ascii="Verdana" w:eastAsia="Calibri" w:hAnsi="Verdana" w:cs="Arial"/>
                <w:szCs w:val="24"/>
                <w:lang w:eastAsia="es-ES_tradnl"/>
              </w:rPr>
              <w:t xml:space="preserve"> Ley 1150 de 2007 y el Decreto 1082 de 2015</w:t>
            </w:r>
            <w:r>
              <w:rPr>
                <w:rFonts w:ascii="Verdana" w:eastAsia="Calibri" w:hAnsi="Verdana" w:cs="Arial"/>
                <w:szCs w:val="24"/>
                <w:lang w:val="es-ES" w:eastAsia="es-ES_tradnl"/>
              </w:rPr>
              <w:t xml:space="preserve"> frente a esta materia.</w:t>
            </w:r>
          </w:p>
          <w:p w14:paraId="245BCBEE" w14:textId="77777777" w:rsidR="00F62BEE" w:rsidRPr="00F252D7" w:rsidRDefault="00F62BEE" w:rsidP="003E2688">
            <w:pPr>
              <w:spacing w:line="276" w:lineRule="auto"/>
              <w:ind w:firstLine="708"/>
              <w:jc w:val="both"/>
              <w:rPr>
                <w:rFonts w:ascii="Verdana" w:eastAsia="Calibri" w:hAnsi="Verdana" w:cs="Arial"/>
                <w:color w:val="7030A0"/>
              </w:rPr>
            </w:pPr>
            <w:r w:rsidRPr="00F252D7">
              <w:rPr>
                <w:rFonts w:ascii="Verdana" w:eastAsia="Times New Roman" w:hAnsi="Verdana" w:cs="Arial"/>
                <w:lang w:eastAsia="es-ES_tradnl"/>
              </w:rPr>
              <w:t>Sin perjuicio de las aclaraciones anteriores, debe advertirse que es la entidad contratante, al momento de adelantar su actividad contractual, quien debe determinar lo correspondiente a los contratos de prestación de servicios. Dado esto, y en atención al alcance la función consultiva atribuida a esta Agencia, lo aquí mencionado no constituye un juicio de valor sobre un proceso contractual particular.</w:t>
            </w:r>
          </w:p>
        </w:tc>
      </w:tr>
    </w:tbl>
    <w:p w14:paraId="730E4BFD" w14:textId="77777777" w:rsidR="00F62BEE" w:rsidRPr="00F252D7" w:rsidRDefault="00F62BEE" w:rsidP="00F62BEE">
      <w:pPr>
        <w:spacing w:after="0" w:line="276" w:lineRule="auto"/>
        <w:contextualSpacing/>
        <w:jc w:val="both"/>
        <w:rPr>
          <w:rFonts w:ascii="Verdana" w:eastAsia="Times New Roman" w:hAnsi="Verdana" w:cs="Arial"/>
          <w:lang w:eastAsia="es-ES_tradnl"/>
        </w:rPr>
      </w:pPr>
    </w:p>
    <w:p w14:paraId="06862AEA"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lang w:val="es-ES"/>
        </w:rPr>
        <w:t>3. Razones de la respuesta:</w:t>
      </w:r>
    </w:p>
    <w:p w14:paraId="64290C2D" w14:textId="77777777" w:rsidR="00F62BEE" w:rsidRPr="00F252D7" w:rsidRDefault="00F62BEE" w:rsidP="00F62BEE">
      <w:pPr>
        <w:spacing w:after="0" w:line="276" w:lineRule="auto"/>
        <w:jc w:val="both"/>
        <w:rPr>
          <w:rFonts w:ascii="Verdana" w:eastAsia="Calibri" w:hAnsi="Verdana" w:cs="Arial"/>
          <w:color w:val="7030A0"/>
          <w:lang w:val="es-ES"/>
        </w:rPr>
      </w:pPr>
    </w:p>
    <w:p w14:paraId="15C50AE5" w14:textId="77777777" w:rsidR="00F62BEE" w:rsidRPr="00F252D7" w:rsidRDefault="00F62BEE" w:rsidP="00F62BEE">
      <w:pPr>
        <w:spacing w:after="0" w:line="276" w:lineRule="auto"/>
        <w:jc w:val="both"/>
        <w:rPr>
          <w:rFonts w:ascii="Verdana" w:eastAsia="Calibri" w:hAnsi="Verdana" w:cs="Arial"/>
          <w:lang w:val="es-ES"/>
        </w:rPr>
      </w:pPr>
      <w:r w:rsidRPr="00F252D7">
        <w:rPr>
          <w:rFonts w:ascii="Verdana" w:eastAsia="Calibri" w:hAnsi="Verdana" w:cs="Arial"/>
          <w:lang w:val="es-ES"/>
        </w:rPr>
        <w:t xml:space="preserve">Lo anterior se sustenta en las siguientes consideraciones: </w:t>
      </w:r>
    </w:p>
    <w:p w14:paraId="433F9FEC" w14:textId="77777777" w:rsidR="00F62BEE" w:rsidRPr="00F252D7" w:rsidRDefault="00F62BEE" w:rsidP="00F62BEE">
      <w:pPr>
        <w:spacing w:after="0" w:line="276" w:lineRule="auto"/>
        <w:contextualSpacing/>
        <w:jc w:val="both"/>
        <w:rPr>
          <w:rFonts w:ascii="Verdana" w:eastAsia="Times New Roman" w:hAnsi="Verdana" w:cs="Arial"/>
          <w:lang w:val="es-ES" w:eastAsia="es-ES_tradnl"/>
        </w:rPr>
      </w:pPr>
    </w:p>
    <w:p w14:paraId="7AE70B6E" w14:textId="77777777" w:rsidR="00F62BEE" w:rsidRPr="00F252D7" w:rsidRDefault="00F62BEE" w:rsidP="00F62BEE">
      <w:pPr>
        <w:numPr>
          <w:ilvl w:val="0"/>
          <w:numId w:val="17"/>
        </w:numPr>
        <w:spacing w:after="120" w:line="276" w:lineRule="auto"/>
        <w:contextualSpacing/>
        <w:jc w:val="both"/>
        <w:rPr>
          <w:rFonts w:ascii="Verdana" w:eastAsia="Times New Roman" w:hAnsi="Verdana" w:cs="Arial"/>
          <w:lang w:val="es-ES_tradnl" w:eastAsia="es-MX"/>
        </w:rPr>
      </w:pPr>
      <w:bookmarkStart w:id="1" w:name="_Hlk54011258"/>
      <w:r w:rsidRPr="00F252D7">
        <w:rPr>
          <w:rFonts w:ascii="Verdana" w:eastAsia="Calibri" w:hAnsi="Verdana" w:cs="Arial"/>
          <w:bCs/>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1"/>
      <w:r w:rsidRPr="00F252D7">
        <w:rPr>
          <w:rFonts w:ascii="Verdana" w:eastAsia="Calibri" w:hAnsi="Verdana" w:cs="Arial"/>
          <w:bCs/>
          <w:lang w:val="es-ES_tradnl" w:eastAsia="es-MX"/>
        </w:rPr>
        <w:t>.</w:t>
      </w:r>
    </w:p>
    <w:p w14:paraId="0CAE6DFB" w14:textId="77777777" w:rsidR="00F62BEE" w:rsidRPr="00F252D7" w:rsidRDefault="00F62BEE" w:rsidP="00F62BEE">
      <w:pPr>
        <w:spacing w:after="120" w:line="276" w:lineRule="auto"/>
        <w:ind w:left="720"/>
        <w:contextualSpacing/>
        <w:jc w:val="both"/>
        <w:rPr>
          <w:rFonts w:ascii="Verdana" w:eastAsia="Times New Roman" w:hAnsi="Verdana" w:cs="Arial"/>
          <w:lang w:val="es-ES_tradnl" w:eastAsia="es-MX"/>
        </w:rPr>
      </w:pPr>
    </w:p>
    <w:p w14:paraId="1ABDE2C5" w14:textId="77777777" w:rsidR="00F62BEE" w:rsidRPr="00F252D7" w:rsidRDefault="00F62BEE" w:rsidP="00F62BEE">
      <w:pPr>
        <w:numPr>
          <w:ilvl w:val="0"/>
          <w:numId w:val="17"/>
        </w:numPr>
        <w:spacing w:before="120" w:after="0" w:line="276" w:lineRule="auto"/>
        <w:contextualSpacing/>
        <w:jc w:val="both"/>
        <w:rPr>
          <w:rFonts w:ascii="Verdana" w:eastAsia="Calibri" w:hAnsi="Verdana" w:cs="Arial"/>
          <w:bCs/>
          <w:lang w:val="es-ES" w:eastAsia="es-ES_tradnl"/>
        </w:rPr>
      </w:pP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w:t>
      </w:r>
      <w:r w:rsidRPr="00F252D7">
        <w:rPr>
          <w:rFonts w:ascii="Verdana" w:eastAsia="Calibri" w:hAnsi="Verdana" w:cs="Arial"/>
          <w:bCs/>
          <w:lang w:val="es-MX" w:eastAsia="es-ES_tradnl"/>
        </w:rPr>
        <w:lastRenderedPageBreak/>
        <w:t xml:space="preserve">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01B155F8" w14:textId="77777777" w:rsidR="00F62BEE" w:rsidRPr="00F252D7" w:rsidRDefault="00F62BEE" w:rsidP="00F62BEE">
      <w:pPr>
        <w:spacing w:after="0" w:line="276" w:lineRule="auto"/>
        <w:ind w:firstLine="709"/>
        <w:jc w:val="both"/>
        <w:rPr>
          <w:rFonts w:ascii="Verdana" w:eastAsia="Calibri" w:hAnsi="Verdana" w:cs="Arial"/>
          <w:bCs/>
          <w:lang w:val="es-ES" w:eastAsia="es-ES_tradnl"/>
        </w:rPr>
      </w:pPr>
    </w:p>
    <w:p w14:paraId="0B3BB9A1"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0D4D0141"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p>
    <w:p w14:paraId="5E35C1B7"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w:t>
      </w:r>
    </w:p>
    <w:p w14:paraId="4F557362"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p>
    <w:p w14:paraId="1C384AC0"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6985A8D"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p>
    <w:p w14:paraId="0DD6B2E9"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r w:rsidRPr="00F252D7">
        <w:rPr>
          <w:rFonts w:ascii="Verdana" w:eastAsia="Calibri" w:hAnsi="Verdana" w:cs="Arial"/>
          <w:sz w:val="21"/>
          <w:szCs w:val="21"/>
          <w:lang w:val="es-MX"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009A4667" w14:textId="77777777" w:rsidR="00F62BEE" w:rsidRPr="00F252D7" w:rsidRDefault="00F62BEE" w:rsidP="00F62BEE">
      <w:pPr>
        <w:spacing w:after="0" w:line="240" w:lineRule="auto"/>
        <w:ind w:left="709" w:right="709"/>
        <w:contextualSpacing/>
        <w:jc w:val="both"/>
        <w:rPr>
          <w:rFonts w:ascii="Verdana" w:eastAsia="Calibri" w:hAnsi="Verdana" w:cs="Arial"/>
          <w:sz w:val="21"/>
          <w:szCs w:val="21"/>
          <w:lang w:val="es-MX" w:eastAsia="es-ES_tradnl"/>
        </w:rPr>
      </w:pPr>
    </w:p>
    <w:p w14:paraId="398B81E9"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8038CBB"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7B3AB301"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15F21BBC" w14:textId="77777777" w:rsidR="00F62BEE" w:rsidRPr="00F252D7" w:rsidRDefault="00F62BEE" w:rsidP="00F62BEE">
      <w:pPr>
        <w:spacing w:after="0" w:line="276" w:lineRule="auto"/>
        <w:jc w:val="both"/>
        <w:rPr>
          <w:rFonts w:ascii="Verdana" w:eastAsia="Times New Roman" w:hAnsi="Verdana" w:cs="Arial"/>
          <w:lang w:val="es-ES_tradnl" w:eastAsia="es-MX"/>
        </w:rPr>
      </w:pPr>
    </w:p>
    <w:p w14:paraId="041EC435" w14:textId="77777777" w:rsidR="00F62BEE" w:rsidRPr="00F252D7" w:rsidRDefault="00F62BEE" w:rsidP="00F62BEE">
      <w:pPr>
        <w:numPr>
          <w:ilvl w:val="0"/>
          <w:numId w:val="18"/>
        </w:numPr>
        <w:spacing w:after="0" w:line="276" w:lineRule="auto"/>
        <w:contextualSpacing/>
        <w:jc w:val="both"/>
        <w:rPr>
          <w:rFonts w:ascii="Verdana" w:eastAsia="Times New Roman" w:hAnsi="Verdana" w:cs="Arial"/>
          <w:lang w:val="es-ES_tradnl" w:eastAsia="es-MX"/>
        </w:rPr>
      </w:pPr>
      <w:r w:rsidRPr="00F252D7">
        <w:rPr>
          <w:rFonts w:ascii="Verdana" w:eastAsia="Times New Roman" w:hAnsi="Verdana" w:cs="Arial"/>
          <w:lang w:val="es-ES_tradnl" w:eastAsia="es-MX"/>
        </w:rPr>
        <w:t xml:space="preserve">Lo anterior le permitirá a la Entidad Estatal identificar desde el punto de vista técnico y financiero el objeto del contrato, las particularidades de su ejecución, los potenciales proponentes, requisitos mínimos para evaluar </w:t>
      </w:r>
      <w:r w:rsidRPr="00F252D7">
        <w:rPr>
          <w:rFonts w:ascii="Verdana" w:eastAsia="Times New Roman" w:hAnsi="Verdana" w:cs="Arial"/>
          <w:lang w:val="es-ES_tradnl" w:eastAsia="es-MX"/>
        </w:rPr>
        <w:lastRenderedPageBreak/>
        <w:t>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252D7">
        <w:rPr>
          <w:rFonts w:ascii="Geomanist Light" w:hAnsi="Geomanist Light"/>
          <w:vertAlign w:val="superscript"/>
          <w:lang w:val="es-ES" w:eastAsia="es-MX"/>
        </w:rPr>
        <w:footnoteReference w:id="1"/>
      </w:r>
      <w:r w:rsidRPr="00F252D7">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2B59CE9E" w14:textId="77777777" w:rsidR="00F62BEE" w:rsidRPr="00F252D7" w:rsidRDefault="00F62BEE" w:rsidP="00F62BEE">
      <w:pPr>
        <w:spacing w:after="0" w:line="276" w:lineRule="auto"/>
        <w:rPr>
          <w:rFonts w:ascii="Verdana" w:eastAsia="Times New Roman" w:hAnsi="Verdana" w:cs="Arial"/>
          <w:lang w:val="es-ES_tradnl" w:eastAsia="es-CO"/>
        </w:rPr>
      </w:pPr>
    </w:p>
    <w:p w14:paraId="2F584111"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67C4EF75"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092343E2"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1. La descripción de la necesidad que la Entidad Estatal pretende satisfacer con el Proceso de Contratación. </w:t>
      </w:r>
      <w:r w:rsidRPr="00F252D7">
        <w:rPr>
          <w:rFonts w:ascii="Arial" w:eastAsia="Times New Roman" w:hAnsi="Arial" w:cs="Arial"/>
          <w:sz w:val="21"/>
          <w:szCs w:val="21"/>
          <w:lang w:val="es-ES_tradnl" w:eastAsia="es-MX"/>
        </w:rPr>
        <w:t>​</w:t>
      </w:r>
    </w:p>
    <w:p w14:paraId="28EFE98E"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16DFA5C2"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2. El objeto a contratar, con sus especificaciones, las autorizaciones, permisos y licencias requeridos para su ejecución, y cuando el contrato incluye diseño y construcción, los documentos técnicos para el desarrollo del proyecto. </w:t>
      </w:r>
    </w:p>
    <w:p w14:paraId="1CE6CDA8"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5D6C7920"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3. La modalidad de selección del contratista y su justificación, incluyendo los fundamentos jurídicos. </w:t>
      </w:r>
    </w:p>
    <w:p w14:paraId="256FAB53"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480C5BCE"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 w:eastAsia="es-MX"/>
        </w:rPr>
      </w:pPr>
      <w:r w:rsidRPr="67DE658D">
        <w:rPr>
          <w:rFonts w:ascii="Verdana" w:eastAsia="Times New Roman" w:hAnsi="Verdana" w:cs="Arial"/>
          <w:sz w:val="21"/>
          <w:szCs w:val="21"/>
          <w:lang w:val="es-ES" w:eastAsia="es-MX"/>
        </w:rPr>
        <w:t xml:space="preserve">4. El valor estimado del contrato y la justificación </w:t>
      </w:r>
      <w:proofErr w:type="gramStart"/>
      <w:r w:rsidRPr="67DE658D">
        <w:rPr>
          <w:rFonts w:ascii="Verdana" w:eastAsia="Times New Roman" w:hAnsi="Verdana" w:cs="Arial"/>
          <w:sz w:val="21"/>
          <w:szCs w:val="21"/>
          <w:lang w:val="es-ES" w:eastAsia="es-MX"/>
        </w:rPr>
        <w:t>del mismo</w:t>
      </w:r>
      <w:proofErr w:type="gramEnd"/>
      <w:r w:rsidRPr="67DE658D">
        <w:rPr>
          <w:rFonts w:ascii="Verdana" w:eastAsia="Times New Roman" w:hAnsi="Verdana" w:cs="Arial"/>
          <w:sz w:val="21"/>
          <w:szCs w:val="21"/>
          <w:lang w:val="es-ES" w:eastAsia="es-MX"/>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1D2AC0B6"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0C2FB58D"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5. Los criterios para seleccionar la oferta más favorable. </w:t>
      </w:r>
    </w:p>
    <w:p w14:paraId="1D5494E0"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50E0271F"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6. El análisis de Riesgo y la forma de mitigarlo. </w:t>
      </w:r>
    </w:p>
    <w:p w14:paraId="4249B09F"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20098DDE"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7. Las garantías que la Entidad Estatal contempla exigir en el proceso de contratación. </w:t>
      </w:r>
    </w:p>
    <w:p w14:paraId="299449C7"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38DF1FC0"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 xml:space="preserve">8. La indicación de si el proceso de contratación está cobijado por un acuerdo comercial. </w:t>
      </w:r>
    </w:p>
    <w:p w14:paraId="62D1D506"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p>
    <w:p w14:paraId="26E643F0" w14:textId="77777777" w:rsidR="00F62BEE" w:rsidRPr="00F252D7" w:rsidRDefault="00F62BEE" w:rsidP="00F62BEE">
      <w:pPr>
        <w:spacing w:after="0" w:line="240" w:lineRule="auto"/>
        <w:ind w:left="709" w:right="709"/>
        <w:contextualSpacing/>
        <w:jc w:val="both"/>
        <w:rPr>
          <w:rFonts w:ascii="Verdana" w:eastAsia="Times New Roman" w:hAnsi="Verdana" w:cs="Arial"/>
          <w:sz w:val="21"/>
          <w:szCs w:val="21"/>
          <w:lang w:val="es-ES_tradnl" w:eastAsia="es-MX"/>
        </w:rPr>
      </w:pPr>
      <w:r w:rsidRPr="00F252D7">
        <w:rPr>
          <w:rFonts w:ascii="Verdana" w:eastAsia="Times New Roman" w:hAnsi="Verdana" w:cs="Arial"/>
          <w:sz w:val="21"/>
          <w:szCs w:val="21"/>
          <w:lang w:val="es-ES_tradnl" w:eastAsia="es-MX"/>
        </w:rPr>
        <w:t>El presente artículo no es aplicable a la contratación por mínima cuantía”.</w:t>
      </w:r>
    </w:p>
    <w:p w14:paraId="6AC91238" w14:textId="77777777" w:rsidR="00F62BEE" w:rsidRPr="00F252D7" w:rsidRDefault="00F62BEE" w:rsidP="00F62BEE">
      <w:pPr>
        <w:widowControl w:val="0"/>
        <w:tabs>
          <w:tab w:val="left" w:pos="1305"/>
        </w:tabs>
        <w:autoSpaceDE w:val="0"/>
        <w:autoSpaceDN w:val="0"/>
        <w:spacing w:after="0" w:line="276" w:lineRule="auto"/>
        <w:ind w:left="828" w:right="822"/>
        <w:rPr>
          <w:rFonts w:ascii="Verdana" w:eastAsia="Calibri" w:hAnsi="Verdana" w:cs="Arial"/>
          <w:lang w:val="es-MX" w:eastAsia="es-ES_tradnl"/>
        </w:rPr>
      </w:pPr>
    </w:p>
    <w:p w14:paraId="3ECCEBD9" w14:textId="77777777" w:rsidR="00F62BEE" w:rsidRPr="00F252D7" w:rsidRDefault="00F62BEE" w:rsidP="00F62BEE">
      <w:pPr>
        <w:numPr>
          <w:ilvl w:val="0"/>
          <w:numId w:val="18"/>
        </w:numPr>
        <w:spacing w:after="120" w:line="276" w:lineRule="auto"/>
        <w:contextualSpacing/>
        <w:jc w:val="both"/>
        <w:rPr>
          <w:rFonts w:ascii="Verdana" w:eastAsia="Times New Roman" w:hAnsi="Verdana" w:cs="Arial"/>
          <w:lang w:val="es-ES" w:eastAsia="es-MX"/>
        </w:rPr>
      </w:pPr>
      <w:bookmarkStart w:id="2" w:name="_Hlk54011351"/>
      <w:r w:rsidRPr="67DE658D">
        <w:rPr>
          <w:rFonts w:ascii="Verdana" w:eastAsia="Times New Roman" w:hAnsi="Verdana" w:cs="Arial"/>
          <w:lang w:val="es-ES" w:eastAsia="es-MX"/>
        </w:rPr>
        <w:t xml:space="preserve">De esta manera, antes de iniciar un procedimiento de selección, la Entidad Estatal podrá determinar con los estudios previos: i) la verdadera necesidad de la celebración del contrato; </w:t>
      </w:r>
      <w:proofErr w:type="spellStart"/>
      <w:r w:rsidRPr="67DE658D">
        <w:rPr>
          <w:rFonts w:ascii="Verdana" w:eastAsia="Times New Roman" w:hAnsi="Verdana" w:cs="Arial"/>
          <w:lang w:val="es-ES" w:eastAsia="es-MX"/>
        </w:rPr>
        <w:t>ii</w:t>
      </w:r>
      <w:proofErr w:type="spellEnd"/>
      <w:r w:rsidRPr="67DE658D">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67DE658D">
        <w:rPr>
          <w:rFonts w:ascii="Verdana" w:eastAsia="Times New Roman" w:hAnsi="Verdana" w:cs="Arial"/>
          <w:lang w:val="es-ES" w:eastAsia="es-MX"/>
        </w:rPr>
        <w:t>iii</w:t>
      </w:r>
      <w:proofErr w:type="spellEnd"/>
      <w:r w:rsidRPr="67DE658D">
        <w:rPr>
          <w:rFonts w:ascii="Verdana" w:eastAsia="Times New Roman" w:hAnsi="Verdana" w:cs="Arial"/>
          <w:lang w:val="es-ES" w:eastAsia="es-MX"/>
        </w:rPr>
        <w:t xml:space="preserve">) las calidades, especificaciones, cantidades y demás características que puedan o deban reunir los bienes, las obras o los servicios cuya contratación se haya determinado necesaria, </w:t>
      </w:r>
      <w:proofErr w:type="spellStart"/>
      <w:r w:rsidRPr="67DE658D">
        <w:rPr>
          <w:rFonts w:ascii="Verdana" w:eastAsia="Times New Roman" w:hAnsi="Verdana" w:cs="Arial"/>
          <w:lang w:val="es-ES" w:eastAsia="es-MX"/>
        </w:rPr>
        <w:t>iv</w:t>
      </w:r>
      <w:proofErr w:type="spellEnd"/>
      <w:r w:rsidRPr="67DE658D">
        <w:rPr>
          <w:rFonts w:ascii="Verdana" w:eastAsia="Times New Roman" w:hAnsi="Verdana" w:cs="Arial"/>
          <w:lang w:val="es-ES"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67DE658D">
        <w:rPr>
          <w:rFonts w:ascii="Verdana" w:eastAsia="Times New Roman" w:hAnsi="Verdana" w:cs="Arial"/>
          <w:lang w:val="es-ES" w:eastAsia="es-MX"/>
        </w:rPr>
        <w:t>vii</w:t>
      </w:r>
      <w:proofErr w:type="spellEnd"/>
      <w:r w:rsidRPr="67DE658D">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bookmarkEnd w:id="2"/>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5680C743" w14:textId="77777777" w:rsidR="00F62BEE" w:rsidRPr="00F252D7" w:rsidRDefault="00F62BEE" w:rsidP="00F62BEE">
      <w:pPr>
        <w:spacing w:after="120" w:line="276" w:lineRule="auto"/>
        <w:ind w:left="720"/>
        <w:contextualSpacing/>
        <w:jc w:val="both"/>
        <w:rPr>
          <w:rFonts w:ascii="Verdana" w:eastAsia="Times New Roman" w:hAnsi="Verdana" w:cs="Arial"/>
          <w:lang w:val="es-ES_tradnl" w:eastAsia="es-MX"/>
        </w:rPr>
      </w:pPr>
    </w:p>
    <w:p w14:paraId="2569309B" w14:textId="77777777" w:rsidR="00F62BEE" w:rsidRPr="00F252D7" w:rsidRDefault="00F62BEE" w:rsidP="00F62BEE">
      <w:pPr>
        <w:numPr>
          <w:ilvl w:val="0"/>
          <w:numId w:val="18"/>
        </w:numPr>
        <w:spacing w:after="120" w:line="276" w:lineRule="auto"/>
        <w:ind w:right="102"/>
        <w:contextualSpacing/>
        <w:jc w:val="both"/>
        <w:rPr>
          <w:rFonts w:ascii="Verdana" w:eastAsia="Times New Roman" w:hAnsi="Verdana" w:cs="Arial"/>
          <w:lang w:val="es-ES_tradnl" w:eastAsia="es-MX"/>
        </w:rPr>
      </w:pPr>
      <w:r w:rsidRPr="00F252D7">
        <w:rPr>
          <w:rFonts w:ascii="Verdana" w:eastAsia="Times New Roman" w:hAnsi="Verdana" w:cs="Arial"/>
          <w:lang w:val="es-ES_tradnl" w:eastAsia="es-MX"/>
        </w:rPr>
        <w:t>Más allá del cumplimiento de la normativa, “los estudios y documentos previos son el soporte para elaborar el proyecto de pliegos, los pliegos de condiciones, y el contrato”</w:t>
      </w:r>
      <w:r w:rsidRPr="00F252D7">
        <w:rPr>
          <w:rFonts w:ascii="Geomanist Light" w:hAnsi="Geomanist Light"/>
          <w:vertAlign w:val="superscript"/>
          <w:lang w:val="es-ES" w:eastAsia="es-MX"/>
        </w:rPr>
        <w:footnoteReference w:id="2"/>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w:t>
      </w:r>
      <w:r w:rsidRPr="00F252D7">
        <w:rPr>
          <w:rFonts w:ascii="Verdana" w:eastAsia="Times New Roman" w:hAnsi="Verdana" w:cs="Arial"/>
          <w:lang w:val="es-ES_tradnl" w:eastAsia="es-MX"/>
        </w:rPr>
        <w:lastRenderedPageBreak/>
        <w:t xml:space="preserve">de apertura, los pliegos de condiciones y el acto de adjudicación, entre otros. En ese sentido, </w:t>
      </w:r>
      <w:bookmarkStart w:id="4"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4"/>
      <w:r w:rsidRPr="00F252D7">
        <w:rPr>
          <w:rFonts w:ascii="Geomanist Light" w:hAnsi="Geomanist Light"/>
          <w:vertAlign w:val="superscript"/>
          <w:lang w:val="es-ES" w:eastAsia="es-MX"/>
        </w:rPr>
        <w:footnoteReference w:id="3"/>
      </w:r>
      <w:r w:rsidRPr="00F252D7">
        <w:rPr>
          <w:rFonts w:ascii="Verdana" w:eastAsia="Times New Roman" w:hAnsi="Verdana" w:cs="Arial"/>
          <w:lang w:val="es-ES_tradnl" w:eastAsia="es-MX"/>
        </w:rPr>
        <w:t>.</w:t>
      </w:r>
    </w:p>
    <w:p w14:paraId="4F7A66ED" w14:textId="77777777" w:rsidR="00F62BEE" w:rsidRPr="00F252D7" w:rsidRDefault="00F62BEE" w:rsidP="00F62BEE">
      <w:pPr>
        <w:ind w:left="720"/>
        <w:contextualSpacing/>
        <w:rPr>
          <w:rFonts w:ascii="Verdana" w:eastAsia="Times New Roman" w:hAnsi="Verdana" w:cs="Arial"/>
          <w:lang w:val="es-ES_tradnl" w:eastAsia="es-MX"/>
        </w:rPr>
      </w:pPr>
    </w:p>
    <w:p w14:paraId="25CB69EA" w14:textId="77777777" w:rsidR="00F62BEE" w:rsidRPr="00F252D7" w:rsidRDefault="00F62BEE" w:rsidP="00F62BEE">
      <w:pPr>
        <w:numPr>
          <w:ilvl w:val="0"/>
          <w:numId w:val="18"/>
        </w:numPr>
        <w:spacing w:after="120" w:line="276" w:lineRule="auto"/>
        <w:contextualSpacing/>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F252D7">
        <w:rPr>
          <w:rFonts w:ascii="Verdana" w:eastAsia="Times New Roman" w:hAnsi="Verdana" w:cs="Arial"/>
          <w:szCs w:val="24"/>
          <w:lang w:val="es-ES" w:eastAsia="es-ES_tradnl"/>
        </w:rPr>
        <w:t>ii</w:t>
      </w:r>
      <w:proofErr w:type="spellEnd"/>
      <w:r w:rsidRPr="00F252D7">
        <w:rPr>
          <w:rFonts w:ascii="Verdana" w:eastAsia="Times New Roman" w:hAnsi="Verdana" w:cs="Arial"/>
          <w:szCs w:val="24"/>
          <w:lang w:val="es-ES" w:eastAsia="es-ES_tradnl"/>
        </w:rPr>
        <w:t xml:space="preserve">) previo a la firma del contrato en el caso en que la modalidad de selección sea contratación directa. </w:t>
      </w:r>
    </w:p>
    <w:p w14:paraId="07AB0B5B" w14:textId="77777777" w:rsidR="00F62BEE" w:rsidRPr="00F252D7" w:rsidRDefault="00F62BEE" w:rsidP="00F62BEE">
      <w:pPr>
        <w:ind w:left="720"/>
        <w:contextualSpacing/>
        <w:rPr>
          <w:rFonts w:ascii="Verdana" w:eastAsia="Times New Roman" w:hAnsi="Verdana" w:cs="Arial"/>
          <w:szCs w:val="24"/>
          <w:lang w:val="es-ES" w:eastAsia="es-ES_tradnl"/>
        </w:rPr>
      </w:pPr>
    </w:p>
    <w:p w14:paraId="47DF5143" w14:textId="77777777" w:rsidR="00F62BEE" w:rsidRPr="00F252D7" w:rsidRDefault="00F62BEE" w:rsidP="00F62BEE">
      <w:pPr>
        <w:numPr>
          <w:ilvl w:val="0"/>
          <w:numId w:val="18"/>
        </w:numPr>
        <w:spacing w:after="120" w:line="276" w:lineRule="auto"/>
        <w:contextualSpacing/>
        <w:jc w:val="both"/>
        <w:rPr>
          <w:rFonts w:ascii="Verdana" w:eastAsia="Calibri" w:hAnsi="Verdana" w:cs="Arial"/>
          <w:bCs/>
          <w:lang w:val="es-ES_tradnl" w:eastAsia="es-MX"/>
        </w:rPr>
      </w:pPr>
      <w:r w:rsidRPr="00F252D7">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5"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6" w:name="_Hlk36117416"/>
      <w:r w:rsidRPr="00F252D7">
        <w:rPr>
          <w:rFonts w:ascii="Verdana" w:eastAsia="Calibri" w:hAnsi="Verdana" w:cs="Arial"/>
          <w:bCs/>
          <w:lang w:val="es-ES_tradnl" w:eastAsia="es-MX"/>
        </w:rPr>
        <w:t>2.2.1.1.1.6.1 del Decreto 1082 de 2015</w:t>
      </w:r>
      <w:bookmarkEnd w:id="6"/>
      <w:r w:rsidRPr="00F252D7">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5"/>
      <w:r w:rsidRPr="00F252D7">
        <w:rPr>
          <w:rFonts w:ascii="Geomanist Light" w:eastAsia="Calibri" w:hAnsi="Geomanist Light"/>
          <w:bCs/>
          <w:vertAlign w:val="superscript"/>
          <w:lang w:val="es-ES" w:eastAsia="es-MX"/>
        </w:rPr>
        <w:footnoteReference w:id="4"/>
      </w:r>
      <w:r w:rsidRPr="00F252D7">
        <w:rPr>
          <w:rFonts w:ascii="Verdana" w:eastAsia="Calibri" w:hAnsi="Verdana" w:cs="Arial"/>
          <w:bCs/>
          <w:lang w:val="es-ES_tradnl" w:eastAsia="es-MX"/>
        </w:rPr>
        <w:t xml:space="preserve">. </w:t>
      </w:r>
    </w:p>
    <w:p w14:paraId="5D3D61D0" w14:textId="77777777" w:rsidR="00F62BEE" w:rsidRPr="00F252D7" w:rsidRDefault="00F62BEE" w:rsidP="00F62BEE">
      <w:pPr>
        <w:spacing w:after="120" w:line="276" w:lineRule="auto"/>
        <w:ind w:left="720"/>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 </w:t>
      </w:r>
    </w:p>
    <w:p w14:paraId="16DE46AD" w14:textId="77777777" w:rsidR="00F62BEE" w:rsidRPr="00F252D7" w:rsidRDefault="00F62BEE" w:rsidP="00F62BEE">
      <w:pPr>
        <w:numPr>
          <w:ilvl w:val="0"/>
          <w:numId w:val="18"/>
        </w:numPr>
        <w:spacing w:after="120" w:line="276" w:lineRule="auto"/>
        <w:contextualSpacing/>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7" w:name="_Hlk36140682"/>
      <w:r w:rsidRPr="41260AC2">
        <w:rPr>
          <w:rFonts w:ascii="Verdana" w:eastAsia="Calibri" w:hAnsi="Verdana" w:cs="Arial"/>
          <w:lang w:val="es-ES" w:eastAsia="es-MX"/>
        </w:rPr>
        <w:t xml:space="preserve">la entidad debe realizar el análisis necesario para conocer el sector relativo al objeto del Proceso de </w:t>
      </w:r>
      <w:r w:rsidRPr="41260AC2">
        <w:rPr>
          <w:rFonts w:ascii="Verdana" w:eastAsia="Calibri" w:hAnsi="Verdana" w:cs="Arial"/>
          <w:lang w:val="es-ES" w:eastAsia="es-MX"/>
        </w:rPr>
        <w:lastRenderedPageBreak/>
        <w:t>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84A13B7" w14:textId="77777777" w:rsidR="00F62BEE" w:rsidRPr="00F252D7" w:rsidRDefault="00F62BEE" w:rsidP="00F62BEE">
      <w:pPr>
        <w:ind w:left="720"/>
        <w:contextualSpacing/>
        <w:rPr>
          <w:rFonts w:ascii="Verdana" w:eastAsia="Calibri" w:hAnsi="Verdana" w:cs="Arial"/>
          <w:bCs/>
          <w:lang w:val="es-ES_tradnl" w:eastAsia="es-MX"/>
        </w:rPr>
      </w:pPr>
    </w:p>
    <w:p w14:paraId="7CE34E82" w14:textId="77777777" w:rsidR="00F62BEE" w:rsidRPr="00F252D7" w:rsidRDefault="00F62BEE" w:rsidP="00F62BEE">
      <w:pPr>
        <w:numPr>
          <w:ilvl w:val="0"/>
          <w:numId w:val="18"/>
        </w:numPr>
        <w:spacing w:after="120" w:line="276" w:lineRule="auto"/>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3747DB2C" w14:textId="77777777" w:rsidR="00F62BEE" w:rsidRPr="00F252D7" w:rsidRDefault="00F62BEE" w:rsidP="00F62BEE">
      <w:pPr>
        <w:ind w:left="720"/>
        <w:contextualSpacing/>
        <w:rPr>
          <w:rFonts w:ascii="Verdana" w:eastAsia="Calibri" w:hAnsi="Verdana" w:cs="Arial"/>
          <w:bCs/>
          <w:lang w:val="es-ES_tradnl" w:eastAsia="es-MX"/>
        </w:rPr>
      </w:pPr>
    </w:p>
    <w:p w14:paraId="5AAFE9E5" w14:textId="77777777" w:rsidR="00F62BEE" w:rsidRPr="00F252D7" w:rsidRDefault="00F62BEE" w:rsidP="6C9BD3CD">
      <w:pPr>
        <w:numPr>
          <w:ilvl w:val="0"/>
          <w:numId w:val="18"/>
        </w:numPr>
        <w:spacing w:after="120" w:line="276" w:lineRule="auto"/>
        <w:contextualSpacing/>
        <w:jc w:val="both"/>
        <w:rPr>
          <w:rFonts w:ascii="Verdana" w:eastAsia="Calibri" w:hAnsi="Verdana" w:cs="Arial"/>
          <w:lang w:val="es-ES" w:eastAsia="es-MX"/>
        </w:rPr>
      </w:pPr>
      <w:r w:rsidRPr="6C9BD3CD">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w:t>
      </w:r>
      <w:r w:rsidRPr="6C9BD3CD">
        <w:rPr>
          <w:rFonts w:ascii="Verdana" w:eastAsia="Calibri" w:hAnsi="Verdana" w:cs="Arial"/>
          <w:lang w:val="es-ES" w:eastAsia="es-MX"/>
        </w:rPr>
        <w:lastRenderedPageBreak/>
        <w:t xml:space="preserve">tanto para la entidad contratante como para el contratista que proveerá el bien, obra o servicio. </w:t>
      </w:r>
    </w:p>
    <w:p w14:paraId="29ACD7E6" w14:textId="77777777" w:rsidR="00F62BEE" w:rsidRPr="00F252D7" w:rsidRDefault="00F62BEE" w:rsidP="00F62BEE">
      <w:pPr>
        <w:ind w:left="720"/>
        <w:contextualSpacing/>
        <w:rPr>
          <w:rFonts w:ascii="Verdana" w:eastAsia="Calibri" w:hAnsi="Verdana" w:cs="Arial"/>
          <w:bCs/>
          <w:lang w:val="es-ES_tradnl" w:eastAsia="es-MX"/>
        </w:rPr>
      </w:pPr>
    </w:p>
    <w:p w14:paraId="66E366FF" w14:textId="77777777" w:rsidR="00F62BEE" w:rsidRPr="00F252D7" w:rsidRDefault="00F62BEE" w:rsidP="00F62BEE">
      <w:pPr>
        <w:numPr>
          <w:ilvl w:val="0"/>
          <w:numId w:val="18"/>
        </w:numPr>
        <w:spacing w:after="120" w:line="276" w:lineRule="auto"/>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3CF339AD" w14:textId="77777777" w:rsidR="00F62BEE" w:rsidRPr="00F252D7" w:rsidRDefault="00F62BEE" w:rsidP="00F62BEE">
      <w:pPr>
        <w:ind w:left="720"/>
        <w:contextualSpacing/>
        <w:rPr>
          <w:rFonts w:ascii="Verdana" w:eastAsia="Calibri" w:hAnsi="Verdana" w:cs="Arial"/>
          <w:bCs/>
          <w:lang w:val="es-ES_tradnl" w:eastAsia="es-MX"/>
        </w:rPr>
      </w:pPr>
    </w:p>
    <w:p w14:paraId="59F8710C" w14:textId="77777777" w:rsidR="00F62BEE" w:rsidRDefault="00F62BEE" w:rsidP="00F62BEE">
      <w:pPr>
        <w:numPr>
          <w:ilvl w:val="0"/>
          <w:numId w:val="18"/>
        </w:numPr>
        <w:spacing w:after="120" w:line="276" w:lineRule="auto"/>
        <w:contextualSpacing/>
        <w:jc w:val="both"/>
        <w:rPr>
          <w:rFonts w:ascii="Verdana" w:eastAsia="Calibri" w:hAnsi="Verdana" w:cs="Arial"/>
          <w:bCs/>
          <w:szCs w:val="24"/>
          <w:lang w:val="es-ES" w:eastAsia="es-ES_tradnl"/>
        </w:rPr>
      </w:pPr>
      <w:bookmarkStart w:id="8" w:name="_Hlk139466113"/>
      <w:bookmarkEnd w:id="7"/>
      <w:r w:rsidRPr="00F252D7">
        <w:rPr>
          <w:rFonts w:ascii="Verdana" w:eastAsia="Calibri" w:hAnsi="Verdana" w:cs="Arial"/>
          <w:bCs/>
          <w:lang w:val="es-ES_tradnl" w:eastAsia="es-MX"/>
        </w:rPr>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5"/>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8"/>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2B15B2FA" w14:textId="77777777" w:rsidR="00F62BEE" w:rsidRDefault="00F62BEE" w:rsidP="00F62BEE">
      <w:pPr>
        <w:pStyle w:val="Prrafodelista"/>
        <w:rPr>
          <w:rFonts w:ascii="Verdana" w:eastAsia="Calibri" w:hAnsi="Verdana" w:cs="Arial"/>
          <w:bCs/>
          <w:szCs w:val="24"/>
          <w:lang w:eastAsia="es-ES_tradnl"/>
        </w:rPr>
      </w:pPr>
    </w:p>
    <w:p w14:paraId="7A7FDD95" w14:textId="77777777" w:rsidR="00F62BEE" w:rsidRDefault="00F62BEE" w:rsidP="00F62BEE">
      <w:pPr>
        <w:pStyle w:val="Prrafodelista"/>
        <w:numPr>
          <w:ilvl w:val="0"/>
          <w:numId w:val="18"/>
        </w:numPr>
        <w:spacing w:after="120" w:line="276" w:lineRule="auto"/>
        <w:jc w:val="both"/>
        <w:rPr>
          <w:rFonts w:ascii="Verdana" w:eastAsia="Calibri" w:hAnsi="Verdana" w:cs="Arial"/>
          <w:lang w:eastAsia="es-MX"/>
        </w:rPr>
      </w:pPr>
      <w:r w:rsidRPr="07D7AD4D">
        <w:rPr>
          <w:rFonts w:ascii="Verdana" w:eastAsia="Calibri" w:hAnsi="Verdana" w:cs="Arial"/>
          <w:lang w:eastAsia="es-MX"/>
        </w:rPr>
        <w:t xml:space="preserve">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1664A93F" w14:textId="77777777" w:rsidR="00F62BEE" w:rsidRPr="006D7828" w:rsidRDefault="00F62BEE" w:rsidP="00F62BEE">
      <w:pPr>
        <w:pStyle w:val="Prrafodelista"/>
        <w:rPr>
          <w:rFonts w:ascii="Verdana" w:eastAsia="Calibri" w:hAnsi="Verdana" w:cs="Arial"/>
          <w:bCs/>
          <w:lang w:val="es-ES_tradnl" w:eastAsia="es-MX"/>
        </w:rPr>
      </w:pPr>
    </w:p>
    <w:p w14:paraId="2EBDA324" w14:textId="77777777" w:rsidR="00F62BEE" w:rsidRPr="009225A7" w:rsidRDefault="00F62BEE" w:rsidP="00F62BEE">
      <w:pPr>
        <w:pStyle w:val="Prrafodelista"/>
        <w:numPr>
          <w:ilvl w:val="0"/>
          <w:numId w:val="18"/>
        </w:numPr>
        <w:spacing w:after="120" w:line="276" w:lineRule="auto"/>
        <w:jc w:val="both"/>
        <w:rPr>
          <w:rFonts w:ascii="Verdana" w:hAnsi="Verdana"/>
          <w:lang w:val="es-CO" w:eastAsia="es-ES_tradnl"/>
        </w:rPr>
      </w:pPr>
      <w:r w:rsidRPr="009225A7">
        <w:rPr>
          <w:rFonts w:ascii="Verdana" w:eastAsia="Calibri" w:hAnsi="Verdana" w:cs="Arial"/>
          <w:bCs/>
          <w:szCs w:val="24"/>
          <w:lang w:val="es-ES_tradnl" w:eastAsia="es-ES_tradnl"/>
        </w:rPr>
        <w:t xml:space="preserve">Así mismo, en </w:t>
      </w:r>
      <w:bookmarkStart w:id="9" w:name="_Hlk139466181"/>
      <w:r w:rsidRPr="009225A7">
        <w:rPr>
          <w:rFonts w:ascii="Verdana" w:eastAsia="Calibri" w:hAnsi="Verdana" w:cs="Arial"/>
          <w:bCs/>
          <w:szCs w:val="24"/>
          <w:lang w:val="es-ES_tradnl" w:eastAsia="es-ES_tradnl"/>
        </w:rPr>
        <w:t xml:space="preserve">la Guía se indica que como parte de la estructura del estudio del sector se debe realizar un análisis del comportamiento del gasto histórico, el estudio de la oferta y el estudio del mercado. </w:t>
      </w:r>
      <w:bookmarkStart w:id="10" w:name="_Hlk78204338"/>
      <w:bookmarkEnd w:id="9"/>
      <w:r w:rsidRPr="009225A7">
        <w:rPr>
          <w:rFonts w:ascii="Verdana" w:eastAsia="Calibri" w:hAnsi="Verdana" w:cs="Arial"/>
          <w:lang w:eastAsia="es-ES_tradnl"/>
        </w:rPr>
        <w:t>D</w:t>
      </w:r>
      <w:proofErr w:type="spellStart"/>
      <w:r w:rsidRPr="009225A7">
        <w:rPr>
          <w:rFonts w:ascii="Verdana" w:hAnsi="Verdana"/>
          <w:lang w:val="es-CO" w:eastAsia="es-ES_tradnl"/>
        </w:rPr>
        <w:t>e</w:t>
      </w:r>
      <w:proofErr w:type="spellEnd"/>
      <w:r w:rsidRPr="009225A7">
        <w:rPr>
          <w:rFonts w:ascii="Verdana" w:hAnsi="Verdana"/>
          <w:lang w:val="es-CO" w:eastAsia="es-ES_tradnl"/>
        </w:rPr>
        <w:t xml:space="preserve"> forma puntual, la Guía indica que “la Entidad Estatal debe identificar los proveedores en el mercado del bien o servicio, así como sus principales características como tamaño empresarial, ubicación, esquemas de producción y comportamiento financiero”.</w:t>
      </w:r>
      <w:bookmarkEnd w:id="10"/>
      <w:r w:rsidRPr="009225A7">
        <w:rPr>
          <w:rFonts w:ascii="Verdana" w:hAnsi="Verdana"/>
          <w:lang w:val="es-CO" w:eastAsia="es-ES_tradnl"/>
        </w:rPr>
        <w:t xml:space="preserve"> </w:t>
      </w:r>
    </w:p>
    <w:p w14:paraId="3C2859F8" w14:textId="77777777" w:rsidR="00F62BEE" w:rsidRPr="006D7828" w:rsidRDefault="00F62BEE" w:rsidP="00F62BEE">
      <w:pPr>
        <w:pStyle w:val="Prrafodelista"/>
        <w:rPr>
          <w:rFonts w:ascii="Verdana" w:eastAsia="Calibri" w:hAnsi="Verdana" w:cs="Arial"/>
          <w:szCs w:val="24"/>
          <w:lang w:eastAsia="es-ES_tradnl"/>
        </w:rPr>
      </w:pPr>
    </w:p>
    <w:p w14:paraId="73105A47" w14:textId="77777777" w:rsidR="00F62BEE" w:rsidRDefault="00F62BEE" w:rsidP="00F62BEE">
      <w:pPr>
        <w:pStyle w:val="Prrafodelista"/>
        <w:numPr>
          <w:ilvl w:val="0"/>
          <w:numId w:val="18"/>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Ahora bien</w:t>
      </w:r>
      <w:r w:rsidRPr="006D7828">
        <w:rPr>
          <w:rFonts w:ascii="Verdana" w:eastAsia="Calibri" w:hAnsi="Verdana" w:cs="Arial"/>
          <w:szCs w:val="24"/>
          <w:lang w:eastAsia="es-ES_tradnl"/>
        </w:rPr>
        <w:t xml:space="preserve">, </w:t>
      </w:r>
      <w:bookmarkStart w:id="11" w:name="_Hlk139466204"/>
      <w:r>
        <w:rPr>
          <w:rFonts w:ascii="Verdana" w:eastAsia="Calibri" w:hAnsi="Verdana" w:cs="Arial"/>
          <w:szCs w:val="24"/>
          <w:lang w:eastAsia="es-ES_tradnl"/>
        </w:rPr>
        <w:t xml:space="preserve">respecto a </w:t>
      </w:r>
      <w:r w:rsidRPr="006D7828">
        <w:rPr>
          <w:rFonts w:ascii="Verdana" w:eastAsia="Calibri" w:hAnsi="Verdana" w:cs="Arial"/>
          <w:szCs w:val="24"/>
          <w:lang w:eastAsia="es-ES_tradnl"/>
        </w:rPr>
        <w:t xml:space="preserve">el </w:t>
      </w:r>
      <w:r w:rsidRPr="006D7828">
        <w:rPr>
          <w:rFonts w:ascii="Verdana" w:eastAsia="Calibri" w:hAnsi="Verdana" w:cs="Arial"/>
          <w:i/>
          <w:iCs/>
          <w:szCs w:val="24"/>
          <w:lang w:eastAsia="es-ES_tradnl"/>
        </w:rPr>
        <w:t xml:space="preserve">estudio del mercado, </w:t>
      </w:r>
      <w:r w:rsidRPr="006D7828">
        <w:rPr>
          <w:rFonts w:ascii="Verdana" w:eastAsia="Calibri" w:hAnsi="Verdana" w:cs="Arial"/>
          <w:szCs w:val="24"/>
          <w:lang w:eastAsia="es-ES_tradnl"/>
        </w:rPr>
        <w:t xml:space="preserve">al cual hace referencia en su consulta, </w:t>
      </w:r>
      <w:r>
        <w:rPr>
          <w:rFonts w:ascii="Verdana" w:eastAsia="Calibri" w:hAnsi="Verdana" w:cs="Arial"/>
          <w:szCs w:val="24"/>
          <w:lang w:eastAsia="es-ES_tradnl"/>
        </w:rPr>
        <w:t xml:space="preserve">este se encuentra inmerso dentro del análisis del sector y </w:t>
      </w:r>
      <w:r w:rsidRPr="006D7828">
        <w:rPr>
          <w:rFonts w:ascii="Verdana" w:eastAsia="Calibri" w:hAnsi="Verdana" w:cs="Arial"/>
          <w:szCs w:val="24"/>
          <w:lang w:eastAsia="es-ES_tradnl"/>
        </w:rPr>
        <w:t xml:space="preserve">permite comprender la dinámica de los precios y establecer el presupuesto oficial de la contratación, el cual </w:t>
      </w:r>
      <w:r>
        <w:rPr>
          <w:rFonts w:ascii="Verdana" w:eastAsia="Calibri" w:hAnsi="Verdana" w:cs="Arial"/>
          <w:szCs w:val="24"/>
          <w:lang w:eastAsia="es-ES_tradnl"/>
        </w:rPr>
        <w:t>incluye</w:t>
      </w:r>
      <w:r w:rsidRPr="006D7828">
        <w:rPr>
          <w:rFonts w:ascii="Verdana" w:eastAsia="Calibri" w:hAnsi="Verdana" w:cs="Arial"/>
          <w:szCs w:val="24"/>
          <w:lang w:eastAsia="es-ES_tradnl"/>
        </w:rPr>
        <w:t xml:space="preserve"> la realización de un análisis de los diferentes precios de los bienes o servicios a contratar que se registran en el mercado, los cuales pueden consultarse a través de mecanismos como</w:t>
      </w:r>
      <w:r>
        <w:rPr>
          <w:rFonts w:ascii="Verdana" w:eastAsia="Calibri" w:hAnsi="Verdana" w:cs="Arial"/>
          <w:szCs w:val="24"/>
          <w:lang w:eastAsia="es-ES_tradnl"/>
        </w:rPr>
        <w:t>:</w:t>
      </w:r>
    </w:p>
    <w:p w14:paraId="5564582B" w14:textId="77777777" w:rsidR="00F62BEE" w:rsidRDefault="00F62BEE" w:rsidP="00F62BEE">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precios</w:t>
      </w:r>
      <w:r w:rsidRPr="006D7828">
        <w:rPr>
          <w:rFonts w:ascii="Verdana" w:eastAsia="Calibri" w:hAnsi="Verdana" w:cs="Arial"/>
          <w:szCs w:val="24"/>
          <w:lang w:eastAsia="es-ES_tradnl"/>
        </w:rPr>
        <w:t xml:space="preserve"> por solicitud de cotizaciones</w:t>
      </w:r>
      <w:r>
        <w:rPr>
          <w:rFonts w:ascii="Verdana" w:eastAsia="Calibri" w:hAnsi="Verdana" w:cs="Arial"/>
          <w:szCs w:val="24"/>
          <w:lang w:eastAsia="es-ES_tradnl"/>
        </w:rPr>
        <w:t xml:space="preserve">: </w:t>
      </w:r>
      <w:r w:rsidRPr="006D7828">
        <w:rPr>
          <w:rFonts w:ascii="Verdana" w:eastAsia="Calibri" w:hAnsi="Verdana" w:cs="Arial"/>
          <w:szCs w:val="24"/>
          <w:lang w:eastAsia="es-ES_tradnl"/>
        </w:rPr>
        <w:t>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w:t>
      </w:r>
      <w:r>
        <w:rPr>
          <w:rFonts w:ascii="Verdana" w:eastAsia="Calibri" w:hAnsi="Verdana" w:cs="Arial"/>
          <w:szCs w:val="24"/>
          <w:lang w:eastAsia="es-ES_tradnl"/>
        </w:rPr>
        <w:t>.</w:t>
      </w:r>
    </w:p>
    <w:p w14:paraId="05974590" w14:textId="77777777" w:rsidR="00F62BEE" w:rsidRPr="00A34454" w:rsidRDefault="00F62BEE" w:rsidP="00F62BEE">
      <w:pPr>
        <w:pStyle w:val="Prrafodelista"/>
        <w:spacing w:after="120" w:line="276" w:lineRule="auto"/>
        <w:ind w:left="2220"/>
        <w:jc w:val="both"/>
        <w:rPr>
          <w:rFonts w:ascii="Verdana" w:eastAsia="Calibri" w:hAnsi="Verdana" w:cs="Arial"/>
          <w:szCs w:val="24"/>
          <w:lang w:eastAsia="es-ES_tradnl"/>
        </w:rPr>
      </w:pPr>
      <w:r w:rsidRPr="00A34454">
        <w:rPr>
          <w:rFonts w:ascii="Verdana" w:eastAsia="Calibri" w:hAnsi="Verdana" w:cs="Arial"/>
          <w:szCs w:val="24"/>
          <w:lang w:eastAsia="es-ES_tradnl"/>
        </w:rPr>
        <w:t xml:space="preserve">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175453EC" w14:textId="77777777" w:rsidR="00F62BEE" w:rsidRDefault="00F62BEE" w:rsidP="00F62BEE">
      <w:pPr>
        <w:pStyle w:val="Prrafodelista"/>
        <w:spacing w:after="120" w:line="276" w:lineRule="auto"/>
        <w:ind w:left="2220"/>
        <w:jc w:val="both"/>
        <w:rPr>
          <w:rFonts w:ascii="Verdana" w:eastAsia="Calibri" w:hAnsi="Verdana" w:cs="Arial"/>
          <w:szCs w:val="24"/>
          <w:lang w:eastAsia="es-ES_tradnl"/>
        </w:rPr>
      </w:pPr>
    </w:p>
    <w:p w14:paraId="19243777" w14:textId="77777777" w:rsidR="00F62BEE" w:rsidRDefault="00F62BEE" w:rsidP="00F62BEE">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bases de datos especializadas</w:t>
      </w:r>
      <w:r>
        <w:rPr>
          <w:rFonts w:ascii="Verdana" w:eastAsia="Calibri" w:hAnsi="Verdana" w:cs="Arial"/>
          <w:szCs w:val="24"/>
          <w:lang w:eastAsia="es-ES_tradnl"/>
        </w:rPr>
        <w:t>:</w:t>
      </w:r>
      <w:r w:rsidRPr="006D7828">
        <w:rPr>
          <w:rFonts w:ascii="Verdana" w:eastAsia="Calibri" w:hAnsi="Verdana" w:cs="Arial"/>
          <w:szCs w:val="24"/>
          <w:lang w:eastAsia="es-ES_tradnl"/>
        </w:rPr>
        <w:t xml:space="preserve"> la Guía señala que es conveniente adelantarla cuando por las condiciones del mercado del bien o servicio a contratar se requiera, y el responsable deberá dejar constancia de las consultas realizadas y de los precios que soportan su estudio. Las </w:t>
      </w:r>
      <w:r w:rsidRPr="006D7828">
        <w:rPr>
          <w:rFonts w:ascii="Verdana" w:eastAsia="Calibri" w:hAnsi="Verdana" w:cs="Arial"/>
          <w:szCs w:val="24"/>
          <w:lang w:eastAsia="es-ES_tradnl"/>
        </w:rPr>
        <w:lastRenderedPageBreak/>
        <w:t xml:space="preserve">bases de datos consultadas deben ser especializadas y representativas en el mercado del bien o servicio a contratar. </w:t>
      </w:r>
    </w:p>
    <w:p w14:paraId="1D708296" w14:textId="77777777" w:rsidR="00F62BEE" w:rsidRDefault="00F62BEE" w:rsidP="00F62BEE">
      <w:pPr>
        <w:pStyle w:val="Prrafodelista"/>
        <w:spacing w:after="120" w:line="276" w:lineRule="auto"/>
        <w:ind w:left="2220"/>
        <w:jc w:val="both"/>
        <w:rPr>
          <w:rFonts w:ascii="Verdana" w:eastAsia="Calibri" w:hAnsi="Verdana" w:cs="Arial"/>
          <w:szCs w:val="24"/>
          <w:lang w:eastAsia="es-ES_tradnl"/>
        </w:rPr>
      </w:pPr>
    </w:p>
    <w:p w14:paraId="004E6A5F" w14:textId="77777777" w:rsidR="00F62BEE" w:rsidRDefault="00F62BEE" w:rsidP="00F62BEE">
      <w:pPr>
        <w:pStyle w:val="Prrafodelista"/>
        <w:numPr>
          <w:ilvl w:val="0"/>
          <w:numId w:val="19"/>
        </w:numPr>
        <w:spacing w:after="120" w:line="276" w:lineRule="auto"/>
        <w:jc w:val="both"/>
        <w:rPr>
          <w:rFonts w:ascii="Verdana" w:eastAsia="Calibri" w:hAnsi="Verdana" w:cs="Arial"/>
          <w:szCs w:val="24"/>
          <w:lang w:eastAsia="es-ES_tradnl"/>
        </w:rPr>
      </w:pPr>
      <w:r>
        <w:rPr>
          <w:rFonts w:ascii="Verdana" w:eastAsia="Calibri" w:hAnsi="Verdana" w:cs="Arial"/>
          <w:szCs w:val="24"/>
          <w:lang w:eastAsia="es-ES_tradnl"/>
        </w:rPr>
        <w:t>R</w:t>
      </w:r>
      <w:r w:rsidRPr="006D7828">
        <w:rPr>
          <w:rFonts w:ascii="Verdana" w:eastAsia="Calibri" w:hAnsi="Verdana" w:cs="Arial"/>
          <w:szCs w:val="24"/>
          <w:lang w:eastAsia="es-ES_tradnl"/>
        </w:rPr>
        <w:t xml:space="preserve">evisión de precios históricos se sugiere verificar la variación de los precios históricos derivados del índice de precios al consumidor en cada año, examinando si se han presentado fenómenos económicos que hayan implicado fluctuaciones importantes en el comercio del bien o servicio, siempre que las características del bien o servicio sean las mismas entre una contratación y otra.  </w:t>
      </w:r>
    </w:p>
    <w:bookmarkEnd w:id="11"/>
    <w:p w14:paraId="5B5362A0" w14:textId="77777777" w:rsidR="00F62BEE" w:rsidRPr="009E579A" w:rsidRDefault="00F62BEE" w:rsidP="00F62BEE">
      <w:pPr>
        <w:pStyle w:val="Prrafodelista"/>
        <w:spacing w:after="120" w:line="276" w:lineRule="auto"/>
        <w:jc w:val="both"/>
        <w:rPr>
          <w:rFonts w:ascii="Verdana" w:eastAsia="Calibri" w:hAnsi="Verdana" w:cs="Arial"/>
          <w:szCs w:val="24"/>
          <w:lang w:eastAsia="es-ES_tradnl"/>
        </w:rPr>
      </w:pPr>
    </w:p>
    <w:p w14:paraId="28FB8319" w14:textId="77777777" w:rsidR="00F62BEE" w:rsidRDefault="00F62BEE" w:rsidP="00F62BEE">
      <w:pPr>
        <w:pStyle w:val="Prrafodelista"/>
        <w:numPr>
          <w:ilvl w:val="0"/>
          <w:numId w:val="18"/>
        </w:numPr>
        <w:spacing w:after="120" w:line="276" w:lineRule="auto"/>
        <w:jc w:val="both"/>
        <w:rPr>
          <w:rFonts w:ascii="Verdana" w:eastAsia="Calibri" w:hAnsi="Verdana" w:cs="Arial"/>
          <w:szCs w:val="24"/>
          <w:lang w:eastAsia="es-ES_tradnl"/>
        </w:rPr>
      </w:pPr>
      <w:bookmarkStart w:id="12" w:name="_Hlk139466471"/>
      <w:r w:rsidRPr="006D7828">
        <w:rPr>
          <w:rFonts w:ascii="Verdana" w:eastAsia="Calibri" w:hAnsi="Verdana" w:cs="Arial"/>
          <w:szCs w:val="24"/>
          <w:lang w:eastAsia="es-ES_tradnl"/>
        </w:rPr>
        <w:t xml:space="preserve">Como se observa, la “Guía de Elaboración de Estudios del Sector” recomienda como mecanismo para la elaboración de </w:t>
      </w:r>
      <w:r w:rsidRPr="006D7828">
        <w:rPr>
          <w:rFonts w:ascii="Verdana" w:eastAsia="Calibri" w:hAnsi="Verdana" w:cs="Arial"/>
          <w:i/>
          <w:iCs/>
          <w:szCs w:val="24"/>
          <w:lang w:eastAsia="es-ES_tradnl"/>
        </w:rPr>
        <w:t>estudios del mercado</w:t>
      </w:r>
      <w:r w:rsidRPr="006D7828">
        <w:rPr>
          <w:rFonts w:ascii="Verdana" w:eastAsia="Calibri" w:hAnsi="Verdana" w:cs="Arial"/>
          <w:szCs w:val="24"/>
          <w:lang w:eastAsia="es-ES_tradnl"/>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w:t>
      </w:r>
      <w:r>
        <w:rPr>
          <w:rFonts w:ascii="Verdana" w:eastAsia="Calibri" w:hAnsi="Verdana" w:cs="Arial"/>
          <w:szCs w:val="24"/>
          <w:lang w:eastAsia="es-ES_tradnl"/>
        </w:rPr>
        <w:t>; ni tampoco estas son vinculantes para la entidad contratante</w:t>
      </w:r>
      <w:r w:rsidRPr="006D7828">
        <w:rPr>
          <w:rFonts w:ascii="Verdana" w:eastAsia="Calibri" w:hAnsi="Verdana" w:cs="Arial"/>
          <w:szCs w:val="24"/>
          <w:lang w:eastAsia="es-ES_tradnl"/>
        </w:rPr>
        <w:t>.</w:t>
      </w:r>
      <w:bookmarkEnd w:id="12"/>
    </w:p>
    <w:p w14:paraId="53E11851" w14:textId="77777777" w:rsidR="00F62BEE" w:rsidRPr="006D7828" w:rsidRDefault="00F62BEE" w:rsidP="00F62BEE">
      <w:pPr>
        <w:pStyle w:val="Prrafodelista"/>
        <w:rPr>
          <w:rFonts w:ascii="Verdana" w:eastAsia="Calibri" w:hAnsi="Verdana" w:cs="Arial"/>
          <w:szCs w:val="24"/>
          <w:lang w:eastAsia="es-ES_tradnl"/>
        </w:rPr>
      </w:pPr>
    </w:p>
    <w:p w14:paraId="7D6ECB24" w14:textId="77777777" w:rsidR="00F62BEE" w:rsidRDefault="00F62BEE" w:rsidP="00F62BEE">
      <w:pPr>
        <w:pStyle w:val="Prrafodelista"/>
        <w:numPr>
          <w:ilvl w:val="0"/>
          <w:numId w:val="18"/>
        </w:numPr>
        <w:spacing w:after="0" w:line="276" w:lineRule="auto"/>
        <w:jc w:val="both"/>
        <w:rPr>
          <w:rFonts w:ascii="Verdana" w:eastAsia="Times New Roman" w:hAnsi="Verdana" w:cs="Arial"/>
          <w:szCs w:val="24"/>
          <w:lang w:eastAsia="es-ES_tradnl"/>
        </w:rPr>
      </w:pPr>
      <w:r>
        <w:rPr>
          <w:rFonts w:ascii="Verdana" w:eastAsia="Calibri" w:hAnsi="Verdana" w:cs="Arial"/>
          <w:szCs w:val="24"/>
          <w:lang w:eastAsia="es-ES_tradnl"/>
        </w:rPr>
        <w:t>En ese orden de ideas,</w:t>
      </w:r>
      <w:r w:rsidRPr="006D7828">
        <w:rPr>
          <w:rFonts w:ascii="Verdana" w:eastAsia="Calibri" w:hAnsi="Verdana" w:cs="Arial"/>
          <w:bCs/>
          <w:szCs w:val="24"/>
          <w:lang w:val="es-ES_tradnl" w:eastAsia="es-ES_tradnl"/>
        </w:rPr>
        <w:t xml:space="preserve"> el análisis del sector </w:t>
      </w:r>
      <w:r w:rsidRPr="006D7828">
        <w:rPr>
          <w:rFonts w:ascii="Verdana" w:eastAsia="Times New Roman" w:hAnsi="Verdana" w:cs="Arial"/>
          <w:bCs/>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6D7828">
        <w:rPr>
          <w:rFonts w:ascii="Verdana" w:eastAsia="Times New Roman" w:hAnsi="Verdana" w:cs="Arial"/>
          <w:szCs w:val="24"/>
          <w:lang w:eastAsia="es-ES_tradnl"/>
        </w:rPr>
        <w:t xml:space="preserve">debe consignar en los Documentos del Proceso, bien sea en los estudios previos o en la información soporte de estos. </w:t>
      </w:r>
    </w:p>
    <w:p w14:paraId="1E741D9D" w14:textId="77777777" w:rsidR="00F62BEE" w:rsidRPr="00A34454" w:rsidRDefault="00F62BEE" w:rsidP="00F62BEE">
      <w:pPr>
        <w:pStyle w:val="Prrafodelista"/>
        <w:rPr>
          <w:rFonts w:ascii="Verdana" w:eastAsia="Times New Roman" w:hAnsi="Verdana" w:cs="Arial"/>
          <w:szCs w:val="24"/>
          <w:lang w:val="es-CO" w:eastAsia="es-ES_tradnl"/>
        </w:rPr>
      </w:pPr>
    </w:p>
    <w:p w14:paraId="67A0DB7C" w14:textId="77777777" w:rsidR="00F62BEE" w:rsidRPr="0091380E" w:rsidRDefault="00F62BEE" w:rsidP="00F62BEE">
      <w:pPr>
        <w:pStyle w:val="Prrafodelista"/>
        <w:numPr>
          <w:ilvl w:val="0"/>
          <w:numId w:val="18"/>
        </w:numPr>
        <w:spacing w:after="0" w:line="276" w:lineRule="auto"/>
        <w:jc w:val="both"/>
        <w:rPr>
          <w:rFonts w:ascii="Verdana" w:eastAsia="Calibri" w:hAnsi="Verdana" w:cs="Arial"/>
          <w:bCs/>
          <w:szCs w:val="24"/>
          <w:lang w:eastAsia="es-ES_tradnl"/>
        </w:rPr>
      </w:pPr>
      <w:r w:rsidRPr="0091380E">
        <w:rPr>
          <w:rFonts w:ascii="Verdana" w:eastAsia="Times New Roman" w:hAnsi="Verdana" w:cs="Arial"/>
          <w:szCs w:val="24"/>
          <w:lang w:val="es-CO" w:eastAsia="es-ES_tradnl"/>
        </w:rPr>
        <w:lastRenderedPageBreak/>
        <w:t xml:space="preserve">En conclusión, las entidades estales son autónomas para establecer en su Manual de Contratación la </w:t>
      </w:r>
      <w:r w:rsidRPr="0091380E">
        <w:rPr>
          <w:rFonts w:ascii="Verdana" w:eastAsia="Calibri" w:hAnsi="Verdana" w:cs="Arial"/>
          <w:szCs w:val="24"/>
          <w:lang w:eastAsia="es-ES_tradnl"/>
        </w:rPr>
        <w:t xml:space="preserve">metodología para elaborar el Estudio del Sector y en especial la forma como desarrollar los estudios de mercado, siempre y cuando acaten la Ley 1150 de 2007 y el Decreto 1082 de 2015 frente a esta materia, estableciendo siempre </w:t>
      </w:r>
      <w:r w:rsidRPr="0091380E">
        <w:rPr>
          <w:rFonts w:ascii="Verdana" w:eastAsia="Times New Roman" w:hAnsi="Verdana" w:cs="Arial"/>
          <w:szCs w:val="24"/>
          <w:lang w:eastAsia="es-ES_tradnl"/>
        </w:rPr>
        <w:t>argumentos financieros que permitirán escoger el mejor precio de conformidad con los criterios establecidos por la misma.</w:t>
      </w:r>
    </w:p>
    <w:p w14:paraId="211120E1" w14:textId="77777777" w:rsidR="00F62BEE" w:rsidRPr="00F252D7" w:rsidRDefault="00F62BEE" w:rsidP="00F62BEE">
      <w:pPr>
        <w:ind w:left="720"/>
        <w:contextualSpacing/>
        <w:rPr>
          <w:rFonts w:ascii="Verdana" w:eastAsia="Calibri" w:hAnsi="Verdana" w:cs="Arial"/>
          <w:szCs w:val="24"/>
          <w:lang w:val="es-ES" w:eastAsia="es-ES_tradnl"/>
        </w:rPr>
      </w:pPr>
    </w:p>
    <w:p w14:paraId="292722BE"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rPr>
      </w:pPr>
      <w:r w:rsidRPr="00F252D7">
        <w:rPr>
          <w:rFonts w:ascii="Verdana" w:eastAsia="Century Gothic" w:hAnsi="Verdana" w:cs="Century Gothic"/>
          <w:b/>
          <w:bCs/>
        </w:rPr>
        <w:t>4. Referencias normativas, jurisprudenciales y otras fuentes:</w:t>
      </w:r>
    </w:p>
    <w:p w14:paraId="5D6CA60B" w14:textId="77777777" w:rsidR="00F62BEE" w:rsidRPr="00F252D7" w:rsidRDefault="00F62BEE" w:rsidP="00F62BE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2BEE" w:rsidRPr="00F252D7" w14:paraId="45C6A412" w14:textId="77777777" w:rsidTr="003E2688">
        <w:trPr>
          <w:trHeight w:val="870"/>
        </w:trPr>
        <w:tc>
          <w:tcPr>
            <w:tcW w:w="8647" w:type="dxa"/>
          </w:tcPr>
          <w:p w14:paraId="2C2AD7BA" w14:textId="77777777" w:rsidR="00F62BEE" w:rsidRPr="00F252D7" w:rsidRDefault="00F62BEE" w:rsidP="003E2688">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lang w:val="es-ES"/>
              </w:rPr>
              <w:t xml:space="preserve">Ley 80 de 1993, artículo 25. </w:t>
            </w:r>
          </w:p>
          <w:p w14:paraId="02A2CB59" w14:textId="77777777" w:rsidR="00F62BEE" w:rsidRPr="00F252D7" w:rsidRDefault="00F62BEE" w:rsidP="003E2688">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lang w:val="es-ES"/>
              </w:rPr>
              <w:t>Decreto 1082 de 2015, artículos 2.2.1.1.2.1.1. y 2.2.1.1.1.6.1.</w:t>
            </w:r>
          </w:p>
          <w:p w14:paraId="3A5FC177" w14:textId="77777777" w:rsidR="00F62BEE" w:rsidRPr="00F252D7" w:rsidRDefault="00F62BEE" w:rsidP="003E2688">
            <w:pPr>
              <w:widowControl w:val="0"/>
              <w:numPr>
                <w:ilvl w:val="0"/>
                <w:numId w:val="16"/>
              </w:numPr>
              <w:autoSpaceDE w:val="0"/>
              <w:autoSpaceDN w:val="0"/>
              <w:spacing w:after="120" w:line="276" w:lineRule="auto"/>
              <w:contextualSpacing/>
              <w:jc w:val="both"/>
              <w:rPr>
                <w:rFonts w:ascii="Verdana" w:hAnsi="Verdana" w:cs="Arial"/>
                <w:lang w:val="es-ES"/>
              </w:rPr>
            </w:pPr>
            <w:r w:rsidRPr="00F252D7">
              <w:rPr>
                <w:rFonts w:ascii="Verdana" w:hAnsi="Verdana" w:cs="Arial"/>
              </w:rPr>
              <w:t xml:space="preserve">Consejo de Estado. Sección Tercera. Subsección B. Sentencia del 31 de agosto de 2011. </w:t>
            </w:r>
            <w:proofErr w:type="spellStart"/>
            <w:r w:rsidRPr="00F252D7">
              <w:rPr>
                <w:rFonts w:ascii="Verdana" w:hAnsi="Verdana" w:cs="Arial"/>
              </w:rPr>
              <w:t>Exp</w:t>
            </w:r>
            <w:proofErr w:type="spellEnd"/>
            <w:r w:rsidRPr="00F252D7">
              <w:rPr>
                <w:rFonts w:ascii="Verdana" w:hAnsi="Verdana" w:cs="Arial"/>
              </w:rPr>
              <w:t>. 18.080.</w:t>
            </w:r>
          </w:p>
          <w:p w14:paraId="068DCB8D" w14:textId="77777777" w:rsidR="00F62BEE" w:rsidRPr="00F252D7" w:rsidRDefault="00F62BEE" w:rsidP="003E2688">
            <w:pPr>
              <w:widowControl w:val="0"/>
              <w:numPr>
                <w:ilvl w:val="0"/>
                <w:numId w:val="16"/>
              </w:numPr>
              <w:tabs>
                <w:tab w:val="left" w:pos="8419"/>
              </w:tabs>
              <w:autoSpaceDE w:val="0"/>
              <w:autoSpaceDN w:val="0"/>
              <w:spacing w:after="120" w:line="276" w:lineRule="auto"/>
              <w:jc w:val="both"/>
              <w:rPr>
                <w:rFonts w:ascii="Verdana" w:hAnsi="Verdana" w:cs="Arial"/>
                <w:lang w:val="es-ES"/>
              </w:rPr>
            </w:pPr>
            <w:r w:rsidRPr="00F252D7">
              <w:rPr>
                <w:rFonts w:ascii="Verdana" w:hAnsi="Verdana" w:cs="Arial"/>
                <w:lang w:val="es-ES"/>
              </w:rPr>
              <w:t xml:space="preserve">Colombia Compra Eficiente, Guía de Elaboración de Estudios de Sector - GEES del 24 de junio de 2022. Disponible en: </w:t>
            </w:r>
            <w:r w:rsidRPr="00F252D7">
              <w:rPr>
                <w:rFonts w:ascii="Geomanist Light" w:hAnsi="Geomanist Light"/>
                <w:lang w:val="es-ES"/>
              </w:rPr>
              <w:t xml:space="preserve"> </w:t>
            </w:r>
            <w:r w:rsidRPr="00F252D7">
              <w:rPr>
                <w:rFonts w:ascii="Verdana" w:hAnsi="Verdana" w:cs="Arial"/>
                <w:lang w:val="es-ES"/>
              </w:rPr>
              <w:t>chrome-extension://efaidnbmnnnibpcajpcglclefindmkaj/https://www.colombiacompra.gov.co/sites/cce_public/files/cce_documentos/cce-eicp-gi-18._gees_v.2_2.pdf</w:t>
            </w:r>
          </w:p>
          <w:p w14:paraId="08C6981F" w14:textId="77777777" w:rsidR="00F62BEE" w:rsidRPr="00F252D7" w:rsidRDefault="00F62BEE" w:rsidP="003E2688">
            <w:pPr>
              <w:widowControl w:val="0"/>
              <w:numPr>
                <w:ilvl w:val="0"/>
                <w:numId w:val="16"/>
              </w:numPr>
              <w:tabs>
                <w:tab w:val="left" w:pos="8419"/>
              </w:tabs>
              <w:autoSpaceDE w:val="0"/>
              <w:autoSpaceDN w:val="0"/>
              <w:spacing w:after="120" w:line="276" w:lineRule="auto"/>
              <w:jc w:val="both"/>
              <w:rPr>
                <w:rFonts w:ascii="Verdana" w:hAnsi="Verdana" w:cs="Arial"/>
                <w:lang w:val="es-ES"/>
              </w:rPr>
            </w:pPr>
            <w:r w:rsidRPr="00F252D7">
              <w:rPr>
                <w:rFonts w:ascii="Verdana" w:hAnsi="Verdana" w:cs="Arial"/>
                <w:lang w:val="es-ES"/>
              </w:rPr>
              <w:t>DEIK ACOSTAMADIEDO, Carolina, Guía de Contratación Estatal: Deber de planeación y modalidades de selección, Buenos Aires, 2015.</w:t>
            </w:r>
          </w:p>
        </w:tc>
      </w:tr>
    </w:tbl>
    <w:p w14:paraId="709112F7"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rPr>
      </w:pPr>
    </w:p>
    <w:p w14:paraId="08917210" w14:textId="77777777" w:rsidR="00F62BEE" w:rsidRPr="00F252D7" w:rsidRDefault="00F62BEE" w:rsidP="00F62BEE">
      <w:pPr>
        <w:tabs>
          <w:tab w:val="left" w:pos="142"/>
          <w:tab w:val="left" w:pos="284"/>
        </w:tabs>
        <w:spacing w:after="0" w:line="276" w:lineRule="auto"/>
        <w:jc w:val="both"/>
        <w:rPr>
          <w:rFonts w:ascii="Verdana" w:eastAsia="Century Gothic" w:hAnsi="Verdana" w:cs="Century Gothic"/>
          <w:b/>
          <w:bCs/>
          <w:lang w:val="es-ES"/>
        </w:rPr>
      </w:pPr>
      <w:r w:rsidRPr="00F252D7">
        <w:rPr>
          <w:rFonts w:ascii="Verdana" w:eastAsia="Century Gothic" w:hAnsi="Verdana" w:cs="Century Gothic"/>
          <w:b/>
          <w:bCs/>
        </w:rPr>
        <w:t xml:space="preserve">5. </w:t>
      </w:r>
      <w:r w:rsidRPr="00F252D7">
        <w:rPr>
          <w:rFonts w:ascii="Verdana" w:eastAsia="Century Gothic" w:hAnsi="Verdana" w:cs="Century Gothic"/>
          <w:b/>
          <w:bCs/>
          <w:lang w:val="es-ES"/>
        </w:rPr>
        <w:t>Doctrina de la Agencia Nacional de Contratación Pública:</w:t>
      </w:r>
    </w:p>
    <w:p w14:paraId="4ED18BAE" w14:textId="77777777" w:rsidR="00F62BEE" w:rsidRPr="00F252D7" w:rsidRDefault="00F62BEE" w:rsidP="00F62BEE">
      <w:pPr>
        <w:spacing w:after="0" w:line="276" w:lineRule="auto"/>
        <w:ind w:firstLine="709"/>
        <w:jc w:val="both"/>
        <w:rPr>
          <w:rFonts w:ascii="Verdana" w:eastAsia="Times New Roman" w:hAnsi="Verdana" w:cs="Arial"/>
          <w:szCs w:val="24"/>
          <w:lang w:val="es-ES" w:eastAsia="es-ES_tradnl"/>
        </w:rPr>
      </w:pPr>
    </w:p>
    <w:p w14:paraId="57E87112" w14:textId="77777777" w:rsidR="00F62BEE" w:rsidRPr="00F252D7" w:rsidRDefault="00F62BEE" w:rsidP="00F62BEE">
      <w:pPr>
        <w:widowControl w:val="0"/>
        <w:autoSpaceDE w:val="0"/>
        <w:autoSpaceDN w:val="0"/>
        <w:spacing w:after="0" w:line="276" w:lineRule="auto"/>
        <w:jc w:val="both"/>
        <w:rPr>
          <w:rFonts w:ascii="Verdana" w:hAnsi="Verdana" w:cs="Arial"/>
          <w:color w:val="000000" w:themeColor="text1"/>
          <w:shd w:val="clear" w:color="auto" w:fill="FFFFFF"/>
          <w:lang w:val="es-ES"/>
        </w:rPr>
      </w:pPr>
      <w:r w:rsidRPr="00F252D7">
        <w:rPr>
          <w:rFonts w:ascii="Verdana" w:eastAsia="Calibri" w:hAnsi="Verdana" w:cs="Arial"/>
          <w:lang w:val="es-ES_tradnl" w:eastAsia="es-ES_tradnl"/>
        </w:rPr>
        <w:t xml:space="preserve">Sobre el deber de elaborar análisis del sector frente a procesos de contratación se pronunció esta Subdirección en los conceptos 2202013000000037 del 7 de enero de 2020, C-223 del 29 de abril de 2020 y C-148 de 2021. Igualmente, se reiteran los </w:t>
      </w:r>
      <w:r>
        <w:rPr>
          <w:rFonts w:ascii="Verdana" w:eastAsia="Calibri" w:hAnsi="Verdana" w:cs="Arial"/>
          <w:lang w:val="es-ES_tradnl" w:eastAsia="es-ES_tradnl"/>
        </w:rPr>
        <w:t>c</w:t>
      </w:r>
      <w:r w:rsidRPr="00F252D7">
        <w:rPr>
          <w:rFonts w:ascii="Verdana" w:eastAsia="Calibri" w:hAnsi="Verdana" w:cs="Arial"/>
          <w:lang w:val="es-ES_tradnl" w:eastAsia="es-ES_tradnl"/>
        </w:rPr>
        <w:t xml:space="preserve">onceptos C-387 del 23 de junio de 2020, </w:t>
      </w:r>
      <w:r w:rsidRPr="00F252D7">
        <w:rPr>
          <w:rFonts w:ascii="Verdana" w:eastAsia="Calibri" w:hAnsi="Verdana" w:cs="Arial"/>
          <w:lang w:eastAsia="es-ES_tradnl"/>
        </w:rPr>
        <w:t xml:space="preserve">C-415 del 7 de julio </w:t>
      </w:r>
      <w:r w:rsidRPr="00F252D7">
        <w:rPr>
          <w:rFonts w:ascii="Verdana" w:eastAsia="Calibri" w:hAnsi="Verdana" w:cs="Arial"/>
          <w:lang w:val="es-ES_tradnl" w:eastAsia="es-ES_tradnl"/>
        </w:rPr>
        <w:t>de 2020</w:t>
      </w:r>
      <w:r w:rsidRPr="00F252D7">
        <w:rPr>
          <w:rFonts w:ascii="Verdana" w:eastAsia="Calibri" w:hAnsi="Verdana" w:cs="Arial"/>
          <w:lang w:eastAsia="es-ES_tradnl"/>
        </w:rPr>
        <w:t xml:space="preserve">, C-443 del 7 de julio de 2020, </w:t>
      </w:r>
      <w:r w:rsidRPr="00F252D7">
        <w:rPr>
          <w:rFonts w:ascii="Verdana" w:eastAsia="Times New Roman" w:hAnsi="Verdana" w:cs="Arial"/>
          <w:lang w:eastAsia="es-ES_tradnl"/>
        </w:rPr>
        <w:t>C-387 del 23 de junio de 2020</w:t>
      </w:r>
      <w:r w:rsidRPr="00F252D7">
        <w:rPr>
          <w:rFonts w:ascii="Verdana" w:eastAsia="Calibri" w:hAnsi="Verdana" w:cs="Arial"/>
          <w:lang w:val="es-ES_tradnl" w:eastAsia="es-ES_tradnl"/>
        </w:rPr>
        <w:t xml:space="preserve">, C-223 del 29 de abril de 2020, C-671 de 2020 de 23 de noviembre de 2020, C-215 del 12 de mayo de 2021, C-742 del 27 de diciembre de 2021, </w:t>
      </w:r>
      <w:r w:rsidRPr="00F252D7">
        <w:rPr>
          <w:rFonts w:ascii="Verdana" w:eastAsia="Calibri" w:hAnsi="Verdana" w:cs="Arial"/>
          <w:lang w:val="es-ES" w:eastAsia="es-ES_tradnl"/>
        </w:rPr>
        <w:t>C-519 del 13 de septiembre de 2022, C-716 del 15 de noviembre de 2022, C-856 del 13 de diciembre de 2022, C-235 del 5 de julio de 2023</w:t>
      </w:r>
      <w:r>
        <w:rPr>
          <w:rFonts w:ascii="Verdana" w:eastAsia="Calibri" w:hAnsi="Verdana" w:cs="Arial"/>
          <w:lang w:val="es-ES" w:eastAsia="es-ES_tradnl"/>
        </w:rPr>
        <w:t>, C-258 del 12 de agosto de 2024</w:t>
      </w:r>
      <w:r w:rsidRPr="00F252D7">
        <w:rPr>
          <w:rFonts w:ascii="Verdana" w:eastAsia="Calibri" w:hAnsi="Verdana" w:cs="Arial"/>
          <w:lang w:val="es-ES" w:eastAsia="es-ES_tradnl"/>
        </w:rPr>
        <w:t>.</w:t>
      </w:r>
      <w:r>
        <w:rPr>
          <w:rFonts w:ascii="Verdana" w:eastAsia="Calibri" w:hAnsi="Verdana" w:cs="Arial"/>
          <w:lang w:val="es-ES" w:eastAsia="es-ES_tradnl"/>
        </w:rPr>
        <w:t xml:space="preserve"> Por otra parte, sobre la </w:t>
      </w:r>
      <w:r w:rsidRPr="006849F1">
        <w:rPr>
          <w:rFonts w:ascii="Verdana" w:hAnsi="Verdana" w:cs="Arial"/>
          <w:shd w:val="clear" w:color="auto" w:fill="FFFFFF"/>
          <w:lang w:val="es-ES"/>
        </w:rPr>
        <w:t>determinación</w:t>
      </w:r>
      <w:r>
        <w:rPr>
          <w:rFonts w:ascii="Verdana" w:hAnsi="Verdana" w:cs="Arial"/>
          <w:shd w:val="clear" w:color="auto" w:fill="FFFFFF"/>
          <w:lang w:val="es-ES"/>
        </w:rPr>
        <w:t xml:space="preserve"> y verificación</w:t>
      </w:r>
      <w:r w:rsidRPr="006849F1">
        <w:rPr>
          <w:rFonts w:ascii="Verdana" w:hAnsi="Verdana" w:cs="Arial"/>
          <w:shd w:val="clear" w:color="auto" w:fill="FFFFFF"/>
          <w:lang w:val="es-ES"/>
        </w:rPr>
        <w:t xml:space="preserve"> del precio o valor en los contratos estatales</w:t>
      </w:r>
      <w:r>
        <w:rPr>
          <w:rFonts w:ascii="Verdana" w:hAnsi="Verdana" w:cs="Arial"/>
          <w:shd w:val="clear" w:color="auto" w:fill="FFFFFF"/>
          <w:lang w:val="es-ES"/>
        </w:rPr>
        <w:t xml:space="preserve"> se pronunció</w:t>
      </w:r>
      <w:r w:rsidRPr="006849F1">
        <w:rPr>
          <w:rFonts w:ascii="Verdana" w:hAnsi="Verdana" w:cs="Arial"/>
          <w:shd w:val="clear" w:color="auto" w:fill="FFFFFF"/>
          <w:lang w:val="es-ES"/>
        </w:rPr>
        <w:t xml:space="preserve">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C-064 del 28 de febrero de 2020, C-150 del 18 de marzo de 2020, C-075 del 26 de marzo de 2020, C-</w:t>
      </w:r>
      <w:r w:rsidRPr="006849F1">
        <w:rPr>
          <w:rFonts w:ascii="Verdana" w:hAnsi="Verdana" w:cs="Arial"/>
          <w:shd w:val="clear" w:color="auto" w:fill="FFFFFF"/>
          <w:lang w:val="es-ES"/>
        </w:rPr>
        <w:lastRenderedPageBreak/>
        <w:t xml:space="preserve">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w:t>
      </w:r>
      <w:r>
        <w:rPr>
          <w:rFonts w:ascii="Verdana" w:hAnsi="Verdana" w:cs="Arial"/>
          <w:shd w:val="clear" w:color="auto" w:fill="FFFFFF"/>
          <w:lang w:val="es-ES"/>
        </w:rPr>
        <w:t xml:space="preserve">, </w:t>
      </w:r>
      <w:r w:rsidRPr="006849F1">
        <w:rPr>
          <w:rFonts w:ascii="Verdana" w:hAnsi="Verdana" w:cs="Arial"/>
          <w:shd w:val="clear" w:color="auto" w:fill="FFFFFF"/>
          <w:lang w:val="es-ES"/>
        </w:rPr>
        <w:t>C-288 del 14 de julio de 2023,</w:t>
      </w:r>
      <w:r>
        <w:rPr>
          <w:rFonts w:ascii="Verdana" w:hAnsi="Verdana" w:cs="Arial"/>
          <w:shd w:val="clear" w:color="auto" w:fill="FFFFFF"/>
          <w:lang w:val="es-ES"/>
        </w:rPr>
        <w:t xml:space="preserve"> C-167 del 23 de julio de 2024, C-1018 del 6 de enero de 2025, C-212 del 28 de marzo de 2025</w:t>
      </w:r>
      <w:r w:rsidRPr="00F252D7">
        <w:rPr>
          <w:rFonts w:ascii="Verdana" w:eastAsia="Calibri" w:hAnsi="Verdana" w:cs="Arial"/>
          <w:lang w:val="es-ES" w:eastAsia="es-ES_tradnl"/>
        </w:rPr>
        <w:t xml:space="preserve"> </w:t>
      </w:r>
      <w:r>
        <w:rPr>
          <w:rFonts w:ascii="Verdana" w:eastAsia="Calibri" w:hAnsi="Verdana" w:cs="Arial"/>
          <w:lang w:val="es-ES" w:eastAsia="es-ES_tradnl"/>
        </w:rPr>
        <w:t xml:space="preserve">y C-980 del 29 de agosto de 2025. </w:t>
      </w:r>
      <w:r w:rsidRPr="00F252D7">
        <w:rPr>
          <w:rFonts w:ascii="Verdana" w:eastAsia="Calibri" w:hAnsi="Verdana" w:cs="Arial"/>
          <w:lang w:val="es-ES" w:eastAsia="es-ES_tradnl"/>
        </w:rPr>
        <w:t>Estos</w:t>
      </w:r>
      <w:r w:rsidRPr="00F252D7">
        <w:rPr>
          <w:rFonts w:ascii="Verdana" w:hAnsi="Verdana"/>
        </w:rPr>
        <w:t xml:space="preserve"> y otros conceptos se encuentran disponibles para consulta en el Sistema de relatoría de la Agencia, al cual se puede acceder a través del siguiente enlace:</w:t>
      </w:r>
      <w:r w:rsidRPr="00F252D7">
        <w:rPr>
          <w:rFonts w:ascii="Verdana" w:hAnsi="Verdana" w:cs="Arial"/>
          <w:shd w:val="clear" w:color="auto" w:fill="FFFFFF"/>
          <w:lang w:val="es-ES"/>
        </w:rPr>
        <w:t xml:space="preserve"> </w:t>
      </w:r>
      <w:hyperlink r:id="rId11" w:history="1">
        <w:r w:rsidRPr="00F252D7">
          <w:rPr>
            <w:rFonts w:ascii="Verdana" w:hAnsi="Verdana" w:cs="Arial"/>
            <w:color w:val="0563C1" w:themeColor="hyperlink"/>
            <w:u w:val="single"/>
            <w:shd w:val="clear" w:color="auto" w:fill="FFFFFF"/>
            <w:lang w:val="es-ES"/>
          </w:rPr>
          <w:t>https://relatoria.colombiacompra.gov.co/busqueda/conceptos</w:t>
        </w:r>
      </w:hyperlink>
    </w:p>
    <w:p w14:paraId="0B4697BC" w14:textId="77777777" w:rsidR="00F62BEE" w:rsidRPr="00F252D7" w:rsidRDefault="00F62BEE" w:rsidP="00F62BEE">
      <w:pPr>
        <w:widowControl w:val="0"/>
        <w:autoSpaceDE w:val="0"/>
        <w:autoSpaceDN w:val="0"/>
        <w:spacing w:after="0" w:line="276" w:lineRule="auto"/>
        <w:jc w:val="both"/>
        <w:rPr>
          <w:rFonts w:ascii="Verdana" w:hAnsi="Verdana" w:cs="Arial"/>
          <w:color w:val="000000" w:themeColor="text1"/>
          <w:shd w:val="clear" w:color="auto" w:fill="FFFFFF"/>
          <w:lang w:val="es-ES"/>
        </w:rPr>
      </w:pPr>
    </w:p>
    <w:bookmarkEnd w:id="0"/>
    <w:p w14:paraId="2E37B2C2"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También le contamos que ya se encuentra disponible la </w:t>
      </w:r>
      <w:r w:rsidRPr="00DE3734">
        <w:rPr>
          <w:rFonts w:ascii="Verdana" w:eastAsia="Calibri"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DE3734">
        <w:rPr>
          <w:rFonts w:ascii="Verdana" w:eastAsia="Calibri"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3734">
        <w:rPr>
          <w:rFonts w:ascii="Verdana" w:eastAsia="Calibri" w:hAnsi="Verdana" w:cs="Arial"/>
          <w:color w:val="000000" w:themeColor="text1"/>
          <w:shd w:val="clear" w:color="auto" w:fill="FFFFFF"/>
        </w:rPr>
        <w:t>Wayúu</w:t>
      </w:r>
      <w:proofErr w:type="spellEnd"/>
      <w:r w:rsidRPr="00DE3734">
        <w:rPr>
          <w:rFonts w:ascii="Verdana" w:eastAsia="Calibri" w:hAnsi="Verdana" w:cs="Arial"/>
          <w:color w:val="000000" w:themeColor="text1"/>
          <w:shd w:val="clear" w:color="auto" w:fill="FFFFFF"/>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DE3734">
          <w:rPr>
            <w:rFonts w:ascii="Verdana" w:eastAsia="Calibri"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29D17D71"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64C61E08"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Por último, lo invitamos a seguirnos en las redes sociales en las cuales se difunde información institucional: </w:t>
      </w:r>
    </w:p>
    <w:p w14:paraId="1F7B0BC6"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p>
    <w:p w14:paraId="4E7F6FDD"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Twitter: </w:t>
      </w:r>
      <w:r w:rsidRPr="00DE3734">
        <w:rPr>
          <w:rFonts w:ascii="Verdana" w:eastAsia="Calibri" w:hAnsi="Verdana" w:cs="Arial"/>
          <w:color w:val="000000" w:themeColor="text1"/>
          <w:u w:val="single"/>
          <w:shd w:val="clear" w:color="auto" w:fill="FFFFFF"/>
        </w:rPr>
        <w:t>@colombiacompra</w:t>
      </w:r>
      <w:r w:rsidRPr="00DE3734">
        <w:rPr>
          <w:rFonts w:ascii="Verdana" w:eastAsia="Calibri" w:hAnsi="Verdana" w:cs="Arial"/>
          <w:color w:val="000000" w:themeColor="text1"/>
          <w:shd w:val="clear" w:color="auto" w:fill="FFFFFF"/>
        </w:rPr>
        <w:t xml:space="preserve"> </w:t>
      </w:r>
    </w:p>
    <w:p w14:paraId="09F34F53"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Facebook: </w:t>
      </w:r>
      <w:proofErr w:type="spellStart"/>
      <w:r w:rsidRPr="00DE3734">
        <w:rPr>
          <w:rFonts w:ascii="Verdana" w:eastAsia="Calibri" w:hAnsi="Verdana" w:cs="Arial"/>
          <w:color w:val="000000" w:themeColor="text1"/>
          <w:u w:val="single"/>
          <w:shd w:val="clear" w:color="auto" w:fill="FFFFFF"/>
        </w:rPr>
        <w:t>ColombiaCompraEficiente</w:t>
      </w:r>
      <w:proofErr w:type="spellEnd"/>
    </w:p>
    <w:p w14:paraId="5636D50E" w14:textId="77777777" w:rsidR="00F62BEE" w:rsidRPr="00DE3734" w:rsidRDefault="00F62BEE" w:rsidP="00F62BEE">
      <w:pPr>
        <w:widowControl w:val="0"/>
        <w:autoSpaceDE w:val="0"/>
        <w:autoSpaceDN w:val="0"/>
        <w:spacing w:after="0" w:line="276" w:lineRule="auto"/>
        <w:jc w:val="both"/>
        <w:rPr>
          <w:rFonts w:ascii="Verdana" w:eastAsia="Calibri" w:hAnsi="Verdana" w:cs="Arial"/>
          <w:color w:val="000000" w:themeColor="text1"/>
          <w:shd w:val="clear" w:color="auto" w:fill="FFFFFF"/>
        </w:rPr>
      </w:pPr>
      <w:r w:rsidRPr="00DE3734">
        <w:rPr>
          <w:rFonts w:ascii="Verdana" w:eastAsia="Calibri" w:hAnsi="Verdana" w:cs="Arial"/>
          <w:color w:val="000000" w:themeColor="text1"/>
          <w:shd w:val="clear" w:color="auto" w:fill="FFFFFF"/>
        </w:rPr>
        <w:t xml:space="preserve">LinkedIn: </w:t>
      </w:r>
      <w:r w:rsidRPr="00DE3734">
        <w:rPr>
          <w:rFonts w:ascii="Verdana" w:eastAsia="Calibri" w:hAnsi="Verdana" w:cs="Arial"/>
          <w:color w:val="000000" w:themeColor="text1"/>
          <w:u w:val="single"/>
          <w:shd w:val="clear" w:color="auto" w:fill="FFFFFF"/>
        </w:rPr>
        <w:t>Agencia Nacional de Contratación Pública - Colombia Compra Eficiente</w:t>
      </w:r>
      <w:r w:rsidRPr="00DE3734">
        <w:rPr>
          <w:rFonts w:ascii="Verdana" w:eastAsia="Calibri" w:hAnsi="Verdana" w:cs="Arial"/>
          <w:color w:val="000000" w:themeColor="text1"/>
          <w:shd w:val="clear" w:color="auto" w:fill="FFFFFF"/>
        </w:rPr>
        <w:t xml:space="preserve"> Instagram: </w:t>
      </w:r>
      <w:r w:rsidRPr="00DE3734">
        <w:rPr>
          <w:rFonts w:ascii="Verdana" w:eastAsia="Calibri" w:hAnsi="Verdana" w:cs="Arial"/>
          <w:color w:val="000000" w:themeColor="text1"/>
          <w:u w:val="single"/>
          <w:shd w:val="clear" w:color="auto" w:fill="FFFFFF"/>
        </w:rPr>
        <w:t>@colombiacompraeficiente_cce</w:t>
      </w:r>
    </w:p>
    <w:p w14:paraId="109852E1" w14:textId="77777777" w:rsidR="00F62BEE" w:rsidRPr="00DE3734" w:rsidRDefault="00F62BEE" w:rsidP="00F62BEE">
      <w:pPr>
        <w:widowControl w:val="0"/>
        <w:autoSpaceDE w:val="0"/>
        <w:autoSpaceDN w:val="0"/>
        <w:spacing w:after="0" w:line="276" w:lineRule="auto"/>
        <w:jc w:val="both"/>
        <w:rPr>
          <w:rFonts w:ascii="Verdana" w:eastAsia="Calibri" w:hAnsi="Verdana" w:cs="Arial"/>
        </w:rPr>
      </w:pPr>
    </w:p>
    <w:p w14:paraId="3EB03E95" w14:textId="77777777" w:rsidR="00F62BEE" w:rsidRPr="00DE3734" w:rsidRDefault="00F62BEE" w:rsidP="00F62BEE">
      <w:pPr>
        <w:widowControl w:val="0"/>
        <w:autoSpaceDE w:val="0"/>
        <w:autoSpaceDN w:val="0"/>
        <w:spacing w:after="0" w:line="276" w:lineRule="auto"/>
        <w:jc w:val="both"/>
        <w:rPr>
          <w:rFonts w:ascii="Verdana" w:eastAsia="Calibri" w:hAnsi="Verdana" w:cs="Arial"/>
          <w:lang w:val="es-ES_tradnl"/>
        </w:rPr>
      </w:pPr>
      <w:r w:rsidRPr="00DE3734">
        <w:rPr>
          <w:rFonts w:ascii="Verdana" w:eastAsia="Calibri" w:hAnsi="Verdana" w:cs="Arial"/>
        </w:rPr>
        <w:t xml:space="preserve">Este concepto tiene el alcance previsto en el artículo 28 del Código de Procedimiento Administrativo y de lo Contencioso Administrativo </w:t>
      </w:r>
      <w:r w:rsidRPr="00DE3734">
        <w:rPr>
          <w:rFonts w:ascii="Verdana" w:eastAsia="Calibri" w:hAnsi="Verdana" w:cs="Arial"/>
          <w:lang w:val="es-ES_tradnl"/>
        </w:rPr>
        <w:t>y las expresiones aquí utilizadas con mayúscula inicial deben ser entendidas con el significado que les otorga el artículo 2.2.1.1.1.3.1. del Decreto 1082 de 2015.</w:t>
      </w:r>
    </w:p>
    <w:p w14:paraId="0A5DA07D" w14:textId="77777777" w:rsidR="00F62BEE" w:rsidRPr="00DE3734" w:rsidRDefault="00F62BEE" w:rsidP="00F62BEE">
      <w:pPr>
        <w:widowControl w:val="0"/>
        <w:autoSpaceDE w:val="0"/>
        <w:autoSpaceDN w:val="0"/>
        <w:spacing w:after="0" w:line="276" w:lineRule="auto"/>
        <w:jc w:val="both"/>
        <w:rPr>
          <w:rFonts w:ascii="Verdana" w:eastAsia="Calibri" w:hAnsi="Verdana" w:cs="Arial"/>
        </w:rPr>
      </w:pPr>
    </w:p>
    <w:p w14:paraId="44E2A464" w14:textId="77777777" w:rsidR="00F62BEE" w:rsidRPr="00DE3734" w:rsidRDefault="00F62BEE" w:rsidP="00F62BEE">
      <w:pPr>
        <w:spacing w:after="0" w:line="240" w:lineRule="auto"/>
        <w:rPr>
          <w:rFonts w:ascii="Verdana" w:eastAsia="Calibri" w:hAnsi="Verdana" w:cs="Arial"/>
          <w:lang w:eastAsia="es-CO"/>
        </w:rPr>
      </w:pPr>
      <w:r w:rsidRPr="00DE3734">
        <w:rPr>
          <w:rFonts w:ascii="Verdana" w:eastAsia="Times New Roman" w:hAnsi="Verdana" w:cs="Arial"/>
          <w:lang w:eastAsia="es-CO"/>
        </w:rPr>
        <w:t>Atentamente,</w:t>
      </w:r>
      <w:r w:rsidRPr="00DE3734">
        <w:rPr>
          <w:rFonts w:ascii="Verdana" w:eastAsia="Calibri" w:hAnsi="Verdana" w:cs="Arial"/>
          <w:lang w:eastAsia="es-CO"/>
        </w:rPr>
        <w:t xml:space="preserve"> </w:t>
      </w:r>
    </w:p>
    <w:p w14:paraId="45C96705" w14:textId="493EB445" w:rsidR="00F62BEE" w:rsidRPr="00DE3734" w:rsidRDefault="00A15DFC" w:rsidP="00F62BEE">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0596A65E" wp14:editId="7F791BD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2"/>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2BEE" w:rsidRPr="00DE3734" w14:paraId="6FF7F34E" w14:textId="77777777" w:rsidTr="003E2688">
        <w:trPr>
          <w:trHeight w:val="315"/>
        </w:trPr>
        <w:tc>
          <w:tcPr>
            <w:tcW w:w="893" w:type="dxa"/>
            <w:vAlign w:val="center"/>
            <w:hideMark/>
          </w:tcPr>
          <w:p w14:paraId="5A820AB9" w14:textId="77777777" w:rsidR="00F62BEE" w:rsidRPr="00DE3734" w:rsidRDefault="00F62BEE" w:rsidP="003E2688">
            <w:pPr>
              <w:spacing w:after="255"/>
              <w:contextualSpacing/>
              <w:rPr>
                <w:rFonts w:ascii="Verdana" w:hAnsi="Verdana"/>
                <w:sz w:val="16"/>
                <w:szCs w:val="16"/>
                <w:lang w:val="es-ES" w:eastAsia="es-ES"/>
              </w:rPr>
            </w:pPr>
            <w:r w:rsidRPr="00DE3734">
              <w:rPr>
                <w:rFonts w:ascii="Verdana" w:hAnsi="Verdana"/>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E2483A"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val="pt-BR" w:eastAsia="es-ES"/>
              </w:rPr>
              <w:t>Ximena Ríos López</w:t>
            </w:r>
          </w:p>
          <w:p w14:paraId="08F9BDED"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val="pt-BR" w:eastAsia="es-ES"/>
              </w:rPr>
              <w:t xml:space="preserve">Gestor T1 ‒ 11 de </w:t>
            </w:r>
            <w:proofErr w:type="spellStart"/>
            <w:r w:rsidRPr="00DE3734">
              <w:rPr>
                <w:rFonts w:ascii="Verdana" w:hAnsi="Verdana"/>
                <w:sz w:val="16"/>
                <w:szCs w:val="16"/>
                <w:lang w:val="pt-BR" w:eastAsia="es-ES"/>
              </w:rPr>
              <w:t>la</w:t>
            </w:r>
            <w:proofErr w:type="spellEnd"/>
            <w:r w:rsidRPr="00DE3734">
              <w:rPr>
                <w:rFonts w:ascii="Verdana" w:hAnsi="Verdana"/>
                <w:sz w:val="16"/>
                <w:szCs w:val="16"/>
                <w:lang w:val="pt-BR" w:eastAsia="es-ES"/>
              </w:rPr>
              <w:t xml:space="preserve"> </w:t>
            </w:r>
            <w:proofErr w:type="spellStart"/>
            <w:r w:rsidRPr="00DE3734">
              <w:rPr>
                <w:rFonts w:ascii="Verdana" w:hAnsi="Verdana"/>
                <w:sz w:val="16"/>
                <w:szCs w:val="16"/>
                <w:lang w:val="pt-BR" w:eastAsia="es-ES"/>
              </w:rPr>
              <w:t>Subdirección</w:t>
            </w:r>
            <w:proofErr w:type="spellEnd"/>
            <w:r w:rsidRPr="00DE3734">
              <w:rPr>
                <w:rFonts w:ascii="Verdana" w:hAnsi="Verdana"/>
                <w:sz w:val="16"/>
                <w:szCs w:val="16"/>
                <w:lang w:val="pt-BR" w:eastAsia="es-ES"/>
              </w:rPr>
              <w:t xml:space="preserve"> de Gestión </w:t>
            </w:r>
            <w:proofErr w:type="spellStart"/>
            <w:r w:rsidRPr="00DE3734">
              <w:rPr>
                <w:rFonts w:ascii="Verdana" w:hAnsi="Verdana"/>
                <w:sz w:val="16"/>
                <w:szCs w:val="16"/>
                <w:lang w:val="pt-BR" w:eastAsia="es-ES"/>
              </w:rPr>
              <w:t>Contractual</w:t>
            </w:r>
            <w:proofErr w:type="spellEnd"/>
          </w:p>
        </w:tc>
      </w:tr>
      <w:tr w:rsidR="00F62BEE" w:rsidRPr="00DE3734" w14:paraId="62001DF5" w14:textId="77777777" w:rsidTr="003E2688">
        <w:trPr>
          <w:trHeight w:val="330"/>
        </w:trPr>
        <w:tc>
          <w:tcPr>
            <w:tcW w:w="893" w:type="dxa"/>
            <w:vAlign w:val="center"/>
            <w:hideMark/>
          </w:tcPr>
          <w:p w14:paraId="163DD8BF" w14:textId="77777777" w:rsidR="00F62BEE" w:rsidRPr="00DE3734" w:rsidRDefault="00F62BEE" w:rsidP="003E2688">
            <w:pPr>
              <w:spacing w:after="255"/>
              <w:contextualSpacing/>
              <w:rPr>
                <w:rFonts w:ascii="Verdana" w:hAnsi="Verdana"/>
                <w:sz w:val="16"/>
                <w:szCs w:val="16"/>
                <w:lang w:val="es-ES" w:eastAsia="es-ES"/>
              </w:rPr>
            </w:pPr>
            <w:r w:rsidRPr="00DE3734">
              <w:rPr>
                <w:rFonts w:ascii="Verdana" w:hAnsi="Verdana"/>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B0CFF5"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val="pt-BR" w:eastAsia="es-ES"/>
              </w:rPr>
              <w:t>Juan Carlos Gonzalez</w:t>
            </w:r>
          </w:p>
          <w:p w14:paraId="6326C929"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val="pt-BR" w:eastAsia="es-ES"/>
              </w:rPr>
              <w:t xml:space="preserve">Contratista de </w:t>
            </w:r>
            <w:proofErr w:type="spellStart"/>
            <w:r w:rsidRPr="00DE3734">
              <w:rPr>
                <w:rFonts w:ascii="Verdana" w:hAnsi="Verdana"/>
                <w:sz w:val="16"/>
                <w:szCs w:val="16"/>
                <w:lang w:val="pt-BR" w:eastAsia="es-ES"/>
              </w:rPr>
              <w:t>la</w:t>
            </w:r>
            <w:proofErr w:type="spellEnd"/>
            <w:r w:rsidRPr="00DE3734">
              <w:rPr>
                <w:rFonts w:ascii="Verdana" w:hAnsi="Verdana"/>
                <w:sz w:val="16"/>
                <w:szCs w:val="16"/>
                <w:lang w:val="pt-BR" w:eastAsia="es-ES"/>
              </w:rPr>
              <w:t xml:space="preserve"> </w:t>
            </w:r>
            <w:proofErr w:type="spellStart"/>
            <w:r w:rsidRPr="00DE3734">
              <w:rPr>
                <w:rFonts w:ascii="Verdana" w:hAnsi="Verdana"/>
                <w:sz w:val="16"/>
                <w:szCs w:val="16"/>
                <w:lang w:val="pt-BR" w:eastAsia="es-ES"/>
              </w:rPr>
              <w:t>Subdirección</w:t>
            </w:r>
            <w:proofErr w:type="spellEnd"/>
            <w:r w:rsidRPr="00DE3734">
              <w:rPr>
                <w:rFonts w:ascii="Verdana" w:hAnsi="Verdana"/>
                <w:sz w:val="16"/>
                <w:szCs w:val="16"/>
                <w:lang w:val="pt-BR" w:eastAsia="es-ES"/>
              </w:rPr>
              <w:t xml:space="preserve"> de Gestión </w:t>
            </w:r>
            <w:proofErr w:type="spellStart"/>
            <w:r w:rsidRPr="00DE3734">
              <w:rPr>
                <w:rFonts w:ascii="Verdana" w:hAnsi="Verdana"/>
                <w:sz w:val="16"/>
                <w:szCs w:val="16"/>
                <w:lang w:val="pt-BR" w:eastAsia="es-ES"/>
              </w:rPr>
              <w:t>Contractual</w:t>
            </w:r>
            <w:proofErr w:type="spellEnd"/>
            <w:r w:rsidRPr="00DE3734">
              <w:rPr>
                <w:rFonts w:ascii="Verdana" w:hAnsi="Verdana"/>
                <w:sz w:val="16"/>
                <w:szCs w:val="16"/>
                <w:lang w:val="pt-BR" w:eastAsia="es-ES"/>
              </w:rPr>
              <w:t> </w:t>
            </w:r>
          </w:p>
        </w:tc>
      </w:tr>
      <w:tr w:rsidR="00F62BEE" w:rsidRPr="00DE3734" w14:paraId="293E7255" w14:textId="77777777" w:rsidTr="003E2688">
        <w:trPr>
          <w:trHeight w:val="300"/>
        </w:trPr>
        <w:tc>
          <w:tcPr>
            <w:tcW w:w="893" w:type="dxa"/>
            <w:vAlign w:val="center"/>
            <w:hideMark/>
          </w:tcPr>
          <w:p w14:paraId="398A27B5" w14:textId="77777777" w:rsidR="00F62BEE" w:rsidRPr="00DE3734" w:rsidRDefault="00F62BEE" w:rsidP="003E2688">
            <w:pPr>
              <w:spacing w:after="255"/>
              <w:contextualSpacing/>
              <w:rPr>
                <w:rFonts w:ascii="Verdana" w:hAnsi="Verdana"/>
                <w:sz w:val="16"/>
                <w:szCs w:val="16"/>
                <w:lang w:val="es-ES" w:eastAsia="es-ES"/>
              </w:rPr>
            </w:pPr>
            <w:r w:rsidRPr="00DE3734">
              <w:rPr>
                <w:rFonts w:ascii="Verdana" w:hAnsi="Verdana"/>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220D38"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val="pt-BR" w:eastAsia="es-ES"/>
              </w:rPr>
              <w:t>Carolina Quintero Gacharná</w:t>
            </w:r>
          </w:p>
          <w:p w14:paraId="2961D53E" w14:textId="77777777" w:rsidR="00F62BEE" w:rsidRPr="00DE3734" w:rsidRDefault="00F62BEE" w:rsidP="003E2688">
            <w:pPr>
              <w:spacing w:after="255"/>
              <w:contextualSpacing/>
              <w:rPr>
                <w:rFonts w:ascii="Verdana" w:hAnsi="Verdana"/>
                <w:sz w:val="16"/>
                <w:szCs w:val="16"/>
                <w:lang w:val="pt-BR" w:eastAsia="es-ES"/>
              </w:rPr>
            </w:pPr>
            <w:r w:rsidRPr="00DE3734">
              <w:rPr>
                <w:rFonts w:ascii="Verdana" w:hAnsi="Verdana"/>
                <w:sz w:val="16"/>
                <w:szCs w:val="16"/>
                <w:lang w:eastAsia="es-ES"/>
              </w:rPr>
              <w:t>Subdirectora</w:t>
            </w:r>
            <w:r w:rsidRPr="00DE3734">
              <w:rPr>
                <w:rFonts w:ascii="Verdana" w:hAnsi="Verdana"/>
                <w:sz w:val="16"/>
                <w:szCs w:val="16"/>
                <w:lang w:val="pt-BR" w:eastAsia="es-ES"/>
              </w:rPr>
              <w:t xml:space="preserve"> de Gestión Contractual ANCP – CCE</w:t>
            </w:r>
          </w:p>
        </w:tc>
      </w:tr>
    </w:tbl>
    <w:p w14:paraId="5BB4F34E" w14:textId="77777777" w:rsidR="00F62BEE" w:rsidRPr="00DE3734" w:rsidRDefault="00F62BEE" w:rsidP="00F62BEE">
      <w:pPr>
        <w:spacing w:after="0" w:line="240" w:lineRule="auto"/>
        <w:rPr>
          <w:rFonts w:ascii="Verdana" w:eastAsia="Times New Roman" w:hAnsi="Verdana" w:cs="Arial"/>
          <w:sz w:val="24"/>
          <w:szCs w:val="24"/>
          <w:lang w:eastAsia="es-ES"/>
        </w:rPr>
      </w:pPr>
    </w:p>
    <w:p w14:paraId="47E6DBAA" w14:textId="77777777" w:rsidR="00F62BEE" w:rsidRPr="00DE3734" w:rsidRDefault="00F62BEE" w:rsidP="00F62BEE">
      <w:pPr>
        <w:spacing w:line="256" w:lineRule="auto"/>
        <w:rPr>
          <w:rFonts w:ascii="Calibri" w:eastAsia="Calibri" w:hAnsi="Calibri" w:cs="Times New Roman"/>
        </w:rPr>
      </w:pPr>
      <w:r w:rsidRPr="00DE3734">
        <w:rPr>
          <w:rFonts w:ascii="Calibri" w:eastAsia="Calibri" w:hAnsi="Calibri" w:cs="Times New Roman"/>
        </w:rPr>
        <w:t xml:space="preserve"> </w:t>
      </w:r>
    </w:p>
    <w:p w14:paraId="7E85EAE9" w14:textId="77777777" w:rsidR="00F62BEE" w:rsidRPr="00EB5968" w:rsidRDefault="00F62BEE" w:rsidP="00F62BEE">
      <w:pPr>
        <w:widowControl w:val="0"/>
        <w:autoSpaceDE w:val="0"/>
        <w:autoSpaceDN w:val="0"/>
        <w:spacing w:after="0" w:line="276" w:lineRule="auto"/>
        <w:jc w:val="both"/>
      </w:pPr>
    </w:p>
    <w:p w14:paraId="0F293BF4" w14:textId="4EC5354B" w:rsidR="00127233" w:rsidRPr="00F62BEE" w:rsidRDefault="00127233" w:rsidP="00F62BEE"/>
    <w:sectPr w:rsidR="00127233" w:rsidRPr="00F62BE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062BB" w14:textId="77777777" w:rsidR="009B25A8" w:rsidRDefault="009B25A8" w:rsidP="004A1847">
      <w:pPr>
        <w:spacing w:after="0" w:line="240" w:lineRule="auto"/>
      </w:pPr>
      <w:r>
        <w:separator/>
      </w:r>
    </w:p>
  </w:endnote>
  <w:endnote w:type="continuationSeparator" w:id="0">
    <w:p w14:paraId="3FA1ADB0"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F4F64" w14:textId="77777777" w:rsidR="009B25A8" w:rsidRDefault="009B25A8" w:rsidP="004A1847">
      <w:pPr>
        <w:spacing w:after="0" w:line="240" w:lineRule="auto"/>
      </w:pPr>
      <w:r>
        <w:separator/>
      </w:r>
    </w:p>
  </w:footnote>
  <w:footnote w:type="continuationSeparator" w:id="0">
    <w:p w14:paraId="23999EA7" w14:textId="77777777" w:rsidR="009B25A8" w:rsidRDefault="009B25A8" w:rsidP="004A1847">
      <w:pPr>
        <w:spacing w:after="0" w:line="240" w:lineRule="auto"/>
      </w:pPr>
      <w:r>
        <w:continuationSeparator/>
      </w:r>
    </w:p>
  </w:footnote>
  <w:footnote w:id="1">
    <w:p w14:paraId="4606D70B" w14:textId="77777777" w:rsidR="00F62BEE" w:rsidRPr="000405DB" w:rsidRDefault="00F62BEE" w:rsidP="00F62BEE">
      <w:pPr>
        <w:spacing w:after="0" w:line="240" w:lineRule="auto"/>
        <w:ind w:firstLine="707"/>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position w:val="6"/>
          <w:sz w:val="10"/>
          <w:szCs w:val="10"/>
        </w:rPr>
        <w:t xml:space="preserve"> </w:t>
      </w:r>
      <w:r w:rsidRPr="000405DB">
        <w:rPr>
          <w:rFonts w:ascii="Verdana" w:hAnsi="Verdana" w:cs="Arial"/>
          <w:sz w:val="10"/>
          <w:szCs w:val="10"/>
        </w:rPr>
        <w:t>DEIK ACOSTAMADIEDO, Carolina, Guía de Contratación Estatal: Deber de planeación y modalidades de selección, Buenos Aires, 2015, p. 59.</w:t>
      </w:r>
    </w:p>
    <w:p w14:paraId="0F748855" w14:textId="77777777" w:rsidR="00F62BEE" w:rsidRPr="000405DB" w:rsidRDefault="00F62BEE" w:rsidP="00F62BEE">
      <w:pPr>
        <w:pStyle w:val="Textonotapie"/>
        <w:contextualSpacing/>
        <w:jc w:val="both"/>
        <w:rPr>
          <w:rFonts w:ascii="Verdana" w:hAnsi="Verdana" w:cs="Arial"/>
          <w:sz w:val="10"/>
          <w:szCs w:val="10"/>
        </w:rPr>
      </w:pPr>
    </w:p>
  </w:footnote>
  <w:footnote w:id="2">
    <w:p w14:paraId="049ED55D" w14:textId="77777777" w:rsidR="00F62BEE" w:rsidRPr="000405DB" w:rsidRDefault="00F62BEE" w:rsidP="00F62BEE">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“Artículo </w:t>
      </w:r>
      <w:bookmarkStart w:id="3" w:name="_Hlk54173885"/>
      <w:r w:rsidRPr="000405DB">
        <w:rPr>
          <w:rFonts w:ascii="Verdana" w:hAnsi="Verdana" w:cs="Arial"/>
          <w:sz w:val="10"/>
          <w:szCs w:val="10"/>
        </w:rPr>
        <w:t>2.2.1.1.2.1.1</w:t>
      </w:r>
      <w:bookmarkEnd w:id="3"/>
      <w:r w:rsidRPr="000405DB">
        <w:rPr>
          <w:rFonts w:ascii="Verdana" w:hAnsi="Verdana" w:cs="Arial"/>
          <w:sz w:val="10"/>
          <w:szCs w:val="10"/>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5C6BF1E7" w14:textId="77777777" w:rsidR="00F62BEE" w:rsidRPr="000405DB" w:rsidRDefault="00F62BEE" w:rsidP="00F62BEE">
      <w:pPr>
        <w:pStyle w:val="Textoindependiente"/>
        <w:spacing w:after="0" w:line="240" w:lineRule="auto"/>
        <w:ind w:firstLine="709"/>
        <w:contextualSpacing/>
        <w:jc w:val="both"/>
        <w:rPr>
          <w:rFonts w:ascii="Verdana" w:hAnsi="Verdana" w:cs="Arial"/>
          <w:sz w:val="10"/>
          <w:szCs w:val="10"/>
        </w:rPr>
      </w:pPr>
    </w:p>
    <w:p w14:paraId="342C0FB3" w14:textId="77777777" w:rsidR="00F62BEE" w:rsidRPr="000405DB" w:rsidRDefault="00F62BEE" w:rsidP="00F62BEE">
      <w:pPr>
        <w:pStyle w:val="Textonotapie"/>
        <w:ind w:firstLine="709"/>
        <w:contextualSpacing/>
        <w:jc w:val="both"/>
        <w:rPr>
          <w:rFonts w:ascii="Verdana" w:hAnsi="Verdana" w:cs="Arial"/>
          <w:sz w:val="10"/>
          <w:szCs w:val="10"/>
        </w:rPr>
      </w:pPr>
    </w:p>
  </w:footnote>
  <w:footnote w:id="3">
    <w:p w14:paraId="19630545" w14:textId="77777777" w:rsidR="00F62BEE" w:rsidRPr="000405DB" w:rsidRDefault="00F62BEE" w:rsidP="00F62BEE">
      <w:pPr>
        <w:pStyle w:val="Textoindependiente"/>
        <w:spacing w:after="0" w:line="240" w:lineRule="auto"/>
        <w:ind w:firstLine="709"/>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06CDE73C" w14:textId="77777777" w:rsidR="00F62BEE" w:rsidRPr="000405DB" w:rsidRDefault="00F62BEE" w:rsidP="00F62BEE">
      <w:pPr>
        <w:pStyle w:val="Textonotapie"/>
        <w:contextualSpacing/>
        <w:jc w:val="both"/>
        <w:rPr>
          <w:rFonts w:ascii="Verdana" w:hAnsi="Verdana" w:cs="Arial"/>
          <w:sz w:val="10"/>
          <w:szCs w:val="10"/>
        </w:rPr>
      </w:pPr>
    </w:p>
  </w:footnote>
  <w:footnote w:id="4">
    <w:p w14:paraId="242CA0FF" w14:textId="77777777" w:rsidR="00F62BEE" w:rsidRPr="000405DB" w:rsidRDefault="00F62BEE" w:rsidP="00F62BEE">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5">
    <w:p w14:paraId="5F2912F4" w14:textId="77777777" w:rsidR="00F62BEE" w:rsidRPr="000405DB" w:rsidRDefault="00F62BEE" w:rsidP="00F62BEE">
      <w:pPr>
        <w:pStyle w:val="Textonotapie"/>
        <w:ind w:firstLine="708"/>
        <w:contextualSpacing/>
        <w:jc w:val="both"/>
        <w:rPr>
          <w:rFonts w:ascii="Verdana" w:hAnsi="Verdana" w:cs="Arial"/>
          <w:sz w:val="10"/>
          <w:szCs w:val="10"/>
        </w:rPr>
      </w:pPr>
      <w:r w:rsidRPr="000405DB">
        <w:rPr>
          <w:rStyle w:val="Refdenotaalpie"/>
          <w:rFonts w:ascii="Verdana" w:hAnsi="Verdana" w:cs="Arial"/>
          <w:sz w:val="10"/>
          <w:szCs w:val="10"/>
        </w:rPr>
        <w:footnoteRef/>
      </w:r>
      <w:r w:rsidRPr="000405DB">
        <w:rPr>
          <w:rFonts w:ascii="Verdana" w:hAnsi="Verdana" w:cs="Arial"/>
          <w:sz w:val="10"/>
          <w:szCs w:val="10"/>
        </w:rPr>
        <w:t xml:space="preserve"> Colombia Compra Eficiente. </w:t>
      </w:r>
      <w:r w:rsidRPr="000405DB">
        <w:rPr>
          <w:rFonts w:ascii="Verdana" w:eastAsia="Calibri" w:hAnsi="Verdana" w:cs="Arial"/>
          <w:bCs/>
          <w:sz w:val="10"/>
          <w:szCs w:val="10"/>
          <w:lang w:val="es-ES_tradnl" w:eastAsia="es-ES_tradnl"/>
        </w:rPr>
        <w:t>Guía de Elaboración de Estudios del Sector</w:t>
      </w:r>
      <w:r w:rsidRPr="000405DB">
        <w:rPr>
          <w:rFonts w:ascii="Verdana" w:hAnsi="Verdana" w:cs="Arial"/>
          <w:sz w:val="10"/>
          <w:szCs w:val="10"/>
        </w:rPr>
        <w:t xml:space="preserve">. Disponible en: </w:t>
      </w:r>
      <w:hyperlink r:id="rId1" w:history="1">
        <w:r w:rsidRPr="000405DB">
          <w:rPr>
            <w:rStyle w:val="Hipervnculo"/>
            <w:rFonts w:ascii="Verdana" w:hAnsi="Verdana" w:cs="Arial"/>
            <w:sz w:val="10"/>
            <w:szCs w:val="10"/>
          </w:rPr>
          <w:t>https://www.colombiacompra.gov.co/manuales-guias-y-pliegos-tipo/manuales-y-guias</w:t>
        </w:r>
      </w:hyperlink>
      <w:r w:rsidRPr="000405DB">
        <w:rPr>
          <w:rFonts w:ascii="Verdana" w:hAnsi="Verdana" w:cs="Arial"/>
          <w:sz w:val="10"/>
          <w:szCs w:val="10"/>
        </w:rPr>
        <w:t xml:space="preserve"> </w:t>
      </w:r>
    </w:p>
    <w:p w14:paraId="45C8FCF2" w14:textId="77777777" w:rsidR="00F62BEE" w:rsidRPr="000405DB" w:rsidRDefault="00F62BEE" w:rsidP="00F62BEE">
      <w:pPr>
        <w:pStyle w:val="Textonotapie"/>
        <w:ind w:firstLine="708"/>
        <w:contextualSpacing/>
        <w:jc w:val="both"/>
        <w:rPr>
          <w:rFonts w:ascii="Verdana" w:hAnsi="Verdana"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70F4636"/>
    <w:multiLevelType w:val="hybridMultilevel"/>
    <w:tmpl w:val="806AD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C466FB6"/>
    <w:multiLevelType w:val="hybridMultilevel"/>
    <w:tmpl w:val="E168DEFA"/>
    <w:lvl w:ilvl="0" w:tplc="240A0017">
      <w:start w:val="1"/>
      <w:numFmt w:val="lowerLetter"/>
      <w:lvlText w:val="%1)"/>
      <w:lvlJc w:val="left"/>
      <w:pPr>
        <w:ind w:left="2220" w:hanging="360"/>
      </w:pPr>
    </w:lvl>
    <w:lvl w:ilvl="1" w:tplc="240A0019" w:tentative="1">
      <w:start w:val="1"/>
      <w:numFmt w:val="lowerLetter"/>
      <w:lvlText w:val="%2."/>
      <w:lvlJc w:val="left"/>
      <w:pPr>
        <w:ind w:left="2940" w:hanging="360"/>
      </w:pPr>
    </w:lvl>
    <w:lvl w:ilvl="2" w:tplc="240A001B" w:tentative="1">
      <w:start w:val="1"/>
      <w:numFmt w:val="lowerRoman"/>
      <w:lvlText w:val="%3."/>
      <w:lvlJc w:val="right"/>
      <w:pPr>
        <w:ind w:left="3660" w:hanging="180"/>
      </w:pPr>
    </w:lvl>
    <w:lvl w:ilvl="3" w:tplc="240A000F" w:tentative="1">
      <w:start w:val="1"/>
      <w:numFmt w:val="decimal"/>
      <w:lvlText w:val="%4."/>
      <w:lvlJc w:val="left"/>
      <w:pPr>
        <w:ind w:left="4380" w:hanging="360"/>
      </w:pPr>
    </w:lvl>
    <w:lvl w:ilvl="4" w:tplc="240A0019" w:tentative="1">
      <w:start w:val="1"/>
      <w:numFmt w:val="lowerLetter"/>
      <w:lvlText w:val="%5."/>
      <w:lvlJc w:val="left"/>
      <w:pPr>
        <w:ind w:left="5100" w:hanging="360"/>
      </w:pPr>
    </w:lvl>
    <w:lvl w:ilvl="5" w:tplc="240A001B" w:tentative="1">
      <w:start w:val="1"/>
      <w:numFmt w:val="lowerRoman"/>
      <w:lvlText w:val="%6."/>
      <w:lvlJc w:val="right"/>
      <w:pPr>
        <w:ind w:left="5820" w:hanging="180"/>
      </w:pPr>
    </w:lvl>
    <w:lvl w:ilvl="6" w:tplc="240A000F" w:tentative="1">
      <w:start w:val="1"/>
      <w:numFmt w:val="decimal"/>
      <w:lvlText w:val="%7."/>
      <w:lvlJc w:val="left"/>
      <w:pPr>
        <w:ind w:left="6540" w:hanging="360"/>
      </w:pPr>
    </w:lvl>
    <w:lvl w:ilvl="7" w:tplc="240A0019" w:tentative="1">
      <w:start w:val="1"/>
      <w:numFmt w:val="lowerLetter"/>
      <w:lvlText w:val="%8."/>
      <w:lvlJc w:val="left"/>
      <w:pPr>
        <w:ind w:left="7260" w:hanging="360"/>
      </w:pPr>
    </w:lvl>
    <w:lvl w:ilvl="8" w:tplc="240A001B" w:tentative="1">
      <w:start w:val="1"/>
      <w:numFmt w:val="lowerRoman"/>
      <w:lvlText w:val="%9."/>
      <w:lvlJc w:val="right"/>
      <w:pPr>
        <w:ind w:left="7980" w:hanging="180"/>
      </w:pPr>
    </w:lvl>
  </w:abstractNum>
  <w:abstractNum w:abstractNumId="11" w15:restartNumberingAfterBreak="0">
    <w:nsid w:val="53D97B18"/>
    <w:multiLevelType w:val="hybridMultilevel"/>
    <w:tmpl w:val="874AA1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0"/>
  </w:num>
  <w:num w:numId="13" w16cid:durableId="1512908409">
    <w:abstractNumId w:val="3"/>
  </w:num>
  <w:num w:numId="14" w16cid:durableId="895897244">
    <w:abstractNumId w:val="16"/>
  </w:num>
  <w:num w:numId="15" w16cid:durableId="390349800">
    <w:abstractNumId w:val="12"/>
  </w:num>
  <w:num w:numId="16" w16cid:durableId="679089576">
    <w:abstractNumId w:val="9"/>
  </w:num>
  <w:num w:numId="17" w16cid:durableId="986321315">
    <w:abstractNumId w:val="11"/>
  </w:num>
  <w:num w:numId="18" w16cid:durableId="894588073">
    <w:abstractNumId w:val="2"/>
  </w:num>
  <w:num w:numId="19" w16cid:durableId="4722185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2B5"/>
    <w:rsid w:val="00082362"/>
    <w:rsid w:val="000A683E"/>
    <w:rsid w:val="000B19B9"/>
    <w:rsid w:val="000D0334"/>
    <w:rsid w:val="000E5AD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3B84"/>
    <w:rsid w:val="00374F5E"/>
    <w:rsid w:val="00377E3E"/>
    <w:rsid w:val="003A779E"/>
    <w:rsid w:val="003D0F4D"/>
    <w:rsid w:val="003D5B0D"/>
    <w:rsid w:val="003E0499"/>
    <w:rsid w:val="003F3941"/>
    <w:rsid w:val="00406575"/>
    <w:rsid w:val="00412FE1"/>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A259B"/>
    <w:rsid w:val="007B268C"/>
    <w:rsid w:val="007B7171"/>
    <w:rsid w:val="007C0C0F"/>
    <w:rsid w:val="007C3DC2"/>
    <w:rsid w:val="007E5497"/>
    <w:rsid w:val="00806F5F"/>
    <w:rsid w:val="00820278"/>
    <w:rsid w:val="00867F95"/>
    <w:rsid w:val="008843B6"/>
    <w:rsid w:val="00891928"/>
    <w:rsid w:val="00897A3A"/>
    <w:rsid w:val="008A446D"/>
    <w:rsid w:val="008D180B"/>
    <w:rsid w:val="008F0EA7"/>
    <w:rsid w:val="008F543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5DFC"/>
    <w:rsid w:val="00A17F13"/>
    <w:rsid w:val="00A20739"/>
    <w:rsid w:val="00A33C78"/>
    <w:rsid w:val="00AB0ADB"/>
    <w:rsid w:val="00AD464E"/>
    <w:rsid w:val="00B00C0E"/>
    <w:rsid w:val="00B01B1A"/>
    <w:rsid w:val="00B44A47"/>
    <w:rsid w:val="00B65CF6"/>
    <w:rsid w:val="00B72CD3"/>
    <w:rsid w:val="00B72FFF"/>
    <w:rsid w:val="00BC3D36"/>
    <w:rsid w:val="00BD7F72"/>
    <w:rsid w:val="00C04FB3"/>
    <w:rsid w:val="00C330EB"/>
    <w:rsid w:val="00C57926"/>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0648"/>
    <w:rsid w:val="00F31EDC"/>
    <w:rsid w:val="00F462B3"/>
    <w:rsid w:val="00F5664F"/>
    <w:rsid w:val="00F62BEE"/>
    <w:rsid w:val="00F666C4"/>
    <w:rsid w:val="00F76AFC"/>
    <w:rsid w:val="00F77490"/>
    <w:rsid w:val="00FA47C0"/>
    <w:rsid w:val="00FB5DD1"/>
    <w:rsid w:val="00FC2B5D"/>
    <w:rsid w:val="00FF1449"/>
    <w:rsid w:val="0320F63C"/>
    <w:rsid w:val="07D7AD4D"/>
    <w:rsid w:val="2DCEC1F6"/>
    <w:rsid w:val="3ACA25C6"/>
    <w:rsid w:val="3F5FFD50"/>
    <w:rsid w:val="5DED58B7"/>
    <w:rsid w:val="67DE658D"/>
    <w:rsid w:val="6C0C4B02"/>
    <w:rsid w:val="6C9BD3C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semiHidden/>
    <w:unhideWhenUsed/>
    <w:rsid w:val="00F62BEE"/>
    <w:pPr>
      <w:spacing w:after="120"/>
    </w:pPr>
  </w:style>
  <w:style w:type="character" w:customStyle="1" w:styleId="TextoindependienteCar">
    <w:name w:val="Texto independiente Car"/>
    <w:basedOn w:val="Fuentedeprrafopredeter"/>
    <w:link w:val="Textoindependiente"/>
    <w:uiPriority w:val="99"/>
    <w:semiHidden/>
    <w:rsid w:val="00F62BEE"/>
  </w:style>
  <w:style w:type="paragraph" w:customStyle="1" w:styleId="Appelnotedebasde">
    <w:name w:val="Appel note de bas de..."/>
    <w:basedOn w:val="Normal"/>
    <w:link w:val="Refdenotaalpie"/>
    <w:uiPriority w:val="99"/>
    <w:rsid w:val="00F62BEE"/>
    <w:pPr>
      <w:spacing w:line="240" w:lineRule="exact"/>
    </w:pPr>
    <w:rPr>
      <w:vertAlign w:val="superscript"/>
    </w:rPr>
  </w:style>
  <w:style w:type="table" w:customStyle="1" w:styleId="Tablaconcuadrcula2">
    <w:name w:val="Tabla con cuadrícula2"/>
    <w:basedOn w:val="Tablanormal"/>
    <w:next w:val="Tablaconcuadrcula"/>
    <w:uiPriority w:val="39"/>
    <w:qFormat/>
    <w:rsid w:val="00F62BE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62BE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FE07B0C-0EF3-4063-BEC3-23A7284111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9d85dbaf-23eb-4e57-a637-93dcacc8b1a1"/>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16</Pages>
  <Words>5211</Words>
  <Characters>28719</Characters>
  <Application>Microsoft Office Word</Application>
  <DocSecurity>0</DocSecurity>
  <Lines>611</Lines>
  <Paragraphs>116</Paragraphs>
  <ScaleCrop>false</ScaleCrop>
  <Company/>
  <LinksUpToDate>false</LinksUpToDate>
  <CharactersWithSpaces>33814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2025-10-30T14:34:00Z</dcterms:created>
  <dcterms:modified xsi:type="dcterms:W3CDTF">2025-10-30T14:34:00Z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