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6792C" w14:textId="680F1D3B" w:rsidR="00835F2F" w:rsidRPr="00835F2F" w:rsidRDefault="00835F2F" w:rsidP="00835F2F">
      <w:pPr>
        <w:spacing w:after="0"/>
        <w:jc w:val="both"/>
        <w:rPr>
          <w:rFonts w:ascii="Verdana" w:hAnsi="Verdana"/>
        </w:rPr>
      </w:pPr>
      <w:bookmarkStart w:id="0" w:name="_Hlk143780582"/>
      <w:r w:rsidRPr="00835F2F">
        <w:rPr>
          <w:rFonts w:ascii="Verdana" w:eastAsia="Calibri" w:hAnsi="Verdana" w:cs="Arial"/>
          <w:b/>
          <w:lang w:val="es-MX"/>
        </w:rPr>
        <w:t>DOCUMENTOS TIPO – Inalterabilidad – Fundamentos</w:t>
      </w:r>
    </w:p>
    <w:p w14:paraId="68938B63" w14:textId="77777777" w:rsidR="00835F2F" w:rsidRPr="006E0F63" w:rsidRDefault="00835F2F" w:rsidP="006E0F63">
      <w:pPr>
        <w:spacing w:after="0" w:line="240" w:lineRule="auto"/>
        <w:jc w:val="both"/>
        <w:rPr>
          <w:rFonts w:ascii="Verdana" w:eastAsia="Calibri" w:hAnsi="Verdana" w:cs="Arial"/>
          <w:color w:val="000000"/>
          <w:lang w:val="es-ES_tradnl"/>
        </w:rPr>
      </w:pPr>
    </w:p>
    <w:p w14:paraId="13D31652" w14:textId="5EEA8FA0" w:rsidR="00F70239" w:rsidRDefault="00835F2F" w:rsidP="006E0F63">
      <w:pPr>
        <w:spacing w:after="0" w:line="240" w:lineRule="auto"/>
        <w:jc w:val="both"/>
        <w:rPr>
          <w:rFonts w:ascii="Verdana" w:eastAsia="Calibri" w:hAnsi="Verdana" w:cs="Arial"/>
          <w:color w:val="000000"/>
          <w:sz w:val="20"/>
          <w:szCs w:val="20"/>
          <w:lang w:val="es-ES"/>
        </w:rPr>
      </w:pPr>
      <w:r w:rsidRPr="006E0F63">
        <w:rPr>
          <w:rFonts w:ascii="Verdana" w:eastAsia="Calibri" w:hAnsi="Verdana" w:cs="Arial"/>
          <w:color w:val="000000"/>
          <w:sz w:val="20"/>
          <w:szCs w:val="20"/>
          <w:lang w:val="es-ES"/>
        </w:rPr>
        <w:t xml:space="preserve">[…] </w:t>
      </w:r>
      <w:r w:rsidR="00F70239" w:rsidRPr="006E0F63">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F70239" w:rsidRPr="006E0F63">
        <w:rPr>
          <w:rFonts w:ascii="Verdana" w:eastAsia="Calibri" w:hAnsi="Verdana" w:cs="Arial"/>
          <w:i/>
          <w:iCs/>
          <w:color w:val="000000"/>
          <w:sz w:val="20"/>
          <w:szCs w:val="20"/>
          <w:lang w:val="es-ES"/>
        </w:rPr>
        <w:t>Documentos del Proceso</w:t>
      </w:r>
      <w:r w:rsidR="00F70239" w:rsidRPr="006E0F63">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0323523" w14:textId="77777777" w:rsidR="006E0F63" w:rsidRPr="006E0F63" w:rsidRDefault="006E0F63" w:rsidP="006E0F63">
      <w:pPr>
        <w:spacing w:after="0" w:line="240" w:lineRule="auto"/>
        <w:jc w:val="both"/>
        <w:rPr>
          <w:rFonts w:ascii="Verdana" w:eastAsia="Calibri" w:hAnsi="Verdana" w:cs="Arial"/>
          <w:color w:val="000000"/>
          <w:sz w:val="20"/>
          <w:szCs w:val="20"/>
          <w:lang w:val="es-ES"/>
        </w:rPr>
      </w:pPr>
    </w:p>
    <w:p w14:paraId="650B62B6" w14:textId="240C0276" w:rsidR="00835F2F" w:rsidRPr="006E0F63" w:rsidRDefault="00F70239" w:rsidP="006E0F63">
      <w:pPr>
        <w:spacing w:after="0" w:line="240" w:lineRule="auto"/>
        <w:jc w:val="both"/>
        <w:rPr>
          <w:rFonts w:ascii="Verdana" w:eastAsia="Calibri" w:hAnsi="Verdana" w:cs="Arial"/>
          <w:sz w:val="20"/>
          <w:szCs w:val="20"/>
          <w:lang w:val="es-ES_tradnl"/>
        </w:rPr>
      </w:pPr>
      <w:r w:rsidRPr="006E0F63">
        <w:rPr>
          <w:rFonts w:ascii="Verdana" w:eastAsia="Calibri" w:hAnsi="Verdana" w:cs="Arial"/>
          <w:sz w:val="20"/>
          <w:szCs w:val="20"/>
          <w:lang w:val="es-ES_tradnl"/>
        </w:rPr>
        <w:t>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w:t>
      </w:r>
    </w:p>
    <w:p w14:paraId="00D6C1FA" w14:textId="77777777" w:rsidR="00835F2F" w:rsidRPr="006E0F63" w:rsidRDefault="00835F2F" w:rsidP="006E0F63">
      <w:pPr>
        <w:spacing w:after="0" w:line="276" w:lineRule="auto"/>
        <w:jc w:val="both"/>
        <w:rPr>
          <w:rFonts w:ascii="Verdana" w:eastAsia="Calibri" w:hAnsi="Verdana" w:cs="Arial"/>
          <w:lang w:val="es-ES_tradnl"/>
        </w:rPr>
      </w:pPr>
      <w:r w:rsidRPr="006E0F63">
        <w:rPr>
          <w:rFonts w:ascii="Verdana" w:eastAsia="Calibri" w:hAnsi="Verdana" w:cs="Arial"/>
          <w:sz w:val="20"/>
          <w:szCs w:val="20"/>
          <w:lang w:val="es-ES_tradnl"/>
        </w:rPr>
        <w:t xml:space="preserve"> </w:t>
      </w:r>
    </w:p>
    <w:p w14:paraId="49DC4FD6" w14:textId="77777777" w:rsidR="00835F2F" w:rsidRPr="00835F2F" w:rsidRDefault="00835F2F" w:rsidP="00835F2F">
      <w:pPr>
        <w:spacing w:after="0" w:line="276" w:lineRule="auto"/>
        <w:jc w:val="both"/>
        <w:rPr>
          <w:rFonts w:ascii="Verdana" w:eastAsia="Aptos" w:hAnsi="Verdana" w:cs="Arial"/>
          <w:b/>
          <w:lang w:val="es-MX"/>
        </w:rPr>
      </w:pPr>
      <w:r w:rsidRPr="00835F2F">
        <w:rPr>
          <w:rFonts w:ascii="Verdana" w:eastAsia="Calibri" w:hAnsi="Verdana" w:cs="Arial"/>
          <w:b/>
          <w:lang w:val="es-MX"/>
        </w:rPr>
        <w:t xml:space="preserve">DOCUMENTOS TIPO – Inalterabilidad – Información en corchetes y resaltado gris </w:t>
      </w:r>
    </w:p>
    <w:p w14:paraId="23EFB18B" w14:textId="77777777" w:rsidR="00835F2F" w:rsidRPr="00835F2F" w:rsidRDefault="00835F2F" w:rsidP="00835F2F">
      <w:pPr>
        <w:spacing w:after="0" w:line="276" w:lineRule="auto"/>
        <w:jc w:val="both"/>
        <w:rPr>
          <w:rFonts w:ascii="Verdana" w:eastAsia="Aptos" w:hAnsi="Verdana" w:cs="Arial"/>
          <w:lang w:val="es-MX"/>
        </w:rPr>
      </w:pPr>
    </w:p>
    <w:p w14:paraId="2EF32FC5" w14:textId="77777777" w:rsidR="006E0F63" w:rsidRDefault="00835F2F" w:rsidP="006E0F63">
      <w:pPr>
        <w:spacing w:after="0" w:line="240" w:lineRule="auto"/>
        <w:jc w:val="both"/>
        <w:rPr>
          <w:rFonts w:ascii="Verdana" w:eastAsia="Calibri" w:hAnsi="Verdana" w:cs="Arial"/>
          <w:sz w:val="20"/>
          <w:szCs w:val="20"/>
          <w:lang w:val="es-MX"/>
        </w:rPr>
      </w:pPr>
      <w:r w:rsidRPr="006E0F63">
        <w:rPr>
          <w:rFonts w:ascii="Verdana" w:eastAsia="Calibri" w:hAnsi="Verdana" w:cs="Arial"/>
          <w:sz w:val="20"/>
          <w:szCs w:val="20"/>
          <w:lang w:val="es-MX"/>
        </w:rPr>
        <w:t xml:space="preserve">[…] </w:t>
      </w:r>
      <w:r w:rsidR="006E0F63" w:rsidRPr="006E0F63">
        <w:rPr>
          <w:rFonts w:ascii="Verdana" w:eastAsia="Calibri" w:hAnsi="Verdana" w:cs="Arial"/>
          <w:sz w:val="20"/>
          <w:szCs w:val="20"/>
          <w:lang w:val="es-MX"/>
        </w:rPr>
        <w:t xml:space="preserve">la parte introductoria de los documentos base de los documentos tipo disponen que los aspectos incluidos en corchetes y resaltados en gris </w:t>
      </w:r>
      <w:r w:rsidR="006E0F63" w:rsidRPr="006E0F63">
        <w:rPr>
          <w:rFonts w:ascii="Verdana" w:eastAsia="Aptos" w:hAnsi="Verdana" w:cs="Arial"/>
          <w:sz w:val="20"/>
          <w:szCs w:val="20"/>
        </w:rPr>
        <w:t>–[</w:t>
      </w:r>
      <w:r w:rsidR="006E0F63" w:rsidRPr="006E0F63">
        <w:rPr>
          <w:rFonts w:ascii="Verdana" w:eastAsia="Aptos" w:hAnsi="Verdana" w:cs="Arial"/>
          <w:sz w:val="20"/>
          <w:szCs w:val="20"/>
          <w:highlight w:val="lightGray"/>
        </w:rPr>
        <w:t>texto de ejemplo</w:t>
      </w:r>
      <w:r w:rsidR="006E0F63" w:rsidRPr="006E0F63">
        <w:rPr>
          <w:rFonts w:ascii="Verdana" w:eastAsia="Aptos" w:hAnsi="Verdana" w:cs="Arial"/>
          <w:sz w:val="20"/>
          <w:szCs w:val="20"/>
        </w:rPr>
        <w:t xml:space="preserve">]– </w:t>
      </w:r>
      <w:r w:rsidR="006E0F63" w:rsidRPr="006E0F63">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3CCEF0D" w14:textId="77777777" w:rsidR="006E0F63" w:rsidRPr="006E0F63" w:rsidRDefault="006E0F63" w:rsidP="006E0F63">
      <w:pPr>
        <w:spacing w:after="0" w:line="240" w:lineRule="auto"/>
        <w:jc w:val="both"/>
        <w:rPr>
          <w:rFonts w:ascii="Verdana" w:eastAsia="Calibri" w:hAnsi="Verdana" w:cs="Arial"/>
          <w:sz w:val="20"/>
          <w:szCs w:val="20"/>
          <w:lang w:val="es-MX"/>
        </w:rPr>
      </w:pPr>
    </w:p>
    <w:p w14:paraId="427C53D6" w14:textId="77777777" w:rsidR="006E0F63" w:rsidRDefault="006E0F63" w:rsidP="006E0F63">
      <w:pPr>
        <w:spacing w:after="0" w:line="240" w:lineRule="auto"/>
        <w:jc w:val="both"/>
        <w:rPr>
          <w:rFonts w:ascii="Verdana" w:eastAsia="Aptos" w:hAnsi="Verdana" w:cs="Times New Roman"/>
          <w:i/>
          <w:iCs/>
          <w:kern w:val="2"/>
          <w:sz w:val="20"/>
          <w:szCs w:val="20"/>
          <w:lang w:val="es-MX"/>
          <w14:ligatures w14:val="standardContextual"/>
        </w:rPr>
      </w:pPr>
      <w:r w:rsidRPr="006E0F63">
        <w:rPr>
          <w:rFonts w:ascii="Verdana" w:eastAsia="Calibri" w:hAnsi="Verdana" w:cs="Arial"/>
          <w:sz w:val="20"/>
          <w:szCs w:val="20"/>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6E0F63">
        <w:rPr>
          <w:rFonts w:ascii="Verdana" w:eastAsia="Calibri" w:hAnsi="Verdana" w:cs="Arial"/>
          <w:i/>
          <w:iCs/>
          <w:sz w:val="20"/>
          <w:szCs w:val="20"/>
          <w:lang w:val="es-MX"/>
        </w:rPr>
        <w:t xml:space="preserve"> “</w:t>
      </w:r>
      <w:r w:rsidRPr="006E0F63">
        <w:rPr>
          <w:rFonts w:ascii="Verdana" w:eastAsia="Aptos" w:hAnsi="Verdana" w:cs="Times New Roman"/>
          <w:i/>
          <w:iCs/>
          <w:kern w:val="2"/>
          <w:sz w:val="20"/>
          <w:szCs w:val="20"/>
          <w:lang w:val="es-MX"/>
          <w14:ligatures w14:val="standardContextual"/>
        </w:rPr>
        <w:t xml:space="preserve">Los Documentos Tipo son inalterables y no se podrán incluir o modificar los Anexos, Formatos y Formularios, ni </w:t>
      </w:r>
      <w:r w:rsidRPr="006E0F63">
        <w:rPr>
          <w:rFonts w:ascii="Verdana" w:eastAsia="Aptos" w:hAnsi="Verdana" w:cs="Times New Roman"/>
          <w:i/>
          <w:iCs/>
          <w:kern w:val="2"/>
          <w:sz w:val="20"/>
          <w:szCs w:val="20"/>
          <w:lang w:val="es-MX"/>
          <w14:ligatures w14:val="standardContextual"/>
        </w:rPr>
        <w:lastRenderedPageBreak/>
        <w:t>exigir soportes o requisitos adicionales; salvo cuando se permita en forma expresa, es decir, en los aspectos incluidos en corchetes y resaltados en gris.”</w:t>
      </w:r>
    </w:p>
    <w:p w14:paraId="489E6615" w14:textId="77777777" w:rsidR="006E0F63" w:rsidRPr="006E0F63" w:rsidRDefault="006E0F63" w:rsidP="006E0F63">
      <w:pPr>
        <w:spacing w:after="0" w:line="240" w:lineRule="auto"/>
        <w:jc w:val="both"/>
        <w:rPr>
          <w:rFonts w:ascii="Verdana" w:eastAsia="Aptos" w:hAnsi="Verdana" w:cs="Times New Roman"/>
          <w:kern w:val="2"/>
          <w:sz w:val="20"/>
          <w:szCs w:val="20"/>
          <w:lang w:val="es-MX"/>
          <w14:ligatures w14:val="standardContextual"/>
        </w:rPr>
      </w:pPr>
    </w:p>
    <w:p w14:paraId="3C1E07BC" w14:textId="673E519F" w:rsidR="00835F2F" w:rsidRPr="006E0F63" w:rsidRDefault="006E0F63" w:rsidP="006E0F63">
      <w:pPr>
        <w:spacing w:after="0" w:line="240" w:lineRule="auto"/>
        <w:jc w:val="both"/>
        <w:rPr>
          <w:rFonts w:ascii="Verdana" w:eastAsia="Calibri" w:hAnsi="Verdana" w:cs="Arial"/>
          <w:bCs/>
          <w:sz w:val="20"/>
          <w:szCs w:val="20"/>
          <w:lang w:val="es-MX"/>
        </w:rPr>
      </w:pPr>
      <w:r w:rsidRPr="006E0F63">
        <w:rPr>
          <w:rFonts w:ascii="Verdana" w:eastAsia="Calibri" w:hAnsi="Verdana" w:cs="Arial"/>
          <w:bCs/>
          <w:sz w:val="20"/>
          <w:szCs w:val="20"/>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71B788F" w14:textId="77777777" w:rsidR="00835F2F" w:rsidRPr="00835F2F" w:rsidRDefault="00835F2F" w:rsidP="00835F2F">
      <w:pPr>
        <w:tabs>
          <w:tab w:val="left" w:pos="-142"/>
        </w:tabs>
        <w:autoSpaceDE w:val="0"/>
        <w:autoSpaceDN w:val="0"/>
        <w:adjustRightInd w:val="0"/>
        <w:spacing w:after="0" w:line="276" w:lineRule="auto"/>
        <w:jc w:val="both"/>
        <w:rPr>
          <w:rFonts w:ascii="Verdana" w:eastAsia="Arial" w:hAnsi="Verdana" w:cs="Arial"/>
          <w:lang w:eastAsia="es-ES"/>
        </w:rPr>
      </w:pPr>
    </w:p>
    <w:p w14:paraId="23ECE7CF" w14:textId="77777777" w:rsidR="00835F2F" w:rsidRPr="00835F2F" w:rsidRDefault="00835F2F" w:rsidP="00835F2F">
      <w:pPr>
        <w:tabs>
          <w:tab w:val="left" w:pos="-142"/>
        </w:tabs>
        <w:autoSpaceDE w:val="0"/>
        <w:autoSpaceDN w:val="0"/>
        <w:adjustRightInd w:val="0"/>
        <w:spacing w:after="0" w:line="276" w:lineRule="auto"/>
        <w:jc w:val="both"/>
        <w:rPr>
          <w:rFonts w:ascii="Verdana" w:eastAsia="Calibri" w:hAnsi="Verdana" w:cs="Arial"/>
          <w:b/>
          <w:bCs/>
          <w:lang w:val="es-ES_tradnl" w:eastAsia="es-ES"/>
        </w:rPr>
      </w:pPr>
      <w:r w:rsidRPr="00835F2F">
        <w:rPr>
          <w:rFonts w:ascii="Verdana" w:eastAsia="Calibri" w:hAnsi="Verdana" w:cs="Arial"/>
          <w:b/>
          <w:bCs/>
          <w:lang w:val="es-ES_tradnl" w:eastAsia="es-ES"/>
        </w:rPr>
        <w:t xml:space="preserve">DOCUMENTOS TIPO </w:t>
      </w:r>
      <w:bookmarkStart w:id="1" w:name="_Hlk39666823"/>
      <w:r w:rsidRPr="00835F2F">
        <w:rPr>
          <w:rFonts w:ascii="Verdana" w:eastAsia="Calibri" w:hAnsi="Verdana" w:cs="Arial"/>
          <w:b/>
          <w:lang w:val="x-none" w:eastAsia="es-ES"/>
        </w:rPr>
        <w:t>–</w:t>
      </w:r>
      <w:bookmarkEnd w:id="1"/>
      <w:r w:rsidRPr="00835F2F">
        <w:rPr>
          <w:rFonts w:ascii="Verdana" w:eastAsia="Calibri" w:hAnsi="Verdana" w:cs="Arial"/>
          <w:b/>
          <w:bCs/>
          <w:lang w:val="es-ES_tradnl" w:eastAsia="es-ES"/>
        </w:rPr>
        <w:t xml:space="preserve"> Inalterabilidad </w:t>
      </w:r>
      <w:r w:rsidRPr="00835F2F">
        <w:rPr>
          <w:rFonts w:ascii="Verdana" w:eastAsia="Calibri" w:hAnsi="Verdana" w:cs="Arial"/>
          <w:b/>
          <w:lang w:val="x-none" w:eastAsia="es-ES"/>
        </w:rPr>
        <w:t>–</w:t>
      </w:r>
      <w:r w:rsidRPr="00835F2F">
        <w:rPr>
          <w:rFonts w:ascii="Verdana" w:eastAsia="Calibri" w:hAnsi="Verdana" w:cs="Arial"/>
          <w:b/>
          <w:bCs/>
          <w:lang w:val="es-ES_tradnl" w:eastAsia="es-ES"/>
        </w:rPr>
        <w:t xml:space="preserve"> Prevalencia del derecho sustancial</w:t>
      </w:r>
    </w:p>
    <w:p w14:paraId="5285AC37" w14:textId="77777777" w:rsidR="00835F2F" w:rsidRPr="00835F2F" w:rsidRDefault="00835F2F" w:rsidP="00835F2F">
      <w:pPr>
        <w:tabs>
          <w:tab w:val="left" w:pos="-142"/>
        </w:tabs>
        <w:autoSpaceDE w:val="0"/>
        <w:autoSpaceDN w:val="0"/>
        <w:adjustRightInd w:val="0"/>
        <w:spacing w:after="0" w:line="276" w:lineRule="auto"/>
        <w:jc w:val="both"/>
        <w:rPr>
          <w:rFonts w:ascii="Verdana" w:eastAsia="Calibri" w:hAnsi="Verdana" w:cs="Arial"/>
          <w:b/>
          <w:bCs/>
          <w:lang w:val="es-ES_tradnl" w:eastAsia="es-ES"/>
        </w:rPr>
      </w:pPr>
    </w:p>
    <w:p w14:paraId="6D2CA6C6" w14:textId="20AF81B0" w:rsidR="00835F2F" w:rsidRPr="006E0F63" w:rsidRDefault="006E0F63" w:rsidP="006E0F63">
      <w:pPr>
        <w:spacing w:after="0" w:line="240" w:lineRule="auto"/>
        <w:jc w:val="both"/>
        <w:rPr>
          <w:rFonts w:ascii="Verdana" w:eastAsia="Calibri" w:hAnsi="Verdana" w:cs="Arial"/>
          <w:sz w:val="20"/>
          <w:szCs w:val="20"/>
          <w:lang w:val="es-MX"/>
        </w:rPr>
      </w:pPr>
      <w:r w:rsidRPr="006E0F63">
        <w:rPr>
          <w:rFonts w:ascii="Verdana" w:eastAsia="Calibri" w:hAnsi="Verdana" w:cs="Arial"/>
          <w:sz w:val="20"/>
          <w:szCs w:val="20"/>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506F03D" w14:textId="77777777" w:rsidR="00835F2F" w:rsidRPr="00835F2F" w:rsidRDefault="00835F2F" w:rsidP="00835F2F">
      <w:pPr>
        <w:spacing w:after="0" w:line="276" w:lineRule="auto"/>
        <w:jc w:val="both"/>
        <w:rPr>
          <w:rFonts w:ascii="Verdana" w:eastAsia="Calibri" w:hAnsi="Verdana" w:cs="Arial"/>
          <w:lang w:val="es-MX"/>
        </w:rPr>
      </w:pPr>
    </w:p>
    <w:p w14:paraId="563B4D2B" w14:textId="77777777" w:rsidR="00835F2F" w:rsidRPr="00835F2F" w:rsidRDefault="00835F2F" w:rsidP="00835F2F">
      <w:pPr>
        <w:tabs>
          <w:tab w:val="left" w:pos="-142"/>
        </w:tabs>
        <w:autoSpaceDE w:val="0"/>
        <w:autoSpaceDN w:val="0"/>
        <w:adjustRightInd w:val="0"/>
        <w:spacing w:after="0" w:line="276" w:lineRule="auto"/>
        <w:jc w:val="both"/>
        <w:rPr>
          <w:rFonts w:ascii="Verdana" w:eastAsia="Calibri" w:hAnsi="Verdana" w:cs="Arial"/>
          <w:b/>
          <w:lang w:val="x-none" w:eastAsia="es-ES"/>
        </w:rPr>
      </w:pPr>
      <w:r w:rsidRPr="00835F2F">
        <w:rPr>
          <w:rFonts w:ascii="Verdana" w:eastAsia="Calibri" w:hAnsi="Verdana" w:cs="Arial"/>
          <w:b/>
          <w:bCs/>
          <w:lang w:val="es-ES_tradnl" w:eastAsia="es-ES"/>
        </w:rPr>
        <w:t>DOCUMENTOS TIPO – Infraestructura de transporte – Reglas de interpretación del pliego de condiciones – Prevalencia de los documentos tipo</w:t>
      </w:r>
    </w:p>
    <w:p w14:paraId="3C0C51DF" w14:textId="77777777" w:rsidR="00835F2F" w:rsidRPr="00835F2F" w:rsidRDefault="00835F2F" w:rsidP="00835F2F">
      <w:pPr>
        <w:tabs>
          <w:tab w:val="left" w:pos="-142"/>
        </w:tabs>
        <w:autoSpaceDE w:val="0"/>
        <w:autoSpaceDN w:val="0"/>
        <w:adjustRightInd w:val="0"/>
        <w:spacing w:after="0" w:line="276" w:lineRule="auto"/>
        <w:jc w:val="both"/>
        <w:rPr>
          <w:rFonts w:ascii="Verdana" w:eastAsia="Calibri" w:hAnsi="Verdana" w:cs="Arial"/>
          <w:b/>
          <w:lang w:val="x-none" w:eastAsia="es-ES"/>
        </w:rPr>
      </w:pPr>
    </w:p>
    <w:p w14:paraId="796F6609" w14:textId="5362759D" w:rsidR="006E0F63" w:rsidRDefault="00835F2F" w:rsidP="006E0F63">
      <w:pPr>
        <w:snapToGrid w:val="0"/>
        <w:spacing w:after="0" w:line="240" w:lineRule="auto"/>
        <w:jc w:val="both"/>
        <w:rPr>
          <w:rFonts w:ascii="Verdana" w:eastAsia="Calibri" w:hAnsi="Verdana" w:cs="Arial"/>
          <w:sz w:val="20"/>
          <w:szCs w:val="20"/>
          <w:lang w:val="es-MX"/>
        </w:rPr>
      </w:pPr>
      <w:r w:rsidRPr="006E0F63">
        <w:rPr>
          <w:rFonts w:ascii="Verdana" w:eastAsia="Calibri" w:hAnsi="Verdana" w:cs="Arial"/>
          <w:color w:val="000000"/>
          <w:kern w:val="2"/>
          <w:sz w:val="20"/>
          <w:szCs w:val="20"/>
          <w:lang w:val="es-ES"/>
          <w14:ligatures w14:val="standardContextual"/>
        </w:rPr>
        <w:t>[…]</w:t>
      </w:r>
      <w:r w:rsidR="006E0F63" w:rsidRPr="006E0F63">
        <w:rPr>
          <w:rFonts w:ascii="Verdana" w:eastAsia="Calibri" w:hAnsi="Verdana" w:cs="Arial"/>
          <w:color w:val="000000"/>
          <w:kern w:val="2"/>
          <w:sz w:val="20"/>
          <w:szCs w:val="20"/>
          <w:lang w:val="es-ES"/>
          <w14:ligatures w14:val="standardContextual"/>
        </w:rPr>
        <w:t xml:space="preserve"> </w:t>
      </w:r>
      <w:r w:rsidR="006E0F63" w:rsidRPr="006E0F63">
        <w:rPr>
          <w:rFonts w:ascii="Verdana" w:eastAsia="Calibri" w:hAnsi="Verdana" w:cs="Arial"/>
          <w:sz w:val="20"/>
          <w:szCs w:val="20"/>
          <w:lang w:val="es-MX"/>
        </w:rPr>
        <w:t>el numeral 1.17 del Documento Base de los documentos tipo de licitación de obra pública de infraestructura de transporte –versión 4–, señala las normas de interpretación del pliego de condiciones. El literal E de este título dispone que “[e]n caso de contradicción entre el contenido establecido en los Documentos Tipo y el incluido por la entidad, proponentes o contratista en los documentos del proceso, primará lo señalado en los Documentos Tipo.”</w:t>
      </w:r>
    </w:p>
    <w:p w14:paraId="2FCFF2AD" w14:textId="77777777" w:rsidR="006E0F63" w:rsidRPr="006E0F63" w:rsidRDefault="006E0F63" w:rsidP="006E0F63">
      <w:pPr>
        <w:snapToGrid w:val="0"/>
        <w:spacing w:after="0" w:line="240" w:lineRule="auto"/>
        <w:jc w:val="both"/>
        <w:rPr>
          <w:rFonts w:ascii="Verdana" w:eastAsia="Calibri" w:hAnsi="Verdana" w:cs="Arial"/>
          <w:sz w:val="20"/>
          <w:szCs w:val="20"/>
          <w:lang w:val="es-MX"/>
        </w:rPr>
      </w:pPr>
    </w:p>
    <w:p w14:paraId="41AA7329" w14:textId="77777777" w:rsidR="006E0F63" w:rsidRPr="006E0F63" w:rsidRDefault="006E0F63" w:rsidP="006E0F63">
      <w:pPr>
        <w:snapToGrid w:val="0"/>
        <w:spacing w:after="0" w:line="240" w:lineRule="auto"/>
        <w:jc w:val="both"/>
        <w:rPr>
          <w:rFonts w:ascii="Verdana" w:eastAsia="Calibri" w:hAnsi="Verdana" w:cs="Arial"/>
          <w:sz w:val="20"/>
          <w:szCs w:val="20"/>
          <w:lang w:val="es-MX"/>
        </w:rPr>
      </w:pPr>
      <w:r w:rsidRPr="006E0F63">
        <w:rPr>
          <w:rFonts w:ascii="Verdana" w:eastAsia="Calibri" w:hAnsi="Verdana" w:cs="Arial"/>
          <w:sz w:val="20"/>
          <w:szCs w:val="20"/>
          <w:lang w:val="es-MX"/>
        </w:rPr>
        <w:t>En virtud de lo anterior, el pliego tipo es claro en indicar que, frente a discrepancias entre los documentos tipo y lo incluido por la entidad en los documentos del proceso de contratación, prevalecerá lo dispuesto por los primeros, esto es, el contenido de los documentos tipo.</w:t>
      </w:r>
    </w:p>
    <w:p w14:paraId="5B84D633" w14:textId="763686B0" w:rsidR="00835F2F" w:rsidRPr="00835F2F" w:rsidRDefault="00835F2F" w:rsidP="006E0F63">
      <w:pPr>
        <w:tabs>
          <w:tab w:val="left" w:pos="709"/>
        </w:tabs>
        <w:snapToGrid w:val="0"/>
        <w:spacing w:after="0" w:line="240" w:lineRule="auto"/>
        <w:jc w:val="both"/>
        <w:rPr>
          <w:rFonts w:ascii="Verdana" w:eastAsia="Aptos" w:hAnsi="Verdana" w:cs="Arial"/>
          <w:color w:val="000000"/>
          <w:kern w:val="2"/>
          <w:sz w:val="20"/>
          <w:szCs w:val="20"/>
          <w:lang w:val="es-ES_tradnl"/>
          <w14:ligatures w14:val="standardContextual"/>
        </w:rPr>
      </w:pPr>
    </w:p>
    <w:p w14:paraId="121A4416" w14:textId="77777777" w:rsidR="00835F2F" w:rsidRPr="00835F2F" w:rsidRDefault="00835F2F" w:rsidP="00835F2F">
      <w:pPr>
        <w:spacing w:after="0" w:line="240" w:lineRule="auto"/>
        <w:jc w:val="both"/>
        <w:rPr>
          <w:rFonts w:ascii="Verdana" w:eastAsia="Aptos" w:hAnsi="Verdana" w:cs="Arial"/>
          <w:color w:val="000000"/>
          <w:kern w:val="2"/>
          <w:sz w:val="20"/>
          <w:szCs w:val="20"/>
          <w14:ligatures w14:val="standardContextual"/>
        </w:rPr>
      </w:pPr>
    </w:p>
    <w:p w14:paraId="14B2C681" w14:textId="77777777" w:rsidR="00835F2F" w:rsidRPr="00835F2F" w:rsidRDefault="00835F2F" w:rsidP="00835F2F">
      <w:pPr>
        <w:tabs>
          <w:tab w:val="left" w:pos="-142"/>
        </w:tabs>
        <w:autoSpaceDE w:val="0"/>
        <w:autoSpaceDN w:val="0"/>
        <w:adjustRightInd w:val="0"/>
        <w:spacing w:after="0" w:line="240" w:lineRule="auto"/>
        <w:jc w:val="both"/>
        <w:rPr>
          <w:rFonts w:ascii="Verdana" w:eastAsia="Calibri" w:hAnsi="Verdana" w:cs="Arial"/>
          <w:b/>
          <w:bCs/>
          <w:sz w:val="20"/>
          <w:szCs w:val="20"/>
          <w:lang w:val="es-ES_tradnl" w:eastAsia="es-ES"/>
        </w:rPr>
      </w:pPr>
    </w:p>
    <w:p w14:paraId="2B801073" w14:textId="77777777" w:rsidR="00835F2F" w:rsidRDefault="00835F2F" w:rsidP="00835F2F">
      <w:pPr>
        <w:spacing w:after="0" w:line="240" w:lineRule="auto"/>
        <w:rPr>
          <w:rFonts w:ascii="Verdana" w:eastAsia="Calibri" w:hAnsi="Verdana" w:cs="Arial"/>
          <w:lang w:val="es-MX"/>
        </w:rPr>
      </w:pPr>
    </w:p>
    <w:p w14:paraId="4D6FF14A" w14:textId="77777777" w:rsidR="006E0F63" w:rsidRPr="00835F2F" w:rsidRDefault="006E0F63" w:rsidP="00835F2F">
      <w:pPr>
        <w:spacing w:after="0" w:line="240" w:lineRule="auto"/>
        <w:rPr>
          <w:rFonts w:ascii="Verdana" w:eastAsia="Geomanist Light" w:hAnsi="Verdana" w:cs="Arial"/>
          <w:lang w:val="es-MX"/>
        </w:rPr>
      </w:pPr>
    </w:p>
    <w:p w14:paraId="0B9E9D56" w14:textId="77777777" w:rsidR="00835F2F" w:rsidRDefault="00835F2F" w:rsidP="00835F2F">
      <w:pPr>
        <w:spacing w:after="0" w:line="240" w:lineRule="auto"/>
        <w:rPr>
          <w:rFonts w:ascii="Verdana" w:eastAsia="Calibri" w:hAnsi="Verdana" w:cs="Times New Roman"/>
        </w:rPr>
      </w:pPr>
    </w:p>
    <w:p w14:paraId="6DF32EA7" w14:textId="77777777" w:rsidR="00835F2F" w:rsidRDefault="00835F2F" w:rsidP="00835F2F">
      <w:pPr>
        <w:spacing w:after="0" w:line="240" w:lineRule="auto"/>
        <w:rPr>
          <w:rFonts w:ascii="Verdana" w:eastAsia="Calibri" w:hAnsi="Verdana" w:cs="Times New Roman"/>
        </w:rPr>
      </w:pPr>
    </w:p>
    <w:p w14:paraId="0DCE4113" w14:textId="5ABEEC12" w:rsidR="00835F2F" w:rsidRPr="00AB00EC" w:rsidRDefault="00835F2F" w:rsidP="00835F2F">
      <w:pPr>
        <w:spacing w:after="0" w:line="240" w:lineRule="auto"/>
        <w:rPr>
          <w:rFonts w:ascii="Verdana" w:hAnsi="Verdana"/>
        </w:rPr>
      </w:pPr>
      <w:r w:rsidRPr="0044528D">
        <w:rPr>
          <w:rFonts w:ascii="Verdana" w:hAnsi="Verdana"/>
        </w:rPr>
        <w:lastRenderedPageBreak/>
        <w:t xml:space="preserve">Bogotá D.C., </w:t>
      </w:r>
      <w:r w:rsidR="00AB00EC">
        <w:rPr>
          <w:rFonts w:ascii="Verdana" w:hAnsi="Verdana"/>
        </w:rPr>
        <w:t>29 Octubre 2025</w:t>
      </w:r>
    </w:p>
    <w:p w14:paraId="5F06B632" w14:textId="3A58D231" w:rsidR="00835F2F" w:rsidRPr="00835F2F" w:rsidRDefault="00AB00EC" w:rsidP="00AB00EC">
      <w:pPr>
        <w:spacing w:after="0" w:line="240" w:lineRule="auto"/>
        <w:jc w:val="right"/>
        <w:rPr>
          <w:rFonts w:ascii="Verdana" w:eastAsia="Calibri" w:hAnsi="Verdana" w:cs="Arial"/>
          <w:lang w:val="es-MX" w:eastAsia="es-ES"/>
        </w:rPr>
      </w:pPr>
      <w:r>
        <w:rPr>
          <w:rFonts w:ascii="Verdana" w:eastAsia="Calibri" w:hAnsi="Verdana" w:cs="Arial"/>
          <w:noProof/>
          <w:lang w:val="es-MX" w:eastAsia="es-ES"/>
        </w:rPr>
        <w:drawing>
          <wp:inline distT="0" distB="0" distL="0" distR="0" wp14:anchorId="7C8485D4" wp14:editId="1351D294">
            <wp:extent cx="2952262" cy="840425"/>
            <wp:effectExtent l="0" t="0" r="0" b="0"/>
            <wp:docPr id="7865416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541635" name="Imagen 786541635"/>
                    <pic:cNvPicPr/>
                  </pic:nvPicPr>
                  <pic:blipFill>
                    <a:blip r:embed="rId10">
                      <a:extLst>
                        <a:ext uri="{28A0092B-C50C-407E-A947-70E740481C1C}">
                          <a14:useLocalDpi xmlns:a14="http://schemas.microsoft.com/office/drawing/2010/main" val="0"/>
                        </a:ext>
                      </a:extLst>
                    </a:blip>
                    <a:stretch>
                      <a:fillRect/>
                    </a:stretch>
                  </pic:blipFill>
                  <pic:spPr>
                    <a:xfrm>
                      <a:off x="0" y="0"/>
                      <a:ext cx="2961571" cy="843075"/>
                    </a:xfrm>
                    <a:prstGeom prst="rect">
                      <a:avLst/>
                    </a:prstGeom>
                  </pic:spPr>
                </pic:pic>
              </a:graphicData>
            </a:graphic>
          </wp:inline>
        </w:drawing>
      </w:r>
    </w:p>
    <w:p w14:paraId="1F8880B8" w14:textId="77777777" w:rsidR="00835F2F" w:rsidRPr="00835F2F" w:rsidRDefault="00835F2F" w:rsidP="00835F2F">
      <w:pPr>
        <w:spacing w:after="0" w:line="240" w:lineRule="auto"/>
        <w:rPr>
          <w:rFonts w:ascii="Verdana" w:eastAsia="Calibri" w:hAnsi="Verdana" w:cs="Arial"/>
          <w:lang w:eastAsia="es-ES"/>
        </w:rPr>
      </w:pPr>
      <w:r w:rsidRPr="00835F2F">
        <w:rPr>
          <w:rFonts w:ascii="Verdana" w:eastAsia="Calibri" w:hAnsi="Verdana" w:cs="Arial"/>
          <w:lang w:val="es-ES" w:eastAsia="es-ES"/>
        </w:rPr>
        <w:t>Señor</w:t>
      </w:r>
    </w:p>
    <w:p w14:paraId="52BEE38A" w14:textId="77777777" w:rsidR="00835F2F" w:rsidRPr="00835F2F" w:rsidRDefault="00835F2F" w:rsidP="00835F2F">
      <w:pPr>
        <w:spacing w:after="0" w:line="240" w:lineRule="auto"/>
        <w:rPr>
          <w:rFonts w:ascii="Verdana" w:eastAsia="Calibri" w:hAnsi="Verdana" w:cs="Arial"/>
          <w:b/>
          <w:bCs/>
          <w:lang w:eastAsia="es-ES"/>
        </w:rPr>
      </w:pPr>
      <w:r w:rsidRPr="00835F2F">
        <w:rPr>
          <w:rFonts w:ascii="Verdana" w:eastAsia="Calibri" w:hAnsi="Verdana" w:cs="Arial"/>
          <w:b/>
          <w:bCs/>
          <w:lang w:eastAsia="es-ES"/>
        </w:rPr>
        <w:t>Jorge Eliecer Monroy Zabaleta</w:t>
      </w:r>
    </w:p>
    <w:p w14:paraId="002C1707" w14:textId="77777777" w:rsidR="00835F2F" w:rsidRPr="00835F2F" w:rsidRDefault="00835F2F" w:rsidP="00835F2F">
      <w:pPr>
        <w:spacing w:after="0" w:line="240" w:lineRule="auto"/>
        <w:rPr>
          <w:rFonts w:ascii="Verdana" w:eastAsia="Calibri" w:hAnsi="Verdana" w:cs="Arial"/>
          <w:lang w:val="es-ES_tradnl" w:eastAsia="es-ES"/>
        </w:rPr>
      </w:pPr>
      <w:r w:rsidRPr="00835F2F">
        <w:rPr>
          <w:rFonts w:ascii="Verdana" w:eastAsia="Calibri" w:hAnsi="Verdana" w:cs="Arial"/>
          <w:lang w:val="es-ES_tradnl" w:eastAsia="es-ES"/>
        </w:rPr>
        <w:t>Cartagena, Bolívar</w:t>
      </w:r>
    </w:p>
    <w:p w14:paraId="367C1E9E" w14:textId="77777777" w:rsidR="00835F2F" w:rsidRPr="00835F2F" w:rsidRDefault="00835F2F" w:rsidP="00835F2F">
      <w:pPr>
        <w:spacing w:after="0" w:line="240" w:lineRule="auto"/>
        <w:rPr>
          <w:rFonts w:ascii="Verdana" w:eastAsia="Calibri" w:hAnsi="Verdana" w:cs="Arial"/>
          <w:lang w:val="pt-BR" w:eastAsia="es-ES"/>
        </w:rPr>
      </w:pPr>
    </w:p>
    <w:p w14:paraId="52AF5A48" w14:textId="77777777" w:rsidR="00835F2F" w:rsidRPr="00835F2F" w:rsidRDefault="00835F2F" w:rsidP="00835F2F">
      <w:pPr>
        <w:spacing w:after="0" w:line="240" w:lineRule="auto"/>
        <w:jc w:val="right"/>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835F2F" w:rsidRPr="00835F2F" w14:paraId="589D2D7F" w14:textId="77777777" w:rsidTr="008F5473">
        <w:trPr>
          <w:trHeight w:val="999"/>
        </w:trPr>
        <w:tc>
          <w:tcPr>
            <w:tcW w:w="3402" w:type="dxa"/>
          </w:tcPr>
          <w:p w14:paraId="2C275DF0" w14:textId="77777777" w:rsidR="00835F2F" w:rsidRPr="00835F2F" w:rsidRDefault="00835F2F" w:rsidP="00835F2F">
            <w:pPr>
              <w:jc w:val="both"/>
              <w:rPr>
                <w:rFonts w:ascii="Verdana" w:eastAsia="Aptos" w:hAnsi="Verdana" w:cs="Arial"/>
                <w:b/>
                <w:bCs/>
                <w:lang w:val="es-ES_tradnl" w:eastAsia="es-ES_tradnl"/>
              </w:rPr>
            </w:pPr>
          </w:p>
        </w:tc>
        <w:tc>
          <w:tcPr>
            <w:tcW w:w="5831" w:type="dxa"/>
            <w:hideMark/>
          </w:tcPr>
          <w:p w14:paraId="7D4B9B99" w14:textId="77777777" w:rsidR="00835F2F" w:rsidRPr="00835F2F" w:rsidRDefault="00835F2F" w:rsidP="00835F2F">
            <w:pPr>
              <w:jc w:val="both"/>
              <w:rPr>
                <w:rFonts w:ascii="Verdana" w:eastAsia="Aptos" w:hAnsi="Verdana" w:cs="Arial"/>
                <w:b/>
                <w:bCs/>
                <w:lang w:val="es-ES" w:eastAsia="es-ES"/>
              </w:rPr>
            </w:pPr>
            <w:r w:rsidRPr="00835F2F">
              <w:rPr>
                <w:rFonts w:ascii="Verdana" w:eastAsia="Aptos" w:hAnsi="Verdana" w:cs="Arial"/>
                <w:b/>
                <w:bCs/>
                <w:lang w:val="es-ES" w:eastAsia="es-ES"/>
              </w:rPr>
              <w:t>Concepto C – 1439 de 2025</w:t>
            </w:r>
          </w:p>
        </w:tc>
      </w:tr>
      <w:tr w:rsidR="00835F2F" w:rsidRPr="00835F2F" w14:paraId="4CE87EB9" w14:textId="77777777" w:rsidTr="008F5473">
        <w:trPr>
          <w:trHeight w:val="999"/>
        </w:trPr>
        <w:tc>
          <w:tcPr>
            <w:tcW w:w="3402" w:type="dxa"/>
            <w:hideMark/>
          </w:tcPr>
          <w:p w14:paraId="20E75727" w14:textId="77777777" w:rsidR="00835F2F" w:rsidRPr="00835F2F" w:rsidRDefault="00835F2F" w:rsidP="00835F2F">
            <w:pPr>
              <w:jc w:val="both"/>
              <w:rPr>
                <w:rFonts w:ascii="Verdana" w:eastAsia="Aptos" w:hAnsi="Verdana" w:cs="Arial"/>
                <w:lang w:val="es-ES_tradnl" w:eastAsia="es-ES_tradnl"/>
              </w:rPr>
            </w:pPr>
            <w:r w:rsidRPr="00835F2F">
              <w:rPr>
                <w:rFonts w:ascii="Verdana" w:eastAsia="Aptos" w:hAnsi="Verdana" w:cs="Arial"/>
                <w:b/>
                <w:lang w:val="es-ES_tradnl" w:eastAsia="es-ES_tradnl"/>
              </w:rPr>
              <w:t>Temas:</w:t>
            </w:r>
            <w:r w:rsidRPr="00835F2F">
              <w:rPr>
                <w:rFonts w:ascii="Verdana" w:eastAsia="Aptos" w:hAnsi="Verdana" w:cs="Arial"/>
                <w:lang w:val="es-ES_tradnl" w:eastAsia="es-ES_tradnl"/>
              </w:rPr>
              <w:t xml:space="preserve">                   </w:t>
            </w:r>
          </w:p>
        </w:tc>
        <w:tc>
          <w:tcPr>
            <w:tcW w:w="5831" w:type="dxa"/>
          </w:tcPr>
          <w:p w14:paraId="660729DD" w14:textId="77777777" w:rsidR="00835F2F" w:rsidRPr="00835F2F" w:rsidRDefault="00835F2F" w:rsidP="00835F2F">
            <w:pPr>
              <w:tabs>
                <w:tab w:val="left" w:pos="-142"/>
              </w:tabs>
              <w:autoSpaceDE w:val="0"/>
              <w:autoSpaceDN w:val="0"/>
              <w:adjustRightInd w:val="0"/>
              <w:spacing w:line="276" w:lineRule="auto"/>
              <w:jc w:val="both"/>
              <w:rPr>
                <w:rFonts w:ascii="Verdana" w:eastAsia="Calibri" w:hAnsi="Verdana" w:cs="Arial"/>
                <w:bCs/>
                <w:lang w:val="x-none" w:eastAsia="es-ES"/>
              </w:rPr>
            </w:pPr>
            <w:r w:rsidRPr="00835F2F">
              <w:rPr>
                <w:rFonts w:ascii="Verdana" w:eastAsia="Calibri" w:hAnsi="Verdana" w:cs="Arial"/>
                <w:bCs/>
                <w:lang w:val="es-MX"/>
              </w:rPr>
              <w:t xml:space="preserve">DOCUMENTOS TIPO – Inalterabilidad – Fundamentos / DOCUMENTOS TIPO – Inalterabilidad – Información en corchetes y resaltado gris / </w:t>
            </w:r>
            <w:r w:rsidRPr="00835F2F">
              <w:rPr>
                <w:rFonts w:ascii="Verdana" w:eastAsia="Calibri" w:hAnsi="Verdana" w:cs="Arial"/>
                <w:bCs/>
                <w:lang w:val="es-ES_tradnl" w:eastAsia="es-ES"/>
              </w:rPr>
              <w:t xml:space="preserve">DOCUMENTOS TIPO </w:t>
            </w:r>
            <w:r w:rsidRPr="00835F2F">
              <w:rPr>
                <w:rFonts w:ascii="Verdana" w:eastAsia="Calibri" w:hAnsi="Verdana" w:cs="Arial"/>
                <w:bCs/>
                <w:lang w:val="x-none" w:eastAsia="es-ES"/>
              </w:rPr>
              <w:t>–</w:t>
            </w:r>
            <w:r w:rsidRPr="00835F2F">
              <w:rPr>
                <w:rFonts w:ascii="Verdana" w:eastAsia="Calibri" w:hAnsi="Verdana" w:cs="Arial"/>
                <w:bCs/>
                <w:lang w:val="es-ES_tradnl" w:eastAsia="es-ES"/>
              </w:rPr>
              <w:t xml:space="preserve"> Inalterabilidad </w:t>
            </w:r>
            <w:r w:rsidRPr="00835F2F">
              <w:rPr>
                <w:rFonts w:ascii="Verdana" w:eastAsia="Calibri" w:hAnsi="Verdana" w:cs="Arial"/>
                <w:bCs/>
                <w:lang w:val="x-none" w:eastAsia="es-ES"/>
              </w:rPr>
              <w:t>–</w:t>
            </w:r>
            <w:r w:rsidRPr="00835F2F">
              <w:rPr>
                <w:rFonts w:ascii="Verdana" w:eastAsia="Calibri" w:hAnsi="Verdana" w:cs="Arial"/>
                <w:bCs/>
                <w:lang w:val="es-ES_tradnl" w:eastAsia="es-ES"/>
              </w:rPr>
              <w:t xml:space="preserve"> Prevalencia del derecho sustancial / DOCUMENTOS TIPO – Infraestructura de transporte – Reglas de interpretación del pliego de condiciones – Prevalencia de los documentos tipo</w:t>
            </w:r>
          </w:p>
          <w:p w14:paraId="3BDDF40E" w14:textId="77777777" w:rsidR="00835F2F" w:rsidRPr="00835F2F" w:rsidRDefault="00835F2F" w:rsidP="00835F2F">
            <w:pPr>
              <w:widowControl w:val="0"/>
              <w:autoSpaceDE w:val="0"/>
              <w:autoSpaceDN w:val="0"/>
              <w:spacing w:line="276" w:lineRule="auto"/>
              <w:jc w:val="both"/>
              <w:rPr>
                <w:rFonts w:ascii="Verdana" w:eastAsia="Times New Roman" w:hAnsi="Verdana" w:cs="Arial"/>
                <w:bCs/>
              </w:rPr>
            </w:pPr>
          </w:p>
        </w:tc>
      </w:tr>
      <w:tr w:rsidR="00835F2F" w:rsidRPr="00835F2F" w14:paraId="64AF24BC" w14:textId="77777777" w:rsidTr="008F5473">
        <w:trPr>
          <w:trHeight w:val="597"/>
        </w:trPr>
        <w:tc>
          <w:tcPr>
            <w:tcW w:w="3402" w:type="dxa"/>
            <w:hideMark/>
          </w:tcPr>
          <w:p w14:paraId="0E525D8C" w14:textId="77777777" w:rsidR="00835F2F" w:rsidRPr="00835F2F" w:rsidRDefault="00835F2F" w:rsidP="00835F2F">
            <w:pPr>
              <w:jc w:val="both"/>
              <w:rPr>
                <w:rFonts w:ascii="Verdana" w:eastAsia="Aptos" w:hAnsi="Verdana" w:cs="Arial"/>
                <w:b/>
                <w:lang w:val="es-ES_tradnl" w:eastAsia="es-ES_tradnl"/>
              </w:rPr>
            </w:pPr>
            <w:r w:rsidRPr="00835F2F">
              <w:rPr>
                <w:rFonts w:ascii="Verdana" w:eastAsia="Aptos" w:hAnsi="Verdana" w:cs="Arial"/>
                <w:b/>
                <w:lang w:val="es-ES_tradnl" w:eastAsia="es-ES_tradnl"/>
              </w:rPr>
              <w:t>Radicación:</w:t>
            </w:r>
            <w:r w:rsidRPr="00835F2F">
              <w:rPr>
                <w:rFonts w:ascii="Verdana" w:eastAsia="Aptos" w:hAnsi="Verdana" w:cs="Arial"/>
                <w:lang w:val="es-ES_tradnl" w:eastAsia="es-ES_tradnl"/>
              </w:rPr>
              <w:t xml:space="preserve">               </w:t>
            </w:r>
          </w:p>
        </w:tc>
        <w:tc>
          <w:tcPr>
            <w:tcW w:w="5831" w:type="dxa"/>
          </w:tcPr>
          <w:p w14:paraId="08DB6B46" w14:textId="77777777" w:rsidR="00835F2F" w:rsidRPr="00835F2F" w:rsidRDefault="00835F2F" w:rsidP="00835F2F">
            <w:pPr>
              <w:jc w:val="both"/>
              <w:rPr>
                <w:rFonts w:ascii="Verdana" w:eastAsia="Aptos" w:hAnsi="Verdana" w:cs="Arial"/>
                <w:lang w:val="es-ES_tradnl" w:eastAsia="es-ES_tradnl"/>
              </w:rPr>
            </w:pPr>
            <w:r w:rsidRPr="00835F2F">
              <w:rPr>
                <w:rFonts w:ascii="Verdana" w:eastAsia="Aptos" w:hAnsi="Verdana" w:cs="Arial"/>
                <w:lang w:val="es-ES_tradnl" w:eastAsia="es-ES_tradnl"/>
              </w:rPr>
              <w:t>Respuesta a consulta con radicado No. 1_2025_10_06_011089</w:t>
            </w:r>
          </w:p>
        </w:tc>
      </w:tr>
    </w:tbl>
    <w:p w14:paraId="2E212500" w14:textId="77777777" w:rsidR="00835F2F" w:rsidRPr="00835F2F" w:rsidRDefault="00835F2F" w:rsidP="00835F2F">
      <w:pPr>
        <w:spacing w:after="0" w:line="240" w:lineRule="auto"/>
        <w:jc w:val="both"/>
        <w:rPr>
          <w:rFonts w:ascii="Verdana" w:eastAsia="Calibri" w:hAnsi="Verdana" w:cs="Arial"/>
          <w:lang w:val="es-ES_tradnl" w:eastAsia="es-ES_tradnl"/>
        </w:rPr>
      </w:pPr>
    </w:p>
    <w:p w14:paraId="48954FA2" w14:textId="77777777" w:rsidR="00835F2F" w:rsidRPr="00835F2F" w:rsidRDefault="00835F2F" w:rsidP="00835F2F">
      <w:pPr>
        <w:spacing w:after="0" w:line="240" w:lineRule="auto"/>
        <w:jc w:val="both"/>
        <w:rPr>
          <w:rFonts w:ascii="Verdana" w:eastAsia="Calibri" w:hAnsi="Verdana" w:cs="Arial"/>
          <w:lang w:val="es-ES_tradnl" w:eastAsia="es-ES_tradnl"/>
        </w:rPr>
      </w:pPr>
    </w:p>
    <w:p w14:paraId="231CE381" w14:textId="77777777" w:rsidR="00835F2F" w:rsidRPr="00835F2F" w:rsidRDefault="00835F2F" w:rsidP="00835F2F">
      <w:pPr>
        <w:spacing w:after="0" w:line="276" w:lineRule="auto"/>
        <w:jc w:val="both"/>
        <w:rPr>
          <w:rFonts w:ascii="Verdana" w:eastAsia="Calibri" w:hAnsi="Verdana" w:cs="Arial"/>
          <w:lang w:val="es-ES" w:eastAsia="es-ES"/>
        </w:rPr>
      </w:pPr>
      <w:r w:rsidRPr="00835F2F">
        <w:rPr>
          <w:rFonts w:ascii="Verdana" w:eastAsia="Calibri" w:hAnsi="Verdana" w:cs="Arial"/>
          <w:lang w:val="es-ES" w:eastAsia="es-ES"/>
        </w:rPr>
        <w:t xml:space="preserve">Estimado señor Monroy Zabaleta:  </w:t>
      </w:r>
    </w:p>
    <w:p w14:paraId="265083B0" w14:textId="77777777" w:rsidR="00835F2F" w:rsidRPr="00835F2F" w:rsidRDefault="00835F2F" w:rsidP="00835F2F">
      <w:pPr>
        <w:tabs>
          <w:tab w:val="left" w:pos="3768"/>
        </w:tabs>
        <w:spacing w:after="0" w:line="276" w:lineRule="auto"/>
        <w:jc w:val="both"/>
        <w:rPr>
          <w:rFonts w:ascii="Verdana" w:eastAsia="Calibri" w:hAnsi="Verdana" w:cs="Arial"/>
          <w:lang w:val="es-ES" w:eastAsia="es-ES"/>
        </w:rPr>
      </w:pPr>
    </w:p>
    <w:p w14:paraId="79D8B6C6" w14:textId="77777777" w:rsidR="00835F2F" w:rsidRPr="00835F2F" w:rsidRDefault="00835F2F" w:rsidP="00835F2F">
      <w:pPr>
        <w:spacing w:after="0" w:line="276" w:lineRule="auto"/>
        <w:jc w:val="both"/>
        <w:rPr>
          <w:rFonts w:ascii="Verdana" w:eastAsia="Calibri" w:hAnsi="Verdana" w:cs="Arial"/>
          <w:lang w:val="es-ES" w:eastAsia="es-ES"/>
        </w:rPr>
      </w:pPr>
      <w:r w:rsidRPr="00835F2F">
        <w:rPr>
          <w:rFonts w:ascii="Verdana" w:eastAsia="Calibri" w:hAnsi="Verdana" w:cs="Arial"/>
          <w:lang w:val="es-ES" w:eastAsia="es-ES"/>
        </w:rPr>
        <w:t>En ejercicio de la competencia otorgada por los artículos 3, numeral 5º, y 11, numeral 8º, del Decreto Ley 4170 de 2011,</w:t>
      </w:r>
      <w:r w:rsidRPr="00835F2F">
        <w:rPr>
          <w:rFonts w:ascii="Verdana" w:eastAsia="Arial MT" w:hAnsi="Verdana" w:cs="Arial MT"/>
          <w:lang w:val="es-ES" w:eastAsia="es-ES"/>
        </w:rPr>
        <w:t xml:space="preserve"> </w:t>
      </w:r>
      <w:r w:rsidRPr="00835F2F">
        <w:rPr>
          <w:rFonts w:ascii="Verdana" w:eastAsia="Calibri" w:hAnsi="Verdana" w:cs="Arial"/>
        </w:rPr>
        <w:t xml:space="preserve">así como lo establecido en el artículo 4 de la Resolución 1707 de 2018 expedida por esta Entidad, </w:t>
      </w:r>
      <w:r w:rsidRPr="00835F2F">
        <w:rPr>
          <w:rFonts w:ascii="Verdana" w:eastAsia="Calibri" w:hAnsi="Verdana" w:cs="Arial"/>
          <w:lang w:val="es-ES" w:eastAsia="es-ES"/>
        </w:rPr>
        <w:t xml:space="preserve">la Agencia Nacional de Contratación Pública –Colombia Compra Eficiente– responde su solicitud de consulta de fecha de 6 de octubre de 2025. En relación con los documentos tipo de licitación de obra pública de infraestructura de transporte –versión 4–, usted manifiesta lo siguiente: </w:t>
      </w:r>
      <w:bookmarkStart w:id="2" w:name="_Hlk95313578"/>
    </w:p>
    <w:p w14:paraId="09E8C0D8" w14:textId="77777777" w:rsidR="00835F2F" w:rsidRPr="00835F2F" w:rsidRDefault="00835F2F" w:rsidP="00835F2F">
      <w:pPr>
        <w:spacing w:after="0" w:line="276" w:lineRule="auto"/>
        <w:jc w:val="both"/>
        <w:rPr>
          <w:rFonts w:ascii="Verdana" w:eastAsia="Calibri" w:hAnsi="Verdana" w:cs="Arial"/>
          <w:sz w:val="21"/>
          <w:szCs w:val="21"/>
          <w:lang w:val="es-ES" w:eastAsia="es-ES"/>
        </w:rPr>
      </w:pPr>
    </w:p>
    <w:bookmarkEnd w:id="2"/>
    <w:p w14:paraId="413ADC23" w14:textId="77777777" w:rsidR="00835F2F" w:rsidRPr="00835F2F" w:rsidRDefault="00835F2F" w:rsidP="00835F2F">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835F2F">
        <w:rPr>
          <w:rFonts w:ascii="Verdana" w:eastAsia="Calibri" w:hAnsi="Verdana" w:cs="Arial"/>
          <w:sz w:val="21"/>
          <w:szCs w:val="21"/>
          <w:lang w:val="es-ES" w:eastAsia="es-ES"/>
        </w:rPr>
        <w:t xml:space="preserve">“1. </w:t>
      </w:r>
      <w:proofErr w:type="gramStart"/>
      <w:r w:rsidRPr="00835F2F">
        <w:rPr>
          <w:rFonts w:ascii="Verdana" w:eastAsia="Calibri" w:hAnsi="Verdana" w:cs="Arial"/>
          <w:sz w:val="21"/>
          <w:szCs w:val="21"/>
          <w:lang w:val="es-ES" w:eastAsia="es-ES"/>
        </w:rPr>
        <w:t xml:space="preserve">¿Puede la entidad estatal modificar un DOCUMENTO TIPO, incluyendo reglas adicionales o distintas a las establecidas expresamente en su contenido, como ocurrió en este caso con el </w:t>
      </w:r>
      <w:r w:rsidRPr="00835F2F">
        <w:rPr>
          <w:rFonts w:ascii="Verdana" w:eastAsia="Calibri" w:hAnsi="Verdana" w:cs="Arial"/>
          <w:sz w:val="21"/>
          <w:szCs w:val="21"/>
          <w:lang w:val="es-ES" w:eastAsia="es-ES"/>
        </w:rPr>
        <w:lastRenderedPageBreak/>
        <w:t xml:space="preserve">requisito adicional del </w:t>
      </w:r>
      <w:proofErr w:type="spellStart"/>
      <w:r w:rsidRPr="00835F2F">
        <w:rPr>
          <w:rFonts w:ascii="Verdana" w:eastAsia="Calibri" w:hAnsi="Verdana" w:cs="Arial"/>
          <w:sz w:val="21"/>
          <w:szCs w:val="21"/>
          <w:lang w:val="es-ES" w:eastAsia="es-ES"/>
        </w:rPr>
        <w:t>subnumeral</w:t>
      </w:r>
      <w:proofErr w:type="spellEnd"/>
      <w:r w:rsidRPr="00835F2F">
        <w:rPr>
          <w:rFonts w:ascii="Verdana" w:eastAsia="Calibri" w:hAnsi="Verdana" w:cs="Arial"/>
          <w:sz w:val="21"/>
          <w:szCs w:val="21"/>
          <w:lang w:val="es-ES" w:eastAsia="es-ES"/>
        </w:rPr>
        <w:t xml:space="preserve"> 3.</w:t>
      </w:r>
      <w:proofErr w:type="gramEnd"/>
      <w:r w:rsidRPr="00835F2F">
        <w:rPr>
          <w:rFonts w:ascii="Verdana" w:eastAsia="Calibri" w:hAnsi="Verdana" w:cs="Arial"/>
          <w:sz w:val="21"/>
          <w:szCs w:val="21"/>
          <w:lang w:val="es-ES" w:eastAsia="es-ES"/>
        </w:rPr>
        <w:t>3.2 respecto al Clasificador UNSPSC.</w:t>
      </w:r>
    </w:p>
    <w:p w14:paraId="0A1BF100" w14:textId="77777777" w:rsidR="00835F2F" w:rsidRPr="00835F2F" w:rsidRDefault="00835F2F" w:rsidP="00835F2F">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6CF94F02" w14:textId="77777777" w:rsidR="00835F2F" w:rsidRPr="00835F2F" w:rsidRDefault="00835F2F" w:rsidP="00835F2F">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835F2F">
        <w:rPr>
          <w:rFonts w:ascii="Verdana" w:eastAsia="Calibri" w:hAnsi="Verdana" w:cs="Arial"/>
          <w:sz w:val="21"/>
          <w:szCs w:val="21"/>
          <w:lang w:val="es-ES" w:eastAsia="es-ES"/>
        </w:rPr>
        <w:t xml:space="preserve">2. ¿Ante la existencia de requisitos contradictorios en el pliego de condiciones, uno conforme al Documento Tipo y otro no, </w:t>
      </w:r>
      <w:proofErr w:type="gramStart"/>
      <w:r w:rsidRPr="00835F2F">
        <w:rPr>
          <w:rFonts w:ascii="Verdana" w:eastAsia="Calibri" w:hAnsi="Verdana" w:cs="Arial"/>
          <w:sz w:val="21"/>
          <w:szCs w:val="21"/>
          <w:lang w:val="es-ES" w:eastAsia="es-ES"/>
        </w:rPr>
        <w:t>cuál debe ser aplicado por la entidad, y si esta situación configura una ambigüedad contraria a los principios de transparencia y objetividad que rigen la contratación pública?</w:t>
      </w:r>
      <w:proofErr w:type="gramEnd"/>
    </w:p>
    <w:p w14:paraId="335900E7" w14:textId="77777777" w:rsidR="00835F2F" w:rsidRPr="00835F2F" w:rsidRDefault="00835F2F" w:rsidP="00835F2F">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78847D73" w14:textId="77777777" w:rsidR="00835F2F" w:rsidRPr="00835F2F" w:rsidRDefault="00835F2F" w:rsidP="00835F2F">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835F2F">
        <w:rPr>
          <w:rFonts w:ascii="Verdana" w:eastAsia="Calibri" w:hAnsi="Verdana" w:cs="Arial"/>
          <w:sz w:val="21"/>
          <w:szCs w:val="21"/>
          <w:lang w:val="es-ES" w:eastAsia="es-ES"/>
        </w:rPr>
        <w:t>3. ¿Cuál es la consecuencia jurídica de que una entidad pública modifique unilateralmente el contenido de un Documento Tipo, al establecer condiciones o requisitos habilitantes distintos a los expresamente señalados en dicho instrumento, en contravía del principio de legalidad, del deber de selección objetiva y del régimen obligatorio establecido en la Ley 2022 de 2020?”</w:t>
      </w:r>
    </w:p>
    <w:p w14:paraId="0DCD9553" w14:textId="77777777" w:rsidR="00835F2F" w:rsidRPr="00835F2F" w:rsidRDefault="00835F2F" w:rsidP="00835F2F">
      <w:pPr>
        <w:spacing w:after="0" w:line="240" w:lineRule="auto"/>
        <w:ind w:left="709" w:right="709"/>
        <w:jc w:val="both"/>
        <w:rPr>
          <w:rFonts w:ascii="Verdana" w:eastAsia="Times New Roman" w:hAnsi="Verdana" w:cs="Times New Roman"/>
          <w:sz w:val="21"/>
          <w:szCs w:val="21"/>
          <w:lang w:eastAsia="es-CO"/>
        </w:rPr>
      </w:pPr>
    </w:p>
    <w:p w14:paraId="22E63E09" w14:textId="77777777" w:rsidR="00835F2F" w:rsidRPr="00835F2F" w:rsidRDefault="00835F2F" w:rsidP="00835F2F">
      <w:pPr>
        <w:spacing w:after="120" w:line="276" w:lineRule="auto"/>
        <w:ind w:firstLine="709"/>
        <w:jc w:val="both"/>
        <w:rPr>
          <w:rFonts w:ascii="Verdana" w:eastAsia="Calibri" w:hAnsi="Verdana" w:cs="Arial"/>
          <w:szCs w:val="24"/>
          <w:lang w:val="es-ES_tradnl" w:eastAsia="es-ES_tradnl"/>
        </w:rPr>
      </w:pPr>
      <w:r w:rsidRPr="00835F2F">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35F2F">
        <w:rPr>
          <w:rFonts w:ascii="Verdana" w:eastAsia="Calibri" w:hAnsi="Verdana" w:cs="Arial"/>
          <w:szCs w:val="24"/>
          <w:lang w:val="es-ES_tradnl" w:eastAsia="es-ES_tradnl"/>
        </w:rPr>
        <w:tab/>
      </w:r>
    </w:p>
    <w:p w14:paraId="75E6B18A" w14:textId="77777777" w:rsidR="00835F2F" w:rsidRPr="00835F2F" w:rsidRDefault="00835F2F" w:rsidP="00835F2F">
      <w:pPr>
        <w:spacing w:after="0" w:line="276" w:lineRule="auto"/>
        <w:ind w:firstLine="708"/>
        <w:jc w:val="both"/>
        <w:rPr>
          <w:rFonts w:ascii="Verdana" w:eastAsia="Calibri" w:hAnsi="Verdana" w:cs="Times New Roman"/>
          <w:lang w:val="es-ES"/>
        </w:rPr>
      </w:pPr>
      <w:r w:rsidRPr="00835F2F">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2E35E5E8" w14:textId="77777777" w:rsidR="00835F2F" w:rsidRPr="00835F2F" w:rsidRDefault="00835F2F" w:rsidP="00835F2F">
      <w:pPr>
        <w:spacing w:after="0" w:line="276" w:lineRule="auto"/>
        <w:ind w:firstLine="709"/>
        <w:jc w:val="both"/>
        <w:rPr>
          <w:rFonts w:ascii="Verdana" w:eastAsia="Calibri" w:hAnsi="Verdana" w:cs="Arial"/>
          <w:lang w:val="es-ES" w:eastAsia="es-ES"/>
        </w:rPr>
      </w:pPr>
    </w:p>
    <w:p w14:paraId="64C1C8F9" w14:textId="77777777" w:rsidR="00835F2F" w:rsidRPr="00835F2F" w:rsidRDefault="00835F2F" w:rsidP="00835F2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5F2F">
        <w:rPr>
          <w:rFonts w:ascii="Verdana" w:eastAsia="Century Gothic" w:hAnsi="Verdana" w:cs="Century Gothic"/>
          <w:b/>
          <w:bCs/>
          <w:lang w:val="es-ES"/>
        </w:rPr>
        <w:t>Problema planteado:</w:t>
      </w:r>
    </w:p>
    <w:p w14:paraId="7947F489" w14:textId="77777777" w:rsidR="00835F2F" w:rsidRPr="00835F2F" w:rsidRDefault="00835F2F" w:rsidP="00835F2F">
      <w:pPr>
        <w:tabs>
          <w:tab w:val="left" w:pos="426"/>
        </w:tabs>
        <w:spacing w:after="0" w:line="276" w:lineRule="auto"/>
        <w:jc w:val="both"/>
        <w:rPr>
          <w:rFonts w:ascii="Verdana" w:eastAsia="Century Gothic" w:hAnsi="Verdana" w:cs="Century Gothic"/>
          <w:lang w:val="es-ES"/>
        </w:rPr>
      </w:pPr>
    </w:p>
    <w:p w14:paraId="587D242E" w14:textId="77777777" w:rsidR="00835F2F" w:rsidRPr="00835F2F" w:rsidRDefault="00835F2F" w:rsidP="00835F2F">
      <w:pPr>
        <w:spacing w:after="0" w:line="276" w:lineRule="auto"/>
        <w:jc w:val="both"/>
        <w:rPr>
          <w:rFonts w:ascii="Verdana" w:eastAsia="Century Gothic" w:hAnsi="Verdana" w:cs="Century Gothic"/>
        </w:rPr>
      </w:pPr>
      <w:r w:rsidRPr="00835F2F">
        <w:rPr>
          <w:rFonts w:ascii="Verdana" w:eastAsia="Century Gothic" w:hAnsi="Verdana" w:cs="Century Gothic"/>
        </w:rPr>
        <w:t xml:space="preserve">De acuerdo con el contenido de su solicitud, esta Agencia resolverá los siguientes problemas jurídicos: </w:t>
      </w:r>
    </w:p>
    <w:p w14:paraId="53E1CEA7" w14:textId="77777777" w:rsidR="00835F2F" w:rsidRPr="00835F2F" w:rsidRDefault="00835F2F" w:rsidP="00835F2F">
      <w:pPr>
        <w:spacing w:after="0" w:line="276" w:lineRule="auto"/>
        <w:jc w:val="both"/>
        <w:rPr>
          <w:rFonts w:ascii="Verdana" w:eastAsia="Century Gothic" w:hAnsi="Verdana" w:cs="Century Gothic"/>
        </w:rPr>
      </w:pPr>
    </w:p>
    <w:p w14:paraId="18C1C39F" w14:textId="77777777" w:rsidR="00835F2F" w:rsidRPr="00835F2F" w:rsidRDefault="00835F2F" w:rsidP="00835F2F">
      <w:pPr>
        <w:numPr>
          <w:ilvl w:val="0"/>
          <w:numId w:val="20"/>
        </w:numPr>
        <w:spacing w:after="0" w:line="276" w:lineRule="auto"/>
        <w:contextualSpacing/>
        <w:jc w:val="both"/>
        <w:rPr>
          <w:rFonts w:ascii="Verdana" w:eastAsia="Century Gothic" w:hAnsi="Verdana" w:cs="Century Gothic"/>
        </w:rPr>
      </w:pPr>
      <w:r w:rsidRPr="00835F2F">
        <w:rPr>
          <w:rFonts w:ascii="Verdana" w:eastAsia="Century Gothic" w:hAnsi="Verdana" w:cs="Century Gothic"/>
        </w:rPr>
        <w:lastRenderedPageBreak/>
        <w:t>¿Cuál es el alcance de la regla de inalterabilidad en los documentos tipo de licitación de obra pública de infraestructura de transporte –versión 4–?</w:t>
      </w:r>
    </w:p>
    <w:p w14:paraId="5C7A7444" w14:textId="77777777" w:rsidR="00835F2F" w:rsidRPr="00835F2F" w:rsidRDefault="00835F2F" w:rsidP="00835F2F">
      <w:pPr>
        <w:spacing w:after="0" w:line="276" w:lineRule="auto"/>
        <w:ind w:left="720"/>
        <w:contextualSpacing/>
        <w:jc w:val="both"/>
        <w:rPr>
          <w:rFonts w:ascii="Verdana" w:eastAsia="Century Gothic" w:hAnsi="Verdana" w:cs="Century Gothic"/>
        </w:rPr>
      </w:pPr>
    </w:p>
    <w:p w14:paraId="60CB35CF" w14:textId="77777777" w:rsidR="00835F2F" w:rsidRPr="00835F2F" w:rsidRDefault="00835F2F" w:rsidP="00835F2F">
      <w:pPr>
        <w:numPr>
          <w:ilvl w:val="0"/>
          <w:numId w:val="20"/>
        </w:numPr>
        <w:spacing w:after="0" w:line="276" w:lineRule="auto"/>
        <w:contextualSpacing/>
        <w:jc w:val="both"/>
        <w:rPr>
          <w:rFonts w:ascii="Verdana" w:eastAsia="Century Gothic" w:hAnsi="Verdana" w:cs="Century Gothic"/>
        </w:rPr>
      </w:pPr>
      <w:r w:rsidRPr="00835F2F">
        <w:rPr>
          <w:rFonts w:ascii="Verdana" w:eastAsia="Century Gothic" w:hAnsi="Verdana" w:cs="Century Gothic"/>
        </w:rPr>
        <w:t>Frente a discrepancias entre los documentos tipo y lo señalado por la entidad estatal en los documentos del proceso de contratación, ¿qué debe prevalecer?</w:t>
      </w:r>
    </w:p>
    <w:p w14:paraId="6EDC2F9F" w14:textId="77777777" w:rsidR="00835F2F" w:rsidRPr="00835F2F" w:rsidRDefault="00835F2F" w:rsidP="00835F2F">
      <w:pPr>
        <w:spacing w:after="0" w:line="276" w:lineRule="auto"/>
        <w:ind w:left="720"/>
        <w:contextualSpacing/>
        <w:jc w:val="both"/>
        <w:rPr>
          <w:rFonts w:ascii="Verdana" w:eastAsia="Century Gothic" w:hAnsi="Verdana" w:cs="Century Gothic"/>
        </w:rPr>
      </w:pPr>
    </w:p>
    <w:p w14:paraId="101BD668" w14:textId="77777777" w:rsidR="00835F2F" w:rsidRPr="00835F2F" w:rsidRDefault="00835F2F" w:rsidP="00835F2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5F2F">
        <w:rPr>
          <w:rFonts w:ascii="Verdana" w:eastAsia="Century Gothic" w:hAnsi="Verdana" w:cs="Century Gothic"/>
          <w:b/>
          <w:bCs/>
          <w:lang w:val="es-ES"/>
        </w:rPr>
        <w:t>Respuesta:</w:t>
      </w:r>
    </w:p>
    <w:p w14:paraId="16FD2023" w14:textId="77777777" w:rsidR="00835F2F" w:rsidRPr="00835F2F" w:rsidRDefault="00835F2F" w:rsidP="00835F2F">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35F2F" w:rsidRPr="00835F2F" w14:paraId="5D43664A" w14:textId="77777777" w:rsidTr="008F5473">
        <w:trPr>
          <w:trHeight w:val="760"/>
        </w:trPr>
        <w:tc>
          <w:tcPr>
            <w:tcW w:w="8828" w:type="dxa"/>
            <w:tcBorders>
              <w:top w:val="dotted" w:sz="4" w:space="0" w:color="auto"/>
              <w:left w:val="dotted" w:sz="4" w:space="0" w:color="auto"/>
              <w:bottom w:val="dotted" w:sz="4" w:space="0" w:color="auto"/>
              <w:right w:val="dotted" w:sz="4" w:space="0" w:color="auto"/>
            </w:tcBorders>
          </w:tcPr>
          <w:p w14:paraId="07C695B7" w14:textId="77777777" w:rsidR="00835F2F" w:rsidRPr="00835F2F" w:rsidRDefault="00835F2F" w:rsidP="00835F2F">
            <w:pPr>
              <w:tabs>
                <w:tab w:val="left" w:pos="709"/>
              </w:tabs>
              <w:spacing w:after="120" w:line="276" w:lineRule="auto"/>
              <w:jc w:val="both"/>
              <w:rPr>
                <w:rFonts w:ascii="Verdana" w:eastAsia="Calibri" w:hAnsi="Verdana" w:cs="Arial"/>
                <w:color w:val="000000"/>
                <w:lang w:val="es-ES"/>
              </w:rPr>
            </w:pPr>
            <w:r w:rsidRPr="00835F2F">
              <w:rPr>
                <w:rFonts w:ascii="Verdana" w:eastAsia="Calibri" w:hAnsi="Verdana" w:cs="Arial"/>
                <w:color w:val="000000"/>
                <w:lang w:val="es-ES"/>
              </w:rPr>
              <w:t>Todas las resoluciones</w:t>
            </w:r>
            <w:r w:rsidRPr="00835F2F">
              <w:rPr>
                <w:rFonts w:ascii="Verdana" w:eastAsia="Calibri" w:hAnsi="Verdana" w:cs="Arial"/>
                <w:color w:val="000000"/>
                <w:vertAlign w:val="superscript"/>
                <w:lang w:val="es-ES"/>
              </w:rPr>
              <w:t xml:space="preserve"> </w:t>
            </w:r>
            <w:r w:rsidRPr="00835F2F">
              <w:rPr>
                <w:rFonts w:ascii="Verdana" w:eastAsia="Calibri" w:hAnsi="Verdana" w:cs="Arial"/>
                <w:color w:val="000000"/>
                <w:lang w:val="es-ES"/>
              </w:rPr>
              <w:t xml:space="preserve">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35F2F">
              <w:rPr>
                <w:rFonts w:ascii="Verdana" w:eastAsia="Calibri" w:hAnsi="Verdana" w:cs="Arial"/>
                <w:i/>
                <w:iCs/>
                <w:color w:val="000000"/>
                <w:lang w:val="es-ES"/>
              </w:rPr>
              <w:t>Documentos del Proceso</w:t>
            </w:r>
            <w:r w:rsidRPr="00835F2F">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86A4D64"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5127F335"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 xml:space="preserve">En todo caso, las entidades deberán replicar cada uno de los acápites que conforman el documento base en su proceso de contratación, y solo podrán modificar aquellos aspectos que el pliego tipo permita de forma expresa. </w:t>
            </w:r>
          </w:p>
          <w:p w14:paraId="04AA1817"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lastRenderedPageBreak/>
              <w:t>Por otra parte, el numeral 1.17 del Documento Base de los documentos tipo de licitación de obra pública de infraestructura de transporte –versión 4–, señala las normas de interpretación del pliego de condiciones. El literal E de este título dispone que “[e]n caso de contradicción entre el contenido establecido en los Documentos Tipo y el incluido por la entidad, proponentes o contratista en los documentos del proceso, primará lo señalado en los Documentos Tipo.”</w:t>
            </w:r>
          </w:p>
          <w:p w14:paraId="0C6AEA0C"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En virtud de lo anterior, el pliego tipo es claro en indicar que, frente a discrepancias entre los documentos tipo y lo incluido por la entidad en los documentos del proceso de contratación, prevalecerá lo dispuesto por los primeros, esto es, el contenido de los documentos tipo.</w:t>
            </w:r>
          </w:p>
          <w:p w14:paraId="7CA190F8" w14:textId="77777777" w:rsidR="00835F2F" w:rsidRPr="00835F2F" w:rsidRDefault="00835F2F" w:rsidP="00835F2F">
            <w:pPr>
              <w:tabs>
                <w:tab w:val="left" w:pos="709"/>
              </w:tabs>
              <w:snapToGrid w:val="0"/>
              <w:spacing w:line="276" w:lineRule="auto"/>
              <w:ind w:firstLine="709"/>
              <w:jc w:val="both"/>
              <w:rPr>
                <w:rFonts w:ascii="Verdana" w:eastAsia="Calibri" w:hAnsi="Verdana" w:cs="Arial"/>
                <w:color w:val="000000"/>
                <w:lang w:val="es-ES"/>
              </w:rPr>
            </w:pPr>
            <w:r w:rsidRPr="00835F2F">
              <w:rPr>
                <w:rFonts w:ascii="Verdana" w:eastAsia="Calibri" w:hAnsi="Verdana" w:cs="Arial"/>
                <w:color w:val="000000"/>
                <w:lang w:val="es-ES"/>
              </w:rPr>
              <w:t xml:space="preserve">Finalmente, </w:t>
            </w:r>
            <w:r w:rsidRPr="00835F2F">
              <w:rPr>
                <w:rFonts w:ascii="Verdana" w:eastAsia="Aptos" w:hAnsi="Verdana" w:cs="Times New Roman"/>
                <w:kern w:val="2"/>
                <w14:ligatures w14:val="standardContextual"/>
              </w:rPr>
              <w:t>debe señalarse que, los ciudadanos en general, así como los interesados o los participantes en los procesos de contratación estatal, se encuentran habilitados para acudir ante las autoridades de control o judicial competentes, como la Procuraduría General de la Nación, Contraloría General de la República y/o Fiscalía General de la Nación, para “denunciar” aquellas situaciones particulares y concretas, cuando adviertan la comisión de presuntas irregularidades de las entidades públicas en desarrollo de su actividad contractual con documentos tipo. Esto con el fin de que sean aquellas autoridades quienes adelanten las investigaciones a que haya lugar y, si es del caso, establezcan la responsabilidad derivada de las infracciones al ordenamiento jurídico y contenido de los documentos tipo.</w:t>
            </w:r>
          </w:p>
        </w:tc>
      </w:tr>
    </w:tbl>
    <w:p w14:paraId="7DB809CF" w14:textId="77777777" w:rsidR="00835F2F" w:rsidRPr="00835F2F" w:rsidRDefault="00835F2F" w:rsidP="00835F2F">
      <w:pPr>
        <w:tabs>
          <w:tab w:val="left" w:pos="142"/>
          <w:tab w:val="left" w:pos="284"/>
        </w:tabs>
        <w:spacing w:after="0" w:line="276" w:lineRule="auto"/>
        <w:jc w:val="both"/>
        <w:rPr>
          <w:rFonts w:ascii="Verdana" w:eastAsia="Century Gothic" w:hAnsi="Verdana" w:cs="Century Gothic"/>
          <w:b/>
          <w:bCs/>
          <w:lang w:val="es-ES"/>
        </w:rPr>
      </w:pPr>
    </w:p>
    <w:p w14:paraId="185D3DBE" w14:textId="77777777" w:rsidR="00835F2F" w:rsidRPr="00835F2F" w:rsidRDefault="00835F2F" w:rsidP="00835F2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35F2F">
        <w:rPr>
          <w:rFonts w:ascii="Verdana" w:eastAsia="Century Gothic" w:hAnsi="Verdana" w:cs="Century Gothic"/>
          <w:b/>
          <w:bCs/>
          <w:lang w:val="es-ES"/>
        </w:rPr>
        <w:t>Razones de la respuesta:</w:t>
      </w:r>
    </w:p>
    <w:p w14:paraId="4C165918" w14:textId="77777777" w:rsidR="00835F2F" w:rsidRPr="00835F2F" w:rsidRDefault="00835F2F" w:rsidP="00835F2F">
      <w:pPr>
        <w:tabs>
          <w:tab w:val="left" w:pos="142"/>
          <w:tab w:val="left" w:pos="284"/>
        </w:tabs>
        <w:spacing w:after="0" w:line="276" w:lineRule="auto"/>
        <w:contextualSpacing/>
        <w:jc w:val="both"/>
        <w:rPr>
          <w:rFonts w:ascii="Verdana" w:eastAsia="Century Gothic" w:hAnsi="Verdana" w:cs="Century Gothic"/>
          <w:b/>
          <w:bCs/>
          <w:lang w:val="es-ES"/>
        </w:rPr>
      </w:pPr>
    </w:p>
    <w:p w14:paraId="1064DAF8" w14:textId="77777777" w:rsidR="00835F2F" w:rsidRPr="00835F2F" w:rsidRDefault="00835F2F" w:rsidP="00835F2F">
      <w:pPr>
        <w:spacing w:after="0" w:line="276" w:lineRule="auto"/>
        <w:jc w:val="both"/>
        <w:rPr>
          <w:rFonts w:ascii="Verdana" w:eastAsia="Calibri" w:hAnsi="Verdana" w:cs="Arial"/>
          <w:lang w:val="es-ES"/>
        </w:rPr>
      </w:pPr>
      <w:r w:rsidRPr="00835F2F">
        <w:rPr>
          <w:rFonts w:ascii="Verdana" w:eastAsia="Calibri" w:hAnsi="Verdana" w:cs="Arial"/>
          <w:lang w:val="es-ES"/>
        </w:rPr>
        <w:t xml:space="preserve">Lo anterior se sustenta en las siguientes consideraciones: </w:t>
      </w:r>
    </w:p>
    <w:p w14:paraId="08310921" w14:textId="77777777" w:rsidR="00835F2F" w:rsidRPr="00835F2F" w:rsidRDefault="00835F2F" w:rsidP="00835F2F">
      <w:pPr>
        <w:spacing w:after="0" w:line="276" w:lineRule="auto"/>
        <w:jc w:val="both"/>
        <w:rPr>
          <w:rFonts w:ascii="Verdana" w:eastAsia="Calibri" w:hAnsi="Verdana" w:cs="Arial"/>
          <w:lang w:val="es-ES"/>
        </w:rPr>
      </w:pPr>
    </w:p>
    <w:p w14:paraId="5C37F0D5" w14:textId="77777777" w:rsidR="00835F2F" w:rsidRPr="00835F2F" w:rsidRDefault="00835F2F" w:rsidP="00835F2F">
      <w:pPr>
        <w:snapToGrid w:val="0"/>
        <w:spacing w:after="120" w:line="276" w:lineRule="auto"/>
        <w:jc w:val="both"/>
        <w:rPr>
          <w:rFonts w:ascii="Verdana" w:eastAsia="Calibri" w:hAnsi="Verdana" w:cs="Arial"/>
          <w:lang w:val="es-ES_tradnl"/>
        </w:rPr>
      </w:pPr>
      <w:r w:rsidRPr="00835F2F">
        <w:rPr>
          <w:rFonts w:ascii="Verdana" w:eastAsia="Calibri" w:hAnsi="Verdana" w:cs="Arial"/>
          <w:lang w:val="es-ES_tradnl"/>
        </w:rPr>
        <w:t xml:space="preserve">Los documentos tipo expedidos por la Agencia Nacional de Contratación Pública </w:t>
      </w:r>
      <w:r w:rsidRPr="00835F2F">
        <w:rPr>
          <w:rFonts w:ascii="Verdana" w:eastAsia="Symbol" w:hAnsi="Verdana" w:cs="Symbol"/>
          <w:lang w:val="es-ES_tradnl"/>
        </w:rPr>
        <w:t>–</w:t>
      </w:r>
      <w:r w:rsidRPr="00835F2F">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691EFDE8" w14:textId="77777777" w:rsidR="00835F2F" w:rsidRPr="00835F2F" w:rsidRDefault="00835F2F" w:rsidP="00835F2F">
      <w:pPr>
        <w:spacing w:after="120" w:line="276" w:lineRule="auto"/>
        <w:ind w:firstLine="708"/>
        <w:jc w:val="both"/>
        <w:rPr>
          <w:rFonts w:ascii="Verdana" w:eastAsia="Calibri" w:hAnsi="Verdana" w:cs="Arial"/>
          <w:bCs/>
        </w:rPr>
      </w:pPr>
      <w:r w:rsidRPr="00835F2F">
        <w:rPr>
          <w:rFonts w:ascii="Verdana" w:eastAsia="Aptos" w:hAnsi="Verdana" w:cs="Times New Roman"/>
          <w:lang w:val="es-ES_tradnl"/>
        </w:rPr>
        <w:t xml:space="preserve">La Agencia Nacional de Contratación Pública – Colombia Compra Eficiente expidió documentos tipo para los sectores de infraestructura de transporte, agua </w:t>
      </w:r>
      <w:r w:rsidRPr="00835F2F">
        <w:rPr>
          <w:rFonts w:ascii="Verdana" w:eastAsia="Aptos" w:hAnsi="Verdana" w:cs="Times New Roman"/>
          <w:lang w:val="es-ES_tradnl"/>
        </w:rPr>
        <w:lastRenderedPageBreak/>
        <w:t>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835F2F">
        <w:rPr>
          <w:rFonts w:ascii="Verdana" w:eastAsia="Aptos" w:hAnsi="Verdana" w:cs="Times New Roman"/>
          <w:vertAlign w:val="superscript"/>
          <w:lang w:val="es-ES_tradnl"/>
        </w:rPr>
        <w:footnoteReference w:id="1"/>
      </w:r>
    </w:p>
    <w:p w14:paraId="64FFA803" w14:textId="77777777" w:rsidR="00835F2F" w:rsidRPr="00835F2F" w:rsidRDefault="00835F2F" w:rsidP="00835F2F">
      <w:pPr>
        <w:spacing w:before="120" w:after="120" w:line="276" w:lineRule="auto"/>
        <w:ind w:firstLine="708"/>
        <w:jc w:val="both"/>
        <w:rPr>
          <w:rFonts w:ascii="Verdana" w:eastAsia="Calibri" w:hAnsi="Verdana" w:cs="Arial"/>
          <w:color w:val="000000"/>
          <w:lang w:val="es-ES"/>
        </w:rPr>
      </w:pPr>
      <w:r w:rsidRPr="00835F2F">
        <w:rPr>
          <w:rFonts w:ascii="Verdana" w:eastAsia="Calibri" w:hAnsi="Verdana" w:cs="Arial"/>
          <w:color w:val="000000"/>
          <w:lang w:val="es-ES"/>
        </w:rPr>
        <w:t>En relación con el problema jurídico planteado en la solicitud, debe indicarse que todas las resoluciones</w:t>
      </w:r>
      <w:r w:rsidRPr="00835F2F">
        <w:rPr>
          <w:rFonts w:ascii="Verdana" w:eastAsia="Calibri" w:hAnsi="Verdana" w:cs="Arial"/>
          <w:color w:val="000000"/>
          <w:vertAlign w:val="superscript"/>
          <w:lang w:val="es-ES"/>
        </w:rPr>
        <w:footnoteReference w:id="2"/>
      </w:r>
      <w:r w:rsidRPr="00835F2F">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35F2F">
        <w:rPr>
          <w:rFonts w:ascii="Verdana" w:eastAsia="Calibri" w:hAnsi="Verdana" w:cs="Arial"/>
          <w:i/>
          <w:iCs/>
          <w:color w:val="000000"/>
          <w:lang w:val="es-ES"/>
        </w:rPr>
        <w:t>Documentos del Proceso</w:t>
      </w:r>
      <w:r w:rsidRPr="00835F2F">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EDD6929" w14:textId="77777777" w:rsidR="00835F2F" w:rsidRPr="00835F2F" w:rsidRDefault="00835F2F" w:rsidP="00835F2F">
      <w:pPr>
        <w:spacing w:before="120" w:after="120" w:line="276" w:lineRule="auto"/>
        <w:ind w:firstLine="709"/>
        <w:jc w:val="both"/>
        <w:rPr>
          <w:rFonts w:ascii="Verdana" w:eastAsia="Calibri" w:hAnsi="Verdana" w:cs="Arial"/>
          <w:lang w:val="es-ES_tradnl"/>
        </w:rPr>
      </w:pPr>
      <w:r w:rsidRPr="00835F2F">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w:t>
      </w:r>
      <w:r w:rsidRPr="00835F2F">
        <w:rPr>
          <w:rFonts w:ascii="Verdana" w:eastAsia="Calibri" w:hAnsi="Verdana" w:cs="Arial"/>
          <w:lang w:val="es-ES_tradnl"/>
        </w:rPr>
        <w:lastRenderedPageBreak/>
        <w:t xml:space="preserve">en las diferentes resoluciones expedidas por la Agencia, por lo que no pueden hacer excepciones bajo una supuesta discrecionalidad a estas reglas que son obligatorias.  </w:t>
      </w:r>
    </w:p>
    <w:p w14:paraId="4F181D37" w14:textId="77777777" w:rsidR="00835F2F" w:rsidRPr="00835F2F" w:rsidRDefault="00835F2F" w:rsidP="00835F2F">
      <w:pPr>
        <w:spacing w:before="120" w:after="120" w:line="276" w:lineRule="auto"/>
        <w:ind w:firstLine="709"/>
        <w:jc w:val="both"/>
        <w:rPr>
          <w:rFonts w:ascii="Verdana" w:eastAsia="Calibri" w:hAnsi="Verdana" w:cs="Arial"/>
          <w:lang w:val="es-ES_tradnl"/>
        </w:rPr>
      </w:pPr>
      <w:r w:rsidRPr="00835F2F">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835F2F">
        <w:rPr>
          <w:rFonts w:ascii="Verdana" w:eastAsia="Calibri" w:hAnsi="Verdana" w:cs="Arial"/>
          <w:vertAlign w:val="superscript"/>
          <w:lang w:val="es-ES_tradnl"/>
        </w:rPr>
        <w:footnoteReference w:id="3"/>
      </w:r>
      <w:r w:rsidRPr="00835F2F">
        <w:rPr>
          <w:rFonts w:ascii="Verdana" w:eastAsia="Calibri" w:hAnsi="Verdana" w:cs="Arial"/>
          <w:lang w:val="es-ES_tradnl"/>
        </w:rPr>
        <w:t xml:space="preserve">. Cada entidad pública sujeta a los documentos tipo deberá hacer una aplicación o constatación íntegra de las reglas y condiciones dispuestas en estos, salvo que las mismas posibilitan la discrecionalidad en determinados aspectos. </w:t>
      </w:r>
    </w:p>
    <w:p w14:paraId="6B25A038" w14:textId="77777777" w:rsidR="00835F2F" w:rsidRPr="00835F2F" w:rsidRDefault="00835F2F" w:rsidP="00835F2F">
      <w:pPr>
        <w:spacing w:before="120" w:after="120" w:line="276" w:lineRule="auto"/>
        <w:ind w:firstLine="709"/>
        <w:jc w:val="both"/>
        <w:rPr>
          <w:rFonts w:ascii="Verdana" w:eastAsia="Calibri" w:hAnsi="Verdana" w:cs="Arial"/>
          <w:lang w:val="es-ES"/>
        </w:rPr>
      </w:pPr>
      <w:r w:rsidRPr="00835F2F">
        <w:rPr>
          <w:rFonts w:ascii="Verdana" w:eastAsia="Calibri" w:hAnsi="Verdana" w:cs="Arial"/>
          <w:lang w:val="es-ES"/>
        </w:rPr>
        <w:t xml:space="preserve">Además, las entidades estatales deben garantizar el </w:t>
      </w:r>
      <w:r w:rsidRPr="00835F2F">
        <w:rPr>
          <w:rFonts w:ascii="Verdana" w:eastAsia="Calibri" w:hAnsi="Verdana" w:cs="Arial"/>
          <w:i/>
          <w:iCs/>
          <w:lang w:val="es-ES"/>
        </w:rPr>
        <w:t>principio de economía</w:t>
      </w:r>
      <w:r w:rsidRPr="00835F2F">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835F2F">
        <w:rPr>
          <w:rFonts w:ascii="Verdana" w:eastAsia="Calibri" w:hAnsi="Verdana" w:cs="Arial"/>
          <w:vertAlign w:val="superscript"/>
          <w:lang w:val="es-ES"/>
        </w:rPr>
        <w:footnoteReference w:id="4"/>
      </w:r>
      <w:r w:rsidRPr="00835F2F">
        <w:rPr>
          <w:rFonts w:ascii="Verdana" w:eastAsia="Calibri" w:hAnsi="Verdana" w:cs="Arial"/>
          <w:lang w:val="es-ES"/>
        </w:rPr>
        <w:t xml:space="preserve"> sino además en la normativa </w:t>
      </w:r>
      <w:proofErr w:type="spellStart"/>
      <w:r w:rsidRPr="00835F2F">
        <w:rPr>
          <w:rFonts w:ascii="Verdana" w:eastAsia="Calibri" w:hAnsi="Verdana" w:cs="Arial"/>
          <w:lang w:val="es-ES"/>
        </w:rPr>
        <w:t>antitrámites</w:t>
      </w:r>
      <w:proofErr w:type="spellEnd"/>
      <w:r w:rsidRPr="00835F2F">
        <w:rPr>
          <w:rFonts w:ascii="Verdana" w:eastAsia="Calibri" w:hAnsi="Verdana" w:cs="Arial"/>
          <w:vertAlign w:val="superscript"/>
          <w:lang w:val="es-ES"/>
        </w:rPr>
        <w:footnoteReference w:id="5"/>
      </w:r>
      <w:r w:rsidRPr="00835F2F">
        <w:rPr>
          <w:rFonts w:ascii="Verdana" w:eastAsia="Calibri" w:hAnsi="Verdana" w:cs="Arial"/>
          <w:lang w:val="es-ES"/>
        </w:rPr>
        <w:t xml:space="preserve">, pues se inscribe dentro de la tendencia de simplificación y racionalización de los procedimientos administrativos. De ahí que cuando las </w:t>
      </w:r>
      <w:r w:rsidRPr="00835F2F">
        <w:rPr>
          <w:rFonts w:ascii="Verdana" w:eastAsia="Calibri" w:hAnsi="Verdana" w:cs="Arial"/>
          <w:lang w:val="es-ES"/>
        </w:rPr>
        <w:lastRenderedPageBreak/>
        <w:t>autoridades solicitan la entrega de documentación innecesaria desconocen el principio de economía.</w:t>
      </w:r>
    </w:p>
    <w:p w14:paraId="1D806AFF" w14:textId="77777777" w:rsidR="00835F2F" w:rsidRPr="00835F2F" w:rsidRDefault="00835F2F" w:rsidP="00835F2F">
      <w:pPr>
        <w:spacing w:after="120" w:line="276" w:lineRule="auto"/>
        <w:ind w:firstLine="708"/>
        <w:jc w:val="both"/>
        <w:rPr>
          <w:rFonts w:ascii="Verdana" w:eastAsia="Calibri" w:hAnsi="Verdana" w:cs="Arial"/>
          <w:color w:val="000000"/>
          <w:lang w:val="es-ES"/>
        </w:rPr>
      </w:pPr>
      <w:r w:rsidRPr="00835F2F">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35F2F">
        <w:rPr>
          <w:rFonts w:ascii="Verdana" w:eastAsia="Calibri" w:hAnsi="Verdana" w:cs="Arial"/>
          <w:color w:val="000000"/>
          <w:vertAlign w:val="superscript"/>
          <w:lang w:val="es-ES"/>
        </w:rPr>
        <w:footnoteReference w:id="6"/>
      </w:r>
      <w:r w:rsidRPr="00835F2F">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2958CC8" w14:textId="77777777" w:rsidR="00835F2F" w:rsidRPr="00835F2F" w:rsidRDefault="00835F2F" w:rsidP="00835F2F">
      <w:pPr>
        <w:spacing w:after="120" w:line="276" w:lineRule="auto"/>
        <w:jc w:val="both"/>
        <w:rPr>
          <w:rFonts w:ascii="Verdana" w:eastAsia="Calibri" w:hAnsi="Verdana" w:cs="Arial"/>
          <w:color w:val="000000"/>
          <w:lang w:val="es-ES"/>
        </w:rPr>
      </w:pPr>
      <w:r w:rsidRPr="00835F2F">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buscaron erradicar con la introducción de la herramienta analizada. </w:t>
      </w:r>
    </w:p>
    <w:p w14:paraId="1E46ADD3" w14:textId="77777777" w:rsidR="00835F2F" w:rsidRPr="00835F2F" w:rsidRDefault="00835F2F" w:rsidP="00835F2F">
      <w:pPr>
        <w:spacing w:line="276" w:lineRule="auto"/>
        <w:jc w:val="both"/>
        <w:rPr>
          <w:rFonts w:ascii="Verdana" w:eastAsia="Calibri" w:hAnsi="Verdana" w:cs="Arial"/>
          <w:color w:val="000000"/>
          <w:lang w:val="es-ES"/>
        </w:rPr>
      </w:pPr>
      <w:r w:rsidRPr="00835F2F">
        <w:rPr>
          <w:rFonts w:ascii="Verdana" w:eastAsia="Calibri" w:hAnsi="Verdana" w:cs="Arial"/>
          <w:color w:val="000000"/>
          <w:lang w:val="es-ES"/>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188730FA" w14:textId="77777777" w:rsidR="00835F2F" w:rsidRPr="00835F2F" w:rsidRDefault="00835F2F" w:rsidP="00835F2F">
      <w:pPr>
        <w:spacing w:line="276" w:lineRule="auto"/>
        <w:ind w:firstLine="708"/>
        <w:jc w:val="both"/>
        <w:rPr>
          <w:rFonts w:ascii="Verdana" w:eastAsia="Calibri" w:hAnsi="Verdana" w:cs="Arial"/>
          <w:lang w:val="es-MX"/>
        </w:rPr>
      </w:pPr>
      <w:r w:rsidRPr="00835F2F">
        <w:rPr>
          <w:rFonts w:ascii="Verdana" w:eastAsia="Calibri" w:hAnsi="Verdana" w:cs="Arial"/>
          <w:lang w:val="es-MX"/>
        </w:rPr>
        <w:t xml:space="preserve">No obstante, la parte introductoria de los documentos base de los documentos tipo disponen que los aspectos incluidos en corchetes y resaltados en gris </w:t>
      </w:r>
      <w:r w:rsidRPr="00835F2F">
        <w:rPr>
          <w:rFonts w:ascii="Verdana" w:eastAsia="Aptos" w:hAnsi="Verdana" w:cs="Arial"/>
        </w:rPr>
        <w:t>–[</w:t>
      </w:r>
      <w:r w:rsidRPr="00835F2F">
        <w:rPr>
          <w:rFonts w:ascii="Verdana" w:eastAsia="Aptos" w:hAnsi="Verdana" w:cs="Arial"/>
          <w:highlight w:val="lightGray"/>
        </w:rPr>
        <w:t>texto de ejemplo</w:t>
      </w:r>
      <w:r w:rsidRPr="00835F2F">
        <w:rPr>
          <w:rFonts w:ascii="Verdana" w:eastAsia="Aptos" w:hAnsi="Verdana" w:cs="Arial"/>
        </w:rPr>
        <w:t xml:space="preserve">]– </w:t>
      </w:r>
      <w:r w:rsidRPr="00835F2F">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w:t>
      </w:r>
      <w:r w:rsidRPr="00835F2F">
        <w:rPr>
          <w:rFonts w:ascii="Verdana" w:eastAsia="Calibri" w:hAnsi="Verdana" w:cs="Arial"/>
          <w:lang w:val="es-MX"/>
        </w:rPr>
        <w:lastRenderedPageBreak/>
        <w:t xml:space="preserve">determinar la información que se diligenciará en los documentos tipo, de acuerdo con su necesidad y las instrucciones de los mismos documentos tipo. </w:t>
      </w:r>
    </w:p>
    <w:p w14:paraId="156E9893" w14:textId="77777777" w:rsidR="00835F2F" w:rsidRPr="00835F2F" w:rsidRDefault="00835F2F" w:rsidP="00835F2F">
      <w:pPr>
        <w:ind w:firstLine="708"/>
        <w:jc w:val="both"/>
        <w:rPr>
          <w:rFonts w:ascii="Verdana" w:eastAsia="Aptos" w:hAnsi="Verdana" w:cs="Times New Roman"/>
          <w:kern w:val="2"/>
          <w:sz w:val="24"/>
          <w:szCs w:val="24"/>
          <w:lang w:val="es-MX"/>
          <w14:ligatures w14:val="standardContextual"/>
        </w:rPr>
      </w:pPr>
      <w:r w:rsidRPr="00835F2F">
        <w:rPr>
          <w:rFonts w:ascii="Verdana" w:eastAsia="Calibri" w:hAnsi="Verdana" w:cs="Arial"/>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835F2F">
        <w:rPr>
          <w:rFonts w:ascii="Verdana" w:eastAsia="Calibri" w:hAnsi="Verdana" w:cs="Arial"/>
          <w:i/>
          <w:iCs/>
          <w:lang w:val="es-MX"/>
        </w:rPr>
        <w:t xml:space="preserve"> “</w:t>
      </w:r>
      <w:r w:rsidRPr="00835F2F">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p>
    <w:p w14:paraId="4EE00A41" w14:textId="77777777" w:rsidR="00835F2F" w:rsidRPr="00835F2F" w:rsidRDefault="00835F2F" w:rsidP="00835F2F">
      <w:pPr>
        <w:spacing w:before="120" w:after="120" w:line="276" w:lineRule="auto"/>
        <w:ind w:firstLine="709"/>
        <w:jc w:val="both"/>
        <w:rPr>
          <w:rFonts w:ascii="Verdana" w:eastAsia="Calibri" w:hAnsi="Verdana" w:cs="Arial"/>
          <w:bCs/>
          <w:lang w:val="es-MX"/>
        </w:rPr>
      </w:pPr>
      <w:r w:rsidRPr="00835F2F">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03F64B10" w14:textId="77777777" w:rsidR="00835F2F" w:rsidRPr="00835F2F" w:rsidRDefault="00835F2F" w:rsidP="00835F2F">
      <w:pPr>
        <w:spacing w:before="120" w:after="120" w:line="276" w:lineRule="auto"/>
        <w:ind w:firstLine="709"/>
        <w:jc w:val="both"/>
        <w:rPr>
          <w:rFonts w:ascii="Verdana" w:eastAsia="Calibri" w:hAnsi="Verdana" w:cs="Arial"/>
          <w:bCs/>
          <w:lang w:val="es-MX"/>
        </w:rPr>
      </w:pPr>
      <w:r w:rsidRPr="00835F2F">
        <w:rPr>
          <w:rFonts w:ascii="Verdana" w:eastAsia="Calibri" w:hAnsi="Verdana" w:cs="Arial"/>
          <w:bCs/>
          <w:lang w:val="es-MX"/>
        </w:rPr>
        <w:t xml:space="preserve">Esta regla de inalterabilidad </w:t>
      </w:r>
      <w:r w:rsidRPr="00835F2F">
        <w:rPr>
          <w:rFonts w:ascii="Verdana" w:eastAsia="Calibri" w:hAnsi="Verdana" w:cs="Arial"/>
          <w:bCs/>
          <w:i/>
          <w:iCs/>
          <w:lang w:val="es-MX"/>
        </w:rPr>
        <w:t>también aplica a los formatos, formularios, anexos y matrices</w:t>
      </w:r>
      <w:r w:rsidRPr="00835F2F">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1AAA6A6C" w14:textId="77777777" w:rsidR="00835F2F" w:rsidRPr="00835F2F" w:rsidRDefault="00835F2F" w:rsidP="00835F2F">
      <w:pPr>
        <w:spacing w:before="120" w:after="120" w:line="276" w:lineRule="auto"/>
        <w:ind w:firstLine="709"/>
        <w:jc w:val="both"/>
        <w:rPr>
          <w:rFonts w:ascii="Verdana" w:eastAsia="Calibri" w:hAnsi="Verdana" w:cs="Arial"/>
          <w:lang w:val="es-MX"/>
        </w:rPr>
      </w:pPr>
      <w:r w:rsidRPr="00835F2F">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16C18143" w14:textId="77777777" w:rsidR="00835F2F" w:rsidRPr="00835F2F" w:rsidRDefault="00835F2F" w:rsidP="00835F2F">
      <w:pPr>
        <w:spacing w:before="120" w:line="276" w:lineRule="auto"/>
        <w:ind w:firstLine="709"/>
        <w:jc w:val="both"/>
        <w:rPr>
          <w:rFonts w:ascii="Verdana" w:eastAsia="Aptos" w:hAnsi="Verdana" w:cs="Arial"/>
        </w:rPr>
      </w:pPr>
      <w:r w:rsidRPr="00835F2F">
        <w:rPr>
          <w:rFonts w:ascii="Verdana" w:eastAsia="Aptos" w:hAnsi="Verdana" w:cs="Arial"/>
        </w:rPr>
        <w:t xml:space="preserve">En relación con el principio constitucional </w:t>
      </w:r>
      <w:r w:rsidRPr="00835F2F">
        <w:rPr>
          <w:rFonts w:ascii="Verdana" w:eastAsia="Aptos" w:hAnsi="Verdana" w:cs="Arial"/>
          <w:i/>
          <w:iCs/>
        </w:rPr>
        <w:t>sub examine</w:t>
      </w:r>
      <w:r w:rsidRPr="00835F2F">
        <w:rPr>
          <w:rFonts w:ascii="Verdana" w:eastAsia="Aptos" w:hAnsi="Verdana" w:cs="Arial"/>
        </w:rPr>
        <w:t xml:space="preserve">, la Corte Constitucional explica que “[…] por disposición del artículo 228 Superior, las formas no deben convertirse en un obstáculo para la efectividad del derecho </w:t>
      </w:r>
      <w:r w:rsidRPr="00835F2F">
        <w:rPr>
          <w:rFonts w:ascii="Verdana" w:eastAsia="Aptos" w:hAnsi="Verdana" w:cs="Arial"/>
        </w:rPr>
        <w:lastRenderedPageBreak/>
        <w:t>sustancial, sino que deben propender por su realización. Es decir, que las normas procesales son un medio para lograr la efectividad de los derechos subjetivos y no fines en sí mismas”</w:t>
      </w:r>
      <w:r w:rsidRPr="00835F2F">
        <w:rPr>
          <w:rFonts w:ascii="Verdana" w:eastAsia="Aptos" w:hAnsi="Verdana" w:cs="Arial"/>
          <w:vertAlign w:val="superscript"/>
        </w:rPr>
        <w:footnoteReference w:id="7"/>
      </w:r>
      <w:r w:rsidRPr="00835F2F">
        <w:rPr>
          <w:rFonts w:ascii="Verdana" w:eastAsia="Aptos" w:hAnsi="Verdana" w:cs="Arial"/>
        </w:rPr>
        <w:t xml:space="preserve">. </w:t>
      </w:r>
    </w:p>
    <w:p w14:paraId="18889A85"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4B9C961D"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 xml:space="preserve">En todo caso, las entidades deberán replicar cada uno de los acápites que conforman el documento base en su proceso de contratación, y solo podrán modificar aquellos aspectos que el pliego tipo permita de forma expresa. </w:t>
      </w:r>
    </w:p>
    <w:p w14:paraId="5137C068"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Por otra parte, el numeral 1.17 del Documento Base de los documentos tipo de licitación de obra pública de infraestructura de transporte –versión 4–, señala las normas de interpretación del pliego de condiciones. El literal E de este título dispone que “[e]n caso de contradicción entre el contenido establecido en los Documentos Tipo y el incluido por la entidad, proponentes o contratista en los documentos del proceso, primará lo señalado en los Documentos Tipo.”</w:t>
      </w:r>
    </w:p>
    <w:p w14:paraId="62DD48DF" w14:textId="77777777" w:rsidR="00835F2F" w:rsidRPr="00835F2F" w:rsidRDefault="00835F2F" w:rsidP="00835F2F">
      <w:pPr>
        <w:snapToGrid w:val="0"/>
        <w:spacing w:after="120" w:line="276" w:lineRule="auto"/>
        <w:ind w:firstLine="709"/>
        <w:jc w:val="both"/>
        <w:rPr>
          <w:rFonts w:ascii="Verdana" w:eastAsia="Calibri" w:hAnsi="Verdana" w:cs="Arial"/>
          <w:lang w:val="es-MX"/>
        </w:rPr>
      </w:pPr>
      <w:r w:rsidRPr="00835F2F">
        <w:rPr>
          <w:rFonts w:ascii="Verdana" w:eastAsia="Calibri" w:hAnsi="Verdana" w:cs="Arial"/>
          <w:lang w:val="es-MX"/>
        </w:rPr>
        <w:t>En virtud de lo anterior, el pliego tipo es claro en indicar que, frente a discrepancias entre los documentos tipo y lo incluido por la entidad en los documentos del proceso de contratación, prevalecerá lo dispuesto por los primeros, esto es, el contenido de los documentos tipo.</w:t>
      </w:r>
    </w:p>
    <w:p w14:paraId="5E416CD9" w14:textId="77777777" w:rsidR="00835F2F" w:rsidRPr="00835F2F" w:rsidRDefault="00835F2F" w:rsidP="00835F2F">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835F2F">
        <w:rPr>
          <w:rFonts w:ascii="Verdana" w:eastAsia="Calibri" w:hAnsi="Verdana" w:cs="Arial"/>
          <w:color w:val="000000"/>
          <w:kern w:val="2"/>
          <w:lang w:val="es-ES"/>
          <w14:ligatures w14:val="standardContextual"/>
        </w:rPr>
        <w:t xml:space="preserve">Finalmente, </w:t>
      </w:r>
      <w:r w:rsidRPr="00835F2F">
        <w:rPr>
          <w:rFonts w:ascii="Verdana" w:eastAsia="Aptos" w:hAnsi="Verdana" w:cs="Times New Roman"/>
          <w:kern w:val="2"/>
          <w14:ligatures w14:val="standardContextual"/>
        </w:rPr>
        <w:t xml:space="preserve">debe señalarse que, los ciudadanos en general, así como los interesados o los participantes en los procesos de contratación estatal, se encuentran habilitados para acudir ante las autoridades de control o judicial competentes, como la Procuraduría General de la Nación, Contraloría General de la República y/o Fiscalía General de la Nación, para “denunciar” aquellas situaciones particulares y concretas, cuando adviertan la comisión de presuntas irregularidades de las entidades públicas en desarrollo de su actividad </w:t>
      </w:r>
      <w:r w:rsidRPr="00835F2F">
        <w:rPr>
          <w:rFonts w:ascii="Verdana" w:eastAsia="Aptos" w:hAnsi="Verdana" w:cs="Times New Roman"/>
          <w:kern w:val="2"/>
          <w14:ligatures w14:val="standardContextual"/>
        </w:rPr>
        <w:lastRenderedPageBreak/>
        <w:t>contractual con documentos tipo. Esto con el fin de que sean aquellas autoridades quienes adelanten las investigaciones a que haya lugar y, si es del caso, establezcan la responsabilidad derivada de las infracciones al ordenamiento jurídico y contenido de los documentos tipo.</w:t>
      </w:r>
    </w:p>
    <w:p w14:paraId="0EF9B8DF" w14:textId="77777777" w:rsidR="00835F2F" w:rsidRPr="00835F2F" w:rsidRDefault="00835F2F" w:rsidP="00835F2F">
      <w:pPr>
        <w:spacing w:after="0" w:line="276" w:lineRule="auto"/>
        <w:jc w:val="both"/>
        <w:rPr>
          <w:rFonts w:ascii="Verdana" w:eastAsia="Calibri" w:hAnsi="Verdana" w:cs="Arial"/>
          <w:kern w:val="2"/>
          <w:lang w:val="es-MX"/>
          <w14:ligatures w14:val="standardContextual"/>
        </w:rPr>
      </w:pPr>
    </w:p>
    <w:p w14:paraId="1D35F60A" w14:textId="77777777" w:rsidR="00835F2F" w:rsidRPr="00835F2F" w:rsidRDefault="00835F2F" w:rsidP="00835F2F">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835F2F">
        <w:rPr>
          <w:rFonts w:ascii="Verdana" w:eastAsia="Century Gothic" w:hAnsi="Verdana" w:cs="Century Gothic"/>
          <w:b/>
          <w:bCs/>
          <w:lang w:val="es-ES_tradnl"/>
        </w:rPr>
        <w:t>Referencias normativas, jurisprudenciales y otras fuentes:</w:t>
      </w:r>
    </w:p>
    <w:p w14:paraId="3A2CABDC" w14:textId="77777777" w:rsidR="00835F2F" w:rsidRPr="00835F2F" w:rsidRDefault="00835F2F" w:rsidP="00835F2F">
      <w:pPr>
        <w:spacing w:after="0"/>
        <w:ind w:left="-15840"/>
        <w:jc w:val="both"/>
        <w:rPr>
          <w:rFonts w:ascii="Verdana" w:eastAsia="Calibri" w:hAnsi="Verdana" w:cs="Arial"/>
          <w:b/>
          <w:bCs/>
        </w:rPr>
      </w:pPr>
      <w:r w:rsidRPr="00835F2F">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35F2F" w:rsidRPr="00835F2F" w14:paraId="1CE5614B" w14:textId="77777777" w:rsidTr="008F5473">
        <w:trPr>
          <w:trHeight w:val="476"/>
        </w:trPr>
        <w:tc>
          <w:tcPr>
            <w:tcW w:w="8647" w:type="dxa"/>
            <w:tcBorders>
              <w:top w:val="dotted" w:sz="4" w:space="0" w:color="auto"/>
              <w:left w:val="dotted" w:sz="4" w:space="0" w:color="auto"/>
              <w:bottom w:val="dotted" w:sz="4" w:space="0" w:color="auto"/>
              <w:right w:val="dotted" w:sz="4" w:space="0" w:color="auto"/>
            </w:tcBorders>
          </w:tcPr>
          <w:p w14:paraId="5EC9E2AC" w14:textId="77777777" w:rsidR="00835F2F" w:rsidRPr="00835F2F" w:rsidRDefault="00835F2F" w:rsidP="00835F2F">
            <w:pPr>
              <w:widowControl w:val="0"/>
              <w:numPr>
                <w:ilvl w:val="0"/>
                <w:numId w:val="19"/>
              </w:numPr>
              <w:autoSpaceDE w:val="0"/>
              <w:autoSpaceDN w:val="0"/>
              <w:snapToGrid w:val="0"/>
              <w:spacing w:after="120" w:line="276" w:lineRule="auto"/>
              <w:ind w:left="714" w:hanging="357"/>
              <w:jc w:val="both"/>
              <w:rPr>
                <w:rFonts w:ascii="Verdana" w:eastAsia="Calibri" w:hAnsi="Verdana" w:cs="Arial"/>
                <w:lang w:val="es-ES_tradnl"/>
              </w:rPr>
            </w:pPr>
            <w:r w:rsidRPr="00835F2F">
              <w:rPr>
                <w:rFonts w:ascii="Verdana" w:eastAsia="Calibri" w:hAnsi="Verdana" w:cs="Arial"/>
                <w:lang w:val="es-ES_tradnl"/>
              </w:rPr>
              <w:t xml:space="preserve">Ley 2022 de 2020, artículo 1. </w:t>
            </w:r>
          </w:p>
          <w:p w14:paraId="0209D2D4" w14:textId="77777777" w:rsidR="00835F2F" w:rsidRPr="00835F2F" w:rsidRDefault="00835F2F" w:rsidP="00835F2F">
            <w:pPr>
              <w:widowControl w:val="0"/>
              <w:numPr>
                <w:ilvl w:val="0"/>
                <w:numId w:val="17"/>
              </w:numPr>
              <w:autoSpaceDE w:val="0"/>
              <w:autoSpaceDN w:val="0"/>
              <w:snapToGrid w:val="0"/>
              <w:spacing w:after="120" w:line="276" w:lineRule="auto"/>
              <w:ind w:left="714" w:hanging="357"/>
              <w:jc w:val="both"/>
              <w:rPr>
                <w:rFonts w:ascii="Verdana" w:eastAsia="Calibri" w:hAnsi="Verdana" w:cs="Arial"/>
              </w:rPr>
            </w:pPr>
            <w:r w:rsidRPr="00835F2F">
              <w:rPr>
                <w:rFonts w:ascii="Verdana" w:eastAsia="Calibri" w:hAnsi="Verdana" w:cs="Arial"/>
              </w:rPr>
              <w:t>Ley 1150 de 2007, artículo 2.</w:t>
            </w:r>
          </w:p>
          <w:p w14:paraId="4DE9C989" w14:textId="77777777" w:rsidR="00835F2F" w:rsidRPr="00835F2F" w:rsidRDefault="00835F2F" w:rsidP="00835F2F">
            <w:pPr>
              <w:widowControl w:val="0"/>
              <w:numPr>
                <w:ilvl w:val="0"/>
                <w:numId w:val="17"/>
              </w:numPr>
              <w:autoSpaceDE w:val="0"/>
              <w:autoSpaceDN w:val="0"/>
              <w:snapToGrid w:val="0"/>
              <w:spacing w:after="120" w:line="276" w:lineRule="auto"/>
              <w:ind w:left="714" w:hanging="357"/>
              <w:contextualSpacing/>
              <w:jc w:val="both"/>
              <w:rPr>
                <w:rFonts w:ascii="Verdana" w:eastAsia="Aptos" w:hAnsi="Verdana" w:cs="Arial"/>
              </w:rPr>
            </w:pPr>
            <w:r w:rsidRPr="00835F2F">
              <w:rPr>
                <w:rFonts w:ascii="Verdana" w:eastAsia="Calibri" w:hAnsi="Verdana" w:cs="Arial"/>
                <w:lang w:val="es-ES_tradnl"/>
              </w:rPr>
              <w:t xml:space="preserve">Documentos Tipo. Disponibles en: </w:t>
            </w:r>
            <w:hyperlink r:id="rId11" w:history="1">
              <w:r w:rsidRPr="00835F2F">
                <w:rPr>
                  <w:rFonts w:ascii="Verdana" w:eastAsia="Calibri" w:hAnsi="Verdana" w:cs="Arial"/>
                  <w:color w:val="0000FF"/>
                  <w:u w:val="single"/>
                  <w:lang w:val="es-ES_tradnl"/>
                </w:rPr>
                <w:t>https://www.colombiacompra.gov.co/documentos-tipo/documentos-tipo</w:t>
              </w:r>
            </w:hyperlink>
            <w:r w:rsidRPr="00835F2F">
              <w:rPr>
                <w:rFonts w:ascii="Verdana" w:eastAsia="Calibri" w:hAnsi="Verdana" w:cs="Arial"/>
                <w:lang w:val="es-ES_tradnl"/>
              </w:rPr>
              <w:t>.</w:t>
            </w:r>
          </w:p>
        </w:tc>
      </w:tr>
    </w:tbl>
    <w:p w14:paraId="26D24088" w14:textId="77777777" w:rsidR="00835F2F" w:rsidRPr="00835F2F" w:rsidRDefault="00835F2F" w:rsidP="00835F2F">
      <w:pPr>
        <w:tabs>
          <w:tab w:val="left" w:pos="142"/>
          <w:tab w:val="left" w:pos="284"/>
        </w:tabs>
        <w:spacing w:after="0" w:line="276" w:lineRule="auto"/>
        <w:jc w:val="both"/>
        <w:rPr>
          <w:rFonts w:ascii="Verdana" w:eastAsia="Calibri" w:hAnsi="Verdana" w:cs="Arial"/>
        </w:rPr>
      </w:pPr>
    </w:p>
    <w:p w14:paraId="6B02636A" w14:textId="77777777" w:rsidR="00835F2F" w:rsidRPr="00835F2F" w:rsidRDefault="00835F2F" w:rsidP="00835F2F">
      <w:pPr>
        <w:tabs>
          <w:tab w:val="left" w:pos="142"/>
          <w:tab w:val="left" w:pos="284"/>
        </w:tabs>
        <w:spacing w:after="0" w:line="276" w:lineRule="auto"/>
        <w:jc w:val="both"/>
        <w:rPr>
          <w:rFonts w:ascii="Verdana" w:eastAsia="Century Gothic" w:hAnsi="Verdana" w:cs="Century Gothic"/>
          <w:b/>
          <w:bCs/>
          <w:lang w:val="es-ES"/>
        </w:rPr>
      </w:pPr>
      <w:r w:rsidRPr="00835F2F">
        <w:rPr>
          <w:rFonts w:ascii="Verdana" w:eastAsia="Calibri" w:hAnsi="Verdana" w:cs="Arial"/>
          <w:b/>
          <w:bCs/>
        </w:rPr>
        <w:t>5</w:t>
      </w:r>
      <w:r w:rsidRPr="00835F2F">
        <w:rPr>
          <w:rFonts w:ascii="Verdana" w:eastAsia="Calibri" w:hAnsi="Verdana" w:cs="Arial"/>
        </w:rPr>
        <w:t>.</w:t>
      </w:r>
      <w:r w:rsidRPr="00835F2F">
        <w:rPr>
          <w:rFonts w:ascii="Verdana" w:eastAsia="Century Gothic" w:hAnsi="Verdana" w:cs="Century Gothic"/>
          <w:b/>
          <w:bCs/>
          <w:lang w:val="es-ES"/>
        </w:rPr>
        <w:t>Doctrina de la Agencia Nacional de Contratación Pública:</w:t>
      </w:r>
    </w:p>
    <w:p w14:paraId="55ACDAAF" w14:textId="77777777" w:rsidR="00835F2F" w:rsidRPr="00835F2F" w:rsidRDefault="00835F2F" w:rsidP="00835F2F">
      <w:pPr>
        <w:widowControl w:val="0"/>
        <w:autoSpaceDE w:val="0"/>
        <w:autoSpaceDN w:val="0"/>
        <w:spacing w:after="0" w:line="276" w:lineRule="auto"/>
        <w:jc w:val="both"/>
        <w:rPr>
          <w:rFonts w:ascii="Verdana" w:eastAsia="Calibri" w:hAnsi="Verdana" w:cs="Arial"/>
        </w:rPr>
      </w:pPr>
    </w:p>
    <w:p w14:paraId="634E4B1B" w14:textId="77777777" w:rsidR="00835F2F" w:rsidRPr="00835F2F" w:rsidRDefault="00835F2F" w:rsidP="00835F2F">
      <w:pPr>
        <w:widowControl w:val="0"/>
        <w:autoSpaceDE w:val="0"/>
        <w:autoSpaceDN w:val="0"/>
        <w:spacing w:after="0" w:line="276" w:lineRule="auto"/>
        <w:jc w:val="both"/>
        <w:rPr>
          <w:rFonts w:ascii="Verdana" w:eastAsia="Times New Roman" w:hAnsi="Verdana" w:cs="Arial"/>
          <w:shd w:val="clear" w:color="auto" w:fill="FFFFFF"/>
          <w:lang w:val="es-ES"/>
        </w:rPr>
      </w:pPr>
      <w:r w:rsidRPr="00835F2F">
        <w:rPr>
          <w:rFonts w:ascii="Verdana" w:eastAsia="Calibri" w:hAnsi="Verdana" w:cs="Arial"/>
          <w:shd w:val="clear" w:color="auto" w:fill="FFFFFF"/>
        </w:rPr>
        <w:t>L</w:t>
      </w:r>
      <w:r w:rsidRPr="00835F2F">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835F2F">
        <w:rPr>
          <w:rFonts w:ascii="Verdana" w:eastAsia="Times New Roman" w:hAnsi="Verdana" w:cs="Arial"/>
          <w:shd w:val="clear" w:color="auto" w:fill="FFFFFF"/>
          <w:lang w:val="es-ES"/>
        </w:rPr>
        <w:t xml:space="preserve">, </w:t>
      </w:r>
      <w:r w:rsidRPr="00835F2F">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y C-582 del 25 de junio de 2025. </w:t>
      </w:r>
    </w:p>
    <w:p w14:paraId="4DA43B5A" w14:textId="77777777" w:rsidR="00835F2F" w:rsidRPr="00835F2F" w:rsidRDefault="00835F2F" w:rsidP="00835F2F">
      <w:pPr>
        <w:widowControl w:val="0"/>
        <w:autoSpaceDE w:val="0"/>
        <w:autoSpaceDN w:val="0"/>
        <w:spacing w:after="0" w:line="276" w:lineRule="auto"/>
        <w:jc w:val="both"/>
        <w:rPr>
          <w:rFonts w:ascii="Verdana" w:eastAsia="Times New Roman" w:hAnsi="Verdana" w:cs="Arial"/>
          <w:shd w:val="clear" w:color="auto" w:fill="FFFFFF"/>
          <w:lang w:val="es-ES"/>
        </w:rPr>
      </w:pPr>
    </w:p>
    <w:p w14:paraId="3085BECB" w14:textId="77777777" w:rsidR="00835F2F" w:rsidRPr="00835F2F" w:rsidRDefault="00835F2F" w:rsidP="00835F2F">
      <w:pPr>
        <w:widowControl w:val="0"/>
        <w:autoSpaceDE w:val="0"/>
        <w:autoSpaceDN w:val="0"/>
        <w:spacing w:after="0" w:line="276" w:lineRule="auto"/>
        <w:jc w:val="both"/>
        <w:rPr>
          <w:rFonts w:ascii="Verdana" w:eastAsia="Calibri" w:hAnsi="Verdana" w:cs="Times New Roman"/>
        </w:rPr>
      </w:pPr>
      <w:r w:rsidRPr="00835F2F">
        <w:rPr>
          <w:rFonts w:ascii="Verdana" w:eastAsia="Calibri" w:hAnsi="Verdana" w:cs="Arial"/>
          <w:color w:val="000000"/>
          <w:shd w:val="clear" w:color="auto" w:fill="FFFFFF"/>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835F2F">
          <w:rPr>
            <w:rFonts w:ascii="Verdana" w:eastAsia="Calibri" w:hAnsi="Verdana" w:cs="Arial"/>
            <w:color w:val="000000"/>
            <w:u w:val="single"/>
            <w:shd w:val="clear" w:color="auto" w:fill="FFFFFF"/>
          </w:rPr>
          <w:t>https://relatoria.colombiacompra.gov.co/</w:t>
        </w:r>
      </w:hyperlink>
      <w:r w:rsidRPr="00835F2F">
        <w:rPr>
          <w:rFonts w:ascii="Verdana" w:eastAsia="Calibri" w:hAnsi="Verdana" w:cs="Arial"/>
          <w:color w:val="000000"/>
          <w:shd w:val="clear" w:color="auto" w:fill="FFFFFF"/>
        </w:rPr>
        <w:t> .</w:t>
      </w:r>
    </w:p>
    <w:p w14:paraId="15F53615" w14:textId="77777777" w:rsidR="00835F2F" w:rsidRPr="00835F2F" w:rsidRDefault="00835F2F" w:rsidP="00835F2F">
      <w:pPr>
        <w:spacing w:after="0" w:line="276" w:lineRule="auto"/>
        <w:jc w:val="both"/>
        <w:rPr>
          <w:rFonts w:ascii="Verdana" w:eastAsia="Calibri" w:hAnsi="Verdana" w:cs="Arial"/>
          <w:color w:val="000000"/>
          <w:shd w:val="clear" w:color="auto" w:fill="FFFFFF"/>
        </w:rPr>
      </w:pPr>
    </w:p>
    <w:p w14:paraId="7B289047" w14:textId="77777777" w:rsidR="00835F2F" w:rsidRPr="00835F2F" w:rsidRDefault="00835F2F" w:rsidP="00835F2F">
      <w:pPr>
        <w:spacing w:after="0" w:line="276" w:lineRule="auto"/>
        <w:jc w:val="both"/>
        <w:rPr>
          <w:rFonts w:ascii="Verdana" w:eastAsia="Calibri" w:hAnsi="Verdana" w:cs="Arial"/>
          <w:color w:val="000000"/>
          <w:shd w:val="clear" w:color="auto" w:fill="FFFFFF"/>
        </w:rPr>
      </w:pPr>
      <w:r w:rsidRPr="00835F2F">
        <w:rPr>
          <w:rFonts w:ascii="Verdana" w:eastAsia="Calibri" w:hAnsi="Verdana" w:cs="Arial"/>
          <w:color w:val="000000"/>
          <w:shd w:val="clear" w:color="auto" w:fill="FFFFFF"/>
        </w:rPr>
        <w:t>La Agencia Nacional de Contratación Pública – Colombia Compra Eficiente le informa que ya se encuentra disponible la </w:t>
      </w:r>
      <w:r w:rsidRPr="00835F2F">
        <w:rPr>
          <w:rFonts w:ascii="Verdana" w:eastAsia="Calibri" w:hAnsi="Verdana" w:cs="Arial"/>
          <w:b/>
          <w:bCs/>
          <w:color w:val="000000"/>
          <w:shd w:val="clear" w:color="auto" w:fill="FFFFFF"/>
        </w:rPr>
        <w:t xml:space="preserve">Guía de lineamientos de </w:t>
      </w:r>
      <w:r w:rsidRPr="00835F2F">
        <w:rPr>
          <w:rFonts w:ascii="Verdana" w:eastAsia="Calibri" w:hAnsi="Verdana" w:cs="Arial"/>
          <w:b/>
          <w:bCs/>
          <w:color w:val="000000"/>
          <w:shd w:val="clear" w:color="auto" w:fill="FFFFFF"/>
        </w:rPr>
        <w:lastRenderedPageBreak/>
        <w:t>transparencia y selección objetiva para el departamento de La Guajira – Objetivo sexto constitucional de la Sentencia T-302 del 2017. </w:t>
      </w:r>
      <w:r w:rsidRPr="00835F2F">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35F2F">
        <w:rPr>
          <w:rFonts w:ascii="Verdana" w:eastAsia="Calibri" w:hAnsi="Verdana" w:cs="Arial"/>
          <w:color w:val="000000"/>
          <w:shd w:val="clear" w:color="auto" w:fill="FFFFFF"/>
        </w:rPr>
        <w:t>Wayúu</w:t>
      </w:r>
      <w:proofErr w:type="spellEnd"/>
      <w:r w:rsidRPr="00835F2F">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35F2F">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835F2F">
        <w:rPr>
          <w:rFonts w:ascii="Verdana" w:eastAsia="Calibri" w:hAnsi="Verdana" w:cs="Arial"/>
          <w:color w:val="000000"/>
          <w:u w:val="single"/>
          <w:shd w:val="clear" w:color="auto" w:fill="FFFFFF"/>
        </w:rPr>
        <w:t>.</w:t>
      </w:r>
    </w:p>
    <w:p w14:paraId="5E33ED07" w14:textId="77777777" w:rsidR="00835F2F" w:rsidRPr="00835F2F" w:rsidRDefault="00835F2F" w:rsidP="00835F2F">
      <w:pPr>
        <w:spacing w:after="0" w:line="276" w:lineRule="auto"/>
        <w:jc w:val="both"/>
        <w:rPr>
          <w:rFonts w:ascii="Verdana" w:eastAsia="Aptos" w:hAnsi="Verdana" w:cs="Times New Roman"/>
          <w:color w:val="212121"/>
        </w:rPr>
      </w:pPr>
    </w:p>
    <w:p w14:paraId="0918FB7D" w14:textId="77777777" w:rsidR="00835F2F" w:rsidRPr="00835F2F" w:rsidRDefault="00835F2F" w:rsidP="00835F2F">
      <w:pPr>
        <w:spacing w:after="0" w:line="276" w:lineRule="auto"/>
        <w:jc w:val="both"/>
        <w:rPr>
          <w:rFonts w:ascii="Verdana" w:eastAsia="Calibri" w:hAnsi="Verdana" w:cs="Times New Roman"/>
        </w:rPr>
      </w:pPr>
      <w:r w:rsidRPr="00835F2F">
        <w:rPr>
          <w:rFonts w:ascii="Verdana" w:eastAsia="Aptos" w:hAnsi="Verdana" w:cs="Times New Roman"/>
        </w:rPr>
        <w:t xml:space="preserve">Por último, lo invitamos a seguirnos en las redes sociales en las cuales se difunde información institucional: </w:t>
      </w:r>
    </w:p>
    <w:p w14:paraId="1E74AB00" w14:textId="77777777" w:rsidR="00835F2F" w:rsidRPr="00835F2F" w:rsidRDefault="00835F2F" w:rsidP="00835F2F">
      <w:pPr>
        <w:spacing w:after="0" w:line="276" w:lineRule="auto"/>
        <w:jc w:val="both"/>
        <w:rPr>
          <w:rFonts w:ascii="Verdana" w:eastAsia="Aptos" w:hAnsi="Verdana" w:cs="Times New Roman"/>
        </w:rPr>
      </w:pPr>
    </w:p>
    <w:p w14:paraId="7CD0E880" w14:textId="77777777" w:rsidR="00835F2F" w:rsidRPr="00835F2F" w:rsidRDefault="00835F2F" w:rsidP="00835F2F">
      <w:pPr>
        <w:spacing w:after="0" w:line="276" w:lineRule="auto"/>
        <w:jc w:val="both"/>
        <w:rPr>
          <w:rFonts w:ascii="Verdana" w:eastAsia="Aptos" w:hAnsi="Verdana" w:cs="Times New Roman"/>
        </w:rPr>
      </w:pPr>
      <w:r w:rsidRPr="00835F2F">
        <w:rPr>
          <w:rFonts w:ascii="Verdana" w:eastAsia="Aptos" w:hAnsi="Verdana" w:cs="Times New Roman"/>
        </w:rPr>
        <w:t xml:space="preserve">X: </w:t>
      </w:r>
      <w:r w:rsidRPr="00835F2F">
        <w:rPr>
          <w:rFonts w:ascii="Verdana" w:eastAsia="Calibri" w:hAnsi="Verdana" w:cs="Times New Roman"/>
          <w:color w:val="156082"/>
          <w:u w:val="single"/>
        </w:rPr>
        <w:t>@colombiacompra</w:t>
      </w:r>
      <w:r w:rsidRPr="00835F2F">
        <w:rPr>
          <w:rFonts w:ascii="Verdana" w:eastAsia="Calibri" w:hAnsi="Verdana" w:cs="Times New Roman"/>
          <w:color w:val="156082"/>
        </w:rPr>
        <w:t xml:space="preserve"> </w:t>
      </w:r>
    </w:p>
    <w:p w14:paraId="75747DF8" w14:textId="77777777" w:rsidR="00835F2F" w:rsidRPr="00835F2F" w:rsidRDefault="00835F2F" w:rsidP="00835F2F">
      <w:pPr>
        <w:spacing w:after="0" w:line="276" w:lineRule="auto"/>
        <w:jc w:val="both"/>
        <w:rPr>
          <w:rFonts w:ascii="Verdana" w:eastAsia="Aptos" w:hAnsi="Verdana" w:cs="Times New Roman"/>
        </w:rPr>
      </w:pPr>
      <w:r w:rsidRPr="00835F2F">
        <w:rPr>
          <w:rFonts w:ascii="Verdana" w:eastAsia="Aptos" w:hAnsi="Verdana" w:cs="Times New Roman"/>
        </w:rPr>
        <w:t xml:space="preserve">Facebook: </w:t>
      </w:r>
      <w:proofErr w:type="spellStart"/>
      <w:r w:rsidRPr="00835F2F">
        <w:rPr>
          <w:rFonts w:ascii="Verdana" w:eastAsia="Calibri" w:hAnsi="Verdana" w:cs="Times New Roman"/>
          <w:color w:val="156082"/>
          <w:u w:val="single"/>
        </w:rPr>
        <w:t>ColombiaCompraEficiente</w:t>
      </w:r>
      <w:proofErr w:type="spellEnd"/>
    </w:p>
    <w:p w14:paraId="11117C85" w14:textId="77777777" w:rsidR="00835F2F" w:rsidRPr="00835F2F" w:rsidRDefault="00835F2F" w:rsidP="00835F2F">
      <w:pPr>
        <w:spacing w:after="0" w:line="276" w:lineRule="auto"/>
        <w:jc w:val="both"/>
        <w:rPr>
          <w:rFonts w:ascii="Verdana" w:eastAsia="Aptos" w:hAnsi="Verdana" w:cs="Times New Roman"/>
        </w:rPr>
      </w:pPr>
      <w:r w:rsidRPr="00835F2F">
        <w:rPr>
          <w:rFonts w:ascii="Verdana" w:eastAsia="Aptos" w:hAnsi="Verdana" w:cs="Times New Roman"/>
        </w:rPr>
        <w:t xml:space="preserve">LinkedIn: </w:t>
      </w:r>
      <w:r w:rsidRPr="00835F2F">
        <w:rPr>
          <w:rFonts w:ascii="Verdana" w:eastAsia="Calibri" w:hAnsi="Verdana" w:cs="Times New Roman"/>
          <w:color w:val="156082"/>
          <w:u w:val="single"/>
        </w:rPr>
        <w:t>Agencia Nacional de Contratación Pública - Colombia Compra Eficiente</w:t>
      </w:r>
      <w:r w:rsidRPr="00835F2F">
        <w:rPr>
          <w:rFonts w:ascii="Verdana" w:eastAsia="Calibri" w:hAnsi="Verdana" w:cs="Times New Roman"/>
          <w:color w:val="156082"/>
        </w:rPr>
        <w:t xml:space="preserve"> </w:t>
      </w:r>
      <w:r w:rsidRPr="00835F2F">
        <w:rPr>
          <w:rFonts w:ascii="Verdana" w:eastAsia="Aptos" w:hAnsi="Verdana" w:cs="Times New Roman"/>
        </w:rPr>
        <w:t xml:space="preserve">Instagram: </w:t>
      </w:r>
      <w:r w:rsidRPr="00835F2F">
        <w:rPr>
          <w:rFonts w:ascii="Verdana" w:eastAsia="Calibri" w:hAnsi="Verdana" w:cs="Times New Roman"/>
          <w:color w:val="156082"/>
          <w:u w:val="single"/>
        </w:rPr>
        <w:t>@colombiacompraeficiente_cce</w:t>
      </w:r>
    </w:p>
    <w:p w14:paraId="66E2C3AB" w14:textId="77777777" w:rsidR="00835F2F" w:rsidRPr="00835F2F" w:rsidRDefault="00835F2F" w:rsidP="00835F2F">
      <w:pPr>
        <w:spacing w:after="0" w:line="276" w:lineRule="auto"/>
        <w:jc w:val="both"/>
        <w:rPr>
          <w:rFonts w:ascii="Verdana" w:eastAsia="Aptos" w:hAnsi="Verdana" w:cs="Times New Roman"/>
        </w:rPr>
      </w:pPr>
    </w:p>
    <w:p w14:paraId="247970A8" w14:textId="77777777" w:rsidR="00835F2F" w:rsidRPr="00835F2F" w:rsidRDefault="00835F2F" w:rsidP="00835F2F">
      <w:pPr>
        <w:spacing w:after="0" w:line="276" w:lineRule="auto"/>
        <w:jc w:val="both"/>
        <w:rPr>
          <w:rFonts w:ascii="Verdana" w:eastAsia="Calibri" w:hAnsi="Verdana" w:cs="Times New Roman"/>
          <w:bCs/>
          <w:lang w:val="es-ES_tradnl"/>
        </w:rPr>
      </w:pPr>
      <w:r w:rsidRPr="00835F2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1E3A855" w14:textId="77777777" w:rsidR="00835F2F" w:rsidRPr="00835F2F" w:rsidRDefault="00835F2F" w:rsidP="00835F2F">
      <w:pPr>
        <w:spacing w:after="0" w:line="276" w:lineRule="auto"/>
        <w:jc w:val="both"/>
        <w:rPr>
          <w:rFonts w:ascii="Verdana" w:eastAsia="Calibri" w:hAnsi="Verdana" w:cs="Times New Roman"/>
        </w:rPr>
      </w:pPr>
    </w:p>
    <w:p w14:paraId="75BDB3C5" w14:textId="77777777" w:rsidR="00835F2F" w:rsidRPr="00835F2F" w:rsidRDefault="00835F2F" w:rsidP="00835F2F">
      <w:pPr>
        <w:spacing w:after="0" w:line="276" w:lineRule="auto"/>
        <w:jc w:val="both"/>
        <w:rPr>
          <w:rFonts w:ascii="Verdana" w:eastAsia="Calibri" w:hAnsi="Verdana" w:cs="Times New Roman"/>
        </w:rPr>
      </w:pPr>
      <w:r w:rsidRPr="00835F2F">
        <w:rPr>
          <w:rFonts w:ascii="Verdana" w:eastAsia="Calibri" w:hAnsi="Verdana" w:cs="Times New Roman"/>
        </w:rPr>
        <w:t>Atentamente,</w:t>
      </w:r>
    </w:p>
    <w:p w14:paraId="09A6862E" w14:textId="77777777" w:rsidR="00835F2F" w:rsidRPr="00835F2F" w:rsidRDefault="00835F2F" w:rsidP="00835F2F">
      <w:pPr>
        <w:spacing w:after="0" w:line="276" w:lineRule="auto"/>
        <w:jc w:val="both"/>
        <w:rPr>
          <w:rFonts w:ascii="Verdana" w:eastAsia="Aptos" w:hAnsi="Verdana" w:cs="Times New Roman"/>
        </w:rPr>
      </w:pPr>
    </w:p>
    <w:p w14:paraId="54763EB1" w14:textId="31E0065B" w:rsidR="00835F2F" w:rsidRPr="00835F2F" w:rsidRDefault="00836F14" w:rsidP="00835F2F">
      <w:pPr>
        <w:spacing w:after="0" w:line="276" w:lineRule="auto"/>
        <w:jc w:val="center"/>
        <w:rPr>
          <w:rFonts w:ascii="Verdana" w:eastAsia="Calibri" w:hAnsi="Verdana" w:cs="Times New Roman"/>
        </w:rPr>
      </w:pPr>
      <w:r>
        <w:rPr>
          <w:noProof/>
        </w:rPr>
        <w:drawing>
          <wp:inline distT="0" distB="0" distL="0" distR="0" wp14:anchorId="7A60AD11" wp14:editId="69DC6779">
            <wp:extent cx="3321385" cy="1232939"/>
            <wp:effectExtent l="0" t="0" r="0" b="5715"/>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33635" cy="123748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35F2F" w:rsidRPr="00835F2F" w14:paraId="724CCAFC" w14:textId="77777777" w:rsidTr="008F5473">
        <w:trPr>
          <w:trHeight w:val="315"/>
        </w:trPr>
        <w:tc>
          <w:tcPr>
            <w:tcW w:w="893" w:type="dxa"/>
            <w:vAlign w:val="center"/>
            <w:hideMark/>
          </w:tcPr>
          <w:p w14:paraId="574FFE0A" w14:textId="77777777" w:rsidR="00835F2F" w:rsidRPr="00835F2F" w:rsidRDefault="00835F2F" w:rsidP="00835F2F">
            <w:pPr>
              <w:contextualSpacing/>
              <w:rPr>
                <w:rFonts w:ascii="Verdana" w:eastAsia="Aptos" w:hAnsi="Verdana" w:cs="Arial"/>
                <w:sz w:val="16"/>
                <w:szCs w:val="16"/>
                <w:lang w:val="es-ES" w:eastAsia="es-ES"/>
              </w:rPr>
            </w:pPr>
            <w:r w:rsidRPr="00835F2F">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32D1BB7F" w14:textId="77777777" w:rsidR="00835F2F" w:rsidRPr="00835F2F" w:rsidRDefault="00835F2F" w:rsidP="00835F2F">
            <w:pPr>
              <w:contextualSpacing/>
              <w:textAlignment w:val="baseline"/>
              <w:rPr>
                <w:rFonts w:ascii="Verdana" w:eastAsia="Times New Roman" w:hAnsi="Verdana" w:cs="Aptos"/>
                <w:sz w:val="16"/>
                <w:szCs w:val="16"/>
                <w:lang w:eastAsia="es-CO"/>
              </w:rPr>
            </w:pPr>
            <w:r w:rsidRPr="00835F2F">
              <w:rPr>
                <w:rFonts w:ascii="Verdana" w:eastAsia="Times New Roman" w:hAnsi="Verdana" w:cs="Aptos"/>
                <w:sz w:val="16"/>
                <w:szCs w:val="16"/>
                <w:lang w:eastAsia="es-CO"/>
              </w:rPr>
              <w:t>Kevin Arlid Herrera Santa</w:t>
            </w:r>
          </w:p>
          <w:p w14:paraId="3312C643" w14:textId="77777777" w:rsidR="00835F2F" w:rsidRPr="00835F2F" w:rsidRDefault="00835F2F" w:rsidP="00835F2F">
            <w:pPr>
              <w:contextualSpacing/>
              <w:rPr>
                <w:rFonts w:ascii="Verdana" w:eastAsia="Arial" w:hAnsi="Verdana" w:cs="Arial"/>
                <w:sz w:val="16"/>
                <w:szCs w:val="16"/>
              </w:rPr>
            </w:pPr>
            <w:r w:rsidRPr="00835F2F">
              <w:rPr>
                <w:rFonts w:ascii="Verdana" w:eastAsia="Aptos" w:hAnsi="Verdana" w:cs="Times New Roman"/>
                <w:sz w:val="16"/>
                <w:szCs w:val="16"/>
              </w:rPr>
              <w:t>Contratista de la Subdirección de Gestión Contractual</w:t>
            </w:r>
          </w:p>
        </w:tc>
      </w:tr>
      <w:tr w:rsidR="00835F2F" w:rsidRPr="00835F2F" w14:paraId="6698789C" w14:textId="77777777" w:rsidTr="008F5473">
        <w:trPr>
          <w:trHeight w:val="330"/>
        </w:trPr>
        <w:tc>
          <w:tcPr>
            <w:tcW w:w="893" w:type="dxa"/>
            <w:vAlign w:val="center"/>
            <w:hideMark/>
          </w:tcPr>
          <w:p w14:paraId="07140CCD" w14:textId="77777777" w:rsidR="00835F2F" w:rsidRPr="00835F2F" w:rsidRDefault="00835F2F" w:rsidP="00835F2F">
            <w:pPr>
              <w:contextualSpacing/>
              <w:rPr>
                <w:rFonts w:ascii="Verdana" w:eastAsia="Aptos" w:hAnsi="Verdana" w:cs="Arial"/>
                <w:sz w:val="16"/>
                <w:szCs w:val="16"/>
                <w:lang w:val="es-ES" w:eastAsia="es-ES"/>
              </w:rPr>
            </w:pPr>
            <w:r w:rsidRPr="00835F2F">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73BD3A4" w14:textId="77777777" w:rsidR="00835F2F" w:rsidRPr="00835F2F" w:rsidRDefault="00835F2F" w:rsidP="00835F2F">
            <w:pPr>
              <w:contextualSpacing/>
              <w:textAlignment w:val="baseline"/>
              <w:rPr>
                <w:rFonts w:ascii="Verdana" w:eastAsia="Times New Roman" w:hAnsi="Verdana" w:cs="Aptos"/>
                <w:sz w:val="16"/>
                <w:szCs w:val="16"/>
                <w:lang w:eastAsia="es-CO"/>
              </w:rPr>
            </w:pPr>
            <w:r w:rsidRPr="00835F2F">
              <w:rPr>
                <w:rFonts w:ascii="Verdana" w:eastAsia="Times New Roman" w:hAnsi="Verdana" w:cs="Aptos"/>
                <w:sz w:val="16"/>
                <w:szCs w:val="16"/>
                <w:lang w:eastAsia="es-CO"/>
              </w:rPr>
              <w:t xml:space="preserve">Adriana </w:t>
            </w:r>
            <w:proofErr w:type="spellStart"/>
            <w:r w:rsidRPr="00835F2F">
              <w:rPr>
                <w:rFonts w:ascii="Verdana" w:eastAsia="Times New Roman" w:hAnsi="Verdana" w:cs="Aptos"/>
                <w:sz w:val="16"/>
                <w:szCs w:val="16"/>
                <w:lang w:eastAsia="es-CO"/>
              </w:rPr>
              <w:t>Katerine</w:t>
            </w:r>
            <w:proofErr w:type="spellEnd"/>
            <w:r w:rsidRPr="00835F2F">
              <w:rPr>
                <w:rFonts w:ascii="Verdana" w:eastAsia="Times New Roman" w:hAnsi="Verdana" w:cs="Aptos"/>
                <w:sz w:val="16"/>
                <w:szCs w:val="16"/>
                <w:lang w:eastAsia="es-CO"/>
              </w:rPr>
              <w:t xml:space="preserve"> López Rodríguez</w:t>
            </w:r>
          </w:p>
          <w:p w14:paraId="3D32F2C6" w14:textId="77777777" w:rsidR="00835F2F" w:rsidRPr="00835F2F" w:rsidRDefault="00835F2F" w:rsidP="00835F2F">
            <w:pPr>
              <w:contextualSpacing/>
              <w:textAlignment w:val="baseline"/>
              <w:rPr>
                <w:rFonts w:ascii="Verdana" w:eastAsia="Times New Roman" w:hAnsi="Verdana" w:cs="Aptos"/>
                <w:sz w:val="16"/>
                <w:szCs w:val="16"/>
                <w:lang w:eastAsia="es-CO"/>
              </w:rPr>
            </w:pPr>
            <w:r w:rsidRPr="00835F2F">
              <w:rPr>
                <w:rFonts w:ascii="Verdana" w:eastAsia="Arial" w:hAnsi="Verdana" w:cs="Arial"/>
                <w:sz w:val="16"/>
                <w:szCs w:val="16"/>
                <w:lang w:eastAsia="es-CO"/>
              </w:rPr>
              <w:t>Contratista Subdirección de Gestión Contractual</w:t>
            </w:r>
          </w:p>
        </w:tc>
      </w:tr>
      <w:tr w:rsidR="00835F2F" w:rsidRPr="00835F2F" w14:paraId="19032E27" w14:textId="77777777" w:rsidTr="008F5473">
        <w:trPr>
          <w:trHeight w:val="300"/>
        </w:trPr>
        <w:tc>
          <w:tcPr>
            <w:tcW w:w="893" w:type="dxa"/>
            <w:vAlign w:val="center"/>
          </w:tcPr>
          <w:p w14:paraId="0257DAFB" w14:textId="77777777" w:rsidR="00835F2F" w:rsidRPr="00835F2F" w:rsidRDefault="00835F2F" w:rsidP="00835F2F">
            <w:pPr>
              <w:contextualSpacing/>
              <w:rPr>
                <w:rFonts w:ascii="Verdana" w:eastAsia="Aptos" w:hAnsi="Verdana" w:cs="Arial"/>
                <w:sz w:val="16"/>
                <w:szCs w:val="16"/>
                <w:lang w:val="es-ES" w:eastAsia="es-ES"/>
              </w:rPr>
            </w:pPr>
            <w:r w:rsidRPr="00835F2F">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F788EA5" w14:textId="77777777" w:rsidR="00835F2F" w:rsidRPr="00835F2F" w:rsidRDefault="00835F2F" w:rsidP="00835F2F">
            <w:pPr>
              <w:rPr>
                <w:rFonts w:ascii="Verdana" w:eastAsia="Calibri" w:hAnsi="Verdana" w:cs="Arial"/>
                <w:sz w:val="16"/>
                <w:szCs w:val="16"/>
                <w:lang w:val="es-ES" w:eastAsia="es-ES"/>
              </w:rPr>
            </w:pPr>
            <w:r w:rsidRPr="00835F2F">
              <w:rPr>
                <w:rFonts w:ascii="Verdana" w:eastAsia="Calibri" w:hAnsi="Verdana" w:cs="Arial"/>
                <w:sz w:val="16"/>
                <w:szCs w:val="16"/>
                <w:lang w:val="es-ES" w:eastAsia="es-ES"/>
              </w:rPr>
              <w:t xml:space="preserve">Carolina Quintero </w:t>
            </w:r>
            <w:proofErr w:type="spellStart"/>
            <w:r w:rsidRPr="00835F2F">
              <w:rPr>
                <w:rFonts w:ascii="Verdana" w:eastAsia="Calibri" w:hAnsi="Verdana" w:cs="Arial"/>
                <w:sz w:val="16"/>
                <w:szCs w:val="16"/>
                <w:lang w:val="es-ES" w:eastAsia="es-ES"/>
              </w:rPr>
              <w:t>Gacharná</w:t>
            </w:r>
            <w:proofErr w:type="spellEnd"/>
          </w:p>
          <w:p w14:paraId="4F054A60" w14:textId="77777777" w:rsidR="00835F2F" w:rsidRPr="00835F2F" w:rsidRDefault="00835F2F" w:rsidP="00835F2F">
            <w:pPr>
              <w:contextualSpacing/>
              <w:textAlignment w:val="baseline"/>
              <w:rPr>
                <w:rFonts w:ascii="Verdana" w:eastAsia="Calibri" w:hAnsi="Verdana" w:cs="Arial"/>
                <w:sz w:val="16"/>
                <w:szCs w:val="16"/>
                <w:lang w:val="pt-BR" w:eastAsia="es-ES"/>
              </w:rPr>
            </w:pPr>
            <w:r w:rsidRPr="00835F2F">
              <w:rPr>
                <w:rFonts w:ascii="Verdana" w:eastAsia="Times New Roman" w:hAnsi="Verdana" w:cs="Aptos"/>
                <w:sz w:val="16"/>
                <w:szCs w:val="16"/>
                <w:lang w:eastAsia="es-CO"/>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AA7B4" w14:textId="77777777" w:rsidR="000B0CED" w:rsidRDefault="000B0CED" w:rsidP="004A1847">
      <w:pPr>
        <w:spacing w:after="0" w:line="240" w:lineRule="auto"/>
      </w:pPr>
      <w:r>
        <w:separator/>
      </w:r>
    </w:p>
  </w:endnote>
  <w:endnote w:type="continuationSeparator" w:id="0">
    <w:p w14:paraId="1A915258" w14:textId="77777777" w:rsidR="000B0CED" w:rsidRDefault="000B0CE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F9A38" w14:textId="77777777" w:rsidR="000B0CED" w:rsidRDefault="000B0CED" w:rsidP="004A1847">
      <w:pPr>
        <w:spacing w:after="0" w:line="240" w:lineRule="auto"/>
      </w:pPr>
      <w:r>
        <w:separator/>
      </w:r>
    </w:p>
  </w:footnote>
  <w:footnote w:type="continuationSeparator" w:id="0">
    <w:p w14:paraId="56060953" w14:textId="77777777" w:rsidR="000B0CED" w:rsidRDefault="000B0CED" w:rsidP="004A1847">
      <w:pPr>
        <w:spacing w:after="0" w:line="240" w:lineRule="auto"/>
      </w:pPr>
      <w:r>
        <w:continuationSeparator/>
      </w:r>
    </w:p>
  </w:footnote>
  <w:footnote w:id="1">
    <w:p w14:paraId="7B932438" w14:textId="77777777" w:rsidR="00835F2F" w:rsidRPr="00CD5B19" w:rsidRDefault="00835F2F" w:rsidP="00835F2F">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Estos Documentos Tipo pueden ser consultados en la página web de Colombia Compra Eficiente, a través del siguiente enlace: </w:t>
      </w:r>
      <w:hyperlink r:id="rId1" w:history="1">
        <w:r w:rsidRPr="00CD5B19">
          <w:rPr>
            <w:rStyle w:val="Hipervnculo"/>
            <w:rFonts w:ascii="Verdana" w:hAnsi="Verdana"/>
            <w:sz w:val="18"/>
            <w:szCs w:val="18"/>
          </w:rPr>
          <w:t>https://www.colombiacompra.gov.co/documentos-tipo/documentos-tipo</w:t>
        </w:r>
      </w:hyperlink>
      <w:r w:rsidRPr="00CD5B19">
        <w:rPr>
          <w:rFonts w:ascii="Verdana" w:hAnsi="Verdana"/>
          <w:sz w:val="18"/>
          <w:szCs w:val="18"/>
        </w:rPr>
        <w:t xml:space="preserve"> </w:t>
      </w:r>
    </w:p>
  </w:footnote>
  <w:footnote w:id="2">
    <w:p w14:paraId="56E17AB8" w14:textId="77777777" w:rsidR="00835F2F" w:rsidRPr="00CD5B19" w:rsidRDefault="00835F2F" w:rsidP="00835F2F">
      <w:pPr>
        <w:pStyle w:val="Textonotapie"/>
        <w:snapToGrid w:val="0"/>
        <w:jc w:val="both"/>
        <w:rPr>
          <w:rFonts w:ascii="Verdana" w:hAnsi="Verdana" w:cs="Arial"/>
          <w:color w:val="000000"/>
          <w:sz w:val="18"/>
          <w:szCs w:val="18"/>
        </w:rPr>
      </w:pPr>
    </w:p>
    <w:p w14:paraId="232DC0C8" w14:textId="77777777" w:rsidR="00835F2F" w:rsidRPr="00CD5B19" w:rsidRDefault="00835F2F" w:rsidP="00835F2F">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vigentes, dicha regla se observa en el artículo 3 de las Resoluciones </w:t>
      </w:r>
      <w:bookmarkStart w:id="3"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3"/>
      <w:r w:rsidRPr="00CD5B19">
        <w:rPr>
          <w:rFonts w:ascii="Verdana" w:hAnsi="Verdana" w:cs="Arial"/>
          <w:color w:val="000000"/>
          <w:sz w:val="18"/>
          <w:szCs w:val="18"/>
          <w:lang w:val="es-ES"/>
        </w:rPr>
        <w:t xml:space="preserve">. </w:t>
      </w:r>
    </w:p>
    <w:p w14:paraId="2D498DA0" w14:textId="77777777" w:rsidR="00835F2F" w:rsidRPr="00CD5B19" w:rsidRDefault="00835F2F" w:rsidP="00835F2F">
      <w:pPr>
        <w:pStyle w:val="Textonotapie"/>
        <w:snapToGrid w:val="0"/>
        <w:ind w:firstLine="709"/>
        <w:jc w:val="both"/>
        <w:rPr>
          <w:rFonts w:ascii="Verdana" w:hAnsi="Verdana" w:cs="Arial"/>
          <w:color w:val="000000"/>
          <w:sz w:val="18"/>
          <w:szCs w:val="18"/>
          <w:lang w:val="es-ES"/>
        </w:rPr>
      </w:pPr>
    </w:p>
  </w:footnote>
  <w:footnote w:id="3">
    <w:p w14:paraId="79CB0C36" w14:textId="77777777" w:rsidR="00835F2F" w:rsidRPr="00CD5B19" w:rsidRDefault="00835F2F" w:rsidP="00835F2F">
      <w:pPr>
        <w:pStyle w:val="Textonotapie"/>
        <w:snapToGrid w:val="0"/>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r>
        <w:rPr>
          <w:rFonts w:ascii="Verdana" w:hAnsi="Verdana" w:cs="Arial"/>
          <w:color w:val="000000"/>
          <w:sz w:val="18"/>
          <w:szCs w:val="18"/>
        </w:rPr>
        <w:t>.</w:t>
      </w:r>
    </w:p>
    <w:p w14:paraId="7DA072B1" w14:textId="77777777" w:rsidR="00835F2F" w:rsidRPr="00CD5B19" w:rsidRDefault="00835F2F" w:rsidP="00835F2F">
      <w:pPr>
        <w:pStyle w:val="Textonotapie"/>
        <w:snapToGrid w:val="0"/>
        <w:ind w:firstLine="708"/>
        <w:jc w:val="both"/>
        <w:rPr>
          <w:rFonts w:ascii="Verdana" w:hAnsi="Verdana" w:cs="Arial"/>
          <w:color w:val="000000"/>
          <w:sz w:val="18"/>
          <w:szCs w:val="18"/>
        </w:rPr>
      </w:pPr>
    </w:p>
  </w:footnote>
  <w:footnote w:id="4">
    <w:p w14:paraId="0F5CF2E7" w14:textId="77777777" w:rsidR="00835F2F" w:rsidRPr="00CD5B19" w:rsidRDefault="00835F2F" w:rsidP="00835F2F">
      <w:pPr>
        <w:pStyle w:val="Textonotapie"/>
        <w:snapToGrid w:val="0"/>
        <w:ind w:firstLine="709"/>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BDF5278" w14:textId="77777777" w:rsidR="00835F2F" w:rsidRPr="00CD5B19" w:rsidRDefault="00835F2F" w:rsidP="00835F2F">
      <w:pPr>
        <w:pStyle w:val="Textonotapie"/>
        <w:snapToGrid w:val="0"/>
        <w:ind w:firstLine="709"/>
        <w:jc w:val="both"/>
        <w:rPr>
          <w:rFonts w:ascii="Verdana" w:hAnsi="Verdana" w:cs="Arial"/>
          <w:color w:val="000000"/>
          <w:sz w:val="18"/>
          <w:szCs w:val="18"/>
        </w:rPr>
      </w:pPr>
    </w:p>
  </w:footnote>
  <w:footnote w:id="5">
    <w:p w14:paraId="416BBB88" w14:textId="77777777" w:rsidR="00835F2F" w:rsidRDefault="00835F2F" w:rsidP="00835F2F">
      <w:pPr>
        <w:snapToGrid w:val="0"/>
        <w:spacing w:after="0" w:line="240" w:lineRule="auto"/>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5D0626A6" w14:textId="77777777" w:rsidR="00835F2F" w:rsidRPr="00CD5B19" w:rsidRDefault="00835F2F" w:rsidP="00835F2F">
      <w:pPr>
        <w:snapToGrid w:val="0"/>
        <w:spacing w:after="0" w:line="240" w:lineRule="auto"/>
        <w:ind w:firstLine="709"/>
        <w:jc w:val="both"/>
        <w:rPr>
          <w:rFonts w:ascii="Verdana" w:hAnsi="Verdana" w:cs="Arial"/>
          <w:color w:val="000000"/>
          <w:sz w:val="18"/>
          <w:szCs w:val="18"/>
          <w:lang w:val="es-ES"/>
        </w:rPr>
      </w:pPr>
    </w:p>
  </w:footnote>
  <w:footnote w:id="6">
    <w:p w14:paraId="50058AC4" w14:textId="77777777" w:rsidR="00835F2F" w:rsidRPr="00CD5B19" w:rsidRDefault="00835F2F" w:rsidP="00835F2F">
      <w:pPr>
        <w:pStyle w:val="Textonotapie"/>
        <w:snapToGrid w:val="0"/>
        <w:ind w:firstLine="708"/>
        <w:jc w:val="both"/>
        <w:rPr>
          <w:rFonts w:ascii="Verdana" w:hAnsi="Verdana" w:cs="Arial"/>
          <w:sz w:val="18"/>
          <w:szCs w:val="18"/>
          <w:lang w:val="es-ES"/>
        </w:rPr>
      </w:pPr>
      <w:r w:rsidRPr="00CD5B19">
        <w:rPr>
          <w:rStyle w:val="Refdenotaalpie"/>
          <w:rFonts w:ascii="Verdana" w:hAnsi="Verdana" w:cs="Arial"/>
          <w:sz w:val="18"/>
          <w:szCs w:val="18"/>
        </w:rPr>
        <w:footnoteRef/>
      </w:r>
      <w:r w:rsidRPr="00CD5B19">
        <w:rPr>
          <w:rFonts w:ascii="Verdana" w:hAnsi="Verdana" w:cs="Arial"/>
          <w:sz w:val="18"/>
          <w:szCs w:val="18"/>
        </w:rPr>
        <w:t xml:space="preserve"> Diccionario de la Real Academia Española, versión online disponible en: </w:t>
      </w:r>
      <w:hyperlink r:id="rId2" w:history="1">
        <w:r w:rsidRPr="00CD5B19">
          <w:rPr>
            <w:rStyle w:val="Hipervnculo"/>
            <w:rFonts w:ascii="Verdana" w:hAnsi="Verdana" w:cs="Arial"/>
            <w:sz w:val="18"/>
            <w:szCs w:val="18"/>
          </w:rPr>
          <w:t>https://dle.rae.es/est%C3%A1ndar</w:t>
        </w:r>
      </w:hyperlink>
      <w:r w:rsidRPr="00CD5B19">
        <w:rPr>
          <w:rFonts w:ascii="Verdana" w:hAnsi="Verdana" w:cs="Arial"/>
          <w:sz w:val="18"/>
          <w:szCs w:val="18"/>
        </w:rPr>
        <w:t xml:space="preserve">, consultado el 1 de octubre de 2025. </w:t>
      </w:r>
    </w:p>
  </w:footnote>
  <w:footnote w:id="7">
    <w:p w14:paraId="7FA96095" w14:textId="77777777" w:rsidR="00835F2F" w:rsidRDefault="00835F2F" w:rsidP="00835F2F">
      <w:pPr>
        <w:snapToGrid w:val="0"/>
        <w:spacing w:after="0" w:line="240" w:lineRule="auto"/>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1FEB3D1A" w14:textId="77777777" w:rsidR="00835F2F" w:rsidRPr="00CD5B19" w:rsidRDefault="00835F2F" w:rsidP="00835F2F">
      <w:pPr>
        <w:snapToGrid w:val="0"/>
        <w:spacing w:after="0" w:line="240" w:lineRule="auto"/>
        <w:ind w:firstLine="708"/>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416388A"/>
    <w:multiLevelType w:val="hybridMultilevel"/>
    <w:tmpl w:val="AA2A9C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C3F8E"/>
    <w:multiLevelType w:val="hybridMultilevel"/>
    <w:tmpl w:val="DB526D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948663749">
    <w:abstractNumId w:val="11"/>
  </w:num>
  <w:num w:numId="20" w16cid:durableId="18228883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CED"/>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323E6"/>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6E0F63"/>
    <w:rsid w:val="00706C16"/>
    <w:rsid w:val="00756841"/>
    <w:rsid w:val="007649AB"/>
    <w:rsid w:val="00771D0C"/>
    <w:rsid w:val="007833AC"/>
    <w:rsid w:val="007B268C"/>
    <w:rsid w:val="007B2B8F"/>
    <w:rsid w:val="007B7171"/>
    <w:rsid w:val="007C0C0F"/>
    <w:rsid w:val="007C3DC2"/>
    <w:rsid w:val="007E5497"/>
    <w:rsid w:val="00806F5F"/>
    <w:rsid w:val="00820278"/>
    <w:rsid w:val="00835F2F"/>
    <w:rsid w:val="00836F14"/>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29BA"/>
    <w:rsid w:val="009D3058"/>
    <w:rsid w:val="009F3A13"/>
    <w:rsid w:val="00A122D3"/>
    <w:rsid w:val="00A17F13"/>
    <w:rsid w:val="00A20739"/>
    <w:rsid w:val="00A33C78"/>
    <w:rsid w:val="00AB00EC"/>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0239"/>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35F2F"/>
    <w:pPr>
      <w:spacing w:line="240" w:lineRule="exact"/>
    </w:pPr>
    <w:rPr>
      <w:vertAlign w:val="superscript"/>
    </w:rPr>
  </w:style>
  <w:style w:type="table" w:customStyle="1" w:styleId="Tablaconcuadrcula1">
    <w:name w:val="Tabla con cuadrícula1"/>
    <w:basedOn w:val="Tablanormal"/>
    <w:next w:val="Tablaconcuadrcula"/>
    <w:uiPriority w:val="39"/>
    <w:qFormat/>
    <w:rsid w:val="00835F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44CA30-5A0E-4FFD-A8C8-B9226AA4A57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13</Pages>
  <Words>4449</Words>
  <Characters>24470</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2025-10-29T21:45:00Z</dcterms:created>
  <dcterms:modified xsi:type="dcterms:W3CDTF">2025-10-29T21:48:00Z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