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CA8E2" w14:textId="77777777" w:rsidR="00E732E6" w:rsidRDefault="00E732E6" w:rsidP="001674FC">
      <w:pPr>
        <w:spacing w:after="0" w:line="240" w:lineRule="auto"/>
        <w:rPr>
          <w:rFonts w:ascii="Verdana" w:eastAsia="Calibri" w:hAnsi="Verdana" w:cs="Arial"/>
          <w:b/>
          <w:sz w:val="20"/>
          <w:szCs w:val="20"/>
          <w:lang w:val="es-MX" w:eastAsia="es-ES_tradnl"/>
        </w:rPr>
      </w:pPr>
    </w:p>
    <w:p w14:paraId="3D17B23B" w14:textId="77777777" w:rsidR="00E732E6" w:rsidRDefault="00E732E6" w:rsidP="001674FC">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INHABILIDADES – Definición – Finalidad – Limitación capacidad contractual</w:t>
      </w:r>
    </w:p>
    <w:p w14:paraId="511D49E3" w14:textId="77777777" w:rsidR="00E732E6" w:rsidRDefault="00E732E6" w:rsidP="001674FC">
      <w:pPr>
        <w:spacing w:after="0" w:line="240" w:lineRule="auto"/>
        <w:rPr>
          <w:rFonts w:ascii="Verdana" w:eastAsia="Calibri" w:hAnsi="Verdana" w:cs="Arial"/>
          <w:bCs/>
          <w:sz w:val="20"/>
          <w:szCs w:val="20"/>
          <w:lang w:val="es-MX" w:eastAsia="es-ES_tradnl"/>
        </w:rPr>
      </w:pPr>
    </w:p>
    <w:p w14:paraId="6BA87C1A" w14:textId="77777777" w:rsidR="00E732E6" w:rsidRDefault="00E732E6" w:rsidP="001674FC">
      <w:pPr>
        <w:spacing w:after="0" w:line="240" w:lineRule="auto"/>
        <w:jc w:val="both"/>
        <w:rPr>
          <w:rFonts w:ascii="Verdana" w:eastAsia="Geomanist Light" w:hAnsi="Verdana" w:cs="Arial"/>
          <w:color w:val="000000" w:themeColor="text1"/>
          <w:sz w:val="20"/>
          <w:szCs w:val="20"/>
          <w:lang w:val="es-MX"/>
        </w:rPr>
      </w:pPr>
      <w:r>
        <w:rPr>
          <w:rFonts w:ascii="Verdana" w:eastAsia="Geomanist Light" w:hAnsi="Verdana" w:cs="Arial"/>
          <w:color w:val="000000" w:themeColor="text1"/>
          <w:sz w:val="20"/>
          <w:szCs w:val="20"/>
          <w:lang w:val="es-MX"/>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 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 La consagración limitaciones que afectan la capacidad jurídica para contratar desarrolla los principios de la función administrativa consagrados en el artículo 209 de la Constitución Política, con especial énfasis el de moralidad.</w:t>
      </w:r>
    </w:p>
    <w:p w14:paraId="39ADEE34" w14:textId="77777777" w:rsidR="00E732E6" w:rsidRDefault="00E732E6" w:rsidP="001674FC">
      <w:pPr>
        <w:spacing w:after="0" w:line="240" w:lineRule="auto"/>
        <w:jc w:val="both"/>
        <w:rPr>
          <w:rFonts w:ascii="Verdana" w:eastAsia="Geomanist Light" w:hAnsi="Verdana" w:cs="Arial"/>
          <w:color w:val="000000" w:themeColor="text1"/>
          <w:sz w:val="20"/>
          <w:szCs w:val="20"/>
          <w:lang w:val="es-MX"/>
        </w:rPr>
      </w:pPr>
    </w:p>
    <w:p w14:paraId="60980500" w14:textId="77777777" w:rsidR="00E732E6" w:rsidRDefault="00E732E6" w:rsidP="001674FC">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CONTRATACIÓN ESTATAL – Capacidad – Validez contratos – Régimen de contratación – Inscripción – Limitación de la capacidad</w:t>
      </w:r>
    </w:p>
    <w:p w14:paraId="4304AF1C" w14:textId="77777777" w:rsidR="00E732E6" w:rsidRDefault="00E732E6" w:rsidP="001674FC">
      <w:pPr>
        <w:spacing w:after="0" w:line="240" w:lineRule="auto"/>
        <w:jc w:val="both"/>
        <w:rPr>
          <w:rFonts w:ascii="Verdana" w:eastAsia="Calibri" w:hAnsi="Verdana" w:cs="Arial"/>
          <w:bCs/>
          <w:sz w:val="20"/>
          <w:szCs w:val="20"/>
          <w:lang w:val="es-MX" w:eastAsia="es-ES_tradnl"/>
        </w:rPr>
      </w:pPr>
    </w:p>
    <w:p w14:paraId="25BEA468" w14:textId="77777777" w:rsidR="00E732E6" w:rsidRDefault="00E732E6" w:rsidP="001674FC">
      <w:pPr>
        <w:spacing w:after="0" w:line="240" w:lineRule="auto"/>
        <w:jc w:val="both"/>
        <w:rPr>
          <w:rFonts w:ascii="Verdana" w:eastAsia="Calibri" w:hAnsi="Verdana" w:cs="Arial"/>
          <w:bCs/>
          <w:sz w:val="20"/>
          <w:szCs w:val="20"/>
          <w:lang w:val="es-MX" w:eastAsia="es-ES_tradnl"/>
        </w:rPr>
      </w:pPr>
      <w:r>
        <w:rPr>
          <w:rFonts w:ascii="Verdana" w:eastAsia="Calibri" w:hAnsi="Verdana" w:cs="Arial"/>
          <w:bCs/>
          <w:sz w:val="20"/>
          <w:szCs w:val="20"/>
          <w:lang w:val="es-MX" w:eastAsia="es-ES_tradnl"/>
        </w:rPr>
        <w:t>[…] en la contratación estatal, la capacidad también es un requisito de validez de los contratos, tanto en el régimen de las entidades sujetas al Estatuto General de Contratación de la Administración Pública como en el de las entidades exceptuadas de aquel. Si bien la regulación de la capacidad se integra por varias disposiciones y exigencias especiales –como el requisito de inscribirse, por regla general, en el Registro Único de Proponentes (RUP), establecido en el artículo 6 de la Ley 1150 de 2007, modificado por el artículo 221 del Decreto 19 de 2012 –, se destaca el régimen de inhabilidades e incompatibilidades como un conjunto de normas que imponen restricciones para los sujetos que, eventualmente, pretendan participar en los procedimientos de selección o celebrar contratos con las entidades estatales.</w:t>
      </w:r>
    </w:p>
    <w:p w14:paraId="1DB5FE74" w14:textId="77777777" w:rsidR="00E732E6" w:rsidRDefault="00E732E6" w:rsidP="001674FC">
      <w:pPr>
        <w:spacing w:after="0" w:line="240" w:lineRule="auto"/>
        <w:jc w:val="both"/>
        <w:rPr>
          <w:rFonts w:ascii="Verdana" w:eastAsia="Calibri" w:hAnsi="Verdana" w:cs="Arial"/>
          <w:bCs/>
          <w:sz w:val="20"/>
          <w:szCs w:val="20"/>
          <w:lang w:val="es-MX" w:eastAsia="es-ES_tradnl"/>
        </w:rPr>
      </w:pPr>
    </w:p>
    <w:p w14:paraId="69EF655B" w14:textId="77777777" w:rsidR="00E732E6" w:rsidRDefault="00E732E6" w:rsidP="001674FC">
      <w:pPr>
        <w:spacing w:after="0" w:line="240" w:lineRule="auto"/>
        <w:jc w:val="both"/>
        <w:rPr>
          <w:rFonts w:ascii="Verdana" w:eastAsia="Calibri" w:hAnsi="Verdana" w:cs="Arial"/>
          <w:bCs/>
          <w:sz w:val="20"/>
          <w:szCs w:val="20"/>
          <w:lang w:val="es-MX" w:eastAsia="es-ES_tradnl"/>
        </w:rPr>
      </w:pPr>
      <w:r>
        <w:rPr>
          <w:rFonts w:ascii="Verdana" w:eastAsia="Calibri" w:hAnsi="Verdana" w:cs="Arial"/>
          <w:bCs/>
          <w:sz w:val="20"/>
          <w:szCs w:val="20"/>
          <w:lang w:val="es-MX" w:eastAsia="es-ES_tradnl"/>
        </w:rPr>
        <w:t xml:space="preserve">Las inhabilidades son prohibiciones para concurrir a los procedimientos de selección y para contratar con el Estado, que se derivan: i) de la existencia de comportamientos reprochables o de sanciones anteriormente impuestas, ii) de vínculos personales relativos al parentesco o al estado civil o iii)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w:t>
      </w:r>
      <w:r>
        <w:rPr>
          <w:rFonts w:ascii="Verdana" w:eastAsia="Calibri" w:hAnsi="Verdana" w:cs="Arial"/>
          <w:bCs/>
          <w:sz w:val="20"/>
          <w:szCs w:val="20"/>
          <w:lang w:val="es-MX" w:eastAsia="es-ES_tradnl"/>
        </w:rPr>
        <w:lastRenderedPageBreak/>
        <w:t>entidades estatales, por lo que de cualquiera de ellas se derivan los mismos efectos jurídicos.</w:t>
      </w:r>
    </w:p>
    <w:p w14:paraId="20103D43" w14:textId="77777777" w:rsidR="00E732E6" w:rsidRDefault="00E732E6" w:rsidP="001674FC">
      <w:pPr>
        <w:spacing w:after="0" w:line="240" w:lineRule="auto"/>
        <w:jc w:val="both"/>
        <w:rPr>
          <w:rFonts w:ascii="Verdana" w:eastAsia="Calibri" w:hAnsi="Verdana" w:cs="Arial"/>
          <w:bCs/>
          <w:sz w:val="20"/>
          <w:szCs w:val="20"/>
          <w:lang w:val="es-MX" w:eastAsia="es-ES_tradnl"/>
        </w:rPr>
      </w:pPr>
    </w:p>
    <w:p w14:paraId="2A0AE7B7" w14:textId="77777777" w:rsidR="00E732E6" w:rsidRDefault="00E732E6" w:rsidP="001674FC">
      <w:pPr>
        <w:spacing w:after="0" w:line="240" w:lineRule="auto"/>
        <w:jc w:val="both"/>
        <w:rPr>
          <w:rFonts w:ascii="Verdana" w:eastAsia="Calibri" w:hAnsi="Verdana" w:cs="Arial"/>
          <w:b/>
          <w:lang w:val="es-MX" w:eastAsia="es-ES_tradnl"/>
        </w:rPr>
      </w:pPr>
      <w:r>
        <w:rPr>
          <w:rFonts w:ascii="Verdana" w:eastAsia="Calibri" w:hAnsi="Verdana" w:cs="Arial"/>
          <w:b/>
          <w:lang w:val="es-MX" w:eastAsia="es-ES_tradnl"/>
        </w:rPr>
        <w:t xml:space="preserve">FONDOS QUE ADMINISTRAN RECURSOS PARAFISCALES – Régimen de inhabilidades e incompatibilidades – Extensión </w:t>
      </w:r>
    </w:p>
    <w:p w14:paraId="7F68300B" w14:textId="77777777" w:rsidR="00E732E6" w:rsidRDefault="00E732E6" w:rsidP="001674FC">
      <w:pPr>
        <w:spacing w:after="0" w:line="240" w:lineRule="auto"/>
        <w:rPr>
          <w:rFonts w:ascii="Verdana" w:eastAsia="Calibri" w:hAnsi="Verdana" w:cs="Arial"/>
          <w:bCs/>
          <w:sz w:val="20"/>
          <w:szCs w:val="20"/>
          <w:lang w:val="es-MX" w:eastAsia="es-ES_tradnl"/>
        </w:rPr>
      </w:pPr>
    </w:p>
    <w:p w14:paraId="5B080AA8" w14:textId="77777777" w:rsidR="00E732E6" w:rsidRDefault="00E732E6" w:rsidP="001674FC">
      <w:pPr>
        <w:spacing w:after="0" w:line="240" w:lineRule="auto"/>
        <w:jc w:val="both"/>
        <w:rPr>
          <w:rFonts w:ascii="Verdana" w:eastAsia="Calibri" w:hAnsi="Verdana" w:cs="Arial"/>
          <w:bCs/>
          <w:sz w:val="20"/>
          <w:szCs w:val="20"/>
          <w:lang w:val="es-MX" w:eastAsia="es-ES_tradnl"/>
        </w:rPr>
      </w:pPr>
      <w:r>
        <w:rPr>
          <w:rFonts w:ascii="Verdana" w:eastAsia="Calibri" w:hAnsi="Verdana" w:cs="Arial"/>
          <w:bCs/>
          <w:sz w:val="20"/>
          <w:szCs w:val="20"/>
          <w:lang w:val="es-MX" w:eastAsia="es-ES_tradnl"/>
        </w:rPr>
        <w:t>Las restricciones a la capacidad jurídica para la celebración de contratos se extienden a los negocios jurídicos entre particulares. Al respecto, el parágrafo 3 del artículo 8 del Estatuto General de Contratación de la Administración Pública, adicionado por el artículo 3 de la Ley 2014 de 2019, dispone que “Las inhabilidades e incompatibilidades contempladas en este artículo se aplicarán a cualquier proceso de contratación privada en el que se comprometan recursos públicos”.</w:t>
      </w:r>
    </w:p>
    <w:p w14:paraId="5E8DC830" w14:textId="77777777" w:rsidR="00E732E6" w:rsidRDefault="00E732E6" w:rsidP="001674FC">
      <w:pPr>
        <w:spacing w:after="0" w:line="240" w:lineRule="auto"/>
        <w:jc w:val="both"/>
        <w:rPr>
          <w:rFonts w:ascii="Verdana" w:eastAsia="Calibri" w:hAnsi="Verdana" w:cs="Arial"/>
          <w:bCs/>
          <w:sz w:val="20"/>
          <w:szCs w:val="20"/>
          <w:lang w:val="es-MX" w:eastAsia="es-ES_tradnl"/>
        </w:rPr>
      </w:pPr>
    </w:p>
    <w:p w14:paraId="0045CEA1" w14:textId="77777777" w:rsidR="00E732E6" w:rsidRDefault="00E732E6" w:rsidP="001674FC">
      <w:pPr>
        <w:spacing w:after="0" w:line="240" w:lineRule="auto"/>
        <w:jc w:val="both"/>
        <w:rPr>
          <w:rFonts w:ascii="Verdana" w:eastAsia="Calibri" w:hAnsi="Verdana" w:cs="Arial"/>
          <w:bCs/>
          <w:sz w:val="20"/>
          <w:szCs w:val="20"/>
          <w:lang w:val="es-MX" w:eastAsia="es-ES_tradnl"/>
        </w:rPr>
      </w:pPr>
      <w:r>
        <w:rPr>
          <w:rFonts w:ascii="Verdana" w:eastAsia="Calibri" w:hAnsi="Verdana" w:cs="Arial"/>
          <w:bCs/>
          <w:sz w:val="20"/>
          <w:szCs w:val="20"/>
          <w:lang w:val="es-MX" w:eastAsia="es-ES_tradnl"/>
        </w:rPr>
        <w:t>Para efectos de la consulta, los fondos que administren recursos parafiscales están sometidos al régimen de inhabilidades e incompatibilidades por lo mencionado en el párrafo precedente. Ello considerando que los recursos parafiscales son recursos públicos. Como explica la Corte Constitucional en la Sentencia C-152 del 1997, con ponencia del Magistrado Jorge Arango Mejía, dichas contribuciones tienen las siguientes características: i) son obligatorias, porque se exigen, como todos los impuestos y contribuciones, en ejercicio del poder coercitivo del Estado; ii) gravan únicamente un grupo, gremio o sector económico; iii) se invierten exclusivamente en beneficio del grupo, gremio o sector económico que las tributa; y iv) son recursos públicos, pertenecen al Estado, aunque están destinados a favorecer solamente al grupo, gremio o sector que los tributa.</w:t>
      </w:r>
    </w:p>
    <w:p w14:paraId="1114AD44" w14:textId="77777777" w:rsidR="00E732E6" w:rsidRDefault="00E732E6" w:rsidP="00E732E6">
      <w:pPr>
        <w:spacing w:after="0" w:line="240" w:lineRule="auto"/>
        <w:jc w:val="both"/>
        <w:rPr>
          <w:rFonts w:ascii="Verdana" w:eastAsia="Times New Roman" w:hAnsi="Verdana" w:cs="Arial"/>
          <w:color w:val="000000"/>
          <w:sz w:val="20"/>
          <w:szCs w:val="20"/>
          <w:lang w:val="es-MX" w:eastAsia="es-MX"/>
        </w:rPr>
      </w:pPr>
    </w:p>
    <w:p w14:paraId="6147B4B6" w14:textId="77777777" w:rsidR="00E732E6" w:rsidRDefault="00E732E6" w:rsidP="00E732E6">
      <w:pPr>
        <w:spacing w:after="0" w:line="240" w:lineRule="auto"/>
        <w:jc w:val="both"/>
        <w:rPr>
          <w:rFonts w:ascii="Verdana" w:eastAsia="Geomanist Light" w:hAnsi="Verdana" w:cs="Arial"/>
          <w:color w:val="000000" w:themeColor="text1"/>
        </w:rPr>
      </w:pPr>
    </w:p>
    <w:p w14:paraId="16EC9C5E" w14:textId="77777777" w:rsidR="00E732E6" w:rsidRDefault="00E732E6" w:rsidP="00E732E6">
      <w:pPr>
        <w:spacing w:after="0" w:line="240" w:lineRule="auto"/>
        <w:rPr>
          <w:rFonts w:ascii="Verdana" w:eastAsia="Geomanist Light" w:hAnsi="Verdana" w:cs="Arial"/>
          <w:color w:val="000000" w:themeColor="text1"/>
          <w:lang w:val="es-MX"/>
        </w:rPr>
      </w:pPr>
    </w:p>
    <w:p w14:paraId="0E377D92" w14:textId="77777777" w:rsidR="00E732E6" w:rsidRDefault="00E732E6" w:rsidP="00E732E6">
      <w:pPr>
        <w:spacing w:after="0" w:line="240" w:lineRule="auto"/>
        <w:rPr>
          <w:rFonts w:ascii="Verdana" w:eastAsia="Geomanist Light" w:hAnsi="Verdana" w:cs="Arial"/>
          <w:color w:val="000000" w:themeColor="text1"/>
          <w:lang w:val="es-MX"/>
        </w:rPr>
      </w:pPr>
    </w:p>
    <w:p w14:paraId="01D8FF18" w14:textId="77777777" w:rsidR="00E732E6" w:rsidRDefault="00E732E6" w:rsidP="00E732E6">
      <w:pPr>
        <w:spacing w:after="0" w:line="240" w:lineRule="auto"/>
        <w:rPr>
          <w:rFonts w:ascii="Verdana" w:eastAsia="Geomanist Light" w:hAnsi="Verdana" w:cs="Arial"/>
          <w:color w:val="000000" w:themeColor="text1"/>
          <w:lang w:val="es-MX"/>
        </w:rPr>
      </w:pPr>
    </w:p>
    <w:p w14:paraId="7CBEDFE8" w14:textId="77777777" w:rsidR="00E732E6" w:rsidRDefault="00E732E6" w:rsidP="00E732E6">
      <w:pPr>
        <w:spacing w:after="0" w:line="240" w:lineRule="auto"/>
        <w:rPr>
          <w:rFonts w:ascii="Verdana" w:eastAsia="Geomanist Light" w:hAnsi="Verdana" w:cs="Arial"/>
          <w:color w:val="000000" w:themeColor="text1"/>
          <w:lang w:val="es-MX"/>
        </w:rPr>
      </w:pPr>
    </w:p>
    <w:p w14:paraId="41A0BD39" w14:textId="77777777" w:rsidR="00E732E6" w:rsidRDefault="00E732E6" w:rsidP="00E732E6">
      <w:pPr>
        <w:spacing w:after="0" w:line="240" w:lineRule="auto"/>
        <w:rPr>
          <w:rFonts w:ascii="Verdana" w:eastAsia="Geomanist Light" w:hAnsi="Verdana" w:cs="Arial"/>
          <w:color w:val="000000" w:themeColor="text1"/>
          <w:lang w:val="es-MX"/>
        </w:rPr>
      </w:pPr>
    </w:p>
    <w:p w14:paraId="4E87FA5D" w14:textId="77777777" w:rsidR="00E732E6" w:rsidRDefault="00E732E6" w:rsidP="00E732E6">
      <w:pPr>
        <w:spacing w:after="0" w:line="240" w:lineRule="auto"/>
        <w:rPr>
          <w:rFonts w:ascii="Verdana" w:eastAsia="Geomanist Light" w:hAnsi="Verdana" w:cs="Arial"/>
          <w:color w:val="000000" w:themeColor="text1"/>
          <w:lang w:val="es-MX"/>
        </w:rPr>
      </w:pPr>
    </w:p>
    <w:p w14:paraId="519CA6A3" w14:textId="77777777" w:rsidR="00E732E6" w:rsidRDefault="00E732E6" w:rsidP="00E732E6">
      <w:pPr>
        <w:spacing w:after="0" w:line="240" w:lineRule="auto"/>
        <w:rPr>
          <w:rFonts w:ascii="Verdana" w:eastAsia="Geomanist Light" w:hAnsi="Verdana" w:cs="Arial"/>
          <w:color w:val="000000" w:themeColor="text1"/>
          <w:lang w:val="es-MX"/>
        </w:rPr>
      </w:pPr>
    </w:p>
    <w:p w14:paraId="01B1A7CA" w14:textId="77777777" w:rsidR="00E732E6" w:rsidRDefault="00E732E6" w:rsidP="00E732E6">
      <w:pPr>
        <w:spacing w:after="0" w:line="240" w:lineRule="auto"/>
        <w:rPr>
          <w:rFonts w:ascii="Verdana" w:eastAsia="Geomanist Light" w:hAnsi="Verdana" w:cs="Arial"/>
          <w:color w:val="000000" w:themeColor="text1"/>
          <w:lang w:val="es-MX"/>
        </w:rPr>
      </w:pPr>
    </w:p>
    <w:p w14:paraId="177EAB6E" w14:textId="77777777" w:rsidR="00E732E6" w:rsidRDefault="00E732E6" w:rsidP="00E732E6">
      <w:pPr>
        <w:spacing w:after="0" w:line="240" w:lineRule="auto"/>
        <w:rPr>
          <w:rFonts w:ascii="Verdana" w:eastAsia="Geomanist Light" w:hAnsi="Verdana" w:cs="Arial"/>
          <w:color w:val="000000" w:themeColor="text1"/>
          <w:lang w:val="es-MX"/>
        </w:rPr>
      </w:pPr>
    </w:p>
    <w:p w14:paraId="71835388" w14:textId="77777777" w:rsidR="00E732E6" w:rsidRDefault="00E732E6" w:rsidP="00E732E6">
      <w:pPr>
        <w:spacing w:after="0" w:line="240" w:lineRule="auto"/>
        <w:rPr>
          <w:rFonts w:ascii="Verdana" w:eastAsia="Geomanist Light" w:hAnsi="Verdana" w:cs="Arial"/>
          <w:color w:val="000000" w:themeColor="text1"/>
          <w:lang w:val="es-MX"/>
        </w:rPr>
      </w:pPr>
    </w:p>
    <w:p w14:paraId="56287E91" w14:textId="77777777" w:rsidR="00E732E6" w:rsidRDefault="00E732E6" w:rsidP="00E732E6">
      <w:pPr>
        <w:spacing w:after="0" w:line="240" w:lineRule="auto"/>
        <w:rPr>
          <w:rFonts w:ascii="Verdana" w:eastAsia="Geomanist Light" w:hAnsi="Verdana" w:cs="Arial"/>
          <w:color w:val="000000" w:themeColor="text1"/>
          <w:lang w:val="es-MX"/>
        </w:rPr>
      </w:pPr>
    </w:p>
    <w:p w14:paraId="6A8C6BBF" w14:textId="77777777" w:rsidR="00E732E6" w:rsidRDefault="00E732E6" w:rsidP="00E732E6">
      <w:pPr>
        <w:spacing w:after="0" w:line="240" w:lineRule="auto"/>
        <w:rPr>
          <w:rFonts w:ascii="Verdana" w:eastAsia="Geomanist Light" w:hAnsi="Verdana" w:cs="Arial"/>
          <w:color w:val="000000" w:themeColor="text1"/>
          <w:lang w:val="es-MX"/>
        </w:rPr>
      </w:pPr>
    </w:p>
    <w:p w14:paraId="280E6DE2" w14:textId="77777777" w:rsidR="00E732E6" w:rsidRDefault="00E732E6" w:rsidP="00E732E6">
      <w:pPr>
        <w:spacing w:after="0" w:line="240" w:lineRule="auto"/>
        <w:rPr>
          <w:rFonts w:ascii="Verdana" w:eastAsia="Geomanist Light" w:hAnsi="Verdana" w:cs="Arial"/>
          <w:color w:val="000000" w:themeColor="text1"/>
          <w:lang w:val="es-MX"/>
        </w:rPr>
      </w:pPr>
    </w:p>
    <w:p w14:paraId="4C9A355E" w14:textId="77777777" w:rsidR="00E732E6" w:rsidRDefault="00E732E6" w:rsidP="00E732E6">
      <w:pPr>
        <w:spacing w:after="0" w:line="240" w:lineRule="auto"/>
        <w:rPr>
          <w:rFonts w:ascii="Verdana" w:eastAsia="Geomanist Light" w:hAnsi="Verdana" w:cs="Arial"/>
          <w:color w:val="000000" w:themeColor="text1"/>
          <w:lang w:val="es-MX"/>
        </w:rPr>
      </w:pPr>
    </w:p>
    <w:p w14:paraId="52FE2ED0" w14:textId="77777777" w:rsidR="00E732E6" w:rsidRDefault="00E732E6" w:rsidP="00E732E6">
      <w:pPr>
        <w:spacing w:after="0" w:line="240" w:lineRule="auto"/>
        <w:rPr>
          <w:rFonts w:ascii="Verdana" w:eastAsia="Geomanist Light" w:hAnsi="Verdana" w:cs="Arial"/>
          <w:color w:val="000000" w:themeColor="text1"/>
          <w:lang w:val="es-MX"/>
        </w:rPr>
      </w:pPr>
    </w:p>
    <w:p w14:paraId="7C56CF54" w14:textId="77777777" w:rsidR="00E732E6" w:rsidRDefault="00E732E6" w:rsidP="00E732E6">
      <w:pPr>
        <w:spacing w:after="0" w:line="240" w:lineRule="auto"/>
        <w:rPr>
          <w:rFonts w:ascii="Verdana" w:eastAsia="Geomanist Light" w:hAnsi="Verdana" w:cs="Arial"/>
          <w:color w:val="000000" w:themeColor="text1"/>
          <w:lang w:val="es-MX"/>
        </w:rPr>
      </w:pPr>
    </w:p>
    <w:p w14:paraId="295CCDB1" w14:textId="77777777" w:rsidR="00E732E6" w:rsidRDefault="00E732E6" w:rsidP="00E732E6">
      <w:pPr>
        <w:spacing w:after="0" w:line="240" w:lineRule="auto"/>
        <w:rPr>
          <w:rFonts w:ascii="Verdana" w:eastAsia="Geomanist Light" w:hAnsi="Verdana" w:cs="Arial"/>
          <w:color w:val="000000" w:themeColor="text1"/>
          <w:lang w:val="es-MX"/>
        </w:rPr>
      </w:pPr>
    </w:p>
    <w:p w14:paraId="684BC2A9" w14:textId="77777777" w:rsidR="00E732E6" w:rsidRDefault="00E732E6" w:rsidP="00E732E6">
      <w:pPr>
        <w:spacing w:after="0" w:line="240" w:lineRule="auto"/>
        <w:rPr>
          <w:rFonts w:ascii="Verdana" w:eastAsia="Geomanist Light" w:hAnsi="Verdana" w:cs="Arial"/>
          <w:color w:val="000000" w:themeColor="text1"/>
          <w:lang w:val="es-MX"/>
        </w:rPr>
      </w:pPr>
    </w:p>
    <w:p w14:paraId="757CC3D3" w14:textId="77777777" w:rsidR="00E732E6" w:rsidRDefault="00E732E6" w:rsidP="00B271C1">
      <w:pPr>
        <w:spacing w:after="0" w:line="240" w:lineRule="auto"/>
        <w:rPr>
          <w:rFonts w:ascii="Verdana" w:eastAsia="Geomanist Light" w:hAnsi="Verdana" w:cs="Arial"/>
          <w:color w:val="000000" w:themeColor="text1"/>
          <w:lang w:val="es-MX"/>
        </w:rPr>
      </w:pPr>
    </w:p>
    <w:p w14:paraId="5789446E" w14:textId="36D71CE8" w:rsidR="00B271C1" w:rsidRPr="00593A5F" w:rsidRDefault="00B271C1" w:rsidP="00B271C1">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w:t>
      </w:r>
      <w:r w:rsidR="00034B66">
        <w:rPr>
          <w:rFonts w:ascii="Verdana" w:eastAsia="Geomanist Light" w:hAnsi="Verdana" w:cs="Arial"/>
          <w:color w:val="000000" w:themeColor="text1"/>
          <w:lang w:val="es-MX"/>
        </w:rPr>
        <w:t xml:space="preserve"> 16 de Octubre de 2025</w:t>
      </w:r>
    </w:p>
    <w:p w14:paraId="48130202" w14:textId="77777777" w:rsidR="00B271C1" w:rsidRDefault="00B271C1" w:rsidP="00B271C1">
      <w:pPr>
        <w:spacing w:after="0" w:line="240" w:lineRule="auto"/>
        <w:jc w:val="both"/>
        <w:rPr>
          <w:rFonts w:ascii="Verdana" w:eastAsia="Calibri" w:hAnsi="Verdana" w:cs="Arial"/>
          <w:color w:val="000000"/>
          <w:lang w:val="es-ES"/>
        </w:rPr>
      </w:pPr>
    </w:p>
    <w:p w14:paraId="1213C62C" w14:textId="1F811E69" w:rsidR="00D363E5" w:rsidRDefault="00D363E5" w:rsidP="00D363E5">
      <w:pPr>
        <w:spacing w:after="0" w:line="240" w:lineRule="auto"/>
        <w:jc w:val="right"/>
        <w:rPr>
          <w:rFonts w:ascii="Verdana" w:eastAsia="Calibri" w:hAnsi="Verdana" w:cs="Arial"/>
          <w:color w:val="000000"/>
          <w:lang w:val="es-ES"/>
        </w:rPr>
      </w:pPr>
      <w:r w:rsidRPr="00D363E5">
        <w:rPr>
          <w:rFonts w:ascii="Verdana" w:eastAsia="Calibri" w:hAnsi="Verdana" w:cs="Arial"/>
          <w:noProof/>
          <w:color w:val="000000"/>
          <w:lang w:val="es-ES"/>
        </w:rPr>
        <w:drawing>
          <wp:inline distT="0" distB="0" distL="0" distR="0" wp14:anchorId="37786F65" wp14:editId="225659F3">
            <wp:extent cx="2400300" cy="622300"/>
            <wp:effectExtent l="0" t="0" r="0" b="0"/>
            <wp:docPr id="8299140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914059" name=""/>
                    <pic:cNvPicPr/>
                  </pic:nvPicPr>
                  <pic:blipFill>
                    <a:blip r:embed="rId10"/>
                    <a:stretch>
                      <a:fillRect/>
                    </a:stretch>
                  </pic:blipFill>
                  <pic:spPr>
                    <a:xfrm>
                      <a:off x="0" y="0"/>
                      <a:ext cx="2400300" cy="622300"/>
                    </a:xfrm>
                    <a:prstGeom prst="rect">
                      <a:avLst/>
                    </a:prstGeom>
                  </pic:spPr>
                </pic:pic>
              </a:graphicData>
            </a:graphic>
          </wp:inline>
        </w:drawing>
      </w:r>
    </w:p>
    <w:p w14:paraId="1C40DC99" w14:textId="77777777" w:rsidR="00B271C1" w:rsidRPr="00593A5F" w:rsidRDefault="00B271C1" w:rsidP="00B271C1">
      <w:pPr>
        <w:spacing w:after="0" w:line="240" w:lineRule="auto"/>
        <w:jc w:val="both"/>
        <w:rPr>
          <w:rFonts w:ascii="Verdana" w:eastAsia="Calibri" w:hAnsi="Verdana" w:cs="Arial"/>
          <w:color w:val="000000"/>
          <w:lang w:val="es-ES"/>
        </w:rPr>
      </w:pPr>
    </w:p>
    <w:p w14:paraId="7F5B9333" w14:textId="77777777" w:rsidR="00B271C1" w:rsidRPr="00B96799" w:rsidRDefault="00B271C1" w:rsidP="00B271C1">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72AFF83" w14:textId="77777777" w:rsidR="00B271C1" w:rsidRPr="0085423D" w:rsidRDefault="00B271C1" w:rsidP="00B271C1">
      <w:pPr>
        <w:spacing w:after="0" w:line="240" w:lineRule="auto"/>
        <w:rPr>
          <w:rFonts w:ascii="Verdana" w:eastAsia="Calibri" w:hAnsi="Verdana" w:cs="Arial"/>
          <w:b/>
          <w:lang w:val="es-ES_tradnl" w:eastAsia="es-ES_tradnl"/>
        </w:rPr>
      </w:pPr>
      <w:bookmarkStart w:id="0" w:name="OLE_LINK1"/>
      <w:r w:rsidRPr="00480753">
        <w:rPr>
          <w:rFonts w:ascii="Verdana" w:eastAsia="Calibri" w:hAnsi="Verdana" w:cs="Arial"/>
          <w:b/>
          <w:lang w:val="es-ES_tradnl" w:eastAsia="es-ES_tradnl"/>
        </w:rPr>
        <w:t>Jorge Enrique Moncaleano Ospina</w:t>
      </w:r>
      <w:r>
        <w:rPr>
          <w:rFonts w:ascii="Verdana" w:eastAsia="Calibri" w:hAnsi="Verdana" w:cs="Arial"/>
          <w:b/>
          <w:lang w:val="es-ES_tradnl" w:eastAsia="es-ES_tradnl"/>
        </w:rPr>
        <w:t xml:space="preserve"> </w:t>
      </w:r>
    </w:p>
    <w:bookmarkEnd w:id="0"/>
    <w:p w14:paraId="47994BAF" w14:textId="77777777" w:rsidR="00B271C1" w:rsidRPr="00507587" w:rsidRDefault="00B271C1" w:rsidP="00B271C1">
      <w:pPr>
        <w:spacing w:after="0" w:line="240" w:lineRule="auto"/>
        <w:rPr>
          <w:rFonts w:ascii="Verdana" w:eastAsia="Calibri" w:hAnsi="Verdana" w:cs="Arial"/>
          <w:lang w:val="es-ES" w:eastAsia="es-ES"/>
        </w:rPr>
      </w:pPr>
      <w:r>
        <w:rPr>
          <w:rFonts w:ascii="Verdana" w:hAnsi="Verdana"/>
        </w:rPr>
        <w:fldChar w:fldCharType="begin"/>
      </w:r>
      <w:r>
        <w:rPr>
          <w:rFonts w:ascii="Verdana" w:hAnsi="Verdana"/>
        </w:rPr>
        <w:instrText>HYPERLINK "mailto:j</w:instrText>
      </w:r>
      <w:r w:rsidRPr="00252B61">
        <w:rPr>
          <w:rFonts w:ascii="Verdana" w:hAnsi="Verdana"/>
        </w:rPr>
        <w:instrText>orge.moncaleano@minagricultura.gov.co</w:instrText>
      </w:r>
      <w:r>
        <w:rPr>
          <w:rFonts w:ascii="Verdana" w:hAnsi="Verdana"/>
        </w:rPr>
        <w:instrText>"</w:instrText>
      </w:r>
      <w:r>
        <w:rPr>
          <w:rFonts w:ascii="Verdana" w:hAnsi="Verdana"/>
        </w:rPr>
      </w:r>
      <w:r>
        <w:rPr>
          <w:rFonts w:ascii="Verdana" w:hAnsi="Verdana"/>
        </w:rPr>
        <w:fldChar w:fldCharType="separate"/>
      </w:r>
      <w:r w:rsidRPr="00061329">
        <w:rPr>
          <w:rStyle w:val="Hipervnculo"/>
          <w:rFonts w:ascii="Verdana" w:hAnsi="Verdana"/>
        </w:rPr>
        <w:t>jorge.moncaleano@minagricultura.gov.co</w:t>
      </w:r>
      <w:r>
        <w:rPr>
          <w:rFonts w:ascii="Verdana" w:hAnsi="Verdana"/>
        </w:rPr>
        <w:fldChar w:fldCharType="end"/>
      </w:r>
      <w:r>
        <w:rPr>
          <w:rFonts w:ascii="Verdana" w:hAnsi="Verdana"/>
        </w:rPr>
        <w:t xml:space="preserve">  </w:t>
      </w:r>
      <w:r w:rsidRPr="0084291A">
        <w:rPr>
          <w:rFonts w:ascii="Verdana" w:hAnsi="Verdana"/>
        </w:rPr>
        <w:t xml:space="preserve"> </w:t>
      </w:r>
      <w:r>
        <w:rPr>
          <w:rFonts w:ascii="Verdana" w:hAnsi="Verdana"/>
        </w:rPr>
        <w:t xml:space="preserve"> </w:t>
      </w:r>
      <w:r w:rsidRPr="00507587">
        <w:rPr>
          <w:rFonts w:ascii="Verdana" w:hAnsi="Verdana"/>
        </w:rPr>
        <w:t xml:space="preserve">            </w:t>
      </w:r>
      <w:r w:rsidRPr="00507587">
        <w:rPr>
          <w:rFonts w:ascii="Verdana" w:eastAsia="Calibri" w:hAnsi="Verdana" w:cs="Arial"/>
          <w:lang w:val="es-ES" w:eastAsia="es-ES"/>
        </w:rPr>
        <w:t xml:space="preserve">    </w:t>
      </w:r>
    </w:p>
    <w:p w14:paraId="5EF96598" w14:textId="77777777" w:rsidR="00B271C1" w:rsidRDefault="00B271C1" w:rsidP="00B271C1">
      <w:pPr>
        <w:spacing w:after="0" w:line="240" w:lineRule="auto"/>
        <w:rPr>
          <w:rFonts w:ascii="Verdana" w:eastAsia="Calibri" w:hAnsi="Verdana" w:cs="Arial"/>
          <w:lang w:val="es-ES" w:eastAsia="es-ES"/>
        </w:rPr>
      </w:pPr>
      <w:r w:rsidRPr="001F5E1C">
        <w:rPr>
          <w:rFonts w:ascii="Verdana" w:eastAsia="Calibri" w:hAnsi="Verdana" w:cs="Arial"/>
          <w:lang w:val="es-ES" w:eastAsia="es-ES"/>
        </w:rPr>
        <w:t>Bogotá D.C.</w:t>
      </w:r>
      <w:r>
        <w:rPr>
          <w:rFonts w:ascii="Verdana" w:eastAsia="Calibri" w:hAnsi="Verdana" w:cs="Arial"/>
          <w:lang w:val="es-ES" w:eastAsia="es-ES"/>
        </w:rPr>
        <w:t xml:space="preserve"> </w:t>
      </w:r>
    </w:p>
    <w:p w14:paraId="20BB5D13" w14:textId="77777777" w:rsidR="00B271C1" w:rsidRPr="00593A5F" w:rsidRDefault="00B271C1" w:rsidP="00B271C1">
      <w:pPr>
        <w:spacing w:after="0" w:line="240" w:lineRule="auto"/>
        <w:rPr>
          <w:rFonts w:ascii="Verdana" w:eastAsia="Calibri" w:hAnsi="Verdana" w:cs="Arial"/>
          <w:b/>
          <w:bCs/>
          <w:color w:val="000000"/>
          <w:lang w:val="es-ES_tradnl" w:eastAsia="es-ES_tradnl"/>
        </w:rPr>
      </w:pPr>
    </w:p>
    <w:p w14:paraId="4EEE681C" w14:textId="77777777" w:rsidR="00B271C1" w:rsidRPr="00593A5F" w:rsidRDefault="00B271C1" w:rsidP="00B271C1">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271C1" w:rsidRPr="00593A5F" w14:paraId="37020130" w14:textId="77777777" w:rsidTr="00591270">
        <w:trPr>
          <w:trHeight w:val="884"/>
        </w:trPr>
        <w:tc>
          <w:tcPr>
            <w:tcW w:w="2689" w:type="dxa"/>
          </w:tcPr>
          <w:p w14:paraId="2B1CDB95" w14:textId="77777777" w:rsidR="00B271C1" w:rsidRPr="00C00976" w:rsidRDefault="00B271C1" w:rsidP="00591270">
            <w:pPr>
              <w:jc w:val="both"/>
              <w:rPr>
                <w:rFonts w:ascii="Verdana" w:eastAsia="Calibri" w:hAnsi="Verdana" w:cs="Arial"/>
                <w:b/>
                <w:bCs/>
                <w:color w:val="7030A0"/>
                <w:lang w:val="es-ES_tradnl" w:eastAsia="es-ES_tradnl"/>
              </w:rPr>
            </w:pPr>
          </w:p>
        </w:tc>
        <w:tc>
          <w:tcPr>
            <w:tcW w:w="6100" w:type="dxa"/>
          </w:tcPr>
          <w:p w14:paraId="0D209BB4" w14:textId="627B43AA" w:rsidR="00B271C1" w:rsidRPr="00C00976" w:rsidRDefault="00B271C1" w:rsidP="00591270">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781D9F">
              <w:rPr>
                <w:rFonts w:ascii="Verdana" w:eastAsia="Calibri" w:hAnsi="Verdana" w:cs="Arial"/>
                <w:b/>
                <w:bCs/>
                <w:lang w:val="es-ES" w:eastAsia="es-ES"/>
              </w:rPr>
              <w:t>1447</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B271C1" w:rsidRPr="00593A5F" w14:paraId="66A4FC23" w14:textId="77777777" w:rsidTr="00591270">
        <w:trPr>
          <w:trHeight w:val="884"/>
        </w:trPr>
        <w:tc>
          <w:tcPr>
            <w:tcW w:w="2689" w:type="dxa"/>
          </w:tcPr>
          <w:p w14:paraId="62F45C23" w14:textId="77777777" w:rsidR="00B271C1" w:rsidRPr="00593A5F" w:rsidRDefault="00B271C1" w:rsidP="00591270">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537F926A" w14:textId="77777777" w:rsidR="00B271C1" w:rsidRPr="00A11406" w:rsidRDefault="00B271C1" w:rsidP="00591270">
            <w:pPr>
              <w:spacing w:line="276" w:lineRule="auto"/>
              <w:jc w:val="both"/>
              <w:rPr>
                <w:rFonts w:ascii="Verdana" w:eastAsia="Calibri" w:hAnsi="Verdana" w:cs="Arial"/>
                <w:lang w:val="es-ES" w:eastAsia="es-ES"/>
              </w:rPr>
            </w:pPr>
            <w:r w:rsidRPr="003575C9">
              <w:rPr>
                <w:rFonts w:ascii="Verdana" w:eastAsia="Calibri" w:hAnsi="Verdana" w:cs="Arial"/>
                <w:lang w:val="es-ES" w:eastAsia="es-ES"/>
              </w:rPr>
              <w:t>INHABILIDADES – Definición – Finalidad – Limitación capacidad contractual</w:t>
            </w:r>
            <w:r>
              <w:rPr>
                <w:rFonts w:ascii="Verdana" w:eastAsia="Calibri" w:hAnsi="Verdana" w:cs="Arial"/>
                <w:lang w:val="es-ES" w:eastAsia="es-ES"/>
              </w:rPr>
              <w:t xml:space="preserve"> / </w:t>
            </w:r>
            <w:r w:rsidRPr="003575C9">
              <w:rPr>
                <w:rFonts w:ascii="Verdana" w:eastAsia="Calibri" w:hAnsi="Verdana" w:cs="Arial"/>
                <w:lang w:val="es-ES" w:eastAsia="es-ES"/>
              </w:rPr>
              <w:t>CONTRATACIÓN ESTATAL – Capacidad – Validez contratos – Régimen de contratación – Inscripción – Limitación de la capacidad</w:t>
            </w:r>
            <w:r>
              <w:rPr>
                <w:rFonts w:ascii="Verdana" w:eastAsia="Calibri" w:hAnsi="Verdana" w:cs="Arial"/>
                <w:lang w:val="es-ES" w:eastAsia="es-ES"/>
              </w:rPr>
              <w:t xml:space="preserve"> / </w:t>
            </w:r>
            <w:r w:rsidRPr="00555999">
              <w:rPr>
                <w:rFonts w:ascii="Verdana" w:eastAsia="Calibri" w:hAnsi="Verdana" w:cs="Arial"/>
                <w:lang w:val="es-ES" w:eastAsia="es-ES"/>
              </w:rPr>
              <w:t>FONDOS QUE ADMINISTRAN RECURSOS PARAFISCALES – Régimen de inhabilidades e incompatibilidades – Extensión</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6020D555" w14:textId="77777777" w:rsidR="00B271C1" w:rsidRPr="00593A5F" w:rsidRDefault="00B271C1" w:rsidP="00591270">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B271C1" w:rsidRPr="008E6AD9" w14:paraId="482C4E28" w14:textId="77777777" w:rsidTr="00591270">
        <w:tc>
          <w:tcPr>
            <w:tcW w:w="2689" w:type="dxa"/>
          </w:tcPr>
          <w:p w14:paraId="6269B7E2" w14:textId="77777777" w:rsidR="00B271C1" w:rsidRPr="008E6AD9" w:rsidRDefault="00B271C1" w:rsidP="00591270">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CC04BE5" w14:textId="77777777" w:rsidR="00B271C1" w:rsidRPr="00B92340" w:rsidRDefault="00B271C1" w:rsidP="00591270">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las </w:t>
            </w:r>
            <w:r w:rsidRPr="008E6AD9">
              <w:rPr>
                <w:rFonts w:ascii="Verdana" w:eastAsia="Calibri" w:hAnsi="Verdana" w:cs="Arial"/>
                <w:lang w:val="es-ES_tradnl" w:eastAsia="es-ES_tradnl"/>
              </w:rPr>
              <w:t>consulta</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8E6AD9">
              <w:rPr>
                <w:rFonts w:ascii="Verdana" w:eastAsia="Calibri" w:hAnsi="Verdana" w:cs="Arial"/>
                <w:lang w:val="es-ES_tradnl" w:eastAsia="es-ES_tradnl"/>
              </w:rPr>
              <w:t xml:space="preserve"> No.</w:t>
            </w:r>
            <w:r>
              <w:rPr>
                <w:rFonts w:ascii="Verdana" w:eastAsia="Calibri" w:hAnsi="Verdana" w:cs="Arial"/>
                <w:lang w:val="es-ES_tradnl" w:eastAsia="es-ES_tradnl"/>
              </w:rPr>
              <w:t xml:space="preserve"> </w:t>
            </w:r>
            <w:r w:rsidRPr="00480753">
              <w:rPr>
                <w:rFonts w:ascii="Verdana" w:eastAsia="Calibri" w:hAnsi="Verdana" w:cs="Arial"/>
                <w:lang w:val="es-ES_tradnl" w:eastAsia="es-ES_tradnl"/>
              </w:rPr>
              <w:t xml:space="preserve">1_2025_10_06_011129 </w:t>
            </w:r>
            <w:r>
              <w:rPr>
                <w:rFonts w:ascii="Verdana" w:eastAsia="Calibri" w:hAnsi="Verdana" w:cs="Arial"/>
                <w:lang w:val="es-ES_tradnl" w:eastAsia="es-ES_tradnl"/>
              </w:rPr>
              <w:t>y</w:t>
            </w:r>
            <w:r w:rsidRPr="00480753">
              <w:rPr>
                <w:rFonts w:ascii="Verdana" w:eastAsia="Calibri" w:hAnsi="Verdana" w:cs="Arial"/>
                <w:lang w:val="es-ES_tradnl" w:eastAsia="es-ES_tradnl"/>
              </w:rPr>
              <w:t xml:space="preserve"> 1_2025_10_06_011133</w:t>
            </w:r>
            <w:r>
              <w:rPr>
                <w:rFonts w:ascii="Verdana" w:eastAsia="Calibri" w:hAnsi="Verdana" w:cs="Arial"/>
                <w:lang w:val="es-ES_tradnl" w:eastAsia="es-ES_tradnl"/>
              </w:rPr>
              <w:t xml:space="preserve">       –Acumulados–</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66BF36AF" w14:textId="77777777" w:rsidR="00B271C1" w:rsidRPr="00593A5F" w:rsidRDefault="00B271C1" w:rsidP="00B271C1">
      <w:pPr>
        <w:spacing w:after="0" w:line="240" w:lineRule="auto"/>
        <w:jc w:val="both"/>
        <w:rPr>
          <w:rFonts w:ascii="Verdana" w:eastAsia="Calibri" w:hAnsi="Verdana" w:cs="Arial"/>
          <w:color w:val="000000"/>
          <w:lang w:val="es-ES_tradnl" w:eastAsia="es-ES_tradnl"/>
        </w:rPr>
      </w:pPr>
    </w:p>
    <w:p w14:paraId="50A1D5D4" w14:textId="77777777" w:rsidR="00B271C1" w:rsidRPr="00593A5F" w:rsidRDefault="00B271C1" w:rsidP="00B271C1">
      <w:pPr>
        <w:spacing w:after="0" w:line="240" w:lineRule="auto"/>
        <w:jc w:val="both"/>
        <w:rPr>
          <w:rFonts w:ascii="Verdana" w:eastAsia="Calibri" w:hAnsi="Verdana" w:cs="Arial"/>
          <w:color w:val="000000"/>
          <w:lang w:val="es-ES_tradnl" w:eastAsia="es-ES_tradnl"/>
        </w:rPr>
      </w:pPr>
    </w:p>
    <w:p w14:paraId="6B950253" w14:textId="77777777" w:rsidR="00B271C1" w:rsidRPr="008E6AD9" w:rsidRDefault="00B271C1" w:rsidP="00B271C1">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CA6806">
        <w:rPr>
          <w:rFonts w:ascii="Verdana" w:eastAsia="Calibri" w:hAnsi="Verdana" w:cs="Arial"/>
          <w:lang w:val="es-ES" w:eastAsia="es-ES"/>
        </w:rPr>
        <w:t>Moncaleano Ospina</w:t>
      </w:r>
      <w:r w:rsidRPr="008E6AD9">
        <w:rPr>
          <w:rFonts w:ascii="Verdana" w:eastAsia="Calibri" w:hAnsi="Verdana" w:cs="Arial"/>
          <w:lang w:val="es-ES" w:eastAsia="es-ES"/>
        </w:rPr>
        <w:t xml:space="preserve">: </w:t>
      </w:r>
    </w:p>
    <w:p w14:paraId="4E8721F6" w14:textId="77777777" w:rsidR="00B271C1" w:rsidRDefault="00B271C1" w:rsidP="00B271C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12EC54B" w14:textId="63148049" w:rsidR="00B271C1" w:rsidRPr="00593A5F" w:rsidRDefault="00B271C1" w:rsidP="00B271C1">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su</w:t>
      </w:r>
      <w:r w:rsidRPr="00593A5F">
        <w:rPr>
          <w:rFonts w:ascii="Verdana" w:eastAsia="Calibri" w:hAnsi="Verdana" w:cs="Arial"/>
          <w:color w:val="000000" w:themeColor="text1"/>
          <w:lang w:val="es-ES" w:eastAsia="es-ES"/>
        </w:rPr>
        <w:t xml:space="preserve">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3 de octubre de 2025 realizada al Departamento Administrativo de la Función Pública, la cual –conforme al artícul</w:t>
      </w:r>
      <w:r w:rsidR="00301438">
        <w:rPr>
          <w:rFonts w:ascii="Verdana" w:eastAsia="Calibri" w:hAnsi="Verdana" w:cs="Arial"/>
          <w:lang w:val="es-ES" w:eastAsia="es-ES"/>
        </w:rPr>
        <w:t>o</w:t>
      </w:r>
      <w:r>
        <w:rPr>
          <w:rFonts w:ascii="Verdana" w:eastAsia="Calibri" w:hAnsi="Verdana" w:cs="Arial"/>
          <w:lang w:val="es-ES" w:eastAsia="es-ES"/>
        </w:rPr>
        <w:t xml:space="preserve"> 21 de la Ley 1437 de 2011– fue remitida por competencia a esta entidad mediante correo electrónico del 6 de octubre de las misma anualidad, en que plantea las siguientes inquietudes</w:t>
      </w:r>
      <w:r w:rsidRPr="008E6AD9">
        <w:rPr>
          <w:rFonts w:ascii="Verdana" w:eastAsia="Calibri" w:hAnsi="Verdana" w:cs="Arial"/>
          <w:lang w:val="es-ES" w:eastAsia="es-ES"/>
        </w:rPr>
        <w:t xml:space="preserve">: </w:t>
      </w:r>
    </w:p>
    <w:p w14:paraId="6A538970" w14:textId="77777777" w:rsidR="00B271C1" w:rsidRPr="00272A7B" w:rsidRDefault="00B271C1" w:rsidP="00B271C1">
      <w:pPr>
        <w:pStyle w:val="Prrafodelista"/>
        <w:tabs>
          <w:tab w:val="left" w:pos="142"/>
          <w:tab w:val="left" w:pos="284"/>
        </w:tabs>
        <w:spacing w:after="0" w:line="276" w:lineRule="auto"/>
        <w:ind w:left="0"/>
        <w:jc w:val="both"/>
        <w:rPr>
          <w:rFonts w:ascii="Verdana" w:eastAsia="Century Gothic" w:hAnsi="Verdana" w:cs="Century Gothic"/>
          <w:b/>
          <w:bCs/>
        </w:rPr>
      </w:pPr>
    </w:p>
    <w:p w14:paraId="21CC7A8F" w14:textId="77777777" w:rsidR="00B271C1" w:rsidRPr="00B97C1B" w:rsidRDefault="00B271C1" w:rsidP="00B271C1">
      <w:pPr>
        <w:spacing w:after="120" w:line="240" w:lineRule="auto"/>
        <w:ind w:left="709" w:right="709"/>
        <w:jc w:val="both"/>
        <w:rPr>
          <w:rFonts w:ascii="Verdana" w:eastAsia="Century Gothic" w:hAnsi="Verdana" w:cs="Century Gothic"/>
          <w:i/>
          <w:iCs/>
          <w:sz w:val="20"/>
          <w:szCs w:val="20"/>
          <w:lang w:val="es-ES"/>
        </w:rPr>
      </w:pPr>
      <w:bookmarkStart w:id="1" w:name="_Hlk95313578"/>
      <w:r w:rsidRPr="00CD413C">
        <w:rPr>
          <w:rFonts w:ascii="Verdana" w:eastAsia="Century Gothic" w:hAnsi="Verdana" w:cs="Century Gothic"/>
          <w:sz w:val="20"/>
          <w:szCs w:val="20"/>
          <w:lang w:val="es-ES"/>
        </w:rPr>
        <w:t>“</w:t>
      </w:r>
      <w:bookmarkEnd w:id="1"/>
      <w:r w:rsidRPr="00B97C1B">
        <w:rPr>
          <w:rFonts w:ascii="Verdana" w:eastAsia="Century Gothic" w:hAnsi="Verdana" w:cs="Century Gothic"/>
          <w:i/>
          <w:iCs/>
          <w:sz w:val="20"/>
          <w:szCs w:val="20"/>
          <w:lang w:val="es-ES"/>
        </w:rPr>
        <w:t>II.1. ¿Existe habilitación constitucional o legal en el ordenamiento jurídico colombiano para que, con recursos de un fondo parafiscal agropecuario, el administrador del fondo celebre contratos con uno de sus socios o aportantes o por el contrario le aplican el régimen de Inhabilidades según lo dispuesto en el artículo 3º parágrafo 3</w:t>
      </w:r>
      <w:r>
        <w:rPr>
          <w:rFonts w:ascii="Verdana" w:eastAsia="Century Gothic" w:hAnsi="Verdana" w:cs="Century Gothic"/>
          <w:i/>
          <w:iCs/>
          <w:sz w:val="20"/>
          <w:szCs w:val="20"/>
          <w:lang w:val="es-ES"/>
        </w:rPr>
        <w:t xml:space="preserve"> </w:t>
      </w:r>
      <w:r w:rsidRPr="00B97C1B">
        <w:rPr>
          <w:rFonts w:ascii="Verdana" w:eastAsia="Century Gothic" w:hAnsi="Verdana" w:cs="Century Gothic"/>
          <w:i/>
          <w:iCs/>
          <w:sz w:val="20"/>
          <w:szCs w:val="20"/>
          <w:lang w:val="es-ES"/>
        </w:rPr>
        <w:t xml:space="preserve">de la Ley 2014 de 2019? </w:t>
      </w:r>
    </w:p>
    <w:p w14:paraId="3C8696DE" w14:textId="77777777" w:rsidR="00B271C1" w:rsidRPr="00CD413C" w:rsidRDefault="00B271C1" w:rsidP="00B271C1">
      <w:pPr>
        <w:spacing w:after="120" w:line="240" w:lineRule="auto"/>
        <w:ind w:left="709" w:right="709"/>
        <w:jc w:val="both"/>
        <w:rPr>
          <w:rFonts w:ascii="Verdana" w:eastAsia="Century Gothic" w:hAnsi="Verdana" w:cs="Century Gothic"/>
          <w:sz w:val="20"/>
          <w:szCs w:val="20"/>
          <w:lang w:val="es-ES"/>
        </w:rPr>
      </w:pPr>
      <w:r w:rsidRPr="00B97C1B">
        <w:rPr>
          <w:rFonts w:ascii="Verdana" w:eastAsia="Century Gothic" w:hAnsi="Verdana" w:cs="Century Gothic"/>
          <w:i/>
          <w:iCs/>
          <w:sz w:val="20"/>
          <w:szCs w:val="20"/>
          <w:lang w:val="es-ES"/>
        </w:rPr>
        <w:t>II.2. ¿Puede el administrador de un Fondo parafiscal del sector agropecuario, con recursos del fondo suscribir un contrato con una persona jurídica cuyo accionista es cónyuge, compañero permanente o con las personas que tengan vínculos de parentesco hasta el segundo grado de consanguinidad, segundo de afinidad o primero civil de uno de los miembros de la junta directiva del mismo Fondo?</w:t>
      </w:r>
    </w:p>
    <w:p w14:paraId="1256911A" w14:textId="77777777" w:rsidR="00B271C1" w:rsidRPr="00CD413C" w:rsidRDefault="00B271C1" w:rsidP="00B271C1">
      <w:pPr>
        <w:spacing w:after="120" w:line="240" w:lineRule="auto"/>
        <w:ind w:left="709" w:right="709"/>
        <w:jc w:val="both"/>
        <w:rPr>
          <w:rFonts w:ascii="Verdana" w:eastAsia="Century Gothic" w:hAnsi="Verdana" w:cs="Century Gothic"/>
          <w:sz w:val="20"/>
          <w:szCs w:val="20"/>
          <w:lang w:val="es-ES"/>
        </w:rPr>
      </w:pPr>
      <w:r w:rsidRPr="00CD413C">
        <w:rPr>
          <w:rFonts w:ascii="Verdana" w:eastAsia="Century Gothic" w:hAnsi="Verdana" w:cs="Century Gothic"/>
          <w:sz w:val="20"/>
          <w:szCs w:val="20"/>
          <w:lang w:val="es-ES"/>
        </w:rPr>
        <w:t>II.3. ¿Existe habilitación constitucional o legal en el ordenamiento jurídico colombiano para que los miembros de Juntas Directivas de Fondos Parafiscales del sector agropecuario puedan ejercer proselitismo político, y/o tomar parte en actividades de partidos y movimientos políticos, y/o en controversias políticas de manera directa, o por medio de agremiaciones donde tiene asiento?</w:t>
      </w:r>
    </w:p>
    <w:p w14:paraId="1E094CBE" w14:textId="77777777" w:rsidR="00B271C1" w:rsidRPr="00CD413C" w:rsidRDefault="00B271C1" w:rsidP="00B271C1">
      <w:pPr>
        <w:spacing w:after="120" w:line="240" w:lineRule="auto"/>
        <w:ind w:left="709" w:right="709"/>
        <w:jc w:val="both"/>
        <w:rPr>
          <w:rFonts w:ascii="Verdana" w:eastAsia="Century Gothic" w:hAnsi="Verdana" w:cs="Century Gothic"/>
          <w:sz w:val="20"/>
          <w:szCs w:val="20"/>
          <w:lang w:val="es-ES"/>
        </w:rPr>
      </w:pPr>
      <w:r w:rsidRPr="00CD413C">
        <w:rPr>
          <w:rFonts w:ascii="Verdana" w:eastAsia="Century Gothic" w:hAnsi="Verdana" w:cs="Century Gothic"/>
          <w:sz w:val="20"/>
          <w:szCs w:val="20"/>
          <w:lang w:val="es-ES"/>
        </w:rPr>
        <w:t xml:space="preserve">II.4. ¿Existe habilitación constitucional o legal en el ordenamiento jurídico colombiano para que los miembros de Juntas Directivas de Fondos Parafiscales del sector agropecuario puedan inscribirse como candidatos a cargos de elección popular, y/o ser elegidos, y/o posesionarse en corporaciones públicas y cargos de elección popular? </w:t>
      </w:r>
    </w:p>
    <w:p w14:paraId="65D1D4A3" w14:textId="77777777" w:rsidR="00B271C1" w:rsidRPr="00841344" w:rsidRDefault="00B271C1" w:rsidP="00B271C1">
      <w:pPr>
        <w:spacing w:after="0" w:line="240" w:lineRule="auto"/>
        <w:ind w:left="709" w:right="709"/>
        <w:jc w:val="both"/>
        <w:rPr>
          <w:rFonts w:ascii="Verdana" w:eastAsia="Century Gothic" w:hAnsi="Verdana" w:cs="Century Gothic"/>
          <w:sz w:val="21"/>
          <w:szCs w:val="21"/>
          <w:lang w:val="es-ES"/>
        </w:rPr>
      </w:pPr>
      <w:r w:rsidRPr="00CD413C">
        <w:rPr>
          <w:rFonts w:ascii="Verdana" w:eastAsia="Century Gothic" w:hAnsi="Verdana" w:cs="Century Gothic"/>
          <w:sz w:val="20"/>
          <w:szCs w:val="20"/>
          <w:lang w:val="es-ES"/>
        </w:rPr>
        <w:t>II.5. ¿Existe habilitación constitucional o legal en el ordenamiento jurídico colombiano para que un servidor público que ejerza un cargo de elección popular, simultáneamente se desempeñe como miembro de junta directiva de un Fondo parafiscal del sector agropecuario? ¿Podría simultáneamente recibir honorarios por esos conceptos?</w:t>
      </w:r>
      <w:r w:rsidRPr="00CD413C">
        <w:rPr>
          <w:rFonts w:ascii="Verdana" w:eastAsia="Century Gothic" w:hAnsi="Verdana" w:cs="Century Gothic"/>
          <w:sz w:val="20"/>
          <w:szCs w:val="20"/>
        </w:rPr>
        <w:t>”</w:t>
      </w:r>
      <w:r>
        <w:rPr>
          <w:rFonts w:ascii="Verdana" w:eastAsia="Century Gothic" w:hAnsi="Verdana" w:cs="Century Gothic"/>
          <w:sz w:val="20"/>
          <w:szCs w:val="20"/>
        </w:rPr>
        <w:t xml:space="preserve"> (Énfasis fuera de texto)</w:t>
      </w:r>
      <w:r w:rsidRPr="00CD413C">
        <w:rPr>
          <w:rFonts w:ascii="Verdana" w:eastAsia="Century Gothic" w:hAnsi="Verdana" w:cs="Century Gothic"/>
          <w:sz w:val="20"/>
          <w:szCs w:val="20"/>
        </w:rPr>
        <w:t xml:space="preserve">. </w:t>
      </w:r>
    </w:p>
    <w:p w14:paraId="3DD75339" w14:textId="77777777" w:rsidR="00B271C1" w:rsidRPr="008E6AD9" w:rsidRDefault="00B271C1" w:rsidP="00B271C1">
      <w:pPr>
        <w:pStyle w:val="Prrafodelista"/>
        <w:tabs>
          <w:tab w:val="left" w:pos="142"/>
          <w:tab w:val="left" w:pos="284"/>
        </w:tabs>
        <w:spacing w:after="0" w:line="276" w:lineRule="auto"/>
        <w:ind w:left="0"/>
        <w:jc w:val="both"/>
        <w:rPr>
          <w:rFonts w:ascii="Verdana" w:eastAsia="Century Gothic" w:hAnsi="Verdana" w:cs="Century Gothic"/>
          <w:b/>
          <w:bCs/>
        </w:rPr>
      </w:pPr>
    </w:p>
    <w:p w14:paraId="08A07BAA" w14:textId="77777777" w:rsidR="00B271C1" w:rsidRDefault="00B271C1" w:rsidP="00B271C1">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w:t>
      </w:r>
      <w:r>
        <w:rPr>
          <w:rFonts w:ascii="Verdana" w:eastAsia="Calibri" w:hAnsi="Verdana" w:cs="Arial"/>
          <w:color w:val="000000"/>
          <w:lang w:val="es-ES" w:eastAsia="es-ES"/>
        </w:rPr>
        <w:t xml:space="preserve"> o interpretar normas de otros sectores normativos</w:t>
      </w:r>
      <w:r w:rsidRPr="00593A5F">
        <w:rPr>
          <w:rFonts w:ascii="Verdana" w:eastAsia="Calibri" w:hAnsi="Verdana" w:cs="Arial"/>
          <w:color w:val="000000"/>
          <w:lang w:val="es-ES" w:eastAsia="es-ES"/>
        </w:rPr>
        <w:t xml:space="preserve"> desborda las atribuciones asignadas por el legislador extraordinario, que no concibió a Colombia Compra Eficiente como una autoridad para solucionar problemas jurídicos particulares de todos los partícipes del sistema de compra pública</w:t>
      </w:r>
      <w:r>
        <w:rPr>
          <w:rFonts w:ascii="Verdana" w:eastAsia="Calibri" w:hAnsi="Verdana" w:cs="Arial"/>
          <w:color w:val="000000"/>
          <w:lang w:val="es-ES" w:eastAsia="es-ES"/>
        </w:rPr>
        <w:t xml:space="preserve"> ni para establecer el alcance de cualquier disposición del ordenamiento jurídico</w:t>
      </w:r>
      <w:r w:rsidRPr="00593A5F">
        <w:rPr>
          <w:rFonts w:ascii="Verdana" w:eastAsia="Calibri" w:hAnsi="Verdana" w:cs="Arial"/>
          <w:color w:val="000000"/>
          <w:lang w:val="es-ES" w:eastAsia="es-ES"/>
        </w:rPr>
        <w:t xml:space="preserve">. La competencia de esta entidad se fija con límites claros, con el objeto de evitar que la Agencia actúe como una instancia de validación de las actuaciones de las </w:t>
      </w:r>
      <w:r w:rsidRPr="00593A5F">
        <w:rPr>
          <w:rFonts w:ascii="Verdana" w:eastAsia="Calibri" w:hAnsi="Verdana" w:cs="Arial"/>
          <w:color w:val="000000"/>
          <w:lang w:val="es-ES" w:eastAsia="es-ES"/>
        </w:rPr>
        <w:lastRenderedPageBreak/>
        <w:t xml:space="preserve">entidades sujetas a la Ley 80 de 1993 o de los demás participantes de la contratación pública. </w:t>
      </w:r>
    </w:p>
    <w:p w14:paraId="0FB4E6F4" w14:textId="77777777" w:rsidR="00B271C1" w:rsidRPr="00A652FF" w:rsidRDefault="00B271C1" w:rsidP="00B271C1">
      <w:pPr>
        <w:spacing w:after="12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Esta competencia de interpretación de normas generales, por definición, no puede extenderse a la resolución de controversias</w:t>
      </w:r>
      <w:r>
        <w:rPr>
          <w:rFonts w:ascii="Verdana" w:eastAsia="Calibri" w:hAnsi="Verdana" w:cs="Arial"/>
          <w:color w:val="000000"/>
          <w:lang w:val="es-ES" w:eastAsia="es-ES"/>
        </w:rPr>
        <w:t>,</w:t>
      </w:r>
      <w:r w:rsidRPr="00593A5F">
        <w:rPr>
          <w:rFonts w:ascii="Verdana" w:eastAsia="Calibri" w:hAnsi="Verdana" w:cs="Arial"/>
          <w:color w:val="000000"/>
          <w:lang w:val="es-ES" w:eastAsia="es-ES"/>
        </w:rPr>
        <w:t xml:space="preserve"> brindar asesorías sobre casos puntuales</w:t>
      </w:r>
      <w:r>
        <w:rPr>
          <w:rFonts w:ascii="Verdana" w:eastAsia="Calibri" w:hAnsi="Verdana" w:cs="Arial"/>
          <w:color w:val="000000"/>
          <w:lang w:val="es-ES" w:eastAsia="es-ES"/>
        </w:rPr>
        <w:t xml:space="preserve"> ni pronunciarse sobre el alcance de normas ajenas a la contratación estatal</w:t>
      </w:r>
      <w:r w:rsidRPr="00593A5F">
        <w:rPr>
          <w:rFonts w:ascii="Verdana" w:eastAsia="Calibri" w:hAnsi="Verdana" w:cs="Arial"/>
          <w:color w:val="000000"/>
          <w:lang w:val="es-ES" w:eastAsia="es-ES"/>
        </w:rPr>
        <w:t>.</w:t>
      </w:r>
      <w:r>
        <w:rPr>
          <w:rFonts w:ascii="Verdana" w:eastAsia="Calibri" w:hAnsi="Verdana" w:cs="Arial"/>
          <w:color w:val="000000"/>
          <w:lang w:val="es-ES" w:eastAsia="es-ES"/>
        </w:rPr>
        <w:t xml:space="preserve"> Este último es el caso de lo planteado en las preguntas 3, 4 y 5 de la solicitud pues se relacionan con aspectos propios de la función pública; razón por la cual, mediante oficios con radicado </w:t>
      </w:r>
      <w:r w:rsidRPr="00AB362B">
        <w:rPr>
          <w:rFonts w:ascii="Verdana" w:eastAsia="Calibri" w:hAnsi="Verdana" w:cs="Arial"/>
          <w:color w:val="000000"/>
          <w:lang w:val="es-ES" w:eastAsia="es-ES"/>
        </w:rPr>
        <w:t>2_2025_10_09_010695</w:t>
      </w:r>
      <w:r>
        <w:rPr>
          <w:rFonts w:ascii="Verdana" w:eastAsia="Calibri" w:hAnsi="Verdana" w:cs="Arial"/>
          <w:color w:val="000000"/>
          <w:lang w:val="es-ES" w:eastAsia="es-ES"/>
        </w:rPr>
        <w:t xml:space="preserve"> y </w:t>
      </w:r>
      <w:r w:rsidRPr="00AB362B">
        <w:rPr>
          <w:rFonts w:ascii="Verdana" w:eastAsia="Calibri" w:hAnsi="Verdana" w:cs="Arial"/>
          <w:color w:val="000000"/>
          <w:lang w:val="es-ES" w:eastAsia="es-ES"/>
        </w:rPr>
        <w:t>2_2025_10_09_010696</w:t>
      </w:r>
      <w:r>
        <w:rPr>
          <w:rFonts w:ascii="Verdana" w:eastAsia="Calibri" w:hAnsi="Verdana" w:cs="Arial"/>
          <w:color w:val="000000"/>
          <w:lang w:val="es-ES" w:eastAsia="es-ES"/>
        </w:rPr>
        <w:t xml:space="preserve"> del 9 de septiembre de 2025, dichas inquietudes se remitieron al DAFP.</w:t>
      </w:r>
      <w:r w:rsidRPr="00593A5F">
        <w:rPr>
          <w:rFonts w:ascii="Verdana" w:eastAsia="Calibri" w:hAnsi="Verdana" w:cs="Arial"/>
          <w:color w:val="000000"/>
          <w:szCs w:val="24"/>
          <w:lang w:val="es-ES_tradnl" w:eastAsia="es-ES_tradnl"/>
        </w:rPr>
        <w:tab/>
      </w:r>
    </w:p>
    <w:p w14:paraId="2A0CC8FA" w14:textId="77777777" w:rsidR="00B271C1" w:rsidRDefault="00B271C1" w:rsidP="00B271C1">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 xml:space="preserve">Conforme lo expuesto, en aras de satisfacer el derecho fundamental </w:t>
      </w:r>
      <w:r>
        <w:rPr>
          <w:rFonts w:ascii="Verdana" w:eastAsia="Calibri" w:hAnsi="Verdana" w:cs="Arial"/>
          <w:color w:val="000000"/>
          <w:lang w:val="es-ES" w:eastAsia="es-ES"/>
        </w:rPr>
        <w:t>previsto en el artículo 23 de la Constitución Política de 1991</w:t>
      </w:r>
      <w:r w:rsidRPr="00593A5F">
        <w:rPr>
          <w:rFonts w:ascii="Verdana" w:eastAsia="Calibri" w:hAnsi="Verdana" w:cs="Arial"/>
          <w:color w:val="000000"/>
          <w:lang w:val="es-ES" w:eastAsia="es-ES"/>
        </w:rPr>
        <w:t xml:space="preserve"> se resolverá su </w:t>
      </w:r>
      <w:r>
        <w:rPr>
          <w:rFonts w:ascii="Verdana" w:eastAsia="Calibri" w:hAnsi="Verdana" w:cs="Arial"/>
          <w:color w:val="000000"/>
          <w:lang w:val="es-ES" w:eastAsia="es-ES"/>
        </w:rPr>
        <w:t>petición</w:t>
      </w:r>
      <w:r w:rsidRPr="00593A5F">
        <w:rPr>
          <w:rFonts w:ascii="Verdana" w:eastAsia="Calibri" w:hAnsi="Verdana" w:cs="Arial"/>
          <w:color w:val="000000"/>
          <w:lang w:val="es-ES" w:eastAsia="es-ES"/>
        </w:rPr>
        <w:t xml:space="preserve">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w:t>
      </w:r>
      <w:r>
        <w:rPr>
          <w:rFonts w:ascii="Verdana" w:eastAsia="Calibri" w:hAnsi="Verdana" w:cs="Arial"/>
          <w:color w:val="000000"/>
          <w:lang w:val="es-ES" w:eastAsia="es-ES"/>
        </w:rPr>
        <w:t>solicitud así como de las disposiciones ajenas al sistema de compras públicas</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Por ello, en el marco de la competencia asignada a la ANCP – CCE por el </w:t>
      </w:r>
      <w:r w:rsidRPr="00593A5F">
        <w:rPr>
          <w:rFonts w:ascii="Verdana" w:eastAsia="Calibri" w:hAnsi="Verdana" w:cs="Arial"/>
          <w:color w:val="000000" w:themeColor="text1"/>
          <w:lang w:val="es-ES" w:eastAsia="es-ES"/>
        </w:rPr>
        <w:t>Decreto Ley 4170 de 2011</w:t>
      </w:r>
      <w:r>
        <w:rPr>
          <w:rFonts w:ascii="Verdana" w:eastAsia="Calibri" w:hAnsi="Verdana" w:cs="Arial"/>
          <w:color w:val="000000"/>
          <w:lang w:val="es-ES" w:eastAsia="es-ES"/>
        </w:rPr>
        <w:t xml:space="preserve">, el presente oficio resolverá las preguntas 1 y 2 resaltadas en cursiva. </w:t>
      </w:r>
    </w:p>
    <w:p w14:paraId="4786EA59" w14:textId="77777777" w:rsidR="00B271C1" w:rsidRPr="00593A5F" w:rsidRDefault="00B271C1" w:rsidP="00B271C1">
      <w:pPr>
        <w:spacing w:after="0" w:line="276" w:lineRule="auto"/>
        <w:ind w:firstLine="709"/>
        <w:jc w:val="both"/>
        <w:rPr>
          <w:rFonts w:ascii="Verdana" w:eastAsia="Calibri" w:hAnsi="Verdana" w:cs="Arial"/>
          <w:color w:val="000000"/>
          <w:lang w:val="es-ES" w:eastAsia="es-ES"/>
        </w:rPr>
      </w:pPr>
    </w:p>
    <w:p w14:paraId="1DD935C5" w14:textId="77777777" w:rsidR="00B271C1" w:rsidRPr="00593A5F" w:rsidRDefault="00B271C1" w:rsidP="00B271C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0F08D73" w14:textId="77777777" w:rsidR="00B271C1" w:rsidRPr="00593A5F" w:rsidRDefault="00B271C1" w:rsidP="00B271C1">
      <w:pPr>
        <w:tabs>
          <w:tab w:val="left" w:pos="426"/>
        </w:tabs>
        <w:spacing w:after="0" w:line="276" w:lineRule="auto"/>
        <w:jc w:val="both"/>
        <w:rPr>
          <w:rFonts w:ascii="Verdana" w:eastAsia="Century Gothic" w:hAnsi="Verdana" w:cs="Century Gothic"/>
          <w:lang w:val="es-ES"/>
        </w:rPr>
      </w:pPr>
    </w:p>
    <w:p w14:paraId="176F482D" w14:textId="0B49BB7D" w:rsidR="00B271C1" w:rsidRPr="00593A5F" w:rsidRDefault="00B271C1" w:rsidP="00B271C1">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jurídico: </w:t>
      </w:r>
      <w:r>
        <w:rPr>
          <w:rFonts w:ascii="Verdana" w:eastAsia="Century Gothic" w:hAnsi="Verdana" w:cs="Century Gothic"/>
        </w:rPr>
        <w:t>¿el régimen de inhabilidades e incompatibilidades previsto en el artículo 8 de la Ley 80 de 1993 se extiende a los fondos que administren recursos parafiscales?</w:t>
      </w:r>
    </w:p>
    <w:p w14:paraId="2330A032" w14:textId="77777777" w:rsidR="00B271C1" w:rsidRPr="004B140F" w:rsidRDefault="00B271C1" w:rsidP="00B271C1">
      <w:pPr>
        <w:spacing w:after="0" w:line="276" w:lineRule="auto"/>
        <w:jc w:val="both"/>
        <w:rPr>
          <w:rFonts w:ascii="Verdana" w:eastAsia="Calibri" w:hAnsi="Verdana" w:cs="Arial"/>
          <w:color w:val="7030A0"/>
        </w:rPr>
      </w:pPr>
    </w:p>
    <w:p w14:paraId="1B7E5A56" w14:textId="77777777" w:rsidR="00B271C1" w:rsidRPr="00593A5F" w:rsidRDefault="00B271C1" w:rsidP="00B271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595C433F" w14:textId="77777777" w:rsidR="00B271C1" w:rsidRPr="00593A5F" w:rsidRDefault="00B271C1" w:rsidP="00B271C1">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271C1" w:rsidRPr="00593A5F" w14:paraId="2F98D6F1" w14:textId="77777777" w:rsidTr="623AAF9F">
        <w:trPr>
          <w:jc w:val="center"/>
        </w:trPr>
        <w:tc>
          <w:tcPr>
            <w:tcW w:w="8828" w:type="dxa"/>
          </w:tcPr>
          <w:p w14:paraId="438CB5F5" w14:textId="3878BE05" w:rsidR="00B271C1" w:rsidRDefault="00B271C1" w:rsidP="00591270">
            <w:pPr>
              <w:spacing w:after="120" w:line="276" w:lineRule="auto"/>
              <w:jc w:val="both"/>
              <w:rPr>
                <w:rFonts w:ascii="Verdana" w:eastAsia="Calibri" w:hAnsi="Verdana" w:cs="Arial"/>
                <w:lang w:val="es-ES_tradnl"/>
              </w:rPr>
            </w:pPr>
            <w:bookmarkStart w:id="2" w:name="_Hlk171694685"/>
            <w:r>
              <w:rPr>
                <w:rFonts w:ascii="Verdana" w:eastAsia="Calibri" w:hAnsi="Verdana" w:cs="Arial"/>
                <w:bCs/>
                <w:color w:val="000000" w:themeColor="text1"/>
              </w:rPr>
              <w:t xml:space="preserve">Conforme a la interpretación general de las normas del sistema de compras </w:t>
            </w:r>
            <w:r w:rsidR="00873C70">
              <w:rPr>
                <w:rFonts w:ascii="Verdana" w:eastAsia="Calibri" w:hAnsi="Verdana" w:cs="Arial"/>
                <w:bCs/>
                <w:color w:val="000000" w:themeColor="text1"/>
              </w:rPr>
              <w:t>Y contratación</w:t>
            </w:r>
            <w:r>
              <w:rPr>
                <w:rFonts w:ascii="Verdana" w:eastAsia="Calibri" w:hAnsi="Verdana" w:cs="Arial"/>
                <w:bCs/>
                <w:color w:val="000000" w:themeColor="text1"/>
              </w:rPr>
              <w:t xml:space="preserve"> pública,</w:t>
            </w:r>
            <w:r>
              <w:rPr>
                <w:rFonts w:ascii="Verdana" w:eastAsia="Calibri" w:hAnsi="Verdana" w:cs="Arial"/>
                <w:color w:val="000000" w:themeColor="text1"/>
              </w:rPr>
              <w:t xml:space="preserve"> </w:t>
            </w:r>
            <w:r>
              <w:rPr>
                <w:rFonts w:ascii="Verdana" w:eastAsia="Calibri" w:hAnsi="Verdana" w:cs="Arial"/>
                <w:lang w:val="es-ES_tradnl"/>
              </w:rPr>
              <w:t>el literal a) del artículo 8.1 de la Ley 80 de 1993 dispone que s</w:t>
            </w:r>
            <w:r w:rsidRPr="00446B74">
              <w:rPr>
                <w:rFonts w:ascii="Verdana" w:eastAsia="Calibri" w:hAnsi="Verdana" w:cs="Arial"/>
                <w:lang w:val="es-ES_tradnl"/>
              </w:rPr>
              <w:t xml:space="preserve">on inhábiles para participar </w:t>
            </w:r>
            <w:r>
              <w:rPr>
                <w:rFonts w:ascii="Verdana" w:eastAsia="Calibri" w:hAnsi="Verdana" w:cs="Arial"/>
                <w:lang w:val="es-ES_tradnl"/>
              </w:rPr>
              <w:t xml:space="preserve">procesos de selección </w:t>
            </w:r>
            <w:r w:rsidRPr="00446B74">
              <w:rPr>
                <w:rFonts w:ascii="Verdana" w:eastAsia="Calibri" w:hAnsi="Verdana" w:cs="Arial"/>
                <w:lang w:val="es-ES_tradnl"/>
              </w:rPr>
              <w:t xml:space="preserve">y para celebrar contratos </w:t>
            </w:r>
            <w:r>
              <w:rPr>
                <w:rFonts w:ascii="Verdana" w:eastAsia="Calibri" w:hAnsi="Verdana" w:cs="Arial"/>
                <w:lang w:val="es-ES_tradnl"/>
              </w:rPr>
              <w:t>estatales “</w:t>
            </w:r>
            <w:r w:rsidRPr="00446B74">
              <w:rPr>
                <w:rFonts w:ascii="Verdana" w:eastAsia="Calibri" w:hAnsi="Verdana" w:cs="Arial"/>
                <w:lang w:val="es-ES_tradnl"/>
              </w:rPr>
              <w:t>Las personas que se hallen inhabilitadas para contratar por la Constitución y las leyes</w:t>
            </w:r>
            <w:r>
              <w:rPr>
                <w:rFonts w:ascii="Verdana" w:eastAsia="Calibri" w:hAnsi="Verdana" w:cs="Arial"/>
                <w:lang w:val="es-ES_tradnl"/>
              </w:rPr>
              <w:t>”</w:t>
            </w:r>
            <w:r w:rsidRPr="00446B74">
              <w:rPr>
                <w:rFonts w:ascii="Verdana" w:eastAsia="Calibri" w:hAnsi="Verdana" w:cs="Arial"/>
                <w:lang w:val="es-ES_tradnl"/>
              </w:rPr>
              <w:t>.</w:t>
            </w:r>
            <w:r>
              <w:rPr>
                <w:rFonts w:ascii="Verdana" w:eastAsia="Calibri" w:hAnsi="Verdana" w:cs="Arial"/>
                <w:lang w:val="es-ES_tradnl"/>
              </w:rPr>
              <w:t xml:space="preserve"> De esta manera, el régimen de inhabilidades en el sistema de compras </w:t>
            </w:r>
            <w:r w:rsidR="009A51D0">
              <w:rPr>
                <w:rFonts w:ascii="Verdana" w:eastAsia="Calibri" w:hAnsi="Verdana" w:cs="Arial"/>
                <w:lang w:val="es-ES_tradnl"/>
              </w:rPr>
              <w:t>y contratación</w:t>
            </w:r>
            <w:r>
              <w:rPr>
                <w:rFonts w:ascii="Verdana" w:eastAsia="Calibri" w:hAnsi="Verdana" w:cs="Arial"/>
                <w:lang w:val="es-ES_tradnl"/>
              </w:rPr>
              <w:t xml:space="preserve"> pública no se agota en el artículo 8 precitado, sino que se integra con otras normas del ordenamiento jurídico. </w:t>
            </w:r>
            <w:r>
              <w:rPr>
                <w:rFonts w:ascii="Verdana" w:eastAsia="Calibri" w:hAnsi="Verdana" w:cs="Arial"/>
                <w:lang w:val="es-ES_tradnl"/>
              </w:rPr>
              <w:lastRenderedPageBreak/>
              <w:t xml:space="preserve">Asimismo, todas se extienden a las entidades exceptuadas del EGCAP, especialmente, cuando el inciso primero del artículo 13 de la Ley 1150 de 2007 prescribe que “[…] </w:t>
            </w:r>
            <w:r w:rsidRPr="00446B74">
              <w:rPr>
                <w:rFonts w:ascii="Verdana" w:eastAsia="Calibri" w:hAnsi="Verdana" w:cs="Arial"/>
                <w:lang w:val="es-ES_tradnl"/>
              </w:rPr>
              <w:t>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eastAsia="Calibri" w:hAnsi="Verdana" w:cs="Arial"/>
                <w:lang w:val="es-ES_tradnl"/>
              </w:rPr>
              <w:t>”. Incluso, en virtud del artículo 6 del Decreto 092 de 2017, también hacen parte de los negocios jurídicos que se suscriban con las ESAL conforme a los artículos 355 constitucional o 96 de la Ley 489 de 1998</w:t>
            </w:r>
            <w:r>
              <w:rPr>
                <w:rStyle w:val="Refdenotaalpie"/>
                <w:rFonts w:ascii="Verdana" w:eastAsia="Calibri" w:hAnsi="Verdana" w:cs="Arial"/>
                <w:lang w:val="es-ES_tradnl"/>
              </w:rPr>
              <w:footnoteReference w:id="2"/>
            </w:r>
            <w:r>
              <w:rPr>
                <w:rFonts w:ascii="Verdana" w:eastAsia="Calibri" w:hAnsi="Verdana" w:cs="Arial"/>
                <w:lang w:val="es-ES_tradnl"/>
              </w:rPr>
              <w:t>.</w:t>
            </w:r>
          </w:p>
          <w:p w14:paraId="082D4B54" w14:textId="77777777" w:rsidR="00B271C1" w:rsidRDefault="00B271C1" w:rsidP="00591270">
            <w:pPr>
              <w:spacing w:after="120" w:line="276" w:lineRule="auto"/>
              <w:ind w:firstLine="709"/>
              <w:jc w:val="both"/>
              <w:rPr>
                <w:rFonts w:ascii="Verdana" w:eastAsia="Calibri" w:hAnsi="Verdana" w:cs="Arial"/>
                <w:lang w:val="es-ES_tradnl"/>
              </w:rPr>
            </w:pPr>
            <w:r>
              <w:rPr>
                <w:rFonts w:ascii="Verdana" w:eastAsia="Calibri" w:hAnsi="Verdana" w:cs="Arial"/>
                <w:lang w:val="es-ES_tradnl"/>
              </w:rPr>
              <w:t>Lo anterior no obsta para que las restricciones a la capacidad jurídica para la celebración de contratos se extiendan a los negocios jurídicos entre particulares. Al respecto, el parágrafo 3 del artículo 8 del Estatuto General de Contratación de la Administración Pública, adicionado por el artículo 3 de la Ley 2014 de 2019, dispone que “</w:t>
            </w:r>
            <w:r w:rsidRPr="006909C4">
              <w:rPr>
                <w:rFonts w:ascii="Verdana" w:eastAsia="Calibri" w:hAnsi="Verdana" w:cs="Arial"/>
                <w:lang w:val="es-ES_tradnl"/>
              </w:rPr>
              <w:t>Las inhabilidades e incompatibilidades contempladas en este artículo se aplicarán a cualquier proceso de contratación privada en el que se comprometan recursos públicos</w:t>
            </w:r>
            <w:r>
              <w:rPr>
                <w:rFonts w:ascii="Verdana" w:eastAsia="Calibri" w:hAnsi="Verdana" w:cs="Arial"/>
                <w:lang w:val="es-ES_tradnl"/>
              </w:rPr>
              <w:t>”</w:t>
            </w:r>
            <w:r w:rsidRPr="006909C4">
              <w:rPr>
                <w:rFonts w:ascii="Verdana" w:eastAsia="Calibri" w:hAnsi="Verdana" w:cs="Arial"/>
                <w:lang w:val="es-ES_tradnl"/>
              </w:rPr>
              <w:t>.</w:t>
            </w:r>
          </w:p>
          <w:p w14:paraId="4CAF8864" w14:textId="77777777" w:rsidR="00B271C1" w:rsidRPr="0006410C" w:rsidRDefault="00B271C1" w:rsidP="00591270">
            <w:pPr>
              <w:spacing w:after="120" w:line="276" w:lineRule="auto"/>
              <w:ind w:right="51" w:firstLine="737"/>
              <w:jc w:val="both"/>
              <w:rPr>
                <w:rFonts w:ascii="Verdana" w:hAnsi="Verdana" w:cs="Arial"/>
                <w:color w:val="000000" w:themeColor="text1"/>
                <w:lang w:val="es-ES"/>
              </w:rPr>
            </w:pPr>
            <w:r w:rsidRPr="623AAF9F">
              <w:rPr>
                <w:rFonts w:ascii="Verdana" w:eastAsia="Calibri" w:hAnsi="Verdana" w:cs="Arial"/>
                <w:lang w:val="es-ES"/>
              </w:rPr>
              <w:t xml:space="preserve">Para efectos de la consulta, los fondos que administren recursos parafiscales están sometidos al régimen de inhabilidades e incompatibilidades por lo mencionado en el párrafo precedente. Ello considerando que los recursos parafiscales son recursos públicos. Como explica la Corte Constitucional en la Sentencia C-152 del 1997, con ponencia del Magistrado Jorge Arango Mejía, dichas contribuciones tienen las siguientes características: i) son obligatorias, porque se exigen, como todos los impuestos y contribuciones, en ejercicio del poder coercitivo del Estado; </w:t>
            </w:r>
            <w:proofErr w:type="spellStart"/>
            <w:r w:rsidRPr="623AAF9F">
              <w:rPr>
                <w:rFonts w:ascii="Verdana" w:eastAsia="Calibri" w:hAnsi="Verdana" w:cs="Arial"/>
                <w:lang w:val="es-ES"/>
              </w:rPr>
              <w:t>ii</w:t>
            </w:r>
            <w:proofErr w:type="spellEnd"/>
            <w:r w:rsidRPr="623AAF9F">
              <w:rPr>
                <w:rFonts w:ascii="Verdana" w:eastAsia="Calibri" w:hAnsi="Verdana" w:cs="Arial"/>
                <w:lang w:val="es-ES"/>
              </w:rPr>
              <w:t xml:space="preserve">) gravan únicamente un grupo, gremio o sector económico; </w:t>
            </w:r>
            <w:proofErr w:type="spellStart"/>
            <w:r w:rsidRPr="623AAF9F">
              <w:rPr>
                <w:rFonts w:ascii="Verdana" w:eastAsia="Calibri" w:hAnsi="Verdana" w:cs="Arial"/>
                <w:lang w:val="es-ES"/>
              </w:rPr>
              <w:t>iii</w:t>
            </w:r>
            <w:proofErr w:type="spellEnd"/>
            <w:r w:rsidRPr="623AAF9F">
              <w:rPr>
                <w:rFonts w:ascii="Verdana" w:eastAsia="Calibri" w:hAnsi="Verdana" w:cs="Arial"/>
                <w:lang w:val="es-ES"/>
              </w:rPr>
              <w:t xml:space="preserve">) se invierten exclusivamente en beneficio del grupo, gremio o sector económico que las tributa; y </w:t>
            </w:r>
            <w:proofErr w:type="spellStart"/>
            <w:r w:rsidRPr="623AAF9F">
              <w:rPr>
                <w:rFonts w:ascii="Verdana" w:eastAsia="Calibri" w:hAnsi="Verdana" w:cs="Arial"/>
                <w:lang w:val="es-ES"/>
              </w:rPr>
              <w:t>iv</w:t>
            </w:r>
            <w:proofErr w:type="spellEnd"/>
            <w:r w:rsidRPr="623AAF9F">
              <w:rPr>
                <w:rFonts w:ascii="Verdana" w:eastAsia="Calibri" w:hAnsi="Verdana" w:cs="Arial"/>
                <w:lang w:val="es-ES"/>
              </w:rPr>
              <w:t>) son recursos públicos, pertenecen al Estado, aunque están destinados a favorecer solamente al grupo, gremio o sector que los tributa.</w:t>
            </w:r>
          </w:p>
          <w:p w14:paraId="05104AFC" w14:textId="1CB7C8A8" w:rsidR="00B271C1" w:rsidRDefault="00B271C1" w:rsidP="00591270">
            <w:pPr>
              <w:spacing w:after="120" w:line="276" w:lineRule="auto"/>
              <w:ind w:firstLine="709"/>
              <w:jc w:val="both"/>
              <w:rPr>
                <w:rStyle w:val="s15"/>
                <w:rFonts w:ascii="Verdana" w:hAnsi="Verdana"/>
                <w:color w:val="000000"/>
              </w:rPr>
            </w:pPr>
            <w:r w:rsidRPr="001941FD">
              <w:rPr>
                <w:rStyle w:val="s15"/>
                <w:rFonts w:ascii="Verdana" w:hAnsi="Verdana"/>
                <w:color w:val="000000"/>
              </w:rPr>
              <w:t xml:space="preserve">Al margen de la explicación precedente debe advertirse que el análisis requerido para resolver problemas específicos en torno a la gestión contractual </w:t>
            </w:r>
            <w:r w:rsidRPr="001941FD">
              <w:rPr>
                <w:rStyle w:val="s15"/>
                <w:rFonts w:ascii="Verdana" w:hAnsi="Verdana"/>
                <w:color w:val="000000"/>
              </w:rPr>
              <w:lastRenderedPageBreak/>
              <w:t>debe ser realizado por quienes tengan interés en ello, de acuerdo con lo explicado la aclaración preliminar del presente oficio.</w:t>
            </w:r>
            <w:r w:rsidR="00F059E2">
              <w:rPr>
                <w:rStyle w:val="s15"/>
                <w:rFonts w:ascii="Verdana" w:hAnsi="Verdana"/>
                <w:color w:val="000000"/>
              </w:rPr>
              <w:t xml:space="preserve"> </w:t>
            </w:r>
            <w:r w:rsidRPr="001941FD">
              <w:rPr>
                <w:rStyle w:val="s15"/>
                <w:rFonts w:ascii="Verdana" w:hAnsi="Verdana"/>
                <w:color w:val="000000"/>
              </w:rPr>
              <w:t>Por lo anterior, previo</w:t>
            </w:r>
            <w:r w:rsidR="00F059E2">
              <w:rPr>
                <w:rStyle w:val="s15"/>
                <w:rFonts w:ascii="Verdana" w:hAnsi="Verdana"/>
                <w:color w:val="000000"/>
              </w:rPr>
              <w:t xml:space="preserve"> </w:t>
            </w:r>
            <w:r w:rsidRPr="001941FD">
              <w:rPr>
                <w:rStyle w:val="s15"/>
                <w:rFonts w:ascii="Verdana" w:hAnsi="Verdana"/>
                <w:color w:val="000000"/>
              </w:rPr>
              <w:t xml:space="preserve">concepto de sus asesores, la solución de situaciones particulares corresponde a los interesados adoptar la decisión correspondiente y, en caso de conflicto, a las autoridades judiciales, fiscales y disciplinarias. </w:t>
            </w:r>
          </w:p>
          <w:p w14:paraId="5D19532D" w14:textId="77777777" w:rsidR="00B271C1" w:rsidRPr="001941FD" w:rsidRDefault="00B271C1" w:rsidP="00591270">
            <w:pPr>
              <w:spacing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En el marco de las causales establecidas en el artículo 8 del EGCAP</w:t>
            </w:r>
            <w:r w:rsidRPr="00E853DE">
              <w:rPr>
                <w:rFonts w:ascii="Verdana" w:eastAsia="Calibri" w:hAnsi="Verdana" w:cs="Arial"/>
                <w:bCs/>
                <w:color w:val="000000" w:themeColor="text1"/>
              </w:rPr>
              <w:t xml:space="preserve">, </w:t>
            </w:r>
            <w:r>
              <w:rPr>
                <w:rFonts w:ascii="Verdana" w:eastAsia="Calibri" w:hAnsi="Verdana" w:cs="Arial"/>
                <w:bCs/>
                <w:color w:val="000000" w:themeColor="text1"/>
              </w:rPr>
              <w:t>el fondo que administre recursos parafiscales definirá la existencia o no inhabilidades en los supuestos descritos en la consulta</w:t>
            </w:r>
            <w:r w:rsidRPr="00E853DE">
              <w:rPr>
                <w:rFonts w:ascii="Verdana" w:eastAsia="Calibri" w:hAnsi="Verdana" w:cs="Arial"/>
                <w:bCs/>
                <w:color w:val="000000" w:themeColor="text1"/>
              </w:rPr>
              <w:t>.</w:t>
            </w:r>
            <w:r>
              <w:rPr>
                <w:rFonts w:ascii="Verdana" w:eastAsia="Calibri" w:hAnsi="Verdana" w:cs="Arial"/>
                <w:bCs/>
                <w:color w:val="000000" w:themeColor="text1"/>
              </w:rPr>
              <w:t xml:space="preserve"> </w:t>
            </w:r>
            <w:r w:rsidRPr="001941FD">
              <w:rPr>
                <w:rStyle w:val="s15"/>
                <w:rFonts w:ascii="Verdana" w:hAnsi="Verdana"/>
                <w:color w:val="000000"/>
              </w:rPr>
              <w:t>Así, cada entidad definirá la forma de adelantar su gestión contractual, sin que sea atribución de Colombia Compra Eficiente validar sus actuaciones.</w:t>
            </w:r>
          </w:p>
        </w:tc>
      </w:tr>
    </w:tbl>
    <w:p w14:paraId="157A9D1E" w14:textId="77777777" w:rsidR="00B271C1" w:rsidRPr="00593A5F" w:rsidRDefault="00B271C1" w:rsidP="00B271C1">
      <w:pPr>
        <w:tabs>
          <w:tab w:val="left" w:pos="142"/>
          <w:tab w:val="left" w:pos="284"/>
        </w:tabs>
        <w:spacing w:after="0" w:line="276" w:lineRule="auto"/>
        <w:jc w:val="both"/>
        <w:rPr>
          <w:rFonts w:ascii="Verdana" w:eastAsia="Century Gothic" w:hAnsi="Verdana" w:cs="Century Gothic"/>
          <w:b/>
          <w:bCs/>
          <w:lang w:val="es-ES"/>
        </w:rPr>
      </w:pPr>
    </w:p>
    <w:bookmarkEnd w:id="2"/>
    <w:p w14:paraId="1BEA38E7" w14:textId="77777777" w:rsidR="00B271C1" w:rsidRPr="00593A5F" w:rsidRDefault="00B271C1" w:rsidP="00B271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395C7D2" w14:textId="77777777" w:rsidR="00B271C1" w:rsidRPr="00593A5F" w:rsidRDefault="00B271C1" w:rsidP="00B271C1">
      <w:pPr>
        <w:spacing w:after="0" w:line="276" w:lineRule="auto"/>
        <w:jc w:val="both"/>
        <w:rPr>
          <w:rFonts w:ascii="Verdana" w:eastAsia="Calibri" w:hAnsi="Verdana" w:cs="Arial"/>
          <w:color w:val="7030A0"/>
          <w:lang w:val="es-ES"/>
        </w:rPr>
      </w:pPr>
    </w:p>
    <w:p w14:paraId="241F64DC" w14:textId="77777777" w:rsidR="00B271C1" w:rsidRDefault="00B271C1" w:rsidP="00B271C1">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636D0DC8" w14:textId="77777777" w:rsidR="00B271C1" w:rsidRPr="00415608" w:rsidRDefault="00B271C1" w:rsidP="00B271C1">
      <w:pPr>
        <w:spacing w:after="0" w:line="276" w:lineRule="auto"/>
        <w:jc w:val="both"/>
        <w:rPr>
          <w:rFonts w:ascii="Verdana" w:eastAsia="Calibri" w:hAnsi="Verdana" w:cs="Arial"/>
          <w:lang w:val="es-ES"/>
        </w:rPr>
      </w:pPr>
    </w:p>
    <w:p w14:paraId="69B6A4E5" w14:textId="77777777" w:rsidR="00B271C1" w:rsidRPr="00E96901" w:rsidRDefault="00B271C1" w:rsidP="00B271C1">
      <w:pPr>
        <w:pStyle w:val="Sinespaciado"/>
        <w:spacing w:after="120" w:line="276" w:lineRule="auto"/>
        <w:jc w:val="both"/>
        <w:rPr>
          <w:rFonts w:ascii="Verdana" w:hAnsi="Verdana" w:cs="Arial"/>
          <w:sz w:val="22"/>
        </w:rPr>
      </w:pPr>
      <w:r w:rsidRPr="00E96901">
        <w:rPr>
          <w:rFonts w:ascii="Verdana" w:hAnsi="Verdana" w:cs="Arial"/>
          <w:sz w:val="22"/>
        </w:rPr>
        <w:t>Las inhabilidades son circunstancias establecidas por la Constitución o la ley que impiden que personas naturales o jurídicas sean elegidas o designadas en un cargo público o celebren contratos con el Estado, con el objetivo de garantizar la idoneidad, imparcialidad, probidad, transparencia y moralidad de la función pública, garantizando el interés general.</w:t>
      </w:r>
      <w:r>
        <w:rPr>
          <w:rFonts w:ascii="Verdana" w:hAnsi="Verdana" w:cs="Arial"/>
          <w:sz w:val="22"/>
        </w:rPr>
        <w:t xml:space="preserve"> </w:t>
      </w:r>
    </w:p>
    <w:p w14:paraId="1EE0CCF8" w14:textId="77777777" w:rsidR="00B271C1" w:rsidRPr="00E96901" w:rsidRDefault="00B271C1" w:rsidP="00B271C1">
      <w:pPr>
        <w:spacing w:line="276" w:lineRule="auto"/>
        <w:ind w:firstLine="709"/>
        <w:jc w:val="both"/>
        <w:rPr>
          <w:rFonts w:ascii="Verdana" w:hAnsi="Verdana" w:cs="Arial"/>
        </w:rPr>
      </w:pPr>
      <w:r w:rsidRPr="00E96901">
        <w:rPr>
          <w:rFonts w:ascii="Verdana" w:hAnsi="Verdana" w:cs="Arial"/>
        </w:rPr>
        <w:t>El régimen de inhabilidades para contratar con el Estado es un conjunto de restricciones establecidas por el constituyente o por el legislador que afectan directamente la capacidad de las personas para establecer relaciones contractuales con el Estado, que pueden resultar de condenas, sanciones o situaciones previamente establecidas por el ordenamiento jurídico. En esta medida, la Corte Constitucional explica que “las inhabilidades representan una limitación a la capacidad para contratar con las entidades del Estado y obedecen a la falta de aptitud o a la carencia de una cualidad, calidad o requisito en el sujeto incapacitado quien por esta razón no podrá hacer parte de una relación contractual”</w:t>
      </w:r>
      <w:r w:rsidRPr="00E96901">
        <w:rPr>
          <w:rStyle w:val="Refdenotaalpie"/>
          <w:rFonts w:ascii="Verdana" w:hAnsi="Verdana" w:cs="Arial"/>
        </w:rPr>
        <w:footnoteReference w:id="3"/>
      </w:r>
      <w:r w:rsidRPr="00E96901">
        <w:rPr>
          <w:rFonts w:ascii="Verdana" w:hAnsi="Verdana" w:cs="Arial"/>
        </w:rPr>
        <w:t>.</w:t>
      </w:r>
    </w:p>
    <w:p w14:paraId="31240F86" w14:textId="77777777" w:rsidR="00B271C1" w:rsidRPr="00E96901" w:rsidRDefault="00B271C1" w:rsidP="00B271C1">
      <w:pPr>
        <w:pStyle w:val="Sinespaciado"/>
        <w:spacing w:line="276" w:lineRule="auto"/>
        <w:ind w:firstLine="709"/>
        <w:jc w:val="both"/>
        <w:rPr>
          <w:rFonts w:ascii="Verdana" w:hAnsi="Verdana" w:cs="Arial"/>
          <w:sz w:val="22"/>
        </w:rPr>
      </w:pPr>
      <w:r w:rsidRPr="00E96901">
        <w:rPr>
          <w:rFonts w:ascii="Verdana" w:hAnsi="Verdana" w:cs="Arial"/>
          <w:sz w:val="22"/>
        </w:rPr>
        <w:t xml:space="preserve">La consagración limitaciones que afectan la capacidad jurídica para contratar desarrolla los principios de la función administrativa consagrados en el artículo 209 de la Constitución Política, con especial énfasis el de moralidad. Así lo entiende el Consejo de Estado: </w:t>
      </w:r>
    </w:p>
    <w:p w14:paraId="4F7461D1" w14:textId="77777777" w:rsidR="00B271C1" w:rsidRPr="00E96901" w:rsidRDefault="00B271C1" w:rsidP="00B271C1">
      <w:pPr>
        <w:pStyle w:val="Sinespaciado"/>
        <w:spacing w:line="276" w:lineRule="auto"/>
        <w:jc w:val="both"/>
        <w:rPr>
          <w:rFonts w:ascii="Verdana" w:hAnsi="Verdana" w:cs="Arial"/>
          <w:sz w:val="22"/>
        </w:rPr>
      </w:pPr>
    </w:p>
    <w:p w14:paraId="3ED97C79" w14:textId="77777777" w:rsidR="00B271C1" w:rsidRPr="006909C4" w:rsidRDefault="00B271C1" w:rsidP="00B271C1">
      <w:pPr>
        <w:pStyle w:val="NormalWeb"/>
        <w:shd w:val="clear" w:color="auto" w:fill="FFFFFF"/>
        <w:spacing w:before="0" w:beforeAutospacing="0" w:after="120" w:afterAutospacing="0"/>
        <w:ind w:left="709" w:right="709"/>
        <w:jc w:val="both"/>
        <w:rPr>
          <w:rFonts w:ascii="Verdana" w:hAnsi="Verdana" w:cs="Arial"/>
          <w:sz w:val="20"/>
          <w:szCs w:val="20"/>
          <w:lang w:val="es-ES"/>
        </w:rPr>
      </w:pPr>
      <w:r w:rsidRPr="006909C4">
        <w:rPr>
          <w:rFonts w:ascii="Verdana" w:hAnsi="Verdana" w:cs="Arial"/>
          <w:sz w:val="20"/>
          <w:szCs w:val="20"/>
          <w:lang w:val="es-ES"/>
        </w:rPr>
        <w:t>“De manera primordial en esta reflexión debe advertirse que la consagración legal de las incompatibilidades e inhabilidades en materia contractual, no es sino desarrollo del Principio de Moralidad que la Constitución Política consagra como uno de los rectores de la Función Administrativa, instituido en el artículo 209 de la Carta, toda vez que este Principio –en su carácter jurídico, ordenador y orientador del derecho– constituye la Finalidad, el Deber Ser, la Razón de Primer Orden en la cual se inspira, justifica y legitima la existencia de las normas que definen y regulan las inhabilidades e incompatibilidades.</w:t>
      </w:r>
    </w:p>
    <w:p w14:paraId="3888F6DD" w14:textId="77777777" w:rsidR="00B271C1" w:rsidRPr="006909C4" w:rsidRDefault="00B271C1" w:rsidP="00B271C1">
      <w:pPr>
        <w:pStyle w:val="NormalWeb"/>
        <w:shd w:val="clear" w:color="auto" w:fill="FFFFFF"/>
        <w:spacing w:before="0" w:beforeAutospacing="0" w:after="0" w:afterAutospacing="0"/>
        <w:ind w:left="709" w:right="709"/>
        <w:jc w:val="both"/>
        <w:rPr>
          <w:rFonts w:ascii="Verdana" w:hAnsi="Verdana" w:cs="Arial"/>
          <w:sz w:val="20"/>
          <w:szCs w:val="20"/>
          <w:lang w:val="es-ES"/>
        </w:rPr>
      </w:pPr>
      <w:r w:rsidRPr="006909C4">
        <w:rPr>
          <w:rFonts w:ascii="Verdana" w:hAnsi="Verdana" w:cs="Arial"/>
          <w:sz w:val="20"/>
          <w:szCs w:val="20"/>
          <w:lang w:val="es-ES"/>
        </w:rPr>
        <w:t>Adicionalmente, toda vez que la Jurisprudencia Constitucional se ha referido a la protección del Interés General como causa que legitima la estructuración legal de las incompatibilidades e inhabilidades, se puede precisar que la regulación de sus causales para contratar con el Estado debe orientarse por el Principio de Moralidad que obviamente –como es propio de todos los Principios de la Función Administrativa– se despliega ordenado con base en la protección prevalente del interés general y, por ello, se entiende que la potestad de configuración legislativa en materia de incompatibilidades e inhabilidades para contratar con el Estado puede concretarse a través de una regla de carácter excluyente para determinados potenciales contratistas, la cual se impone entonces por razón de ese fin de interés general como regla legal prevalente, esto es que puede ser impuesta sobre el derecho individual a contratar con el Estado”</w:t>
      </w:r>
      <w:r w:rsidRPr="006909C4">
        <w:rPr>
          <w:rStyle w:val="Refdenotaalpie"/>
          <w:rFonts w:ascii="Verdana" w:hAnsi="Verdana" w:cs="Arial"/>
          <w:sz w:val="20"/>
          <w:szCs w:val="20"/>
          <w:lang w:val="es-ES"/>
        </w:rPr>
        <w:footnoteReference w:id="4"/>
      </w:r>
      <w:r w:rsidRPr="006909C4">
        <w:rPr>
          <w:rFonts w:ascii="Verdana" w:hAnsi="Verdana" w:cs="Arial"/>
          <w:sz w:val="20"/>
          <w:szCs w:val="20"/>
          <w:lang w:val="es-ES"/>
        </w:rPr>
        <w:t>.</w:t>
      </w:r>
    </w:p>
    <w:p w14:paraId="79734C01" w14:textId="77777777" w:rsidR="00B271C1" w:rsidRPr="002829DE" w:rsidRDefault="00B271C1" w:rsidP="00B271C1">
      <w:pPr>
        <w:pStyle w:val="NormalWeb"/>
        <w:shd w:val="clear" w:color="auto" w:fill="FFFFFF"/>
        <w:spacing w:before="0" w:beforeAutospacing="0" w:after="0" w:afterAutospacing="0"/>
        <w:ind w:left="709" w:right="709"/>
        <w:jc w:val="both"/>
        <w:rPr>
          <w:rFonts w:ascii="Verdana" w:hAnsi="Verdana" w:cs="Arial"/>
          <w:sz w:val="21"/>
          <w:szCs w:val="21"/>
          <w:lang w:val="es-ES"/>
        </w:rPr>
      </w:pPr>
    </w:p>
    <w:p w14:paraId="5737CCC1" w14:textId="77777777" w:rsidR="00B271C1" w:rsidRPr="00E96901" w:rsidRDefault="00B271C1" w:rsidP="00B271C1">
      <w:pPr>
        <w:pStyle w:val="Sinespaciado"/>
        <w:spacing w:line="276" w:lineRule="auto"/>
        <w:ind w:firstLine="709"/>
        <w:jc w:val="both"/>
        <w:rPr>
          <w:rFonts w:ascii="Verdana" w:hAnsi="Verdana" w:cs="Arial"/>
          <w:sz w:val="22"/>
        </w:rPr>
      </w:pPr>
      <w:r w:rsidRPr="00E96901">
        <w:rPr>
          <w:rFonts w:ascii="Verdana" w:hAnsi="Verdana" w:cs="Arial"/>
          <w:sz w:val="22"/>
        </w:rPr>
        <w:t xml:space="preserve">Así las cosas, las inhabilidades son medios que garantizan la transparencia y eficiencia en la actividad contractual del Estado, imponiendo restricciones en la personalidad jurídica, la igualdad, la libre empresa y, particularmente, en el derecho a participar en procesos de selección y celebrar contratos con el Estado. La Corte Constitucional ha reconocido que estas limitaciones deben estar justificadas en la salvaguarda del interés general y que su lectura e interpretación es taxativa y restrictiva: </w:t>
      </w:r>
    </w:p>
    <w:p w14:paraId="12B6F4D6" w14:textId="77777777" w:rsidR="00B271C1" w:rsidRPr="00E96901" w:rsidRDefault="00B271C1" w:rsidP="00B271C1">
      <w:pPr>
        <w:pStyle w:val="Sinespaciado"/>
        <w:spacing w:line="276" w:lineRule="auto"/>
        <w:ind w:firstLine="709"/>
        <w:jc w:val="both"/>
        <w:rPr>
          <w:rFonts w:ascii="Verdana" w:hAnsi="Verdana" w:cs="Arial"/>
          <w:sz w:val="22"/>
        </w:rPr>
      </w:pPr>
    </w:p>
    <w:p w14:paraId="0FDB7EBA" w14:textId="77777777" w:rsidR="00B271C1" w:rsidRPr="006909C4" w:rsidRDefault="00B271C1" w:rsidP="00B271C1">
      <w:pPr>
        <w:spacing w:after="120" w:line="240" w:lineRule="auto"/>
        <w:ind w:left="709" w:right="709"/>
        <w:jc w:val="both"/>
        <w:rPr>
          <w:rFonts w:ascii="Verdana" w:hAnsi="Verdana" w:cs="Arial"/>
          <w:sz w:val="20"/>
          <w:szCs w:val="20"/>
        </w:rPr>
      </w:pPr>
      <w:r w:rsidRPr="006909C4">
        <w:rPr>
          <w:rFonts w:ascii="Verdana" w:hAnsi="Verdana" w:cs="Arial"/>
          <w:sz w:val="20"/>
          <w:szCs w:val="20"/>
        </w:rPr>
        <w:t xml:space="preserve">“Todo régimen de inhabilidades e incompatibilidades de suyo excluye a ciertas categorías de personas del proceso de contratación, generando incapacidades especiales, impedimentos y prohibiciones de variada naturaleza, que en cierta medida afectan el derecho a la personalidad jurídica traducido, a su turno, en el principio general de capacidad legal [CC arts. 1502 y 1503; ley 80 de 1993, art. 6]. De ordinario, como ocurre en la contratación estatal, la inobservancia del régimen de inhabilidades e </w:t>
      </w:r>
      <w:r w:rsidRPr="006909C4">
        <w:rPr>
          <w:rFonts w:ascii="Verdana" w:hAnsi="Verdana" w:cs="Arial"/>
          <w:sz w:val="20"/>
          <w:szCs w:val="20"/>
        </w:rPr>
        <w:lastRenderedPageBreak/>
        <w:t>incompatibilidades, se erige en causal de nulidad del contrato celebrado en esas condiciones (ley 80 de 1993, art. 44).</w:t>
      </w:r>
    </w:p>
    <w:p w14:paraId="729955E5" w14:textId="77777777" w:rsidR="00B271C1" w:rsidRPr="00E96901" w:rsidRDefault="00B271C1" w:rsidP="00B271C1">
      <w:pPr>
        <w:spacing w:after="0" w:line="240" w:lineRule="auto"/>
        <w:ind w:left="709" w:right="709"/>
        <w:jc w:val="both"/>
        <w:rPr>
          <w:rFonts w:ascii="Verdana" w:hAnsi="Verdana" w:cs="Arial"/>
          <w:sz w:val="21"/>
          <w:szCs w:val="21"/>
        </w:rPr>
      </w:pPr>
      <w:r w:rsidRPr="006909C4">
        <w:rPr>
          <w:rFonts w:ascii="Verdana" w:hAnsi="Verdana" w:cs="Arial"/>
          <w:sz w:val="20"/>
          <w:szCs w:val="20"/>
        </w:rPr>
        <w:t>El carácter reconocidamente taxativo y restrictivo de este régimen y el de las correlativas nulidades, obedece a la necesidad de salvaguardar el interés general ínsito en la contratación pública de manera que implique el menor sacrificio posible al derecho de igualdad y de reconocimiento de la personalidad jurídica de quienes aspiran a contratar con el Estado. Es evidente que si la restricción legal [incompatibilidad o inhabilidad] no se sustenta en ninguna necesidad de protección del interés general o ésta es irrazonable o desproporcionada, en esa misma medida pierde justificación constitucional como medio legítimo para restringir, en ese caso, el derecho a la igualdad y el reconocimiento de la personalidad jurídica de las personas que resultan rechazadas del ámbito contractual del Estado”</w:t>
      </w:r>
      <w:r w:rsidRPr="006909C4">
        <w:rPr>
          <w:rStyle w:val="Refdenotaalpie"/>
          <w:rFonts w:ascii="Verdana" w:hAnsi="Verdana" w:cs="Arial"/>
          <w:sz w:val="20"/>
          <w:szCs w:val="20"/>
        </w:rPr>
        <w:footnoteReference w:id="5"/>
      </w:r>
      <w:r w:rsidRPr="006909C4">
        <w:rPr>
          <w:rFonts w:ascii="Verdana" w:hAnsi="Verdana" w:cs="Arial"/>
          <w:sz w:val="20"/>
          <w:szCs w:val="20"/>
        </w:rPr>
        <w:t>.</w:t>
      </w:r>
    </w:p>
    <w:p w14:paraId="7F813876" w14:textId="77777777" w:rsidR="00B271C1" w:rsidRPr="00E96901" w:rsidRDefault="00B271C1" w:rsidP="00B271C1">
      <w:pPr>
        <w:spacing w:after="0" w:line="240" w:lineRule="auto"/>
        <w:ind w:right="709"/>
        <w:jc w:val="both"/>
        <w:rPr>
          <w:rFonts w:ascii="Verdana" w:hAnsi="Verdana" w:cs="Arial"/>
        </w:rPr>
      </w:pPr>
    </w:p>
    <w:p w14:paraId="1B5FF3E4" w14:textId="77777777" w:rsidR="00B271C1" w:rsidRPr="00E96901" w:rsidRDefault="00B271C1" w:rsidP="00B271C1">
      <w:pPr>
        <w:spacing w:after="0" w:line="276" w:lineRule="auto"/>
        <w:ind w:firstLine="709"/>
        <w:jc w:val="both"/>
        <w:rPr>
          <w:rFonts w:ascii="Verdana" w:hAnsi="Verdana" w:cs="Arial"/>
        </w:rPr>
      </w:pPr>
      <w:r w:rsidRPr="00E96901">
        <w:rPr>
          <w:rFonts w:ascii="Verdana" w:hAnsi="Verdana" w:cs="Arial"/>
        </w:rPr>
        <w:t>Además, la Corte Constitucional explica que el legislador tiene la competencia para determinar qué hechos o situaciones generan inhabilidad para contratar, pues este régimen es un aspecto propio del Estatuto General de Contratación de la Administración Pública, cuya expedición compete al Congreso de la República a la luz del artículo 150 de la Constitución Política, y que en esta materia rige el principio de legalidad:</w:t>
      </w:r>
    </w:p>
    <w:p w14:paraId="4B1C3065" w14:textId="77777777" w:rsidR="00B271C1" w:rsidRPr="00E96901" w:rsidRDefault="00B271C1" w:rsidP="00B271C1">
      <w:pPr>
        <w:pStyle w:val="Sinespaciado"/>
        <w:tabs>
          <w:tab w:val="left" w:pos="1532"/>
        </w:tabs>
        <w:spacing w:line="276" w:lineRule="auto"/>
        <w:jc w:val="both"/>
        <w:rPr>
          <w:rFonts w:ascii="Verdana" w:hAnsi="Verdana" w:cs="Arial"/>
          <w:sz w:val="22"/>
        </w:rPr>
      </w:pPr>
    </w:p>
    <w:p w14:paraId="13795FDF" w14:textId="77777777" w:rsidR="00B271C1" w:rsidRPr="006909C4" w:rsidRDefault="00B271C1" w:rsidP="00B271C1">
      <w:pPr>
        <w:spacing w:after="0" w:line="240" w:lineRule="auto"/>
        <w:ind w:left="709" w:right="709"/>
        <w:jc w:val="both"/>
        <w:rPr>
          <w:rFonts w:ascii="Verdana" w:hAnsi="Verdana" w:cs="Arial"/>
          <w:sz w:val="20"/>
          <w:szCs w:val="20"/>
        </w:rPr>
      </w:pPr>
      <w:r w:rsidRPr="006909C4">
        <w:rPr>
          <w:rFonts w:ascii="Verdana" w:hAnsi="Verdana" w:cs="Arial"/>
          <w:sz w:val="20"/>
          <w:szCs w:val="20"/>
        </w:rPr>
        <w:t>“Las limitaciones y restricciones que se contienen en el citado estatuto, predicables de la relación Estado-particulares y que afectan los diversos momentos de formación, celebración y ejecución de los contratos estatales, se refieren a una faceta de la actividad del Estado y en la que se contempla, en los términos de la ley, una especial modalidad de participación o colaboración de los particulares en su papel de contratistas. La ley demandada recae sobre una materia que pertenece al dominio de la esfera estatal y pública, dentro de la cual no rige el principio </w:t>
      </w:r>
      <w:r w:rsidRPr="006909C4">
        <w:rPr>
          <w:rFonts w:ascii="Verdana" w:hAnsi="Verdana" w:cs="Arial"/>
          <w:i/>
          <w:iCs/>
          <w:sz w:val="20"/>
          <w:szCs w:val="20"/>
        </w:rPr>
        <w:t xml:space="preserve">pro </w:t>
      </w:r>
      <w:proofErr w:type="spellStart"/>
      <w:r w:rsidRPr="006909C4">
        <w:rPr>
          <w:rFonts w:ascii="Verdana" w:hAnsi="Verdana" w:cs="Arial"/>
          <w:i/>
          <w:iCs/>
          <w:sz w:val="20"/>
          <w:szCs w:val="20"/>
        </w:rPr>
        <w:t>libertate</w:t>
      </w:r>
      <w:proofErr w:type="spellEnd"/>
      <w:r w:rsidRPr="006909C4">
        <w:rPr>
          <w:rFonts w:ascii="Verdana" w:hAnsi="Verdana" w:cs="Arial"/>
          <w:sz w:val="20"/>
          <w:szCs w:val="20"/>
        </w:rPr>
        <w:t xml:space="preserve">, sino el de legalidad, el que ordena que la función pública debe someterse estrictamente a lo que disponga la Constitución y la ley (CP art. 6). </w:t>
      </w:r>
    </w:p>
    <w:p w14:paraId="325FA4EF" w14:textId="77777777" w:rsidR="00B271C1" w:rsidRPr="006909C4" w:rsidRDefault="00B271C1" w:rsidP="00B271C1">
      <w:pPr>
        <w:spacing w:after="120" w:line="240" w:lineRule="auto"/>
        <w:ind w:left="709" w:right="709"/>
        <w:jc w:val="both"/>
        <w:rPr>
          <w:rFonts w:ascii="Verdana" w:hAnsi="Verdana" w:cs="Arial"/>
          <w:sz w:val="20"/>
          <w:szCs w:val="20"/>
        </w:rPr>
      </w:pPr>
      <w:r w:rsidRPr="006909C4">
        <w:rPr>
          <w:rFonts w:ascii="Verdana" w:hAnsi="Verdana" w:cs="Arial"/>
          <w:sz w:val="20"/>
          <w:szCs w:val="20"/>
        </w:rPr>
        <w:t xml:space="preserve">[…] </w:t>
      </w:r>
    </w:p>
    <w:p w14:paraId="1A474423" w14:textId="77777777" w:rsidR="00B271C1" w:rsidRPr="00E96901" w:rsidRDefault="00B271C1" w:rsidP="00B271C1">
      <w:pPr>
        <w:spacing w:after="0" w:line="240" w:lineRule="auto"/>
        <w:ind w:left="709" w:right="709"/>
        <w:jc w:val="both"/>
        <w:rPr>
          <w:rFonts w:ascii="Verdana" w:hAnsi="Verdana" w:cs="Arial"/>
          <w:sz w:val="21"/>
          <w:szCs w:val="21"/>
        </w:rPr>
      </w:pPr>
      <w:r w:rsidRPr="006909C4">
        <w:rPr>
          <w:rFonts w:ascii="Verdana" w:hAnsi="Verdana" w:cs="Arial"/>
          <w:sz w:val="20"/>
          <w:szCs w:val="20"/>
        </w:rPr>
        <w:t>Se comprende con facilidad que el régimen de inhabilidades e incompatibilidades, corresponde a una materia de normal y obligada inclusión en un estatuto contractual. El legislador, a quien se ha confiado expedir el indicado estatuto, tiene, pues, competencia para establecerlo (CP art. 150)”</w:t>
      </w:r>
      <w:r w:rsidRPr="006909C4">
        <w:rPr>
          <w:rStyle w:val="Refdenotaalpie"/>
          <w:rFonts w:ascii="Verdana" w:hAnsi="Verdana" w:cs="Arial"/>
          <w:sz w:val="20"/>
          <w:szCs w:val="20"/>
        </w:rPr>
        <w:footnoteReference w:id="6"/>
      </w:r>
      <w:r w:rsidRPr="006909C4">
        <w:rPr>
          <w:rFonts w:ascii="Verdana" w:hAnsi="Verdana" w:cs="Arial"/>
          <w:sz w:val="20"/>
          <w:szCs w:val="20"/>
        </w:rPr>
        <w:t>.</w:t>
      </w:r>
    </w:p>
    <w:p w14:paraId="3B0DA7FD" w14:textId="77777777" w:rsidR="00B271C1" w:rsidRPr="00E96901" w:rsidRDefault="00B271C1" w:rsidP="00B271C1">
      <w:pPr>
        <w:spacing w:after="0" w:line="276" w:lineRule="auto"/>
        <w:ind w:left="709" w:right="709"/>
        <w:jc w:val="both"/>
        <w:rPr>
          <w:rFonts w:ascii="Verdana" w:hAnsi="Verdana" w:cs="Arial"/>
        </w:rPr>
      </w:pPr>
    </w:p>
    <w:p w14:paraId="15F2745F" w14:textId="77777777" w:rsidR="00B271C1" w:rsidRPr="00E96901" w:rsidRDefault="00B271C1" w:rsidP="00B271C1">
      <w:pPr>
        <w:spacing w:line="276" w:lineRule="auto"/>
        <w:ind w:firstLine="709"/>
        <w:jc w:val="both"/>
        <w:rPr>
          <w:rFonts w:ascii="Verdana" w:hAnsi="Verdana" w:cs="Arial"/>
        </w:rPr>
      </w:pPr>
      <w:r w:rsidRPr="00E96901">
        <w:rPr>
          <w:rFonts w:ascii="Verdana" w:hAnsi="Verdana" w:cs="Arial"/>
        </w:rPr>
        <w:t xml:space="preserve">Conviene también distinguir las fuentes de las inhabilidades, las cuales han sido clasificadas en dos (2) grupos: i) inhabilidades-sanción y </w:t>
      </w:r>
      <w:proofErr w:type="spellStart"/>
      <w:r w:rsidRPr="00E96901">
        <w:rPr>
          <w:rFonts w:ascii="Verdana" w:hAnsi="Verdana" w:cs="Arial"/>
        </w:rPr>
        <w:t>ii</w:t>
      </w:r>
      <w:proofErr w:type="spellEnd"/>
      <w:r w:rsidRPr="00E96901">
        <w:rPr>
          <w:rFonts w:ascii="Verdana" w:hAnsi="Verdana" w:cs="Arial"/>
        </w:rPr>
        <w:t xml:space="preserve">) </w:t>
      </w:r>
      <w:r w:rsidRPr="00E96901">
        <w:rPr>
          <w:rFonts w:ascii="Verdana" w:hAnsi="Verdana" w:cs="Arial"/>
        </w:rPr>
        <w:lastRenderedPageBreak/>
        <w:t>inhabilidades-requisito. En el primer grupo se encuentran las inhabilidades que surgen como consecuencia de un proceso sancionatorio, en los ámbitos penal, disciplinario, contravencional o de pérdida de investidura. En el segundo grupo están aquellas que no devienen de un proceso sancionatorio, sino de condiciones propias de la persona y garantizan la moralidad, la imparcialidad, la eficacia y la transparencia</w:t>
      </w:r>
      <w:r w:rsidRPr="00E96901">
        <w:rPr>
          <w:rStyle w:val="Refdenotaalpie"/>
          <w:rFonts w:ascii="Verdana" w:hAnsi="Verdana" w:cs="Arial"/>
        </w:rPr>
        <w:footnoteReference w:id="7"/>
      </w:r>
      <w:r w:rsidRPr="00E96901">
        <w:rPr>
          <w:rFonts w:ascii="Verdana" w:hAnsi="Verdana" w:cs="Arial"/>
        </w:rPr>
        <w:t>.</w:t>
      </w:r>
    </w:p>
    <w:p w14:paraId="116723BA" w14:textId="77777777" w:rsidR="00B271C1" w:rsidRPr="00E96901" w:rsidRDefault="00B271C1" w:rsidP="00B271C1">
      <w:pPr>
        <w:spacing w:before="120" w:after="120" w:line="276" w:lineRule="auto"/>
        <w:ind w:firstLine="709"/>
        <w:jc w:val="both"/>
        <w:rPr>
          <w:rFonts w:ascii="Verdana" w:hAnsi="Verdana" w:cs="Arial"/>
        </w:rPr>
      </w:pPr>
      <w:r w:rsidRPr="00E96901">
        <w:rPr>
          <w:rFonts w:ascii="Verdana" w:hAnsi="Verdana" w:cs="Arial"/>
        </w:rPr>
        <w:t xml:space="preserve">A manera de ejemplo, en materia contractual, los literales c), d) y j) del numeral 1 del artículo 8 de la Ley 80 de 1993 establecen inhabilidades-sanción, porque la prohibición para contratar con el Estado en esos eventos es una consecuencia de una declaratoria de responsabilidad que surge luego de un proceso sancionatorio –administrativo, disciplinario o penal–; mientras que las inhabilidades de los literales f), g) y h) del literal 1 de la norma citada establecen inhabilidades–requisito, pues no se configuran por la comisión previa de una falta o un delito que dio lugar a una declaratoria por parte de la Administración o el juez, sino de aspectos propios de la persona, derivados, por ejemplo, del parentesco o la afinidad o de la condición de servidor público. </w:t>
      </w:r>
      <w:bookmarkStart w:id="3" w:name="_Hlk40976328"/>
      <w:r w:rsidRPr="00E96901">
        <w:rPr>
          <w:rFonts w:ascii="Verdana" w:hAnsi="Verdana" w:cs="Arial"/>
        </w:rPr>
        <w:t xml:space="preserve">En ambos eventos, la inhabilidad tiene como fuente una situación o un hecho propio del proponente –una conducta o una condición– ajena a la oferta. La inhabilidad surge, entre otros, por su grado de parentesco o afinidad, por su condición de servidor público o por una declaratoria de responsabilidad penal, disciplinaria o sancionatoria contractual sobre él. </w:t>
      </w:r>
      <w:bookmarkEnd w:id="3"/>
    </w:p>
    <w:p w14:paraId="3CD2476D" w14:textId="77777777" w:rsidR="00B271C1" w:rsidRPr="00E96901" w:rsidRDefault="00B271C1" w:rsidP="00B271C1">
      <w:pPr>
        <w:spacing w:after="120" w:line="276" w:lineRule="auto"/>
        <w:ind w:firstLine="708"/>
        <w:jc w:val="both"/>
        <w:rPr>
          <w:rFonts w:ascii="Verdana" w:eastAsia="Calibri" w:hAnsi="Verdana" w:cs="Arial"/>
          <w:lang w:val="es-ES_tradnl"/>
        </w:rPr>
      </w:pPr>
      <w:r w:rsidRPr="00E96901">
        <w:rPr>
          <w:rFonts w:ascii="Verdana" w:eastAsia="Calibri" w:hAnsi="Verdana" w:cs="Arial"/>
          <w:i/>
          <w:iCs/>
          <w:lang w:val="es-ES_tradnl"/>
        </w:rPr>
        <w:t>Igualmente</w:t>
      </w:r>
      <w:r w:rsidRPr="00E96901">
        <w:rPr>
          <w:rFonts w:ascii="Verdana" w:eastAsia="Calibri" w:hAnsi="Verdana" w:cs="Arial"/>
          <w:lang w:val="es-ES_tradnl"/>
        </w:rPr>
        <w:t xml:space="preserve">, </w:t>
      </w:r>
      <w:bookmarkStart w:id="4" w:name="_Hlk135133412"/>
      <w:r w:rsidRPr="00E96901">
        <w:rPr>
          <w:rFonts w:ascii="Verdana" w:eastAsia="Calibri" w:hAnsi="Verdana" w:cs="Arial"/>
          <w:lang w:val="es-ES_tradnl"/>
        </w:rPr>
        <w:t xml:space="preserve">en la contratación estatal, la </w:t>
      </w:r>
      <w:r w:rsidRPr="00E96901">
        <w:rPr>
          <w:rFonts w:ascii="Verdana" w:eastAsia="Calibri" w:hAnsi="Verdana" w:cs="Arial"/>
          <w:i/>
          <w:iCs/>
          <w:lang w:val="es-ES_tradnl"/>
        </w:rPr>
        <w:t>capacidad</w:t>
      </w:r>
      <w:r w:rsidRPr="00E96901">
        <w:rPr>
          <w:rFonts w:ascii="Verdana" w:eastAsia="Calibri" w:hAnsi="Verdana" w:cs="Arial"/>
          <w:lang w:val="es-ES_tradnl"/>
        </w:rPr>
        <w:t xml:space="preserve"> también es un requisito de validez de los contratos, tanto en el régimen de las entidades sujetas al Estatuto General de Contratación de la Administración Pública</w:t>
      </w:r>
      <w:r w:rsidRPr="00E96901">
        <w:rPr>
          <w:rStyle w:val="Refdenotaalpie"/>
          <w:rFonts w:ascii="Verdana" w:eastAsia="Calibri" w:hAnsi="Verdana" w:cs="Arial"/>
          <w:lang w:val="es-ES_tradnl"/>
        </w:rPr>
        <w:footnoteReference w:id="8"/>
      </w:r>
      <w:r w:rsidRPr="00E96901">
        <w:rPr>
          <w:rFonts w:ascii="Verdana" w:eastAsia="Calibri" w:hAnsi="Verdana" w:cs="Arial"/>
          <w:lang w:val="es-ES_tradnl"/>
        </w:rPr>
        <w:t xml:space="preserve"> como en el de las entidades exceptuadas de aquel</w:t>
      </w:r>
      <w:r w:rsidRPr="00E96901">
        <w:rPr>
          <w:rStyle w:val="Refdenotaalpie"/>
          <w:rFonts w:ascii="Verdana" w:eastAsia="Calibri" w:hAnsi="Verdana" w:cs="Arial"/>
          <w:lang w:val="es-ES_tradnl"/>
        </w:rPr>
        <w:footnoteReference w:id="9"/>
      </w:r>
      <w:r w:rsidRPr="00E96901">
        <w:rPr>
          <w:rFonts w:ascii="Verdana" w:eastAsia="Calibri" w:hAnsi="Verdana" w:cs="Arial"/>
          <w:lang w:val="es-ES_tradnl"/>
        </w:rPr>
        <w:t xml:space="preserve">. Si bien la regulación de la capacidad se integra por varias disposiciones y exigencias especiales –como el requisito de inscribirse, por regla general, en el Registro Único de Proponentes (RUP), establecido en el artículo 6 de la Ley 1150 de 2007, modificado por el artículo </w:t>
      </w:r>
      <w:r w:rsidRPr="00E96901">
        <w:rPr>
          <w:rFonts w:ascii="Verdana" w:eastAsia="Calibri" w:hAnsi="Verdana" w:cs="Arial"/>
          <w:lang w:val="es-ES_tradnl"/>
        </w:rPr>
        <w:lastRenderedPageBreak/>
        <w:t>221 del Decreto 19 de 2012</w:t>
      </w:r>
      <w:r w:rsidRPr="00E96901">
        <w:rPr>
          <w:rStyle w:val="Refdenotaalpie"/>
          <w:rFonts w:ascii="Verdana" w:eastAsia="Calibri" w:hAnsi="Verdana" w:cs="Arial"/>
          <w:lang w:val="es-ES_tradnl"/>
        </w:rPr>
        <w:footnoteReference w:id="10"/>
      </w:r>
      <w:r w:rsidRPr="00E96901">
        <w:rPr>
          <w:rFonts w:ascii="Verdana" w:eastAsia="Calibri" w:hAnsi="Verdana" w:cs="Arial"/>
          <w:lang w:val="es-ES_tradnl"/>
        </w:rPr>
        <w:t>–, se destaca el régimen de inhabilidades e incompatibilidades como un conjunto de normas que imponen restricciones para los sujetos que, eventualmente, pretendan participar en los procedimientos de selección o celebrar contratos con las entidades estatales</w:t>
      </w:r>
      <w:r w:rsidRPr="00E96901">
        <w:rPr>
          <w:rStyle w:val="Refdenotaalpie"/>
          <w:rFonts w:ascii="Verdana" w:eastAsia="Calibri" w:hAnsi="Verdana" w:cs="Arial"/>
          <w:lang w:val="es-ES_tradnl"/>
        </w:rPr>
        <w:footnoteReference w:id="11"/>
      </w:r>
      <w:r w:rsidRPr="00E96901">
        <w:rPr>
          <w:rFonts w:ascii="Verdana" w:eastAsia="Calibri" w:hAnsi="Verdana" w:cs="Arial"/>
          <w:lang w:val="es-ES_tradnl"/>
        </w:rPr>
        <w:t>.</w:t>
      </w:r>
    </w:p>
    <w:p w14:paraId="6A0AE48E" w14:textId="77777777" w:rsidR="00B271C1" w:rsidRPr="00E96901" w:rsidRDefault="00B271C1" w:rsidP="00B271C1">
      <w:pPr>
        <w:spacing w:after="120" w:line="276" w:lineRule="auto"/>
        <w:ind w:firstLine="709"/>
        <w:jc w:val="both"/>
        <w:rPr>
          <w:rFonts w:ascii="Verdana" w:eastAsia="Calibri" w:hAnsi="Verdana" w:cs="Arial"/>
          <w:lang w:val="es-ES"/>
        </w:rPr>
      </w:pPr>
      <w:r w:rsidRPr="623AAF9F">
        <w:rPr>
          <w:rFonts w:ascii="Verdana" w:eastAsia="Calibri" w:hAnsi="Verdana" w:cs="Arial"/>
          <w:lang w:val="es-ES"/>
        </w:rPr>
        <w:t xml:space="preserve">Las inhabilidades son prohibiciones para concurrir a los procedimientos de selección y para contratar con el Estado, que se derivan: i) de la existencia de comportamientos reprochables o de sanciones anteriormente impuestas, </w:t>
      </w:r>
      <w:proofErr w:type="spellStart"/>
      <w:r w:rsidRPr="623AAF9F">
        <w:rPr>
          <w:rFonts w:ascii="Verdana" w:eastAsia="Calibri" w:hAnsi="Verdana" w:cs="Arial"/>
          <w:lang w:val="es-ES"/>
        </w:rPr>
        <w:t>ii</w:t>
      </w:r>
      <w:proofErr w:type="spellEnd"/>
      <w:r w:rsidRPr="623AAF9F">
        <w:rPr>
          <w:rFonts w:ascii="Verdana" w:eastAsia="Calibri" w:hAnsi="Verdana" w:cs="Arial"/>
          <w:lang w:val="es-ES"/>
        </w:rPr>
        <w:t xml:space="preserve">) de vínculos personales relativos al parentesco o al estado civil o </w:t>
      </w:r>
      <w:proofErr w:type="spellStart"/>
      <w:r w:rsidRPr="623AAF9F">
        <w:rPr>
          <w:rFonts w:ascii="Verdana" w:eastAsia="Calibri" w:hAnsi="Verdana" w:cs="Arial"/>
          <w:lang w:val="es-ES"/>
        </w:rPr>
        <w:t>iii</w:t>
      </w:r>
      <w:proofErr w:type="spellEnd"/>
      <w:r w:rsidRPr="623AAF9F">
        <w:rPr>
          <w:rFonts w:ascii="Verdana" w:eastAsia="Calibri" w:hAnsi="Verdana" w:cs="Arial"/>
          <w:lang w:val="es-ES"/>
        </w:rPr>
        <w:t>) de una actividad u oficio que se desempeñó en el pasado. De otro lado, las incompatibilidades, según un sector de la doctrina,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 En todo caso, a pesar de la existencia de distintos criterios para diferenciar las inhabilidades de las incompatibilidades, de la presencia de ellas se derivan las mismas consecuencias jurídicas, esto es, la limitación de la capacidad contractual, de manera que la presencia de ellas impide que se puedan celebrar contratos con el Estado o participar en procedimientos de selección de las entidades estatales, por lo que de cualquiera de ellas se derivan los mismos efectos jurídicos</w:t>
      </w:r>
      <w:r w:rsidRPr="623AAF9F">
        <w:rPr>
          <w:rStyle w:val="Refdenotaalpie"/>
          <w:rFonts w:ascii="Verdana" w:eastAsia="Calibri" w:hAnsi="Verdana" w:cs="Arial"/>
          <w:lang w:val="es-ES"/>
        </w:rPr>
        <w:footnoteReference w:id="12"/>
      </w:r>
      <w:r w:rsidRPr="623AAF9F">
        <w:rPr>
          <w:rFonts w:ascii="Verdana" w:eastAsia="Calibri" w:hAnsi="Verdana" w:cs="Arial"/>
          <w:lang w:val="es-ES"/>
        </w:rPr>
        <w:t>.</w:t>
      </w:r>
    </w:p>
    <w:bookmarkEnd w:id="4"/>
    <w:p w14:paraId="3EEF121F" w14:textId="77777777" w:rsidR="00B271C1" w:rsidRDefault="00B271C1" w:rsidP="00B271C1">
      <w:pPr>
        <w:spacing w:after="120" w:line="276" w:lineRule="auto"/>
        <w:ind w:firstLine="709"/>
        <w:jc w:val="both"/>
        <w:rPr>
          <w:rFonts w:ascii="Verdana" w:eastAsia="Calibri" w:hAnsi="Verdana" w:cs="Arial"/>
          <w:lang w:val="es-ES"/>
        </w:rPr>
      </w:pPr>
      <w:r w:rsidRPr="623AAF9F">
        <w:rPr>
          <w:rFonts w:ascii="Verdana" w:eastAsia="Calibri" w:hAnsi="Verdana" w:cs="Arial"/>
          <w:lang w:val="es-ES"/>
        </w:rPr>
        <w:lastRenderedPageBreak/>
        <w:t>De otro lado, el régimen de inhabilidades e incompatibilidades en la contratación pública responde a la tendencia, vigente desde hace varias décadas en nuestro país, pero que se ha reforzado en los últimos años, de asegurar que la actividad de provisión de los bienes, obras y servicios por parte de las entidades estatales se efectúe cumpliendo con los principios de la función administrativa y de la gestión fiscal, especialmente con probidad y transparencia. Por ello, como destaca la doctrina, las inhabilidades e incompatibilidades son herramientas en la lucha contra la corrupción, adoptando paulatinamente una naturaleza sancionatoria o “</w:t>
      </w:r>
      <w:proofErr w:type="spellStart"/>
      <w:r w:rsidRPr="623AAF9F">
        <w:rPr>
          <w:rFonts w:ascii="Verdana" w:eastAsia="Calibri" w:hAnsi="Verdana" w:cs="Arial"/>
          <w:lang w:val="es-ES"/>
        </w:rPr>
        <w:t>neopunitiva</w:t>
      </w:r>
      <w:proofErr w:type="spellEnd"/>
      <w:r w:rsidRPr="623AAF9F">
        <w:rPr>
          <w:rFonts w:ascii="Verdana" w:eastAsia="Calibri" w:hAnsi="Verdana" w:cs="Arial"/>
          <w:lang w:val="es-ES"/>
        </w:rPr>
        <w:t>”</w:t>
      </w:r>
      <w:r w:rsidRPr="623AAF9F">
        <w:rPr>
          <w:rStyle w:val="Refdenotaalpie"/>
          <w:rFonts w:ascii="Verdana" w:eastAsia="Calibri" w:hAnsi="Verdana" w:cs="Arial"/>
          <w:lang w:val="es-ES"/>
        </w:rPr>
        <w:footnoteReference w:id="13"/>
      </w:r>
      <w:r w:rsidRPr="623AAF9F">
        <w:rPr>
          <w:rFonts w:ascii="Verdana" w:eastAsia="Calibri" w:hAnsi="Verdana" w:cs="Arial"/>
          <w:lang w:val="es-ES"/>
        </w:rPr>
        <w:t>. Si bien no todas las causales de inhabilidad y de incompatibilidad son consecuencia de una medida de reproche ni de una sanción previa, como ya se explicó, es indiscutible que en los años más recientes los lamentables hechos de corrupción han generado, como respuesta del legislador, un incremento de las restricciones a la capacidad contractual, dirigidas a prevenir este tipo de situaciones o a sancionar tales conductas.</w:t>
      </w:r>
    </w:p>
    <w:p w14:paraId="749716BC" w14:textId="77777777" w:rsidR="00B271C1" w:rsidRDefault="00B271C1" w:rsidP="00B271C1">
      <w:pPr>
        <w:spacing w:after="120" w:line="276" w:lineRule="auto"/>
        <w:ind w:firstLine="709"/>
        <w:jc w:val="both"/>
        <w:rPr>
          <w:rFonts w:ascii="Verdana" w:eastAsia="Calibri" w:hAnsi="Verdana" w:cs="Arial"/>
          <w:lang w:val="es-ES_tradnl"/>
        </w:rPr>
      </w:pPr>
      <w:r>
        <w:rPr>
          <w:rFonts w:ascii="Verdana" w:eastAsia="Calibri" w:hAnsi="Verdana" w:cs="Arial"/>
          <w:lang w:val="es-ES_tradnl"/>
        </w:rPr>
        <w:t>Ahora bien, el literal a) del artículo 8.1 de la Ley 80 de 1993 dispone que s</w:t>
      </w:r>
      <w:r w:rsidRPr="00446B74">
        <w:rPr>
          <w:rFonts w:ascii="Verdana" w:eastAsia="Calibri" w:hAnsi="Verdana" w:cs="Arial"/>
          <w:lang w:val="es-ES_tradnl"/>
        </w:rPr>
        <w:t xml:space="preserve">on inhábiles para participar </w:t>
      </w:r>
      <w:r>
        <w:rPr>
          <w:rFonts w:ascii="Verdana" w:eastAsia="Calibri" w:hAnsi="Verdana" w:cs="Arial"/>
          <w:lang w:val="es-ES_tradnl"/>
        </w:rPr>
        <w:t xml:space="preserve">procesos de selección </w:t>
      </w:r>
      <w:r w:rsidRPr="00446B74">
        <w:rPr>
          <w:rFonts w:ascii="Verdana" w:eastAsia="Calibri" w:hAnsi="Verdana" w:cs="Arial"/>
          <w:lang w:val="es-ES_tradnl"/>
        </w:rPr>
        <w:t xml:space="preserve">y para celebrar contratos </w:t>
      </w:r>
      <w:r>
        <w:rPr>
          <w:rFonts w:ascii="Verdana" w:eastAsia="Calibri" w:hAnsi="Verdana" w:cs="Arial"/>
          <w:lang w:val="es-ES_tradnl"/>
        </w:rPr>
        <w:t>estatales “</w:t>
      </w:r>
      <w:r w:rsidRPr="00446B74">
        <w:rPr>
          <w:rFonts w:ascii="Verdana" w:eastAsia="Calibri" w:hAnsi="Verdana" w:cs="Arial"/>
          <w:lang w:val="es-ES_tradnl"/>
        </w:rPr>
        <w:t>Las personas que se hallen inhabilitadas para contratar por la Constitución y las leyes</w:t>
      </w:r>
      <w:r>
        <w:rPr>
          <w:rFonts w:ascii="Verdana" w:eastAsia="Calibri" w:hAnsi="Verdana" w:cs="Arial"/>
          <w:lang w:val="es-ES_tradnl"/>
        </w:rPr>
        <w:t>”</w:t>
      </w:r>
      <w:r w:rsidRPr="00446B74">
        <w:rPr>
          <w:rFonts w:ascii="Verdana" w:eastAsia="Calibri" w:hAnsi="Verdana" w:cs="Arial"/>
          <w:lang w:val="es-ES_tradnl"/>
        </w:rPr>
        <w:t>.</w:t>
      </w:r>
      <w:r>
        <w:rPr>
          <w:rFonts w:ascii="Verdana" w:eastAsia="Calibri" w:hAnsi="Verdana" w:cs="Arial"/>
          <w:lang w:val="es-ES_tradnl"/>
        </w:rPr>
        <w:t xml:space="preserve"> De esta manera, el régimen de inhabilidades en el sistema de compras públicas no se agota en el artículo 8 precitado, sino que se integra con otras normas del ordenamiento jurídico. Asimismo, todas se extienden a las entidades exceptuadas del EGCAP, especialmente, cuando el inciso primero del artículo 13 de la Ley 1150 de 2007 prescribe que “[…] </w:t>
      </w:r>
      <w:r w:rsidRPr="00446B74">
        <w:rPr>
          <w:rFonts w:ascii="Verdana" w:eastAsia="Calibri" w:hAnsi="Verdana" w:cs="Arial"/>
          <w:lang w:val="es-ES_tradnl"/>
        </w:rPr>
        <w:t>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Pr>
          <w:rFonts w:ascii="Verdana" w:eastAsia="Calibri" w:hAnsi="Verdana" w:cs="Arial"/>
          <w:lang w:val="es-ES_tradnl"/>
        </w:rPr>
        <w:t xml:space="preserve">”. Incluso, en virtud del artículo 6 del Decreto 092 de 2017, también hacen parte de los negocios jurídicos que </w:t>
      </w:r>
      <w:r>
        <w:rPr>
          <w:rFonts w:ascii="Verdana" w:eastAsia="Calibri" w:hAnsi="Verdana" w:cs="Arial"/>
          <w:lang w:val="es-ES_tradnl"/>
        </w:rPr>
        <w:lastRenderedPageBreak/>
        <w:t>se suscriban con las ESAL conforme a los artículos 355 constitucional o 96 de la Ley 489 de 1998</w:t>
      </w:r>
      <w:r>
        <w:rPr>
          <w:rStyle w:val="Refdenotaalpie"/>
          <w:rFonts w:ascii="Verdana" w:eastAsia="Calibri" w:hAnsi="Verdana" w:cs="Arial"/>
          <w:lang w:val="es-ES_tradnl"/>
        </w:rPr>
        <w:footnoteReference w:id="14"/>
      </w:r>
      <w:r>
        <w:rPr>
          <w:rFonts w:ascii="Verdana" w:eastAsia="Calibri" w:hAnsi="Verdana" w:cs="Arial"/>
          <w:lang w:val="es-ES_tradnl"/>
        </w:rPr>
        <w:t>.</w:t>
      </w:r>
    </w:p>
    <w:p w14:paraId="63502494" w14:textId="77777777" w:rsidR="00B271C1" w:rsidRDefault="00B271C1" w:rsidP="00B271C1">
      <w:pPr>
        <w:spacing w:after="120" w:line="276" w:lineRule="auto"/>
        <w:ind w:firstLine="709"/>
        <w:jc w:val="both"/>
        <w:rPr>
          <w:rFonts w:ascii="Verdana" w:eastAsia="Calibri" w:hAnsi="Verdana" w:cs="Arial"/>
          <w:lang w:val="es-ES_tradnl"/>
        </w:rPr>
      </w:pPr>
      <w:r>
        <w:rPr>
          <w:rFonts w:ascii="Verdana" w:eastAsia="Calibri" w:hAnsi="Verdana" w:cs="Arial"/>
          <w:lang w:val="es-ES_tradnl"/>
        </w:rPr>
        <w:t>Lo anterior no obsta para que las restricciones a la capacidad jurídica para la celebración de contratos se extiendan a los negocios jurídicos entre particulares. Al respecto, el parágrafo 3 del artículo 8 del Estatuto General de Contratación de la Administración Pública, adicionado por el artículo 3 de la Ley 2014 de 2019, dispone que “</w:t>
      </w:r>
      <w:r w:rsidRPr="006909C4">
        <w:rPr>
          <w:rFonts w:ascii="Verdana" w:eastAsia="Calibri" w:hAnsi="Verdana" w:cs="Arial"/>
          <w:lang w:val="es-ES_tradnl"/>
        </w:rPr>
        <w:t>Las inhabilidades e incompatibilidades contempladas en este artículo se aplicarán a cualquier proceso de contratación privada en el que se comprometan recursos públicos</w:t>
      </w:r>
      <w:r>
        <w:rPr>
          <w:rFonts w:ascii="Verdana" w:eastAsia="Calibri" w:hAnsi="Verdana" w:cs="Arial"/>
          <w:lang w:val="es-ES_tradnl"/>
        </w:rPr>
        <w:t>”</w:t>
      </w:r>
      <w:r w:rsidRPr="006909C4">
        <w:rPr>
          <w:rFonts w:ascii="Verdana" w:eastAsia="Calibri" w:hAnsi="Verdana" w:cs="Arial"/>
          <w:lang w:val="es-ES_tradnl"/>
        </w:rPr>
        <w:t>.</w:t>
      </w:r>
    </w:p>
    <w:p w14:paraId="14982C64" w14:textId="77777777" w:rsidR="00B271C1" w:rsidRDefault="00B271C1" w:rsidP="00B271C1">
      <w:pPr>
        <w:spacing w:after="120" w:line="276" w:lineRule="auto"/>
        <w:ind w:firstLine="709"/>
        <w:jc w:val="both"/>
        <w:rPr>
          <w:rFonts w:ascii="Verdana" w:eastAsia="Calibri" w:hAnsi="Verdana" w:cs="Arial"/>
          <w:lang w:val="es-ES"/>
        </w:rPr>
      </w:pPr>
      <w:r w:rsidRPr="623AAF9F">
        <w:rPr>
          <w:rFonts w:ascii="Verdana" w:eastAsia="Calibri" w:hAnsi="Verdana" w:cs="Arial"/>
          <w:lang w:val="es-ES"/>
        </w:rPr>
        <w:t xml:space="preserve">Para efectos de la consulta, los fondos que administren recursos parafiscales están sometidos al régimen de inhabilidades e incompatibilidades por lo mencionado en el párrafo precedente. Ello considerando que los recursos parafiscales son recursos públicos. Como explica la Corte Constitucional en la Sentencia C-152 del 1997, con ponencia del Magistrado Jorge Arango Mejía, dichas contribuciones tienen las siguientes características: i) son obligatorias, porque se exigen, como todos los impuestos y contribuciones, en ejercicio del poder coercitivo del Estado; </w:t>
      </w:r>
      <w:proofErr w:type="spellStart"/>
      <w:r w:rsidRPr="623AAF9F">
        <w:rPr>
          <w:rFonts w:ascii="Verdana" w:eastAsia="Calibri" w:hAnsi="Verdana" w:cs="Arial"/>
          <w:lang w:val="es-ES"/>
        </w:rPr>
        <w:t>ii</w:t>
      </w:r>
      <w:proofErr w:type="spellEnd"/>
      <w:r w:rsidRPr="623AAF9F">
        <w:rPr>
          <w:rFonts w:ascii="Verdana" w:eastAsia="Calibri" w:hAnsi="Verdana" w:cs="Arial"/>
          <w:lang w:val="es-ES"/>
        </w:rPr>
        <w:t xml:space="preserve">) gravan únicamente un grupo, gremio o sector económico; </w:t>
      </w:r>
      <w:proofErr w:type="spellStart"/>
      <w:r w:rsidRPr="623AAF9F">
        <w:rPr>
          <w:rFonts w:ascii="Verdana" w:eastAsia="Calibri" w:hAnsi="Verdana" w:cs="Arial"/>
          <w:lang w:val="es-ES"/>
        </w:rPr>
        <w:t>iii</w:t>
      </w:r>
      <w:proofErr w:type="spellEnd"/>
      <w:r w:rsidRPr="623AAF9F">
        <w:rPr>
          <w:rFonts w:ascii="Verdana" w:eastAsia="Calibri" w:hAnsi="Verdana" w:cs="Arial"/>
          <w:lang w:val="es-ES"/>
        </w:rPr>
        <w:t xml:space="preserve">) se invierten exclusivamente en beneficio del grupo, gremio o sector económico que las tributa; y </w:t>
      </w:r>
      <w:proofErr w:type="spellStart"/>
      <w:r w:rsidRPr="623AAF9F">
        <w:rPr>
          <w:rFonts w:ascii="Verdana" w:eastAsia="Calibri" w:hAnsi="Verdana" w:cs="Arial"/>
          <w:lang w:val="es-ES"/>
        </w:rPr>
        <w:t>iv</w:t>
      </w:r>
      <w:proofErr w:type="spellEnd"/>
      <w:r w:rsidRPr="623AAF9F">
        <w:rPr>
          <w:rFonts w:ascii="Verdana" w:eastAsia="Calibri" w:hAnsi="Verdana" w:cs="Arial"/>
          <w:lang w:val="es-ES"/>
        </w:rPr>
        <w:t xml:space="preserve">) son recursos públicos, pertenecen al Estado, aunque están destinados a favorecer solamente al grupo, gremio o sector que los tributa. </w:t>
      </w:r>
    </w:p>
    <w:p w14:paraId="2CEBBE03" w14:textId="77777777" w:rsidR="00B271C1" w:rsidRDefault="00B271C1" w:rsidP="00B271C1">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AE55014" w14:textId="77777777" w:rsidR="00B271C1" w:rsidRDefault="00B271C1" w:rsidP="00B271C1">
      <w:pPr>
        <w:spacing w:after="0" w:line="276" w:lineRule="auto"/>
        <w:ind w:firstLine="708"/>
        <w:jc w:val="both"/>
        <w:rPr>
          <w:rFonts w:ascii="Verdana" w:eastAsia="Calibri" w:hAnsi="Verdana" w:cs="Arial"/>
          <w:bCs/>
          <w:color w:val="000000" w:themeColor="text1"/>
        </w:rPr>
      </w:pPr>
      <w:r>
        <w:rPr>
          <w:rFonts w:ascii="Verdana" w:eastAsia="Calibri" w:hAnsi="Verdana" w:cs="Arial"/>
          <w:bCs/>
          <w:color w:val="000000" w:themeColor="text1"/>
        </w:rPr>
        <w:lastRenderedPageBreak/>
        <w:t>En el marco de las causales establecidas en el artículo 8 del EGCAP</w:t>
      </w:r>
      <w:r w:rsidRPr="00E853DE">
        <w:rPr>
          <w:rFonts w:ascii="Verdana" w:eastAsia="Calibri" w:hAnsi="Verdana" w:cs="Arial"/>
          <w:bCs/>
          <w:color w:val="000000" w:themeColor="text1"/>
        </w:rPr>
        <w:t xml:space="preserve">, </w:t>
      </w:r>
      <w:r>
        <w:rPr>
          <w:rFonts w:ascii="Verdana" w:eastAsia="Calibri" w:hAnsi="Verdana" w:cs="Arial"/>
          <w:bCs/>
          <w:color w:val="000000" w:themeColor="text1"/>
        </w:rPr>
        <w:t>el fondo que administre recursos parafiscales definirá la existencia o no inhabilidades en los supuestos descritos en la consulta</w:t>
      </w:r>
      <w:r w:rsidRPr="00E853DE">
        <w:rPr>
          <w:rFonts w:ascii="Verdana" w:eastAsia="Calibri" w:hAnsi="Verdana" w:cs="Arial"/>
          <w:bCs/>
          <w:color w:val="000000" w:themeColor="text1"/>
        </w:rPr>
        <w:t>.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A3E0B0B" w14:textId="77777777" w:rsidR="00B271C1" w:rsidRPr="0016510D" w:rsidRDefault="00B271C1" w:rsidP="00B271C1">
      <w:pPr>
        <w:spacing w:after="0" w:line="276" w:lineRule="auto"/>
        <w:jc w:val="both"/>
        <w:rPr>
          <w:rFonts w:ascii="Verdana" w:eastAsia="Calibri" w:hAnsi="Verdana" w:cs="Arial"/>
          <w:bCs/>
          <w:color w:val="000000" w:themeColor="text1"/>
        </w:rPr>
      </w:pPr>
      <w:r w:rsidRPr="00185EE9">
        <w:rPr>
          <w:rFonts w:ascii="Verdana" w:eastAsia="Calibri" w:hAnsi="Verdana" w:cs="Arial"/>
          <w:bCs/>
          <w:color w:val="000000" w:themeColor="text1"/>
        </w:rPr>
        <w:t xml:space="preserve"> </w:t>
      </w:r>
    </w:p>
    <w:p w14:paraId="393AA7E6" w14:textId="77777777" w:rsidR="00B271C1" w:rsidRPr="00593A5F" w:rsidRDefault="00B271C1" w:rsidP="00B271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A47E29F" w14:textId="77777777" w:rsidR="00B271C1" w:rsidRPr="00593A5F" w:rsidRDefault="00B271C1" w:rsidP="00B271C1">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271C1" w:rsidRPr="002407CE" w14:paraId="728668D8" w14:textId="77777777" w:rsidTr="00591270">
        <w:trPr>
          <w:trHeight w:val="870"/>
          <w:jc w:val="center"/>
        </w:trPr>
        <w:tc>
          <w:tcPr>
            <w:tcW w:w="8647" w:type="dxa"/>
          </w:tcPr>
          <w:p w14:paraId="52CDACDA" w14:textId="77777777" w:rsidR="00B271C1" w:rsidRDefault="00B271C1" w:rsidP="0059127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267 y 355.</w:t>
            </w:r>
          </w:p>
          <w:p w14:paraId="376CFECA" w14:textId="77777777" w:rsidR="00B271C1" w:rsidRDefault="00B271C1" w:rsidP="0059127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8.</w:t>
            </w:r>
          </w:p>
          <w:p w14:paraId="6B774BD2" w14:textId="77777777" w:rsidR="00B271C1" w:rsidRDefault="00B271C1" w:rsidP="0059127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489 de 1998, artículo 96.</w:t>
            </w:r>
          </w:p>
          <w:p w14:paraId="5AA49938" w14:textId="77777777" w:rsidR="00B271C1" w:rsidRPr="0013347D" w:rsidRDefault="00B271C1" w:rsidP="0059127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6 y 13.</w:t>
            </w:r>
          </w:p>
          <w:p w14:paraId="7796E2C4" w14:textId="77777777" w:rsidR="00B271C1" w:rsidRPr="0013347D" w:rsidRDefault="00B271C1" w:rsidP="00591270">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Decreto 092 de 2017, artículo 6.</w:t>
            </w:r>
          </w:p>
        </w:tc>
      </w:tr>
    </w:tbl>
    <w:p w14:paraId="29711909" w14:textId="77777777" w:rsidR="00B271C1" w:rsidRPr="002407CE" w:rsidRDefault="00B271C1" w:rsidP="00B271C1">
      <w:pPr>
        <w:widowControl w:val="0"/>
        <w:autoSpaceDE w:val="0"/>
        <w:autoSpaceDN w:val="0"/>
        <w:spacing w:after="0" w:line="276" w:lineRule="auto"/>
        <w:jc w:val="both"/>
        <w:rPr>
          <w:rFonts w:ascii="Verdana" w:hAnsi="Verdana" w:cs="Arial"/>
        </w:rPr>
      </w:pPr>
    </w:p>
    <w:p w14:paraId="72DA3DC4" w14:textId="77777777" w:rsidR="00B271C1" w:rsidRPr="00593A5F" w:rsidRDefault="00B271C1" w:rsidP="00B271C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9807DB1" w14:textId="77777777" w:rsidR="00B271C1" w:rsidRPr="00593A5F" w:rsidRDefault="00B271C1" w:rsidP="00B271C1">
      <w:pPr>
        <w:widowControl w:val="0"/>
        <w:autoSpaceDE w:val="0"/>
        <w:autoSpaceDN w:val="0"/>
        <w:spacing w:after="0" w:line="276" w:lineRule="auto"/>
        <w:jc w:val="both"/>
        <w:rPr>
          <w:rFonts w:ascii="Verdana" w:hAnsi="Verdana" w:cs="Arial"/>
        </w:rPr>
      </w:pPr>
    </w:p>
    <w:p w14:paraId="1162C1F3" w14:textId="77777777" w:rsidR="00B271C1" w:rsidRPr="007E4299" w:rsidRDefault="00B271C1" w:rsidP="00B271C1">
      <w:pPr>
        <w:widowControl w:val="0"/>
        <w:autoSpaceDE w:val="0"/>
        <w:autoSpaceDN w:val="0"/>
        <w:spacing w:after="0" w:line="276" w:lineRule="auto"/>
        <w:jc w:val="both"/>
        <w:rPr>
          <w:rStyle w:val="normaltextrun"/>
          <w:rFonts w:ascii="Verdana" w:hAnsi="Verdana"/>
        </w:rPr>
      </w:pPr>
      <w:r w:rsidRPr="00277E26">
        <w:rPr>
          <w:rStyle w:val="normaltextrun"/>
          <w:rFonts w:ascii="Verdana" w:hAnsi="Verdana" w:cs="Arial"/>
          <w:shd w:val="clear" w:color="auto" w:fill="FFFFFF"/>
          <w:lang w:val="es-ES"/>
        </w:rPr>
        <w:t>Esta Subdirección</w:t>
      </w:r>
      <w:r>
        <w:rPr>
          <w:rStyle w:val="normaltextrun"/>
          <w:rFonts w:ascii="Verdana" w:hAnsi="Verdana" w:cs="Arial"/>
          <w:shd w:val="clear" w:color="auto" w:fill="FFFFFF"/>
          <w:lang w:val="es-ES"/>
        </w:rPr>
        <w:t xml:space="preserve"> </w:t>
      </w:r>
      <w:r w:rsidRPr="009D1699">
        <w:rPr>
          <w:rStyle w:val="normaltextrun"/>
          <w:rFonts w:ascii="Verdana" w:hAnsi="Verdana" w:cs="Arial"/>
          <w:shd w:val="clear" w:color="auto" w:fill="FFFFFF"/>
          <w:lang w:val="es-ES"/>
        </w:rPr>
        <w:t xml:space="preserve">se ha pronunciado sobre </w:t>
      </w:r>
      <w:r>
        <w:rPr>
          <w:rStyle w:val="normaltextrun"/>
          <w:rFonts w:ascii="Verdana" w:hAnsi="Verdana" w:cs="Arial"/>
          <w:shd w:val="clear" w:color="auto" w:fill="FFFFFF"/>
          <w:lang w:val="es-ES"/>
        </w:rPr>
        <w:t>el régimen de inhabilidades e incompatibilidades</w:t>
      </w:r>
      <w:r w:rsidRPr="00277E26">
        <w:rPr>
          <w:rStyle w:val="normaltextrun"/>
          <w:rFonts w:ascii="Verdana" w:hAnsi="Verdana" w:cs="Arial"/>
          <w:shd w:val="clear" w:color="auto" w:fill="FFFFFF"/>
          <w:lang w:val="es-ES"/>
        </w:rPr>
        <w:t xml:space="preserve"> en los Conceptos </w:t>
      </w:r>
      <w:r w:rsidRPr="003D07ED">
        <w:rPr>
          <w:rStyle w:val="normaltextrun"/>
          <w:rFonts w:ascii="Verdana" w:hAnsi="Verdana" w:cs="Arial"/>
          <w:shd w:val="clear" w:color="auto" w:fill="FFFFFF"/>
          <w:lang w:val="es-ES"/>
        </w:rPr>
        <w:t>4201912000004765 de 29 de agosto de 2019, 4201913000005694 del 3 de octubre de 2019, 4201912000006288 del 7 de septiembre de 2019, 4201912000006259 del 13 de noviembre de 2019, 4201913000006917 del 21 de noviembre de 2019, 4201912000006978 del 25 de noviembre de 2019, 4201912000007291 del 3 de diciembre de 2019, 4201912000007281 del 5 de diciembre de 2019, 4201912000007060 del 11 de diciembre de 2019, 4201912000007512 del 16</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diciembre de 2019, 4201912000008460 del 14 de febrero de 2020, C-032 del 19 de febrero de 2020, C-090 del 24 de febrero de 2020, C-125 del 3 de marzo de 2020, C-157 del 17 de marzo de 2020, C-273 del 21 de mayo de 2020, C-386 del 24 de julio de 2020, C-580 del 21 de septiembre de 2020, C-639 del 27 de octubre del 2020, C-650 del 10 de noviembre de 2020, C-684 del 24 de noviembre de 2020 C-004 del 12 de febrero de 2021, C-815 del 18 de febrero de 2021, C-210 del 12 de mayo de 2021, C-275 del 11 de junio de 2021, C-321 del 2 de julio de 2021, C-</w:t>
      </w:r>
      <w:r w:rsidRPr="003D07ED">
        <w:rPr>
          <w:rStyle w:val="normaltextrun"/>
          <w:rFonts w:ascii="Verdana" w:hAnsi="Verdana" w:cs="Arial"/>
          <w:shd w:val="clear" w:color="auto" w:fill="FFFFFF"/>
          <w:lang w:val="es-ES"/>
        </w:rPr>
        <w:lastRenderedPageBreak/>
        <w:t>410 del 7 de julio del 2021, C-491 del 14 de septiembre de 2021, C-028 del 28 de febrero de 2022, C-318 del 18 de mayo de 2022, C-252 del 30 de mayo de 2022, C-175 del 4 de mayo de 2023, C-234 del 5 de julio de 2023</w:t>
      </w:r>
      <w:r>
        <w:rPr>
          <w:rStyle w:val="normaltextrun"/>
          <w:rFonts w:ascii="Verdana" w:hAnsi="Verdana" w:cs="Arial"/>
          <w:shd w:val="clear" w:color="auto" w:fill="FFFFFF"/>
          <w:lang w:val="es-ES"/>
        </w:rPr>
        <w:t xml:space="preserve">, </w:t>
      </w:r>
      <w:r w:rsidRPr="003D07ED">
        <w:rPr>
          <w:rStyle w:val="normaltextrun"/>
          <w:rFonts w:ascii="Verdana" w:hAnsi="Verdana" w:cs="Arial"/>
          <w:shd w:val="clear" w:color="auto" w:fill="FFFFFF"/>
          <w:lang w:val="es-ES"/>
        </w:rPr>
        <w:t>C-408 del 21 de agosto de 2024</w:t>
      </w:r>
      <w:r>
        <w:rPr>
          <w:rStyle w:val="normaltextrun"/>
          <w:rFonts w:ascii="Verdana" w:hAnsi="Verdana" w:cs="Arial"/>
          <w:shd w:val="clear" w:color="auto" w:fill="FFFFFF"/>
          <w:lang w:val="es-ES"/>
        </w:rPr>
        <w:t>, C-975 del 16 de diciembre de 2024, C-1027 del 29 de enero de 2015, C-053 del 30 de enero de 2025, C-030 del 21 de febrero de 2025, C-344 del 28 de abril de 2025, C-434 del 14 de mayo de 2025 y C-595 del 4 de junio de 2025</w:t>
      </w:r>
      <w:r>
        <w:rPr>
          <w:rFonts w:ascii="Verdana" w:hAnsi="Verdana"/>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 xml:space="preserve">. </w:t>
      </w:r>
    </w:p>
    <w:p w14:paraId="14B7482B" w14:textId="77777777" w:rsidR="00B271C1" w:rsidRPr="00096788" w:rsidRDefault="00B271C1" w:rsidP="00B271C1">
      <w:pPr>
        <w:widowControl w:val="0"/>
        <w:autoSpaceDE w:val="0"/>
        <w:autoSpaceDN w:val="0"/>
        <w:spacing w:after="0" w:line="276" w:lineRule="auto"/>
        <w:jc w:val="both"/>
        <w:rPr>
          <w:rFonts w:ascii="Verdana" w:hAnsi="Verdana" w:cs="Arial"/>
          <w:color w:val="000000" w:themeColor="text1"/>
          <w:shd w:val="clear" w:color="auto" w:fill="FFFFFF"/>
        </w:rPr>
      </w:pPr>
    </w:p>
    <w:p w14:paraId="565858A2" w14:textId="77777777" w:rsidR="00B271C1" w:rsidRPr="001205D1" w:rsidRDefault="00B271C1" w:rsidP="00B271C1">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2"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164D35D7" w14:textId="77777777" w:rsidR="00B271C1" w:rsidRPr="009C4035" w:rsidRDefault="00B271C1" w:rsidP="00B271C1">
      <w:pPr>
        <w:widowControl w:val="0"/>
        <w:autoSpaceDE w:val="0"/>
        <w:autoSpaceDN w:val="0"/>
        <w:spacing w:after="0" w:line="276" w:lineRule="auto"/>
        <w:jc w:val="both"/>
        <w:rPr>
          <w:rFonts w:ascii="Verdana" w:hAnsi="Verdana" w:cs="Arial"/>
          <w:color w:val="FF0000"/>
          <w:shd w:val="clear" w:color="auto" w:fill="FFFFFF"/>
          <w:lang w:val="es-ES_tradnl"/>
        </w:rPr>
      </w:pPr>
      <w:r>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2B173DAB" w14:textId="77777777" w:rsidR="00B271C1" w:rsidRPr="00593A5F" w:rsidRDefault="00B271C1" w:rsidP="00B271C1">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35A58451" w14:textId="77777777" w:rsidR="00B271C1" w:rsidRPr="00593A5F" w:rsidRDefault="00B271C1" w:rsidP="00B271C1">
      <w:pPr>
        <w:widowControl w:val="0"/>
        <w:autoSpaceDE w:val="0"/>
        <w:autoSpaceDN w:val="0"/>
        <w:spacing w:after="0" w:line="276" w:lineRule="auto"/>
        <w:jc w:val="both"/>
        <w:rPr>
          <w:rFonts w:ascii="Verdana" w:hAnsi="Verdana" w:cs="Arial"/>
        </w:rPr>
      </w:pPr>
    </w:p>
    <w:p w14:paraId="29D1DDEF" w14:textId="77777777" w:rsidR="00B271C1" w:rsidRPr="00593A5F" w:rsidRDefault="00B271C1" w:rsidP="00B271C1">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33BF0BD" w14:textId="5B6588D0" w:rsidR="00B271C1" w:rsidRPr="00593A5F" w:rsidRDefault="00A95E20" w:rsidP="00B271C1">
      <w:pPr>
        <w:spacing w:line="276" w:lineRule="auto"/>
        <w:jc w:val="center"/>
        <w:rPr>
          <w:rFonts w:ascii="Verdana" w:hAnsi="Verdana" w:cs="Arial"/>
          <w:color w:val="000000"/>
          <w:lang w:val="es-ES_tradnl" w:eastAsia="es-CO"/>
        </w:rPr>
      </w:pPr>
      <w:r>
        <w:rPr>
          <w:noProof/>
        </w:rPr>
        <w:drawing>
          <wp:inline distT="0" distB="0" distL="0" distR="0" wp14:anchorId="613E7531" wp14:editId="3422CCA4">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3"/>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271C1" w:rsidRPr="00593A5F" w14:paraId="79553CFC" w14:textId="77777777" w:rsidTr="00591270">
        <w:trPr>
          <w:trHeight w:val="315"/>
        </w:trPr>
        <w:tc>
          <w:tcPr>
            <w:tcW w:w="893" w:type="dxa"/>
            <w:vAlign w:val="center"/>
            <w:hideMark/>
          </w:tcPr>
          <w:p w14:paraId="5D8F7779" w14:textId="77777777" w:rsidR="00B271C1" w:rsidRPr="003751C7" w:rsidRDefault="00B271C1" w:rsidP="00591270">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3E73DB0" w14:textId="77777777" w:rsidR="00B271C1" w:rsidRPr="00254A7A" w:rsidRDefault="00B271C1" w:rsidP="00591270">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393675E2" w14:textId="77777777" w:rsidR="00B271C1" w:rsidRPr="00254A7A" w:rsidRDefault="00B271C1" w:rsidP="00591270">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B271C1" w:rsidRPr="00593A5F" w14:paraId="0D5E3062" w14:textId="77777777" w:rsidTr="00591270">
        <w:trPr>
          <w:trHeight w:val="330"/>
        </w:trPr>
        <w:tc>
          <w:tcPr>
            <w:tcW w:w="893" w:type="dxa"/>
            <w:vAlign w:val="center"/>
            <w:hideMark/>
          </w:tcPr>
          <w:p w14:paraId="5611803D" w14:textId="77777777" w:rsidR="00B271C1" w:rsidRPr="003751C7" w:rsidRDefault="00B271C1" w:rsidP="00591270">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8718530" w14:textId="77777777" w:rsidR="00B271C1" w:rsidRPr="001B6B73" w:rsidRDefault="00B271C1" w:rsidP="00591270">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360F8B42" w14:textId="77777777" w:rsidR="00B271C1" w:rsidRPr="00254A7A" w:rsidRDefault="00B271C1" w:rsidP="00591270">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B271C1" w:rsidRPr="00593A5F" w14:paraId="431344F2" w14:textId="77777777" w:rsidTr="00591270">
        <w:trPr>
          <w:trHeight w:val="300"/>
        </w:trPr>
        <w:tc>
          <w:tcPr>
            <w:tcW w:w="893" w:type="dxa"/>
            <w:vAlign w:val="center"/>
          </w:tcPr>
          <w:p w14:paraId="7172C510" w14:textId="77777777" w:rsidR="00B271C1" w:rsidRPr="003751C7" w:rsidRDefault="00B271C1" w:rsidP="00591270">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AFEF01F" w14:textId="77777777" w:rsidR="00B271C1" w:rsidRPr="003751C7" w:rsidRDefault="00B271C1" w:rsidP="00591270">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014EB21A" w14:textId="77777777" w:rsidR="00B271C1" w:rsidRPr="003751C7" w:rsidRDefault="00B271C1" w:rsidP="00591270">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0F293BF4" w14:textId="35B0CBFD" w:rsidR="00127233" w:rsidRPr="007D2C33" w:rsidRDefault="00127233" w:rsidP="007D2C33"/>
    <w:sectPr w:rsidR="00127233" w:rsidRPr="007D2C33"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4C22B" w14:textId="77777777" w:rsidR="00D4798E" w:rsidRDefault="00D4798E" w:rsidP="004A1847">
      <w:pPr>
        <w:spacing w:after="0" w:line="240" w:lineRule="auto"/>
      </w:pPr>
      <w:r>
        <w:separator/>
      </w:r>
    </w:p>
  </w:endnote>
  <w:endnote w:type="continuationSeparator" w:id="0">
    <w:p w14:paraId="160D7D41" w14:textId="77777777" w:rsidR="00D4798E" w:rsidRDefault="00D4798E" w:rsidP="004A1847">
      <w:pPr>
        <w:spacing w:after="0" w:line="240" w:lineRule="auto"/>
      </w:pPr>
      <w:r>
        <w:continuationSeparator/>
      </w:r>
    </w:p>
  </w:endnote>
  <w:endnote w:type="continuationNotice" w:id="1">
    <w:p w14:paraId="5192625E" w14:textId="77777777" w:rsidR="00D4798E" w:rsidRDefault="00D4798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74E7B5" w14:textId="77777777" w:rsidR="00D4798E" w:rsidRDefault="00D4798E" w:rsidP="004A1847">
      <w:pPr>
        <w:spacing w:after="0" w:line="240" w:lineRule="auto"/>
      </w:pPr>
      <w:r>
        <w:separator/>
      </w:r>
    </w:p>
  </w:footnote>
  <w:footnote w:type="continuationSeparator" w:id="0">
    <w:p w14:paraId="2E899435" w14:textId="77777777" w:rsidR="00D4798E" w:rsidRDefault="00D4798E" w:rsidP="004A1847">
      <w:pPr>
        <w:spacing w:after="0" w:line="240" w:lineRule="auto"/>
      </w:pPr>
      <w:r>
        <w:continuationSeparator/>
      </w:r>
    </w:p>
  </w:footnote>
  <w:footnote w:type="continuationNotice" w:id="1">
    <w:p w14:paraId="0DFE34EE" w14:textId="77777777" w:rsidR="00D4798E" w:rsidRDefault="00D4798E">
      <w:pPr>
        <w:spacing w:after="0" w:line="240" w:lineRule="auto"/>
      </w:pPr>
    </w:p>
  </w:footnote>
  <w:footnote w:id="2">
    <w:p w14:paraId="1F2336FD" w14:textId="77777777" w:rsidR="00B271C1" w:rsidRPr="001F0D99" w:rsidRDefault="00B271C1" w:rsidP="00B271C1">
      <w:pPr>
        <w:pStyle w:val="Textonotapie"/>
        <w:ind w:firstLine="709"/>
        <w:jc w:val="both"/>
        <w:rPr>
          <w:rFonts w:ascii="Verdana" w:hAnsi="Verdana"/>
          <w:sz w:val="16"/>
          <w:szCs w:val="16"/>
          <w:lang w:val="es-CO"/>
        </w:rPr>
      </w:pPr>
      <w:r w:rsidRPr="001F0D99">
        <w:rPr>
          <w:rStyle w:val="Refdenotaalpie"/>
          <w:rFonts w:ascii="Verdana" w:hAnsi="Verdana"/>
          <w:sz w:val="16"/>
          <w:szCs w:val="16"/>
        </w:rPr>
        <w:footnoteRef/>
      </w:r>
      <w:r w:rsidRPr="001F0D9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 w:id="3">
    <w:p w14:paraId="25014CEC" w14:textId="77777777" w:rsidR="00B271C1" w:rsidRPr="00873C70" w:rsidRDefault="00B271C1" w:rsidP="00B271C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873C70">
        <w:rPr>
          <w:rFonts w:ascii="Verdana" w:hAnsi="Verdana" w:cs="Arial"/>
          <w:sz w:val="16"/>
          <w:szCs w:val="16"/>
          <w:lang w:val="pt-BR"/>
        </w:rPr>
        <w:t xml:space="preserve"> </w:t>
      </w:r>
      <w:r w:rsidRPr="001F0D99">
        <w:rPr>
          <w:rFonts w:ascii="Verdana" w:hAnsi="Verdana" w:cs="Arial"/>
          <w:sz w:val="16"/>
          <w:szCs w:val="16"/>
          <w:lang w:val="pt-BR"/>
        </w:rPr>
        <w:t>CORTE CONSTITUCIONAL. Sentencia C-1016 de 2012. M.P. Jorge Iván Palacio.</w:t>
      </w:r>
    </w:p>
  </w:footnote>
  <w:footnote w:id="4">
    <w:p w14:paraId="3DF0B860" w14:textId="77777777" w:rsidR="00B271C1" w:rsidRPr="001F0D99" w:rsidRDefault="00B271C1" w:rsidP="00B271C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1F0D99">
        <w:rPr>
          <w:rFonts w:ascii="Verdana" w:hAnsi="Verdana" w:cs="Arial"/>
          <w:sz w:val="16"/>
          <w:szCs w:val="16"/>
        </w:rPr>
        <w:t xml:space="preserve"> CONSEJO DE ESTADO. Sección Tercera. Subsección A. Sentencia del 13 de noviembre de 2013. </w:t>
      </w:r>
      <w:r w:rsidRPr="001F0D99">
        <w:rPr>
          <w:rFonts w:ascii="Verdana" w:hAnsi="Verdana" w:cs="Arial"/>
          <w:sz w:val="16"/>
          <w:szCs w:val="16"/>
          <w:lang w:val="pt-BR"/>
        </w:rPr>
        <w:t>Rad. 25.646. C.P. Mauricio Fajardo Gómez.</w:t>
      </w:r>
    </w:p>
  </w:footnote>
  <w:footnote w:id="5">
    <w:p w14:paraId="56DE0F05" w14:textId="77777777" w:rsidR="00B271C1" w:rsidRPr="00873C70" w:rsidRDefault="00B271C1" w:rsidP="00B271C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873C70">
        <w:rPr>
          <w:rFonts w:ascii="Verdana" w:hAnsi="Verdana" w:cs="Arial"/>
          <w:sz w:val="16"/>
          <w:szCs w:val="16"/>
          <w:lang w:val="pt-BR"/>
        </w:rPr>
        <w:t xml:space="preserve"> </w:t>
      </w:r>
      <w:r w:rsidRPr="001F0D99">
        <w:rPr>
          <w:rFonts w:ascii="Verdana" w:hAnsi="Verdana" w:cs="Arial"/>
          <w:sz w:val="16"/>
          <w:szCs w:val="16"/>
          <w:lang w:val="pt-BR"/>
        </w:rPr>
        <w:t xml:space="preserve">CORTE CONSTITUCIONAL. Sentencia C-415 de 1994. M.P. </w:t>
      </w:r>
      <w:r w:rsidRPr="00873C70">
        <w:rPr>
          <w:rFonts w:ascii="Verdana" w:hAnsi="Verdana" w:cs="Arial"/>
          <w:sz w:val="16"/>
          <w:szCs w:val="16"/>
          <w:lang w:val="pt-BR"/>
        </w:rPr>
        <w:t>Eduardo Cifuentes Muñoz.</w:t>
      </w:r>
    </w:p>
  </w:footnote>
  <w:footnote w:id="6">
    <w:p w14:paraId="1FF30BFC" w14:textId="77777777" w:rsidR="00B271C1" w:rsidRPr="001F0D99" w:rsidRDefault="00B271C1" w:rsidP="00B271C1">
      <w:pPr>
        <w:pStyle w:val="Textonotapie"/>
        <w:ind w:firstLine="709"/>
        <w:jc w:val="both"/>
        <w:rPr>
          <w:rFonts w:ascii="Verdana" w:hAnsi="Verdana" w:cs="Arial"/>
          <w:sz w:val="16"/>
          <w:szCs w:val="16"/>
          <w:lang w:val="pt-BR"/>
        </w:rPr>
      </w:pPr>
      <w:r w:rsidRPr="001F0D99">
        <w:rPr>
          <w:rStyle w:val="Refdenotaalpie"/>
          <w:rFonts w:ascii="Verdana" w:hAnsi="Verdana" w:cs="Arial"/>
          <w:sz w:val="16"/>
          <w:szCs w:val="16"/>
        </w:rPr>
        <w:footnoteRef/>
      </w:r>
      <w:r w:rsidRPr="00873C70">
        <w:rPr>
          <w:rFonts w:ascii="Verdana" w:hAnsi="Verdana" w:cs="Arial"/>
          <w:sz w:val="16"/>
          <w:szCs w:val="16"/>
          <w:lang w:val="pt-BR"/>
        </w:rPr>
        <w:t xml:space="preserve"> </w:t>
      </w:r>
      <w:r w:rsidRPr="001F0D99">
        <w:rPr>
          <w:rFonts w:ascii="Verdana" w:hAnsi="Verdana" w:cs="Arial"/>
          <w:sz w:val="16"/>
          <w:szCs w:val="16"/>
          <w:lang w:val="pt-BR"/>
        </w:rPr>
        <w:t>Ibidem.</w:t>
      </w:r>
    </w:p>
  </w:footnote>
  <w:footnote w:id="7">
    <w:p w14:paraId="4A1F7BDE" w14:textId="77777777" w:rsidR="00B271C1" w:rsidRPr="001F0D99" w:rsidRDefault="00B271C1" w:rsidP="00B271C1">
      <w:pPr>
        <w:pStyle w:val="Textonotapie"/>
        <w:ind w:firstLine="709"/>
        <w:jc w:val="both"/>
        <w:rPr>
          <w:rFonts w:ascii="Verdana" w:hAnsi="Verdana" w:cs="Arial"/>
          <w:sz w:val="16"/>
          <w:szCs w:val="16"/>
          <w:lang w:val="es-CO"/>
        </w:rPr>
      </w:pPr>
      <w:r w:rsidRPr="001F0D99">
        <w:rPr>
          <w:rStyle w:val="Refdenotaalpie"/>
          <w:rFonts w:ascii="Verdana" w:hAnsi="Verdana" w:cs="Arial"/>
          <w:sz w:val="16"/>
          <w:szCs w:val="16"/>
        </w:rPr>
        <w:footnoteRef/>
      </w:r>
      <w:r w:rsidRPr="00873C70">
        <w:rPr>
          <w:rFonts w:ascii="Verdana" w:hAnsi="Verdana" w:cs="Arial"/>
          <w:sz w:val="16"/>
          <w:szCs w:val="16"/>
          <w:lang w:val="pt-BR"/>
        </w:rPr>
        <w:t xml:space="preserve"> </w:t>
      </w:r>
      <w:r w:rsidRPr="001F0D99">
        <w:rPr>
          <w:rFonts w:ascii="Verdana" w:hAnsi="Verdana" w:cs="Arial"/>
          <w:sz w:val="16"/>
          <w:szCs w:val="16"/>
          <w:lang w:val="pt-BR"/>
        </w:rPr>
        <w:t xml:space="preserve">CORTE CONSTITUCIONAL. </w:t>
      </w:r>
      <w:r w:rsidRPr="001F0D99">
        <w:rPr>
          <w:rFonts w:ascii="Verdana" w:hAnsi="Verdana" w:cs="Arial"/>
          <w:sz w:val="16"/>
          <w:szCs w:val="16"/>
        </w:rPr>
        <w:t xml:space="preserve">Sentencia C-780 de 2001. </w:t>
      </w:r>
      <w:r w:rsidRPr="001F0D99">
        <w:rPr>
          <w:rFonts w:ascii="Verdana" w:hAnsi="Verdana" w:cs="Arial"/>
          <w:sz w:val="16"/>
          <w:szCs w:val="16"/>
          <w:lang w:val="es-CO"/>
        </w:rPr>
        <w:t xml:space="preserve">M.P. Jaime Córdoba Triviño. </w:t>
      </w:r>
    </w:p>
  </w:footnote>
  <w:footnote w:id="8">
    <w:p w14:paraId="34DFCBC4" w14:textId="77777777" w:rsidR="00B271C1" w:rsidRPr="001F0D99" w:rsidRDefault="00B271C1" w:rsidP="00B271C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Ley 80 de 1993: “Artículo 6.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0898E90F" w14:textId="77777777" w:rsidR="00B271C1" w:rsidRPr="001F0D99" w:rsidRDefault="00B271C1" w:rsidP="00B271C1">
      <w:pPr>
        <w:pStyle w:val="Textonotapie"/>
        <w:ind w:firstLine="709"/>
        <w:jc w:val="both"/>
        <w:rPr>
          <w:rFonts w:ascii="Verdana" w:hAnsi="Verdana" w:cs="Arial"/>
          <w:sz w:val="16"/>
          <w:szCs w:val="16"/>
        </w:rPr>
      </w:pPr>
      <w:r w:rsidRPr="001F0D99">
        <w:rPr>
          <w:rFonts w:ascii="Verdana" w:hAnsi="Verdana" w:cs="Arial"/>
          <w:sz w:val="16"/>
          <w:szCs w:val="16"/>
        </w:rPr>
        <w:t>Las personas jurídicas nacionales y extranjeras deberán acreditar que su duración no será inferior a la del plazo del contrato y un año más”.</w:t>
      </w:r>
    </w:p>
  </w:footnote>
  <w:footnote w:id="9">
    <w:p w14:paraId="6D31A988" w14:textId="77777777" w:rsidR="00B271C1" w:rsidRPr="001F0D99" w:rsidRDefault="00B271C1" w:rsidP="00B271C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Código Civil: “Artículo 1502. Requisitos para obligarse. Para que una persona se obligue a otra por un acto o declaración de voluntad, es necesario:</w:t>
      </w:r>
    </w:p>
    <w:p w14:paraId="2541B261" w14:textId="77777777" w:rsidR="00B271C1" w:rsidRPr="001F0D99" w:rsidRDefault="00B271C1" w:rsidP="00B271C1">
      <w:pPr>
        <w:pStyle w:val="Textonotapie"/>
        <w:ind w:firstLine="709"/>
        <w:jc w:val="both"/>
        <w:rPr>
          <w:rFonts w:ascii="Verdana" w:hAnsi="Verdana" w:cs="Arial"/>
          <w:sz w:val="16"/>
          <w:szCs w:val="16"/>
        </w:rPr>
      </w:pPr>
      <w:r w:rsidRPr="001F0D99">
        <w:rPr>
          <w:rFonts w:ascii="Verdana" w:hAnsi="Verdana" w:cs="Arial"/>
          <w:sz w:val="16"/>
          <w:szCs w:val="16"/>
        </w:rPr>
        <w:t>1o.) que sea legalmente capaz.</w:t>
      </w:r>
    </w:p>
    <w:p w14:paraId="64650356" w14:textId="77777777" w:rsidR="00B271C1" w:rsidRPr="001F0D99" w:rsidRDefault="00B271C1" w:rsidP="00B271C1">
      <w:pPr>
        <w:pStyle w:val="Textonotapie"/>
        <w:ind w:firstLine="709"/>
        <w:jc w:val="both"/>
        <w:rPr>
          <w:rFonts w:ascii="Verdana" w:hAnsi="Verdana" w:cs="Arial"/>
          <w:sz w:val="16"/>
          <w:szCs w:val="16"/>
        </w:rPr>
      </w:pPr>
      <w:r w:rsidRPr="001F0D99">
        <w:rPr>
          <w:rFonts w:ascii="Verdana" w:hAnsi="Verdana" w:cs="Arial"/>
          <w:sz w:val="16"/>
          <w:szCs w:val="16"/>
        </w:rPr>
        <w:t>[…]</w:t>
      </w:r>
    </w:p>
    <w:p w14:paraId="123DDAC1" w14:textId="77777777" w:rsidR="00B271C1" w:rsidRPr="001F0D99" w:rsidRDefault="00B271C1" w:rsidP="00B271C1">
      <w:pPr>
        <w:pStyle w:val="Textonotapie"/>
        <w:ind w:firstLine="709"/>
        <w:jc w:val="both"/>
        <w:rPr>
          <w:rFonts w:ascii="Verdana" w:hAnsi="Verdana" w:cs="Arial"/>
          <w:sz w:val="16"/>
          <w:szCs w:val="16"/>
        </w:rPr>
      </w:pPr>
      <w:r w:rsidRPr="001F0D99">
        <w:rPr>
          <w:rFonts w:ascii="Verdana" w:hAnsi="Verdana" w:cs="Arial"/>
          <w:sz w:val="16"/>
          <w:szCs w:val="16"/>
        </w:rPr>
        <w:t>La capacidad legal de una persona consiste en poderse obligar por sí misma, sin el ministerio o la autorización de otra”.</w:t>
      </w:r>
    </w:p>
  </w:footnote>
  <w:footnote w:id="10">
    <w:p w14:paraId="69FDCFCA" w14:textId="77777777" w:rsidR="00B271C1" w:rsidRPr="001F0D99" w:rsidRDefault="00B271C1" w:rsidP="00B271C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Decreto Ley 19 de 2012: “Artículo 221. El artículo 6 de la Ley 1150 de 2007, quedará así:</w:t>
      </w:r>
    </w:p>
    <w:p w14:paraId="491962A2" w14:textId="77777777" w:rsidR="00B271C1" w:rsidRPr="001F0D99" w:rsidRDefault="00B271C1" w:rsidP="00B271C1">
      <w:pPr>
        <w:pStyle w:val="Textonotapie"/>
        <w:ind w:firstLine="709"/>
        <w:jc w:val="both"/>
        <w:rPr>
          <w:rFonts w:ascii="Verdana" w:hAnsi="Verdana" w:cs="Arial"/>
          <w:sz w:val="16"/>
          <w:szCs w:val="16"/>
          <w:lang w:val="es-ES"/>
        </w:rPr>
      </w:pPr>
      <w:r w:rsidRPr="001F0D99">
        <w:rPr>
          <w:rFonts w:ascii="Verdana" w:hAnsi="Verdana" w:cs="Arial"/>
          <w:sz w:val="16"/>
          <w:szCs w:val="16"/>
        </w:rPr>
        <w:t>Artículo 6. De la verificación de las condiciones de los proponentes. T</w:t>
      </w:r>
      <w:r w:rsidRPr="001F0D99">
        <w:rPr>
          <w:rFonts w:ascii="Verdana" w:hAnsi="Verdana" w:cs="Arial"/>
          <w:sz w:val="16"/>
          <w:szCs w:val="16"/>
          <w:lang w:val="es-ES"/>
        </w:rPr>
        <w: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DE9AA0E" w14:textId="77777777" w:rsidR="00B271C1" w:rsidRPr="001F0D99" w:rsidRDefault="00B271C1" w:rsidP="00B271C1">
      <w:pPr>
        <w:pStyle w:val="Textonotapie"/>
        <w:ind w:firstLine="709"/>
        <w:jc w:val="both"/>
        <w:rPr>
          <w:rFonts w:ascii="Verdana" w:hAnsi="Verdana" w:cs="Arial"/>
          <w:sz w:val="16"/>
          <w:szCs w:val="16"/>
          <w:lang w:val="es-ES"/>
        </w:rPr>
      </w:pPr>
      <w:r w:rsidRPr="001F0D99">
        <w:rPr>
          <w:rFonts w:ascii="Verdana" w:hAnsi="Verdana" w:cs="Arial"/>
          <w:sz w:val="16"/>
          <w:szCs w:val="16"/>
          <w:lang w:val="es-ES"/>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footnote>
  <w:footnote w:id="11">
    <w:p w14:paraId="382DC6AF" w14:textId="77777777" w:rsidR="00B271C1" w:rsidRPr="001F0D99" w:rsidRDefault="00B271C1" w:rsidP="00B271C1">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 xml:space="preserve">En tal sentido, José Luis Benavides comenta que “Aunque la mayoría de las reglas limitativas de la responsabilidad contractual se aplican a la administración, existen también algunas restricciones importantes a la capacidad de los contratistas: </w:t>
      </w:r>
      <w:r w:rsidRPr="001F0D99">
        <w:rPr>
          <w:rFonts w:ascii="Verdana" w:hAnsi="Verdana" w:cs="Arial"/>
          <w:i/>
          <w:iCs/>
          <w:sz w:val="16"/>
          <w:szCs w:val="16"/>
          <w:lang w:val="es-ES"/>
        </w:rPr>
        <w:t>el régimen de inhabilidades e incompatibilidades</w:t>
      </w:r>
      <w:r w:rsidRPr="001F0D99">
        <w:rPr>
          <w:rFonts w:ascii="Verdana" w:hAnsi="Verdana" w:cs="Arial"/>
          <w:sz w:val="16"/>
          <w:szCs w:val="16"/>
          <w:lang w:val="es-ES"/>
        </w:rPr>
        <w:t xml:space="preserve"> (1) y la obligación de ciertos proponentes de inscribirse en el </w:t>
      </w:r>
      <w:r w:rsidRPr="001F0D99">
        <w:rPr>
          <w:rFonts w:ascii="Verdana" w:hAnsi="Verdana" w:cs="Arial"/>
          <w:i/>
          <w:iCs/>
          <w:sz w:val="16"/>
          <w:szCs w:val="16"/>
          <w:lang w:val="es-ES"/>
        </w:rPr>
        <w:t>registro único</w:t>
      </w:r>
      <w:r w:rsidRPr="001F0D99">
        <w:rPr>
          <w:rFonts w:ascii="Verdana" w:hAnsi="Verdana" w:cs="Arial"/>
          <w:sz w:val="16"/>
          <w:szCs w:val="16"/>
          <w:lang w:val="es-ES"/>
        </w:rPr>
        <w:t xml:space="preserve"> (2)” (BENAVIDES, José Luis. El contrato estatal. Entre el Derecho público y el Derecho privado. 2ª ed. Bogotá: Universidad Externado de Colombia, 2004. p. 278). </w:t>
      </w:r>
    </w:p>
  </w:footnote>
  <w:footnote w:id="12">
    <w:p w14:paraId="4F2BFB1E" w14:textId="77777777" w:rsidR="00B271C1" w:rsidRPr="001F0D99" w:rsidRDefault="00B271C1" w:rsidP="00B271C1">
      <w:pPr>
        <w:pStyle w:val="Textonotapie"/>
        <w:ind w:firstLine="709"/>
        <w:jc w:val="both"/>
        <w:rPr>
          <w:rFonts w:ascii="Verdana" w:hAnsi="Verdana" w:cs="Arial"/>
          <w:sz w:val="16"/>
          <w:szCs w:val="16"/>
        </w:rPr>
      </w:pPr>
      <w:r w:rsidRPr="001F0D99">
        <w:rPr>
          <w:rStyle w:val="Refdenotaalpie"/>
          <w:rFonts w:ascii="Verdana" w:hAnsi="Verdana" w:cs="Arial"/>
          <w:sz w:val="16"/>
          <w:szCs w:val="16"/>
        </w:rPr>
        <w:footnoteRef/>
      </w:r>
      <w:r w:rsidRPr="001F0D99">
        <w:rPr>
          <w:rFonts w:ascii="Verdana" w:hAnsi="Verdana" w:cs="Arial"/>
          <w:sz w:val="16"/>
          <w:szCs w:val="16"/>
        </w:rPr>
        <w:t xml:space="preserve"> En esta línea Dávila Vinueza Expresa: “El legislador para calificar estas prohibiciones emplea dos vocablos: Inhabilidades o incompatibilidades, los cuales en un examen desprevenido podrían sugerir ideas diferentes y en consecuencia, efectos también distintos. Sin embargo, se trata de conceptos que no producen distinciones más allá de las puramente semánticas. En nada afecta el calificar una causal con denominación diferente a la empleada en el texto legal, cuando mucho se criticará la falta de precisión. Ello es así por cuanto los efectos jurídicos que se general para una y otra son exactamente los mismos. Incluso se podría afirmar que ante la semejanza de las figuras, conviene emplear un único vocablo, con lo cual serían innecesarias los intentos y las elucubraciones y explicaciones, algunas novedosas que podrían ensayarse”. (DÁVILA VINUEZA, Luis Guillermo. Régimen jurídico de la contratación estatal. 3ª ed. Bogotá: Legis, 2016. p. 148).</w:t>
      </w:r>
    </w:p>
  </w:footnote>
  <w:footnote w:id="13">
    <w:p w14:paraId="654D9C0B" w14:textId="77777777" w:rsidR="00B271C1" w:rsidRPr="001F0D99" w:rsidRDefault="00B271C1" w:rsidP="00B271C1">
      <w:pPr>
        <w:pStyle w:val="Textonotapie"/>
        <w:ind w:firstLine="709"/>
        <w:jc w:val="both"/>
        <w:rPr>
          <w:rFonts w:ascii="Verdana" w:hAnsi="Verdana" w:cs="Arial"/>
          <w:sz w:val="16"/>
          <w:szCs w:val="16"/>
          <w:lang w:val="es-ES"/>
        </w:rPr>
      </w:pPr>
      <w:r w:rsidRPr="001F0D99">
        <w:rPr>
          <w:rStyle w:val="Refdenotaalpie"/>
          <w:rFonts w:ascii="Verdana" w:hAnsi="Verdana" w:cs="Arial"/>
          <w:sz w:val="16"/>
          <w:szCs w:val="16"/>
        </w:rPr>
        <w:footnoteRef/>
      </w:r>
      <w:r w:rsidRPr="001F0D99">
        <w:rPr>
          <w:rFonts w:ascii="Verdana" w:hAnsi="Verdana" w:cs="Arial"/>
          <w:sz w:val="16"/>
          <w:szCs w:val="16"/>
        </w:rPr>
        <w:t xml:space="preserve"> </w:t>
      </w:r>
      <w:r w:rsidRPr="001F0D99">
        <w:rPr>
          <w:rFonts w:ascii="Verdana" w:hAnsi="Verdana" w:cs="Arial"/>
          <w:sz w:val="16"/>
          <w:szCs w:val="16"/>
          <w:lang w:val="es-ES"/>
        </w:rPr>
        <w:t>BARRETO ROZO, Antonio Alejandro. Inhabilidades de la contratación estatal, efectos y neopunitivismo en el Estatuto Anticorrupción. En: ALVIAR GARCÍA, Helena (Coordinadora). Nuevas tendencias del Derecho administrativo. Bogotá: Universidad de los Andes; Temis, 2016. pp. 63-99.</w:t>
      </w:r>
    </w:p>
  </w:footnote>
  <w:footnote w:id="14">
    <w:p w14:paraId="6D682C48" w14:textId="77777777" w:rsidR="00B271C1" w:rsidRPr="001F0D99" w:rsidRDefault="00B271C1" w:rsidP="00B271C1">
      <w:pPr>
        <w:pStyle w:val="Textonotapie"/>
        <w:ind w:firstLine="709"/>
        <w:jc w:val="both"/>
        <w:rPr>
          <w:rFonts w:ascii="Verdana" w:hAnsi="Verdana"/>
          <w:sz w:val="16"/>
          <w:szCs w:val="16"/>
          <w:lang w:val="es-CO"/>
        </w:rPr>
      </w:pPr>
      <w:r w:rsidRPr="001F0D99">
        <w:rPr>
          <w:rStyle w:val="Refdenotaalpie"/>
          <w:rFonts w:ascii="Verdana" w:hAnsi="Verdana"/>
          <w:sz w:val="16"/>
          <w:szCs w:val="16"/>
        </w:rPr>
        <w:footnoteRef/>
      </w:r>
      <w:r w:rsidRPr="001F0D99">
        <w:rPr>
          <w:rFonts w:ascii="Verdana" w:hAnsi="Verdana"/>
          <w:sz w:val="16"/>
          <w:szCs w:val="16"/>
        </w:rPr>
        <w:t xml:space="preserve"> El artículo 6 del Decreto 092 de 2017, “Por el cual se reglamenta la contratación con entidades privadas sin ánimo de lucro a la que hace referencia el inciso segundo del artículo 355 de la Constitución Política”, dispone que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5pt;height:11.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4B66"/>
    <w:rsid w:val="00046945"/>
    <w:rsid w:val="00061B2A"/>
    <w:rsid w:val="00082362"/>
    <w:rsid w:val="000A55F2"/>
    <w:rsid w:val="000A683E"/>
    <w:rsid w:val="000B19B9"/>
    <w:rsid w:val="000C24B4"/>
    <w:rsid w:val="000D0334"/>
    <w:rsid w:val="000D2A87"/>
    <w:rsid w:val="000F6486"/>
    <w:rsid w:val="00125105"/>
    <w:rsid w:val="00127233"/>
    <w:rsid w:val="001674FC"/>
    <w:rsid w:val="001E4177"/>
    <w:rsid w:val="001F7DC6"/>
    <w:rsid w:val="00201CC3"/>
    <w:rsid w:val="00237B16"/>
    <w:rsid w:val="002421BB"/>
    <w:rsid w:val="0025796E"/>
    <w:rsid w:val="002707A2"/>
    <w:rsid w:val="002951A0"/>
    <w:rsid w:val="002962BC"/>
    <w:rsid w:val="002968A0"/>
    <w:rsid w:val="002A093D"/>
    <w:rsid w:val="002A0DD0"/>
    <w:rsid w:val="002A49AC"/>
    <w:rsid w:val="002A64FD"/>
    <w:rsid w:val="002C7A84"/>
    <w:rsid w:val="002E4FD9"/>
    <w:rsid w:val="00301438"/>
    <w:rsid w:val="00305481"/>
    <w:rsid w:val="00322A85"/>
    <w:rsid w:val="00324168"/>
    <w:rsid w:val="003448F4"/>
    <w:rsid w:val="00360D1D"/>
    <w:rsid w:val="00374F5E"/>
    <w:rsid w:val="00377E3E"/>
    <w:rsid w:val="003A5A33"/>
    <w:rsid w:val="003A779E"/>
    <w:rsid w:val="003D0F4D"/>
    <w:rsid w:val="003D5B0D"/>
    <w:rsid w:val="003E0499"/>
    <w:rsid w:val="003F3941"/>
    <w:rsid w:val="00406575"/>
    <w:rsid w:val="00414C74"/>
    <w:rsid w:val="0042722E"/>
    <w:rsid w:val="0044528D"/>
    <w:rsid w:val="00493459"/>
    <w:rsid w:val="004A1847"/>
    <w:rsid w:val="004A305D"/>
    <w:rsid w:val="004F21C4"/>
    <w:rsid w:val="004F685F"/>
    <w:rsid w:val="005566E8"/>
    <w:rsid w:val="00574867"/>
    <w:rsid w:val="00591460"/>
    <w:rsid w:val="005C3777"/>
    <w:rsid w:val="005C5CDC"/>
    <w:rsid w:val="005D476C"/>
    <w:rsid w:val="006219F8"/>
    <w:rsid w:val="006302F7"/>
    <w:rsid w:val="0063282D"/>
    <w:rsid w:val="00635F64"/>
    <w:rsid w:val="00661848"/>
    <w:rsid w:val="00665D70"/>
    <w:rsid w:val="006900D9"/>
    <w:rsid w:val="006A760C"/>
    <w:rsid w:val="006B1981"/>
    <w:rsid w:val="006E235C"/>
    <w:rsid w:val="00706C16"/>
    <w:rsid w:val="00726AE7"/>
    <w:rsid w:val="00756841"/>
    <w:rsid w:val="00756CE5"/>
    <w:rsid w:val="007649AB"/>
    <w:rsid w:val="00767077"/>
    <w:rsid w:val="00771D0C"/>
    <w:rsid w:val="00781D9F"/>
    <w:rsid w:val="007833AC"/>
    <w:rsid w:val="007A37DB"/>
    <w:rsid w:val="007B268C"/>
    <w:rsid w:val="007B7171"/>
    <w:rsid w:val="007C0C0F"/>
    <w:rsid w:val="007C3DC2"/>
    <w:rsid w:val="007D2C33"/>
    <w:rsid w:val="007D5C2D"/>
    <w:rsid w:val="007E5497"/>
    <w:rsid w:val="00806F5F"/>
    <w:rsid w:val="00820278"/>
    <w:rsid w:val="0086077C"/>
    <w:rsid w:val="00867F95"/>
    <w:rsid w:val="00873C70"/>
    <w:rsid w:val="008843B6"/>
    <w:rsid w:val="00891928"/>
    <w:rsid w:val="00897A3A"/>
    <w:rsid w:val="008A446D"/>
    <w:rsid w:val="008D180B"/>
    <w:rsid w:val="008F0EA7"/>
    <w:rsid w:val="00923EEF"/>
    <w:rsid w:val="009419F9"/>
    <w:rsid w:val="0095685E"/>
    <w:rsid w:val="00961B09"/>
    <w:rsid w:val="00965334"/>
    <w:rsid w:val="0097093E"/>
    <w:rsid w:val="00997F43"/>
    <w:rsid w:val="009A0DFA"/>
    <w:rsid w:val="009A51D0"/>
    <w:rsid w:val="009B25A8"/>
    <w:rsid w:val="009B2D26"/>
    <w:rsid w:val="009B5085"/>
    <w:rsid w:val="009C71FA"/>
    <w:rsid w:val="009C72E7"/>
    <w:rsid w:val="009D3058"/>
    <w:rsid w:val="009F24C7"/>
    <w:rsid w:val="009F3A13"/>
    <w:rsid w:val="00A122D3"/>
    <w:rsid w:val="00A17F13"/>
    <w:rsid w:val="00A20739"/>
    <w:rsid w:val="00A33C78"/>
    <w:rsid w:val="00A814EF"/>
    <w:rsid w:val="00A90823"/>
    <w:rsid w:val="00A95E20"/>
    <w:rsid w:val="00AB0ADB"/>
    <w:rsid w:val="00AB684F"/>
    <w:rsid w:val="00AC323B"/>
    <w:rsid w:val="00B00C0E"/>
    <w:rsid w:val="00B01B1A"/>
    <w:rsid w:val="00B271C1"/>
    <w:rsid w:val="00B44A47"/>
    <w:rsid w:val="00B72CD3"/>
    <w:rsid w:val="00B72FFF"/>
    <w:rsid w:val="00BA3678"/>
    <w:rsid w:val="00BC3D36"/>
    <w:rsid w:val="00BD7F72"/>
    <w:rsid w:val="00C04FB3"/>
    <w:rsid w:val="00C330EB"/>
    <w:rsid w:val="00C754BE"/>
    <w:rsid w:val="00C76B1C"/>
    <w:rsid w:val="00CB6357"/>
    <w:rsid w:val="00CC1B26"/>
    <w:rsid w:val="00D0483E"/>
    <w:rsid w:val="00D363E5"/>
    <w:rsid w:val="00D423A2"/>
    <w:rsid w:val="00D4798E"/>
    <w:rsid w:val="00D520D8"/>
    <w:rsid w:val="00D63AC2"/>
    <w:rsid w:val="00D7383B"/>
    <w:rsid w:val="00DA231B"/>
    <w:rsid w:val="00DC39FC"/>
    <w:rsid w:val="00DF5254"/>
    <w:rsid w:val="00E16408"/>
    <w:rsid w:val="00E20894"/>
    <w:rsid w:val="00E245AB"/>
    <w:rsid w:val="00E2764C"/>
    <w:rsid w:val="00E27F2E"/>
    <w:rsid w:val="00E50AFE"/>
    <w:rsid w:val="00E50D50"/>
    <w:rsid w:val="00E6058C"/>
    <w:rsid w:val="00E732E6"/>
    <w:rsid w:val="00E75C92"/>
    <w:rsid w:val="00E771DC"/>
    <w:rsid w:val="00E8772A"/>
    <w:rsid w:val="00E90F6B"/>
    <w:rsid w:val="00E92C27"/>
    <w:rsid w:val="00EA0E3D"/>
    <w:rsid w:val="00EC38A7"/>
    <w:rsid w:val="00EE1AA8"/>
    <w:rsid w:val="00F059E2"/>
    <w:rsid w:val="00F31EDC"/>
    <w:rsid w:val="00F462B3"/>
    <w:rsid w:val="00F5664F"/>
    <w:rsid w:val="00F6635B"/>
    <w:rsid w:val="00F666C4"/>
    <w:rsid w:val="00F76AFC"/>
    <w:rsid w:val="00FA47C0"/>
    <w:rsid w:val="00FB5DD1"/>
    <w:rsid w:val="00FB7100"/>
    <w:rsid w:val="00FC2B5D"/>
    <w:rsid w:val="00FF1449"/>
    <w:rsid w:val="623AAF9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B271C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B271C1"/>
    <w:rPr>
      <w:rFonts w:ascii="Geomanist Light" w:hAnsi="Geomanist Light"/>
      <w:lang w:val="es-ES"/>
    </w:rPr>
  </w:style>
  <w:style w:type="character" w:customStyle="1" w:styleId="s15">
    <w:name w:val="s15"/>
    <w:basedOn w:val="Fuentedeprrafopredeter"/>
    <w:rsid w:val="00B271C1"/>
  </w:style>
  <w:style w:type="character" w:customStyle="1" w:styleId="apple-converted-space">
    <w:name w:val="apple-converted-space"/>
    <w:basedOn w:val="Fuentedeprrafopredeter"/>
    <w:rsid w:val="00B271C1"/>
  </w:style>
  <w:style w:type="character" w:customStyle="1" w:styleId="NormalWebCar">
    <w:name w:val="Normal (Web) Car"/>
    <w:link w:val="NormalWeb"/>
    <w:uiPriority w:val="99"/>
    <w:rsid w:val="00B271C1"/>
    <w:rPr>
      <w:rFonts w:ascii="Times New Roman" w:eastAsia="Times New Roman" w:hAnsi="Times New Roman" w:cs="Times New Roman"/>
      <w:sz w:val="24"/>
      <w:szCs w:val="24"/>
      <w:lang w:eastAsia="es-CO"/>
    </w:rPr>
  </w:style>
  <w:style w:type="paragraph" w:styleId="Sinespaciado">
    <w:name w:val="No Spacing"/>
    <w:aliases w:val="No Indent"/>
    <w:uiPriority w:val="3"/>
    <w:qFormat/>
    <w:rsid w:val="00B271C1"/>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7880718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525787EB-4B6C-4A0D-94F1-33190438C03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16</Pages>
  <Words>5181</Words>
  <Characters>28496</Characters>
  <Application>Microsoft Office Word</Application>
  <DocSecurity>0</DocSecurity>
  <Lines>237</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2025-10-16T03:39:00Z</dcterms:created>
  <dcterms:modified xsi:type="dcterms:W3CDTF">2025-10-16T21:43:00Z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