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B10D5" w14:textId="77777777" w:rsidR="00264073" w:rsidRPr="000E52E5" w:rsidRDefault="00264073" w:rsidP="00264073">
      <w:pPr>
        <w:pStyle w:val="Textoindependiente"/>
        <w:spacing w:after="0" w:line="240" w:lineRule="auto"/>
        <w:ind w:right="102"/>
        <w:jc w:val="both"/>
        <w:rPr>
          <w:rFonts w:ascii="Verdana" w:hAnsi="Verdana" w:cs="Arial"/>
          <w:b/>
          <w:color w:val="000000" w:themeColor="text1"/>
          <w:sz w:val="20"/>
          <w:szCs w:val="20"/>
          <w:lang w:val="es-ES_tradnl"/>
        </w:rPr>
      </w:pPr>
    </w:p>
    <w:p w14:paraId="54715F91" w14:textId="77777777" w:rsidR="00264073" w:rsidRPr="00396DBB" w:rsidRDefault="00264073" w:rsidP="00264073">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SELECCIÓN ABREVIADA</w:t>
      </w:r>
      <w:r w:rsidRPr="00396DBB">
        <w:rPr>
          <w:rFonts w:ascii="Verdana" w:hAnsi="Verdana" w:cs="Arial"/>
          <w:b/>
          <w:color w:val="000000" w:themeColor="text1"/>
          <w:lang w:val="es-ES_tradnl"/>
        </w:rPr>
        <w:t xml:space="preserve"> – </w:t>
      </w:r>
      <w:r>
        <w:rPr>
          <w:rFonts w:ascii="Verdana" w:hAnsi="Verdana" w:cs="Arial"/>
          <w:b/>
          <w:color w:val="000000" w:themeColor="text1"/>
          <w:lang w:val="es-ES_tradnl"/>
        </w:rPr>
        <w:t>Marco normativo</w:t>
      </w:r>
      <w:r w:rsidRPr="00396DBB">
        <w:rPr>
          <w:rFonts w:ascii="Verdana" w:hAnsi="Verdana" w:cs="Arial"/>
          <w:b/>
          <w:color w:val="000000" w:themeColor="text1"/>
          <w:lang w:val="es-ES_tradnl"/>
        </w:rPr>
        <w:t xml:space="preserve"> </w:t>
      </w:r>
    </w:p>
    <w:p w14:paraId="1C6C339E" w14:textId="77777777" w:rsidR="00264073" w:rsidRPr="00396DBB" w:rsidRDefault="00264073" w:rsidP="00264073">
      <w:pPr>
        <w:pStyle w:val="Textoindependiente"/>
        <w:spacing w:after="0" w:line="240" w:lineRule="auto"/>
        <w:ind w:right="102"/>
        <w:jc w:val="both"/>
        <w:rPr>
          <w:rFonts w:ascii="Verdana" w:hAnsi="Verdana" w:cs="Arial"/>
          <w:color w:val="000000" w:themeColor="text1"/>
          <w:sz w:val="20"/>
          <w:szCs w:val="20"/>
          <w:lang w:val="es-ES_tradnl"/>
        </w:rPr>
      </w:pPr>
    </w:p>
    <w:p w14:paraId="7E04E420" w14:textId="77777777" w:rsidR="00264073" w:rsidRDefault="00264073" w:rsidP="00264073">
      <w:pPr>
        <w:spacing w:after="0" w:line="240" w:lineRule="auto"/>
        <w:jc w:val="both"/>
        <w:rPr>
          <w:rFonts w:ascii="Verdana" w:eastAsia="Arial" w:hAnsi="Verdana" w:cs="Arial"/>
          <w:color w:val="000000" w:themeColor="text1"/>
          <w:sz w:val="20"/>
          <w:szCs w:val="20"/>
        </w:rPr>
      </w:pPr>
      <w:r w:rsidRPr="00C371AB">
        <w:rPr>
          <w:rFonts w:ascii="Verdana" w:eastAsia="Arial" w:hAnsi="Verdana" w:cs="Arial"/>
          <w:bCs/>
          <w:color w:val="000000" w:themeColor="text1"/>
          <w:sz w:val="20"/>
          <w:szCs w:val="20"/>
          <w:lang w:val="es-MX"/>
        </w:rPr>
        <w:t xml:space="preserve">Respecto a la selección abreviada, </w:t>
      </w:r>
      <w:r w:rsidRPr="00C371AB">
        <w:rPr>
          <w:rFonts w:ascii="Verdana" w:eastAsia="Arial" w:hAnsi="Verdana" w:cs="Arial"/>
          <w:color w:val="000000" w:themeColor="text1"/>
          <w:sz w:val="20"/>
          <w:szCs w:val="20"/>
        </w:rPr>
        <w:t xml:space="preserve">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1CB09484" w14:textId="77777777" w:rsidR="00264073" w:rsidRPr="00C371AB" w:rsidRDefault="00264073" w:rsidP="00264073">
      <w:pPr>
        <w:spacing w:after="0" w:line="240" w:lineRule="auto"/>
        <w:jc w:val="both"/>
        <w:rPr>
          <w:rFonts w:ascii="Verdana" w:eastAsia="Arial" w:hAnsi="Verdana" w:cs="Arial"/>
          <w:color w:val="000000" w:themeColor="text1"/>
          <w:sz w:val="20"/>
          <w:szCs w:val="20"/>
        </w:rPr>
      </w:pPr>
    </w:p>
    <w:p w14:paraId="3D3E4D37" w14:textId="77777777" w:rsidR="00264073" w:rsidRDefault="00264073" w:rsidP="00264073">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r>
        <w:rPr>
          <w:rFonts w:ascii="Verdana" w:eastAsia="Arial" w:hAnsi="Verdana" w:cs="Arial"/>
          <w:color w:val="000000" w:themeColor="text1"/>
          <w:sz w:val="20"/>
          <w:szCs w:val="20"/>
        </w:rPr>
        <w:t>.</w:t>
      </w:r>
    </w:p>
    <w:p w14:paraId="1A2518D7" w14:textId="77777777" w:rsidR="00264073" w:rsidRDefault="00264073" w:rsidP="00264073">
      <w:pPr>
        <w:spacing w:after="0" w:line="240" w:lineRule="auto"/>
        <w:jc w:val="both"/>
        <w:rPr>
          <w:rFonts w:ascii="Verdana" w:eastAsia="Arial" w:hAnsi="Verdana" w:cs="Arial"/>
          <w:color w:val="000000" w:themeColor="text1"/>
          <w:sz w:val="20"/>
          <w:szCs w:val="20"/>
        </w:rPr>
      </w:pPr>
    </w:p>
    <w:p w14:paraId="1C36AC20" w14:textId="77777777" w:rsidR="00264073" w:rsidRPr="00FB1576" w:rsidRDefault="00264073" w:rsidP="00264073">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78760E0E" w14:textId="77777777" w:rsidR="00264073" w:rsidRPr="00396DBB" w:rsidRDefault="00264073" w:rsidP="00264073">
      <w:pPr>
        <w:spacing w:after="0" w:line="240" w:lineRule="auto"/>
        <w:jc w:val="both"/>
        <w:rPr>
          <w:rFonts w:ascii="Verdana" w:eastAsia="Calibri" w:hAnsi="Verdana" w:cs="Arial"/>
          <w:b/>
          <w:color w:val="000000" w:themeColor="text1"/>
          <w:lang w:val="es-ES_tradnl"/>
        </w:rPr>
      </w:pPr>
    </w:p>
    <w:p w14:paraId="64062565" w14:textId="77777777" w:rsidR="00264073" w:rsidRPr="00396DBB" w:rsidRDefault="00264073" w:rsidP="00264073">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Definición </w:t>
      </w:r>
      <w:r w:rsidRPr="00396DBB">
        <w:rPr>
          <w:rFonts w:ascii="Verdana" w:eastAsia="Calibri" w:hAnsi="Verdana" w:cs="Arial"/>
          <w:b/>
          <w:color w:val="000000" w:themeColor="text1"/>
          <w:lang w:val="es-ES_tradnl"/>
        </w:rPr>
        <w:t xml:space="preserve"> </w:t>
      </w:r>
    </w:p>
    <w:p w14:paraId="5AD58CB3" w14:textId="77777777" w:rsidR="00264073" w:rsidRPr="00396DBB" w:rsidRDefault="00264073" w:rsidP="00264073">
      <w:pPr>
        <w:spacing w:after="0" w:line="240" w:lineRule="auto"/>
        <w:jc w:val="both"/>
        <w:rPr>
          <w:rFonts w:ascii="Verdana" w:eastAsia="Calibri" w:hAnsi="Verdana" w:cs="Arial"/>
          <w:bCs/>
          <w:color w:val="000000" w:themeColor="text1"/>
          <w:sz w:val="20"/>
          <w:szCs w:val="20"/>
          <w:lang w:val="es-ES_tradnl"/>
        </w:rPr>
      </w:pPr>
    </w:p>
    <w:p w14:paraId="4D839647" w14:textId="77777777" w:rsidR="00264073" w:rsidRDefault="00264073" w:rsidP="00264073">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S</w:t>
      </w:r>
      <w:r w:rsidRPr="00C371AB">
        <w:rPr>
          <w:rFonts w:ascii="Verdana" w:hAnsi="Verdana" w:cs="Arial"/>
          <w:color w:val="000000" w:themeColor="text1"/>
          <w:sz w:val="20"/>
          <w:szCs w:val="20"/>
        </w:rPr>
        <w:t>egún el literal a) del artículo 2.2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w:t>
      </w:r>
      <w:r w:rsidRPr="00782519">
        <w:rPr>
          <w:rFonts w:ascii="Verdana" w:hAnsi="Verdana" w:cs="Arial"/>
          <w:color w:val="000000" w:themeColor="text1"/>
          <w:sz w:val="20"/>
          <w:szCs w:val="20"/>
        </w:rPr>
        <w:t>.</w:t>
      </w:r>
    </w:p>
    <w:p w14:paraId="4C29072C" w14:textId="77777777" w:rsidR="00264073" w:rsidRPr="00396DBB" w:rsidRDefault="00264073" w:rsidP="00264073">
      <w:pPr>
        <w:spacing w:after="0" w:line="240" w:lineRule="auto"/>
        <w:jc w:val="both"/>
        <w:rPr>
          <w:rFonts w:ascii="Verdana" w:hAnsi="Verdana" w:cs="Arial"/>
          <w:color w:val="000000" w:themeColor="text1"/>
          <w:sz w:val="21"/>
          <w:szCs w:val="21"/>
          <w:lang w:val="es-ES_tradnl"/>
        </w:rPr>
      </w:pPr>
    </w:p>
    <w:p w14:paraId="5D04F39B" w14:textId="77777777" w:rsidR="00264073" w:rsidRPr="00396DBB" w:rsidRDefault="00264073" w:rsidP="00264073">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Características – Formas de adquisición </w:t>
      </w:r>
    </w:p>
    <w:p w14:paraId="22026C3C" w14:textId="77777777" w:rsidR="00264073" w:rsidRPr="00782519" w:rsidRDefault="00264073" w:rsidP="00264073">
      <w:pPr>
        <w:tabs>
          <w:tab w:val="left" w:pos="426"/>
        </w:tabs>
        <w:spacing w:after="0" w:line="240" w:lineRule="auto"/>
        <w:contextualSpacing/>
        <w:jc w:val="both"/>
        <w:rPr>
          <w:rFonts w:ascii="Verdana" w:eastAsia="Calibri" w:hAnsi="Verdana" w:cs="Arial"/>
          <w:b/>
          <w:bCs/>
          <w:sz w:val="20"/>
          <w:szCs w:val="20"/>
          <w:lang w:val="es-MX"/>
        </w:rPr>
      </w:pPr>
    </w:p>
    <w:p w14:paraId="51FEF4FD" w14:textId="77777777" w:rsidR="00264073" w:rsidRDefault="00264073" w:rsidP="00264073">
      <w:pPr>
        <w:tabs>
          <w:tab w:val="left" w:pos="426"/>
        </w:tabs>
        <w:spacing w:after="0" w:line="240" w:lineRule="auto"/>
        <w:contextualSpacing/>
        <w:jc w:val="both"/>
        <w:rPr>
          <w:rFonts w:ascii="Verdana" w:eastAsia="Calibri" w:hAnsi="Verdana" w:cs="Arial"/>
          <w:noProof/>
          <w:sz w:val="20"/>
          <w:szCs w:val="20"/>
          <w:lang w:val="es-ES_tradnl"/>
        </w:rPr>
      </w:pPr>
      <w:r w:rsidRPr="00C371AB">
        <w:rPr>
          <w:rFonts w:ascii="Verdana" w:eastAsia="Calibri" w:hAnsi="Verdana" w:cs="Arial"/>
          <w:noProof/>
          <w:sz w:val="20"/>
          <w:szCs w:val="20"/>
          <w:lang w:val="es-ES_tradnl"/>
        </w:rPr>
        <w:t xml:space="preserve">Para identificar los bienes y servicios que corresponden a este tipo, se destacan dos (2) aspectos importantes: la común utilización y la homogeneidad. Para la doctrina, la </w:t>
      </w:r>
      <w:r w:rsidRPr="00C371AB">
        <w:rPr>
          <w:rFonts w:ascii="Verdana" w:eastAsia="Calibri" w:hAnsi="Verdana" w:cs="Arial"/>
          <w:i/>
          <w:iCs/>
          <w:noProof/>
          <w:sz w:val="20"/>
          <w:szCs w:val="20"/>
          <w:lang w:val="es-ES_tradnl"/>
        </w:rPr>
        <w:t>común utilización</w:t>
      </w:r>
      <w:r w:rsidRPr="00C371AB">
        <w:rPr>
          <w:rFonts w:ascii="Verdana" w:eastAsia="Calibri" w:hAnsi="Verdana" w:cs="Arial"/>
          <w:noProof/>
          <w:sz w:val="20"/>
          <w:szCs w:val="20"/>
          <w:lang w:val="es-ES_tradnl"/>
        </w:rPr>
        <w:t xml:space="preserve"> “[…] busca que los bienes o servicios que se compren en esta categoría sean de los que se ofrecen en un mercado con un estándar para quienes los demandan, </w:t>
      </w:r>
      <w:r w:rsidRPr="00C371AB">
        <w:rPr>
          <w:rFonts w:ascii="Verdana" w:eastAsia="Calibri" w:hAnsi="Verdana" w:cs="Arial"/>
          <w:noProof/>
          <w:sz w:val="20"/>
          <w:szCs w:val="20"/>
          <w:lang w:val="es-ES_tradnl"/>
        </w:rPr>
        <w:lastRenderedPageBreak/>
        <w:t xml:space="preserve">o lo que es igual, que la oferta de los mismos en el mercado ocurriese en condiciones equivalentes para todo interesado en adquirirlos”. Por su parte, la </w:t>
      </w:r>
      <w:r w:rsidRPr="00C371AB">
        <w:rPr>
          <w:rFonts w:ascii="Verdana" w:eastAsia="Calibri" w:hAnsi="Verdana" w:cs="Arial"/>
          <w:i/>
          <w:iCs/>
          <w:noProof/>
          <w:sz w:val="20"/>
          <w:szCs w:val="20"/>
          <w:lang w:val="es-ES_tradnl"/>
        </w:rPr>
        <w:t>homogeneidad</w:t>
      </w:r>
      <w:r w:rsidRPr="00C371AB">
        <w:rPr>
          <w:rFonts w:ascii="Verdana" w:eastAsia="Calibri" w:hAnsi="Verdana" w:cs="Arial"/>
          <w:noProof/>
          <w:sz w:val="20"/>
          <w:szCs w:val="20"/>
          <w:lang w:val="es-ES_tradnl"/>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3D097AC8" w14:textId="77777777" w:rsidR="00264073" w:rsidRPr="00C371AB" w:rsidRDefault="00264073" w:rsidP="00264073">
      <w:pPr>
        <w:tabs>
          <w:tab w:val="left" w:pos="426"/>
        </w:tabs>
        <w:spacing w:after="0" w:line="240" w:lineRule="auto"/>
        <w:contextualSpacing/>
        <w:jc w:val="both"/>
        <w:rPr>
          <w:rFonts w:ascii="Verdana" w:eastAsia="Calibri" w:hAnsi="Verdana" w:cs="Arial"/>
          <w:noProof/>
          <w:sz w:val="20"/>
          <w:szCs w:val="20"/>
          <w:lang w:val="es-ES_tradnl"/>
        </w:rPr>
      </w:pPr>
    </w:p>
    <w:p w14:paraId="2FB82193" w14:textId="77777777" w:rsidR="00264073" w:rsidRPr="00DE2AC7" w:rsidRDefault="00264073" w:rsidP="00264073">
      <w:pPr>
        <w:tabs>
          <w:tab w:val="left" w:pos="709"/>
        </w:tabs>
        <w:spacing w:after="0" w:line="240" w:lineRule="auto"/>
        <w:jc w:val="both"/>
        <w:rPr>
          <w:rFonts w:ascii="Verdana" w:eastAsia="Calibri" w:hAnsi="Verdana" w:cs="Arial"/>
          <w:color w:val="000000" w:themeColor="text1"/>
          <w:sz w:val="20"/>
          <w:szCs w:val="20"/>
        </w:rPr>
      </w:pPr>
      <w:r w:rsidRPr="00C371AB">
        <w:rPr>
          <w:rFonts w:ascii="Verdana" w:eastAsia="Calibri" w:hAnsi="Verdana" w:cs="Arial"/>
          <w:noProof/>
          <w:sz w:val="20"/>
          <w:szCs w:val="20"/>
          <w:lang w:val="es-ES_tradnl"/>
        </w:rPr>
        <w:t>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w:t>
      </w:r>
      <w:r w:rsidRPr="00782519">
        <w:rPr>
          <w:rFonts w:ascii="Verdana" w:eastAsia="Calibri" w:hAnsi="Verdana" w:cs="Arial"/>
          <w:noProof/>
          <w:sz w:val="20"/>
          <w:szCs w:val="20"/>
          <w:lang w:val="es-ES_tradnl"/>
        </w:rPr>
        <w:t>.</w:t>
      </w:r>
      <w:r w:rsidRPr="00DE2AC7">
        <w:rPr>
          <w:rFonts w:ascii="Verdana" w:eastAsia="Calibri" w:hAnsi="Verdana" w:cs="Arial"/>
          <w:color w:val="000000" w:themeColor="text1"/>
          <w:sz w:val="20"/>
          <w:szCs w:val="20"/>
        </w:rPr>
        <w:t xml:space="preserve"> </w:t>
      </w:r>
    </w:p>
    <w:p w14:paraId="45ECD2DA" w14:textId="77777777" w:rsidR="00264073" w:rsidRPr="00DE2AC7" w:rsidRDefault="00264073" w:rsidP="00264073">
      <w:pPr>
        <w:spacing w:after="0" w:line="240" w:lineRule="auto"/>
        <w:jc w:val="both"/>
        <w:rPr>
          <w:rFonts w:ascii="Verdana" w:eastAsia="Calibri" w:hAnsi="Verdana" w:cs="Arial"/>
          <w:color w:val="000000" w:themeColor="text1"/>
          <w:sz w:val="20"/>
          <w:szCs w:val="20"/>
        </w:rPr>
      </w:pPr>
    </w:p>
    <w:p w14:paraId="2961D5DB" w14:textId="77777777" w:rsidR="00264073" w:rsidRPr="007D0816" w:rsidRDefault="00264073" w:rsidP="00264073">
      <w:pPr>
        <w:spacing w:after="0" w:line="240" w:lineRule="auto"/>
        <w:jc w:val="both"/>
        <w:rPr>
          <w:rFonts w:ascii="Verdana" w:eastAsia="Calibri" w:hAnsi="Verdana" w:cs="Arial"/>
          <w:b/>
          <w:lang w:val="es-ES_tradnl" w:eastAsia="es-ES_tradnl"/>
        </w:rPr>
      </w:pPr>
      <w:r w:rsidRPr="009A6960">
        <w:rPr>
          <w:rFonts w:ascii="Verdana" w:eastAsia="Calibri" w:hAnsi="Verdana" w:cs="Arial"/>
          <w:b/>
          <w:lang w:val="es-ES_tradnl" w:eastAsia="es-ES_tradnl"/>
        </w:rPr>
        <w:t>ESPECIFICACIONES TÉCNICAS –</w:t>
      </w:r>
      <w:r>
        <w:rPr>
          <w:rFonts w:ascii="Verdana" w:eastAsia="Calibri" w:hAnsi="Verdana" w:cs="Arial"/>
          <w:b/>
          <w:lang w:val="es-ES_tradnl" w:eastAsia="es-ES_tradnl"/>
        </w:rPr>
        <w:t xml:space="preserve"> </w:t>
      </w:r>
      <w:r w:rsidRPr="009A6960">
        <w:rPr>
          <w:rFonts w:ascii="Verdana" w:eastAsia="Calibri" w:hAnsi="Verdana" w:cs="Arial"/>
          <w:b/>
          <w:lang w:val="es-ES_tradnl" w:eastAsia="es-ES_tradnl"/>
        </w:rPr>
        <w:t>Marcas</w:t>
      </w:r>
      <w:r w:rsidRPr="007D0816">
        <w:rPr>
          <w:rFonts w:ascii="Verdana" w:eastAsia="Calibri" w:hAnsi="Verdana" w:cs="Arial"/>
          <w:b/>
          <w:lang w:val="es-ES_tradnl" w:eastAsia="es-ES_tradnl"/>
        </w:rPr>
        <w:t xml:space="preserve"> – </w:t>
      </w:r>
      <w:r>
        <w:rPr>
          <w:rFonts w:ascii="Verdana" w:eastAsia="Calibri" w:hAnsi="Verdana" w:cs="Arial"/>
          <w:b/>
          <w:lang w:val="es-ES_tradnl" w:eastAsia="es-ES_tradnl"/>
        </w:rPr>
        <w:t>Exigibilidad – Excepciones</w:t>
      </w:r>
    </w:p>
    <w:p w14:paraId="2955F22D" w14:textId="77777777" w:rsidR="00264073" w:rsidRPr="00DE2AC7" w:rsidRDefault="00264073" w:rsidP="00264073">
      <w:pPr>
        <w:spacing w:after="0" w:line="240" w:lineRule="auto"/>
        <w:jc w:val="both"/>
        <w:rPr>
          <w:rFonts w:ascii="Verdana" w:eastAsia="Calibri" w:hAnsi="Verdana" w:cs="Arial"/>
          <w:color w:val="000000" w:themeColor="text1"/>
          <w:sz w:val="20"/>
          <w:szCs w:val="20"/>
        </w:rPr>
      </w:pPr>
    </w:p>
    <w:p w14:paraId="613863FD" w14:textId="77777777" w:rsidR="00264073" w:rsidRDefault="00264073" w:rsidP="00264073">
      <w:pPr>
        <w:tabs>
          <w:tab w:val="left" w:pos="709"/>
        </w:tabs>
        <w:spacing w:after="0" w:line="240" w:lineRule="auto"/>
        <w:jc w:val="both"/>
        <w:rPr>
          <w:rFonts w:ascii="Verdana" w:eastAsia="Calibri" w:hAnsi="Verdana" w:cs="Arial"/>
          <w:color w:val="000000" w:themeColor="text1"/>
          <w:sz w:val="20"/>
          <w:szCs w:val="20"/>
        </w:rPr>
      </w:pPr>
      <w:r w:rsidRPr="009A6960">
        <w:rPr>
          <w:rFonts w:ascii="Verdana" w:eastAsia="Calibri" w:hAnsi="Verdana" w:cs="Arial"/>
          <w:color w:val="000000" w:themeColor="text1"/>
          <w:sz w:val="20"/>
          <w:szCs w:val="20"/>
        </w:rPr>
        <w:t>Las Entidades Estatales, en su discrecionalidad, podrán exigir marcas si no están prohibidas en acuerdos y tratados comerciales, en las que sean destinatarios, pero garantizando el principio de proporcionalidad, que exige que dichos requisitos o condiciones sean razonables, es decir, que guarden congruencia con el objeto, necesidad de la contratación, alcance, valor, plazo del contrato, entre otros aspectos, que sean necesarios y no restrinjan injustificadamente la libre concurrencia y pluralidad de oferentes. En este sentido, la discrecionalidad del ordenador del gasto o el delegado en contratación de cada entidad está condicionada a la proporcionalidad de las decisiones que toma en aras de garantizar la pluralidad de oferentes y la selección objetiva</w:t>
      </w:r>
      <w:r w:rsidRPr="00C776B0">
        <w:rPr>
          <w:rFonts w:ascii="Verdana" w:eastAsia="Calibri" w:hAnsi="Verdana" w:cs="Arial"/>
          <w:color w:val="000000" w:themeColor="text1"/>
          <w:sz w:val="20"/>
          <w:szCs w:val="20"/>
        </w:rPr>
        <w:t xml:space="preserve">. </w:t>
      </w:r>
      <w:r w:rsidRPr="00DE2AC7">
        <w:rPr>
          <w:rFonts w:ascii="Verdana" w:eastAsia="Calibri" w:hAnsi="Verdana" w:cs="Arial"/>
          <w:color w:val="000000" w:themeColor="text1"/>
          <w:sz w:val="20"/>
          <w:szCs w:val="20"/>
        </w:rPr>
        <w:t xml:space="preserve"> </w:t>
      </w:r>
    </w:p>
    <w:p w14:paraId="4B60D13A" w14:textId="77777777" w:rsidR="00264073" w:rsidRPr="00DE2AC7" w:rsidRDefault="00264073" w:rsidP="00264073">
      <w:pPr>
        <w:spacing w:after="0" w:line="240" w:lineRule="auto"/>
        <w:jc w:val="both"/>
        <w:rPr>
          <w:rFonts w:ascii="Verdana" w:eastAsia="Calibri" w:hAnsi="Verdana" w:cs="Arial"/>
          <w:color w:val="000000" w:themeColor="text1"/>
          <w:sz w:val="20"/>
          <w:szCs w:val="20"/>
        </w:rPr>
      </w:pPr>
    </w:p>
    <w:p w14:paraId="5C47829F" w14:textId="77777777" w:rsidR="00264073" w:rsidRPr="007D0816" w:rsidRDefault="00264073" w:rsidP="00264073">
      <w:pPr>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PAGO</w:t>
      </w:r>
      <w:r w:rsidRPr="009A6960">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Obligaciones</w:t>
      </w:r>
      <w:r w:rsidRPr="007D0816">
        <w:rPr>
          <w:rFonts w:ascii="Verdana" w:eastAsia="Calibri" w:hAnsi="Verdana" w:cs="Arial"/>
          <w:b/>
          <w:lang w:val="es-ES_tradnl" w:eastAsia="es-ES_tradnl"/>
        </w:rPr>
        <w:t xml:space="preserve"> – </w:t>
      </w:r>
      <w:r>
        <w:rPr>
          <w:rFonts w:ascii="Verdana" w:eastAsia="Calibri" w:hAnsi="Verdana" w:cs="Arial"/>
          <w:b/>
          <w:lang w:val="es-ES_tradnl" w:eastAsia="es-ES_tradnl"/>
        </w:rPr>
        <w:t xml:space="preserve">Cumplimiento – Principio de </w:t>
      </w:r>
      <w:r w:rsidRPr="00725CC9">
        <w:rPr>
          <w:rFonts w:ascii="Verdana" w:eastAsia="Calibri" w:hAnsi="Verdana" w:cs="Arial"/>
          <w:b/>
          <w:lang w:val="es-ES_tradnl" w:eastAsia="es-ES_tradnl"/>
        </w:rPr>
        <w:t>exactitud o identidad</w:t>
      </w:r>
    </w:p>
    <w:p w14:paraId="3E6B04D3" w14:textId="77777777" w:rsidR="00264073" w:rsidRPr="00DE2AC7" w:rsidRDefault="00264073" w:rsidP="00264073">
      <w:pPr>
        <w:spacing w:after="0" w:line="240" w:lineRule="auto"/>
        <w:jc w:val="both"/>
        <w:rPr>
          <w:rFonts w:ascii="Verdana" w:eastAsia="Calibri" w:hAnsi="Verdana" w:cs="Arial"/>
          <w:color w:val="000000" w:themeColor="text1"/>
          <w:sz w:val="20"/>
          <w:szCs w:val="20"/>
        </w:rPr>
      </w:pPr>
    </w:p>
    <w:p w14:paraId="2AA4DE2F" w14:textId="77777777" w:rsidR="00264073" w:rsidRDefault="00264073" w:rsidP="00264073">
      <w:pPr>
        <w:tabs>
          <w:tab w:val="left" w:pos="709"/>
        </w:tabs>
        <w:spacing w:after="0" w:line="240" w:lineRule="auto"/>
        <w:jc w:val="both"/>
        <w:rPr>
          <w:rFonts w:ascii="Verdana" w:eastAsia="Calibri" w:hAnsi="Verdana" w:cs="Arial"/>
          <w:color w:val="000000" w:themeColor="text1"/>
          <w:sz w:val="20"/>
          <w:szCs w:val="20"/>
        </w:rPr>
      </w:pPr>
      <w:r w:rsidRPr="00725CC9">
        <w:rPr>
          <w:rFonts w:ascii="Verdana" w:eastAsia="Calibri" w:hAnsi="Verdana" w:cs="Arial"/>
          <w:color w:val="000000" w:themeColor="text1"/>
          <w:sz w:val="20"/>
          <w:szCs w:val="20"/>
        </w:rPr>
        <w:t xml:space="preserve">Por remisión de los artículos 13, 32 y 40 de la Ley 80 de 1993 al derecho privado, se encuentra que –de acuerdo con el artículo 1625.1 del Código Civil– las obligaciones se extinguen por la solución o pago efectivo, el cual corresponde a la prestación de lo que se debe conforme al artículo 1626 </w:t>
      </w:r>
      <w:r w:rsidRPr="00725CC9">
        <w:rPr>
          <w:rFonts w:ascii="Verdana" w:eastAsia="Calibri" w:hAnsi="Verdana" w:cs="Arial"/>
          <w:i/>
          <w:iCs/>
          <w:color w:val="000000" w:themeColor="text1"/>
          <w:sz w:val="20"/>
          <w:szCs w:val="20"/>
        </w:rPr>
        <w:t>ibidem</w:t>
      </w:r>
      <w:r w:rsidRPr="00725CC9">
        <w:rPr>
          <w:rFonts w:ascii="Verdana" w:eastAsia="Calibri" w:hAnsi="Verdana" w:cs="Arial"/>
          <w:color w:val="000000" w:themeColor="text1"/>
          <w:sz w:val="20"/>
          <w:szCs w:val="20"/>
        </w:rPr>
        <w:t>. Para la doctrina, “Es evidente que aquel que ha satisfecho su obligación queda libre de ella, de donde se sigue que el pago real, que no es otra cosa que el cumplimiento de la obligación […]”.</w:t>
      </w:r>
    </w:p>
    <w:p w14:paraId="11EC6826" w14:textId="77777777" w:rsidR="00264073" w:rsidRPr="00725CC9" w:rsidRDefault="00264073" w:rsidP="00264073">
      <w:pPr>
        <w:tabs>
          <w:tab w:val="left" w:pos="709"/>
        </w:tabs>
        <w:spacing w:after="0" w:line="240" w:lineRule="auto"/>
        <w:jc w:val="both"/>
        <w:rPr>
          <w:rFonts w:ascii="Verdana" w:eastAsia="Calibri" w:hAnsi="Verdana" w:cs="Arial"/>
          <w:color w:val="000000" w:themeColor="text1"/>
          <w:sz w:val="20"/>
          <w:szCs w:val="20"/>
        </w:rPr>
      </w:pPr>
    </w:p>
    <w:p w14:paraId="356440B0" w14:textId="77777777" w:rsidR="00264073" w:rsidRDefault="00264073" w:rsidP="00264073">
      <w:pPr>
        <w:tabs>
          <w:tab w:val="left" w:pos="709"/>
        </w:tabs>
        <w:spacing w:after="0" w:line="240" w:lineRule="auto"/>
        <w:jc w:val="both"/>
        <w:rPr>
          <w:rFonts w:ascii="Verdana" w:eastAsia="Calibri" w:hAnsi="Verdana" w:cs="Arial"/>
          <w:color w:val="000000" w:themeColor="text1"/>
          <w:sz w:val="20"/>
          <w:szCs w:val="20"/>
        </w:rPr>
      </w:pPr>
      <w:r w:rsidRPr="00725CC9">
        <w:rPr>
          <w:rFonts w:ascii="Verdana" w:eastAsia="Calibri" w:hAnsi="Verdana" w:cs="Arial"/>
          <w:color w:val="000000" w:themeColor="text1"/>
          <w:sz w:val="20"/>
          <w:szCs w:val="20"/>
        </w:rPr>
        <w:t xml:space="preserve">Dicho cumplimiento se rige por el principio de exactitud o identidad; razón por la cual –conforme al artículo 1627 del Código Civil– “El pago se hará bajo todos respectos en conformidad al tenor de la obligación; sin perjuicio de lo que en los casos especiales dispongan las leyes” y, en consecuencia, “El acreedor no podrá ser obligado a recibir otra cosa que lo que se le deba, ni aun a pretexto de ser de igual o mayor valor la </w:t>
      </w:r>
      <w:r w:rsidRPr="00725CC9">
        <w:rPr>
          <w:rFonts w:ascii="Verdana" w:eastAsia="Calibri" w:hAnsi="Verdana" w:cs="Arial"/>
          <w:color w:val="000000" w:themeColor="text1"/>
          <w:sz w:val="20"/>
          <w:szCs w:val="20"/>
        </w:rPr>
        <w:lastRenderedPageBreak/>
        <w:t>ofrecida”. De esta manera, si los documentos del proceso exigen el suministro de una marca específica, el contratista incumple con sus obligaciones cuando suministra una distinta.</w:t>
      </w:r>
    </w:p>
    <w:p w14:paraId="62127355" w14:textId="77777777" w:rsidR="00264073" w:rsidRPr="00725CC9" w:rsidRDefault="00264073" w:rsidP="00264073">
      <w:pPr>
        <w:tabs>
          <w:tab w:val="left" w:pos="709"/>
        </w:tabs>
        <w:spacing w:after="0" w:line="240" w:lineRule="auto"/>
        <w:jc w:val="both"/>
        <w:rPr>
          <w:rFonts w:ascii="Verdana" w:eastAsia="Calibri" w:hAnsi="Verdana" w:cs="Arial"/>
          <w:color w:val="000000" w:themeColor="text1"/>
          <w:sz w:val="20"/>
          <w:szCs w:val="20"/>
        </w:rPr>
      </w:pPr>
    </w:p>
    <w:p w14:paraId="78DF6415" w14:textId="77777777" w:rsidR="00264073" w:rsidRPr="00DE2AC7" w:rsidRDefault="00264073" w:rsidP="00264073">
      <w:pPr>
        <w:tabs>
          <w:tab w:val="left" w:pos="709"/>
        </w:tabs>
        <w:spacing w:after="0" w:line="240" w:lineRule="auto"/>
        <w:jc w:val="both"/>
        <w:rPr>
          <w:rFonts w:ascii="Verdana" w:eastAsia="Calibri" w:hAnsi="Verdana" w:cs="Arial"/>
          <w:color w:val="000000" w:themeColor="text1"/>
          <w:sz w:val="20"/>
          <w:szCs w:val="20"/>
        </w:rPr>
      </w:pPr>
      <w:r w:rsidRPr="00725CC9">
        <w:rPr>
          <w:rFonts w:ascii="Verdana" w:eastAsia="Calibri" w:hAnsi="Verdana" w:cs="Arial"/>
          <w:color w:val="000000" w:themeColor="text1"/>
          <w:sz w:val="20"/>
          <w:szCs w:val="20"/>
        </w:rPr>
        <w:t xml:space="preserve">Como indica el artículo 1602 del Código Civil, “Todo contrato legalmente celebrado es una ley para los contratantes, y no puede ser invalidado sino por su consentimiento mutuo o por causas legales”. Por tanto, salvo que las partes hayan admitido expresamente marcas equivalentes, debe existir identidad entre la contratada por la entidad y la suministrada por el contratista, so pena de cumplimiento imperfecto conforme al artículo 1613 </w:t>
      </w:r>
      <w:r w:rsidRPr="00725CC9">
        <w:rPr>
          <w:rFonts w:ascii="Verdana" w:eastAsia="Calibri" w:hAnsi="Verdana" w:cs="Arial"/>
          <w:i/>
          <w:iCs/>
          <w:color w:val="000000" w:themeColor="text1"/>
          <w:sz w:val="20"/>
          <w:szCs w:val="20"/>
        </w:rPr>
        <w:t>ibidem</w:t>
      </w:r>
      <w:r w:rsidRPr="00725CC9">
        <w:rPr>
          <w:rFonts w:ascii="Verdana" w:eastAsia="Calibri" w:hAnsi="Verdana" w:cs="Arial"/>
          <w:color w:val="000000" w:themeColor="text1"/>
          <w:sz w:val="20"/>
          <w:szCs w:val="20"/>
        </w:rPr>
        <w:t xml:space="preserve">.   </w:t>
      </w:r>
      <w:r w:rsidRPr="00C776B0">
        <w:rPr>
          <w:rFonts w:ascii="Verdana" w:eastAsia="Calibri" w:hAnsi="Verdana" w:cs="Arial"/>
          <w:color w:val="000000" w:themeColor="text1"/>
          <w:sz w:val="20"/>
          <w:szCs w:val="20"/>
        </w:rPr>
        <w:t xml:space="preserve"> </w:t>
      </w:r>
      <w:r w:rsidRPr="00DE2AC7">
        <w:rPr>
          <w:rFonts w:ascii="Verdana" w:eastAsia="Calibri" w:hAnsi="Verdana" w:cs="Arial"/>
          <w:color w:val="000000" w:themeColor="text1"/>
          <w:sz w:val="20"/>
          <w:szCs w:val="20"/>
        </w:rPr>
        <w:t xml:space="preserve"> </w:t>
      </w:r>
    </w:p>
    <w:p w14:paraId="2D0F8286" w14:textId="77777777" w:rsidR="00264073" w:rsidRPr="00DE2AC7" w:rsidRDefault="00264073" w:rsidP="00264073">
      <w:pPr>
        <w:tabs>
          <w:tab w:val="left" w:pos="709"/>
        </w:tabs>
        <w:spacing w:after="0" w:line="240" w:lineRule="auto"/>
        <w:jc w:val="both"/>
        <w:rPr>
          <w:rFonts w:ascii="Verdana" w:eastAsia="Calibri" w:hAnsi="Verdana" w:cs="Arial"/>
          <w:color w:val="000000" w:themeColor="text1"/>
          <w:sz w:val="20"/>
          <w:szCs w:val="20"/>
        </w:rPr>
      </w:pPr>
    </w:p>
    <w:p w14:paraId="470F2320" w14:textId="77777777" w:rsidR="00264073" w:rsidRPr="00DE2AC7" w:rsidRDefault="00264073" w:rsidP="00264073">
      <w:pPr>
        <w:spacing w:after="0" w:line="240" w:lineRule="auto"/>
        <w:rPr>
          <w:rFonts w:ascii="Verdana" w:eastAsia="Geomanist Light" w:hAnsi="Verdana" w:cs="Arial"/>
          <w:color w:val="000000" w:themeColor="text1"/>
        </w:rPr>
      </w:pPr>
    </w:p>
    <w:p w14:paraId="2AC3514D" w14:textId="77777777" w:rsidR="00264073" w:rsidRDefault="00264073" w:rsidP="00264073">
      <w:pPr>
        <w:spacing w:after="0" w:line="240" w:lineRule="auto"/>
        <w:rPr>
          <w:rFonts w:ascii="Verdana" w:eastAsia="Geomanist Light" w:hAnsi="Verdana" w:cs="Arial"/>
          <w:color w:val="000000" w:themeColor="text1"/>
          <w:lang w:val="es-MX"/>
        </w:rPr>
      </w:pPr>
    </w:p>
    <w:p w14:paraId="2212C62D" w14:textId="77777777" w:rsidR="00264073" w:rsidRDefault="00264073" w:rsidP="00264073">
      <w:pPr>
        <w:spacing w:after="0" w:line="240" w:lineRule="auto"/>
        <w:rPr>
          <w:rFonts w:ascii="Verdana" w:eastAsia="Geomanist Light" w:hAnsi="Verdana" w:cs="Arial"/>
          <w:color w:val="000000" w:themeColor="text1"/>
          <w:lang w:val="es-MX"/>
        </w:rPr>
      </w:pPr>
    </w:p>
    <w:p w14:paraId="45495F99" w14:textId="77777777" w:rsidR="00264073" w:rsidRDefault="00264073" w:rsidP="00264073">
      <w:pPr>
        <w:spacing w:after="0" w:line="240" w:lineRule="auto"/>
        <w:rPr>
          <w:rFonts w:ascii="Verdana" w:eastAsia="Geomanist Light" w:hAnsi="Verdana" w:cs="Arial"/>
          <w:color w:val="000000" w:themeColor="text1"/>
          <w:lang w:val="es-MX"/>
        </w:rPr>
      </w:pPr>
    </w:p>
    <w:p w14:paraId="2AE553B7" w14:textId="77777777" w:rsidR="00264073" w:rsidRDefault="00264073" w:rsidP="00264073">
      <w:pPr>
        <w:spacing w:after="0" w:line="240" w:lineRule="auto"/>
        <w:rPr>
          <w:rFonts w:ascii="Verdana" w:eastAsia="Geomanist Light" w:hAnsi="Verdana" w:cs="Arial"/>
          <w:color w:val="000000" w:themeColor="text1"/>
          <w:lang w:val="es-MX"/>
        </w:rPr>
      </w:pPr>
    </w:p>
    <w:p w14:paraId="3AC952DF" w14:textId="77777777" w:rsidR="00264073" w:rsidRDefault="00264073" w:rsidP="00264073">
      <w:pPr>
        <w:spacing w:after="0" w:line="240" w:lineRule="auto"/>
        <w:rPr>
          <w:rFonts w:ascii="Verdana" w:eastAsia="Geomanist Light" w:hAnsi="Verdana" w:cs="Arial"/>
          <w:color w:val="000000" w:themeColor="text1"/>
          <w:lang w:val="es-MX"/>
        </w:rPr>
      </w:pPr>
    </w:p>
    <w:p w14:paraId="587D021D" w14:textId="77777777" w:rsidR="00264073" w:rsidRDefault="00264073" w:rsidP="00264073">
      <w:pPr>
        <w:spacing w:after="0" w:line="240" w:lineRule="auto"/>
        <w:rPr>
          <w:rFonts w:ascii="Verdana" w:eastAsia="Geomanist Light" w:hAnsi="Verdana" w:cs="Arial"/>
          <w:color w:val="000000" w:themeColor="text1"/>
          <w:lang w:val="es-MX"/>
        </w:rPr>
      </w:pPr>
    </w:p>
    <w:p w14:paraId="4EC6E8DA" w14:textId="77777777" w:rsidR="00264073" w:rsidRDefault="00264073" w:rsidP="00264073">
      <w:pPr>
        <w:spacing w:after="0" w:line="240" w:lineRule="auto"/>
        <w:rPr>
          <w:rFonts w:ascii="Verdana" w:eastAsia="Geomanist Light" w:hAnsi="Verdana" w:cs="Arial"/>
          <w:color w:val="000000" w:themeColor="text1"/>
          <w:lang w:val="es-MX"/>
        </w:rPr>
      </w:pPr>
    </w:p>
    <w:p w14:paraId="3FDFD6A0" w14:textId="77777777" w:rsidR="00264073" w:rsidRDefault="00264073" w:rsidP="00264073">
      <w:pPr>
        <w:spacing w:after="0" w:line="240" w:lineRule="auto"/>
        <w:rPr>
          <w:rFonts w:ascii="Verdana" w:eastAsia="Geomanist Light" w:hAnsi="Verdana" w:cs="Arial"/>
          <w:color w:val="000000" w:themeColor="text1"/>
          <w:lang w:val="es-MX"/>
        </w:rPr>
      </w:pPr>
    </w:p>
    <w:p w14:paraId="09399364" w14:textId="77777777" w:rsidR="00264073" w:rsidRDefault="00264073" w:rsidP="00264073">
      <w:pPr>
        <w:spacing w:after="0" w:line="240" w:lineRule="auto"/>
        <w:rPr>
          <w:rFonts w:ascii="Verdana" w:eastAsia="Geomanist Light" w:hAnsi="Verdana" w:cs="Arial"/>
          <w:color w:val="000000" w:themeColor="text1"/>
          <w:lang w:val="es-MX"/>
        </w:rPr>
      </w:pPr>
    </w:p>
    <w:p w14:paraId="00D81FF3" w14:textId="77777777" w:rsidR="00264073" w:rsidRDefault="00264073" w:rsidP="00264073">
      <w:pPr>
        <w:spacing w:after="0" w:line="240" w:lineRule="auto"/>
        <w:rPr>
          <w:rFonts w:ascii="Verdana" w:eastAsia="Geomanist Light" w:hAnsi="Verdana" w:cs="Arial"/>
          <w:color w:val="000000" w:themeColor="text1"/>
          <w:lang w:val="es-MX"/>
        </w:rPr>
      </w:pPr>
    </w:p>
    <w:p w14:paraId="7E4E5EBA" w14:textId="77777777" w:rsidR="00264073" w:rsidRDefault="00264073" w:rsidP="00264073">
      <w:pPr>
        <w:spacing w:after="0" w:line="240" w:lineRule="auto"/>
        <w:rPr>
          <w:rFonts w:ascii="Verdana" w:eastAsia="Geomanist Light" w:hAnsi="Verdana" w:cs="Arial"/>
          <w:color w:val="000000" w:themeColor="text1"/>
          <w:lang w:val="es-MX"/>
        </w:rPr>
      </w:pPr>
    </w:p>
    <w:p w14:paraId="1F950148" w14:textId="77777777" w:rsidR="00264073" w:rsidRDefault="00264073" w:rsidP="00264073">
      <w:pPr>
        <w:spacing w:after="0" w:line="240" w:lineRule="auto"/>
        <w:rPr>
          <w:rFonts w:ascii="Verdana" w:eastAsia="Geomanist Light" w:hAnsi="Verdana" w:cs="Arial"/>
          <w:color w:val="000000" w:themeColor="text1"/>
          <w:lang w:val="es-MX"/>
        </w:rPr>
      </w:pPr>
    </w:p>
    <w:p w14:paraId="325EE1D4" w14:textId="77777777" w:rsidR="00264073" w:rsidRDefault="00264073" w:rsidP="00264073">
      <w:pPr>
        <w:spacing w:after="0" w:line="240" w:lineRule="auto"/>
        <w:rPr>
          <w:rFonts w:ascii="Verdana" w:eastAsia="Geomanist Light" w:hAnsi="Verdana" w:cs="Arial"/>
          <w:color w:val="000000" w:themeColor="text1"/>
          <w:lang w:val="es-MX"/>
        </w:rPr>
      </w:pPr>
    </w:p>
    <w:p w14:paraId="7D0A3E1B" w14:textId="77777777" w:rsidR="00264073" w:rsidRDefault="00264073" w:rsidP="00264073">
      <w:pPr>
        <w:spacing w:after="0" w:line="240" w:lineRule="auto"/>
        <w:rPr>
          <w:rFonts w:ascii="Verdana" w:eastAsia="Geomanist Light" w:hAnsi="Verdana" w:cs="Arial"/>
          <w:color w:val="000000" w:themeColor="text1"/>
          <w:lang w:val="es-MX"/>
        </w:rPr>
      </w:pPr>
    </w:p>
    <w:p w14:paraId="0CFD8594" w14:textId="77777777" w:rsidR="00264073" w:rsidRDefault="00264073" w:rsidP="00264073">
      <w:pPr>
        <w:spacing w:after="0" w:line="240" w:lineRule="auto"/>
        <w:rPr>
          <w:rFonts w:ascii="Verdana" w:eastAsia="Geomanist Light" w:hAnsi="Verdana" w:cs="Arial"/>
          <w:color w:val="000000" w:themeColor="text1"/>
          <w:lang w:val="es-MX"/>
        </w:rPr>
      </w:pPr>
    </w:p>
    <w:p w14:paraId="74FA244D" w14:textId="77777777" w:rsidR="00264073" w:rsidRDefault="00264073" w:rsidP="00264073">
      <w:pPr>
        <w:spacing w:after="0" w:line="240" w:lineRule="auto"/>
        <w:rPr>
          <w:rFonts w:ascii="Verdana" w:eastAsia="Geomanist Light" w:hAnsi="Verdana" w:cs="Arial"/>
          <w:color w:val="000000" w:themeColor="text1"/>
          <w:lang w:val="es-MX"/>
        </w:rPr>
      </w:pPr>
    </w:p>
    <w:p w14:paraId="3B4F9E40" w14:textId="77777777" w:rsidR="00264073" w:rsidRDefault="00264073" w:rsidP="00264073">
      <w:pPr>
        <w:spacing w:after="0" w:line="240" w:lineRule="auto"/>
        <w:rPr>
          <w:rFonts w:ascii="Verdana" w:eastAsia="Geomanist Light" w:hAnsi="Verdana" w:cs="Arial"/>
          <w:color w:val="000000" w:themeColor="text1"/>
          <w:lang w:val="es-MX"/>
        </w:rPr>
      </w:pPr>
    </w:p>
    <w:p w14:paraId="7876D5E3" w14:textId="77777777" w:rsidR="00264073" w:rsidRDefault="00264073" w:rsidP="00264073">
      <w:pPr>
        <w:spacing w:after="0" w:line="240" w:lineRule="auto"/>
        <w:rPr>
          <w:rFonts w:ascii="Verdana" w:eastAsia="Geomanist Light" w:hAnsi="Verdana" w:cs="Arial"/>
          <w:color w:val="000000" w:themeColor="text1"/>
          <w:lang w:val="es-MX"/>
        </w:rPr>
      </w:pPr>
    </w:p>
    <w:p w14:paraId="01F8611A" w14:textId="77777777" w:rsidR="00264073" w:rsidRDefault="00264073" w:rsidP="00264073">
      <w:pPr>
        <w:spacing w:after="0" w:line="240" w:lineRule="auto"/>
        <w:rPr>
          <w:rFonts w:ascii="Verdana" w:eastAsia="Geomanist Light" w:hAnsi="Verdana" w:cs="Arial"/>
          <w:color w:val="000000" w:themeColor="text1"/>
          <w:lang w:val="es-MX"/>
        </w:rPr>
      </w:pPr>
    </w:p>
    <w:p w14:paraId="30B1CAAF" w14:textId="77777777" w:rsidR="00264073" w:rsidRDefault="00264073" w:rsidP="00264073">
      <w:pPr>
        <w:spacing w:after="0" w:line="240" w:lineRule="auto"/>
        <w:rPr>
          <w:rFonts w:ascii="Verdana" w:eastAsia="Geomanist Light" w:hAnsi="Verdana" w:cs="Arial"/>
          <w:color w:val="000000" w:themeColor="text1"/>
          <w:lang w:val="es-MX"/>
        </w:rPr>
      </w:pPr>
    </w:p>
    <w:p w14:paraId="2FB963CF" w14:textId="77777777" w:rsidR="00264073" w:rsidRDefault="00264073" w:rsidP="00264073">
      <w:pPr>
        <w:spacing w:after="0" w:line="240" w:lineRule="auto"/>
        <w:rPr>
          <w:rFonts w:ascii="Verdana" w:eastAsia="Geomanist Light" w:hAnsi="Verdana" w:cs="Arial"/>
          <w:color w:val="000000" w:themeColor="text1"/>
          <w:lang w:val="es-MX"/>
        </w:rPr>
      </w:pPr>
    </w:p>
    <w:p w14:paraId="7636CA92" w14:textId="77777777" w:rsidR="00264073" w:rsidRDefault="00264073" w:rsidP="00264073">
      <w:pPr>
        <w:spacing w:after="0" w:line="240" w:lineRule="auto"/>
        <w:rPr>
          <w:rFonts w:ascii="Verdana" w:eastAsia="Geomanist Light" w:hAnsi="Verdana" w:cs="Arial"/>
          <w:color w:val="000000" w:themeColor="text1"/>
          <w:lang w:val="es-MX"/>
        </w:rPr>
      </w:pPr>
    </w:p>
    <w:p w14:paraId="2F064318" w14:textId="77777777" w:rsidR="00264073" w:rsidRDefault="00264073" w:rsidP="00264073">
      <w:pPr>
        <w:spacing w:after="0" w:line="240" w:lineRule="auto"/>
        <w:rPr>
          <w:rFonts w:ascii="Verdana" w:eastAsia="Geomanist Light" w:hAnsi="Verdana" w:cs="Arial"/>
          <w:color w:val="000000" w:themeColor="text1"/>
          <w:lang w:val="es-MX"/>
        </w:rPr>
      </w:pPr>
    </w:p>
    <w:p w14:paraId="1E48B388" w14:textId="77777777" w:rsidR="00264073" w:rsidRDefault="00264073" w:rsidP="00264073">
      <w:pPr>
        <w:spacing w:after="0" w:line="240" w:lineRule="auto"/>
        <w:rPr>
          <w:rFonts w:ascii="Verdana" w:eastAsia="Geomanist Light" w:hAnsi="Verdana" w:cs="Arial"/>
          <w:color w:val="000000" w:themeColor="text1"/>
          <w:lang w:val="es-MX"/>
        </w:rPr>
      </w:pPr>
    </w:p>
    <w:p w14:paraId="661C2AA4" w14:textId="77777777" w:rsidR="00264073" w:rsidRDefault="00264073" w:rsidP="00264073">
      <w:pPr>
        <w:spacing w:after="0" w:line="240" w:lineRule="auto"/>
        <w:rPr>
          <w:rFonts w:ascii="Verdana" w:eastAsia="Geomanist Light" w:hAnsi="Verdana" w:cs="Arial"/>
          <w:color w:val="000000" w:themeColor="text1"/>
          <w:lang w:val="es-MX"/>
        </w:rPr>
      </w:pPr>
    </w:p>
    <w:p w14:paraId="619CC54B" w14:textId="77777777" w:rsidR="00264073" w:rsidRDefault="00264073" w:rsidP="00264073">
      <w:pPr>
        <w:spacing w:after="0" w:line="240" w:lineRule="auto"/>
        <w:rPr>
          <w:rFonts w:ascii="Verdana" w:eastAsia="Geomanist Light" w:hAnsi="Verdana" w:cs="Arial"/>
          <w:color w:val="000000" w:themeColor="text1"/>
          <w:lang w:val="es-MX"/>
        </w:rPr>
      </w:pPr>
    </w:p>
    <w:p w14:paraId="5649C7C7" w14:textId="77777777" w:rsidR="00264073" w:rsidRDefault="00264073" w:rsidP="00264073">
      <w:pPr>
        <w:spacing w:after="0" w:line="240" w:lineRule="auto"/>
        <w:rPr>
          <w:rFonts w:ascii="Verdana" w:eastAsia="Geomanist Light" w:hAnsi="Verdana" w:cs="Arial"/>
          <w:color w:val="000000" w:themeColor="text1"/>
          <w:lang w:val="es-MX"/>
        </w:rPr>
      </w:pPr>
    </w:p>
    <w:p w14:paraId="67820EF5" w14:textId="77777777" w:rsidR="00264073" w:rsidRDefault="00264073" w:rsidP="00264073">
      <w:pPr>
        <w:spacing w:after="0" w:line="240" w:lineRule="auto"/>
        <w:rPr>
          <w:rFonts w:ascii="Verdana" w:eastAsia="Geomanist Light" w:hAnsi="Verdana" w:cs="Arial"/>
          <w:color w:val="000000" w:themeColor="text1"/>
          <w:lang w:val="es-MX"/>
        </w:rPr>
      </w:pPr>
    </w:p>
    <w:p w14:paraId="0384BBE7" w14:textId="77777777" w:rsidR="00264073" w:rsidRDefault="00264073" w:rsidP="00264073">
      <w:pPr>
        <w:spacing w:after="0" w:line="240" w:lineRule="auto"/>
        <w:rPr>
          <w:rFonts w:ascii="Verdana" w:eastAsia="Geomanist Light" w:hAnsi="Verdana" w:cs="Arial"/>
          <w:color w:val="000000" w:themeColor="text1"/>
          <w:lang w:val="es-MX"/>
        </w:rPr>
      </w:pPr>
    </w:p>
    <w:p w14:paraId="162939CE" w14:textId="77777777" w:rsidR="00264073" w:rsidRDefault="00264073" w:rsidP="00264073">
      <w:pPr>
        <w:spacing w:after="0" w:line="240" w:lineRule="auto"/>
        <w:rPr>
          <w:rFonts w:ascii="Verdana" w:eastAsia="Geomanist Light" w:hAnsi="Verdana" w:cs="Arial"/>
          <w:color w:val="000000" w:themeColor="text1"/>
          <w:lang w:val="es-MX"/>
        </w:rPr>
      </w:pPr>
    </w:p>
    <w:p w14:paraId="469B3FBE" w14:textId="77777777" w:rsidR="00264073" w:rsidRDefault="00264073" w:rsidP="00264073">
      <w:pPr>
        <w:spacing w:after="0" w:line="240" w:lineRule="auto"/>
        <w:rPr>
          <w:rFonts w:ascii="Verdana" w:eastAsia="Geomanist Light" w:hAnsi="Verdana" w:cs="Arial"/>
          <w:color w:val="000000" w:themeColor="text1"/>
          <w:lang w:val="es-MX"/>
        </w:rPr>
      </w:pPr>
    </w:p>
    <w:p w14:paraId="692E28AD" w14:textId="77777777" w:rsidR="00264073" w:rsidRDefault="00264073" w:rsidP="00F20E33">
      <w:pPr>
        <w:spacing w:after="0" w:line="240" w:lineRule="auto"/>
        <w:rPr>
          <w:rFonts w:ascii="Verdana" w:eastAsia="Geomanist Light" w:hAnsi="Verdana" w:cs="Arial"/>
          <w:color w:val="000000" w:themeColor="text1"/>
          <w:lang w:val="es-MX"/>
        </w:rPr>
      </w:pPr>
    </w:p>
    <w:p w14:paraId="0196FE02" w14:textId="24764B29" w:rsidR="00F20E33" w:rsidRPr="00593A5F" w:rsidRDefault="00F20E33" w:rsidP="00F20E3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51295B">
        <w:rPr>
          <w:rFonts w:ascii="Verdana" w:eastAsia="Geomanist Light" w:hAnsi="Verdana" w:cs="Arial"/>
          <w:color w:val="000000" w:themeColor="text1"/>
          <w:lang w:val="es-MX"/>
        </w:rPr>
        <w:t>24 de Octubre de 2025</w:t>
      </w:r>
    </w:p>
    <w:p w14:paraId="189B3F59" w14:textId="77777777" w:rsidR="00F20E33" w:rsidRDefault="00F20E33" w:rsidP="00F20E33">
      <w:pPr>
        <w:spacing w:after="0" w:line="240" w:lineRule="auto"/>
        <w:jc w:val="both"/>
        <w:rPr>
          <w:rFonts w:ascii="Verdana" w:eastAsia="Calibri" w:hAnsi="Verdana" w:cs="Arial"/>
          <w:color w:val="000000"/>
          <w:lang w:val="es-MX"/>
        </w:rPr>
      </w:pPr>
    </w:p>
    <w:p w14:paraId="61F71AC4" w14:textId="01B0F2BC" w:rsidR="00B76057" w:rsidRPr="00B76057" w:rsidRDefault="00B76057" w:rsidP="00B76057">
      <w:pPr>
        <w:spacing w:after="0" w:line="240" w:lineRule="auto"/>
        <w:jc w:val="right"/>
        <w:rPr>
          <w:rFonts w:ascii="Verdana" w:eastAsia="Calibri" w:hAnsi="Verdana" w:cs="Arial"/>
          <w:color w:val="000000"/>
          <w:lang w:val="es-MX"/>
        </w:rPr>
      </w:pPr>
      <w:r w:rsidRPr="00B76057">
        <w:rPr>
          <w:rFonts w:ascii="Verdana" w:eastAsia="Calibri" w:hAnsi="Verdana" w:cs="Arial"/>
          <w:noProof/>
          <w:color w:val="000000"/>
          <w:lang w:val="es-MX"/>
        </w:rPr>
        <w:drawing>
          <wp:inline distT="0" distB="0" distL="0" distR="0" wp14:anchorId="7C5CC1D4" wp14:editId="0D84D051">
            <wp:extent cx="2400300" cy="622300"/>
            <wp:effectExtent l="0" t="0" r="0" b="0"/>
            <wp:docPr id="13605701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570108" name=""/>
                    <pic:cNvPicPr/>
                  </pic:nvPicPr>
                  <pic:blipFill>
                    <a:blip r:embed="rId10"/>
                    <a:stretch>
                      <a:fillRect/>
                    </a:stretch>
                  </pic:blipFill>
                  <pic:spPr>
                    <a:xfrm>
                      <a:off x="0" y="0"/>
                      <a:ext cx="2400300" cy="622300"/>
                    </a:xfrm>
                    <a:prstGeom prst="rect">
                      <a:avLst/>
                    </a:prstGeom>
                  </pic:spPr>
                </pic:pic>
              </a:graphicData>
            </a:graphic>
          </wp:inline>
        </w:drawing>
      </w:r>
    </w:p>
    <w:p w14:paraId="16DA0666" w14:textId="77777777" w:rsidR="00F20E33" w:rsidRPr="00593A5F" w:rsidRDefault="00F20E33" w:rsidP="00F20E33">
      <w:pPr>
        <w:spacing w:after="0" w:line="240" w:lineRule="auto"/>
        <w:jc w:val="both"/>
        <w:rPr>
          <w:rFonts w:ascii="Verdana" w:eastAsia="Calibri" w:hAnsi="Verdana" w:cs="Arial"/>
          <w:color w:val="000000"/>
          <w:lang w:val="es-ES"/>
        </w:rPr>
      </w:pPr>
    </w:p>
    <w:p w14:paraId="45344235" w14:textId="77777777" w:rsidR="00F20E33" w:rsidRPr="00B96799" w:rsidRDefault="00F20E33" w:rsidP="00F20E3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0DCCC37" w14:textId="77777777" w:rsidR="00F20E33" w:rsidRPr="0085423D" w:rsidRDefault="00F20E33" w:rsidP="00F20E33">
      <w:pPr>
        <w:spacing w:after="0" w:line="240" w:lineRule="auto"/>
        <w:rPr>
          <w:rFonts w:ascii="Verdana" w:eastAsia="Calibri" w:hAnsi="Verdana" w:cs="Arial"/>
          <w:b/>
          <w:lang w:val="es-ES" w:eastAsia="es-ES"/>
        </w:rPr>
      </w:pPr>
      <w:proofErr w:type="spellStart"/>
      <w:r w:rsidRPr="44F29B01">
        <w:rPr>
          <w:rFonts w:ascii="Verdana" w:eastAsia="Calibri" w:hAnsi="Verdana" w:cs="Arial"/>
          <w:b/>
          <w:lang w:val="es-ES" w:eastAsia="es-ES"/>
        </w:rPr>
        <w:t>Gelvert</w:t>
      </w:r>
      <w:proofErr w:type="spellEnd"/>
      <w:r w:rsidRPr="44F29B01">
        <w:rPr>
          <w:rFonts w:ascii="Verdana" w:eastAsia="Calibri" w:hAnsi="Verdana" w:cs="Arial"/>
          <w:b/>
          <w:lang w:val="es-ES" w:eastAsia="es-ES"/>
        </w:rPr>
        <w:t xml:space="preserve"> Bohórquez Quimbaya  </w:t>
      </w:r>
    </w:p>
    <w:p w14:paraId="31930F1B" w14:textId="77777777" w:rsidR="00F20E33" w:rsidRPr="008C53FD" w:rsidRDefault="00F20E33" w:rsidP="00F20E33">
      <w:pPr>
        <w:spacing w:after="0" w:line="240" w:lineRule="auto"/>
        <w:rPr>
          <w:rFonts w:ascii="Verdana" w:eastAsia="Calibri" w:hAnsi="Verdana" w:cs="Arial"/>
          <w:lang w:val="es-ES" w:eastAsia="es-ES"/>
        </w:rPr>
      </w:pPr>
      <w:hyperlink r:id="rId11" w:history="1">
        <w:r w:rsidRPr="00782400">
          <w:rPr>
            <w:rStyle w:val="Hipervnculo"/>
            <w:rFonts w:ascii="Verdana" w:hAnsi="Verdana"/>
          </w:rPr>
          <w:t>gbohorquez@tecsoni.com.co</w:t>
        </w:r>
      </w:hyperlink>
      <w:r>
        <w:rPr>
          <w:rFonts w:ascii="Verdana" w:hAnsi="Verdana"/>
        </w:rPr>
        <w:t xml:space="preserve"> </w:t>
      </w:r>
      <w:r w:rsidRPr="008C53FD">
        <w:rPr>
          <w:rFonts w:ascii="Verdana" w:hAnsi="Verdana"/>
        </w:rPr>
        <w:t xml:space="preserve">           </w:t>
      </w:r>
      <w:r w:rsidRPr="008C53FD">
        <w:rPr>
          <w:rFonts w:ascii="Verdana" w:eastAsia="Calibri" w:hAnsi="Verdana" w:cs="Arial"/>
          <w:lang w:val="es-ES" w:eastAsia="es-ES"/>
        </w:rPr>
        <w:t xml:space="preserve">    </w:t>
      </w:r>
    </w:p>
    <w:p w14:paraId="71B75054" w14:textId="77777777" w:rsidR="00F20E33" w:rsidRDefault="00F20E33" w:rsidP="00F20E33">
      <w:pPr>
        <w:spacing w:after="0" w:line="240" w:lineRule="auto"/>
        <w:rPr>
          <w:rFonts w:ascii="Verdana" w:eastAsia="Calibri" w:hAnsi="Verdana" w:cs="Arial"/>
          <w:lang w:val="es-ES" w:eastAsia="es-ES"/>
        </w:rPr>
      </w:pPr>
      <w:r w:rsidRPr="00B41D31">
        <w:rPr>
          <w:rFonts w:ascii="Verdana" w:eastAsia="Calibri" w:hAnsi="Verdana" w:cs="Arial"/>
          <w:lang w:val="es-ES" w:eastAsia="es-ES"/>
        </w:rPr>
        <w:t>Bogotá D.C.</w:t>
      </w:r>
      <w:r>
        <w:rPr>
          <w:rFonts w:ascii="Verdana" w:eastAsia="Calibri" w:hAnsi="Verdana" w:cs="Arial"/>
          <w:lang w:val="es-ES" w:eastAsia="es-ES"/>
        </w:rPr>
        <w:t xml:space="preserve"> </w:t>
      </w:r>
    </w:p>
    <w:p w14:paraId="2091A3D6" w14:textId="77777777" w:rsidR="00F20E33" w:rsidRPr="00593A5F" w:rsidRDefault="00F20E33" w:rsidP="00F20E33">
      <w:pPr>
        <w:spacing w:after="0" w:line="240" w:lineRule="auto"/>
        <w:rPr>
          <w:rFonts w:ascii="Verdana" w:eastAsia="Calibri" w:hAnsi="Verdana" w:cs="Arial"/>
          <w:b/>
          <w:bCs/>
          <w:color w:val="000000"/>
          <w:lang w:val="es-ES_tradnl" w:eastAsia="es-ES_tradnl"/>
        </w:rPr>
      </w:pPr>
    </w:p>
    <w:p w14:paraId="0E470776" w14:textId="77777777" w:rsidR="00F20E33" w:rsidRPr="00593A5F" w:rsidRDefault="00F20E33" w:rsidP="00F20E3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20E33" w:rsidRPr="00593A5F" w14:paraId="037AE71D" w14:textId="77777777" w:rsidTr="00DE40D4">
        <w:trPr>
          <w:trHeight w:val="884"/>
        </w:trPr>
        <w:tc>
          <w:tcPr>
            <w:tcW w:w="2689" w:type="dxa"/>
          </w:tcPr>
          <w:p w14:paraId="55F5EE9E" w14:textId="77777777" w:rsidR="00F20E33" w:rsidRPr="00C00976" w:rsidRDefault="00F20E33" w:rsidP="00DE40D4">
            <w:pPr>
              <w:jc w:val="both"/>
              <w:rPr>
                <w:rFonts w:ascii="Verdana" w:eastAsia="Calibri" w:hAnsi="Verdana" w:cs="Arial"/>
                <w:b/>
                <w:bCs/>
                <w:color w:val="7030A0"/>
                <w:lang w:val="es-ES_tradnl" w:eastAsia="es-ES_tradnl"/>
              </w:rPr>
            </w:pPr>
          </w:p>
        </w:tc>
        <w:tc>
          <w:tcPr>
            <w:tcW w:w="6100" w:type="dxa"/>
          </w:tcPr>
          <w:p w14:paraId="56CFF871" w14:textId="5ADA794D" w:rsidR="00F20E33" w:rsidRPr="00C00976" w:rsidRDefault="00F20E33" w:rsidP="00DE40D4">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455CB7">
              <w:rPr>
                <w:rFonts w:ascii="Verdana" w:eastAsia="Calibri" w:hAnsi="Verdana" w:cs="Arial"/>
                <w:b/>
                <w:bCs/>
                <w:lang w:val="es-ES" w:eastAsia="es-ES"/>
              </w:rPr>
              <w:t>1487</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F20E33" w:rsidRPr="00593A5F" w14:paraId="7CC77876" w14:textId="77777777" w:rsidTr="00DE40D4">
        <w:trPr>
          <w:trHeight w:val="884"/>
        </w:trPr>
        <w:tc>
          <w:tcPr>
            <w:tcW w:w="2689" w:type="dxa"/>
          </w:tcPr>
          <w:p w14:paraId="1D00F1C5" w14:textId="77777777" w:rsidR="00F20E33" w:rsidRPr="00593A5F" w:rsidRDefault="00F20E33" w:rsidP="00DE40D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847C8D0" w14:textId="77777777" w:rsidR="00F20E33" w:rsidRPr="00A11406" w:rsidRDefault="00F20E33" w:rsidP="00DE40D4">
            <w:pPr>
              <w:spacing w:line="276" w:lineRule="auto"/>
              <w:jc w:val="both"/>
              <w:rPr>
                <w:rFonts w:ascii="Verdana" w:eastAsia="Calibri" w:hAnsi="Verdana" w:cs="Arial"/>
                <w:lang w:val="es-ES" w:eastAsia="es-ES"/>
              </w:rPr>
            </w:pPr>
            <w:r w:rsidRPr="00C13B02">
              <w:rPr>
                <w:rFonts w:ascii="Verdana" w:eastAsia="Calibri" w:hAnsi="Verdana" w:cs="Arial"/>
                <w:lang w:val="es-ES" w:eastAsia="es-ES"/>
              </w:rPr>
              <w:t>SELECCIÓN ABREVIADA – Marco normativo / BIENES Y SERVICIOS DE CARACTERÍSTICAS TÉCNICAS UNIFORMES – Definición / BIENES Y SERVICIOS DE CARACTERÍSTICAS TÉCNICAS UNIFORMES ‒ Características – Formas de adquisición /</w:t>
            </w:r>
            <w:r>
              <w:rPr>
                <w:rFonts w:ascii="Verdana" w:eastAsia="Calibri" w:hAnsi="Verdana" w:cs="Arial"/>
                <w:lang w:val="es-ES" w:eastAsia="es-ES"/>
              </w:rPr>
              <w:t xml:space="preserve"> </w:t>
            </w:r>
            <w:r w:rsidRPr="009A6960">
              <w:rPr>
                <w:rFonts w:ascii="Verdana" w:eastAsia="Calibri" w:hAnsi="Verdana" w:cs="Arial"/>
                <w:lang w:val="es-ES" w:eastAsia="es-ES"/>
              </w:rPr>
              <w:t>ESPECIFICACIONES TÉCNICAS – Marcas – Exigibilidad – Excepciones</w:t>
            </w:r>
            <w:r>
              <w:rPr>
                <w:rFonts w:ascii="Verdana" w:eastAsia="Calibri" w:hAnsi="Verdana" w:cs="Arial"/>
                <w:lang w:val="es-ES" w:eastAsia="es-ES"/>
              </w:rPr>
              <w:t xml:space="preserve"> / </w:t>
            </w:r>
            <w:r w:rsidRPr="00725CC9">
              <w:rPr>
                <w:rFonts w:ascii="Verdana" w:eastAsia="Calibri" w:hAnsi="Verdana" w:cs="Arial"/>
                <w:lang w:val="es-ES" w:eastAsia="es-ES"/>
              </w:rPr>
              <w:t>PAGO – Obligaciones – Cumplimiento – Principio de exactitud o identidad</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4EFC0E3" w14:textId="77777777" w:rsidR="00F20E33" w:rsidRPr="00593A5F" w:rsidRDefault="00F20E33" w:rsidP="00DE40D4">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20E33" w:rsidRPr="008E6AD9" w14:paraId="5A82EC99" w14:textId="77777777" w:rsidTr="00DE40D4">
        <w:tc>
          <w:tcPr>
            <w:tcW w:w="2689" w:type="dxa"/>
          </w:tcPr>
          <w:p w14:paraId="0B654952" w14:textId="77777777" w:rsidR="00F20E33" w:rsidRPr="008E6AD9" w:rsidRDefault="00F20E33" w:rsidP="00DE40D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7BA8B68" w14:textId="77777777" w:rsidR="00F20E33" w:rsidRPr="00B92340" w:rsidRDefault="00F20E33" w:rsidP="00DE40D4">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B41D31">
              <w:rPr>
                <w:rFonts w:ascii="Verdana" w:eastAsia="Calibri" w:hAnsi="Verdana" w:cs="Arial"/>
                <w:lang w:val="es-ES_tradnl" w:eastAsia="es-ES_tradnl"/>
              </w:rPr>
              <w:t>1_2025_10_10_011405</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BBB7EEC" w14:textId="77777777" w:rsidR="00F20E33" w:rsidRPr="00593A5F" w:rsidRDefault="00F20E33" w:rsidP="00F20E33">
      <w:pPr>
        <w:spacing w:after="0" w:line="240" w:lineRule="auto"/>
        <w:jc w:val="both"/>
        <w:rPr>
          <w:rFonts w:ascii="Verdana" w:eastAsia="Calibri" w:hAnsi="Verdana" w:cs="Arial"/>
          <w:color w:val="000000"/>
          <w:lang w:val="es-ES_tradnl" w:eastAsia="es-ES_tradnl"/>
        </w:rPr>
      </w:pPr>
    </w:p>
    <w:p w14:paraId="13011FAB" w14:textId="77777777" w:rsidR="00F20E33" w:rsidRPr="00593A5F" w:rsidRDefault="00F20E33" w:rsidP="00F20E33">
      <w:pPr>
        <w:spacing w:after="0" w:line="240" w:lineRule="auto"/>
        <w:jc w:val="both"/>
        <w:rPr>
          <w:rFonts w:ascii="Verdana" w:eastAsia="Calibri" w:hAnsi="Verdana" w:cs="Arial"/>
          <w:color w:val="000000"/>
          <w:lang w:val="es-ES_tradnl" w:eastAsia="es-ES_tradnl"/>
        </w:rPr>
      </w:pPr>
    </w:p>
    <w:p w14:paraId="2D28A73B" w14:textId="77777777" w:rsidR="00F20E33" w:rsidRPr="008E6AD9" w:rsidRDefault="00F20E33" w:rsidP="00F20E3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8C53FD">
        <w:rPr>
          <w:rFonts w:ascii="Verdana" w:eastAsia="Calibri" w:hAnsi="Verdana" w:cs="Arial"/>
          <w:lang w:val="es-ES" w:eastAsia="es-ES"/>
        </w:rPr>
        <w:t>Bohórquez Quimbaya</w:t>
      </w:r>
      <w:r w:rsidRPr="008E6AD9">
        <w:rPr>
          <w:rFonts w:ascii="Verdana" w:eastAsia="Calibri" w:hAnsi="Verdana" w:cs="Arial"/>
          <w:lang w:val="es-ES" w:eastAsia="es-ES"/>
        </w:rPr>
        <w:t xml:space="preserve">: </w:t>
      </w:r>
    </w:p>
    <w:p w14:paraId="0BA4608C" w14:textId="77777777" w:rsidR="00F20E33" w:rsidRDefault="00F20E33" w:rsidP="00F20E3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C1893BB" w14:textId="77777777" w:rsidR="00F20E33" w:rsidRPr="00593A5F" w:rsidRDefault="00F20E33" w:rsidP="00F20E3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10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manifiesta lo siguiente</w:t>
      </w:r>
      <w:r w:rsidRPr="008E6AD9">
        <w:rPr>
          <w:rFonts w:ascii="Verdana" w:eastAsia="Calibri" w:hAnsi="Verdana" w:cs="Arial"/>
          <w:lang w:val="es-ES" w:eastAsia="es-ES"/>
        </w:rPr>
        <w:t xml:space="preserve">: </w:t>
      </w:r>
    </w:p>
    <w:p w14:paraId="15E8419B" w14:textId="77777777" w:rsidR="00F20E33" w:rsidRPr="00272A7B" w:rsidRDefault="00F20E33" w:rsidP="00F20E33">
      <w:pPr>
        <w:pStyle w:val="Prrafodelista"/>
        <w:tabs>
          <w:tab w:val="left" w:pos="142"/>
          <w:tab w:val="left" w:pos="284"/>
        </w:tabs>
        <w:spacing w:after="0" w:line="276" w:lineRule="auto"/>
        <w:ind w:left="0"/>
        <w:jc w:val="both"/>
        <w:rPr>
          <w:rFonts w:ascii="Verdana" w:eastAsia="Century Gothic" w:hAnsi="Verdana" w:cs="Century Gothic"/>
          <w:b/>
          <w:bCs/>
        </w:rPr>
      </w:pPr>
    </w:p>
    <w:p w14:paraId="0A299487" w14:textId="77777777" w:rsidR="00F20E33" w:rsidRPr="005E7FE2" w:rsidRDefault="00F20E33" w:rsidP="00F20E33">
      <w:pPr>
        <w:spacing w:after="120" w:line="240" w:lineRule="auto"/>
        <w:ind w:left="709" w:right="709"/>
        <w:jc w:val="both"/>
        <w:rPr>
          <w:rFonts w:ascii="Verdana" w:eastAsia="Century Gothic" w:hAnsi="Verdana" w:cs="Century Gothic"/>
          <w:sz w:val="20"/>
          <w:szCs w:val="20"/>
          <w:lang w:val="es-ES"/>
        </w:rPr>
      </w:pPr>
      <w:bookmarkStart w:id="0" w:name="_Hlk95313578"/>
      <w:r w:rsidRPr="004C4E62">
        <w:rPr>
          <w:rFonts w:ascii="Verdana" w:eastAsia="Century Gothic" w:hAnsi="Verdana" w:cs="Century Gothic"/>
          <w:sz w:val="20"/>
          <w:szCs w:val="20"/>
          <w:lang w:val="es-ES"/>
        </w:rPr>
        <w:t>“</w:t>
      </w:r>
      <w:bookmarkEnd w:id="0"/>
      <w:r w:rsidRPr="005E7FE2">
        <w:rPr>
          <w:rFonts w:ascii="Verdana" w:eastAsia="Century Gothic" w:hAnsi="Verdana" w:cs="Century Gothic"/>
          <w:sz w:val="20"/>
          <w:szCs w:val="20"/>
          <w:lang w:val="es-ES"/>
        </w:rPr>
        <w:t xml:space="preserve">En atención a las funciones que esa Agencia desarrolla en materia de orientación, interpretación y aplicación del marco normativo de la contratación estatal, de manera atenta </w:t>
      </w:r>
      <w:r w:rsidRPr="00A96D08">
        <w:rPr>
          <w:rFonts w:ascii="Verdana" w:eastAsia="Century Gothic" w:hAnsi="Verdana" w:cs="Century Gothic"/>
          <w:i/>
          <w:iCs/>
          <w:sz w:val="20"/>
          <w:szCs w:val="20"/>
          <w:lang w:val="es-ES"/>
        </w:rPr>
        <w:t xml:space="preserve">solicitamos un concepto jurídico </w:t>
      </w:r>
      <w:r w:rsidRPr="00A96D08">
        <w:rPr>
          <w:rFonts w:ascii="Verdana" w:eastAsia="Century Gothic" w:hAnsi="Verdana" w:cs="Century Gothic"/>
          <w:i/>
          <w:iCs/>
          <w:sz w:val="20"/>
          <w:szCs w:val="20"/>
          <w:lang w:val="es-ES"/>
        </w:rPr>
        <w:lastRenderedPageBreak/>
        <w:t>relacionado con la aceptación de marcas equivalentes en el marco de procesos de Subasta Inversa</w:t>
      </w:r>
      <w:r w:rsidRPr="005E7FE2">
        <w:rPr>
          <w:rFonts w:ascii="Verdana" w:eastAsia="Century Gothic" w:hAnsi="Verdana" w:cs="Century Gothic"/>
          <w:sz w:val="20"/>
          <w:szCs w:val="20"/>
          <w:lang w:val="es-ES"/>
        </w:rPr>
        <w:t>.</w:t>
      </w:r>
    </w:p>
    <w:p w14:paraId="7833C1E0" w14:textId="77777777" w:rsidR="00F20E33" w:rsidRPr="005E7FE2" w:rsidRDefault="00F20E33" w:rsidP="00F20E33">
      <w:pPr>
        <w:spacing w:after="120" w:line="240" w:lineRule="auto"/>
        <w:ind w:left="709" w:right="709"/>
        <w:jc w:val="both"/>
        <w:rPr>
          <w:rFonts w:ascii="Verdana" w:eastAsia="Century Gothic" w:hAnsi="Verdana" w:cs="Century Gothic"/>
          <w:sz w:val="20"/>
          <w:szCs w:val="20"/>
          <w:lang w:val="es-ES"/>
        </w:rPr>
      </w:pPr>
      <w:r w:rsidRPr="005E7FE2">
        <w:rPr>
          <w:rFonts w:ascii="Verdana" w:eastAsia="Century Gothic" w:hAnsi="Verdana" w:cs="Century Gothic"/>
          <w:sz w:val="20"/>
          <w:szCs w:val="20"/>
          <w:lang w:val="es-ES"/>
        </w:rPr>
        <w:t>En particular, exponemos el siguiente caso:</w:t>
      </w:r>
    </w:p>
    <w:p w14:paraId="74A1AF79" w14:textId="77777777" w:rsidR="00F20E33" w:rsidRPr="004C4E62" w:rsidRDefault="00F20E33" w:rsidP="00F20E33">
      <w:pPr>
        <w:spacing w:after="0" w:line="240" w:lineRule="auto"/>
        <w:ind w:left="709" w:right="709"/>
        <w:jc w:val="both"/>
        <w:rPr>
          <w:rFonts w:ascii="Verdana" w:eastAsia="Century Gothic" w:hAnsi="Verdana" w:cs="Century Gothic"/>
          <w:sz w:val="20"/>
          <w:szCs w:val="20"/>
          <w:lang w:val="es-ES"/>
        </w:rPr>
      </w:pPr>
      <w:r w:rsidRPr="005E7FE2">
        <w:rPr>
          <w:rFonts w:ascii="Verdana" w:eastAsia="Century Gothic" w:hAnsi="Verdana" w:cs="Century Gothic"/>
          <w:sz w:val="20"/>
          <w:szCs w:val="20"/>
          <w:lang w:val="es-ES"/>
        </w:rPr>
        <w:t xml:space="preserve">En el Contrato No. 34547 de 2025, suscrito con el Instituto Geográfico Agustín Codazzi – IGAC, nuestra empresa resultó adjudicataria luego de participar en la Subasta Inversa No. SASI-01-2025-SC, en la cual se acreditó capacidad técnica mediante la marca </w:t>
      </w:r>
      <w:proofErr w:type="spellStart"/>
      <w:r w:rsidRPr="005E7FE2">
        <w:rPr>
          <w:rFonts w:ascii="Verdana" w:eastAsia="Century Gothic" w:hAnsi="Verdana" w:cs="Century Gothic"/>
          <w:sz w:val="20"/>
          <w:szCs w:val="20"/>
          <w:lang w:val="es-ES"/>
        </w:rPr>
        <w:t>Siemon</w:t>
      </w:r>
      <w:proofErr w:type="spellEnd"/>
      <w:r w:rsidRPr="005E7FE2">
        <w:rPr>
          <w:rFonts w:ascii="Verdana" w:eastAsia="Century Gothic" w:hAnsi="Verdana" w:cs="Century Gothic"/>
          <w:sz w:val="20"/>
          <w:szCs w:val="20"/>
          <w:lang w:val="es-ES"/>
        </w:rPr>
        <w:t xml:space="preserve">, conforme a los requisitos exigidos en la etapa de habilitación. Sin embargo, durante la ejecución contractual se han presentado situaciones en las cuales algunos elementos de la marca </w:t>
      </w:r>
      <w:proofErr w:type="spellStart"/>
      <w:r w:rsidRPr="005E7FE2">
        <w:rPr>
          <w:rFonts w:ascii="Verdana" w:eastAsia="Century Gothic" w:hAnsi="Verdana" w:cs="Century Gothic"/>
          <w:sz w:val="20"/>
          <w:szCs w:val="20"/>
          <w:lang w:val="es-ES"/>
        </w:rPr>
        <w:t>Siemon</w:t>
      </w:r>
      <w:proofErr w:type="spellEnd"/>
      <w:r w:rsidRPr="005E7FE2">
        <w:rPr>
          <w:rFonts w:ascii="Verdana" w:eastAsia="Century Gothic" w:hAnsi="Verdana" w:cs="Century Gothic"/>
          <w:sz w:val="20"/>
          <w:szCs w:val="20"/>
          <w:lang w:val="es-ES"/>
        </w:rPr>
        <w:t xml:space="preserve"> no cumplen con la</w:t>
      </w:r>
      <w:r>
        <w:rPr>
          <w:rFonts w:ascii="Verdana" w:eastAsia="Century Gothic" w:hAnsi="Verdana" w:cs="Century Gothic"/>
          <w:sz w:val="20"/>
          <w:szCs w:val="20"/>
          <w:lang w:val="es-ES"/>
        </w:rPr>
        <w:t>s</w:t>
      </w:r>
      <w:r w:rsidRPr="005E7FE2">
        <w:rPr>
          <w:rFonts w:ascii="Verdana" w:eastAsia="Century Gothic" w:hAnsi="Verdana" w:cs="Century Gothic"/>
          <w:sz w:val="20"/>
          <w:szCs w:val="20"/>
          <w:lang w:val="es-ES"/>
        </w:rPr>
        <w:t xml:space="preserve"> especificaciones técnicas solicitadas hay indisponibilidad en Colombia</w:t>
      </w:r>
      <w:r w:rsidRPr="004C4E62">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(Énfasis fuera de texto)</w:t>
      </w:r>
    </w:p>
    <w:p w14:paraId="79D5B3F5" w14:textId="77777777" w:rsidR="00F20E33" w:rsidRPr="008E6AD9" w:rsidRDefault="00F20E33" w:rsidP="00F20E33">
      <w:pPr>
        <w:pStyle w:val="Prrafodelista"/>
        <w:tabs>
          <w:tab w:val="left" w:pos="142"/>
          <w:tab w:val="left" w:pos="284"/>
        </w:tabs>
        <w:spacing w:after="0" w:line="276" w:lineRule="auto"/>
        <w:ind w:left="0"/>
        <w:jc w:val="both"/>
        <w:rPr>
          <w:rFonts w:ascii="Verdana" w:eastAsia="Century Gothic" w:hAnsi="Verdana" w:cs="Century Gothic"/>
          <w:b/>
          <w:bCs/>
        </w:rPr>
      </w:pPr>
    </w:p>
    <w:p w14:paraId="1665B9B7" w14:textId="77777777" w:rsidR="00F20E33" w:rsidRPr="00A652FF" w:rsidRDefault="00F20E33" w:rsidP="00F20E3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79250C2" w14:textId="77777777" w:rsidR="00F20E33" w:rsidRDefault="00F20E33" w:rsidP="00F20E3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33113EC" w14:textId="77777777" w:rsidR="00F20E33" w:rsidRPr="00593A5F" w:rsidRDefault="00F20E33" w:rsidP="00F20E33">
      <w:pPr>
        <w:spacing w:after="0" w:line="276" w:lineRule="auto"/>
        <w:ind w:firstLine="709"/>
        <w:jc w:val="both"/>
        <w:rPr>
          <w:rFonts w:ascii="Verdana" w:eastAsia="Calibri" w:hAnsi="Verdana" w:cs="Arial"/>
          <w:color w:val="000000"/>
          <w:lang w:val="es-ES" w:eastAsia="es-ES"/>
        </w:rPr>
      </w:pPr>
    </w:p>
    <w:p w14:paraId="2CD5F85D" w14:textId="77777777" w:rsidR="00F20E33" w:rsidRPr="00593A5F" w:rsidRDefault="00F20E33" w:rsidP="00F20E3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7A5C108" w14:textId="77777777" w:rsidR="00F20E33" w:rsidRPr="00593A5F" w:rsidRDefault="00F20E33" w:rsidP="00F20E33">
      <w:pPr>
        <w:tabs>
          <w:tab w:val="left" w:pos="426"/>
        </w:tabs>
        <w:spacing w:after="0" w:line="276" w:lineRule="auto"/>
        <w:jc w:val="both"/>
        <w:rPr>
          <w:rFonts w:ascii="Verdana" w:eastAsia="Century Gothic" w:hAnsi="Verdana" w:cs="Century Gothic"/>
          <w:lang w:val="es-ES"/>
        </w:rPr>
      </w:pPr>
    </w:p>
    <w:p w14:paraId="1CEB210E" w14:textId="6CF86CE1" w:rsidR="00F20E33" w:rsidRPr="00593A5F" w:rsidRDefault="00F20E33" w:rsidP="00F20E3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¿definiéndose una marca específica en los procesos de subasta inversa para adquirir</w:t>
      </w:r>
      <w:r w:rsidRPr="1DF532B2">
        <w:rPr>
          <w:rFonts w:ascii="Verdana" w:eastAsia="Calibri" w:hAnsi="Verdana" w:cs="Arial"/>
          <w:color w:val="000000" w:themeColor="text1"/>
          <w:lang w:val="es-ES" w:eastAsia="es-ES"/>
        </w:rPr>
        <w:t xml:space="preserve"> bienes y servicios de características técnicas uniformes y de común utilización, es posible el cumplimiento de las obligaciones a través del suministro </w:t>
      </w:r>
      <w:r w:rsidR="5217D9BE" w:rsidRPr="1DF532B2">
        <w:rPr>
          <w:rFonts w:ascii="Verdana" w:eastAsia="Calibri" w:hAnsi="Verdana" w:cs="Arial"/>
          <w:color w:val="000000" w:themeColor="text1"/>
          <w:lang w:val="es-ES" w:eastAsia="es-ES"/>
        </w:rPr>
        <w:t xml:space="preserve">de </w:t>
      </w:r>
      <w:r w:rsidRPr="1DF532B2">
        <w:rPr>
          <w:rFonts w:ascii="Verdana" w:eastAsia="Calibri" w:hAnsi="Verdana" w:cs="Arial"/>
          <w:color w:val="000000" w:themeColor="text1"/>
          <w:lang w:val="es-ES" w:eastAsia="es-ES"/>
        </w:rPr>
        <w:t>una marca distinta a la contratada?</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35FE510" w14:textId="77777777" w:rsidR="00F20E33" w:rsidRPr="004B140F" w:rsidRDefault="00F20E33" w:rsidP="00F20E33">
      <w:pPr>
        <w:spacing w:after="0" w:line="276" w:lineRule="auto"/>
        <w:jc w:val="both"/>
        <w:rPr>
          <w:rFonts w:ascii="Verdana" w:eastAsia="Calibri" w:hAnsi="Verdana" w:cs="Arial"/>
          <w:color w:val="7030A0"/>
        </w:rPr>
      </w:pPr>
    </w:p>
    <w:p w14:paraId="10E35B86" w14:textId="77777777" w:rsidR="00F20E33" w:rsidRPr="00593A5F" w:rsidRDefault="00F20E33" w:rsidP="00F20E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7D3AECCE" w14:textId="77777777" w:rsidR="00F20E33" w:rsidRPr="00593A5F" w:rsidRDefault="00F20E33" w:rsidP="00F20E3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20E33" w:rsidRPr="00593A5F" w14:paraId="56384F28" w14:textId="77777777" w:rsidTr="00DE40D4">
        <w:trPr>
          <w:jc w:val="center"/>
        </w:trPr>
        <w:tc>
          <w:tcPr>
            <w:tcW w:w="8828" w:type="dxa"/>
            <w:shd w:val="clear" w:color="auto" w:fill="auto"/>
          </w:tcPr>
          <w:p w14:paraId="589BA5D4" w14:textId="77777777" w:rsidR="00F20E33" w:rsidRDefault="00F20E33" w:rsidP="00DE40D4">
            <w:pPr>
              <w:spacing w:after="120" w:line="276" w:lineRule="auto"/>
              <w:ind w:right="51"/>
              <w:jc w:val="both"/>
              <w:rPr>
                <w:rFonts w:ascii="Verdana" w:hAnsi="Verdana" w:cs="Arial"/>
                <w:color w:val="000000" w:themeColor="text1"/>
              </w:rPr>
            </w:pPr>
            <w:bookmarkStart w:id="1" w:name="_Hlk171694685"/>
            <w:r>
              <w:rPr>
                <w:rFonts w:ascii="Verdana" w:eastAsia="Calibri" w:hAnsi="Verdana" w:cs="Arial"/>
                <w:bCs/>
                <w:color w:val="000000" w:themeColor="text1"/>
              </w:rPr>
              <w:t xml:space="preserve">Conforme a la interpretación general de las normas del sistema de compras públicas, </w:t>
            </w:r>
            <w:r w:rsidRPr="00185EE9">
              <w:rPr>
                <w:rFonts w:ascii="Verdana" w:eastAsia="Calibri" w:hAnsi="Verdana" w:cs="Arial"/>
                <w:color w:val="000000"/>
                <w:szCs w:val="24"/>
                <w:lang w:val="es-ES_tradnl" w:eastAsia="es-ES_tradnl"/>
              </w:rPr>
              <w:t>el literal a) del artículo 2.2 de la Ley 1150 de 2007</w:t>
            </w:r>
            <w:r>
              <w:rPr>
                <w:rFonts w:ascii="Verdana" w:eastAsia="Calibri" w:hAnsi="Verdana" w:cs="Arial"/>
                <w:color w:val="000000"/>
                <w:szCs w:val="24"/>
                <w:lang w:val="es-ES_tradnl" w:eastAsia="es-ES_tradnl"/>
              </w:rPr>
              <w:t xml:space="preserve"> permite </w:t>
            </w:r>
            <w:r w:rsidRPr="00185EE9">
              <w:rPr>
                <w:rFonts w:ascii="Verdana" w:eastAsia="Calibri" w:hAnsi="Verdana" w:cs="Arial"/>
                <w:color w:val="000000"/>
                <w:szCs w:val="24"/>
                <w:lang w:val="es-ES_tradnl" w:eastAsia="es-ES_tradnl"/>
              </w:rPr>
              <w:t>la adquisición o suministro de bienes y servicios de características técnicas uniformes y de común utilización</w:t>
            </w:r>
            <w:r>
              <w:rPr>
                <w:rFonts w:ascii="Verdana" w:eastAsia="Calibri" w:hAnsi="Verdana" w:cs="Arial"/>
                <w:color w:val="000000"/>
                <w:szCs w:val="24"/>
                <w:lang w:val="es-ES_tradnl" w:eastAsia="es-ES_tradnl"/>
              </w:rPr>
              <w:t xml:space="preserve"> a través de la subasta inversa. </w:t>
            </w:r>
            <w:r w:rsidRPr="00BF22E6">
              <w:rPr>
                <w:rFonts w:ascii="Verdana" w:eastAsia="Calibri" w:hAnsi="Verdana" w:cs="Arial"/>
                <w:color w:val="000000"/>
                <w:lang w:val="es-ES_tradnl" w:eastAsia="es-ES_tradnl"/>
              </w:rPr>
              <w:t>Las Entidades Estatales, en su discrecionalidad, podrán exigir marcas si no están prohibidas en acuerdos y tratados comerciales en las que sean destinatarios, pero garantizando el principio de proporcionalidad, que exige que dichos requisitos o condiciones sean razonables, es decir, que guarden congruencia con el objeto, necesidad de la contratación, alcance, valor, plazo del contrato</w:t>
            </w:r>
            <w:r w:rsidRPr="009A6960">
              <w:rPr>
                <w:rFonts w:ascii="Verdana" w:eastAsia="Calibri" w:hAnsi="Verdana" w:cs="Arial"/>
                <w:color w:val="000000"/>
                <w:lang w:val="es-ES_tradnl" w:eastAsia="es-ES_tradnl"/>
              </w:rPr>
              <w:t>, entre otros aspectos, que sean necesarios y no restrinjan injustificadamente la libre concurrencia y pluralidad de oferentes</w:t>
            </w:r>
            <w:r>
              <w:rPr>
                <w:rFonts w:ascii="Verdana" w:eastAsia="Calibri" w:hAnsi="Verdana" w:cs="Arial"/>
                <w:color w:val="000000"/>
                <w:lang w:val="es-ES_tradnl" w:eastAsia="es-ES_tradnl"/>
              </w:rPr>
              <w:t>.</w:t>
            </w:r>
            <w:r>
              <w:rPr>
                <w:rFonts w:ascii="Verdana" w:eastAsia="Calibri" w:hAnsi="Verdana" w:cs="Arial"/>
                <w:color w:val="000000"/>
                <w:szCs w:val="24"/>
                <w:lang w:val="es-ES_tradnl" w:eastAsia="es-ES_tradnl"/>
              </w:rPr>
              <w:t xml:space="preserve"> </w:t>
            </w:r>
          </w:p>
          <w:p w14:paraId="66358DC1" w14:textId="3CE811BE" w:rsidR="00F20E33" w:rsidRDefault="00F20E33" w:rsidP="00DE40D4">
            <w:pPr>
              <w:spacing w:after="120" w:line="276" w:lineRule="auto"/>
              <w:ind w:firstLine="737"/>
              <w:jc w:val="both"/>
              <w:rPr>
                <w:rFonts w:ascii="Verdana" w:hAnsi="Verdana" w:cs="Arial"/>
              </w:rPr>
            </w:pPr>
            <w:r>
              <w:rPr>
                <w:rFonts w:ascii="Verdana" w:eastAsia="Times New Roman" w:hAnsi="Verdana" w:cs="Arial"/>
                <w:lang w:eastAsia="es-ES_tradnl"/>
              </w:rPr>
              <w:t xml:space="preserve">Por remisión de los artículos </w:t>
            </w:r>
            <w:r w:rsidRPr="000B2D3C">
              <w:rPr>
                <w:rFonts w:ascii="Verdana" w:eastAsia="Times New Roman" w:hAnsi="Verdana" w:cs="Arial"/>
                <w:lang w:eastAsia="es-ES_tradnl"/>
              </w:rPr>
              <w:t>13, 32 y 40</w:t>
            </w:r>
            <w:r>
              <w:rPr>
                <w:rFonts w:ascii="Verdana" w:eastAsia="Times New Roman" w:hAnsi="Verdana" w:cs="Arial"/>
                <w:lang w:eastAsia="es-ES_tradnl"/>
              </w:rPr>
              <w:t xml:space="preserve"> de la Ley 80 de 1993 al derecho privado, se encuentra que –de acuerdo con </w:t>
            </w:r>
            <w:r>
              <w:rPr>
                <w:rFonts w:ascii="Verdana" w:hAnsi="Verdana" w:cs="Arial"/>
              </w:rPr>
              <w:t>el artículo 1625.1 del Código Civil– las obligaciones se extinguen por</w:t>
            </w:r>
            <w:r w:rsidRPr="000E034A">
              <w:rPr>
                <w:rFonts w:ascii="Verdana" w:hAnsi="Verdana" w:cs="Arial"/>
              </w:rPr>
              <w:t xml:space="preserve"> la solución o pago efectivo</w:t>
            </w:r>
            <w:r>
              <w:rPr>
                <w:rFonts w:ascii="Verdana" w:hAnsi="Verdana" w:cs="Arial"/>
              </w:rPr>
              <w:t xml:space="preserve">, el cual corresponde a la prestación de lo que se debe conforme al artículo 1626 </w:t>
            </w:r>
            <w:r w:rsidRPr="000E034A">
              <w:rPr>
                <w:rFonts w:ascii="Verdana" w:hAnsi="Verdana" w:cs="Arial"/>
                <w:i/>
                <w:iCs/>
              </w:rPr>
              <w:t>ibidem</w:t>
            </w:r>
            <w:r>
              <w:rPr>
                <w:rFonts w:ascii="Verdana" w:hAnsi="Verdana" w:cs="Arial"/>
              </w:rPr>
              <w:t>. Para la doctrina, “</w:t>
            </w:r>
            <w:r w:rsidRPr="002403B8">
              <w:rPr>
                <w:rFonts w:ascii="Verdana" w:hAnsi="Verdana" w:cs="Arial"/>
              </w:rPr>
              <w:t>Es evidente que aquel que ha satisfecho su obligación queda libre de ella, de</w:t>
            </w:r>
            <w:r>
              <w:rPr>
                <w:rFonts w:ascii="Verdana" w:hAnsi="Verdana" w:cs="Arial"/>
              </w:rPr>
              <w:t xml:space="preserve"> </w:t>
            </w:r>
            <w:r w:rsidRPr="002403B8">
              <w:rPr>
                <w:rFonts w:ascii="Verdana" w:hAnsi="Verdana" w:cs="Arial"/>
              </w:rPr>
              <w:t xml:space="preserve">donde se sigue que el pago real, </w:t>
            </w:r>
            <w:r w:rsidR="00B51B5C">
              <w:rPr>
                <w:rFonts w:ascii="Verdana" w:hAnsi="Verdana" w:cs="Arial"/>
              </w:rPr>
              <w:t>[…]</w:t>
            </w:r>
            <w:r w:rsidRPr="002403B8">
              <w:rPr>
                <w:rFonts w:ascii="Verdana" w:hAnsi="Verdana" w:cs="Arial"/>
              </w:rPr>
              <w:t xml:space="preserve"> no es otra cosa que el cumplimiento de la</w:t>
            </w:r>
            <w:r>
              <w:rPr>
                <w:rFonts w:ascii="Verdana" w:hAnsi="Verdana" w:cs="Arial"/>
              </w:rPr>
              <w:t xml:space="preserve"> </w:t>
            </w:r>
            <w:r w:rsidRPr="002403B8">
              <w:rPr>
                <w:rFonts w:ascii="Verdana" w:hAnsi="Verdana" w:cs="Arial"/>
              </w:rPr>
              <w:t>obligación</w:t>
            </w:r>
            <w:r>
              <w:rPr>
                <w:rFonts w:ascii="Verdana" w:hAnsi="Verdana" w:cs="Arial"/>
              </w:rPr>
              <w:t xml:space="preserve"> […]”.</w:t>
            </w:r>
          </w:p>
          <w:p w14:paraId="2F8C19DA" w14:textId="77777777" w:rsidR="00F20E33" w:rsidRDefault="00F20E33" w:rsidP="00DE40D4">
            <w:pPr>
              <w:spacing w:after="120" w:line="276" w:lineRule="auto"/>
              <w:ind w:firstLine="737"/>
              <w:jc w:val="both"/>
              <w:rPr>
                <w:rFonts w:ascii="Verdana" w:hAnsi="Verdana" w:cs="Arial"/>
              </w:rPr>
            </w:pPr>
            <w:r>
              <w:rPr>
                <w:rFonts w:ascii="Verdana" w:hAnsi="Verdana" w:cs="Arial"/>
              </w:rPr>
              <w:t>Dicho cumplimiento se rige por el principio de exactitud o identidad; razón por la cual –conforme al artículo 1627 del Código Civil– “</w:t>
            </w:r>
            <w:r w:rsidRPr="002403B8">
              <w:rPr>
                <w:rFonts w:ascii="Verdana" w:hAnsi="Verdana" w:cs="Arial"/>
              </w:rPr>
              <w:t>El pago se hará bajo todos respectos en conformidad al tenor de la obligación; sin perjuicio de lo que en los casos especiales dispongan las leyes</w:t>
            </w:r>
            <w:r>
              <w:rPr>
                <w:rFonts w:ascii="Verdana" w:hAnsi="Verdana" w:cs="Arial"/>
              </w:rPr>
              <w:t>” y, en consecuencia, “</w:t>
            </w:r>
            <w:r w:rsidRPr="00E624D2">
              <w:rPr>
                <w:rFonts w:ascii="Verdana" w:hAnsi="Verdana" w:cs="Arial"/>
              </w:rPr>
              <w:t>El acreedor no podrá ser obligado a recibir otra cosa que lo que se le deba, ni aun a pretexto de ser de igual o mayor valor la ofrecida</w:t>
            </w:r>
            <w:r>
              <w:rPr>
                <w:rFonts w:ascii="Verdana" w:hAnsi="Verdana" w:cs="Arial"/>
              </w:rPr>
              <w:t>”</w:t>
            </w:r>
            <w:r w:rsidRPr="00E624D2">
              <w:rPr>
                <w:rFonts w:ascii="Verdana" w:hAnsi="Verdana" w:cs="Arial"/>
              </w:rPr>
              <w:t>.</w:t>
            </w:r>
            <w:r>
              <w:rPr>
                <w:rFonts w:ascii="Verdana" w:hAnsi="Verdana" w:cs="Arial"/>
              </w:rPr>
              <w:t xml:space="preserve"> De esta manera, si los documentos del proceso exigen el suministro de una marca específica, el contratista incumple con sus obligaciones cuando suministra una distinta.</w:t>
            </w:r>
          </w:p>
          <w:p w14:paraId="2CC899E3" w14:textId="77777777" w:rsidR="00F20E33" w:rsidRPr="009B1432" w:rsidRDefault="00F20E33" w:rsidP="00DE40D4">
            <w:pPr>
              <w:spacing w:after="120" w:line="276" w:lineRule="auto"/>
              <w:ind w:firstLine="737"/>
              <w:jc w:val="both"/>
              <w:rPr>
                <w:rFonts w:ascii="Verdana" w:eastAsia="Calibri" w:hAnsi="Verdana" w:cs="Arial"/>
                <w:color w:val="000000" w:themeColor="text1"/>
              </w:rPr>
            </w:pPr>
            <w:r>
              <w:rPr>
                <w:rFonts w:ascii="Verdana" w:hAnsi="Verdana" w:cs="Arial"/>
              </w:rPr>
              <w:t>Como indica el artículo 1602 del Código Civil, “</w:t>
            </w:r>
            <w:r w:rsidRPr="004B73E5">
              <w:rPr>
                <w:rFonts w:ascii="Verdana" w:hAnsi="Verdana" w:cs="Arial"/>
              </w:rPr>
              <w:t>Todo contrato legalmente celebrado es una ley para los contratantes, y no puede ser invalidado sino por su consentimiento mutuo o por causas legales</w:t>
            </w:r>
            <w:r>
              <w:rPr>
                <w:rFonts w:ascii="Verdana" w:hAnsi="Verdana" w:cs="Arial"/>
              </w:rPr>
              <w:t>”</w:t>
            </w:r>
            <w:r w:rsidRPr="004B73E5">
              <w:rPr>
                <w:rFonts w:ascii="Verdana" w:hAnsi="Verdana" w:cs="Arial"/>
              </w:rPr>
              <w:t>.</w:t>
            </w:r>
            <w:r>
              <w:rPr>
                <w:rFonts w:ascii="Verdana" w:hAnsi="Verdana" w:cs="Arial"/>
              </w:rPr>
              <w:t xml:space="preserve"> Por tanto, salvo que las partes hayan admitido expresamente marcas equivalentes, debe existir identidad entre la contratada por la entidad y la suministrada por el contratista, so pena de cumplimiento imperfecto conforme al artículo 1613 </w:t>
            </w:r>
            <w:r w:rsidRPr="003552EC">
              <w:rPr>
                <w:rFonts w:ascii="Verdana" w:hAnsi="Verdana" w:cs="Arial"/>
                <w:i/>
                <w:iCs/>
              </w:rPr>
              <w:t>ibidem</w:t>
            </w:r>
            <w:r>
              <w:rPr>
                <w:rFonts w:ascii="Verdana" w:hAnsi="Verdana" w:cs="Arial"/>
              </w:rPr>
              <w:t>.</w:t>
            </w:r>
            <w:r>
              <w:rPr>
                <w:rFonts w:ascii="Verdana" w:hAnsi="Verdana" w:cs="Arial"/>
                <w:color w:val="000000" w:themeColor="text1"/>
              </w:rPr>
              <w:t xml:space="preserve"> </w:t>
            </w:r>
            <w:r>
              <w:rPr>
                <w:rFonts w:ascii="Verdana" w:eastAsia="Calibri" w:hAnsi="Verdana" w:cs="Arial"/>
                <w:color w:val="000000" w:themeColor="text1"/>
              </w:rPr>
              <w:t xml:space="preserve">  </w:t>
            </w:r>
          </w:p>
          <w:p w14:paraId="26C45D34" w14:textId="77777777" w:rsidR="00F20E33" w:rsidRPr="001941FD" w:rsidRDefault="00F20E33" w:rsidP="00DE40D4">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941A55F" w14:textId="77777777" w:rsidR="00F20E33" w:rsidRPr="00593A5F" w:rsidRDefault="00F20E33" w:rsidP="00F20E33">
      <w:pPr>
        <w:tabs>
          <w:tab w:val="left" w:pos="142"/>
          <w:tab w:val="left" w:pos="284"/>
        </w:tabs>
        <w:spacing w:after="0" w:line="276" w:lineRule="auto"/>
        <w:jc w:val="both"/>
        <w:rPr>
          <w:rFonts w:ascii="Verdana" w:eastAsia="Century Gothic" w:hAnsi="Verdana" w:cs="Century Gothic"/>
          <w:b/>
          <w:bCs/>
          <w:lang w:val="es-ES"/>
        </w:rPr>
      </w:pPr>
    </w:p>
    <w:bookmarkEnd w:id="1"/>
    <w:p w14:paraId="7672004E" w14:textId="77777777" w:rsidR="00F20E33" w:rsidRPr="00593A5F" w:rsidRDefault="00F20E33" w:rsidP="00F20E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E82A587" w14:textId="77777777" w:rsidR="00F20E33" w:rsidRPr="00593A5F" w:rsidRDefault="00F20E33" w:rsidP="00F20E33">
      <w:pPr>
        <w:spacing w:after="0" w:line="276" w:lineRule="auto"/>
        <w:jc w:val="both"/>
        <w:rPr>
          <w:rFonts w:ascii="Verdana" w:eastAsia="Calibri" w:hAnsi="Verdana" w:cs="Arial"/>
          <w:color w:val="7030A0"/>
          <w:lang w:val="es-ES"/>
        </w:rPr>
      </w:pPr>
    </w:p>
    <w:p w14:paraId="4514E2D1" w14:textId="77777777" w:rsidR="00F20E33" w:rsidRDefault="00F20E33" w:rsidP="00F20E3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D4E3D4C" w14:textId="77777777" w:rsidR="00F20E33" w:rsidRPr="00415608" w:rsidRDefault="00F20E33" w:rsidP="00F20E33">
      <w:pPr>
        <w:spacing w:after="0" w:line="276" w:lineRule="auto"/>
        <w:jc w:val="both"/>
        <w:rPr>
          <w:rFonts w:ascii="Verdana" w:eastAsia="Calibri" w:hAnsi="Verdana" w:cs="Arial"/>
          <w:lang w:val="es-ES"/>
        </w:rPr>
      </w:pPr>
    </w:p>
    <w:p w14:paraId="4D92707D" w14:textId="77777777" w:rsidR="00F20E33" w:rsidRPr="00B46EAD" w:rsidRDefault="00F20E33" w:rsidP="00F20E33">
      <w:pPr>
        <w:spacing w:after="120" w:line="276" w:lineRule="auto"/>
        <w:jc w:val="both"/>
        <w:rPr>
          <w:rFonts w:ascii="Verdana" w:eastAsia="Calibri" w:hAnsi="Verdana" w:cs="Arial"/>
          <w:color w:val="000000"/>
          <w:szCs w:val="24"/>
          <w:lang w:val="es-ES_tradnl" w:eastAsia="es-ES_tradnl"/>
        </w:rPr>
      </w:pPr>
      <w:r>
        <w:rPr>
          <w:rFonts w:ascii="Verdana" w:eastAsia="Calibri" w:hAnsi="Verdana" w:cs="Arial"/>
          <w:color w:val="000000" w:themeColor="text1"/>
        </w:rPr>
        <w:t xml:space="preserve">i. </w:t>
      </w:r>
      <w:r w:rsidRPr="0086479C">
        <w:rPr>
          <w:rFonts w:ascii="Verdana" w:eastAsia="Calibri" w:hAnsi="Verdana" w:cs="Arial"/>
          <w:color w:val="000000"/>
          <w:szCs w:val="24"/>
          <w:lang w:val="es-ES_tradnl" w:eastAsia="es-ES_tradnl"/>
        </w:rPr>
        <w:t>P</w:t>
      </w:r>
      <w:r w:rsidRPr="0086479C">
        <w:rPr>
          <w:rFonts w:ascii="Verdana" w:hAnsi="Verdana" w:cs="Arial"/>
          <w:lang w:val="es-ES"/>
        </w:rPr>
        <w:t xml:space="preserve">ara las entidades sometidas al Estatuto General de Contratación de la Administración Pública, los procesos de selección se rigen por </w:t>
      </w:r>
      <w:r w:rsidRPr="0086479C">
        <w:rPr>
          <w:rFonts w:ascii="Verdana" w:hAnsi="Verdana" w:cs="Arial"/>
          <w:bCs/>
          <w:lang w:val="es-ES_tradnl"/>
        </w:rPr>
        <w:t>el artículo 2 de la Ley 1150 de 2007</w:t>
      </w:r>
      <w:r w:rsidRPr="0086479C">
        <w:rPr>
          <w:rFonts w:ascii="Verdana" w:hAnsi="Verdana" w:cs="Arial"/>
          <w:lang w:val="es-ES"/>
        </w:rPr>
        <w:t xml:space="preserve">. El </w:t>
      </w:r>
      <w:r w:rsidRPr="0086479C">
        <w:rPr>
          <w:rFonts w:ascii="Verdana" w:eastAsia="Calibri" w:hAnsi="Verdana" w:cs="Arial"/>
          <w:bCs/>
          <w:lang w:val="es-MX" w:eastAsia="es-ES_tradnl"/>
        </w:rPr>
        <w:t>numeral uno, inciso primero, de la norma citada</w:t>
      </w:r>
      <w:r w:rsidRPr="0086479C">
        <w:rPr>
          <w:rFonts w:ascii="Verdana" w:hAnsi="Verdana" w:cs="Arial"/>
          <w:bCs/>
          <w:lang w:val="es-ES_tradnl"/>
        </w:rPr>
        <w:t xml:space="preserve"> </w:t>
      </w:r>
      <w:r w:rsidRPr="0086479C">
        <w:rPr>
          <w:rFonts w:ascii="Verdana" w:eastAsia="Calibri" w:hAnsi="Verdana" w:cs="Arial"/>
          <w:bCs/>
          <w:lang w:val="es-MX" w:eastAsia="es-ES_tradnl"/>
        </w:rPr>
        <w:t xml:space="preserve">dispone que “La escogencia del contratista se efectuará por </w:t>
      </w:r>
      <w:r w:rsidRPr="0086479C">
        <w:rPr>
          <w:rFonts w:ascii="Verdana" w:eastAsia="Calibri" w:hAnsi="Verdana" w:cs="Arial"/>
          <w:bCs/>
          <w:i/>
          <w:iCs/>
          <w:lang w:val="es-MX" w:eastAsia="es-ES_tradnl"/>
        </w:rPr>
        <w:t>regla general</w:t>
      </w:r>
      <w:r w:rsidRPr="0086479C">
        <w:rPr>
          <w:rFonts w:ascii="Verdana" w:eastAsia="Calibri" w:hAnsi="Verdana" w:cs="Arial"/>
          <w:bCs/>
          <w:lang w:val="es-MX" w:eastAsia="es-ES_tradnl"/>
        </w:rPr>
        <w:t xml:space="preserve"> a través de licitación pública, con las </w:t>
      </w:r>
      <w:r w:rsidRPr="0086479C">
        <w:rPr>
          <w:rFonts w:ascii="Verdana" w:eastAsia="Calibri" w:hAnsi="Verdana" w:cs="Arial"/>
          <w:bCs/>
          <w:i/>
          <w:iCs/>
          <w:lang w:val="es-MX" w:eastAsia="es-ES_tradnl"/>
        </w:rPr>
        <w:t>excepciones</w:t>
      </w:r>
      <w:r w:rsidRPr="0086479C">
        <w:rPr>
          <w:rFonts w:ascii="Verdana" w:eastAsia="Calibri" w:hAnsi="Verdana" w:cs="Arial"/>
          <w:bCs/>
          <w:lang w:val="es-MX" w:eastAsia="es-ES_tradnl"/>
        </w:rPr>
        <w:t xml:space="preserve"> que se señalan en los numerales 2, 3 y 4 del presente artículo”, norma que sustituye el derogado numeral 1 del artículo 24 de la Ley 80 de 1993 sobre el principio de transparencia</w:t>
      </w:r>
      <w:r w:rsidRPr="0086479C">
        <w:rPr>
          <w:rStyle w:val="Refdenotaalpie"/>
          <w:rFonts w:ascii="Verdana" w:eastAsia="Calibri" w:hAnsi="Verdana" w:cs="Arial"/>
          <w:bCs/>
          <w:lang w:val="es-MX" w:eastAsia="es-ES_tradnl"/>
        </w:rPr>
        <w:footnoteReference w:id="2"/>
      </w:r>
      <w:r w:rsidRPr="0086479C">
        <w:rPr>
          <w:rFonts w:ascii="Verdana" w:eastAsia="Calibri" w:hAnsi="Verdana" w:cs="Arial"/>
          <w:bCs/>
          <w:lang w:val="es-MX" w:eastAsia="es-ES_tradnl"/>
        </w:rPr>
        <w:t xml:space="preserve">. </w:t>
      </w:r>
    </w:p>
    <w:p w14:paraId="05F24A20" w14:textId="77777777" w:rsidR="00F20E33" w:rsidRPr="00185EE9" w:rsidRDefault="00F20E33" w:rsidP="00F20E33">
      <w:pPr>
        <w:spacing w:after="120" w:line="276" w:lineRule="auto"/>
        <w:ind w:firstLine="708"/>
        <w:jc w:val="both"/>
        <w:rPr>
          <w:rFonts w:ascii="Verdana" w:eastAsia="Calibri" w:hAnsi="Verdana" w:cs="Arial"/>
          <w:bCs/>
          <w:lang w:val="es-MX" w:eastAsia="es-ES_tradnl"/>
        </w:rPr>
      </w:pPr>
      <w:r w:rsidRPr="00185EE9">
        <w:rPr>
          <w:rFonts w:ascii="Verdana" w:eastAsia="Calibri" w:hAnsi="Verdana" w:cs="Arial"/>
          <w:bCs/>
          <w:lang w:val="es-MX" w:eastAsia="es-ES_tradnl"/>
        </w:rPr>
        <w:t>Salvo norma especial que ordene la celebración del negocio jurídico por otra modalidad de selección, debe aplicarse la regla general de licitación pública</w:t>
      </w:r>
      <w:r w:rsidRPr="00185EE9">
        <w:rPr>
          <w:rStyle w:val="Refdenotaalpie"/>
          <w:rFonts w:ascii="Verdana" w:eastAsia="Calibri" w:hAnsi="Verdana" w:cs="Arial"/>
          <w:bCs/>
          <w:lang w:val="es-MX" w:eastAsia="es-ES_tradnl"/>
        </w:rPr>
        <w:footnoteReference w:id="3"/>
      </w:r>
      <w:r w:rsidRPr="00185EE9">
        <w:rPr>
          <w:rFonts w:ascii="Verdana" w:eastAsia="Calibri" w:hAnsi="Verdana" w:cs="Arial"/>
          <w:bCs/>
          <w:lang w:val="es-MX" w:eastAsia="es-ES_tradnl"/>
        </w:rPr>
        <w:t xml:space="preserve">. Por ello, dependiendo del objeto o el valor de presupuesto oficial, es </w:t>
      </w:r>
      <w:r w:rsidRPr="00185EE9">
        <w:rPr>
          <w:rFonts w:ascii="Verdana" w:eastAsia="Calibri" w:hAnsi="Verdana" w:cs="Arial"/>
          <w:bCs/>
          <w:lang w:val="es-MX" w:eastAsia="es-ES_tradnl"/>
        </w:rPr>
        <w:lastRenderedPageBreak/>
        <w:t>posible la aplicación de otros procedimientos contractuales. Estos pueden ser con pluralidad de oferentes –v. gr. la selección abreviada de menor cuantía o la mínima cuantía– o sin concurrencia de proponentes –por ejemplo, la contratación directa–.</w:t>
      </w:r>
    </w:p>
    <w:p w14:paraId="3B125184" w14:textId="77777777" w:rsidR="00F20E33" w:rsidRPr="00185EE9" w:rsidRDefault="00F20E33" w:rsidP="00F20E33">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t xml:space="preserve">Respecto a la selección abreviada, </w:t>
      </w:r>
      <w:r w:rsidRPr="00185EE9">
        <w:rPr>
          <w:rFonts w:ascii="Verdana" w:eastAsia="Calibri" w:hAnsi="Verdana" w:cs="Arial"/>
        </w:rPr>
        <w:t>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185EE9">
        <w:rPr>
          <w:rStyle w:val="Refdenotaalpie"/>
          <w:rFonts w:ascii="Verdana" w:eastAsia="Calibri" w:hAnsi="Verdana" w:cs="Arial"/>
        </w:rPr>
        <w:footnoteReference w:id="4"/>
      </w:r>
      <w:r w:rsidRPr="00185EE9">
        <w:rPr>
          <w:rFonts w:ascii="Verdana" w:eastAsia="Calibri" w:hAnsi="Verdana" w:cs="Arial"/>
        </w:rPr>
        <w:t xml:space="preserve">. </w:t>
      </w:r>
    </w:p>
    <w:p w14:paraId="48CE0F04" w14:textId="77777777" w:rsidR="00F20E33" w:rsidRPr="00185EE9" w:rsidRDefault="00F20E33" w:rsidP="00F20E33">
      <w:pPr>
        <w:spacing w:after="0" w:line="276" w:lineRule="auto"/>
        <w:ind w:firstLine="708"/>
        <w:jc w:val="both"/>
        <w:rPr>
          <w:rFonts w:ascii="Verdana" w:eastAsia="Calibri" w:hAnsi="Verdana" w:cs="Arial"/>
        </w:rPr>
      </w:pPr>
      <w:r w:rsidRPr="00185EE9">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 En la exposición de motivos se explica lo siguiente:</w:t>
      </w:r>
    </w:p>
    <w:p w14:paraId="2422F308" w14:textId="77777777" w:rsidR="00F20E33" w:rsidRPr="00185EE9" w:rsidRDefault="00F20E33" w:rsidP="00F20E33">
      <w:pPr>
        <w:spacing w:after="0" w:line="276" w:lineRule="auto"/>
        <w:jc w:val="both"/>
        <w:rPr>
          <w:rFonts w:ascii="Verdana" w:eastAsia="Calibri" w:hAnsi="Verdana" w:cs="Arial"/>
        </w:rPr>
      </w:pPr>
    </w:p>
    <w:p w14:paraId="6BD246EE" w14:textId="77777777" w:rsidR="00F20E33" w:rsidRPr="00C13B02" w:rsidRDefault="00F20E33" w:rsidP="00F20E33">
      <w:pPr>
        <w:spacing w:after="120" w:line="240" w:lineRule="auto"/>
        <w:ind w:left="709" w:right="709"/>
        <w:jc w:val="both"/>
        <w:rPr>
          <w:rFonts w:ascii="Verdana" w:eastAsia="Calibri" w:hAnsi="Verdana" w:cs="Arial"/>
          <w:sz w:val="20"/>
          <w:szCs w:val="20"/>
        </w:rPr>
      </w:pPr>
      <w:r w:rsidRPr="00C13B02">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7CF80E2B" w14:textId="77777777" w:rsidR="00F20E33" w:rsidRPr="00185EE9" w:rsidRDefault="00F20E33" w:rsidP="00F20E33">
      <w:pPr>
        <w:spacing w:after="0" w:line="240" w:lineRule="auto"/>
        <w:ind w:left="709" w:right="709"/>
        <w:jc w:val="both"/>
        <w:rPr>
          <w:rFonts w:ascii="Verdana" w:eastAsia="Calibri" w:hAnsi="Verdana" w:cs="Arial"/>
          <w:sz w:val="21"/>
          <w:szCs w:val="21"/>
        </w:rPr>
      </w:pPr>
      <w:r w:rsidRPr="00C13B02">
        <w:rPr>
          <w:rFonts w:ascii="Verdana" w:eastAsia="Calibri" w:hAnsi="Verdana" w:cs="Arial"/>
          <w:sz w:val="20"/>
          <w:szCs w:val="20"/>
        </w:rPr>
        <w:t>– Se crea la llamada ‘selección abreviada’, para permitir la existencia de procedimientos de selección que, basados estrictamente en los principios cardinales de la contratación pública, permitan de manera ágil la adopción de decisiones de selección […]”</w:t>
      </w:r>
      <w:r w:rsidRPr="00C13B02">
        <w:rPr>
          <w:rStyle w:val="Refdenotaalpie"/>
          <w:rFonts w:ascii="Verdana" w:eastAsia="Calibri" w:hAnsi="Verdana" w:cs="Arial"/>
          <w:sz w:val="20"/>
          <w:szCs w:val="20"/>
        </w:rPr>
        <w:footnoteReference w:id="5"/>
      </w:r>
      <w:r w:rsidRPr="00C13B02">
        <w:rPr>
          <w:rFonts w:ascii="Verdana" w:eastAsia="Calibri" w:hAnsi="Verdana" w:cs="Arial"/>
          <w:sz w:val="20"/>
          <w:szCs w:val="20"/>
        </w:rPr>
        <w:t>.</w:t>
      </w:r>
    </w:p>
    <w:p w14:paraId="5344959C" w14:textId="77777777" w:rsidR="00F20E33" w:rsidRPr="00185EE9" w:rsidRDefault="00F20E33" w:rsidP="00F20E33">
      <w:pPr>
        <w:spacing w:after="0" w:line="276" w:lineRule="auto"/>
        <w:jc w:val="both"/>
        <w:rPr>
          <w:rFonts w:ascii="Verdana" w:eastAsia="Calibri" w:hAnsi="Verdana" w:cs="Arial"/>
        </w:rPr>
      </w:pPr>
    </w:p>
    <w:p w14:paraId="092C639B" w14:textId="77777777" w:rsidR="00F20E33" w:rsidRPr="00185EE9" w:rsidRDefault="00F20E33" w:rsidP="00F20E33">
      <w:pPr>
        <w:spacing w:after="120" w:line="276" w:lineRule="auto"/>
        <w:ind w:firstLine="709"/>
        <w:jc w:val="both"/>
        <w:rPr>
          <w:rFonts w:ascii="Verdana" w:eastAsia="Calibri" w:hAnsi="Verdana" w:cs="Arial"/>
        </w:rPr>
      </w:pPr>
      <w:r w:rsidRPr="00185EE9">
        <w:rPr>
          <w:rFonts w:ascii="Verdana" w:eastAsia="Calibri" w:hAnsi="Verdana" w:cs="Arial"/>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eastAsia="Calibri" w:hAnsi="Verdana" w:cs="Arial"/>
        </w:rPr>
        <w:footnoteReference w:id="6"/>
      </w:r>
      <w:r w:rsidRPr="00185EE9">
        <w:rPr>
          <w:rFonts w:ascii="Verdana" w:eastAsia="Calibri" w:hAnsi="Verdana" w:cs="Arial"/>
        </w:rPr>
        <w:t xml:space="preserve">. </w:t>
      </w:r>
    </w:p>
    <w:p w14:paraId="06F5F44C" w14:textId="77777777" w:rsidR="00F20E33" w:rsidRPr="00185EE9" w:rsidRDefault="00F20E33" w:rsidP="00F20E33">
      <w:pPr>
        <w:spacing w:after="120" w:line="276" w:lineRule="auto"/>
        <w:ind w:firstLine="709"/>
        <w:jc w:val="both"/>
        <w:rPr>
          <w:rFonts w:ascii="Verdana" w:eastAsia="Calibri" w:hAnsi="Verdana" w:cs="Arial"/>
          <w:color w:val="000000"/>
          <w:szCs w:val="24"/>
          <w:lang w:val="es-ES_tradnl" w:eastAsia="es-ES_tradnl"/>
        </w:rPr>
      </w:pPr>
      <w:r w:rsidRPr="00185EE9">
        <w:rPr>
          <w:rFonts w:ascii="Verdana" w:eastAsia="Calibri" w:hAnsi="Verdana"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w:t>
      </w:r>
      <w:r w:rsidRPr="00185EE9">
        <w:rPr>
          <w:rFonts w:ascii="Verdana" w:eastAsia="Calibri" w:hAnsi="Verdana" w:cs="Arial"/>
          <w:color w:val="000000"/>
          <w:szCs w:val="24"/>
          <w:lang w:val="es-ES_tradnl" w:eastAsia="es-ES_tradnl"/>
        </w:rPr>
        <w:lastRenderedPageBreak/>
        <w:t xml:space="preserve">entender su alcance, es necesario tener en cuenta que </w:t>
      </w:r>
      <w:r w:rsidRPr="00185EE9">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185EE9">
        <w:rPr>
          <w:rStyle w:val="Refdenotaalpie"/>
          <w:rFonts w:ascii="Verdana" w:eastAsia="Calibri" w:hAnsi="Verdana" w:cs="Arial"/>
          <w:bCs/>
          <w:color w:val="000000" w:themeColor="text1"/>
        </w:rPr>
        <w:footnoteReference w:id="7"/>
      </w:r>
      <w:r w:rsidRPr="00185EE9">
        <w:rPr>
          <w:rFonts w:ascii="Verdana" w:eastAsia="Calibri" w:hAnsi="Verdana" w:cs="Arial"/>
          <w:bCs/>
          <w:color w:val="000000" w:themeColor="text1"/>
        </w:rPr>
        <w:t xml:space="preserve">. </w:t>
      </w:r>
    </w:p>
    <w:p w14:paraId="24A9C9EC" w14:textId="77777777" w:rsidR="00F20E33" w:rsidRPr="00185EE9" w:rsidRDefault="00F20E33" w:rsidP="00F20E33">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20B4330F" w14:textId="77777777" w:rsidR="00F20E33" w:rsidRPr="00185EE9" w:rsidRDefault="00F20E33" w:rsidP="00F20E33">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w:t>
      </w:r>
      <w:r w:rsidRPr="00185EE9">
        <w:rPr>
          <w:rFonts w:ascii="Verdana" w:eastAsia="Calibri" w:hAnsi="Verdana" w:cs="Arial"/>
          <w:bCs/>
          <w:color w:val="000000" w:themeColor="text1"/>
        </w:rPr>
        <w:lastRenderedPageBreak/>
        <w:t>interesado en adquirirlos”</w:t>
      </w:r>
      <w:r w:rsidRPr="00185EE9">
        <w:rPr>
          <w:rStyle w:val="Refdenotaalpie"/>
          <w:rFonts w:ascii="Verdana" w:eastAsia="Calibri" w:hAnsi="Verdana" w:cs="Arial"/>
          <w:bCs/>
          <w:color w:val="000000" w:themeColor="text1"/>
        </w:rPr>
        <w:footnoteReference w:id="8"/>
      </w:r>
      <w:r w:rsidRPr="00185EE9">
        <w:rPr>
          <w:rFonts w:ascii="Verdana" w:eastAsia="Calibri" w:hAnsi="Verdana" w:cs="Arial"/>
          <w:bCs/>
          <w:color w:val="000000" w:themeColor="text1"/>
        </w:rPr>
        <w:t xml:space="preserve">.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eastAsia="Calibri" w:hAnsi="Verdana" w:cs="Arial"/>
          <w:bCs/>
          <w:color w:val="000000" w:themeColor="text1"/>
        </w:rPr>
        <w:footnoteReference w:id="9"/>
      </w:r>
      <w:r w:rsidRPr="00185EE9">
        <w:rPr>
          <w:rFonts w:ascii="Verdana" w:eastAsia="Calibri" w:hAnsi="Verdana" w:cs="Arial"/>
          <w:bCs/>
          <w:color w:val="000000" w:themeColor="text1"/>
        </w:rPr>
        <w:t>.</w:t>
      </w:r>
    </w:p>
    <w:p w14:paraId="3C179580" w14:textId="77777777" w:rsidR="00F20E33" w:rsidRPr="00185EE9" w:rsidRDefault="00F20E33" w:rsidP="00F20E33">
      <w:pPr>
        <w:spacing w:after="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Al respecto, la exposición de motivos de la Ley 1150 de 2007 explica que: </w:t>
      </w:r>
    </w:p>
    <w:p w14:paraId="6FCF1B2D" w14:textId="77777777" w:rsidR="00F20E33" w:rsidRPr="00185EE9" w:rsidRDefault="00F20E33" w:rsidP="00F20E33">
      <w:pPr>
        <w:spacing w:after="0" w:line="276" w:lineRule="auto"/>
        <w:jc w:val="both"/>
        <w:rPr>
          <w:rFonts w:ascii="Verdana" w:eastAsia="Calibri" w:hAnsi="Verdana" w:cs="Arial"/>
        </w:rPr>
      </w:pPr>
    </w:p>
    <w:p w14:paraId="775278B8" w14:textId="77777777" w:rsidR="00F20E33" w:rsidRPr="00C13B02" w:rsidRDefault="00F20E33" w:rsidP="00F20E33">
      <w:pPr>
        <w:spacing w:after="0" w:line="240" w:lineRule="auto"/>
        <w:ind w:left="709" w:right="709"/>
        <w:jc w:val="both"/>
        <w:rPr>
          <w:rFonts w:ascii="Verdana" w:eastAsia="Calibri" w:hAnsi="Verdana" w:cs="Arial"/>
          <w:sz w:val="20"/>
          <w:szCs w:val="20"/>
        </w:rPr>
      </w:pPr>
      <w:r w:rsidRPr="00C13B02">
        <w:rPr>
          <w:rFonts w:ascii="Verdana" w:eastAsia="Calibri" w:hAnsi="Verdana" w:cs="Arial"/>
          <w:sz w:val="20"/>
          <w:szCs w:val="20"/>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Departamento Nacional de Planeación, corresponden a más del 80% en número de contratos. </w:t>
      </w:r>
      <w:r w:rsidRPr="00C13B02">
        <w:rPr>
          <w:rFonts w:ascii="Verdana" w:eastAsia="Calibri" w:hAnsi="Verdana" w:cs="Arial"/>
          <w:i/>
          <w:iCs/>
          <w:sz w:val="20"/>
          <w:szCs w:val="20"/>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C13B02">
        <w:rPr>
          <w:rFonts w:ascii="Verdana" w:eastAsia="Calibri" w:hAnsi="Verdana" w:cs="Arial"/>
          <w:sz w:val="20"/>
          <w:szCs w:val="20"/>
        </w:rPr>
        <w:t xml:space="preserve"> […]”</w:t>
      </w:r>
      <w:r w:rsidRPr="00C13B02">
        <w:rPr>
          <w:rStyle w:val="Refdenotaalpie"/>
          <w:rFonts w:ascii="Verdana" w:eastAsia="Calibri" w:hAnsi="Verdana" w:cs="Arial"/>
          <w:sz w:val="20"/>
          <w:szCs w:val="20"/>
        </w:rPr>
        <w:footnoteReference w:id="10"/>
      </w:r>
      <w:r w:rsidRPr="00C13B02">
        <w:rPr>
          <w:rFonts w:ascii="Verdana" w:eastAsia="Calibri" w:hAnsi="Verdana" w:cs="Arial"/>
          <w:sz w:val="20"/>
          <w:szCs w:val="20"/>
        </w:rPr>
        <w:t>. (Énfasis fuera de texto)</w:t>
      </w:r>
    </w:p>
    <w:p w14:paraId="31EE0FEC" w14:textId="77777777" w:rsidR="00F20E33" w:rsidRPr="00185EE9" w:rsidRDefault="00F20E33" w:rsidP="00F20E33">
      <w:pPr>
        <w:spacing w:after="0" w:line="276" w:lineRule="auto"/>
        <w:jc w:val="both"/>
        <w:rPr>
          <w:rFonts w:ascii="Verdana" w:eastAsia="Calibri" w:hAnsi="Verdana" w:cs="Arial"/>
        </w:rPr>
      </w:pPr>
    </w:p>
    <w:p w14:paraId="14E5ABED" w14:textId="77777777" w:rsidR="00F20E33" w:rsidRPr="00185EE9" w:rsidRDefault="00F20E33" w:rsidP="00F20E33">
      <w:pPr>
        <w:spacing w:after="120" w:line="276" w:lineRule="auto"/>
        <w:ind w:firstLine="709"/>
        <w:jc w:val="both"/>
        <w:rPr>
          <w:rFonts w:ascii="Verdana" w:eastAsia="Calibri" w:hAnsi="Verdana" w:cs="Arial"/>
        </w:rPr>
      </w:pPr>
      <w:r w:rsidRPr="00185EE9">
        <w:rPr>
          <w:rFonts w:ascii="Verdana" w:eastAsia="Calibri" w:hAnsi="Verdana" w:cs="Arial"/>
        </w:rPr>
        <w:t>En este contexto, la doctrina identifica como bienes o servicios de características técnicas los insumos de oficina –bolígrafos, cartuchos de tinta, papel de impresora, tijeras, cuadernos, entre otros–, los insumos de limpieza –</w:t>
      </w:r>
      <w:r w:rsidRPr="00185EE9">
        <w:rPr>
          <w:rFonts w:ascii="Verdana" w:eastAsia="Calibri" w:hAnsi="Verdana" w:cs="Arial"/>
        </w:rPr>
        <w:lastRenderedPageBreak/>
        <w:t>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185EE9">
        <w:rPr>
          <w:rStyle w:val="Refdenotaalpie"/>
          <w:rFonts w:ascii="Verdana" w:eastAsia="Calibri" w:hAnsi="Verdana" w:cs="Arial"/>
        </w:rPr>
        <w:footnoteReference w:id="11"/>
      </w:r>
    </w:p>
    <w:p w14:paraId="4A0158BF" w14:textId="77777777" w:rsidR="00F20E33" w:rsidRDefault="00F20E33" w:rsidP="00F20E33">
      <w:pPr>
        <w:spacing w:after="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que “</w:t>
      </w:r>
      <w:r w:rsidRPr="00C13B02">
        <w:rPr>
          <w:rFonts w:ascii="Verdana" w:eastAsia="Calibri" w:hAnsi="Verdana" w:cs="Arial"/>
          <w:bCs/>
          <w:color w:val="000000" w:themeColor="text1"/>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w:t>
      </w:r>
      <w:r w:rsidRPr="00185EE9">
        <w:rPr>
          <w:rFonts w:ascii="Verdana" w:eastAsia="Calibri" w:hAnsi="Verdana" w:cs="Arial"/>
          <w:bCs/>
          <w:color w:val="000000" w:themeColor="text1"/>
        </w:rPr>
        <w:t>”. Estos mecanismos se aplicarán en la forma que disponga el Decreto 1082 de 2015 para para cada uno de ellos.</w:t>
      </w:r>
    </w:p>
    <w:p w14:paraId="30B67353" w14:textId="77777777" w:rsidR="00F20E33" w:rsidRDefault="00F20E33" w:rsidP="00F20E33">
      <w:pPr>
        <w:spacing w:after="0" w:line="276" w:lineRule="auto"/>
        <w:jc w:val="both"/>
        <w:rPr>
          <w:rFonts w:ascii="Verdana" w:eastAsia="Calibri" w:hAnsi="Verdana" w:cs="Arial"/>
          <w:bCs/>
          <w:color w:val="000000" w:themeColor="text1"/>
        </w:rPr>
      </w:pPr>
    </w:p>
    <w:p w14:paraId="62730C1F" w14:textId="77777777" w:rsidR="00F20E33" w:rsidRPr="00BF22E6" w:rsidRDefault="00F20E33" w:rsidP="00F20E33">
      <w:pPr>
        <w:widowControl w:val="0"/>
        <w:autoSpaceDE w:val="0"/>
        <w:autoSpaceDN w:val="0"/>
        <w:spacing w:after="0" w:line="276" w:lineRule="auto"/>
        <w:jc w:val="both"/>
        <w:rPr>
          <w:rFonts w:ascii="Verdana" w:eastAsia="Arial" w:hAnsi="Verdana" w:cs="Arial"/>
          <w:lang w:val="es-ES"/>
        </w:rPr>
      </w:pP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w:t>
      </w:r>
      <w:r>
        <w:rPr>
          <w:rFonts w:ascii="Verdana" w:eastAsia="Arial" w:hAnsi="Verdana" w:cs="Arial"/>
          <w:lang w:val="es-ES"/>
        </w:rPr>
        <w:t>L</w:t>
      </w:r>
      <w:r w:rsidRPr="00BF22E6">
        <w:rPr>
          <w:rFonts w:ascii="Verdana" w:eastAsia="Arial" w:hAnsi="Verdana" w:cs="Arial"/>
          <w:lang w:val="es-ES"/>
        </w:rPr>
        <w:t>a solicitud o exigencia de marcas ha sido objeto de regulación en los Decretos 2474 de 2008 y 734 de 2012. El parágrafo 3º del artículo 16 del Decreto Reglamentario 2474 de 2008 –ya derogado– prescribía que, para la adquisición de bienes y servicios de características técnicas uniformes, en principio, no se podían exigir marcas, a menos que la satisfacción de la necesidad así lo exigiera:</w:t>
      </w:r>
    </w:p>
    <w:p w14:paraId="72A4DA59" w14:textId="77777777" w:rsidR="00F20E33" w:rsidRPr="00BF22E6" w:rsidRDefault="00F20E33" w:rsidP="00F20E33">
      <w:pPr>
        <w:widowControl w:val="0"/>
        <w:autoSpaceDE w:val="0"/>
        <w:autoSpaceDN w:val="0"/>
        <w:spacing w:before="5" w:after="0" w:line="240" w:lineRule="auto"/>
        <w:ind w:left="709" w:right="709"/>
        <w:rPr>
          <w:rFonts w:ascii="Verdana" w:eastAsia="Arial" w:hAnsi="Verdana" w:cs="Arial"/>
          <w:lang w:val="es-ES"/>
        </w:rPr>
      </w:pPr>
    </w:p>
    <w:p w14:paraId="39598769" w14:textId="77777777" w:rsidR="00F20E33" w:rsidRPr="00BF22E6" w:rsidRDefault="00F20E33" w:rsidP="00F20E33">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“Artículo 16</w:t>
      </w:r>
      <w:r w:rsidRPr="00BF22E6">
        <w:rPr>
          <w:rFonts w:ascii="Verdana" w:eastAsia="Arial" w:hAnsi="Verdana" w:cs="Arial"/>
          <w:b/>
          <w:sz w:val="20"/>
          <w:szCs w:val="20"/>
          <w:lang w:val="es-ES"/>
        </w:rPr>
        <w:t xml:space="preserve">. </w:t>
      </w:r>
      <w:r w:rsidRPr="00BF22E6">
        <w:rPr>
          <w:rFonts w:ascii="Verdana" w:eastAsia="Arial" w:hAnsi="Verdana" w:cs="Arial"/>
          <w:i/>
          <w:sz w:val="20"/>
          <w:szCs w:val="20"/>
          <w:lang w:val="es-ES"/>
        </w:rPr>
        <w:t>Bienes y servicios de características técnicas uniformes y de común utilización</w:t>
      </w:r>
      <w:r w:rsidRPr="00BF22E6">
        <w:rPr>
          <w:rFonts w:ascii="Verdana" w:eastAsia="Arial" w:hAnsi="Verdana" w:cs="Arial"/>
          <w:sz w:val="20"/>
          <w:szCs w:val="20"/>
          <w:lang w:val="es-ES"/>
        </w:rPr>
        <w:t>. Son bienes y servicios de características técnicas uniformes y de común utilización aquellos que poseen las mismas especificaciones técnicas, con independencia de su diseño o de sus características descriptivas, y comparten patrones de desempeño y calidad objetivamente definidos.</w:t>
      </w:r>
    </w:p>
    <w:p w14:paraId="3AACA362" w14:textId="77777777" w:rsidR="00F20E33" w:rsidRPr="00BF22E6" w:rsidRDefault="00F20E33" w:rsidP="00F20E33">
      <w:pPr>
        <w:widowControl w:val="0"/>
        <w:autoSpaceDE w:val="0"/>
        <w:autoSpaceDN w:val="0"/>
        <w:spacing w:after="120" w:line="240" w:lineRule="auto"/>
        <w:ind w:left="709" w:right="709"/>
        <w:rPr>
          <w:rFonts w:ascii="Verdana" w:eastAsia="Arial" w:hAnsi="Verdana" w:cs="Arial"/>
          <w:sz w:val="20"/>
          <w:szCs w:val="20"/>
          <w:lang w:val="es-ES"/>
        </w:rPr>
      </w:pPr>
      <w:r w:rsidRPr="00BF22E6">
        <w:rPr>
          <w:rFonts w:ascii="Verdana" w:eastAsia="Arial" w:hAnsi="Verdana" w:cs="Arial"/>
          <w:sz w:val="20"/>
          <w:szCs w:val="20"/>
          <w:lang w:val="es-ES"/>
        </w:rPr>
        <w:t>[…]</w:t>
      </w:r>
    </w:p>
    <w:p w14:paraId="0C04B115" w14:textId="77777777" w:rsidR="00F20E33" w:rsidRPr="00BF22E6" w:rsidRDefault="00F20E33" w:rsidP="00F20E33">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Parágrafo 3°. No se individualizarán los bienes o servicios de carácter homogéneo mediante el uso de marcas, salvo que la satisfacción de la necesidad de que se trate así lo exija, circunstancia esta que deberá acreditarse en los estudios previos elaborados por la entidad, sin que la justificación pueda basarse en consideraciones puramente</w:t>
      </w:r>
      <w:r w:rsidRPr="00BF22E6">
        <w:rPr>
          <w:rFonts w:ascii="Verdana" w:eastAsia="Arial" w:hAnsi="Verdana" w:cs="Arial"/>
          <w:spacing w:val="-2"/>
          <w:sz w:val="20"/>
          <w:szCs w:val="20"/>
          <w:lang w:val="es-ES"/>
        </w:rPr>
        <w:t xml:space="preserve"> </w:t>
      </w:r>
      <w:r w:rsidRPr="00BF22E6">
        <w:rPr>
          <w:rFonts w:ascii="Verdana" w:eastAsia="Arial" w:hAnsi="Verdana" w:cs="Arial"/>
          <w:sz w:val="20"/>
          <w:szCs w:val="20"/>
          <w:lang w:val="es-ES"/>
        </w:rPr>
        <w:t>subjetivas”.</w:t>
      </w:r>
    </w:p>
    <w:p w14:paraId="2B0A3B3C" w14:textId="77777777" w:rsidR="00F20E33" w:rsidRPr="00BF22E6" w:rsidRDefault="00F20E33" w:rsidP="00F20E33">
      <w:pPr>
        <w:widowControl w:val="0"/>
        <w:autoSpaceDE w:val="0"/>
        <w:autoSpaceDN w:val="0"/>
        <w:spacing w:before="5" w:after="0" w:line="240" w:lineRule="auto"/>
        <w:rPr>
          <w:rFonts w:ascii="Verdana" w:eastAsia="Arial" w:hAnsi="Verdana" w:cs="Arial"/>
          <w:lang w:val="es-ES"/>
        </w:rPr>
      </w:pPr>
    </w:p>
    <w:p w14:paraId="428F4703" w14:textId="77777777" w:rsidR="00F20E33" w:rsidRPr="00BF22E6" w:rsidRDefault="00F20E33" w:rsidP="00F20E33">
      <w:pPr>
        <w:widowControl w:val="0"/>
        <w:autoSpaceDE w:val="0"/>
        <w:autoSpaceDN w:val="0"/>
        <w:spacing w:after="120" w:line="276" w:lineRule="auto"/>
        <w:ind w:right="110" w:firstLine="708"/>
        <w:jc w:val="both"/>
        <w:rPr>
          <w:rFonts w:ascii="Verdana" w:eastAsia="Arial" w:hAnsi="Verdana" w:cs="Arial"/>
          <w:lang w:val="es-ES"/>
        </w:rPr>
      </w:pPr>
      <w:r w:rsidRPr="00BF22E6">
        <w:rPr>
          <w:rFonts w:ascii="Verdana" w:eastAsia="Arial" w:hAnsi="Verdana" w:cs="Arial"/>
          <w:lang w:val="es-ES"/>
        </w:rPr>
        <w:t>Esta norma fue derogada, pero el contenido fue adoptado nuevamente por el parágrafo 3º del artículo 3.2.1.1 del Decreto 734 del 2012, que también sería derogado por el artículo 163 del Decreto 1510 de 2013</w:t>
      </w:r>
      <w:r w:rsidRPr="00BF22E6">
        <w:rPr>
          <w:rStyle w:val="Refdenotaalpie"/>
          <w:rFonts w:ascii="Verdana" w:hAnsi="Verdana"/>
        </w:rPr>
        <w:footnoteReference w:id="12"/>
      </w:r>
      <w:r w:rsidRPr="00BF22E6">
        <w:rPr>
          <w:rFonts w:ascii="Verdana" w:eastAsia="Arial" w:hAnsi="Verdana" w:cs="Arial"/>
          <w:lang w:val="es-ES"/>
        </w:rPr>
        <w:t xml:space="preserve">. No obstante, se resalta de estas normas reglamentarias derogadas la instauración de una regla general sobre la imposibilidad de exigir marcas, pero limitada a la compra de bienes y servicios de características técnicas uniformes y, además, la inclusión de una excepción, de conformidad con la cual la entidad podía solicitar este tipo de bienes con una marca específica cuando </w:t>
      </w:r>
      <w:r>
        <w:rPr>
          <w:rFonts w:ascii="Verdana" w:eastAsia="Times New Roman" w:hAnsi="Verdana" w:cs="Arial"/>
          <w:iCs/>
          <w:szCs w:val="24"/>
          <w:lang w:val="es-ES_tradnl" w:eastAsia="es-ES_tradnl"/>
        </w:rPr>
        <w:t>“</w:t>
      </w:r>
      <w:r w:rsidRPr="00BF22E6">
        <w:rPr>
          <w:rFonts w:ascii="Verdana" w:eastAsia="Arial" w:hAnsi="Verdana" w:cs="Arial"/>
          <w:lang w:val="es-ES"/>
        </w:rPr>
        <w:t>la satisfacción de la necesidad de que se trate así lo exija</w:t>
      </w:r>
      <w:r>
        <w:rPr>
          <w:rFonts w:ascii="Verdana" w:eastAsia="Arial" w:hAnsi="Verdana" w:cs="Arial"/>
          <w:lang w:val="es-ES"/>
        </w:rPr>
        <w:t>”</w:t>
      </w:r>
      <w:r w:rsidRPr="00BF22E6">
        <w:rPr>
          <w:rFonts w:ascii="Verdana" w:eastAsia="Arial" w:hAnsi="Verdana" w:cs="Arial"/>
          <w:lang w:val="es-ES"/>
        </w:rPr>
        <w:t>, situación que debía quedar suficiente y debidamente sustentada en los pliegos de</w:t>
      </w:r>
      <w:r w:rsidRPr="00BF22E6">
        <w:rPr>
          <w:rFonts w:ascii="Verdana" w:eastAsia="Arial" w:hAnsi="Verdana" w:cs="Arial"/>
          <w:spacing w:val="-8"/>
          <w:lang w:val="es-ES"/>
        </w:rPr>
        <w:t xml:space="preserve"> </w:t>
      </w:r>
      <w:r w:rsidRPr="00BF22E6">
        <w:rPr>
          <w:rFonts w:ascii="Verdana" w:eastAsia="Arial" w:hAnsi="Verdana" w:cs="Arial"/>
          <w:lang w:val="es-ES"/>
        </w:rPr>
        <w:t>condiciones.</w:t>
      </w:r>
    </w:p>
    <w:p w14:paraId="0DA40C3E" w14:textId="77777777" w:rsidR="00F20E33" w:rsidRPr="00BF22E6" w:rsidRDefault="00F20E33" w:rsidP="00F20E33">
      <w:pPr>
        <w:widowControl w:val="0"/>
        <w:autoSpaceDE w:val="0"/>
        <w:autoSpaceDN w:val="0"/>
        <w:spacing w:after="120" w:line="276" w:lineRule="auto"/>
        <w:ind w:right="107"/>
        <w:jc w:val="both"/>
        <w:rPr>
          <w:rFonts w:ascii="Verdana" w:eastAsia="Arial" w:hAnsi="Verdana" w:cs="Arial"/>
          <w:lang w:val="es-ES"/>
        </w:rPr>
      </w:pPr>
      <w:r w:rsidRPr="00BF22E6">
        <w:rPr>
          <w:rFonts w:ascii="Verdana" w:eastAsia="Arial" w:hAnsi="Verdana" w:cs="Arial"/>
          <w:lang w:val="es-ES"/>
        </w:rPr>
        <w:tab/>
        <w:t xml:space="preserve">Es necesario advertir que el Decreto 1510 de 2013, que derogó el Decreto 734 de 2012 y que luego fue compilado por el Decreto Único Reglamentario 1082 de 2015, </w:t>
      </w:r>
      <w:r>
        <w:rPr>
          <w:rFonts w:ascii="Verdana" w:eastAsia="Times New Roman" w:hAnsi="Verdana" w:cs="Arial"/>
          <w:iCs/>
          <w:lang w:val="es-ES_tradnl" w:eastAsia="es-ES_tradnl"/>
        </w:rPr>
        <w:t>“</w:t>
      </w:r>
      <w:r w:rsidRPr="00BF22E6">
        <w:rPr>
          <w:rFonts w:ascii="Verdana" w:hAnsi="Verdana" w:cs="Arial"/>
          <w:shd w:val="clear" w:color="auto" w:fill="FFFFFF"/>
        </w:rPr>
        <w:t>Por medio del cual se expide El Decreto Único Reglamentario del Sector Administrativo de Planeación Nacional</w:t>
      </w:r>
      <w:r>
        <w:rPr>
          <w:rFonts w:ascii="Verdana" w:eastAsia="Times New Roman" w:hAnsi="Verdana" w:cs="Arial"/>
          <w:iCs/>
          <w:lang w:val="es-ES_tradnl" w:eastAsia="es-ES_tradnl"/>
        </w:rPr>
        <w:t>”</w:t>
      </w:r>
      <w:r w:rsidRPr="00BF22E6">
        <w:rPr>
          <w:rFonts w:ascii="Verdana" w:eastAsia="Arial" w:hAnsi="Verdana" w:cs="Arial"/>
          <w:lang w:val="es-ES"/>
        </w:rPr>
        <w:t>, eliminó la prohibición de exigir marcas para la compra de bienes de características técnicas uniformes. Es decir, la norma vigente no prohíbe la solicitud de marcas para la compra de este tipo de bienes ni para algún proceso de selección.</w:t>
      </w:r>
    </w:p>
    <w:p w14:paraId="69766B4E" w14:textId="77777777" w:rsidR="00F20E33" w:rsidRPr="00BF22E6" w:rsidRDefault="00F20E33" w:rsidP="00F20E33">
      <w:pPr>
        <w:widowControl w:val="0"/>
        <w:autoSpaceDE w:val="0"/>
        <w:autoSpaceDN w:val="0"/>
        <w:spacing w:after="120" w:line="276" w:lineRule="auto"/>
        <w:ind w:right="107"/>
        <w:jc w:val="both"/>
        <w:rPr>
          <w:rFonts w:ascii="Verdana" w:eastAsia="Times New Roman" w:hAnsi="Verdana" w:cs="Arial"/>
          <w:lang w:eastAsia="es-CO"/>
        </w:rPr>
      </w:pPr>
      <w:r w:rsidRPr="00BF22E6">
        <w:rPr>
          <w:rFonts w:ascii="Verdana" w:eastAsia="Arial" w:hAnsi="Verdana" w:cs="Arial"/>
          <w:lang w:val="es-ES"/>
        </w:rPr>
        <w:tab/>
        <w:t xml:space="preserve">Si bien ni el </w:t>
      </w:r>
      <w:r>
        <w:rPr>
          <w:rFonts w:ascii="Verdana" w:eastAsia="Arial" w:hAnsi="Verdana" w:cs="Arial"/>
          <w:lang w:val="es-ES"/>
        </w:rPr>
        <w:t>EGCAP</w:t>
      </w:r>
      <w:r w:rsidRPr="00BF22E6">
        <w:rPr>
          <w:rFonts w:ascii="Verdana" w:eastAsia="Arial" w:hAnsi="Verdana" w:cs="Arial"/>
          <w:lang w:val="es-ES"/>
        </w:rPr>
        <w:t xml:space="preserve"> ni sus normas reglamentarias prohíben la exigencia de marcas en los procesos de contratación, en algunos tratados de libre comercio suscritos por Colombia se establece la prohibición de su exigencia. A modo de ejemplo, el Tratado de Libre Comercio suscrito entre Colombia y Estados Unidos establece que l</w:t>
      </w:r>
      <w:r w:rsidRPr="00BF22E6">
        <w:rPr>
          <w:rFonts w:ascii="Verdana" w:eastAsia="Times New Roman" w:hAnsi="Verdana" w:cs="Arial"/>
          <w:lang w:eastAsia="es-CO"/>
        </w:rPr>
        <w:t xml:space="preserve">a entidad está obligada a no establecer condiciones técnicas que afecten la participación de los futuros proponentes. De este modo, la entidad debe: i) precisar la especificación técnica, en términos de desempeño y requisitos funcionales; y </w:t>
      </w:r>
      <w:proofErr w:type="spellStart"/>
      <w:r w:rsidRPr="00BF22E6">
        <w:rPr>
          <w:rFonts w:ascii="Verdana" w:eastAsia="Times New Roman" w:hAnsi="Verdana" w:cs="Arial"/>
          <w:lang w:eastAsia="es-CO"/>
        </w:rPr>
        <w:t>ii</w:t>
      </w:r>
      <w:proofErr w:type="spellEnd"/>
      <w:r w:rsidRPr="00BF22E6">
        <w:rPr>
          <w:rFonts w:ascii="Verdana" w:eastAsia="Times New Roman" w:hAnsi="Verdana" w:cs="Arial"/>
          <w:lang w:eastAsia="es-CO"/>
        </w:rPr>
        <w:t xml:space="preserve">) basar las condiciones del producto en estándares internacionales, cuando existan y sean aplicables a la entidad, excepto el uso de un estándar internacional que no cumpla con los requerimientos del programa de la entidad o imponga una carga mayor que el empleo de un estándar nacional reconocido. Por tanto, se prohíben las marcas o nombres comerciales, salvo que no exista otra forma de precisar el bien requerido, pero con la condición de que se describa acompañado de la expresión </w:t>
      </w:r>
      <w:r>
        <w:rPr>
          <w:rFonts w:ascii="Verdana" w:eastAsia="Calibri" w:hAnsi="Verdana" w:cs="Arial"/>
          <w:lang w:val="es-ES"/>
        </w:rPr>
        <w:t>“</w:t>
      </w:r>
      <w:r w:rsidRPr="00BF22E6">
        <w:rPr>
          <w:rFonts w:ascii="Verdana" w:eastAsia="Times New Roman" w:hAnsi="Verdana" w:cs="Arial"/>
          <w:lang w:eastAsia="es-CO"/>
        </w:rPr>
        <w:t>o equivalente</w:t>
      </w:r>
      <w:r>
        <w:rPr>
          <w:rFonts w:ascii="Verdana" w:eastAsia="Calibri" w:hAnsi="Verdana" w:cs="Arial"/>
          <w:color w:val="000000"/>
        </w:rPr>
        <w:t>”</w:t>
      </w:r>
      <w:r w:rsidRPr="00BF22E6">
        <w:rPr>
          <w:rFonts w:ascii="Verdana" w:eastAsia="Times New Roman" w:hAnsi="Verdana" w:cs="Arial"/>
          <w:lang w:eastAsia="es-CO"/>
        </w:rPr>
        <w:t xml:space="preserve">. </w:t>
      </w:r>
      <w:r w:rsidRPr="00BF22E6">
        <w:rPr>
          <w:rFonts w:ascii="Verdana" w:eastAsia="Times New Roman" w:hAnsi="Verdana" w:cs="Arial"/>
          <w:bCs/>
          <w:color w:val="000000"/>
          <w:lang w:val="es-ES" w:eastAsia="es-ES"/>
        </w:rPr>
        <w:t xml:space="preserve">Así mismo, no es posible un asesoramiento para la determinación de las especificaciones técnicas, si hay un interés comercial para </w:t>
      </w:r>
      <w:r w:rsidRPr="00BF22E6">
        <w:rPr>
          <w:rFonts w:ascii="Verdana" w:eastAsia="Times New Roman" w:hAnsi="Verdana" w:cs="Arial"/>
          <w:bCs/>
          <w:color w:val="000000"/>
          <w:lang w:val="es-ES" w:eastAsia="es-ES"/>
        </w:rPr>
        <w:lastRenderedPageBreak/>
        <w:t>participar en el proceso de contratación</w:t>
      </w:r>
      <w:r w:rsidRPr="00BF22E6">
        <w:rPr>
          <w:rStyle w:val="Refdenotaalpie"/>
          <w:rFonts w:ascii="Verdana" w:hAnsi="Verdana"/>
        </w:rPr>
        <w:footnoteReference w:id="13"/>
      </w:r>
      <w:r w:rsidRPr="00BF22E6">
        <w:rPr>
          <w:rFonts w:ascii="Verdana" w:eastAsia="Times New Roman" w:hAnsi="Verdana" w:cs="Arial"/>
          <w:bCs/>
          <w:color w:val="000000"/>
          <w:lang w:val="es-ES" w:eastAsia="es-ES"/>
        </w:rPr>
        <w:t>.</w:t>
      </w:r>
    </w:p>
    <w:p w14:paraId="7EFF85CB" w14:textId="77777777" w:rsidR="00F20E33" w:rsidRDefault="00F20E33" w:rsidP="00F20E33">
      <w:pPr>
        <w:widowControl w:val="0"/>
        <w:autoSpaceDE w:val="0"/>
        <w:autoSpaceDN w:val="0"/>
        <w:spacing w:after="120" w:line="276" w:lineRule="auto"/>
        <w:ind w:right="108"/>
        <w:jc w:val="both"/>
        <w:rPr>
          <w:rFonts w:ascii="Verdana" w:eastAsia="Times New Roman" w:hAnsi="Verdana" w:cs="Arial"/>
          <w:bCs/>
          <w:color w:val="000000"/>
          <w:lang w:val="es-ES" w:eastAsia="es-ES"/>
        </w:rPr>
      </w:pPr>
      <w:r w:rsidRPr="00BF22E6">
        <w:rPr>
          <w:rFonts w:ascii="Verdana" w:eastAsia="Times New Roman" w:hAnsi="Verdana" w:cs="Arial"/>
          <w:lang w:eastAsia="es-CO"/>
        </w:rPr>
        <w:tab/>
        <w:t>En otros tratados de libre comercio suscritos con Colombia se aplican estas mismas reglas de restricción de la exigencia de marcas</w:t>
      </w:r>
      <w:r w:rsidRPr="00BF22E6">
        <w:rPr>
          <w:rStyle w:val="Refdenotaalpie"/>
          <w:rFonts w:ascii="Verdana" w:hAnsi="Verdana"/>
        </w:rPr>
        <w:footnoteReference w:id="14"/>
      </w:r>
      <w:r w:rsidRPr="00BF22E6">
        <w:rPr>
          <w:rFonts w:ascii="Verdana" w:eastAsia="Times New Roman" w:hAnsi="Verdana" w:cs="Arial"/>
          <w:lang w:eastAsia="es-CO"/>
        </w:rPr>
        <w:t xml:space="preserve">. En principio, se niega la posibilidad de que en </w:t>
      </w:r>
      <w:r w:rsidRPr="00BF22E6">
        <w:rPr>
          <w:rFonts w:ascii="Verdana" w:eastAsia="Times New Roman" w:hAnsi="Verdana" w:cs="Arial"/>
          <w:bCs/>
          <w:color w:val="000000"/>
          <w:lang w:val="es-ES" w:eastAsia="es-ES"/>
        </w:rPr>
        <w:t>determinadas circunstancias las entidades destinatarias de los acuerdos comerciales puedan adquirir productos de determinadas marcas, bajo la justificación de las calidades técnicas que esta posea. Lo que busca garantizarse es el principio de transparencia y de igualdad, a pesar de que la marca que establezca la entidad en el Proceso de Contratación sea la más acorde para el cumplimiento del objeto contractual.</w:t>
      </w:r>
    </w:p>
    <w:p w14:paraId="2BBCC39E" w14:textId="77777777" w:rsidR="00F20E33" w:rsidRPr="00BF22E6" w:rsidRDefault="00F20E33" w:rsidP="00F20E33">
      <w:pPr>
        <w:widowControl w:val="0"/>
        <w:autoSpaceDE w:val="0"/>
        <w:autoSpaceDN w:val="0"/>
        <w:spacing w:after="120" w:line="276" w:lineRule="auto"/>
        <w:ind w:right="108"/>
        <w:jc w:val="both"/>
        <w:rPr>
          <w:rFonts w:ascii="Verdana" w:eastAsia="Times New Roman" w:hAnsi="Verdana" w:cs="Arial"/>
          <w:bCs/>
          <w:color w:val="000000"/>
          <w:lang w:val="es-ES" w:eastAsia="es-ES"/>
        </w:rPr>
      </w:pPr>
      <w:r w:rsidRPr="00BF22E6">
        <w:rPr>
          <w:rFonts w:ascii="Verdana" w:eastAsia="Times New Roman" w:hAnsi="Verdana" w:cs="Arial"/>
          <w:bCs/>
          <w:color w:val="000000"/>
          <w:lang w:val="es-ES" w:eastAsia="es-ES"/>
        </w:rPr>
        <w:t xml:space="preserve"> </w:t>
      </w:r>
      <w:r w:rsidRPr="00BF22E6">
        <w:rPr>
          <w:rFonts w:ascii="Verdana" w:eastAsia="Times New Roman" w:hAnsi="Verdana" w:cs="Arial"/>
          <w:bCs/>
          <w:color w:val="000000"/>
          <w:lang w:val="es-ES" w:eastAsia="es-ES"/>
        </w:rPr>
        <w:tab/>
        <w:t xml:space="preserve">Así las cosas, en los Procesos de Contratación que estén sujetos a ciertos tratados de libre comercio –de acuerdo con el ámbito de aplicación, valor del contrato, tipo de bien o servicio– deberá aplicarse la restricción de no exigir marcas, cuando en el correspondiente acuerdo comercial haya quedado pactada tal prohibición. En otras palabras, la prohibición de exigencia de marcas en la configuración de los Pliegos de Condiciones debe tenerse en cuenta en aquellos procesos de contratación sujetos a acuerdos comerciales en los que se establezca dicha restricción. </w:t>
      </w:r>
    </w:p>
    <w:p w14:paraId="03A95C71" w14:textId="77777777" w:rsidR="00F20E33" w:rsidRPr="00BF22E6" w:rsidRDefault="00F20E33" w:rsidP="00F20E33">
      <w:pPr>
        <w:widowControl w:val="0"/>
        <w:autoSpaceDE w:val="0"/>
        <w:autoSpaceDN w:val="0"/>
        <w:spacing w:after="120" w:line="276" w:lineRule="auto"/>
        <w:ind w:right="103"/>
        <w:jc w:val="both"/>
        <w:rPr>
          <w:rFonts w:ascii="Verdana" w:eastAsia="Arial" w:hAnsi="Verdana" w:cs="Arial"/>
          <w:lang w:val="es-ES"/>
        </w:rPr>
      </w:pPr>
      <w:r w:rsidRPr="00BF22E6">
        <w:rPr>
          <w:rFonts w:ascii="Verdana" w:eastAsia="Times New Roman" w:hAnsi="Verdana" w:cs="Arial"/>
          <w:bCs/>
          <w:color w:val="000000"/>
          <w:lang w:val="es-ES" w:eastAsia="es-ES"/>
        </w:rPr>
        <w:tab/>
      </w:r>
      <w:r w:rsidRPr="00BF22E6">
        <w:rPr>
          <w:rFonts w:ascii="Verdana" w:eastAsia="Arial" w:hAnsi="Verdana" w:cs="Arial"/>
          <w:lang w:val="es-ES"/>
        </w:rPr>
        <w:t xml:space="preserve">Lo que se desarrolla en este Concepto es la postura asumida en el Concepto con radicado 2201913000009143 del 11 de diciembre de 2019 y el </w:t>
      </w:r>
      <w:r w:rsidRPr="00BF22E6">
        <w:rPr>
          <w:rFonts w:ascii="Verdana" w:eastAsia="Arial" w:hAnsi="Verdana" w:cs="Arial"/>
          <w:lang w:val="es-ES"/>
        </w:rPr>
        <w:lastRenderedPageBreak/>
        <w:t>C-616 del 26 de septiembre de 2022,</w:t>
      </w:r>
      <w:r w:rsidRPr="00BF22E6">
        <w:rPr>
          <w:rFonts w:ascii="Verdana" w:eastAsia="Times New Roman" w:hAnsi="Verdana" w:cs="Arial"/>
          <w:bCs/>
          <w:color w:val="000000"/>
          <w:lang w:val="es-ES" w:eastAsia="es-ES"/>
        </w:rPr>
        <w:t xml:space="preserve"> </w:t>
      </w:r>
      <w:r w:rsidRPr="00BF22E6">
        <w:rPr>
          <w:rFonts w:ascii="Verdana" w:eastAsia="Arial" w:hAnsi="Verdana" w:cs="Arial"/>
          <w:lang w:val="es-ES"/>
        </w:rPr>
        <w:t xml:space="preserve">también ha explicado que existe la posibilidad que una entidad exija marcas en un proceso de selección, pues esta conducta no está prohibida por una norma del </w:t>
      </w:r>
      <w:r>
        <w:rPr>
          <w:rFonts w:ascii="Verdana" w:eastAsia="Arial" w:hAnsi="Verdana" w:cs="Arial"/>
          <w:lang w:val="es-ES"/>
        </w:rPr>
        <w:t>EGCAP</w:t>
      </w:r>
      <w:r w:rsidRPr="00BF22E6">
        <w:rPr>
          <w:rFonts w:ascii="Verdana" w:eastAsia="Arial" w:hAnsi="Verdana" w:cs="Arial"/>
          <w:lang w:val="es-ES"/>
        </w:rPr>
        <w:t xml:space="preserve">, y no implica </w:t>
      </w:r>
      <w:r w:rsidRPr="00BF22E6">
        <w:rPr>
          <w:rFonts w:ascii="Verdana" w:eastAsia="Arial" w:hAnsi="Verdana" w:cs="Arial"/>
          <w:i/>
          <w:lang w:val="es-ES"/>
        </w:rPr>
        <w:t>per se</w:t>
      </w:r>
      <w:r w:rsidRPr="00BF22E6">
        <w:rPr>
          <w:rFonts w:ascii="Verdana" w:eastAsia="Arial" w:hAnsi="Verdana" w:cs="Arial"/>
          <w:lang w:val="es-ES"/>
        </w:rPr>
        <w:t xml:space="preserve"> una violación de los principios de libre concurrencia y selección objetiva. </w:t>
      </w:r>
    </w:p>
    <w:p w14:paraId="134C1EF0" w14:textId="77777777" w:rsidR="00F20E33" w:rsidRPr="00BF22E6" w:rsidRDefault="00F20E33" w:rsidP="00F20E33">
      <w:pPr>
        <w:widowControl w:val="0"/>
        <w:autoSpaceDE w:val="0"/>
        <w:autoSpaceDN w:val="0"/>
        <w:spacing w:after="120" w:line="276" w:lineRule="auto"/>
        <w:ind w:right="109"/>
        <w:jc w:val="both"/>
        <w:rPr>
          <w:rFonts w:ascii="Verdana" w:eastAsia="Arial" w:hAnsi="Verdana" w:cs="Arial"/>
          <w:lang w:val="es-ES"/>
        </w:rPr>
      </w:pPr>
      <w:r w:rsidRPr="00BF22E6">
        <w:rPr>
          <w:rFonts w:ascii="Verdana" w:eastAsia="Arial" w:hAnsi="Verdana" w:cs="Arial"/>
          <w:lang w:val="es-ES"/>
        </w:rPr>
        <w:tab/>
        <w:t>En esta línea, existen al menos tres</w:t>
      </w:r>
      <w:r>
        <w:rPr>
          <w:rFonts w:ascii="Verdana" w:eastAsia="Arial" w:hAnsi="Verdana" w:cs="Arial"/>
          <w:lang w:val="es-ES"/>
        </w:rPr>
        <w:t xml:space="preserve"> (3)</w:t>
      </w:r>
      <w:r w:rsidRPr="00BF22E6">
        <w:rPr>
          <w:rFonts w:ascii="Verdana" w:eastAsia="Arial" w:hAnsi="Verdana" w:cs="Arial"/>
          <w:lang w:val="es-ES"/>
        </w:rPr>
        <w:t xml:space="preserve"> razones por las cuales es posible que en los contratos estatales las entidades puedan exigir marcas de bienes o productos en los pliegos de condiciones. La </w:t>
      </w:r>
      <w:r w:rsidRPr="00561A4A">
        <w:rPr>
          <w:rFonts w:ascii="Verdana" w:eastAsia="Arial" w:hAnsi="Verdana" w:cs="Arial"/>
          <w:i/>
          <w:iCs/>
          <w:lang w:val="es-ES"/>
        </w:rPr>
        <w:t>primera razón</w:t>
      </w:r>
      <w:r w:rsidRPr="00BF22E6">
        <w:rPr>
          <w:rFonts w:ascii="Verdana" w:eastAsia="Arial" w:hAnsi="Verdana" w:cs="Arial"/>
          <w:lang w:val="es-ES"/>
        </w:rPr>
        <w:t xml:space="preserve">, porque ni la Ley 80 de 1993 </w:t>
      </w:r>
      <w:r>
        <w:rPr>
          <w:rFonts w:ascii="Verdana" w:eastAsia="Arial" w:hAnsi="Verdana" w:cs="Arial"/>
          <w:lang w:val="es-ES"/>
        </w:rPr>
        <w:t>o</w:t>
      </w:r>
      <w:r w:rsidRPr="00BF22E6">
        <w:rPr>
          <w:rFonts w:ascii="Verdana" w:eastAsia="Arial" w:hAnsi="Verdana" w:cs="Arial"/>
          <w:lang w:val="es-ES"/>
        </w:rPr>
        <w:t xml:space="preserve"> la Ley 1150 de 2007 ni otra norma de rango legal </w:t>
      </w:r>
      <w:r>
        <w:rPr>
          <w:rFonts w:ascii="Verdana" w:eastAsia="Arial" w:hAnsi="Verdana" w:cs="Arial"/>
          <w:lang w:val="es-ES"/>
        </w:rPr>
        <w:t>–</w:t>
      </w:r>
      <w:r w:rsidRPr="00BF22E6">
        <w:rPr>
          <w:rFonts w:ascii="Verdana" w:eastAsia="Arial" w:hAnsi="Verdana" w:cs="Arial"/>
          <w:lang w:val="es-ES"/>
        </w:rPr>
        <w:t>o reglamentario</w:t>
      </w:r>
      <w:r>
        <w:rPr>
          <w:rFonts w:ascii="Verdana" w:eastAsia="Arial" w:hAnsi="Verdana" w:cs="Arial"/>
          <w:lang w:val="es-ES"/>
        </w:rPr>
        <w:t>–</w:t>
      </w:r>
      <w:r w:rsidRPr="00BF22E6">
        <w:rPr>
          <w:rFonts w:ascii="Verdana" w:eastAsia="Arial" w:hAnsi="Verdana" w:cs="Arial"/>
          <w:lang w:val="es-ES"/>
        </w:rPr>
        <w:t xml:space="preserve"> prohíbe que las entidades soliciten marcas. Por el contrario, </w:t>
      </w:r>
      <w:r>
        <w:rPr>
          <w:rFonts w:ascii="Verdana" w:eastAsia="Arial" w:hAnsi="Verdana" w:cs="Arial"/>
          <w:lang w:val="es-ES"/>
        </w:rPr>
        <w:t xml:space="preserve">de </w:t>
      </w:r>
      <w:r w:rsidRPr="00BF22E6">
        <w:rPr>
          <w:rFonts w:ascii="Verdana" w:eastAsia="Arial" w:hAnsi="Verdana" w:cs="Arial"/>
          <w:lang w:val="es-ES"/>
        </w:rPr>
        <w:t>una interpretación integral de los artículos 13, 32 y 40 de la Ley 80 de 1993 se deduce que las entidades estatales pueden contratar como se hace en el derecho privado, salvo norma en contrario.</w:t>
      </w:r>
    </w:p>
    <w:p w14:paraId="6A4BA664" w14:textId="77777777" w:rsidR="00F20E33" w:rsidRPr="00BF22E6" w:rsidRDefault="00F20E33" w:rsidP="00F20E33">
      <w:pPr>
        <w:widowControl w:val="0"/>
        <w:autoSpaceDE w:val="0"/>
        <w:autoSpaceDN w:val="0"/>
        <w:spacing w:after="120" w:line="276" w:lineRule="auto"/>
        <w:ind w:right="107" w:firstLine="708"/>
        <w:jc w:val="both"/>
        <w:rPr>
          <w:rFonts w:ascii="Verdana" w:eastAsia="Arial" w:hAnsi="Verdana" w:cs="Arial"/>
          <w:lang w:val="es-ES"/>
        </w:rPr>
      </w:pPr>
      <w:r w:rsidRPr="00BF22E6">
        <w:rPr>
          <w:rFonts w:ascii="Verdana" w:eastAsia="Arial" w:hAnsi="Verdana" w:cs="Arial"/>
          <w:lang w:val="es-ES"/>
        </w:rPr>
        <w:t xml:space="preserve">El artículo 13 dispone que los contratos que celebren las entidades a las que les aplica el </w:t>
      </w:r>
      <w:r>
        <w:rPr>
          <w:rFonts w:ascii="Verdana" w:eastAsia="Arial" w:hAnsi="Verdana" w:cs="Arial"/>
          <w:lang w:val="es-ES"/>
        </w:rPr>
        <w:t>EGCAP</w:t>
      </w:r>
      <w:r w:rsidRPr="00BF22E6">
        <w:rPr>
          <w:rFonts w:ascii="Verdana" w:eastAsia="Arial" w:hAnsi="Verdana" w:cs="Arial"/>
          <w:lang w:val="es-ES"/>
        </w:rPr>
        <w:t xml:space="preserve"> se </w:t>
      </w:r>
      <w:r>
        <w:rPr>
          <w:rFonts w:ascii="Verdana" w:eastAsia="Times New Roman" w:hAnsi="Verdana" w:cs="Arial"/>
          <w:iCs/>
          <w:szCs w:val="24"/>
          <w:lang w:val="es-ES_tradnl" w:eastAsia="es-ES_tradnl"/>
        </w:rPr>
        <w:t>“</w:t>
      </w:r>
      <w:r w:rsidRPr="00BF22E6">
        <w:rPr>
          <w:rFonts w:ascii="Verdana" w:eastAsia="Arial" w:hAnsi="Verdana" w:cs="Arial"/>
          <w:lang w:val="es-ES"/>
        </w:rPr>
        <w:t>regirán por las disposiciones comerciales y civiles pertinentes, salvo en las materias particularmente reguladas en esta ley</w:t>
      </w:r>
      <w:r>
        <w:rPr>
          <w:rFonts w:ascii="Verdana" w:eastAsia="Times New Roman" w:hAnsi="Verdana" w:cs="Arial"/>
          <w:iCs/>
          <w:szCs w:val="24"/>
          <w:lang w:val="es-ES_tradnl" w:eastAsia="es-ES_tradnl"/>
        </w:rPr>
        <w:t>”</w:t>
      </w:r>
      <w:r w:rsidRPr="00561A4A">
        <w:rPr>
          <w:rStyle w:val="Refdenotaalpie"/>
          <w:rFonts w:ascii="Verdana" w:hAnsi="Verdana"/>
        </w:rPr>
        <w:t xml:space="preserve"> </w:t>
      </w:r>
      <w:r w:rsidRPr="00BF22E6">
        <w:rPr>
          <w:rStyle w:val="Refdenotaalpie"/>
          <w:rFonts w:ascii="Verdana" w:hAnsi="Verdana"/>
        </w:rPr>
        <w:footnoteReference w:id="15"/>
      </w:r>
      <w:r w:rsidRPr="00BF22E6">
        <w:rPr>
          <w:rFonts w:ascii="Verdana" w:eastAsia="Arial" w:hAnsi="Verdana" w:cs="Arial"/>
          <w:lang w:val="es-ES"/>
        </w:rPr>
        <w:t>. Seguidamente, el artículo 32 define el contrato estatal como el acto jurídico generador de obligaciones que celebren las Entidades Estatales previstos en el derecho privado o derivados de la autonomía de la voluntad</w:t>
      </w:r>
      <w:r w:rsidRPr="00BF22E6">
        <w:rPr>
          <w:rStyle w:val="Refdenotaalpie"/>
          <w:rFonts w:ascii="Verdana" w:hAnsi="Verdana"/>
        </w:rPr>
        <w:footnoteReference w:id="16"/>
      </w:r>
      <w:r w:rsidRPr="00BF22E6">
        <w:rPr>
          <w:rFonts w:ascii="Verdana" w:eastAsia="Arial" w:hAnsi="Verdana" w:cs="Arial"/>
          <w:lang w:val="es-ES"/>
        </w:rPr>
        <w:t>. Y el artículo 40, sobre el contenido del contrato estatal, establece que las estipulaciones de los contratos estatales serán aquellas que de acuerdo con las normas civiles y comerciales correspondan a su esencia y naturaleza</w:t>
      </w:r>
      <w:r w:rsidRPr="00BF22E6">
        <w:rPr>
          <w:rStyle w:val="Refdenotaalpie"/>
          <w:rFonts w:ascii="Verdana" w:hAnsi="Verdana"/>
        </w:rPr>
        <w:footnoteReference w:id="17"/>
      </w:r>
      <w:r w:rsidRPr="00BF22E6">
        <w:rPr>
          <w:rFonts w:ascii="Verdana" w:eastAsia="Arial" w:hAnsi="Verdana" w:cs="Arial"/>
          <w:lang w:val="es-ES"/>
        </w:rPr>
        <w:t>.</w:t>
      </w:r>
    </w:p>
    <w:p w14:paraId="733B35EC" w14:textId="77777777" w:rsidR="00F20E33" w:rsidRPr="00BF22E6" w:rsidRDefault="00F20E33" w:rsidP="00F20E33">
      <w:pPr>
        <w:widowControl w:val="0"/>
        <w:autoSpaceDE w:val="0"/>
        <w:autoSpaceDN w:val="0"/>
        <w:spacing w:after="0" w:line="276" w:lineRule="auto"/>
        <w:ind w:right="110"/>
        <w:jc w:val="both"/>
        <w:rPr>
          <w:rFonts w:ascii="Verdana" w:eastAsia="Arial" w:hAnsi="Verdana" w:cs="Arial"/>
          <w:lang w:val="es-ES"/>
        </w:rPr>
      </w:pPr>
      <w:r w:rsidRPr="00BF22E6">
        <w:rPr>
          <w:rFonts w:ascii="Verdana" w:eastAsia="Arial" w:hAnsi="Verdana" w:cs="Arial"/>
          <w:lang w:val="es-ES"/>
        </w:rPr>
        <w:tab/>
        <w:t xml:space="preserve">A partir de una interpretación sistemática de estas normas, cualquier </w:t>
      </w:r>
      <w:r w:rsidRPr="00BF22E6">
        <w:rPr>
          <w:rFonts w:ascii="Verdana" w:eastAsia="Arial" w:hAnsi="Verdana" w:cs="Arial"/>
          <w:lang w:val="es-ES"/>
        </w:rPr>
        <w:lastRenderedPageBreak/>
        <w:t>análisis sobre la posibilidad de exigir marcas en los procesos de selección debe partir, en principio, de la lógica del derecho privado para luego determinar si en el derecho público existen restricciones o limitaciones. Así se expuso en el salvamento de voto</w:t>
      </w:r>
      <w:r>
        <w:rPr>
          <w:rFonts w:ascii="Verdana" w:eastAsia="Arial" w:hAnsi="Verdana" w:cs="Arial"/>
          <w:lang w:val="es-ES"/>
        </w:rPr>
        <w:t xml:space="preserve"> de la </w:t>
      </w:r>
      <w:r w:rsidRPr="00561A4A">
        <w:rPr>
          <w:rFonts w:ascii="Verdana" w:eastAsia="Arial" w:hAnsi="Verdana" w:cs="Arial"/>
          <w:lang w:val="es-ES"/>
        </w:rPr>
        <w:t>Sentencia del 24 de marzo de 2011</w:t>
      </w:r>
      <w:r w:rsidRPr="00BF22E6">
        <w:rPr>
          <w:rFonts w:ascii="Verdana" w:eastAsia="Arial" w:hAnsi="Verdana" w:cs="Arial"/>
          <w:lang w:val="es-ES"/>
        </w:rPr>
        <w:t>:</w:t>
      </w:r>
    </w:p>
    <w:p w14:paraId="419098A5" w14:textId="77777777" w:rsidR="00F20E33" w:rsidRPr="00CE77E1" w:rsidRDefault="00F20E33" w:rsidP="00F20E33">
      <w:pPr>
        <w:widowControl w:val="0"/>
        <w:autoSpaceDE w:val="0"/>
        <w:autoSpaceDN w:val="0"/>
        <w:spacing w:before="4" w:after="0" w:line="240" w:lineRule="auto"/>
        <w:rPr>
          <w:rFonts w:ascii="Verdana" w:eastAsia="Arial" w:hAnsi="Verdana" w:cs="Arial"/>
          <w:lang w:val="es-ES"/>
        </w:rPr>
      </w:pPr>
    </w:p>
    <w:p w14:paraId="633CB9CC" w14:textId="77777777" w:rsidR="00F20E33" w:rsidRPr="00BF22E6" w:rsidRDefault="00F20E33" w:rsidP="00F20E33">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“A la luz de estas disposiciones, identificar lo que puede y no puede contratarse, así como sus condiciones, requiere un análisis que parte del derecho privado, para llegar luego al derecho público y concretar si en éste hay norma especial que establezca limitaciones concretas. En este horizonte, si en el derecho privado es permitido comprar determinadas marcas de productos, entonces también lo es en el derecho público, porque la ley 80 no lo prohíbe -porque no dispone nada a este respecto-. De no ser así, que alcance tendría la remisión al derecho privado, hecha por los arts. 13, 32 y 40, es decir, a los mismos acuerdos o pactos que allí se permiten.</w:t>
      </w:r>
    </w:p>
    <w:p w14:paraId="2BB0A85E" w14:textId="77777777" w:rsidR="00F20E33" w:rsidRPr="00BF22E6" w:rsidRDefault="00F20E33" w:rsidP="00F20E33">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 xml:space="preserve">Entenderlo de manera distinta desconoce la filosofía de la reforma contractual introducida en la ley 80 de 1993, cuando </w:t>
      </w:r>
      <w:proofErr w:type="gramStart"/>
      <w:r w:rsidRPr="00BF22E6">
        <w:rPr>
          <w:rFonts w:ascii="Verdana" w:eastAsia="Arial" w:hAnsi="Verdana" w:cs="Arial"/>
          <w:sz w:val="20"/>
          <w:szCs w:val="20"/>
          <w:lang w:val="es-ES"/>
        </w:rPr>
        <w:t>la intención de actualizar el derecho público a las necesidades de un Estado moderno sugirieron</w:t>
      </w:r>
      <w:proofErr w:type="gramEnd"/>
      <w:r w:rsidRPr="00BF22E6">
        <w:rPr>
          <w:rFonts w:ascii="Verdana" w:eastAsia="Arial" w:hAnsi="Verdana" w:cs="Arial"/>
          <w:sz w:val="20"/>
          <w:szCs w:val="20"/>
          <w:lang w:val="es-ES"/>
        </w:rPr>
        <w:t xml:space="preserve"> ampliar la libertad de contratación del Estado, facilitando que pueda servirse de la autonomía de la voluntad como centro de gravedad de los negocios públicos”</w:t>
      </w:r>
      <w:r w:rsidRPr="00BF22E6">
        <w:rPr>
          <w:rStyle w:val="Refdenotaalpie"/>
          <w:rFonts w:ascii="Verdana" w:hAnsi="Verdana"/>
          <w:sz w:val="20"/>
          <w:szCs w:val="20"/>
        </w:rPr>
        <w:footnoteReference w:id="18"/>
      </w:r>
      <w:r w:rsidRPr="00BF22E6">
        <w:rPr>
          <w:rFonts w:ascii="Verdana" w:eastAsia="Arial" w:hAnsi="Verdana" w:cs="Arial"/>
          <w:sz w:val="20"/>
          <w:szCs w:val="20"/>
          <w:lang w:val="es-ES"/>
        </w:rPr>
        <w:t>.</w:t>
      </w:r>
    </w:p>
    <w:p w14:paraId="3337EF26" w14:textId="77777777" w:rsidR="00F20E33" w:rsidRPr="00CE77E1" w:rsidRDefault="00F20E33" w:rsidP="00F20E33">
      <w:pPr>
        <w:widowControl w:val="0"/>
        <w:autoSpaceDE w:val="0"/>
        <w:autoSpaceDN w:val="0"/>
        <w:spacing w:before="11" w:after="0" w:line="240" w:lineRule="auto"/>
        <w:rPr>
          <w:rFonts w:ascii="Verdana" w:eastAsia="Arial" w:hAnsi="Verdana" w:cs="Arial"/>
          <w:lang w:val="es-ES"/>
        </w:rPr>
      </w:pPr>
    </w:p>
    <w:p w14:paraId="03DE45D9" w14:textId="77777777" w:rsidR="00F20E33" w:rsidRPr="00BF22E6" w:rsidRDefault="00F20E33" w:rsidP="00F20E33">
      <w:pPr>
        <w:widowControl w:val="0"/>
        <w:autoSpaceDE w:val="0"/>
        <w:autoSpaceDN w:val="0"/>
        <w:spacing w:after="120" w:line="276" w:lineRule="auto"/>
        <w:ind w:right="108" w:firstLine="709"/>
        <w:jc w:val="both"/>
        <w:rPr>
          <w:rFonts w:ascii="Verdana" w:eastAsia="Arial" w:hAnsi="Verdana" w:cs="Arial"/>
          <w:lang w:val="es-ES"/>
        </w:rPr>
      </w:pPr>
      <w:r w:rsidRPr="00BF22E6">
        <w:rPr>
          <w:rFonts w:ascii="Verdana" w:eastAsia="Arial" w:hAnsi="Verdana" w:cs="Arial"/>
          <w:lang w:val="es-ES"/>
        </w:rPr>
        <w:t>La lógica y los principios del derecho privado, que según las normas citadas ilustra la contratación pública, salvo regla en contrario, indica que el comprador puede elegir la marca del producto que necesita y por el que va a pagar. ¿Por qué para la Administración debería ser diferente? Salvo norma en contrario, la Administración, al contratar, se sujeta al principio de la autonomía de la voluntad, que permite que las estipulaciones contractuales sean libremente consensuadas por las partes, con la condición de que no contraríen el orden público o prohibiciones expresas. En materia de marcas, al no existir una prohibición o norma expresa que impida a la Administración solicitarlas, puede acudir a la autonomía de la voluntad, en virtud de la cual tiene la libertad de tomar decisiones en materia de contratación, dentro de lo que el ordenamiento jurídico le permite, y como es obvio atendiendo el deber de sujeción al principio de legalidad que impone el Estado de Derecho a las autoridades.</w:t>
      </w:r>
    </w:p>
    <w:p w14:paraId="012A3C6D" w14:textId="77777777" w:rsidR="00F20E33" w:rsidRPr="00BF22E6" w:rsidRDefault="00F20E33" w:rsidP="00F20E33">
      <w:pPr>
        <w:widowControl w:val="0"/>
        <w:autoSpaceDE w:val="0"/>
        <w:autoSpaceDN w:val="0"/>
        <w:spacing w:after="0" w:line="276" w:lineRule="auto"/>
        <w:ind w:right="105"/>
        <w:jc w:val="both"/>
        <w:rPr>
          <w:rFonts w:ascii="Verdana" w:eastAsia="Arial" w:hAnsi="Verdana" w:cs="Arial"/>
          <w:lang w:val="es-ES"/>
        </w:rPr>
      </w:pPr>
      <w:r w:rsidRPr="00BF22E6">
        <w:rPr>
          <w:rFonts w:ascii="Verdana" w:eastAsia="Arial" w:hAnsi="Verdana" w:cs="Arial"/>
          <w:lang w:val="es-ES"/>
        </w:rPr>
        <w:tab/>
        <w:t xml:space="preserve">La </w:t>
      </w:r>
      <w:r w:rsidRPr="00BF22E6">
        <w:rPr>
          <w:rFonts w:ascii="Verdana" w:eastAsia="Arial" w:hAnsi="Verdana" w:cs="Arial"/>
          <w:i/>
          <w:lang w:val="es-ES"/>
        </w:rPr>
        <w:t>segunda razón</w:t>
      </w:r>
      <w:r w:rsidRPr="00BF22E6">
        <w:rPr>
          <w:rFonts w:ascii="Verdana" w:eastAsia="Arial" w:hAnsi="Verdana" w:cs="Arial"/>
          <w:lang w:val="es-ES"/>
        </w:rPr>
        <w:t xml:space="preserve"> es que no puede pensarse que la exigencia de una </w:t>
      </w:r>
      <w:r w:rsidRPr="00BF22E6">
        <w:rPr>
          <w:rFonts w:ascii="Verdana" w:eastAsia="Arial" w:hAnsi="Verdana" w:cs="Arial"/>
          <w:lang w:val="es-ES"/>
        </w:rPr>
        <w:lastRenderedPageBreak/>
        <w:t xml:space="preserve">marca específica beneficie </w:t>
      </w:r>
      <w:r w:rsidRPr="00BF22E6">
        <w:rPr>
          <w:rFonts w:ascii="Verdana" w:eastAsia="Arial" w:hAnsi="Verdana" w:cs="Arial"/>
          <w:i/>
          <w:lang w:val="es-ES"/>
        </w:rPr>
        <w:t xml:space="preserve">per se </w:t>
      </w:r>
      <w:r w:rsidRPr="00BF22E6">
        <w:rPr>
          <w:rFonts w:ascii="Verdana" w:eastAsia="Arial" w:hAnsi="Verdana" w:cs="Arial"/>
          <w:lang w:val="es-ES"/>
        </w:rPr>
        <w:t xml:space="preserve">al productor de esta. </w:t>
      </w:r>
      <w:r>
        <w:rPr>
          <w:rFonts w:ascii="Verdana" w:eastAsia="Arial" w:hAnsi="Verdana" w:cs="Arial"/>
          <w:lang w:val="es-ES"/>
        </w:rPr>
        <w:t xml:space="preserve">Dicho </w:t>
      </w:r>
      <w:r w:rsidRPr="00BF22E6">
        <w:rPr>
          <w:rFonts w:ascii="Verdana" w:eastAsia="Arial" w:hAnsi="Verdana" w:cs="Arial"/>
          <w:lang w:val="es-ES"/>
        </w:rPr>
        <w:t xml:space="preserve">análisis no puede hacerse en abstracto, pues en muchos casos no se relacionan con los fabricantes </w:t>
      </w:r>
      <w:r>
        <w:rPr>
          <w:rFonts w:ascii="Verdana" w:eastAsia="Arial" w:hAnsi="Verdana" w:cs="Arial"/>
          <w:lang w:val="es-ES"/>
        </w:rPr>
        <w:t>–</w:t>
      </w:r>
      <w:r w:rsidRPr="00BF22E6">
        <w:rPr>
          <w:rFonts w:ascii="Verdana" w:eastAsia="Arial" w:hAnsi="Verdana" w:cs="Arial"/>
          <w:lang w:val="es-ES"/>
        </w:rPr>
        <w:t>usualmente multinacionales</w:t>
      </w:r>
      <w:r>
        <w:rPr>
          <w:rFonts w:ascii="Verdana" w:eastAsia="Arial" w:hAnsi="Verdana" w:cs="Arial"/>
          <w:lang w:val="es-ES"/>
        </w:rPr>
        <w:t>–</w:t>
      </w:r>
      <w:r w:rsidRPr="00BF22E6">
        <w:rPr>
          <w:rFonts w:ascii="Verdana" w:eastAsia="Arial" w:hAnsi="Verdana" w:cs="Arial"/>
          <w:lang w:val="es-ES"/>
        </w:rPr>
        <w:t xml:space="preserve"> con quienes comercializan o distribuyen sus productos en el país. El salvamento de voto</w:t>
      </w:r>
      <w:r>
        <w:rPr>
          <w:rFonts w:ascii="Verdana" w:eastAsia="Arial" w:hAnsi="Verdana" w:cs="Arial"/>
          <w:lang w:val="es-ES"/>
        </w:rPr>
        <w:t xml:space="preserve"> de la </w:t>
      </w:r>
      <w:r w:rsidRPr="00561A4A">
        <w:rPr>
          <w:rFonts w:ascii="Verdana" w:eastAsia="Arial" w:hAnsi="Verdana" w:cs="Arial"/>
          <w:lang w:val="es-ES"/>
        </w:rPr>
        <w:t>Sentencia del 24 de marzo de 2011</w:t>
      </w:r>
      <w:r w:rsidRPr="00BF22E6">
        <w:rPr>
          <w:rFonts w:ascii="Verdana" w:eastAsia="Arial" w:hAnsi="Verdana" w:cs="Arial"/>
          <w:lang w:val="es-ES"/>
        </w:rPr>
        <w:t xml:space="preserve"> sostiene lo</w:t>
      </w:r>
      <w:r w:rsidRPr="00BF22E6">
        <w:rPr>
          <w:rFonts w:ascii="Verdana" w:eastAsia="Arial" w:hAnsi="Verdana" w:cs="Arial"/>
          <w:spacing w:val="-3"/>
          <w:lang w:val="es-ES"/>
        </w:rPr>
        <w:t xml:space="preserve"> </w:t>
      </w:r>
      <w:r w:rsidRPr="00BF22E6">
        <w:rPr>
          <w:rFonts w:ascii="Verdana" w:eastAsia="Arial" w:hAnsi="Verdana" w:cs="Arial"/>
          <w:lang w:val="es-ES"/>
        </w:rPr>
        <w:t>siguiente:</w:t>
      </w:r>
    </w:p>
    <w:p w14:paraId="4C5CC39D" w14:textId="77777777" w:rsidR="00F20E33" w:rsidRPr="00BF22E6" w:rsidRDefault="00F20E33" w:rsidP="00F20E33">
      <w:pPr>
        <w:widowControl w:val="0"/>
        <w:autoSpaceDE w:val="0"/>
        <w:autoSpaceDN w:val="0"/>
        <w:spacing w:after="0" w:line="240" w:lineRule="auto"/>
        <w:rPr>
          <w:rFonts w:ascii="Verdana" w:eastAsia="Arial" w:hAnsi="Verdana" w:cs="Arial"/>
          <w:sz w:val="28"/>
          <w:szCs w:val="28"/>
          <w:lang w:val="es-ES"/>
        </w:rPr>
      </w:pPr>
    </w:p>
    <w:p w14:paraId="1DC949B6" w14:textId="77777777" w:rsidR="00F20E33" w:rsidRPr="00BF22E6" w:rsidRDefault="00F20E33" w:rsidP="00F20E33">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“Es equivocado creer en abstracto que pedir una marca determinada en un pliego de condiciones beneficia a determinada empresa que la produce, pues tal visión del tema confunde al productor o fabricante con los distribuidores y vendedores. En el caso concreto, una cosa es la empresa Yamaha del Japón -fabricante- y otra todos los almacenes que venden sus productos en este país. Lo importante, para la ley de contratación pública, es que todo el que venda el bien que la entidad necesita pueda participar del proceso de</w:t>
      </w:r>
      <w:r w:rsidRPr="00BF22E6">
        <w:rPr>
          <w:rFonts w:ascii="Verdana" w:eastAsia="Arial" w:hAnsi="Verdana" w:cs="Arial"/>
          <w:spacing w:val="-5"/>
          <w:sz w:val="20"/>
          <w:szCs w:val="20"/>
          <w:lang w:val="es-ES"/>
        </w:rPr>
        <w:t xml:space="preserve"> </w:t>
      </w:r>
      <w:r w:rsidRPr="00BF22E6">
        <w:rPr>
          <w:rFonts w:ascii="Verdana" w:eastAsia="Arial" w:hAnsi="Verdana" w:cs="Arial"/>
          <w:sz w:val="20"/>
          <w:szCs w:val="20"/>
          <w:lang w:val="es-ES"/>
        </w:rPr>
        <w:t>selección.</w:t>
      </w:r>
    </w:p>
    <w:p w14:paraId="4E1D8ABB" w14:textId="77777777" w:rsidR="00F20E33" w:rsidRPr="00BF22E6" w:rsidRDefault="00F20E33" w:rsidP="00F20E33">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 xml:space="preserve">Es seguro que la selección de los contratistas que adelantan las entidades estatales-concretamente el Municipio de Armenia -no están dirigidas a beneficiar a una fábrica en particular- en este caso la de motocicletas-, pues </w:t>
      </w:r>
      <w:proofErr w:type="gramStart"/>
      <w:r w:rsidRPr="00BF22E6">
        <w:rPr>
          <w:rFonts w:ascii="Verdana" w:eastAsia="Arial" w:hAnsi="Verdana" w:cs="Arial"/>
          <w:sz w:val="20"/>
          <w:szCs w:val="20"/>
          <w:lang w:val="es-ES"/>
        </w:rPr>
        <w:t>la relación de los representantes legales de nuestras entidades no tendrán</w:t>
      </w:r>
      <w:proofErr w:type="gramEnd"/>
      <w:r w:rsidRPr="00BF22E6">
        <w:rPr>
          <w:rFonts w:ascii="Verdana" w:eastAsia="Arial" w:hAnsi="Verdana" w:cs="Arial"/>
          <w:sz w:val="20"/>
          <w:szCs w:val="20"/>
          <w:lang w:val="es-ES"/>
        </w:rPr>
        <w:t xml:space="preserve"> con dicha organización un vínculo que sugiera que pretenden alterar la selección objetiva o la transparencia, dirigiendo la contratación hacia aquél. Resulta absurdo -salvo prueba en contrario- pensar en algo así.</w:t>
      </w:r>
    </w:p>
    <w:p w14:paraId="5E6009F0" w14:textId="77777777" w:rsidR="00F20E33" w:rsidRPr="00BF22E6" w:rsidRDefault="00F20E33" w:rsidP="00F20E33">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Sin embargo, en aquellos casos en los cuales la exigencia de la marca busque un beneficio particular y no el interés general, entonces en esos casos, y sólo en esos, existirá una desviación de poder, que desde luego vulnera la ley 80 y el principio de transparencia y de selección objetiva. Pero la diferencia en la forma de abordar el problema, y de resolverlo -quiero decir, entre la Sala y yo- es que se requiere la prueba de esa anomalía para anular el contrato”</w:t>
      </w:r>
      <w:r w:rsidRPr="00BF22E6">
        <w:rPr>
          <w:rStyle w:val="Refdenotaalpie"/>
          <w:rFonts w:ascii="Verdana" w:hAnsi="Verdana"/>
          <w:sz w:val="20"/>
          <w:szCs w:val="20"/>
        </w:rPr>
        <w:footnoteReference w:id="19"/>
      </w:r>
      <w:r w:rsidRPr="00BF22E6">
        <w:rPr>
          <w:rFonts w:ascii="Verdana" w:eastAsia="Arial" w:hAnsi="Verdana" w:cs="Arial"/>
          <w:sz w:val="20"/>
          <w:szCs w:val="20"/>
          <w:lang w:val="es-ES"/>
        </w:rPr>
        <w:t>.</w:t>
      </w:r>
    </w:p>
    <w:p w14:paraId="256A2C82" w14:textId="77777777" w:rsidR="00F20E33" w:rsidRPr="00BF22E6" w:rsidRDefault="00F20E33" w:rsidP="00F20E33">
      <w:pPr>
        <w:widowControl w:val="0"/>
        <w:autoSpaceDE w:val="0"/>
        <w:autoSpaceDN w:val="0"/>
        <w:spacing w:after="0" w:line="276" w:lineRule="auto"/>
        <w:ind w:right="104" w:firstLine="708"/>
        <w:jc w:val="both"/>
        <w:rPr>
          <w:rFonts w:ascii="Verdana" w:eastAsia="Arial" w:hAnsi="Verdana" w:cs="Arial"/>
          <w:lang w:val="es-ES"/>
        </w:rPr>
      </w:pPr>
    </w:p>
    <w:p w14:paraId="753A356A" w14:textId="77777777" w:rsidR="00F20E33" w:rsidRPr="00BF22E6" w:rsidRDefault="00F20E33" w:rsidP="00F20E33">
      <w:pPr>
        <w:widowControl w:val="0"/>
        <w:autoSpaceDE w:val="0"/>
        <w:autoSpaceDN w:val="0"/>
        <w:spacing w:after="120" w:line="276" w:lineRule="auto"/>
        <w:ind w:right="104" w:firstLine="708"/>
        <w:jc w:val="both"/>
        <w:rPr>
          <w:rFonts w:ascii="Verdana" w:eastAsia="Arial" w:hAnsi="Verdana" w:cs="Arial"/>
          <w:lang w:val="es-ES"/>
        </w:rPr>
      </w:pPr>
      <w:r w:rsidRPr="00BF22E6">
        <w:rPr>
          <w:rFonts w:ascii="Verdana" w:eastAsia="Arial" w:hAnsi="Verdana" w:cs="Arial"/>
          <w:lang w:val="es-ES"/>
        </w:rPr>
        <w:t>De este modo, no se niega que mediante la exigencia de una marca puedan direccionarse los Pliegos de Condiciones a ciertos oferentes, o que se restrinja la libre concurrencia, situación que no se avala. Sin embargo, la sola exigencia de la marca no implica en abstracto la violación de los principios de selección objetiva y libre concurrencia, pues esta situación deberá comprobarse en cada caso.</w:t>
      </w:r>
    </w:p>
    <w:p w14:paraId="55201A91" w14:textId="77777777" w:rsidR="00F20E33" w:rsidRPr="00BF22E6" w:rsidRDefault="00F20E33" w:rsidP="00F20E33">
      <w:pPr>
        <w:widowControl w:val="0"/>
        <w:autoSpaceDE w:val="0"/>
        <w:autoSpaceDN w:val="0"/>
        <w:spacing w:after="120" w:line="276" w:lineRule="auto"/>
        <w:ind w:right="104"/>
        <w:jc w:val="both"/>
        <w:rPr>
          <w:rFonts w:ascii="Verdana" w:eastAsia="Arial" w:hAnsi="Verdana" w:cs="Arial"/>
          <w:lang w:val="es-ES"/>
        </w:rPr>
      </w:pPr>
      <w:r w:rsidRPr="00BF22E6">
        <w:rPr>
          <w:rFonts w:ascii="Verdana" w:eastAsia="Arial" w:hAnsi="Verdana" w:cs="Arial"/>
          <w:lang w:val="es-ES"/>
        </w:rPr>
        <w:tab/>
        <w:t xml:space="preserve">La </w:t>
      </w:r>
      <w:r w:rsidRPr="00BF22E6">
        <w:rPr>
          <w:rFonts w:ascii="Verdana" w:eastAsia="Arial" w:hAnsi="Verdana" w:cs="Arial"/>
          <w:i/>
          <w:lang w:val="es-ES"/>
        </w:rPr>
        <w:t>tercera razón</w:t>
      </w:r>
      <w:r w:rsidRPr="00BF22E6">
        <w:rPr>
          <w:rFonts w:ascii="Verdana" w:eastAsia="Arial" w:hAnsi="Verdana" w:cs="Arial"/>
          <w:lang w:val="es-ES"/>
        </w:rPr>
        <w:t xml:space="preserve"> que se esgrime en favor de la posibilidad que tiene la Administración de exigir marcas es la condición técnica y de calidad ínsita a ellas y que son aspectos propios del mercado. La lógica de mercado </w:t>
      </w:r>
      <w:r w:rsidRPr="00BF22E6">
        <w:rPr>
          <w:rFonts w:ascii="Verdana" w:eastAsia="Arial" w:hAnsi="Verdana" w:cs="Arial"/>
          <w:lang w:val="es-ES"/>
        </w:rPr>
        <w:lastRenderedPageBreak/>
        <w:t>necesariamente estratifica todos los productos que se comercian, a partir de una multiplicidad de factores que tienen que ver con la calidad, el precio, la durabilidad, entre muchos otros. Estos son los factores que tiene en cuenta todo comprador al decidir qué producto comprar de la variedad que ofrece el mercado. Además, en algunos casos, la solicitud de una marca podría, inclusive, representar no incurrir en mayores costos de mantenimiento, por tratarse de productos que ya tiene.</w:t>
      </w:r>
    </w:p>
    <w:p w14:paraId="4BA81EA4" w14:textId="77777777" w:rsidR="00F20E33" w:rsidRPr="00BF22E6" w:rsidRDefault="00F20E33" w:rsidP="00F20E33">
      <w:pPr>
        <w:widowControl w:val="0"/>
        <w:autoSpaceDE w:val="0"/>
        <w:autoSpaceDN w:val="0"/>
        <w:spacing w:after="0" w:line="276" w:lineRule="auto"/>
        <w:ind w:right="108"/>
        <w:jc w:val="both"/>
        <w:rPr>
          <w:rFonts w:ascii="Verdana" w:eastAsia="Arial" w:hAnsi="Verdana" w:cs="Arial"/>
          <w:lang w:val="es-ES"/>
        </w:rPr>
      </w:pPr>
      <w:r w:rsidRPr="00BF22E6">
        <w:rPr>
          <w:rFonts w:ascii="Verdana" w:eastAsia="Arial" w:hAnsi="Verdana" w:cs="Arial"/>
          <w:lang w:val="es-ES"/>
        </w:rPr>
        <w:tab/>
        <w:t xml:space="preserve">De esta forma, establecer una prohibición que la ley no introdujo limita de manera excesiva e injustificada la libertad de la Administración y, sin duda, compromete su eficiencia. Así lo expuso la posición </w:t>
      </w:r>
      <w:r>
        <w:rPr>
          <w:rFonts w:ascii="Verdana" w:eastAsia="Arial" w:hAnsi="Verdana" w:cs="Arial"/>
          <w:lang w:val="es-ES"/>
        </w:rPr>
        <w:t xml:space="preserve">referenciada en el salvamento de voto de la </w:t>
      </w:r>
      <w:r w:rsidRPr="00561A4A">
        <w:rPr>
          <w:rFonts w:ascii="Verdana" w:eastAsia="Arial" w:hAnsi="Verdana" w:cs="Arial"/>
          <w:lang w:val="es-ES"/>
        </w:rPr>
        <w:t>Sentencia del 24 de marzo de 2011</w:t>
      </w:r>
      <w:r w:rsidRPr="00BF22E6">
        <w:rPr>
          <w:rFonts w:ascii="Verdana" w:eastAsia="Arial" w:hAnsi="Verdana" w:cs="Arial"/>
          <w:lang w:val="es-ES"/>
        </w:rPr>
        <w:t>:</w:t>
      </w:r>
    </w:p>
    <w:p w14:paraId="0BAC5DFC" w14:textId="77777777" w:rsidR="00F20E33" w:rsidRPr="001841EE" w:rsidRDefault="00F20E33" w:rsidP="00F20E33">
      <w:pPr>
        <w:widowControl w:val="0"/>
        <w:autoSpaceDE w:val="0"/>
        <w:autoSpaceDN w:val="0"/>
        <w:spacing w:before="5" w:after="0" w:line="240" w:lineRule="auto"/>
        <w:ind w:left="709" w:right="709"/>
        <w:rPr>
          <w:rFonts w:ascii="Verdana" w:eastAsia="Arial" w:hAnsi="Verdana" w:cs="Arial"/>
          <w:lang w:val="es-ES"/>
        </w:rPr>
      </w:pPr>
    </w:p>
    <w:p w14:paraId="6E9E4F4E" w14:textId="77777777" w:rsidR="00F20E33" w:rsidRPr="00BF22E6" w:rsidRDefault="00F20E33" w:rsidP="00F20E33">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“Quien comparte la sentencia no podría, entonces, adquirir computadores o vehículos de determinada marca para una entidad. Incluso, tampoco podría exigir en una construcción que la tubería del acueducto o de la energía sea de un determinado producto, ni tantas otras cosas que el Estado compra con la actitud de negocio</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de</w:t>
      </w:r>
      <w:r w:rsidRPr="00BF22E6">
        <w:rPr>
          <w:rFonts w:ascii="Verdana" w:eastAsia="Arial" w:hAnsi="Verdana" w:cs="Arial"/>
          <w:spacing w:val="12"/>
          <w:sz w:val="20"/>
          <w:szCs w:val="20"/>
          <w:lang w:val="es-ES"/>
        </w:rPr>
        <w:t xml:space="preserve"> </w:t>
      </w:r>
      <w:r w:rsidRPr="00BF22E6">
        <w:rPr>
          <w:rFonts w:ascii="Verdana" w:eastAsia="Arial" w:hAnsi="Verdana" w:cs="Arial"/>
          <w:sz w:val="20"/>
          <w:szCs w:val="20"/>
          <w:lang w:val="es-ES"/>
        </w:rPr>
        <w:t>cualquier</w:t>
      </w:r>
      <w:r w:rsidRPr="00BF22E6">
        <w:rPr>
          <w:rFonts w:ascii="Verdana" w:eastAsia="Arial" w:hAnsi="Verdana" w:cs="Arial"/>
          <w:spacing w:val="9"/>
          <w:sz w:val="20"/>
          <w:szCs w:val="20"/>
          <w:lang w:val="es-ES"/>
        </w:rPr>
        <w:t xml:space="preserve"> </w:t>
      </w:r>
      <w:r w:rsidRPr="00BF22E6">
        <w:rPr>
          <w:rFonts w:ascii="Verdana" w:eastAsia="Arial" w:hAnsi="Verdana" w:cs="Arial"/>
          <w:sz w:val="20"/>
          <w:szCs w:val="20"/>
          <w:lang w:val="es-ES"/>
        </w:rPr>
        <w:t>otro</w:t>
      </w:r>
      <w:r w:rsidRPr="00BF22E6">
        <w:rPr>
          <w:rFonts w:ascii="Verdana" w:eastAsia="Arial" w:hAnsi="Verdana" w:cs="Arial"/>
          <w:spacing w:val="11"/>
          <w:sz w:val="20"/>
          <w:szCs w:val="20"/>
          <w:lang w:val="es-ES"/>
        </w:rPr>
        <w:t xml:space="preserve"> </w:t>
      </w:r>
      <w:r w:rsidRPr="00BF22E6">
        <w:rPr>
          <w:rFonts w:ascii="Verdana" w:eastAsia="Arial" w:hAnsi="Verdana" w:cs="Arial"/>
          <w:sz w:val="20"/>
          <w:szCs w:val="20"/>
          <w:lang w:val="es-ES"/>
        </w:rPr>
        <w:t>ciudadano.</w:t>
      </w:r>
      <w:r w:rsidRPr="00BF22E6">
        <w:rPr>
          <w:rFonts w:ascii="Verdana" w:eastAsia="Arial" w:hAnsi="Verdana" w:cs="Arial"/>
          <w:spacing w:val="9"/>
          <w:sz w:val="20"/>
          <w:szCs w:val="20"/>
          <w:lang w:val="es-ES"/>
        </w:rPr>
        <w:t xml:space="preserve"> </w:t>
      </w:r>
      <w:r w:rsidRPr="00BF22E6">
        <w:rPr>
          <w:rFonts w:ascii="Verdana" w:eastAsia="Arial" w:hAnsi="Verdana" w:cs="Arial"/>
          <w:sz w:val="20"/>
          <w:szCs w:val="20"/>
          <w:lang w:val="es-ES"/>
        </w:rPr>
        <w:t>En</w:t>
      </w:r>
      <w:r w:rsidRPr="00BF22E6">
        <w:rPr>
          <w:rFonts w:ascii="Verdana" w:eastAsia="Arial" w:hAnsi="Verdana" w:cs="Arial"/>
          <w:spacing w:val="11"/>
          <w:sz w:val="20"/>
          <w:szCs w:val="20"/>
          <w:lang w:val="es-ES"/>
        </w:rPr>
        <w:t xml:space="preserve"> </w:t>
      </w:r>
      <w:r w:rsidRPr="00BF22E6">
        <w:rPr>
          <w:rFonts w:ascii="Verdana" w:eastAsia="Arial" w:hAnsi="Verdana" w:cs="Arial"/>
          <w:sz w:val="20"/>
          <w:szCs w:val="20"/>
          <w:lang w:val="es-ES"/>
        </w:rPr>
        <w:t>esta</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línea</w:t>
      </w:r>
      <w:r w:rsidRPr="00BF22E6">
        <w:rPr>
          <w:rFonts w:ascii="Verdana" w:eastAsia="Arial" w:hAnsi="Verdana" w:cs="Arial"/>
          <w:spacing w:val="14"/>
          <w:sz w:val="20"/>
          <w:szCs w:val="20"/>
          <w:lang w:val="es-ES"/>
        </w:rPr>
        <w:t xml:space="preserve"> </w:t>
      </w:r>
      <w:r w:rsidRPr="00BF22E6">
        <w:rPr>
          <w:rFonts w:ascii="Verdana" w:eastAsia="Arial" w:hAnsi="Verdana" w:cs="Arial"/>
          <w:sz w:val="20"/>
          <w:szCs w:val="20"/>
          <w:lang w:val="es-ES"/>
        </w:rPr>
        <w:t>de</w:t>
      </w:r>
      <w:r w:rsidRPr="00BF22E6">
        <w:rPr>
          <w:rFonts w:ascii="Verdana" w:eastAsia="Arial" w:hAnsi="Verdana" w:cs="Arial"/>
          <w:spacing w:val="11"/>
          <w:sz w:val="20"/>
          <w:szCs w:val="20"/>
          <w:lang w:val="es-ES"/>
        </w:rPr>
        <w:t xml:space="preserve"> </w:t>
      </w:r>
      <w:r w:rsidRPr="00BF22E6">
        <w:rPr>
          <w:rFonts w:ascii="Verdana" w:eastAsia="Arial" w:hAnsi="Verdana" w:cs="Arial"/>
          <w:sz w:val="20"/>
          <w:szCs w:val="20"/>
          <w:lang w:val="es-ES"/>
        </w:rPr>
        <w:t>pensamiento,</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se</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desconoce si la posición de la mayoría de la Subsección implica la existencia de una prohibición absoluta, o si admite excepciones; y de admitirse lo último, cuáles son y por</w:t>
      </w:r>
      <w:r w:rsidRPr="00BF22E6">
        <w:rPr>
          <w:rFonts w:ascii="Verdana" w:eastAsia="Arial" w:hAnsi="Verdana" w:cs="Arial"/>
          <w:spacing w:val="-3"/>
          <w:sz w:val="20"/>
          <w:szCs w:val="20"/>
          <w:lang w:val="es-ES"/>
        </w:rPr>
        <w:t xml:space="preserve"> </w:t>
      </w:r>
      <w:r w:rsidRPr="00BF22E6">
        <w:rPr>
          <w:rFonts w:ascii="Verdana" w:eastAsia="Arial" w:hAnsi="Verdana" w:cs="Arial"/>
          <w:sz w:val="20"/>
          <w:szCs w:val="20"/>
          <w:lang w:val="es-ES"/>
        </w:rPr>
        <w:t>qué.</w:t>
      </w:r>
    </w:p>
    <w:p w14:paraId="4A555D78" w14:textId="77777777" w:rsidR="00F20E33" w:rsidRPr="00BF22E6" w:rsidRDefault="00F20E33" w:rsidP="00F20E33">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Un ejemplo más problemático, que muestra el error de dicha posición, se concreta en la posibilidad de que las entidades pavimenten sus vías en asfalto o en concreto- cemento-. ¿Significa esto que una entidad no puede poner en las especificaciones técnicas de la contratación cuál de los dos quiere usar? Con la lógica de la sentencia, si exige asfalto entonces se violaría la igualdad, selección objetiva y transparencia de quienes venden concreto, y lo mismo acontece a la inversa. La solución lógica indicaría que hay que dejar abierta la posibilidad a cualquier producto que sirva para pavimentar, siempre que cumpla las condiciones técnicas para</w:t>
      </w:r>
      <w:r w:rsidRPr="00BF22E6">
        <w:rPr>
          <w:rFonts w:ascii="Verdana" w:eastAsia="Arial" w:hAnsi="Verdana" w:cs="Arial"/>
          <w:spacing w:val="-3"/>
          <w:sz w:val="20"/>
          <w:szCs w:val="20"/>
          <w:lang w:val="es-ES"/>
        </w:rPr>
        <w:t xml:space="preserve"> </w:t>
      </w:r>
      <w:r w:rsidRPr="00BF22E6">
        <w:rPr>
          <w:rFonts w:ascii="Verdana" w:eastAsia="Arial" w:hAnsi="Verdana" w:cs="Arial"/>
          <w:sz w:val="20"/>
          <w:szCs w:val="20"/>
          <w:lang w:val="es-ES"/>
        </w:rPr>
        <w:t>ello.</w:t>
      </w:r>
    </w:p>
    <w:p w14:paraId="47EFA148" w14:textId="77777777" w:rsidR="00F20E33" w:rsidRPr="00BF22E6" w:rsidRDefault="00F20E33" w:rsidP="00F20E33">
      <w:pPr>
        <w:widowControl w:val="0"/>
        <w:autoSpaceDE w:val="0"/>
        <w:autoSpaceDN w:val="0"/>
        <w:spacing w:before="1"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De aceptarse esta tesis, se limita excesivamente la libertad de contratación, en detrimento de las posibilidades que tiene el derecho administrativo de ofrecer a la administración pública un derecho ágil, moderno y eficiente. Este tipo de soluciones ancla al derecho público en una época que no se corresponde con la del mercado moderno”</w:t>
      </w:r>
      <w:r w:rsidRPr="00BF22E6">
        <w:rPr>
          <w:rStyle w:val="Refdenotaalpie"/>
          <w:rFonts w:ascii="Verdana" w:hAnsi="Verdana"/>
          <w:sz w:val="20"/>
          <w:szCs w:val="20"/>
        </w:rPr>
        <w:footnoteReference w:id="20"/>
      </w:r>
      <w:r w:rsidRPr="00BF22E6">
        <w:rPr>
          <w:rFonts w:ascii="Verdana" w:eastAsia="Arial" w:hAnsi="Verdana" w:cs="Arial"/>
          <w:sz w:val="20"/>
          <w:szCs w:val="20"/>
          <w:lang w:val="es-ES"/>
        </w:rPr>
        <w:t>.</w:t>
      </w:r>
    </w:p>
    <w:p w14:paraId="4F0B1515" w14:textId="77777777" w:rsidR="00F20E33" w:rsidRPr="00561A4A" w:rsidRDefault="00F20E33" w:rsidP="00F20E33">
      <w:pPr>
        <w:widowControl w:val="0"/>
        <w:autoSpaceDE w:val="0"/>
        <w:autoSpaceDN w:val="0"/>
        <w:spacing w:before="2" w:after="0" w:line="276" w:lineRule="auto"/>
        <w:rPr>
          <w:rFonts w:ascii="Verdana" w:eastAsia="Arial" w:hAnsi="Verdana" w:cs="Arial"/>
          <w:lang w:val="es-ES"/>
        </w:rPr>
      </w:pPr>
    </w:p>
    <w:p w14:paraId="77349CDE" w14:textId="77777777" w:rsidR="00F20E33" w:rsidRPr="00BF22E6" w:rsidRDefault="00F20E33" w:rsidP="00F20E33">
      <w:pPr>
        <w:widowControl w:val="0"/>
        <w:autoSpaceDE w:val="0"/>
        <w:autoSpaceDN w:val="0"/>
        <w:spacing w:after="120" w:line="276" w:lineRule="auto"/>
        <w:ind w:right="104" w:firstLine="708"/>
        <w:jc w:val="both"/>
        <w:rPr>
          <w:rFonts w:ascii="Verdana" w:eastAsia="Arial" w:hAnsi="Verdana" w:cs="Arial"/>
          <w:lang w:val="es-ES"/>
        </w:rPr>
      </w:pPr>
      <w:r w:rsidRPr="00BF22E6">
        <w:rPr>
          <w:rFonts w:ascii="Verdana" w:eastAsia="Arial" w:hAnsi="Verdana" w:cs="Arial"/>
          <w:lang w:val="es-ES"/>
        </w:rPr>
        <w:t xml:space="preserve">Finalmente, es necesario precisar que la ley no le prohibió a la Administración solicitar o exigir marcas en los procesos de selección. La redacción casuística que hizo el legislador en el artículo 27 de la Ley 80 de 1993 sobre el principio de transparencia, o las reglas que introdujo el artículo 5 de la </w:t>
      </w:r>
      <w:r w:rsidRPr="00BF22E6">
        <w:rPr>
          <w:rFonts w:ascii="Verdana" w:eastAsia="Arial" w:hAnsi="Verdana" w:cs="Arial"/>
          <w:lang w:val="es-ES"/>
        </w:rPr>
        <w:lastRenderedPageBreak/>
        <w:t xml:space="preserve">Ley 1150 de 2007, sobre la selección objetiva, habrían sido el escenario ideal para que prohibiera la exigencia de marcas </w:t>
      </w:r>
      <w:r>
        <w:rPr>
          <w:rFonts w:ascii="Verdana" w:eastAsia="Arial" w:hAnsi="Verdana" w:cs="Arial"/>
          <w:lang w:val="es-ES"/>
        </w:rPr>
        <w:t>–</w:t>
      </w:r>
      <w:r w:rsidRPr="00BF22E6">
        <w:rPr>
          <w:rFonts w:ascii="Verdana" w:eastAsia="Arial" w:hAnsi="Verdana" w:cs="Arial"/>
          <w:lang w:val="es-ES"/>
        </w:rPr>
        <w:t>como ocurre en otros ordenamientos o como temporalmente lo establecieron los Decretos 2474 de 2008 y 734 de 2012</w:t>
      </w:r>
      <w:r>
        <w:rPr>
          <w:rFonts w:ascii="Verdana" w:eastAsia="Arial" w:hAnsi="Verdana" w:cs="Arial"/>
          <w:lang w:val="es-ES"/>
        </w:rPr>
        <w:t>–</w:t>
      </w:r>
      <w:r w:rsidRPr="00BF22E6">
        <w:rPr>
          <w:rFonts w:ascii="Verdana" w:eastAsia="Arial" w:hAnsi="Verdana" w:cs="Arial"/>
          <w:lang w:val="es-ES"/>
        </w:rPr>
        <w:t xml:space="preserve"> pero no lo hizo, lo que significa que no consideró que la solicitud de marcas, en abstracto, implicara la violación de estos</w:t>
      </w:r>
      <w:r w:rsidRPr="00BF22E6">
        <w:rPr>
          <w:rFonts w:ascii="Verdana" w:eastAsia="Arial" w:hAnsi="Verdana" w:cs="Arial"/>
          <w:spacing w:val="-8"/>
          <w:lang w:val="es-ES"/>
        </w:rPr>
        <w:t xml:space="preserve"> </w:t>
      </w:r>
      <w:r w:rsidRPr="00BF22E6">
        <w:rPr>
          <w:rFonts w:ascii="Verdana" w:eastAsia="Arial" w:hAnsi="Verdana" w:cs="Arial"/>
          <w:lang w:val="es-ES"/>
        </w:rPr>
        <w:t>principios.</w:t>
      </w:r>
    </w:p>
    <w:p w14:paraId="3872F379" w14:textId="77777777" w:rsidR="00F20E33" w:rsidRPr="00BF22E6" w:rsidRDefault="00F20E33" w:rsidP="00F20E33">
      <w:pPr>
        <w:widowControl w:val="0"/>
        <w:autoSpaceDE w:val="0"/>
        <w:autoSpaceDN w:val="0"/>
        <w:spacing w:after="120" w:line="276" w:lineRule="auto"/>
        <w:ind w:right="112"/>
        <w:jc w:val="both"/>
        <w:rPr>
          <w:rFonts w:ascii="Verdana" w:eastAsia="Arial" w:hAnsi="Verdana" w:cs="Arial"/>
          <w:lang w:val="es-ES"/>
        </w:rPr>
      </w:pPr>
      <w:r w:rsidRPr="00BF22E6">
        <w:rPr>
          <w:rFonts w:ascii="Verdana" w:eastAsia="Arial" w:hAnsi="Verdana" w:cs="Arial"/>
          <w:lang w:val="es-ES"/>
        </w:rPr>
        <w:tab/>
        <w:t>En suma, la exigencia de marcas en los procesos de contratación estatal</w:t>
      </w:r>
      <w:r>
        <w:rPr>
          <w:rFonts w:ascii="Verdana" w:eastAsia="Arial" w:hAnsi="Verdana" w:cs="Arial"/>
          <w:lang w:val="es-ES"/>
        </w:rPr>
        <w:t xml:space="preserve"> </w:t>
      </w:r>
      <w:r w:rsidRPr="00BF22E6">
        <w:rPr>
          <w:rFonts w:ascii="Verdana" w:eastAsia="Arial" w:hAnsi="Verdana" w:cs="Arial"/>
          <w:lang w:val="es-ES"/>
        </w:rPr>
        <w:t xml:space="preserve">se permitirá solo en aquellos procedimientos </w:t>
      </w:r>
      <w:r w:rsidRPr="00BF22E6">
        <w:rPr>
          <w:rFonts w:ascii="Verdana" w:eastAsia="Times New Roman" w:hAnsi="Verdana" w:cs="Arial"/>
          <w:bCs/>
          <w:color w:val="000000"/>
          <w:lang w:val="es-ES" w:eastAsia="es-ES"/>
        </w:rPr>
        <w:t xml:space="preserve">que no estén sujetos a tratados de libre comercio que las prohíban, de acuerdo con el ámbito de aplicación, valor del contrato y tipo de bien o servicio. Por tanto, en cumplimiento de los acuerdos comerciales, las entidades estatales deben revisar si su proceso de contratación se somete al tratado, para definir la exigencia o no de marcas dentro del pliego de condiciones. </w:t>
      </w:r>
    </w:p>
    <w:p w14:paraId="2CF34858" w14:textId="77777777" w:rsidR="00F20E33" w:rsidRPr="00BF22E6" w:rsidRDefault="00F20E33" w:rsidP="00F20E33">
      <w:pPr>
        <w:spacing w:before="120" w:after="120" w:line="276" w:lineRule="auto"/>
        <w:jc w:val="both"/>
        <w:rPr>
          <w:rFonts w:ascii="Verdana" w:eastAsia="Arial" w:hAnsi="Verdana" w:cs="Arial"/>
          <w:lang w:val="es-ES"/>
        </w:rPr>
      </w:pPr>
      <w:r w:rsidRPr="00BF22E6">
        <w:rPr>
          <w:rFonts w:ascii="Verdana" w:eastAsia="Arial" w:hAnsi="Verdana" w:cs="Arial"/>
          <w:lang w:val="es-ES"/>
        </w:rPr>
        <w:tab/>
        <w:t xml:space="preserve">Ahora bien, es importante resaltar que la exigencia de marcas no implica que se autorice o convalide la desviación de poder, la cual, para que se configure, debe probarse en cada caso. En otras palabras, </w:t>
      </w:r>
      <w:r>
        <w:rPr>
          <w:rFonts w:ascii="Verdana" w:eastAsia="Arial" w:hAnsi="Verdana" w:cs="Arial"/>
          <w:lang w:val="es-ES"/>
        </w:rPr>
        <w:t>la tesis prohijada</w:t>
      </w:r>
      <w:r w:rsidRPr="00BF22E6">
        <w:rPr>
          <w:rFonts w:ascii="Verdana" w:eastAsia="Arial" w:hAnsi="Verdana" w:cs="Arial"/>
          <w:lang w:val="es-ES"/>
        </w:rPr>
        <w:t xml:space="preserve"> </w:t>
      </w:r>
      <w:r>
        <w:rPr>
          <w:rFonts w:ascii="Verdana" w:eastAsia="Arial" w:hAnsi="Verdana" w:cs="Arial"/>
          <w:lang w:val="es-ES"/>
        </w:rPr>
        <w:t xml:space="preserve">en el presente oficio </w:t>
      </w:r>
      <w:r w:rsidRPr="00BF22E6">
        <w:rPr>
          <w:rFonts w:ascii="Verdana" w:eastAsia="Arial" w:hAnsi="Verdana" w:cs="Arial"/>
          <w:lang w:val="es-ES"/>
        </w:rPr>
        <w:t>no promueve la violación de los principios de libre concurrencia y de selección objetiva, pues no se menoscaban por el solo hecho de que la entidad solicite una marca en particular, sino con la demostración efectiva de que, en el proceso de selección particular, la entidad incurrió en</w:t>
      </w:r>
      <w:r w:rsidRPr="00BF22E6">
        <w:rPr>
          <w:rFonts w:ascii="Verdana" w:eastAsia="Arial" w:hAnsi="Verdana" w:cs="Arial"/>
          <w:spacing w:val="50"/>
          <w:lang w:val="es-ES"/>
        </w:rPr>
        <w:t xml:space="preserve"> </w:t>
      </w:r>
      <w:r w:rsidRPr="00BF22E6">
        <w:rPr>
          <w:rFonts w:ascii="Verdana" w:eastAsia="Arial" w:hAnsi="Verdana" w:cs="Arial"/>
          <w:lang w:val="es-ES"/>
        </w:rPr>
        <w:t>desviación</w:t>
      </w:r>
      <w:r w:rsidRPr="00BF22E6">
        <w:rPr>
          <w:rFonts w:ascii="Verdana" w:eastAsia="Arial" w:hAnsi="Verdana" w:cs="Arial"/>
          <w:spacing w:val="50"/>
          <w:lang w:val="es-ES"/>
        </w:rPr>
        <w:t xml:space="preserve"> </w:t>
      </w:r>
      <w:r w:rsidRPr="00BF22E6">
        <w:rPr>
          <w:rFonts w:ascii="Verdana" w:eastAsia="Arial" w:hAnsi="Verdana" w:cs="Arial"/>
          <w:lang w:val="es-ES"/>
        </w:rPr>
        <w:t>de</w:t>
      </w:r>
      <w:r w:rsidRPr="00BF22E6">
        <w:rPr>
          <w:rFonts w:ascii="Verdana" w:eastAsia="Arial" w:hAnsi="Verdana" w:cs="Arial"/>
          <w:spacing w:val="50"/>
          <w:lang w:val="es-ES"/>
        </w:rPr>
        <w:t xml:space="preserve"> </w:t>
      </w:r>
      <w:r w:rsidRPr="00BF22E6">
        <w:rPr>
          <w:rFonts w:ascii="Verdana" w:eastAsia="Arial" w:hAnsi="Verdana" w:cs="Arial"/>
          <w:lang w:val="es-ES"/>
        </w:rPr>
        <w:t>poder</w:t>
      </w:r>
      <w:r w:rsidRPr="00BF22E6">
        <w:rPr>
          <w:rFonts w:ascii="Verdana" w:eastAsia="Arial" w:hAnsi="Verdana" w:cs="Arial"/>
          <w:spacing w:val="50"/>
          <w:lang w:val="es-ES"/>
        </w:rPr>
        <w:t xml:space="preserve"> </w:t>
      </w:r>
      <w:r w:rsidRPr="00BF22E6">
        <w:rPr>
          <w:rFonts w:ascii="Verdana" w:eastAsia="Arial" w:hAnsi="Verdana" w:cs="Arial"/>
          <w:lang w:val="es-ES"/>
        </w:rPr>
        <w:t>a</w:t>
      </w:r>
      <w:r w:rsidRPr="00BF22E6">
        <w:rPr>
          <w:rFonts w:ascii="Verdana" w:eastAsia="Arial" w:hAnsi="Verdana" w:cs="Arial"/>
          <w:spacing w:val="50"/>
          <w:lang w:val="es-ES"/>
        </w:rPr>
        <w:t xml:space="preserve"> </w:t>
      </w:r>
      <w:r w:rsidRPr="00BF22E6">
        <w:rPr>
          <w:rFonts w:ascii="Verdana" w:eastAsia="Arial" w:hAnsi="Verdana" w:cs="Arial"/>
          <w:lang w:val="es-ES"/>
        </w:rPr>
        <w:t>través</w:t>
      </w:r>
      <w:r w:rsidRPr="00BF22E6">
        <w:rPr>
          <w:rFonts w:ascii="Verdana" w:eastAsia="Arial" w:hAnsi="Verdana" w:cs="Arial"/>
          <w:spacing w:val="50"/>
          <w:lang w:val="es-ES"/>
        </w:rPr>
        <w:t xml:space="preserve"> </w:t>
      </w:r>
      <w:r w:rsidRPr="00BF22E6">
        <w:rPr>
          <w:rFonts w:ascii="Verdana" w:eastAsia="Arial" w:hAnsi="Verdana" w:cs="Arial"/>
          <w:lang w:val="es-ES"/>
        </w:rPr>
        <w:t>de</w:t>
      </w:r>
      <w:r w:rsidRPr="00BF22E6">
        <w:rPr>
          <w:rFonts w:ascii="Verdana" w:eastAsia="Arial" w:hAnsi="Verdana" w:cs="Arial"/>
          <w:spacing w:val="51"/>
          <w:lang w:val="es-ES"/>
        </w:rPr>
        <w:t xml:space="preserve"> </w:t>
      </w:r>
      <w:r w:rsidRPr="00BF22E6">
        <w:rPr>
          <w:rFonts w:ascii="Verdana" w:eastAsia="Arial" w:hAnsi="Verdana" w:cs="Arial"/>
          <w:lang w:val="es-ES"/>
        </w:rPr>
        <w:t>esa</w:t>
      </w:r>
      <w:r w:rsidRPr="00BF22E6">
        <w:rPr>
          <w:rFonts w:ascii="Verdana" w:eastAsia="Arial" w:hAnsi="Verdana" w:cs="Arial"/>
          <w:spacing w:val="50"/>
          <w:lang w:val="es-ES"/>
        </w:rPr>
        <w:t xml:space="preserve"> </w:t>
      </w:r>
      <w:r w:rsidRPr="00BF22E6">
        <w:rPr>
          <w:rFonts w:ascii="Verdana" w:eastAsia="Arial" w:hAnsi="Verdana" w:cs="Arial"/>
          <w:lang w:val="es-ES"/>
        </w:rPr>
        <w:t>decisión,</w:t>
      </w:r>
      <w:r w:rsidRPr="00BF22E6">
        <w:rPr>
          <w:rFonts w:ascii="Verdana" w:eastAsia="Arial" w:hAnsi="Verdana" w:cs="Arial"/>
          <w:spacing w:val="50"/>
          <w:lang w:val="es-ES"/>
        </w:rPr>
        <w:t xml:space="preserve"> </w:t>
      </w:r>
      <w:r w:rsidRPr="00BF22E6">
        <w:rPr>
          <w:rFonts w:ascii="Verdana" w:eastAsia="Arial" w:hAnsi="Verdana" w:cs="Arial"/>
          <w:lang w:val="es-ES"/>
        </w:rPr>
        <w:t>con el fin de</w:t>
      </w:r>
      <w:r w:rsidRPr="00BF22E6">
        <w:rPr>
          <w:rFonts w:ascii="Verdana" w:eastAsia="Arial" w:hAnsi="Verdana" w:cs="Arial"/>
          <w:spacing w:val="51"/>
          <w:lang w:val="es-ES"/>
        </w:rPr>
        <w:t xml:space="preserve"> </w:t>
      </w:r>
      <w:r w:rsidRPr="00BF22E6">
        <w:rPr>
          <w:rFonts w:ascii="Verdana" w:eastAsia="Arial" w:hAnsi="Verdana" w:cs="Arial"/>
          <w:lang w:val="es-ES"/>
        </w:rPr>
        <w:t>direccionar</w:t>
      </w:r>
      <w:r w:rsidRPr="00BF22E6">
        <w:rPr>
          <w:rFonts w:ascii="Verdana" w:eastAsia="Arial" w:hAnsi="Verdana" w:cs="Arial"/>
          <w:spacing w:val="50"/>
          <w:lang w:val="es-ES"/>
        </w:rPr>
        <w:t xml:space="preserve"> </w:t>
      </w:r>
      <w:r w:rsidRPr="00BF22E6">
        <w:rPr>
          <w:rFonts w:ascii="Verdana" w:eastAsia="Arial" w:hAnsi="Verdana" w:cs="Arial"/>
          <w:lang w:val="es-ES"/>
        </w:rPr>
        <w:t>la</w:t>
      </w:r>
      <w:r w:rsidRPr="00BF22E6">
        <w:rPr>
          <w:rFonts w:ascii="Verdana" w:eastAsia="Arial" w:hAnsi="Verdana" w:cs="Arial"/>
          <w:spacing w:val="50"/>
          <w:lang w:val="es-ES"/>
        </w:rPr>
        <w:t xml:space="preserve"> </w:t>
      </w:r>
      <w:r w:rsidRPr="00BF22E6">
        <w:rPr>
          <w:rFonts w:ascii="Verdana" w:eastAsia="Arial" w:hAnsi="Verdana" w:cs="Arial"/>
          <w:lang w:val="es-ES"/>
        </w:rPr>
        <w:t>selección</w:t>
      </w:r>
      <w:r w:rsidRPr="00BF22E6">
        <w:rPr>
          <w:rFonts w:ascii="Verdana" w:eastAsia="Arial" w:hAnsi="Verdana" w:cs="Arial"/>
          <w:spacing w:val="50"/>
          <w:lang w:val="es-ES"/>
        </w:rPr>
        <w:t xml:space="preserve"> </w:t>
      </w:r>
      <w:r w:rsidRPr="00BF22E6">
        <w:rPr>
          <w:rFonts w:ascii="Verdana" w:eastAsia="Arial" w:hAnsi="Verdana" w:cs="Arial"/>
          <w:lang w:val="es-ES"/>
        </w:rPr>
        <w:t>de</w:t>
      </w:r>
      <w:r w:rsidRPr="00BF22E6">
        <w:rPr>
          <w:rFonts w:ascii="Verdana" w:eastAsia="Arial" w:hAnsi="Verdana" w:cs="Arial"/>
          <w:spacing w:val="51"/>
          <w:lang w:val="es-ES"/>
        </w:rPr>
        <w:t xml:space="preserve"> </w:t>
      </w:r>
      <w:r w:rsidRPr="00BF22E6">
        <w:rPr>
          <w:rFonts w:ascii="Verdana" w:eastAsia="Arial" w:hAnsi="Verdana" w:cs="Arial"/>
          <w:lang w:val="es-ES"/>
        </w:rPr>
        <w:t xml:space="preserve">un contratista. </w:t>
      </w:r>
    </w:p>
    <w:p w14:paraId="0C2B1437" w14:textId="77777777" w:rsidR="00F20E33" w:rsidRPr="009A6960" w:rsidRDefault="00F20E33" w:rsidP="00F20E33">
      <w:pPr>
        <w:spacing w:after="0" w:line="276" w:lineRule="auto"/>
        <w:ind w:firstLine="708"/>
        <w:jc w:val="both"/>
        <w:rPr>
          <w:rFonts w:ascii="Verdana" w:eastAsia="Times New Roman" w:hAnsi="Verdana" w:cs="Arial"/>
          <w:lang w:eastAsia="es-ES_tradnl"/>
        </w:rPr>
      </w:pPr>
      <w:r w:rsidRPr="00BF22E6">
        <w:rPr>
          <w:rFonts w:ascii="Verdana" w:eastAsia="Calibri" w:hAnsi="Verdana" w:cs="Arial"/>
          <w:color w:val="000000"/>
          <w:lang w:val="es-ES_tradnl" w:eastAsia="es-ES_tradnl"/>
        </w:rPr>
        <w:t>Las Entidades Estatales, en su discrecionalidad, podrán exigir marcas si no están prohibidas en acuerdos y tratados comerciales en las que sean destinatarios, pero garantizando el principio de proporcionalidad, que exige que dichos requisitos o condiciones sean razonables, es decir, que guarden congruencia con el objeto, necesidad de la contratación, alcance, valor, plazo del contrato</w:t>
      </w:r>
      <w:r w:rsidRPr="009A6960">
        <w:rPr>
          <w:rFonts w:ascii="Verdana" w:eastAsia="Calibri" w:hAnsi="Verdana" w:cs="Arial"/>
          <w:color w:val="000000"/>
          <w:lang w:val="es-ES_tradnl" w:eastAsia="es-ES_tradnl"/>
        </w:rPr>
        <w:t>, entre otros aspectos, que sean necesarios y no restrinjan injustificadamente la libre concurrencia y pluralidad de oferentes. En este sentido, la discrecionalidad del ordenador del gasto o el delegado en contratación de cada entidad está condicionada a la proporcionalidad de las decisiones que toma en aras de garantizar la pluralidad de oferentes y la selección objetiva</w:t>
      </w:r>
      <w:r w:rsidRPr="009A6960">
        <w:rPr>
          <w:rStyle w:val="Refdenotaalpie"/>
          <w:rFonts w:ascii="Verdana" w:hAnsi="Verdana"/>
        </w:rPr>
        <w:footnoteReference w:id="21"/>
      </w:r>
      <w:r w:rsidRPr="009A6960">
        <w:rPr>
          <w:rFonts w:ascii="Verdana" w:eastAsia="Times New Roman" w:hAnsi="Verdana" w:cs="Arial"/>
          <w:lang w:eastAsia="es-ES_tradnl"/>
        </w:rPr>
        <w:t>.</w:t>
      </w:r>
    </w:p>
    <w:p w14:paraId="6BB336F4" w14:textId="77777777" w:rsidR="00F20E33" w:rsidRPr="009A6960" w:rsidRDefault="00F20E33" w:rsidP="00F20E33">
      <w:pPr>
        <w:spacing w:after="0" w:line="276" w:lineRule="auto"/>
        <w:ind w:firstLine="708"/>
        <w:jc w:val="both"/>
        <w:rPr>
          <w:rFonts w:ascii="Verdana" w:eastAsia="Times New Roman" w:hAnsi="Verdana" w:cs="Arial"/>
          <w:lang w:eastAsia="es-ES_tradnl"/>
        </w:rPr>
      </w:pPr>
    </w:p>
    <w:p w14:paraId="55501897" w14:textId="77777777" w:rsidR="00F20E33" w:rsidRPr="00CB68C5" w:rsidRDefault="00F20E33" w:rsidP="00F20E33">
      <w:pPr>
        <w:spacing w:after="0" w:line="276" w:lineRule="auto"/>
        <w:jc w:val="both"/>
        <w:rPr>
          <w:rFonts w:ascii="Verdana" w:hAnsi="Verdana" w:cs="Arial"/>
        </w:rPr>
      </w:pPr>
      <w:proofErr w:type="spellStart"/>
      <w:r w:rsidRPr="009A6960">
        <w:rPr>
          <w:rFonts w:ascii="Verdana" w:eastAsia="Times New Roman" w:hAnsi="Verdana" w:cs="Arial"/>
          <w:lang w:eastAsia="es-ES_tradnl"/>
        </w:rPr>
        <w:t>iii</w:t>
      </w:r>
      <w:proofErr w:type="spellEnd"/>
      <w:r w:rsidRPr="009A6960">
        <w:rPr>
          <w:rFonts w:ascii="Verdana" w:eastAsia="Times New Roman" w:hAnsi="Verdana" w:cs="Arial"/>
          <w:lang w:eastAsia="es-ES_tradnl"/>
        </w:rPr>
        <w:t>.</w:t>
      </w:r>
      <w:r>
        <w:rPr>
          <w:rFonts w:ascii="Verdana" w:eastAsia="Times New Roman" w:hAnsi="Verdana" w:cs="Arial"/>
          <w:lang w:eastAsia="es-ES_tradnl"/>
        </w:rPr>
        <w:t xml:space="preserve"> Conforme a los precitados artículos </w:t>
      </w:r>
      <w:r w:rsidRPr="000B2D3C">
        <w:rPr>
          <w:rFonts w:ascii="Verdana" w:eastAsia="Times New Roman" w:hAnsi="Verdana" w:cs="Arial"/>
          <w:lang w:eastAsia="es-ES_tradnl"/>
        </w:rPr>
        <w:t>13, 32 y 40</w:t>
      </w:r>
      <w:r>
        <w:rPr>
          <w:rFonts w:ascii="Verdana" w:eastAsia="Times New Roman" w:hAnsi="Verdana" w:cs="Arial"/>
          <w:lang w:eastAsia="es-ES_tradnl"/>
        </w:rPr>
        <w:t xml:space="preserve"> de la Ley 80 de 1993, </w:t>
      </w:r>
      <w:r w:rsidRPr="00CB68C5">
        <w:rPr>
          <w:rFonts w:ascii="Verdana" w:hAnsi="Verdana" w:cs="Arial"/>
        </w:rPr>
        <w:t>los contratos de las entidades sometidas al Estatuto General de Contratación se rigen generalmente por el derecho privado y excepcionalmente por el derecho público, pues las normas civiles y comerciales son el derecho común de los contratos estatales</w:t>
      </w:r>
      <w:r w:rsidRPr="00CB68C5">
        <w:rPr>
          <w:rStyle w:val="Refdenotaalpie"/>
          <w:rFonts w:ascii="Verdana" w:hAnsi="Verdana" w:cs="Arial"/>
        </w:rPr>
        <w:footnoteReference w:id="22"/>
      </w:r>
      <w:r w:rsidRPr="00CB68C5">
        <w:rPr>
          <w:rFonts w:ascii="Verdana" w:hAnsi="Verdana" w:cs="Arial"/>
        </w:rPr>
        <w:t>. Para la doctrina, la mixtura del régimen contractual:</w:t>
      </w:r>
    </w:p>
    <w:p w14:paraId="7CCC2C8C" w14:textId="77777777" w:rsidR="00F20E33" w:rsidRPr="00CB68C5" w:rsidRDefault="00F20E33" w:rsidP="00F20E33">
      <w:pPr>
        <w:spacing w:after="0" w:line="276" w:lineRule="auto"/>
        <w:ind w:firstLine="709"/>
        <w:jc w:val="both"/>
        <w:rPr>
          <w:rFonts w:ascii="Verdana" w:hAnsi="Verdana" w:cs="Arial"/>
        </w:rPr>
      </w:pPr>
    </w:p>
    <w:p w14:paraId="3FD5F2F1" w14:textId="77777777" w:rsidR="00F20E33" w:rsidRPr="000B2D3C" w:rsidRDefault="00F20E33" w:rsidP="00F20E33">
      <w:pPr>
        <w:spacing w:after="0" w:line="240" w:lineRule="auto"/>
        <w:ind w:left="709" w:right="709"/>
        <w:jc w:val="both"/>
        <w:rPr>
          <w:rFonts w:ascii="Verdana" w:hAnsi="Verdana" w:cs="Arial"/>
          <w:sz w:val="20"/>
          <w:szCs w:val="20"/>
        </w:rPr>
      </w:pPr>
      <w:r w:rsidRPr="000B2D3C">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0DD5D99A" w14:textId="77777777" w:rsidR="00F20E33" w:rsidRPr="000B2D3C" w:rsidRDefault="00F20E33" w:rsidP="00F20E33">
      <w:pPr>
        <w:spacing w:after="0" w:line="240" w:lineRule="auto"/>
        <w:ind w:right="709"/>
        <w:jc w:val="both"/>
        <w:rPr>
          <w:rFonts w:ascii="Verdana" w:hAnsi="Verdana" w:cs="Arial"/>
          <w:sz w:val="20"/>
          <w:szCs w:val="20"/>
        </w:rPr>
      </w:pPr>
      <w:r w:rsidRPr="000B2D3C">
        <w:rPr>
          <w:rFonts w:ascii="Verdana" w:hAnsi="Verdana" w:cs="Arial"/>
          <w:sz w:val="20"/>
          <w:szCs w:val="20"/>
        </w:rPr>
        <w:tab/>
      </w:r>
    </w:p>
    <w:p w14:paraId="60099873" w14:textId="77777777" w:rsidR="00F20E33" w:rsidRPr="000B2D3C" w:rsidRDefault="00F20E33" w:rsidP="00F20E33">
      <w:pPr>
        <w:spacing w:after="0" w:line="240" w:lineRule="auto"/>
        <w:ind w:left="709" w:right="709"/>
        <w:jc w:val="both"/>
        <w:rPr>
          <w:rFonts w:ascii="Verdana" w:hAnsi="Verdana" w:cs="Arial"/>
          <w:sz w:val="20"/>
          <w:szCs w:val="20"/>
        </w:rPr>
      </w:pPr>
      <w:r w:rsidRPr="000B2D3C">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B2D3C">
        <w:rPr>
          <w:rStyle w:val="Refdenotaalpie"/>
          <w:rFonts w:ascii="Verdana" w:hAnsi="Verdana" w:cs="Arial"/>
          <w:sz w:val="20"/>
          <w:szCs w:val="20"/>
        </w:rPr>
        <w:footnoteReference w:id="23"/>
      </w:r>
      <w:r w:rsidRPr="000B2D3C">
        <w:rPr>
          <w:rFonts w:ascii="Verdana" w:hAnsi="Verdana" w:cs="Arial"/>
          <w:sz w:val="20"/>
          <w:szCs w:val="20"/>
        </w:rPr>
        <w:t xml:space="preserve">. </w:t>
      </w:r>
    </w:p>
    <w:p w14:paraId="6B2A53C2" w14:textId="77777777" w:rsidR="00F20E33" w:rsidRPr="00CB68C5" w:rsidRDefault="00F20E33" w:rsidP="00F20E33">
      <w:pPr>
        <w:spacing w:after="0" w:line="276" w:lineRule="auto"/>
        <w:ind w:left="709" w:right="709"/>
        <w:jc w:val="both"/>
        <w:rPr>
          <w:rFonts w:ascii="Verdana" w:hAnsi="Verdana" w:cs="Arial"/>
        </w:rPr>
      </w:pPr>
      <w:r w:rsidRPr="00CB68C5">
        <w:rPr>
          <w:rFonts w:ascii="Verdana" w:hAnsi="Verdana" w:cs="Arial"/>
        </w:rPr>
        <w:t xml:space="preserve"> </w:t>
      </w:r>
    </w:p>
    <w:p w14:paraId="51DC2D77" w14:textId="77777777" w:rsidR="00F20E33" w:rsidRDefault="00F20E33" w:rsidP="00F20E33">
      <w:pPr>
        <w:spacing w:after="120" w:line="276" w:lineRule="auto"/>
        <w:jc w:val="both"/>
        <w:rPr>
          <w:rFonts w:ascii="Verdana" w:hAnsi="Verdana" w:cs="Arial"/>
        </w:rPr>
      </w:pPr>
      <w:r w:rsidRPr="00CB68C5">
        <w:rPr>
          <w:rFonts w:ascii="Verdana" w:hAnsi="Verdana" w:cs="Arial"/>
        </w:rPr>
        <w:tab/>
        <w:t xml:space="preserve">Ello no implica una privatización absoluta del régimen contractual de las entidades públicas, pues la Ley 80 de 1993 –entre otros aspectos– regula </w:t>
      </w:r>
      <w:r w:rsidRPr="00CB68C5">
        <w:rPr>
          <w:rFonts w:ascii="Verdana" w:hAnsi="Verdana" w:cs="Arial"/>
        </w:rPr>
        <w:lastRenderedPageBreak/>
        <w:t>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sidRPr="009A6960">
        <w:rPr>
          <w:rFonts w:ascii="Verdana" w:eastAsia="Times New Roman" w:hAnsi="Verdana" w:cs="Arial"/>
          <w:lang w:eastAsia="es-ES_tradnl"/>
        </w:rPr>
        <w:t xml:space="preserve"> </w:t>
      </w:r>
      <w:r w:rsidRPr="00CB68C5">
        <w:rPr>
          <w:rFonts w:ascii="Verdana" w:hAnsi="Verdana" w:cs="Arial"/>
        </w:rPr>
        <w:t xml:space="preserve">Esta precisión es importante, porque </w:t>
      </w:r>
      <w:r>
        <w:rPr>
          <w:rFonts w:ascii="Verdana" w:hAnsi="Verdana" w:cs="Arial"/>
        </w:rPr>
        <w:t>las reglas para el cumplimiento de las obligaciones</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w:t>
      </w:r>
      <w:r>
        <w:rPr>
          <w:rFonts w:ascii="Verdana" w:hAnsi="Verdana" w:cs="Arial"/>
        </w:rPr>
        <w:t xml:space="preserve">, las cuales se integran por remisión a las reglas generales del sistema de compras públicas. </w:t>
      </w:r>
    </w:p>
    <w:p w14:paraId="06C90EF7" w14:textId="5140BEDF" w:rsidR="00F20E33" w:rsidRDefault="00F20E33" w:rsidP="00F20E33">
      <w:pPr>
        <w:spacing w:after="120" w:line="276" w:lineRule="auto"/>
        <w:jc w:val="both"/>
        <w:rPr>
          <w:rFonts w:ascii="Verdana" w:hAnsi="Verdana" w:cs="Arial"/>
        </w:rPr>
      </w:pPr>
      <w:r>
        <w:rPr>
          <w:rFonts w:ascii="Verdana" w:hAnsi="Verdana" w:cs="Arial"/>
        </w:rPr>
        <w:tab/>
        <w:t>En efecto, de acuerdo con el artículo 1625.1 de la Ley 84 de 1873, las obligaciones se extinguen por</w:t>
      </w:r>
      <w:r w:rsidRPr="000E034A">
        <w:rPr>
          <w:rFonts w:ascii="Verdana" w:hAnsi="Verdana" w:cs="Arial"/>
        </w:rPr>
        <w:t xml:space="preserve"> la solución o pago efectivo</w:t>
      </w:r>
      <w:r>
        <w:rPr>
          <w:rFonts w:ascii="Verdana" w:hAnsi="Verdana" w:cs="Arial"/>
        </w:rPr>
        <w:t xml:space="preserve">, el cual corresponde a la prestación de lo que se debe conforme al artículo 1626 </w:t>
      </w:r>
      <w:r w:rsidRPr="000E034A">
        <w:rPr>
          <w:rFonts w:ascii="Verdana" w:hAnsi="Verdana" w:cs="Arial"/>
          <w:i/>
          <w:iCs/>
        </w:rPr>
        <w:t>ibidem</w:t>
      </w:r>
      <w:r>
        <w:rPr>
          <w:rFonts w:ascii="Verdana" w:hAnsi="Verdana" w:cs="Arial"/>
        </w:rPr>
        <w:t>. Para la doctrina, “</w:t>
      </w:r>
      <w:r w:rsidRPr="002403B8">
        <w:rPr>
          <w:rFonts w:ascii="Verdana" w:hAnsi="Verdana" w:cs="Arial"/>
        </w:rPr>
        <w:t>Es evidente que aquel que ha satisfecho su obligación queda libre de ella, de</w:t>
      </w:r>
      <w:r>
        <w:rPr>
          <w:rFonts w:ascii="Verdana" w:hAnsi="Verdana" w:cs="Arial"/>
        </w:rPr>
        <w:t xml:space="preserve"> </w:t>
      </w:r>
      <w:r w:rsidRPr="002403B8">
        <w:rPr>
          <w:rFonts w:ascii="Verdana" w:hAnsi="Verdana" w:cs="Arial"/>
        </w:rPr>
        <w:t>donde se sigue que el pago real,</w:t>
      </w:r>
      <w:r w:rsidR="00C442D9">
        <w:rPr>
          <w:rFonts w:ascii="Verdana" w:hAnsi="Verdana" w:cs="Arial"/>
        </w:rPr>
        <w:t xml:space="preserve"> […]</w:t>
      </w:r>
      <w:r w:rsidRPr="002403B8">
        <w:rPr>
          <w:rFonts w:ascii="Verdana" w:hAnsi="Verdana" w:cs="Arial"/>
        </w:rPr>
        <w:t xml:space="preserve"> no es otra cosa que el cumplimiento de la</w:t>
      </w:r>
      <w:r>
        <w:rPr>
          <w:rFonts w:ascii="Verdana" w:hAnsi="Verdana" w:cs="Arial"/>
        </w:rPr>
        <w:t xml:space="preserve"> </w:t>
      </w:r>
      <w:r w:rsidRPr="002403B8">
        <w:rPr>
          <w:rFonts w:ascii="Verdana" w:hAnsi="Verdana" w:cs="Arial"/>
        </w:rPr>
        <w:t>obligación</w:t>
      </w:r>
      <w:r>
        <w:rPr>
          <w:rFonts w:ascii="Verdana" w:hAnsi="Verdana" w:cs="Arial"/>
        </w:rPr>
        <w:t xml:space="preserve"> […]”</w:t>
      </w:r>
      <w:r>
        <w:rPr>
          <w:rStyle w:val="Refdenotaalpie"/>
          <w:rFonts w:ascii="Verdana" w:hAnsi="Verdana" w:cs="Arial"/>
        </w:rPr>
        <w:footnoteReference w:id="24"/>
      </w:r>
      <w:r w:rsidRPr="002403B8">
        <w:rPr>
          <w:rFonts w:ascii="Verdana" w:hAnsi="Verdana" w:cs="Arial"/>
        </w:rPr>
        <w:t>.</w:t>
      </w:r>
    </w:p>
    <w:p w14:paraId="6A4FE050" w14:textId="77777777" w:rsidR="00F20E33" w:rsidRDefault="00F20E33" w:rsidP="00F20E33">
      <w:pPr>
        <w:spacing w:after="0" w:line="276" w:lineRule="auto"/>
        <w:jc w:val="both"/>
        <w:rPr>
          <w:rFonts w:ascii="Verdana" w:hAnsi="Verdana" w:cs="Arial"/>
        </w:rPr>
      </w:pPr>
      <w:r>
        <w:rPr>
          <w:rFonts w:ascii="Verdana" w:hAnsi="Verdana" w:cs="Arial"/>
        </w:rPr>
        <w:tab/>
        <w:t>Dicho cumplimiento se rige por el principio de exactitud o identidad; razón por la cual –conforme al artículo 1627 del Código Civil– “</w:t>
      </w:r>
      <w:r w:rsidRPr="002403B8">
        <w:rPr>
          <w:rFonts w:ascii="Verdana" w:hAnsi="Verdana" w:cs="Arial"/>
        </w:rPr>
        <w:t>El pago se hará bajo todos respectos en conformidad al tenor de la obligación; sin perjuicio de lo que en los casos especiales dispongan las leyes</w:t>
      </w:r>
      <w:r>
        <w:rPr>
          <w:rFonts w:ascii="Verdana" w:hAnsi="Verdana" w:cs="Arial"/>
        </w:rPr>
        <w:t>” y, en consecuencia, “</w:t>
      </w:r>
      <w:r w:rsidRPr="00E624D2">
        <w:rPr>
          <w:rFonts w:ascii="Verdana" w:hAnsi="Verdana" w:cs="Arial"/>
        </w:rPr>
        <w:t>El acreedor no podrá ser obligado a recibir otra cosa que lo que se le deba, ni aun a pretexto de ser de igual o mayor valor la ofrecida</w:t>
      </w:r>
      <w:r>
        <w:rPr>
          <w:rFonts w:ascii="Verdana" w:hAnsi="Verdana" w:cs="Arial"/>
        </w:rPr>
        <w:t>”</w:t>
      </w:r>
      <w:r w:rsidRPr="00E624D2">
        <w:rPr>
          <w:rFonts w:ascii="Verdana" w:hAnsi="Verdana" w:cs="Arial"/>
        </w:rPr>
        <w:t>.</w:t>
      </w:r>
      <w:r>
        <w:rPr>
          <w:rFonts w:ascii="Verdana" w:hAnsi="Verdana" w:cs="Arial"/>
        </w:rPr>
        <w:t xml:space="preserve"> De esta manera, si los documentos del proceso exigen el suministro de una marca específica, el contratista incumple con sus obligaciones cuando suministra una distinta. En otras palabras:</w:t>
      </w:r>
    </w:p>
    <w:p w14:paraId="155D3AF3" w14:textId="77777777" w:rsidR="00F20E33" w:rsidRDefault="00F20E33" w:rsidP="00F20E33">
      <w:pPr>
        <w:spacing w:after="0" w:line="276" w:lineRule="auto"/>
        <w:jc w:val="both"/>
        <w:rPr>
          <w:rFonts w:ascii="Verdana" w:hAnsi="Verdana" w:cs="Arial"/>
        </w:rPr>
      </w:pPr>
    </w:p>
    <w:p w14:paraId="34AB469B" w14:textId="77777777" w:rsidR="00F20E33" w:rsidRPr="004B73E5" w:rsidRDefault="00F20E33" w:rsidP="00F20E33">
      <w:pPr>
        <w:spacing w:after="0" w:line="240" w:lineRule="auto"/>
        <w:ind w:left="709" w:right="709"/>
        <w:jc w:val="both"/>
        <w:rPr>
          <w:rFonts w:ascii="Verdana" w:hAnsi="Verdana" w:cs="Arial"/>
          <w:sz w:val="20"/>
          <w:szCs w:val="20"/>
        </w:rPr>
      </w:pPr>
      <w:r w:rsidRPr="004B73E5">
        <w:rPr>
          <w:rFonts w:ascii="Verdana" w:hAnsi="Verdana" w:cs="Arial"/>
          <w:sz w:val="20"/>
          <w:szCs w:val="20"/>
        </w:rPr>
        <w:t>“[…] debe existir una igualdad entre el objeto de la obligación que acordaron las partes en el contrato y el objeto de la prestación realizada por el deudor. […] no existiendo tal igualdad o identidad el acreedor no está obligado a aceptarla y podrá negarse a recibir cosa distinta de la pactada […]. Tampoco lo estará a conformarse con una prestación que no se ajuste exactamente a lo convenido en el contrato, ni existe precepto legal alguno que a ello le obligue bajo reserva de exigir su corrección. La entrega ha de sujetarse en todas sus modalidades al programa de prestación previsto al constituirse la obligación para tener por cumplida ésta”</w:t>
      </w:r>
      <w:r w:rsidRPr="004B73E5">
        <w:rPr>
          <w:rStyle w:val="Refdenotaalpie"/>
          <w:rFonts w:ascii="Verdana" w:hAnsi="Verdana" w:cs="Arial"/>
          <w:sz w:val="20"/>
          <w:szCs w:val="20"/>
        </w:rPr>
        <w:footnoteReference w:id="25"/>
      </w:r>
      <w:r w:rsidRPr="004B73E5">
        <w:rPr>
          <w:rFonts w:ascii="Verdana" w:hAnsi="Verdana" w:cs="Arial"/>
          <w:sz w:val="20"/>
          <w:szCs w:val="20"/>
        </w:rPr>
        <w:t xml:space="preserve">. </w:t>
      </w:r>
    </w:p>
    <w:p w14:paraId="29C08958" w14:textId="77777777" w:rsidR="00F20E33" w:rsidRDefault="00F20E33" w:rsidP="00F20E33">
      <w:pPr>
        <w:spacing w:after="0" w:line="276" w:lineRule="auto"/>
        <w:jc w:val="both"/>
        <w:rPr>
          <w:rFonts w:ascii="Verdana" w:hAnsi="Verdana" w:cs="Arial"/>
        </w:rPr>
      </w:pPr>
    </w:p>
    <w:p w14:paraId="5A61B10F" w14:textId="77777777" w:rsidR="00F20E33" w:rsidRPr="00A96D08" w:rsidRDefault="00F20E33" w:rsidP="00F20E33">
      <w:pPr>
        <w:spacing w:after="0" w:line="276" w:lineRule="auto"/>
        <w:jc w:val="both"/>
        <w:rPr>
          <w:rFonts w:ascii="Verdana" w:hAnsi="Verdana" w:cs="Arial"/>
        </w:rPr>
      </w:pPr>
      <w:r>
        <w:rPr>
          <w:rFonts w:ascii="Verdana" w:hAnsi="Verdana" w:cs="Arial"/>
        </w:rPr>
        <w:lastRenderedPageBreak/>
        <w:tab/>
        <w:t>Como indica el artículo 1602 del Código Civil, “</w:t>
      </w:r>
      <w:r w:rsidRPr="004B73E5">
        <w:rPr>
          <w:rFonts w:ascii="Verdana" w:hAnsi="Verdana" w:cs="Arial"/>
        </w:rPr>
        <w:t>Todo contrato legalmente celebrado es una ley para los contratantes, y no puede ser invalidado sino por su consentimiento mutuo o por causas legales</w:t>
      </w:r>
      <w:r>
        <w:rPr>
          <w:rFonts w:ascii="Verdana" w:hAnsi="Verdana" w:cs="Arial"/>
        </w:rPr>
        <w:t>”</w:t>
      </w:r>
      <w:r w:rsidRPr="004B73E5">
        <w:rPr>
          <w:rFonts w:ascii="Verdana" w:hAnsi="Verdana" w:cs="Arial"/>
        </w:rPr>
        <w:t>.</w:t>
      </w:r>
      <w:r>
        <w:rPr>
          <w:rFonts w:ascii="Verdana" w:hAnsi="Verdana" w:cs="Arial"/>
        </w:rPr>
        <w:t xml:space="preserve"> Por tanto, salvo que las partes hayan admitido expresamente marcas equivalentes, debe existir identidad entre la contratada por la entidad y la suministrada por el contratista, so pena de cumplimiento imperfecto conforme al artículo 1613 </w:t>
      </w:r>
      <w:r w:rsidRPr="003552EC">
        <w:rPr>
          <w:rFonts w:ascii="Verdana" w:hAnsi="Verdana" w:cs="Arial"/>
          <w:i/>
          <w:iCs/>
        </w:rPr>
        <w:t>ibidem</w:t>
      </w:r>
      <w:r>
        <w:rPr>
          <w:rStyle w:val="Refdenotaalpie"/>
          <w:rFonts w:ascii="Verdana" w:hAnsi="Verdana" w:cs="Arial"/>
          <w:i/>
          <w:iCs/>
        </w:rPr>
        <w:footnoteReference w:id="26"/>
      </w:r>
      <w:r>
        <w:rPr>
          <w:rFonts w:ascii="Verdana" w:hAnsi="Verdana" w:cs="Arial"/>
        </w:rPr>
        <w:t xml:space="preserve">. Como explica la doctrina, por regla general, “[…] </w:t>
      </w:r>
      <w:r w:rsidRPr="004B73E5">
        <w:rPr>
          <w:rFonts w:ascii="Verdana" w:hAnsi="Verdana" w:cs="Arial"/>
        </w:rPr>
        <w:t>El deudor</w:t>
      </w:r>
      <w:r>
        <w:rPr>
          <w:rFonts w:ascii="Verdana" w:hAnsi="Verdana" w:cs="Arial"/>
        </w:rPr>
        <w:t xml:space="preserve"> […]</w:t>
      </w:r>
      <w:r w:rsidRPr="004B73E5">
        <w:rPr>
          <w:rFonts w:ascii="Verdana" w:hAnsi="Verdana" w:cs="Arial"/>
        </w:rPr>
        <w:t xml:space="preserve"> no puede dar una cosa por otra que está precisado a entregar, ejecutar</w:t>
      </w:r>
      <w:r>
        <w:rPr>
          <w:rFonts w:ascii="Verdana" w:hAnsi="Verdana" w:cs="Arial"/>
        </w:rPr>
        <w:t xml:space="preserve"> </w:t>
      </w:r>
      <w:r w:rsidRPr="004B73E5">
        <w:rPr>
          <w:rFonts w:ascii="Verdana" w:hAnsi="Verdana" w:cs="Arial"/>
        </w:rPr>
        <w:t>o abstenerse de un hecho diverso del que constituye su obligación; y del mismo</w:t>
      </w:r>
      <w:r>
        <w:rPr>
          <w:rFonts w:ascii="Verdana" w:hAnsi="Verdana" w:cs="Arial"/>
        </w:rPr>
        <w:t xml:space="preserve"> </w:t>
      </w:r>
      <w:r w:rsidRPr="004B73E5">
        <w:rPr>
          <w:rFonts w:ascii="Verdana" w:hAnsi="Verdana" w:cs="Arial"/>
        </w:rPr>
        <w:t>modo el acreedor no puede exigir una prestación distinta de aquella a que el</w:t>
      </w:r>
      <w:r>
        <w:rPr>
          <w:rFonts w:ascii="Verdana" w:hAnsi="Verdana" w:cs="Arial"/>
        </w:rPr>
        <w:t xml:space="preserve"> </w:t>
      </w:r>
      <w:r w:rsidRPr="004B73E5">
        <w:rPr>
          <w:rFonts w:ascii="Verdana" w:hAnsi="Verdana" w:cs="Arial"/>
        </w:rPr>
        <w:t>contrato le da derecho, solo tiene acción para exigir el pago de la prestación</w:t>
      </w:r>
      <w:r>
        <w:rPr>
          <w:rFonts w:ascii="Verdana" w:hAnsi="Verdana" w:cs="Arial"/>
        </w:rPr>
        <w:t xml:space="preserve"> </w:t>
      </w:r>
      <w:r w:rsidRPr="004B73E5">
        <w:rPr>
          <w:rFonts w:ascii="Verdana" w:hAnsi="Verdana" w:cs="Arial"/>
        </w:rPr>
        <w:t>convenido y a que el deudor se obligó</w:t>
      </w:r>
      <w:r>
        <w:rPr>
          <w:rFonts w:ascii="Verdana" w:hAnsi="Verdana" w:cs="Arial"/>
        </w:rPr>
        <w:t>”</w:t>
      </w:r>
      <w:r>
        <w:rPr>
          <w:rStyle w:val="Refdenotaalpie"/>
          <w:rFonts w:ascii="Verdana" w:hAnsi="Verdana" w:cs="Arial"/>
        </w:rPr>
        <w:footnoteReference w:id="27"/>
      </w:r>
      <w:r w:rsidRPr="004B73E5">
        <w:rPr>
          <w:rFonts w:ascii="Verdana" w:hAnsi="Verdana" w:cs="Arial"/>
        </w:rPr>
        <w:t>.</w:t>
      </w:r>
      <w:r>
        <w:rPr>
          <w:rFonts w:ascii="Verdana" w:hAnsi="Verdana" w:cs="Arial"/>
        </w:rPr>
        <w:t xml:space="preserve"> </w:t>
      </w:r>
      <w:r>
        <w:rPr>
          <w:rFonts w:ascii="Verdana" w:hAnsi="Verdana" w:cs="Arial"/>
        </w:rPr>
        <w:tab/>
      </w:r>
    </w:p>
    <w:p w14:paraId="70D28036" w14:textId="77777777" w:rsidR="00F20E33" w:rsidRDefault="00F20E33" w:rsidP="00F20E33">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8D89CF" w14:textId="77777777" w:rsidR="00F20E33" w:rsidRPr="00185EE9" w:rsidRDefault="00F20E33" w:rsidP="00F20E33">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0EEC9D26" w14:textId="77777777" w:rsidR="00F20E33" w:rsidRPr="00182C89" w:rsidRDefault="00F20E33" w:rsidP="00F20E33">
      <w:pPr>
        <w:tabs>
          <w:tab w:val="left" w:pos="709"/>
        </w:tabs>
        <w:spacing w:after="0" w:line="276" w:lineRule="auto"/>
        <w:jc w:val="both"/>
        <w:rPr>
          <w:rFonts w:ascii="Verdana" w:eastAsia="Calibri" w:hAnsi="Verdana" w:cs="Arial"/>
          <w:color w:val="000000" w:themeColor="text1"/>
        </w:rPr>
      </w:pPr>
    </w:p>
    <w:p w14:paraId="26557134" w14:textId="77777777" w:rsidR="00F20E33" w:rsidRPr="00593A5F" w:rsidRDefault="00F20E33" w:rsidP="00F20E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6E4ACC9" w14:textId="77777777" w:rsidR="00F20E33" w:rsidRPr="00593A5F" w:rsidRDefault="00F20E33" w:rsidP="00F20E3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20E33" w:rsidRPr="002407CE" w14:paraId="2D9CFD31" w14:textId="77777777" w:rsidTr="00DE40D4">
        <w:trPr>
          <w:trHeight w:val="870"/>
          <w:jc w:val="center"/>
        </w:trPr>
        <w:tc>
          <w:tcPr>
            <w:tcW w:w="8647" w:type="dxa"/>
          </w:tcPr>
          <w:p w14:paraId="7DC56D23" w14:textId="77777777" w:rsidR="00F20E33" w:rsidRDefault="00F20E33"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24, 27, 32 y 40.</w:t>
            </w:r>
          </w:p>
          <w:p w14:paraId="19F8DAEB" w14:textId="77777777" w:rsidR="00F20E33" w:rsidRPr="00185EE9" w:rsidRDefault="00F20E33"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y 5.</w:t>
            </w:r>
          </w:p>
          <w:p w14:paraId="7AF31EF1" w14:textId="77777777" w:rsidR="00F20E33" w:rsidRPr="00725CC9" w:rsidRDefault="00F20E33"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28, 29, 1602, 1613, 1625, 1626, 1627, 2160 y 2224</w:t>
            </w:r>
            <w:r w:rsidRPr="00185EE9">
              <w:rPr>
                <w:rFonts w:ascii="Verdana" w:hAnsi="Verdana" w:cs="Arial"/>
              </w:rPr>
              <w:t>.</w:t>
            </w:r>
          </w:p>
          <w:p w14:paraId="5BF6FEE2" w14:textId="77777777" w:rsidR="00F20E33" w:rsidRPr="00725CC9" w:rsidRDefault="00F20E33" w:rsidP="00DE40D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1081 de 2015, artículo </w:t>
            </w:r>
            <w:r w:rsidRPr="00185EE9">
              <w:rPr>
                <w:rFonts w:ascii="Verdana" w:eastAsia="Calibri" w:hAnsi="Verdana" w:cs="Arial"/>
                <w:bCs/>
                <w:color w:val="000000" w:themeColor="text1"/>
              </w:rPr>
              <w:t>2.2.1.1.1.3.1</w:t>
            </w:r>
            <w:r>
              <w:rPr>
                <w:rFonts w:ascii="Verdana" w:eastAsia="Calibri" w:hAnsi="Verdana" w:cs="Arial"/>
                <w:bCs/>
                <w:color w:val="000000" w:themeColor="text1"/>
              </w:rPr>
              <w:t>.</w:t>
            </w:r>
          </w:p>
        </w:tc>
      </w:tr>
    </w:tbl>
    <w:p w14:paraId="7AAA1983" w14:textId="77777777" w:rsidR="00F20E33" w:rsidRPr="002407CE" w:rsidRDefault="00F20E33" w:rsidP="00F20E33">
      <w:pPr>
        <w:widowControl w:val="0"/>
        <w:autoSpaceDE w:val="0"/>
        <w:autoSpaceDN w:val="0"/>
        <w:spacing w:after="0" w:line="276" w:lineRule="auto"/>
        <w:jc w:val="both"/>
        <w:rPr>
          <w:rFonts w:ascii="Verdana" w:hAnsi="Verdana" w:cs="Arial"/>
        </w:rPr>
      </w:pPr>
    </w:p>
    <w:p w14:paraId="6AA1B930" w14:textId="77777777" w:rsidR="00F20E33" w:rsidRPr="00593A5F" w:rsidRDefault="00F20E33" w:rsidP="00F20E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94A575A" w14:textId="77777777" w:rsidR="00F20E33" w:rsidRPr="00593A5F" w:rsidRDefault="00F20E33" w:rsidP="00F20E33">
      <w:pPr>
        <w:widowControl w:val="0"/>
        <w:autoSpaceDE w:val="0"/>
        <w:autoSpaceDN w:val="0"/>
        <w:spacing w:after="0" w:line="276" w:lineRule="auto"/>
        <w:jc w:val="both"/>
        <w:rPr>
          <w:rFonts w:ascii="Verdana" w:hAnsi="Verdana" w:cs="Arial"/>
        </w:rPr>
      </w:pPr>
    </w:p>
    <w:p w14:paraId="14060DA3" w14:textId="77777777" w:rsidR="00F20E33" w:rsidRPr="00ED0098" w:rsidRDefault="00F20E33" w:rsidP="00F20E33">
      <w:pPr>
        <w:widowControl w:val="0"/>
        <w:autoSpaceDE w:val="0"/>
        <w:autoSpaceDN w:val="0"/>
        <w:spacing w:after="0" w:line="276" w:lineRule="auto"/>
        <w:jc w:val="both"/>
        <w:rPr>
          <w:rStyle w:val="normaltextrun"/>
          <w:rFonts w:ascii="Verdana" w:hAnsi="Verdana" w:cs="Arial"/>
          <w:shd w:val="clear" w:color="auto" w:fill="FFFFFF"/>
        </w:rPr>
      </w:pPr>
      <w:r w:rsidRPr="00B44B30">
        <w:rPr>
          <w:rFonts w:ascii="Verdana" w:hAnsi="Verdana" w:cs="Arial"/>
          <w:shd w:val="clear" w:color="auto" w:fill="FFFFFF"/>
        </w:rPr>
        <w:t>Esta Subdirección se ha pronunciado sobre la definición de los bienes y servicios de características técnicas uniformes en los Conceptos C-678 del 24 de noviembre de 2020, C-024 del 24 de febrero de 2021, C-123 del 5 de abril de 2021, C-565 del 12 de septiembre de 2022, C-669 del 18 de octubre de 2022, C-850 del 16 de diciembre de 2022, C-905 del 28 de diciembre de 2022, C-456 del 27 de octubre de 2023, C-597 del 8 de noviembre de 2024, C-749 del 12 de noviembre de 2024 y C-787 del 19 de noviembre de 2024</w:t>
      </w:r>
      <w:r>
        <w:rPr>
          <w:rFonts w:ascii="Verdana" w:hAnsi="Verdana"/>
        </w:rPr>
        <w:t xml:space="preserve">. </w:t>
      </w:r>
      <w:r w:rsidRPr="008B12AB">
        <w:rPr>
          <w:rFonts w:ascii="Verdana" w:hAnsi="Verdana"/>
        </w:rPr>
        <w:t xml:space="preserve">Sobre la posibilidad de exigir marcas, </w:t>
      </w:r>
      <w:r>
        <w:rPr>
          <w:rFonts w:ascii="Verdana" w:hAnsi="Verdana"/>
        </w:rPr>
        <w:t>también</w:t>
      </w:r>
      <w:r w:rsidRPr="008B12AB">
        <w:rPr>
          <w:rFonts w:ascii="Verdana" w:hAnsi="Verdana"/>
        </w:rPr>
        <w:t xml:space="preserve"> se pronunció en los </w:t>
      </w:r>
      <w:r>
        <w:rPr>
          <w:rFonts w:ascii="Verdana" w:hAnsi="Verdana"/>
        </w:rPr>
        <w:t>C</w:t>
      </w:r>
      <w:r w:rsidRPr="008B12AB">
        <w:rPr>
          <w:rFonts w:ascii="Verdana" w:hAnsi="Verdana"/>
        </w:rPr>
        <w:t>onceptos 4201614000005100 de 2019, 4201714000004927 de 2019, 4201912000002040 del 9 de mayo de 2019, 2201913000009143 del 11 de diciembre de 2019</w:t>
      </w:r>
      <w:r>
        <w:rPr>
          <w:rFonts w:ascii="Verdana" w:hAnsi="Verdana"/>
        </w:rPr>
        <w:t>,</w:t>
      </w:r>
      <w:r w:rsidRPr="008B12AB">
        <w:rPr>
          <w:rFonts w:ascii="Verdana" w:hAnsi="Verdana"/>
        </w:rPr>
        <w:t xml:space="preserve"> C-616 del 26 de septiembre de 2022</w:t>
      </w:r>
      <w:r>
        <w:rPr>
          <w:rFonts w:ascii="Verdana" w:hAnsi="Verdana"/>
        </w:rPr>
        <w:t>, C-721 del 17 de diciembre de 2024 y C-670 del 8 de julio de 2025.</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745D5F2" w14:textId="77777777" w:rsidR="00F20E33" w:rsidRPr="00096788" w:rsidRDefault="00F20E33" w:rsidP="00F20E33">
      <w:pPr>
        <w:widowControl w:val="0"/>
        <w:autoSpaceDE w:val="0"/>
        <w:autoSpaceDN w:val="0"/>
        <w:spacing w:after="0" w:line="276" w:lineRule="auto"/>
        <w:jc w:val="both"/>
        <w:rPr>
          <w:rFonts w:ascii="Verdana" w:hAnsi="Verdana" w:cs="Arial"/>
          <w:color w:val="000000" w:themeColor="text1"/>
          <w:shd w:val="clear" w:color="auto" w:fill="FFFFFF"/>
        </w:rPr>
      </w:pPr>
    </w:p>
    <w:p w14:paraId="5D2D7370" w14:textId="77777777" w:rsidR="00F20E33" w:rsidRPr="00E440FD" w:rsidRDefault="00F20E33" w:rsidP="00F20E33">
      <w:pPr>
        <w:shd w:val="clear" w:color="auto" w:fill="FFFFFF"/>
        <w:spacing w:after="0" w:line="276" w:lineRule="auto"/>
        <w:jc w:val="both"/>
        <w:rPr>
          <w:rFonts w:ascii="Verdana" w:hAnsi="Verdana"/>
          <w:color w:val="467886"/>
          <w:u w:val="single"/>
        </w:rPr>
      </w:pPr>
      <w:r w:rsidRPr="00B83C56">
        <w:rPr>
          <w:rFonts w:ascii="Verdana" w:hAnsi="Verdana"/>
          <w:color w:val="000000"/>
        </w:rPr>
        <w:lastRenderedPageBreak/>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3B27750" w14:textId="77777777" w:rsidR="00F20E33" w:rsidRPr="009C4035" w:rsidRDefault="00F20E33" w:rsidP="00F20E33">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609819EB" w14:textId="77777777" w:rsidR="00F20E33" w:rsidRPr="00593A5F" w:rsidRDefault="00F20E33" w:rsidP="00F20E3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6272EC0" w14:textId="77777777" w:rsidR="00F20E33" w:rsidRPr="00593A5F" w:rsidRDefault="00F20E33" w:rsidP="00F20E33">
      <w:pPr>
        <w:widowControl w:val="0"/>
        <w:autoSpaceDE w:val="0"/>
        <w:autoSpaceDN w:val="0"/>
        <w:spacing w:after="0" w:line="276" w:lineRule="auto"/>
        <w:jc w:val="both"/>
        <w:rPr>
          <w:rFonts w:ascii="Verdana" w:hAnsi="Verdana" w:cs="Arial"/>
        </w:rPr>
      </w:pPr>
    </w:p>
    <w:p w14:paraId="6839688B" w14:textId="77777777" w:rsidR="00F20E33" w:rsidRPr="00593A5F" w:rsidRDefault="00F20E33" w:rsidP="00F20E3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D6C92CE" w14:textId="036C6FAB" w:rsidR="00F20E33" w:rsidRPr="00593A5F" w:rsidRDefault="004F0E59" w:rsidP="00F20E33">
      <w:pPr>
        <w:spacing w:line="276" w:lineRule="auto"/>
        <w:jc w:val="center"/>
        <w:rPr>
          <w:rFonts w:ascii="Verdana" w:hAnsi="Verdana" w:cs="Arial"/>
          <w:color w:val="000000"/>
          <w:lang w:val="es-ES_tradnl" w:eastAsia="es-CO"/>
        </w:rPr>
      </w:pPr>
      <w:r>
        <w:rPr>
          <w:noProof/>
        </w:rPr>
        <w:drawing>
          <wp:inline distT="0" distB="0" distL="0" distR="0" wp14:anchorId="7204B701" wp14:editId="39ED90EF">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20E33" w:rsidRPr="00593A5F" w14:paraId="05FD3522" w14:textId="77777777" w:rsidTr="00DE40D4">
        <w:trPr>
          <w:trHeight w:val="315"/>
        </w:trPr>
        <w:tc>
          <w:tcPr>
            <w:tcW w:w="893" w:type="dxa"/>
            <w:vAlign w:val="center"/>
            <w:hideMark/>
          </w:tcPr>
          <w:p w14:paraId="4948E1C5" w14:textId="77777777" w:rsidR="00F20E33" w:rsidRPr="003751C7" w:rsidRDefault="00F20E33" w:rsidP="00DE40D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C0A22DA" w14:textId="77777777" w:rsidR="00F20E33" w:rsidRPr="00254A7A" w:rsidRDefault="00F20E33" w:rsidP="00DE40D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BE7C854" w14:textId="77777777" w:rsidR="00F20E33" w:rsidRPr="00254A7A" w:rsidRDefault="00F20E33" w:rsidP="00DE40D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20E33" w:rsidRPr="00593A5F" w14:paraId="0E312BE4" w14:textId="77777777" w:rsidTr="00DE40D4">
        <w:trPr>
          <w:trHeight w:val="330"/>
        </w:trPr>
        <w:tc>
          <w:tcPr>
            <w:tcW w:w="893" w:type="dxa"/>
            <w:vAlign w:val="center"/>
            <w:hideMark/>
          </w:tcPr>
          <w:p w14:paraId="5DEBFB25" w14:textId="77777777" w:rsidR="00F20E33" w:rsidRPr="003751C7" w:rsidRDefault="00F20E33" w:rsidP="00DE40D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0E9135" w14:textId="77777777" w:rsidR="00F20E33" w:rsidRPr="001B6B73" w:rsidRDefault="00F20E33" w:rsidP="00DE40D4">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66E58521" w14:textId="77777777" w:rsidR="00F20E33" w:rsidRPr="00254A7A" w:rsidRDefault="00F20E33" w:rsidP="00DE40D4">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F20E33" w:rsidRPr="00593A5F" w14:paraId="11CF3D06" w14:textId="77777777" w:rsidTr="00DE40D4">
        <w:trPr>
          <w:trHeight w:val="300"/>
        </w:trPr>
        <w:tc>
          <w:tcPr>
            <w:tcW w:w="893" w:type="dxa"/>
            <w:vAlign w:val="center"/>
          </w:tcPr>
          <w:p w14:paraId="0F6D88B2" w14:textId="77777777" w:rsidR="00F20E33" w:rsidRPr="003751C7" w:rsidRDefault="00F20E33" w:rsidP="00DE40D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21D759" w14:textId="77777777" w:rsidR="00F20E33" w:rsidRPr="003751C7" w:rsidRDefault="00F20E33" w:rsidP="00DE40D4">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54F647F" w14:textId="77777777" w:rsidR="00F20E33" w:rsidRPr="003751C7" w:rsidRDefault="00F20E33" w:rsidP="00DE40D4">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5664BD56" w14:textId="77777777" w:rsidR="00F20E33" w:rsidRPr="00543BFE" w:rsidRDefault="00F20E33" w:rsidP="00F20E33"/>
    <w:p w14:paraId="0F293BF4" w14:textId="109CF2EA" w:rsidR="00127233" w:rsidRPr="003D344A" w:rsidRDefault="00127233" w:rsidP="003D344A"/>
    <w:sectPr w:rsidR="00127233" w:rsidRPr="003D344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DDDAC" w14:textId="77777777" w:rsidR="00763778" w:rsidRDefault="00763778" w:rsidP="004A1847">
      <w:pPr>
        <w:spacing w:after="0" w:line="240" w:lineRule="auto"/>
      </w:pPr>
      <w:r>
        <w:separator/>
      </w:r>
    </w:p>
  </w:endnote>
  <w:endnote w:type="continuationSeparator" w:id="0">
    <w:p w14:paraId="0069DB73" w14:textId="77777777" w:rsidR="00763778" w:rsidRDefault="00763778" w:rsidP="004A1847">
      <w:pPr>
        <w:spacing w:after="0" w:line="240" w:lineRule="auto"/>
      </w:pPr>
      <w:r>
        <w:continuationSeparator/>
      </w:r>
    </w:p>
  </w:endnote>
  <w:endnote w:type="continuationNotice" w:id="1">
    <w:p w14:paraId="42903411" w14:textId="77777777" w:rsidR="00763778" w:rsidRDefault="007637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C06CD" w14:textId="77777777" w:rsidR="00763778" w:rsidRDefault="00763778" w:rsidP="004A1847">
      <w:pPr>
        <w:spacing w:after="0" w:line="240" w:lineRule="auto"/>
      </w:pPr>
      <w:r>
        <w:separator/>
      </w:r>
    </w:p>
  </w:footnote>
  <w:footnote w:type="continuationSeparator" w:id="0">
    <w:p w14:paraId="01D3C6AA" w14:textId="77777777" w:rsidR="00763778" w:rsidRDefault="00763778" w:rsidP="004A1847">
      <w:pPr>
        <w:spacing w:after="0" w:line="240" w:lineRule="auto"/>
      </w:pPr>
      <w:r>
        <w:continuationSeparator/>
      </w:r>
    </w:p>
  </w:footnote>
  <w:footnote w:type="continuationNotice" w:id="1">
    <w:p w14:paraId="244A87A8" w14:textId="77777777" w:rsidR="00763778" w:rsidRDefault="00763778">
      <w:pPr>
        <w:spacing w:after="0" w:line="240" w:lineRule="auto"/>
      </w:pPr>
    </w:p>
  </w:footnote>
  <w:footnote w:id="2">
    <w:p w14:paraId="24860A7D"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cs="Arial"/>
          <w:sz w:val="16"/>
          <w:szCs w:val="16"/>
        </w:rPr>
        <w:footnoteRef/>
      </w:r>
      <w:r w:rsidRPr="00561A4A">
        <w:rPr>
          <w:rFonts w:ascii="Verdana" w:hAnsi="Verdana" w:cs="Arial"/>
          <w:sz w:val="16"/>
          <w:szCs w:val="16"/>
        </w:rPr>
        <w:t xml:space="preserve"> El inciso primero de norma disponía que, conforme al principio de transparencia, “</w:t>
      </w:r>
      <w:r w:rsidRPr="00561A4A">
        <w:rPr>
          <w:rFonts w:ascii="Verdana" w:hAnsi="Verdana" w:cs="Arial"/>
          <w:i/>
          <w:iCs/>
          <w:sz w:val="16"/>
          <w:szCs w:val="16"/>
        </w:rPr>
        <w:t>La escogencia del contratista se efectuará siempre a través de licitación o concurso públicos</w:t>
      </w:r>
      <w:r w:rsidRPr="00561A4A">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454D16BB"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cs="Arial"/>
          <w:sz w:val="16"/>
          <w:szCs w:val="16"/>
        </w:rPr>
        <w:footnoteRef/>
      </w:r>
      <w:r w:rsidRPr="00561A4A">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561A4A">
        <w:rPr>
          <w:rFonts w:ascii="Verdana" w:hAnsi="Verdana" w:cs="Arial"/>
          <w:i/>
          <w:iCs/>
          <w:sz w:val="16"/>
          <w:szCs w:val="16"/>
        </w:rPr>
        <w:t>Presentación de la oferta de manera dinámica</w:t>
      </w:r>
      <w:r w:rsidRPr="00561A4A">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396DDC0D"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sz w:val="16"/>
          <w:szCs w:val="16"/>
        </w:rPr>
        <w:t xml:space="preserve"> </w:t>
      </w:r>
      <w:r w:rsidRPr="00561A4A">
        <w:rPr>
          <w:rFonts w:ascii="Verdana" w:hAnsi="Verdana" w:cs="Arial"/>
          <w:sz w:val="16"/>
          <w:szCs w:val="16"/>
        </w:rPr>
        <w:t xml:space="preserve">El numeral 2 del artículo 2 de la Ley 1150 de 2007 prescribe: </w:t>
      </w:r>
      <w:r w:rsidRPr="00561A4A">
        <w:rPr>
          <w:rFonts w:ascii="Verdana" w:hAnsi="Verdana"/>
          <w:sz w:val="16"/>
          <w:szCs w:val="16"/>
        </w:rPr>
        <w:t xml:space="preserve">“[…] </w:t>
      </w:r>
      <w:r w:rsidRPr="00561A4A">
        <w:rPr>
          <w:rFonts w:ascii="Verdana" w:hAnsi="Verdana" w:cs="Arial"/>
          <w:sz w:val="16"/>
          <w:szCs w:val="16"/>
        </w:rPr>
        <w:t>Serán causales de selección abreviada las siguientes:</w:t>
      </w:r>
    </w:p>
    <w:p w14:paraId="469FA993"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763957D9"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10EC0BCF"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4A8DADEF"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w:t>
      </w:r>
    </w:p>
    <w:p w14:paraId="38568A55"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6B05B6EB"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55473F9E"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e) La enajenación de bienes del Estado, con excepción de aquellos a que se refiere la Ley 226 de 1995.</w:t>
      </w:r>
    </w:p>
    <w:p w14:paraId="29607FF8"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 xml:space="preserve">[…]; </w:t>
      </w:r>
    </w:p>
    <w:p w14:paraId="761A1253"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 xml:space="preserve">f) Productos de origen o destinación agropecuarios que se ofrezcan en las bolsas de productos legalmente constituidas; </w:t>
      </w:r>
    </w:p>
    <w:p w14:paraId="613DF40F"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20C8D1AC"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53206E61"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i) La contratación de bienes y servicios que se requieran para la defensa y seguridad nacional.</w:t>
      </w:r>
    </w:p>
    <w:p w14:paraId="1E37503D"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5">
    <w:p w14:paraId="4B0DF533"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sz w:val="16"/>
          <w:szCs w:val="16"/>
        </w:rPr>
        <w:t xml:space="preserve"> </w:t>
      </w:r>
      <w:r w:rsidRPr="00561A4A">
        <w:rPr>
          <w:rFonts w:ascii="Verdana" w:hAnsi="Verdana" w:cs="Arial"/>
          <w:sz w:val="16"/>
          <w:szCs w:val="16"/>
        </w:rPr>
        <w:t xml:space="preserve">CONGRESO DE LA REPÚBLICA. Exposición de motivos de la Ley 1150 de 2007. Gaceta del Congreso No. 458 del 1º de agosto de 2005. p. 8. </w:t>
      </w:r>
    </w:p>
  </w:footnote>
  <w:footnote w:id="6">
    <w:p w14:paraId="7184727A"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sz w:val="16"/>
          <w:szCs w:val="16"/>
        </w:rPr>
        <w:t xml:space="preserve"> </w:t>
      </w:r>
      <w:r w:rsidRPr="00561A4A">
        <w:rPr>
          <w:rFonts w:ascii="Verdana" w:hAnsi="Verdana" w:cs="Arial"/>
          <w:sz w:val="16"/>
          <w:szCs w:val="16"/>
        </w:rPr>
        <w:t xml:space="preserve">CONSEJO DE ESTADO. Sección Tercera. Subsección A. Sentencia del 23 de julio de 2015. Exp. 36.805. C. P. Hernán Andrade Rincón. </w:t>
      </w:r>
    </w:p>
  </w:footnote>
  <w:footnote w:id="7">
    <w:p w14:paraId="0128A112" w14:textId="77777777" w:rsidR="00F20E33" w:rsidRPr="00561A4A" w:rsidRDefault="00F20E33" w:rsidP="00F20E33">
      <w:pPr>
        <w:pStyle w:val="Textonotapie"/>
        <w:ind w:firstLine="708"/>
        <w:jc w:val="both"/>
        <w:rPr>
          <w:rFonts w:ascii="Verdana" w:hAnsi="Verdana"/>
          <w:sz w:val="16"/>
          <w:szCs w:val="16"/>
          <w:lang w:val="es-CO"/>
        </w:rPr>
      </w:pPr>
      <w:r w:rsidRPr="00561A4A">
        <w:rPr>
          <w:rStyle w:val="Refdenotaalpie"/>
          <w:rFonts w:ascii="Verdana" w:hAnsi="Verdana"/>
          <w:sz w:val="16"/>
          <w:szCs w:val="16"/>
        </w:rPr>
        <w:footnoteRef/>
      </w:r>
      <w:r w:rsidRPr="00561A4A">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561A4A">
        <w:rPr>
          <w:rFonts w:ascii="Verdana" w:hAnsi="Verdana"/>
          <w:i/>
          <w:iCs/>
          <w:sz w:val="16"/>
          <w:szCs w:val="16"/>
        </w:rPr>
        <w:t>las palabras de la ley se entenderán en su sentido natural y obvio, según el uso general de las mismas palabras</w:t>
      </w:r>
      <w:r w:rsidRPr="00561A4A">
        <w:rPr>
          <w:rFonts w:ascii="Verdana" w:hAnsi="Verdana"/>
          <w:sz w:val="16"/>
          <w:szCs w:val="16"/>
        </w:rPr>
        <w:t>’, es decir, el uso de la gente educada. El Diccionario de la Lengua publicado por la Real Academia Española goza a este respecto de gran autoridad. ‘</w:t>
      </w:r>
      <w:r w:rsidRPr="00561A4A">
        <w:rPr>
          <w:rFonts w:ascii="Verdana" w:hAnsi="Verdana"/>
          <w:i/>
          <w:iCs/>
          <w:sz w:val="16"/>
          <w:szCs w:val="16"/>
        </w:rPr>
        <w:t>Pero cuando el legislador</w:t>
      </w:r>
      <w:r w:rsidRPr="00561A4A">
        <w:rPr>
          <w:rFonts w:ascii="Verdana" w:hAnsi="Verdana"/>
          <w:sz w:val="16"/>
          <w:szCs w:val="16"/>
        </w:rPr>
        <w:t xml:space="preserve">, agrega el artículo 20, </w:t>
      </w:r>
      <w:r w:rsidRPr="00561A4A">
        <w:rPr>
          <w:rFonts w:ascii="Verdana" w:hAnsi="Verdana"/>
          <w:i/>
          <w:iCs/>
          <w:sz w:val="16"/>
          <w:szCs w:val="16"/>
        </w:rPr>
        <w:t>las haya definido expresamente para ciertas materias se les dará en éstas su significado legal</w:t>
      </w:r>
      <w:r w:rsidRPr="00561A4A">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8">
    <w:p w14:paraId="0EB7CE7D" w14:textId="77777777" w:rsidR="00F20E33" w:rsidRPr="00561A4A" w:rsidRDefault="00F20E33" w:rsidP="00F20E33">
      <w:pPr>
        <w:pStyle w:val="Textonotapie"/>
        <w:ind w:firstLine="708"/>
        <w:jc w:val="both"/>
        <w:rPr>
          <w:rFonts w:ascii="Verdana" w:hAnsi="Verdana"/>
          <w:sz w:val="16"/>
          <w:szCs w:val="16"/>
        </w:rPr>
      </w:pPr>
      <w:r w:rsidRPr="00561A4A">
        <w:rPr>
          <w:rStyle w:val="Refdenotaalpie"/>
          <w:rFonts w:ascii="Verdana" w:hAnsi="Verdana"/>
          <w:sz w:val="16"/>
          <w:szCs w:val="16"/>
        </w:rPr>
        <w:footnoteRef/>
      </w:r>
      <w:r w:rsidRPr="00561A4A">
        <w:rPr>
          <w:rFonts w:ascii="Verdana" w:hAnsi="Verdana"/>
          <w:sz w:val="16"/>
          <w:szCs w:val="16"/>
        </w:rPr>
        <w:t xml:space="preserve"> SUÁREZ BELTRÁN, Gonzalo. Estudios de derecho contractual público. Colombia: Bogotá, 2014. p. 72.</w:t>
      </w:r>
    </w:p>
  </w:footnote>
  <w:footnote w:id="9">
    <w:p w14:paraId="3C794590" w14:textId="77777777" w:rsidR="00F20E33" w:rsidRPr="00561A4A" w:rsidRDefault="00F20E33" w:rsidP="00F20E33">
      <w:pPr>
        <w:pStyle w:val="Textonotapie"/>
        <w:ind w:firstLine="708"/>
        <w:jc w:val="both"/>
        <w:rPr>
          <w:rFonts w:ascii="Verdana" w:hAnsi="Verdana"/>
          <w:sz w:val="16"/>
          <w:szCs w:val="16"/>
          <w:lang w:val="es-CO"/>
        </w:rPr>
      </w:pPr>
      <w:r w:rsidRPr="00561A4A">
        <w:rPr>
          <w:rStyle w:val="Refdenotaalpie"/>
          <w:rFonts w:ascii="Verdana" w:hAnsi="Verdana"/>
          <w:sz w:val="16"/>
          <w:szCs w:val="16"/>
        </w:rPr>
        <w:footnoteRef/>
      </w:r>
      <w:r w:rsidRPr="00561A4A">
        <w:rPr>
          <w:rFonts w:ascii="Verdana" w:hAnsi="Verdana"/>
          <w:sz w:val="16"/>
          <w:szCs w:val="16"/>
        </w:rPr>
        <w:t xml:space="preserve"> </w:t>
      </w:r>
      <w:r w:rsidRPr="00561A4A">
        <w:rPr>
          <w:rFonts w:ascii="Verdana" w:hAnsi="Verdana"/>
          <w:i/>
          <w:iCs/>
          <w:sz w:val="16"/>
          <w:szCs w:val="16"/>
        </w:rPr>
        <w:t>Ibidem</w:t>
      </w:r>
      <w:r w:rsidRPr="00561A4A">
        <w:rPr>
          <w:rFonts w:ascii="Verdana" w:hAnsi="Verdana"/>
          <w:sz w:val="16"/>
          <w:szCs w:val="16"/>
        </w:rPr>
        <w:t>.</w:t>
      </w:r>
    </w:p>
  </w:footnote>
  <w:footnote w:id="10">
    <w:p w14:paraId="136E747A"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sz w:val="16"/>
          <w:szCs w:val="16"/>
        </w:rPr>
        <w:t xml:space="preserve"> </w:t>
      </w:r>
      <w:r w:rsidRPr="00561A4A">
        <w:rPr>
          <w:rFonts w:ascii="Verdana" w:hAnsi="Verdana" w:cs="Arial"/>
          <w:sz w:val="16"/>
          <w:szCs w:val="16"/>
        </w:rPr>
        <w:t xml:space="preserve">CONGRESO DE LA REPÚBLICA. Exposición de motivos de la Ley 1150 de 2007. Gaceta del Congreso No. 458 del 1º de agosto de 2005. p. 8. </w:t>
      </w:r>
    </w:p>
  </w:footnote>
  <w:footnote w:id="11">
    <w:p w14:paraId="0F772F4F" w14:textId="77777777" w:rsidR="00F20E33" w:rsidRPr="00561A4A" w:rsidRDefault="00F20E33" w:rsidP="00F20E33">
      <w:pPr>
        <w:pStyle w:val="Textonotapie"/>
        <w:ind w:firstLine="708"/>
        <w:jc w:val="both"/>
        <w:rPr>
          <w:rFonts w:ascii="Verdana" w:hAnsi="Verdana"/>
          <w:sz w:val="16"/>
          <w:szCs w:val="16"/>
          <w:lang w:val="es-CO"/>
        </w:rPr>
      </w:pPr>
      <w:r w:rsidRPr="00561A4A">
        <w:rPr>
          <w:rStyle w:val="Refdenotaalpie"/>
          <w:rFonts w:ascii="Verdana" w:hAnsi="Verdana"/>
          <w:sz w:val="16"/>
          <w:szCs w:val="16"/>
        </w:rPr>
        <w:footnoteRef/>
      </w:r>
      <w:r w:rsidRPr="00561A4A">
        <w:rPr>
          <w:rFonts w:ascii="Verdana" w:hAnsi="Verdana"/>
          <w:sz w:val="16"/>
          <w:szCs w:val="16"/>
        </w:rPr>
        <w:t xml:space="preserve"> DÁVILA VINUEZA, Luis Guillermo. Régimen jurídico de la contratación estatal. </w:t>
      </w:r>
      <w:r w:rsidRPr="00561A4A">
        <w:rPr>
          <w:rFonts w:ascii="Verdana" w:hAnsi="Verdana" w:cs="Arial"/>
          <w:sz w:val="16"/>
          <w:szCs w:val="16"/>
          <w:lang w:val="es-CO"/>
        </w:rPr>
        <w:t>Tercera Edición</w:t>
      </w:r>
      <w:r w:rsidRPr="00561A4A">
        <w:rPr>
          <w:rFonts w:ascii="Verdana" w:hAnsi="Verdana"/>
          <w:sz w:val="16"/>
          <w:szCs w:val="16"/>
          <w:lang w:val="es-CO"/>
        </w:rPr>
        <w:t>. Bogotá: Legis, 2016. pp. 466-467.</w:t>
      </w:r>
    </w:p>
  </w:footnote>
  <w:footnote w:id="12">
    <w:p w14:paraId="6A5EAC02" w14:textId="77777777" w:rsidR="00F20E33" w:rsidRPr="00561A4A" w:rsidRDefault="00F20E33" w:rsidP="00F20E33">
      <w:pPr>
        <w:pStyle w:val="Textonotapie"/>
        <w:ind w:firstLine="709"/>
        <w:jc w:val="both"/>
        <w:rPr>
          <w:rFonts w:ascii="Verdana" w:hAnsi="Verdana" w:cs="Arial"/>
          <w:sz w:val="16"/>
          <w:szCs w:val="16"/>
          <w:lang w:val="es-CO"/>
        </w:rPr>
      </w:pPr>
      <w:r w:rsidRPr="00561A4A">
        <w:rPr>
          <w:rStyle w:val="Refdenotaalpie"/>
          <w:rFonts w:ascii="Verdana" w:hAnsi="Verdana"/>
          <w:sz w:val="16"/>
          <w:szCs w:val="16"/>
        </w:rPr>
        <w:footnoteRef/>
      </w:r>
      <w:r w:rsidRPr="00561A4A">
        <w:rPr>
          <w:rFonts w:ascii="Verdana" w:hAnsi="Verdana" w:cs="Arial"/>
          <w:sz w:val="16"/>
          <w:szCs w:val="16"/>
        </w:rPr>
        <w:t xml:space="preserve"> Artículo 163. </w:t>
      </w:r>
      <w:r w:rsidRPr="00561A4A">
        <w:rPr>
          <w:rFonts w:ascii="Verdana" w:hAnsi="Verdana" w:cs="Arial"/>
          <w:i/>
          <w:sz w:val="16"/>
          <w:szCs w:val="16"/>
        </w:rPr>
        <w:t>Derogatorias</w:t>
      </w:r>
      <w:r w:rsidRPr="00561A4A">
        <w:rPr>
          <w:rFonts w:ascii="Verdana" w:hAnsi="Verdana" w:cs="Arial"/>
          <w:sz w:val="16"/>
          <w:szCs w:val="16"/>
        </w:rPr>
        <w:t>. El presente decreto deroga el Decreto número 734 de 2012 y el Decreto número 1397 de 2012.</w:t>
      </w:r>
    </w:p>
  </w:footnote>
  <w:footnote w:id="13">
    <w:p w14:paraId="4CF9BF6A"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Estas reglas están contenidas en el Capítulo IX del Tratado de Libre Comercio entre Colombia y Estados Unidos, el cual dispone en el numerales 3 al 7 del artículo 9.6. con respecto a las especificaciones técnicas: </w:t>
      </w:r>
    </w:p>
    <w:p w14:paraId="2431148F"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eastAsia="Calibri" w:hAnsi="Verdana" w:cs="Arial"/>
          <w:sz w:val="16"/>
          <w:szCs w:val="16"/>
          <w:lang w:val="es-ES"/>
        </w:rPr>
        <w:t>“</w:t>
      </w:r>
      <w:r w:rsidRPr="00561A4A">
        <w:rPr>
          <w:rStyle w:val="nfasis"/>
          <w:rFonts w:ascii="Verdana" w:hAnsi="Verdana" w:cs="Arial"/>
          <w:sz w:val="16"/>
          <w:szCs w:val="16"/>
        </w:rPr>
        <w:t>Especificaciones Técnicas</w:t>
      </w:r>
    </w:p>
    <w:p w14:paraId="09EE7DA1" w14:textId="77777777" w:rsidR="00F20E33" w:rsidRPr="00561A4A" w:rsidRDefault="00F20E33" w:rsidP="00F20E33">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3. Una entidad contratante no preparará, adoptará ni aplicará ninguna especificación técnica ni exigirá ningún procedimiento de evaluación de conformidad que tenga como propósito o efecto crear obstáculos innecesarios al comercio entre las Partes.</w:t>
      </w:r>
    </w:p>
    <w:p w14:paraId="1D564E80" w14:textId="77777777" w:rsidR="00F20E33" w:rsidRPr="00561A4A" w:rsidRDefault="00F20E33" w:rsidP="00F20E33">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4 Al establecer cualquier especificación técnica para una mercancía o servicio a ser contratado, la entidad contratante deberá:</w:t>
      </w:r>
    </w:p>
    <w:p w14:paraId="130E4325" w14:textId="77777777" w:rsidR="00F20E33" w:rsidRPr="00561A4A" w:rsidRDefault="00F20E33" w:rsidP="00F20E33">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(a) precisar la especificación técnica, de ser apropiado, en términos de desempeño y requisitos funcionales, más que en términos de características de diseño o descriptivas; y</w:t>
      </w:r>
    </w:p>
    <w:p w14:paraId="25329039" w14:textId="77777777" w:rsidR="00F20E33" w:rsidRPr="00561A4A" w:rsidRDefault="00F20E33" w:rsidP="00F20E33">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(b) basar la especificación técnica en estándares internacionales, cuando existan y sean aplicables a la entidad contratante, salvo que la utilización de un estándar internacional no satisfaga los requerimientos del programa de la entidad o imponga una carga mayor que el empleo de un estándar nacional reconocido.</w:t>
      </w:r>
    </w:p>
    <w:p w14:paraId="1FD3B3E0" w14:textId="77777777" w:rsidR="00F20E33" w:rsidRPr="00561A4A" w:rsidRDefault="00F20E33" w:rsidP="00F20E33">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5. Una entidad contratante no establecerá ninguna especificación técnica que requiera o haga referencia a una determinada marca o nombre comercial, patente, derecho de autor, diseño o tipo, origen específico, productor o proveedor, salvo que no exista otra manera suficientemente precisa o comprensible de describir los requisitos de la contratación pública y siempre que, en tales casos, se incluya también en los documentos de contratación expresiones tales como "o equivalente".</w:t>
      </w:r>
    </w:p>
    <w:p w14:paraId="17A851B3" w14:textId="77777777" w:rsidR="00F20E33" w:rsidRPr="00561A4A" w:rsidRDefault="00F20E33" w:rsidP="00F20E33">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6. Una entidad contratante no solicitará ni aceptará, de manera que pueda tener por efecto impedir la competencia, asesoramiento que pudiera utilizarse para preparar o adoptar cualquier especificación técnica para una contratación pública específica proveniente de cualquier persona que pueda tener interés comercial en esa contratación pública.</w:t>
      </w:r>
    </w:p>
  </w:footnote>
  <w:footnote w:id="14">
    <w:p w14:paraId="2F52F1C8" w14:textId="77777777" w:rsidR="00F20E33" w:rsidRPr="00561A4A" w:rsidRDefault="00F20E33" w:rsidP="00F20E33">
      <w:pPr>
        <w:pStyle w:val="Textonotapie"/>
        <w:ind w:firstLine="708"/>
        <w:jc w:val="both"/>
        <w:rPr>
          <w:rFonts w:ascii="Verdana" w:hAnsi="Verdana" w:cs="Arial"/>
          <w:sz w:val="16"/>
          <w:szCs w:val="16"/>
          <w:lang w:val="es-CO"/>
        </w:rPr>
      </w:pPr>
      <w:r w:rsidRPr="00561A4A">
        <w:rPr>
          <w:rStyle w:val="Refdenotaalpie"/>
          <w:rFonts w:ascii="Verdana" w:hAnsi="Verdana"/>
          <w:sz w:val="16"/>
          <w:szCs w:val="16"/>
        </w:rPr>
        <w:footnoteRef/>
      </w:r>
      <w:r w:rsidRPr="00561A4A">
        <w:rPr>
          <w:rFonts w:ascii="Verdana" w:hAnsi="Verdana" w:cs="Arial"/>
          <w:sz w:val="16"/>
          <w:szCs w:val="16"/>
        </w:rPr>
        <w:t xml:space="preserve"> En los tratados de Libre Comercio con AELC, Unión Europea, entre otros se establece la restricción para la exigencia de marcas en los procesos de contratación pública.  </w:t>
      </w:r>
    </w:p>
  </w:footnote>
  <w:footnote w:id="15">
    <w:p w14:paraId="1C125083" w14:textId="77777777" w:rsidR="00F20E33" w:rsidRPr="00561A4A" w:rsidRDefault="00F20E33" w:rsidP="00F20E33">
      <w:pPr>
        <w:spacing w:after="0" w:line="240" w:lineRule="auto"/>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Ley 80 de 1993: “Art. 13. DE LA NORMATIVIDAD APLICABLE A LOS CONTRATOS ESTATALES.</w:t>
      </w:r>
    </w:p>
    <w:p w14:paraId="05A776AD" w14:textId="77777777" w:rsidR="00F20E33" w:rsidRPr="00561A4A" w:rsidRDefault="00F20E33" w:rsidP="00F20E33">
      <w:pPr>
        <w:spacing w:after="0" w:line="240" w:lineRule="auto"/>
        <w:ind w:firstLine="708"/>
        <w:jc w:val="both"/>
        <w:rPr>
          <w:rFonts w:ascii="Verdana" w:hAnsi="Verdana" w:cs="Arial"/>
          <w:sz w:val="16"/>
          <w:szCs w:val="16"/>
        </w:rPr>
      </w:pPr>
      <w:r w:rsidRPr="00561A4A">
        <w:rPr>
          <w:rFonts w:ascii="Verdana" w:hAnsi="Verdana" w:cs="Arial"/>
          <w:sz w:val="16"/>
          <w:szCs w:val="16"/>
        </w:rPr>
        <w:t>Los contratos que celebren las entidades a que se refiere el artículo 2 del presente estatuto se regirán por las disposiciones comerciales y civiles pertinentes, salvo en las materias particularmente reguladas en esta ley”.</w:t>
      </w:r>
    </w:p>
  </w:footnote>
  <w:footnote w:id="16">
    <w:p w14:paraId="04809076" w14:textId="77777777" w:rsidR="00F20E33" w:rsidRPr="00561A4A" w:rsidRDefault="00F20E33" w:rsidP="00F20E33">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Ley 80 de 1993: </w:t>
      </w:r>
      <w:r w:rsidRPr="00561A4A">
        <w:rPr>
          <w:rFonts w:ascii="Verdana" w:eastAsia="Calibri" w:hAnsi="Verdana" w:cs="Arial"/>
          <w:sz w:val="16"/>
          <w:szCs w:val="16"/>
          <w:lang w:val="es-ES"/>
        </w:rPr>
        <w:t>“</w:t>
      </w:r>
      <w:r w:rsidRPr="00561A4A">
        <w:rPr>
          <w:rFonts w:ascii="Verdana" w:hAnsi="Verdana" w:cs="Arial"/>
          <w:sz w:val="16"/>
          <w:szCs w:val="16"/>
        </w:rPr>
        <w:t>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17">
    <w:p w14:paraId="5332A887" w14:textId="77777777" w:rsidR="00F20E33" w:rsidRPr="00561A4A" w:rsidRDefault="00F20E33" w:rsidP="00F20E33">
      <w:pPr>
        <w:spacing w:after="0" w:line="240" w:lineRule="auto"/>
        <w:ind w:right="103" w:firstLine="708"/>
        <w:jc w:val="both"/>
        <w:rPr>
          <w:rFonts w:ascii="Verdana" w:hAnsi="Verdana"/>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Ley 80 de 1993: </w:t>
      </w:r>
      <w:r w:rsidRPr="00561A4A">
        <w:rPr>
          <w:rFonts w:ascii="Verdana" w:eastAsia="Calibri" w:hAnsi="Verdana" w:cs="Arial"/>
          <w:sz w:val="16"/>
          <w:szCs w:val="16"/>
          <w:lang w:val="es-ES"/>
        </w:rPr>
        <w:t>“</w:t>
      </w:r>
      <w:r w:rsidRPr="00561A4A">
        <w:rPr>
          <w:rFonts w:ascii="Verdana" w:hAnsi="Verdana" w:cs="Arial"/>
          <w:sz w:val="16"/>
          <w:szCs w:val="16"/>
        </w:rPr>
        <w:t>Art. 40. DEL CONTENIDO DEL CONTRATO ESTATAL. Las estipulaciones de los contratos serán las que de acuerdo con las normas civiles, comerciales y las previstas en esta ley, correspondan a su esencia y naturaleza.</w:t>
      </w:r>
    </w:p>
    <w:p w14:paraId="59781C95" w14:textId="77777777" w:rsidR="00F20E33" w:rsidRPr="00561A4A" w:rsidRDefault="00F20E33" w:rsidP="00F20E33">
      <w:pPr>
        <w:spacing w:after="0" w:line="240" w:lineRule="auto"/>
        <w:ind w:right="108" w:firstLine="708"/>
        <w:jc w:val="both"/>
        <w:rPr>
          <w:rFonts w:ascii="Verdana" w:hAnsi="Verdana"/>
          <w:sz w:val="16"/>
          <w:szCs w:val="16"/>
        </w:rPr>
      </w:pPr>
      <w:r w:rsidRPr="00561A4A">
        <w:rPr>
          <w:rFonts w:ascii="Verdana" w:hAnsi="Verdana" w:cs="Arial"/>
          <w:sz w:val="16"/>
          <w:szCs w:val="16"/>
        </w:rPr>
        <w:t>Las entidades podrán celebrar los contratos y acuerdos que permitan la autonomía de la voluntad y requieran el cumplimiento de los fines estatales.</w:t>
      </w:r>
    </w:p>
    <w:p w14:paraId="6FED5C4A" w14:textId="77777777" w:rsidR="00F20E33" w:rsidRPr="00561A4A" w:rsidRDefault="00F20E33" w:rsidP="00F20E33">
      <w:pPr>
        <w:spacing w:after="0" w:line="240" w:lineRule="auto"/>
        <w:ind w:right="103" w:firstLine="708"/>
        <w:jc w:val="both"/>
        <w:rPr>
          <w:rFonts w:ascii="Verdana" w:hAnsi="Verdana"/>
          <w:sz w:val="16"/>
          <w:szCs w:val="16"/>
        </w:rPr>
      </w:pPr>
      <w:r w:rsidRPr="00561A4A">
        <w:rPr>
          <w:rFonts w:ascii="Verdana" w:hAnsi="Verdana" w:cs="Arial"/>
          <w:sz w:val="16"/>
          <w:szCs w:val="16"/>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del buena administración.</w:t>
      </w:r>
    </w:p>
    <w:p w14:paraId="7FFA6CC1" w14:textId="77777777" w:rsidR="00F20E33" w:rsidRPr="00561A4A" w:rsidRDefault="00F20E33" w:rsidP="00F20E33">
      <w:pPr>
        <w:spacing w:after="0" w:line="240" w:lineRule="auto"/>
        <w:ind w:right="103" w:firstLine="708"/>
        <w:jc w:val="both"/>
        <w:rPr>
          <w:rFonts w:ascii="Verdana" w:hAnsi="Verdana" w:cs="Arial"/>
          <w:sz w:val="16"/>
          <w:szCs w:val="16"/>
        </w:rPr>
      </w:pPr>
      <w:r w:rsidRPr="00561A4A">
        <w:rPr>
          <w:rFonts w:ascii="Verdana" w:hAnsi="Verdana" w:cs="Arial"/>
          <w:sz w:val="16"/>
          <w:szCs w:val="16"/>
        </w:rPr>
        <w:t>En los contratos de empréstito o cualquier otra forma de financiación de organismos multilaterales, podrán incluirse las previsiones y particularidades contempladas en los reglamentos de tales entidades, que no sean contrarias a la Constitución o a la ley</w:t>
      </w:r>
      <w:r w:rsidRPr="00561A4A">
        <w:rPr>
          <w:rFonts w:ascii="Verdana" w:eastAsia="Calibri" w:hAnsi="Verdana" w:cs="Arial"/>
          <w:color w:val="000000"/>
          <w:sz w:val="16"/>
          <w:szCs w:val="16"/>
        </w:rPr>
        <w:t>”</w:t>
      </w:r>
      <w:r w:rsidRPr="00561A4A">
        <w:rPr>
          <w:rFonts w:ascii="Verdana" w:hAnsi="Verdana" w:cs="Arial"/>
          <w:sz w:val="16"/>
          <w:szCs w:val="16"/>
        </w:rPr>
        <w:t>.</w:t>
      </w:r>
    </w:p>
  </w:footnote>
  <w:footnote w:id="18">
    <w:p w14:paraId="452B1B47" w14:textId="77777777" w:rsidR="00F20E33" w:rsidRPr="00561A4A" w:rsidRDefault="00F20E33" w:rsidP="00F20E33">
      <w:pPr>
        <w:spacing w:after="0" w:line="240" w:lineRule="auto"/>
        <w:ind w:left="119" w:right="111" w:firstLine="707"/>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Consejo de Estado. Sección Tercera. Subsección C. Sentencia del 24 de marzo de 2011, Rad. 1998-00752 (18.118). C.P. Jaime Orlando Santofimio Gamboa. Salvamento de voto del Consejero Enrique Gil Botero.</w:t>
      </w:r>
    </w:p>
  </w:footnote>
  <w:footnote w:id="19">
    <w:p w14:paraId="21C253AD" w14:textId="77777777" w:rsidR="00F20E33" w:rsidRPr="00561A4A" w:rsidRDefault="00F20E33" w:rsidP="00F20E33">
      <w:pPr>
        <w:pStyle w:val="Textonotapie"/>
        <w:ind w:left="119" w:firstLine="720"/>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w:t>
      </w:r>
      <w:r w:rsidRPr="00561A4A">
        <w:rPr>
          <w:rFonts w:ascii="Verdana" w:hAnsi="Verdana" w:cs="Arial"/>
          <w:i/>
          <w:iCs/>
          <w:sz w:val="16"/>
          <w:szCs w:val="16"/>
        </w:rPr>
        <w:t>Ibidem</w:t>
      </w:r>
      <w:r w:rsidRPr="00561A4A">
        <w:rPr>
          <w:rFonts w:ascii="Verdana" w:hAnsi="Verdana" w:cs="Arial"/>
          <w:sz w:val="16"/>
          <w:szCs w:val="16"/>
        </w:rPr>
        <w:t xml:space="preserve">.  </w:t>
      </w:r>
    </w:p>
  </w:footnote>
  <w:footnote w:id="20">
    <w:p w14:paraId="3710E85E" w14:textId="77777777" w:rsidR="00F20E33" w:rsidRPr="00161806" w:rsidRDefault="00F20E33" w:rsidP="00F20E33">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w:t>
      </w:r>
      <w:r w:rsidRPr="009A6960">
        <w:rPr>
          <w:rFonts w:ascii="Verdana" w:hAnsi="Verdana" w:cs="Arial"/>
          <w:i/>
          <w:iCs/>
          <w:sz w:val="16"/>
          <w:szCs w:val="16"/>
        </w:rPr>
        <w:t>Ibidem</w:t>
      </w:r>
      <w:r w:rsidRPr="00561A4A">
        <w:rPr>
          <w:rFonts w:ascii="Verdana" w:hAnsi="Verdana" w:cs="Arial"/>
          <w:sz w:val="16"/>
          <w:szCs w:val="16"/>
        </w:rPr>
        <w:t xml:space="preserve">.  </w:t>
      </w:r>
    </w:p>
  </w:footnote>
  <w:footnote w:id="21">
    <w:p w14:paraId="1EAF33CB" w14:textId="77777777" w:rsidR="00F20E33" w:rsidRPr="00561A4A" w:rsidRDefault="00F20E33" w:rsidP="00F20E33">
      <w:pPr>
        <w:pStyle w:val="Textonotapie"/>
        <w:ind w:firstLine="709"/>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Sobre el principio de proporcionalidad en la discrecionalidad administrativa</w:t>
      </w:r>
      <w:r>
        <w:rPr>
          <w:rFonts w:ascii="Verdana" w:hAnsi="Verdana" w:cs="Arial"/>
          <w:sz w:val="16"/>
          <w:szCs w:val="16"/>
        </w:rPr>
        <w:t>,</w:t>
      </w:r>
      <w:r w:rsidRPr="00561A4A">
        <w:rPr>
          <w:rFonts w:ascii="Verdana" w:hAnsi="Verdana" w:cs="Arial"/>
          <w:sz w:val="16"/>
          <w:szCs w:val="16"/>
        </w:rPr>
        <w:t xml:space="preserve"> la doctrina nacional ha señalado: “[…] resulta viable sostener que la facultad normativamente atribuida a la administración para confeccionar los pliegos de condiciones o sus equivalentes, en un procedimiento administrativo de selección de contratistas, permite ilustrar, de inigualable manera, la forma como ha de operar la discrecionalidad administrativa, siguiendo los parámetros recién aludidos: en primer lugar, las antecitadas normas de rango legal o reglamentario que regulan el contenido mínimo y los criterios a los cuales deben sujetarse la elaboración y la expedición de los referidos actos administrativos, en la medida en que son deliberadamente  incompletas, inacabadas o indeterminadas, defieren a la administración la responsabilidad de fijar, de manera discrecional, las reglas y los criterios que orientarán, a partir del pliego, cada proceso de selección en particular; en segundo término, la administración ejercerá esa facultad discrecional estableciendo, en los pliegos o en sus equivalentes, los mencionados reglas y criterios –objetivos y razonables, de forma completa, precisa y detallada– los cuales –los pliegos– completarán el supuesto de hecho de los preceptos normativos inacabados o incompletos que atribuyen la respectiva facultad, para regir tanto el proceso de selección del contratista como la celebración y ejecución del contrato. Según resulta evidente, esa actividad de la administración es materialmente normativa y en ella se concreta el ejercicio de la discrecionalidad.</w:t>
      </w:r>
    </w:p>
    <w:p w14:paraId="4262BDD3" w14:textId="77777777" w:rsidR="00F20E33" w:rsidRPr="00561A4A" w:rsidRDefault="00F20E33" w:rsidP="00F20E33">
      <w:pPr>
        <w:pStyle w:val="Textonotapie"/>
        <w:ind w:firstLine="708"/>
        <w:jc w:val="both"/>
        <w:rPr>
          <w:rFonts w:ascii="Verdana" w:hAnsi="Verdana" w:cs="Arial"/>
          <w:sz w:val="16"/>
          <w:szCs w:val="16"/>
        </w:rPr>
      </w:pPr>
      <w:r w:rsidRPr="00561A4A">
        <w:rPr>
          <w:rFonts w:ascii="Verdana" w:hAnsi="Verdana" w:cs="Arial"/>
          <w:sz w:val="16"/>
          <w:szCs w:val="16"/>
        </w:rPr>
        <w:t xml:space="preserve">Y,  en  tercer  término,  aquello  que  debe  hacer  la  administración  dentro  del procedimiento  administrativo  de  selección  de  contratistas  del  cual  se  trate,  es  subsumir –procedimiento de aplicación reglada  del derecho– en las normas legales completadas en su supuesto de hecho con los criterios objetivos y razonables  introducidos –en los pliegos de condiciones– por la entidad contratante en cada  caso concreto, los presupuestos fácticos de éste para adoptar, así, la decisión más  conveniente al interés general, lo cual, en materia de contratación estatal, supone, en especial, escoger la mejor propuesta de conformidad con los parámetros fijados  en los mencionados pliegos de condiciones o en sus documentos equivalentes” </w:t>
      </w:r>
      <w:r>
        <w:rPr>
          <w:rFonts w:ascii="Verdana" w:hAnsi="Verdana" w:cs="Arial"/>
          <w:sz w:val="16"/>
          <w:szCs w:val="16"/>
        </w:rPr>
        <w:t>(</w:t>
      </w:r>
      <w:r w:rsidRPr="00561A4A">
        <w:rPr>
          <w:rFonts w:ascii="Verdana" w:hAnsi="Verdana" w:cs="Arial"/>
          <w:sz w:val="16"/>
          <w:szCs w:val="16"/>
        </w:rPr>
        <w:t>MARÍN HERNÁNDEZ, Hugo Alberto. Naturaleza jurídica de las facultades de la Administración para confeccionar pliego de condiciones. En: Revista digital de Derecho Administrativo. Vol I. Bogota: Universidad Externado de Colombia, 2008. pp. 13-14</w:t>
      </w:r>
      <w:r>
        <w:rPr>
          <w:rFonts w:ascii="Verdana" w:hAnsi="Verdana" w:cs="Arial"/>
          <w:sz w:val="16"/>
          <w:szCs w:val="16"/>
        </w:rPr>
        <w:t>)</w:t>
      </w:r>
      <w:r w:rsidRPr="00561A4A">
        <w:rPr>
          <w:rFonts w:ascii="Verdana" w:hAnsi="Verdana" w:cs="Arial"/>
          <w:sz w:val="16"/>
          <w:szCs w:val="16"/>
        </w:rPr>
        <w:t xml:space="preserve">.  </w:t>
      </w:r>
    </w:p>
  </w:footnote>
  <w:footnote w:id="22">
    <w:p w14:paraId="611921A4" w14:textId="77777777" w:rsidR="00F20E33" w:rsidRPr="00D90575" w:rsidRDefault="00F20E33" w:rsidP="00F20E33">
      <w:pPr>
        <w:pStyle w:val="Textonotapie"/>
        <w:ind w:firstLine="708"/>
        <w:jc w:val="both"/>
        <w:rPr>
          <w:rFonts w:ascii="Verdana" w:hAnsi="Verdana" w:cs="Arial"/>
          <w:sz w:val="16"/>
          <w:szCs w:val="16"/>
          <w:lang w:val="es-ES"/>
        </w:rPr>
      </w:pPr>
      <w:r w:rsidRPr="00D90575">
        <w:rPr>
          <w:rStyle w:val="Refdenotaalpie"/>
          <w:rFonts w:ascii="Verdana" w:hAnsi="Verdana" w:cs="Arial"/>
          <w:sz w:val="16"/>
          <w:szCs w:val="16"/>
        </w:rPr>
        <w:footnoteRef/>
      </w:r>
      <w:r w:rsidRPr="00D90575">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3">
    <w:p w14:paraId="1C2C7030" w14:textId="77777777" w:rsidR="00F20E33" w:rsidRPr="00D90575" w:rsidRDefault="00F20E33" w:rsidP="00F20E33">
      <w:pPr>
        <w:pStyle w:val="Textonotapie"/>
        <w:ind w:firstLine="708"/>
        <w:jc w:val="both"/>
        <w:rPr>
          <w:rFonts w:ascii="Verdana" w:hAnsi="Verdana" w:cs="Arial"/>
          <w:sz w:val="16"/>
          <w:szCs w:val="16"/>
          <w:lang w:val="es-ES"/>
        </w:rPr>
      </w:pPr>
      <w:r w:rsidRPr="00D90575">
        <w:rPr>
          <w:rStyle w:val="Refdenotaalpie"/>
          <w:rFonts w:ascii="Verdana" w:hAnsi="Verdana" w:cs="Arial"/>
          <w:sz w:val="16"/>
          <w:szCs w:val="16"/>
        </w:rPr>
        <w:footnoteRef/>
      </w:r>
      <w:r w:rsidRPr="00D90575">
        <w:rPr>
          <w:rFonts w:ascii="Verdana" w:hAnsi="Verdana" w:cs="Arial"/>
          <w:sz w:val="16"/>
          <w:szCs w:val="16"/>
        </w:rPr>
        <w:t xml:space="preserve"> BETANCUR JARAMILLO, Carlos. Derecho procesal administrativo. Octava edición. Medellín: Señal Editora, 2013. p. 627. </w:t>
      </w:r>
    </w:p>
  </w:footnote>
  <w:footnote w:id="24">
    <w:p w14:paraId="6FD8B295" w14:textId="77777777" w:rsidR="00F20E33" w:rsidRPr="002403B8" w:rsidRDefault="00F20E33" w:rsidP="00F20E33">
      <w:pPr>
        <w:pStyle w:val="Textonotapie"/>
        <w:ind w:firstLine="708"/>
        <w:jc w:val="both"/>
        <w:rPr>
          <w:rFonts w:ascii="Verdana" w:hAnsi="Verdana"/>
          <w:sz w:val="16"/>
          <w:szCs w:val="16"/>
          <w:lang w:val="es-CO"/>
        </w:rPr>
      </w:pPr>
      <w:r w:rsidRPr="002403B8">
        <w:rPr>
          <w:rStyle w:val="Refdenotaalpie"/>
          <w:rFonts w:ascii="Verdana" w:hAnsi="Verdana"/>
          <w:sz w:val="16"/>
          <w:szCs w:val="16"/>
        </w:rPr>
        <w:footnoteRef/>
      </w:r>
      <w:r w:rsidRPr="002403B8">
        <w:rPr>
          <w:rFonts w:ascii="Verdana" w:hAnsi="Verdana"/>
          <w:sz w:val="16"/>
          <w:szCs w:val="16"/>
        </w:rPr>
        <w:t xml:space="preserve"> </w:t>
      </w:r>
      <w:r>
        <w:rPr>
          <w:rFonts w:ascii="Verdana" w:hAnsi="Verdana"/>
          <w:sz w:val="16"/>
          <w:szCs w:val="16"/>
        </w:rPr>
        <w:t>POTHIER, Robert J. Tradado de las obligaciones. Santiago: Ediciones Olejnik, 2020. p. 259.</w:t>
      </w:r>
    </w:p>
  </w:footnote>
  <w:footnote w:id="25">
    <w:p w14:paraId="6747F377" w14:textId="77777777" w:rsidR="00F20E33" w:rsidRPr="00265D11" w:rsidRDefault="00F20E33" w:rsidP="00F20E33">
      <w:pPr>
        <w:pStyle w:val="Textonotapie"/>
        <w:ind w:firstLine="708"/>
        <w:jc w:val="both"/>
        <w:rPr>
          <w:rFonts w:ascii="Verdana" w:hAnsi="Verdana"/>
          <w:sz w:val="16"/>
          <w:szCs w:val="16"/>
          <w:lang w:val="es-CO"/>
        </w:rPr>
      </w:pPr>
      <w:r w:rsidRPr="00095224">
        <w:rPr>
          <w:rStyle w:val="Refdenotaalpie"/>
          <w:rFonts w:ascii="Verdana" w:hAnsi="Verdana"/>
          <w:sz w:val="16"/>
          <w:szCs w:val="16"/>
        </w:rPr>
        <w:footnoteRef/>
      </w:r>
      <w:r w:rsidRPr="00095224">
        <w:rPr>
          <w:rFonts w:ascii="Verdana" w:hAnsi="Verdana"/>
          <w:sz w:val="16"/>
          <w:szCs w:val="16"/>
        </w:rPr>
        <w:t xml:space="preserve"> AYLLÓN SANTIAGO</w:t>
      </w:r>
      <w:r>
        <w:rPr>
          <w:rFonts w:ascii="Verdana" w:hAnsi="Verdana"/>
          <w:sz w:val="16"/>
          <w:szCs w:val="16"/>
        </w:rPr>
        <w:t xml:space="preserve">, </w:t>
      </w:r>
      <w:r w:rsidRPr="00095224">
        <w:rPr>
          <w:rFonts w:ascii="Verdana" w:hAnsi="Verdana"/>
          <w:sz w:val="16"/>
          <w:szCs w:val="16"/>
        </w:rPr>
        <w:t>Héctor Sergio</w:t>
      </w:r>
      <w:r>
        <w:rPr>
          <w:rFonts w:ascii="Verdana" w:hAnsi="Verdana"/>
          <w:sz w:val="16"/>
          <w:szCs w:val="16"/>
        </w:rPr>
        <w:t xml:space="preserve">. Cumplimiento. En: Cumplimiento e incumplimiento del contrato. Madrid: Editorial Centro de Estaudios Ramón Areces SA – Consejo General de Notariado, 2018. p. 59. </w:t>
      </w:r>
    </w:p>
  </w:footnote>
  <w:footnote w:id="26">
    <w:p w14:paraId="4E54074D" w14:textId="77777777" w:rsidR="00F20E33" w:rsidRPr="00F75EED" w:rsidRDefault="00F20E33" w:rsidP="00F20E33">
      <w:pPr>
        <w:pStyle w:val="Textonotapie"/>
        <w:ind w:firstLine="708"/>
        <w:jc w:val="both"/>
        <w:rPr>
          <w:rFonts w:ascii="Verdana" w:hAnsi="Verdana"/>
          <w:sz w:val="16"/>
          <w:szCs w:val="16"/>
        </w:rPr>
      </w:pPr>
      <w:r w:rsidRPr="001A6CC4">
        <w:rPr>
          <w:rStyle w:val="Refdenotaalpie"/>
          <w:rFonts w:ascii="Verdana" w:hAnsi="Verdana"/>
          <w:sz w:val="16"/>
          <w:szCs w:val="16"/>
        </w:rPr>
        <w:footnoteRef/>
      </w:r>
      <w:r w:rsidRPr="001A6CC4">
        <w:rPr>
          <w:rFonts w:ascii="Verdana" w:hAnsi="Verdana"/>
          <w:sz w:val="16"/>
          <w:szCs w:val="16"/>
        </w:rPr>
        <w:t xml:space="preserve"> </w:t>
      </w:r>
      <w:r>
        <w:rPr>
          <w:rFonts w:ascii="Verdana" w:hAnsi="Verdana"/>
          <w:sz w:val="16"/>
          <w:szCs w:val="16"/>
        </w:rPr>
        <w:t xml:space="preserve">Cfr. FUEYO LANERI, Fernando. Cumplimiento e incumplimiento de las obligaciones. Tercera edición. Santiago: Editorial Jurídica de Chile, 2015. pp. 129-130. En el mismo sentido, </w:t>
      </w:r>
      <w:r w:rsidRPr="0015351F">
        <w:rPr>
          <w:rFonts w:ascii="Verdana" w:hAnsi="Verdana"/>
          <w:sz w:val="16"/>
          <w:szCs w:val="16"/>
        </w:rPr>
        <w:t>SCHIELE MANZOR</w:t>
      </w:r>
      <w:r>
        <w:rPr>
          <w:rFonts w:ascii="Verdana" w:hAnsi="Verdana"/>
          <w:sz w:val="16"/>
          <w:szCs w:val="16"/>
        </w:rPr>
        <w:t xml:space="preserve">, Carolina &amp; </w:t>
      </w:r>
      <w:r w:rsidRPr="0015351F">
        <w:rPr>
          <w:rFonts w:ascii="Verdana" w:hAnsi="Verdana"/>
          <w:sz w:val="16"/>
          <w:szCs w:val="16"/>
        </w:rPr>
        <w:t>GARCÍA SWANECK</w:t>
      </w:r>
      <w:r>
        <w:rPr>
          <w:rFonts w:ascii="Verdana" w:hAnsi="Verdana"/>
          <w:sz w:val="16"/>
          <w:szCs w:val="16"/>
        </w:rPr>
        <w:t xml:space="preserve">, Natalia. Del pago efectivo en general. En: </w:t>
      </w:r>
      <w:r w:rsidRPr="00514AEA">
        <w:rPr>
          <w:rFonts w:ascii="Verdana" w:hAnsi="Verdana"/>
          <w:sz w:val="16"/>
          <w:szCs w:val="16"/>
        </w:rPr>
        <w:t xml:space="preserve">Comentario histórico-dogmático al Libro IV del Código Civil de Chile. Tomo I. Valencia: Tirant lo Blanch, 2023. </w:t>
      </w:r>
      <w:r>
        <w:rPr>
          <w:rFonts w:ascii="Verdana" w:hAnsi="Verdana"/>
          <w:sz w:val="16"/>
          <w:szCs w:val="16"/>
        </w:rPr>
        <w:t xml:space="preserve">p. 484. Para estos efectos, desde un punto de vista objetivo, “[…] </w:t>
      </w:r>
      <w:r w:rsidRPr="00F75EED">
        <w:rPr>
          <w:rFonts w:ascii="Verdana" w:hAnsi="Verdana"/>
          <w:sz w:val="16"/>
          <w:szCs w:val="16"/>
        </w:rPr>
        <w:t xml:space="preserve">el cumplimiento es defectuoso cuando no se ajusta a la </w:t>
      </w:r>
      <w:r>
        <w:rPr>
          <w:rFonts w:ascii="Verdana" w:hAnsi="Verdana"/>
          <w:sz w:val="16"/>
          <w:szCs w:val="16"/>
        </w:rPr>
        <w:t>‘</w:t>
      </w:r>
      <w:r w:rsidRPr="00F75EED">
        <w:rPr>
          <w:rFonts w:ascii="Verdana" w:hAnsi="Verdana"/>
          <w:sz w:val="16"/>
          <w:szCs w:val="16"/>
        </w:rPr>
        <w:t>tipicidad</w:t>
      </w:r>
      <w:r>
        <w:rPr>
          <w:rFonts w:ascii="Verdana" w:hAnsi="Verdana"/>
          <w:sz w:val="16"/>
          <w:szCs w:val="16"/>
        </w:rPr>
        <w:t>’</w:t>
      </w:r>
      <w:r w:rsidRPr="00F75EED">
        <w:rPr>
          <w:rFonts w:ascii="Verdana" w:hAnsi="Verdana"/>
          <w:sz w:val="16"/>
          <w:szCs w:val="16"/>
        </w:rPr>
        <w:t xml:space="preserve"> con</w:t>
      </w:r>
      <w:r>
        <w:rPr>
          <w:rFonts w:ascii="Verdana" w:hAnsi="Verdana"/>
          <w:sz w:val="16"/>
          <w:szCs w:val="16"/>
        </w:rPr>
        <w:t xml:space="preserve"> </w:t>
      </w:r>
      <w:r w:rsidRPr="00F75EED">
        <w:rPr>
          <w:rFonts w:ascii="Verdana" w:hAnsi="Verdana"/>
          <w:sz w:val="16"/>
          <w:szCs w:val="16"/>
        </w:rPr>
        <w:t>que hay que cumplir en orden al tiempo, al modo, al lugar, la</w:t>
      </w:r>
      <w:r>
        <w:rPr>
          <w:rFonts w:ascii="Verdana" w:hAnsi="Verdana"/>
          <w:sz w:val="16"/>
          <w:szCs w:val="16"/>
        </w:rPr>
        <w:t xml:space="preserve"> </w:t>
      </w:r>
      <w:r w:rsidRPr="00F75EED">
        <w:rPr>
          <w:rFonts w:ascii="Verdana" w:hAnsi="Verdana"/>
          <w:sz w:val="16"/>
          <w:szCs w:val="16"/>
        </w:rPr>
        <w:t>extensión, etcétera. Es decir, cuando no se respetan los</w:t>
      </w:r>
      <w:r>
        <w:rPr>
          <w:rFonts w:ascii="Verdana" w:hAnsi="Verdana"/>
          <w:sz w:val="16"/>
          <w:szCs w:val="16"/>
        </w:rPr>
        <w:t xml:space="preserve"> </w:t>
      </w:r>
      <w:r w:rsidRPr="00F75EED">
        <w:rPr>
          <w:rFonts w:ascii="Verdana" w:hAnsi="Verdana"/>
          <w:sz w:val="16"/>
          <w:szCs w:val="16"/>
        </w:rPr>
        <w:t>principios de identidad e integridad de la prestación</w:t>
      </w:r>
      <w:r>
        <w:rPr>
          <w:rFonts w:ascii="Verdana" w:hAnsi="Verdana"/>
          <w:sz w:val="16"/>
          <w:szCs w:val="16"/>
        </w:rPr>
        <w:t>” (</w:t>
      </w:r>
      <w:r w:rsidRPr="00693F5C">
        <w:rPr>
          <w:rFonts w:ascii="Verdana" w:hAnsi="Verdana"/>
          <w:sz w:val="16"/>
          <w:szCs w:val="16"/>
        </w:rPr>
        <w:t>IBÁÑEZ</w:t>
      </w:r>
      <w:r>
        <w:rPr>
          <w:rFonts w:ascii="Verdana" w:hAnsi="Verdana"/>
          <w:sz w:val="16"/>
          <w:szCs w:val="16"/>
        </w:rPr>
        <w:t>,</w:t>
      </w:r>
      <w:r w:rsidRPr="00693F5C">
        <w:rPr>
          <w:rFonts w:ascii="Verdana" w:hAnsi="Verdana"/>
          <w:sz w:val="16"/>
          <w:szCs w:val="16"/>
        </w:rPr>
        <w:t xml:space="preserve"> Carlos Miguel</w:t>
      </w:r>
      <w:r w:rsidRPr="00F75EED">
        <w:rPr>
          <w:rFonts w:ascii="Verdana" w:hAnsi="Verdana"/>
          <w:sz w:val="16"/>
          <w:szCs w:val="16"/>
        </w:rPr>
        <w:t>.</w:t>
      </w:r>
      <w:r>
        <w:rPr>
          <w:rFonts w:ascii="Verdana" w:hAnsi="Verdana"/>
          <w:sz w:val="16"/>
          <w:szCs w:val="16"/>
        </w:rPr>
        <w:t xml:space="preserve"> Resolución por incumplimiento. Buenos Aires: Astrea, 2006. p. 187).</w:t>
      </w:r>
    </w:p>
  </w:footnote>
  <w:footnote w:id="27">
    <w:p w14:paraId="08A90478" w14:textId="77777777" w:rsidR="00F20E33" w:rsidRPr="005221C3" w:rsidRDefault="00F20E33" w:rsidP="00F20E33">
      <w:pPr>
        <w:pStyle w:val="Textonotapie"/>
        <w:ind w:firstLine="708"/>
        <w:jc w:val="both"/>
        <w:rPr>
          <w:rFonts w:ascii="Verdana" w:hAnsi="Verdana"/>
          <w:sz w:val="16"/>
          <w:szCs w:val="16"/>
        </w:rPr>
      </w:pPr>
      <w:r w:rsidRPr="001F403F">
        <w:rPr>
          <w:rStyle w:val="Refdenotaalpie"/>
          <w:rFonts w:ascii="Verdana" w:hAnsi="Verdana"/>
          <w:sz w:val="16"/>
          <w:szCs w:val="16"/>
        </w:rPr>
        <w:footnoteRef/>
      </w:r>
      <w:r w:rsidRPr="001F403F">
        <w:rPr>
          <w:rFonts w:ascii="Verdana" w:hAnsi="Verdana"/>
          <w:sz w:val="16"/>
          <w:szCs w:val="16"/>
        </w:rPr>
        <w:t xml:space="preserve"> </w:t>
      </w:r>
      <w:r w:rsidRPr="00561A4A">
        <w:rPr>
          <w:rFonts w:ascii="Verdana" w:hAnsi="Verdana"/>
          <w:sz w:val="16"/>
          <w:szCs w:val="16"/>
        </w:rPr>
        <w:t>CLARO SOLAR, Luis. Explicaciones de derecho civil chileno y comparado. Volumen I</w:t>
      </w:r>
      <w:r>
        <w:rPr>
          <w:rFonts w:ascii="Verdana" w:hAnsi="Verdana"/>
          <w:sz w:val="16"/>
          <w:szCs w:val="16"/>
        </w:rPr>
        <w:t>II</w:t>
      </w:r>
      <w:r w:rsidRPr="00561A4A">
        <w:rPr>
          <w:rFonts w:ascii="Verdana" w:hAnsi="Verdana"/>
          <w:sz w:val="16"/>
          <w:szCs w:val="16"/>
        </w:rPr>
        <w:t xml:space="preserve">. Tomo </w:t>
      </w:r>
      <w:r>
        <w:rPr>
          <w:rFonts w:ascii="Verdana" w:hAnsi="Verdana"/>
          <w:sz w:val="16"/>
          <w:szCs w:val="16"/>
        </w:rPr>
        <w:t>XII</w:t>
      </w:r>
      <w:r w:rsidRPr="00561A4A">
        <w:rPr>
          <w:rFonts w:ascii="Verdana" w:hAnsi="Verdana"/>
          <w:sz w:val="16"/>
          <w:szCs w:val="16"/>
        </w:rPr>
        <w:t xml:space="preserve">. Santiago: Editorial Jurídica de Chile, 2013. p. </w:t>
      </w:r>
      <w:r>
        <w:rPr>
          <w:rFonts w:ascii="Verdana" w:hAnsi="Verdana"/>
          <w:sz w:val="16"/>
          <w:szCs w:val="16"/>
        </w:rPr>
        <w:t>86</w:t>
      </w:r>
      <w:r w:rsidRPr="00561A4A">
        <w:rPr>
          <w:rFonts w:ascii="Verdana" w:hAnsi="Verdana"/>
          <w:sz w:val="16"/>
          <w:szCs w:val="16"/>
        </w:rPr>
        <w:t>.</w:t>
      </w:r>
      <w:r>
        <w:rPr>
          <w:rFonts w:ascii="Verdana" w:hAnsi="Verdana"/>
          <w:sz w:val="16"/>
          <w:szCs w:val="16"/>
        </w:rPr>
        <w:t xml:space="preserve"> Como se desprende del inciso primero del artículo 1627 del Código Civil, esta regla está tiene excepciones específicas. Por ejemplo, el inciso 2 del derogado artículo 1151 disponía que “</w:t>
      </w:r>
      <w:r w:rsidRPr="005221C3">
        <w:rPr>
          <w:rFonts w:ascii="Verdana" w:hAnsi="Verdana"/>
          <w:sz w:val="16"/>
          <w:szCs w:val="16"/>
        </w:rPr>
        <w:t>Si el modo, sin hecho o culpa del asignatario, es solamente imposible en la forma especial prescrita por el testador, podrá cumplirse en otra análoga que no altere la sustancia de la disposición, y que en este concepto sea aprobada por el juez, con citación de los interesados</w:t>
      </w:r>
      <w:r>
        <w:rPr>
          <w:rFonts w:ascii="Verdana" w:hAnsi="Verdana"/>
          <w:sz w:val="16"/>
          <w:szCs w:val="16"/>
        </w:rPr>
        <w:t>”. Por otra parte, para efectos de la ejecución del mandato en los términos del inciso segundo del artículo 2160, “</w:t>
      </w:r>
      <w:r w:rsidRPr="002A7847">
        <w:rPr>
          <w:rFonts w:ascii="Verdana" w:hAnsi="Verdana"/>
          <w:sz w:val="16"/>
          <w:szCs w:val="16"/>
        </w:rPr>
        <w:t>Se podrán</w:t>
      </w:r>
      <w:r>
        <w:rPr>
          <w:rFonts w:ascii="Verdana" w:hAnsi="Verdana"/>
          <w:sz w:val="16"/>
          <w:szCs w:val="16"/>
        </w:rPr>
        <w:t xml:space="preserve"> […]</w:t>
      </w:r>
      <w:r w:rsidRPr="002A7847">
        <w:rPr>
          <w:rFonts w:ascii="Verdana" w:hAnsi="Verdana"/>
          <w:sz w:val="16"/>
          <w:szCs w:val="16"/>
        </w:rPr>
        <w:t xml:space="preserve"> emplear medios equivalentes, si la necesidad obligare a ello, y si obtuviere completamente de ese modo el objeto del mandato</w:t>
      </w:r>
      <w:r>
        <w:rPr>
          <w:rFonts w:ascii="Verdana" w:hAnsi="Verdana"/>
          <w:sz w:val="16"/>
          <w:szCs w:val="16"/>
        </w:rPr>
        <w:t>”. Asimismo, el inciso segundo del artículo 2224 dispone que en el contrato de mutuo “</w:t>
      </w:r>
      <w:r w:rsidRPr="005221C3">
        <w:rPr>
          <w:rFonts w:ascii="Verdana" w:hAnsi="Verdana"/>
          <w:sz w:val="16"/>
          <w:szCs w:val="16"/>
        </w:rPr>
        <w:t>Podrá darse una clase de moneda por otra, aun a pesar del mutuante, siempre que las dos sumas se ajusten a la relación establecida por la ley entre las dos clases de moneda</w:t>
      </w:r>
      <w:r>
        <w:rPr>
          <w:rFonts w:ascii="Verdana" w:hAnsi="Verdana"/>
          <w:sz w:val="16"/>
          <w:szCs w:val="16"/>
        </w:rPr>
        <w:t xml:space="preserve"> […]”. E</w:t>
      </w:r>
      <w:r w:rsidRPr="005221C3">
        <w:rPr>
          <w:rFonts w:ascii="Verdana" w:hAnsi="Verdana"/>
          <w:sz w:val="16"/>
          <w:szCs w:val="16"/>
        </w:rPr>
        <w:t>stos y otros casos determinados por las leyes, establecen excepciones</w:t>
      </w:r>
      <w:r>
        <w:rPr>
          <w:rFonts w:ascii="Verdana" w:hAnsi="Verdana"/>
          <w:sz w:val="16"/>
          <w:szCs w:val="16"/>
        </w:rPr>
        <w:t xml:space="preserve"> </w:t>
      </w:r>
      <w:r w:rsidRPr="005221C3">
        <w:rPr>
          <w:rFonts w:ascii="Verdana" w:hAnsi="Verdana"/>
          <w:sz w:val="16"/>
          <w:szCs w:val="16"/>
        </w:rPr>
        <w:t xml:space="preserve">que confirman la regla general </w:t>
      </w:r>
      <w:r>
        <w:rPr>
          <w:rFonts w:ascii="Verdana" w:hAnsi="Verdana"/>
          <w:sz w:val="16"/>
          <w:szCs w:val="16"/>
        </w:rPr>
        <w:t>de</w:t>
      </w:r>
      <w:r w:rsidRPr="005221C3">
        <w:rPr>
          <w:rFonts w:ascii="Verdana" w:hAnsi="Verdana"/>
          <w:sz w:val="16"/>
          <w:szCs w:val="16"/>
        </w:rPr>
        <w:t xml:space="preserve"> observar estrictamente el tenor de</w:t>
      </w:r>
      <w:r>
        <w:rPr>
          <w:rFonts w:ascii="Verdana" w:hAnsi="Verdana"/>
          <w:sz w:val="16"/>
          <w:szCs w:val="16"/>
        </w:rPr>
        <w:t xml:space="preserve"> </w:t>
      </w:r>
      <w:r w:rsidRPr="005221C3">
        <w:rPr>
          <w:rFonts w:ascii="Verdana" w:hAnsi="Verdana"/>
          <w:sz w:val="16"/>
          <w:szCs w:val="16"/>
        </w:rPr>
        <w:t>la convención en la ejecución de las obligaciones.</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2pt;height:1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F4E"/>
    <w:rsid w:val="00046945"/>
    <w:rsid w:val="00061B2A"/>
    <w:rsid w:val="00082362"/>
    <w:rsid w:val="000A683E"/>
    <w:rsid w:val="000B19B9"/>
    <w:rsid w:val="000D0334"/>
    <w:rsid w:val="000F6486"/>
    <w:rsid w:val="00125105"/>
    <w:rsid w:val="00127233"/>
    <w:rsid w:val="001E4177"/>
    <w:rsid w:val="001F7DC6"/>
    <w:rsid w:val="002421BB"/>
    <w:rsid w:val="0025796E"/>
    <w:rsid w:val="00264073"/>
    <w:rsid w:val="002707A2"/>
    <w:rsid w:val="00286835"/>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344A"/>
    <w:rsid w:val="003D5B0D"/>
    <w:rsid w:val="003E0499"/>
    <w:rsid w:val="003F3941"/>
    <w:rsid w:val="00406575"/>
    <w:rsid w:val="00414C74"/>
    <w:rsid w:val="0042722E"/>
    <w:rsid w:val="0044528D"/>
    <w:rsid w:val="00455CB7"/>
    <w:rsid w:val="004A1847"/>
    <w:rsid w:val="004A305D"/>
    <w:rsid w:val="004A7556"/>
    <w:rsid w:val="004F0E59"/>
    <w:rsid w:val="004F21C4"/>
    <w:rsid w:val="004F685F"/>
    <w:rsid w:val="0051295B"/>
    <w:rsid w:val="005566E8"/>
    <w:rsid w:val="00570169"/>
    <w:rsid w:val="00574867"/>
    <w:rsid w:val="00591460"/>
    <w:rsid w:val="005C3777"/>
    <w:rsid w:val="005C5CDC"/>
    <w:rsid w:val="005D476C"/>
    <w:rsid w:val="006219F8"/>
    <w:rsid w:val="006302F7"/>
    <w:rsid w:val="00665D70"/>
    <w:rsid w:val="006900D9"/>
    <w:rsid w:val="006A760C"/>
    <w:rsid w:val="00706C16"/>
    <w:rsid w:val="00756841"/>
    <w:rsid w:val="00763778"/>
    <w:rsid w:val="007649AB"/>
    <w:rsid w:val="00771D0C"/>
    <w:rsid w:val="007833AC"/>
    <w:rsid w:val="007B268C"/>
    <w:rsid w:val="007B7171"/>
    <w:rsid w:val="007C0C0F"/>
    <w:rsid w:val="007C3DC2"/>
    <w:rsid w:val="007C643D"/>
    <w:rsid w:val="007E5497"/>
    <w:rsid w:val="007F4276"/>
    <w:rsid w:val="00806F5F"/>
    <w:rsid w:val="00820278"/>
    <w:rsid w:val="00867F95"/>
    <w:rsid w:val="00883056"/>
    <w:rsid w:val="008843B6"/>
    <w:rsid w:val="00891928"/>
    <w:rsid w:val="00897A3A"/>
    <w:rsid w:val="008A446D"/>
    <w:rsid w:val="008D180B"/>
    <w:rsid w:val="008D67E1"/>
    <w:rsid w:val="008F0EA7"/>
    <w:rsid w:val="00923EEF"/>
    <w:rsid w:val="009419F9"/>
    <w:rsid w:val="0095685E"/>
    <w:rsid w:val="00961B09"/>
    <w:rsid w:val="00965334"/>
    <w:rsid w:val="0097093E"/>
    <w:rsid w:val="009A0DFA"/>
    <w:rsid w:val="009B25A8"/>
    <w:rsid w:val="009B2D26"/>
    <w:rsid w:val="009C71FA"/>
    <w:rsid w:val="009C72E7"/>
    <w:rsid w:val="009D3058"/>
    <w:rsid w:val="009E1D97"/>
    <w:rsid w:val="009F3A13"/>
    <w:rsid w:val="00A122D3"/>
    <w:rsid w:val="00A17F13"/>
    <w:rsid w:val="00A20739"/>
    <w:rsid w:val="00A33C78"/>
    <w:rsid w:val="00AB0ADB"/>
    <w:rsid w:val="00AD02D5"/>
    <w:rsid w:val="00AE1440"/>
    <w:rsid w:val="00B00C0E"/>
    <w:rsid w:val="00B01B1A"/>
    <w:rsid w:val="00B1169A"/>
    <w:rsid w:val="00B44A47"/>
    <w:rsid w:val="00B51B5C"/>
    <w:rsid w:val="00B72CD3"/>
    <w:rsid w:val="00B72FFF"/>
    <w:rsid w:val="00B76057"/>
    <w:rsid w:val="00BC3D36"/>
    <w:rsid w:val="00BD7F72"/>
    <w:rsid w:val="00C04FB3"/>
    <w:rsid w:val="00C07CF9"/>
    <w:rsid w:val="00C330EB"/>
    <w:rsid w:val="00C442D9"/>
    <w:rsid w:val="00C754BE"/>
    <w:rsid w:val="00C76B1C"/>
    <w:rsid w:val="00CB6357"/>
    <w:rsid w:val="00CC1B26"/>
    <w:rsid w:val="00D423A2"/>
    <w:rsid w:val="00D520D8"/>
    <w:rsid w:val="00D63AC2"/>
    <w:rsid w:val="00D66E25"/>
    <w:rsid w:val="00D7383B"/>
    <w:rsid w:val="00DA231B"/>
    <w:rsid w:val="00DC39FC"/>
    <w:rsid w:val="00DF5254"/>
    <w:rsid w:val="00E16408"/>
    <w:rsid w:val="00E206AC"/>
    <w:rsid w:val="00E20894"/>
    <w:rsid w:val="00E245AB"/>
    <w:rsid w:val="00E2764C"/>
    <w:rsid w:val="00E27F2E"/>
    <w:rsid w:val="00E50AFE"/>
    <w:rsid w:val="00E75C92"/>
    <w:rsid w:val="00E771DC"/>
    <w:rsid w:val="00E8772A"/>
    <w:rsid w:val="00E90F6B"/>
    <w:rsid w:val="00E92C27"/>
    <w:rsid w:val="00EA0E3D"/>
    <w:rsid w:val="00EC38A7"/>
    <w:rsid w:val="00ED37A0"/>
    <w:rsid w:val="00EE01C3"/>
    <w:rsid w:val="00EE1AA8"/>
    <w:rsid w:val="00F20E33"/>
    <w:rsid w:val="00F2360F"/>
    <w:rsid w:val="00F31EDC"/>
    <w:rsid w:val="00F462B3"/>
    <w:rsid w:val="00F5664F"/>
    <w:rsid w:val="00F666C4"/>
    <w:rsid w:val="00F76AFC"/>
    <w:rsid w:val="00FA47C0"/>
    <w:rsid w:val="00FB5DD1"/>
    <w:rsid w:val="00FC2B5D"/>
    <w:rsid w:val="00FF1449"/>
    <w:rsid w:val="1DF532B2"/>
    <w:rsid w:val="44F29B01"/>
    <w:rsid w:val="4FEBF1F2"/>
    <w:rsid w:val="5217D9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20E3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F20E33"/>
    <w:rPr>
      <w:rFonts w:ascii="Geomanist Light" w:hAnsi="Geomanist Light"/>
      <w:lang w:val="es-ES"/>
    </w:rPr>
  </w:style>
  <w:style w:type="paragraph" w:styleId="Textoindependiente">
    <w:name w:val="Body Text"/>
    <w:basedOn w:val="Normal"/>
    <w:link w:val="TextoindependienteCar"/>
    <w:uiPriority w:val="99"/>
    <w:unhideWhenUsed/>
    <w:rsid w:val="00F20E33"/>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F20E33"/>
    <w:rPr>
      <w:rFonts w:eastAsiaTheme="minorEastAsia"/>
      <w:lang w:eastAsia="es-CO"/>
    </w:rPr>
  </w:style>
  <w:style w:type="character" w:customStyle="1" w:styleId="s15">
    <w:name w:val="s15"/>
    <w:basedOn w:val="Fuentedeprrafopredeter"/>
    <w:rsid w:val="00F20E33"/>
  </w:style>
  <w:style w:type="character" w:customStyle="1" w:styleId="apple-converted-space">
    <w:name w:val="apple-converted-space"/>
    <w:basedOn w:val="Fuentedeprrafopredeter"/>
    <w:rsid w:val="00F20E33"/>
  </w:style>
  <w:style w:type="character" w:styleId="nfasis">
    <w:name w:val="Emphasis"/>
    <w:basedOn w:val="Fuentedeprrafopredeter"/>
    <w:uiPriority w:val="20"/>
    <w:qFormat/>
    <w:rsid w:val="00F20E3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bohorquez@tecsoni.com.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67387FA-3023-47C9-B724-B00383A3D744}"/>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24</Pages>
  <Words>7510</Words>
  <Characters>41306</Characters>
  <Application>Microsoft Office Word</Application>
  <DocSecurity>0</DocSecurity>
  <Lines>344</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2025-10-24T14:17:00Z</dcterms:created>
  <dcterms:modified xsi:type="dcterms:W3CDTF">2025-10-27T15:07:00Z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