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186707" w14:textId="77777777" w:rsidR="000C0012" w:rsidRPr="00DE2AC7" w:rsidRDefault="000C0012" w:rsidP="000C0012">
      <w:pPr>
        <w:spacing w:after="0" w:line="240" w:lineRule="auto"/>
        <w:rPr>
          <w:rFonts w:ascii="Verdana" w:eastAsia="Calibri" w:hAnsi="Verdana" w:cs="Arial"/>
          <w:b/>
          <w:sz w:val="20"/>
          <w:szCs w:val="20"/>
          <w:lang w:val="es-ES_tradnl" w:eastAsia="es-ES_tradnl"/>
        </w:rPr>
      </w:pPr>
    </w:p>
    <w:p w14:paraId="01356C36" w14:textId="77777777" w:rsidR="000C0012" w:rsidRPr="00682C93" w:rsidRDefault="000C0012" w:rsidP="000C0012">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Finalidad </w:t>
      </w:r>
    </w:p>
    <w:p w14:paraId="7984FFF9" w14:textId="77777777" w:rsidR="000C0012" w:rsidRDefault="000C0012" w:rsidP="000C0012">
      <w:pPr>
        <w:spacing w:after="0" w:line="240" w:lineRule="auto"/>
        <w:jc w:val="both"/>
        <w:rPr>
          <w:rFonts w:ascii="Verdana" w:hAnsi="Verdana" w:cs="Arial"/>
          <w:b/>
          <w:lang w:val="es-MX" w:eastAsia="es-ES_tradnl"/>
        </w:rPr>
      </w:pPr>
    </w:p>
    <w:p w14:paraId="7E5CE1AD" w14:textId="77777777" w:rsidR="000C0012" w:rsidRDefault="000C0012" w:rsidP="000C0012">
      <w:pPr>
        <w:spacing w:after="0" w:line="240" w:lineRule="auto"/>
        <w:jc w:val="both"/>
        <w:rPr>
          <w:rFonts w:ascii="Verdana" w:eastAsia="Times New Roman" w:hAnsi="Verdana" w:cs="Arial"/>
          <w:sz w:val="20"/>
          <w:lang w:val="es-MX" w:eastAsia="es-CO"/>
        </w:rPr>
      </w:pPr>
      <w:r w:rsidRPr="00682C93">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4C4A9691" w14:textId="77777777" w:rsidR="000C0012" w:rsidRPr="00682C93" w:rsidRDefault="000C0012" w:rsidP="000C0012">
      <w:pPr>
        <w:spacing w:after="0" w:line="240" w:lineRule="auto"/>
        <w:jc w:val="both"/>
        <w:rPr>
          <w:rFonts w:ascii="Verdana" w:hAnsi="Verdana" w:cs="Arial"/>
          <w:b/>
          <w:sz w:val="20"/>
          <w:lang w:val="es-MX" w:eastAsia="es-ES_tradnl"/>
        </w:rPr>
      </w:pPr>
    </w:p>
    <w:p w14:paraId="647F2818" w14:textId="77777777" w:rsidR="000C0012" w:rsidRPr="00682C93" w:rsidRDefault="000C0012" w:rsidP="000C0012">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Tipos de restricciones </w:t>
      </w:r>
      <w:r w:rsidRPr="00682C93">
        <w:rPr>
          <w:rFonts w:ascii="Verdana" w:hAnsi="Verdana" w:cs="Arial"/>
          <w:b/>
          <w:bCs/>
          <w:lang w:val="es-MX" w:eastAsia="es-ES_tradnl"/>
        </w:rPr>
        <w:t>‒</w:t>
      </w:r>
      <w:r w:rsidRPr="00682C93">
        <w:rPr>
          <w:rFonts w:ascii="Verdana" w:hAnsi="Verdana" w:cs="Arial"/>
          <w:b/>
          <w:lang w:val="es-MX" w:eastAsia="es-ES_tradnl"/>
        </w:rPr>
        <w:t xml:space="preserve"> Ámbito temporal – celebración- límite</w:t>
      </w:r>
    </w:p>
    <w:p w14:paraId="7D31FE60" w14:textId="77777777" w:rsidR="000C0012" w:rsidRDefault="000C0012" w:rsidP="000C0012">
      <w:pPr>
        <w:spacing w:after="0" w:line="240" w:lineRule="auto"/>
        <w:jc w:val="both"/>
        <w:rPr>
          <w:rFonts w:ascii="Verdana" w:hAnsi="Verdana" w:cs="Arial"/>
          <w:b/>
          <w:lang w:val="es-MX" w:eastAsia="es-ES_tradnl"/>
        </w:rPr>
      </w:pPr>
    </w:p>
    <w:p w14:paraId="01F8AB08" w14:textId="77777777" w:rsidR="000C0012" w:rsidRPr="00E41F23" w:rsidRDefault="000C0012" w:rsidP="000C0012">
      <w:pPr>
        <w:spacing w:after="0" w:line="240" w:lineRule="auto"/>
        <w:jc w:val="both"/>
        <w:rPr>
          <w:rFonts w:ascii="Verdana" w:eastAsia="Calibri" w:hAnsi="Verdana" w:cs="Arial"/>
          <w:sz w:val="20"/>
        </w:rPr>
      </w:pPr>
      <w:r w:rsidRPr="00E41F23">
        <w:rPr>
          <w:rFonts w:ascii="Verdana" w:eastAsia="Calibri" w:hAnsi="Verdana" w:cs="Arial"/>
          <w:sz w:val="20"/>
        </w:rPr>
        <w:t xml:space="preserve">Por un lado, el </w:t>
      </w:r>
      <w:r w:rsidRPr="00E41F23">
        <w:rPr>
          <w:rFonts w:ascii="Verdana" w:eastAsia="Calibri" w:hAnsi="Verdana" w:cs="Arial"/>
          <w:i/>
          <w:iCs/>
          <w:sz w:val="20"/>
        </w:rPr>
        <w:t>artículo 33 de la Ley 996 de 2005</w:t>
      </w:r>
      <w:r w:rsidRPr="00E41F23">
        <w:rPr>
          <w:rFonts w:ascii="Verdana" w:eastAsia="Calibri" w:hAnsi="Verdana" w:cs="Arial"/>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BC5F2A7" w14:textId="77777777" w:rsidR="000C0012" w:rsidRPr="00E41F23" w:rsidRDefault="000C0012" w:rsidP="000C0012">
      <w:pPr>
        <w:spacing w:after="0" w:line="240" w:lineRule="auto"/>
        <w:jc w:val="both"/>
        <w:rPr>
          <w:rFonts w:ascii="Verdana" w:eastAsia="Calibri" w:hAnsi="Verdana" w:cs="Arial"/>
          <w:sz w:val="20"/>
        </w:rPr>
      </w:pPr>
    </w:p>
    <w:p w14:paraId="33FAB29C" w14:textId="77777777" w:rsidR="000C0012" w:rsidRDefault="000C0012" w:rsidP="000C0012">
      <w:pPr>
        <w:widowControl w:val="0"/>
        <w:autoSpaceDE w:val="0"/>
        <w:autoSpaceDN w:val="0"/>
        <w:spacing w:after="0" w:line="240" w:lineRule="auto"/>
        <w:ind w:right="113"/>
        <w:jc w:val="both"/>
        <w:rPr>
          <w:rFonts w:ascii="Verdana" w:eastAsia="Arial" w:hAnsi="Verdana" w:cs="Arial"/>
          <w:sz w:val="20"/>
          <w:lang w:val="es-ES" w:eastAsia="es-ES" w:bidi="es-ES"/>
        </w:rPr>
      </w:pPr>
      <w:r w:rsidRPr="00E41F23">
        <w:rPr>
          <w:rFonts w:ascii="Verdana" w:eastAsia="Calibri" w:hAnsi="Verdana" w:cs="Arial"/>
          <w:sz w:val="20"/>
        </w:rPr>
        <w:t xml:space="preserve">Por otro lado, </w:t>
      </w:r>
      <w:r w:rsidRPr="00E41F23">
        <w:rPr>
          <w:rFonts w:ascii="Verdana" w:eastAsia="Calibri" w:hAnsi="Verdana" w:cs="Arial"/>
          <w:i/>
          <w:iCs/>
          <w:sz w:val="20"/>
        </w:rPr>
        <w:t>el parágrafo del artículo 38 de la Ley 996 de 2005</w:t>
      </w:r>
      <w:r w:rsidRPr="00E41F23">
        <w:rPr>
          <w:rFonts w:ascii="Verdana" w:eastAsia="Calibri" w:hAnsi="Verdana" w:cs="Arial"/>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41F23">
        <w:rPr>
          <w:rFonts w:ascii="Verdana" w:eastAsia="Calibri" w:hAnsi="Verdana" w:cs="Arial"/>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41F23">
        <w:rPr>
          <w:rFonts w:ascii="Verdana" w:eastAsia="Calibri" w:hAnsi="Verdana" w:cs="Arial"/>
          <w:sz w:val="20"/>
        </w:rPr>
        <w:t>”</w:t>
      </w:r>
      <w:r w:rsidRPr="00E41F23">
        <w:rPr>
          <w:rFonts w:ascii="Verdana" w:eastAsia="Calibri" w:hAnsi="Verdana" w:cs="Arial"/>
          <w:sz w:val="20"/>
          <w:lang w:val="es-MX"/>
        </w:rPr>
        <w:t>.</w:t>
      </w:r>
      <w:r w:rsidRPr="00E41F23">
        <w:rPr>
          <w:rFonts w:ascii="Verdana" w:eastAsia="Arial" w:hAnsi="Verdana" w:cs="Arial"/>
          <w:sz w:val="20"/>
          <w:lang w:val="es-ES" w:eastAsia="es-ES" w:bidi="es-ES"/>
        </w:rPr>
        <w:t xml:space="preserve"> </w:t>
      </w:r>
    </w:p>
    <w:p w14:paraId="33A2CF28" w14:textId="77777777" w:rsidR="000C0012" w:rsidRPr="00E41F23" w:rsidRDefault="000C0012" w:rsidP="000C0012">
      <w:pPr>
        <w:widowControl w:val="0"/>
        <w:autoSpaceDE w:val="0"/>
        <w:autoSpaceDN w:val="0"/>
        <w:spacing w:after="0" w:line="240" w:lineRule="auto"/>
        <w:ind w:right="113"/>
        <w:jc w:val="both"/>
        <w:rPr>
          <w:rFonts w:ascii="Verdana" w:eastAsia="Arial" w:hAnsi="Verdana" w:cs="Arial"/>
          <w:sz w:val="20"/>
          <w:lang w:val="es-ES" w:eastAsia="es-ES" w:bidi="es-ES"/>
        </w:rPr>
      </w:pPr>
    </w:p>
    <w:p w14:paraId="07F20C20" w14:textId="77777777" w:rsidR="000C0012" w:rsidRPr="00E41F23" w:rsidRDefault="000C0012" w:rsidP="000C0012">
      <w:pPr>
        <w:spacing w:after="0" w:line="240" w:lineRule="auto"/>
        <w:jc w:val="both"/>
        <w:rPr>
          <w:rFonts w:ascii="Verdana" w:eastAsia="Times New Roman" w:hAnsi="Verdana" w:cs="Arial"/>
          <w:bCs/>
          <w:sz w:val="20"/>
          <w:lang w:val="es-ES" w:eastAsia="es-CO"/>
        </w:rPr>
      </w:pPr>
      <w:r w:rsidRPr="00E41F23">
        <w:rPr>
          <w:rFonts w:ascii="Verdana" w:eastAsia="Times New Roman" w:hAnsi="Verdana" w:cs="Arial"/>
          <w:bCs/>
          <w:sz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E41F23">
        <w:rPr>
          <w:rFonts w:ascii="Verdana" w:eastAsia="Times New Roman" w:hAnsi="Verdana" w:cs="Arial"/>
          <w:bCs/>
          <w:sz w:val="20"/>
          <w:lang w:val="es-ES" w:eastAsia="es-CO"/>
        </w:rPr>
        <w:t xml:space="preserve">la existencia de los contratos estatales, es decir, la producción de efectos jurídicos en los términos del artículo 1501 </w:t>
      </w:r>
      <w:proofErr w:type="spellStart"/>
      <w:r w:rsidRPr="00E41F23">
        <w:rPr>
          <w:rFonts w:ascii="Verdana" w:eastAsia="Times New Roman" w:hAnsi="Verdana" w:cs="Arial"/>
          <w:bCs/>
          <w:i/>
          <w:sz w:val="20"/>
          <w:lang w:val="es-ES" w:eastAsia="es-CO"/>
        </w:rPr>
        <w:t>ibídem</w:t>
      </w:r>
      <w:proofErr w:type="spellEnd"/>
      <w:r w:rsidRPr="00E41F23">
        <w:rPr>
          <w:rFonts w:ascii="Verdana" w:eastAsia="Times New Roman" w:hAnsi="Verdana" w:cs="Arial"/>
          <w:bCs/>
          <w:sz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6BC7CBE3" w14:textId="77777777" w:rsidR="000C0012" w:rsidRPr="00682C93" w:rsidRDefault="000C0012" w:rsidP="000C0012">
      <w:pPr>
        <w:spacing w:after="0" w:line="240" w:lineRule="auto"/>
        <w:jc w:val="both"/>
        <w:rPr>
          <w:rFonts w:ascii="Verdana" w:hAnsi="Verdana" w:cs="Arial"/>
          <w:b/>
          <w:lang w:val="es-ES" w:eastAsia="es-ES_tradnl"/>
        </w:rPr>
      </w:pPr>
    </w:p>
    <w:p w14:paraId="6AE5C05E" w14:textId="77777777" w:rsidR="000C0012" w:rsidRPr="00682C93" w:rsidRDefault="000C0012" w:rsidP="000C0012">
      <w:pPr>
        <w:spacing w:after="0" w:line="240" w:lineRule="auto"/>
        <w:jc w:val="both"/>
        <w:rPr>
          <w:rFonts w:ascii="Verdana" w:hAnsi="Verdana" w:cs="Arial"/>
          <w:b/>
          <w:lang w:val="es-MX" w:eastAsia="es-ES_tradnl"/>
        </w:rPr>
      </w:pPr>
      <w:r w:rsidRPr="00682C93">
        <w:rPr>
          <w:rFonts w:ascii="Verdana" w:hAnsi="Verdana" w:cs="Arial"/>
          <w:b/>
          <w:lang w:val="es-MX" w:eastAsia="es-ES_tradnl"/>
        </w:rPr>
        <w:lastRenderedPageBreak/>
        <w:t xml:space="preserve">LEY DE GARANTÍAS ELECTORALES – Contratos y convenios interadministrativos – Criterio orgánico </w:t>
      </w:r>
    </w:p>
    <w:p w14:paraId="0B11CE90" w14:textId="77777777" w:rsidR="000C0012" w:rsidRDefault="000C0012" w:rsidP="000C0012">
      <w:pPr>
        <w:spacing w:after="0" w:line="240" w:lineRule="auto"/>
        <w:jc w:val="both"/>
        <w:rPr>
          <w:rFonts w:ascii="Verdana" w:hAnsi="Verdana" w:cs="Arial"/>
          <w:b/>
          <w:lang w:val="es-MX" w:eastAsia="es-ES_tradnl"/>
        </w:rPr>
      </w:pPr>
    </w:p>
    <w:p w14:paraId="452E19E4" w14:textId="77777777" w:rsidR="000C0012" w:rsidRPr="00E41F23" w:rsidRDefault="000C0012" w:rsidP="000C0012">
      <w:pPr>
        <w:spacing w:after="0" w:line="240" w:lineRule="auto"/>
        <w:jc w:val="both"/>
        <w:rPr>
          <w:rFonts w:ascii="Verdana" w:eastAsia="Calibri" w:hAnsi="Verdana" w:cs="Arial"/>
          <w:sz w:val="20"/>
          <w:lang w:bidi="es-ES"/>
        </w:rPr>
      </w:pPr>
      <w:r w:rsidRPr="00E41F23">
        <w:rPr>
          <w:rFonts w:ascii="Verdana" w:eastAsia="Times New Roman" w:hAnsi="Verdana" w:cs="Arial"/>
          <w:sz w:val="20"/>
          <w:lang w:val="es-MX" w:eastAsia="x-none"/>
        </w:rPr>
        <w:t xml:space="preserve">Sobre este aspecto, es importante señalar que esta Subdirección, en los conceptos emitidos sobre la aplicación de la Ley de Garantías Electorales, ha defendido y mantenido la postura acerca de que la prohibición señalada en </w:t>
      </w:r>
      <w:r w:rsidRPr="00E41F23">
        <w:rPr>
          <w:rFonts w:ascii="Verdana" w:eastAsia="Arial" w:hAnsi="Verdana" w:cs="Arial"/>
          <w:sz w:val="20"/>
          <w:lang w:val="es-ES" w:eastAsia="es-ES" w:bidi="es-ES"/>
        </w:rPr>
        <w:t>e</w:t>
      </w:r>
      <w:r w:rsidRPr="00E41F23">
        <w:rPr>
          <w:rFonts w:ascii="Verdana" w:eastAsia="Calibri" w:hAnsi="Verdana" w:cs="Arial"/>
          <w:sz w:val="20"/>
        </w:rPr>
        <w:t xml:space="preserve">l parágrafo del artículo 38 cobija tanto a los convenios como a los contratos interadministrativos. Esta tesis se fundamenta en que </w:t>
      </w:r>
      <w:r w:rsidRPr="00E41F23">
        <w:rPr>
          <w:rFonts w:ascii="Verdana" w:eastAsia="Calibri" w:hAnsi="Verdana" w:cs="Arial"/>
          <w:sz w:val="20"/>
          <w:lang w:bidi="es-ES"/>
        </w:rPr>
        <w:t xml:space="preserve">si bien actualmente el Estatuto General de Contratación de la Administración Pública – en adelante EGCAP – se refiere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14A426C8" w14:textId="77777777" w:rsidR="000C0012" w:rsidRPr="00682C93" w:rsidRDefault="000C0012" w:rsidP="000C0012">
      <w:pPr>
        <w:spacing w:after="0" w:line="240" w:lineRule="auto"/>
        <w:jc w:val="both"/>
        <w:rPr>
          <w:rFonts w:ascii="Verdana" w:hAnsi="Verdana" w:cs="Arial"/>
          <w:b/>
          <w:lang w:val="es-MX" w:eastAsia="es-ES_tradnl"/>
        </w:rPr>
      </w:pPr>
    </w:p>
    <w:p w14:paraId="78709028" w14:textId="77777777" w:rsidR="000C0012" w:rsidRDefault="000C0012" w:rsidP="000C0012">
      <w:pPr>
        <w:spacing w:after="0" w:line="240" w:lineRule="auto"/>
        <w:jc w:val="both"/>
        <w:rPr>
          <w:rFonts w:ascii="Verdana" w:hAnsi="Verdana" w:cs="Arial"/>
          <w:b/>
          <w:lang w:val="es-MX" w:eastAsia="es-ES_tradnl"/>
        </w:rPr>
      </w:pPr>
      <w:r w:rsidRPr="00682C93">
        <w:rPr>
          <w:rFonts w:ascii="Verdana" w:hAnsi="Verdana" w:cs="Arial"/>
          <w:b/>
          <w:lang w:val="es-MX" w:eastAsia="es-ES_tradnl"/>
        </w:rPr>
        <w:t>CONTRATOS Y CONVENIOS INTERADMINISTRATIVOS – Definición – Criterio org</w:t>
      </w:r>
      <w:r>
        <w:rPr>
          <w:rFonts w:ascii="Verdana" w:hAnsi="Verdana" w:cs="Arial"/>
          <w:b/>
          <w:lang w:val="es-MX" w:eastAsia="es-ES_tradnl"/>
        </w:rPr>
        <w:t>ánico</w:t>
      </w:r>
    </w:p>
    <w:p w14:paraId="11575601" w14:textId="77777777" w:rsidR="000C0012" w:rsidRDefault="000C0012" w:rsidP="000C0012">
      <w:pPr>
        <w:spacing w:after="0" w:line="240" w:lineRule="auto"/>
        <w:jc w:val="both"/>
        <w:rPr>
          <w:rFonts w:ascii="Verdana" w:hAnsi="Verdana" w:cs="Arial"/>
          <w:b/>
          <w:lang w:val="es-MX" w:eastAsia="es-ES_tradnl"/>
        </w:rPr>
      </w:pPr>
    </w:p>
    <w:p w14:paraId="5E8B276C" w14:textId="77777777" w:rsidR="000C0012" w:rsidRPr="003F2A9C" w:rsidRDefault="000C0012" w:rsidP="000C0012">
      <w:pPr>
        <w:spacing w:after="0" w:line="240" w:lineRule="auto"/>
        <w:jc w:val="both"/>
        <w:rPr>
          <w:rFonts w:ascii="Verdana" w:hAnsi="Verdana" w:cs="Arial"/>
          <w:b/>
          <w:lang w:val="es-MX" w:eastAsia="es-ES_tradnl"/>
        </w:rPr>
      </w:pPr>
      <w:r w:rsidRPr="003F2A9C">
        <w:rPr>
          <w:rFonts w:ascii="Verdana" w:eastAsia="Calibri" w:hAnsi="Verdana" w:cs="Arial"/>
          <w:sz w:val="20"/>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3F2A9C">
        <w:rPr>
          <w:rFonts w:ascii="Verdana" w:eastAsia="Arial" w:hAnsi="Verdana" w:cs="Arial"/>
          <w:sz w:val="20"/>
          <w:lang w:val="es-ES" w:eastAsia="es-ES" w:bidi="es-ES"/>
        </w:rPr>
        <w:t>el legislador y el ordenamiento jurídico, en general, en distintas ocasiones utiliza de forma indistinta los conceptos de contrato o convenio para referirse a la misma institución jurídica. Incluso, la Corte Constitucional fundamenta la posibilidad de celebrar convenios interadministrativos de forma directa, con fundamento en la causal establecida en la Ley 1150 de 2007 respecto a los contratos int</w:t>
      </w:r>
      <w:r>
        <w:rPr>
          <w:rFonts w:ascii="Verdana" w:eastAsia="Arial" w:hAnsi="Verdana" w:cs="Arial"/>
          <w:sz w:val="20"/>
          <w:lang w:val="es-ES" w:eastAsia="es-ES" w:bidi="es-ES"/>
        </w:rPr>
        <w:t>eradministrativos</w:t>
      </w:r>
      <w:r w:rsidRPr="003F2A9C">
        <w:rPr>
          <w:rFonts w:ascii="Verdana" w:eastAsia="Arial" w:hAnsi="Verdana" w:cs="Arial"/>
          <w:sz w:val="20"/>
          <w:lang w:val="es-ES" w:eastAsia="es-ES" w:bidi="es-ES"/>
        </w:rPr>
        <w:t>.</w:t>
      </w:r>
    </w:p>
    <w:p w14:paraId="1B7449E1" w14:textId="77777777" w:rsidR="000C0012" w:rsidRPr="003F2A9C" w:rsidRDefault="000C0012" w:rsidP="000C0012">
      <w:pPr>
        <w:spacing w:after="0" w:line="240" w:lineRule="auto"/>
        <w:jc w:val="both"/>
        <w:rPr>
          <w:rFonts w:ascii="Verdana" w:eastAsia="Calibri" w:hAnsi="Verdana" w:cs="Arial"/>
          <w:sz w:val="20"/>
          <w:lang w:bidi="es-ES"/>
        </w:rPr>
      </w:pPr>
    </w:p>
    <w:p w14:paraId="574308F0" w14:textId="77777777" w:rsidR="000C0012" w:rsidRDefault="000C0012" w:rsidP="000C0012">
      <w:pPr>
        <w:spacing w:after="0" w:line="240" w:lineRule="auto"/>
        <w:jc w:val="both"/>
        <w:rPr>
          <w:rFonts w:ascii="Verdana" w:eastAsia="Arial" w:hAnsi="Verdana" w:cs="Arial"/>
          <w:sz w:val="20"/>
          <w:lang w:val="es-ES" w:eastAsia="es-ES" w:bidi="es-ES"/>
        </w:rPr>
      </w:pPr>
      <w:r w:rsidRPr="003F2A9C">
        <w:rPr>
          <w:rFonts w:ascii="Verdana" w:eastAsia="Calibri" w:hAnsi="Verdana" w:cs="Arial"/>
          <w:sz w:val="20"/>
          <w:lang w:val="es-ES" w:bidi="es-ES"/>
        </w:rPr>
        <w:t>De este modo, en la Circular Externa</w:t>
      </w:r>
      <w:r w:rsidRPr="003F2A9C">
        <w:rPr>
          <w:rFonts w:ascii="Verdana" w:eastAsia="Arial" w:hAnsi="Verdana" w:cs="Arial"/>
          <w:sz w:val="20"/>
          <w:lang w:val="es-ES" w:eastAsia="es-ES" w:bidi="es-ES"/>
        </w:rPr>
        <w:t xml:space="preserve"> Única de Colombia Compra Eficiente, 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w:t>
      </w:r>
      <w:r>
        <w:rPr>
          <w:rFonts w:ascii="Verdana" w:eastAsia="Arial" w:hAnsi="Verdana" w:cs="Arial"/>
          <w:sz w:val="20"/>
          <w:lang w:val="es-ES" w:eastAsia="es-ES" w:bidi="es-ES"/>
        </w:rPr>
        <w:t>.</w:t>
      </w:r>
    </w:p>
    <w:p w14:paraId="41BAD4FA" w14:textId="77777777" w:rsidR="000C0012" w:rsidRDefault="000C0012" w:rsidP="000C0012">
      <w:pPr>
        <w:spacing w:after="0"/>
        <w:rPr>
          <w:rFonts w:ascii="Verdana" w:hAnsi="Verdana"/>
        </w:rPr>
      </w:pPr>
    </w:p>
    <w:p w14:paraId="378942FA" w14:textId="77777777" w:rsidR="000C0012" w:rsidRDefault="000C0012" w:rsidP="000C0012">
      <w:pPr>
        <w:spacing w:after="0"/>
        <w:jc w:val="both"/>
        <w:rPr>
          <w:rFonts w:ascii="Verdana" w:hAnsi="Verdana"/>
          <w:b/>
        </w:rPr>
      </w:pPr>
      <w:r w:rsidRPr="00206CC8">
        <w:rPr>
          <w:rFonts w:ascii="Verdana" w:hAnsi="Verdana" w:cs="Arial"/>
          <w:b/>
          <w:lang w:val="es-MX" w:eastAsia="es-ES_tradnl"/>
        </w:rPr>
        <w:t>CONTRATOS Y CONVENIOS INTERADMINISTRATIVOS – Circular Externa Única – Auto de suspensión –</w:t>
      </w:r>
      <w:r>
        <w:rPr>
          <w:rFonts w:ascii="Verdana" w:hAnsi="Verdana" w:cs="Arial"/>
          <w:b/>
          <w:lang w:val="es-MX" w:eastAsia="es-ES_tradnl"/>
        </w:rPr>
        <w:t xml:space="preserve"> N</w:t>
      </w:r>
      <w:r w:rsidRPr="00206CC8">
        <w:rPr>
          <w:rFonts w:ascii="Verdana" w:hAnsi="Verdana" w:cs="Arial"/>
          <w:b/>
          <w:lang w:val="es-MX" w:eastAsia="es-ES_tradnl"/>
        </w:rPr>
        <w:t>umeral 16.2.</w:t>
      </w:r>
    </w:p>
    <w:p w14:paraId="27DB4797" w14:textId="77777777" w:rsidR="000C0012" w:rsidRDefault="000C0012" w:rsidP="000C0012">
      <w:pPr>
        <w:spacing w:after="0"/>
        <w:jc w:val="both"/>
        <w:rPr>
          <w:rFonts w:ascii="Verdana" w:hAnsi="Verdana"/>
          <w:b/>
        </w:rPr>
      </w:pPr>
    </w:p>
    <w:p w14:paraId="22562C5F" w14:textId="77777777" w:rsidR="000C0012" w:rsidRPr="00206CC8" w:rsidRDefault="000C0012" w:rsidP="000C0012">
      <w:pPr>
        <w:spacing w:after="0" w:line="240" w:lineRule="auto"/>
        <w:jc w:val="both"/>
        <w:rPr>
          <w:rFonts w:ascii="Verdana" w:hAnsi="Verdana"/>
          <w:sz w:val="18"/>
          <w:szCs w:val="20"/>
        </w:rPr>
      </w:pPr>
      <w:r w:rsidRPr="00206CC8">
        <w:rPr>
          <w:rFonts w:ascii="Verdana" w:eastAsia="Arial" w:hAnsi="Verdana" w:cs="Arial"/>
          <w:sz w:val="20"/>
          <w:lang w:val="es-MX" w:eastAsia="es-ES" w:bidi="es-ES"/>
        </w:rPr>
        <w:t xml:space="preserve">[…] conviene señalar que, mediante auto de 4 de octubre del 2024, el Consejo de Estado, Sección Tercera, decretó medida de suspensión provisional parcial del </w:t>
      </w:r>
      <w:r w:rsidRPr="00206CC8">
        <w:rPr>
          <w:rFonts w:ascii="Verdana" w:hAnsi="Verdana"/>
          <w:sz w:val="20"/>
        </w:rPr>
        <w:t>numeral 16.2 de la Circular Externa Única de 2022 expedida por la Agencia Nacional de Contratación Pública -Colombia Compra Eficiente-, concretamente, respecto de los siguientes apartes normativos</w:t>
      </w:r>
      <w:r w:rsidRPr="00206CC8">
        <w:rPr>
          <w:rFonts w:ascii="Verdana" w:hAnsi="Verdana"/>
          <w:sz w:val="18"/>
          <w:szCs w:val="20"/>
        </w:rPr>
        <w:t xml:space="preserve"> </w:t>
      </w:r>
    </w:p>
    <w:p w14:paraId="5EF0FB0C" w14:textId="77777777" w:rsidR="000C0012" w:rsidRPr="00206CC8" w:rsidRDefault="000C0012" w:rsidP="000C0012">
      <w:pPr>
        <w:spacing w:after="0" w:line="240" w:lineRule="auto"/>
        <w:ind w:left="709" w:right="709"/>
        <w:jc w:val="both"/>
        <w:rPr>
          <w:rFonts w:ascii="Verdana" w:hAnsi="Verdana"/>
          <w:sz w:val="20"/>
        </w:rPr>
      </w:pPr>
    </w:p>
    <w:p w14:paraId="5DDBE096" w14:textId="77777777" w:rsidR="000C0012" w:rsidRDefault="000C0012" w:rsidP="000C0012">
      <w:pPr>
        <w:spacing w:after="0" w:line="240" w:lineRule="auto"/>
        <w:jc w:val="both"/>
        <w:rPr>
          <w:rFonts w:ascii="Verdana" w:eastAsia="Arial" w:hAnsi="Verdana" w:cs="Arial"/>
          <w:i/>
          <w:iCs/>
          <w:sz w:val="20"/>
          <w:lang w:eastAsia="es-ES" w:bidi="es-ES"/>
        </w:rPr>
      </w:pPr>
      <w:r w:rsidRPr="00206CC8">
        <w:rPr>
          <w:rFonts w:ascii="Verdana" w:eastAsia="Arial" w:hAnsi="Verdana" w:cs="Arial"/>
          <w:sz w:val="20"/>
          <w:lang w:val="es-MX" w:eastAsia="es-ES" w:bidi="es-ES"/>
        </w:rPr>
        <w:t xml:space="preserve">De conformidad con los argumentos de dicha providencia, se parte de la distinción entre los conceptos </w:t>
      </w:r>
      <w:r w:rsidRPr="00206CC8">
        <w:rPr>
          <w:rFonts w:ascii="Verdana" w:eastAsia="Arial" w:hAnsi="Verdana" w:cs="Arial"/>
          <w:sz w:val="20"/>
          <w:lang w:eastAsia="es-ES" w:bidi="es-ES"/>
        </w:rPr>
        <w:t xml:space="preserve">de “convenio” y “contrato” interadministrativos, para diferenciarlos en su </w:t>
      </w:r>
      <w:r w:rsidRPr="00206CC8">
        <w:rPr>
          <w:rFonts w:ascii="Verdana" w:eastAsia="Arial" w:hAnsi="Verdana" w:cs="Arial"/>
          <w:sz w:val="20"/>
          <w:lang w:eastAsia="es-ES" w:bidi="es-ES"/>
        </w:rPr>
        <w:lastRenderedPageBreak/>
        <w:t xml:space="preserve">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206CC8">
        <w:rPr>
          <w:rFonts w:ascii="Verdana" w:eastAsia="Arial" w:hAnsi="Verdana" w:cs="Arial"/>
          <w:i/>
          <w:iCs/>
          <w:sz w:val="20"/>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206CC8">
        <w:rPr>
          <w:rFonts w:ascii="Verdana" w:eastAsia="Arial" w:hAnsi="Verdana" w:cs="Arial"/>
          <w:sz w:val="20"/>
          <w:lang w:eastAsia="es-ES" w:bidi="es-ES"/>
        </w:rPr>
        <w:t xml:space="preserve">Por tal motivo, para efectos de decretar la medida de suspensión provisional de los apartes señalados del numeral 16.2 de la Circular Externa Única, argumentó que </w:t>
      </w:r>
      <w:r w:rsidRPr="00206CC8">
        <w:rPr>
          <w:rFonts w:ascii="Verdana" w:eastAsia="Arial" w:hAnsi="Verdana" w:cs="Arial"/>
          <w:i/>
          <w:iCs/>
          <w:sz w:val="20"/>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5743C38A" w14:textId="77777777" w:rsidR="000C0012" w:rsidRPr="00206CC8" w:rsidRDefault="000C0012" w:rsidP="000C0012">
      <w:pPr>
        <w:spacing w:after="0" w:line="240" w:lineRule="auto"/>
        <w:jc w:val="both"/>
        <w:rPr>
          <w:rFonts w:ascii="Verdana" w:eastAsia="Arial" w:hAnsi="Verdana" w:cs="Arial"/>
          <w:i/>
          <w:iCs/>
          <w:sz w:val="20"/>
          <w:lang w:val="es-MX" w:eastAsia="es-ES" w:bidi="es-ES"/>
        </w:rPr>
      </w:pPr>
    </w:p>
    <w:p w14:paraId="5DB1784C" w14:textId="77777777" w:rsidR="000C0012" w:rsidRDefault="000C0012" w:rsidP="000C0012">
      <w:pPr>
        <w:spacing w:after="0" w:line="240" w:lineRule="auto"/>
        <w:jc w:val="both"/>
        <w:rPr>
          <w:rFonts w:ascii="Verdana" w:eastAsia="Calibri" w:hAnsi="Verdana" w:cs="Arial"/>
          <w:sz w:val="20"/>
          <w:lang w:val="es-MX"/>
        </w:rPr>
      </w:pPr>
      <w:r w:rsidRPr="00206CC8">
        <w:rPr>
          <w:rFonts w:ascii="Verdana" w:eastAsia="Arial" w:hAnsi="Verdana" w:cs="Arial"/>
          <w:sz w:val="20"/>
          <w:lang w:val="es-MX" w:eastAsia="es-ES" w:bidi="es-ES"/>
        </w:rPr>
        <w:t xml:space="preserve">Bajo este contexto, esta Agencia debe manifestar que, si bien respeta y acata las decisiones proferidas por el Consejo de Estado, como es el caso del auto de suspensión provisional parcial del numeral </w:t>
      </w:r>
      <w:r w:rsidRPr="00206CC8">
        <w:rPr>
          <w:rFonts w:ascii="Verdana" w:eastAsia="Arial" w:hAnsi="Verdana" w:cs="Arial"/>
          <w:sz w:val="20"/>
          <w:lang w:eastAsia="es-ES" w:bidi="es-ES"/>
        </w:rPr>
        <w:t>16.2 de la Circular Externa Única</w:t>
      </w:r>
      <w:r w:rsidRPr="00206CC8">
        <w:rPr>
          <w:rFonts w:ascii="Verdana" w:eastAsia="Arial" w:hAnsi="Verdana" w:cs="Arial"/>
          <w:sz w:val="20"/>
          <w:lang w:val="es-MX" w:eastAsia="es-ES" w:bidi="es-ES"/>
        </w:rPr>
        <w:t xml:space="preserve">, no comparte los argumentos expuestos por dicha Corporación. Esto, en la medida que, a juicio de esta Entidad, señalar que la Ley de Garantías Electorales no aplica para el caso de los contratos interadministrativos deja sin efecto el propósito buscado por la norma, que no es otro que </w:t>
      </w:r>
      <w:r w:rsidRPr="00206CC8">
        <w:rPr>
          <w:rFonts w:ascii="Verdana" w:eastAsia="Times New Roman" w:hAnsi="Verdana" w:cs="Arial"/>
          <w:sz w:val="20"/>
          <w:lang w:val="es-MX" w:eastAsia="es-CO"/>
        </w:rPr>
        <w:t xml:space="preserve">evitar cualquier tipo de arbitrariedad, de ventaja injustificada, de uso irregular de los recursos del Estado en las campañas políticas, o que </w:t>
      </w:r>
      <w:r w:rsidRPr="00206CC8">
        <w:rPr>
          <w:rFonts w:ascii="Verdana" w:eastAsia="Calibri" w:hAnsi="Verdana" w:cs="Arial"/>
          <w:sz w:val="20"/>
          <w:lang w:val="es-MX"/>
        </w:rPr>
        <w:t xml:space="preserve">los recursos del Estado se ejecuten para lograr apoyos indebidos mediante la suscripción de contratos y/o convenios, que para efectos de la Ley de Garantías tienen la misma connotación y propósitos. </w:t>
      </w:r>
    </w:p>
    <w:p w14:paraId="7C60DC6A" w14:textId="77777777" w:rsidR="000C0012" w:rsidRPr="00206CC8" w:rsidRDefault="000C0012" w:rsidP="000C0012">
      <w:pPr>
        <w:spacing w:after="0" w:line="240" w:lineRule="auto"/>
        <w:jc w:val="both"/>
        <w:rPr>
          <w:rFonts w:ascii="Verdana" w:eastAsia="Calibri" w:hAnsi="Verdana" w:cs="Arial"/>
          <w:sz w:val="20"/>
          <w:lang w:val="es-MX"/>
        </w:rPr>
      </w:pPr>
    </w:p>
    <w:p w14:paraId="2AF4C26C" w14:textId="77777777" w:rsidR="000C0012" w:rsidRPr="00D83C22" w:rsidRDefault="000C0012" w:rsidP="000C0012">
      <w:pPr>
        <w:tabs>
          <w:tab w:val="left" w:pos="709"/>
        </w:tabs>
        <w:spacing w:after="0" w:line="240" w:lineRule="auto"/>
        <w:jc w:val="both"/>
        <w:rPr>
          <w:rFonts w:ascii="Verdana" w:eastAsia="Calibri" w:hAnsi="Verdana" w:cs="Arial"/>
          <w:b/>
          <w:bCs/>
          <w:color w:val="000000" w:themeColor="text1"/>
          <w:lang w:val="es-ES_tradnl"/>
        </w:rPr>
      </w:pPr>
      <w:r w:rsidRPr="00D83C22">
        <w:rPr>
          <w:rFonts w:ascii="Verdana" w:eastAsia="Calibri" w:hAnsi="Verdana" w:cs="Arial"/>
          <w:b/>
          <w:bCs/>
          <w:color w:val="000000" w:themeColor="text1"/>
          <w:lang w:val="es-ES_tradnl"/>
        </w:rPr>
        <w:t xml:space="preserve">ACTO ADMINISTRATIVO – Transferencia de </w:t>
      </w:r>
      <w:r>
        <w:rPr>
          <w:rFonts w:ascii="Verdana" w:eastAsia="Calibri" w:hAnsi="Verdana" w:cs="Arial"/>
          <w:b/>
          <w:bCs/>
          <w:color w:val="000000" w:themeColor="text1"/>
          <w:lang w:val="es-ES_tradnl"/>
        </w:rPr>
        <w:t>recursos</w:t>
      </w:r>
      <w:r w:rsidRPr="00D83C22">
        <w:rPr>
          <w:rFonts w:ascii="Verdana" w:eastAsia="Calibri" w:hAnsi="Verdana" w:cs="Arial"/>
          <w:b/>
          <w:bCs/>
          <w:color w:val="000000" w:themeColor="text1"/>
          <w:lang w:val="es-ES_tradnl"/>
        </w:rPr>
        <w:t xml:space="preserve"> – </w:t>
      </w:r>
      <w:r>
        <w:rPr>
          <w:rFonts w:ascii="Verdana" w:eastAsia="Calibri" w:hAnsi="Verdana" w:cs="Arial"/>
          <w:b/>
          <w:bCs/>
          <w:color w:val="000000" w:themeColor="text1"/>
          <w:lang w:val="es-ES_tradnl"/>
        </w:rPr>
        <w:t>L</w:t>
      </w:r>
      <w:r w:rsidRPr="00D83C22">
        <w:rPr>
          <w:rFonts w:ascii="Verdana" w:eastAsia="Calibri" w:hAnsi="Verdana" w:cs="Arial"/>
          <w:b/>
          <w:bCs/>
          <w:color w:val="000000" w:themeColor="text1"/>
          <w:lang w:val="es-ES_tradnl"/>
        </w:rPr>
        <w:t>eyes especiales – No prohibido</w:t>
      </w:r>
    </w:p>
    <w:p w14:paraId="0AD38314" w14:textId="77777777" w:rsidR="000C0012" w:rsidRPr="00D83C22" w:rsidRDefault="000C0012" w:rsidP="000C0012">
      <w:pPr>
        <w:tabs>
          <w:tab w:val="left" w:pos="709"/>
        </w:tabs>
        <w:spacing w:after="0" w:line="240" w:lineRule="auto"/>
        <w:jc w:val="both"/>
        <w:rPr>
          <w:rFonts w:ascii="Verdana" w:eastAsia="Calibri" w:hAnsi="Verdana" w:cs="Arial"/>
          <w:color w:val="000000" w:themeColor="text1"/>
          <w:sz w:val="20"/>
          <w:szCs w:val="20"/>
          <w:lang w:val="es-ES_tradnl"/>
        </w:rPr>
      </w:pPr>
    </w:p>
    <w:p w14:paraId="6F584192" w14:textId="77777777" w:rsidR="000C0012" w:rsidRDefault="000C0012" w:rsidP="000C0012">
      <w:pPr>
        <w:tabs>
          <w:tab w:val="left" w:pos="709"/>
        </w:tabs>
        <w:spacing w:after="0" w:line="240" w:lineRule="auto"/>
        <w:jc w:val="both"/>
        <w:rPr>
          <w:rFonts w:ascii="Verdana" w:eastAsia="Calibri" w:hAnsi="Verdana" w:cs="Arial"/>
          <w:color w:val="000000" w:themeColor="text1"/>
          <w:sz w:val="20"/>
          <w:szCs w:val="20"/>
          <w:lang w:val="es-MX"/>
        </w:rPr>
      </w:pPr>
      <w:r w:rsidRPr="00D83C22">
        <w:rPr>
          <w:rFonts w:ascii="Verdana" w:eastAsia="Calibri" w:hAnsi="Verdana" w:cs="Arial"/>
          <w:color w:val="000000" w:themeColor="text1"/>
          <w:sz w:val="20"/>
          <w:szCs w:val="20"/>
          <w:lang w:val="es-ES_tradnl"/>
        </w:rPr>
        <w:t xml:space="preserve">Conforme a la interpretación de las normas generales del sistema de compras y contratación pública, </w:t>
      </w:r>
      <w:r w:rsidRPr="002B5736">
        <w:rPr>
          <w:rFonts w:ascii="Verdana" w:eastAsia="Calibri" w:hAnsi="Verdana" w:cs="Arial"/>
          <w:color w:val="000000" w:themeColor="text1"/>
          <w:sz w:val="20"/>
          <w:szCs w:val="20"/>
          <w:lang w:val="es-MX"/>
        </w:rPr>
        <w:t xml:space="preserve">la transferencia de recursos efectuada mediante la expedición de un acto administrativo, </w:t>
      </w:r>
      <w:r w:rsidRPr="002B5736">
        <w:rPr>
          <w:rFonts w:ascii="Verdana" w:eastAsia="Calibri" w:hAnsi="Verdana" w:cs="Arial"/>
          <w:i/>
          <w:iCs/>
          <w:color w:val="000000" w:themeColor="text1"/>
          <w:sz w:val="20"/>
          <w:szCs w:val="20"/>
          <w:lang w:val="es-MX"/>
        </w:rPr>
        <w:t>permitida expresamente por una ley</w:t>
      </w:r>
      <w:r w:rsidRPr="002B5736">
        <w:rPr>
          <w:rFonts w:ascii="Verdana" w:eastAsia="Calibri" w:hAnsi="Verdana" w:cs="Arial"/>
          <w:color w:val="000000" w:themeColor="text1"/>
          <w:sz w:val="20"/>
          <w:szCs w:val="20"/>
          <w:lang w:val="es-MX"/>
        </w:rPr>
        <w:t>, no le resultan aplicables las restricciones previstas en el artículo 38 de la Ley 996 de 2005, porque lo que en este precepto se prohíbe es “celebrar convenios interadministrativos para la ejecución de recursos públicos”.</w:t>
      </w:r>
    </w:p>
    <w:p w14:paraId="27D87DCB" w14:textId="77777777" w:rsidR="000C0012" w:rsidRPr="002B5736" w:rsidRDefault="000C0012" w:rsidP="000C0012">
      <w:pPr>
        <w:tabs>
          <w:tab w:val="left" w:pos="709"/>
        </w:tabs>
        <w:spacing w:after="0" w:line="240" w:lineRule="auto"/>
        <w:jc w:val="both"/>
        <w:rPr>
          <w:rFonts w:ascii="Verdana" w:eastAsia="Calibri" w:hAnsi="Verdana" w:cs="Arial"/>
          <w:color w:val="000000" w:themeColor="text1"/>
          <w:sz w:val="20"/>
          <w:szCs w:val="20"/>
          <w:lang w:val="es-MX"/>
        </w:rPr>
      </w:pPr>
    </w:p>
    <w:p w14:paraId="375EA30C" w14:textId="77777777" w:rsidR="000C0012" w:rsidRPr="002B5736" w:rsidRDefault="000C0012" w:rsidP="000C0012">
      <w:pPr>
        <w:tabs>
          <w:tab w:val="left" w:pos="709"/>
        </w:tabs>
        <w:spacing w:after="0" w:line="240" w:lineRule="auto"/>
        <w:jc w:val="both"/>
        <w:rPr>
          <w:rFonts w:ascii="Verdana" w:eastAsia="Calibri" w:hAnsi="Verdana" w:cs="Arial"/>
          <w:bCs/>
          <w:color w:val="000000" w:themeColor="text1"/>
          <w:sz w:val="20"/>
          <w:szCs w:val="20"/>
        </w:rPr>
      </w:pPr>
      <w:r w:rsidRPr="002B5736">
        <w:rPr>
          <w:rFonts w:ascii="Verdana" w:eastAsia="Calibri" w:hAnsi="Verdana" w:cs="Arial"/>
          <w:color w:val="000000" w:themeColor="text1"/>
          <w:sz w:val="20"/>
          <w:szCs w:val="20"/>
          <w:lang w:val="es-MX"/>
        </w:rPr>
        <w:t xml:space="preserve">Como se explica en el presente oficio, un convenio interadministrativo es un </w:t>
      </w:r>
      <w:r w:rsidRPr="002B5736">
        <w:rPr>
          <w:rFonts w:ascii="Verdana" w:eastAsia="Calibri" w:hAnsi="Verdana" w:cs="Arial"/>
          <w:i/>
          <w:iCs/>
          <w:color w:val="000000" w:themeColor="text1"/>
          <w:sz w:val="20"/>
          <w:szCs w:val="20"/>
          <w:lang w:val="es-MX"/>
        </w:rPr>
        <w:t>acuerdo de voluntades</w:t>
      </w:r>
      <w:r w:rsidRPr="002B5736">
        <w:rPr>
          <w:rFonts w:ascii="Verdana" w:eastAsia="Calibri" w:hAnsi="Verdana" w:cs="Arial"/>
          <w:color w:val="000000" w:themeColor="text1"/>
          <w:sz w:val="20"/>
          <w:szCs w:val="20"/>
          <w:lang w:val="es-MX"/>
        </w:rPr>
        <w:t xml:space="preserve"> en el que intervienen dos o más entidades públicas, o sea un acto jurídico bilateral o que participa de la forma contractual, de conformidad con el artículo 1495 del Código Civil. La forma jurídica consagrada, para efectuar la transferencia gratuita de recursos, en disposiciones como el artículo 9 del Decreto 559 de 2020, el artículo 5 del Decreto Legislativo 538 de 2020 y el parágrafo 2 del artículo 10 del Decreto Legislativo 800 de 2020, entre otras, </w:t>
      </w:r>
      <w:r w:rsidRPr="002B5736">
        <w:rPr>
          <w:rFonts w:ascii="Verdana" w:eastAsia="Calibri" w:hAnsi="Verdana" w:cs="Arial"/>
          <w:i/>
          <w:iCs/>
          <w:color w:val="000000" w:themeColor="text1"/>
          <w:sz w:val="20"/>
          <w:szCs w:val="20"/>
          <w:lang w:val="es-MX"/>
        </w:rPr>
        <w:t>es el acto administrativo</w:t>
      </w:r>
      <w:r w:rsidRPr="002B5736">
        <w:rPr>
          <w:rFonts w:ascii="Verdana" w:eastAsia="Calibri" w:hAnsi="Verdana" w:cs="Arial"/>
          <w:color w:val="000000" w:themeColor="text1"/>
          <w:sz w:val="20"/>
          <w:szCs w:val="20"/>
          <w:lang w:val="es-MX"/>
        </w:rPr>
        <w:t xml:space="preserve">, no el convenio interadministrativo. Si el parágrafo del artículo 38 de la Ley 996 de 2005 prohibió la celebración de convenios interadministrativos, no puede entenderse </w:t>
      </w:r>
      <w:r w:rsidRPr="002B5736">
        <w:rPr>
          <w:rFonts w:ascii="Verdana" w:eastAsia="Calibri" w:hAnsi="Verdana" w:cs="Arial"/>
          <w:i/>
          <w:iCs/>
          <w:color w:val="000000" w:themeColor="text1"/>
          <w:sz w:val="20"/>
          <w:szCs w:val="20"/>
          <w:lang w:val="es-MX"/>
        </w:rPr>
        <w:t>también</w:t>
      </w:r>
      <w:r w:rsidRPr="002B5736">
        <w:rPr>
          <w:rFonts w:ascii="Verdana" w:eastAsia="Calibri" w:hAnsi="Verdana" w:cs="Arial"/>
          <w:color w:val="000000" w:themeColor="text1"/>
          <w:sz w:val="20"/>
          <w:szCs w:val="20"/>
          <w:lang w:val="es-MX"/>
        </w:rPr>
        <w:t xml:space="preserve"> prohibida la transferencia llevada a cabo por un acto administrativo permitida por una norma legal especial, porque se </w:t>
      </w:r>
      <w:r w:rsidRPr="002B5736">
        <w:rPr>
          <w:rFonts w:ascii="Verdana" w:eastAsia="Calibri" w:hAnsi="Verdana" w:cs="Arial"/>
          <w:color w:val="000000" w:themeColor="text1"/>
          <w:sz w:val="20"/>
          <w:szCs w:val="20"/>
          <w:lang w:val="es-MX"/>
        </w:rPr>
        <w:lastRenderedPageBreak/>
        <w:t>estaría incluyendo una circunstancia que el supuesto de hecho de la restricción no contempla.</w:t>
      </w:r>
    </w:p>
    <w:p w14:paraId="0D8ED80D" w14:textId="77777777" w:rsidR="000C0012" w:rsidRPr="000C0012" w:rsidRDefault="000C0012" w:rsidP="00102946">
      <w:pPr>
        <w:spacing w:after="0" w:line="240" w:lineRule="auto"/>
        <w:rPr>
          <w:rFonts w:ascii="Verdana" w:eastAsia="Geomanist Light" w:hAnsi="Verdana" w:cs="Arial"/>
          <w:color w:val="000000" w:themeColor="text1"/>
        </w:rPr>
      </w:pPr>
    </w:p>
    <w:p w14:paraId="5D96689D" w14:textId="77777777" w:rsidR="000C0012" w:rsidRDefault="000C0012" w:rsidP="00102946">
      <w:pPr>
        <w:spacing w:after="0" w:line="240" w:lineRule="auto"/>
        <w:rPr>
          <w:rFonts w:ascii="Verdana" w:eastAsia="Geomanist Light" w:hAnsi="Verdana" w:cs="Arial"/>
          <w:color w:val="000000" w:themeColor="text1"/>
          <w:lang w:val="es-MX"/>
        </w:rPr>
      </w:pPr>
    </w:p>
    <w:p w14:paraId="04C6C034" w14:textId="77777777" w:rsidR="000C0012" w:rsidRDefault="000C0012" w:rsidP="00102946">
      <w:pPr>
        <w:spacing w:after="0" w:line="240" w:lineRule="auto"/>
        <w:rPr>
          <w:rFonts w:ascii="Verdana" w:eastAsia="Geomanist Light" w:hAnsi="Verdana" w:cs="Arial"/>
          <w:color w:val="000000" w:themeColor="text1"/>
          <w:lang w:val="es-MX"/>
        </w:rPr>
      </w:pPr>
    </w:p>
    <w:p w14:paraId="37F0AF1D" w14:textId="77777777" w:rsidR="000C0012" w:rsidRDefault="000C0012" w:rsidP="00102946">
      <w:pPr>
        <w:spacing w:after="0" w:line="240" w:lineRule="auto"/>
        <w:rPr>
          <w:rFonts w:ascii="Verdana" w:eastAsia="Geomanist Light" w:hAnsi="Verdana" w:cs="Arial"/>
          <w:color w:val="000000" w:themeColor="text1"/>
          <w:lang w:val="es-MX"/>
        </w:rPr>
      </w:pPr>
    </w:p>
    <w:p w14:paraId="2C4EC169" w14:textId="77777777" w:rsidR="000C0012" w:rsidRDefault="000C0012" w:rsidP="00102946">
      <w:pPr>
        <w:spacing w:after="0" w:line="240" w:lineRule="auto"/>
        <w:rPr>
          <w:rFonts w:ascii="Verdana" w:eastAsia="Geomanist Light" w:hAnsi="Verdana" w:cs="Arial"/>
          <w:color w:val="000000" w:themeColor="text1"/>
          <w:lang w:val="es-MX"/>
        </w:rPr>
      </w:pPr>
    </w:p>
    <w:p w14:paraId="1D701CF7" w14:textId="77777777" w:rsidR="000C0012" w:rsidRDefault="000C0012" w:rsidP="00102946">
      <w:pPr>
        <w:spacing w:after="0" w:line="240" w:lineRule="auto"/>
        <w:rPr>
          <w:rFonts w:ascii="Verdana" w:eastAsia="Geomanist Light" w:hAnsi="Verdana" w:cs="Arial"/>
          <w:color w:val="000000" w:themeColor="text1"/>
          <w:lang w:val="es-MX"/>
        </w:rPr>
      </w:pPr>
    </w:p>
    <w:p w14:paraId="26FF8BE3" w14:textId="77777777" w:rsidR="000C0012" w:rsidRDefault="000C0012" w:rsidP="00102946">
      <w:pPr>
        <w:spacing w:after="0" w:line="240" w:lineRule="auto"/>
        <w:rPr>
          <w:rFonts w:ascii="Verdana" w:eastAsia="Geomanist Light" w:hAnsi="Verdana" w:cs="Arial"/>
          <w:color w:val="000000" w:themeColor="text1"/>
          <w:lang w:val="es-MX"/>
        </w:rPr>
      </w:pPr>
    </w:p>
    <w:p w14:paraId="6BE09BD1" w14:textId="77777777" w:rsidR="000C0012" w:rsidRDefault="000C0012" w:rsidP="00102946">
      <w:pPr>
        <w:spacing w:after="0" w:line="240" w:lineRule="auto"/>
        <w:rPr>
          <w:rFonts w:ascii="Verdana" w:eastAsia="Geomanist Light" w:hAnsi="Verdana" w:cs="Arial"/>
          <w:color w:val="000000" w:themeColor="text1"/>
          <w:lang w:val="es-MX"/>
        </w:rPr>
      </w:pPr>
    </w:p>
    <w:p w14:paraId="38DB43D7" w14:textId="77777777" w:rsidR="000C0012" w:rsidRDefault="000C0012" w:rsidP="00102946">
      <w:pPr>
        <w:spacing w:after="0" w:line="240" w:lineRule="auto"/>
        <w:rPr>
          <w:rFonts w:ascii="Verdana" w:eastAsia="Geomanist Light" w:hAnsi="Verdana" w:cs="Arial"/>
          <w:color w:val="000000" w:themeColor="text1"/>
          <w:lang w:val="es-MX"/>
        </w:rPr>
      </w:pPr>
    </w:p>
    <w:p w14:paraId="2B420E45" w14:textId="77777777" w:rsidR="000C0012" w:rsidRDefault="000C0012" w:rsidP="00102946">
      <w:pPr>
        <w:spacing w:after="0" w:line="240" w:lineRule="auto"/>
        <w:rPr>
          <w:rFonts w:ascii="Verdana" w:eastAsia="Geomanist Light" w:hAnsi="Verdana" w:cs="Arial"/>
          <w:color w:val="000000" w:themeColor="text1"/>
          <w:lang w:val="es-MX"/>
        </w:rPr>
      </w:pPr>
    </w:p>
    <w:p w14:paraId="100BEE2C" w14:textId="77777777" w:rsidR="000C0012" w:rsidRDefault="000C0012" w:rsidP="00102946">
      <w:pPr>
        <w:spacing w:after="0" w:line="240" w:lineRule="auto"/>
        <w:rPr>
          <w:rFonts w:ascii="Verdana" w:eastAsia="Geomanist Light" w:hAnsi="Verdana" w:cs="Arial"/>
          <w:color w:val="000000" w:themeColor="text1"/>
          <w:lang w:val="es-MX"/>
        </w:rPr>
      </w:pPr>
    </w:p>
    <w:p w14:paraId="4B111E1D" w14:textId="77777777" w:rsidR="000C0012" w:rsidRDefault="000C0012" w:rsidP="00102946">
      <w:pPr>
        <w:spacing w:after="0" w:line="240" w:lineRule="auto"/>
        <w:rPr>
          <w:rFonts w:ascii="Verdana" w:eastAsia="Geomanist Light" w:hAnsi="Verdana" w:cs="Arial"/>
          <w:color w:val="000000" w:themeColor="text1"/>
          <w:lang w:val="es-MX"/>
        </w:rPr>
      </w:pPr>
    </w:p>
    <w:p w14:paraId="72B3542D" w14:textId="77777777" w:rsidR="000C0012" w:rsidRDefault="000C0012" w:rsidP="00102946">
      <w:pPr>
        <w:spacing w:after="0" w:line="240" w:lineRule="auto"/>
        <w:rPr>
          <w:rFonts w:ascii="Verdana" w:eastAsia="Geomanist Light" w:hAnsi="Verdana" w:cs="Arial"/>
          <w:color w:val="000000" w:themeColor="text1"/>
          <w:lang w:val="es-MX"/>
        </w:rPr>
      </w:pPr>
    </w:p>
    <w:p w14:paraId="7B733982" w14:textId="77777777" w:rsidR="000C0012" w:rsidRDefault="000C0012" w:rsidP="00102946">
      <w:pPr>
        <w:spacing w:after="0" w:line="240" w:lineRule="auto"/>
        <w:rPr>
          <w:rFonts w:ascii="Verdana" w:eastAsia="Geomanist Light" w:hAnsi="Verdana" w:cs="Arial"/>
          <w:color w:val="000000" w:themeColor="text1"/>
          <w:lang w:val="es-MX"/>
        </w:rPr>
      </w:pPr>
    </w:p>
    <w:p w14:paraId="4E009A66" w14:textId="77777777" w:rsidR="000C0012" w:rsidRDefault="000C0012" w:rsidP="00102946">
      <w:pPr>
        <w:spacing w:after="0" w:line="240" w:lineRule="auto"/>
        <w:rPr>
          <w:rFonts w:ascii="Verdana" w:eastAsia="Geomanist Light" w:hAnsi="Verdana" w:cs="Arial"/>
          <w:color w:val="000000" w:themeColor="text1"/>
          <w:lang w:val="es-MX"/>
        </w:rPr>
      </w:pPr>
    </w:p>
    <w:p w14:paraId="395BF2D2" w14:textId="77777777" w:rsidR="000C0012" w:rsidRDefault="000C0012" w:rsidP="00102946">
      <w:pPr>
        <w:spacing w:after="0" w:line="240" w:lineRule="auto"/>
        <w:rPr>
          <w:rFonts w:ascii="Verdana" w:eastAsia="Geomanist Light" w:hAnsi="Verdana" w:cs="Arial"/>
          <w:color w:val="000000" w:themeColor="text1"/>
          <w:lang w:val="es-MX"/>
        </w:rPr>
      </w:pPr>
    </w:p>
    <w:p w14:paraId="03641B81" w14:textId="77777777" w:rsidR="000C0012" w:rsidRDefault="000C0012" w:rsidP="00102946">
      <w:pPr>
        <w:spacing w:after="0" w:line="240" w:lineRule="auto"/>
        <w:rPr>
          <w:rFonts w:ascii="Verdana" w:eastAsia="Geomanist Light" w:hAnsi="Verdana" w:cs="Arial"/>
          <w:color w:val="000000" w:themeColor="text1"/>
          <w:lang w:val="es-MX"/>
        </w:rPr>
      </w:pPr>
    </w:p>
    <w:p w14:paraId="6FC7FB81" w14:textId="77777777" w:rsidR="000C0012" w:rsidRDefault="000C0012" w:rsidP="00102946">
      <w:pPr>
        <w:spacing w:after="0" w:line="240" w:lineRule="auto"/>
        <w:rPr>
          <w:rFonts w:ascii="Verdana" w:eastAsia="Geomanist Light" w:hAnsi="Verdana" w:cs="Arial"/>
          <w:color w:val="000000" w:themeColor="text1"/>
          <w:lang w:val="es-MX"/>
        </w:rPr>
      </w:pPr>
    </w:p>
    <w:p w14:paraId="6E524245" w14:textId="77777777" w:rsidR="000C0012" w:rsidRDefault="000C0012" w:rsidP="00102946">
      <w:pPr>
        <w:spacing w:after="0" w:line="240" w:lineRule="auto"/>
        <w:rPr>
          <w:rFonts w:ascii="Verdana" w:eastAsia="Geomanist Light" w:hAnsi="Verdana" w:cs="Arial"/>
          <w:color w:val="000000" w:themeColor="text1"/>
          <w:lang w:val="es-MX"/>
        </w:rPr>
      </w:pPr>
    </w:p>
    <w:p w14:paraId="7EAC4E2D" w14:textId="77777777" w:rsidR="000C0012" w:rsidRDefault="000C0012" w:rsidP="00102946">
      <w:pPr>
        <w:spacing w:after="0" w:line="240" w:lineRule="auto"/>
        <w:rPr>
          <w:rFonts w:ascii="Verdana" w:eastAsia="Geomanist Light" w:hAnsi="Verdana" w:cs="Arial"/>
          <w:color w:val="000000" w:themeColor="text1"/>
          <w:lang w:val="es-MX"/>
        </w:rPr>
      </w:pPr>
    </w:p>
    <w:p w14:paraId="3E0D83A0" w14:textId="77777777" w:rsidR="000C0012" w:rsidRDefault="000C0012" w:rsidP="00102946">
      <w:pPr>
        <w:spacing w:after="0" w:line="240" w:lineRule="auto"/>
        <w:rPr>
          <w:rFonts w:ascii="Verdana" w:eastAsia="Geomanist Light" w:hAnsi="Verdana" w:cs="Arial"/>
          <w:color w:val="000000" w:themeColor="text1"/>
          <w:lang w:val="es-MX"/>
        </w:rPr>
      </w:pPr>
    </w:p>
    <w:p w14:paraId="5E1D7891" w14:textId="77777777" w:rsidR="000C0012" w:rsidRDefault="000C0012" w:rsidP="00102946">
      <w:pPr>
        <w:spacing w:after="0" w:line="240" w:lineRule="auto"/>
        <w:rPr>
          <w:rFonts w:ascii="Verdana" w:eastAsia="Geomanist Light" w:hAnsi="Verdana" w:cs="Arial"/>
          <w:color w:val="000000" w:themeColor="text1"/>
          <w:lang w:val="es-MX"/>
        </w:rPr>
      </w:pPr>
    </w:p>
    <w:p w14:paraId="47217899" w14:textId="77777777" w:rsidR="000C0012" w:rsidRDefault="000C0012" w:rsidP="00102946">
      <w:pPr>
        <w:spacing w:after="0" w:line="240" w:lineRule="auto"/>
        <w:rPr>
          <w:rFonts w:ascii="Verdana" w:eastAsia="Geomanist Light" w:hAnsi="Verdana" w:cs="Arial"/>
          <w:color w:val="000000" w:themeColor="text1"/>
          <w:lang w:val="es-MX"/>
        </w:rPr>
      </w:pPr>
    </w:p>
    <w:p w14:paraId="60290583" w14:textId="77777777" w:rsidR="000C0012" w:rsidRDefault="000C0012" w:rsidP="00102946">
      <w:pPr>
        <w:spacing w:after="0" w:line="240" w:lineRule="auto"/>
        <w:rPr>
          <w:rFonts w:ascii="Verdana" w:eastAsia="Geomanist Light" w:hAnsi="Verdana" w:cs="Arial"/>
          <w:color w:val="000000" w:themeColor="text1"/>
          <w:lang w:val="es-MX"/>
        </w:rPr>
      </w:pPr>
    </w:p>
    <w:p w14:paraId="5059185C" w14:textId="77777777" w:rsidR="000C0012" w:rsidRDefault="000C0012" w:rsidP="00102946">
      <w:pPr>
        <w:spacing w:after="0" w:line="240" w:lineRule="auto"/>
        <w:rPr>
          <w:rFonts w:ascii="Verdana" w:eastAsia="Geomanist Light" w:hAnsi="Verdana" w:cs="Arial"/>
          <w:color w:val="000000" w:themeColor="text1"/>
          <w:lang w:val="es-MX"/>
        </w:rPr>
      </w:pPr>
    </w:p>
    <w:p w14:paraId="2CFB0701" w14:textId="77777777" w:rsidR="000C0012" w:rsidRDefault="000C0012" w:rsidP="00102946">
      <w:pPr>
        <w:spacing w:after="0" w:line="240" w:lineRule="auto"/>
        <w:rPr>
          <w:rFonts w:ascii="Verdana" w:eastAsia="Geomanist Light" w:hAnsi="Verdana" w:cs="Arial"/>
          <w:color w:val="000000" w:themeColor="text1"/>
          <w:lang w:val="es-MX"/>
        </w:rPr>
      </w:pPr>
    </w:p>
    <w:p w14:paraId="391A1232" w14:textId="77777777" w:rsidR="000C0012" w:rsidRDefault="000C0012" w:rsidP="00102946">
      <w:pPr>
        <w:spacing w:after="0" w:line="240" w:lineRule="auto"/>
        <w:rPr>
          <w:rFonts w:ascii="Verdana" w:eastAsia="Geomanist Light" w:hAnsi="Verdana" w:cs="Arial"/>
          <w:color w:val="000000" w:themeColor="text1"/>
          <w:lang w:val="es-MX"/>
        </w:rPr>
      </w:pPr>
    </w:p>
    <w:p w14:paraId="7809C021" w14:textId="77777777" w:rsidR="000C0012" w:rsidRDefault="000C0012" w:rsidP="00102946">
      <w:pPr>
        <w:spacing w:after="0" w:line="240" w:lineRule="auto"/>
        <w:rPr>
          <w:rFonts w:ascii="Verdana" w:eastAsia="Geomanist Light" w:hAnsi="Verdana" w:cs="Arial"/>
          <w:color w:val="000000" w:themeColor="text1"/>
          <w:lang w:val="es-MX"/>
        </w:rPr>
      </w:pPr>
    </w:p>
    <w:p w14:paraId="4B2F4785" w14:textId="77777777" w:rsidR="000C0012" w:rsidRDefault="000C0012" w:rsidP="00102946">
      <w:pPr>
        <w:spacing w:after="0" w:line="240" w:lineRule="auto"/>
        <w:rPr>
          <w:rFonts w:ascii="Verdana" w:eastAsia="Geomanist Light" w:hAnsi="Verdana" w:cs="Arial"/>
          <w:color w:val="000000" w:themeColor="text1"/>
          <w:lang w:val="es-MX"/>
        </w:rPr>
      </w:pPr>
    </w:p>
    <w:p w14:paraId="3A216F21" w14:textId="77777777" w:rsidR="000C0012" w:rsidRDefault="000C0012" w:rsidP="00102946">
      <w:pPr>
        <w:spacing w:after="0" w:line="240" w:lineRule="auto"/>
        <w:rPr>
          <w:rFonts w:ascii="Verdana" w:eastAsia="Geomanist Light" w:hAnsi="Verdana" w:cs="Arial"/>
          <w:color w:val="000000" w:themeColor="text1"/>
          <w:lang w:val="es-MX"/>
        </w:rPr>
      </w:pPr>
    </w:p>
    <w:p w14:paraId="382F45BE" w14:textId="77777777" w:rsidR="000C0012" w:rsidRDefault="000C0012" w:rsidP="00102946">
      <w:pPr>
        <w:spacing w:after="0" w:line="240" w:lineRule="auto"/>
        <w:rPr>
          <w:rFonts w:ascii="Verdana" w:eastAsia="Geomanist Light" w:hAnsi="Verdana" w:cs="Arial"/>
          <w:color w:val="000000" w:themeColor="text1"/>
          <w:lang w:val="es-MX"/>
        </w:rPr>
      </w:pPr>
    </w:p>
    <w:p w14:paraId="1696878D" w14:textId="77777777" w:rsidR="000C0012" w:rsidRDefault="000C0012" w:rsidP="00102946">
      <w:pPr>
        <w:spacing w:after="0" w:line="240" w:lineRule="auto"/>
        <w:rPr>
          <w:rFonts w:ascii="Verdana" w:eastAsia="Geomanist Light" w:hAnsi="Verdana" w:cs="Arial"/>
          <w:color w:val="000000" w:themeColor="text1"/>
          <w:lang w:val="es-MX"/>
        </w:rPr>
      </w:pPr>
    </w:p>
    <w:p w14:paraId="131AE3D3" w14:textId="77777777" w:rsidR="000C0012" w:rsidRDefault="000C0012" w:rsidP="00102946">
      <w:pPr>
        <w:spacing w:after="0" w:line="240" w:lineRule="auto"/>
        <w:rPr>
          <w:rFonts w:ascii="Verdana" w:eastAsia="Geomanist Light" w:hAnsi="Verdana" w:cs="Arial"/>
          <w:color w:val="000000" w:themeColor="text1"/>
          <w:lang w:val="es-MX"/>
        </w:rPr>
      </w:pPr>
    </w:p>
    <w:p w14:paraId="43B1D82E" w14:textId="77777777" w:rsidR="000C0012" w:rsidRDefault="000C0012" w:rsidP="00102946">
      <w:pPr>
        <w:spacing w:after="0" w:line="240" w:lineRule="auto"/>
        <w:rPr>
          <w:rFonts w:ascii="Verdana" w:eastAsia="Geomanist Light" w:hAnsi="Verdana" w:cs="Arial"/>
          <w:color w:val="000000" w:themeColor="text1"/>
          <w:lang w:val="es-MX"/>
        </w:rPr>
      </w:pPr>
    </w:p>
    <w:p w14:paraId="79EA58E9" w14:textId="77777777" w:rsidR="000C0012" w:rsidRDefault="000C0012" w:rsidP="00102946">
      <w:pPr>
        <w:spacing w:after="0" w:line="240" w:lineRule="auto"/>
        <w:rPr>
          <w:rFonts w:ascii="Verdana" w:eastAsia="Geomanist Light" w:hAnsi="Verdana" w:cs="Arial"/>
          <w:color w:val="000000" w:themeColor="text1"/>
          <w:lang w:val="es-MX"/>
        </w:rPr>
      </w:pPr>
    </w:p>
    <w:p w14:paraId="7A4307DB" w14:textId="77777777" w:rsidR="000C0012" w:rsidRDefault="000C0012" w:rsidP="00102946">
      <w:pPr>
        <w:spacing w:after="0" w:line="240" w:lineRule="auto"/>
        <w:rPr>
          <w:rFonts w:ascii="Verdana" w:eastAsia="Geomanist Light" w:hAnsi="Verdana" w:cs="Arial"/>
          <w:color w:val="000000" w:themeColor="text1"/>
          <w:lang w:val="es-MX"/>
        </w:rPr>
      </w:pPr>
    </w:p>
    <w:p w14:paraId="78C9373A" w14:textId="77777777" w:rsidR="000C0012" w:rsidRDefault="000C0012" w:rsidP="00102946">
      <w:pPr>
        <w:spacing w:after="0" w:line="240" w:lineRule="auto"/>
        <w:rPr>
          <w:rFonts w:ascii="Verdana" w:eastAsia="Geomanist Light" w:hAnsi="Verdana" w:cs="Arial"/>
          <w:color w:val="000000" w:themeColor="text1"/>
          <w:lang w:val="es-MX"/>
        </w:rPr>
      </w:pPr>
    </w:p>
    <w:p w14:paraId="17CD000F" w14:textId="77777777" w:rsidR="000C0012" w:rsidRDefault="000C0012" w:rsidP="00102946">
      <w:pPr>
        <w:spacing w:after="0" w:line="240" w:lineRule="auto"/>
        <w:rPr>
          <w:rFonts w:ascii="Verdana" w:eastAsia="Geomanist Light" w:hAnsi="Verdana" w:cs="Arial"/>
          <w:color w:val="000000" w:themeColor="text1"/>
          <w:lang w:val="es-MX"/>
        </w:rPr>
      </w:pPr>
    </w:p>
    <w:p w14:paraId="301AA44C" w14:textId="77777777" w:rsidR="000C0012" w:rsidRDefault="000C0012" w:rsidP="00102946">
      <w:pPr>
        <w:spacing w:after="0" w:line="240" w:lineRule="auto"/>
        <w:rPr>
          <w:rFonts w:ascii="Verdana" w:eastAsia="Geomanist Light" w:hAnsi="Verdana" w:cs="Arial"/>
          <w:color w:val="000000" w:themeColor="text1"/>
          <w:lang w:val="es-MX"/>
        </w:rPr>
      </w:pPr>
    </w:p>
    <w:p w14:paraId="56862B22" w14:textId="77777777" w:rsidR="000C0012" w:rsidRDefault="000C0012" w:rsidP="00102946">
      <w:pPr>
        <w:spacing w:after="0" w:line="240" w:lineRule="auto"/>
        <w:rPr>
          <w:rFonts w:ascii="Verdana" w:eastAsia="Geomanist Light" w:hAnsi="Verdana" w:cs="Arial"/>
          <w:color w:val="000000" w:themeColor="text1"/>
          <w:lang w:val="es-MX"/>
        </w:rPr>
      </w:pPr>
    </w:p>
    <w:p w14:paraId="2134E992" w14:textId="77777777" w:rsidR="00993C14" w:rsidRDefault="00993C14" w:rsidP="00102946">
      <w:pPr>
        <w:spacing w:after="0" w:line="240" w:lineRule="auto"/>
        <w:rPr>
          <w:rFonts w:ascii="Verdana" w:eastAsia="Geomanist Light" w:hAnsi="Verdana" w:cs="Arial"/>
          <w:color w:val="000000" w:themeColor="text1"/>
          <w:lang w:val="es-MX"/>
        </w:rPr>
      </w:pPr>
    </w:p>
    <w:p w14:paraId="7323A416" w14:textId="6E25542D" w:rsidR="00102946" w:rsidRPr="00593A5F" w:rsidRDefault="008C0637" w:rsidP="00102946">
      <w:pPr>
        <w:spacing w:after="0" w:line="240" w:lineRule="auto"/>
        <w:rPr>
          <w:rFonts w:ascii="Verdana" w:eastAsia="Geomanist Light" w:hAnsi="Verdana" w:cs="Arial"/>
          <w:color w:val="201F1E"/>
          <w:lang w:val="es-MX"/>
        </w:rPr>
      </w:pPr>
      <w:r w:rsidRPr="00D62B0B">
        <w:rPr>
          <w:rFonts w:ascii="Verdana" w:eastAsia="Calibri" w:hAnsi="Verdana" w:cs="Arial"/>
          <w:noProof/>
          <w:color w:val="000000"/>
          <w:lang w:val="es-ES"/>
        </w:rPr>
        <w:lastRenderedPageBreak/>
        <w:drawing>
          <wp:anchor distT="0" distB="0" distL="114300" distR="114300" simplePos="0" relativeHeight="251658240" behindDoc="1" locked="0" layoutInCell="1" allowOverlap="1" wp14:anchorId="2F7371CD" wp14:editId="32405113">
            <wp:simplePos x="0" y="0"/>
            <wp:positionH relativeFrom="column">
              <wp:posOffset>3322430</wp:posOffset>
            </wp:positionH>
            <wp:positionV relativeFrom="paragraph">
              <wp:posOffset>-192764</wp:posOffset>
            </wp:positionV>
            <wp:extent cx="2400300" cy="622300"/>
            <wp:effectExtent l="0" t="0" r="0" b="6350"/>
            <wp:wrapNone/>
            <wp:docPr id="108403508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035085" name=""/>
                    <pic:cNvPicPr/>
                  </pic:nvPicPr>
                  <pic:blipFill>
                    <a:blip r:embed="rId10">
                      <a:extLst>
                        <a:ext uri="{28A0092B-C50C-407E-A947-70E740481C1C}">
                          <a14:useLocalDpi xmlns:a14="http://schemas.microsoft.com/office/drawing/2010/main" val="0"/>
                        </a:ext>
                      </a:extLst>
                    </a:blip>
                    <a:stretch>
                      <a:fillRect/>
                    </a:stretch>
                  </pic:blipFill>
                  <pic:spPr>
                    <a:xfrm>
                      <a:off x="0" y="0"/>
                      <a:ext cx="2400300" cy="622300"/>
                    </a:xfrm>
                    <a:prstGeom prst="rect">
                      <a:avLst/>
                    </a:prstGeom>
                  </pic:spPr>
                </pic:pic>
              </a:graphicData>
            </a:graphic>
            <wp14:sizeRelH relativeFrom="page">
              <wp14:pctWidth>0</wp14:pctWidth>
            </wp14:sizeRelH>
            <wp14:sizeRelV relativeFrom="page">
              <wp14:pctHeight>0</wp14:pctHeight>
            </wp14:sizeRelV>
          </wp:anchor>
        </w:drawing>
      </w:r>
      <w:r w:rsidR="00102946" w:rsidRPr="00593A5F">
        <w:rPr>
          <w:rFonts w:ascii="Verdana" w:eastAsia="Geomanist Light" w:hAnsi="Verdana" w:cs="Arial"/>
          <w:color w:val="000000" w:themeColor="text1"/>
          <w:lang w:val="es-MX"/>
        </w:rPr>
        <w:t>Bogotá D.C., </w:t>
      </w:r>
      <w:r w:rsidR="00D62B0B" w:rsidRPr="00D62B0B">
        <w:rPr>
          <w:rFonts w:ascii="Verdana" w:eastAsia="Geomanist Light" w:hAnsi="Verdana" w:cs="Arial"/>
          <w:color w:val="000000" w:themeColor="text1"/>
          <w:lang w:val="es-MX"/>
        </w:rPr>
        <w:t xml:space="preserve">30 de </w:t>
      </w:r>
      <w:proofErr w:type="gramStart"/>
      <w:r w:rsidR="00D62B0B" w:rsidRPr="00D62B0B">
        <w:rPr>
          <w:rFonts w:ascii="Verdana" w:eastAsia="Geomanist Light" w:hAnsi="Verdana" w:cs="Arial"/>
          <w:color w:val="000000" w:themeColor="text1"/>
          <w:lang w:val="es-MX"/>
        </w:rPr>
        <w:t>Octubre</w:t>
      </w:r>
      <w:proofErr w:type="gramEnd"/>
      <w:r w:rsidR="00D62B0B" w:rsidRPr="00D62B0B">
        <w:rPr>
          <w:rFonts w:ascii="Verdana" w:eastAsia="Geomanist Light" w:hAnsi="Verdana" w:cs="Arial"/>
          <w:color w:val="000000" w:themeColor="text1"/>
          <w:lang w:val="es-MX"/>
        </w:rPr>
        <w:t xml:space="preserve"> de 2025</w:t>
      </w:r>
    </w:p>
    <w:p w14:paraId="395AC320" w14:textId="77777777" w:rsidR="00102946" w:rsidRDefault="00102946" w:rsidP="00102946">
      <w:pPr>
        <w:spacing w:after="0" w:line="240" w:lineRule="auto"/>
        <w:jc w:val="both"/>
        <w:rPr>
          <w:rFonts w:ascii="Verdana" w:eastAsia="Calibri" w:hAnsi="Verdana" w:cs="Arial"/>
          <w:color w:val="000000"/>
          <w:lang w:val="es-ES"/>
        </w:rPr>
      </w:pPr>
    </w:p>
    <w:p w14:paraId="69FC6216" w14:textId="77777777" w:rsidR="00102946" w:rsidRPr="00593A5F" w:rsidRDefault="00102946" w:rsidP="00102946">
      <w:pPr>
        <w:spacing w:after="0" w:line="240" w:lineRule="auto"/>
        <w:jc w:val="both"/>
        <w:rPr>
          <w:rFonts w:ascii="Verdana" w:eastAsia="Calibri" w:hAnsi="Verdana" w:cs="Arial"/>
          <w:color w:val="000000"/>
          <w:lang w:val="es-ES"/>
        </w:rPr>
      </w:pPr>
    </w:p>
    <w:p w14:paraId="124BE06E" w14:textId="77777777" w:rsidR="00102946" w:rsidRPr="00B96799" w:rsidRDefault="00102946" w:rsidP="00102946">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03ED87CC" w14:textId="77777777" w:rsidR="00102946" w:rsidRPr="0085423D" w:rsidRDefault="00102946" w:rsidP="00102946">
      <w:pPr>
        <w:spacing w:after="0" w:line="240" w:lineRule="auto"/>
        <w:rPr>
          <w:rFonts w:ascii="Verdana" w:eastAsia="Calibri" w:hAnsi="Verdana" w:cs="Arial"/>
          <w:b/>
          <w:lang w:val="es-ES_tradnl" w:eastAsia="es-ES_tradnl"/>
        </w:rPr>
      </w:pPr>
      <w:r w:rsidRPr="001F6F2C">
        <w:rPr>
          <w:rFonts w:ascii="Verdana" w:eastAsia="Calibri" w:hAnsi="Verdana" w:cs="Arial"/>
          <w:b/>
          <w:lang w:val="es-ES_tradnl" w:eastAsia="es-ES_tradnl"/>
        </w:rPr>
        <w:t>Adriana Patricia Rojas Eslava</w:t>
      </w:r>
      <w:r>
        <w:rPr>
          <w:rFonts w:ascii="Verdana" w:eastAsia="Calibri" w:hAnsi="Verdana" w:cs="Arial"/>
          <w:b/>
          <w:lang w:val="es-ES_tradnl" w:eastAsia="es-ES_tradnl"/>
        </w:rPr>
        <w:t xml:space="preserve"> </w:t>
      </w:r>
    </w:p>
    <w:p w14:paraId="4A7F5A8D" w14:textId="77777777" w:rsidR="00102946" w:rsidRPr="007F728B" w:rsidRDefault="00102946" w:rsidP="00102946">
      <w:pPr>
        <w:spacing w:after="0" w:line="240" w:lineRule="auto"/>
        <w:rPr>
          <w:rFonts w:ascii="Verdana" w:eastAsia="Calibri" w:hAnsi="Verdana" w:cs="Arial"/>
          <w:lang w:val="es-ES" w:eastAsia="es-ES"/>
        </w:rPr>
      </w:pPr>
      <w:hyperlink r:id="rId11" w:history="1">
        <w:r w:rsidRPr="003509DC">
          <w:rPr>
            <w:rStyle w:val="Hipervnculo"/>
            <w:rFonts w:ascii="Verdana" w:hAnsi="Verdana"/>
          </w:rPr>
          <w:t>drianapatricia.rojas@antioquia.gov.co</w:t>
        </w:r>
      </w:hyperlink>
      <w:r>
        <w:rPr>
          <w:rFonts w:ascii="Verdana" w:hAnsi="Verdana"/>
        </w:rPr>
        <w:t xml:space="preserve"> </w:t>
      </w:r>
      <w:r w:rsidRPr="007F728B">
        <w:rPr>
          <w:rFonts w:ascii="Verdana" w:hAnsi="Verdana"/>
        </w:rPr>
        <w:t xml:space="preserve">           </w:t>
      </w:r>
      <w:r w:rsidRPr="007F728B">
        <w:rPr>
          <w:rFonts w:ascii="Verdana" w:eastAsia="Calibri" w:hAnsi="Verdana" w:cs="Arial"/>
          <w:lang w:val="es-ES" w:eastAsia="es-ES"/>
        </w:rPr>
        <w:t xml:space="preserve">    </w:t>
      </w:r>
    </w:p>
    <w:p w14:paraId="12C1AAF7" w14:textId="77777777" w:rsidR="00102946" w:rsidRDefault="00102946" w:rsidP="00102946">
      <w:pPr>
        <w:spacing w:after="0" w:line="240" w:lineRule="auto"/>
        <w:rPr>
          <w:rFonts w:ascii="Verdana" w:eastAsia="Calibri" w:hAnsi="Verdana" w:cs="Arial"/>
          <w:lang w:val="es-ES" w:eastAsia="es-ES"/>
        </w:rPr>
      </w:pPr>
      <w:r>
        <w:rPr>
          <w:rFonts w:ascii="Verdana" w:eastAsia="Calibri" w:hAnsi="Verdana" w:cs="Arial"/>
          <w:lang w:val="es-ES" w:eastAsia="es-ES"/>
        </w:rPr>
        <w:t xml:space="preserve">Medellín, Antioquia </w:t>
      </w:r>
    </w:p>
    <w:p w14:paraId="2AC8941B" w14:textId="77777777" w:rsidR="00102946" w:rsidRPr="00593A5F" w:rsidRDefault="00102946" w:rsidP="00102946">
      <w:pPr>
        <w:spacing w:after="0" w:line="240" w:lineRule="auto"/>
        <w:rPr>
          <w:rFonts w:ascii="Verdana" w:eastAsia="Calibri" w:hAnsi="Verdana" w:cs="Arial"/>
          <w:b/>
          <w:bCs/>
          <w:color w:val="000000"/>
          <w:lang w:val="es-ES_tradnl" w:eastAsia="es-ES_tradnl"/>
        </w:rPr>
      </w:pPr>
    </w:p>
    <w:p w14:paraId="6BE6A97F" w14:textId="77777777" w:rsidR="00102946" w:rsidRPr="00593A5F" w:rsidRDefault="00102946" w:rsidP="00102946">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02946" w:rsidRPr="00593A5F" w14:paraId="3B719B70" w14:textId="77777777">
        <w:trPr>
          <w:trHeight w:val="884"/>
        </w:trPr>
        <w:tc>
          <w:tcPr>
            <w:tcW w:w="2689" w:type="dxa"/>
          </w:tcPr>
          <w:p w14:paraId="0B01573D" w14:textId="77777777" w:rsidR="00102946" w:rsidRPr="00C00976" w:rsidRDefault="00102946">
            <w:pPr>
              <w:jc w:val="both"/>
              <w:rPr>
                <w:rFonts w:ascii="Verdana" w:eastAsia="Calibri" w:hAnsi="Verdana" w:cs="Arial"/>
                <w:b/>
                <w:bCs/>
                <w:color w:val="7030A0"/>
                <w:lang w:val="es-ES_tradnl" w:eastAsia="es-ES_tradnl"/>
              </w:rPr>
            </w:pPr>
          </w:p>
        </w:tc>
        <w:tc>
          <w:tcPr>
            <w:tcW w:w="6100" w:type="dxa"/>
          </w:tcPr>
          <w:p w14:paraId="4D7C7A6E" w14:textId="42E14888" w:rsidR="00102946" w:rsidRPr="00C00976" w:rsidRDefault="00102946">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1E6DA9">
              <w:rPr>
                <w:rFonts w:ascii="Verdana" w:eastAsia="Calibri" w:hAnsi="Verdana" w:cs="Arial"/>
                <w:b/>
                <w:bCs/>
                <w:lang w:val="es-ES" w:eastAsia="es-ES"/>
              </w:rPr>
              <w:t>1488</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102946" w:rsidRPr="00593A5F" w14:paraId="3516F82E" w14:textId="77777777">
        <w:trPr>
          <w:trHeight w:val="884"/>
        </w:trPr>
        <w:tc>
          <w:tcPr>
            <w:tcW w:w="2689" w:type="dxa"/>
          </w:tcPr>
          <w:p w14:paraId="1064EA7D" w14:textId="77777777" w:rsidR="00102946" w:rsidRPr="00593A5F" w:rsidRDefault="00102946">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0A8465E0" w14:textId="2D730424" w:rsidR="00102946" w:rsidRPr="00A11406" w:rsidRDefault="00102946">
            <w:pPr>
              <w:spacing w:line="276" w:lineRule="auto"/>
              <w:jc w:val="both"/>
              <w:rPr>
                <w:rFonts w:ascii="Verdana" w:eastAsia="Calibri" w:hAnsi="Verdana" w:cs="Arial"/>
                <w:lang w:val="es-ES" w:eastAsia="es-ES"/>
              </w:rPr>
            </w:pPr>
            <w:r w:rsidRPr="00585B8F">
              <w:rPr>
                <w:rFonts w:ascii="Verdana" w:eastAsia="Calibri" w:hAnsi="Verdana" w:cs="Arial"/>
                <w:lang w:val="es-ES" w:eastAsia="es-ES"/>
              </w:rPr>
              <w:t xml:space="preserve">LEY DE GARANTÍAS ELECTORALES ‒ Finalidad / LEY DE GARANTÍAS ELECTORALES ‒ Tipos de restricciones ‒ Ámbito temporal – </w:t>
            </w:r>
            <w:r w:rsidR="008C0637">
              <w:rPr>
                <w:rFonts w:ascii="Verdana" w:eastAsia="Calibri" w:hAnsi="Verdana" w:cs="Arial"/>
                <w:lang w:val="es-ES" w:eastAsia="es-ES"/>
              </w:rPr>
              <w:t>C</w:t>
            </w:r>
            <w:r w:rsidRPr="00585B8F">
              <w:rPr>
                <w:rFonts w:ascii="Verdana" w:eastAsia="Calibri" w:hAnsi="Verdana" w:cs="Arial"/>
                <w:lang w:val="es-ES" w:eastAsia="es-ES"/>
              </w:rPr>
              <w:t>elebración</w:t>
            </w:r>
            <w:r>
              <w:rPr>
                <w:rFonts w:ascii="Verdana" w:eastAsia="Calibri" w:hAnsi="Verdana" w:cs="Arial"/>
                <w:lang w:val="es-ES" w:eastAsia="es-ES"/>
              </w:rPr>
              <w:t xml:space="preserve"> –</w:t>
            </w:r>
            <w:r w:rsidRPr="00585B8F">
              <w:rPr>
                <w:rFonts w:ascii="Verdana" w:eastAsia="Calibri" w:hAnsi="Verdana" w:cs="Arial"/>
                <w:lang w:val="es-ES" w:eastAsia="es-ES"/>
              </w:rPr>
              <w:t xml:space="preserve"> </w:t>
            </w:r>
            <w:r w:rsidR="008C0637">
              <w:rPr>
                <w:rFonts w:ascii="Verdana" w:eastAsia="Calibri" w:hAnsi="Verdana" w:cs="Arial"/>
                <w:lang w:val="es-ES" w:eastAsia="es-ES"/>
              </w:rPr>
              <w:t>L</w:t>
            </w:r>
            <w:r w:rsidRPr="00585B8F">
              <w:rPr>
                <w:rFonts w:ascii="Verdana" w:eastAsia="Calibri" w:hAnsi="Verdana" w:cs="Arial"/>
                <w:lang w:val="es-ES" w:eastAsia="es-ES"/>
              </w:rPr>
              <w:t>ímite / LEY DE GARANTÍAS ELECTORALES – Contratos y convenios interadministrativos – Criterio orgánico / CONTRATOS Y CONVENIOS INTERADMINISTRATIVOS – Definición – Criterio orgánico / CONTRATOS Y CONVENIOS INTERADMINISTRATIVOS – Circular Externa Única – Auto de suspensión –</w:t>
            </w:r>
            <w:r>
              <w:rPr>
                <w:rFonts w:ascii="Verdana" w:eastAsia="Calibri" w:hAnsi="Verdana" w:cs="Arial"/>
                <w:lang w:val="es-ES" w:eastAsia="es-ES"/>
              </w:rPr>
              <w:t xml:space="preserve"> N</w:t>
            </w:r>
            <w:r w:rsidRPr="00585B8F">
              <w:rPr>
                <w:rFonts w:ascii="Verdana" w:eastAsia="Calibri" w:hAnsi="Verdana" w:cs="Arial"/>
                <w:lang w:val="es-ES" w:eastAsia="es-ES"/>
              </w:rPr>
              <w:t>umeral 16.2</w:t>
            </w:r>
            <w:r w:rsidRPr="006A662D">
              <w:rPr>
                <w:rFonts w:ascii="Verdana" w:eastAsia="Calibri" w:hAnsi="Verdana" w:cs="Arial"/>
                <w:lang w:val="es-ES" w:eastAsia="es-ES"/>
              </w:rPr>
              <w:t xml:space="preserve"> </w:t>
            </w:r>
            <w:r>
              <w:rPr>
                <w:rFonts w:ascii="Verdana" w:eastAsia="Calibri" w:hAnsi="Verdana" w:cs="Arial"/>
                <w:lang w:val="es-ES" w:eastAsia="es-ES"/>
              </w:rPr>
              <w:t xml:space="preserve">– </w:t>
            </w:r>
            <w:r w:rsidRPr="002B5736">
              <w:rPr>
                <w:rFonts w:ascii="Verdana" w:eastAsia="Calibri" w:hAnsi="Verdana" w:cs="Arial"/>
                <w:lang w:val="es-ES" w:eastAsia="es-ES"/>
              </w:rPr>
              <w:t>ACTO ADMINISTRATIVO – Transferencia de recursos – Leyes especiales – No prohibido</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1444F927" w14:textId="77777777" w:rsidR="00102946" w:rsidRPr="00593A5F" w:rsidRDefault="00102946">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102946" w:rsidRPr="008E6AD9" w14:paraId="2770BFE9" w14:textId="77777777">
        <w:tc>
          <w:tcPr>
            <w:tcW w:w="2689" w:type="dxa"/>
          </w:tcPr>
          <w:p w14:paraId="4D3BBA3A" w14:textId="77777777" w:rsidR="00102946" w:rsidRPr="008E6AD9" w:rsidRDefault="00102946">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076421C9" w14:textId="77777777" w:rsidR="00102946" w:rsidRPr="00B92340" w:rsidRDefault="00102946">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CF4766">
              <w:rPr>
                <w:rFonts w:ascii="Verdana" w:eastAsia="Calibri" w:hAnsi="Verdana" w:cs="Arial"/>
                <w:lang w:val="es-ES_tradnl" w:eastAsia="es-ES_tradnl"/>
              </w:rPr>
              <w:t>1_2025_10_22_011881</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2B7F27B6" w14:textId="77777777" w:rsidR="00102946" w:rsidRPr="00593A5F" w:rsidRDefault="00102946" w:rsidP="00102946">
      <w:pPr>
        <w:spacing w:after="0" w:line="240" w:lineRule="auto"/>
        <w:jc w:val="both"/>
        <w:rPr>
          <w:rFonts w:ascii="Verdana" w:eastAsia="Calibri" w:hAnsi="Verdana" w:cs="Arial"/>
          <w:color w:val="000000"/>
          <w:lang w:val="es-ES_tradnl" w:eastAsia="es-ES_tradnl"/>
        </w:rPr>
      </w:pPr>
    </w:p>
    <w:p w14:paraId="48233155" w14:textId="77777777" w:rsidR="00102946" w:rsidRPr="00593A5F" w:rsidRDefault="00102946" w:rsidP="00102946">
      <w:pPr>
        <w:spacing w:after="0" w:line="240" w:lineRule="auto"/>
        <w:jc w:val="both"/>
        <w:rPr>
          <w:rFonts w:ascii="Verdana" w:eastAsia="Calibri" w:hAnsi="Verdana" w:cs="Arial"/>
          <w:color w:val="000000"/>
          <w:lang w:val="es-ES_tradnl" w:eastAsia="es-ES_tradnl"/>
        </w:rPr>
      </w:pPr>
    </w:p>
    <w:p w14:paraId="092856E9" w14:textId="77777777" w:rsidR="00102946" w:rsidRPr="008E6AD9" w:rsidRDefault="00102946" w:rsidP="00102946">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CF4766">
        <w:rPr>
          <w:rFonts w:ascii="Verdana" w:eastAsia="Calibri" w:hAnsi="Verdana" w:cs="Arial"/>
          <w:lang w:val="es-ES" w:eastAsia="es-ES"/>
        </w:rPr>
        <w:t>Rojas Eslava</w:t>
      </w:r>
      <w:r w:rsidRPr="008E6AD9">
        <w:rPr>
          <w:rFonts w:ascii="Verdana" w:eastAsia="Calibri" w:hAnsi="Verdana" w:cs="Arial"/>
          <w:lang w:val="es-ES" w:eastAsia="es-ES"/>
        </w:rPr>
        <w:t xml:space="preserve">: </w:t>
      </w:r>
    </w:p>
    <w:p w14:paraId="6B9AD1A1" w14:textId="77777777" w:rsidR="00102946" w:rsidRDefault="00102946" w:rsidP="00102946">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D68F50A" w14:textId="77777777" w:rsidR="00102946" w:rsidRPr="00593A5F" w:rsidRDefault="00102946" w:rsidP="00102946">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22 de octubre de 2025</w:t>
      </w:r>
      <w:r w:rsidRPr="008E6AD9">
        <w:rPr>
          <w:rFonts w:ascii="Verdana" w:eastAsia="Calibri" w:hAnsi="Verdana" w:cs="Arial"/>
          <w:lang w:val="es-ES" w:eastAsia="es-ES"/>
        </w:rPr>
        <w:t>,</w:t>
      </w:r>
      <w:r>
        <w:rPr>
          <w:rFonts w:ascii="Verdana" w:eastAsia="Calibri" w:hAnsi="Verdana" w:cs="Arial"/>
          <w:lang w:val="es-ES" w:eastAsia="es-ES"/>
        </w:rPr>
        <w:t xml:space="preserve"> </w:t>
      </w:r>
      <w:r w:rsidRPr="008E6AD9">
        <w:rPr>
          <w:rFonts w:ascii="Verdana" w:eastAsia="Calibri" w:hAnsi="Verdana" w:cs="Arial"/>
          <w:lang w:val="es-ES" w:eastAsia="es-ES"/>
        </w:rPr>
        <w:t xml:space="preserve">en </w:t>
      </w:r>
      <w:r>
        <w:rPr>
          <w:rFonts w:ascii="Verdana" w:eastAsia="Calibri" w:hAnsi="Verdana" w:cs="Arial"/>
          <w:lang w:val="es-ES" w:eastAsia="es-ES"/>
        </w:rPr>
        <w:t>la cual pregunta lo siguiente</w:t>
      </w:r>
      <w:r w:rsidRPr="008E6AD9">
        <w:rPr>
          <w:rFonts w:ascii="Verdana" w:eastAsia="Calibri" w:hAnsi="Verdana" w:cs="Arial"/>
          <w:lang w:val="es-ES" w:eastAsia="es-ES"/>
        </w:rPr>
        <w:t xml:space="preserve">: </w:t>
      </w:r>
    </w:p>
    <w:p w14:paraId="2E8D5B86" w14:textId="77777777" w:rsidR="00102946" w:rsidRPr="00272A7B" w:rsidRDefault="00102946" w:rsidP="00102946">
      <w:pPr>
        <w:pStyle w:val="Prrafodelista"/>
        <w:tabs>
          <w:tab w:val="left" w:pos="142"/>
          <w:tab w:val="left" w:pos="284"/>
        </w:tabs>
        <w:spacing w:after="0" w:line="276" w:lineRule="auto"/>
        <w:ind w:left="0"/>
        <w:jc w:val="both"/>
        <w:rPr>
          <w:rFonts w:ascii="Verdana" w:eastAsia="Century Gothic" w:hAnsi="Verdana" w:cs="Century Gothic"/>
          <w:b/>
          <w:bCs/>
        </w:rPr>
      </w:pPr>
    </w:p>
    <w:p w14:paraId="7FFCE3D1" w14:textId="77777777" w:rsidR="00102946" w:rsidRPr="001904AF" w:rsidRDefault="00102946" w:rsidP="00102946">
      <w:pPr>
        <w:spacing w:after="120" w:line="240" w:lineRule="auto"/>
        <w:ind w:left="709" w:right="709"/>
        <w:jc w:val="both"/>
        <w:rPr>
          <w:rFonts w:ascii="Verdana" w:eastAsia="Century Gothic" w:hAnsi="Verdana" w:cs="Century Gothic"/>
          <w:sz w:val="20"/>
          <w:szCs w:val="20"/>
          <w:lang w:val="es-ES"/>
        </w:rPr>
      </w:pPr>
      <w:bookmarkStart w:id="0" w:name="_Hlk95313578"/>
      <w:r w:rsidRPr="001904AF">
        <w:rPr>
          <w:rFonts w:ascii="Verdana" w:eastAsia="Century Gothic" w:hAnsi="Verdana" w:cs="Century Gothic"/>
          <w:sz w:val="20"/>
          <w:szCs w:val="20"/>
          <w:lang w:val="es-ES"/>
        </w:rPr>
        <w:t>“</w:t>
      </w:r>
      <w:bookmarkEnd w:id="0"/>
      <w:r w:rsidRPr="001904AF">
        <w:rPr>
          <w:rFonts w:ascii="Verdana" w:eastAsia="Century Gothic" w:hAnsi="Verdana" w:cs="Century Gothic"/>
          <w:sz w:val="20"/>
          <w:szCs w:val="20"/>
          <w:lang w:val="es-ES"/>
        </w:rPr>
        <w:t xml:space="preserve">1. Aplicación de la Ley de Garantías (Ley 996 de 2005) a la transferencia de recursos hacia Entidades Territoriales y Empresas Sociales del Estado </w:t>
      </w:r>
      <w:r w:rsidRPr="001904AF">
        <w:rPr>
          <w:rFonts w:ascii="Verdana" w:eastAsia="Century Gothic" w:hAnsi="Verdana" w:cs="Century Gothic"/>
          <w:sz w:val="20"/>
          <w:szCs w:val="20"/>
          <w:lang w:val="es-ES"/>
        </w:rPr>
        <w:lastRenderedPageBreak/>
        <w:t>(ESE) mediante acto administrativo (resolución de transferencias de recursos).</w:t>
      </w:r>
    </w:p>
    <w:p w14:paraId="23BCB559" w14:textId="77777777" w:rsidR="00102946" w:rsidRPr="001904AF" w:rsidRDefault="00102946" w:rsidP="00102946">
      <w:pPr>
        <w:spacing w:after="0" w:line="240" w:lineRule="auto"/>
        <w:ind w:left="709" w:right="709"/>
        <w:jc w:val="both"/>
        <w:rPr>
          <w:rFonts w:ascii="Verdana" w:eastAsia="Century Gothic" w:hAnsi="Verdana" w:cs="Century Gothic"/>
          <w:sz w:val="20"/>
          <w:szCs w:val="20"/>
          <w:lang w:val="es-ES"/>
        </w:rPr>
      </w:pPr>
      <w:r w:rsidRPr="001904AF">
        <w:rPr>
          <w:rFonts w:ascii="Verdana" w:eastAsia="Century Gothic" w:hAnsi="Verdana" w:cs="Century Gothic"/>
          <w:sz w:val="20"/>
          <w:szCs w:val="20"/>
          <w:lang w:val="es-ES"/>
        </w:rPr>
        <w:t>Se solicita precisar si las transferencias de recursos del orden nacional o departamental hacia las Entidades Territoriales y las Empresas Sociales del Estado (ESE), efectuadas mediante acto administrativo de asignación (resolución) producto de un Proyecto de inversión en Salud Pública presentado al Banco de Proyectos en la Plataforma MGA del Departamento Administrativo de Planeación o de recursos del Plan de Intervenciones Colectivas (PIC), se encuentran sujetas a las restricciones establecidas en la Ley 996 de 2005, particularmente las contenidas en los artículos 38 y 39 relacionadas con la prohibición de celebrar convenios o contratos interadministrativos durante el periodo preelectoral.</w:t>
      </w:r>
    </w:p>
    <w:p w14:paraId="1985EAE1" w14:textId="77777777" w:rsidR="00102946" w:rsidRPr="001904AF" w:rsidRDefault="00102946" w:rsidP="00102946">
      <w:pPr>
        <w:spacing w:after="120" w:line="240" w:lineRule="auto"/>
        <w:ind w:left="709" w:right="709"/>
        <w:jc w:val="both"/>
        <w:rPr>
          <w:rFonts w:ascii="Verdana" w:eastAsia="Century Gothic" w:hAnsi="Verdana" w:cs="Century Gothic"/>
          <w:sz w:val="20"/>
          <w:szCs w:val="20"/>
          <w:lang w:val="es-ES"/>
        </w:rPr>
      </w:pPr>
      <w:r w:rsidRPr="001904AF">
        <w:rPr>
          <w:rFonts w:ascii="Verdana" w:eastAsia="Century Gothic" w:hAnsi="Verdana" w:cs="Century Gothic"/>
          <w:sz w:val="20"/>
          <w:szCs w:val="20"/>
          <w:lang w:val="es-ES"/>
        </w:rPr>
        <w:t>[…]</w:t>
      </w:r>
    </w:p>
    <w:p w14:paraId="41908185" w14:textId="77777777" w:rsidR="00102946" w:rsidRPr="001904AF" w:rsidRDefault="00102946" w:rsidP="00102946">
      <w:pPr>
        <w:spacing w:after="120" w:line="240" w:lineRule="auto"/>
        <w:ind w:left="709" w:right="709"/>
        <w:jc w:val="both"/>
        <w:rPr>
          <w:rFonts w:ascii="Verdana" w:eastAsia="Century Gothic" w:hAnsi="Verdana" w:cs="Century Gothic"/>
          <w:sz w:val="20"/>
          <w:szCs w:val="20"/>
          <w:lang w:val="es-ES"/>
        </w:rPr>
      </w:pPr>
      <w:r w:rsidRPr="001904AF">
        <w:rPr>
          <w:rFonts w:ascii="Verdana" w:eastAsia="Century Gothic" w:hAnsi="Verdana" w:cs="Century Gothic"/>
          <w:sz w:val="20"/>
          <w:szCs w:val="20"/>
          <w:lang w:val="es-ES"/>
        </w:rPr>
        <w:t>2. Existencia de normatividad que prohíba la transferencia de recursos a Entidades Territoriales para el cumplimiento de los procesos de gestión de la salud pública, mediante proyectos de inversión en salud pública presentados al Banco de Proyectos en la Plataforma MGA del Departamento Administrativo de Planeación.</w:t>
      </w:r>
    </w:p>
    <w:p w14:paraId="5FC5A59A" w14:textId="77777777" w:rsidR="00102946" w:rsidRPr="001904AF" w:rsidRDefault="00102946" w:rsidP="00102946">
      <w:pPr>
        <w:spacing w:after="0" w:line="240" w:lineRule="auto"/>
        <w:ind w:left="709" w:right="709"/>
        <w:jc w:val="both"/>
        <w:rPr>
          <w:rFonts w:ascii="Verdana" w:eastAsia="Century Gothic" w:hAnsi="Verdana" w:cs="Century Gothic"/>
          <w:sz w:val="20"/>
          <w:szCs w:val="20"/>
          <w:lang w:val="es-ES"/>
        </w:rPr>
      </w:pPr>
      <w:r w:rsidRPr="001904AF">
        <w:rPr>
          <w:rFonts w:ascii="Verdana" w:eastAsia="Century Gothic" w:hAnsi="Verdana" w:cs="Century Gothic"/>
          <w:sz w:val="20"/>
          <w:szCs w:val="20"/>
          <w:lang w:val="es-ES"/>
        </w:rPr>
        <w:t>Se solicita además concepto jurídico sobre si existe alguna norma que restrinja o prohíba la transferencia de recursos del orden nacional o departamental a las Entidades Territoriales para la ejecución de proyectos de inversión en salud pública, en especial cuando estos se orientan al cumplimiento de metas del Plan Decenal de Salud Pública y del Plan de Desarrollo Departamental y Nacional.</w:t>
      </w:r>
    </w:p>
    <w:p w14:paraId="3C6F006D" w14:textId="77777777" w:rsidR="00102946" w:rsidRPr="001904AF" w:rsidRDefault="00102946" w:rsidP="00102946">
      <w:pPr>
        <w:spacing w:after="120" w:line="240" w:lineRule="auto"/>
        <w:ind w:left="709" w:right="709"/>
        <w:jc w:val="both"/>
        <w:rPr>
          <w:rFonts w:ascii="Verdana" w:eastAsia="Century Gothic" w:hAnsi="Verdana" w:cs="Century Gothic"/>
          <w:sz w:val="20"/>
          <w:szCs w:val="20"/>
          <w:lang w:val="es-ES"/>
        </w:rPr>
      </w:pPr>
      <w:r w:rsidRPr="001904AF">
        <w:rPr>
          <w:rFonts w:ascii="Verdana" w:eastAsia="Century Gothic" w:hAnsi="Verdana" w:cs="Century Gothic"/>
          <w:sz w:val="20"/>
          <w:szCs w:val="20"/>
          <w:lang w:val="es-ES"/>
        </w:rPr>
        <w:t>[…]</w:t>
      </w:r>
    </w:p>
    <w:p w14:paraId="09703CA1" w14:textId="77777777" w:rsidR="00102946" w:rsidRPr="001904AF" w:rsidRDefault="00102946" w:rsidP="00102946">
      <w:pPr>
        <w:spacing w:after="0" w:line="240" w:lineRule="auto"/>
        <w:ind w:left="709" w:right="709"/>
        <w:jc w:val="both"/>
        <w:rPr>
          <w:rFonts w:ascii="Verdana" w:eastAsia="Century Gothic" w:hAnsi="Verdana" w:cs="Century Gothic"/>
          <w:sz w:val="20"/>
          <w:szCs w:val="20"/>
          <w:lang w:val="es-ES"/>
        </w:rPr>
      </w:pPr>
      <w:r w:rsidRPr="001904AF">
        <w:rPr>
          <w:rFonts w:ascii="Verdana" w:eastAsia="Century Gothic" w:hAnsi="Verdana" w:cs="Century Gothic"/>
          <w:sz w:val="20"/>
          <w:szCs w:val="20"/>
          <w:lang w:val="es-ES"/>
        </w:rPr>
        <w:t>3. Solicitud de concepto jurídico sobre la procedencia de la contratación directa con Empresas Sociales del Estado o una Unión Temporal conformada por ESE para la ejecución del Plan de Intervenciones Colectivas (PIC), en vigencia de la Ley de Garantías y solicitamos ampliación de la aplicabilidad del criterio de Colombia Compra Eficiente, Concepto C-1124 de 2025 de la ANCP–Colombia Compra Eficiente”.</w:t>
      </w:r>
    </w:p>
    <w:p w14:paraId="31D29699" w14:textId="77777777" w:rsidR="00102946" w:rsidRPr="008E6AD9" w:rsidRDefault="00102946" w:rsidP="00102946">
      <w:pPr>
        <w:pStyle w:val="Prrafodelista"/>
        <w:tabs>
          <w:tab w:val="left" w:pos="142"/>
          <w:tab w:val="left" w:pos="284"/>
        </w:tabs>
        <w:spacing w:after="0" w:line="276" w:lineRule="auto"/>
        <w:ind w:left="0"/>
        <w:jc w:val="both"/>
        <w:rPr>
          <w:rFonts w:ascii="Verdana" w:eastAsia="Century Gothic" w:hAnsi="Verdana" w:cs="Century Gothic"/>
          <w:b/>
          <w:bCs/>
        </w:rPr>
      </w:pPr>
    </w:p>
    <w:p w14:paraId="76E84891" w14:textId="77777777" w:rsidR="00102946" w:rsidRPr="00A652FF" w:rsidRDefault="00102946" w:rsidP="00102946">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w:t>
      </w:r>
      <w:r w:rsidRPr="00593A5F">
        <w:rPr>
          <w:rFonts w:ascii="Verdana" w:eastAsia="Calibri" w:hAnsi="Verdana" w:cs="Arial"/>
          <w:color w:val="000000"/>
          <w:lang w:val="es-ES" w:eastAsia="es-ES"/>
        </w:rPr>
        <w:lastRenderedPageBreak/>
        <w:t xml:space="preserve">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4834CC79" w14:textId="77777777" w:rsidR="00102946" w:rsidRDefault="00102946" w:rsidP="00102946">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2C952A14" w14:textId="77777777" w:rsidR="00102946" w:rsidRPr="00593A5F" w:rsidRDefault="00102946" w:rsidP="00102946">
      <w:pPr>
        <w:spacing w:after="0" w:line="276" w:lineRule="auto"/>
        <w:ind w:firstLine="709"/>
        <w:jc w:val="both"/>
        <w:rPr>
          <w:rFonts w:ascii="Verdana" w:eastAsia="Calibri" w:hAnsi="Verdana" w:cs="Arial"/>
          <w:color w:val="000000"/>
          <w:lang w:val="es-ES" w:eastAsia="es-ES"/>
        </w:rPr>
      </w:pPr>
    </w:p>
    <w:p w14:paraId="717C1F39" w14:textId="77777777" w:rsidR="00102946" w:rsidRPr="00593A5F" w:rsidRDefault="00102946" w:rsidP="0010294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41C6C55E" w14:textId="77777777" w:rsidR="00102946" w:rsidRPr="00593A5F" w:rsidRDefault="00102946" w:rsidP="00102946">
      <w:pPr>
        <w:tabs>
          <w:tab w:val="left" w:pos="426"/>
        </w:tabs>
        <w:spacing w:after="0" w:line="276" w:lineRule="auto"/>
        <w:jc w:val="both"/>
        <w:rPr>
          <w:rFonts w:ascii="Verdana" w:eastAsia="Century Gothic" w:hAnsi="Verdana" w:cs="Century Gothic"/>
          <w:lang w:val="es-ES"/>
        </w:rPr>
      </w:pPr>
    </w:p>
    <w:p w14:paraId="018E8423" w14:textId="77777777" w:rsidR="00102946" w:rsidRPr="00593A5F" w:rsidRDefault="00102946" w:rsidP="00102946">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¿cuál es el marco normativo para interpretación general de las restricciones previstas en los artículos 33 y 38 de la Ley 996 de 2005?</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536FF626" w14:textId="77777777" w:rsidR="00102946" w:rsidRPr="004B140F" w:rsidRDefault="00102946" w:rsidP="00102946">
      <w:pPr>
        <w:spacing w:after="0" w:line="276" w:lineRule="auto"/>
        <w:jc w:val="both"/>
        <w:rPr>
          <w:rFonts w:ascii="Verdana" w:eastAsia="Calibri" w:hAnsi="Verdana" w:cs="Arial"/>
          <w:color w:val="7030A0"/>
        </w:rPr>
      </w:pPr>
    </w:p>
    <w:p w14:paraId="0942FBEE" w14:textId="77777777" w:rsidR="00102946" w:rsidRPr="00593A5F" w:rsidRDefault="00102946" w:rsidP="0010294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69C79C85" w14:textId="77777777" w:rsidR="00102946" w:rsidRPr="00593A5F" w:rsidRDefault="00102946" w:rsidP="0010294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02946" w:rsidRPr="00593A5F" w14:paraId="1C5EEBD0" w14:textId="77777777">
        <w:trPr>
          <w:jc w:val="center"/>
        </w:trPr>
        <w:tc>
          <w:tcPr>
            <w:tcW w:w="8828" w:type="dxa"/>
          </w:tcPr>
          <w:p w14:paraId="29CC89F6" w14:textId="77777777" w:rsidR="00102946" w:rsidRPr="002B5736" w:rsidRDefault="00102946">
            <w:pPr>
              <w:spacing w:after="120" w:line="276" w:lineRule="auto"/>
              <w:ind w:right="51"/>
              <w:jc w:val="both"/>
              <w:rPr>
                <w:rFonts w:ascii="Verdana" w:eastAsia="Arial" w:hAnsi="Verdana" w:cs="Arial"/>
                <w:lang w:val="es-MX" w:eastAsia="es-ES" w:bidi="es-ES"/>
              </w:rPr>
            </w:pPr>
            <w:bookmarkStart w:id="1" w:name="_Hlk171694685"/>
            <w:r>
              <w:rPr>
                <w:rFonts w:ascii="Verdana" w:eastAsia="Calibri" w:hAnsi="Verdana" w:cs="Arial"/>
                <w:bCs/>
                <w:color w:val="000000" w:themeColor="text1"/>
              </w:rPr>
              <w:t>Conforme a la interpretación general de las normas del sistema de compras públicas</w:t>
            </w:r>
            <w:r w:rsidRPr="00E2397D">
              <w:rPr>
                <w:rFonts w:ascii="Verdana" w:eastAsia="Arial" w:hAnsi="Verdana" w:cs="Arial"/>
                <w:lang w:val="es-MX" w:eastAsia="es-ES" w:bidi="es-ES"/>
              </w:rPr>
              <w:t xml:space="preserve">, </w:t>
            </w:r>
            <w:r w:rsidRPr="007E31F7">
              <w:rPr>
                <w:rFonts w:ascii="Verdana" w:eastAsia="Arial" w:hAnsi="Verdana" w:cs="Arial"/>
                <w:i/>
                <w:iCs/>
                <w:lang w:val="es-MX" w:eastAsia="es-ES" w:bidi="es-ES"/>
              </w:rPr>
              <w:t>respecto a las preguntas 1 y 2 de la consulta</w:t>
            </w:r>
            <w:r>
              <w:rPr>
                <w:rFonts w:ascii="Verdana" w:eastAsia="Arial" w:hAnsi="Verdana" w:cs="Arial"/>
                <w:lang w:val="es-MX" w:eastAsia="es-ES" w:bidi="es-ES"/>
              </w:rPr>
              <w:t xml:space="preserve">, </w:t>
            </w:r>
            <w:r w:rsidRPr="002B5736">
              <w:rPr>
                <w:rFonts w:ascii="Verdana" w:eastAsia="Arial" w:hAnsi="Verdana" w:cs="Arial"/>
                <w:lang w:val="es-MX" w:eastAsia="es-ES" w:bidi="es-ES"/>
              </w:rPr>
              <w:t xml:space="preserve">la transferencia de recursos efectuada mediante la expedición de un acto administrativo, </w:t>
            </w:r>
            <w:r w:rsidRPr="002B5736">
              <w:rPr>
                <w:rFonts w:ascii="Verdana" w:eastAsia="Arial" w:hAnsi="Verdana" w:cs="Arial"/>
                <w:i/>
                <w:iCs/>
                <w:lang w:val="es-MX" w:eastAsia="es-ES" w:bidi="es-ES"/>
              </w:rPr>
              <w:t>permitida expresamente por una ley</w:t>
            </w:r>
            <w:r w:rsidRPr="002B5736">
              <w:rPr>
                <w:rFonts w:ascii="Verdana" w:eastAsia="Arial" w:hAnsi="Verdana" w:cs="Arial"/>
                <w:lang w:val="es-MX" w:eastAsia="es-ES" w:bidi="es-ES"/>
              </w:rPr>
              <w:t>, no le resultan aplicables las restricciones previstas en el artículo 38 de la Ley 996 de 2005, porque lo que en este precepto se prohíbe es “celebrar convenios interadministrativos para la ejecución de recursos públicos”.</w:t>
            </w:r>
          </w:p>
          <w:p w14:paraId="26D56E92" w14:textId="77777777" w:rsidR="00102946" w:rsidRDefault="00102946">
            <w:pPr>
              <w:spacing w:after="120" w:line="276" w:lineRule="auto"/>
              <w:ind w:right="51" w:firstLine="1015"/>
              <w:jc w:val="both"/>
              <w:rPr>
                <w:rFonts w:ascii="Verdana" w:eastAsia="Arial" w:hAnsi="Verdana" w:cs="Arial"/>
                <w:lang w:val="es-MX" w:eastAsia="es-ES" w:bidi="es-ES"/>
              </w:rPr>
            </w:pPr>
            <w:r w:rsidRPr="002B5736">
              <w:rPr>
                <w:rFonts w:ascii="Verdana" w:eastAsia="Arial" w:hAnsi="Verdana" w:cs="Arial"/>
                <w:lang w:val="es-MX" w:eastAsia="es-ES" w:bidi="es-ES"/>
              </w:rPr>
              <w:t>Como se explic</w:t>
            </w:r>
            <w:r>
              <w:rPr>
                <w:rFonts w:ascii="Verdana" w:eastAsia="Arial" w:hAnsi="Verdana" w:cs="Arial"/>
                <w:lang w:val="es-MX" w:eastAsia="es-ES" w:bidi="es-ES"/>
              </w:rPr>
              <w:t>a</w:t>
            </w:r>
            <w:r w:rsidRPr="002B5736">
              <w:rPr>
                <w:rFonts w:ascii="Verdana" w:eastAsia="Arial" w:hAnsi="Verdana" w:cs="Arial"/>
                <w:lang w:val="es-MX" w:eastAsia="es-ES" w:bidi="es-ES"/>
              </w:rPr>
              <w:t xml:space="preserve"> en </w:t>
            </w:r>
            <w:r>
              <w:rPr>
                <w:rFonts w:ascii="Verdana" w:eastAsia="Arial" w:hAnsi="Verdana" w:cs="Arial"/>
                <w:lang w:val="es-MX" w:eastAsia="es-ES" w:bidi="es-ES"/>
              </w:rPr>
              <w:t>el presente oficio</w:t>
            </w:r>
            <w:r w:rsidRPr="002B5736">
              <w:rPr>
                <w:rFonts w:ascii="Verdana" w:eastAsia="Arial" w:hAnsi="Verdana" w:cs="Arial"/>
                <w:lang w:val="es-MX" w:eastAsia="es-ES" w:bidi="es-ES"/>
              </w:rPr>
              <w:t xml:space="preserve">, un convenio interadministrativo es un </w:t>
            </w:r>
            <w:r w:rsidRPr="002B5736">
              <w:rPr>
                <w:rFonts w:ascii="Verdana" w:eastAsia="Arial" w:hAnsi="Verdana" w:cs="Arial"/>
                <w:i/>
                <w:iCs/>
                <w:lang w:val="es-MX" w:eastAsia="es-ES" w:bidi="es-ES"/>
              </w:rPr>
              <w:t>acuerdo de voluntades</w:t>
            </w:r>
            <w:r w:rsidRPr="002B5736">
              <w:rPr>
                <w:rFonts w:ascii="Verdana" w:eastAsia="Arial" w:hAnsi="Verdana" w:cs="Arial"/>
                <w:lang w:val="es-MX" w:eastAsia="es-ES" w:bidi="es-ES"/>
              </w:rPr>
              <w:t xml:space="preserve"> en el que intervienen dos o más entidades públicas, o sea un acto jurídico bilateral o que participa de la forma contractual, de conformidad con el artículo 1495 del Código Civil. La forma jurídica consagrada, para efectuar la transferencia gratuita de recursos, en disposiciones como el artículo 9 del Decreto 559 de 2020, el artículo 5 del Decreto Legislativo 538 de 2020 y el parágrafo 2 del artículo 10 del Decreto Legislativo 800 de 2020, entre otras, </w:t>
            </w:r>
            <w:r w:rsidRPr="002B5736">
              <w:rPr>
                <w:rFonts w:ascii="Verdana" w:eastAsia="Arial" w:hAnsi="Verdana" w:cs="Arial"/>
                <w:i/>
                <w:iCs/>
                <w:lang w:val="es-MX" w:eastAsia="es-ES" w:bidi="es-ES"/>
              </w:rPr>
              <w:t>es el acto administrativo</w:t>
            </w:r>
            <w:r w:rsidRPr="002B5736">
              <w:rPr>
                <w:rFonts w:ascii="Verdana" w:eastAsia="Arial" w:hAnsi="Verdana" w:cs="Arial"/>
                <w:lang w:val="es-MX" w:eastAsia="es-ES" w:bidi="es-ES"/>
              </w:rPr>
              <w:t xml:space="preserve">, no el convenio interadministrativo. Si el parágrafo del artículo 38 de la Ley 996 de 2005 prohibió la celebración de convenios interadministrativos, no puede entenderse </w:t>
            </w:r>
            <w:r w:rsidRPr="002B5736">
              <w:rPr>
                <w:rFonts w:ascii="Verdana" w:eastAsia="Arial" w:hAnsi="Verdana" w:cs="Arial"/>
                <w:i/>
                <w:iCs/>
                <w:lang w:val="es-MX" w:eastAsia="es-ES" w:bidi="es-ES"/>
              </w:rPr>
              <w:t>también</w:t>
            </w:r>
            <w:r w:rsidRPr="002B5736">
              <w:rPr>
                <w:rFonts w:ascii="Verdana" w:eastAsia="Arial" w:hAnsi="Verdana" w:cs="Arial"/>
                <w:lang w:val="es-MX" w:eastAsia="es-ES" w:bidi="es-ES"/>
              </w:rPr>
              <w:t xml:space="preserve"> prohibida la transferencia llevada a cabo por un acto administrativo permitida por una norma legal especial, porque se estaría </w:t>
            </w:r>
            <w:r w:rsidRPr="002B5736">
              <w:rPr>
                <w:rFonts w:ascii="Verdana" w:eastAsia="Arial" w:hAnsi="Verdana" w:cs="Arial"/>
                <w:lang w:val="es-MX" w:eastAsia="es-ES" w:bidi="es-ES"/>
              </w:rPr>
              <w:lastRenderedPageBreak/>
              <w:t>incluyendo una circunstancia que el supuesto de hecho de la restricción no contempla.</w:t>
            </w:r>
          </w:p>
          <w:p w14:paraId="64FFA676" w14:textId="77777777" w:rsidR="00102946" w:rsidRPr="00661939" w:rsidRDefault="00102946">
            <w:pPr>
              <w:spacing w:after="120" w:line="276" w:lineRule="auto"/>
              <w:ind w:right="51" w:firstLine="1015"/>
              <w:jc w:val="both"/>
              <w:rPr>
                <w:rFonts w:ascii="Verdana" w:eastAsia="Calibri" w:hAnsi="Verdana" w:cs="Arial"/>
                <w:bCs/>
                <w:color w:val="000000" w:themeColor="text1"/>
              </w:rPr>
            </w:pPr>
            <w:r w:rsidRPr="002B5736">
              <w:rPr>
                <w:rFonts w:ascii="Verdana" w:eastAsia="Calibri" w:hAnsi="Verdana" w:cs="Arial"/>
                <w:bCs/>
                <w:color w:val="000000" w:themeColor="text1"/>
              </w:rPr>
              <w:t xml:space="preserve">La Agencia llama la atención sobre el deber de las entidades estatales de analizar en cada caso la norma atributiva de la competencia, para observar cuál es la forma jurídica que consagra. Si la norma no permite expedir un acto administrativo para disponer de recursos durante el período de vigencia de la ley de garantías electorales, no puede la entidad pretender burlar el efecto de la prohibición de contratar directamente o de celebrar un convenio, según el caso, expidiendo un acto administrativo para disponer de los recursos. El artículo 6 de la Constitución establece que los servidores públicos son responsables </w:t>
            </w:r>
            <w:r>
              <w:rPr>
                <w:rFonts w:ascii="Verdana" w:eastAsia="Calibri" w:hAnsi="Verdana" w:cs="Arial"/>
                <w:bCs/>
                <w:color w:val="000000" w:themeColor="text1"/>
              </w:rPr>
              <w:t>“</w:t>
            </w:r>
            <w:r w:rsidRPr="002B5736">
              <w:rPr>
                <w:rFonts w:ascii="Verdana" w:eastAsia="Calibri" w:hAnsi="Verdana" w:cs="Arial"/>
                <w:bCs/>
                <w:color w:val="000000" w:themeColor="text1"/>
              </w:rPr>
              <w:t>[…] por infringir la Constitución y las leyes</w:t>
            </w:r>
            <w:r>
              <w:rPr>
                <w:rFonts w:ascii="Verdana" w:eastAsia="Calibri" w:hAnsi="Verdana" w:cs="Arial"/>
                <w:bCs/>
                <w:color w:val="000000" w:themeColor="text1"/>
              </w:rPr>
              <w:t>”</w:t>
            </w:r>
            <w:r w:rsidRPr="002B5736">
              <w:rPr>
                <w:rFonts w:ascii="Verdana" w:eastAsia="Calibri" w:hAnsi="Verdana" w:cs="Arial"/>
                <w:bCs/>
                <w:color w:val="000000" w:themeColor="text1"/>
              </w:rPr>
              <w:t xml:space="preserve"> y </w:t>
            </w:r>
            <w:r>
              <w:rPr>
                <w:rFonts w:ascii="Verdana" w:eastAsia="Calibri" w:hAnsi="Verdana" w:cs="Arial"/>
                <w:bCs/>
                <w:color w:val="000000" w:themeColor="text1"/>
              </w:rPr>
              <w:t>“</w:t>
            </w:r>
            <w:r w:rsidRPr="002B5736">
              <w:rPr>
                <w:rFonts w:ascii="Verdana" w:eastAsia="Calibri" w:hAnsi="Verdana" w:cs="Arial"/>
                <w:bCs/>
                <w:color w:val="000000" w:themeColor="text1"/>
              </w:rPr>
              <w:t>[…] por omisión o extralimitación en el ejercicio de sus funciones</w:t>
            </w:r>
            <w:r>
              <w:rPr>
                <w:rFonts w:ascii="Verdana" w:eastAsia="Calibri" w:hAnsi="Verdana" w:cs="Arial"/>
                <w:bCs/>
                <w:color w:val="000000" w:themeColor="text1"/>
              </w:rPr>
              <w:t>”</w:t>
            </w:r>
            <w:r w:rsidRPr="002B5736">
              <w:rPr>
                <w:rFonts w:ascii="Verdana" w:eastAsia="Calibri" w:hAnsi="Verdana" w:cs="Arial"/>
                <w:bCs/>
                <w:color w:val="000000" w:themeColor="text1"/>
              </w:rPr>
              <w:t xml:space="preserve">, es decir que solo pueden hacer lo que les esté expresamente permitido. Así las cosas, la interpretación efectuada por la Agencia en este concepto tiene en cuenta la existencia de normas de carácter legal que permiten efectuar una transferencia gratuita de </w:t>
            </w:r>
            <w:r>
              <w:rPr>
                <w:rFonts w:ascii="Verdana" w:eastAsia="Calibri" w:hAnsi="Verdana" w:cs="Arial"/>
                <w:bCs/>
                <w:color w:val="000000" w:themeColor="text1"/>
              </w:rPr>
              <w:t>recursos</w:t>
            </w:r>
            <w:r w:rsidRPr="002B5736">
              <w:rPr>
                <w:rFonts w:ascii="Verdana" w:eastAsia="Calibri" w:hAnsi="Verdana" w:cs="Arial"/>
                <w:bCs/>
                <w:color w:val="000000" w:themeColor="text1"/>
              </w:rPr>
              <w:t xml:space="preserve"> </w:t>
            </w:r>
            <w:r w:rsidRPr="002B5736">
              <w:rPr>
                <w:rFonts w:ascii="Verdana" w:eastAsia="Calibri" w:hAnsi="Verdana" w:cs="Arial"/>
                <w:bCs/>
                <w:i/>
                <w:iCs/>
                <w:color w:val="000000" w:themeColor="text1"/>
              </w:rPr>
              <w:t>a través de un acto administrativo</w:t>
            </w:r>
            <w:r w:rsidRPr="002B5736">
              <w:rPr>
                <w:rFonts w:ascii="Verdana" w:eastAsia="Calibri" w:hAnsi="Verdana" w:cs="Arial"/>
                <w:bCs/>
                <w:color w:val="000000" w:themeColor="text1"/>
              </w:rPr>
              <w:t>, pero este criterio no se puede generalizar en hipótesis que no establezcan dicha permisión legal expresa.</w:t>
            </w:r>
          </w:p>
          <w:p w14:paraId="3EA1EB63" w14:textId="77777777" w:rsidR="00102946" w:rsidRPr="00661939" w:rsidRDefault="00102946">
            <w:pPr>
              <w:spacing w:after="120" w:line="276" w:lineRule="auto"/>
              <w:ind w:firstLine="737"/>
              <w:jc w:val="both"/>
              <w:rPr>
                <w:rFonts w:ascii="Verdana" w:eastAsia="Calibri" w:hAnsi="Verdana" w:cs="Arial"/>
                <w:bCs/>
                <w:color w:val="000000" w:themeColor="text1"/>
              </w:rPr>
            </w:pPr>
            <w:r w:rsidRPr="007E31F7">
              <w:rPr>
                <w:rFonts w:ascii="Verdana" w:eastAsia="Calibri" w:hAnsi="Verdana" w:cs="Arial"/>
                <w:bCs/>
                <w:i/>
                <w:iCs/>
                <w:color w:val="000000" w:themeColor="text1"/>
              </w:rPr>
              <w:t>Respecto a la pregunta 3</w:t>
            </w:r>
            <w:r>
              <w:rPr>
                <w:rFonts w:ascii="Verdana" w:eastAsia="Calibri" w:hAnsi="Verdana" w:cs="Arial"/>
                <w:bCs/>
                <w:color w:val="000000" w:themeColor="text1"/>
              </w:rPr>
              <w:t xml:space="preserve">, es necesario tener en cuenta que la prohibición de contratación directa del artículo 33 de la Ley Garantías admite excepciones tratándose, entre otras, de </w:t>
            </w:r>
            <w:r>
              <w:rPr>
                <w:rFonts w:ascii="Verdana" w:hAnsi="Verdana" w:cs="Arial"/>
                <w:bCs/>
                <w:lang w:val="es-MX" w:eastAsia="x-none"/>
              </w:rPr>
              <w:t xml:space="preserve">“[…] </w:t>
            </w:r>
            <w:r w:rsidRPr="00EF66EF">
              <w:rPr>
                <w:rFonts w:ascii="Verdana" w:hAnsi="Verdana" w:cs="Arial"/>
                <w:bCs/>
                <w:lang w:val="es-MX" w:eastAsia="x-none"/>
              </w:rPr>
              <w:t>los requeridos para cubrir las emergencias</w:t>
            </w:r>
            <w:r>
              <w:rPr>
                <w:rFonts w:ascii="Verdana" w:hAnsi="Verdana" w:cs="Arial"/>
                <w:bCs/>
                <w:lang w:val="es-MX" w:eastAsia="x-none"/>
              </w:rPr>
              <w:t xml:space="preserve"> […]</w:t>
            </w:r>
            <w:r w:rsidRPr="00EF66EF">
              <w:rPr>
                <w:rFonts w:ascii="Verdana" w:hAnsi="Verdana" w:cs="Arial"/>
                <w:bCs/>
                <w:lang w:val="es-MX" w:eastAsia="x-none"/>
              </w:rPr>
              <w:t xml:space="preserve"> sanitarias</w:t>
            </w:r>
            <w:r>
              <w:rPr>
                <w:rFonts w:ascii="Verdana" w:hAnsi="Verdana" w:cs="Arial"/>
                <w:bCs/>
                <w:lang w:val="es-MX" w:eastAsia="x-none"/>
              </w:rPr>
              <w:t xml:space="preserve">” y “[…] </w:t>
            </w:r>
            <w:r w:rsidRPr="009E105D">
              <w:rPr>
                <w:rFonts w:ascii="Verdana" w:eastAsia="Calibri" w:hAnsi="Verdana" w:cs="Arial"/>
              </w:rPr>
              <w:t xml:space="preserve">los que deban realizar las entidades sanitarias </w:t>
            </w:r>
            <w:r>
              <w:rPr>
                <w:rFonts w:ascii="Verdana" w:eastAsia="Calibri" w:hAnsi="Verdana" w:cs="Arial"/>
              </w:rPr>
              <w:t xml:space="preserve">[…]”. Estas excepciones son inaplicables en la restricción del artículo 38 </w:t>
            </w:r>
            <w:r w:rsidRPr="009952F0">
              <w:rPr>
                <w:rFonts w:ascii="Verdana" w:eastAsia="Calibri" w:hAnsi="Verdana" w:cs="Arial"/>
                <w:i/>
                <w:iCs/>
              </w:rPr>
              <w:t>ibidem</w:t>
            </w:r>
            <w:r>
              <w:rPr>
                <w:rFonts w:ascii="Verdana" w:eastAsia="Calibri" w:hAnsi="Verdana" w:cs="Arial"/>
              </w:rPr>
              <w:t xml:space="preserve">; razón por la cual, en el Concepto C-1124 del 18 de septiembre de 2025, la Agencia sostiene que “[…] </w:t>
            </w:r>
            <w:r w:rsidRPr="000A6EA6">
              <w:rPr>
                <w:rFonts w:ascii="Verdana" w:eastAsia="Calibri" w:hAnsi="Verdana" w:cs="Arial"/>
              </w:rPr>
              <w:t>es necesario verificar si la contratación del PIC es llevada a cabo por alguno de los sujetos señalados en la norma, así como si lo que se pretende adelantar es un convenio o un contrato interadministrativo para la ejecución de recursos públicos. Cuando este sea el caso, operará la restricción señalada en el parágrafo y estará prohibido llevar a cabo la contratación de convenios en los cuatro meses anteriores a cualquier contienda electoral</w:t>
            </w:r>
            <w:r>
              <w:rPr>
                <w:rFonts w:ascii="Verdana" w:eastAsia="Calibri" w:hAnsi="Verdana" w:cs="Arial"/>
                <w:bCs/>
                <w:color w:val="000000" w:themeColor="text1"/>
              </w:rPr>
              <w:t xml:space="preserve"> […]”; razón por la cual, “[…] </w:t>
            </w:r>
            <w:r w:rsidRPr="000A6EA6">
              <w:rPr>
                <w:rFonts w:ascii="Verdana" w:eastAsia="Calibri" w:hAnsi="Verdana" w:cs="Arial"/>
                <w:bCs/>
                <w:color w:val="000000" w:themeColor="text1"/>
              </w:rPr>
              <w:t xml:space="preserve">con el fin de garantizar la continuidad de las intervenciones de promoción de salud y prevención, </w:t>
            </w:r>
            <w:r>
              <w:rPr>
                <w:rFonts w:ascii="Verdana" w:eastAsia="Calibri" w:hAnsi="Verdana" w:cs="Arial"/>
                <w:bCs/>
                <w:color w:val="000000" w:themeColor="text1"/>
              </w:rPr>
              <w:t>‘</w:t>
            </w:r>
            <w:r w:rsidRPr="000A6EA6">
              <w:rPr>
                <w:rFonts w:ascii="Verdana" w:eastAsia="Calibri" w:hAnsi="Verdana" w:cs="Arial"/>
                <w:bCs/>
                <w:color w:val="000000" w:themeColor="text1"/>
              </w:rPr>
              <w:t>se debe acudir a las demás modalidades de contratación autorizadas por la ley de manera que no se afecte la ejecución de las intervenciones colectivas a cargo de las entidades territoriales</w:t>
            </w:r>
            <w:r>
              <w:rPr>
                <w:rFonts w:ascii="Verdana" w:eastAsia="Calibri" w:hAnsi="Verdana" w:cs="Arial"/>
                <w:bCs/>
                <w:color w:val="000000" w:themeColor="text1"/>
              </w:rPr>
              <w:t>’ […]</w:t>
            </w:r>
            <w:r w:rsidRPr="000A6EA6">
              <w:rPr>
                <w:rFonts w:ascii="Verdana" w:eastAsia="Calibri" w:hAnsi="Verdana" w:cs="Arial"/>
                <w:bCs/>
                <w:color w:val="000000" w:themeColor="text1"/>
              </w:rPr>
              <w:t>”</w:t>
            </w:r>
            <w:r>
              <w:rPr>
                <w:rFonts w:ascii="Verdana" w:eastAsia="Calibri" w:hAnsi="Verdana" w:cs="Arial"/>
                <w:bCs/>
                <w:color w:val="000000" w:themeColor="text1"/>
              </w:rPr>
              <w:t>.</w:t>
            </w:r>
          </w:p>
          <w:p w14:paraId="64D00BBB" w14:textId="77777777" w:rsidR="00102946" w:rsidRPr="001941FD" w:rsidRDefault="00102946">
            <w:pPr>
              <w:spacing w:line="276" w:lineRule="auto"/>
              <w:ind w:right="51" w:firstLine="737"/>
              <w:jc w:val="both"/>
              <w:rPr>
                <w:rFonts w:ascii="Verdana" w:eastAsia="Calibri" w:hAnsi="Verdana" w:cs="Arial"/>
                <w:bCs/>
                <w:color w:val="000000" w:themeColor="text1"/>
              </w:rPr>
            </w:pPr>
            <w:r w:rsidRPr="00007D0A">
              <w:rPr>
                <w:rStyle w:val="s15"/>
                <w:rFonts w:ascii="Verdana" w:hAnsi="Verdana"/>
                <w:color w:val="000000"/>
              </w:rPr>
              <w:lastRenderedPageBreak/>
              <w:t xml:space="preserve">Al margen de la explicación </w:t>
            </w:r>
            <w:r>
              <w:rPr>
                <w:rStyle w:val="s15"/>
                <w:rFonts w:ascii="Verdana" w:hAnsi="Verdana"/>
                <w:color w:val="000000"/>
              </w:rPr>
              <w:t>precedente,</w:t>
            </w:r>
            <w:r w:rsidRPr="00007D0A">
              <w:rPr>
                <w:rStyle w:val="s15"/>
                <w:rFonts w:ascii="Verdana" w:hAnsi="Verdana"/>
                <w:color w:val="000000"/>
              </w:rPr>
              <w:t xml:space="preserve"> debe advertirse que el análisis requerido para resolver problemas específicos en torno a la gestión contractual de las entidades públicas debe ser realizado por quienes tengan interés en ello, de acuerdo con lo explicado </w:t>
            </w:r>
            <w:r>
              <w:rPr>
                <w:rStyle w:val="s15"/>
                <w:rFonts w:ascii="Verdana" w:hAnsi="Verdana"/>
                <w:color w:val="000000"/>
              </w:rPr>
              <w:t>en la</w:t>
            </w:r>
            <w:r w:rsidRPr="00007D0A">
              <w:rPr>
                <w:rStyle w:val="s15"/>
                <w:rFonts w:ascii="Verdana" w:hAnsi="Verdana"/>
                <w:color w:val="000000"/>
              </w:rPr>
              <w:t xml:space="preserve">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00894D1A" w14:textId="77777777" w:rsidR="00102946" w:rsidRPr="00593A5F" w:rsidRDefault="00102946" w:rsidP="00102946">
      <w:pPr>
        <w:tabs>
          <w:tab w:val="left" w:pos="142"/>
          <w:tab w:val="left" w:pos="284"/>
        </w:tabs>
        <w:spacing w:after="0" w:line="276" w:lineRule="auto"/>
        <w:jc w:val="both"/>
        <w:rPr>
          <w:rFonts w:ascii="Verdana" w:eastAsia="Century Gothic" w:hAnsi="Verdana" w:cs="Century Gothic"/>
          <w:b/>
          <w:bCs/>
          <w:lang w:val="es-ES"/>
        </w:rPr>
      </w:pPr>
    </w:p>
    <w:bookmarkEnd w:id="1"/>
    <w:p w14:paraId="2E5F9D50" w14:textId="77777777" w:rsidR="00102946" w:rsidRPr="00593A5F" w:rsidRDefault="00102946" w:rsidP="0010294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522C8C0" w14:textId="77777777" w:rsidR="00102946" w:rsidRPr="00593A5F" w:rsidRDefault="00102946" w:rsidP="00102946">
      <w:pPr>
        <w:spacing w:after="0" w:line="276" w:lineRule="auto"/>
        <w:jc w:val="both"/>
        <w:rPr>
          <w:rFonts w:ascii="Verdana" w:eastAsia="Calibri" w:hAnsi="Verdana" w:cs="Arial"/>
          <w:color w:val="7030A0"/>
          <w:lang w:val="es-ES"/>
        </w:rPr>
      </w:pPr>
    </w:p>
    <w:p w14:paraId="427C460E" w14:textId="77777777" w:rsidR="00102946" w:rsidRDefault="00102946" w:rsidP="00102946">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3498502E" w14:textId="77777777" w:rsidR="00102946" w:rsidRPr="00415608" w:rsidRDefault="00102946" w:rsidP="00102946">
      <w:pPr>
        <w:spacing w:after="0" w:line="276" w:lineRule="auto"/>
        <w:jc w:val="both"/>
        <w:rPr>
          <w:rFonts w:ascii="Verdana" w:eastAsia="Calibri" w:hAnsi="Verdana" w:cs="Arial"/>
          <w:lang w:val="es-ES"/>
        </w:rPr>
      </w:pPr>
    </w:p>
    <w:p w14:paraId="5248C2B6" w14:textId="77777777" w:rsidR="00102946" w:rsidRPr="009E105D" w:rsidRDefault="00102946" w:rsidP="00102946">
      <w:pPr>
        <w:tabs>
          <w:tab w:val="left" w:pos="426"/>
        </w:tabs>
        <w:spacing w:after="120" w:line="276" w:lineRule="auto"/>
        <w:jc w:val="both"/>
        <w:rPr>
          <w:rFonts w:ascii="Verdana" w:eastAsia="Times New Roman" w:hAnsi="Verdana" w:cs="Arial"/>
          <w:lang w:eastAsia="es-CO"/>
        </w:rPr>
      </w:pPr>
      <w:r>
        <w:rPr>
          <w:rFonts w:ascii="Verdana" w:eastAsia="Calibri" w:hAnsi="Verdana" w:cs="Arial"/>
          <w:color w:val="000000" w:themeColor="text1"/>
        </w:rPr>
        <w:t xml:space="preserve">i. </w:t>
      </w:r>
      <w:r w:rsidRPr="009E105D">
        <w:rPr>
          <w:rFonts w:ascii="Verdana" w:eastAsia="Calibri" w:hAnsi="Verdana" w:cs="Arial"/>
        </w:rPr>
        <w:t>El ordenamiento jurídico colombiano contempla previsiones claras para evitar la obtención de beneficios personales en asuntos propios de la administración pública</w:t>
      </w:r>
      <w:r w:rsidRPr="009E105D">
        <w:rPr>
          <w:rFonts w:ascii="Verdana" w:eastAsia="Calibri" w:hAnsi="Verdana" w:cs="Arial"/>
          <w:i/>
        </w:rPr>
        <w:t xml:space="preserve">. </w:t>
      </w:r>
      <w:r w:rsidRPr="009E105D">
        <w:rPr>
          <w:rFonts w:ascii="Verdana" w:eastAsia="Calibri" w:hAnsi="Verdana" w:cs="Arial"/>
        </w:rPr>
        <w:t>Por ejemplo, el artículo 127 de la Constitución Política establece una prohibición contractual a los servidores públicos y en cuanto a aspectos políticos consagra restricciones a ciertos empleados del Estado, incluso en época no electoral</w:t>
      </w:r>
      <w:r w:rsidRPr="009E105D">
        <w:rPr>
          <w:rFonts w:ascii="Verdana" w:eastAsia="Calibri" w:hAnsi="Verdana" w:cs="Arial"/>
          <w:vertAlign w:val="superscript"/>
        </w:rPr>
        <w:footnoteReference w:id="1"/>
      </w:r>
      <w:r w:rsidRPr="009E105D">
        <w:rPr>
          <w:rFonts w:ascii="Verdana" w:eastAsia="Calibri" w:hAnsi="Verdana" w:cs="Arial"/>
        </w:rPr>
        <w:t xml:space="preserve">. </w:t>
      </w:r>
    </w:p>
    <w:p w14:paraId="4C629D54" w14:textId="77777777" w:rsidR="00102946" w:rsidRPr="009E105D" w:rsidRDefault="00102946" w:rsidP="00102946">
      <w:pPr>
        <w:tabs>
          <w:tab w:val="left" w:pos="426"/>
        </w:tabs>
        <w:spacing w:after="0" w:line="276" w:lineRule="auto"/>
        <w:ind w:firstLine="709"/>
        <w:jc w:val="both"/>
        <w:rPr>
          <w:rFonts w:ascii="Verdana" w:eastAsia="Times New Roman" w:hAnsi="Verdana" w:cs="Arial"/>
          <w:lang w:val="es-MX" w:eastAsia="es-CO"/>
        </w:rPr>
      </w:pPr>
      <w:r w:rsidRPr="009E105D">
        <w:rPr>
          <w:rFonts w:ascii="Verdana" w:eastAsia="Times New Roman" w:hAnsi="Verdana" w:cs="Arial"/>
          <w:lang w:eastAsia="es-CO"/>
        </w:rPr>
        <w:t>En el mismo sentido</w:t>
      </w:r>
      <w:r w:rsidRPr="009E105D">
        <w:rPr>
          <w:rFonts w:ascii="Verdana" w:eastAsia="Times New Roman" w:hAnsi="Verdana" w:cs="Arial"/>
          <w:lang w:val="es-MX" w:eastAsia="es-CO"/>
        </w:rPr>
        <w:t xml:space="preserve">, </w:t>
      </w:r>
      <w:bookmarkStart w:id="2" w:name="_Hlk99576829"/>
      <w:r w:rsidRPr="009E105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9E105D">
        <w:rPr>
          <w:rFonts w:ascii="Verdana" w:eastAsia="Times New Roman" w:hAnsi="Verdana" w:cs="Arial"/>
          <w:vertAlign w:val="superscript"/>
          <w:lang w:val="es-MX" w:eastAsia="es-CO"/>
        </w:rPr>
        <w:footnoteReference w:id="2"/>
      </w:r>
      <w:r w:rsidRPr="009E105D">
        <w:rPr>
          <w:rFonts w:ascii="Verdana" w:eastAsia="Times New Roman" w:hAnsi="Verdana" w:cs="Arial"/>
          <w:lang w:val="es-MX" w:eastAsia="es-CO"/>
        </w:rPr>
        <w:t xml:space="preserve">. En esta medida, introduce limitaciones para realizar nombramientos, postulaciones, contrataciones o cualquier otro tipo de actividad que implique destinación de </w:t>
      </w:r>
      <w:r w:rsidRPr="009E105D">
        <w:rPr>
          <w:rFonts w:ascii="Verdana" w:eastAsia="Times New Roman" w:hAnsi="Verdana" w:cs="Arial"/>
          <w:lang w:val="es-MX" w:eastAsia="es-CO"/>
        </w:rPr>
        <w:lastRenderedPageBreak/>
        <w:t>recursos públicos bajo el devenir propio de las entidades estatales.</w:t>
      </w:r>
      <w:r w:rsidRPr="009E105D">
        <w:rPr>
          <w:rFonts w:ascii="Verdana" w:eastAsia="Calibri" w:hAnsi="Verdana" w:cs="Arial"/>
          <w:lang w:val="es-ES_tradnl"/>
        </w:rPr>
        <w:t xml:space="preserve"> </w:t>
      </w:r>
      <w:bookmarkEnd w:id="2"/>
      <w:r w:rsidRPr="009E105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7E3A77DA" w14:textId="77777777" w:rsidR="00102946" w:rsidRPr="009E105D" w:rsidRDefault="00102946" w:rsidP="00102946">
      <w:pPr>
        <w:spacing w:after="0" w:line="276" w:lineRule="auto"/>
        <w:ind w:right="709"/>
        <w:contextualSpacing/>
        <w:jc w:val="both"/>
        <w:rPr>
          <w:rFonts w:ascii="Verdana" w:eastAsia="Times New Roman" w:hAnsi="Verdana" w:cs="Arial"/>
          <w:sz w:val="21"/>
          <w:szCs w:val="21"/>
          <w:lang w:val="es-ES" w:eastAsia="es-CO"/>
        </w:rPr>
      </w:pPr>
    </w:p>
    <w:p w14:paraId="2414EC52" w14:textId="77777777" w:rsidR="00102946" w:rsidRPr="00E066AC" w:rsidRDefault="00102946" w:rsidP="00102946">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ES" w:eastAsia="es-CO"/>
        </w:rPr>
        <w:t xml:space="preserve">“[…] </w:t>
      </w:r>
      <w:r w:rsidRPr="00E066AC">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51BABE82" w14:textId="77777777" w:rsidR="00102946" w:rsidRDefault="00102946" w:rsidP="00102946">
      <w:pPr>
        <w:spacing w:after="12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 xml:space="preserve">[…] </w:t>
      </w:r>
    </w:p>
    <w:p w14:paraId="042B6E53" w14:textId="77777777" w:rsidR="00102946" w:rsidRPr="00E066AC" w:rsidRDefault="00102946" w:rsidP="00102946">
      <w:pPr>
        <w:spacing w:after="120" w:line="240" w:lineRule="auto"/>
        <w:ind w:left="709" w:right="709"/>
        <w:contextualSpacing/>
        <w:jc w:val="both"/>
        <w:rPr>
          <w:rFonts w:ascii="Verdana" w:eastAsia="Times New Roman" w:hAnsi="Verdana" w:cs="Arial"/>
          <w:sz w:val="12"/>
          <w:szCs w:val="12"/>
          <w:lang w:val="es-MX" w:eastAsia="es-CO"/>
        </w:rPr>
      </w:pPr>
    </w:p>
    <w:p w14:paraId="11342B9D" w14:textId="77777777" w:rsidR="00102946" w:rsidRPr="00E066AC" w:rsidRDefault="00102946" w:rsidP="00102946">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066AC">
        <w:rPr>
          <w:rFonts w:ascii="Verdana" w:eastAsia="Calibri" w:hAnsi="Verdana" w:cs="Arial"/>
          <w:sz w:val="20"/>
          <w:szCs w:val="20"/>
          <w:vertAlign w:val="superscript"/>
          <w:lang w:val="es-MX"/>
        </w:rPr>
        <w:footnoteReference w:id="3"/>
      </w:r>
      <w:r w:rsidRPr="00E066AC">
        <w:rPr>
          <w:rFonts w:ascii="Verdana" w:eastAsia="Times New Roman" w:hAnsi="Verdana" w:cs="Arial"/>
          <w:sz w:val="20"/>
          <w:szCs w:val="20"/>
          <w:lang w:val="es-MX" w:eastAsia="es-CO"/>
        </w:rPr>
        <w:t>.</w:t>
      </w:r>
    </w:p>
    <w:p w14:paraId="1979E820" w14:textId="77777777" w:rsidR="00102946" w:rsidRPr="009E105D" w:rsidRDefault="00102946" w:rsidP="00102946">
      <w:pPr>
        <w:spacing w:after="0" w:line="276" w:lineRule="auto"/>
        <w:ind w:left="709" w:right="709"/>
        <w:contextualSpacing/>
        <w:jc w:val="both"/>
        <w:rPr>
          <w:rFonts w:ascii="Verdana" w:eastAsia="Times New Roman" w:hAnsi="Verdana" w:cs="Arial"/>
          <w:sz w:val="21"/>
          <w:szCs w:val="21"/>
          <w:lang w:val="es-MX" w:eastAsia="es-CO"/>
        </w:rPr>
      </w:pPr>
    </w:p>
    <w:p w14:paraId="74CACF0A" w14:textId="77777777" w:rsidR="00102946" w:rsidRPr="009E105D" w:rsidRDefault="00102946" w:rsidP="00102946">
      <w:pPr>
        <w:spacing w:after="0" w:line="276" w:lineRule="auto"/>
        <w:ind w:firstLine="709"/>
        <w:jc w:val="both"/>
        <w:rPr>
          <w:rFonts w:ascii="Verdana" w:eastAsia="Times New Roman" w:hAnsi="Verdana" w:cs="Arial"/>
          <w:lang w:val="es-MX" w:eastAsia="es-CO"/>
        </w:rPr>
      </w:pPr>
      <w:bookmarkStart w:id="3" w:name="_Hlk78818186"/>
      <w:r w:rsidRPr="009E105D">
        <w:rPr>
          <w:rFonts w:ascii="Verdana" w:eastAsia="Times New Roman" w:hAnsi="Verdana" w:cs="Arial"/>
          <w:lang w:val="es-MX" w:eastAsia="es-CO"/>
        </w:rPr>
        <w:t xml:space="preserve">De esta manera,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3"/>
      <w:r w:rsidRPr="009E105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 lo siguiente:</w:t>
      </w:r>
    </w:p>
    <w:p w14:paraId="2375B469" w14:textId="77777777" w:rsidR="00102946" w:rsidRPr="009E105D" w:rsidRDefault="00102946" w:rsidP="00102946">
      <w:pPr>
        <w:spacing w:after="0" w:line="276" w:lineRule="auto"/>
        <w:ind w:firstLine="709"/>
        <w:contextualSpacing/>
        <w:jc w:val="both"/>
        <w:rPr>
          <w:rFonts w:ascii="Verdana" w:eastAsia="Times New Roman" w:hAnsi="Verdana" w:cs="Arial"/>
          <w:lang w:val="es-MX" w:eastAsia="es-CO"/>
        </w:rPr>
      </w:pPr>
    </w:p>
    <w:p w14:paraId="7596EAB2" w14:textId="77777777" w:rsidR="00102946" w:rsidRPr="00E066AC" w:rsidRDefault="00102946" w:rsidP="00102946">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9B6A49A" w14:textId="77777777" w:rsidR="00102946" w:rsidRPr="00E066AC" w:rsidRDefault="00102946" w:rsidP="00102946">
      <w:pPr>
        <w:spacing w:after="0" w:line="240" w:lineRule="auto"/>
        <w:ind w:right="709"/>
        <w:contextualSpacing/>
        <w:jc w:val="both"/>
        <w:rPr>
          <w:rFonts w:ascii="Verdana" w:eastAsia="Times New Roman" w:hAnsi="Verdana" w:cs="Arial"/>
          <w:sz w:val="12"/>
          <w:szCs w:val="12"/>
          <w:lang w:val="es-MX" w:eastAsia="es-CO"/>
        </w:rPr>
      </w:pPr>
    </w:p>
    <w:p w14:paraId="2ED57E0A" w14:textId="77777777" w:rsidR="00102946" w:rsidRPr="00E066AC" w:rsidRDefault="00102946" w:rsidP="00102946">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lastRenderedPageBreak/>
        <w:t>La jurisprudencia de la Corte Constitucional</w:t>
      </w:r>
      <w:r w:rsidRPr="00E066AC">
        <w:rPr>
          <w:rFonts w:ascii="Verdana" w:eastAsia="Times New Roman" w:hAnsi="Verdana" w:cs="Arial"/>
          <w:sz w:val="20"/>
          <w:szCs w:val="20"/>
          <w:vertAlign w:val="superscript"/>
          <w:lang w:val="es-MX" w:eastAsia="es-CO"/>
        </w:rPr>
        <w:footnoteReference w:id="4"/>
      </w:r>
      <w:r w:rsidRPr="00E066AC">
        <w:rPr>
          <w:rFonts w:ascii="Verdana" w:eastAsia="Times New Roman" w:hAnsi="Verdana" w:cs="Arial"/>
          <w:sz w:val="20"/>
          <w:szCs w:val="20"/>
          <w:lang w:val="es-MX" w:eastAsia="es-CO"/>
        </w:rPr>
        <w:t> y del Consejo de Estado</w:t>
      </w:r>
      <w:r w:rsidRPr="00E066AC">
        <w:rPr>
          <w:rFonts w:ascii="Verdana" w:eastAsia="Times New Roman" w:hAnsi="Verdana" w:cs="Arial"/>
          <w:sz w:val="20"/>
          <w:szCs w:val="20"/>
          <w:vertAlign w:val="superscript"/>
          <w:lang w:val="es-MX" w:eastAsia="es-CO"/>
        </w:rPr>
        <w:footnoteReference w:id="5"/>
      </w:r>
      <w:r w:rsidRPr="00E066AC">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066AC">
        <w:rPr>
          <w:rFonts w:ascii="Verdana" w:eastAsia="Times New Roman" w:hAnsi="Verdana" w:cs="Arial"/>
          <w:sz w:val="20"/>
          <w:szCs w:val="20"/>
          <w:vertAlign w:val="superscript"/>
          <w:lang w:val="es-MX" w:eastAsia="es-CO"/>
        </w:rPr>
        <w:footnoteReference w:id="6"/>
      </w:r>
      <w:r w:rsidRPr="00E066AC">
        <w:rPr>
          <w:rFonts w:ascii="Verdana" w:eastAsia="Times New Roman" w:hAnsi="Verdana" w:cs="Arial"/>
          <w:sz w:val="20"/>
          <w:szCs w:val="20"/>
          <w:lang w:val="es-MX" w:eastAsia="es-CO"/>
        </w:rPr>
        <w:t>.</w:t>
      </w:r>
    </w:p>
    <w:p w14:paraId="4F511428" w14:textId="77777777" w:rsidR="00102946" w:rsidRPr="009E105D" w:rsidRDefault="00102946" w:rsidP="00102946">
      <w:pPr>
        <w:spacing w:after="0" w:line="276" w:lineRule="auto"/>
        <w:ind w:right="709"/>
        <w:contextualSpacing/>
        <w:jc w:val="both"/>
        <w:rPr>
          <w:rFonts w:ascii="Verdana" w:eastAsia="Times New Roman" w:hAnsi="Verdana" w:cs="Arial"/>
          <w:sz w:val="21"/>
          <w:szCs w:val="21"/>
          <w:lang w:val="es-MX" w:eastAsia="es-CO"/>
        </w:rPr>
      </w:pPr>
    </w:p>
    <w:p w14:paraId="747F2A27" w14:textId="77777777" w:rsidR="00102946" w:rsidRPr="009E105D" w:rsidRDefault="00102946" w:rsidP="00102946">
      <w:pPr>
        <w:spacing w:after="120" w:line="276" w:lineRule="auto"/>
        <w:jc w:val="both"/>
        <w:rPr>
          <w:rFonts w:ascii="Verdana" w:eastAsia="Arial" w:hAnsi="Verdana" w:cs="Arial"/>
          <w:lang w:val="es-ES" w:eastAsia="es-ES" w:bidi="es-ES"/>
        </w:rPr>
      </w:pPr>
      <w:r w:rsidRPr="009E105D">
        <w:rPr>
          <w:rFonts w:ascii="Verdana" w:eastAsia="Times New Roman" w:hAnsi="Verdana" w:cs="Arial"/>
          <w:lang w:val="es-MX" w:eastAsia="es-CO"/>
        </w:rPr>
        <w:tab/>
        <w:t>De</w:t>
      </w:r>
      <w:r w:rsidRPr="009E105D">
        <w:rPr>
          <w:rFonts w:ascii="Verdana" w:eastAsia="Arial" w:hAnsi="Verdana" w:cs="Arial"/>
          <w:lang w:val="es-ES" w:eastAsia="es-ES" w:bidi="es-ES"/>
        </w:rPr>
        <w:t xml:space="preserve"> conformidad con lo anterior, </w:t>
      </w:r>
      <w:bookmarkStart w:id="4" w:name="_Hlk77236098"/>
      <w:bookmarkStart w:id="5" w:name="_Hlk100679383"/>
      <w:r w:rsidRPr="009E105D">
        <w:rPr>
          <w:rFonts w:ascii="Verdana" w:eastAsia="Arial" w:hAnsi="Verdana" w:cs="Arial"/>
          <w:lang w:val="es-ES" w:eastAsia="es-ES" w:bidi="es-ES"/>
        </w:rPr>
        <w:t>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4"/>
    </w:p>
    <w:p w14:paraId="4D812263" w14:textId="77777777" w:rsidR="00102946" w:rsidRPr="009E105D" w:rsidRDefault="00102946" w:rsidP="00102946">
      <w:pPr>
        <w:spacing w:after="120" w:line="276" w:lineRule="auto"/>
        <w:ind w:firstLine="708"/>
        <w:jc w:val="both"/>
        <w:rPr>
          <w:rFonts w:ascii="Verdana" w:eastAsia="Calibri" w:hAnsi="Verdana" w:cs="Arial"/>
        </w:rPr>
      </w:pPr>
      <w:r w:rsidRPr="00C50FB4">
        <w:rPr>
          <w:rFonts w:ascii="Verdana" w:eastAsia="Calibri" w:hAnsi="Verdana" w:cs="Arial"/>
          <w:i/>
          <w:iCs/>
        </w:rPr>
        <w:t>Por un lado</w:t>
      </w:r>
      <w:r w:rsidRPr="009E105D">
        <w:rPr>
          <w:rFonts w:ascii="Verdana" w:eastAsia="Calibri" w:hAnsi="Verdana" w:cs="Arial"/>
        </w:rPr>
        <w:t xml:space="preserve">,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9E105D">
        <w:rPr>
          <w:rFonts w:ascii="Verdana" w:eastAsia="Calibri" w:hAnsi="Verdana" w:cs="Arial"/>
        </w:rPr>
        <w:lastRenderedPageBreak/>
        <w:t>acciones terroristas, desastres naturales o casos de fuerza mayor, y los que deban realizar las entidades sanitarias y hospitalarias”</w:t>
      </w:r>
      <w:r w:rsidRPr="009E105D">
        <w:rPr>
          <w:rFonts w:ascii="Verdana" w:eastAsia="Calibri" w:hAnsi="Verdana" w:cs="Arial"/>
          <w:vertAlign w:val="superscript"/>
        </w:rPr>
        <w:footnoteReference w:id="7"/>
      </w:r>
      <w:r w:rsidRPr="009E105D">
        <w:rPr>
          <w:rFonts w:ascii="Verdana" w:eastAsia="Calibri" w:hAnsi="Verdana" w:cs="Arial"/>
        </w:rPr>
        <w:t>.</w:t>
      </w:r>
    </w:p>
    <w:p w14:paraId="6E111258" w14:textId="77777777" w:rsidR="00102946" w:rsidRPr="009E105D" w:rsidRDefault="00102946" w:rsidP="00102946">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C50FB4">
        <w:rPr>
          <w:rFonts w:ascii="Verdana" w:eastAsia="Calibri" w:hAnsi="Verdana" w:cs="Arial"/>
          <w:i/>
          <w:iCs/>
        </w:rPr>
        <w:t>Por otro</w:t>
      </w:r>
      <w:r w:rsidRPr="009E105D">
        <w:rPr>
          <w:rFonts w:ascii="Verdana" w:eastAsia="Calibri" w:hAnsi="Verdana" w:cs="Arial"/>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9E105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9E105D">
        <w:rPr>
          <w:rFonts w:ascii="Verdana" w:eastAsia="Calibri" w:hAnsi="Verdana" w:cs="Arial"/>
          <w:sz w:val="19"/>
          <w:szCs w:val="19"/>
        </w:rPr>
        <w:t>”</w:t>
      </w:r>
      <w:bookmarkEnd w:id="5"/>
      <w:r w:rsidRPr="009E105D">
        <w:rPr>
          <w:rFonts w:ascii="Verdana" w:eastAsia="Calibri" w:hAnsi="Verdana" w:cs="Arial"/>
          <w:sz w:val="19"/>
          <w:szCs w:val="19"/>
          <w:vertAlign w:val="superscript"/>
        </w:rPr>
        <w:footnoteReference w:id="8"/>
      </w:r>
      <w:r w:rsidRPr="009E105D">
        <w:rPr>
          <w:rFonts w:ascii="Verdana" w:eastAsia="Calibri" w:hAnsi="Verdana" w:cs="Arial"/>
          <w:lang w:val="es-MX"/>
        </w:rPr>
        <w:t>.</w:t>
      </w:r>
      <w:r w:rsidRPr="009E105D">
        <w:rPr>
          <w:rFonts w:ascii="Verdana" w:eastAsia="Arial" w:hAnsi="Verdana" w:cs="Arial"/>
          <w:lang w:val="es-ES" w:eastAsia="es-ES" w:bidi="es-ES"/>
        </w:rPr>
        <w:t xml:space="preserve"> La Sala de Consulta y Servicio Civil del Consejo de Estado ha aclarado la distinción en la aplicación de las prohibiciones de la Ley 996 de 2005, dependiendo del tipo de elección que se trate. Al respecto, considera que:</w:t>
      </w:r>
    </w:p>
    <w:p w14:paraId="1FF9A6C4" w14:textId="77777777" w:rsidR="00102946" w:rsidRPr="009E105D" w:rsidRDefault="00102946" w:rsidP="00102946">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477F7D27" w14:textId="77777777" w:rsidR="00102946" w:rsidRPr="00E066AC" w:rsidRDefault="00102946" w:rsidP="00102946">
      <w:pPr>
        <w:widowControl w:val="0"/>
        <w:autoSpaceDE w:val="0"/>
        <w:autoSpaceDN w:val="0"/>
        <w:spacing w:after="0" w:line="240" w:lineRule="auto"/>
        <w:ind w:left="709" w:right="709"/>
        <w:contextualSpacing/>
        <w:jc w:val="both"/>
        <w:rPr>
          <w:rFonts w:ascii="Verdana" w:eastAsia="Arial" w:hAnsi="Verdana" w:cs="Arial"/>
          <w:sz w:val="20"/>
          <w:szCs w:val="20"/>
          <w:lang w:val="es-ES" w:eastAsia="es-ES" w:bidi="es-ES"/>
        </w:rPr>
      </w:pPr>
      <w:r w:rsidRPr="00E066AC">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8" w:name="_Hlk76109421"/>
      <w:r w:rsidRPr="00E066AC">
        <w:rPr>
          <w:rFonts w:ascii="Verdana" w:eastAsia="Arial" w:hAnsi="Verdana" w:cs="Arial"/>
          <w:sz w:val="20"/>
          <w:szCs w:val="20"/>
          <w:lang w:val="es-ES" w:eastAsia="es-ES" w:bidi="es-ES"/>
        </w:rPr>
        <w:t>se integran parcialmente</w:t>
      </w:r>
      <w:bookmarkEnd w:id="8"/>
      <w:r w:rsidRPr="00E066AC">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E066AC">
        <w:rPr>
          <w:rFonts w:ascii="Verdana" w:eastAsia="Arial" w:hAnsi="Verdana" w:cs="Arial"/>
          <w:sz w:val="20"/>
          <w:szCs w:val="20"/>
          <w:lang w:val="es-ES" w:eastAsia="es-ES" w:bidi="es-ES"/>
        </w:rPr>
        <w:t>Presidente</w:t>
      </w:r>
      <w:proofErr w:type="gramEnd"/>
      <w:r w:rsidRPr="00E066AC">
        <w:rPr>
          <w:rFonts w:ascii="Verdana" w:eastAsia="Arial" w:hAnsi="Verdana" w:cs="Arial"/>
          <w:sz w:val="20"/>
          <w:szCs w:val="20"/>
          <w:lang w:val="es-ES" w:eastAsia="es-ES" w:bidi="es-ES"/>
        </w:rPr>
        <w:t xml:space="preserve"> de la República, a las </w:t>
      </w:r>
      <w:r w:rsidRPr="00E066AC">
        <w:rPr>
          <w:rFonts w:ascii="Verdana" w:eastAsia="Arial" w:hAnsi="Verdana" w:cs="Arial"/>
          <w:sz w:val="20"/>
          <w:szCs w:val="20"/>
          <w:lang w:val="es-ES" w:eastAsia="es-ES" w:bidi="es-ES"/>
        </w:rPr>
        <w:lastRenderedPageBreak/>
        <w:t>autoridades territoriales allí mencionadas sólo se aplican las restricciones contenidas en el parágrafo del artículo 38”</w:t>
      </w:r>
      <w:r w:rsidRPr="00E066AC">
        <w:rPr>
          <w:rFonts w:ascii="Verdana" w:eastAsia="Arial" w:hAnsi="Verdana" w:cs="Arial"/>
          <w:sz w:val="20"/>
          <w:szCs w:val="20"/>
          <w:vertAlign w:val="superscript"/>
          <w:lang w:val="es-ES" w:eastAsia="es-ES" w:bidi="es-ES"/>
        </w:rPr>
        <w:footnoteReference w:id="9"/>
      </w:r>
      <w:r w:rsidRPr="00E066AC">
        <w:rPr>
          <w:rFonts w:ascii="Verdana" w:eastAsia="Arial" w:hAnsi="Verdana" w:cs="Arial"/>
          <w:sz w:val="20"/>
          <w:szCs w:val="20"/>
          <w:lang w:val="es-ES" w:eastAsia="es-ES" w:bidi="es-ES"/>
        </w:rPr>
        <w:t>.</w:t>
      </w:r>
    </w:p>
    <w:p w14:paraId="00F113BE" w14:textId="77777777" w:rsidR="00102946" w:rsidRPr="009E105D" w:rsidRDefault="00102946" w:rsidP="00102946">
      <w:pPr>
        <w:widowControl w:val="0"/>
        <w:autoSpaceDE w:val="0"/>
        <w:autoSpaceDN w:val="0"/>
        <w:spacing w:after="0" w:line="276" w:lineRule="auto"/>
        <w:contextualSpacing/>
        <w:rPr>
          <w:rFonts w:ascii="Verdana" w:eastAsia="Arial" w:hAnsi="Verdana" w:cs="Arial"/>
          <w:lang w:val="es-ES" w:eastAsia="es-ES" w:bidi="es-ES"/>
        </w:rPr>
      </w:pPr>
    </w:p>
    <w:p w14:paraId="3B8F19F2" w14:textId="77777777" w:rsidR="00102946" w:rsidRPr="009E105D" w:rsidRDefault="00102946" w:rsidP="00102946">
      <w:pPr>
        <w:spacing w:after="120" w:line="276" w:lineRule="auto"/>
        <w:ind w:firstLine="709"/>
        <w:jc w:val="both"/>
        <w:rPr>
          <w:rFonts w:ascii="Verdana" w:eastAsia="Arial" w:hAnsi="Verdana" w:cs="Arial"/>
          <w:lang w:val="es-ES" w:eastAsia="es-ES" w:bidi="es-ES"/>
        </w:rPr>
      </w:pPr>
      <w:r w:rsidRPr="009E105D">
        <w:rPr>
          <w:rFonts w:ascii="Verdana" w:eastAsia="Arial" w:hAnsi="Verdana" w:cs="Arial"/>
          <w:lang w:val="es-ES" w:eastAsia="es-ES" w:bidi="es-ES"/>
        </w:rPr>
        <w:t xml:space="preserve">De conformidad con lo anterior, </w:t>
      </w:r>
      <w:bookmarkStart w:id="9" w:name="_Hlk77236420"/>
      <w:bookmarkStart w:id="10" w:name="_Hlk78818435"/>
      <w:bookmarkStart w:id="11" w:name="_Hlk75780333"/>
      <w:r w:rsidRPr="009E105D">
        <w:rPr>
          <w:rFonts w:ascii="Verdana" w:eastAsia="Arial" w:hAnsi="Verdana" w:cs="Arial"/>
          <w:lang w:val="es-ES" w:eastAsia="es-ES" w:bidi="es-ES"/>
        </w:rPr>
        <w:t xml:space="preserve">la Ley 996 de 2005 establece dos (2) tipos de restricciones en materia de contratación, las cuales coinciden parcialmente. </w:t>
      </w:r>
      <w:r w:rsidRPr="009E105D">
        <w:rPr>
          <w:rFonts w:ascii="Verdana" w:eastAsia="Arial" w:hAnsi="Verdana" w:cs="Arial"/>
          <w:i/>
          <w:lang w:val="es-ES" w:eastAsia="es-ES" w:bidi="es-ES"/>
        </w:rPr>
        <w:t>En primer lugar</w:t>
      </w:r>
      <w:r w:rsidRPr="009E105D">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9E105D">
        <w:rPr>
          <w:rFonts w:ascii="Verdana" w:eastAsia="Arial" w:hAnsi="Verdana" w:cs="Arial"/>
          <w:i/>
          <w:lang w:val="es-ES" w:eastAsia="es-ES" w:bidi="es-ES"/>
        </w:rPr>
        <w:t>En segundo lugar</w:t>
      </w:r>
      <w:r w:rsidRPr="009E105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9"/>
    </w:p>
    <w:bookmarkEnd w:id="10"/>
    <w:p w14:paraId="7BE31C0C" w14:textId="77777777" w:rsidR="00102946" w:rsidRPr="009E105D" w:rsidRDefault="00102946" w:rsidP="00102946">
      <w:pPr>
        <w:spacing w:after="120" w:line="276" w:lineRule="auto"/>
        <w:ind w:firstLine="709"/>
        <w:jc w:val="both"/>
        <w:rPr>
          <w:rFonts w:ascii="Verdana" w:eastAsia="Arial" w:hAnsi="Verdana" w:cs="Arial"/>
          <w:lang w:val="es-ES" w:eastAsia="es-ES" w:bidi="es-ES"/>
        </w:rPr>
      </w:pPr>
      <w:r w:rsidRPr="009E105D">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9E105D">
        <w:rPr>
          <w:rFonts w:ascii="Verdana" w:eastAsia="Arial" w:hAnsi="Verdana" w:cs="Arial"/>
          <w:lang w:val="es-ES" w:eastAsia="es-ES" w:bidi="es-ES"/>
        </w:rPr>
        <w:t>Presidente</w:t>
      </w:r>
      <w:proofErr w:type="gramEnd"/>
      <w:r w:rsidRPr="009E105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9E105D">
        <w:rPr>
          <w:rFonts w:ascii="Verdana" w:eastAsia="Arial" w:hAnsi="Verdana" w:cs="Arial"/>
          <w:lang w:val="es-ES" w:eastAsia="es-ES" w:bidi="es-ES"/>
        </w:rPr>
        <w:t>Presidente</w:t>
      </w:r>
      <w:proofErr w:type="gramEnd"/>
      <w:r w:rsidRPr="009E105D">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1"/>
    <w:p w14:paraId="52B7FA6F" w14:textId="77777777" w:rsidR="00102946" w:rsidRDefault="00102946" w:rsidP="00102946">
      <w:pPr>
        <w:spacing w:after="0" w:line="276" w:lineRule="auto"/>
        <w:ind w:firstLine="708"/>
        <w:jc w:val="both"/>
        <w:rPr>
          <w:rFonts w:ascii="Verdana" w:eastAsia="Arial" w:hAnsi="Verdana" w:cs="Arial"/>
          <w:lang w:val="es-ES" w:eastAsia="es-ES" w:bidi="es-ES"/>
        </w:rPr>
      </w:pPr>
      <w:r w:rsidRPr="009E105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9E105D">
        <w:rPr>
          <w:rFonts w:ascii="Verdana" w:eastAsia="Arial" w:hAnsi="Verdana" w:cs="Arial"/>
          <w:lang w:val="es-ES" w:eastAsia="es-ES" w:bidi="es-ES"/>
        </w:rPr>
        <w:t>Presidente</w:t>
      </w:r>
      <w:proofErr w:type="gramEnd"/>
      <w:r w:rsidRPr="009E105D">
        <w:rPr>
          <w:rFonts w:ascii="Verdana" w:eastAsia="Arial" w:hAnsi="Verdana" w:cs="Arial"/>
          <w:lang w:val="es-ES" w:eastAsia="es-ES" w:bidi="es-ES"/>
        </w:rPr>
        <w:t xml:space="preserve"> o el </w:t>
      </w:r>
      <w:proofErr w:type="gramStart"/>
      <w:r w:rsidRPr="009E105D">
        <w:rPr>
          <w:rFonts w:ascii="Verdana" w:eastAsia="Arial" w:hAnsi="Verdana" w:cs="Arial"/>
          <w:lang w:val="es-ES" w:eastAsia="es-ES" w:bidi="es-ES"/>
        </w:rPr>
        <w:t>Vicepresidente</w:t>
      </w:r>
      <w:proofErr w:type="gramEnd"/>
      <w:r w:rsidRPr="009E105D">
        <w:rPr>
          <w:rFonts w:ascii="Verdana" w:eastAsia="Arial" w:hAnsi="Verdana" w:cs="Arial"/>
          <w:lang w:val="es-ES" w:eastAsia="es-ES" w:bidi="es-ES"/>
        </w:rPr>
        <w:t xml:space="preserv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w:t>
      </w:r>
      <w:r w:rsidRPr="009E105D">
        <w:rPr>
          <w:rFonts w:ascii="Verdana" w:eastAsia="Arial" w:hAnsi="Verdana" w:cs="Arial"/>
          <w:lang w:val="es-ES" w:eastAsia="es-ES" w:bidi="es-ES"/>
        </w:rPr>
        <w:lastRenderedPageBreak/>
        <w:t>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w:t>
      </w:r>
    </w:p>
    <w:p w14:paraId="770F5AC0" w14:textId="77777777" w:rsidR="00102946" w:rsidRDefault="00102946" w:rsidP="00102946">
      <w:pPr>
        <w:spacing w:after="0" w:line="276" w:lineRule="auto"/>
        <w:jc w:val="both"/>
        <w:rPr>
          <w:rFonts w:ascii="Verdana" w:eastAsia="Arial" w:hAnsi="Verdana" w:cs="Arial"/>
          <w:lang w:val="es-ES" w:eastAsia="es-ES" w:bidi="es-ES"/>
        </w:rPr>
      </w:pPr>
    </w:p>
    <w:p w14:paraId="23195D34" w14:textId="77777777" w:rsidR="00102946" w:rsidRPr="00F8199A" w:rsidRDefault="00102946" w:rsidP="00102946">
      <w:pPr>
        <w:spacing w:after="0" w:line="276" w:lineRule="auto"/>
        <w:jc w:val="both"/>
        <w:rPr>
          <w:rFonts w:ascii="Verdana" w:hAnsi="Verdana" w:cs="Arial"/>
          <w:bCs/>
          <w:lang w:val="es-MX" w:eastAsia="es-CO"/>
        </w:rPr>
      </w:pPr>
      <w:proofErr w:type="spellStart"/>
      <w:r w:rsidRPr="00F8199A">
        <w:rPr>
          <w:rFonts w:ascii="Verdana" w:eastAsia="Arial" w:hAnsi="Verdana" w:cs="Arial"/>
          <w:lang w:val="es-ES" w:eastAsia="es-ES" w:bidi="es-ES"/>
        </w:rPr>
        <w:t>ii</w:t>
      </w:r>
      <w:proofErr w:type="spellEnd"/>
      <w:r w:rsidRPr="00F8199A">
        <w:rPr>
          <w:rFonts w:ascii="Verdana" w:eastAsia="Arial" w:hAnsi="Verdana" w:cs="Arial"/>
          <w:lang w:val="es-ES" w:eastAsia="es-ES" w:bidi="es-ES"/>
        </w:rPr>
        <w:t xml:space="preserve">. </w:t>
      </w:r>
      <w:r w:rsidRPr="00F8199A">
        <w:rPr>
          <w:rFonts w:ascii="Verdana"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F8199A">
        <w:rPr>
          <w:rFonts w:ascii="Verdana" w:hAnsi="Verdana" w:cs="Arial"/>
          <w:bCs/>
          <w:lang w:val="es-MX" w:eastAsia="x-none"/>
        </w:rPr>
        <w:t>queda prohibida la contratación directa</w:t>
      </w:r>
      <w:r>
        <w:rPr>
          <w:rFonts w:ascii="Verdana" w:hAnsi="Verdana" w:cs="Arial"/>
          <w:sz w:val="20"/>
          <w:szCs w:val="20"/>
          <w:lang w:val="es-MX"/>
        </w:rPr>
        <w:t>”</w:t>
      </w:r>
      <w:r w:rsidRPr="00F8199A">
        <w:rPr>
          <w:rFonts w:ascii="Verdana" w:hAnsi="Verdana" w:cs="Arial"/>
          <w:bCs/>
          <w:lang w:val="es-MX" w:eastAsia="x-none"/>
        </w:rPr>
        <w:t xml:space="preserve">. </w:t>
      </w:r>
      <w:r w:rsidRPr="00F8199A">
        <w:rPr>
          <w:rFonts w:ascii="Verdana" w:hAnsi="Verdana" w:cs="Arial"/>
          <w:lang w:val="es-MX" w:eastAsia="es-CO"/>
        </w:rPr>
        <w:t xml:space="preserve"> A propósito de </w:t>
      </w:r>
      <w:r w:rsidRPr="00F8199A">
        <w:rPr>
          <w:rFonts w:ascii="Verdana" w:hAnsi="Verdana" w:cs="Arial"/>
          <w:lang w:eastAsia="es-CO"/>
        </w:rPr>
        <w:t>esta restricción de la Ley de Garantías Electorales, la Sala de Consulta y Servicio Civil del Consejo de Estado ha considerado que:</w:t>
      </w:r>
    </w:p>
    <w:p w14:paraId="1F196B7C" w14:textId="77777777" w:rsidR="00102946" w:rsidRPr="00F8199A" w:rsidRDefault="00102946" w:rsidP="00102946">
      <w:pPr>
        <w:spacing w:after="0" w:line="276" w:lineRule="auto"/>
        <w:ind w:left="708" w:right="709"/>
        <w:jc w:val="both"/>
        <w:rPr>
          <w:rFonts w:ascii="Verdana" w:hAnsi="Verdana" w:cs="Arial"/>
          <w:lang w:val="es-MX"/>
        </w:rPr>
      </w:pPr>
    </w:p>
    <w:p w14:paraId="2D3D347D" w14:textId="77777777" w:rsidR="00102946" w:rsidRPr="00F8199A" w:rsidRDefault="00102946" w:rsidP="00102946">
      <w:pPr>
        <w:spacing w:after="120"/>
        <w:ind w:left="709" w:right="709"/>
        <w:jc w:val="both"/>
        <w:rPr>
          <w:rFonts w:ascii="Verdana" w:hAnsi="Verdana" w:cs="Arial"/>
          <w:sz w:val="20"/>
          <w:szCs w:val="20"/>
          <w:lang w:val="es-MX"/>
        </w:rPr>
      </w:pPr>
      <w:r>
        <w:rPr>
          <w:rFonts w:ascii="Verdana" w:hAnsi="Verdana" w:cs="Arial"/>
          <w:sz w:val="18"/>
          <w:szCs w:val="18"/>
          <w:lang w:val="es-MX"/>
        </w:rPr>
        <w:t>“</w:t>
      </w:r>
      <w:r w:rsidRPr="00F8199A">
        <w:rPr>
          <w:rFonts w:ascii="Verdana"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F8199A">
        <w:rPr>
          <w:rFonts w:ascii="Verdana" w:hAnsi="Verdana" w:cs="Arial"/>
          <w:sz w:val="20"/>
          <w:szCs w:val="20"/>
          <w:vertAlign w:val="superscript"/>
          <w:lang w:eastAsia="es-CO"/>
        </w:rPr>
        <w:footnoteReference w:id="10"/>
      </w:r>
      <w:r w:rsidRPr="00F8199A">
        <w:rPr>
          <w:rFonts w:ascii="Verdana" w:hAnsi="Verdana" w:cs="Arial"/>
          <w:sz w:val="20"/>
          <w:szCs w:val="20"/>
          <w:lang w:val="es-MX"/>
        </w:rPr>
        <w:t>.</w:t>
      </w:r>
    </w:p>
    <w:p w14:paraId="20135AFB" w14:textId="77777777" w:rsidR="00102946" w:rsidRPr="00F8199A" w:rsidRDefault="00102946" w:rsidP="00102946">
      <w:pPr>
        <w:spacing w:after="0"/>
        <w:ind w:left="708" w:right="709"/>
        <w:jc w:val="both"/>
        <w:rPr>
          <w:rFonts w:ascii="Verdana" w:hAnsi="Verdana" w:cs="Arial"/>
          <w:sz w:val="20"/>
          <w:szCs w:val="20"/>
          <w:lang w:val="es-MX"/>
        </w:rPr>
      </w:pPr>
      <w:r w:rsidRPr="00F8199A">
        <w:rPr>
          <w:rFonts w:ascii="Verdana" w:hAnsi="Verdana" w:cs="Arial"/>
          <w:sz w:val="20"/>
          <w:szCs w:val="20"/>
          <w:lang w:val="es-MX"/>
        </w:rPr>
        <w:t xml:space="preserve">Esta Sala ha entendido que para los efectos de la ley de garantías, y dada su finalidad, el enunciado </w:t>
      </w:r>
      <w:r>
        <w:rPr>
          <w:rFonts w:ascii="Verdana" w:hAnsi="Verdana" w:cs="Arial"/>
          <w:sz w:val="20"/>
          <w:szCs w:val="20"/>
          <w:lang w:val="es-MX"/>
        </w:rPr>
        <w:t>‘</w:t>
      </w:r>
      <w:r w:rsidRPr="00F8199A">
        <w:rPr>
          <w:rFonts w:ascii="Verdana" w:hAnsi="Verdana" w:cs="Arial"/>
          <w:sz w:val="20"/>
          <w:szCs w:val="20"/>
          <w:lang w:val="es-MX"/>
        </w:rPr>
        <w:t>contratación direct</w:t>
      </w:r>
      <w:r>
        <w:rPr>
          <w:rFonts w:ascii="Verdana" w:hAnsi="Verdana" w:cs="Arial"/>
          <w:sz w:val="20"/>
          <w:szCs w:val="20"/>
          <w:lang w:val="es-MX"/>
        </w:rPr>
        <w:t>a’</w:t>
      </w:r>
      <w:r w:rsidRPr="00F8199A">
        <w:rPr>
          <w:rFonts w:ascii="Verdana" w:hAnsi="Verdana" w:cs="Arial"/>
          <w:sz w:val="20"/>
          <w:szCs w:val="20"/>
          <w:lang w:val="es-MX"/>
        </w:rPr>
        <w:t xml:space="preserve">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F8199A">
        <w:rPr>
          <w:rFonts w:ascii="Verdana" w:hAnsi="Verdana" w:cs="Arial"/>
          <w:sz w:val="20"/>
          <w:szCs w:val="20"/>
          <w:vertAlign w:val="superscript"/>
          <w:lang w:val="es-MX"/>
        </w:rPr>
        <w:footnoteReference w:id="11"/>
      </w:r>
      <w:r w:rsidRPr="00F8199A">
        <w:rPr>
          <w:rFonts w:ascii="Verdana" w:hAnsi="Verdana" w:cs="Arial"/>
          <w:sz w:val="20"/>
          <w:szCs w:val="20"/>
          <w:vertAlign w:val="superscript"/>
          <w:lang w:val="es-MX"/>
        </w:rPr>
        <w:t>.</w:t>
      </w:r>
      <w:r w:rsidRPr="00F8199A">
        <w:rPr>
          <w:rFonts w:ascii="Verdana"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w:t>
      </w:r>
      <w:r>
        <w:rPr>
          <w:rFonts w:ascii="Verdana" w:hAnsi="Verdana" w:cs="Arial"/>
          <w:sz w:val="20"/>
          <w:szCs w:val="20"/>
          <w:lang w:val="es-MX"/>
        </w:rPr>
        <w:t xml:space="preserve"> </w:t>
      </w:r>
      <w:r w:rsidRPr="00F8199A">
        <w:rPr>
          <w:rFonts w:ascii="Verdana" w:hAnsi="Verdana" w:cs="Arial"/>
          <w:sz w:val="20"/>
          <w:szCs w:val="20"/>
          <w:lang w:val="es-MX"/>
        </w:rPr>
        <w:t>[...]</w:t>
      </w:r>
      <w:r>
        <w:rPr>
          <w:rFonts w:ascii="Verdana" w:hAnsi="Verdana" w:cs="Arial"/>
          <w:sz w:val="20"/>
          <w:szCs w:val="20"/>
          <w:lang w:val="es-MX"/>
        </w:rPr>
        <w:t>”</w:t>
      </w:r>
      <w:r w:rsidRPr="00F8199A">
        <w:rPr>
          <w:rFonts w:ascii="Verdana" w:hAnsi="Verdana" w:cs="Arial"/>
          <w:sz w:val="20"/>
          <w:szCs w:val="20"/>
          <w:vertAlign w:val="superscript"/>
          <w:lang w:eastAsia="es-CO"/>
        </w:rPr>
        <w:footnoteReference w:id="12"/>
      </w:r>
      <w:r w:rsidRPr="00F8199A">
        <w:rPr>
          <w:rFonts w:ascii="Verdana" w:hAnsi="Verdana" w:cs="Arial"/>
          <w:sz w:val="20"/>
          <w:szCs w:val="20"/>
          <w:lang w:val="es-MX"/>
        </w:rPr>
        <w:t>.</w:t>
      </w:r>
    </w:p>
    <w:p w14:paraId="2196122C" w14:textId="77777777" w:rsidR="00102946" w:rsidRPr="00F8199A" w:rsidRDefault="00102946" w:rsidP="00102946">
      <w:pPr>
        <w:shd w:val="clear" w:color="auto" w:fill="FFFFFF"/>
        <w:spacing w:after="0" w:line="276" w:lineRule="auto"/>
        <w:ind w:firstLine="709"/>
        <w:jc w:val="both"/>
        <w:rPr>
          <w:rFonts w:ascii="Verdana" w:hAnsi="Verdana" w:cs="Arial"/>
          <w:lang w:eastAsia="x-none"/>
        </w:rPr>
      </w:pPr>
    </w:p>
    <w:p w14:paraId="1543E44D" w14:textId="77777777" w:rsidR="00102946" w:rsidRPr="00F8199A" w:rsidRDefault="00102946" w:rsidP="00102946">
      <w:pPr>
        <w:spacing w:after="120" w:line="276" w:lineRule="auto"/>
        <w:ind w:firstLine="708"/>
        <w:jc w:val="both"/>
        <w:rPr>
          <w:rFonts w:ascii="Verdana" w:hAnsi="Verdana" w:cs="Arial"/>
          <w:bCs/>
          <w:lang w:eastAsia="x-none"/>
        </w:rPr>
      </w:pPr>
      <w:r w:rsidRPr="00F8199A">
        <w:rPr>
          <w:rFonts w:ascii="Verdana" w:hAnsi="Verdana" w:cs="Arial"/>
          <w:lang w:eastAsia="x-none"/>
        </w:rPr>
        <w:t xml:space="preserve">De acuerdo con el citado concepto, la prohibición del artículo 33 de la Ley de Garantías Electorales se refiere a </w:t>
      </w:r>
      <w:r>
        <w:rPr>
          <w:rFonts w:ascii="Verdana" w:hAnsi="Verdana" w:cs="Arial"/>
          <w:sz w:val="19"/>
          <w:szCs w:val="19"/>
          <w:lang w:eastAsia="en-GB"/>
        </w:rPr>
        <w:t>“</w:t>
      </w:r>
      <w:r w:rsidRPr="00F8199A">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F8199A">
        <w:rPr>
          <w:rFonts w:ascii="Verdana" w:hAnsi="Verdana" w:cs="Arial"/>
          <w:lang w:eastAsia="x-none"/>
        </w:rPr>
        <w:t xml:space="preserve">, por lo que excluye las demás modalidades de contratación previstas en la Ley 1150 de 2007, es decir, la licitación pública, la selección abreviada y el concurso de méritos u otros previstos en normas especiales. Esta posición es congruente con la expedición </w:t>
      </w:r>
      <w:r w:rsidRPr="00F8199A">
        <w:rPr>
          <w:rFonts w:ascii="Verdana" w:hAnsi="Verdana" w:cs="Arial"/>
          <w:lang w:eastAsia="x-none"/>
        </w:rPr>
        <w:lastRenderedPageBreak/>
        <w:t>de la Ley 1150 de 2007 que, entre otras reformas, introdujo la selección abreviada, rediseñó el concurso de méritos</w:t>
      </w:r>
      <w:r w:rsidRPr="00F8199A">
        <w:rPr>
          <w:rFonts w:ascii="Verdana" w:hAnsi="Verdana" w:cs="Arial"/>
          <w:vertAlign w:val="superscript"/>
          <w:lang w:val="en-GB" w:eastAsia="x-none"/>
        </w:rPr>
        <w:footnoteReference w:id="13"/>
      </w:r>
      <w:r w:rsidRPr="00F8199A">
        <w:rPr>
          <w:rFonts w:ascii="Verdana" w:hAnsi="Verdana" w:cs="Arial"/>
          <w:lang w:eastAsia="x-none"/>
        </w:rPr>
        <w:t xml:space="preserve"> y sistematizó las causales de contratación directa</w:t>
      </w:r>
      <w:r w:rsidRPr="00F8199A">
        <w:rPr>
          <w:rFonts w:ascii="Verdana" w:hAnsi="Verdana" w:cs="Arial"/>
          <w:vertAlign w:val="superscript"/>
          <w:lang w:val="en-GB" w:eastAsia="x-none"/>
        </w:rPr>
        <w:footnoteReference w:id="14"/>
      </w:r>
      <w:r w:rsidRPr="00F8199A">
        <w:rPr>
          <w:rFonts w:ascii="Verdana" w:hAnsi="Verdana" w:cs="Arial"/>
          <w:lang w:eastAsia="x-none"/>
        </w:rPr>
        <w:t xml:space="preserve">. </w:t>
      </w:r>
    </w:p>
    <w:p w14:paraId="689A07EE" w14:textId="77777777" w:rsidR="00102946" w:rsidRPr="00F8199A" w:rsidRDefault="00102946" w:rsidP="00102946">
      <w:pPr>
        <w:spacing w:after="120" w:line="276" w:lineRule="auto"/>
        <w:ind w:firstLine="708"/>
        <w:jc w:val="both"/>
        <w:rPr>
          <w:rFonts w:ascii="Verdana" w:hAnsi="Verdana" w:cs="Arial"/>
          <w:lang w:val="es-MX" w:eastAsia="x-none"/>
        </w:rPr>
      </w:pPr>
      <w:r w:rsidRPr="00F8199A">
        <w:rPr>
          <w:rFonts w:ascii="Verdana" w:hAnsi="Verdana" w:cs="Arial"/>
          <w:lang w:eastAsia="x-none"/>
        </w:rPr>
        <w:t xml:space="preserve">De esta forma, con fundamento en la evolución de la normativa sobre la contratación pública, se ha depurado la noción de </w:t>
      </w:r>
      <w:r>
        <w:rPr>
          <w:rFonts w:ascii="Verdana" w:hAnsi="Verdana" w:cs="Arial"/>
          <w:sz w:val="19"/>
          <w:szCs w:val="19"/>
          <w:lang w:eastAsia="en-GB"/>
        </w:rPr>
        <w:t>“</w:t>
      </w:r>
      <w:r w:rsidRPr="00F8199A">
        <w:rPr>
          <w:rFonts w:ascii="Verdana" w:hAnsi="Verdana" w:cs="Arial"/>
          <w:lang w:eastAsia="x-none"/>
        </w:rPr>
        <w:t>contratación directa</w:t>
      </w:r>
      <w:r>
        <w:rPr>
          <w:rFonts w:ascii="Verdana" w:hAnsi="Verdana" w:cs="Arial"/>
          <w:lang w:eastAsia="en-GB"/>
        </w:rPr>
        <w:t>”</w:t>
      </w:r>
      <w:r w:rsidRPr="00F8199A">
        <w:rPr>
          <w:rFonts w:ascii="Verdana" w:hAnsi="Verdana" w:cs="Arial"/>
          <w:lang w:eastAsia="x-none"/>
        </w:rPr>
        <w:t xml:space="preserve">, precisando el Consejo de Estado –en el concepto citado– que, </w:t>
      </w:r>
      <w:r>
        <w:rPr>
          <w:rFonts w:ascii="Verdana" w:hAnsi="Verdana" w:cs="Arial"/>
          <w:lang w:eastAsia="x-none"/>
        </w:rPr>
        <w:t>“</w:t>
      </w:r>
      <w:r w:rsidRPr="00F8199A">
        <w:rPr>
          <w:rFonts w:ascii="Verdana"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F8199A">
        <w:rPr>
          <w:rFonts w:ascii="Verdana" w:hAnsi="Verdana" w:cs="Arial"/>
          <w:vertAlign w:val="superscript"/>
          <w:lang w:val="en-GB" w:eastAsia="x-none"/>
        </w:rPr>
        <w:footnoteReference w:id="15"/>
      </w:r>
      <w:r w:rsidRPr="00F8199A">
        <w:rPr>
          <w:rFonts w:ascii="Verdana" w:hAnsi="Verdana" w:cs="Arial"/>
          <w:lang w:eastAsia="x-none"/>
        </w:rPr>
        <w:t>, han establecido sistemas de contratación que implican convocatoria pública y participación de varios oferentes</w:t>
      </w:r>
      <w:r>
        <w:rPr>
          <w:rFonts w:ascii="Verdana" w:hAnsi="Verdana" w:cs="Arial"/>
          <w:lang w:eastAsia="en-GB"/>
        </w:rPr>
        <w:t>”</w:t>
      </w:r>
      <w:r w:rsidRPr="00F8199A">
        <w:rPr>
          <w:rFonts w:ascii="Verdana" w:hAnsi="Verdana" w:cs="Arial"/>
          <w:lang w:eastAsia="x-none"/>
        </w:rPr>
        <w:t xml:space="preserve">. </w:t>
      </w:r>
    </w:p>
    <w:p w14:paraId="782F2ADF" w14:textId="77777777" w:rsidR="00102946" w:rsidRPr="00F8199A" w:rsidRDefault="00102946" w:rsidP="00102946">
      <w:pPr>
        <w:spacing w:after="120" w:line="276" w:lineRule="auto"/>
        <w:ind w:firstLine="708"/>
        <w:jc w:val="both"/>
        <w:rPr>
          <w:rFonts w:ascii="Verdana" w:hAnsi="Verdana" w:cs="Arial"/>
          <w:bCs/>
          <w:lang w:val="es-MX" w:eastAsia="es-CO"/>
        </w:rPr>
      </w:pPr>
      <w:r w:rsidRPr="00F8199A">
        <w:rPr>
          <w:rFonts w:ascii="Verdana" w:hAnsi="Verdana" w:cs="Arial"/>
          <w:bCs/>
          <w:lang w:val="es-MX" w:eastAsia="x-none"/>
        </w:rPr>
        <w:t>E</w:t>
      </w:r>
      <w:r w:rsidRPr="00F8199A">
        <w:rPr>
          <w:rFonts w:ascii="Verdana"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hAnsi="Verdana" w:cs="Arial"/>
          <w:lang w:eastAsia="x-none"/>
        </w:rPr>
        <w:t>“</w:t>
      </w:r>
      <w:r w:rsidRPr="00F8199A">
        <w:rPr>
          <w:rFonts w:ascii="Verdana" w:hAnsi="Verdana" w:cs="Arial"/>
          <w:lang w:eastAsia="x-none"/>
        </w:rPr>
        <w:t>contratación directa</w:t>
      </w:r>
      <w:r>
        <w:rPr>
          <w:rFonts w:ascii="Verdana" w:hAnsi="Verdana" w:cs="Arial"/>
          <w:lang w:eastAsia="x-none"/>
        </w:rPr>
        <w:t>”</w:t>
      </w:r>
      <w:r w:rsidRPr="00F8199A">
        <w:rPr>
          <w:rFonts w:ascii="Verdana" w:hAnsi="Verdana" w:cs="Arial"/>
          <w:lang w:eastAsia="x-none"/>
        </w:rPr>
        <w:t>, es que la convocatoria para inscribirse en forma previa se haga de manera pública, y que se permita la participación de una pluralidad de oferentes</w:t>
      </w:r>
      <w:r w:rsidRPr="00F8199A">
        <w:rPr>
          <w:rFonts w:ascii="Verdana" w:hAnsi="Verdana" w:cs="Arial"/>
          <w:vertAlign w:val="superscript"/>
          <w:lang w:eastAsia="x-none"/>
        </w:rPr>
        <w:footnoteReference w:id="16"/>
      </w:r>
      <w:r w:rsidRPr="00F8199A">
        <w:rPr>
          <w:rFonts w:ascii="Verdana" w:hAnsi="Verdana" w:cs="Arial"/>
          <w:lang w:eastAsia="x-none"/>
        </w:rPr>
        <w:t xml:space="preserve">. </w:t>
      </w:r>
    </w:p>
    <w:p w14:paraId="448C9F0D" w14:textId="77777777" w:rsidR="00102946" w:rsidRPr="00F8199A" w:rsidRDefault="00102946" w:rsidP="00102946">
      <w:pPr>
        <w:spacing w:after="120" w:line="276" w:lineRule="auto"/>
        <w:ind w:firstLine="708"/>
        <w:jc w:val="both"/>
        <w:rPr>
          <w:rFonts w:ascii="Verdana" w:hAnsi="Verdana" w:cs="Arial"/>
          <w:bCs/>
          <w:lang w:val="es-MX" w:eastAsia="es-CO"/>
        </w:rPr>
      </w:pPr>
      <w:r w:rsidRPr="00F8199A">
        <w:rPr>
          <w:rFonts w:ascii="Verdana" w:hAnsi="Verdana" w:cs="Arial"/>
          <w:bCs/>
          <w:lang w:val="es-MX"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Pr>
          <w:rFonts w:ascii="Verdana" w:hAnsi="Verdana" w:cs="Arial"/>
          <w:bCs/>
          <w:lang w:val="es-MX" w:eastAsia="es-CO"/>
        </w:rPr>
        <w:t>“</w:t>
      </w:r>
      <w:r w:rsidRPr="00F8199A">
        <w:rPr>
          <w:rFonts w:ascii="Verdana" w:hAnsi="Verdana" w:cs="Arial"/>
          <w:bCs/>
          <w:lang w:val="es-MX" w:eastAsia="es-CO"/>
        </w:rPr>
        <w:t>contratación directa</w:t>
      </w:r>
      <w:r>
        <w:rPr>
          <w:rFonts w:ascii="Verdana" w:hAnsi="Verdana" w:cs="Arial"/>
          <w:bCs/>
          <w:lang w:val="es-MX" w:eastAsia="es-CO"/>
        </w:rPr>
        <w:t>”</w:t>
      </w:r>
      <w:r w:rsidRPr="00F8199A">
        <w:rPr>
          <w:rFonts w:ascii="Verdana" w:hAnsi="Verdana" w:cs="Arial"/>
          <w:bCs/>
          <w:lang w:val="es-MX" w:eastAsia="es-CO"/>
        </w:rPr>
        <w:t>.</w:t>
      </w:r>
    </w:p>
    <w:p w14:paraId="61BEA118" w14:textId="77777777" w:rsidR="00102946" w:rsidRPr="00F8199A" w:rsidRDefault="00102946" w:rsidP="00102946">
      <w:pPr>
        <w:spacing w:after="120" w:line="276" w:lineRule="auto"/>
        <w:ind w:firstLine="708"/>
        <w:jc w:val="both"/>
        <w:rPr>
          <w:rFonts w:ascii="Verdana" w:hAnsi="Verdana" w:cs="Arial"/>
          <w:bCs/>
          <w:lang w:val="es-MX" w:eastAsia="x-none"/>
        </w:rPr>
      </w:pPr>
      <w:r w:rsidRPr="00F8199A">
        <w:rPr>
          <w:rFonts w:ascii="Verdana" w:hAnsi="Verdana" w:cs="Arial"/>
          <w:bCs/>
          <w:lang w:val="es-MX" w:eastAsia="x-none"/>
        </w:rPr>
        <w:lastRenderedPageBreak/>
        <w:t xml:space="preserve"> Así las cosas, ha de entenderse que, para los efectos de la Ley de Garantías Electorales y, en particular, para la prohibición o restricción temporal contenida en su artículo 33, </w:t>
      </w:r>
      <w:r>
        <w:rPr>
          <w:rFonts w:ascii="Verdana" w:hAnsi="Verdana" w:cs="Arial"/>
          <w:bCs/>
          <w:lang w:val="es-MX" w:eastAsia="x-none"/>
        </w:rPr>
        <w:t>“</w:t>
      </w:r>
      <w:r w:rsidRPr="00F8199A">
        <w:rPr>
          <w:rFonts w:ascii="Verdana" w:hAnsi="Verdana" w:cs="Arial"/>
          <w:bCs/>
          <w:lang w:val="es-MX" w:eastAsia="x-none"/>
        </w:rPr>
        <w:t>contratación directa</w:t>
      </w:r>
      <w:r>
        <w:rPr>
          <w:rFonts w:ascii="Verdana" w:hAnsi="Verdana" w:cs="Arial"/>
          <w:bCs/>
          <w:lang w:val="es-MX" w:eastAsia="x-none"/>
        </w:rPr>
        <w:t>”</w:t>
      </w:r>
      <w:r w:rsidRPr="00F8199A">
        <w:rPr>
          <w:rFonts w:ascii="Verdana"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F8199A">
        <w:rPr>
          <w:rFonts w:ascii="Verdana" w:hAnsi="Verdana" w:cs="Arial"/>
          <w:vertAlign w:val="superscript"/>
          <w:lang w:eastAsia="x-none"/>
        </w:rPr>
        <w:footnoteReference w:id="17"/>
      </w:r>
      <w:r w:rsidRPr="00F8199A">
        <w:rPr>
          <w:rFonts w:ascii="Verdana" w:hAnsi="Verdana" w:cs="Arial"/>
          <w:bCs/>
          <w:lang w:val="es-MX" w:eastAsia="x-none"/>
        </w:rPr>
        <w:t>.</w:t>
      </w:r>
      <w:r w:rsidRPr="00F8199A">
        <w:rPr>
          <w:rFonts w:ascii="Verdana" w:hAnsi="Verdana" w:cs="Arial"/>
          <w:vertAlign w:val="superscript"/>
          <w:lang w:eastAsia="x-none"/>
        </w:rPr>
        <w:t xml:space="preserve"> </w:t>
      </w:r>
    </w:p>
    <w:p w14:paraId="6936FAB8" w14:textId="77777777" w:rsidR="00102946" w:rsidRPr="00F8199A" w:rsidRDefault="00102946" w:rsidP="00102946">
      <w:pPr>
        <w:spacing w:after="120" w:line="276" w:lineRule="auto"/>
        <w:ind w:firstLine="708"/>
        <w:jc w:val="both"/>
        <w:rPr>
          <w:rFonts w:ascii="Verdana" w:hAnsi="Verdana" w:cs="Arial"/>
          <w:lang w:eastAsia="x-none"/>
        </w:rPr>
      </w:pPr>
      <w:r w:rsidRPr="00F8199A">
        <w:rPr>
          <w:rFonts w:ascii="Verdana"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F8199A">
        <w:rPr>
          <w:rFonts w:ascii="Verdana" w:hAnsi="Verdana" w:cs="Arial"/>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7D3D5F59" w14:textId="77777777" w:rsidR="00102946" w:rsidRPr="00F8199A" w:rsidRDefault="00102946" w:rsidP="00102946">
      <w:pPr>
        <w:spacing w:after="120" w:line="276" w:lineRule="auto"/>
        <w:ind w:firstLine="708"/>
        <w:jc w:val="both"/>
        <w:rPr>
          <w:rFonts w:ascii="Verdana" w:hAnsi="Verdana" w:cs="Arial"/>
          <w:bCs/>
          <w:lang w:val="es-MX" w:eastAsia="x-none"/>
        </w:rPr>
      </w:pPr>
      <w:bookmarkStart w:id="12" w:name="_Hlk77237094"/>
      <w:r w:rsidRPr="00F8199A">
        <w:rPr>
          <w:rFonts w:ascii="Verdana"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bookmarkEnd w:id="12"/>
    </w:p>
    <w:p w14:paraId="367FD8DC" w14:textId="77777777" w:rsidR="00102946" w:rsidRPr="00F8199A" w:rsidRDefault="00102946" w:rsidP="00102946">
      <w:pPr>
        <w:spacing w:after="120" w:line="276" w:lineRule="auto"/>
        <w:ind w:firstLine="708"/>
        <w:jc w:val="both"/>
        <w:rPr>
          <w:rFonts w:ascii="Verdana" w:hAnsi="Verdana" w:cs="Arial"/>
          <w:bCs/>
          <w:lang w:val="es-MX" w:eastAsia="es-CO"/>
        </w:rPr>
      </w:pPr>
      <w:r w:rsidRPr="00F8199A">
        <w:rPr>
          <w:rFonts w:ascii="Verdana" w:hAnsi="Verdana" w:cs="Arial"/>
          <w:bCs/>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8199A">
        <w:rPr>
          <w:rFonts w:ascii="Verdana" w:hAnsi="Verdana" w:cs="Arial"/>
          <w:bCs/>
          <w:lang w:val="es-MX" w:eastAsia="es-CO"/>
        </w:rPr>
        <w:t xml:space="preserve"> </w:t>
      </w:r>
      <w:r>
        <w:rPr>
          <w:rFonts w:ascii="Verdana" w:hAnsi="Verdana" w:cs="Arial"/>
          <w:bCs/>
          <w:lang w:val="es-MX" w:eastAsia="es-CO"/>
        </w:rPr>
        <w:t xml:space="preserve">Es </w:t>
      </w:r>
      <w:r w:rsidRPr="00F8199A">
        <w:rPr>
          <w:rFonts w:ascii="Verdana" w:hAnsi="Verdana" w:cs="Arial"/>
          <w:bCs/>
          <w:lang w:val="es-MX" w:eastAsia="es-CO"/>
        </w:rPr>
        <w:t xml:space="preserve">responsabilidad del respectivo ente del Estado, examinar en cada caso la naturaleza de las actividades que adelanta y determinar si las mismas se enmarcan en alguna de las mencionadas </w:t>
      </w:r>
      <w:r w:rsidRPr="00F8199A">
        <w:rPr>
          <w:rFonts w:ascii="Verdana" w:hAnsi="Verdana" w:cs="Arial"/>
          <w:bCs/>
          <w:lang w:val="es-MX" w:eastAsia="es-CO"/>
        </w:rPr>
        <w:lastRenderedPageBreak/>
        <w:t>excepciones, de manera que se le permita realizar la contratación que necesite en forma directa.</w:t>
      </w:r>
    </w:p>
    <w:p w14:paraId="61AF4F9B" w14:textId="77777777" w:rsidR="00102946" w:rsidRDefault="00102946" w:rsidP="00102946">
      <w:pPr>
        <w:spacing w:after="0" w:line="276" w:lineRule="auto"/>
        <w:ind w:firstLine="708"/>
        <w:jc w:val="both"/>
        <w:rPr>
          <w:rFonts w:ascii="Verdana" w:hAnsi="Verdana" w:cs="Arial"/>
          <w:bCs/>
          <w:lang w:val="es-MX" w:eastAsia="x-none"/>
        </w:rPr>
      </w:pPr>
      <w:r w:rsidRPr="00F8199A">
        <w:rPr>
          <w:rFonts w:ascii="Verdana" w:hAnsi="Verdana" w:cs="Arial"/>
          <w:bCs/>
          <w:lang w:val="es-MX" w:eastAsia="x-none"/>
        </w:rPr>
        <w:t xml:space="preserve">En esta labor es importante tener en cuenta, como lo anotó la Corte Constitucional, en Sentencia C-1153 de noviembre 11 de 2005 </w:t>
      </w:r>
      <w:bookmarkStart w:id="13" w:name="_Hlk74309042"/>
      <w:r w:rsidRPr="00F8199A">
        <w:rPr>
          <w:rFonts w:ascii="Verdana" w:hAnsi="Verdana" w:cs="Arial"/>
          <w:bCs/>
          <w:lang w:val="es-MX" w:eastAsia="x-none"/>
        </w:rPr>
        <w:t xml:space="preserve">que </w:t>
      </w:r>
      <w:r>
        <w:rPr>
          <w:rFonts w:ascii="Verdana" w:hAnsi="Verdana" w:cs="Arial"/>
          <w:bCs/>
          <w:lang w:val="es-MX" w:eastAsia="x-none"/>
        </w:rPr>
        <w:t>“</w:t>
      </w:r>
      <w:bookmarkEnd w:id="13"/>
      <w:r w:rsidRPr="00F8199A">
        <w:rPr>
          <w:rFonts w:ascii="Verdana" w:hAnsi="Verdana" w:cs="Arial"/>
          <w:bCs/>
          <w:lang w:val="es-MX" w:eastAsia="x-none"/>
        </w:rPr>
        <w:t xml:space="preserve">si bien la limitación garantiza la igualdad de condiciones, también es necesario que tal limitación que pretende la igualdad </w:t>
      </w:r>
      <w:bookmarkStart w:id="14" w:name="_Hlk75768308"/>
      <w:r w:rsidRPr="00F8199A">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bCs/>
          <w:lang w:val="es-MX" w:eastAsia="x-none"/>
        </w:rPr>
        <w:t>”</w:t>
      </w:r>
      <w:r w:rsidRPr="00F8199A">
        <w:rPr>
          <w:rFonts w:ascii="Verdana" w:hAnsi="Verdana" w:cs="Arial"/>
          <w:vertAlign w:val="superscript"/>
          <w:lang w:val="es-MX"/>
        </w:rPr>
        <w:footnoteReference w:id="18"/>
      </w:r>
      <w:r w:rsidRPr="00F8199A">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14"/>
    </w:p>
    <w:p w14:paraId="1D8DC56D" w14:textId="77777777" w:rsidR="00102946" w:rsidRPr="00F8199A" w:rsidRDefault="00102946" w:rsidP="00102946">
      <w:pPr>
        <w:spacing w:after="0" w:line="276" w:lineRule="auto"/>
        <w:ind w:firstLine="708"/>
        <w:jc w:val="both"/>
        <w:rPr>
          <w:rFonts w:ascii="Verdana" w:hAnsi="Verdana" w:cs="Arial"/>
          <w:bCs/>
          <w:lang w:val="es-MX" w:eastAsia="x-none"/>
        </w:rPr>
      </w:pPr>
    </w:p>
    <w:p w14:paraId="62DBB173" w14:textId="77777777" w:rsidR="00102946" w:rsidRPr="00A45D99" w:rsidRDefault="00102946" w:rsidP="00102946">
      <w:pPr>
        <w:spacing w:after="0" w:line="276" w:lineRule="auto"/>
        <w:jc w:val="both"/>
        <w:rPr>
          <w:rFonts w:ascii="Verdana" w:hAnsi="Verdana" w:cs="Arial"/>
          <w:bCs/>
          <w:lang w:val="es-MX" w:eastAsia="x-none"/>
        </w:rPr>
      </w:pPr>
      <w:r w:rsidRPr="00A45D99">
        <w:rPr>
          <w:rFonts w:ascii="Verdana" w:eastAsia="Arial" w:hAnsi="Verdana" w:cs="Arial"/>
          <w:lang w:val="es-MX" w:eastAsia="es-ES" w:bidi="es-ES"/>
        </w:rPr>
        <w:t xml:space="preserve">iii. </w:t>
      </w:r>
      <w:r w:rsidRPr="00A45D99">
        <w:rPr>
          <w:rFonts w:ascii="Verdana" w:hAnsi="Verdana" w:cs="Arial"/>
          <w:bCs/>
          <w:lang w:val="es-MX" w:eastAsia="x-none"/>
        </w:rPr>
        <w:t xml:space="preserve">El artículo 33 de la Ley 996 de 2005 señala expresamente a los destinatarios de la prohibición, en el sentido de que son </w:t>
      </w:r>
      <w:r>
        <w:rPr>
          <w:rFonts w:ascii="Verdana" w:hAnsi="Verdana" w:cs="Arial"/>
          <w:bCs/>
          <w:lang w:val="es-MX" w:eastAsia="x-none"/>
        </w:rPr>
        <w:t>“</w:t>
      </w:r>
      <w:r w:rsidRPr="00A45D99">
        <w:rPr>
          <w:rFonts w:ascii="Verdana" w:hAnsi="Verdana" w:cs="Arial"/>
          <w:bCs/>
          <w:lang w:val="es-MX" w:eastAsia="x-none"/>
        </w:rPr>
        <w:t>todos los entes del Estado</w:t>
      </w:r>
      <w:r>
        <w:rPr>
          <w:rFonts w:ascii="Verdana" w:hAnsi="Verdana" w:cs="Arial"/>
          <w:bCs/>
          <w:lang w:val="es-MX" w:eastAsia="x-none"/>
        </w:rPr>
        <w:t>”</w:t>
      </w:r>
      <w:r w:rsidRPr="00A45D99">
        <w:rPr>
          <w:rFonts w:ascii="Verdana" w:hAnsi="Verdana" w:cs="Arial"/>
          <w:bCs/>
          <w:lang w:val="es-MX" w:eastAsia="x-none"/>
        </w:rPr>
        <w:t>, expresión que contempla a los diferentes organismos o entidades autorizadas por la ley para suscribir contratos.</w:t>
      </w:r>
      <w:r w:rsidRPr="00A45D99">
        <w:rPr>
          <w:rFonts w:ascii="Verdana" w:hAnsi="Verdana" w:cs="Arial"/>
          <w:lang w:val="es-MX"/>
        </w:rPr>
        <w:t xml:space="preserve"> </w:t>
      </w:r>
      <w:r w:rsidRPr="00A45D99">
        <w:rPr>
          <w:rFonts w:ascii="Verdana" w:hAnsi="Verdana" w:cs="Arial"/>
          <w:bCs/>
          <w:lang w:val="es-MX" w:eastAsia="x-none"/>
        </w:rPr>
        <w:t xml:space="preserve">En efecto, tal como lo ha sostenido el Consejo de Estado, el vocablo </w:t>
      </w:r>
      <w:r>
        <w:rPr>
          <w:rFonts w:ascii="Verdana" w:hAnsi="Verdana" w:cs="Arial"/>
          <w:bCs/>
          <w:lang w:val="es-MX" w:eastAsia="x-none"/>
        </w:rPr>
        <w:t>“</w:t>
      </w:r>
      <w:r w:rsidRPr="00A45D99">
        <w:rPr>
          <w:rFonts w:ascii="Verdana" w:hAnsi="Verdana" w:cs="Arial"/>
          <w:bCs/>
          <w:lang w:val="es-MX" w:eastAsia="x-none"/>
        </w:rPr>
        <w:t>todos</w:t>
      </w:r>
      <w:r>
        <w:rPr>
          <w:rFonts w:ascii="Verdana" w:hAnsi="Verdana" w:cs="Arial"/>
          <w:bCs/>
          <w:lang w:val="es-MX" w:eastAsia="x-none"/>
        </w:rPr>
        <w:t>”</w:t>
      </w:r>
      <w:r w:rsidRPr="00A45D99">
        <w:rPr>
          <w:rFonts w:ascii="Verdana" w:hAnsi="Verdana" w:cs="Arial"/>
          <w:bCs/>
          <w:lang w:val="es-MX" w:eastAsia="x-none"/>
        </w:rPr>
        <w:t xml:space="preserve"> utilizado por el legislador comprende</w:t>
      </w:r>
      <w:r w:rsidRPr="00A45D99">
        <w:rPr>
          <w:rFonts w:ascii="Verdana" w:hAnsi="Verdana" w:cs="Arial"/>
          <w:lang w:val="es-MX"/>
        </w:rPr>
        <w:t xml:space="preserve"> </w:t>
      </w:r>
      <w:r w:rsidRPr="00A45D99">
        <w:rPr>
          <w:rFonts w:ascii="Verdana"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El Consejo de Estado, en Concepto con radicado 1727 de fecha 20 de febrero de 2006, consideró que: </w:t>
      </w:r>
    </w:p>
    <w:p w14:paraId="2133743A" w14:textId="77777777" w:rsidR="00102946" w:rsidRPr="00A45D99" w:rsidRDefault="00102946" w:rsidP="00102946">
      <w:pPr>
        <w:spacing w:after="0" w:line="276" w:lineRule="auto"/>
        <w:ind w:firstLine="708"/>
        <w:jc w:val="both"/>
        <w:rPr>
          <w:rFonts w:ascii="Verdana" w:hAnsi="Verdana" w:cs="Arial"/>
          <w:bCs/>
          <w:lang w:val="es-MX" w:eastAsia="x-none"/>
        </w:rPr>
      </w:pPr>
    </w:p>
    <w:p w14:paraId="4DFE9AAE" w14:textId="77777777" w:rsidR="00102946" w:rsidRPr="00A45D99" w:rsidRDefault="00102946" w:rsidP="00102946">
      <w:pPr>
        <w:spacing w:after="0" w:line="240" w:lineRule="auto"/>
        <w:ind w:left="708" w:right="709"/>
        <w:jc w:val="both"/>
        <w:rPr>
          <w:rFonts w:ascii="Verdana" w:hAnsi="Verdana" w:cs="Arial"/>
          <w:bCs/>
          <w:sz w:val="20"/>
          <w:szCs w:val="20"/>
          <w:lang w:val="es-MX" w:eastAsia="es-CO"/>
        </w:rPr>
      </w:pPr>
      <w:r w:rsidRPr="00A45D99">
        <w:rPr>
          <w:rFonts w:ascii="Verdana" w:hAnsi="Verdana" w:cs="Arial"/>
          <w:bCs/>
          <w:sz w:val="20"/>
          <w:szCs w:val="20"/>
          <w:lang w:val="es-MX" w:eastAsia="x-none"/>
        </w:rPr>
        <w:t xml:space="preserve">“El artículo 33 de la ley 996 de 2005, </w:t>
      </w:r>
      <w:bookmarkStart w:id="15" w:name="_Hlk75787147"/>
      <w:r w:rsidRPr="00A45D99">
        <w:rPr>
          <w:rFonts w:ascii="Verdana" w:hAnsi="Verdana" w:cs="Arial"/>
          <w:bCs/>
          <w:sz w:val="20"/>
          <w:szCs w:val="20"/>
          <w:lang w:val="es-MX" w:eastAsia="x-none"/>
        </w:rPr>
        <w:t>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A45D99">
        <w:rPr>
          <w:rFonts w:ascii="Verdana" w:hAnsi="Verdana" w:cs="Arial"/>
          <w:bCs/>
          <w:sz w:val="20"/>
          <w:szCs w:val="20"/>
          <w:vertAlign w:val="superscript"/>
          <w:lang w:val="es-MX" w:eastAsia="x-none"/>
        </w:rPr>
        <w:footnoteReference w:id="19"/>
      </w:r>
      <w:r w:rsidRPr="00A45D99">
        <w:rPr>
          <w:rFonts w:ascii="Verdana" w:hAnsi="Verdana" w:cs="Arial"/>
          <w:bCs/>
          <w:sz w:val="20"/>
          <w:szCs w:val="20"/>
          <w:lang w:val="es-MX" w:eastAsia="x-none"/>
        </w:rPr>
        <w:t>.</w:t>
      </w:r>
      <w:r w:rsidRPr="00A45D99">
        <w:rPr>
          <w:rFonts w:ascii="Verdana" w:hAnsi="Verdana" w:cs="Arial"/>
          <w:bCs/>
          <w:sz w:val="20"/>
          <w:szCs w:val="20"/>
          <w:lang w:val="es-MX" w:eastAsia="es-CO"/>
        </w:rPr>
        <w:t xml:space="preserve"> </w:t>
      </w:r>
    </w:p>
    <w:p w14:paraId="3B80D53C" w14:textId="77777777" w:rsidR="00102946" w:rsidRPr="00A45D99" w:rsidRDefault="00102946" w:rsidP="00102946">
      <w:pPr>
        <w:spacing w:after="0" w:line="276" w:lineRule="auto"/>
        <w:ind w:firstLine="708"/>
        <w:jc w:val="both"/>
        <w:rPr>
          <w:rFonts w:ascii="Verdana" w:hAnsi="Verdana" w:cs="Arial"/>
          <w:bCs/>
          <w:lang w:val="es-MX" w:eastAsia="es-CO"/>
        </w:rPr>
      </w:pPr>
    </w:p>
    <w:p w14:paraId="58813856" w14:textId="77777777" w:rsidR="00102946" w:rsidRPr="00A45D99" w:rsidRDefault="00102946" w:rsidP="00102946">
      <w:pPr>
        <w:spacing w:after="0" w:line="276" w:lineRule="auto"/>
        <w:ind w:firstLine="708"/>
        <w:jc w:val="both"/>
        <w:rPr>
          <w:rFonts w:ascii="Verdana" w:hAnsi="Verdana" w:cs="Arial"/>
          <w:lang w:val="es-MX"/>
        </w:rPr>
      </w:pPr>
      <w:r w:rsidRPr="00A45D99">
        <w:rPr>
          <w:rFonts w:ascii="Verdana" w:hAnsi="Verdana" w:cs="Arial"/>
          <w:bCs/>
          <w:lang w:val="es-MX" w:eastAsia="x-none"/>
        </w:rPr>
        <w:t xml:space="preserve">De igual forma, en Concepto con radicado 1738 de 6 de abril de 2006, esa misma Corporación manifestó que </w:t>
      </w:r>
      <w:r>
        <w:rPr>
          <w:rFonts w:ascii="Verdana" w:hAnsi="Verdana" w:cs="Arial"/>
          <w:bCs/>
          <w:lang w:val="es-MX" w:eastAsia="x-none"/>
        </w:rPr>
        <w:t>“</w:t>
      </w:r>
      <w:r w:rsidRPr="00A45D99">
        <w:rPr>
          <w:rFonts w:ascii="Verdana" w:hAnsi="Verdana" w:cs="Arial"/>
          <w:bCs/>
          <w:lang w:val="es-MX" w:eastAsia="x-none"/>
        </w:rPr>
        <w:t>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Pr>
          <w:rFonts w:ascii="Verdana" w:hAnsi="Verdana" w:cs="Arial"/>
          <w:bCs/>
          <w:lang w:val="es-MX" w:eastAsia="x-none"/>
        </w:rPr>
        <w:t>”</w:t>
      </w:r>
      <w:bookmarkStart w:id="16" w:name="_Hlk75758868"/>
      <w:bookmarkStart w:id="17" w:name="_Hlk75741220"/>
      <w:r w:rsidRPr="00A45D99">
        <w:rPr>
          <w:rFonts w:ascii="Verdana" w:hAnsi="Verdana" w:cs="Arial"/>
          <w:vertAlign w:val="superscript"/>
          <w:lang w:val="es-MX"/>
        </w:rPr>
        <w:footnoteReference w:id="20"/>
      </w:r>
      <w:bookmarkEnd w:id="16"/>
      <w:bookmarkEnd w:id="17"/>
      <w:r w:rsidRPr="00A45D99">
        <w:rPr>
          <w:rFonts w:ascii="Verdana" w:hAnsi="Verdana" w:cs="Arial"/>
          <w:bCs/>
          <w:lang w:val="es-MX" w:eastAsia="x-none"/>
        </w:rPr>
        <w:t>.</w:t>
      </w:r>
      <w:r w:rsidRPr="00A45D99">
        <w:rPr>
          <w:rFonts w:ascii="Verdana" w:hAnsi="Verdana" w:cs="Arial"/>
          <w:lang w:val="es-MX"/>
        </w:rPr>
        <w:t xml:space="preserve"> Sin embargo, debe precisarse el siguiente aspecto que distinguió la Sala de Consulta y Servicio Civil:</w:t>
      </w:r>
    </w:p>
    <w:p w14:paraId="705B1767" w14:textId="77777777" w:rsidR="00102946" w:rsidRPr="00A45D99" w:rsidRDefault="00102946" w:rsidP="00102946">
      <w:pPr>
        <w:spacing w:after="0" w:line="276" w:lineRule="auto"/>
        <w:jc w:val="both"/>
        <w:rPr>
          <w:rFonts w:ascii="Verdana" w:hAnsi="Verdana" w:cs="Arial"/>
          <w:lang w:val="es-MX"/>
        </w:rPr>
      </w:pPr>
    </w:p>
    <w:p w14:paraId="719DB44A" w14:textId="77777777" w:rsidR="00102946" w:rsidRPr="00A45D99" w:rsidRDefault="00102946" w:rsidP="00102946">
      <w:pPr>
        <w:spacing w:after="0" w:line="240" w:lineRule="auto"/>
        <w:ind w:left="708" w:right="709"/>
        <w:jc w:val="both"/>
        <w:rPr>
          <w:rFonts w:ascii="Verdana" w:hAnsi="Verdana" w:cs="Arial"/>
          <w:sz w:val="20"/>
          <w:szCs w:val="20"/>
          <w:lang w:val="es-MX"/>
        </w:rPr>
      </w:pPr>
      <w:bookmarkStart w:id="19" w:name="_Hlk75811446"/>
      <w:r w:rsidRPr="00A45D99">
        <w:rPr>
          <w:rFonts w:ascii="Verdana"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bookmarkEnd w:id="19"/>
      <w:r w:rsidRPr="00A45D99">
        <w:rPr>
          <w:rFonts w:ascii="Verdana" w:hAnsi="Verdana" w:cs="Arial"/>
          <w:sz w:val="20"/>
          <w:szCs w:val="20"/>
          <w:lang w:val="es-MX"/>
        </w:rPr>
        <w:t>”</w:t>
      </w:r>
      <w:r w:rsidRPr="00A45D99">
        <w:rPr>
          <w:rFonts w:ascii="Verdana" w:hAnsi="Verdana" w:cs="Arial"/>
          <w:sz w:val="20"/>
          <w:szCs w:val="20"/>
          <w:vertAlign w:val="superscript"/>
          <w:lang w:val="es-MX"/>
        </w:rPr>
        <w:footnoteReference w:id="21"/>
      </w:r>
      <w:r w:rsidRPr="00A45D99">
        <w:rPr>
          <w:rFonts w:ascii="Verdana" w:hAnsi="Verdana" w:cs="Arial"/>
          <w:bCs/>
          <w:sz w:val="20"/>
          <w:szCs w:val="20"/>
          <w:lang w:val="es-MX" w:eastAsia="x-none"/>
        </w:rPr>
        <w:t>.</w:t>
      </w:r>
    </w:p>
    <w:p w14:paraId="4A1A6E0C" w14:textId="77777777" w:rsidR="00102946" w:rsidRPr="00A45D99" w:rsidRDefault="00102946" w:rsidP="00102946">
      <w:pPr>
        <w:spacing w:after="0" w:line="276" w:lineRule="auto"/>
        <w:jc w:val="both"/>
        <w:rPr>
          <w:rFonts w:ascii="Verdana" w:hAnsi="Verdana" w:cs="Arial"/>
          <w:lang w:val="es-MX"/>
        </w:rPr>
      </w:pPr>
    </w:p>
    <w:p w14:paraId="72FCA33D" w14:textId="77777777" w:rsidR="00102946" w:rsidRPr="00A45D99" w:rsidRDefault="00102946" w:rsidP="00102946">
      <w:pPr>
        <w:spacing w:after="120" w:line="276" w:lineRule="auto"/>
        <w:ind w:firstLine="709"/>
        <w:jc w:val="both"/>
        <w:rPr>
          <w:rFonts w:ascii="Verdana" w:hAnsi="Verdana" w:cs="Arial"/>
          <w:bCs/>
          <w:lang w:val="es-MX" w:eastAsia="x-none"/>
        </w:rPr>
      </w:pPr>
      <w:r w:rsidRPr="00A45D99">
        <w:rPr>
          <w:rFonts w:ascii="Verdana" w:hAnsi="Verdana" w:cs="Arial"/>
          <w:lang w:val="es-MX"/>
        </w:rPr>
        <w:t>Aplicando este razonamiento,</w:t>
      </w:r>
      <w:bookmarkStart w:id="20" w:name="_Hlk75811096"/>
      <w:r w:rsidRPr="00A45D99">
        <w:rPr>
          <w:rFonts w:ascii="Verdana" w:hAnsi="Verdana" w:cs="Arial"/>
          <w:lang w:val="es-MX"/>
        </w:rPr>
        <w:t xml:space="preserve"> se tiene que las empresas industriales y comerciales del estado y a las empresas de servicios públicos oficiales y mixtas no pueden adquirir los suministros de bienes y servicios necesarios para la realización de su actividad por contratación directa sino por mecanismos competitivos que impliquen convocatoria pública y la posibilidad de pluralidad </w:t>
      </w:r>
      <w:r w:rsidRPr="00A45D99">
        <w:rPr>
          <w:rFonts w:ascii="Verdana" w:hAnsi="Verdana" w:cs="Arial"/>
          <w:lang w:val="es-MX"/>
        </w:rPr>
        <w:lastRenderedPageBreak/>
        <w:t xml:space="preserve">de oferentes, pero, </w:t>
      </w:r>
      <w:r>
        <w:rPr>
          <w:rFonts w:ascii="Verdana" w:hAnsi="Verdana" w:cs="Arial"/>
          <w:lang w:val="es-MX"/>
        </w:rPr>
        <w:t>“</w:t>
      </w:r>
      <w:r w:rsidRPr="00A45D99">
        <w:rPr>
          <w:rFonts w:ascii="Verdana" w:hAnsi="Verdana" w:cs="Arial"/>
          <w:lang w:val="es-MX"/>
        </w:rPr>
        <w:t>es obvio que si una de estas entidades va a prestar un servicio a un particular, lo puede hacer, pues estos se ofrecen a toda la comunidad en condiciones de igualdad. Si se supusiera que está prohibida su contratación directa, significaría la parálisis de tal actividad de interés público, lo que de ninguna manera es lo querido por la ley 996 de 2005</w:t>
      </w:r>
      <w:bookmarkEnd w:id="20"/>
      <w:r>
        <w:rPr>
          <w:rFonts w:ascii="Verdana" w:hAnsi="Verdana" w:cs="Arial"/>
          <w:lang w:val="es-MX"/>
        </w:rPr>
        <w:t>”</w:t>
      </w:r>
      <w:r w:rsidRPr="00A45D99">
        <w:rPr>
          <w:rFonts w:ascii="Verdana" w:hAnsi="Verdana" w:cs="Arial"/>
          <w:vertAlign w:val="superscript"/>
          <w:lang w:val="es-MX"/>
        </w:rPr>
        <w:t xml:space="preserve"> </w:t>
      </w:r>
      <w:r w:rsidRPr="00A45D99">
        <w:rPr>
          <w:rFonts w:ascii="Verdana" w:hAnsi="Verdana" w:cs="Arial"/>
          <w:vertAlign w:val="superscript"/>
          <w:lang w:val="es-MX"/>
        </w:rPr>
        <w:footnoteReference w:id="22"/>
      </w:r>
      <w:r w:rsidRPr="00A45D99">
        <w:rPr>
          <w:rFonts w:ascii="Verdana" w:hAnsi="Verdana" w:cs="Arial"/>
          <w:lang w:val="es-MX"/>
        </w:rPr>
        <w:t>.</w:t>
      </w:r>
    </w:p>
    <w:p w14:paraId="610F560A" w14:textId="77777777" w:rsidR="00102946" w:rsidRDefault="00102946" w:rsidP="00102946">
      <w:pPr>
        <w:spacing w:after="0" w:line="276" w:lineRule="auto"/>
        <w:ind w:firstLine="708"/>
        <w:jc w:val="both"/>
        <w:rPr>
          <w:rFonts w:ascii="Verdana" w:hAnsi="Verdana" w:cs="Arial"/>
          <w:bCs/>
          <w:lang w:val="es-MX" w:eastAsia="x-none"/>
        </w:rPr>
      </w:pPr>
      <w:bookmarkStart w:id="21" w:name="_Hlk77237229"/>
      <w:bookmarkEnd w:id="15"/>
      <w:r w:rsidRPr="00A45D99">
        <w:rPr>
          <w:rFonts w:ascii="Verdana" w:hAnsi="Verdana" w:cs="Arial"/>
          <w:lang w:val="es-MX"/>
        </w:rPr>
        <w:t>Por lo tanto, la restricción prevista en la Ley 996 de 200</w:t>
      </w:r>
      <w:bookmarkStart w:id="22" w:name="_Hlk75741539"/>
      <w:r w:rsidRPr="00A45D99">
        <w:rPr>
          <w:rFonts w:ascii="Verdana" w:hAnsi="Verdana" w:cs="Arial"/>
          <w:lang w:val="es-MX"/>
        </w:rPr>
        <w:t xml:space="preserve">5, </w:t>
      </w:r>
      <w:r w:rsidRPr="00A45D99">
        <w:rPr>
          <w:rFonts w:ascii="Verdana" w:hAnsi="Verdana" w:cs="Arial"/>
          <w:bCs/>
          <w:lang w:val="es-MX" w:eastAsia="x-none"/>
        </w:rPr>
        <w:t>teniendo en cuenta la finalidad de la ley de garantías electorales,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2464B9A4" w14:textId="77777777" w:rsidR="00102946" w:rsidRDefault="00102946" w:rsidP="00102946">
      <w:pPr>
        <w:spacing w:after="0" w:line="276" w:lineRule="auto"/>
        <w:ind w:firstLine="708"/>
        <w:jc w:val="both"/>
        <w:rPr>
          <w:rFonts w:ascii="Verdana" w:hAnsi="Verdana" w:cs="Arial"/>
          <w:bCs/>
          <w:lang w:val="es-MX" w:eastAsia="x-none"/>
        </w:rPr>
      </w:pPr>
    </w:p>
    <w:p w14:paraId="473293A8" w14:textId="77777777" w:rsidR="00102946" w:rsidRDefault="00102946" w:rsidP="00102946">
      <w:pPr>
        <w:spacing w:line="276" w:lineRule="auto"/>
        <w:jc w:val="both"/>
        <w:rPr>
          <w:rFonts w:ascii="Verdana" w:hAnsi="Verdana" w:cs="Arial"/>
          <w:bCs/>
          <w:lang w:val="es-MX" w:eastAsia="x-none"/>
        </w:rPr>
      </w:pPr>
      <w:r w:rsidRPr="00763C12">
        <w:rPr>
          <w:rFonts w:ascii="Verdana" w:hAnsi="Verdana" w:cs="Arial"/>
          <w:bCs/>
          <w:lang w:val="es-MX" w:eastAsia="x-none"/>
        </w:rPr>
        <w:t xml:space="preserve">iv. </w:t>
      </w:r>
      <w:r>
        <w:rPr>
          <w:rFonts w:ascii="Verdana" w:hAnsi="Verdana" w:cs="Arial"/>
          <w:bCs/>
          <w:lang w:val="es-MX" w:eastAsia="x-none"/>
        </w:rPr>
        <w:t>E</w:t>
      </w:r>
      <w:r w:rsidRPr="00EF66EF">
        <w:rPr>
          <w:rFonts w:ascii="Verdana" w:hAnsi="Verdana" w:cs="Arial"/>
          <w:bCs/>
          <w:lang w:val="es-MX" w:eastAsia="x-none"/>
        </w:rPr>
        <w:t xml:space="preserve">s importante reiterar que el segundo inciso del artículo 33 de la Ley de Garantías Electorales consagró las excepciones aplicables a la prohibición de contratación directa establecida en el mismo artículo. </w:t>
      </w:r>
      <w:r w:rsidRPr="00263046">
        <w:rPr>
          <w:rFonts w:ascii="Verdana" w:hAnsi="Verdana" w:cs="Arial"/>
          <w:bCs/>
          <w:lang w:val="es-MX" w:eastAsia="x-none"/>
        </w:rPr>
        <w:t xml:space="preserve">La Sala de Consulta y Servicio Civil del Consejo de Estado, en </w:t>
      </w:r>
      <w:r>
        <w:rPr>
          <w:rFonts w:ascii="Verdana" w:hAnsi="Verdana" w:cs="Arial"/>
          <w:bCs/>
          <w:lang w:val="es-MX" w:eastAsia="x-none"/>
        </w:rPr>
        <w:t>C</w:t>
      </w:r>
      <w:r w:rsidRPr="00263046">
        <w:rPr>
          <w:rFonts w:ascii="Verdana" w:hAnsi="Verdana" w:cs="Arial"/>
          <w:bCs/>
          <w:lang w:val="es-MX" w:eastAsia="x-none"/>
        </w:rPr>
        <w:t xml:space="preserve">oncepto del 4 de febrero de 2010, </w:t>
      </w:r>
      <w:r>
        <w:rPr>
          <w:rFonts w:ascii="Verdana" w:hAnsi="Verdana" w:cs="Arial"/>
          <w:bCs/>
          <w:lang w:val="es-MX" w:eastAsia="x-none"/>
        </w:rPr>
        <w:t>explica que</w:t>
      </w:r>
      <w:r w:rsidRPr="00263046">
        <w:rPr>
          <w:rFonts w:ascii="Verdana" w:hAnsi="Verdana" w:cs="Arial"/>
          <w:bCs/>
          <w:lang w:val="es-MX" w:eastAsia="x-none"/>
        </w:rPr>
        <w:t xml:space="preserve"> </w:t>
      </w:r>
      <w:r>
        <w:rPr>
          <w:rFonts w:ascii="Verdana" w:hAnsi="Verdana" w:cs="Arial"/>
          <w:bCs/>
          <w:lang w:val="es-MX" w:eastAsia="x-none"/>
        </w:rPr>
        <w:t>“</w:t>
      </w:r>
      <w:r w:rsidRPr="00263046">
        <w:rPr>
          <w:rFonts w:ascii="Verdana" w:hAnsi="Verdana" w:cs="Arial"/>
          <w:bCs/>
          <w:lang w:val="es-MX" w:eastAsia="x-none"/>
        </w:rPr>
        <w:t>[…] Las excepciones establecidas en los artículos 32 y 33 en comento, guardan relación, exclusivamente, con algunos servicios públicos que por su naturaleza no admiten postergaciones en la atención de sus necesidades de personal, bienes y servicios [...]</w:t>
      </w:r>
      <w:r>
        <w:rPr>
          <w:rFonts w:ascii="Verdana" w:hAnsi="Verdana" w:cs="Arial"/>
          <w:bCs/>
          <w:lang w:val="es-MX" w:eastAsia="x-none"/>
        </w:rPr>
        <w:t>”</w:t>
      </w:r>
      <w:r w:rsidRPr="00263046">
        <w:rPr>
          <w:rStyle w:val="Refdenotaalpie"/>
          <w:rFonts w:ascii="Verdana" w:hAnsi="Verdana" w:cs="Arial"/>
          <w:lang w:val="es-ES_tradnl" w:eastAsia="es-CO"/>
        </w:rPr>
        <w:footnoteReference w:id="23"/>
      </w:r>
      <w:r w:rsidRPr="00263046">
        <w:rPr>
          <w:rFonts w:ascii="Verdana" w:hAnsi="Verdana" w:cs="Arial"/>
          <w:bCs/>
          <w:lang w:val="es-MX" w:eastAsia="x-none"/>
        </w:rPr>
        <w:t>.</w:t>
      </w:r>
    </w:p>
    <w:p w14:paraId="7A576E04" w14:textId="77777777" w:rsidR="00102946" w:rsidRDefault="00102946" w:rsidP="7C76BBE1">
      <w:pPr>
        <w:shd w:val="clear" w:color="auto" w:fill="FFFFFF" w:themeFill="background1"/>
        <w:spacing w:line="276" w:lineRule="auto"/>
        <w:ind w:firstLine="709"/>
        <w:jc w:val="both"/>
        <w:rPr>
          <w:rFonts w:ascii="Verdana" w:hAnsi="Verdana" w:cs="Arial"/>
          <w:lang w:val="es-ES" w:eastAsia="es-CO"/>
        </w:rPr>
      </w:pPr>
      <w:r w:rsidRPr="7C76BBE1">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w:t>
      </w:r>
      <w:proofErr w:type="spellStart"/>
      <w:r w:rsidRPr="7C76BBE1">
        <w:rPr>
          <w:rFonts w:ascii="Verdana" w:hAnsi="Verdana" w:cs="Arial"/>
          <w:lang w:val="es-ES" w:eastAsia="es-CO"/>
        </w:rPr>
        <w:t>exequibilidad</w:t>
      </w:r>
      <w:proofErr w:type="spellEnd"/>
      <w:r w:rsidRPr="7C76BBE1">
        <w:rPr>
          <w:rFonts w:ascii="Verdana" w:hAnsi="Verdana" w:cs="Arial"/>
          <w:lang w:val="es-ES" w:eastAsia="es-CO"/>
        </w:rPr>
        <w:t xml:space="preserve">. Así, por ejemplo, la Corte Constitucional explicó que “[…] las excepciones de limitación protegen diversos tipos de urgencias de defensa, salud, educación, infraestructura vial y de servicios públicos y ecológicas tienden </w:t>
      </w:r>
      <w:r w:rsidRPr="7C76BBE1">
        <w:rPr>
          <w:rFonts w:ascii="Verdana" w:hAnsi="Verdana" w:cs="Arial"/>
          <w:lang w:val="es-ES" w:eastAsia="es-CO"/>
        </w:rPr>
        <w:lastRenderedPageBreak/>
        <w:t>a no limitar desproporcionadamente la acción del Estado en el cumplimiento de sus fines, en procura de la igualdad entre candidatos como garantía electoral”</w:t>
      </w:r>
      <w:r w:rsidRPr="7C76BBE1">
        <w:rPr>
          <w:rStyle w:val="Refdenotaalpie"/>
          <w:rFonts w:ascii="Verdana" w:hAnsi="Verdana" w:cs="Arial"/>
          <w:lang w:val="es-ES" w:eastAsia="es-CO"/>
        </w:rPr>
        <w:footnoteReference w:id="24"/>
      </w:r>
      <w:r w:rsidRPr="7C76BBE1">
        <w:rPr>
          <w:rFonts w:ascii="Verdana" w:hAnsi="Verdana" w:cs="Arial"/>
          <w:lang w:val="es-ES" w:eastAsia="es-CO"/>
        </w:rPr>
        <w:t xml:space="preserve">. </w:t>
      </w:r>
    </w:p>
    <w:p w14:paraId="0724956E" w14:textId="77777777" w:rsidR="00102946" w:rsidRPr="00263046" w:rsidRDefault="00102946" w:rsidP="00102946">
      <w:pPr>
        <w:shd w:val="clear" w:color="auto" w:fill="FFFFFF"/>
        <w:spacing w:line="276" w:lineRule="auto"/>
        <w:ind w:firstLine="709"/>
        <w:jc w:val="both"/>
        <w:rPr>
          <w:rFonts w:ascii="Verdana" w:hAnsi="Verdana" w:cs="Arial"/>
          <w:lang w:val="es-ES_tradnl" w:eastAsia="es-CO"/>
        </w:rPr>
      </w:pPr>
      <w:r w:rsidRPr="00263046">
        <w:rPr>
          <w:rFonts w:ascii="Verdana" w:hAnsi="Verdana" w:cs="Arial"/>
          <w:bCs/>
          <w:lang w:val="es-ES_tradnl"/>
        </w:rPr>
        <w:t>Por tanto, las excepciones a la prohibición contenida en el inciso segundo de artículo 33 de la ley de garantías electorales tienen por finalidad garantizar la prestación ininterrumpida de algunos servicios públicos que</w:t>
      </w:r>
      <w:r>
        <w:rPr>
          <w:rFonts w:ascii="Verdana" w:hAnsi="Verdana" w:cs="Arial"/>
          <w:bCs/>
          <w:lang w:val="es-ES_tradnl"/>
        </w:rPr>
        <w:t>,</w:t>
      </w:r>
      <w:r w:rsidRPr="00263046">
        <w:rPr>
          <w:rFonts w:ascii="Verdana" w:hAnsi="Verdana" w:cs="Arial"/>
          <w:bCs/>
          <w:lang w:val="es-ES_tradnl"/>
        </w:rPr>
        <w:t xml:space="preserve"> dada su importancia en el orden interno, se verían irrazonablemente afectados por la restricción explicada.</w:t>
      </w:r>
      <w:r>
        <w:rPr>
          <w:rFonts w:ascii="Verdana" w:hAnsi="Verdana" w:cs="Arial"/>
          <w:bCs/>
          <w:lang w:val="es-ES_tradnl"/>
        </w:rPr>
        <w:t xml:space="preserve"> </w:t>
      </w:r>
      <w:r w:rsidRPr="0022497D">
        <w:rPr>
          <w:rFonts w:ascii="Verdana" w:hAnsi="Verdana" w:cs="Arial"/>
          <w:bCs/>
          <w:lang w:val="es-ES_tradnl"/>
        </w:rPr>
        <w:t xml:space="preserve">Lo anterior implica que las excepciones al artículo 33 en comento deben interpretarse y aplicarse </w:t>
      </w:r>
      <w:r>
        <w:rPr>
          <w:rFonts w:ascii="Verdana" w:hAnsi="Verdana" w:cs="Arial"/>
          <w:bCs/>
          <w:lang w:val="es-ES_tradnl"/>
        </w:rPr>
        <w:t>de manera</w:t>
      </w:r>
      <w:r w:rsidRPr="0022497D">
        <w:rPr>
          <w:rFonts w:ascii="Verdana" w:hAnsi="Verdana" w:cs="Arial"/>
          <w:bCs/>
          <w:lang w:val="es-ES_tradnl"/>
        </w:rPr>
        <w:t xml:space="preserve">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w:t>
      </w:r>
      <w:r>
        <w:rPr>
          <w:rFonts w:ascii="Verdana" w:hAnsi="Verdana" w:cs="Arial"/>
          <w:bCs/>
          <w:lang w:val="es-ES_tradnl"/>
        </w:rPr>
        <w:t>prohibición</w:t>
      </w:r>
      <w:r w:rsidRPr="0022497D">
        <w:rPr>
          <w:rFonts w:ascii="Verdana" w:hAnsi="Verdana" w:cs="Arial"/>
          <w:bCs/>
          <w:lang w:val="es-ES_tradnl"/>
        </w:rPr>
        <w:t>.</w:t>
      </w:r>
    </w:p>
    <w:p w14:paraId="218547BF" w14:textId="77777777" w:rsidR="00102946" w:rsidRPr="00263046" w:rsidRDefault="00102946" w:rsidP="00102946">
      <w:pPr>
        <w:spacing w:line="276" w:lineRule="auto"/>
        <w:ind w:firstLine="708"/>
        <w:jc w:val="both"/>
        <w:rPr>
          <w:rFonts w:ascii="Verdana" w:eastAsia="Calibri" w:hAnsi="Verdana" w:cs="Arial"/>
        </w:rPr>
      </w:pPr>
      <w:r w:rsidRPr="001904AF">
        <w:rPr>
          <w:rFonts w:ascii="Verdana" w:hAnsi="Verdana" w:cs="Arial"/>
          <w:bCs/>
          <w:lang w:val="es-MX" w:eastAsia="x-none"/>
        </w:rPr>
        <w:t>E</w:t>
      </w:r>
      <w:r>
        <w:rPr>
          <w:rFonts w:ascii="Verdana" w:hAnsi="Verdana" w:cs="Arial"/>
          <w:bCs/>
          <w:lang w:val="es-MX" w:eastAsia="x-none"/>
        </w:rPr>
        <w:t>ntre</w:t>
      </w:r>
      <w:r w:rsidRPr="00EF66EF">
        <w:rPr>
          <w:rFonts w:ascii="Verdana" w:hAnsi="Verdana" w:cs="Arial"/>
          <w:bCs/>
          <w:lang w:val="es-MX" w:eastAsia="x-none"/>
        </w:rPr>
        <w:t xml:space="preserve"> las excepciones del artículo </w:t>
      </w:r>
      <w:r>
        <w:rPr>
          <w:rFonts w:ascii="Verdana" w:hAnsi="Verdana" w:cs="Arial"/>
          <w:bCs/>
          <w:lang w:val="es-MX" w:eastAsia="x-none"/>
        </w:rPr>
        <w:t xml:space="preserve">en comento se encuentran, por un lado, “[…] </w:t>
      </w:r>
      <w:r w:rsidRPr="00EF66EF">
        <w:rPr>
          <w:rFonts w:ascii="Verdana" w:hAnsi="Verdana" w:cs="Arial"/>
          <w:bCs/>
          <w:lang w:val="es-MX" w:eastAsia="x-none"/>
        </w:rPr>
        <w:t>los requeridos para cubrir las emergencias</w:t>
      </w:r>
      <w:r>
        <w:rPr>
          <w:rFonts w:ascii="Verdana" w:hAnsi="Verdana" w:cs="Arial"/>
          <w:bCs/>
          <w:lang w:val="es-MX" w:eastAsia="x-none"/>
        </w:rPr>
        <w:t xml:space="preserve"> […]</w:t>
      </w:r>
      <w:r w:rsidRPr="00EF66EF">
        <w:rPr>
          <w:rFonts w:ascii="Verdana" w:hAnsi="Verdana" w:cs="Arial"/>
          <w:bCs/>
          <w:lang w:val="es-MX" w:eastAsia="x-none"/>
        </w:rPr>
        <w:t xml:space="preserve"> sanitarias</w:t>
      </w:r>
      <w:r>
        <w:rPr>
          <w:rFonts w:ascii="Verdana" w:hAnsi="Verdana" w:cs="Arial"/>
          <w:bCs/>
          <w:lang w:val="es-MX" w:eastAsia="x-none"/>
        </w:rPr>
        <w:t xml:space="preserve">” y, por otro, “[…] </w:t>
      </w:r>
      <w:r w:rsidRPr="009E105D">
        <w:rPr>
          <w:rFonts w:ascii="Verdana" w:eastAsia="Calibri" w:hAnsi="Verdana" w:cs="Arial"/>
        </w:rPr>
        <w:t xml:space="preserve">los que deban realizar las entidades sanitarias </w:t>
      </w:r>
      <w:r>
        <w:rPr>
          <w:rFonts w:ascii="Verdana" w:eastAsia="Calibri" w:hAnsi="Verdana" w:cs="Arial"/>
        </w:rPr>
        <w:t xml:space="preserve">[…]”. Sobre el alcance de estas excepciones, es necesario tener en cuenta que el </w:t>
      </w:r>
      <w:r w:rsidRPr="00B620EA">
        <w:rPr>
          <w:rFonts w:ascii="Verdana" w:eastAsia="Calibri" w:hAnsi="Verdana" w:cs="Arial"/>
          <w:bCs/>
          <w:color w:val="000000" w:themeColor="text1"/>
        </w:rPr>
        <w:t>artículo 28 del Código Civil dispone que “Las palabras de la ley se entenderán en su sentido natural y obvio, según el uso general de las mismas palabras; pero cuando el legislador las haya definido expresamente para ciertas materias, se les dará en éstas su significado legal”</w:t>
      </w:r>
      <w:r>
        <w:rPr>
          <w:rFonts w:ascii="Verdana" w:eastAsia="Calibri" w:hAnsi="Verdana" w:cs="Arial"/>
          <w:bCs/>
          <w:color w:val="000000" w:themeColor="text1"/>
        </w:rPr>
        <w:t>; i</w:t>
      </w:r>
      <w:r w:rsidRPr="00B620EA">
        <w:rPr>
          <w:rFonts w:ascii="Verdana" w:eastAsia="Calibri" w:hAnsi="Verdana" w:cs="Arial"/>
          <w:bCs/>
          <w:color w:val="000000" w:themeColor="text1"/>
        </w:rPr>
        <w:t xml:space="preserve">gualmente, el artículo 29 </w:t>
      </w:r>
      <w:r w:rsidRPr="00240A54">
        <w:rPr>
          <w:rFonts w:ascii="Verdana" w:eastAsia="Calibri" w:hAnsi="Verdana" w:cs="Arial"/>
          <w:bCs/>
          <w:i/>
          <w:iCs/>
          <w:color w:val="000000" w:themeColor="text1"/>
        </w:rPr>
        <w:t>ibidem</w:t>
      </w:r>
      <w:r w:rsidRPr="00B620EA">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Pr>
          <w:rStyle w:val="Refdenotaalpie"/>
          <w:rFonts w:ascii="Verdana" w:eastAsia="Calibri" w:hAnsi="Verdana" w:cs="Arial"/>
          <w:bCs/>
          <w:color w:val="000000" w:themeColor="text1"/>
        </w:rPr>
        <w:footnoteReference w:id="25"/>
      </w:r>
      <w:r>
        <w:rPr>
          <w:rFonts w:ascii="Verdana" w:eastAsia="Calibri" w:hAnsi="Verdana" w:cs="Arial"/>
          <w:bCs/>
          <w:color w:val="000000" w:themeColor="text1"/>
        </w:rPr>
        <w:t>.</w:t>
      </w:r>
    </w:p>
    <w:p w14:paraId="111E395D" w14:textId="77777777" w:rsidR="00102946" w:rsidRDefault="00102946" w:rsidP="00102946">
      <w:pPr>
        <w:spacing w:line="276" w:lineRule="auto"/>
        <w:jc w:val="both"/>
        <w:rPr>
          <w:rFonts w:ascii="Verdana" w:eastAsia="Calibri" w:hAnsi="Verdana" w:cs="Arial"/>
          <w:bCs/>
          <w:color w:val="000000" w:themeColor="text1"/>
        </w:rPr>
      </w:pPr>
      <w:r>
        <w:rPr>
          <w:rFonts w:ascii="Verdana" w:eastAsia="Calibri" w:hAnsi="Verdana" w:cs="Arial"/>
          <w:bCs/>
          <w:color w:val="000000" w:themeColor="text1"/>
        </w:rPr>
        <w:tab/>
        <w:t>Dentro de este marco, el inciso primero del artículo 69 de la Ley 1753 de 2015 dispone que “</w:t>
      </w:r>
      <w:r w:rsidRPr="00D50FF8">
        <w:rPr>
          <w:rFonts w:ascii="Verdana" w:eastAsia="Calibri" w:hAnsi="Verdana" w:cs="Arial"/>
          <w:bCs/>
          <w:color w:val="000000" w:themeColor="text1"/>
        </w:rPr>
        <w:t xml:space="preserve">El Ministerio de Salud y Protección Social (MSPS) podrá </w:t>
      </w:r>
      <w:r w:rsidRPr="00D50FF8">
        <w:rPr>
          <w:rFonts w:ascii="Verdana" w:eastAsia="Calibri" w:hAnsi="Verdana" w:cs="Arial"/>
          <w:bCs/>
          <w:color w:val="000000" w:themeColor="text1"/>
        </w:rPr>
        <w:lastRenderedPageBreak/>
        <w:t>declarar la emergencia sanitaria y/o eventos catastróficos, cuando se presenten situaciones por riesgo de epidemia, epidemia declarada, insuficiencia o desabastecimiento de bienes o servicios de salud o eventos catastróficos que afecten la salud colectiva, u otros cuya magnitud supere la capacidad de adaptación de la comunidad en la que aquel se produce y que la afecten en forma masiva e indiscriminada generando la necesidad de ayuda externa</w:t>
      </w:r>
      <w:r>
        <w:rPr>
          <w:rFonts w:ascii="Verdana" w:eastAsia="Calibri" w:hAnsi="Verdana" w:cs="Arial"/>
          <w:bCs/>
          <w:color w:val="000000" w:themeColor="text1"/>
        </w:rPr>
        <w:t>”</w:t>
      </w:r>
      <w:r w:rsidRPr="00D50FF8">
        <w:rPr>
          <w:rFonts w:ascii="Verdana" w:eastAsia="Calibri" w:hAnsi="Verdana" w:cs="Arial"/>
          <w:bCs/>
          <w:color w:val="000000" w:themeColor="text1"/>
        </w:rPr>
        <w:t>.</w:t>
      </w:r>
      <w:r>
        <w:rPr>
          <w:rFonts w:ascii="Verdana" w:eastAsia="Calibri" w:hAnsi="Verdana" w:cs="Arial"/>
          <w:bCs/>
          <w:color w:val="000000" w:themeColor="text1"/>
        </w:rPr>
        <w:t xml:space="preserve"> En consecuencia, la autoridad competente para declararla podrá analizar si </w:t>
      </w:r>
      <w:r w:rsidRPr="006A4CB1">
        <w:rPr>
          <w:rFonts w:ascii="Verdana" w:eastAsia="Calibri" w:hAnsi="Verdana" w:cs="Arial"/>
          <w:bCs/>
          <w:color w:val="000000" w:themeColor="text1"/>
        </w:rPr>
        <w:t>la falta de prestación de servicios que realiza</w:t>
      </w:r>
      <w:r>
        <w:rPr>
          <w:rFonts w:ascii="Verdana" w:eastAsia="Calibri" w:hAnsi="Verdana" w:cs="Arial"/>
          <w:bCs/>
          <w:color w:val="000000" w:themeColor="text1"/>
        </w:rPr>
        <w:t>n</w:t>
      </w:r>
      <w:r w:rsidRPr="006A4CB1">
        <w:rPr>
          <w:rFonts w:ascii="Verdana" w:eastAsia="Calibri" w:hAnsi="Verdana" w:cs="Arial"/>
          <w:bCs/>
          <w:color w:val="000000" w:themeColor="text1"/>
        </w:rPr>
        <w:t xml:space="preserve"> la</w:t>
      </w:r>
      <w:r>
        <w:rPr>
          <w:rFonts w:ascii="Verdana" w:eastAsia="Calibri" w:hAnsi="Verdana" w:cs="Arial"/>
          <w:bCs/>
          <w:color w:val="000000" w:themeColor="text1"/>
        </w:rPr>
        <w:t>s</w:t>
      </w:r>
      <w:r w:rsidRPr="006A4CB1">
        <w:rPr>
          <w:rFonts w:ascii="Verdana" w:eastAsia="Calibri" w:hAnsi="Verdana" w:cs="Arial"/>
          <w:bCs/>
          <w:color w:val="000000" w:themeColor="text1"/>
        </w:rPr>
        <w:t xml:space="preserve"> secretar</w:t>
      </w:r>
      <w:r>
        <w:rPr>
          <w:rFonts w:ascii="Verdana" w:eastAsia="Calibri" w:hAnsi="Verdana" w:cs="Arial"/>
          <w:bCs/>
          <w:color w:val="000000" w:themeColor="text1"/>
        </w:rPr>
        <w:t>ías</w:t>
      </w:r>
      <w:r w:rsidRPr="006A4CB1">
        <w:rPr>
          <w:rFonts w:ascii="Verdana" w:eastAsia="Calibri" w:hAnsi="Verdana" w:cs="Arial"/>
          <w:bCs/>
          <w:color w:val="000000" w:themeColor="text1"/>
        </w:rPr>
        <w:t xml:space="preserve"> de salud</w:t>
      </w:r>
      <w:r>
        <w:rPr>
          <w:rFonts w:ascii="Verdana" w:eastAsia="Calibri" w:hAnsi="Verdana" w:cs="Arial"/>
          <w:bCs/>
          <w:color w:val="000000" w:themeColor="text1"/>
        </w:rPr>
        <w:t xml:space="preserve"> es constitutiva o no de una situación de emergencia sanitaria. En caso de lo que sea y exista declaración por parte del </w:t>
      </w:r>
      <w:r w:rsidRPr="00D50FF8">
        <w:rPr>
          <w:rFonts w:ascii="Verdana" w:eastAsia="Calibri" w:hAnsi="Verdana" w:cs="Arial"/>
          <w:bCs/>
          <w:color w:val="000000" w:themeColor="text1"/>
        </w:rPr>
        <w:t>Ministerio de Salud y Protección Social</w:t>
      </w:r>
      <w:r>
        <w:rPr>
          <w:rFonts w:ascii="Verdana" w:eastAsia="Calibri" w:hAnsi="Verdana" w:cs="Arial"/>
          <w:bCs/>
          <w:color w:val="000000" w:themeColor="text1"/>
        </w:rPr>
        <w:t>, la entidad estatal podrá acudir a la contratación directa bajo las causales que disponga el régimen jurídico aplicable bajo la excepción prevista en el inciso segundo del artículo 33 de la Ley 996 de 2005.</w:t>
      </w:r>
    </w:p>
    <w:p w14:paraId="4F8B697E" w14:textId="77777777" w:rsidR="00102946" w:rsidRDefault="00102946" w:rsidP="00102946">
      <w:pPr>
        <w:spacing w:after="120" w:line="276" w:lineRule="auto"/>
        <w:jc w:val="both"/>
        <w:rPr>
          <w:rFonts w:ascii="Verdana" w:eastAsia="Arial" w:hAnsi="Verdana" w:cs="Arial"/>
          <w:bCs/>
          <w:lang w:val="es-ES_tradnl"/>
        </w:rPr>
      </w:pPr>
      <w:r>
        <w:rPr>
          <w:rFonts w:ascii="Verdana" w:eastAsia="Calibri" w:hAnsi="Verdana" w:cs="Arial"/>
          <w:bCs/>
          <w:color w:val="000000" w:themeColor="text1"/>
        </w:rPr>
        <w:tab/>
        <w:t xml:space="preserve">Asimismo, </w:t>
      </w:r>
      <w:r w:rsidRPr="002028BD">
        <w:rPr>
          <w:rFonts w:ascii="Verdana" w:eastAsia="Arial" w:hAnsi="Verdana" w:cs="Arial"/>
          <w:bCs/>
        </w:rPr>
        <w:t xml:space="preserve">el artículo 2.8.8.1.1.3 del Decreto 780 de 2016, </w:t>
      </w:r>
      <w:r>
        <w:rPr>
          <w:rFonts w:ascii="Verdana" w:eastAsia="Arial" w:hAnsi="Verdana" w:cs="Arial"/>
          <w:bCs/>
        </w:rPr>
        <w:t>“</w:t>
      </w:r>
      <w:r w:rsidRPr="002028BD">
        <w:rPr>
          <w:rFonts w:ascii="Verdana" w:eastAsia="Arial" w:hAnsi="Verdana" w:cs="Arial"/>
          <w:bCs/>
        </w:rPr>
        <w:t>Por medio del cual se expide el Decreto Único Reglamentario del Sector Salud y Protección Social</w:t>
      </w:r>
      <w:r>
        <w:rPr>
          <w:rFonts w:ascii="Verdana" w:eastAsia="Arial" w:hAnsi="Verdana" w:cs="Arial"/>
          <w:bCs/>
        </w:rPr>
        <w:t>”</w:t>
      </w:r>
      <w:r w:rsidRPr="002028BD">
        <w:rPr>
          <w:rFonts w:ascii="Verdana" w:eastAsia="Arial" w:hAnsi="Verdana" w:cs="Arial"/>
          <w:bCs/>
        </w:rPr>
        <w:t xml:space="preserve">, define las </w:t>
      </w:r>
      <w:r w:rsidRPr="002028BD">
        <w:rPr>
          <w:rFonts w:ascii="Verdana" w:eastAsia="Arial" w:hAnsi="Verdana" w:cs="Arial"/>
          <w:bCs/>
          <w:i/>
          <w:iCs/>
        </w:rPr>
        <w:t>entidades sanitarias</w:t>
      </w:r>
      <w:r w:rsidRPr="002028BD">
        <w:rPr>
          <w:rFonts w:ascii="Verdana" w:eastAsia="Arial" w:hAnsi="Verdana" w:cs="Arial"/>
          <w:bCs/>
        </w:rPr>
        <w:t xml:space="preserve"> como </w:t>
      </w:r>
      <w:r>
        <w:rPr>
          <w:rFonts w:ascii="Verdana" w:eastAsia="Arial" w:hAnsi="Verdana" w:cs="Arial"/>
          <w:bCs/>
        </w:rPr>
        <w:t>“</w:t>
      </w:r>
      <w:r w:rsidRPr="002028BD">
        <w:rPr>
          <w:rFonts w:ascii="Verdana" w:eastAsia="Arial" w:hAnsi="Verdana" w:cs="Arial"/>
          <w:bCs/>
        </w:rPr>
        <w:t>Entidades del Estado que prestan servicios sanitarios o de sanidad con el propósito de preservar la salud humana y la salud pública</w:t>
      </w:r>
      <w:r>
        <w:rPr>
          <w:rFonts w:ascii="Verdana" w:eastAsia="Arial" w:hAnsi="Verdana" w:cs="Arial"/>
          <w:bCs/>
        </w:rPr>
        <w:t>”</w:t>
      </w:r>
      <w:r w:rsidRPr="002028BD">
        <w:rPr>
          <w:rFonts w:ascii="Verdana" w:eastAsia="Arial" w:hAnsi="Verdana" w:cs="Arial"/>
          <w:bCs/>
        </w:rPr>
        <w:t xml:space="preserve">. Si bien los departamentos mediante sus secretarias de salud juegan un rol importante en la materia, no prestan un servicio directo, pues coordinan las políticas de esta naturaleza desde un punto de vista administrativo para efectos del control y vigilancia. Por ello, el artículo citado también define las </w:t>
      </w:r>
      <w:r w:rsidRPr="002028BD">
        <w:rPr>
          <w:rFonts w:ascii="Verdana" w:eastAsia="Arial" w:hAnsi="Verdana" w:cs="Arial"/>
          <w:bCs/>
          <w:i/>
          <w:iCs/>
        </w:rPr>
        <w:t>autoridades sanitarias</w:t>
      </w:r>
      <w:r w:rsidRPr="002028BD">
        <w:rPr>
          <w:rFonts w:ascii="Verdana" w:eastAsia="Arial" w:hAnsi="Verdana" w:cs="Arial"/>
          <w:bCs/>
        </w:rPr>
        <w:t xml:space="preserve"> como </w:t>
      </w:r>
      <w:r>
        <w:rPr>
          <w:rFonts w:ascii="Verdana" w:eastAsia="Arial" w:hAnsi="Verdana" w:cs="Arial"/>
          <w:bCs/>
        </w:rPr>
        <w:t>“</w:t>
      </w:r>
      <w:r w:rsidRPr="002028BD">
        <w:rPr>
          <w:rFonts w:ascii="Verdana" w:eastAsia="Arial" w:hAnsi="Verdana" w:cs="Arial"/>
          <w:bCs/>
        </w:rPr>
        <w:t>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w:t>
      </w:r>
      <w:r>
        <w:rPr>
          <w:rFonts w:ascii="Verdana" w:eastAsia="Arial" w:hAnsi="Verdana" w:cs="Arial"/>
          <w:bCs/>
        </w:rPr>
        <w:t>”</w:t>
      </w:r>
      <w:r w:rsidRPr="002028BD">
        <w:rPr>
          <w:rStyle w:val="Refdenotaalpie"/>
          <w:rFonts w:ascii="Verdana" w:eastAsia="Arial" w:hAnsi="Verdana" w:cs="Arial"/>
          <w:bCs/>
        </w:rPr>
        <w:footnoteReference w:id="26"/>
      </w:r>
      <w:r w:rsidRPr="002028BD">
        <w:rPr>
          <w:rFonts w:ascii="Verdana" w:eastAsia="Arial" w:hAnsi="Verdana" w:cs="Arial"/>
          <w:bCs/>
        </w:rPr>
        <w:t xml:space="preserve">. Sin embargo, es necesario tener en cuenta que la excepción del artículo 33 de la Ley de Garantías solo aplica a las </w:t>
      </w:r>
      <w:r w:rsidRPr="002028BD">
        <w:rPr>
          <w:rFonts w:ascii="Verdana" w:eastAsia="Arial" w:hAnsi="Verdana" w:cs="Arial"/>
          <w:bCs/>
          <w:i/>
          <w:iCs/>
        </w:rPr>
        <w:t>entidades sanitarias</w:t>
      </w:r>
      <w:r w:rsidRPr="002028BD">
        <w:rPr>
          <w:rFonts w:ascii="Verdana" w:eastAsia="Arial" w:hAnsi="Verdana" w:cs="Arial"/>
          <w:bCs/>
        </w:rPr>
        <w:t xml:space="preserve">, no a las </w:t>
      </w:r>
      <w:r w:rsidRPr="002028BD">
        <w:rPr>
          <w:rFonts w:ascii="Verdana" w:eastAsia="Arial" w:hAnsi="Verdana" w:cs="Arial"/>
          <w:bCs/>
          <w:i/>
          <w:iCs/>
        </w:rPr>
        <w:t>autoridades sanitarias</w:t>
      </w:r>
      <w:r>
        <w:rPr>
          <w:rFonts w:ascii="Verdana" w:eastAsia="Arial" w:hAnsi="Verdana" w:cs="Arial"/>
          <w:bCs/>
          <w:lang w:val="es-ES_tradnl"/>
        </w:rPr>
        <w:t xml:space="preserve">. </w:t>
      </w:r>
    </w:p>
    <w:p w14:paraId="325AF645" w14:textId="77777777" w:rsidR="00102946" w:rsidRDefault="00102946" w:rsidP="00102946">
      <w:pPr>
        <w:spacing w:after="0" w:line="276" w:lineRule="auto"/>
        <w:ind w:firstLine="708"/>
        <w:jc w:val="both"/>
        <w:rPr>
          <w:rFonts w:ascii="Verdana" w:eastAsia="Arial" w:hAnsi="Verdana" w:cs="Arial"/>
          <w:bCs/>
        </w:rPr>
      </w:pPr>
      <w:r>
        <w:rPr>
          <w:rFonts w:ascii="Verdana" w:eastAsia="Arial" w:hAnsi="Verdana" w:cs="Arial"/>
          <w:bCs/>
        </w:rPr>
        <w:t>Es decir</w:t>
      </w:r>
      <w:r w:rsidRPr="002028BD">
        <w:rPr>
          <w:rFonts w:ascii="Verdana" w:eastAsia="Arial" w:hAnsi="Verdana" w:cs="Arial"/>
          <w:bCs/>
        </w:rPr>
        <w:t xml:space="preserve">, en caso en que los departamentos ejerzan funciones de autoridad sanitaria </w:t>
      </w:r>
      <w:r>
        <w:rPr>
          <w:rFonts w:ascii="Verdana" w:eastAsia="Arial" w:hAnsi="Verdana" w:cs="Arial"/>
          <w:bCs/>
        </w:rPr>
        <w:t>–</w:t>
      </w:r>
      <w:r w:rsidRPr="002028BD">
        <w:rPr>
          <w:rFonts w:ascii="Verdana" w:eastAsia="Arial" w:hAnsi="Verdana" w:cs="Arial"/>
          <w:bCs/>
        </w:rPr>
        <w:t>no de entidades sanitarias</w:t>
      </w:r>
      <w:r>
        <w:rPr>
          <w:rFonts w:ascii="Verdana" w:eastAsia="Arial" w:hAnsi="Verdana" w:cs="Arial"/>
          <w:bCs/>
        </w:rPr>
        <w:t>–</w:t>
      </w:r>
      <w:r w:rsidRPr="002028BD">
        <w:rPr>
          <w:rFonts w:ascii="Verdana" w:eastAsia="Arial" w:hAnsi="Verdana" w:cs="Arial"/>
          <w:bCs/>
        </w:rPr>
        <w:t xml:space="preserve"> </w:t>
      </w:r>
      <w:r>
        <w:rPr>
          <w:rFonts w:ascii="Verdana" w:eastAsia="Arial" w:hAnsi="Verdana" w:cs="Arial"/>
          <w:bCs/>
        </w:rPr>
        <w:t>no</w:t>
      </w:r>
      <w:r w:rsidRPr="002028BD">
        <w:rPr>
          <w:rFonts w:ascii="Verdana" w:eastAsia="Arial" w:hAnsi="Verdana" w:cs="Arial"/>
          <w:bCs/>
        </w:rPr>
        <w:t xml:space="preserve"> estarían dentro de la excepción</w:t>
      </w:r>
      <w:r>
        <w:rPr>
          <w:rFonts w:ascii="Verdana" w:eastAsia="Arial" w:hAnsi="Verdana" w:cs="Arial"/>
          <w:bCs/>
        </w:rPr>
        <w:t xml:space="preserve">; razón por la cual, deben adoptar las medidas administrativas y presupuestales </w:t>
      </w:r>
      <w:r>
        <w:rPr>
          <w:rFonts w:ascii="Verdana" w:eastAsia="Arial" w:hAnsi="Verdana" w:cs="Arial"/>
          <w:bCs/>
        </w:rPr>
        <w:lastRenderedPageBreak/>
        <w:t>necesarias para suscribir los contratos antes de la vigencia de las prohibiciones. Para ello, la entidad interesada acudirá a las figuras jurídicas propias de su régimen contractual, esto es, las de la Ley 80 de 1993, especialmente, considerando que los departamentos son entidades estatales en los términos del literal a) del artículo 2.1 del EGCAP</w:t>
      </w:r>
      <w:r>
        <w:rPr>
          <w:rStyle w:val="Refdenotaalpie"/>
          <w:rFonts w:ascii="Verdana" w:eastAsia="Arial" w:hAnsi="Verdana" w:cs="Arial"/>
          <w:bCs/>
        </w:rPr>
        <w:footnoteReference w:id="27"/>
      </w:r>
      <w:r>
        <w:rPr>
          <w:rFonts w:ascii="Verdana" w:eastAsia="Arial" w:hAnsi="Verdana" w:cs="Arial"/>
          <w:bCs/>
        </w:rPr>
        <w:t xml:space="preserve">. </w:t>
      </w:r>
    </w:p>
    <w:p w14:paraId="66A67354" w14:textId="77777777" w:rsidR="00102946" w:rsidRPr="00037111" w:rsidRDefault="00102946" w:rsidP="00102946">
      <w:pPr>
        <w:spacing w:after="0" w:line="276" w:lineRule="auto"/>
        <w:jc w:val="both"/>
        <w:rPr>
          <w:rFonts w:ascii="Verdana" w:eastAsia="Arial" w:hAnsi="Verdana" w:cs="Arial"/>
          <w:bCs/>
        </w:rPr>
      </w:pPr>
    </w:p>
    <w:p w14:paraId="1AA35B8C" w14:textId="77777777" w:rsidR="00102946" w:rsidRDefault="00102946" w:rsidP="00102946">
      <w:pPr>
        <w:spacing w:after="120" w:line="276" w:lineRule="auto"/>
        <w:jc w:val="both"/>
        <w:rPr>
          <w:rFonts w:ascii="Verdana" w:eastAsia="Times New Roman" w:hAnsi="Verdana" w:cs="Arial"/>
          <w:lang w:val="es-MX" w:eastAsia="x-none"/>
        </w:rPr>
      </w:pPr>
      <w:r>
        <w:rPr>
          <w:rFonts w:ascii="Verdana" w:eastAsia="Calibri" w:hAnsi="Verdana" w:cs="Arial"/>
        </w:rPr>
        <w:t xml:space="preserve">v. </w:t>
      </w:r>
      <w:r>
        <w:rPr>
          <w:rFonts w:ascii="Verdana" w:eastAsia="Arial" w:hAnsi="Verdana" w:cs="Arial"/>
          <w:lang w:val="es-ES" w:eastAsia="es-ES" w:bidi="es-ES"/>
        </w:rPr>
        <w:t>También</w:t>
      </w:r>
      <w:r w:rsidRPr="00E2397D">
        <w:rPr>
          <w:rFonts w:ascii="Verdana" w:eastAsia="Calibri" w:hAnsi="Verdana" w:cs="Arial"/>
          <w:lang w:eastAsia="es-ES" w:bidi="es-ES"/>
        </w:rPr>
        <w:t xml:space="preserve"> resulta necesario precisar el alcance de la prohibición </w:t>
      </w:r>
      <w:r w:rsidRPr="00E2397D">
        <w:rPr>
          <w:rFonts w:ascii="Verdana" w:eastAsia="Arial" w:hAnsi="Verdana" w:cs="Arial"/>
          <w:lang w:val="es-ES" w:eastAsia="es-ES" w:bidi="es-ES"/>
        </w:rPr>
        <w:t>establecida en e</w:t>
      </w:r>
      <w:r w:rsidRPr="00E2397D">
        <w:rPr>
          <w:rFonts w:ascii="Verdana" w:eastAsia="Calibri" w:hAnsi="Verdana" w:cs="Arial"/>
        </w:rPr>
        <w:t>l parágrafo del artículo 38 de la Ley 996 de 2005. La citada norm</w:t>
      </w:r>
      <w:r>
        <w:rPr>
          <w:rFonts w:ascii="Verdana" w:eastAsia="Calibri" w:hAnsi="Verdana" w:cs="Arial"/>
        </w:rPr>
        <w:t xml:space="preserve">a dispone: </w:t>
      </w:r>
      <w:r w:rsidRPr="00E2397D">
        <w:rPr>
          <w:rFonts w:ascii="Verdana" w:eastAsia="Calibri" w:hAnsi="Verdana" w:cs="Arial"/>
        </w:rPr>
        <w:t xml:space="preserve">“[l]os Gobernadores, Alcaldes Municipales y/o Distritales, Secretarios, Gerentes y directores de Entidades Descentralizadas del orden Municipal, Departamental o Distrital, dentro de los cuatro (4) meses anteriores a las elecciones, no podrán celebrar </w:t>
      </w:r>
      <w:r w:rsidRPr="00E2397D">
        <w:rPr>
          <w:rFonts w:ascii="Verdana" w:eastAsia="Calibri" w:hAnsi="Verdana" w:cs="Arial"/>
          <w:i/>
          <w:iCs/>
        </w:rPr>
        <w:t>convenios interadministrativos</w:t>
      </w:r>
      <w:r w:rsidRPr="00E2397D">
        <w:rPr>
          <w:rFonts w:ascii="Verdana" w:eastAsia="Calibri" w:hAnsi="Verdana" w:cs="Arial"/>
        </w:rPr>
        <w:t xml:space="preserve"> para la ejecución de recursos públicos”.</w:t>
      </w:r>
      <w:r w:rsidRPr="00E2397D">
        <w:rPr>
          <w:rFonts w:ascii="Verdana" w:eastAsia="Times New Roman" w:hAnsi="Verdana" w:cs="Arial"/>
          <w:lang w:val="es-MX" w:eastAsia="x-none"/>
        </w:rPr>
        <w:t xml:space="preserve"> [Énfasis fuera del texto original]</w:t>
      </w:r>
    </w:p>
    <w:p w14:paraId="07FBD145" w14:textId="77777777" w:rsidR="00102946" w:rsidRPr="000A6EA6" w:rsidRDefault="00102946" w:rsidP="00102946">
      <w:pPr>
        <w:spacing w:after="120" w:line="276" w:lineRule="auto"/>
        <w:ind w:firstLine="737"/>
        <w:jc w:val="both"/>
        <w:rPr>
          <w:rFonts w:ascii="Verdana" w:eastAsia="Calibri" w:hAnsi="Verdana" w:cs="Arial"/>
          <w:bCs/>
          <w:color w:val="000000" w:themeColor="text1"/>
        </w:rPr>
      </w:pPr>
      <w:r>
        <w:rPr>
          <w:rFonts w:ascii="Verdana" w:eastAsia="Calibri" w:hAnsi="Verdana" w:cs="Arial"/>
          <w:bCs/>
          <w:color w:val="000000" w:themeColor="text1"/>
        </w:rPr>
        <w:t xml:space="preserve">La prohibición de contratación directa del artículo 33 de la Ley Garantías admite excepciones tratándose, entre otras, de </w:t>
      </w:r>
      <w:r>
        <w:rPr>
          <w:rFonts w:ascii="Verdana" w:hAnsi="Verdana" w:cs="Arial"/>
          <w:bCs/>
          <w:lang w:val="es-MX" w:eastAsia="x-none"/>
        </w:rPr>
        <w:t xml:space="preserve">“[…] </w:t>
      </w:r>
      <w:r w:rsidRPr="00EF66EF">
        <w:rPr>
          <w:rFonts w:ascii="Verdana" w:hAnsi="Verdana" w:cs="Arial"/>
          <w:bCs/>
          <w:lang w:val="es-MX" w:eastAsia="x-none"/>
        </w:rPr>
        <w:t>los requeridos para cubrir las emergencias</w:t>
      </w:r>
      <w:r>
        <w:rPr>
          <w:rFonts w:ascii="Verdana" w:hAnsi="Verdana" w:cs="Arial"/>
          <w:bCs/>
          <w:lang w:val="es-MX" w:eastAsia="x-none"/>
        </w:rPr>
        <w:t xml:space="preserve"> […]</w:t>
      </w:r>
      <w:r w:rsidRPr="00EF66EF">
        <w:rPr>
          <w:rFonts w:ascii="Verdana" w:hAnsi="Verdana" w:cs="Arial"/>
          <w:bCs/>
          <w:lang w:val="es-MX" w:eastAsia="x-none"/>
        </w:rPr>
        <w:t xml:space="preserve"> sanitarias</w:t>
      </w:r>
      <w:r>
        <w:rPr>
          <w:rFonts w:ascii="Verdana" w:hAnsi="Verdana" w:cs="Arial"/>
          <w:bCs/>
          <w:lang w:val="es-MX" w:eastAsia="x-none"/>
        </w:rPr>
        <w:t xml:space="preserve">” y “[…] </w:t>
      </w:r>
      <w:r w:rsidRPr="009E105D">
        <w:rPr>
          <w:rFonts w:ascii="Verdana" w:eastAsia="Calibri" w:hAnsi="Verdana" w:cs="Arial"/>
        </w:rPr>
        <w:t xml:space="preserve">los que deban realizar las entidades sanitarias </w:t>
      </w:r>
      <w:r>
        <w:rPr>
          <w:rFonts w:ascii="Verdana" w:eastAsia="Calibri" w:hAnsi="Verdana" w:cs="Arial"/>
        </w:rPr>
        <w:t xml:space="preserve">[…]”. Estas excepciones son inaplicables en la restricción del artículo 38 </w:t>
      </w:r>
      <w:r w:rsidRPr="009952F0">
        <w:rPr>
          <w:rFonts w:ascii="Verdana" w:eastAsia="Calibri" w:hAnsi="Verdana" w:cs="Arial"/>
          <w:i/>
          <w:iCs/>
        </w:rPr>
        <w:t>ibidem</w:t>
      </w:r>
      <w:r>
        <w:rPr>
          <w:rFonts w:ascii="Verdana" w:eastAsia="Calibri" w:hAnsi="Verdana" w:cs="Arial"/>
        </w:rPr>
        <w:t xml:space="preserve">; razón por la cual, en el Concepto C-1124 del 18 de septiembre de 2025, la Agencia sostiene que “[…] </w:t>
      </w:r>
      <w:r w:rsidRPr="000A6EA6">
        <w:rPr>
          <w:rFonts w:ascii="Verdana" w:eastAsia="Calibri" w:hAnsi="Verdana" w:cs="Arial"/>
        </w:rPr>
        <w:t>es necesario verificar si la contratación del PIC es llevada a cabo por alguno de los sujetos señalados en la norma, así como si lo que se pretende adelantar es un convenio o un contrato interadministrativo para la ejecución de recursos públicos. Cuando este sea el caso, operará la restricción señalada en el parágrafo y estará prohibido llevar a cabo la contratación de convenios en los cuatro meses anteriores a cualquier contienda electoral</w:t>
      </w:r>
      <w:r>
        <w:rPr>
          <w:rFonts w:ascii="Verdana" w:eastAsia="Calibri" w:hAnsi="Verdana" w:cs="Arial"/>
          <w:bCs/>
          <w:color w:val="000000" w:themeColor="text1"/>
        </w:rPr>
        <w:t xml:space="preserve"> […]”; razón por la cual, “[…] </w:t>
      </w:r>
      <w:r w:rsidRPr="000A6EA6">
        <w:rPr>
          <w:rFonts w:ascii="Verdana" w:eastAsia="Calibri" w:hAnsi="Verdana" w:cs="Arial"/>
          <w:bCs/>
          <w:color w:val="000000" w:themeColor="text1"/>
        </w:rPr>
        <w:t xml:space="preserve">con el fin de garantizar la continuidad de las intervenciones de promoción de salud y prevención, </w:t>
      </w:r>
      <w:r>
        <w:rPr>
          <w:rFonts w:ascii="Verdana" w:eastAsia="Calibri" w:hAnsi="Verdana" w:cs="Arial"/>
          <w:bCs/>
          <w:color w:val="000000" w:themeColor="text1"/>
        </w:rPr>
        <w:t>‘</w:t>
      </w:r>
      <w:r w:rsidRPr="000A6EA6">
        <w:rPr>
          <w:rFonts w:ascii="Verdana" w:eastAsia="Calibri" w:hAnsi="Verdana" w:cs="Arial"/>
          <w:bCs/>
          <w:color w:val="000000" w:themeColor="text1"/>
        </w:rPr>
        <w:t>se debe acudir a las demás modalidades de contratación autorizadas por la ley de manera que no se afecte la ejecución de las intervenciones colectivas a cargo de las entidades territoriales</w:t>
      </w:r>
      <w:r>
        <w:rPr>
          <w:rFonts w:ascii="Verdana" w:eastAsia="Calibri" w:hAnsi="Verdana" w:cs="Arial"/>
          <w:bCs/>
          <w:color w:val="000000" w:themeColor="text1"/>
        </w:rPr>
        <w:t>’ […]</w:t>
      </w:r>
      <w:r w:rsidRPr="000A6EA6">
        <w:rPr>
          <w:rFonts w:ascii="Verdana" w:eastAsia="Calibri" w:hAnsi="Verdana" w:cs="Arial"/>
          <w:bCs/>
          <w:color w:val="000000" w:themeColor="text1"/>
        </w:rPr>
        <w:t>”</w:t>
      </w:r>
      <w:r>
        <w:rPr>
          <w:rFonts w:ascii="Verdana" w:eastAsia="Calibri" w:hAnsi="Verdana" w:cs="Arial"/>
          <w:bCs/>
          <w:color w:val="000000" w:themeColor="text1"/>
        </w:rPr>
        <w:t>.</w:t>
      </w:r>
    </w:p>
    <w:p w14:paraId="6297FB83" w14:textId="77777777" w:rsidR="00102946" w:rsidRPr="00E2397D" w:rsidRDefault="00102946" w:rsidP="00102946">
      <w:pPr>
        <w:spacing w:after="120" w:line="276" w:lineRule="auto"/>
        <w:ind w:firstLine="709"/>
        <w:jc w:val="both"/>
        <w:rPr>
          <w:rFonts w:ascii="Verdana" w:eastAsia="Calibri" w:hAnsi="Verdana" w:cs="Arial"/>
          <w:lang w:bidi="es-ES"/>
        </w:rPr>
      </w:pPr>
      <w:r>
        <w:rPr>
          <w:rFonts w:ascii="Verdana" w:eastAsia="Times New Roman" w:hAnsi="Verdana" w:cs="Arial"/>
          <w:lang w:val="es-MX" w:eastAsia="x-none"/>
        </w:rPr>
        <w:t>Por lo demás</w:t>
      </w:r>
      <w:r w:rsidRPr="00E2397D">
        <w:rPr>
          <w:rFonts w:ascii="Verdana" w:eastAsia="Times New Roman" w:hAnsi="Verdana" w:cs="Arial"/>
          <w:lang w:val="es-MX" w:eastAsia="x-none"/>
        </w:rPr>
        <w:t xml:space="preserve">, es importante señalar que esta Subdirección, en los conceptos emitidos sobre la aplicación de la Ley de Garantías Electorales, ha defendido y mantenido la postura acerca de que la prohibición señalada en </w:t>
      </w:r>
      <w:r w:rsidRPr="00E2397D">
        <w:rPr>
          <w:rFonts w:ascii="Verdana" w:eastAsia="Arial" w:hAnsi="Verdana" w:cs="Arial"/>
          <w:lang w:val="es-ES" w:eastAsia="es-ES" w:bidi="es-ES"/>
        </w:rPr>
        <w:t>e</w:t>
      </w:r>
      <w:r w:rsidRPr="00E2397D">
        <w:rPr>
          <w:rFonts w:ascii="Verdana" w:eastAsia="Calibri" w:hAnsi="Verdana" w:cs="Arial"/>
        </w:rPr>
        <w:t xml:space="preserve">l </w:t>
      </w:r>
      <w:r w:rsidRPr="00E2397D">
        <w:rPr>
          <w:rFonts w:ascii="Verdana" w:eastAsia="Calibri" w:hAnsi="Verdana" w:cs="Arial"/>
        </w:rPr>
        <w:lastRenderedPageBreak/>
        <w:t xml:space="preserve">parágrafo del artículo 38 cobija tanto a los convenios como a los contratos interadministrativos. Esta tesis se fundamenta en que </w:t>
      </w:r>
      <w:r w:rsidRPr="00E2397D">
        <w:rPr>
          <w:rFonts w:ascii="Verdana" w:eastAsia="Calibri" w:hAnsi="Verdana" w:cs="Arial"/>
          <w:lang w:bidi="es-ES"/>
        </w:rPr>
        <w:t>si bien actualmente el Estatuto General de Contratación de la Administración Públ</w:t>
      </w:r>
      <w:r>
        <w:rPr>
          <w:rFonts w:ascii="Verdana" w:eastAsia="Calibri" w:hAnsi="Verdana" w:cs="Arial"/>
          <w:lang w:bidi="es-ES"/>
        </w:rPr>
        <w:t>ica –en adelante EGCAP– se refiere</w:t>
      </w:r>
      <w:r w:rsidRPr="00E2397D">
        <w:rPr>
          <w:rFonts w:ascii="Verdana" w:eastAsia="Calibri" w:hAnsi="Verdana" w:cs="Arial"/>
          <w:lang w:bidi="es-ES"/>
        </w:rPr>
        <w:t xml:space="preserv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7B98BA4F" w14:textId="77777777" w:rsidR="00102946" w:rsidRPr="00E2397D" w:rsidRDefault="00102946" w:rsidP="00102946">
      <w:pPr>
        <w:spacing w:after="120" w:line="276" w:lineRule="auto"/>
        <w:ind w:firstLine="709"/>
        <w:jc w:val="both"/>
        <w:rPr>
          <w:rFonts w:ascii="Verdana" w:eastAsia="Calibri" w:hAnsi="Verdana" w:cs="Arial"/>
          <w:lang w:bidi="es-ES"/>
        </w:rPr>
      </w:pPr>
      <w:r w:rsidRPr="00E2397D">
        <w:rPr>
          <w:rFonts w:ascii="Verdana" w:eastAsia="Calibri" w:hAnsi="Verdana" w:cs="Arial"/>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E2397D">
        <w:rPr>
          <w:rFonts w:ascii="Verdana" w:eastAsia="Arial" w:hAnsi="Verdana" w:cs="Arial"/>
          <w:lang w:val="es-ES" w:eastAsia="es-ES" w:bidi="es-ES"/>
        </w:rPr>
        <w:t>el legislador y el ordenamiento jurídico, en general, en distintas ocasiones utiliza de forma indistinta los conceptos de contrato o convenio para referirse a la misma institución jurídica</w:t>
      </w:r>
      <w:r w:rsidRPr="00E2397D">
        <w:rPr>
          <w:rFonts w:ascii="Verdana" w:eastAsia="Arial" w:hAnsi="Verdana" w:cs="Arial"/>
          <w:vertAlign w:val="superscript"/>
          <w:lang w:val="es-ES" w:eastAsia="es-ES" w:bidi="es-ES"/>
        </w:rPr>
        <w:footnoteReference w:id="28"/>
      </w:r>
      <w:r w:rsidRPr="00E2397D">
        <w:rPr>
          <w:rFonts w:ascii="Verdana" w:eastAsia="Arial" w:hAnsi="Verdana" w:cs="Arial"/>
          <w:lang w:val="es-ES" w:eastAsia="es-ES" w:bidi="es-ES"/>
        </w:rPr>
        <w:t>. Incluso, la Corte Constitucional fundamenta la posibilidad de celebrar convenios interadministrativos de forma directa, con fundamento en la causal establecida en la Ley 1150 de 2007 respecto a los contratos interadministrativos</w:t>
      </w:r>
      <w:r w:rsidRPr="00E2397D">
        <w:rPr>
          <w:rFonts w:ascii="Verdana" w:eastAsia="Arial" w:hAnsi="Verdana" w:cs="Arial"/>
          <w:vertAlign w:val="superscript"/>
          <w:lang w:val="es-ES" w:eastAsia="es-ES" w:bidi="es-ES"/>
        </w:rPr>
        <w:footnoteReference w:id="29"/>
      </w:r>
      <w:r w:rsidRPr="00E2397D">
        <w:rPr>
          <w:rFonts w:ascii="Verdana" w:eastAsia="Arial" w:hAnsi="Verdana" w:cs="Arial"/>
          <w:lang w:val="es-ES" w:eastAsia="es-ES" w:bidi="es-ES"/>
        </w:rPr>
        <w:t>.</w:t>
      </w:r>
    </w:p>
    <w:p w14:paraId="2D307438" w14:textId="77777777" w:rsidR="00102946" w:rsidRPr="00E2397D" w:rsidRDefault="00102946" w:rsidP="00102946">
      <w:pPr>
        <w:widowControl w:val="0"/>
        <w:autoSpaceDE w:val="0"/>
        <w:autoSpaceDN w:val="0"/>
        <w:spacing w:after="0" w:line="276" w:lineRule="auto"/>
        <w:ind w:firstLine="709"/>
        <w:contextualSpacing/>
        <w:jc w:val="both"/>
        <w:rPr>
          <w:rFonts w:ascii="Verdana" w:eastAsia="Arial" w:hAnsi="Verdana" w:cs="Arial"/>
          <w:lang w:val="es-ES" w:eastAsia="es-ES" w:bidi="es-ES"/>
        </w:rPr>
      </w:pPr>
      <w:r w:rsidRPr="00E2397D">
        <w:rPr>
          <w:rFonts w:ascii="Verdana" w:eastAsia="Calibri" w:hAnsi="Verdana" w:cs="Arial"/>
          <w:lang w:val="es-ES" w:bidi="es-ES"/>
        </w:rPr>
        <w:t>De este modo, en la Circular Externa</w:t>
      </w:r>
      <w:r w:rsidRPr="00E2397D">
        <w:rPr>
          <w:rFonts w:ascii="Verdana" w:eastAsia="Arial" w:hAnsi="Verdana" w:cs="Arial"/>
          <w:lang w:val="es-ES" w:eastAsia="es-ES" w:bidi="es-ES"/>
        </w:rPr>
        <w:t xml:space="preserve"> Única de Colombia Compra Eficiente, 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 En este sentido, la Circular, refiriéndose al parágrafo del artículo 38 de la Ley 996 de 2005, expresa lo siguiente en el numeral 16.2:</w:t>
      </w:r>
    </w:p>
    <w:p w14:paraId="36E74410" w14:textId="77777777" w:rsidR="00102946" w:rsidRPr="00E2397D" w:rsidRDefault="00102946" w:rsidP="00102946">
      <w:pPr>
        <w:widowControl w:val="0"/>
        <w:autoSpaceDE w:val="0"/>
        <w:autoSpaceDN w:val="0"/>
        <w:spacing w:after="0" w:line="276" w:lineRule="auto"/>
        <w:contextualSpacing/>
        <w:jc w:val="both"/>
        <w:rPr>
          <w:rFonts w:ascii="Verdana" w:eastAsia="Arial" w:hAnsi="Verdana" w:cs="Arial"/>
          <w:lang w:val="es-ES" w:eastAsia="es-ES" w:bidi="es-ES"/>
        </w:rPr>
      </w:pPr>
    </w:p>
    <w:p w14:paraId="612AEABC" w14:textId="77777777" w:rsidR="00102946" w:rsidRPr="00E2397D" w:rsidRDefault="00102946" w:rsidP="00102946">
      <w:pPr>
        <w:spacing w:after="12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ES_tradnl"/>
        </w:rPr>
        <w:t xml:space="preserve">“Esta restricción es aplicable tanto a los convenios como a los contratos interadministrativos. Toda vez que, al no existir definición legal que </w:t>
      </w:r>
      <w:r w:rsidRPr="00E2397D">
        <w:rPr>
          <w:rFonts w:ascii="Verdana" w:eastAsia="Calibri" w:hAnsi="Verdana" w:cs="Arial"/>
          <w:sz w:val="20"/>
          <w:szCs w:val="20"/>
          <w:lang w:val="es-ES_tradnl"/>
        </w:rPr>
        <w:lastRenderedPageBreak/>
        <w:t xml:space="preserve">diferencie el concepto de convenio del concepto de contrato, la denominación prevista por la Ley 80 de 1993 y la Ley 1150 de 2007 </w:t>
      </w:r>
      <w:r w:rsidRPr="00E2397D">
        <w:rPr>
          <w:rFonts w:ascii="Verdana" w:eastAsia="Calibri" w:hAnsi="Verdana" w:cs="Arial"/>
          <w:sz w:val="20"/>
          <w:szCs w:val="20"/>
          <w:lang w:val="es-MX"/>
        </w:rPr>
        <w:t>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p>
    <w:p w14:paraId="467C0EBB" w14:textId="77777777" w:rsidR="00102946" w:rsidRPr="00E2397D" w:rsidRDefault="00102946" w:rsidP="00102946">
      <w:pPr>
        <w:spacing w:after="12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MX"/>
        </w:rPr>
        <w:t>No obstante, por vía jurisprudencial se ha establecido que en los contratos interadministrativos existe una contraprestación directa a favor de la entidad que ha entregado el bien o prestado el servicio a la Entidad contratante, habilitado para ello por su objeto legal como entidad ejecutora, como quiera que las obligaciones asignadas legalmente a aquella entidad pública están directamente relacionadas con el objeto contractual. Por su parte, en los convenios interadministrativos las entidades se asocian con el fin de cooperar en el cumplimiento de funciones administrativas o de prestar conjuntamente servicios que se hallen a su cargo, sin que exista una contraprestación para ninguna de las entidades ni la prestación de un servicio a cargo de alguna de ellas y en favor de la otra parte del convenio.</w:t>
      </w:r>
    </w:p>
    <w:p w14:paraId="204DED02" w14:textId="77777777" w:rsidR="00102946" w:rsidRPr="00E2397D" w:rsidRDefault="00102946" w:rsidP="00102946">
      <w:pPr>
        <w:spacing w:after="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MX"/>
        </w:rPr>
        <w:t>En el contexto de la Ley de Garantías, las restricciones además de propender por la igualdad de los candidatos están encaminadas a evitar que por medio de la contratación se altere la voluntad popular, lo cual se puede lograr a través de contratos o convenios.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688A2DBB" w14:textId="77777777" w:rsidR="00102946" w:rsidRPr="00E2397D" w:rsidRDefault="00102946" w:rsidP="00102946">
      <w:pPr>
        <w:widowControl w:val="0"/>
        <w:autoSpaceDE w:val="0"/>
        <w:autoSpaceDN w:val="0"/>
        <w:spacing w:after="0" w:line="276" w:lineRule="auto"/>
        <w:contextualSpacing/>
        <w:jc w:val="both"/>
        <w:rPr>
          <w:rFonts w:ascii="Verdana" w:eastAsia="Arial" w:hAnsi="Verdana" w:cs="Arial"/>
          <w:lang w:val="es-ES" w:eastAsia="es-ES" w:bidi="es-ES"/>
        </w:rPr>
      </w:pPr>
    </w:p>
    <w:p w14:paraId="18094E21" w14:textId="77777777" w:rsidR="00102946" w:rsidRPr="00E2397D" w:rsidRDefault="00102946" w:rsidP="00102946">
      <w:pPr>
        <w:spacing w:after="120" w:line="276" w:lineRule="auto"/>
        <w:ind w:firstLine="709"/>
        <w:jc w:val="both"/>
        <w:rPr>
          <w:rFonts w:ascii="Verdana" w:eastAsia="Arial" w:hAnsi="Verdana" w:cs="Arial"/>
          <w:lang w:val="es-MX" w:eastAsia="es-ES" w:bidi="es-ES"/>
        </w:rPr>
      </w:pPr>
      <w:r w:rsidRPr="00E2397D">
        <w:rPr>
          <w:rFonts w:ascii="Verdana" w:eastAsia="Arial" w:hAnsi="Verdana" w:cs="Arial"/>
          <w:lang w:val="es-ES" w:eastAsia="es-ES" w:bidi="es-ES"/>
        </w:rPr>
        <w:t>Con base en lo expuesto, debido a que no existe una definición legal que diferencie los conceptos de contrato y convenio, esta Agencia ha partido de su asimilación para la aplicación de la Ley de Garantías Electorales, por lo que la interpretación que se ha efectuado d</w:t>
      </w:r>
      <w:r w:rsidRPr="00E2397D">
        <w:rPr>
          <w:rFonts w:ascii="Verdana" w:eastAsia="Arial" w:hAnsi="Verdana" w:cs="Arial"/>
          <w:lang w:val="es-MX" w:eastAsia="es-ES" w:bidi="es-ES"/>
        </w:rPr>
        <w:t>el parágrafo del artículo 38 de la Ley 996 de 2005 es que prohíbe a los alcaldes, gobernadores, secretarios, gerentes y directores de las entidades del orden municipal, departamental o distrital celebrar convenios y contratos interadministrativos para la ejecución de recursos públicos.</w:t>
      </w:r>
    </w:p>
    <w:p w14:paraId="380710BF" w14:textId="77777777" w:rsidR="00102946" w:rsidRPr="00E2397D" w:rsidRDefault="00102946" w:rsidP="00102946">
      <w:pPr>
        <w:spacing w:after="0" w:line="276" w:lineRule="auto"/>
        <w:ind w:firstLine="709"/>
        <w:jc w:val="both"/>
      </w:pPr>
      <w:r w:rsidRPr="00E2397D">
        <w:rPr>
          <w:rFonts w:ascii="Verdana" w:eastAsia="Arial" w:hAnsi="Verdana" w:cs="Arial"/>
          <w:lang w:val="es-MX" w:eastAsia="es-ES" w:bidi="es-ES"/>
        </w:rPr>
        <w:t xml:space="preserve">No obstante, conviene señalar que, mediante auto de 4 de octubre del 2024, el Consejo de Estado, Sección Tercera, decretó medida de suspensión provisional parcial del </w:t>
      </w:r>
      <w:r w:rsidRPr="00E2397D">
        <w:rPr>
          <w:rFonts w:ascii="Verdana" w:hAnsi="Verdana"/>
        </w:rPr>
        <w:t>numeral 16.2 de la Circular Externa Única de 2022 expedida por la Agencia Nacional de Contratación Pública -Colombia Compra Eficiente-, concretamente, respecto de los siguientes apartes normativos:</w:t>
      </w:r>
      <w:r w:rsidRPr="00E2397D">
        <w:t xml:space="preserve"> </w:t>
      </w:r>
    </w:p>
    <w:p w14:paraId="021A312E" w14:textId="77777777" w:rsidR="00102946" w:rsidRPr="00E2397D" w:rsidRDefault="00102946" w:rsidP="00102946">
      <w:pPr>
        <w:spacing w:after="0" w:line="276" w:lineRule="auto"/>
        <w:ind w:firstLine="709"/>
        <w:jc w:val="both"/>
      </w:pPr>
    </w:p>
    <w:p w14:paraId="41DD5142" w14:textId="77777777" w:rsidR="00102946" w:rsidRPr="00E2397D" w:rsidRDefault="00102946" w:rsidP="00102946">
      <w:pPr>
        <w:spacing w:after="120" w:line="240" w:lineRule="auto"/>
        <w:ind w:left="709" w:right="709"/>
        <w:jc w:val="both"/>
        <w:rPr>
          <w:rFonts w:ascii="Verdana" w:eastAsia="Calibri" w:hAnsi="Verdana" w:cs="Arial"/>
          <w:sz w:val="20"/>
          <w:szCs w:val="20"/>
        </w:rPr>
      </w:pPr>
      <w:r>
        <w:rPr>
          <w:rFonts w:ascii="Verdana" w:eastAsia="Calibri" w:hAnsi="Verdana" w:cs="Arial"/>
          <w:sz w:val="20"/>
          <w:szCs w:val="20"/>
          <w:lang w:val="es-MX"/>
        </w:rPr>
        <w:t>“</w:t>
      </w:r>
      <w:r w:rsidRPr="00E2397D">
        <w:rPr>
          <w:rFonts w:ascii="Verdana" w:eastAsia="Calibri" w:hAnsi="Verdana" w:cs="Arial"/>
          <w:sz w:val="20"/>
          <w:szCs w:val="20"/>
          <w:lang w:val="es-MX"/>
        </w:rPr>
        <w:t>i)</w:t>
      </w:r>
      <w:r w:rsidRPr="00E2397D">
        <w:rPr>
          <w:rFonts w:ascii="Verdana" w:eastAsia="Calibri" w:hAnsi="Verdana" w:cs="Arial"/>
          <w:sz w:val="20"/>
          <w:szCs w:val="20"/>
        </w:rPr>
        <w:t xml:space="preserve"> el inciso segundo 2 que dispone: </w:t>
      </w:r>
      <w:r>
        <w:rPr>
          <w:rFonts w:ascii="Verdana" w:eastAsia="Calibri" w:hAnsi="Verdana" w:cs="Arial"/>
          <w:sz w:val="20"/>
          <w:szCs w:val="20"/>
        </w:rPr>
        <w:t>‘</w:t>
      </w:r>
      <w:r w:rsidRPr="00E2397D">
        <w:rPr>
          <w:rFonts w:ascii="Verdana" w:eastAsia="Calibri" w:hAnsi="Verdana" w:cs="Arial"/>
          <w:sz w:val="20"/>
          <w:szCs w:val="20"/>
        </w:rPr>
        <w:t>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Pr>
          <w:rFonts w:ascii="Verdana" w:eastAsia="Calibri" w:hAnsi="Verdana" w:cs="Arial"/>
          <w:sz w:val="20"/>
          <w:szCs w:val="20"/>
        </w:rPr>
        <w:t>’</w:t>
      </w:r>
      <w:r w:rsidRPr="00E2397D">
        <w:rPr>
          <w:rFonts w:ascii="Verdana" w:eastAsia="Calibri" w:hAnsi="Verdana" w:cs="Arial"/>
          <w:sz w:val="20"/>
          <w:szCs w:val="20"/>
        </w:rPr>
        <w:t xml:space="preserve"> y, </w:t>
      </w:r>
    </w:p>
    <w:p w14:paraId="62831683" w14:textId="77777777" w:rsidR="00102946" w:rsidRPr="00E2397D" w:rsidRDefault="00102946" w:rsidP="00102946">
      <w:pPr>
        <w:spacing w:after="0" w:line="240" w:lineRule="auto"/>
        <w:ind w:left="709" w:right="709"/>
        <w:jc w:val="both"/>
        <w:rPr>
          <w:rFonts w:ascii="Verdana" w:hAnsi="Verdana"/>
          <w:sz w:val="20"/>
          <w:szCs w:val="20"/>
        </w:rPr>
      </w:pPr>
      <w:proofErr w:type="spellStart"/>
      <w:r w:rsidRPr="00E2397D">
        <w:rPr>
          <w:rFonts w:ascii="Verdana" w:hAnsi="Verdana"/>
          <w:sz w:val="20"/>
          <w:szCs w:val="20"/>
        </w:rPr>
        <w:t>ii</w:t>
      </w:r>
      <w:proofErr w:type="spellEnd"/>
      <w:r w:rsidRPr="00E2397D">
        <w:rPr>
          <w:rFonts w:ascii="Verdana" w:hAnsi="Verdana"/>
          <w:sz w:val="20"/>
          <w:szCs w:val="20"/>
        </w:rPr>
        <w:t xml:space="preserve">) la expresión y el siguiente párrafo contenidos en el inciso cuarto </w:t>
      </w:r>
      <w:r>
        <w:rPr>
          <w:rFonts w:ascii="Verdana" w:hAnsi="Verdana"/>
          <w:sz w:val="20"/>
          <w:szCs w:val="20"/>
        </w:rPr>
        <w:t>‘</w:t>
      </w:r>
      <w:r w:rsidRPr="00E2397D">
        <w:rPr>
          <w:rFonts w:ascii="Verdana" w:hAnsi="Verdana"/>
          <w:sz w:val="20"/>
          <w:szCs w:val="20"/>
        </w:rPr>
        <w:t>contratos</w:t>
      </w:r>
      <w:r>
        <w:rPr>
          <w:rFonts w:ascii="Verdana" w:hAnsi="Verdana"/>
          <w:sz w:val="20"/>
          <w:szCs w:val="20"/>
        </w:rPr>
        <w:t>’</w:t>
      </w:r>
      <w:r w:rsidRPr="00E2397D">
        <w:rPr>
          <w:rFonts w:ascii="Verdana" w:hAnsi="Verdana"/>
          <w:sz w:val="20"/>
          <w:szCs w:val="20"/>
        </w:rPr>
        <w:t xml:space="preserve"> y </w:t>
      </w:r>
      <w:r>
        <w:rPr>
          <w:rFonts w:ascii="Verdana" w:hAnsi="Verdana"/>
          <w:sz w:val="20"/>
          <w:szCs w:val="20"/>
        </w:rPr>
        <w:t>‘</w:t>
      </w:r>
      <w:r w:rsidRPr="00E2397D">
        <w:rPr>
          <w:rFonts w:ascii="Verdana" w:hAnsi="Verdana"/>
          <w:sz w:val="20"/>
          <w:szCs w:val="20"/>
        </w:rPr>
        <w:t>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r>
        <w:rPr>
          <w:rFonts w:ascii="Verdana" w:hAnsi="Verdana"/>
          <w:sz w:val="20"/>
          <w:szCs w:val="20"/>
        </w:rPr>
        <w:t>’</w:t>
      </w:r>
      <w:r w:rsidRPr="00E2397D">
        <w:rPr>
          <w:rFonts w:ascii="Verdana" w:hAnsi="Verdana"/>
          <w:sz w:val="20"/>
          <w:szCs w:val="20"/>
        </w:rPr>
        <w:t>”</w:t>
      </w:r>
      <w:r w:rsidRPr="007C315F">
        <w:rPr>
          <w:rFonts w:ascii="Verdana" w:hAnsi="Verdana"/>
          <w:vertAlign w:val="superscript"/>
        </w:rPr>
        <w:t xml:space="preserve"> </w:t>
      </w:r>
      <w:r w:rsidRPr="00E2397D">
        <w:rPr>
          <w:rFonts w:ascii="Verdana" w:hAnsi="Verdana"/>
          <w:vertAlign w:val="superscript"/>
        </w:rPr>
        <w:footnoteReference w:id="30"/>
      </w:r>
      <w:r w:rsidRPr="00E2397D">
        <w:rPr>
          <w:rFonts w:ascii="Verdana" w:hAnsi="Verdana"/>
          <w:sz w:val="20"/>
          <w:szCs w:val="20"/>
        </w:rPr>
        <w:t xml:space="preserve">. </w:t>
      </w:r>
    </w:p>
    <w:p w14:paraId="5A037FA6" w14:textId="77777777" w:rsidR="00102946" w:rsidRPr="00E2397D" w:rsidRDefault="00102946" w:rsidP="00102946">
      <w:pPr>
        <w:spacing w:after="0" w:line="276" w:lineRule="auto"/>
        <w:ind w:left="709" w:right="709"/>
        <w:jc w:val="both"/>
        <w:rPr>
          <w:rFonts w:ascii="Verdana" w:hAnsi="Verdana"/>
        </w:rPr>
      </w:pPr>
    </w:p>
    <w:p w14:paraId="5344D7E6" w14:textId="77777777" w:rsidR="00102946" w:rsidRPr="00E2397D" w:rsidRDefault="00102946" w:rsidP="00102946">
      <w:pPr>
        <w:spacing w:after="120" w:line="276" w:lineRule="auto"/>
        <w:ind w:firstLine="709"/>
        <w:jc w:val="both"/>
        <w:rPr>
          <w:rFonts w:ascii="Verdana" w:eastAsia="Arial" w:hAnsi="Verdana" w:cs="Arial"/>
          <w:i/>
          <w:iCs/>
          <w:lang w:val="es-MX" w:eastAsia="es-ES" w:bidi="es-ES"/>
        </w:rPr>
      </w:pPr>
      <w:r w:rsidRPr="00E2397D">
        <w:rPr>
          <w:rFonts w:ascii="Verdana" w:eastAsia="Arial" w:hAnsi="Verdana" w:cs="Arial"/>
          <w:lang w:val="es-MX" w:eastAsia="es-ES" w:bidi="es-ES"/>
        </w:rPr>
        <w:t xml:space="preserve">De conformidad con los argumentos de dicha providencia, se parte de la distinción entre los conceptos </w:t>
      </w:r>
      <w:r w:rsidRPr="00E2397D">
        <w:rPr>
          <w:rFonts w:ascii="Verdana" w:eastAsia="Arial" w:hAnsi="Verdana" w:cs="Arial"/>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E2397D">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E2397D">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E2397D">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131B6F2B" w14:textId="77777777" w:rsidR="00102946" w:rsidRPr="00E2397D" w:rsidRDefault="00102946" w:rsidP="00102946">
      <w:pPr>
        <w:spacing w:after="120" w:line="276" w:lineRule="auto"/>
        <w:ind w:firstLine="709"/>
        <w:jc w:val="both"/>
        <w:rPr>
          <w:rFonts w:ascii="Verdana" w:eastAsia="Calibri" w:hAnsi="Verdana" w:cs="Arial"/>
          <w:lang w:val="es-MX"/>
        </w:rPr>
      </w:pPr>
      <w:r w:rsidRPr="00E2397D">
        <w:rPr>
          <w:rFonts w:ascii="Verdana" w:eastAsia="Arial" w:hAnsi="Verdana" w:cs="Arial"/>
          <w:lang w:val="es-MX" w:eastAsia="es-ES" w:bidi="es-ES"/>
        </w:rPr>
        <w:t xml:space="preserve">Bajo este contexto, esta Agencia debe manifestar que, si bien respeta y acata las decisiones proferidas por el Consejo de Estado, como es el caso del auto de suspensión provisional parcial del numeral </w:t>
      </w:r>
      <w:r w:rsidRPr="00E2397D">
        <w:rPr>
          <w:rFonts w:ascii="Verdana" w:eastAsia="Arial" w:hAnsi="Verdana" w:cs="Arial"/>
          <w:lang w:eastAsia="es-ES" w:bidi="es-ES"/>
        </w:rPr>
        <w:t>16.2 de la Circular Externa Única</w:t>
      </w:r>
      <w:r w:rsidRPr="00E2397D">
        <w:rPr>
          <w:rFonts w:ascii="Verdana" w:eastAsia="Arial" w:hAnsi="Verdana" w:cs="Arial"/>
          <w:lang w:val="es-MX" w:eastAsia="es-ES" w:bidi="es-ES"/>
        </w:rPr>
        <w:t xml:space="preserve">, no comparte los argumentos expuestos por dicha Corporación. Esto, en </w:t>
      </w:r>
      <w:r w:rsidRPr="00E2397D">
        <w:rPr>
          <w:rFonts w:ascii="Verdana" w:eastAsia="Arial" w:hAnsi="Verdana" w:cs="Arial"/>
          <w:lang w:val="es-MX" w:eastAsia="es-ES" w:bidi="es-ES"/>
        </w:rPr>
        <w:lastRenderedPageBreak/>
        <w:t xml:space="preserve">la medida que, a juicio de esta Entidad, señalar que la Ley de Garantías Electorales no aplica para el caso de los contratos interadministrativos deja sin efecto el propósito buscado por la norma, que no es otro que </w:t>
      </w:r>
      <w:r w:rsidRPr="00E2397D">
        <w:rPr>
          <w:rFonts w:ascii="Verdana" w:eastAsia="Times New Roman" w:hAnsi="Verdana" w:cs="Arial"/>
          <w:lang w:val="es-MX" w:eastAsia="es-CO"/>
        </w:rPr>
        <w:t xml:space="preserve">evitar cualquier tipo de arbitrariedad, de ventaja injustificada, de uso irregular de los recursos del Estado en las campañas políticas, o que </w:t>
      </w:r>
      <w:r w:rsidRPr="00E2397D">
        <w:rPr>
          <w:rFonts w:ascii="Verdana" w:eastAsia="Calibri" w:hAnsi="Verdana" w:cs="Arial"/>
          <w:lang w:val="es-MX"/>
        </w:rPr>
        <w:t xml:space="preserve">los recursos del Estado se ejecuten para lograr apoyos indebidos mediante la suscripción de contratos y/o convenios, que para efectos de la Ley de Garantías tienen la misma connotación y propósitos. </w:t>
      </w:r>
    </w:p>
    <w:p w14:paraId="1E848B95" w14:textId="77777777" w:rsidR="00102946" w:rsidRPr="00E2397D" w:rsidRDefault="00102946" w:rsidP="00102946">
      <w:pPr>
        <w:spacing w:after="120" w:line="276" w:lineRule="auto"/>
        <w:ind w:firstLine="709"/>
        <w:jc w:val="both"/>
        <w:rPr>
          <w:rFonts w:ascii="Verdana" w:eastAsia="Arial" w:hAnsi="Verdana" w:cs="Arial"/>
          <w:lang w:val="es-MX" w:eastAsia="es-ES" w:bidi="es-ES"/>
        </w:rPr>
      </w:pPr>
      <w:r w:rsidRPr="00E2397D">
        <w:rPr>
          <w:rFonts w:ascii="Verdana" w:eastAsia="Calibri" w:hAnsi="Verdana" w:cs="Arial"/>
        </w:rPr>
        <w:t xml:space="preserve">Conforme a lo anterior, si bien la Agencia es respetuosa de las providencias proferidas por las autoridades judiciales, es necesario expresar el desacuerdo con el decreto de medida cautelar de suspensión provisional y la oposición a que se declare la nulidad del numeral </w:t>
      </w:r>
      <w:r w:rsidRPr="00E2397D">
        <w:rPr>
          <w:rFonts w:ascii="Verdana" w:eastAsia="Arial" w:hAnsi="Verdana" w:cs="Arial"/>
          <w:lang w:eastAsia="es-ES" w:bidi="es-ES"/>
        </w:rPr>
        <w:t xml:space="preserve">16.2 de la Circular Externa Única. Al señalar que los contratos interadministrativos deberían estar sujetos a las restricciones consagradas en el parágrafo del artículo 38, la Agencia busca proteger la transparencia, igualdad e integridad del proceso electoral. Así las cosas, </w:t>
      </w:r>
      <w:r w:rsidRPr="00E2397D">
        <w:rPr>
          <w:rFonts w:ascii="Verdana" w:eastAsia="Calibri" w:hAnsi="Verdana" w:cs="Arial"/>
          <w:lang w:val="es-MX"/>
        </w:rPr>
        <w:t xml:space="preserve">a la fecha, se espera la decisión final respecto a la declaratoria de nulidad del numeral 16.2 de la Circular Externa Única que adopte el Consejo de Estado. </w:t>
      </w:r>
    </w:p>
    <w:p w14:paraId="5DEB8721" w14:textId="77777777" w:rsidR="00102946" w:rsidRPr="001D4ADD" w:rsidRDefault="00102946" w:rsidP="00102946">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proofErr w:type="spellStart"/>
      <w:r w:rsidRPr="00E2397D">
        <w:rPr>
          <w:rFonts w:ascii="Verdana" w:eastAsia="Times New Roman" w:hAnsi="Verdana" w:cs="Arial"/>
          <w:lang w:eastAsia="es-CO"/>
        </w:rPr>
        <w:t>e</w:t>
      </w:r>
      <w:proofErr w:type="spellEnd"/>
      <w:r w:rsidRPr="00E2397D">
        <w:rPr>
          <w:rFonts w:ascii="Verdana" w:eastAsia="Times New Roman" w:hAnsi="Verdana" w:cs="Arial"/>
          <w:lang w:eastAsia="es-CO"/>
        </w:rPr>
        <w:t xml:space="preserve"> observa entonces que </w:t>
      </w:r>
      <w:r w:rsidRPr="00E2397D">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 xml:space="preserve">, 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Ahora bien, como se expuso anteriormente, para esta Agencia tal restricción también cobijaría a los contratos interadministrativos. </w:t>
      </w:r>
      <w:r>
        <w:rPr>
          <w:rFonts w:ascii="Verdana" w:eastAsia="Times New Roman" w:hAnsi="Verdana" w:cs="Arial"/>
          <w:lang w:val="es-MX" w:eastAsia="es-CO"/>
        </w:rPr>
        <w:t xml:space="preserve">Por ello, conforme al pie de página 6 de la </w:t>
      </w:r>
      <w:r>
        <w:rPr>
          <w:rFonts w:ascii="Verdana" w:eastAsia="Calibri" w:hAnsi="Verdana" w:cs="Arial"/>
          <w:bCs/>
          <w:color w:val="000000" w:themeColor="text1"/>
        </w:rPr>
        <w:t xml:space="preserve">Circular Externa 006 del 25 de septiembre de 2025, “[…] </w:t>
      </w:r>
      <w:r w:rsidRPr="001D4ADD">
        <w:rPr>
          <w:rFonts w:ascii="Verdana" w:eastAsia="Calibri" w:hAnsi="Verdana" w:cs="Arial"/>
          <w:bCs/>
          <w:color w:val="000000" w:themeColor="text1"/>
        </w:rPr>
        <w:t>esta Agencia recomienda que los sujetos señalados en la norma se</w:t>
      </w:r>
      <w:r>
        <w:rPr>
          <w:rFonts w:ascii="Verdana" w:eastAsia="Calibri" w:hAnsi="Verdana" w:cs="Arial"/>
          <w:bCs/>
          <w:color w:val="000000" w:themeColor="text1"/>
        </w:rPr>
        <w:t xml:space="preserve"> </w:t>
      </w:r>
      <w:r w:rsidRPr="001D4ADD">
        <w:rPr>
          <w:rFonts w:ascii="Verdana" w:eastAsia="Calibri" w:hAnsi="Verdana" w:cs="Arial"/>
          <w:bCs/>
          <w:color w:val="000000" w:themeColor="text1"/>
        </w:rPr>
        <w:t xml:space="preserve">abstengan de celebrar </w:t>
      </w:r>
      <w:r w:rsidRPr="001D4ADD">
        <w:rPr>
          <w:rFonts w:ascii="Verdana" w:eastAsia="Calibri" w:hAnsi="Verdana" w:cs="Arial"/>
          <w:bCs/>
          <w:i/>
          <w:iCs/>
          <w:color w:val="000000" w:themeColor="text1"/>
        </w:rPr>
        <w:t>tanto convenios como contratos interadministrativos</w:t>
      </w:r>
      <w:r w:rsidRPr="001D4ADD">
        <w:rPr>
          <w:rFonts w:ascii="Verdana" w:eastAsia="Calibri" w:hAnsi="Verdana" w:cs="Arial"/>
          <w:bCs/>
          <w:color w:val="000000" w:themeColor="text1"/>
        </w:rPr>
        <w:t xml:space="preserve"> durante el periodo previo a esas</w:t>
      </w:r>
      <w:r>
        <w:rPr>
          <w:rFonts w:ascii="Verdana" w:eastAsia="Calibri" w:hAnsi="Verdana" w:cs="Arial"/>
          <w:bCs/>
          <w:color w:val="000000" w:themeColor="text1"/>
        </w:rPr>
        <w:t xml:space="preserve"> </w:t>
      </w:r>
      <w:r w:rsidRPr="001D4ADD">
        <w:rPr>
          <w:rFonts w:ascii="Verdana" w:eastAsia="Calibri" w:hAnsi="Verdana" w:cs="Arial"/>
          <w:bCs/>
          <w:color w:val="000000" w:themeColor="text1"/>
        </w:rPr>
        <w:t>elecciones</w:t>
      </w:r>
      <w:r>
        <w:rPr>
          <w:rFonts w:ascii="Verdana" w:eastAsia="Calibri" w:hAnsi="Verdana" w:cs="Arial"/>
          <w:bCs/>
          <w:color w:val="000000" w:themeColor="text1"/>
        </w:rPr>
        <w:t>”.</w:t>
      </w:r>
      <w:r w:rsidRPr="00E2397D">
        <w:rPr>
          <w:rFonts w:ascii="Verdana" w:eastAsia="Times New Roman" w:hAnsi="Verdana" w:cs="Arial"/>
          <w:lang w:val="es-MX" w:eastAsia="es-CO"/>
        </w:rPr>
        <w:t xml:space="preserve"> </w:t>
      </w:r>
    </w:p>
    <w:p w14:paraId="2FABD914" w14:textId="77777777" w:rsidR="00102946" w:rsidRDefault="00102946" w:rsidP="00102946">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ES" w:eastAsia="es-CO" w:bidi="es-ES"/>
        </w:rPr>
        <w:t>En todo caso</w:t>
      </w:r>
      <w:r w:rsidRPr="00E2397D">
        <w:rPr>
          <w:rFonts w:ascii="Verdana" w:eastAsia="Arial" w:hAnsi="Verdana" w:cs="Arial"/>
          <w:lang w:val="es-ES" w:eastAsia="es-ES" w:bidi="es-ES"/>
        </w:rPr>
        <w:t xml:space="preserve">, es importante resaltar que la Sala de Consulta y Servicio Civil del Consejo de Estado se ha pronunciado en el sentido de que no se les aplica la restricción contemplada en el artículo 38 de la Ley de Garantías a los convenios interadministrativos que deben celebrarse en virtud de un fallo </w:t>
      </w:r>
      <w:r w:rsidRPr="00E2397D">
        <w:rPr>
          <w:rFonts w:ascii="Verdana" w:eastAsia="Arial" w:hAnsi="Verdana" w:cs="Arial"/>
          <w:lang w:val="es-ES" w:eastAsia="es-ES" w:bidi="es-ES"/>
        </w:rPr>
        <w:lastRenderedPageBreak/>
        <w:t>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r w:rsidRPr="00E2397D">
        <w:rPr>
          <w:rFonts w:ascii="Verdana" w:eastAsia="Arial" w:hAnsi="Verdana" w:cs="Arial"/>
          <w:vertAlign w:val="superscript"/>
          <w:lang w:val="es-ES" w:eastAsia="es-ES" w:bidi="es-ES"/>
        </w:rPr>
        <w:footnoteReference w:id="31"/>
      </w:r>
      <w:bookmarkEnd w:id="21"/>
      <w:bookmarkEnd w:id="22"/>
      <w:r>
        <w:rPr>
          <w:rFonts w:ascii="Verdana" w:eastAsia="Arial" w:hAnsi="Verdana" w:cs="Arial"/>
          <w:lang w:val="es-ES" w:eastAsia="es-ES" w:bidi="es-ES"/>
        </w:rPr>
        <w:t>.</w:t>
      </w:r>
    </w:p>
    <w:p w14:paraId="6EB390CE" w14:textId="77777777" w:rsidR="00102946" w:rsidRDefault="00102946" w:rsidP="00102946">
      <w:pPr>
        <w:spacing w:after="0" w:line="276" w:lineRule="auto"/>
        <w:ind w:firstLine="709"/>
        <w:jc w:val="both"/>
        <w:rPr>
          <w:rFonts w:ascii="Verdana" w:eastAsia="Arial" w:hAnsi="Verdana" w:cs="Arial"/>
          <w:lang w:val="es-ES" w:eastAsia="es-ES" w:bidi="es-ES"/>
        </w:rPr>
      </w:pPr>
    </w:p>
    <w:p w14:paraId="79C7260B" w14:textId="77777777" w:rsidR="00102946" w:rsidRPr="003A380F" w:rsidRDefault="00102946" w:rsidP="00102946">
      <w:pPr>
        <w:spacing w:after="0" w:line="276" w:lineRule="auto"/>
        <w:jc w:val="both"/>
        <w:rPr>
          <w:rFonts w:ascii="Verdana" w:hAnsi="Verdana" w:cs="Arial"/>
          <w:bCs/>
          <w:lang w:val="es-ES_tradnl" w:eastAsia="es-CO"/>
        </w:rPr>
      </w:pPr>
      <w:r w:rsidRPr="003A380F">
        <w:rPr>
          <w:rFonts w:ascii="Verdana" w:eastAsia="Calibri" w:hAnsi="Verdana" w:cs="Arial"/>
          <w:bCs/>
          <w:color w:val="000000" w:themeColor="text1"/>
        </w:rPr>
        <w:t xml:space="preserve">vi. </w:t>
      </w:r>
      <w:r w:rsidRPr="003A380F">
        <w:rPr>
          <w:rFonts w:ascii="Verdana" w:hAnsi="Verdana" w:cs="Arial"/>
          <w:bCs/>
          <w:lang w:val="es-ES_tradnl" w:eastAsia="es-CO"/>
        </w:rPr>
        <w:t xml:space="preserve">Como se indicó en los numerales anteriores de este </w:t>
      </w:r>
      <w:r>
        <w:rPr>
          <w:rFonts w:ascii="Verdana" w:hAnsi="Verdana" w:cs="Arial"/>
          <w:bCs/>
          <w:lang w:val="es-ES_tradnl" w:eastAsia="es-CO"/>
        </w:rPr>
        <w:t>oficio</w:t>
      </w:r>
      <w:r w:rsidRPr="003A380F">
        <w:rPr>
          <w:rFonts w:ascii="Verdana" w:hAnsi="Verdana" w:cs="Arial"/>
          <w:bCs/>
          <w:lang w:val="es-ES_tradnl" w:eastAsia="es-CO"/>
        </w:rPr>
        <w:t>, la Ley 996 de 2005 consagra, en los artículos 33 y 38, restricciones generales para contratar directamente y para celebrar contratos interadministrativos por parte de las entidades estatales, en los períodos previos a las elecciones que en dicha ley se definen. Ahora bien, de allí no se sigue que cualquier forma de transferencia directa de recursos ingrese en el radio de las prohibiciones previstas en la ley de garantías electorales. Debe destacarse que las disposiciones normativas que establecen prohibiciones deben interpretarse restrictivamente, para no ampliar de manera injustificada sus supuestos de hecho a circunstancias que, en sentido lógico, no caben en aquellos. La Sala de Consulta y Servicio Civil del Consejo de Estado así lo sostuvo, refiriéndose, precisamente, al alcance de las limitaciones contractuales contenidas en la ley de garantías electorales. Al respecto, afirmó:</w:t>
      </w:r>
    </w:p>
    <w:p w14:paraId="680B73E6" w14:textId="77777777" w:rsidR="00102946" w:rsidRPr="006C7BAC" w:rsidRDefault="00102946" w:rsidP="00102946">
      <w:pPr>
        <w:pStyle w:val="NormalWeb"/>
        <w:shd w:val="clear" w:color="auto" w:fill="FFFFFF"/>
        <w:spacing w:before="0" w:beforeAutospacing="0" w:after="0" w:afterAutospacing="0" w:line="276" w:lineRule="auto"/>
        <w:ind w:left="709" w:right="709"/>
        <w:jc w:val="both"/>
        <w:rPr>
          <w:rFonts w:ascii="Verdana" w:hAnsi="Verdana" w:cs="Arial"/>
          <w:color w:val="333333"/>
          <w:sz w:val="21"/>
          <w:szCs w:val="21"/>
          <w:lang w:val="es-ES_tradnl"/>
        </w:rPr>
      </w:pPr>
    </w:p>
    <w:p w14:paraId="1A6A1ACB" w14:textId="77777777" w:rsidR="00102946" w:rsidRPr="006C7BAC" w:rsidRDefault="00102946" w:rsidP="00102946">
      <w:pPr>
        <w:shd w:val="clear" w:color="auto" w:fill="FFFFFF"/>
        <w:spacing w:after="0" w:line="240" w:lineRule="auto"/>
        <w:ind w:left="709" w:right="709"/>
        <w:jc w:val="both"/>
        <w:rPr>
          <w:rFonts w:ascii="Verdana" w:eastAsia="Times New Roman" w:hAnsi="Verdana" w:cs="Arial"/>
          <w:color w:val="000000"/>
          <w:sz w:val="20"/>
          <w:szCs w:val="20"/>
          <w:lang w:val="es-ES" w:eastAsia="es-CO"/>
        </w:rPr>
      </w:pPr>
      <w:r w:rsidRPr="006C7BAC">
        <w:rPr>
          <w:rFonts w:ascii="Verdana" w:eastAsia="Times New Roman" w:hAnsi="Verdana" w:cs="Arial"/>
          <w:color w:val="000000"/>
          <w:sz w:val="20"/>
          <w:szCs w:val="20"/>
          <w:lang w:val="es-ES"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6C7BAC">
        <w:rPr>
          <w:rFonts w:ascii="Verdana" w:eastAsia="Times New Roman" w:hAnsi="Verdana" w:cs="Arial"/>
          <w:i/>
          <w:iCs/>
          <w:color w:val="000000"/>
          <w:sz w:val="20"/>
          <w:szCs w:val="20"/>
          <w:lang w:val="es-ES" w:eastAsia="es-CO"/>
        </w:rPr>
        <w:t>legis</w:t>
      </w:r>
      <w:proofErr w:type="spellEnd"/>
      <w:r w:rsidRPr="006C7BAC">
        <w:rPr>
          <w:rFonts w:ascii="Verdana" w:eastAsia="Times New Roman" w:hAnsi="Verdana" w:cs="Arial"/>
          <w:i/>
          <w:iCs/>
          <w:color w:val="000000"/>
          <w:sz w:val="20"/>
          <w:szCs w:val="20"/>
          <w:lang w:val="es-ES" w:eastAsia="es-CO"/>
        </w:rPr>
        <w:t> </w:t>
      </w:r>
      <w:r w:rsidRPr="006C7BAC">
        <w:rPr>
          <w:rFonts w:ascii="Verdana" w:eastAsia="Times New Roman" w:hAnsi="Verdana" w:cs="Arial"/>
          <w:color w:val="000000"/>
          <w:sz w:val="20"/>
          <w:szCs w:val="20"/>
          <w:lang w:val="es-ES" w:eastAsia="es-CO"/>
        </w:rPr>
        <w:t>o </w:t>
      </w:r>
      <w:r w:rsidRPr="006C7BAC">
        <w:rPr>
          <w:rFonts w:ascii="Verdana" w:eastAsia="Times New Roman" w:hAnsi="Verdana" w:cs="Arial"/>
          <w:i/>
          <w:iCs/>
          <w:color w:val="000000"/>
          <w:sz w:val="20"/>
          <w:szCs w:val="20"/>
          <w:lang w:val="es-ES" w:eastAsia="es-CO"/>
        </w:rPr>
        <w:t>iuris</w:t>
      </w:r>
      <w:r w:rsidRPr="006C7BAC">
        <w:rPr>
          <w:rFonts w:ascii="Verdana" w:eastAsia="Times New Roman" w:hAnsi="Verdana" w:cs="Arial"/>
          <w:color w:val="000000"/>
          <w:sz w:val="20"/>
          <w:szCs w:val="20"/>
          <w:lang w:val="es-ES" w:eastAsia="es-CO"/>
        </w:rPr>
        <w:t>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392A839" w14:textId="77777777" w:rsidR="00102946" w:rsidRPr="006C7BAC" w:rsidRDefault="00102946" w:rsidP="00102946">
      <w:pPr>
        <w:shd w:val="clear" w:color="auto" w:fill="FFFFFF"/>
        <w:spacing w:after="0" w:line="240" w:lineRule="auto"/>
        <w:ind w:left="709" w:right="709"/>
        <w:jc w:val="both"/>
        <w:rPr>
          <w:rFonts w:ascii="Verdana" w:eastAsia="Times New Roman" w:hAnsi="Verdana" w:cs="Arial"/>
          <w:color w:val="000000"/>
          <w:sz w:val="20"/>
          <w:szCs w:val="20"/>
          <w:lang w:val="es-ES_tradnl" w:eastAsia="es-CO"/>
        </w:rPr>
      </w:pPr>
      <w:r w:rsidRPr="006C7BAC">
        <w:rPr>
          <w:rFonts w:ascii="Verdana" w:eastAsia="Times New Roman" w:hAnsi="Verdana" w:cs="Arial"/>
          <w:color w:val="000000"/>
          <w:sz w:val="20"/>
          <w:szCs w:val="20"/>
          <w:lang w:val="es-ES_tradnl" w:eastAsia="es-CO"/>
        </w:rPr>
        <w:t>[…]</w:t>
      </w:r>
    </w:p>
    <w:p w14:paraId="5C4C81AD" w14:textId="77777777" w:rsidR="00102946" w:rsidRPr="006C7BAC" w:rsidRDefault="00102946" w:rsidP="00102946">
      <w:pPr>
        <w:shd w:val="clear" w:color="auto" w:fill="FFFFFF"/>
        <w:spacing w:before="120" w:after="0" w:line="240" w:lineRule="auto"/>
        <w:ind w:left="709" w:right="709"/>
        <w:jc w:val="both"/>
        <w:rPr>
          <w:rFonts w:ascii="Verdana" w:eastAsia="Times New Roman" w:hAnsi="Verdana" w:cs="Arial"/>
          <w:color w:val="000000"/>
          <w:sz w:val="20"/>
          <w:szCs w:val="20"/>
          <w:lang w:val="es-ES" w:eastAsia="es-CO"/>
        </w:rPr>
      </w:pPr>
      <w:r w:rsidRPr="006C7BAC">
        <w:rPr>
          <w:rFonts w:ascii="Verdana" w:eastAsia="Times New Roman" w:hAnsi="Verdana" w:cs="Arial"/>
          <w:color w:val="000000"/>
          <w:sz w:val="20"/>
          <w:szCs w:val="20"/>
          <w:lang w:val="es-ES" w:eastAsia="es-CO"/>
        </w:rPr>
        <w:t>Así, en esta materia cobra importancia la regla de hermenéutica consagrada en el artículo 31 del Código Civil, según la cual, </w:t>
      </w:r>
      <w:r w:rsidRPr="006C7BAC">
        <w:rPr>
          <w:rFonts w:ascii="Verdana" w:eastAsia="Times New Roman" w:hAnsi="Verdana" w:cs="Arial"/>
          <w:i/>
          <w:iCs/>
          <w:color w:val="000000"/>
          <w:sz w:val="20"/>
          <w:szCs w:val="20"/>
          <w:lang w:val="es-ES" w:eastAsia="es-CO"/>
        </w:rPr>
        <w:t>‘[l]o favorable u odioso de una disposición no se tomará en cuenta para ampliar o restringir su interpretación. La extensión que deba darse a toda ley se determinará por su genuino sentido, y según las reglas de interpretación…’ (‘</w:t>
      </w:r>
      <w:proofErr w:type="spellStart"/>
      <w:r w:rsidRPr="006C7BAC">
        <w:rPr>
          <w:rFonts w:ascii="Verdana" w:eastAsia="Times New Roman" w:hAnsi="Verdana" w:cs="Arial"/>
          <w:i/>
          <w:iCs/>
          <w:color w:val="000000"/>
          <w:sz w:val="20"/>
          <w:szCs w:val="20"/>
          <w:lang w:val="es-ES" w:eastAsia="es-CO"/>
        </w:rPr>
        <w:t>favorabilia</w:t>
      </w:r>
      <w:proofErr w:type="spellEnd"/>
      <w:r w:rsidRPr="006C7BAC">
        <w:rPr>
          <w:rFonts w:ascii="Verdana" w:eastAsia="Times New Roman" w:hAnsi="Verdana" w:cs="Arial"/>
          <w:i/>
          <w:iCs/>
          <w:color w:val="000000"/>
          <w:sz w:val="20"/>
          <w:szCs w:val="20"/>
          <w:lang w:val="es-ES" w:eastAsia="es-CO"/>
        </w:rPr>
        <w:t xml:space="preserve"> sunt </w:t>
      </w:r>
      <w:proofErr w:type="spellStart"/>
      <w:r w:rsidRPr="006C7BAC">
        <w:rPr>
          <w:rFonts w:ascii="Verdana" w:eastAsia="Times New Roman" w:hAnsi="Verdana" w:cs="Arial"/>
          <w:i/>
          <w:iCs/>
          <w:color w:val="000000"/>
          <w:sz w:val="20"/>
          <w:szCs w:val="20"/>
          <w:lang w:val="es-ES" w:eastAsia="es-CO"/>
        </w:rPr>
        <w:t>amplianda</w:t>
      </w:r>
      <w:proofErr w:type="spellEnd"/>
      <w:r w:rsidRPr="006C7BAC">
        <w:rPr>
          <w:rFonts w:ascii="Verdana" w:eastAsia="Times New Roman" w:hAnsi="Verdana" w:cs="Arial"/>
          <w:i/>
          <w:iCs/>
          <w:color w:val="000000"/>
          <w:sz w:val="20"/>
          <w:szCs w:val="20"/>
          <w:lang w:val="es-ES" w:eastAsia="es-CO"/>
        </w:rPr>
        <w:t xml:space="preserve">, odiosa sunt </w:t>
      </w:r>
      <w:proofErr w:type="spellStart"/>
      <w:r w:rsidRPr="006C7BAC">
        <w:rPr>
          <w:rFonts w:ascii="Verdana" w:eastAsia="Times New Roman" w:hAnsi="Verdana" w:cs="Arial"/>
          <w:i/>
          <w:iCs/>
          <w:color w:val="000000"/>
          <w:sz w:val="20"/>
          <w:szCs w:val="20"/>
          <w:lang w:val="es-ES" w:eastAsia="es-CO"/>
        </w:rPr>
        <w:t>restringenda</w:t>
      </w:r>
      <w:proofErr w:type="spellEnd"/>
      <w:r w:rsidRPr="006C7BAC">
        <w:rPr>
          <w:rFonts w:ascii="Verdana" w:eastAsia="Times New Roman" w:hAnsi="Verdana" w:cs="Arial"/>
          <w:i/>
          <w:iCs/>
          <w:color w:val="000000"/>
          <w:sz w:val="20"/>
          <w:szCs w:val="20"/>
          <w:lang w:val="es-ES" w:eastAsia="es-CO"/>
        </w:rPr>
        <w:t>’); </w:t>
      </w:r>
      <w:r w:rsidRPr="006C7BAC">
        <w:rPr>
          <w:rFonts w:ascii="Verdana" w:eastAsia="Times New Roman" w:hAnsi="Verdana" w:cs="Arial"/>
          <w:color w:val="000000"/>
          <w:sz w:val="20"/>
          <w:szCs w:val="20"/>
          <w:lang w:val="es-ES" w:eastAsia="es-CO"/>
        </w:rPr>
        <w:t>y de ahí la proscripción de las interpretaciones extensivas de las normas prohibitivas, tal y como lo precisó la Corte Suprema de Justicia, al señalar que </w:t>
      </w:r>
      <w:r w:rsidRPr="006C7BAC">
        <w:rPr>
          <w:rFonts w:ascii="Verdana" w:eastAsia="Times New Roman" w:hAnsi="Verdana" w:cs="Arial"/>
          <w:i/>
          <w:iCs/>
          <w:color w:val="000000"/>
          <w:sz w:val="20"/>
          <w:szCs w:val="20"/>
          <w:lang w:val="es-ES" w:eastAsia="es-CO"/>
        </w:rPr>
        <w:t xml:space="preserve">‘[e]n la interpretación de las leyes prohibitivas no deben buscarse analogías o </w:t>
      </w:r>
      <w:r w:rsidRPr="006C7BAC">
        <w:rPr>
          <w:rFonts w:ascii="Verdana" w:eastAsia="Times New Roman" w:hAnsi="Verdana" w:cs="Arial"/>
          <w:i/>
          <w:iCs/>
          <w:color w:val="000000"/>
          <w:sz w:val="20"/>
          <w:szCs w:val="20"/>
          <w:lang w:val="es-ES" w:eastAsia="es-CO"/>
        </w:rPr>
        <w:lastRenderedPageBreak/>
        <w:t>razones para hacerlas extensivas a casos no comprendidos claramente en la prohibición’.</w:t>
      </w:r>
      <w:r w:rsidRPr="006C7BAC">
        <w:rPr>
          <w:rFonts w:ascii="Verdana" w:eastAsia="Times New Roman" w:hAnsi="Verdana" w:cs="Arial"/>
          <w:color w:val="000000"/>
          <w:sz w:val="20"/>
          <w:szCs w:val="20"/>
          <w:lang w:val="es-ES" w:eastAsia="es-CO"/>
        </w:rPr>
        <w:t> </w:t>
      </w:r>
    </w:p>
    <w:p w14:paraId="7E17A422" w14:textId="77777777" w:rsidR="00102946" w:rsidRPr="006C7BAC" w:rsidRDefault="00102946" w:rsidP="00102946">
      <w:pPr>
        <w:pStyle w:val="NormalWeb"/>
        <w:shd w:val="clear" w:color="auto" w:fill="FFFFFF"/>
        <w:spacing w:before="120" w:beforeAutospacing="0" w:after="0" w:afterAutospacing="0"/>
        <w:ind w:left="709" w:right="709"/>
        <w:jc w:val="both"/>
        <w:rPr>
          <w:rFonts w:ascii="Verdana" w:hAnsi="Verdana" w:cs="Arial"/>
          <w:color w:val="000000" w:themeColor="text1"/>
          <w:sz w:val="20"/>
          <w:szCs w:val="20"/>
          <w:lang w:val="es-ES_tradnl"/>
        </w:rPr>
      </w:pPr>
      <w:r w:rsidRPr="006C7BAC">
        <w:rPr>
          <w:rFonts w:ascii="Verdana" w:hAnsi="Verdana" w:cs="Arial"/>
          <w:color w:val="000000"/>
          <w:sz w:val="20"/>
          <w:szCs w:val="20"/>
          <w:lang w:val="es-ES_tradnl" w:eastAsia="es-ES_tradnl"/>
        </w:rPr>
        <w:t>En consecuencia, la interpretación y aplicación restrictiva es una regla que rige tratándose de normas prohibitivas, dado que consagran limitaciones al ejercicio de un derecho o de competencias señaladas en la ley, criterio hermenéutico que responde al principio de taxatividad, de acuerdo con el cual solo operan las prohibiciones que en forma precisa establece el legislador”</w:t>
      </w:r>
      <w:r w:rsidRPr="006C7BAC">
        <w:rPr>
          <w:rStyle w:val="Refdenotaalpie"/>
          <w:rFonts w:ascii="Verdana" w:hAnsi="Verdana" w:cs="Arial"/>
          <w:color w:val="000000" w:themeColor="text1"/>
          <w:sz w:val="20"/>
          <w:szCs w:val="20"/>
          <w:lang w:val="es-ES_tradnl"/>
        </w:rPr>
        <w:footnoteReference w:id="32"/>
      </w:r>
      <w:r w:rsidRPr="006C7BAC">
        <w:rPr>
          <w:rFonts w:ascii="Verdana" w:hAnsi="Verdana" w:cs="Arial"/>
          <w:color w:val="000000" w:themeColor="text1"/>
          <w:sz w:val="20"/>
          <w:szCs w:val="20"/>
          <w:lang w:val="es-ES_tradnl"/>
        </w:rPr>
        <w:t>.</w:t>
      </w:r>
    </w:p>
    <w:p w14:paraId="6C00A7D5" w14:textId="77777777" w:rsidR="00102946" w:rsidRPr="006C7BAC" w:rsidRDefault="00102946" w:rsidP="00102946">
      <w:pPr>
        <w:pStyle w:val="NormalWeb"/>
        <w:shd w:val="clear" w:color="auto" w:fill="FFFFFF"/>
        <w:spacing w:before="0" w:beforeAutospacing="0" w:after="0" w:afterAutospacing="0" w:line="276" w:lineRule="auto"/>
        <w:ind w:left="709" w:right="709"/>
        <w:jc w:val="both"/>
        <w:rPr>
          <w:rFonts w:ascii="Verdana" w:hAnsi="Verdana" w:cs="Arial"/>
          <w:color w:val="333333"/>
          <w:sz w:val="21"/>
          <w:szCs w:val="21"/>
          <w:lang w:val="es-ES_tradnl"/>
        </w:rPr>
      </w:pPr>
    </w:p>
    <w:p w14:paraId="70337D67" w14:textId="77777777" w:rsidR="00102946" w:rsidRPr="003A380F" w:rsidRDefault="00102946" w:rsidP="00102946">
      <w:pPr>
        <w:spacing w:line="276" w:lineRule="auto"/>
        <w:ind w:firstLine="709"/>
        <w:jc w:val="both"/>
        <w:rPr>
          <w:rFonts w:ascii="Verdana" w:hAnsi="Verdana" w:cs="Arial"/>
          <w:bCs/>
          <w:lang w:val="es-ES_tradnl" w:eastAsia="es-CO"/>
        </w:rPr>
      </w:pPr>
      <w:r w:rsidRPr="003A380F">
        <w:rPr>
          <w:rFonts w:ascii="Verdana" w:hAnsi="Verdana" w:cs="Arial"/>
          <w:bCs/>
          <w:lang w:val="es-ES_tradnl" w:eastAsia="es-CO"/>
        </w:rPr>
        <w:t xml:space="preserve">Partiendo de este contexto normativo, y sobre todo considerando los criterios de interpretación a los que se ha hecho referencia, es importante, para resolver la consulta bajo análisis, mencionar las particularidades del escenario regulatorio que motiva </w:t>
      </w:r>
      <w:r>
        <w:rPr>
          <w:rFonts w:ascii="Verdana" w:hAnsi="Verdana" w:cs="Arial"/>
          <w:bCs/>
          <w:lang w:val="es-ES_tradnl" w:eastAsia="es-CO"/>
        </w:rPr>
        <w:t>la presente consulta</w:t>
      </w:r>
      <w:r w:rsidRPr="003A380F">
        <w:rPr>
          <w:rFonts w:ascii="Verdana" w:hAnsi="Verdana" w:cs="Arial"/>
          <w:bCs/>
          <w:lang w:val="es-ES_tradnl" w:eastAsia="es-CO"/>
        </w:rPr>
        <w:t xml:space="preserve">. En efecto, </w:t>
      </w:r>
      <w:r>
        <w:rPr>
          <w:rFonts w:ascii="Verdana" w:hAnsi="Verdana" w:cs="Arial"/>
          <w:bCs/>
          <w:lang w:val="es-ES_tradnl" w:eastAsia="es-CO"/>
        </w:rPr>
        <w:t>existen</w:t>
      </w:r>
      <w:r w:rsidRPr="003A380F">
        <w:rPr>
          <w:rFonts w:ascii="Verdana" w:hAnsi="Verdana" w:cs="Arial"/>
          <w:bCs/>
          <w:lang w:val="es-ES_tradnl" w:eastAsia="es-CO"/>
        </w:rPr>
        <w:t xml:space="preserve"> varias leyes especiales que permiten hacer transferencias directas de </w:t>
      </w:r>
      <w:r>
        <w:rPr>
          <w:rFonts w:ascii="Verdana" w:hAnsi="Verdana" w:cs="Arial"/>
          <w:bCs/>
          <w:lang w:val="es-ES_tradnl" w:eastAsia="es-CO"/>
        </w:rPr>
        <w:t>recursos en dinero o en especie</w:t>
      </w:r>
      <w:r w:rsidRPr="003A380F">
        <w:rPr>
          <w:rFonts w:ascii="Verdana" w:hAnsi="Verdana" w:cs="Arial"/>
          <w:bCs/>
          <w:lang w:val="es-ES_tradnl" w:eastAsia="es-CO"/>
        </w:rPr>
        <w:t>, a través de la expedición de actos administrativos. A modo de ejemplo, se destacan las siguientes disposiciones normativas:</w:t>
      </w:r>
    </w:p>
    <w:p w14:paraId="025ECF55" w14:textId="77777777" w:rsidR="00102946" w:rsidRPr="003A380F" w:rsidRDefault="00102946" w:rsidP="00102946">
      <w:pPr>
        <w:spacing w:before="120" w:after="0" w:line="276" w:lineRule="auto"/>
        <w:ind w:firstLine="709"/>
        <w:jc w:val="both"/>
        <w:rPr>
          <w:rFonts w:ascii="Verdana" w:hAnsi="Verdana" w:cs="Arial"/>
          <w:bCs/>
          <w:lang w:val="es-ES_tradnl" w:eastAsia="es-CO"/>
        </w:rPr>
      </w:pPr>
      <w:r w:rsidRPr="003A380F">
        <w:rPr>
          <w:rFonts w:ascii="Verdana" w:hAnsi="Verdana" w:cs="Arial"/>
          <w:bCs/>
          <w:lang w:val="es-ES_tradnl" w:eastAsia="es-CO"/>
        </w:rPr>
        <w:t xml:space="preserve">El Decreto Legislativo 538 de 2020, </w:t>
      </w:r>
      <w:r>
        <w:rPr>
          <w:rFonts w:ascii="Verdana" w:hAnsi="Verdana" w:cs="Arial"/>
          <w:bCs/>
          <w:lang w:val="es-ES_tradnl" w:eastAsia="es-CO"/>
        </w:rPr>
        <w:t>“</w:t>
      </w:r>
      <w:r w:rsidRPr="003A380F">
        <w:rPr>
          <w:rFonts w:ascii="Verdana" w:hAnsi="Verdana" w:cs="Arial"/>
          <w:bCs/>
          <w:lang w:val="es-ES_tradnl" w:eastAsia="es-CO"/>
        </w:rPr>
        <w:t>Por el cual se adoptan medidas en el sector salud, para contener y mitigar la pandemia de COVID-19 y garantizar la prestación de los servicios de salud, en el marco del Estado de Emergencia Económica, Social y Ecológica</w:t>
      </w:r>
      <w:r>
        <w:rPr>
          <w:rFonts w:ascii="Verdana" w:hAnsi="Verdana" w:cs="Arial"/>
          <w:bCs/>
          <w:lang w:val="es-ES_tradnl" w:eastAsia="es-CO"/>
        </w:rPr>
        <w:t>”</w:t>
      </w:r>
      <w:r w:rsidRPr="003A380F">
        <w:rPr>
          <w:rFonts w:ascii="Verdana" w:hAnsi="Verdana" w:cs="Arial"/>
          <w:bCs/>
          <w:lang w:val="es-ES_tradnl" w:eastAsia="es-CO"/>
        </w:rPr>
        <w:t>, establec</w:t>
      </w:r>
      <w:r>
        <w:rPr>
          <w:rFonts w:ascii="Verdana" w:hAnsi="Verdana" w:cs="Arial"/>
          <w:bCs/>
          <w:lang w:val="es-ES_tradnl" w:eastAsia="es-CO"/>
        </w:rPr>
        <w:t>ía</w:t>
      </w:r>
      <w:r w:rsidRPr="003A380F">
        <w:rPr>
          <w:rFonts w:ascii="Verdana" w:hAnsi="Verdana" w:cs="Arial"/>
          <w:bCs/>
          <w:lang w:val="es-ES_tradnl" w:eastAsia="es-CO"/>
        </w:rPr>
        <w:t xml:space="preserve"> en el primer inciso del artículo 5:</w:t>
      </w:r>
    </w:p>
    <w:p w14:paraId="0A44AD8C" w14:textId="77777777" w:rsidR="00102946" w:rsidRPr="003A380F" w:rsidRDefault="00102946" w:rsidP="00102946">
      <w:pPr>
        <w:spacing w:after="0" w:line="276" w:lineRule="auto"/>
        <w:ind w:firstLine="709"/>
        <w:jc w:val="both"/>
        <w:rPr>
          <w:rFonts w:ascii="Verdana" w:hAnsi="Verdana" w:cs="Arial"/>
          <w:bCs/>
          <w:lang w:val="es-ES_tradnl" w:eastAsia="es-CO"/>
        </w:rPr>
      </w:pPr>
      <w:r w:rsidRPr="003A380F">
        <w:rPr>
          <w:rFonts w:ascii="Verdana" w:hAnsi="Verdana" w:cs="Arial"/>
          <w:bCs/>
          <w:lang w:val="es-ES_tradnl" w:eastAsia="es-CO"/>
        </w:rPr>
        <w:t xml:space="preserve">  </w:t>
      </w:r>
    </w:p>
    <w:p w14:paraId="07C29A26" w14:textId="77777777" w:rsidR="00102946" w:rsidRPr="006C7BAC" w:rsidRDefault="00102946" w:rsidP="00102946">
      <w:pPr>
        <w:spacing w:after="0" w:line="240" w:lineRule="auto"/>
        <w:ind w:left="709" w:right="709"/>
        <w:jc w:val="both"/>
        <w:rPr>
          <w:rFonts w:ascii="Verdana" w:hAnsi="Verdana" w:cs="Arial"/>
          <w:bCs/>
          <w:sz w:val="20"/>
          <w:szCs w:val="20"/>
          <w:lang w:eastAsia="es-CO"/>
        </w:rPr>
      </w:pPr>
      <w:r w:rsidRPr="006C7BAC">
        <w:rPr>
          <w:rFonts w:ascii="Verdana" w:hAnsi="Verdana" w:cs="Arial"/>
          <w:bCs/>
          <w:sz w:val="20"/>
          <w:szCs w:val="20"/>
          <w:lang w:eastAsia="es-CO"/>
        </w:rPr>
        <w:t xml:space="preserve">“Durante el término de la emergencia sanitaria declarada por el Ministerio de Salud y Protección Social, con ocasión de la pandemia derivada del Coronavirus COVID-19, este Ministerio y las entidades territoriales podrán efectuar transferencias directas de recursos </w:t>
      </w:r>
      <w:r w:rsidRPr="006C7BAC">
        <w:rPr>
          <w:rFonts w:ascii="Verdana" w:hAnsi="Verdana" w:cs="Arial"/>
          <w:bCs/>
          <w:i/>
          <w:iCs/>
          <w:sz w:val="20"/>
          <w:szCs w:val="20"/>
          <w:lang w:eastAsia="es-CO"/>
        </w:rPr>
        <w:t>mediante actos administrativos</w:t>
      </w:r>
      <w:r w:rsidRPr="006C7BAC">
        <w:rPr>
          <w:rFonts w:ascii="Verdana" w:hAnsi="Verdana" w:cs="Arial"/>
          <w:bCs/>
          <w:sz w:val="20"/>
          <w:szCs w:val="20"/>
          <w:lang w:eastAsia="es-CO"/>
        </w:rPr>
        <w:t xml:space="preserve"> de asignación a las Empresas Sociales del Estado y a los administradores de infraestructura pública de propiedad de las entidades territoriales, destinadas a la prestación de servicios de salud, para la financiación de la operación corriente o para inversión en dotación de equipamiento biomédico, con el fin de garantizar la prestación de servicios de salud a la población afectada por causa de la emergencia derivada del Coronavirus COVID-19” (énfasis fuera de texto). </w:t>
      </w:r>
    </w:p>
    <w:p w14:paraId="4FA05672" w14:textId="77777777" w:rsidR="00102946" w:rsidRPr="003A380F" w:rsidRDefault="00102946" w:rsidP="00102946">
      <w:pPr>
        <w:spacing w:after="0" w:line="276" w:lineRule="auto"/>
        <w:ind w:firstLine="709"/>
        <w:jc w:val="both"/>
        <w:rPr>
          <w:rFonts w:ascii="Verdana" w:hAnsi="Verdana" w:cs="Arial"/>
          <w:bCs/>
          <w:lang w:eastAsia="es-CO"/>
        </w:rPr>
      </w:pPr>
    </w:p>
    <w:p w14:paraId="55213C44" w14:textId="77777777" w:rsidR="00102946" w:rsidRPr="003A380F" w:rsidRDefault="00102946" w:rsidP="00102946">
      <w:pPr>
        <w:spacing w:line="276" w:lineRule="auto"/>
        <w:ind w:firstLine="709"/>
        <w:jc w:val="both"/>
        <w:rPr>
          <w:rFonts w:ascii="Verdana" w:hAnsi="Verdana" w:cs="Arial"/>
          <w:bCs/>
          <w:lang w:val="es-ES_tradnl" w:eastAsia="es-CO"/>
        </w:rPr>
      </w:pPr>
      <w:r w:rsidRPr="003A380F">
        <w:rPr>
          <w:rFonts w:ascii="Verdana" w:hAnsi="Verdana" w:cs="Arial"/>
          <w:bCs/>
          <w:lang w:val="es-ES_tradnl" w:eastAsia="es-CO"/>
        </w:rPr>
        <w:t xml:space="preserve">En similar sentido, el Decreto Legislativo 800 de 2020, </w:t>
      </w:r>
      <w:r>
        <w:rPr>
          <w:rFonts w:ascii="Verdana" w:hAnsi="Verdana" w:cs="Arial"/>
          <w:bCs/>
          <w:lang w:val="es-ES_tradnl" w:eastAsia="es-CO"/>
        </w:rPr>
        <w:t>“</w:t>
      </w:r>
      <w:r w:rsidRPr="003A380F">
        <w:rPr>
          <w:rFonts w:ascii="Verdana" w:hAnsi="Verdana" w:cs="Arial"/>
          <w:bCs/>
          <w:lang w:val="es-ES_tradnl" w:eastAsia="es-CO"/>
        </w:rPr>
        <w:t>Por el cual se adoptan medidas para el flujo de recursos en el Sistema General de Seguridad Social en Salud y mantener la afiliación al mismo de quienes han perdido la capacidad de pago, en el marco del Estado de Emergencia Económica, Social y Ecológica</w:t>
      </w:r>
      <w:r>
        <w:rPr>
          <w:rFonts w:ascii="Verdana" w:hAnsi="Verdana" w:cs="Arial"/>
          <w:bCs/>
          <w:lang w:val="es-ES_tradnl" w:eastAsia="es-CO"/>
        </w:rPr>
        <w:t>”</w:t>
      </w:r>
      <w:r w:rsidRPr="003A380F">
        <w:rPr>
          <w:rFonts w:ascii="Verdana" w:hAnsi="Verdana" w:cs="Arial"/>
          <w:bCs/>
          <w:lang w:val="es-ES_tradnl" w:eastAsia="es-CO"/>
        </w:rPr>
        <w:t>, disp</w:t>
      </w:r>
      <w:r>
        <w:rPr>
          <w:rFonts w:ascii="Verdana" w:hAnsi="Verdana" w:cs="Arial"/>
          <w:bCs/>
          <w:lang w:val="es-ES_tradnl" w:eastAsia="es-CO"/>
        </w:rPr>
        <w:t>uso</w:t>
      </w:r>
      <w:r w:rsidRPr="003A380F">
        <w:rPr>
          <w:rFonts w:ascii="Verdana" w:hAnsi="Verdana" w:cs="Arial"/>
          <w:bCs/>
          <w:lang w:val="es-ES_tradnl" w:eastAsia="es-CO"/>
        </w:rPr>
        <w:t xml:space="preserve">, en el parágrafo 2 del artículo 10, que </w:t>
      </w:r>
      <w:r>
        <w:rPr>
          <w:rFonts w:ascii="Verdana" w:hAnsi="Verdana" w:cs="Arial"/>
          <w:bCs/>
          <w:lang w:val="es-ES_tradnl" w:eastAsia="es-CO"/>
        </w:rPr>
        <w:t>“</w:t>
      </w:r>
      <w:r w:rsidRPr="003A380F">
        <w:rPr>
          <w:rFonts w:ascii="Verdana" w:hAnsi="Verdana" w:cs="Arial"/>
          <w:bCs/>
          <w:lang w:val="es-ES_tradnl" w:eastAsia="es-CO"/>
        </w:rPr>
        <w:t xml:space="preserve">El Ministerio de Salud </w:t>
      </w:r>
      <w:r w:rsidRPr="003A380F">
        <w:rPr>
          <w:rFonts w:ascii="Verdana" w:hAnsi="Verdana" w:cs="Arial"/>
          <w:bCs/>
          <w:lang w:val="es-ES_tradnl" w:eastAsia="es-CO"/>
        </w:rPr>
        <w:lastRenderedPageBreak/>
        <w:t xml:space="preserve">y Protección Social podrá realizar, </w:t>
      </w:r>
      <w:r w:rsidRPr="003A380F">
        <w:rPr>
          <w:rFonts w:ascii="Verdana" w:hAnsi="Verdana" w:cs="Arial"/>
          <w:bCs/>
          <w:i/>
          <w:iCs/>
          <w:lang w:val="es-ES_tradnl" w:eastAsia="es-CO"/>
        </w:rPr>
        <w:t>mediante acto administrativo</w:t>
      </w:r>
      <w:r w:rsidRPr="003A380F">
        <w:rPr>
          <w:rFonts w:ascii="Verdana" w:hAnsi="Verdana" w:cs="Arial"/>
          <w:bCs/>
          <w:lang w:val="es-ES_tradnl" w:eastAsia="es-CO"/>
        </w:rPr>
        <w:t>, transferencias de bienes en especie a título gratuito a las Empresas Sociales del Estado o a las Entidades Territoriales</w:t>
      </w:r>
      <w:r>
        <w:rPr>
          <w:rFonts w:ascii="Verdana" w:hAnsi="Verdana" w:cs="Arial"/>
          <w:bCs/>
          <w:lang w:val="es-ES_tradnl" w:eastAsia="es-CO"/>
        </w:rPr>
        <w:t>”</w:t>
      </w:r>
      <w:r w:rsidRPr="003A380F">
        <w:rPr>
          <w:rFonts w:ascii="Verdana" w:hAnsi="Verdana" w:cs="Arial"/>
          <w:bCs/>
          <w:lang w:val="es-ES_tradnl" w:eastAsia="es-CO"/>
        </w:rPr>
        <w:t xml:space="preserve"> </w:t>
      </w:r>
      <w:r w:rsidRPr="003A380F">
        <w:rPr>
          <w:rFonts w:ascii="Verdana" w:hAnsi="Verdana" w:cs="Arial"/>
          <w:bCs/>
          <w:lang w:eastAsia="es-CO"/>
        </w:rPr>
        <w:t>(énfasis fuera de texto)</w:t>
      </w:r>
      <w:r w:rsidRPr="003A380F">
        <w:rPr>
          <w:rFonts w:ascii="Verdana" w:hAnsi="Verdana" w:cs="Arial"/>
          <w:bCs/>
          <w:lang w:val="es-ES_tradnl" w:eastAsia="es-CO"/>
        </w:rPr>
        <w:t xml:space="preserve">. </w:t>
      </w:r>
    </w:p>
    <w:p w14:paraId="7711E261" w14:textId="77777777" w:rsidR="00102946" w:rsidRPr="003A380F" w:rsidRDefault="00102946" w:rsidP="00102946">
      <w:pPr>
        <w:spacing w:before="120" w:after="0" w:line="276" w:lineRule="auto"/>
        <w:ind w:firstLine="709"/>
        <w:jc w:val="both"/>
        <w:rPr>
          <w:rFonts w:ascii="Verdana" w:hAnsi="Verdana" w:cs="Arial"/>
          <w:bCs/>
          <w:lang w:val="es-ES_tradnl" w:eastAsia="es-CO"/>
        </w:rPr>
      </w:pPr>
      <w:r w:rsidRPr="003A380F">
        <w:rPr>
          <w:rFonts w:ascii="Verdana" w:hAnsi="Verdana" w:cs="Arial"/>
          <w:bCs/>
          <w:lang w:val="es-ES_tradnl" w:eastAsia="es-CO"/>
        </w:rPr>
        <w:t xml:space="preserve">Otro ejemplo de este tipo de habilitación normativa, analizada por esta Agencia en el Concepto C-592 del 7 de diciembre de 2021, se encuentra en el artículo 9 del Decreto Legislativo 559 de 2020, </w:t>
      </w:r>
      <w:r>
        <w:rPr>
          <w:rFonts w:ascii="Verdana" w:hAnsi="Verdana" w:cs="Arial"/>
          <w:bCs/>
          <w:lang w:val="es-ES_tradnl" w:eastAsia="es-CO"/>
        </w:rPr>
        <w:t>“</w:t>
      </w:r>
      <w:r w:rsidRPr="003A380F">
        <w:rPr>
          <w:rFonts w:ascii="Verdana" w:hAnsi="Verdana" w:cs="Arial"/>
          <w:bCs/>
          <w:lang w:val="es-ES_tradnl" w:eastAsia="es-CO"/>
        </w:rPr>
        <w:t>Por el cual se adoptan medidas para crear una Subcuenta para la Mitigación de Emergencias -Covid19- en el Fondo Nacional de Gestión del Riesgo de Desastres y se establecen las reglas para su administración, en el marco del Estado de Emergencia Económica, Social y Ecológica</w:t>
      </w:r>
      <w:r>
        <w:rPr>
          <w:rFonts w:ascii="Verdana" w:hAnsi="Verdana" w:cs="Arial"/>
          <w:bCs/>
          <w:lang w:val="es-ES_tradnl" w:eastAsia="es-CO"/>
        </w:rPr>
        <w:t>”</w:t>
      </w:r>
      <w:r w:rsidRPr="003A380F">
        <w:rPr>
          <w:rFonts w:ascii="Verdana" w:hAnsi="Verdana" w:cs="Arial"/>
          <w:bCs/>
          <w:lang w:val="es-ES_tradnl" w:eastAsia="es-CO"/>
        </w:rPr>
        <w:t xml:space="preserve">, a cuyo tenor: </w:t>
      </w:r>
    </w:p>
    <w:p w14:paraId="04268FBD" w14:textId="77777777" w:rsidR="00102946" w:rsidRPr="003A380F" w:rsidRDefault="00102946" w:rsidP="00102946">
      <w:pPr>
        <w:spacing w:after="0"/>
        <w:ind w:left="709" w:right="709"/>
        <w:jc w:val="both"/>
        <w:rPr>
          <w:rFonts w:ascii="Verdana" w:hAnsi="Verdana" w:cs="Arial"/>
          <w:bCs/>
          <w:sz w:val="21"/>
          <w:szCs w:val="21"/>
          <w:lang w:eastAsia="es-CO"/>
        </w:rPr>
      </w:pPr>
    </w:p>
    <w:p w14:paraId="5664F9BC" w14:textId="77777777" w:rsidR="00102946" w:rsidRPr="006C7BAC" w:rsidRDefault="00102946" w:rsidP="00102946">
      <w:pPr>
        <w:spacing w:after="0" w:line="240" w:lineRule="auto"/>
        <w:ind w:left="709" w:right="709"/>
        <w:jc w:val="both"/>
        <w:rPr>
          <w:rFonts w:ascii="Verdana" w:hAnsi="Verdana" w:cs="Arial"/>
          <w:bCs/>
          <w:sz w:val="20"/>
          <w:szCs w:val="20"/>
          <w:lang w:eastAsia="es-CO"/>
        </w:rPr>
      </w:pPr>
      <w:r w:rsidRPr="006C7BAC">
        <w:rPr>
          <w:rFonts w:ascii="Verdana" w:hAnsi="Verdana" w:cs="Arial"/>
          <w:bCs/>
          <w:sz w:val="20"/>
          <w:szCs w:val="20"/>
          <w:lang w:eastAsia="es-CO"/>
        </w:rPr>
        <w:t xml:space="preserve">“El administrador fiduciario del Fondo Nacional de Gestión del Riesgo de Desastres transferirá a título gratuito a las entidades públicas los bienes que se adquieran en cumplimiento del objeto y finalidad de la subcuenta. Dicha transferencia se adelantará a través de </w:t>
      </w:r>
      <w:r w:rsidRPr="006C7BAC">
        <w:rPr>
          <w:rFonts w:ascii="Verdana" w:hAnsi="Verdana" w:cs="Arial"/>
          <w:bCs/>
          <w:i/>
          <w:iCs/>
          <w:sz w:val="20"/>
          <w:szCs w:val="20"/>
          <w:lang w:eastAsia="es-CO"/>
        </w:rPr>
        <w:t>acto administrativo</w:t>
      </w:r>
      <w:r w:rsidRPr="006C7BAC">
        <w:rPr>
          <w:rFonts w:ascii="Verdana" w:hAnsi="Verdana" w:cs="Arial"/>
          <w:bCs/>
          <w:sz w:val="20"/>
          <w:szCs w:val="20"/>
          <w:lang w:eastAsia="es-CO"/>
        </w:rPr>
        <w:t xml:space="preserve"> que profiera el Director de la Unidad Nacional de Gestión de Riesgo de Desastre o su delegado en donde se indique la valoración contable de los mismos para efectos del control que se requiera para el efecto” (énfasis fuera de texto). </w:t>
      </w:r>
    </w:p>
    <w:p w14:paraId="7ACD8459" w14:textId="77777777" w:rsidR="00102946" w:rsidRPr="003A380F" w:rsidRDefault="00102946" w:rsidP="00102946">
      <w:pPr>
        <w:spacing w:after="0" w:line="276" w:lineRule="auto"/>
        <w:jc w:val="both"/>
        <w:rPr>
          <w:rFonts w:ascii="Verdana" w:hAnsi="Verdana" w:cs="Arial"/>
          <w:bCs/>
          <w:lang w:val="es-ES_tradnl" w:eastAsia="es-CO"/>
        </w:rPr>
      </w:pPr>
    </w:p>
    <w:p w14:paraId="395B4F7B" w14:textId="77777777" w:rsidR="00102946" w:rsidRPr="003A380F" w:rsidRDefault="00102946" w:rsidP="00102946">
      <w:pPr>
        <w:spacing w:line="276" w:lineRule="auto"/>
        <w:ind w:firstLine="709"/>
        <w:jc w:val="both"/>
        <w:rPr>
          <w:rFonts w:ascii="Verdana" w:hAnsi="Verdana" w:cs="Arial"/>
          <w:bCs/>
          <w:lang w:val="es-ES_tradnl" w:eastAsia="es-CO"/>
        </w:rPr>
      </w:pPr>
      <w:r w:rsidRPr="003A380F">
        <w:rPr>
          <w:rFonts w:ascii="Verdana" w:hAnsi="Verdana" w:cs="Arial"/>
          <w:bCs/>
          <w:lang w:val="es-ES_tradnl" w:eastAsia="es-CO"/>
        </w:rPr>
        <w:t xml:space="preserve">Obsérvese que las normas citadas no disponen que la transferencia de los recursos debe hacerse a través de convenio o contrato. Por el contrario, establecen que debe formalizarse mediante la expedición de un </w:t>
      </w:r>
      <w:r w:rsidRPr="003A380F">
        <w:rPr>
          <w:rFonts w:ascii="Verdana" w:hAnsi="Verdana" w:cs="Arial"/>
          <w:bCs/>
          <w:i/>
          <w:iCs/>
          <w:lang w:val="es-ES_tradnl" w:eastAsia="es-CO"/>
        </w:rPr>
        <w:t>acto administrativo</w:t>
      </w:r>
      <w:r w:rsidRPr="003A380F">
        <w:rPr>
          <w:rFonts w:ascii="Verdana" w:hAnsi="Verdana" w:cs="Arial"/>
          <w:bCs/>
          <w:lang w:val="es-ES_tradnl" w:eastAsia="es-CO"/>
        </w:rPr>
        <w:t xml:space="preserve">. Esta diferencia adquiere relevancia para saber si la transferencia gratuita de </w:t>
      </w:r>
      <w:r>
        <w:rPr>
          <w:rFonts w:ascii="Verdana" w:hAnsi="Verdana" w:cs="Arial"/>
          <w:bCs/>
          <w:lang w:val="es-ES_tradnl" w:eastAsia="es-CO"/>
        </w:rPr>
        <w:t>recursos</w:t>
      </w:r>
      <w:r w:rsidRPr="003A380F">
        <w:rPr>
          <w:rFonts w:ascii="Verdana" w:hAnsi="Verdana" w:cs="Arial"/>
          <w:bCs/>
          <w:lang w:val="es-ES_tradnl" w:eastAsia="es-CO"/>
        </w:rPr>
        <w:t xml:space="preserve"> efectuada mediante acto administrativo está prohibida por el parágrafo del artículo 38 de la Ley 996 de 2005.</w:t>
      </w:r>
    </w:p>
    <w:p w14:paraId="7F04F2FA" w14:textId="77777777" w:rsidR="00102946" w:rsidRPr="003A380F" w:rsidRDefault="00102946" w:rsidP="00102946">
      <w:pPr>
        <w:spacing w:before="120" w:line="276" w:lineRule="auto"/>
        <w:ind w:firstLine="709"/>
        <w:jc w:val="both"/>
        <w:rPr>
          <w:rFonts w:ascii="Verdana" w:hAnsi="Verdana" w:cs="Arial"/>
          <w:lang w:val="es-ES" w:eastAsia="es-CO"/>
        </w:rPr>
      </w:pPr>
      <w:r w:rsidRPr="003A380F">
        <w:rPr>
          <w:rFonts w:ascii="Verdana" w:hAnsi="Verdana" w:cs="Arial"/>
          <w:lang w:val="es-ES" w:eastAsia="es-CO"/>
        </w:rPr>
        <w:t>Para resolver dicho interrogante, es necesario indicar que, en el ordenamiento jurídico colombiano, el contrato y el acto administrativo, constituyen instituciones distintas. En efecto, según el artículo 1495 del Código Civil</w:t>
      </w:r>
      <w:r w:rsidRPr="003A380F">
        <w:rPr>
          <w:rStyle w:val="Refdenotaalpie"/>
          <w:rFonts w:ascii="Verdana" w:hAnsi="Verdana" w:cs="Arial"/>
          <w:lang w:val="es-ES" w:eastAsia="es-CO"/>
        </w:rPr>
        <w:footnoteReference w:id="33"/>
      </w:r>
      <w:r w:rsidRPr="003A380F">
        <w:rPr>
          <w:rFonts w:ascii="Verdana" w:hAnsi="Verdana" w:cs="Arial"/>
          <w:lang w:val="es-ES" w:eastAsia="es-CO"/>
        </w:rPr>
        <w:t xml:space="preserve">, </w:t>
      </w:r>
      <w:r>
        <w:rPr>
          <w:rFonts w:ascii="Verdana" w:hAnsi="Verdana" w:cs="Arial"/>
          <w:lang w:val="es-ES" w:eastAsia="es-CO"/>
        </w:rPr>
        <w:t>“</w:t>
      </w:r>
      <w:r w:rsidRPr="003A380F">
        <w:rPr>
          <w:rFonts w:ascii="Verdana" w:hAnsi="Verdana" w:cs="Arial"/>
          <w:lang w:val="es-ES" w:eastAsia="es-CO"/>
        </w:rPr>
        <w:t>Contrato o convención es un acto por el cual una parte se obliga para con otra a dar, hacer o no hacer alguna cosa</w:t>
      </w:r>
      <w:r>
        <w:rPr>
          <w:rFonts w:ascii="Verdana" w:hAnsi="Verdana" w:cs="Arial"/>
          <w:lang w:val="es-ES" w:eastAsia="es-CO"/>
        </w:rPr>
        <w:t>”</w:t>
      </w:r>
      <w:r w:rsidRPr="003A380F">
        <w:rPr>
          <w:rFonts w:ascii="Verdana" w:hAnsi="Verdana" w:cs="Arial"/>
          <w:lang w:val="es-ES" w:eastAsia="es-CO"/>
        </w:rPr>
        <w:t xml:space="preserve">. En cambio, el acto administrativo es una declaración o manifestación unilateral de voluntad proferida por un órgano del Estado o un particular –en ejercicio de función administrativa, electoral o de control–, encaminada a producir efectos jurídicos. La unilateralidad, como elemento de la definición del acto administrativo, se </w:t>
      </w:r>
      <w:r w:rsidRPr="003A380F">
        <w:rPr>
          <w:rFonts w:ascii="Verdana" w:hAnsi="Verdana" w:cs="Arial"/>
          <w:lang w:val="es-ES" w:eastAsia="es-CO"/>
        </w:rPr>
        <w:lastRenderedPageBreak/>
        <w:t xml:space="preserve">observa en la </w:t>
      </w:r>
      <w:r>
        <w:rPr>
          <w:rFonts w:ascii="Verdana" w:hAnsi="Verdana" w:cs="Arial"/>
          <w:lang w:val="es-ES" w:eastAsia="es-CO"/>
        </w:rPr>
        <w:t>S</w:t>
      </w:r>
      <w:r w:rsidRPr="003A380F">
        <w:rPr>
          <w:rFonts w:ascii="Verdana" w:hAnsi="Verdana" w:cs="Arial"/>
          <w:lang w:val="es-ES" w:eastAsia="es-CO"/>
        </w:rPr>
        <w:t>entencia C-487 de 1996</w:t>
      </w:r>
      <w:r w:rsidRPr="003A380F">
        <w:rPr>
          <w:rStyle w:val="Refdenotaalpie"/>
          <w:rFonts w:ascii="Verdana" w:hAnsi="Verdana" w:cs="Arial"/>
          <w:lang w:val="es-ES" w:eastAsia="es-CO"/>
        </w:rPr>
        <w:footnoteReference w:id="34"/>
      </w:r>
      <w:r w:rsidRPr="003A380F">
        <w:rPr>
          <w:rFonts w:ascii="Verdana" w:hAnsi="Verdana" w:cs="Arial"/>
          <w:lang w:val="es-ES" w:eastAsia="es-CO"/>
        </w:rPr>
        <w:t xml:space="preserve">, en la que la Corte Constitucional afirmó que el acto administrativo </w:t>
      </w:r>
      <w:r>
        <w:rPr>
          <w:rFonts w:ascii="Verdana" w:hAnsi="Verdana" w:cs="Arial"/>
          <w:lang w:val="es-ES" w:eastAsia="es-CO"/>
        </w:rPr>
        <w:t>“</w:t>
      </w:r>
      <w:r w:rsidRPr="003A380F">
        <w:rPr>
          <w:rFonts w:ascii="Verdana" w:hAnsi="Verdana" w:cs="Arial"/>
          <w:lang w:val="es-ES" w:eastAsia="es-CO"/>
        </w:rPr>
        <w:t xml:space="preserve">[…] se manifiesta a través de las declaraciones </w:t>
      </w:r>
      <w:r w:rsidRPr="003A380F">
        <w:rPr>
          <w:rFonts w:ascii="Verdana" w:hAnsi="Verdana" w:cs="Arial"/>
          <w:i/>
          <w:iCs/>
          <w:lang w:val="es-ES" w:eastAsia="es-CO"/>
        </w:rPr>
        <w:t>unilaterales</w:t>
      </w:r>
      <w:r w:rsidRPr="003A380F">
        <w:rPr>
          <w:rFonts w:ascii="Verdana" w:hAnsi="Verdana" w:cs="Arial"/>
          <w:lang w:val="es-ES" w:eastAsia="es-CO"/>
        </w:rPr>
        <w:t xml:space="preserve">, creadoras de situaciones jurídicas generales, objetivas y abstractas, o </w:t>
      </w:r>
      <w:proofErr w:type="gramStart"/>
      <w:r w:rsidRPr="003A380F">
        <w:rPr>
          <w:rFonts w:ascii="Verdana" w:hAnsi="Verdana" w:cs="Arial"/>
          <w:lang w:val="es-ES" w:eastAsia="es-CO"/>
        </w:rPr>
        <w:t>subjetivas particulares</w:t>
      </w:r>
      <w:proofErr w:type="gramEnd"/>
      <w:r w:rsidRPr="003A380F">
        <w:rPr>
          <w:rFonts w:ascii="Verdana" w:hAnsi="Verdana" w:cs="Arial"/>
          <w:lang w:val="es-ES" w:eastAsia="es-CO"/>
        </w:rPr>
        <w:t xml:space="preserve"> y concretas</w:t>
      </w:r>
      <w:r>
        <w:rPr>
          <w:rFonts w:ascii="Verdana" w:hAnsi="Verdana" w:cs="Arial"/>
          <w:lang w:val="es-ES" w:eastAsia="es-CO"/>
        </w:rPr>
        <w:t>”</w:t>
      </w:r>
      <w:r w:rsidRPr="003A380F">
        <w:rPr>
          <w:rFonts w:ascii="Verdana" w:hAnsi="Verdana" w:cs="Arial"/>
          <w:lang w:val="es-ES" w:eastAsia="es-CO"/>
        </w:rPr>
        <w:t xml:space="preserve"> (énfasis fuera de texto). Así también lo señaló en la Sentencia C-542 de 2005</w:t>
      </w:r>
      <w:r w:rsidRPr="003A380F">
        <w:rPr>
          <w:rStyle w:val="Refdenotaalpie"/>
          <w:rFonts w:ascii="Verdana" w:hAnsi="Verdana" w:cs="Arial"/>
          <w:lang w:val="es-ES" w:eastAsia="es-CO"/>
        </w:rPr>
        <w:footnoteReference w:id="35"/>
      </w:r>
      <w:r w:rsidRPr="003A380F">
        <w:rPr>
          <w:rFonts w:ascii="Verdana" w:hAnsi="Verdana" w:cs="Arial"/>
          <w:lang w:val="es-ES" w:eastAsia="es-CO"/>
        </w:rPr>
        <w:t xml:space="preserve">. El Consejo de Estado, asimismo, ha indicado que el acto administrativo es </w:t>
      </w:r>
      <w:r>
        <w:rPr>
          <w:rFonts w:ascii="Verdana" w:hAnsi="Verdana" w:cs="Arial"/>
          <w:lang w:val="es-ES" w:eastAsia="es-CO"/>
        </w:rPr>
        <w:t>“</w:t>
      </w:r>
      <w:r w:rsidRPr="003A380F">
        <w:rPr>
          <w:rFonts w:ascii="Verdana" w:hAnsi="Verdana" w:cs="Arial"/>
          <w:lang w:val="es-ES" w:eastAsia="es-CO"/>
        </w:rPr>
        <w:t xml:space="preserve">toda manifestación </w:t>
      </w:r>
      <w:r w:rsidRPr="003A380F">
        <w:rPr>
          <w:rFonts w:ascii="Verdana" w:hAnsi="Verdana" w:cs="Arial"/>
          <w:i/>
          <w:iCs/>
          <w:lang w:val="es-ES" w:eastAsia="es-CO"/>
        </w:rPr>
        <w:t>unilateral</w:t>
      </w:r>
      <w:r w:rsidRPr="003A380F">
        <w:rPr>
          <w:rFonts w:ascii="Verdana" w:hAnsi="Verdana" w:cs="Arial"/>
          <w:lang w:val="es-ES" w:eastAsia="es-CO"/>
        </w:rPr>
        <w:t>, por regla general de voluntad, de quienes ejercen funciones administrativas, tendiente a la producción de efectos jurídicos</w:t>
      </w:r>
      <w:r>
        <w:rPr>
          <w:rFonts w:ascii="Verdana" w:hAnsi="Verdana" w:cs="Arial"/>
          <w:lang w:val="es-ES" w:eastAsia="es-CO"/>
        </w:rPr>
        <w:t>”</w:t>
      </w:r>
      <w:r w:rsidRPr="003A380F">
        <w:rPr>
          <w:rFonts w:ascii="Verdana" w:hAnsi="Verdana" w:cs="Arial"/>
          <w:lang w:val="es-ES" w:eastAsia="es-CO"/>
        </w:rPr>
        <w:t xml:space="preserve"> (énfasis fuera de texto).</w:t>
      </w:r>
    </w:p>
    <w:p w14:paraId="7BEA6417" w14:textId="77777777" w:rsidR="00102946" w:rsidRPr="003A380F" w:rsidRDefault="00102946" w:rsidP="00102946">
      <w:pPr>
        <w:spacing w:before="120" w:after="0" w:line="276" w:lineRule="auto"/>
        <w:ind w:firstLine="709"/>
        <w:jc w:val="both"/>
        <w:rPr>
          <w:rFonts w:ascii="Verdana" w:hAnsi="Verdana" w:cs="Arial"/>
          <w:lang w:val="es-ES" w:eastAsia="es-CO"/>
        </w:rPr>
      </w:pPr>
      <w:r w:rsidRPr="003A380F">
        <w:rPr>
          <w:rFonts w:ascii="Verdana" w:hAnsi="Verdana" w:cs="Arial"/>
          <w:lang w:val="es-ES" w:eastAsia="es-CO"/>
        </w:rPr>
        <w:t>Una explicación de la unilateralidad como elemento definitorio del acto administrativo, en comparación con la bilateralidad propia del contrato, se encuentra suficientemente desarrollada en la obra de José Antonio García-</w:t>
      </w:r>
      <w:proofErr w:type="spellStart"/>
      <w:r w:rsidRPr="003A380F">
        <w:rPr>
          <w:rFonts w:ascii="Verdana" w:hAnsi="Verdana" w:cs="Arial"/>
          <w:lang w:val="es-ES" w:eastAsia="es-CO"/>
        </w:rPr>
        <w:t>Trevijano</w:t>
      </w:r>
      <w:proofErr w:type="spellEnd"/>
      <w:r w:rsidRPr="003A380F">
        <w:rPr>
          <w:rFonts w:ascii="Verdana" w:hAnsi="Verdana" w:cs="Arial"/>
          <w:lang w:val="es-ES" w:eastAsia="es-CO"/>
        </w:rPr>
        <w:t xml:space="preserve"> </w:t>
      </w:r>
      <w:proofErr w:type="spellStart"/>
      <w:r w:rsidRPr="003A380F">
        <w:rPr>
          <w:rFonts w:ascii="Verdana" w:hAnsi="Verdana" w:cs="Arial"/>
          <w:lang w:val="es-ES" w:eastAsia="es-CO"/>
        </w:rPr>
        <w:t>Fos</w:t>
      </w:r>
      <w:proofErr w:type="spellEnd"/>
      <w:r w:rsidRPr="003A380F">
        <w:rPr>
          <w:rStyle w:val="Refdenotaalpie"/>
          <w:rFonts w:ascii="Verdana" w:hAnsi="Verdana" w:cs="Arial"/>
          <w:lang w:val="es-ES" w:eastAsia="es-CO"/>
        </w:rPr>
        <w:footnoteReference w:id="36"/>
      </w:r>
      <w:r w:rsidRPr="003A380F">
        <w:rPr>
          <w:rFonts w:ascii="Verdana" w:hAnsi="Verdana" w:cs="Arial"/>
          <w:lang w:val="es-ES" w:eastAsia="es-CO"/>
        </w:rPr>
        <w:t xml:space="preserve">. Este autor inicia su análisis diferenciando el acto administrativo y el contrato, indicando que el primero debe ser un acto </w:t>
      </w:r>
      <w:r w:rsidRPr="003A380F">
        <w:rPr>
          <w:rFonts w:ascii="Verdana" w:hAnsi="Verdana" w:cs="Arial"/>
          <w:i/>
          <w:iCs/>
          <w:lang w:val="es-ES" w:eastAsia="es-CO"/>
        </w:rPr>
        <w:t>unilateral</w:t>
      </w:r>
      <w:r w:rsidRPr="003A380F">
        <w:rPr>
          <w:rFonts w:ascii="Verdana" w:hAnsi="Verdana" w:cs="Arial"/>
          <w:lang w:val="es-ES" w:eastAsia="es-CO"/>
        </w:rPr>
        <w:t xml:space="preserve">, mientras que el segundo ha de consistir en un acto </w:t>
      </w:r>
      <w:r w:rsidRPr="003A380F">
        <w:rPr>
          <w:rFonts w:ascii="Verdana" w:hAnsi="Verdana" w:cs="Arial"/>
          <w:i/>
          <w:iCs/>
          <w:lang w:val="es-ES" w:eastAsia="es-CO"/>
        </w:rPr>
        <w:t>bilateral</w:t>
      </w:r>
      <w:r w:rsidRPr="003A380F">
        <w:rPr>
          <w:rStyle w:val="Refdenotaalpie"/>
          <w:rFonts w:ascii="Verdana" w:hAnsi="Verdana" w:cs="Arial"/>
          <w:lang w:val="es-ES" w:eastAsia="es-CO"/>
        </w:rPr>
        <w:footnoteReference w:id="37"/>
      </w:r>
      <w:r w:rsidRPr="003A380F">
        <w:rPr>
          <w:rFonts w:ascii="Verdana" w:hAnsi="Verdana" w:cs="Arial"/>
          <w:lang w:val="es-ES" w:eastAsia="es-CO"/>
        </w:rPr>
        <w:t xml:space="preserve">. De igual manera, aclara que cuando emplea los conceptos unilateralidad y bilateralidad no está aludiendo a los efectos, sino a la relación jurídica o fuente de la declaración. Esta aclaración es importante, porque también está sobre la base de las definiciones jurisprudenciales que se mencionaron en el párrafo precedente. </w:t>
      </w:r>
      <w:proofErr w:type="gramStart"/>
      <w:r w:rsidRPr="003A380F">
        <w:rPr>
          <w:rFonts w:ascii="Verdana" w:hAnsi="Verdana" w:cs="Arial"/>
          <w:lang w:val="es-ES" w:eastAsia="es-CO"/>
        </w:rPr>
        <w:t>Pero,</w:t>
      </w:r>
      <w:proofErr w:type="gramEnd"/>
      <w:r w:rsidRPr="003A380F">
        <w:rPr>
          <w:rFonts w:ascii="Verdana" w:hAnsi="Verdana" w:cs="Arial"/>
          <w:lang w:val="es-ES" w:eastAsia="es-CO"/>
        </w:rPr>
        <w:t xml:space="preserve"> ¿qué quiere decir, por tanto, que el acto administrativo es unilateral, en oposición al contrato, que es bilateral –o sea, un negocio jurídico–? García-</w:t>
      </w:r>
      <w:proofErr w:type="spellStart"/>
      <w:r w:rsidRPr="003A380F">
        <w:rPr>
          <w:rFonts w:ascii="Verdana" w:hAnsi="Verdana" w:cs="Arial"/>
          <w:lang w:val="es-ES" w:eastAsia="es-CO"/>
        </w:rPr>
        <w:t>Trevijano</w:t>
      </w:r>
      <w:proofErr w:type="spellEnd"/>
      <w:r w:rsidRPr="003A380F">
        <w:rPr>
          <w:rFonts w:ascii="Verdana" w:hAnsi="Verdana" w:cs="Arial"/>
          <w:lang w:val="es-ES" w:eastAsia="es-CO"/>
        </w:rPr>
        <w:t xml:space="preserve"> </w:t>
      </w:r>
      <w:proofErr w:type="spellStart"/>
      <w:r w:rsidRPr="003A380F">
        <w:rPr>
          <w:rFonts w:ascii="Verdana" w:hAnsi="Verdana" w:cs="Arial"/>
          <w:lang w:val="es-ES" w:eastAsia="es-CO"/>
        </w:rPr>
        <w:t>Fos</w:t>
      </w:r>
      <w:proofErr w:type="spellEnd"/>
      <w:r w:rsidRPr="003A380F">
        <w:rPr>
          <w:rFonts w:ascii="Verdana" w:hAnsi="Verdana" w:cs="Arial"/>
          <w:lang w:val="es-ES" w:eastAsia="es-CO"/>
        </w:rPr>
        <w:t xml:space="preserve"> lo aclara así: </w:t>
      </w:r>
    </w:p>
    <w:p w14:paraId="6A0ECF8C" w14:textId="77777777" w:rsidR="00102946" w:rsidRPr="003A380F" w:rsidRDefault="00102946" w:rsidP="00102946">
      <w:pPr>
        <w:spacing w:after="0"/>
        <w:ind w:left="709" w:right="709"/>
        <w:jc w:val="both"/>
        <w:rPr>
          <w:rFonts w:ascii="Verdana" w:hAnsi="Verdana" w:cs="Arial"/>
          <w:bCs/>
          <w:sz w:val="21"/>
          <w:szCs w:val="21"/>
          <w:lang w:val="es-ES_tradnl" w:eastAsia="es-CO"/>
        </w:rPr>
      </w:pPr>
    </w:p>
    <w:p w14:paraId="553D1E2D" w14:textId="77777777" w:rsidR="00102946" w:rsidRPr="006C7BAC" w:rsidRDefault="00102946" w:rsidP="00102946">
      <w:pPr>
        <w:spacing w:after="0" w:line="240" w:lineRule="auto"/>
        <w:ind w:left="709" w:right="709"/>
        <w:jc w:val="both"/>
        <w:rPr>
          <w:rFonts w:ascii="Verdana" w:hAnsi="Verdana" w:cs="Arial"/>
          <w:bCs/>
          <w:sz w:val="20"/>
          <w:szCs w:val="20"/>
          <w:lang w:val="es-ES_tradnl" w:eastAsia="es-CO"/>
        </w:rPr>
      </w:pPr>
      <w:r w:rsidRPr="006C7BAC">
        <w:rPr>
          <w:rFonts w:ascii="Verdana" w:hAnsi="Verdana" w:cs="Arial"/>
          <w:bCs/>
          <w:sz w:val="20"/>
          <w:szCs w:val="20"/>
          <w:lang w:val="es-ES_tradnl" w:eastAsia="es-CO"/>
        </w:rPr>
        <w:t>“La unilateralidad en el Derecho administrativo hay que encontrarla en el origen de la relación jurídica y de aquí la irrelevancia de la voluntad del administrado que, aunque ponga en marcha un procedimiento y el acto que se dicte al final sea a su petición, no tiene fuerza suficiente para generar un contrato. De mantener una tesis contractualista habría que llegar a consecuencias aberrantes porque serían contratos, es decir, actos bilaterales por su origen, los convenios expropiatorios, la imposición de multas con aceptación, el servicio militar como voluntario, los recursos administrativos estimados y, en fin, todo acto jurídico procedente de la Administración a instancia de parte se transformaría en un contrato”</w:t>
      </w:r>
      <w:r w:rsidRPr="006C7BAC">
        <w:rPr>
          <w:rStyle w:val="Refdenotaalpie"/>
          <w:rFonts w:ascii="Verdana" w:hAnsi="Verdana" w:cs="Arial"/>
          <w:bCs/>
          <w:sz w:val="20"/>
          <w:szCs w:val="20"/>
          <w:lang w:val="es-ES_tradnl" w:eastAsia="es-CO"/>
        </w:rPr>
        <w:footnoteReference w:id="38"/>
      </w:r>
      <w:r w:rsidRPr="006C7BAC">
        <w:rPr>
          <w:rFonts w:ascii="Verdana" w:hAnsi="Verdana" w:cs="Arial"/>
          <w:bCs/>
          <w:sz w:val="20"/>
          <w:szCs w:val="20"/>
          <w:lang w:val="es-ES_tradnl" w:eastAsia="es-CO"/>
        </w:rPr>
        <w:t>.</w:t>
      </w:r>
    </w:p>
    <w:p w14:paraId="24BB88E7" w14:textId="77777777" w:rsidR="00102946" w:rsidRPr="003A380F" w:rsidRDefault="00102946" w:rsidP="00102946">
      <w:pPr>
        <w:spacing w:after="0" w:line="276" w:lineRule="auto"/>
        <w:ind w:firstLine="709"/>
        <w:jc w:val="both"/>
        <w:rPr>
          <w:rFonts w:ascii="Verdana" w:hAnsi="Verdana" w:cs="Arial"/>
          <w:bCs/>
          <w:lang w:val="es-ES_tradnl" w:eastAsia="es-CO"/>
        </w:rPr>
      </w:pPr>
    </w:p>
    <w:p w14:paraId="497FD69E" w14:textId="77777777" w:rsidR="00102946" w:rsidRPr="003A380F" w:rsidRDefault="00102946" w:rsidP="6DAEE574">
      <w:pPr>
        <w:spacing w:line="276" w:lineRule="auto"/>
        <w:ind w:firstLine="709"/>
        <w:jc w:val="both"/>
        <w:rPr>
          <w:rFonts w:ascii="Verdana" w:hAnsi="Verdana" w:cs="Arial"/>
          <w:lang w:val="es-ES" w:eastAsia="es-CO"/>
        </w:rPr>
      </w:pPr>
      <w:r w:rsidRPr="6DAEE574">
        <w:rPr>
          <w:rFonts w:ascii="Verdana" w:hAnsi="Verdana" w:cs="Arial"/>
          <w:lang w:val="es-ES" w:eastAsia="es-CO"/>
        </w:rPr>
        <w:lastRenderedPageBreak/>
        <w:t xml:space="preserve">Es cierto que en ocasiones el destinatario del acto administrativo acepta la decisión contenida en este –por ejemplo, accede a pagar la multa impuesta, recibe el subsidio, se posesiona en el cargo para el cual fue nombrado o no lo recurre (lo que podría entenderse como una aceptación tácita)–, pero esto no significa que, por haber tolerado o estado de acuerdo con el acto administrativo, este se convierta en un contrato. En tales eventos el acto administrativo no pierde su naturaleza de declaración </w:t>
      </w:r>
      <w:r w:rsidRPr="6DAEE574">
        <w:rPr>
          <w:rFonts w:ascii="Verdana" w:hAnsi="Verdana" w:cs="Arial"/>
          <w:i/>
          <w:iCs/>
          <w:lang w:val="es-ES" w:eastAsia="es-CO"/>
        </w:rPr>
        <w:t>unilateral</w:t>
      </w:r>
      <w:r w:rsidRPr="6DAEE574">
        <w:rPr>
          <w:rFonts w:ascii="Verdana" w:hAnsi="Verdana" w:cs="Arial"/>
          <w:lang w:val="es-ES" w:eastAsia="es-CO"/>
        </w:rPr>
        <w:t xml:space="preserve"> de voluntad, porque se perfeccionó siendo eso: una decisión. Por tanto, la declaración </w:t>
      </w:r>
      <w:r w:rsidRPr="6DAEE574">
        <w:rPr>
          <w:rFonts w:ascii="Verdana" w:hAnsi="Verdana" w:cs="Arial"/>
          <w:i/>
          <w:iCs/>
          <w:lang w:val="es-ES" w:eastAsia="es-CO"/>
        </w:rPr>
        <w:t>posterior</w:t>
      </w:r>
      <w:r w:rsidRPr="6DAEE574">
        <w:rPr>
          <w:rFonts w:ascii="Verdana" w:hAnsi="Verdana" w:cs="Arial"/>
          <w:lang w:val="es-ES" w:eastAsia="es-CO"/>
        </w:rPr>
        <w:t xml:space="preserve"> de un sujeto mostrándose conforme con lo decidido o cumpliendo lo dispuesto en la resolución no cambia la naturaleza del acto administrativo, pues este completa sus requisitos de existencia desde que se presenta la declaración unilateral. De ahí la relevancia de fijarse en el origen de la relación jurídica para apreciar la unilateralidad y no en sus efectos.</w:t>
      </w:r>
    </w:p>
    <w:p w14:paraId="485936ED" w14:textId="77777777" w:rsidR="00102946" w:rsidRPr="003A380F" w:rsidRDefault="00102946" w:rsidP="00102946">
      <w:pPr>
        <w:spacing w:before="120" w:line="276" w:lineRule="auto"/>
        <w:ind w:firstLine="709"/>
        <w:jc w:val="both"/>
        <w:rPr>
          <w:rFonts w:ascii="Verdana" w:hAnsi="Verdana" w:cs="Arial"/>
          <w:lang w:val="es-ES" w:eastAsia="es-CO"/>
        </w:rPr>
      </w:pPr>
      <w:r w:rsidRPr="003A380F">
        <w:rPr>
          <w:rFonts w:ascii="Verdana" w:hAnsi="Verdana" w:cs="Arial"/>
          <w:lang w:val="es-ES" w:eastAsia="es-CO"/>
        </w:rPr>
        <w:t xml:space="preserve">Tampoco puede afirmarse válidamente que el acto administrativo se convierta en un contrato o convenio por la circunstancia de establecer condiciones para que se activen los efectos favorables dispuestos en la decisión o por el hecho de que el acto prevea obligaciones de variada índole, que deban cumplir sus destinatarios. Por esta razón, la doctrina explica que en los actos administrativos </w:t>
      </w:r>
      <w:r>
        <w:rPr>
          <w:rFonts w:ascii="Verdana" w:hAnsi="Verdana" w:cs="Arial"/>
          <w:lang w:val="es-ES" w:eastAsia="es-CO"/>
        </w:rPr>
        <w:t>“</w:t>
      </w:r>
      <w:r w:rsidRPr="003A380F">
        <w:rPr>
          <w:rFonts w:ascii="Verdana" w:hAnsi="Verdana" w:cs="Arial"/>
          <w:lang w:val="es-ES" w:eastAsia="es-CO"/>
        </w:rPr>
        <w:t xml:space="preserve">se suelen incluir una serie de cláusulas que </w:t>
      </w:r>
      <w:r w:rsidRPr="003A380F">
        <w:rPr>
          <w:rFonts w:ascii="Verdana" w:hAnsi="Verdana" w:cs="Arial"/>
          <w:i/>
          <w:iCs/>
          <w:lang w:val="es-ES" w:eastAsia="es-CO"/>
        </w:rPr>
        <w:t>complementan, delimitan o modulan</w:t>
      </w:r>
      <w:r w:rsidRPr="003A380F">
        <w:rPr>
          <w:rFonts w:ascii="Verdana" w:hAnsi="Verdana" w:cs="Arial"/>
          <w:lang w:val="es-ES" w:eastAsia="es-CO"/>
        </w:rPr>
        <w:t xml:space="preserve"> la situación jurídica</w:t>
      </w:r>
      <w:r>
        <w:rPr>
          <w:rFonts w:ascii="Verdana" w:hAnsi="Verdana" w:cs="Arial"/>
          <w:lang w:val="es-ES" w:eastAsia="es-CO"/>
        </w:rPr>
        <w:t>”</w:t>
      </w:r>
      <w:r w:rsidRPr="003A380F">
        <w:rPr>
          <w:rStyle w:val="Refdenotaalpie"/>
          <w:rFonts w:ascii="Verdana" w:hAnsi="Verdana" w:cs="Arial"/>
          <w:lang w:val="es-ES" w:eastAsia="es-CO"/>
        </w:rPr>
        <w:footnoteReference w:id="39"/>
      </w:r>
      <w:r w:rsidRPr="003A380F">
        <w:rPr>
          <w:rFonts w:ascii="Verdana" w:hAnsi="Verdana" w:cs="Arial"/>
          <w:lang w:val="es-ES" w:eastAsia="es-CO"/>
        </w:rPr>
        <w:t>. Esas cláusulas pueden ser términos, condiciones, modos o cargas, facultades o reservas de modificación o de revocación</w:t>
      </w:r>
      <w:r w:rsidRPr="003A380F">
        <w:rPr>
          <w:rStyle w:val="Refdenotaalpie"/>
          <w:rFonts w:ascii="Verdana" w:hAnsi="Verdana" w:cs="Arial"/>
          <w:lang w:val="es-ES" w:eastAsia="es-CO"/>
        </w:rPr>
        <w:footnoteReference w:id="40"/>
      </w:r>
      <w:r w:rsidRPr="003A380F">
        <w:rPr>
          <w:rFonts w:ascii="Verdana" w:hAnsi="Verdana" w:cs="Arial"/>
          <w:lang w:val="es-ES" w:eastAsia="es-CO"/>
        </w:rPr>
        <w:t xml:space="preserve">. </w:t>
      </w:r>
      <w:r>
        <w:rPr>
          <w:rFonts w:ascii="Verdana" w:hAnsi="Verdana" w:cs="Arial"/>
          <w:lang w:val="es-ES" w:eastAsia="es-CO"/>
        </w:rPr>
        <w:t>“</w:t>
      </w:r>
      <w:r w:rsidRPr="003A380F">
        <w:rPr>
          <w:rFonts w:ascii="Verdana" w:hAnsi="Verdana" w:cs="Arial"/>
          <w:lang w:val="es-ES" w:eastAsia="es-CO"/>
        </w:rPr>
        <w:t xml:space="preserve">La condición es una cláusula que hace depender el comienzo (condición </w:t>
      </w:r>
      <w:r w:rsidRPr="003A380F">
        <w:rPr>
          <w:rFonts w:ascii="Verdana" w:hAnsi="Verdana" w:cs="Arial"/>
          <w:i/>
          <w:iCs/>
          <w:lang w:val="es-ES" w:eastAsia="es-CO"/>
        </w:rPr>
        <w:t>suspensiva</w:t>
      </w:r>
      <w:r w:rsidRPr="003A380F">
        <w:rPr>
          <w:rFonts w:ascii="Verdana" w:hAnsi="Verdana" w:cs="Arial"/>
          <w:lang w:val="es-ES" w:eastAsia="es-CO"/>
        </w:rPr>
        <w:t xml:space="preserve">) o la finalización (condición </w:t>
      </w:r>
      <w:r w:rsidRPr="003A380F">
        <w:rPr>
          <w:rFonts w:ascii="Verdana" w:hAnsi="Verdana" w:cs="Arial"/>
          <w:i/>
          <w:iCs/>
          <w:lang w:val="es-ES" w:eastAsia="es-CO"/>
        </w:rPr>
        <w:t>resolutoria</w:t>
      </w:r>
      <w:r w:rsidRPr="003A380F">
        <w:rPr>
          <w:rFonts w:ascii="Verdana" w:hAnsi="Verdana" w:cs="Arial"/>
          <w:lang w:val="es-ES" w:eastAsia="es-CO"/>
        </w:rPr>
        <w:t>) de la eficacia de una resolución de un acontecimiento futuro</w:t>
      </w:r>
      <w:r>
        <w:rPr>
          <w:rFonts w:ascii="Verdana" w:hAnsi="Verdana" w:cs="Arial"/>
          <w:lang w:val="es-ES" w:eastAsia="es-CO"/>
        </w:rPr>
        <w:t>”</w:t>
      </w:r>
      <w:r w:rsidRPr="003A380F">
        <w:rPr>
          <w:rStyle w:val="Refdenotaalpie"/>
          <w:rFonts w:ascii="Verdana" w:hAnsi="Verdana" w:cs="Arial"/>
          <w:lang w:val="es-ES" w:eastAsia="es-CO"/>
        </w:rPr>
        <w:footnoteReference w:id="41"/>
      </w:r>
      <w:r w:rsidRPr="003A380F">
        <w:rPr>
          <w:rFonts w:ascii="Verdana" w:hAnsi="Verdana" w:cs="Arial"/>
          <w:lang w:val="es-ES" w:eastAsia="es-CO"/>
        </w:rPr>
        <w:t xml:space="preserve">, mientras que </w:t>
      </w:r>
      <w:r>
        <w:rPr>
          <w:rFonts w:ascii="Verdana" w:hAnsi="Verdana" w:cs="Arial"/>
          <w:lang w:val="es-ES" w:eastAsia="es-CO"/>
        </w:rPr>
        <w:t>“</w:t>
      </w:r>
      <w:r w:rsidRPr="003A380F">
        <w:rPr>
          <w:rFonts w:ascii="Verdana" w:hAnsi="Verdana" w:cs="Arial"/>
          <w:lang w:val="es-ES" w:eastAsia="es-CO"/>
        </w:rPr>
        <w:t>Los modos o cargas constituyen en las resoluciones […] obligaciones de realizar, tolerar u omitir determinadas actuaciones de la Administración vinculadas al derecho otorgado</w:t>
      </w:r>
      <w:r>
        <w:rPr>
          <w:rFonts w:ascii="Verdana" w:hAnsi="Verdana" w:cs="Arial"/>
          <w:lang w:val="es-ES" w:eastAsia="es-CO"/>
        </w:rPr>
        <w:t>”</w:t>
      </w:r>
      <w:r w:rsidRPr="003A380F">
        <w:rPr>
          <w:rStyle w:val="Refdenotaalpie"/>
          <w:rFonts w:ascii="Verdana" w:hAnsi="Verdana" w:cs="Arial"/>
          <w:lang w:val="es-ES" w:eastAsia="es-CO"/>
        </w:rPr>
        <w:footnoteReference w:id="42"/>
      </w:r>
      <w:r w:rsidRPr="003A380F">
        <w:rPr>
          <w:rFonts w:ascii="Verdana" w:hAnsi="Verdana" w:cs="Arial"/>
          <w:lang w:val="es-ES" w:eastAsia="es-CO"/>
        </w:rPr>
        <w:t xml:space="preserve">. Conforme a esto, el hecho de que un acto administrativo mediante el cual se realice una transferencia </w:t>
      </w:r>
      <w:r>
        <w:rPr>
          <w:rFonts w:ascii="Verdana" w:hAnsi="Verdana" w:cs="Arial"/>
          <w:lang w:val="es-ES" w:eastAsia="es-CO"/>
        </w:rPr>
        <w:t>de recursos</w:t>
      </w:r>
      <w:r w:rsidRPr="003A380F">
        <w:rPr>
          <w:rFonts w:ascii="Verdana" w:hAnsi="Verdana" w:cs="Arial"/>
          <w:lang w:val="es-ES" w:eastAsia="es-CO"/>
        </w:rPr>
        <w:t xml:space="preserve"> esté sujeto a condiciones o cargas no muta dicho acto en un contrato, pues dicha condición o carga la impone la autoridad de manera unilateral. </w:t>
      </w:r>
    </w:p>
    <w:p w14:paraId="219CFF89" w14:textId="77777777" w:rsidR="00102946" w:rsidRPr="003A380F" w:rsidRDefault="00102946" w:rsidP="7C76BBE1">
      <w:pPr>
        <w:spacing w:before="120" w:line="276" w:lineRule="auto"/>
        <w:ind w:firstLine="709"/>
        <w:jc w:val="both"/>
        <w:rPr>
          <w:rFonts w:ascii="Verdana" w:hAnsi="Verdana" w:cs="Arial"/>
          <w:lang w:val="es-ES" w:eastAsia="es-CO"/>
        </w:rPr>
      </w:pPr>
      <w:r w:rsidRPr="7C76BBE1">
        <w:rPr>
          <w:rFonts w:ascii="Verdana" w:hAnsi="Verdana" w:cs="Arial"/>
          <w:lang w:val="es-ES" w:eastAsia="es-CO"/>
        </w:rPr>
        <w:t xml:space="preserve">Circunstancia distinta es aquella en la que dos sujetos –públicos, privados o entremezclados– acuerden algo, produciendo </w:t>
      </w:r>
      <w:r w:rsidRPr="7C76BBE1">
        <w:rPr>
          <w:rFonts w:ascii="Verdana" w:hAnsi="Verdana" w:cs="Arial"/>
          <w:i/>
          <w:iCs/>
          <w:lang w:val="es-ES" w:eastAsia="es-CO"/>
        </w:rPr>
        <w:t>en su origen</w:t>
      </w:r>
      <w:r w:rsidRPr="7C76BBE1">
        <w:rPr>
          <w:rFonts w:ascii="Verdana" w:hAnsi="Verdana" w:cs="Arial"/>
          <w:lang w:val="es-ES" w:eastAsia="es-CO"/>
        </w:rPr>
        <w:t xml:space="preserve"> un contrato, bien </w:t>
      </w:r>
      <w:r w:rsidRPr="7C76BBE1">
        <w:rPr>
          <w:rFonts w:ascii="Verdana" w:hAnsi="Verdana" w:cs="Arial"/>
          <w:lang w:val="es-ES" w:eastAsia="es-CO"/>
        </w:rPr>
        <w:lastRenderedPageBreak/>
        <w:t>sea desde que se exprese el consentimiento –contrato consensual–, se entregue una cosa –contrato real– o se cumple con la solemnidad habilitante –contrato solemne–. En todas estas modalidades convencionales hay un acuerdo de voluntades desde el inicio de la relación jurídica. En otras palabras, “La conjunción de voluntades de las partes, con la finalidad de crear vínculos jurídicos entre ellas, reconocidos en derecho, es lo que en técnica jurídica podemos denominar consentimiento, que es el primer requisito de existencia de todo contrato”</w:t>
      </w:r>
      <w:r w:rsidRPr="7C76BBE1">
        <w:rPr>
          <w:rStyle w:val="Refdenotaalpie"/>
          <w:rFonts w:ascii="Verdana" w:hAnsi="Verdana" w:cs="Arial"/>
          <w:lang w:val="es-ES" w:eastAsia="es-CO"/>
        </w:rPr>
        <w:footnoteReference w:id="43"/>
      </w:r>
      <w:r w:rsidRPr="7C76BBE1">
        <w:rPr>
          <w:rFonts w:ascii="Verdana" w:hAnsi="Verdana" w:cs="Arial"/>
          <w:lang w:val="es-ES" w:eastAsia="es-CO"/>
        </w:rPr>
        <w:t xml:space="preserve">. Sin ese acuerdo de voluntades el contrato no existiría jamás. Esto también resulta predicable de los </w:t>
      </w:r>
      <w:r w:rsidRPr="7C76BBE1">
        <w:rPr>
          <w:rFonts w:ascii="Verdana" w:hAnsi="Verdana" w:cs="Arial"/>
          <w:i/>
          <w:iCs/>
          <w:lang w:val="es-ES" w:eastAsia="es-CO"/>
        </w:rPr>
        <w:t>contratos de adhesión</w:t>
      </w:r>
      <w:r w:rsidRPr="7C76BBE1">
        <w:rPr>
          <w:rFonts w:ascii="Verdana" w:hAnsi="Verdana" w:cs="Arial"/>
          <w:lang w:val="es-ES" w:eastAsia="es-CO"/>
        </w:rPr>
        <w:t>, en los que, si bien hay asimetría entre las partes, es evidente que se presenta un acuerdo de voluntades en el que, quien se adhiere a las condiciones de uno de los sujetos también expresa su consentimiento, pues, de lo contrario, no se perfeccionaría el contrato</w:t>
      </w:r>
      <w:r w:rsidRPr="7C76BBE1">
        <w:rPr>
          <w:rStyle w:val="Refdenotaalpie"/>
          <w:rFonts w:ascii="Verdana" w:hAnsi="Verdana" w:cs="Arial"/>
          <w:lang w:val="es-ES" w:eastAsia="es-CO"/>
        </w:rPr>
        <w:footnoteReference w:id="44"/>
      </w:r>
      <w:r w:rsidRPr="7C76BBE1">
        <w:rPr>
          <w:rFonts w:ascii="Verdana" w:hAnsi="Verdana" w:cs="Arial"/>
          <w:lang w:val="es-ES" w:eastAsia="es-CO"/>
        </w:rPr>
        <w:t>. Por eso, puede afirmarse que la unilateralidad de la voluntad contradice la idea de contrato. Aun cuando en el derecho privado también haya espacio para los actos jurídicos unilaterales –uno de cuyos ejemplos prototípicos, como se verá, es el testamento–, lo cierto es que dichos actos no son contratos.</w:t>
      </w:r>
    </w:p>
    <w:p w14:paraId="1F03F1A7" w14:textId="77777777" w:rsidR="00102946" w:rsidRPr="003A380F" w:rsidRDefault="00102946" w:rsidP="00102946">
      <w:pPr>
        <w:spacing w:before="120" w:line="276" w:lineRule="auto"/>
        <w:ind w:firstLine="709"/>
        <w:jc w:val="both"/>
        <w:rPr>
          <w:rFonts w:ascii="Verdana" w:hAnsi="Verdana" w:cs="Arial"/>
          <w:lang w:val="es-ES" w:eastAsia="es-CO"/>
        </w:rPr>
      </w:pPr>
      <w:r w:rsidRPr="003A380F">
        <w:rPr>
          <w:rFonts w:ascii="Verdana" w:hAnsi="Verdana" w:cs="Arial"/>
          <w:lang w:val="es-ES" w:eastAsia="es-CO"/>
        </w:rPr>
        <w:t xml:space="preserve">A partir de la precisión hecha sobre la unilateralidad en el origen, como aquello que determina la diferencia entre el acto administrativo y el contrato –independientemente del régimen jurídico aplicable a este–, puede comprenderse por qué aunque un contrato en ocasiones reciba el nombre de </w:t>
      </w:r>
      <w:r>
        <w:rPr>
          <w:rFonts w:ascii="Verdana" w:hAnsi="Verdana" w:cs="Arial"/>
          <w:lang w:val="es-ES" w:eastAsia="es-CO"/>
        </w:rPr>
        <w:t>“</w:t>
      </w:r>
      <w:r w:rsidRPr="003A380F">
        <w:rPr>
          <w:rFonts w:ascii="Verdana" w:hAnsi="Verdana" w:cs="Arial"/>
          <w:lang w:val="es-ES" w:eastAsia="es-CO"/>
        </w:rPr>
        <w:t>unilateral</w:t>
      </w:r>
      <w:r>
        <w:rPr>
          <w:rFonts w:ascii="Verdana" w:hAnsi="Verdana" w:cs="Arial"/>
          <w:lang w:val="es-ES" w:eastAsia="es-CO"/>
        </w:rPr>
        <w:t>”</w:t>
      </w:r>
      <w:r w:rsidRPr="003A380F">
        <w:rPr>
          <w:rFonts w:ascii="Verdana" w:hAnsi="Verdana" w:cs="Arial"/>
          <w:lang w:val="es-ES" w:eastAsia="es-CO"/>
        </w:rPr>
        <w:t xml:space="preserve">, sigue siendo bilateral en su origen, es decir, en su perfeccionamiento. En efecto, el artículo 1496 del Código Civil establece que </w:t>
      </w:r>
      <w:r>
        <w:rPr>
          <w:rFonts w:ascii="Verdana" w:hAnsi="Verdana" w:cs="Arial"/>
          <w:lang w:val="es-ES" w:eastAsia="es-CO"/>
        </w:rPr>
        <w:t>“</w:t>
      </w:r>
      <w:r w:rsidRPr="003A380F">
        <w:rPr>
          <w:rFonts w:ascii="Verdana" w:hAnsi="Verdana" w:cs="Arial"/>
          <w:lang w:val="es-ES" w:eastAsia="es-CO"/>
        </w:rPr>
        <w:t>El contrato es unilateral cuando una de las partes se obliga para con otra que no contrae obligación alguna; y bilateral, cuando las partes contratantes se obligan recíprocamente</w:t>
      </w:r>
      <w:r>
        <w:rPr>
          <w:rFonts w:ascii="Verdana" w:hAnsi="Verdana" w:cs="Arial"/>
          <w:lang w:val="es-ES" w:eastAsia="es-CO"/>
        </w:rPr>
        <w:t>”</w:t>
      </w:r>
      <w:r w:rsidRPr="003A380F">
        <w:rPr>
          <w:rFonts w:ascii="Verdana" w:hAnsi="Verdana" w:cs="Arial"/>
          <w:lang w:val="es-ES" w:eastAsia="es-CO"/>
        </w:rPr>
        <w:t xml:space="preserve">. Sin embargo, en ambos casos hay negocio jurídico, es decir, acuerdo de voluntades para crear obligaciones. El hecho de que estas se creen solo a cargo de una de </w:t>
      </w:r>
      <w:r w:rsidRPr="003A380F">
        <w:rPr>
          <w:rFonts w:ascii="Verdana" w:hAnsi="Verdana" w:cs="Arial"/>
          <w:lang w:val="es-ES" w:eastAsia="es-CO"/>
        </w:rPr>
        <w:lastRenderedPageBreak/>
        <w:t>las partes no desdice de su carácter contractual. En consecuencia, cuando el mencionado artículo plantea la distinción de los contratos en unilaterales y bilaterales no se está refiriendo al origen, sino a los efectos del acuerdo sobre las obligaciones.</w:t>
      </w:r>
    </w:p>
    <w:p w14:paraId="755A670F" w14:textId="77777777" w:rsidR="00102946" w:rsidRPr="003A380F" w:rsidRDefault="00102946" w:rsidP="00102946">
      <w:pPr>
        <w:spacing w:before="120" w:line="276" w:lineRule="auto"/>
        <w:ind w:firstLine="709"/>
        <w:jc w:val="both"/>
        <w:rPr>
          <w:rFonts w:ascii="Verdana" w:hAnsi="Verdana" w:cs="Arial"/>
          <w:lang w:val="es-ES" w:eastAsia="es-CO"/>
        </w:rPr>
      </w:pPr>
      <w:r w:rsidRPr="003A380F">
        <w:rPr>
          <w:rFonts w:ascii="Verdana" w:hAnsi="Verdana" w:cs="Arial"/>
          <w:lang w:val="es-ES" w:eastAsia="es-CO"/>
        </w:rPr>
        <w:t xml:space="preserve">El contrato de donación es un buen ejemplo de un contrato unilateral en sus efectos, más no en su origen, que además se caracteriza por ser gratuito. </w:t>
      </w:r>
      <w:proofErr w:type="spellStart"/>
      <w:r>
        <w:rPr>
          <w:rFonts w:ascii="Verdana" w:hAnsi="Verdana" w:cs="Arial"/>
          <w:lang w:val="es-ES" w:eastAsia="es-CO"/>
        </w:rPr>
        <w:t>A</w:t>
      </w:r>
      <w:r w:rsidRPr="003A380F">
        <w:rPr>
          <w:rFonts w:ascii="Verdana" w:hAnsi="Verdana" w:cs="Arial"/>
          <w:lang w:val="es-ES" w:eastAsia="es-CO"/>
        </w:rPr>
        <w:t>ún</w:t>
      </w:r>
      <w:proofErr w:type="spellEnd"/>
      <w:r w:rsidRPr="003A380F">
        <w:rPr>
          <w:rFonts w:ascii="Verdana" w:hAnsi="Verdana" w:cs="Arial"/>
          <w:lang w:val="es-ES" w:eastAsia="es-CO"/>
        </w:rPr>
        <w:t xml:space="preserve"> así, no es un acto unilateral en su origen, porque para que se perfeccione la donación se requiere que confluyan la voluntad del donante y del donatario –quien debe aceptar lo donado–. Esto es lo que dispone el artículo 1443 del Código Civil: </w:t>
      </w:r>
      <w:r>
        <w:rPr>
          <w:rFonts w:ascii="Verdana" w:hAnsi="Verdana" w:cs="Arial"/>
          <w:lang w:val="es-ES" w:eastAsia="es-CO"/>
        </w:rPr>
        <w:t>“</w:t>
      </w:r>
      <w:r w:rsidRPr="003A380F">
        <w:rPr>
          <w:rFonts w:ascii="Verdana" w:hAnsi="Verdana" w:cs="Arial"/>
          <w:lang w:val="es-ES" w:eastAsia="es-CO"/>
        </w:rPr>
        <w:t xml:space="preserve">La donación entre vivos es un acto por el cual una persona transfiere, gratuita e irrevocablemente, una parte de sus bienes a otra persona </w:t>
      </w:r>
      <w:r w:rsidRPr="003A380F">
        <w:rPr>
          <w:rFonts w:ascii="Verdana" w:hAnsi="Verdana" w:cs="Arial"/>
          <w:i/>
          <w:iCs/>
          <w:lang w:val="es-ES" w:eastAsia="es-CO"/>
        </w:rPr>
        <w:t>que la acepta</w:t>
      </w:r>
      <w:r>
        <w:rPr>
          <w:rFonts w:ascii="Verdana" w:hAnsi="Verdana" w:cs="Arial"/>
          <w:lang w:val="es-ES" w:eastAsia="es-CO"/>
        </w:rPr>
        <w:t>”</w:t>
      </w:r>
      <w:r w:rsidRPr="003A380F">
        <w:rPr>
          <w:rFonts w:ascii="Verdana" w:hAnsi="Verdana" w:cs="Arial"/>
          <w:lang w:val="es-ES" w:eastAsia="es-CO"/>
        </w:rPr>
        <w:t xml:space="preserve"> (énfasis fuera de texto). Es por esta razón que la Corte Suprema de Justicia ha sostenido que </w:t>
      </w:r>
      <w:r>
        <w:rPr>
          <w:rFonts w:ascii="Verdana" w:hAnsi="Verdana" w:cs="Arial"/>
          <w:lang w:val="es-ES" w:eastAsia="es-CO"/>
        </w:rPr>
        <w:t>“</w:t>
      </w:r>
      <w:r w:rsidRPr="003A380F">
        <w:rPr>
          <w:rFonts w:ascii="Verdana" w:hAnsi="Verdana" w:cs="Arial"/>
          <w:lang w:val="es-ES" w:eastAsia="es-CO"/>
        </w:rPr>
        <w:t xml:space="preserve">Se trata, pues, de un negocio jurídico bilateral, en tanto exige el concurso de voluntades de donante y donatario (Cfr. CSJ SC, 20 </w:t>
      </w:r>
      <w:proofErr w:type="spellStart"/>
      <w:r w:rsidRPr="003A380F">
        <w:rPr>
          <w:rFonts w:ascii="Verdana" w:hAnsi="Verdana" w:cs="Arial"/>
          <w:lang w:val="es-ES" w:eastAsia="es-CO"/>
        </w:rPr>
        <w:t>may</w:t>
      </w:r>
      <w:proofErr w:type="spellEnd"/>
      <w:r w:rsidRPr="003A380F">
        <w:rPr>
          <w:rFonts w:ascii="Verdana" w:hAnsi="Verdana" w:cs="Arial"/>
          <w:lang w:val="es-ES" w:eastAsia="es-CO"/>
        </w:rPr>
        <w:t>. 2004, rad. 8565), que puede ser consensual –es la regla general–, o solemne –v.gr., si se trata de donaciones de inmuebles, o aquellas que tienen causa onerosa–</w:t>
      </w:r>
      <w:r>
        <w:rPr>
          <w:rFonts w:ascii="Verdana" w:hAnsi="Verdana" w:cs="Arial"/>
          <w:lang w:val="es-ES" w:eastAsia="es-CO"/>
        </w:rPr>
        <w:t>”</w:t>
      </w:r>
      <w:r w:rsidRPr="003A380F">
        <w:rPr>
          <w:rStyle w:val="Refdenotaalpie"/>
          <w:rFonts w:ascii="Verdana" w:hAnsi="Verdana" w:cs="Arial"/>
          <w:lang w:val="es-ES" w:eastAsia="es-CO"/>
        </w:rPr>
        <w:footnoteReference w:id="45"/>
      </w:r>
      <w:r w:rsidRPr="003A380F">
        <w:rPr>
          <w:rFonts w:ascii="Verdana" w:hAnsi="Verdana" w:cs="Arial"/>
          <w:lang w:val="es-ES" w:eastAsia="es-CO"/>
        </w:rPr>
        <w:t>.</w:t>
      </w:r>
    </w:p>
    <w:p w14:paraId="2830B106" w14:textId="77777777" w:rsidR="00102946" w:rsidRPr="003A380F" w:rsidRDefault="00102946" w:rsidP="00102946">
      <w:pPr>
        <w:spacing w:before="120" w:line="276" w:lineRule="auto"/>
        <w:ind w:firstLine="709"/>
        <w:jc w:val="both"/>
        <w:rPr>
          <w:rFonts w:ascii="Verdana" w:hAnsi="Verdana" w:cs="Arial"/>
          <w:lang w:val="es-ES" w:eastAsia="es-CO"/>
        </w:rPr>
      </w:pPr>
      <w:r w:rsidRPr="003A380F">
        <w:rPr>
          <w:rFonts w:ascii="Verdana" w:hAnsi="Verdana" w:cs="Arial"/>
          <w:lang w:val="es-ES" w:eastAsia="es-CO"/>
        </w:rPr>
        <w:t xml:space="preserve">El contrato de donación, sin embargo, no es la única forma de realizar la transferencia gratuita de </w:t>
      </w:r>
      <w:r>
        <w:rPr>
          <w:rFonts w:ascii="Verdana" w:hAnsi="Verdana" w:cs="Arial"/>
          <w:lang w:val="es-ES" w:eastAsia="es-CO"/>
        </w:rPr>
        <w:t>recursos</w:t>
      </w:r>
      <w:r w:rsidRPr="003A380F">
        <w:rPr>
          <w:rFonts w:ascii="Verdana" w:hAnsi="Verdana" w:cs="Arial"/>
          <w:lang w:val="es-ES" w:eastAsia="es-CO"/>
        </w:rPr>
        <w:t xml:space="preserve">. El testamento –como lo señala el artículo 1055 del Código Civil– </w:t>
      </w:r>
      <w:r>
        <w:rPr>
          <w:rFonts w:ascii="Verdana" w:hAnsi="Verdana" w:cs="Arial"/>
          <w:lang w:val="es-ES" w:eastAsia="es-CO"/>
        </w:rPr>
        <w:t>“</w:t>
      </w:r>
      <w:r w:rsidRPr="003A380F">
        <w:rPr>
          <w:rFonts w:ascii="Verdana" w:hAnsi="Verdana" w:cs="Arial"/>
          <w:lang w:val="es-ES" w:eastAsia="es-CO"/>
        </w:rPr>
        <w:t>[…] es un acto más o menos solemne, en que una persona dispone del todo o de una parte de sus bienes para que tenga pleno efecto después de sus días, conservando la facultad de revocar las disposiciones contenidas en él mientras viva</w:t>
      </w:r>
      <w:r>
        <w:rPr>
          <w:rFonts w:ascii="Verdana" w:hAnsi="Verdana" w:cs="Arial"/>
          <w:lang w:val="es-ES" w:eastAsia="es-CO"/>
        </w:rPr>
        <w:t>”</w:t>
      </w:r>
      <w:r w:rsidRPr="003A380F">
        <w:rPr>
          <w:rFonts w:ascii="Verdana" w:hAnsi="Verdana" w:cs="Arial"/>
          <w:lang w:val="es-ES" w:eastAsia="es-CO"/>
        </w:rPr>
        <w:t xml:space="preserve">, y se considera un acto jurídico </w:t>
      </w:r>
      <w:r w:rsidRPr="003A380F">
        <w:rPr>
          <w:rFonts w:ascii="Verdana" w:hAnsi="Verdana" w:cs="Arial"/>
          <w:i/>
          <w:iCs/>
          <w:lang w:val="es-ES" w:eastAsia="es-CO"/>
        </w:rPr>
        <w:t>unilateral</w:t>
      </w:r>
      <w:r w:rsidRPr="003A380F">
        <w:rPr>
          <w:rFonts w:ascii="Verdana" w:hAnsi="Verdana" w:cs="Arial"/>
          <w:lang w:val="es-ES" w:eastAsia="es-CO"/>
        </w:rPr>
        <w:t xml:space="preserve">, porque </w:t>
      </w:r>
      <w:r>
        <w:rPr>
          <w:rFonts w:ascii="Verdana" w:hAnsi="Verdana" w:cs="Arial"/>
          <w:lang w:val="es-ES" w:eastAsia="es-CO"/>
        </w:rPr>
        <w:t>“</w:t>
      </w:r>
      <w:r w:rsidRPr="003A380F">
        <w:rPr>
          <w:rFonts w:ascii="Verdana" w:hAnsi="Verdana" w:cs="Arial"/>
          <w:lang w:val="es-ES" w:eastAsia="es-CO"/>
        </w:rPr>
        <w:t>[…] es obra de la sola voluntad del testador</w:t>
      </w:r>
      <w:r>
        <w:rPr>
          <w:rFonts w:ascii="Verdana" w:hAnsi="Verdana" w:cs="Arial"/>
          <w:lang w:val="es-ES" w:eastAsia="es-CO"/>
        </w:rPr>
        <w:t>”</w:t>
      </w:r>
      <w:r w:rsidRPr="003A380F">
        <w:rPr>
          <w:rStyle w:val="Refdenotaalpie"/>
          <w:rFonts w:ascii="Verdana" w:hAnsi="Verdana" w:cs="Arial"/>
          <w:lang w:val="es-ES" w:eastAsia="es-CO"/>
        </w:rPr>
        <w:footnoteReference w:id="46"/>
      </w:r>
      <w:r w:rsidRPr="003A380F">
        <w:rPr>
          <w:rFonts w:ascii="Verdana" w:hAnsi="Verdana" w:cs="Arial"/>
          <w:lang w:val="es-ES" w:eastAsia="es-CO"/>
        </w:rPr>
        <w:t xml:space="preserve">. Algo similar sucede en el ejercicio de la función administrativa, cuando una autoridad, mediante un acto unilateral –siempre que lo permita el ordenamiento jurídico, porque exista una norma que atribuya la competencia– transfiere </w:t>
      </w:r>
      <w:r>
        <w:rPr>
          <w:rFonts w:ascii="Verdana" w:hAnsi="Verdana" w:cs="Arial"/>
          <w:lang w:val="es-ES" w:eastAsia="es-CO"/>
        </w:rPr>
        <w:t>recursos</w:t>
      </w:r>
      <w:r w:rsidRPr="003A380F">
        <w:rPr>
          <w:rFonts w:ascii="Verdana" w:hAnsi="Verdana" w:cs="Arial"/>
          <w:lang w:val="es-ES" w:eastAsia="es-CO"/>
        </w:rPr>
        <w:t xml:space="preserve"> en dinero o en especie a favor de alguien, como es recurrente en la actividad de fomento a cargo del Estado, materializada en el otorgamiento de subsidios o ayudas. En tales casos, el beneficiario no necesariamente debe celebrar un contrato con el Estado, así acepte recibir el </w:t>
      </w:r>
      <w:r>
        <w:rPr>
          <w:rFonts w:ascii="Verdana" w:hAnsi="Verdana" w:cs="Arial"/>
          <w:lang w:val="es-ES" w:eastAsia="es-CO"/>
        </w:rPr>
        <w:t>recurso</w:t>
      </w:r>
      <w:r w:rsidRPr="003A380F">
        <w:rPr>
          <w:rFonts w:ascii="Verdana" w:hAnsi="Verdana" w:cs="Arial"/>
          <w:lang w:val="es-ES" w:eastAsia="es-CO"/>
        </w:rPr>
        <w:t xml:space="preserve">; como tampoco suscribe un contrato con el testador el que acepta la herencia. No firma, del mismo modo, contrato alguno el empleado </w:t>
      </w:r>
      <w:r w:rsidRPr="003A380F">
        <w:rPr>
          <w:rFonts w:ascii="Verdana" w:hAnsi="Verdana" w:cs="Arial"/>
          <w:lang w:val="es-ES" w:eastAsia="es-CO"/>
        </w:rPr>
        <w:lastRenderedPageBreak/>
        <w:t xml:space="preserve">público que se posesiona en el cargo, pues allí la relación no es contractual, sino legal y reglamentaria. </w:t>
      </w:r>
    </w:p>
    <w:p w14:paraId="6F03EF58" w14:textId="77777777" w:rsidR="00102946" w:rsidRPr="003A380F" w:rsidRDefault="00102946" w:rsidP="7C76BBE1">
      <w:pPr>
        <w:spacing w:before="120" w:line="276" w:lineRule="auto"/>
        <w:ind w:firstLine="709"/>
        <w:jc w:val="both"/>
        <w:rPr>
          <w:rFonts w:ascii="Verdana" w:hAnsi="Verdana" w:cs="Arial"/>
          <w:lang w:val="es-ES" w:eastAsia="es-CO"/>
        </w:rPr>
      </w:pPr>
      <w:r w:rsidRPr="7C76BBE1">
        <w:rPr>
          <w:rFonts w:ascii="Verdana" w:hAnsi="Verdana" w:cs="Arial"/>
          <w:lang w:val="es-ES" w:eastAsia="es-CO"/>
        </w:rPr>
        <w:t>De lo anterior se deriva que la transferencia de recursos no requiere en todos los casos de la celebración de un contrato, toda vez que el ordenamiento jurídico establece normas que, en ciertos eventos, permiten efectuar dicha entrega a través de actos unilaterales. Es decir, sin perjuicio de que las entidades públicas acepten la transferencia, esta se formaliza y existe desde que se manifiesta unilateralmente la voluntad de la autoridad que la realiza.</w:t>
      </w:r>
    </w:p>
    <w:p w14:paraId="0501FDB5" w14:textId="77777777" w:rsidR="00102946" w:rsidRPr="003A380F" w:rsidRDefault="00102946" w:rsidP="00102946">
      <w:pPr>
        <w:spacing w:before="120" w:line="276" w:lineRule="auto"/>
        <w:ind w:firstLine="709"/>
        <w:jc w:val="both"/>
        <w:rPr>
          <w:rFonts w:ascii="Verdana" w:hAnsi="Verdana" w:cs="Arial"/>
          <w:bCs/>
          <w:lang w:val="es-ES_tradnl" w:eastAsia="es-CO"/>
        </w:rPr>
      </w:pPr>
      <w:r w:rsidRPr="003A380F">
        <w:rPr>
          <w:rFonts w:ascii="Verdana" w:hAnsi="Verdana" w:cs="Arial"/>
          <w:bCs/>
          <w:lang w:val="es-ES_tradnl" w:eastAsia="es-CO"/>
        </w:rPr>
        <w:t xml:space="preserve">Por consiguiente, a la transferencia de </w:t>
      </w:r>
      <w:r>
        <w:rPr>
          <w:rFonts w:ascii="Verdana" w:hAnsi="Verdana" w:cs="Arial"/>
          <w:bCs/>
          <w:lang w:val="es-ES_tradnl" w:eastAsia="es-CO"/>
        </w:rPr>
        <w:t>recursos</w:t>
      </w:r>
      <w:r w:rsidRPr="003A380F">
        <w:rPr>
          <w:rFonts w:ascii="Verdana" w:hAnsi="Verdana" w:cs="Arial"/>
          <w:bCs/>
          <w:lang w:val="es-ES_tradnl" w:eastAsia="es-CO"/>
        </w:rPr>
        <w:t xml:space="preserve"> efectuada cumpliendo los requisitos establecidos en las leyes especiales que permiten hacerla mediante la expedición de un acto administrativo, no le resultan aplicables las restricciones previstas en el artículo 38 de la Ley 996 de 2005, porque lo que en este precepto se prohíbe es </w:t>
      </w:r>
      <w:r>
        <w:rPr>
          <w:rFonts w:ascii="Verdana" w:hAnsi="Verdana" w:cs="Arial"/>
          <w:bCs/>
          <w:lang w:val="es-ES_tradnl" w:eastAsia="es-CO"/>
        </w:rPr>
        <w:t>“</w:t>
      </w:r>
      <w:r w:rsidRPr="003A380F">
        <w:rPr>
          <w:rFonts w:ascii="Verdana" w:hAnsi="Verdana" w:cs="Arial"/>
          <w:bCs/>
          <w:lang w:val="es-ES_tradnl" w:eastAsia="es-CO"/>
        </w:rPr>
        <w:t>celebrar convenios interadministrativos para la ejecución de recursos públicos</w:t>
      </w:r>
      <w:r>
        <w:rPr>
          <w:rFonts w:ascii="Verdana" w:hAnsi="Verdana" w:cs="Arial"/>
          <w:bCs/>
          <w:lang w:val="es-ES_tradnl" w:eastAsia="es-CO"/>
        </w:rPr>
        <w:t>”</w:t>
      </w:r>
      <w:r w:rsidRPr="003A380F">
        <w:rPr>
          <w:rFonts w:ascii="Verdana" w:hAnsi="Verdana" w:cs="Arial"/>
          <w:bCs/>
          <w:lang w:val="es-ES_tradnl" w:eastAsia="es-CO"/>
        </w:rPr>
        <w:t xml:space="preserve">. </w:t>
      </w:r>
      <w:r>
        <w:rPr>
          <w:rFonts w:ascii="Verdana" w:hAnsi="Verdana" w:cs="Arial"/>
          <w:bCs/>
          <w:lang w:val="es-ES_tradnl" w:eastAsia="es-CO"/>
        </w:rPr>
        <w:t>U</w:t>
      </w:r>
      <w:r w:rsidRPr="003A380F">
        <w:rPr>
          <w:rFonts w:ascii="Verdana" w:hAnsi="Verdana" w:cs="Arial"/>
          <w:bCs/>
          <w:lang w:val="es-ES_tradnl" w:eastAsia="es-CO"/>
        </w:rPr>
        <w:t xml:space="preserve">n convenio interadministrativo es un </w:t>
      </w:r>
      <w:r w:rsidRPr="003A380F">
        <w:rPr>
          <w:rFonts w:ascii="Verdana" w:hAnsi="Verdana" w:cs="Arial"/>
          <w:bCs/>
          <w:i/>
          <w:iCs/>
          <w:lang w:val="es-ES_tradnl" w:eastAsia="es-CO"/>
        </w:rPr>
        <w:t>acuerdo de voluntades</w:t>
      </w:r>
      <w:r w:rsidRPr="003A380F">
        <w:rPr>
          <w:rFonts w:ascii="Verdana" w:hAnsi="Verdana" w:cs="Arial"/>
          <w:bCs/>
          <w:lang w:val="es-ES_tradnl" w:eastAsia="es-CO"/>
        </w:rPr>
        <w:t xml:space="preserve"> en el que intervienen dos o más entidades públicas, o sea un acto jurídico </w:t>
      </w:r>
      <w:r w:rsidRPr="003A380F">
        <w:rPr>
          <w:rFonts w:ascii="Verdana" w:hAnsi="Verdana" w:cs="Arial"/>
          <w:bCs/>
          <w:i/>
          <w:iCs/>
          <w:lang w:val="es-ES_tradnl" w:eastAsia="es-CO"/>
        </w:rPr>
        <w:t>bilateral</w:t>
      </w:r>
      <w:r w:rsidRPr="003A380F">
        <w:rPr>
          <w:rFonts w:ascii="Verdana" w:hAnsi="Verdana" w:cs="Arial"/>
          <w:bCs/>
          <w:lang w:val="es-ES_tradnl" w:eastAsia="es-CO"/>
        </w:rPr>
        <w:t xml:space="preserve"> o que participa de la forma contractual, de conformidad con el artículo 1495 del Código Civil. La forma jurídica consagrada, para efectuar la transferencia gratuita de </w:t>
      </w:r>
      <w:r>
        <w:rPr>
          <w:rFonts w:ascii="Verdana" w:hAnsi="Verdana" w:cs="Arial"/>
          <w:bCs/>
          <w:lang w:val="es-ES_tradnl" w:eastAsia="es-CO"/>
        </w:rPr>
        <w:t>recursos</w:t>
      </w:r>
      <w:r w:rsidRPr="003A380F">
        <w:rPr>
          <w:rFonts w:ascii="Verdana" w:hAnsi="Verdana" w:cs="Arial"/>
          <w:bCs/>
          <w:lang w:val="es-ES_tradnl" w:eastAsia="es-CO"/>
        </w:rPr>
        <w:t xml:space="preserve">, en disposiciones como el artículo 9 del Decreto 559 de 2020, el artículo 5 del Decreto Legislativo 538 de 2020 y el parágrafo 2 del artículo 10 del Decreto Legislativo 800 de 2020, entre otras, </w:t>
      </w:r>
      <w:r w:rsidRPr="003A380F">
        <w:rPr>
          <w:rFonts w:ascii="Verdana" w:hAnsi="Verdana" w:cs="Arial"/>
          <w:bCs/>
          <w:i/>
          <w:iCs/>
          <w:lang w:val="es-ES_tradnl" w:eastAsia="es-CO"/>
        </w:rPr>
        <w:t>es el acto administrativo</w:t>
      </w:r>
      <w:r w:rsidRPr="003A380F">
        <w:rPr>
          <w:rFonts w:ascii="Verdana" w:hAnsi="Verdana" w:cs="Arial"/>
          <w:bCs/>
          <w:lang w:val="es-ES_tradnl" w:eastAsia="es-CO"/>
        </w:rPr>
        <w:t xml:space="preserve">, no el convenio interadministrativo. Si el parágrafo del artículo 38 de la Ley 996 de 2005 prohibió la celebración de convenios interadministrativos, no puede entenderse </w:t>
      </w:r>
      <w:r w:rsidRPr="003A380F">
        <w:rPr>
          <w:rFonts w:ascii="Verdana" w:hAnsi="Verdana" w:cs="Arial"/>
          <w:bCs/>
          <w:i/>
          <w:iCs/>
          <w:lang w:val="es-ES_tradnl" w:eastAsia="es-CO"/>
        </w:rPr>
        <w:t>también</w:t>
      </w:r>
      <w:r w:rsidRPr="003A380F">
        <w:rPr>
          <w:rFonts w:ascii="Verdana" w:hAnsi="Verdana" w:cs="Arial"/>
          <w:bCs/>
          <w:lang w:val="es-ES_tradnl" w:eastAsia="es-CO"/>
        </w:rPr>
        <w:t xml:space="preserve"> prohibida la transferencia llevada a cabo por un acto administrativo permitida por una norma legal especial, porque se estaría incluyendo una circunstancia que el supuesto de hecho de la restricción no contempla.</w:t>
      </w:r>
    </w:p>
    <w:p w14:paraId="386EAA19" w14:textId="77777777" w:rsidR="00102946" w:rsidRDefault="00102946" w:rsidP="00102946">
      <w:pPr>
        <w:spacing w:before="120" w:after="0" w:line="276" w:lineRule="auto"/>
        <w:ind w:firstLine="709"/>
        <w:jc w:val="both"/>
        <w:rPr>
          <w:rFonts w:ascii="Verdana" w:hAnsi="Verdana" w:cs="Arial"/>
          <w:lang w:val="es-ES" w:eastAsia="es-CO"/>
        </w:rPr>
      </w:pPr>
      <w:r w:rsidRPr="003A380F">
        <w:rPr>
          <w:rFonts w:ascii="Verdana" w:hAnsi="Verdana" w:cs="Arial"/>
          <w:lang w:val="es-ES" w:eastAsia="es-CO"/>
        </w:rPr>
        <w:t xml:space="preserve">La Agencia llama la atención sobre el deber de las entidades estatales de analizar en cada caso la norma atributiva de la competencia, para observar cuál es la forma jurídica que consagra. Si la norma no permite expedir un acto administrativo para disponer de recursos durante el período de vigencia de la ley de garantías electorales, no puede la entidad pretender burlar el efecto de la prohibición de contratar directamente o de celebrar un convenio, según el caso, expidiendo un acto administrativo para disponer de los recursos. El artículo 6 de la Constitución establece que los servidores públicos son responsables </w:t>
      </w:r>
      <w:r>
        <w:rPr>
          <w:rFonts w:ascii="Verdana" w:hAnsi="Verdana" w:cs="Arial"/>
          <w:lang w:val="es-ES" w:eastAsia="es-CO"/>
        </w:rPr>
        <w:t>“</w:t>
      </w:r>
      <w:r w:rsidRPr="003A380F">
        <w:rPr>
          <w:rFonts w:ascii="Verdana" w:hAnsi="Verdana" w:cs="Arial"/>
          <w:lang w:val="es-ES" w:eastAsia="es-CO"/>
        </w:rPr>
        <w:t>[…] por infringir la Constitución y las leyes</w:t>
      </w:r>
      <w:r>
        <w:rPr>
          <w:rFonts w:ascii="Verdana" w:hAnsi="Verdana" w:cs="Arial"/>
          <w:lang w:val="es-ES" w:eastAsia="es-CO"/>
        </w:rPr>
        <w:t>”</w:t>
      </w:r>
      <w:r w:rsidRPr="003A380F">
        <w:rPr>
          <w:rFonts w:ascii="Verdana" w:hAnsi="Verdana" w:cs="Arial"/>
          <w:lang w:val="es-ES" w:eastAsia="es-CO"/>
        </w:rPr>
        <w:t xml:space="preserve"> y </w:t>
      </w:r>
      <w:r>
        <w:rPr>
          <w:rFonts w:ascii="Verdana" w:hAnsi="Verdana" w:cs="Arial"/>
          <w:lang w:val="es-ES" w:eastAsia="es-CO"/>
        </w:rPr>
        <w:t>“</w:t>
      </w:r>
      <w:r w:rsidRPr="003A380F">
        <w:rPr>
          <w:rFonts w:ascii="Verdana" w:hAnsi="Verdana" w:cs="Arial"/>
          <w:lang w:val="es-ES"/>
        </w:rPr>
        <w:t xml:space="preserve">[…] </w:t>
      </w:r>
      <w:r w:rsidRPr="003A380F">
        <w:rPr>
          <w:rFonts w:ascii="Verdana" w:hAnsi="Verdana" w:cs="Arial"/>
          <w:lang w:val="es-ES" w:eastAsia="es-CO"/>
        </w:rPr>
        <w:t>por omisión o extralimitación en el ejercicio de sus funciones</w:t>
      </w:r>
      <w:r>
        <w:rPr>
          <w:rFonts w:ascii="Verdana" w:hAnsi="Verdana" w:cs="Arial"/>
          <w:lang w:val="es-ES" w:eastAsia="es-CO"/>
        </w:rPr>
        <w:t>”</w:t>
      </w:r>
      <w:r w:rsidRPr="003A380F">
        <w:rPr>
          <w:rFonts w:ascii="Verdana" w:hAnsi="Verdana" w:cs="Arial"/>
          <w:lang w:val="es-ES" w:eastAsia="es-CO"/>
        </w:rPr>
        <w:t xml:space="preserve">, es decir que solo pueden hacer lo que les esté </w:t>
      </w:r>
      <w:r w:rsidRPr="003A380F">
        <w:rPr>
          <w:rFonts w:ascii="Verdana" w:hAnsi="Verdana" w:cs="Arial"/>
          <w:lang w:val="es-ES" w:eastAsia="es-CO"/>
        </w:rPr>
        <w:lastRenderedPageBreak/>
        <w:t xml:space="preserve">expresamente permitido. Así las cosas, la interpretación efectuada por la Agencia en este concepto tiene en cuenta la existencia de normas de carácter legal que permiten efectuar una transferencia gratuita de </w:t>
      </w:r>
      <w:r>
        <w:rPr>
          <w:rFonts w:ascii="Verdana" w:hAnsi="Verdana" w:cs="Arial"/>
          <w:lang w:val="es-ES" w:eastAsia="es-CO"/>
        </w:rPr>
        <w:t>recursos</w:t>
      </w:r>
      <w:r w:rsidRPr="003A380F">
        <w:rPr>
          <w:rFonts w:ascii="Verdana" w:hAnsi="Verdana" w:cs="Arial"/>
          <w:lang w:val="es-ES" w:eastAsia="es-CO"/>
        </w:rPr>
        <w:t xml:space="preserve"> </w:t>
      </w:r>
      <w:r w:rsidRPr="003A380F">
        <w:rPr>
          <w:rFonts w:ascii="Verdana" w:hAnsi="Verdana" w:cs="Arial"/>
          <w:i/>
          <w:iCs/>
          <w:lang w:val="es-ES" w:eastAsia="es-CO"/>
        </w:rPr>
        <w:t>a través de un acto administrativo</w:t>
      </w:r>
      <w:r w:rsidRPr="003A380F">
        <w:rPr>
          <w:rFonts w:ascii="Verdana" w:hAnsi="Verdana" w:cs="Arial"/>
          <w:lang w:val="es-ES" w:eastAsia="es-CO"/>
        </w:rPr>
        <w:t>, pero este criterio no se puede generalizar en hipótesis que no establezcan dicha permisión legal expresa.</w:t>
      </w:r>
    </w:p>
    <w:p w14:paraId="08805468" w14:textId="77777777" w:rsidR="00102946" w:rsidRPr="006C7BAC" w:rsidRDefault="00102946" w:rsidP="00102946">
      <w:pPr>
        <w:spacing w:after="0" w:line="276" w:lineRule="auto"/>
        <w:ind w:firstLine="709"/>
        <w:jc w:val="both"/>
        <w:rPr>
          <w:rFonts w:ascii="Verdana" w:hAnsi="Verdana" w:cs="Arial"/>
          <w:lang w:val="es-ES" w:eastAsia="es-CO"/>
        </w:rPr>
      </w:pPr>
    </w:p>
    <w:p w14:paraId="3E32CCA8" w14:textId="77777777" w:rsidR="00102946" w:rsidRPr="003A380F" w:rsidRDefault="00102946" w:rsidP="00102946">
      <w:pPr>
        <w:spacing w:after="120" w:line="276" w:lineRule="auto"/>
        <w:jc w:val="both"/>
        <w:rPr>
          <w:rFonts w:ascii="Verdana" w:eastAsia="Calibri" w:hAnsi="Verdana" w:cs="Arial"/>
          <w:bCs/>
          <w:color w:val="000000" w:themeColor="text1"/>
        </w:rPr>
      </w:pPr>
      <w:proofErr w:type="spellStart"/>
      <w:r>
        <w:rPr>
          <w:rFonts w:ascii="Verdana" w:eastAsia="Calibri" w:hAnsi="Verdana" w:cs="Arial"/>
          <w:bCs/>
          <w:color w:val="000000" w:themeColor="text1"/>
        </w:rPr>
        <w:t>vii</w:t>
      </w:r>
      <w:proofErr w:type="spellEnd"/>
      <w:r>
        <w:rPr>
          <w:rFonts w:ascii="Verdana" w:eastAsia="Calibri" w:hAnsi="Verdana" w:cs="Arial"/>
          <w:bCs/>
          <w:color w:val="000000" w:themeColor="text1"/>
        </w:rPr>
        <w:t xml:space="preserve">. </w:t>
      </w:r>
      <w:r w:rsidRPr="003A380F">
        <w:rPr>
          <w:rFonts w:ascii="Verdana" w:eastAsia="Calibri" w:hAnsi="Verdana" w:cs="Arial"/>
          <w:bCs/>
          <w:color w:val="000000" w:themeColor="text1"/>
        </w:rPr>
        <w:t>Al margen de la explicación precedente</w:t>
      </w:r>
      <w:r>
        <w:rPr>
          <w:rFonts w:ascii="Verdana" w:eastAsia="Calibri" w:hAnsi="Verdana" w:cs="Arial"/>
          <w:bCs/>
          <w:color w:val="000000" w:themeColor="text1"/>
        </w:rPr>
        <w:t>,</w:t>
      </w:r>
      <w:r w:rsidRPr="003A380F">
        <w:rPr>
          <w:rFonts w:ascii="Verdana" w:eastAsia="Calibri" w:hAnsi="Verdana" w:cs="Arial"/>
          <w:bCs/>
          <w:color w:val="000000" w:themeColor="text1"/>
        </w:rPr>
        <w:t xml:space="preserve"> debe advertirse que el análisis requerido para resolver problemas específicos en torno a la gestión contractual de las entidades públicas debe ser realizado por quienes tengan interés en ello, de acuerdo con lo explicado </w:t>
      </w:r>
      <w:r>
        <w:rPr>
          <w:rFonts w:ascii="Verdana" w:eastAsia="Calibri" w:hAnsi="Verdana" w:cs="Arial"/>
          <w:bCs/>
          <w:color w:val="000000" w:themeColor="text1"/>
        </w:rPr>
        <w:t>en la</w:t>
      </w:r>
      <w:r w:rsidRPr="003A380F">
        <w:rPr>
          <w:rFonts w:ascii="Verdana" w:eastAsia="Calibri" w:hAnsi="Verdana" w:cs="Arial"/>
          <w:bCs/>
          <w:color w:val="000000" w:themeColor="text1"/>
        </w:rPr>
        <w:t xml:space="preserve">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DE22FAF" w14:textId="77777777" w:rsidR="00102946" w:rsidRPr="00185EE9" w:rsidRDefault="00102946" w:rsidP="00102946">
      <w:pPr>
        <w:spacing w:after="0" w:line="276" w:lineRule="auto"/>
        <w:ind w:firstLine="708"/>
        <w:jc w:val="both"/>
        <w:rPr>
          <w:rFonts w:ascii="Verdana" w:eastAsia="Calibri" w:hAnsi="Verdana" w:cs="Arial"/>
          <w:bCs/>
          <w:color w:val="000000" w:themeColor="text1"/>
        </w:rPr>
      </w:pPr>
      <w:r w:rsidRPr="003A380F">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294C2092" w14:textId="77777777" w:rsidR="00102946" w:rsidRPr="00182C89" w:rsidRDefault="00102946" w:rsidP="00102946">
      <w:pPr>
        <w:tabs>
          <w:tab w:val="left" w:pos="709"/>
        </w:tabs>
        <w:spacing w:after="0" w:line="276" w:lineRule="auto"/>
        <w:jc w:val="both"/>
        <w:rPr>
          <w:rFonts w:ascii="Verdana" w:eastAsia="Calibri" w:hAnsi="Verdana" w:cs="Arial"/>
          <w:color w:val="000000" w:themeColor="text1"/>
        </w:rPr>
      </w:pPr>
    </w:p>
    <w:p w14:paraId="688A4C44" w14:textId="77777777" w:rsidR="00102946" w:rsidRPr="00593A5F" w:rsidRDefault="00102946" w:rsidP="0010294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1C9CB4A2" w14:textId="77777777" w:rsidR="00102946" w:rsidRPr="00593A5F" w:rsidRDefault="00102946" w:rsidP="00102946">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02946" w:rsidRPr="002407CE" w14:paraId="3E146745" w14:textId="77777777" w:rsidTr="008C0637">
        <w:trPr>
          <w:trHeight w:val="349"/>
          <w:jc w:val="center"/>
        </w:trPr>
        <w:tc>
          <w:tcPr>
            <w:tcW w:w="8647" w:type="dxa"/>
          </w:tcPr>
          <w:p w14:paraId="42CA5BDB" w14:textId="77777777" w:rsidR="00102946" w:rsidRDefault="00102946" w:rsidP="0010294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Colombia, artículos 6, 127 y 197.</w:t>
            </w:r>
          </w:p>
          <w:p w14:paraId="6832B274" w14:textId="77777777" w:rsidR="00102946" w:rsidRDefault="00102946" w:rsidP="0010294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 2.</w:t>
            </w:r>
          </w:p>
          <w:p w14:paraId="7BF4FA6F" w14:textId="77777777" w:rsidR="00102946" w:rsidRDefault="00102946" w:rsidP="0010294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996 de 2005, artículos 9, 33 y 38.</w:t>
            </w:r>
          </w:p>
          <w:p w14:paraId="00385C8E" w14:textId="77777777" w:rsidR="00102946" w:rsidRDefault="00102946" w:rsidP="0010294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2.</w:t>
            </w:r>
          </w:p>
          <w:p w14:paraId="0D435A2D" w14:textId="77777777" w:rsidR="00102946" w:rsidRPr="00185EE9" w:rsidRDefault="00102946" w:rsidP="0010294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1753 de 2015, artículo 69.</w:t>
            </w:r>
          </w:p>
          <w:p w14:paraId="6BE738BA" w14:textId="77777777" w:rsidR="00102946" w:rsidRPr="004923A3" w:rsidRDefault="00102946" w:rsidP="0010294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sidRPr="00185EE9">
              <w:rPr>
                <w:rFonts w:ascii="Verdana" w:hAnsi="Verdana" w:cs="Arial"/>
              </w:rPr>
              <w:t xml:space="preserve">Código Civil, artículos </w:t>
            </w:r>
            <w:r>
              <w:rPr>
                <w:rFonts w:ascii="Verdana" w:hAnsi="Verdana" w:cs="Arial"/>
              </w:rPr>
              <w:t>28, 29, 31, 1055, 1443, 1495 y 1496</w:t>
            </w:r>
            <w:r w:rsidRPr="00185EE9">
              <w:rPr>
                <w:rFonts w:ascii="Verdana" w:hAnsi="Verdana" w:cs="Arial"/>
              </w:rPr>
              <w:t>.</w:t>
            </w:r>
          </w:p>
          <w:p w14:paraId="2078319F" w14:textId="77777777" w:rsidR="00102946" w:rsidRPr="00DA543F" w:rsidRDefault="00102946" w:rsidP="00102946">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lastRenderedPageBreak/>
              <w:t xml:space="preserve">Decreto 780 de 2016, artículo </w:t>
            </w:r>
            <w:r w:rsidRPr="002028BD">
              <w:rPr>
                <w:rFonts w:ascii="Verdana" w:eastAsia="Arial" w:hAnsi="Verdana" w:cs="Arial"/>
                <w:bCs/>
              </w:rPr>
              <w:t>2.8.8.1.1.3</w:t>
            </w:r>
            <w:r>
              <w:rPr>
                <w:rFonts w:ascii="Verdana" w:hAnsi="Verdana" w:cs="Arial"/>
                <w:color w:val="000000" w:themeColor="text1"/>
                <w:lang w:val="es-ES_tradnl"/>
              </w:rPr>
              <w:t>.</w:t>
            </w:r>
          </w:p>
        </w:tc>
      </w:tr>
    </w:tbl>
    <w:p w14:paraId="2FCA98FC" w14:textId="77777777" w:rsidR="00102946" w:rsidRPr="002407CE" w:rsidRDefault="00102946" w:rsidP="00102946">
      <w:pPr>
        <w:widowControl w:val="0"/>
        <w:autoSpaceDE w:val="0"/>
        <w:autoSpaceDN w:val="0"/>
        <w:spacing w:after="0" w:line="276" w:lineRule="auto"/>
        <w:jc w:val="both"/>
        <w:rPr>
          <w:rFonts w:ascii="Verdana" w:hAnsi="Verdana" w:cs="Arial"/>
        </w:rPr>
      </w:pPr>
    </w:p>
    <w:p w14:paraId="0A5BCA00" w14:textId="77777777" w:rsidR="00102946" w:rsidRPr="00593A5F" w:rsidRDefault="00102946" w:rsidP="0010294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7E611C4A" w14:textId="77777777" w:rsidR="00102946" w:rsidRPr="00593A5F" w:rsidRDefault="00102946" w:rsidP="00102946">
      <w:pPr>
        <w:widowControl w:val="0"/>
        <w:autoSpaceDE w:val="0"/>
        <w:autoSpaceDN w:val="0"/>
        <w:spacing w:after="0" w:line="276" w:lineRule="auto"/>
        <w:jc w:val="both"/>
        <w:rPr>
          <w:rFonts w:ascii="Verdana" w:hAnsi="Verdana" w:cs="Arial"/>
        </w:rPr>
      </w:pPr>
    </w:p>
    <w:p w14:paraId="6E874F39" w14:textId="77777777" w:rsidR="00102946" w:rsidRPr="00ED0098" w:rsidRDefault="00102946" w:rsidP="00102946">
      <w:pPr>
        <w:widowControl w:val="0"/>
        <w:autoSpaceDE w:val="0"/>
        <w:autoSpaceDN w:val="0"/>
        <w:spacing w:after="0" w:line="276" w:lineRule="auto"/>
        <w:jc w:val="both"/>
        <w:rPr>
          <w:rStyle w:val="normaltextrun"/>
          <w:rFonts w:ascii="Verdana" w:hAnsi="Verdana" w:cs="Arial"/>
          <w:shd w:val="clear" w:color="auto" w:fill="FFFFFF"/>
        </w:rPr>
      </w:pPr>
      <w:r w:rsidRPr="00BC7FC8">
        <w:rPr>
          <w:rFonts w:ascii="Verdana" w:hAnsi="Verdana" w:cs="Arial"/>
          <w:shd w:val="clear" w:color="auto" w:fill="FFFFFF"/>
        </w:rPr>
        <w:t xml:space="preserve">Esta Subdirección se ha pronunciado sobre la finalidad y propósito de la Ley de Garantías Electorales en los </w:t>
      </w:r>
      <w:r>
        <w:rPr>
          <w:rFonts w:ascii="Verdana" w:hAnsi="Verdana" w:cs="Arial"/>
          <w:shd w:val="clear" w:color="auto" w:fill="FFFFFF"/>
        </w:rPr>
        <w:t>C</w:t>
      </w:r>
      <w:r w:rsidRPr="00BC7FC8">
        <w:rPr>
          <w:rFonts w:ascii="Verdana" w:hAnsi="Verdana" w:cs="Arial"/>
          <w:shd w:val="clear" w:color="auto" w:fill="FFFFFF"/>
        </w:rPr>
        <w:t>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w:t>
      </w:r>
      <w:r>
        <w:rPr>
          <w:rFonts w:ascii="Verdana" w:hAnsi="Verdana" w:cs="Arial"/>
          <w:shd w:val="clear" w:color="auto" w:fill="FFFFFF"/>
        </w:rPr>
        <w:t>, C-1186 del 17 de septiembre de 2025 y C-1350 del 1˚ de octubre de 2025</w:t>
      </w:r>
      <w:r>
        <w:rPr>
          <w:rFonts w:ascii="Verdana" w:hAnsi="Verdana"/>
        </w:rPr>
        <w:t>.</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57F71FC9" w14:textId="77777777" w:rsidR="00102946" w:rsidRPr="00096788" w:rsidRDefault="00102946" w:rsidP="00102946">
      <w:pPr>
        <w:widowControl w:val="0"/>
        <w:autoSpaceDE w:val="0"/>
        <w:autoSpaceDN w:val="0"/>
        <w:spacing w:after="0" w:line="276" w:lineRule="auto"/>
        <w:jc w:val="both"/>
        <w:rPr>
          <w:rFonts w:ascii="Verdana" w:hAnsi="Verdana" w:cs="Arial"/>
          <w:color w:val="000000" w:themeColor="text1"/>
          <w:shd w:val="clear" w:color="auto" w:fill="FFFFFF"/>
        </w:rPr>
      </w:pPr>
    </w:p>
    <w:p w14:paraId="3E8B5961" w14:textId="77777777" w:rsidR="00102946" w:rsidRPr="00E440FD" w:rsidRDefault="00102946" w:rsidP="00102946">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02F0C5A5" w14:textId="77777777" w:rsidR="00102946" w:rsidRDefault="00102946" w:rsidP="00102946">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4A73EC">
        <w:rPr>
          <w:rFonts w:ascii="Verdana" w:hAnsi="Verdana" w:cs="Arial"/>
          <w:color w:val="000000" w:themeColor="text1"/>
          <w:shd w:val="clear" w:color="auto" w:fill="FFFFFF"/>
          <w:lang w:val="es-ES_tradnl"/>
        </w:rPr>
        <w:t xml:space="preserve"> </w:t>
      </w:r>
    </w:p>
    <w:p w14:paraId="69DAF187" w14:textId="77777777" w:rsidR="00102946" w:rsidRPr="00116940" w:rsidRDefault="00102946" w:rsidP="00102946">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0F70B6CB" w14:textId="77777777" w:rsidR="00102946" w:rsidRPr="00116940" w:rsidRDefault="00102946" w:rsidP="00102946">
      <w:pPr>
        <w:spacing w:after="0"/>
        <w:jc w:val="both"/>
        <w:rPr>
          <w:rFonts w:ascii="Verdana" w:hAnsi="Verdana"/>
        </w:rPr>
      </w:pPr>
    </w:p>
    <w:p w14:paraId="72213FB1" w14:textId="77777777" w:rsidR="00102946" w:rsidRPr="00116940" w:rsidRDefault="00102946" w:rsidP="00102946">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lastRenderedPageBreak/>
        <w:t xml:space="preserve">Línea nacional gratuita o servicio a la ciudadanía (Mesa de servicio): </w:t>
      </w:r>
      <w:r w:rsidRPr="00116940">
        <w:rPr>
          <w:rStyle w:val="Hipervnculo"/>
          <w:rFonts w:ascii="Verdana" w:hAnsi="Verdana"/>
        </w:rPr>
        <w:t>01800 0520808</w:t>
      </w:r>
    </w:p>
    <w:p w14:paraId="0095611E" w14:textId="77777777" w:rsidR="00102946" w:rsidRPr="00116940" w:rsidRDefault="00102946" w:rsidP="00102946">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7DBB5A17" w14:textId="77777777" w:rsidR="00102946" w:rsidRPr="00116940" w:rsidRDefault="00102946" w:rsidP="00102946">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4">
        <w:r w:rsidRPr="00116940">
          <w:rPr>
            <w:rStyle w:val="Hipervnculo"/>
            <w:rFonts w:ascii="Verdana" w:eastAsia="Verdana" w:hAnsi="Verdana" w:cs="Verdana"/>
            <w:lang w:val="es-MX"/>
          </w:rPr>
          <w:t>ventanilladeradicacion@colombiacompra.gov.co</w:t>
        </w:r>
      </w:hyperlink>
    </w:p>
    <w:p w14:paraId="177C2C48" w14:textId="77777777" w:rsidR="00102946" w:rsidRPr="00116940" w:rsidRDefault="00102946" w:rsidP="00102946">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5">
        <w:r w:rsidRPr="00116940">
          <w:rPr>
            <w:rStyle w:val="Hipervnculo"/>
            <w:rFonts w:ascii="Verdana" w:eastAsia="Verdana" w:hAnsi="Verdana" w:cs="Verdana"/>
            <w:lang w:val="es-MX"/>
          </w:rPr>
          <w:t>https://www.colombiacompra.gov.co/pqrsd/informacion-importante-antes-de-formular-una-pqrsd</w:t>
        </w:r>
      </w:hyperlink>
    </w:p>
    <w:p w14:paraId="11BB71D8" w14:textId="77777777" w:rsidR="00102946" w:rsidRPr="00116940" w:rsidRDefault="00102946" w:rsidP="00102946">
      <w:pPr>
        <w:spacing w:after="0" w:line="240" w:lineRule="auto"/>
        <w:ind w:left="720"/>
        <w:jc w:val="both"/>
        <w:rPr>
          <w:rFonts w:ascii="Verdana" w:hAnsi="Verdana"/>
        </w:rPr>
      </w:pPr>
    </w:p>
    <w:p w14:paraId="5F0B1AF9" w14:textId="77777777" w:rsidR="00102946" w:rsidRPr="00116940" w:rsidRDefault="00102946" w:rsidP="00102946">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6"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4816A271" w14:textId="77777777" w:rsidR="00102946" w:rsidRPr="00116940" w:rsidRDefault="00102946" w:rsidP="00102946">
      <w:pPr>
        <w:spacing w:after="0" w:line="240" w:lineRule="auto"/>
        <w:rPr>
          <w:rFonts w:ascii="Verdana" w:hAnsi="Verdana"/>
        </w:rPr>
      </w:pPr>
    </w:p>
    <w:p w14:paraId="276296AE" w14:textId="77777777" w:rsidR="00102946" w:rsidRPr="00116940" w:rsidRDefault="00102946" w:rsidP="00102946">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0C3B4B95" w14:textId="77777777" w:rsidR="00102946" w:rsidRPr="00116940" w:rsidRDefault="00102946" w:rsidP="00102946">
      <w:pPr>
        <w:spacing w:after="0" w:line="240" w:lineRule="auto"/>
        <w:jc w:val="both"/>
        <w:rPr>
          <w:rFonts w:ascii="Verdana" w:hAnsi="Verdana"/>
        </w:rPr>
      </w:pPr>
    </w:p>
    <w:p w14:paraId="59CF59B6" w14:textId="77777777" w:rsidR="00102946" w:rsidRPr="00116940" w:rsidRDefault="00102946" w:rsidP="00102946">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02B17902" w14:textId="77777777" w:rsidR="00102946" w:rsidRPr="00116940" w:rsidRDefault="00102946" w:rsidP="00102946">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6D7BE5B1" w14:textId="77777777" w:rsidR="00102946" w:rsidRPr="00116940" w:rsidRDefault="00102946" w:rsidP="00102946">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45279856" w14:textId="77777777" w:rsidR="00102946" w:rsidRPr="009C4035" w:rsidRDefault="00102946" w:rsidP="00102946">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33C343F1" w14:textId="0AA1173A" w:rsidR="00102946" w:rsidRPr="008C0637" w:rsidRDefault="00102946" w:rsidP="00102946">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49537EA4" w14:textId="77777777" w:rsidR="003C4700" w:rsidRDefault="003C4700" w:rsidP="00102946">
      <w:pPr>
        <w:spacing w:after="0" w:line="240" w:lineRule="auto"/>
        <w:rPr>
          <w:rFonts w:ascii="Verdana" w:eastAsia="Times New Roman" w:hAnsi="Verdana" w:cs="Arial"/>
          <w:lang w:eastAsia="es-CO"/>
        </w:rPr>
      </w:pPr>
    </w:p>
    <w:p w14:paraId="65124133" w14:textId="0C5F913D" w:rsidR="00102946" w:rsidRPr="00593A5F" w:rsidRDefault="00102946" w:rsidP="00102946">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085C3AC4" w14:textId="313F978C" w:rsidR="00102946" w:rsidRPr="00593A5F" w:rsidRDefault="009A559E" w:rsidP="00102946">
      <w:pPr>
        <w:spacing w:line="276" w:lineRule="auto"/>
        <w:jc w:val="center"/>
        <w:rPr>
          <w:rFonts w:ascii="Verdana" w:hAnsi="Verdana" w:cs="Arial"/>
          <w:color w:val="000000"/>
          <w:lang w:val="es-ES_tradnl" w:eastAsia="es-CO"/>
        </w:rPr>
      </w:pPr>
      <w:r>
        <w:rPr>
          <w:noProof/>
        </w:rPr>
        <w:drawing>
          <wp:inline distT="0" distB="0" distL="0" distR="0" wp14:anchorId="6FA59E63" wp14:editId="3FBA3593">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02946" w:rsidRPr="00593A5F" w14:paraId="4689F80D" w14:textId="77777777" w:rsidTr="7C76BBE1">
        <w:trPr>
          <w:trHeight w:val="315"/>
        </w:trPr>
        <w:tc>
          <w:tcPr>
            <w:tcW w:w="893" w:type="dxa"/>
            <w:vAlign w:val="center"/>
            <w:hideMark/>
          </w:tcPr>
          <w:p w14:paraId="554720A2" w14:textId="77777777" w:rsidR="00102946" w:rsidRPr="003751C7" w:rsidRDefault="00102946">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4BBBFDE" w14:textId="77777777" w:rsidR="00102946" w:rsidRPr="00254A7A" w:rsidRDefault="00102946">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51BC7965" w14:textId="77777777" w:rsidR="00102946" w:rsidRPr="00254A7A" w:rsidRDefault="00102946">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102946" w:rsidRPr="00593A5F" w14:paraId="2CC967D5" w14:textId="77777777" w:rsidTr="7C76BBE1">
        <w:trPr>
          <w:trHeight w:val="330"/>
        </w:trPr>
        <w:tc>
          <w:tcPr>
            <w:tcW w:w="893" w:type="dxa"/>
            <w:vAlign w:val="center"/>
            <w:hideMark/>
          </w:tcPr>
          <w:p w14:paraId="35FDD4D4" w14:textId="77777777" w:rsidR="00102946" w:rsidRPr="003751C7" w:rsidRDefault="00102946">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5DA9524" w14:textId="77777777" w:rsidR="00102946" w:rsidRPr="00FE00BE" w:rsidRDefault="00102946">
            <w:pPr>
              <w:pStyle w:val="paragraph"/>
              <w:spacing w:after="0"/>
              <w:contextualSpacing/>
              <w:textAlignment w:val="baseline"/>
              <w:rPr>
                <w:rStyle w:val="normaltextrun"/>
                <w:rFonts w:ascii="Verdana" w:hAnsi="Verdana" w:cs="Arial"/>
                <w:sz w:val="16"/>
                <w:szCs w:val="16"/>
                <w:lang w:val="es-ES_tradnl"/>
              </w:rPr>
            </w:pPr>
            <w:r w:rsidRPr="00FE00BE">
              <w:rPr>
                <w:rStyle w:val="normaltextrun"/>
                <w:rFonts w:ascii="Verdana" w:hAnsi="Verdana" w:cs="Arial"/>
                <w:sz w:val="16"/>
                <w:szCs w:val="16"/>
                <w:lang w:val="es-ES_tradnl"/>
              </w:rPr>
              <w:t>Alejandro Sarmiento Cantillo</w:t>
            </w:r>
          </w:p>
          <w:p w14:paraId="0D9874E7" w14:textId="77777777" w:rsidR="00102946" w:rsidRPr="00FE00BE" w:rsidRDefault="00102946">
            <w:pPr>
              <w:pStyle w:val="paragraph"/>
              <w:spacing w:before="0" w:beforeAutospacing="0" w:after="0" w:afterAutospacing="0"/>
              <w:contextualSpacing/>
              <w:textAlignment w:val="baseline"/>
              <w:rPr>
                <w:rFonts w:ascii="Verdana" w:hAnsi="Verdana" w:cs="Segoe UI"/>
                <w:sz w:val="16"/>
                <w:szCs w:val="16"/>
                <w:lang w:val="es-ES_tradnl"/>
              </w:rPr>
            </w:pPr>
            <w:r w:rsidRPr="00FE00BE">
              <w:rPr>
                <w:rStyle w:val="normaltextrun"/>
                <w:rFonts w:ascii="Verdana" w:hAnsi="Verdana" w:cs="Arial"/>
                <w:sz w:val="16"/>
                <w:szCs w:val="16"/>
                <w:lang w:val="es-ES_tradnl"/>
              </w:rPr>
              <w:t>Gestor T1 ‒ 15 de la Subdirección de Gestión Contractual</w:t>
            </w:r>
          </w:p>
        </w:tc>
      </w:tr>
      <w:tr w:rsidR="00102946" w:rsidRPr="00593A5F" w14:paraId="6670835D" w14:textId="77777777" w:rsidTr="7C76BBE1">
        <w:trPr>
          <w:trHeight w:val="300"/>
        </w:trPr>
        <w:tc>
          <w:tcPr>
            <w:tcW w:w="893" w:type="dxa"/>
            <w:vAlign w:val="center"/>
          </w:tcPr>
          <w:p w14:paraId="45A12CC5" w14:textId="77777777" w:rsidR="00102946" w:rsidRPr="003751C7" w:rsidRDefault="00102946">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33F6BF7" w14:textId="77777777" w:rsidR="00102946" w:rsidRPr="00FE00BE" w:rsidRDefault="00102946" w:rsidP="7C76BBE1">
            <w:pPr>
              <w:contextualSpacing/>
              <w:rPr>
                <w:rFonts w:ascii="Verdana" w:eastAsia="Calibri" w:hAnsi="Verdana" w:cs="Arial"/>
                <w:sz w:val="16"/>
                <w:szCs w:val="16"/>
                <w:lang w:val="es-ES" w:eastAsia="es-ES"/>
              </w:rPr>
            </w:pPr>
            <w:r w:rsidRPr="7C76BBE1">
              <w:rPr>
                <w:rFonts w:ascii="Verdana" w:eastAsia="Calibri" w:hAnsi="Verdana" w:cs="Arial"/>
                <w:sz w:val="16"/>
                <w:szCs w:val="16"/>
                <w:lang w:val="es-ES" w:eastAsia="es-ES"/>
              </w:rPr>
              <w:t xml:space="preserve">Carolina Quintero </w:t>
            </w:r>
            <w:proofErr w:type="spellStart"/>
            <w:r w:rsidRPr="7C76BBE1">
              <w:rPr>
                <w:rFonts w:ascii="Verdana" w:eastAsia="Calibri" w:hAnsi="Verdana" w:cs="Arial"/>
                <w:sz w:val="16"/>
                <w:szCs w:val="16"/>
                <w:lang w:val="es-ES" w:eastAsia="es-ES"/>
              </w:rPr>
              <w:t>Gacharná</w:t>
            </w:r>
            <w:proofErr w:type="spellEnd"/>
          </w:p>
          <w:p w14:paraId="431DB9DF" w14:textId="77777777" w:rsidR="00102946" w:rsidRPr="00FE00BE" w:rsidRDefault="00102946">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0F293BF4" w14:textId="6104BAD3" w:rsidR="00127233" w:rsidRPr="001631F1" w:rsidRDefault="00127233" w:rsidP="001631F1"/>
    <w:sectPr w:rsidR="00127233" w:rsidRPr="001631F1"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8ABE64" w14:textId="77777777" w:rsidR="00E44C96" w:rsidRDefault="00E44C96" w:rsidP="004A1847">
      <w:pPr>
        <w:spacing w:after="0" w:line="240" w:lineRule="auto"/>
      </w:pPr>
      <w:r>
        <w:separator/>
      </w:r>
    </w:p>
  </w:endnote>
  <w:endnote w:type="continuationSeparator" w:id="0">
    <w:p w14:paraId="4F1EE061" w14:textId="77777777" w:rsidR="00E44C96" w:rsidRDefault="00E44C9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F584C9" w14:textId="77777777" w:rsidR="00E44C96" w:rsidRDefault="00E44C96" w:rsidP="004A1847">
      <w:pPr>
        <w:spacing w:after="0" w:line="240" w:lineRule="auto"/>
      </w:pPr>
      <w:r>
        <w:separator/>
      </w:r>
    </w:p>
  </w:footnote>
  <w:footnote w:type="continuationSeparator" w:id="0">
    <w:p w14:paraId="049E4565" w14:textId="77777777" w:rsidR="00E44C96" w:rsidRDefault="00E44C96" w:rsidP="004A1847">
      <w:pPr>
        <w:spacing w:after="0" w:line="240" w:lineRule="auto"/>
      </w:pPr>
      <w:r>
        <w:continuationSeparator/>
      </w:r>
    </w:p>
  </w:footnote>
  <w:footnote w:id="1">
    <w:p w14:paraId="65395789" w14:textId="77777777" w:rsidR="00102946" w:rsidRPr="006C7BAC" w:rsidRDefault="00102946" w:rsidP="00102946">
      <w:pPr>
        <w:pStyle w:val="Textonotapie"/>
        <w:ind w:firstLine="709"/>
        <w:contextualSpacing/>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63E00CF1" w14:textId="77777777" w:rsidR="00102946" w:rsidRPr="006C7BAC" w:rsidRDefault="00102946" w:rsidP="00102946">
      <w:pPr>
        <w:pStyle w:val="Textonotapie"/>
        <w:ind w:firstLine="709"/>
        <w:contextualSpacing/>
        <w:jc w:val="both"/>
        <w:rPr>
          <w:rFonts w:ascii="Verdana" w:hAnsi="Verdana" w:cs="Arial"/>
          <w:sz w:val="16"/>
          <w:szCs w:val="16"/>
        </w:rPr>
      </w:pPr>
      <w:r w:rsidRPr="006C7BA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255D6227" w14:textId="77777777" w:rsidR="00102946" w:rsidRPr="006C7BAC" w:rsidRDefault="00102946" w:rsidP="00102946">
      <w:pPr>
        <w:pStyle w:val="Textonotapie"/>
        <w:ind w:firstLine="709"/>
        <w:contextualSpacing/>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Gaceta del Congreso de la República No. 71 del 2005.</w:t>
      </w:r>
    </w:p>
  </w:footnote>
  <w:footnote w:id="3">
    <w:p w14:paraId="0A8B3B87" w14:textId="77777777" w:rsidR="00102946" w:rsidRPr="006C7BAC" w:rsidRDefault="00102946" w:rsidP="00102946">
      <w:pPr>
        <w:pStyle w:val="Textonotapie"/>
        <w:ind w:firstLine="709"/>
        <w:contextualSpacing/>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Corte Constitucional, Sentencia C- 1153 de 2005, M.P. Marco Gerardo Monroy Cabra.</w:t>
      </w:r>
    </w:p>
  </w:footnote>
  <w:footnote w:id="4">
    <w:p w14:paraId="1A7756DA" w14:textId="77777777" w:rsidR="00102946" w:rsidRPr="006C7BAC" w:rsidRDefault="00102946" w:rsidP="00102946">
      <w:pPr>
        <w:pStyle w:val="Textonotapie"/>
        <w:ind w:firstLine="709"/>
        <w:contextualSpacing/>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6F4BB47F" w14:textId="77777777" w:rsidR="00102946" w:rsidRPr="006C7BAC" w:rsidRDefault="00102946" w:rsidP="00102946">
      <w:pPr>
        <w:pStyle w:val="Textonotapie"/>
        <w:ind w:firstLine="709"/>
        <w:contextualSpacing/>
        <w:jc w:val="both"/>
        <w:rPr>
          <w:rFonts w:ascii="Verdana" w:hAnsi="Verdana" w:cs="Arial"/>
          <w:sz w:val="16"/>
          <w:szCs w:val="16"/>
          <w:lang w:val="es-CO"/>
        </w:rPr>
      </w:pPr>
      <w:r w:rsidRPr="006C7BAC">
        <w:rPr>
          <w:rStyle w:val="Refdenotaalpie"/>
          <w:rFonts w:ascii="Verdana" w:hAnsi="Verdana" w:cs="Arial"/>
          <w:sz w:val="16"/>
          <w:szCs w:val="16"/>
        </w:rPr>
        <w:footnoteRef/>
      </w:r>
      <w:r w:rsidRPr="006C7BA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46585B08" w14:textId="77777777" w:rsidR="00102946" w:rsidRPr="006C7BAC" w:rsidRDefault="00102946" w:rsidP="00102946">
      <w:pPr>
        <w:pStyle w:val="Textonotapie"/>
        <w:ind w:firstLine="709"/>
        <w:contextualSpacing/>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de fecha 24 de julio de 2013, radicado 2166, Consejero Ponente: Álvaro Namén Vargas.  </w:t>
      </w:r>
    </w:p>
  </w:footnote>
  <w:footnote w:id="7">
    <w:p w14:paraId="46A91527" w14:textId="77777777" w:rsidR="00102946" w:rsidRPr="006C7BAC" w:rsidRDefault="00102946" w:rsidP="00102946">
      <w:pPr>
        <w:spacing w:after="0" w:line="240" w:lineRule="auto"/>
        <w:ind w:firstLine="709"/>
        <w:contextualSpacing/>
        <w:jc w:val="both"/>
        <w:rPr>
          <w:rFonts w:ascii="Verdana" w:eastAsia="Times New Roman"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w:t>
      </w:r>
      <w:bookmarkStart w:id="6" w:name="33"/>
      <w:r w:rsidRPr="006C7BAC">
        <w:rPr>
          <w:rFonts w:ascii="Verdana" w:eastAsia="Calibri" w:hAnsi="Verdana" w:cs="Arial"/>
          <w:color w:val="000000"/>
          <w:sz w:val="16"/>
          <w:szCs w:val="16"/>
        </w:rPr>
        <w:t>“</w:t>
      </w:r>
      <w:r w:rsidRPr="006C7BAC">
        <w:rPr>
          <w:rFonts w:ascii="Verdana" w:eastAsia="Times New Roman" w:hAnsi="Verdana" w:cs="Arial"/>
          <w:sz w:val="16"/>
          <w:szCs w:val="16"/>
        </w:rPr>
        <w:t>Artículo 33. Restricciones a la contratación pública.</w:t>
      </w:r>
      <w:bookmarkEnd w:id="6"/>
      <w:r w:rsidRPr="006C7BAC">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5F9D4B70" w14:textId="77777777" w:rsidR="00102946" w:rsidRPr="006C7BAC" w:rsidRDefault="00102946" w:rsidP="00102946">
      <w:pPr>
        <w:spacing w:after="0" w:line="240" w:lineRule="auto"/>
        <w:ind w:firstLine="709"/>
        <w:contextualSpacing/>
        <w:jc w:val="both"/>
        <w:rPr>
          <w:rFonts w:ascii="Verdana" w:eastAsia="Times New Roman" w:hAnsi="Verdana" w:cs="Arial"/>
          <w:sz w:val="16"/>
          <w:szCs w:val="16"/>
        </w:rPr>
      </w:pPr>
      <w:r w:rsidRPr="006C7BA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6C7BAC">
        <w:rPr>
          <w:rFonts w:ascii="Verdana" w:eastAsia="Calibri" w:hAnsi="Verdana" w:cs="Arial"/>
          <w:color w:val="000000"/>
          <w:sz w:val="16"/>
          <w:szCs w:val="16"/>
        </w:rPr>
        <w:t>”</w:t>
      </w:r>
      <w:r w:rsidRPr="006C7BAC">
        <w:rPr>
          <w:rFonts w:ascii="Verdana" w:eastAsia="Times New Roman" w:hAnsi="Verdana" w:cs="Arial"/>
          <w:sz w:val="16"/>
          <w:szCs w:val="16"/>
        </w:rPr>
        <w:t>.</w:t>
      </w:r>
    </w:p>
  </w:footnote>
  <w:footnote w:id="8">
    <w:p w14:paraId="3063F276" w14:textId="77777777" w:rsidR="00102946" w:rsidRPr="006C7BAC" w:rsidRDefault="00102946" w:rsidP="00102946">
      <w:pPr>
        <w:pStyle w:val="NormalWeb"/>
        <w:spacing w:before="0" w:beforeAutospacing="0" w:after="0" w:afterAutospacing="0"/>
        <w:ind w:firstLine="709"/>
        <w:contextualSpacing/>
        <w:jc w:val="both"/>
        <w:rPr>
          <w:rFonts w:ascii="Verdana" w:hAnsi="Verdana" w:cs="Arial"/>
          <w:sz w:val="16"/>
          <w:szCs w:val="16"/>
          <w:lang w:val="es-MX"/>
        </w:rPr>
      </w:pPr>
      <w:r w:rsidRPr="006C7BAC">
        <w:rPr>
          <w:rStyle w:val="Refdenotaalpie"/>
          <w:rFonts w:ascii="Verdana" w:hAnsi="Verdana" w:cs="Arial"/>
          <w:sz w:val="16"/>
          <w:szCs w:val="16"/>
        </w:rPr>
        <w:footnoteRef/>
      </w:r>
      <w:r w:rsidRPr="006C7BAC">
        <w:rPr>
          <w:rFonts w:ascii="Verdana" w:hAnsi="Verdana" w:cs="Arial"/>
          <w:sz w:val="16"/>
          <w:szCs w:val="16"/>
        </w:rPr>
        <w:t xml:space="preserve"> </w:t>
      </w:r>
      <w:bookmarkStart w:id="7" w:name="38"/>
      <w:r w:rsidRPr="006C7BAC">
        <w:rPr>
          <w:rFonts w:ascii="Verdana" w:eastAsia="Calibri" w:hAnsi="Verdana" w:cs="Arial"/>
          <w:color w:val="000000"/>
          <w:sz w:val="16"/>
          <w:szCs w:val="16"/>
        </w:rPr>
        <w:t>“</w:t>
      </w:r>
      <w:r w:rsidRPr="006C7BAC">
        <w:rPr>
          <w:rFonts w:ascii="Verdana" w:hAnsi="Verdana" w:cs="Arial"/>
          <w:sz w:val="16"/>
          <w:szCs w:val="16"/>
          <w:lang w:val="es-MX"/>
        </w:rPr>
        <w:t>Artículo 38. Prohibiciones para los servidores públicos. A los empleados del Estado les está prohibido:</w:t>
      </w:r>
      <w:bookmarkEnd w:id="7"/>
    </w:p>
    <w:p w14:paraId="05596C7E" w14:textId="77777777" w:rsidR="00102946" w:rsidRPr="006C7BAC" w:rsidRDefault="00102946" w:rsidP="00102946">
      <w:pPr>
        <w:pStyle w:val="NormalWeb"/>
        <w:spacing w:before="0" w:beforeAutospacing="0" w:after="0" w:afterAutospacing="0"/>
        <w:ind w:firstLine="709"/>
        <w:contextualSpacing/>
        <w:jc w:val="both"/>
        <w:rPr>
          <w:rFonts w:ascii="Verdana" w:hAnsi="Verdana" w:cs="Arial"/>
          <w:sz w:val="16"/>
          <w:szCs w:val="16"/>
          <w:lang w:val="es-MX"/>
        </w:rPr>
      </w:pPr>
      <w:r w:rsidRPr="006C7BAC">
        <w:rPr>
          <w:rFonts w:ascii="Verdana" w:hAnsi="Verdana" w:cs="Arial"/>
          <w:sz w:val="16"/>
          <w:szCs w:val="16"/>
          <w:lang w:val="es-MX"/>
        </w:rPr>
        <w:t>[…]</w:t>
      </w:r>
    </w:p>
    <w:p w14:paraId="52A3C629" w14:textId="77777777" w:rsidR="00102946" w:rsidRPr="006C7BAC" w:rsidRDefault="00102946" w:rsidP="00102946">
      <w:pPr>
        <w:pStyle w:val="NormalWeb"/>
        <w:spacing w:before="0" w:beforeAutospacing="0" w:after="0" w:afterAutospacing="0"/>
        <w:ind w:firstLine="709"/>
        <w:contextualSpacing/>
        <w:jc w:val="both"/>
        <w:rPr>
          <w:rFonts w:ascii="Verdana" w:hAnsi="Verdana" w:cs="Arial"/>
          <w:sz w:val="16"/>
          <w:szCs w:val="16"/>
          <w:lang w:val="es-MX"/>
        </w:rPr>
      </w:pPr>
      <w:r w:rsidRPr="006C7BAC">
        <w:rPr>
          <w:rStyle w:val="baj"/>
          <w:rFonts w:ascii="Verdana" w:eastAsiaTheme="minorEastAsia" w:hAnsi="Verdana" w:cs="Arial"/>
          <w:sz w:val="16"/>
          <w:szCs w:val="16"/>
          <w:lang w:val="es-MX"/>
        </w:rPr>
        <w:t>Parágrafo.</w:t>
      </w:r>
      <w:r w:rsidRPr="006C7BA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C7BAC">
        <w:rPr>
          <w:rFonts w:ascii="Verdana" w:eastAsia="Calibri" w:hAnsi="Verdana" w:cs="Arial"/>
          <w:color w:val="000000"/>
          <w:sz w:val="16"/>
          <w:szCs w:val="16"/>
        </w:rPr>
        <w:t>”</w:t>
      </w:r>
      <w:r w:rsidRPr="006C7BAC">
        <w:rPr>
          <w:rFonts w:ascii="Verdana" w:hAnsi="Verdana" w:cs="Arial"/>
          <w:sz w:val="16"/>
          <w:szCs w:val="16"/>
          <w:lang w:val="es-MX"/>
        </w:rPr>
        <w:t>.</w:t>
      </w:r>
    </w:p>
  </w:footnote>
  <w:footnote w:id="9">
    <w:p w14:paraId="6FF5E90F" w14:textId="77777777" w:rsidR="00102946" w:rsidRPr="006C7BAC" w:rsidRDefault="00102946" w:rsidP="00102946">
      <w:pPr>
        <w:spacing w:after="0" w:line="240" w:lineRule="auto"/>
        <w:ind w:left="100" w:right="244" w:firstLine="709"/>
        <w:contextualSpacing/>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47FAE04E" w14:textId="77777777" w:rsidR="00102946" w:rsidRPr="006C7BAC" w:rsidRDefault="00102946" w:rsidP="00102946">
      <w:pPr>
        <w:pStyle w:val="Textonotapie"/>
        <w:ind w:right="51"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w:t>
      </w:r>
      <w:r w:rsidRPr="006C7BAC">
        <w:rPr>
          <w:rFonts w:ascii="Verdana" w:hAnsi="Verdana" w:cs="Arial"/>
          <w:sz w:val="16"/>
          <w:szCs w:val="16"/>
          <w:lang w:val="es-ES"/>
        </w:rPr>
        <w:t xml:space="preserve">[25] </w:t>
      </w:r>
      <w:r w:rsidRPr="006C7BAC">
        <w:rPr>
          <w:rFonts w:ascii="Verdana" w:hAnsi="Verdana" w:cs="Arial"/>
          <w:sz w:val="16"/>
          <w:szCs w:val="16"/>
        </w:rPr>
        <w:t>Cfr. Consejo de Estado. Sección Tercera. Sentencia de 3 de diciembre de 2007. Radicados: 24.715, 25.206, 25.409, 24.524, 27.834, 25.410, 26.105, 28.244, 31.447 -acumulados-”.</w:t>
      </w:r>
    </w:p>
  </w:footnote>
  <w:footnote w:id="11">
    <w:p w14:paraId="7E7BF3EA" w14:textId="77777777" w:rsidR="00102946" w:rsidRPr="006C7BAC" w:rsidRDefault="00102946" w:rsidP="00102946">
      <w:pPr>
        <w:pStyle w:val="Textonotapie"/>
        <w:ind w:right="51"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w:t>
      </w:r>
      <w:r w:rsidRPr="006C7BAC">
        <w:rPr>
          <w:rFonts w:ascii="Verdana" w:hAnsi="Verdana" w:cs="Arial"/>
          <w:sz w:val="16"/>
          <w:szCs w:val="16"/>
          <w:lang w:val="es-ES"/>
        </w:rPr>
        <w:t xml:space="preserve">[26] </w:t>
      </w:r>
      <w:r w:rsidRPr="006C7BAC">
        <w:rPr>
          <w:rFonts w:ascii="Verdana" w:hAnsi="Verdana" w:cs="Arial"/>
          <w:sz w:val="16"/>
          <w:szCs w:val="16"/>
        </w:rPr>
        <w:t>Al respecto ver el concepto 1712 de 2 de febrero de 2006. Consejo de Estado Sala de Consulta y Servicio Civil”.</w:t>
      </w:r>
    </w:p>
  </w:footnote>
  <w:footnote w:id="12">
    <w:p w14:paraId="74494134" w14:textId="77777777" w:rsidR="00102946" w:rsidRPr="006C7BAC" w:rsidRDefault="00102946" w:rsidP="00102946">
      <w:pPr>
        <w:pStyle w:val="Textonotapie"/>
        <w:ind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3">
    <w:p w14:paraId="395768FE" w14:textId="77777777" w:rsidR="00102946" w:rsidRPr="006C7BAC" w:rsidRDefault="00102946" w:rsidP="00102946">
      <w:pPr>
        <w:pStyle w:val="Textonotapie"/>
        <w:ind w:firstLine="709"/>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Fonts w:ascii="Verdana" w:hAnsi="Verdana" w:cs="Arial"/>
          <w:sz w:val="16"/>
          <w:szCs w:val="16"/>
        </w:rPr>
        <w:t xml:space="preserve"> </w:t>
      </w:r>
      <w:r w:rsidRPr="006C7BAC">
        <w:rPr>
          <w:rFonts w:ascii="Verdana" w:hAnsi="Verdana" w:cs="Arial"/>
          <w:sz w:val="16"/>
          <w:szCs w:val="16"/>
          <w:lang w:val="es-ES"/>
        </w:rPr>
        <w:t xml:space="preserve">Artículo 2. </w:t>
      </w:r>
    </w:p>
  </w:footnote>
  <w:footnote w:id="14">
    <w:p w14:paraId="6963B0E9" w14:textId="77777777" w:rsidR="00102946" w:rsidRPr="006C7BAC" w:rsidRDefault="00102946" w:rsidP="00102946">
      <w:pPr>
        <w:pStyle w:val="Textonotapie"/>
        <w:ind w:firstLine="709"/>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Fonts w:ascii="Verdana" w:hAnsi="Verdana" w:cs="Arial"/>
          <w:sz w:val="16"/>
          <w:szCs w:val="16"/>
        </w:rPr>
        <w:t xml:space="preserve"> </w:t>
      </w:r>
      <w:r w:rsidRPr="006C7BAC">
        <w:rPr>
          <w:rFonts w:ascii="Verdana" w:hAnsi="Verdana" w:cs="Arial"/>
          <w:i/>
          <w:sz w:val="16"/>
          <w:szCs w:val="16"/>
          <w:lang w:val="es-ES"/>
        </w:rPr>
        <w:t>Ibidem</w:t>
      </w:r>
      <w:r w:rsidRPr="006C7BAC">
        <w:rPr>
          <w:rFonts w:ascii="Verdana" w:hAnsi="Verdana" w:cs="Arial"/>
          <w:sz w:val="16"/>
          <w:szCs w:val="16"/>
          <w:lang w:val="es-ES"/>
        </w:rPr>
        <w:t>.</w:t>
      </w:r>
    </w:p>
  </w:footnote>
  <w:footnote w:id="15">
    <w:p w14:paraId="3086D647" w14:textId="77777777" w:rsidR="00102946" w:rsidRPr="006C7BAC" w:rsidRDefault="00102946" w:rsidP="00102946">
      <w:pPr>
        <w:pStyle w:val="Textonotapie"/>
        <w:ind w:firstLine="709"/>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Style w:val="Refdenotaalpie"/>
          <w:rFonts w:ascii="Verdana" w:hAnsi="Verdana" w:cs="Arial"/>
          <w:sz w:val="16"/>
          <w:szCs w:val="16"/>
        </w:rPr>
        <w:t xml:space="preserve"> </w:t>
      </w:r>
      <w:r w:rsidRPr="006C7BAC">
        <w:rPr>
          <w:rFonts w:ascii="Verdana" w:hAnsi="Verdana" w:cs="Arial"/>
          <w:sz w:val="16"/>
          <w:szCs w:val="16"/>
          <w:lang w:val="es-ES"/>
        </w:rPr>
        <w:t xml:space="preserve">“[…] A este respecto, cabe recordar que el artículo 860 del Código de Comercio regula la licitación en el derecho privado”. </w:t>
      </w:r>
    </w:p>
  </w:footnote>
  <w:footnote w:id="16">
    <w:p w14:paraId="3FD73065" w14:textId="77777777" w:rsidR="00102946" w:rsidRPr="006C7BAC" w:rsidRDefault="00102946" w:rsidP="00102946">
      <w:pPr>
        <w:shd w:val="clear" w:color="auto" w:fill="FFFFFF"/>
        <w:spacing w:after="0"/>
        <w:ind w:firstLine="709"/>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Style w:val="Refdenotaalpie"/>
          <w:rFonts w:ascii="Verdana" w:hAnsi="Verdana" w:cs="Arial"/>
          <w:sz w:val="16"/>
          <w:szCs w:val="16"/>
        </w:rPr>
        <w:t xml:space="preserve"> </w:t>
      </w:r>
      <w:r w:rsidRPr="006C7BAC">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17">
    <w:p w14:paraId="3D685AEC" w14:textId="77777777" w:rsidR="00102946" w:rsidRPr="006C7BAC" w:rsidRDefault="00102946" w:rsidP="00102946">
      <w:pPr>
        <w:pStyle w:val="Textonotapie"/>
        <w:ind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Concepto del 08 de mayo de 2018. Exp. 2.382. C.P. Álvaro Namén Vargas.</w:t>
      </w:r>
    </w:p>
  </w:footnote>
  <w:footnote w:id="18">
    <w:p w14:paraId="6774ED78" w14:textId="77777777" w:rsidR="00102946" w:rsidRPr="006C7BAC" w:rsidRDefault="00102946" w:rsidP="00102946">
      <w:pPr>
        <w:pStyle w:val="Textonotapie"/>
        <w:ind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19">
    <w:p w14:paraId="0BC6F75A" w14:textId="77777777" w:rsidR="00102946" w:rsidRPr="006C7BAC" w:rsidRDefault="00102946" w:rsidP="00102946">
      <w:pPr>
        <w:spacing w:after="0"/>
        <w:ind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0">
    <w:p w14:paraId="6B0BFA9B" w14:textId="77777777" w:rsidR="00102946" w:rsidRPr="006C7BAC" w:rsidRDefault="00102946" w:rsidP="00102946">
      <w:pPr>
        <w:pStyle w:val="Textonotapie"/>
        <w:ind w:right="51"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w:t>
      </w:r>
      <w:bookmarkStart w:id="18" w:name="_Hlk75633115"/>
      <w:r w:rsidRPr="006C7BAC">
        <w:rPr>
          <w:rFonts w:ascii="Verdana" w:hAnsi="Verdana" w:cs="Arial"/>
          <w:sz w:val="16"/>
          <w:szCs w:val="16"/>
        </w:rPr>
        <w:t xml:space="preserve">Consejo de Estado. Sala de Consulta y Servicio Civil. Concepto </w:t>
      </w:r>
      <w:bookmarkEnd w:id="18"/>
      <w:r w:rsidRPr="006C7BAC">
        <w:rPr>
          <w:rFonts w:ascii="Verdana" w:hAnsi="Verdana" w:cs="Arial"/>
          <w:sz w:val="16"/>
          <w:szCs w:val="16"/>
        </w:rPr>
        <w:t>de 6 de abril de 2006. Radicación Número: 11001-03-06-000-2006-00038-00(1738). Consejero Ponente: Enrique José Arboleda Perdomo:</w:t>
      </w:r>
      <w:r w:rsidRPr="006C7BAC">
        <w:rPr>
          <w:rFonts w:ascii="Verdana" w:eastAsia="Times New Roman" w:hAnsi="Verdana" w:cs="Arial"/>
          <w:bCs/>
          <w:sz w:val="16"/>
          <w:szCs w:val="16"/>
          <w:lang w:eastAsia="x-none"/>
        </w:rPr>
        <w:t xml:space="preserve"> “</w:t>
      </w:r>
      <w:r w:rsidRPr="006C7BAC">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6C7BAC">
        <w:rPr>
          <w:rFonts w:ascii="Verdana" w:eastAsia="Times New Roman" w:hAnsi="Verdana" w:cs="Arial"/>
          <w:bCs/>
          <w:sz w:val="16"/>
          <w:szCs w:val="16"/>
          <w:lang w:eastAsia="x-none"/>
        </w:rPr>
        <w:t>”.</w:t>
      </w:r>
    </w:p>
  </w:footnote>
  <w:footnote w:id="21">
    <w:p w14:paraId="4599EE04" w14:textId="77777777" w:rsidR="00102946" w:rsidRPr="006C7BAC" w:rsidRDefault="00102946" w:rsidP="00102946">
      <w:pPr>
        <w:pStyle w:val="Textonotapie"/>
        <w:ind w:right="51"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Concepto de 6 de abril de 2006. Radicación Número: 11001-03-06-000-2006-00038-00(1738). Consejero Ponente: Enrique José Arboleda Perdomo.</w:t>
      </w:r>
    </w:p>
  </w:footnote>
  <w:footnote w:id="22">
    <w:p w14:paraId="3D4CE3E6" w14:textId="77777777" w:rsidR="00102946" w:rsidRPr="006C7BAC" w:rsidRDefault="00102946" w:rsidP="00102946">
      <w:pPr>
        <w:pStyle w:val="Textonotapie"/>
        <w:ind w:right="51"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w:t>
      </w:r>
      <w:r w:rsidRPr="006C7BAC">
        <w:rPr>
          <w:rFonts w:ascii="Verdana" w:hAnsi="Verdana" w:cs="Arial"/>
          <w:i/>
          <w:iCs/>
          <w:sz w:val="16"/>
          <w:szCs w:val="16"/>
        </w:rPr>
        <w:t>ibidem</w:t>
      </w:r>
      <w:r w:rsidRPr="006C7BAC">
        <w:rPr>
          <w:rFonts w:ascii="Verdana" w:hAnsi="Verdana" w:cs="Arial"/>
          <w:sz w:val="16"/>
          <w:szCs w:val="16"/>
        </w:rPr>
        <w:t>.</w:t>
      </w:r>
    </w:p>
  </w:footnote>
  <w:footnote w:id="23">
    <w:p w14:paraId="49CFBD3B" w14:textId="77777777" w:rsidR="00102946" w:rsidRPr="006C7BAC" w:rsidRDefault="00102946" w:rsidP="00102946">
      <w:pPr>
        <w:pStyle w:val="Textonotapie"/>
        <w:ind w:firstLine="708"/>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Concepto del 18 de febrero 2010. Rad. 11001-03-06-000-2010-00006-00 (1985). C.P. Enrique José Arboleda Perdomo.</w:t>
      </w:r>
    </w:p>
  </w:footnote>
  <w:footnote w:id="24">
    <w:p w14:paraId="419B4FA2" w14:textId="77777777" w:rsidR="00102946" w:rsidRPr="006C7BAC" w:rsidRDefault="00102946" w:rsidP="00102946">
      <w:pPr>
        <w:pStyle w:val="Textonotapie"/>
        <w:ind w:firstLine="708"/>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Corte Constitucional. Sentencia C-1153 de 2005 M.P. Marco Gerardo Monroy Cabra. </w:t>
      </w:r>
    </w:p>
  </w:footnote>
  <w:footnote w:id="25">
    <w:p w14:paraId="7E4AD376" w14:textId="77777777" w:rsidR="00102946" w:rsidRPr="006C7BAC" w:rsidRDefault="00102946" w:rsidP="00102946">
      <w:pPr>
        <w:pStyle w:val="Textonotapie"/>
        <w:ind w:firstLine="708"/>
        <w:jc w:val="both"/>
        <w:rPr>
          <w:rFonts w:ascii="Verdana" w:hAnsi="Verdana"/>
          <w:sz w:val="16"/>
          <w:szCs w:val="16"/>
          <w:lang w:val="es-CO"/>
        </w:rPr>
      </w:pPr>
      <w:r w:rsidRPr="006C7BAC">
        <w:rPr>
          <w:rStyle w:val="Refdenotaalpie"/>
          <w:rFonts w:ascii="Verdana" w:hAnsi="Verdana"/>
          <w:sz w:val="16"/>
          <w:szCs w:val="16"/>
        </w:rPr>
        <w:footnoteRef/>
      </w:r>
      <w:r w:rsidRPr="006C7BAC">
        <w:rPr>
          <w:rFonts w:ascii="Verdana" w:hAnsi="Verdana"/>
          <w:sz w:val="16"/>
          <w:szCs w:val="16"/>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6C7BAC">
        <w:rPr>
          <w:rFonts w:ascii="Verdana" w:hAnsi="Verdana"/>
          <w:i/>
          <w:iCs/>
          <w:sz w:val="16"/>
          <w:szCs w:val="16"/>
        </w:rPr>
        <w:t>las palabras de la ley se entenderán en su sentido natural y obvio, según el uso general de las mismas palabras</w:t>
      </w:r>
      <w:r w:rsidRPr="006C7BAC">
        <w:rPr>
          <w:rFonts w:ascii="Verdana" w:hAnsi="Verdana"/>
          <w:sz w:val="16"/>
          <w:szCs w:val="16"/>
        </w:rPr>
        <w:t>’, es decir, el uso de la gente educada. El Diccionario de la Lengua publicado por la Real Academia Española goza a este respecto de gran autoridad. ‘</w:t>
      </w:r>
      <w:r w:rsidRPr="006C7BAC">
        <w:rPr>
          <w:rFonts w:ascii="Verdana" w:hAnsi="Verdana"/>
          <w:i/>
          <w:iCs/>
          <w:sz w:val="16"/>
          <w:szCs w:val="16"/>
        </w:rPr>
        <w:t>Pero cuando el legislador</w:t>
      </w:r>
      <w:r w:rsidRPr="006C7BAC">
        <w:rPr>
          <w:rFonts w:ascii="Verdana" w:hAnsi="Verdana"/>
          <w:sz w:val="16"/>
          <w:szCs w:val="16"/>
        </w:rPr>
        <w:t xml:space="preserve">, agrega el artículo 20, </w:t>
      </w:r>
      <w:r w:rsidRPr="006C7BAC">
        <w:rPr>
          <w:rFonts w:ascii="Verdana" w:hAnsi="Verdana"/>
          <w:i/>
          <w:iCs/>
          <w:sz w:val="16"/>
          <w:szCs w:val="16"/>
        </w:rPr>
        <w:t>las haya definido expresamente para ciertas materias se les dará en éstas su significado legal</w:t>
      </w:r>
      <w:r w:rsidRPr="006C7BAC">
        <w:rPr>
          <w:rFonts w:ascii="Verdana" w:hAnsi="Verdana"/>
          <w:sz w:val="16"/>
          <w:szCs w:val="16"/>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footnote>
  <w:footnote w:id="26">
    <w:p w14:paraId="179F5F5D" w14:textId="77777777" w:rsidR="00102946" w:rsidRPr="006C7BAC" w:rsidRDefault="00102946" w:rsidP="00102946">
      <w:pPr>
        <w:pStyle w:val="Textonotapie"/>
        <w:ind w:firstLine="708"/>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El artículo 2.8.8.1.4.2 del Decreto 780 de 2016 dispone que “Para efectos de la aplicación del presente Capítulo, entiéndase por Autoridades Sanitarias del Sivigila, el Ministerio de Salud y Protección Social; el Instituto Nacional de Salud (INS); el Instituto Nacional de Vigilancia de Medicamentos y Alimentos (Invima), las Direcciones Territoriales de Salud, </w:t>
      </w:r>
      <w:r w:rsidRPr="006C7BAC">
        <w:rPr>
          <w:rFonts w:ascii="Verdana" w:hAnsi="Verdana" w:cs="Arial"/>
          <w:i/>
          <w:iCs/>
          <w:sz w:val="16"/>
          <w:szCs w:val="16"/>
        </w:rPr>
        <w:t>y todas aquellas entidades que de acuerdo con la ley ejerzan funciones de vigilancia y control sanitario</w:t>
      </w:r>
      <w:r w:rsidRPr="006C7BAC">
        <w:rPr>
          <w:rFonts w:ascii="Verdana" w:hAnsi="Verdana" w:cs="Arial"/>
          <w:sz w:val="16"/>
          <w:szCs w:val="16"/>
        </w:rPr>
        <w:t xml:space="preserve">, las cuales deben adoptar medidas sanitarias que garanticen la protección de la salud pública y el cumplimiento de lo dispuesto en esta norma, así como adelantar los procedimientos y aplicar las sanciones a que hubiere lugar” (Énfasis fuera de texto).  </w:t>
      </w:r>
    </w:p>
  </w:footnote>
  <w:footnote w:id="27">
    <w:p w14:paraId="581A3240" w14:textId="77777777" w:rsidR="00102946" w:rsidRPr="006C7BAC" w:rsidRDefault="00102946" w:rsidP="00102946">
      <w:pPr>
        <w:pStyle w:val="Textonotapie"/>
        <w:ind w:firstLine="708"/>
        <w:jc w:val="both"/>
        <w:rPr>
          <w:rFonts w:ascii="Verdana" w:hAnsi="Verdana"/>
          <w:sz w:val="16"/>
          <w:szCs w:val="16"/>
        </w:rPr>
      </w:pPr>
      <w:r w:rsidRPr="006C7BAC">
        <w:rPr>
          <w:rStyle w:val="Refdenotaalpie"/>
          <w:rFonts w:ascii="Verdana" w:hAnsi="Verdana"/>
          <w:sz w:val="16"/>
          <w:szCs w:val="16"/>
        </w:rPr>
        <w:footnoteRef/>
      </w:r>
      <w:r w:rsidRPr="006C7BAC">
        <w:rPr>
          <w:rFonts w:ascii="Verdana" w:hAnsi="Verdana"/>
          <w:sz w:val="16"/>
          <w:szCs w:val="16"/>
        </w:rPr>
        <w:t xml:space="preserve"> Al respecto, el numeral 3 de la Circular Externa 006 del 25 de septiembre de 2025 explica que “Las entidades deberán realizar una adecuada planeación que garantice el cumplimiento de sus funciones durante los periodos en que rigen las restricciones de la Ley de Garantías Electorales. Para lo anterior, deberán tener en cuenta la posibilidad de acudir a procedimientos de selección distintos a la contratación directa (en el caso de la prohibición del artículo 33), o a la suscripción de convenios interadministrativos (con respecto a la prohibición del parágrafo del artículo 38)”. </w:t>
      </w:r>
    </w:p>
  </w:footnote>
  <w:footnote w:id="28">
    <w:p w14:paraId="00069553" w14:textId="77777777" w:rsidR="00102946" w:rsidRPr="006C7BAC" w:rsidRDefault="00102946" w:rsidP="00102946">
      <w:pPr>
        <w:pStyle w:val="Textonotapie"/>
        <w:ind w:firstLine="708"/>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Es lo que sucede, por ejemplo, con el Decreto 092 de 2017, que en su desarrollo hace referencia tanto a los “contratos” como a los “convenios”. </w:t>
      </w:r>
    </w:p>
  </w:footnote>
  <w:footnote w:id="29">
    <w:p w14:paraId="179B3CFD" w14:textId="77777777" w:rsidR="00102946" w:rsidRPr="006C7BAC" w:rsidRDefault="00102946" w:rsidP="00102946">
      <w:pPr>
        <w:pStyle w:val="Textonotapie"/>
        <w:ind w:firstLine="708"/>
        <w:jc w:val="both"/>
        <w:rPr>
          <w:rFonts w:ascii="Verdana" w:hAnsi="Verdana" w:cs="Arial"/>
          <w:sz w:val="16"/>
          <w:szCs w:val="16"/>
          <w:lang w:val="pt-BR"/>
        </w:rPr>
      </w:pPr>
      <w:r w:rsidRPr="006C7BAC">
        <w:rPr>
          <w:rStyle w:val="Refdenotaalpie"/>
          <w:rFonts w:ascii="Verdana" w:hAnsi="Verdana" w:cs="Arial"/>
          <w:sz w:val="16"/>
          <w:szCs w:val="16"/>
        </w:rPr>
        <w:footnoteRef/>
      </w:r>
      <w:r w:rsidRPr="006C7BAC">
        <w:rPr>
          <w:rFonts w:ascii="Verdana" w:hAnsi="Verdana" w:cs="Arial"/>
          <w:sz w:val="16"/>
          <w:szCs w:val="16"/>
        </w:rPr>
        <w:t xml:space="preserve"> A pesar de que la norma se refiere únicamente a los contratos interadministrativos, esto no implica que la excepción a la licitación pública sólo se aplique a éstos y no a los convenios interadministrativos, puesto que ello conduciría a una interpretación irrazonable según la cual esta modalidad contractual, cuyo objeto y finalidad sólo interesa a la administración, deba ser celebrado siguiendo el procedimiento de selección objetiva y en la cual únicamente será proponente aquélla. En tal sentido, la causal de contratación directa es aplicable a los convenios y a los contratos interadministrativos”. </w:t>
      </w:r>
      <w:r w:rsidRPr="006C7BAC">
        <w:rPr>
          <w:rFonts w:ascii="Verdana" w:hAnsi="Verdana" w:cs="Arial"/>
          <w:sz w:val="16"/>
          <w:szCs w:val="16"/>
          <w:lang w:val="pt-BR"/>
        </w:rPr>
        <w:t>(Corte Constitucional. Sentencia C-671 de 2015. M.P. Alberto Rojas Ríos).</w:t>
      </w:r>
    </w:p>
  </w:footnote>
  <w:footnote w:id="30">
    <w:p w14:paraId="397F735A" w14:textId="77777777" w:rsidR="00102946" w:rsidRPr="006C7BAC" w:rsidRDefault="00102946" w:rsidP="00102946">
      <w:pPr>
        <w:pStyle w:val="Textonotapie"/>
        <w:ind w:firstLine="709"/>
        <w:jc w:val="both"/>
        <w:rPr>
          <w:rFonts w:ascii="Verdana" w:hAnsi="Verdana"/>
          <w:sz w:val="16"/>
          <w:szCs w:val="16"/>
          <w:lang w:val="es-CO"/>
        </w:rPr>
      </w:pPr>
      <w:r w:rsidRPr="006C7BAC">
        <w:rPr>
          <w:rStyle w:val="Refdenotaalpie"/>
          <w:rFonts w:ascii="Verdana" w:hAnsi="Verdana"/>
          <w:sz w:val="16"/>
          <w:szCs w:val="16"/>
        </w:rPr>
        <w:footnoteRef/>
      </w:r>
      <w:r w:rsidRPr="006C7BAC">
        <w:rPr>
          <w:rFonts w:ascii="Verdana" w:hAnsi="Verdana"/>
          <w:sz w:val="16"/>
          <w:szCs w:val="16"/>
          <w:lang w:val="es-CO"/>
        </w:rPr>
        <w:t xml:space="preserve"> </w:t>
      </w:r>
      <w:r w:rsidRPr="006C7BAC">
        <w:rPr>
          <w:rFonts w:ascii="Verdana" w:hAnsi="Verdana" w:cs="Arial"/>
          <w:sz w:val="16"/>
          <w:szCs w:val="16"/>
          <w:lang w:val="es-CO"/>
        </w:rPr>
        <w:t>Consejo de Estado, Sección Tercera. Auto del 4 de octubre de 2024. Exp. 70.313. C.P: Fredy Ibarra Martínez.</w:t>
      </w:r>
    </w:p>
  </w:footnote>
  <w:footnote w:id="31">
    <w:p w14:paraId="69792917" w14:textId="77777777" w:rsidR="00102946" w:rsidRPr="006C7BAC" w:rsidRDefault="00102946" w:rsidP="00102946">
      <w:pPr>
        <w:pStyle w:val="Textonotapie"/>
        <w:ind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Concepto del 15 de noviembre de 2007. Expediente número 1863. Consejero Ponente: Luis Fernando Álvarez Jaramillo.</w:t>
      </w:r>
    </w:p>
  </w:footnote>
  <w:footnote w:id="32">
    <w:p w14:paraId="682A4679" w14:textId="77777777" w:rsidR="00102946" w:rsidRPr="006C7BAC" w:rsidRDefault="00102946" w:rsidP="00102946">
      <w:pPr>
        <w:pStyle w:val="Textonotapie"/>
        <w:ind w:firstLine="709"/>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Fonts w:ascii="Verdana" w:hAnsi="Verdana" w:cs="Arial"/>
          <w:sz w:val="16"/>
          <w:szCs w:val="16"/>
        </w:rPr>
        <w:t xml:space="preserve"> </w:t>
      </w:r>
      <w:r w:rsidRPr="006C7BAC">
        <w:rPr>
          <w:rFonts w:ascii="Verdana" w:hAnsi="Verdana" w:cs="Arial"/>
          <w:sz w:val="16"/>
          <w:szCs w:val="16"/>
          <w:lang w:val="es-ES"/>
        </w:rPr>
        <w:t>Consejo de Estado. Sala de Consulta y Servicio Civil. Concepto del 24 de julio de 2013. Consejero Ponente: Álvaro Namén Vargas. Número interno: 2166.</w:t>
      </w:r>
    </w:p>
  </w:footnote>
  <w:footnote w:id="33">
    <w:p w14:paraId="38DE781C" w14:textId="77777777" w:rsidR="00102946" w:rsidRPr="006C7BAC" w:rsidRDefault="00102946" w:rsidP="00102946">
      <w:pPr>
        <w:pStyle w:val="Textonotapie"/>
        <w:ind w:firstLine="709"/>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Fonts w:ascii="Verdana" w:hAnsi="Verdana" w:cs="Arial"/>
          <w:sz w:val="16"/>
          <w:szCs w:val="16"/>
        </w:rPr>
        <w:t xml:space="preserve"> </w:t>
      </w:r>
      <w:r w:rsidRPr="006C7BAC">
        <w:rPr>
          <w:rFonts w:ascii="Verdana" w:hAnsi="Verdana" w:cs="Arial"/>
          <w:sz w:val="16"/>
          <w:szCs w:val="16"/>
          <w:lang w:val="es-ES"/>
        </w:rPr>
        <w:t>Disposición aplicable tanto a las entidades exceptuadas, como a las sometidas al Estatuto General de Contratación de la Administración Pública, en este último caso, por la remisión prevista en los artículos 13, 32 y 40 al derecho privado.</w:t>
      </w:r>
    </w:p>
  </w:footnote>
  <w:footnote w:id="34">
    <w:p w14:paraId="49B29014" w14:textId="77777777" w:rsidR="00102946" w:rsidRPr="006C7BAC" w:rsidRDefault="00102946" w:rsidP="00102946">
      <w:pPr>
        <w:spacing w:after="0"/>
        <w:ind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M.P. Antonio Barrera Carbonell.</w:t>
      </w:r>
    </w:p>
  </w:footnote>
  <w:footnote w:id="35">
    <w:p w14:paraId="624E3B29" w14:textId="77777777" w:rsidR="00102946" w:rsidRPr="006C7BAC" w:rsidRDefault="00102946" w:rsidP="00102946">
      <w:pPr>
        <w:pStyle w:val="Textonotapie"/>
        <w:ind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M.P. Humberto Antonio Sierra Porto.</w:t>
      </w:r>
    </w:p>
  </w:footnote>
  <w:footnote w:id="36">
    <w:p w14:paraId="6E40834F" w14:textId="77777777" w:rsidR="00102946" w:rsidRPr="006C7BAC" w:rsidRDefault="00102946" w:rsidP="00102946">
      <w:pPr>
        <w:pStyle w:val="Textonotapie"/>
        <w:ind w:firstLine="709"/>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Fonts w:ascii="Verdana" w:hAnsi="Verdana" w:cs="Arial"/>
          <w:sz w:val="16"/>
          <w:szCs w:val="16"/>
        </w:rPr>
        <w:t xml:space="preserve"> </w:t>
      </w:r>
      <w:r w:rsidRPr="006C7BAC">
        <w:rPr>
          <w:rFonts w:ascii="Verdana" w:hAnsi="Verdana" w:cs="Arial"/>
          <w:sz w:val="16"/>
          <w:szCs w:val="16"/>
          <w:lang w:val="es-ES"/>
        </w:rPr>
        <w:t xml:space="preserve">GARCÍA-TREVIJANO FOS, José Antonio. </w:t>
      </w:r>
      <w:r w:rsidRPr="006C7BAC">
        <w:rPr>
          <w:rFonts w:ascii="Verdana" w:hAnsi="Verdana" w:cs="Arial"/>
          <w:i/>
          <w:iCs/>
          <w:sz w:val="16"/>
          <w:szCs w:val="16"/>
          <w:lang w:val="es-ES"/>
        </w:rPr>
        <w:t>Los actos administrativos</w:t>
      </w:r>
      <w:r w:rsidRPr="006C7BAC">
        <w:rPr>
          <w:rFonts w:ascii="Verdana" w:hAnsi="Verdana" w:cs="Arial"/>
          <w:sz w:val="16"/>
          <w:szCs w:val="16"/>
          <w:lang w:val="es-ES"/>
        </w:rPr>
        <w:t>. Madrid: Civitas, 1986. pp. 95-97.</w:t>
      </w:r>
    </w:p>
  </w:footnote>
  <w:footnote w:id="37">
    <w:p w14:paraId="3BFA71B9" w14:textId="77777777" w:rsidR="00102946" w:rsidRPr="006C7BAC" w:rsidRDefault="00102946" w:rsidP="00102946">
      <w:pPr>
        <w:pStyle w:val="Textonotapie"/>
        <w:ind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Ibíd., pp. 44-45.</w:t>
      </w:r>
    </w:p>
  </w:footnote>
  <w:footnote w:id="38">
    <w:p w14:paraId="11E9A1FF" w14:textId="77777777" w:rsidR="00102946" w:rsidRPr="006C7BAC" w:rsidRDefault="00102946" w:rsidP="00102946">
      <w:pPr>
        <w:pStyle w:val="Textonotapie"/>
        <w:ind w:firstLine="709"/>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Fonts w:ascii="Verdana" w:hAnsi="Verdana" w:cs="Arial"/>
          <w:sz w:val="16"/>
          <w:szCs w:val="16"/>
        </w:rPr>
        <w:t xml:space="preserve"> </w:t>
      </w:r>
      <w:r w:rsidRPr="006C7BAC">
        <w:rPr>
          <w:rFonts w:ascii="Verdana" w:hAnsi="Verdana" w:cs="Arial"/>
          <w:sz w:val="16"/>
          <w:szCs w:val="16"/>
          <w:lang w:val="es-ES"/>
        </w:rPr>
        <w:t>Ibíd., p. 96.</w:t>
      </w:r>
    </w:p>
  </w:footnote>
  <w:footnote w:id="39">
    <w:p w14:paraId="4AF87AAB" w14:textId="77777777" w:rsidR="00102946" w:rsidRPr="006C7BAC" w:rsidRDefault="00102946" w:rsidP="00102946">
      <w:pPr>
        <w:pStyle w:val="Textonotapie"/>
        <w:ind w:firstLine="709"/>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Fonts w:ascii="Verdana" w:hAnsi="Verdana" w:cs="Arial"/>
          <w:sz w:val="16"/>
          <w:szCs w:val="16"/>
        </w:rPr>
        <w:t xml:space="preserve"> </w:t>
      </w:r>
      <w:r w:rsidRPr="006C7BAC">
        <w:rPr>
          <w:rFonts w:ascii="Verdana" w:hAnsi="Verdana" w:cs="Arial"/>
          <w:sz w:val="16"/>
          <w:szCs w:val="16"/>
          <w:lang w:val="es-ES"/>
        </w:rPr>
        <w:t xml:space="preserve">GALLEGO ANABITARTE, Alfredo y MENÉNDEZ REXACH, Ángel. </w:t>
      </w:r>
      <w:r w:rsidRPr="006C7BAC">
        <w:rPr>
          <w:rFonts w:ascii="Verdana" w:hAnsi="Verdana" w:cs="Arial"/>
          <w:i/>
          <w:iCs/>
          <w:sz w:val="16"/>
          <w:szCs w:val="16"/>
          <w:lang w:val="es-ES"/>
        </w:rPr>
        <w:t>Acto y procedimiento administrativo</w:t>
      </w:r>
      <w:r w:rsidRPr="006C7BAC">
        <w:rPr>
          <w:rFonts w:ascii="Verdana" w:hAnsi="Verdana" w:cs="Arial"/>
          <w:sz w:val="16"/>
          <w:szCs w:val="16"/>
          <w:lang w:val="es-ES"/>
        </w:rPr>
        <w:t>. Madrid: Marcial Pons, 2001, p. 109.</w:t>
      </w:r>
    </w:p>
  </w:footnote>
  <w:footnote w:id="40">
    <w:p w14:paraId="3986D374" w14:textId="77777777" w:rsidR="00102946" w:rsidRPr="006C7BAC" w:rsidRDefault="00102946" w:rsidP="00102946">
      <w:pPr>
        <w:pStyle w:val="Textonotapie"/>
        <w:ind w:firstLine="708"/>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Fonts w:ascii="Verdana" w:hAnsi="Verdana" w:cs="Arial"/>
          <w:sz w:val="16"/>
          <w:szCs w:val="16"/>
        </w:rPr>
        <w:t xml:space="preserve"> </w:t>
      </w:r>
      <w:r w:rsidRPr="006C7BAC">
        <w:rPr>
          <w:rFonts w:ascii="Verdana" w:hAnsi="Verdana" w:cs="Arial"/>
          <w:sz w:val="16"/>
          <w:szCs w:val="16"/>
          <w:lang w:val="es-ES"/>
        </w:rPr>
        <w:t>Ibíd., p. 109.</w:t>
      </w:r>
    </w:p>
  </w:footnote>
  <w:footnote w:id="41">
    <w:p w14:paraId="046AE11C" w14:textId="77777777" w:rsidR="00102946" w:rsidRPr="006C7BAC" w:rsidRDefault="00102946" w:rsidP="00102946">
      <w:pPr>
        <w:pStyle w:val="Textonotapie"/>
        <w:ind w:firstLine="709"/>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Fonts w:ascii="Verdana" w:hAnsi="Verdana" w:cs="Arial"/>
          <w:sz w:val="16"/>
          <w:szCs w:val="16"/>
        </w:rPr>
        <w:t xml:space="preserve"> </w:t>
      </w:r>
      <w:r w:rsidRPr="006C7BAC">
        <w:rPr>
          <w:rFonts w:ascii="Verdana" w:hAnsi="Verdana" w:cs="Arial"/>
          <w:sz w:val="16"/>
          <w:szCs w:val="16"/>
          <w:lang w:val="es-ES"/>
        </w:rPr>
        <w:t>Ibíd., p. 111.</w:t>
      </w:r>
    </w:p>
  </w:footnote>
  <w:footnote w:id="42">
    <w:p w14:paraId="134AAC17" w14:textId="77777777" w:rsidR="00102946" w:rsidRPr="006C7BAC" w:rsidRDefault="00102946" w:rsidP="00102946">
      <w:pPr>
        <w:pStyle w:val="Textonotapie"/>
        <w:ind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Ibíd., p. 111.</w:t>
      </w:r>
    </w:p>
  </w:footnote>
  <w:footnote w:id="43">
    <w:p w14:paraId="32B8BBAF" w14:textId="77777777" w:rsidR="00102946" w:rsidRPr="006C7BAC" w:rsidRDefault="00102946" w:rsidP="00102946">
      <w:pPr>
        <w:pStyle w:val="Textonotapie"/>
        <w:ind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JIMÉNEZ VALDERRAMA, Fernando. </w:t>
      </w:r>
      <w:r w:rsidRPr="006C7BAC">
        <w:rPr>
          <w:rFonts w:ascii="Verdana" w:hAnsi="Verdana" w:cs="Arial"/>
          <w:i/>
          <w:iCs/>
          <w:sz w:val="16"/>
          <w:szCs w:val="16"/>
        </w:rPr>
        <w:t>Teoría general del contrato y del negocio jurídico</w:t>
      </w:r>
      <w:r w:rsidRPr="006C7BAC">
        <w:rPr>
          <w:rFonts w:ascii="Verdana" w:hAnsi="Verdana" w:cs="Arial"/>
          <w:sz w:val="16"/>
          <w:szCs w:val="16"/>
        </w:rPr>
        <w:t>. Bogotá: Legis, 2015. p. 34.</w:t>
      </w:r>
    </w:p>
  </w:footnote>
  <w:footnote w:id="44">
    <w:p w14:paraId="7404ED6E" w14:textId="77777777" w:rsidR="00102946" w:rsidRPr="006C7BAC" w:rsidRDefault="00102946" w:rsidP="00102946">
      <w:pPr>
        <w:spacing w:after="0"/>
        <w:ind w:firstLine="709"/>
        <w:jc w:val="both"/>
        <w:rPr>
          <w:rFonts w:ascii="Verdana" w:hAnsi="Verdana" w:cs="Arial"/>
          <w:color w:val="000000" w:themeColor="text1"/>
          <w:sz w:val="16"/>
          <w:szCs w:val="16"/>
          <w:lang w:val="es-ES"/>
        </w:rPr>
      </w:pPr>
      <w:r w:rsidRPr="006C7BAC">
        <w:rPr>
          <w:rStyle w:val="Refdenotaalpie"/>
          <w:rFonts w:ascii="Verdana" w:hAnsi="Verdana" w:cs="Arial"/>
          <w:color w:val="000000" w:themeColor="text1"/>
          <w:sz w:val="16"/>
          <w:szCs w:val="16"/>
        </w:rPr>
        <w:footnoteRef/>
      </w:r>
      <w:r w:rsidRPr="006C7BAC">
        <w:rPr>
          <w:rFonts w:ascii="Verdana" w:hAnsi="Verdana" w:cs="Arial"/>
          <w:color w:val="000000" w:themeColor="text1"/>
          <w:sz w:val="16"/>
          <w:szCs w:val="16"/>
        </w:rPr>
        <w:t xml:space="preserve"> </w:t>
      </w:r>
      <w:r w:rsidRPr="006C7BAC">
        <w:rPr>
          <w:rFonts w:ascii="Verdana" w:hAnsi="Verdana" w:cs="Arial"/>
          <w:color w:val="000000" w:themeColor="text1"/>
          <w:sz w:val="16"/>
          <w:szCs w:val="16"/>
          <w:lang w:val="es-ES"/>
        </w:rPr>
        <w:t xml:space="preserve">“La doctrina ha definido el contrato de adhesión como aquel acuerdo de voluntades por medio del cual uno de los contratantes, denominado predisponente, impone al otro, llamado adherente, el contenido del contrato sin ninguna posibilidad de discutirlo ni de modificarlo, contando únicamente con la facultad de decidir libremente si contrata o no bajo el clausulado ofrecido, dentro de un esquema de "lo toma o lo deja". En derecho colombiano, ni el Código Civil ni el Código de Comercio definen el concepto de contrato de adhesión, aunque podemos encontrar una definición en el Estatuto del Consumidor, según el cual se trata de "aquel en el que las cláusulas son dispuestas por el productor o proveedor, de manera que el consumidor no puede modificarlas, ni puede hacer otra cosa que aceptarlas o rechazarlas” (POSADA TORRES, Camilo. </w:t>
      </w:r>
      <w:r w:rsidRPr="006C7BAC">
        <w:rPr>
          <w:rFonts w:ascii="Verdana" w:hAnsi="Verdana" w:cs="Arial"/>
          <w:i/>
          <w:iCs/>
          <w:color w:val="000000" w:themeColor="text1"/>
          <w:sz w:val="16"/>
          <w:szCs w:val="16"/>
          <w:lang w:val="es-ES"/>
        </w:rPr>
        <w:t>Las cláusulas abusivas en los contratos de adhesión en el derecho colombiano</w:t>
      </w:r>
      <w:r w:rsidRPr="006C7BAC">
        <w:rPr>
          <w:rFonts w:ascii="Verdana" w:hAnsi="Verdana" w:cs="Arial"/>
          <w:color w:val="000000" w:themeColor="text1"/>
          <w:sz w:val="16"/>
          <w:szCs w:val="16"/>
          <w:lang w:val="es-ES"/>
        </w:rPr>
        <w:t xml:space="preserve">. En: Revista de Derecho Privado, Universidad Externado de Colombia, n.° 29, julio-diciembre de 2015, p. 141). Disponible en: </w:t>
      </w:r>
      <w:hyperlink r:id="rId1" w:history="1">
        <w:r w:rsidRPr="001A622E">
          <w:rPr>
            <w:rStyle w:val="Hipervnculo"/>
            <w:rFonts w:ascii="Verdana" w:hAnsi="Verdana" w:cs="Arial"/>
            <w:sz w:val="16"/>
            <w:szCs w:val="16"/>
          </w:rPr>
          <w:t>https://revistas.uexternado.edu.co/index.php/derpri/article/view/4328/5081</w:t>
        </w:r>
      </w:hyperlink>
    </w:p>
    <w:p w14:paraId="7C159263" w14:textId="77777777" w:rsidR="00102946" w:rsidRPr="006C7BAC" w:rsidRDefault="00102946" w:rsidP="00102946">
      <w:pPr>
        <w:spacing w:after="0"/>
        <w:ind w:firstLine="709"/>
        <w:jc w:val="both"/>
        <w:rPr>
          <w:rFonts w:ascii="Verdana" w:hAnsi="Verdana" w:cs="Arial"/>
          <w:sz w:val="16"/>
          <w:szCs w:val="16"/>
        </w:rPr>
      </w:pPr>
      <w:r w:rsidRPr="006C7BAC">
        <w:rPr>
          <w:rFonts w:ascii="Verdana" w:hAnsi="Verdana" w:cs="Arial"/>
          <w:color w:val="000000" w:themeColor="text1"/>
          <w:sz w:val="16"/>
          <w:szCs w:val="16"/>
          <w:lang w:val="es-ES"/>
        </w:rPr>
        <w:t>La norma del Estatuto del Consumidor –Ley 1480 de 2011–, citada textualmente por el autor del texto, es el artículo 5, numeral 4.</w:t>
      </w:r>
    </w:p>
  </w:footnote>
  <w:footnote w:id="45">
    <w:p w14:paraId="629DE2B7" w14:textId="77777777" w:rsidR="00102946" w:rsidRPr="006C7BAC" w:rsidRDefault="00102946" w:rsidP="00102946">
      <w:pPr>
        <w:pStyle w:val="Textonotapie"/>
        <w:ind w:firstLine="709"/>
        <w:jc w:val="both"/>
        <w:rPr>
          <w:rFonts w:ascii="Verdana" w:hAnsi="Verdana" w:cs="Arial"/>
          <w:sz w:val="16"/>
          <w:szCs w:val="16"/>
          <w:lang w:val="es-CO"/>
        </w:rPr>
      </w:pPr>
      <w:r w:rsidRPr="006C7BAC">
        <w:rPr>
          <w:rStyle w:val="Refdenotaalpie"/>
          <w:rFonts w:ascii="Verdana" w:hAnsi="Verdana" w:cs="Arial"/>
          <w:sz w:val="16"/>
          <w:szCs w:val="16"/>
        </w:rPr>
        <w:footnoteRef/>
      </w:r>
      <w:r w:rsidRPr="006C7BAC">
        <w:rPr>
          <w:rFonts w:ascii="Verdana" w:hAnsi="Verdana" w:cs="Arial"/>
          <w:sz w:val="16"/>
          <w:szCs w:val="16"/>
        </w:rPr>
        <w:t xml:space="preserve"> </w:t>
      </w:r>
      <w:r w:rsidRPr="006C7BAC">
        <w:rPr>
          <w:rFonts w:ascii="Verdana" w:hAnsi="Verdana" w:cs="Arial"/>
          <w:sz w:val="16"/>
          <w:szCs w:val="16"/>
          <w:lang w:val="es-ES"/>
        </w:rPr>
        <w:t>Corte Suprema de Justicia. Sala de Casación Civil. Sentencia del 8 de septiembre de 2021. Magistrado Ponente: Luis Alonso Rico Puerta. Radicación: Radicación n.º 76001-31-03-004-2012-00180-01.</w:t>
      </w:r>
    </w:p>
  </w:footnote>
  <w:footnote w:id="46">
    <w:p w14:paraId="5E0F5EF8" w14:textId="77777777" w:rsidR="00102946" w:rsidRPr="006C7BAC" w:rsidRDefault="00102946" w:rsidP="00102946">
      <w:pPr>
        <w:pStyle w:val="Textonotapie"/>
        <w:ind w:firstLine="708"/>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Fonts w:ascii="Verdana" w:hAnsi="Verdana" w:cs="Arial"/>
          <w:sz w:val="16"/>
          <w:szCs w:val="16"/>
        </w:rPr>
        <w:t xml:space="preserve"> </w:t>
      </w:r>
      <w:r w:rsidRPr="006C7BAC">
        <w:rPr>
          <w:rFonts w:ascii="Verdana" w:hAnsi="Verdana" w:cs="Arial"/>
          <w:sz w:val="16"/>
          <w:szCs w:val="16"/>
          <w:lang w:val="es-ES"/>
        </w:rPr>
        <w:t xml:space="preserve">Ospina Fernández, Guilllermo y Ospina Acosta, Eduardo. </w:t>
      </w:r>
      <w:r w:rsidRPr="006C7BAC">
        <w:rPr>
          <w:rFonts w:ascii="Verdana" w:hAnsi="Verdana" w:cs="Arial"/>
          <w:i/>
          <w:iCs/>
          <w:sz w:val="16"/>
          <w:szCs w:val="16"/>
          <w:lang w:val="es-ES"/>
        </w:rPr>
        <w:t>Teoría general del contrato y del negocio jurídico</w:t>
      </w:r>
      <w:r w:rsidRPr="006C7BAC">
        <w:rPr>
          <w:rFonts w:ascii="Verdana" w:hAnsi="Verdana" w:cs="Arial"/>
          <w:sz w:val="16"/>
          <w:szCs w:val="16"/>
          <w:lang w:val="es-ES"/>
        </w:rPr>
        <w:t>. 7ª ed. Bogotá: Temis, 2005, p. 43.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1pt;height:11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C0012"/>
    <w:rsid w:val="000D0334"/>
    <w:rsid w:val="000F6486"/>
    <w:rsid w:val="00102946"/>
    <w:rsid w:val="00125105"/>
    <w:rsid w:val="00127233"/>
    <w:rsid w:val="001631F1"/>
    <w:rsid w:val="00194273"/>
    <w:rsid w:val="001E4177"/>
    <w:rsid w:val="001E6DA9"/>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A779E"/>
    <w:rsid w:val="003C4700"/>
    <w:rsid w:val="003D0F4D"/>
    <w:rsid w:val="003D5B0D"/>
    <w:rsid w:val="003E0499"/>
    <w:rsid w:val="003F3941"/>
    <w:rsid w:val="00406575"/>
    <w:rsid w:val="00414C74"/>
    <w:rsid w:val="0042722E"/>
    <w:rsid w:val="00442D5B"/>
    <w:rsid w:val="0044528D"/>
    <w:rsid w:val="004612E0"/>
    <w:rsid w:val="004A1847"/>
    <w:rsid w:val="004A305D"/>
    <w:rsid w:val="004D6A3D"/>
    <w:rsid w:val="004E4A7E"/>
    <w:rsid w:val="004F21C4"/>
    <w:rsid w:val="004F685F"/>
    <w:rsid w:val="005566E8"/>
    <w:rsid w:val="00574867"/>
    <w:rsid w:val="00591460"/>
    <w:rsid w:val="005A0385"/>
    <w:rsid w:val="005C3777"/>
    <w:rsid w:val="005C5CDC"/>
    <w:rsid w:val="005D476C"/>
    <w:rsid w:val="006219F8"/>
    <w:rsid w:val="006302F7"/>
    <w:rsid w:val="00665D70"/>
    <w:rsid w:val="006900D9"/>
    <w:rsid w:val="006A760C"/>
    <w:rsid w:val="006C7F45"/>
    <w:rsid w:val="00706C16"/>
    <w:rsid w:val="00756841"/>
    <w:rsid w:val="007649AB"/>
    <w:rsid w:val="00771D0C"/>
    <w:rsid w:val="007833AC"/>
    <w:rsid w:val="007B268C"/>
    <w:rsid w:val="007B7171"/>
    <w:rsid w:val="007C0C0F"/>
    <w:rsid w:val="007C3DC2"/>
    <w:rsid w:val="007E050A"/>
    <w:rsid w:val="007E5497"/>
    <w:rsid w:val="00806F5F"/>
    <w:rsid w:val="00820278"/>
    <w:rsid w:val="00867F95"/>
    <w:rsid w:val="008843B6"/>
    <w:rsid w:val="00891928"/>
    <w:rsid w:val="00897A3A"/>
    <w:rsid w:val="008A446D"/>
    <w:rsid w:val="008C0637"/>
    <w:rsid w:val="008D180B"/>
    <w:rsid w:val="008D209F"/>
    <w:rsid w:val="008F0EA7"/>
    <w:rsid w:val="00923EEF"/>
    <w:rsid w:val="009419F9"/>
    <w:rsid w:val="0095685E"/>
    <w:rsid w:val="00961B09"/>
    <w:rsid w:val="00965334"/>
    <w:rsid w:val="0097093E"/>
    <w:rsid w:val="00993C14"/>
    <w:rsid w:val="009A0DFA"/>
    <w:rsid w:val="009A559E"/>
    <w:rsid w:val="009B25A8"/>
    <w:rsid w:val="009B2D26"/>
    <w:rsid w:val="009C71FA"/>
    <w:rsid w:val="009C72E7"/>
    <w:rsid w:val="009D3058"/>
    <w:rsid w:val="009F3A13"/>
    <w:rsid w:val="00A0425B"/>
    <w:rsid w:val="00A122D3"/>
    <w:rsid w:val="00A17F13"/>
    <w:rsid w:val="00A20739"/>
    <w:rsid w:val="00A33C78"/>
    <w:rsid w:val="00AB0ADB"/>
    <w:rsid w:val="00AF746A"/>
    <w:rsid w:val="00B00C0E"/>
    <w:rsid w:val="00B01B1A"/>
    <w:rsid w:val="00B308CD"/>
    <w:rsid w:val="00B44A47"/>
    <w:rsid w:val="00B5011E"/>
    <w:rsid w:val="00B70D93"/>
    <w:rsid w:val="00B72CD3"/>
    <w:rsid w:val="00B72FFF"/>
    <w:rsid w:val="00B95903"/>
    <w:rsid w:val="00BC3D36"/>
    <w:rsid w:val="00BD7F72"/>
    <w:rsid w:val="00BF1049"/>
    <w:rsid w:val="00C04FB3"/>
    <w:rsid w:val="00C24590"/>
    <w:rsid w:val="00C330EB"/>
    <w:rsid w:val="00C754BE"/>
    <w:rsid w:val="00C76B1C"/>
    <w:rsid w:val="00CB6357"/>
    <w:rsid w:val="00CC1B26"/>
    <w:rsid w:val="00CD321A"/>
    <w:rsid w:val="00CF1417"/>
    <w:rsid w:val="00D423A2"/>
    <w:rsid w:val="00D520D8"/>
    <w:rsid w:val="00D62B0B"/>
    <w:rsid w:val="00D63AC2"/>
    <w:rsid w:val="00D7383B"/>
    <w:rsid w:val="00DA231B"/>
    <w:rsid w:val="00DC39FC"/>
    <w:rsid w:val="00DD0CF5"/>
    <w:rsid w:val="00DF5254"/>
    <w:rsid w:val="00E16408"/>
    <w:rsid w:val="00E20894"/>
    <w:rsid w:val="00E245AB"/>
    <w:rsid w:val="00E2764C"/>
    <w:rsid w:val="00E27F2E"/>
    <w:rsid w:val="00E44C96"/>
    <w:rsid w:val="00E50AFE"/>
    <w:rsid w:val="00E65738"/>
    <w:rsid w:val="00E75C92"/>
    <w:rsid w:val="00E771DC"/>
    <w:rsid w:val="00E8772A"/>
    <w:rsid w:val="00E90F6B"/>
    <w:rsid w:val="00E92C27"/>
    <w:rsid w:val="00EA0E3D"/>
    <w:rsid w:val="00EC38A7"/>
    <w:rsid w:val="00EE1AA8"/>
    <w:rsid w:val="00F31EDC"/>
    <w:rsid w:val="00F462B3"/>
    <w:rsid w:val="00F5664F"/>
    <w:rsid w:val="00F666C4"/>
    <w:rsid w:val="00F76AFC"/>
    <w:rsid w:val="00FA47C0"/>
    <w:rsid w:val="00FB5DD1"/>
    <w:rsid w:val="00FC2B5D"/>
    <w:rsid w:val="00FF1449"/>
    <w:rsid w:val="6DAEE574"/>
    <w:rsid w:val="7C76BBE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1DBC90C1-487D-476C-8B4C-80F95B556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0294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02946"/>
    <w:rPr>
      <w:rFonts w:ascii="Geomanist Light" w:hAnsi="Geomanist Light"/>
      <w:lang w:val="es-ES"/>
    </w:rPr>
  </w:style>
  <w:style w:type="character" w:customStyle="1" w:styleId="s15">
    <w:name w:val="s15"/>
    <w:basedOn w:val="Fuentedeprrafopredeter"/>
    <w:rsid w:val="00102946"/>
  </w:style>
  <w:style w:type="character" w:customStyle="1" w:styleId="NormalWebCar">
    <w:name w:val="Normal (Web) Car"/>
    <w:link w:val="NormalWeb"/>
    <w:uiPriority w:val="99"/>
    <w:rsid w:val="00102946"/>
    <w:rPr>
      <w:rFonts w:ascii="Times New Roman" w:eastAsia="Times New Roman" w:hAnsi="Times New Roman" w:cs="Times New Roman"/>
      <w:sz w:val="24"/>
      <w:szCs w:val="24"/>
      <w:lang w:eastAsia="es-CO"/>
    </w:rPr>
  </w:style>
  <w:style w:type="character" w:customStyle="1" w:styleId="baj">
    <w:name w:val="b_aj"/>
    <w:basedOn w:val="Fuentedeprrafopredeter"/>
    <w:rsid w:val="001029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rianapatricia.rojas@antioquia.gov.co"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revistas.uexternado.edu.co/index.php/derpri/article/view/4328/5081"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E44CACC-ED66-4EEE-8B4D-ED217B9EFD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19</TotalTime>
  <Pages>37</Pages>
  <Words>13321</Words>
  <Characters>71934</Characters>
  <Application>Microsoft Office Word</Application>
  <DocSecurity>0</DocSecurity>
  <Lines>1332</Lines>
  <Paragraphs>197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11</cp:revision>
  <cp:lastPrinted>2023-01-11T00:18:00Z</cp:lastPrinted>
  <dcterms:created xsi:type="dcterms:W3CDTF">2025-10-30T00:16:00Z</dcterms:created>
  <dcterms:modified xsi:type="dcterms:W3CDTF">2025-10-31T15:45:00Z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