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E23CF" w14:textId="77777777" w:rsidR="00D35E4D" w:rsidRPr="00F02C5A" w:rsidRDefault="00D35E4D" w:rsidP="00D35E4D">
      <w:pPr>
        <w:tabs>
          <w:tab w:val="left" w:pos="426"/>
        </w:tabs>
        <w:spacing w:line="240" w:lineRule="auto"/>
        <w:contextualSpacing/>
        <w:jc w:val="both"/>
        <w:rPr>
          <w:rFonts w:ascii="Verdana" w:eastAsia="Calibri" w:hAnsi="Verdana" w:cs="Arial"/>
          <w:b/>
          <w:bCs/>
          <w:lang w:val="es-MX"/>
        </w:rPr>
      </w:pPr>
      <w:r w:rsidRPr="00F02C5A">
        <w:rPr>
          <w:rFonts w:ascii="Verdana" w:eastAsia="Calibri" w:hAnsi="Verdana" w:cs="Arial"/>
          <w:b/>
          <w:bCs/>
          <w:lang w:val="es-MX"/>
        </w:rPr>
        <w:t xml:space="preserve">LEY DE GARANTÍAS ELECTORALES ─ Prohibición ‒ Contratación directa ‒ Alcance </w:t>
      </w:r>
    </w:p>
    <w:p w14:paraId="4130A9AB" w14:textId="77777777" w:rsidR="00D35E4D" w:rsidRPr="00F02C5A" w:rsidRDefault="00D35E4D" w:rsidP="00D35E4D">
      <w:pPr>
        <w:tabs>
          <w:tab w:val="left" w:pos="426"/>
        </w:tabs>
        <w:spacing w:line="240" w:lineRule="auto"/>
        <w:contextualSpacing/>
        <w:jc w:val="both"/>
        <w:rPr>
          <w:rFonts w:ascii="Verdana" w:eastAsia="Calibri" w:hAnsi="Verdana" w:cs="Arial"/>
          <w:noProof/>
          <w:sz w:val="20"/>
          <w:szCs w:val="20"/>
          <w:lang w:val="es-MX"/>
        </w:rPr>
      </w:pPr>
    </w:p>
    <w:p w14:paraId="02E9ED6D" w14:textId="77777777" w:rsidR="00D35E4D" w:rsidRPr="00F02C5A" w:rsidRDefault="00D35E4D" w:rsidP="00D35E4D">
      <w:pPr>
        <w:spacing w:line="240" w:lineRule="auto"/>
        <w:contextualSpacing/>
        <w:jc w:val="both"/>
        <w:rPr>
          <w:rFonts w:ascii="Verdana" w:eastAsia="Times New Roman" w:hAnsi="Verdana" w:cs="Arial"/>
          <w:bCs/>
          <w:sz w:val="20"/>
          <w:szCs w:val="20"/>
          <w:lang w:val="es-MX" w:eastAsia="x-none"/>
        </w:rPr>
      </w:pP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sz w:val="20"/>
          <w:szCs w:val="20"/>
          <w:vertAlign w:val="superscript"/>
          <w:lang w:eastAsia="x-none"/>
        </w:rPr>
        <w:t xml:space="preserve"> </w:t>
      </w:r>
    </w:p>
    <w:p w14:paraId="63461C14" w14:textId="77777777" w:rsidR="00D35E4D" w:rsidRPr="00F02C5A" w:rsidRDefault="00D35E4D" w:rsidP="00D35E4D">
      <w:pPr>
        <w:spacing w:line="240" w:lineRule="auto"/>
        <w:contextualSpacing/>
        <w:jc w:val="both"/>
        <w:rPr>
          <w:rFonts w:ascii="Verdana" w:eastAsia="Times New Roman" w:hAnsi="Verdana" w:cs="Arial"/>
          <w:bCs/>
          <w:sz w:val="20"/>
          <w:szCs w:val="20"/>
          <w:lang w:val="es-MX" w:eastAsia="x-none"/>
        </w:rPr>
      </w:pPr>
    </w:p>
    <w:p w14:paraId="13B00EED" w14:textId="77777777" w:rsidR="00D35E4D" w:rsidRPr="00F02C5A" w:rsidRDefault="00D35E4D" w:rsidP="00D35E4D">
      <w:pPr>
        <w:spacing w:line="240" w:lineRule="auto"/>
        <w:contextualSpacing/>
        <w:jc w:val="both"/>
        <w:rPr>
          <w:rFonts w:ascii="Verdana" w:eastAsia="Times New Roman" w:hAnsi="Verdana" w:cs="Arial"/>
          <w:sz w:val="20"/>
          <w:szCs w:val="20"/>
          <w:lang w:eastAsia="x-none"/>
        </w:rPr>
      </w:pPr>
      <w:r w:rsidRPr="00F02C5A">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6439548A" w14:textId="77777777" w:rsidR="00D35E4D" w:rsidRPr="00F02C5A" w:rsidRDefault="00D35E4D" w:rsidP="00D35E4D">
      <w:pPr>
        <w:spacing w:line="240" w:lineRule="auto"/>
        <w:contextualSpacing/>
        <w:jc w:val="both"/>
        <w:rPr>
          <w:rFonts w:ascii="Verdana" w:eastAsia="Times New Roman" w:hAnsi="Verdana" w:cs="Arial"/>
          <w:lang w:eastAsia="x-none"/>
        </w:rPr>
      </w:pPr>
    </w:p>
    <w:p w14:paraId="066D260D" w14:textId="77777777" w:rsidR="00D35E4D" w:rsidRPr="00F02C5A" w:rsidRDefault="00D35E4D" w:rsidP="00D35E4D">
      <w:pPr>
        <w:tabs>
          <w:tab w:val="left" w:pos="426"/>
        </w:tabs>
        <w:spacing w:line="240" w:lineRule="auto"/>
        <w:contextualSpacing/>
        <w:jc w:val="both"/>
        <w:rPr>
          <w:rFonts w:ascii="Verdana" w:eastAsia="Calibri" w:hAnsi="Verdana" w:cs="Arial"/>
          <w:b/>
          <w:bCs/>
          <w:sz w:val="20"/>
          <w:szCs w:val="20"/>
          <w:lang w:val="es-MX"/>
        </w:rPr>
      </w:pPr>
      <w:r w:rsidRPr="00F02C5A">
        <w:rPr>
          <w:rFonts w:ascii="Verdana" w:eastAsia="Calibri" w:hAnsi="Verdana" w:cs="Arial"/>
          <w:b/>
          <w:bCs/>
          <w:lang w:val="es-MX"/>
        </w:rPr>
        <w:t xml:space="preserve">LEY DE GARANTÍAS ELECTORALES ─ Prohibición ‒ Contratación directa ‒ </w:t>
      </w:r>
      <w:r w:rsidRPr="00F02C5A">
        <w:rPr>
          <w:rFonts w:ascii="Verdana" w:eastAsia="Times New Roman" w:hAnsi="Verdana" w:cs="Arial"/>
          <w:b/>
          <w:bCs/>
          <w:lang w:eastAsia="es-CO"/>
        </w:rPr>
        <w:t>Excepciones</w:t>
      </w:r>
      <w:r w:rsidRPr="00F02C5A">
        <w:rPr>
          <w:rFonts w:ascii="Verdana" w:eastAsia="Calibri" w:hAnsi="Verdana" w:cs="Arial"/>
          <w:b/>
          <w:bCs/>
          <w:lang w:val="es-MX"/>
        </w:rPr>
        <w:t xml:space="preserve"> </w:t>
      </w:r>
    </w:p>
    <w:p w14:paraId="24597420" w14:textId="77777777" w:rsidR="00D35E4D" w:rsidRPr="00F02C5A" w:rsidRDefault="00D35E4D" w:rsidP="00D35E4D">
      <w:pPr>
        <w:tabs>
          <w:tab w:val="left" w:pos="426"/>
        </w:tabs>
        <w:spacing w:line="240" w:lineRule="auto"/>
        <w:contextualSpacing/>
        <w:jc w:val="both"/>
        <w:rPr>
          <w:rFonts w:ascii="Verdana" w:eastAsia="Times New Roman" w:hAnsi="Verdana" w:cs="Arial"/>
          <w:sz w:val="20"/>
          <w:szCs w:val="20"/>
          <w:lang w:eastAsia="x-none"/>
        </w:rPr>
      </w:pPr>
    </w:p>
    <w:p w14:paraId="16C8BA55" w14:textId="77777777" w:rsidR="00D35E4D" w:rsidRDefault="00D35E4D" w:rsidP="00D35E4D">
      <w:pPr>
        <w:spacing w:line="240" w:lineRule="auto"/>
        <w:contextualSpacing/>
        <w:jc w:val="both"/>
        <w:rPr>
          <w:rFonts w:ascii="Verdana" w:eastAsia="Times New Roman" w:hAnsi="Verdana" w:cs="Arial"/>
          <w:bCs/>
          <w:sz w:val="20"/>
          <w:szCs w:val="20"/>
          <w:lang w:val="es-MX" w:eastAsia="es-CO"/>
        </w:rPr>
      </w:pP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bCs/>
          <w:sz w:val="20"/>
          <w:szCs w:val="20"/>
          <w:lang w:val="es-MX" w:eastAsia="x-none"/>
        </w:rPr>
        <w:t>ii</w:t>
      </w:r>
      <w:proofErr w:type="spellEnd"/>
      <w:r w:rsidRPr="00F02C5A">
        <w:rPr>
          <w:rFonts w:ascii="Verdana" w:eastAsia="Times New Roman" w:hAnsi="Verdana" w:cs="Arial"/>
          <w:bCs/>
          <w:sz w:val="20"/>
          <w:szCs w:val="20"/>
          <w:lang w:val="es-MX" w:eastAsia="x-none"/>
        </w:rPr>
        <w:t xml:space="preserve">) los contratos de crédito público; </w:t>
      </w:r>
      <w:proofErr w:type="spellStart"/>
      <w:r w:rsidRPr="00F02C5A">
        <w:rPr>
          <w:rFonts w:ascii="Verdana" w:eastAsia="Times New Roman" w:hAnsi="Verdana" w:cs="Arial"/>
          <w:bCs/>
          <w:sz w:val="20"/>
          <w:szCs w:val="20"/>
          <w:lang w:val="es-MX" w:eastAsia="x-none"/>
        </w:rPr>
        <w:t>iii</w:t>
      </w:r>
      <w:proofErr w:type="spellEnd"/>
      <w:r w:rsidRPr="00F02C5A">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F02C5A">
        <w:rPr>
          <w:rFonts w:ascii="Verdana" w:eastAsia="Times New Roman" w:hAnsi="Verdana" w:cs="Arial"/>
          <w:bCs/>
          <w:sz w:val="20"/>
          <w:szCs w:val="20"/>
          <w:lang w:val="es-MX" w:eastAsia="x-none"/>
        </w:rPr>
        <w:t>iv</w:t>
      </w:r>
      <w:proofErr w:type="spellEnd"/>
      <w:r w:rsidRPr="00F02C5A">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2EFF8E" w14:textId="77777777" w:rsidR="00D35E4D" w:rsidRDefault="00D35E4D" w:rsidP="00D35E4D">
      <w:pPr>
        <w:spacing w:line="240" w:lineRule="auto"/>
        <w:contextualSpacing/>
        <w:jc w:val="both"/>
        <w:rPr>
          <w:rFonts w:ascii="Verdana" w:eastAsia="Times New Roman" w:hAnsi="Verdana" w:cs="Arial"/>
          <w:bCs/>
          <w:sz w:val="20"/>
          <w:szCs w:val="20"/>
          <w:lang w:val="es-MX" w:eastAsia="es-CO"/>
        </w:rPr>
      </w:pPr>
    </w:p>
    <w:p w14:paraId="37914455" w14:textId="1BBEB08D" w:rsidR="00D35E4D" w:rsidRPr="001B3613" w:rsidRDefault="00D35E4D" w:rsidP="0080267E">
      <w:pPr>
        <w:tabs>
          <w:tab w:val="left" w:pos="426"/>
        </w:tabs>
        <w:spacing w:line="240" w:lineRule="auto"/>
        <w:contextualSpacing/>
        <w:jc w:val="both"/>
        <w:rPr>
          <w:rFonts w:ascii="Verdana" w:eastAsia="Times New Roman" w:hAnsi="Verdana" w:cs="Arial"/>
          <w:bCs/>
          <w:sz w:val="20"/>
          <w:szCs w:val="20"/>
          <w:lang w:val="es-MX" w:eastAsia="es-CO"/>
        </w:rPr>
      </w:pPr>
      <w:r w:rsidRPr="001B3613">
        <w:rPr>
          <w:rFonts w:ascii="Verdana" w:eastAsia="Calibri" w:hAnsi="Verdana" w:cs="Arial"/>
          <w:b/>
          <w:bCs/>
          <w:lang w:val="es-MX"/>
        </w:rPr>
        <w:t>LEY DE GARANTÍAS ELECTORALES ─ Prohibición ‒ Contratación directa ‒</w:t>
      </w:r>
      <w:r w:rsidRPr="001B3613">
        <w:t xml:space="preserve"> </w:t>
      </w:r>
      <w:r w:rsidR="0080267E" w:rsidRPr="001B3613">
        <w:rPr>
          <w:rFonts w:ascii="Verdana" w:eastAsia="Calibri" w:hAnsi="Verdana" w:cs="Arial"/>
          <w:b/>
          <w:bCs/>
          <w:lang w:val="es-MX"/>
        </w:rPr>
        <w:t>Empresas Industriales y Comerciales del Estado</w:t>
      </w:r>
    </w:p>
    <w:p w14:paraId="5BD4E832" w14:textId="77777777" w:rsidR="00D35E4D" w:rsidRPr="007C1B00" w:rsidRDefault="00D35E4D" w:rsidP="00D35E4D">
      <w:pPr>
        <w:spacing w:line="240" w:lineRule="auto"/>
        <w:contextualSpacing/>
        <w:jc w:val="both"/>
        <w:rPr>
          <w:rFonts w:ascii="Verdana" w:eastAsia="Times New Roman" w:hAnsi="Verdana" w:cs="Arial"/>
          <w:bCs/>
          <w:sz w:val="20"/>
          <w:szCs w:val="20"/>
          <w:highlight w:val="yellow"/>
          <w:lang w:val="es-MX" w:eastAsia="es-CO"/>
        </w:rPr>
      </w:pPr>
    </w:p>
    <w:p w14:paraId="0156CA38" w14:textId="77777777" w:rsidR="001B3613" w:rsidRDefault="001B3613" w:rsidP="001B3613">
      <w:pPr>
        <w:spacing w:line="240" w:lineRule="auto"/>
        <w:contextualSpacing/>
        <w:jc w:val="both"/>
        <w:rPr>
          <w:rFonts w:ascii="Verdana" w:eastAsia="Times New Roman" w:hAnsi="Verdana" w:cs="Arial"/>
          <w:bCs/>
          <w:sz w:val="20"/>
          <w:szCs w:val="20"/>
          <w:lang w:val="es-MX" w:eastAsia="es-CO"/>
        </w:rPr>
      </w:pPr>
      <w:r w:rsidRPr="001B3613">
        <w:rPr>
          <w:rFonts w:ascii="Verdana" w:eastAsia="Times New Roman" w:hAnsi="Verdana" w:cs="Arial"/>
          <w:bCs/>
          <w:sz w:val="20"/>
          <w:szCs w:val="20"/>
          <w:lang w:val="es-MX" w:eastAsia="es-CO"/>
        </w:rPr>
        <w:t xml:space="preserve">La prohibición del artículo 33 de la Ley de Garantías Electorales se refiere a “todos los entes del Estado”, por lo que no se excluyen a las empresas industriales y comerciales del Estado, es decir, a estas </w:t>
      </w:r>
      <w:proofErr w:type="gramStart"/>
      <w:r w:rsidRPr="001B3613">
        <w:rPr>
          <w:rFonts w:ascii="Verdana" w:eastAsia="Times New Roman" w:hAnsi="Verdana" w:cs="Arial"/>
          <w:bCs/>
          <w:sz w:val="20"/>
          <w:szCs w:val="20"/>
          <w:lang w:val="es-MX" w:eastAsia="es-CO"/>
        </w:rPr>
        <w:t>les</w:t>
      </w:r>
      <w:proofErr w:type="gramEnd"/>
      <w:r w:rsidRPr="001B3613">
        <w:rPr>
          <w:rFonts w:ascii="Verdana" w:eastAsia="Times New Roman" w:hAnsi="Verdana" w:cs="Arial"/>
          <w:bCs/>
          <w:sz w:val="20"/>
          <w:szCs w:val="20"/>
          <w:lang w:val="es-MX" w:eastAsia="es-CO"/>
        </w:rPr>
        <w:t xml:space="preserve"> aplica la prohibición a la contratación directa en la elección presidencial y hasta la realización de la elección en la segunda vuelta, si fuere el caso.</w:t>
      </w:r>
    </w:p>
    <w:p w14:paraId="6FB613FC" w14:textId="77777777" w:rsidR="001B3613" w:rsidRPr="001B3613" w:rsidRDefault="001B3613" w:rsidP="001B3613">
      <w:pPr>
        <w:spacing w:line="240" w:lineRule="auto"/>
        <w:contextualSpacing/>
        <w:jc w:val="both"/>
        <w:rPr>
          <w:rFonts w:ascii="Verdana" w:eastAsia="Times New Roman" w:hAnsi="Verdana" w:cs="Arial"/>
          <w:bCs/>
          <w:sz w:val="20"/>
          <w:szCs w:val="20"/>
          <w:lang w:val="es-MX" w:eastAsia="es-CO"/>
        </w:rPr>
      </w:pPr>
    </w:p>
    <w:p w14:paraId="150DA484" w14:textId="7998770C" w:rsidR="00D35E4D" w:rsidRDefault="001B3613" w:rsidP="001B3613">
      <w:pPr>
        <w:spacing w:line="240" w:lineRule="auto"/>
        <w:contextualSpacing/>
        <w:jc w:val="both"/>
        <w:rPr>
          <w:rFonts w:ascii="Verdana" w:eastAsia="Times New Roman" w:hAnsi="Verdana" w:cs="Arial"/>
          <w:bCs/>
          <w:sz w:val="20"/>
          <w:szCs w:val="20"/>
          <w:lang w:val="es-MX" w:eastAsia="es-CO"/>
        </w:rPr>
      </w:pPr>
      <w:r w:rsidRPr="001B3613">
        <w:rPr>
          <w:rFonts w:ascii="Verdana" w:eastAsia="Times New Roman" w:hAnsi="Verdana" w:cs="Arial"/>
          <w:bCs/>
          <w:sz w:val="20"/>
          <w:szCs w:val="20"/>
          <w:lang w:val="es-MX" w:eastAsia="es-CO"/>
        </w:rPr>
        <w:t xml:space="preserve">Lo anterior, sin perjuicio de las excepciones a la restricción prevista en la Ley de Garantías Electorales, con fundamento en las cuales podrán las entidades públicas adelantar procedimientos de selección directa en períodos previos a la contienda </w:t>
      </w:r>
      <w:r w:rsidRPr="001B3613">
        <w:rPr>
          <w:rFonts w:ascii="Verdana" w:eastAsia="Times New Roman" w:hAnsi="Verdana" w:cs="Arial"/>
          <w:bCs/>
          <w:sz w:val="20"/>
          <w:szCs w:val="20"/>
          <w:lang w:val="es-MX" w:eastAsia="es-CO"/>
        </w:rPr>
        <w:lastRenderedPageBreak/>
        <w:t>electoral por la Presidencia, las cuales se encuentran consagradas de manera taxativa en el inciso final del citado artículo 33 de la Ley 996 de 2005.</w:t>
      </w:r>
    </w:p>
    <w:p w14:paraId="72677E61"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649A48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72827A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4CC74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AC5EDE8"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01CB1020"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E401634"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CD1CEA2"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F6EB5EB"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FDDF2FA"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6F3DC4F9"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23810D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011B51C6"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A8472D8"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79666D9C"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06759AD"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5B5EC4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3D47DDF"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E8C71DC"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608FA724"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2A019ED"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0FBBDE9"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62582708"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6DC20161" w14:textId="77777777" w:rsidR="00720768" w:rsidRPr="00CC5C68" w:rsidRDefault="00720768" w:rsidP="00187855">
      <w:pPr>
        <w:spacing w:after="0" w:line="240" w:lineRule="auto"/>
        <w:jc w:val="both"/>
        <w:rPr>
          <w:rFonts w:ascii="Verdana" w:eastAsia="Times New Roman" w:hAnsi="Verdana" w:cs="Arial"/>
          <w:noProof/>
          <w:lang w:val="es-ES_tradnl" w:eastAsia="es-ES_tradnl"/>
        </w:rPr>
      </w:pPr>
    </w:p>
    <w:p w14:paraId="4DE18059" w14:textId="77777777" w:rsidR="00187855" w:rsidRDefault="00187855" w:rsidP="00187855">
      <w:pPr>
        <w:spacing w:after="0" w:line="240" w:lineRule="auto"/>
        <w:jc w:val="both"/>
        <w:rPr>
          <w:rFonts w:ascii="Verdana" w:eastAsia="Times New Roman" w:hAnsi="Verdana" w:cs="Arial"/>
          <w:noProof/>
          <w:lang w:val="es-ES_tradnl" w:eastAsia="es-ES_tradnl"/>
        </w:rPr>
      </w:pPr>
    </w:p>
    <w:p w14:paraId="4FC87020"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408B0B95"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35DB7B55"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5525B4AF"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40E9D754"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3CE5A3E6"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749AE307"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49DD2118"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4292F523"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2CA28FA0"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2D64D710"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2F093759"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17F0724D"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6D40922B"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30DED4AF"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4F4ED512"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245B9522" w14:textId="77777777" w:rsidR="001B3613" w:rsidRDefault="001B3613" w:rsidP="004D0629">
      <w:pPr>
        <w:spacing w:after="0" w:line="240" w:lineRule="auto"/>
        <w:jc w:val="both"/>
        <w:rPr>
          <w:rFonts w:ascii="Verdana" w:eastAsia="Geomanist Light" w:hAnsi="Verdana" w:cs="Arial"/>
          <w:color w:val="000000" w:themeColor="text1"/>
          <w:lang w:val="es-ES_tradnl"/>
        </w:rPr>
      </w:pPr>
    </w:p>
    <w:p w14:paraId="0C4BCE4A" w14:textId="05FB4CF8" w:rsidR="004D0629" w:rsidRDefault="004D0629" w:rsidP="004D0629">
      <w:pPr>
        <w:spacing w:after="0" w:line="240" w:lineRule="auto"/>
        <w:jc w:val="both"/>
        <w:rPr>
          <w:rFonts w:ascii="Verdana" w:eastAsia="Geomanist Light" w:hAnsi="Verdana" w:cs="Arial"/>
          <w:color w:val="000000" w:themeColor="text1"/>
          <w:lang w:val="es-ES_tradnl"/>
        </w:rPr>
      </w:pPr>
      <w:r w:rsidRPr="00C713D8">
        <w:rPr>
          <w:rFonts w:ascii="Verdana" w:eastAsia="Geomanist Light" w:hAnsi="Verdana" w:cs="Arial"/>
          <w:color w:val="000000" w:themeColor="text1"/>
          <w:lang w:val="es-ES_tradnl"/>
        </w:rPr>
        <w:lastRenderedPageBreak/>
        <w:t xml:space="preserve">Bogotá D.C., </w:t>
      </w:r>
      <w:r w:rsidR="000716AA">
        <w:rPr>
          <w:rFonts w:ascii="Verdana" w:eastAsia="Geomanist Light" w:hAnsi="Verdana" w:cs="Arial"/>
          <w:color w:val="000000" w:themeColor="text1"/>
          <w:lang w:val="es-ES_tradnl"/>
        </w:rPr>
        <w:t>29 de octubre de 2025</w:t>
      </w:r>
    </w:p>
    <w:p w14:paraId="52DFCC09" w14:textId="77777777" w:rsidR="000716AA" w:rsidRDefault="000716AA" w:rsidP="004D0629">
      <w:pPr>
        <w:spacing w:after="0" w:line="240" w:lineRule="auto"/>
        <w:jc w:val="both"/>
        <w:rPr>
          <w:rFonts w:ascii="Verdana" w:eastAsia="Geomanist Light" w:hAnsi="Verdana" w:cs="Arial"/>
          <w:color w:val="000000" w:themeColor="text1"/>
          <w:lang w:val="es-ES_tradnl"/>
        </w:rPr>
      </w:pPr>
    </w:p>
    <w:p w14:paraId="0A1EB6D9" w14:textId="08B1171B" w:rsidR="000716AA" w:rsidRPr="00C713D8" w:rsidRDefault="000716AA" w:rsidP="000716AA">
      <w:pPr>
        <w:spacing w:after="0" w:line="240" w:lineRule="auto"/>
        <w:jc w:val="right"/>
        <w:rPr>
          <w:rFonts w:ascii="Verdana" w:eastAsia="Geomanist Light" w:hAnsi="Verdana" w:cs="Arial"/>
          <w:color w:val="000000" w:themeColor="text1"/>
          <w:lang w:val="es-ES_tradnl"/>
        </w:rPr>
      </w:pPr>
    </w:p>
    <w:p w14:paraId="3F7F275C" w14:textId="0108D5A9" w:rsidR="00F517AB" w:rsidRDefault="00F517AB" w:rsidP="00187855">
      <w:pPr>
        <w:spacing w:after="0" w:line="240" w:lineRule="auto"/>
        <w:jc w:val="both"/>
        <w:rPr>
          <w:rFonts w:ascii="Verdana" w:eastAsia="Times New Roman" w:hAnsi="Verdana" w:cs="Arial"/>
          <w:noProof/>
          <w:lang w:val="es-ES_tradnl" w:eastAsia="es-ES_tradnl"/>
        </w:rPr>
      </w:pPr>
    </w:p>
    <w:p w14:paraId="4F279ED6" w14:textId="2B1482E6" w:rsidR="00187855" w:rsidRPr="00CC5C68" w:rsidRDefault="00187855" w:rsidP="00187855">
      <w:pPr>
        <w:spacing w:after="0" w:line="240" w:lineRule="auto"/>
        <w:jc w:val="right"/>
        <w:rPr>
          <w:rFonts w:ascii="Verdana" w:eastAsia="Times New Roman" w:hAnsi="Verdana" w:cs="Arial"/>
          <w:noProof/>
          <w:lang w:val="es-ES_tradnl" w:eastAsia="es-ES_tradnl"/>
        </w:rPr>
      </w:pPr>
    </w:p>
    <w:p w14:paraId="3E0568F6" w14:textId="0CD00C5A" w:rsidR="00187855" w:rsidRPr="00CC5C68" w:rsidRDefault="00BF5D03" w:rsidP="00187855">
      <w:pPr>
        <w:spacing w:after="0" w:line="240" w:lineRule="auto"/>
        <w:jc w:val="both"/>
        <w:rPr>
          <w:rFonts w:ascii="Verdana" w:eastAsia="Calibri" w:hAnsi="Verdana" w:cs="Arial"/>
          <w:lang w:val="es-ES" w:eastAsia="es-ES_tradnl"/>
        </w:rPr>
      </w:pPr>
      <w:r w:rsidRPr="000716AA">
        <w:rPr>
          <w:rFonts w:ascii="Verdana" w:eastAsia="Geomanist Light" w:hAnsi="Verdana" w:cs="Arial"/>
          <w:noProof/>
          <w:color w:val="000000" w:themeColor="text1"/>
          <w:lang w:val="es-ES_tradnl"/>
        </w:rPr>
        <w:drawing>
          <wp:anchor distT="0" distB="0" distL="114300" distR="114300" simplePos="0" relativeHeight="251658240" behindDoc="0" locked="0" layoutInCell="1" allowOverlap="1" wp14:anchorId="3827EF45" wp14:editId="4F007D45">
            <wp:simplePos x="0" y="0"/>
            <wp:positionH relativeFrom="margin">
              <wp:align>right</wp:align>
            </wp:positionH>
            <wp:positionV relativeFrom="paragraph">
              <wp:posOffset>8255</wp:posOffset>
            </wp:positionV>
            <wp:extent cx="2571750" cy="826770"/>
            <wp:effectExtent l="0" t="0" r="0" b="0"/>
            <wp:wrapSquare wrapText="bothSides"/>
            <wp:docPr id="14405225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522517" name=""/>
                    <pic:cNvPicPr/>
                  </pic:nvPicPr>
                  <pic:blipFill>
                    <a:blip r:embed="rId10">
                      <a:extLst>
                        <a:ext uri="{28A0092B-C50C-407E-A947-70E740481C1C}">
                          <a14:useLocalDpi xmlns:a14="http://schemas.microsoft.com/office/drawing/2010/main" val="0"/>
                        </a:ext>
                      </a:extLst>
                    </a:blip>
                    <a:stretch>
                      <a:fillRect/>
                    </a:stretch>
                  </pic:blipFill>
                  <pic:spPr>
                    <a:xfrm>
                      <a:off x="0" y="0"/>
                      <a:ext cx="2577570" cy="828806"/>
                    </a:xfrm>
                    <a:prstGeom prst="rect">
                      <a:avLst/>
                    </a:prstGeom>
                  </pic:spPr>
                </pic:pic>
              </a:graphicData>
            </a:graphic>
            <wp14:sizeRelV relativeFrom="margin">
              <wp14:pctHeight>0</wp14:pctHeight>
            </wp14:sizeRelV>
          </wp:anchor>
        </w:drawing>
      </w:r>
      <w:r w:rsidR="00187855" w:rsidRPr="00CC5C68">
        <w:rPr>
          <w:rFonts w:ascii="Verdana" w:eastAsia="Calibri" w:hAnsi="Verdana" w:cs="Arial"/>
          <w:lang w:val="es-ES" w:eastAsia="es-ES_tradnl"/>
        </w:rPr>
        <w:t>Señor</w:t>
      </w:r>
    </w:p>
    <w:p w14:paraId="70986A73" w14:textId="15CB40DB" w:rsidR="00187855" w:rsidRDefault="0027458F" w:rsidP="00187855">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Juan Esteban Arboleda Jimenez</w:t>
      </w:r>
    </w:p>
    <w:p w14:paraId="1E09AAA8" w14:textId="059AAB0F" w:rsidR="00494144" w:rsidRDefault="0027458F" w:rsidP="00187855">
      <w:pPr>
        <w:spacing w:after="0" w:line="240" w:lineRule="auto"/>
        <w:rPr>
          <w:rFonts w:ascii="Verdana" w:eastAsia="Calibri" w:hAnsi="Verdana" w:cs="Arial"/>
          <w:lang w:val="es-ES" w:eastAsia="es-ES_tradnl"/>
        </w:rPr>
      </w:pPr>
      <w:r w:rsidRPr="0027458F">
        <w:t>j</w:t>
      </w:r>
      <w:r w:rsidRPr="0027458F">
        <w:rPr>
          <w:rStyle w:val="Hipervnculo"/>
          <w:rFonts w:ascii="Verdana" w:eastAsia="Calibri" w:hAnsi="Verdana" w:cs="Arial"/>
          <w:lang w:val="es-ES" w:eastAsia="es-ES_tradnl"/>
        </w:rPr>
        <w:t>uan.arboledaji@gmail.co</w:t>
      </w:r>
      <w:r>
        <w:rPr>
          <w:rStyle w:val="Hipervnculo"/>
          <w:rFonts w:ascii="Verdana" w:eastAsia="Calibri" w:hAnsi="Verdana" w:cs="Arial"/>
          <w:lang w:val="es-ES" w:eastAsia="es-ES_tradnl"/>
        </w:rPr>
        <w:t>m</w:t>
      </w:r>
    </w:p>
    <w:p w14:paraId="2238A9C0" w14:textId="79CB475F" w:rsidR="00187855" w:rsidRPr="00CC5C68" w:rsidRDefault="00C619D2" w:rsidP="00187855">
      <w:pPr>
        <w:spacing w:after="0" w:line="240" w:lineRule="auto"/>
        <w:rPr>
          <w:rFonts w:ascii="Verdana" w:eastAsia="Calibri" w:hAnsi="Verdana" w:cs="Arial"/>
          <w:lang w:val="es-ES_tradnl" w:eastAsia="es-ES_tradnl"/>
        </w:rPr>
      </w:pPr>
      <w:r>
        <w:rPr>
          <w:rFonts w:ascii="Verdana" w:eastAsia="Calibri" w:hAnsi="Verdana" w:cs="Arial"/>
          <w:bCs/>
          <w:lang w:val="es-ES_tradnl" w:eastAsia="es-ES_tradnl"/>
        </w:rPr>
        <w:t>Envigado, Antioquia</w:t>
      </w:r>
    </w:p>
    <w:p w14:paraId="72D4FAD8" w14:textId="77777777" w:rsidR="00187855" w:rsidRPr="00CC5C68" w:rsidRDefault="00187855" w:rsidP="00187855">
      <w:pPr>
        <w:spacing w:after="0" w:line="240" w:lineRule="auto"/>
        <w:rPr>
          <w:rFonts w:ascii="Verdana" w:eastAsia="Calibri" w:hAnsi="Verdana" w:cs="Arial"/>
          <w:lang w:val="es-ES_tradnl" w:eastAsia="es-ES_tradnl"/>
        </w:rPr>
      </w:pPr>
    </w:p>
    <w:p w14:paraId="6FA83756" w14:textId="77777777" w:rsidR="00187855" w:rsidRPr="00CC5C68" w:rsidRDefault="00187855" w:rsidP="00187855">
      <w:pPr>
        <w:spacing w:after="0" w:line="240" w:lineRule="auto"/>
        <w:rPr>
          <w:rFonts w:ascii="Verdana" w:eastAsia="Calibri" w:hAnsi="Verdana" w:cs="Arial"/>
          <w:lang w:val="es-ES_tradnl" w:eastAsia="es-ES_tradnl"/>
        </w:rPr>
      </w:pPr>
    </w:p>
    <w:p w14:paraId="235FDCA6" w14:textId="44E9C9A6" w:rsidR="00187855" w:rsidRPr="00CC5C68" w:rsidRDefault="00187855" w:rsidP="00187855">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sidR="009D4D0B">
        <w:rPr>
          <w:rFonts w:ascii="Verdana" w:eastAsia="Calibri" w:hAnsi="Verdana" w:cs="Arial"/>
          <w:b/>
          <w:bCs/>
          <w:lang w:val="es-ES" w:eastAsia="es-ES_tradnl"/>
        </w:rPr>
        <w:t>1489</w:t>
      </w:r>
      <w:r w:rsidRPr="00CC5C68">
        <w:rPr>
          <w:rFonts w:ascii="Verdana" w:eastAsia="Calibri" w:hAnsi="Verdana" w:cs="Arial"/>
          <w:b/>
          <w:bCs/>
          <w:lang w:val="es-ES" w:eastAsia="es-ES_tradnl"/>
        </w:rPr>
        <w:t xml:space="preserve"> de 202</w:t>
      </w:r>
      <w:r w:rsidR="00A6189F">
        <w:rPr>
          <w:rFonts w:ascii="Verdana" w:eastAsia="Calibri" w:hAnsi="Verdana" w:cs="Arial"/>
          <w:b/>
          <w:bCs/>
          <w:lang w:val="es-ES" w:eastAsia="es-ES_tradnl"/>
        </w:rPr>
        <w:t>5</w:t>
      </w:r>
    </w:p>
    <w:p w14:paraId="2FA09044" w14:textId="77777777" w:rsidR="00187855" w:rsidRPr="00CC5C68" w:rsidRDefault="00187855" w:rsidP="00187855">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187855" w:rsidRPr="00CC5C68" w14:paraId="2F90E71E" w14:textId="77777777" w:rsidTr="00EC5A97">
        <w:tc>
          <w:tcPr>
            <w:tcW w:w="2694" w:type="dxa"/>
          </w:tcPr>
          <w:p w14:paraId="3DCB50E0" w14:textId="77777777" w:rsidR="00187855" w:rsidRPr="00CC5C68" w:rsidRDefault="00187855" w:rsidP="00E075F9">
            <w:pP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095" w:type="dxa"/>
          </w:tcPr>
          <w:p w14:paraId="3BEA88DA" w14:textId="2EACDAA2" w:rsidR="00187855" w:rsidRPr="00CC5C68" w:rsidRDefault="00D35E4D" w:rsidP="00E075F9">
            <w:pPr>
              <w:spacing w:line="276" w:lineRule="auto"/>
              <w:jc w:val="both"/>
              <w:textAlignment w:val="baseline"/>
              <w:rPr>
                <w:rFonts w:ascii="Verdana" w:eastAsia="Times New Roman" w:hAnsi="Verdana" w:cs="Arial"/>
                <w:lang w:val="es-ES_tradnl" w:eastAsia="es-ES_tradnl"/>
              </w:rPr>
            </w:pPr>
            <w:r w:rsidRPr="003F7B98">
              <w:rPr>
                <w:rFonts w:ascii="Verdana" w:eastAsia="Times New Roman" w:hAnsi="Verdana" w:cs="Arial"/>
                <w:lang w:eastAsia="es-ES_tradnl"/>
              </w:rPr>
              <w:t xml:space="preserve">LEY DE GARANTÍAS ELECTORALES ─ Prohibición ‒ Contratación directa ‒ Alcance </w:t>
            </w:r>
            <w:r w:rsidR="00187855" w:rsidRPr="003F7B98">
              <w:rPr>
                <w:rFonts w:ascii="Verdana" w:eastAsia="Times New Roman" w:hAnsi="Verdana" w:cs="Arial"/>
                <w:lang w:eastAsia="es-ES_tradnl"/>
              </w:rPr>
              <w:t xml:space="preserve">/ </w:t>
            </w:r>
            <w:r w:rsidRPr="003F7B98">
              <w:rPr>
                <w:rFonts w:ascii="Verdana" w:eastAsia="Times New Roman" w:hAnsi="Verdana" w:cs="Arial"/>
                <w:lang w:eastAsia="es-ES_tradnl"/>
              </w:rPr>
              <w:t xml:space="preserve">LEY DE GARANTÍAS ELECTORALES ─ Prohibición ‒ Contratación directa ‒ Excepciones </w:t>
            </w:r>
            <w:r w:rsidR="00187855" w:rsidRPr="003F7B98">
              <w:rPr>
                <w:rFonts w:ascii="Verdana" w:eastAsia="Times New Roman" w:hAnsi="Verdana" w:cs="Arial"/>
                <w:lang w:eastAsia="es-ES_tradnl"/>
              </w:rPr>
              <w:t xml:space="preserve">/ </w:t>
            </w:r>
            <w:r w:rsidR="0080267E" w:rsidRPr="0080267E">
              <w:rPr>
                <w:rFonts w:ascii="Verdana" w:eastAsia="Times New Roman" w:hAnsi="Verdana" w:cs="Arial"/>
                <w:lang w:eastAsia="es-ES_tradnl"/>
              </w:rPr>
              <w:t>LEY DE GARANTÍAS ELECTORALES ─ Prohibición ‒ Contratación directa ‒ Empresas Industriales y Comerciales del Estado</w:t>
            </w:r>
          </w:p>
        </w:tc>
      </w:tr>
      <w:tr w:rsidR="00187855" w:rsidRPr="00CC5C68" w14:paraId="430F24C2" w14:textId="77777777" w:rsidTr="00EC5A97">
        <w:tc>
          <w:tcPr>
            <w:tcW w:w="2694" w:type="dxa"/>
          </w:tcPr>
          <w:p w14:paraId="64FF2E28" w14:textId="77777777" w:rsidR="00187855" w:rsidRPr="00CC5C68" w:rsidRDefault="00187855" w:rsidP="00E075F9">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2C9AA094" w14:textId="767542BD" w:rsidR="00187855" w:rsidRPr="00CC5C68" w:rsidRDefault="00187855" w:rsidP="00E075F9">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009D4D0B" w:rsidRPr="009D4D0B">
              <w:rPr>
                <w:rFonts w:ascii="Verdana" w:eastAsia="Times New Roman" w:hAnsi="Verdana" w:cs="Arial"/>
                <w:lang w:eastAsia="es-ES_tradnl"/>
              </w:rPr>
              <w:t>1_2025_10_10_011440</w:t>
            </w:r>
          </w:p>
        </w:tc>
      </w:tr>
    </w:tbl>
    <w:p w14:paraId="3701FBE5"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2295CBA"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7D731EC" w14:textId="5823EDDD" w:rsidR="00187855" w:rsidRPr="00CC5C68" w:rsidRDefault="00187855" w:rsidP="00187855">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 xml:space="preserve">Estimado señor </w:t>
      </w:r>
      <w:r w:rsidR="00C619D2">
        <w:rPr>
          <w:rFonts w:ascii="Verdana" w:eastAsia="Calibri" w:hAnsi="Verdana" w:cs="Arial"/>
          <w:lang w:val="es-ES_tradnl" w:eastAsia="es-ES_tradnl"/>
        </w:rPr>
        <w:t>Arboleda</w:t>
      </w:r>
      <w:r w:rsidRPr="00CC5C68">
        <w:rPr>
          <w:rFonts w:ascii="Verdana" w:eastAsia="Calibri" w:hAnsi="Verdana" w:cs="Arial"/>
          <w:bCs/>
          <w:lang w:val="es-ES_tradnl" w:eastAsia="es-ES_tradnl"/>
        </w:rPr>
        <w:t>:</w:t>
      </w:r>
    </w:p>
    <w:p w14:paraId="45A30938" w14:textId="77777777" w:rsidR="00187855" w:rsidRPr="00CC5C68" w:rsidRDefault="00187855" w:rsidP="00187855">
      <w:pPr>
        <w:spacing w:after="0" w:line="276" w:lineRule="auto"/>
        <w:contextualSpacing/>
        <w:jc w:val="both"/>
        <w:rPr>
          <w:rFonts w:ascii="Verdana" w:eastAsia="Calibri" w:hAnsi="Verdana" w:cs="Arial"/>
          <w:lang w:val="es-ES_tradnl" w:eastAsia="es-ES_tradnl"/>
        </w:rPr>
      </w:pPr>
    </w:p>
    <w:p w14:paraId="1AA5850F" w14:textId="79C508B2" w:rsidR="00187855" w:rsidRPr="00CC5C68" w:rsidRDefault="00187855" w:rsidP="00187855">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5C7B28">
        <w:rPr>
          <w:rFonts w:ascii="Verdana" w:eastAsia="Calibri" w:hAnsi="Verdana" w:cs="Arial"/>
          <w:lang w:val="es-ES" w:eastAsia="es-ES_tradnl"/>
        </w:rPr>
        <w:t>1</w:t>
      </w:r>
      <w:r w:rsidR="009D4D0B">
        <w:rPr>
          <w:rFonts w:ascii="Verdana" w:eastAsia="Calibri" w:hAnsi="Verdana" w:cs="Arial"/>
          <w:lang w:val="es-ES" w:eastAsia="es-ES_tradnl"/>
        </w:rPr>
        <w:t>0</w:t>
      </w:r>
      <w:r w:rsidRPr="00CC5C68">
        <w:rPr>
          <w:rFonts w:ascii="Verdana" w:eastAsia="Calibri" w:hAnsi="Verdana" w:cs="Arial"/>
          <w:lang w:val="es-ES" w:eastAsia="es-ES_tradnl"/>
        </w:rPr>
        <w:t xml:space="preserve"> de </w:t>
      </w:r>
      <w:r w:rsidR="00A6189F">
        <w:rPr>
          <w:rFonts w:ascii="Verdana" w:eastAsia="Calibri" w:hAnsi="Verdana" w:cs="Arial"/>
          <w:lang w:val="es-ES" w:eastAsia="es-ES_tradnl"/>
        </w:rPr>
        <w:t>o</w:t>
      </w:r>
      <w:r w:rsidR="009D4D0B">
        <w:rPr>
          <w:rFonts w:ascii="Verdana" w:eastAsia="Calibri" w:hAnsi="Verdana" w:cs="Arial"/>
          <w:lang w:val="es-ES" w:eastAsia="es-ES_tradnl"/>
        </w:rPr>
        <w:t>ctubre</w:t>
      </w:r>
      <w:r w:rsidRPr="00CC5C68">
        <w:rPr>
          <w:rFonts w:ascii="Verdana" w:eastAsia="Calibri" w:hAnsi="Verdana" w:cs="Arial"/>
          <w:lang w:val="es-ES" w:eastAsia="es-ES_tradnl"/>
        </w:rPr>
        <w:t xml:space="preserve"> de 202</w:t>
      </w:r>
      <w:r w:rsidR="00A6189F">
        <w:rPr>
          <w:rFonts w:ascii="Verdana" w:eastAsia="Calibri" w:hAnsi="Verdana" w:cs="Arial"/>
          <w:lang w:val="es-ES" w:eastAsia="es-ES_tradnl"/>
        </w:rPr>
        <w:t>5</w:t>
      </w:r>
      <w:r w:rsidRPr="00CC5C68">
        <w:rPr>
          <w:rFonts w:ascii="Verdana" w:eastAsia="Calibri" w:hAnsi="Verdana" w:cs="Arial"/>
          <w:lang w:val="es-ES" w:eastAsia="es-ES_tradnl"/>
        </w:rPr>
        <w:t>, en la cual manifiesta lo siguiente:</w:t>
      </w:r>
    </w:p>
    <w:p w14:paraId="5AEE5083" w14:textId="77777777" w:rsidR="00187855" w:rsidRPr="00CC5C68" w:rsidRDefault="00187855" w:rsidP="00187855">
      <w:pPr>
        <w:spacing w:after="0" w:line="276" w:lineRule="auto"/>
        <w:contextualSpacing/>
        <w:jc w:val="both"/>
        <w:rPr>
          <w:rFonts w:ascii="Verdana" w:eastAsia="Calibri" w:hAnsi="Verdana" w:cs="Arial"/>
          <w:b/>
          <w:szCs w:val="24"/>
          <w:lang w:val="es-ES_tradnl" w:eastAsia="es-ES_tradnl"/>
        </w:rPr>
      </w:pPr>
    </w:p>
    <w:p w14:paraId="0393970C" w14:textId="77D55F0A" w:rsidR="00187855" w:rsidRPr="00CC5C68" w:rsidRDefault="00187855" w:rsidP="007945E1">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007945E1" w:rsidRPr="007945E1">
        <w:rPr>
          <w:rFonts w:ascii="Verdana" w:eastAsia="Times New Roman" w:hAnsi="Verdana" w:cs="Arial"/>
          <w:sz w:val="21"/>
          <w:szCs w:val="21"/>
          <w:lang w:eastAsia="es-ES_tradnl"/>
        </w:rPr>
        <w:t>Requiero comedidamente se emita un concepto donde se desarrolle si una</w:t>
      </w:r>
      <w:r w:rsidR="007945E1">
        <w:rPr>
          <w:rFonts w:ascii="Verdana" w:eastAsia="Times New Roman" w:hAnsi="Verdana" w:cs="Arial"/>
          <w:sz w:val="21"/>
          <w:szCs w:val="21"/>
          <w:lang w:eastAsia="es-ES_tradnl"/>
        </w:rPr>
        <w:t xml:space="preserve"> </w:t>
      </w:r>
      <w:r w:rsidR="007945E1" w:rsidRPr="007945E1">
        <w:rPr>
          <w:rFonts w:ascii="Verdana" w:eastAsia="Times New Roman" w:hAnsi="Verdana" w:cs="Arial"/>
          <w:sz w:val="21"/>
          <w:szCs w:val="21"/>
          <w:lang w:eastAsia="es-ES_tradnl"/>
        </w:rPr>
        <w:t>empresa industrial y comercial del estado, del orden departamental, en virtud de la</w:t>
      </w:r>
      <w:r w:rsidR="007945E1">
        <w:rPr>
          <w:rFonts w:ascii="Verdana" w:eastAsia="Times New Roman" w:hAnsi="Verdana" w:cs="Arial"/>
          <w:sz w:val="21"/>
          <w:szCs w:val="21"/>
          <w:lang w:eastAsia="es-ES_tradnl"/>
        </w:rPr>
        <w:t xml:space="preserve"> </w:t>
      </w:r>
      <w:r w:rsidR="007945E1" w:rsidRPr="007945E1">
        <w:rPr>
          <w:rFonts w:ascii="Verdana" w:eastAsia="Times New Roman" w:hAnsi="Verdana" w:cs="Arial"/>
          <w:sz w:val="21"/>
          <w:szCs w:val="21"/>
          <w:lang w:eastAsia="es-ES_tradnl"/>
        </w:rPr>
        <w:t>ley de garantías por los procesos electorales, se encuentra exenta de la prohibición</w:t>
      </w:r>
      <w:r w:rsidR="007945E1">
        <w:rPr>
          <w:rFonts w:ascii="Verdana" w:eastAsia="Times New Roman" w:hAnsi="Verdana" w:cs="Arial"/>
          <w:sz w:val="21"/>
          <w:szCs w:val="21"/>
          <w:lang w:eastAsia="es-ES_tradnl"/>
        </w:rPr>
        <w:t xml:space="preserve"> </w:t>
      </w:r>
      <w:r w:rsidR="007945E1" w:rsidRPr="007945E1">
        <w:rPr>
          <w:rFonts w:ascii="Verdana" w:eastAsia="Times New Roman" w:hAnsi="Verdana" w:cs="Arial"/>
          <w:sz w:val="21"/>
          <w:szCs w:val="21"/>
          <w:lang w:eastAsia="es-ES_tradnl"/>
        </w:rPr>
        <w:t>para la contratación directa posterior a la fecha 31 de enero de 2026</w:t>
      </w:r>
      <w:r w:rsidRPr="00CC5C68">
        <w:rPr>
          <w:rFonts w:ascii="Verdana" w:eastAsia="Times New Roman" w:hAnsi="Verdana" w:cs="Arial"/>
          <w:sz w:val="21"/>
          <w:szCs w:val="21"/>
          <w:lang w:eastAsia="es-ES_tradnl"/>
        </w:rPr>
        <w:t>”.</w:t>
      </w:r>
    </w:p>
    <w:p w14:paraId="50165896" w14:textId="77777777" w:rsidR="00187855" w:rsidRPr="00CC5C68" w:rsidRDefault="00187855" w:rsidP="00187855">
      <w:pPr>
        <w:spacing w:after="0" w:line="240" w:lineRule="auto"/>
        <w:ind w:left="709" w:right="709"/>
        <w:contextualSpacing/>
        <w:jc w:val="both"/>
        <w:rPr>
          <w:rFonts w:ascii="Verdana" w:eastAsia="Times New Roman" w:hAnsi="Verdana" w:cs="Arial"/>
          <w:sz w:val="21"/>
          <w:szCs w:val="21"/>
          <w:lang w:eastAsia="es-ES_tradnl"/>
        </w:rPr>
      </w:pPr>
    </w:p>
    <w:p w14:paraId="0451594C" w14:textId="77777777" w:rsidR="00187855" w:rsidRPr="00CC5C68" w:rsidRDefault="00187855" w:rsidP="00187855">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CC5C68">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3FDB742D" w14:textId="03E30CFC" w:rsidR="00187855" w:rsidRPr="00CC5C68" w:rsidRDefault="00187855" w:rsidP="00187855">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6C24EC">
        <w:rPr>
          <w:rFonts w:ascii="Verdana" w:eastAsia="Calibri" w:hAnsi="Verdana" w:cs="Arial"/>
          <w:lang w:val="es-ES" w:eastAsia="es-ES"/>
        </w:rPr>
        <w:t>el</w:t>
      </w:r>
      <w:r w:rsidRPr="00CC5C68">
        <w:rPr>
          <w:rFonts w:ascii="Verdana" w:eastAsia="Calibri" w:hAnsi="Verdana" w:cs="Arial"/>
          <w:lang w:val="es-ES" w:eastAsia="es-ES"/>
        </w:rPr>
        <w:t xml:space="preserve"> problema jurídico de su consulta. </w:t>
      </w:r>
    </w:p>
    <w:p w14:paraId="6104CBB2" w14:textId="77777777" w:rsidR="00187855" w:rsidRPr="00CC5C68" w:rsidRDefault="00187855" w:rsidP="00187855">
      <w:pPr>
        <w:spacing w:after="0" w:line="276" w:lineRule="auto"/>
        <w:contextualSpacing/>
        <w:jc w:val="both"/>
        <w:rPr>
          <w:rFonts w:ascii="Verdana" w:eastAsia="Times New Roman" w:hAnsi="Verdana" w:cs="Arial"/>
          <w:szCs w:val="24"/>
          <w:lang w:val="es-ES_tradnl" w:eastAsia="es-ES_tradnl"/>
        </w:rPr>
      </w:pPr>
    </w:p>
    <w:p w14:paraId="10075458"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3B5DEF"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p>
    <w:p w14:paraId="748F4282" w14:textId="26FD061C" w:rsidR="00187855" w:rsidRPr="00CC5C68" w:rsidRDefault="00187855" w:rsidP="005C7B28">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80267E">
        <w:rPr>
          <w:rFonts w:ascii="Verdana" w:eastAsia="Century Gothic" w:hAnsi="Verdana" w:cs="Century Gothic"/>
        </w:rPr>
        <w:t>Un</w:t>
      </w:r>
      <w:r w:rsidR="0080267E" w:rsidRPr="0080267E">
        <w:rPr>
          <w:rFonts w:ascii="Verdana" w:eastAsia="Century Gothic" w:hAnsi="Verdana" w:cs="Century Gothic"/>
        </w:rPr>
        <w:t>a empresa industrial y comercial del estado, del orden departamental</w:t>
      </w:r>
      <w:r w:rsidR="0080267E">
        <w:rPr>
          <w:rFonts w:ascii="Verdana" w:eastAsia="Century Gothic" w:hAnsi="Verdana" w:cs="Century Gothic"/>
        </w:rPr>
        <w:t>, se encuentra exenta de la prohibición a</w:t>
      </w:r>
      <w:r w:rsidR="00BA2DB8">
        <w:rPr>
          <w:rFonts w:ascii="Verdana" w:eastAsia="Century Gothic" w:hAnsi="Verdana" w:cs="Century Gothic"/>
        </w:rPr>
        <w:t xml:space="preserve"> la contratación directa en el contexto del artículo 33 de la Ley de garantía</w:t>
      </w:r>
      <w:r w:rsidR="0080267E">
        <w:rPr>
          <w:rFonts w:ascii="Verdana" w:eastAsia="Century Gothic" w:hAnsi="Verdana" w:cs="Century Gothic"/>
        </w:rPr>
        <w:t>s</w:t>
      </w:r>
      <w:r>
        <w:rPr>
          <w:rFonts w:ascii="Verdana" w:eastAsia="Century Gothic" w:hAnsi="Verdana" w:cs="Century Gothic"/>
        </w:rPr>
        <w:t>?</w:t>
      </w:r>
    </w:p>
    <w:p w14:paraId="36F76745" w14:textId="77777777" w:rsidR="00187855" w:rsidRPr="00CC5C68" w:rsidRDefault="00187855" w:rsidP="00187855">
      <w:pPr>
        <w:spacing w:after="0" w:line="276" w:lineRule="auto"/>
        <w:ind w:firstLine="709"/>
        <w:jc w:val="both"/>
        <w:rPr>
          <w:rFonts w:ascii="Verdana" w:eastAsia="Calibri" w:hAnsi="Verdana" w:cs="Arial"/>
          <w:lang w:val="es-ES" w:eastAsia="es-ES_tradnl"/>
        </w:rPr>
      </w:pPr>
    </w:p>
    <w:p w14:paraId="4C41873A"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08ED88A7"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855" w:rsidRPr="00CC5C68" w14:paraId="67340F2A" w14:textId="77777777" w:rsidTr="00E075F9">
        <w:tc>
          <w:tcPr>
            <w:tcW w:w="8828" w:type="dxa"/>
          </w:tcPr>
          <w:p w14:paraId="749AEDBA" w14:textId="77777777" w:rsidR="00820CE0" w:rsidRDefault="007C1B00" w:rsidP="00820CE0">
            <w:pPr>
              <w:spacing w:after="120" w:line="276" w:lineRule="auto"/>
              <w:jc w:val="both"/>
              <w:rPr>
                <w:rFonts w:ascii="Verdana" w:eastAsia="Times New Roman" w:hAnsi="Verdana" w:cs="Arial"/>
                <w:lang w:eastAsia="x-none"/>
              </w:rPr>
            </w:pPr>
            <w:bookmarkStart w:id="0" w:name="_Hlk78818702"/>
            <w:r>
              <w:rPr>
                <w:rFonts w:ascii="Verdana" w:eastAsia="Times New Roman" w:hAnsi="Verdana" w:cs="Arial"/>
                <w:lang w:eastAsia="x-none"/>
              </w:rPr>
              <w:t xml:space="preserve">No. </w:t>
            </w:r>
            <w:r w:rsidR="00820CE0">
              <w:rPr>
                <w:rFonts w:ascii="Verdana" w:eastAsia="Times New Roman" w:hAnsi="Verdana" w:cs="Arial"/>
                <w:lang w:eastAsia="x-none"/>
              </w:rPr>
              <w:t>L</w:t>
            </w:r>
            <w:r w:rsidR="00820CE0" w:rsidRPr="00F02C5A">
              <w:rPr>
                <w:rFonts w:ascii="Verdana" w:eastAsia="Times New Roman" w:hAnsi="Verdana" w:cs="Arial"/>
                <w:lang w:eastAsia="x-none"/>
              </w:rPr>
              <w:t xml:space="preserve">a prohibición del artículo 33 de la Ley de Garantías Electorales se refiere a </w:t>
            </w:r>
            <w:r w:rsidR="00820CE0" w:rsidRPr="00F02C5A">
              <w:rPr>
                <w:rFonts w:ascii="Verdana" w:eastAsia="Times New Roman" w:hAnsi="Verdana" w:cs="Arial"/>
                <w:sz w:val="19"/>
                <w:szCs w:val="19"/>
                <w:lang w:eastAsia="en-GB"/>
              </w:rPr>
              <w:t>“</w:t>
            </w:r>
            <w:r w:rsidRPr="007C1B00">
              <w:rPr>
                <w:rFonts w:ascii="Verdana" w:eastAsia="Times New Roman" w:hAnsi="Verdana" w:cs="Arial"/>
                <w:lang w:eastAsia="x-none"/>
              </w:rPr>
              <w:t>todos los entes del Estado</w:t>
            </w:r>
            <w:r w:rsidR="00820CE0" w:rsidRPr="00F02C5A">
              <w:rPr>
                <w:rFonts w:ascii="Verdana" w:eastAsia="Times New Roman" w:hAnsi="Verdana" w:cs="Arial"/>
                <w:lang w:eastAsia="en-GB"/>
              </w:rPr>
              <w:t>”</w:t>
            </w:r>
            <w:r w:rsidR="00820CE0" w:rsidRPr="00F02C5A">
              <w:rPr>
                <w:rFonts w:ascii="Verdana" w:eastAsia="Times New Roman" w:hAnsi="Verdana" w:cs="Arial"/>
                <w:lang w:eastAsia="x-none"/>
              </w:rPr>
              <w:t>, por lo que</w:t>
            </w:r>
            <w:r>
              <w:rPr>
                <w:rFonts w:ascii="Verdana" w:eastAsia="Times New Roman" w:hAnsi="Verdana" w:cs="Arial"/>
                <w:lang w:eastAsia="x-none"/>
              </w:rPr>
              <w:t xml:space="preserve"> no se</w:t>
            </w:r>
            <w:r w:rsidR="00820CE0" w:rsidRPr="00F02C5A">
              <w:rPr>
                <w:rFonts w:ascii="Verdana" w:eastAsia="Times New Roman" w:hAnsi="Verdana" w:cs="Arial"/>
                <w:lang w:eastAsia="x-none"/>
              </w:rPr>
              <w:t xml:space="preserve"> excluye</w:t>
            </w:r>
            <w:r>
              <w:rPr>
                <w:rFonts w:ascii="Verdana" w:eastAsia="Times New Roman" w:hAnsi="Verdana" w:cs="Arial"/>
                <w:lang w:eastAsia="x-none"/>
              </w:rPr>
              <w:t>n a las empresas industriales y comerciales del Estado,</w:t>
            </w:r>
            <w:r w:rsidR="00820CE0" w:rsidRPr="00F02C5A">
              <w:rPr>
                <w:rFonts w:ascii="Verdana" w:eastAsia="Times New Roman" w:hAnsi="Verdana" w:cs="Arial"/>
                <w:lang w:eastAsia="x-none"/>
              </w:rPr>
              <w:t xml:space="preserve"> es decir, </w:t>
            </w:r>
            <w:r>
              <w:rPr>
                <w:rFonts w:ascii="Verdana" w:eastAsia="Times New Roman" w:hAnsi="Verdana" w:cs="Arial"/>
                <w:lang w:eastAsia="x-none"/>
              </w:rPr>
              <w:t xml:space="preserve">a estas </w:t>
            </w:r>
            <w:proofErr w:type="gramStart"/>
            <w:r>
              <w:rPr>
                <w:rFonts w:ascii="Verdana" w:eastAsia="Times New Roman" w:hAnsi="Verdana" w:cs="Arial"/>
                <w:lang w:eastAsia="x-none"/>
              </w:rPr>
              <w:t>les</w:t>
            </w:r>
            <w:proofErr w:type="gramEnd"/>
            <w:r>
              <w:rPr>
                <w:rFonts w:ascii="Verdana" w:eastAsia="Times New Roman" w:hAnsi="Verdana" w:cs="Arial"/>
                <w:lang w:eastAsia="x-none"/>
              </w:rPr>
              <w:t xml:space="preserve"> aplica la prohibición a la contratación directa en la </w:t>
            </w:r>
            <w:r w:rsidRPr="007C1B00">
              <w:rPr>
                <w:rFonts w:ascii="Verdana" w:eastAsia="Times New Roman" w:hAnsi="Verdana" w:cs="Arial"/>
                <w:lang w:eastAsia="x-none"/>
              </w:rPr>
              <w:t>elección presidencial y hasta la realización de la elección en la segunda vuelta, si fuere el caso</w:t>
            </w:r>
            <w:bookmarkEnd w:id="0"/>
            <w:r w:rsidR="005034E6">
              <w:rPr>
                <w:rFonts w:ascii="Verdana" w:eastAsia="Times New Roman" w:hAnsi="Verdana" w:cs="Arial"/>
                <w:lang w:eastAsia="x-none"/>
              </w:rPr>
              <w:t>.</w:t>
            </w:r>
          </w:p>
          <w:p w14:paraId="1BA01436" w14:textId="3E9BC7A0" w:rsidR="007A49D4" w:rsidRPr="005034E6" w:rsidRDefault="007A49D4" w:rsidP="00820CE0">
            <w:pPr>
              <w:spacing w:after="120" w:line="276" w:lineRule="auto"/>
              <w:jc w:val="both"/>
              <w:rPr>
                <w:rFonts w:ascii="Verdana" w:eastAsia="Times New Roman" w:hAnsi="Verdana" w:cs="Arial"/>
                <w:lang w:eastAsia="x-none"/>
              </w:rPr>
            </w:pPr>
            <w:r>
              <w:rPr>
                <w:rFonts w:ascii="Verdana" w:eastAsia="Times New Roman" w:hAnsi="Verdana" w:cs="Arial"/>
                <w:lang w:eastAsia="x-none"/>
              </w:rPr>
              <w:t xml:space="preserve">Lo anterior, sin perjuicio de </w:t>
            </w:r>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w:t>
            </w:r>
            <w:r>
              <w:rPr>
                <w:rFonts w:ascii="Verdana" w:eastAsia="Times New Roman" w:hAnsi="Verdana" w:cs="Arial"/>
                <w:lang w:val="es-MX" w:eastAsia="x-none"/>
              </w:rPr>
              <w:t xml:space="preserve"> las cuales</w:t>
            </w:r>
            <w:r w:rsidRPr="00F02C5A">
              <w:rPr>
                <w:rFonts w:ascii="Verdana" w:eastAsia="Times New Roman" w:hAnsi="Verdana" w:cs="Arial"/>
                <w:lang w:val="es-MX" w:eastAsia="x-none"/>
              </w:rPr>
              <w:t xml:space="preserve"> se encuentran consagradas de manera taxativa en el inciso final del citado artículo 33 de la Ley 996 de 2005</w:t>
            </w:r>
            <w:r>
              <w:rPr>
                <w:rFonts w:ascii="Verdana" w:eastAsia="Times New Roman" w:hAnsi="Verdana" w:cs="Arial"/>
                <w:lang w:val="es-MX" w:eastAsia="x-none"/>
              </w:rPr>
              <w:t>.</w:t>
            </w:r>
          </w:p>
        </w:tc>
      </w:tr>
    </w:tbl>
    <w:p w14:paraId="7607889B" w14:textId="77777777" w:rsidR="00187855" w:rsidRPr="00CC5C68" w:rsidRDefault="00187855" w:rsidP="00187855">
      <w:pPr>
        <w:spacing w:after="0" w:line="276" w:lineRule="auto"/>
        <w:contextualSpacing/>
        <w:jc w:val="both"/>
        <w:rPr>
          <w:rFonts w:ascii="Verdana" w:eastAsia="Times New Roman" w:hAnsi="Verdana" w:cs="Arial"/>
          <w:lang w:eastAsia="es-ES_tradnl"/>
        </w:rPr>
      </w:pPr>
    </w:p>
    <w:p w14:paraId="1A109746"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098820BD" w14:textId="77777777" w:rsidR="00187855" w:rsidRPr="00CC5C68" w:rsidRDefault="00187855" w:rsidP="00187855">
      <w:pPr>
        <w:spacing w:after="0" w:line="276" w:lineRule="auto"/>
        <w:jc w:val="both"/>
        <w:rPr>
          <w:rFonts w:ascii="Verdana" w:eastAsia="Calibri" w:hAnsi="Verdana" w:cs="Arial"/>
          <w:color w:val="7030A0"/>
          <w:lang w:val="es-ES"/>
        </w:rPr>
      </w:pPr>
    </w:p>
    <w:p w14:paraId="465CB100" w14:textId="77777777" w:rsidR="00187855" w:rsidRPr="00CC5C68" w:rsidRDefault="00187855" w:rsidP="00187855">
      <w:pPr>
        <w:spacing w:after="0" w:line="276" w:lineRule="auto"/>
        <w:jc w:val="both"/>
        <w:rPr>
          <w:rFonts w:ascii="Verdana" w:eastAsia="Calibri" w:hAnsi="Verdana" w:cs="Arial"/>
          <w:lang w:val="es-ES"/>
        </w:rPr>
      </w:pPr>
      <w:r w:rsidRPr="00CC5C68">
        <w:rPr>
          <w:rFonts w:ascii="Verdana" w:eastAsia="Calibri" w:hAnsi="Verdana" w:cs="Arial"/>
          <w:lang w:val="es-ES"/>
        </w:rPr>
        <w:lastRenderedPageBreak/>
        <w:t xml:space="preserve">Lo anterior se sustenta en las siguientes consideraciones: </w:t>
      </w:r>
    </w:p>
    <w:p w14:paraId="6CFF2BA2" w14:textId="77777777" w:rsidR="00187855" w:rsidRPr="00CC5C68" w:rsidRDefault="00187855" w:rsidP="00187855">
      <w:pPr>
        <w:spacing w:after="0" w:line="276" w:lineRule="auto"/>
        <w:jc w:val="both"/>
        <w:rPr>
          <w:rFonts w:ascii="Verdana" w:eastAsia="Calibri" w:hAnsi="Verdana" w:cs="Arial"/>
          <w:lang w:val="es-ES"/>
        </w:rPr>
      </w:pPr>
    </w:p>
    <w:p w14:paraId="73B563CD" w14:textId="77777777" w:rsidR="00624B56" w:rsidRPr="00F02C5A" w:rsidRDefault="00624B56" w:rsidP="00624B56">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10C29D9F" w14:textId="77777777" w:rsidR="00624B56" w:rsidRPr="00F02C5A" w:rsidRDefault="00624B56" w:rsidP="00624B56">
      <w:pPr>
        <w:spacing w:after="0" w:line="276" w:lineRule="auto"/>
        <w:ind w:left="708" w:right="709"/>
        <w:contextualSpacing/>
        <w:jc w:val="both"/>
        <w:rPr>
          <w:rFonts w:ascii="Verdana" w:eastAsia="Calibri" w:hAnsi="Verdana" w:cs="Arial"/>
          <w:sz w:val="21"/>
          <w:szCs w:val="21"/>
          <w:lang w:val="es-MX"/>
        </w:rPr>
      </w:pPr>
    </w:p>
    <w:p w14:paraId="152590D7" w14:textId="77777777" w:rsidR="00624B56" w:rsidRPr="00F02C5A" w:rsidRDefault="00624B56" w:rsidP="00624B56">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
      </w:r>
      <w:r w:rsidRPr="00F02C5A">
        <w:rPr>
          <w:rFonts w:ascii="Verdana" w:eastAsia="Calibri" w:hAnsi="Verdana" w:cs="Arial"/>
          <w:sz w:val="21"/>
          <w:szCs w:val="21"/>
          <w:lang w:val="es-MX"/>
        </w:rPr>
        <w:t>.</w:t>
      </w:r>
    </w:p>
    <w:p w14:paraId="5D3244CC" w14:textId="77777777" w:rsidR="00624B56" w:rsidRPr="00F02C5A" w:rsidRDefault="00624B56" w:rsidP="00624B56">
      <w:pPr>
        <w:spacing w:after="0" w:line="240" w:lineRule="auto"/>
        <w:ind w:left="709" w:right="709"/>
        <w:contextualSpacing/>
        <w:jc w:val="both"/>
        <w:rPr>
          <w:rFonts w:ascii="Verdana" w:eastAsia="Calibri" w:hAnsi="Verdana" w:cs="Arial"/>
          <w:sz w:val="12"/>
          <w:szCs w:val="12"/>
          <w:lang w:val="es-MX"/>
        </w:rPr>
      </w:pPr>
    </w:p>
    <w:p w14:paraId="6C8624E4" w14:textId="77777777" w:rsidR="00624B56" w:rsidRPr="00F02C5A" w:rsidRDefault="00624B56" w:rsidP="00624B56">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2"/>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3"/>
      </w:r>
      <w:r w:rsidRPr="00F02C5A">
        <w:rPr>
          <w:rFonts w:ascii="Verdana" w:eastAsia="Calibri" w:hAnsi="Verdana" w:cs="Arial"/>
          <w:sz w:val="21"/>
          <w:szCs w:val="21"/>
          <w:lang w:val="es-MX"/>
        </w:rPr>
        <w:t xml:space="preserve"> .</w:t>
      </w:r>
    </w:p>
    <w:p w14:paraId="71423669" w14:textId="77777777" w:rsidR="00624B56" w:rsidRPr="00F02C5A" w:rsidRDefault="00624B56" w:rsidP="00624B56">
      <w:pPr>
        <w:shd w:val="clear" w:color="auto" w:fill="FFFFFF"/>
        <w:spacing w:after="0" w:line="276" w:lineRule="auto"/>
        <w:ind w:firstLine="709"/>
        <w:contextualSpacing/>
        <w:jc w:val="both"/>
        <w:rPr>
          <w:rFonts w:ascii="Verdana" w:eastAsia="Times New Roman" w:hAnsi="Verdana" w:cs="Arial"/>
          <w:lang w:eastAsia="x-none"/>
        </w:rPr>
      </w:pPr>
    </w:p>
    <w:p w14:paraId="142E5674" w14:textId="77777777" w:rsidR="00624B56" w:rsidRPr="00F02C5A" w:rsidRDefault="00624B56" w:rsidP="00624B56">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4"/>
      <w:r w:rsidRPr="00F02C5A">
        <w:rPr>
          <w:rFonts w:ascii="Verdana" w:eastAsia="Times New Roman" w:hAnsi="Verdana" w:cs="Arial"/>
          <w:lang w:eastAsia="x-none"/>
        </w:rPr>
        <w:t xml:space="preserve">Esta posición es congruente con la expedición de la Ley 1150 de 2007 que, entre otras reformas, introdujo la selección </w:t>
      </w:r>
      <w:r w:rsidRPr="00F02C5A">
        <w:rPr>
          <w:rFonts w:ascii="Verdana" w:eastAsia="Times New Roman" w:hAnsi="Verdana" w:cs="Arial"/>
          <w:lang w:eastAsia="x-none"/>
        </w:rPr>
        <w:lastRenderedPageBreak/>
        <w:t>abreviada, rediseñó el concurso de méritos</w:t>
      </w:r>
      <w:r w:rsidRPr="00F02C5A">
        <w:rPr>
          <w:rFonts w:ascii="Verdana" w:eastAsia="Times New Roman" w:hAnsi="Verdana" w:cs="Arial"/>
          <w:vertAlign w:val="superscript"/>
          <w:lang w:val="en-GB" w:eastAsia="x-none"/>
        </w:rPr>
        <w:footnoteReference w:id="4"/>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w:t>
      </w:r>
    </w:p>
    <w:p w14:paraId="50B760CE"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26098F50"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7"/>
      </w:r>
      <w:r w:rsidRPr="00F02C5A">
        <w:rPr>
          <w:rFonts w:ascii="Verdana" w:eastAsia="Times New Roman" w:hAnsi="Verdana" w:cs="Arial"/>
          <w:lang w:eastAsia="x-none"/>
        </w:rPr>
        <w:t xml:space="preserve">. </w:t>
      </w:r>
    </w:p>
    <w:p w14:paraId="57CBA6AF"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AC67160"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lastRenderedPageBreak/>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69F835A2" w14:textId="77777777" w:rsidR="00624B56" w:rsidRPr="00F02C5A" w:rsidRDefault="00624B56" w:rsidP="00624B56">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22E65CF"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8" w:name="_Hlk77237094"/>
      <w:bookmarkEnd w:id="7"/>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8"/>
    </w:p>
    <w:p w14:paraId="7904ADDB"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9" w:name="_Hlk99577887"/>
      <w:bookmarkStart w:id="10"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w:t>
      </w:r>
      <w:r w:rsidRPr="00F02C5A">
        <w:rPr>
          <w:rFonts w:ascii="Verdana" w:eastAsia="Times New Roman" w:hAnsi="Verdana" w:cs="Arial"/>
          <w:lang w:val="es-MX" w:eastAsia="es-CO"/>
        </w:rPr>
        <w:lastRenderedPageBreak/>
        <w:t>enmarcan en alguna de las mencionadas excepciones, de manera que se le permita realizar la contratación que necesite en forma directa.</w:t>
      </w:r>
      <w:bookmarkEnd w:id="9"/>
    </w:p>
    <w:bookmarkEnd w:id="10"/>
    <w:p w14:paraId="438EADE8" w14:textId="77777777" w:rsidR="00624B56" w:rsidRDefault="00624B56" w:rsidP="0058247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1" w:name="_Hlk74309042"/>
      <w:r w:rsidRPr="00F02C5A">
        <w:rPr>
          <w:rFonts w:ascii="Verdana" w:eastAsia="Times New Roman" w:hAnsi="Verdana" w:cs="Arial"/>
          <w:lang w:val="es-MX" w:eastAsia="x-none"/>
        </w:rPr>
        <w:t>que “</w:t>
      </w:r>
      <w:bookmarkEnd w:id="11"/>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2"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2"/>
    </w:p>
    <w:p w14:paraId="41B33373" w14:textId="77777777" w:rsidR="000A2B4E" w:rsidRDefault="000A2B4E" w:rsidP="00187855">
      <w:pPr>
        <w:tabs>
          <w:tab w:val="left" w:pos="142"/>
          <w:tab w:val="left" w:pos="284"/>
        </w:tabs>
        <w:spacing w:after="0" w:line="276" w:lineRule="auto"/>
        <w:jc w:val="both"/>
        <w:rPr>
          <w:rFonts w:ascii="Verdana" w:eastAsia="Century Gothic" w:hAnsi="Verdana" w:cs="Century Gothic"/>
          <w:b/>
          <w:bCs/>
        </w:rPr>
      </w:pPr>
    </w:p>
    <w:p w14:paraId="1AAA8D53" w14:textId="418FB8D9"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BFC5CEE" w14:textId="77777777" w:rsidR="00187855" w:rsidRPr="00CC5C68" w:rsidRDefault="00187855" w:rsidP="001878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7855" w:rsidRPr="00CC5C68" w14:paraId="12123090" w14:textId="77777777" w:rsidTr="00E075F9">
        <w:trPr>
          <w:trHeight w:val="870"/>
        </w:trPr>
        <w:tc>
          <w:tcPr>
            <w:tcW w:w="8647" w:type="dxa"/>
          </w:tcPr>
          <w:p w14:paraId="3B85DDA5" w14:textId="2940AD30" w:rsidR="00187855" w:rsidRDefault="00187855" w:rsidP="00187855">
            <w:pPr>
              <w:pStyle w:val="Prrafodelista"/>
              <w:widowControl w:val="0"/>
              <w:numPr>
                <w:ilvl w:val="0"/>
                <w:numId w:val="1"/>
              </w:numPr>
              <w:autoSpaceDE w:val="0"/>
              <w:autoSpaceDN w:val="0"/>
              <w:spacing w:after="120" w:line="276" w:lineRule="auto"/>
              <w:jc w:val="both"/>
              <w:rPr>
                <w:rFonts w:ascii="Verdana" w:hAnsi="Verdana" w:cs="Arial"/>
              </w:rPr>
            </w:pPr>
            <w:r w:rsidRPr="00745CAA">
              <w:rPr>
                <w:rFonts w:ascii="Verdana" w:hAnsi="Verdana" w:cs="Arial"/>
              </w:rPr>
              <w:t xml:space="preserve">Ley </w:t>
            </w:r>
            <w:r w:rsidR="00624B56">
              <w:rPr>
                <w:rFonts w:ascii="Verdana" w:hAnsi="Verdana" w:cs="Arial"/>
              </w:rPr>
              <w:t>996</w:t>
            </w:r>
            <w:r w:rsidRPr="00745CAA">
              <w:rPr>
                <w:rFonts w:ascii="Verdana" w:hAnsi="Verdana" w:cs="Arial"/>
              </w:rPr>
              <w:t xml:space="preserve"> de 200</w:t>
            </w:r>
            <w:r w:rsidR="00624B56">
              <w:rPr>
                <w:rFonts w:ascii="Verdana" w:hAnsi="Verdana" w:cs="Arial"/>
              </w:rPr>
              <w:t>5</w:t>
            </w:r>
            <w:r w:rsidRPr="00745CAA">
              <w:rPr>
                <w:rFonts w:ascii="Verdana" w:hAnsi="Verdana" w:cs="Arial"/>
              </w:rPr>
              <w:t>, artículo</w:t>
            </w:r>
            <w:r w:rsidR="00624B56">
              <w:rPr>
                <w:rFonts w:ascii="Verdana" w:hAnsi="Verdana" w:cs="Arial"/>
              </w:rPr>
              <w:t xml:space="preserve"> 33, parágrafo</w:t>
            </w:r>
            <w:r w:rsidRPr="00745CAA">
              <w:rPr>
                <w:rFonts w:ascii="Verdana" w:hAnsi="Verdana" w:cs="Arial"/>
              </w:rPr>
              <w:t>.</w:t>
            </w:r>
          </w:p>
          <w:p w14:paraId="169162BE" w14:textId="47FBC31D" w:rsidR="003E412A" w:rsidRPr="003E412A" w:rsidRDefault="003E412A" w:rsidP="00187855">
            <w:pPr>
              <w:pStyle w:val="Prrafodelista"/>
              <w:widowControl w:val="0"/>
              <w:numPr>
                <w:ilvl w:val="0"/>
                <w:numId w:val="1"/>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4D2FE493" w14:textId="77777777" w:rsidR="003E412A" w:rsidRP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 8 de mayo de 2018. Radicación Número: 11001-03-06-000-2018-00095-00(2382). Consejero Ponente: Álvaro </w:t>
            </w:r>
            <w:proofErr w:type="spellStart"/>
            <w:r w:rsidRPr="003E412A">
              <w:rPr>
                <w:rFonts w:ascii="Verdana" w:hAnsi="Verdana" w:cs="Arial"/>
              </w:rPr>
              <w:t>Namén</w:t>
            </w:r>
            <w:proofErr w:type="spellEnd"/>
            <w:r w:rsidRPr="003E412A">
              <w:rPr>
                <w:rFonts w:ascii="Verdana" w:hAnsi="Verdana" w:cs="Arial"/>
              </w:rPr>
              <w:t xml:space="preserve"> Vargas.</w:t>
            </w:r>
          </w:p>
          <w:p w14:paraId="614CF042" w14:textId="1CF73028" w:rsid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xml:space="preserve">. 2.382. C.P. Álvaro </w:t>
            </w:r>
            <w:proofErr w:type="spellStart"/>
            <w:r w:rsidRPr="003E412A">
              <w:rPr>
                <w:rFonts w:ascii="Verdana" w:hAnsi="Verdana" w:cs="Arial"/>
              </w:rPr>
              <w:t>Namén</w:t>
            </w:r>
            <w:proofErr w:type="spellEnd"/>
            <w:r w:rsidRPr="003E412A">
              <w:rPr>
                <w:rFonts w:ascii="Verdana" w:hAnsi="Verdana" w:cs="Arial"/>
              </w:rPr>
              <w:t xml:space="preserve"> Vargas.</w:t>
            </w:r>
          </w:p>
          <w:p w14:paraId="01F3B556" w14:textId="6CBE424E"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40F9B0C6" w14:textId="379AE66B"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11EB49AE" w14:textId="5AC47D20" w:rsid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sidRPr="007E43EB">
              <w:rPr>
                <w:rFonts w:ascii="Verdana" w:hAnsi="Verdana" w:cs="Arial"/>
              </w:rPr>
              <w:t xml:space="preserve">Consejo de Estado. Sala de Consulta y Servicio Civil. Concepto del 2 de septiembre de 2013. Radicación número: 11001-03-06-000-2013-00412-00 (2168). Consejero Ponente: Álvaro </w:t>
            </w:r>
            <w:proofErr w:type="spellStart"/>
            <w:r w:rsidRPr="007E43EB">
              <w:rPr>
                <w:rFonts w:ascii="Verdana" w:hAnsi="Verdana" w:cs="Arial"/>
              </w:rPr>
              <w:t>Namén</w:t>
            </w:r>
            <w:proofErr w:type="spellEnd"/>
            <w:r w:rsidRPr="007E43EB">
              <w:rPr>
                <w:rFonts w:ascii="Verdana" w:hAnsi="Verdana" w:cs="Arial"/>
              </w:rPr>
              <w:t xml:space="preserve"> Vargas.</w:t>
            </w:r>
          </w:p>
          <w:p w14:paraId="0DA1C513" w14:textId="77777777" w:rsidR="00187855" w:rsidRPr="00CC5C68" w:rsidRDefault="00187855" w:rsidP="00187855">
            <w:pPr>
              <w:pStyle w:val="Prrafodelista"/>
              <w:widowControl w:val="0"/>
              <w:numPr>
                <w:ilvl w:val="0"/>
                <w:numId w:val="1"/>
              </w:numPr>
              <w:tabs>
                <w:tab w:val="left" w:pos="8419"/>
              </w:tabs>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1" w:history="1">
              <w:r w:rsidRPr="008D4636">
                <w:rPr>
                  <w:rStyle w:val="Hipervnculo"/>
                  <w:rFonts w:ascii="Verdana" w:hAnsi="Verdana" w:cs="Arial"/>
                </w:rPr>
                <w:t>https://colombiacompra.gov.co/sites/cce_public/files/cce_circulares/cce-eicp-ma-06_circular_externa_con_comentarios_de_ciudadanos-</w:t>
              </w:r>
              <w:r w:rsidRPr="008D4636">
                <w:rPr>
                  <w:rStyle w:val="Hipervnculo"/>
                  <w:rFonts w:ascii="Verdana" w:hAnsi="Verdana" w:cs="Arial"/>
                </w:rPr>
                <w:lastRenderedPageBreak/>
                <w:t>_v2f_002.pdf</w:t>
              </w:r>
            </w:hyperlink>
          </w:p>
        </w:tc>
      </w:tr>
    </w:tbl>
    <w:p w14:paraId="5EDDC2CD"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C871F0A"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66BECA67" w14:textId="77777777" w:rsidR="00187855" w:rsidRPr="00CC5C68" w:rsidRDefault="00187855" w:rsidP="00187855">
      <w:pPr>
        <w:spacing w:after="0" w:line="276" w:lineRule="auto"/>
        <w:ind w:firstLine="709"/>
        <w:jc w:val="both"/>
        <w:rPr>
          <w:rFonts w:ascii="Verdana" w:eastAsia="Times New Roman" w:hAnsi="Verdana" w:cs="Arial"/>
          <w:szCs w:val="24"/>
          <w:lang w:val="es-ES" w:eastAsia="es-ES_tradnl"/>
        </w:rPr>
      </w:pPr>
    </w:p>
    <w:p w14:paraId="4067B05A" w14:textId="00046BB1"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sidR="00EA39A0">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xml:space="preserve">, se pronunció esta Subdirección en los </w:t>
      </w:r>
      <w:r w:rsidR="00EA39A0"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00EA39A0" w:rsidRPr="00F02C5A">
        <w:rPr>
          <w:rStyle w:val="normaltextrun"/>
          <w:rFonts w:ascii="Verdana" w:hAnsi="Verdana" w:cs="Arial"/>
          <w:color w:val="000000"/>
          <w:shd w:val="clear" w:color="auto" w:fill="FFFFFF"/>
        </w:rPr>
        <w:t xml:space="preserve">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w:t>
      </w:r>
      <w:r w:rsidR="00EA39A0" w:rsidRPr="00F02C5A">
        <w:rPr>
          <w:rStyle w:val="normaltextrun"/>
          <w:rFonts w:ascii="Verdana" w:hAnsi="Verdana" w:cs="Arial"/>
          <w:color w:val="000000"/>
          <w:shd w:val="clear" w:color="auto" w:fill="FFFFFF"/>
        </w:rPr>
        <w:lastRenderedPageBreak/>
        <w:t>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sidR="00EA39A0">
        <w:rPr>
          <w:rStyle w:val="normaltextrun"/>
          <w:rFonts w:ascii="Verdana" w:hAnsi="Verdana" w:cs="Arial"/>
          <w:color w:val="000000"/>
          <w:shd w:val="clear" w:color="auto" w:fill="FFFFFF"/>
        </w:rPr>
        <w:t xml:space="preserve">, </w:t>
      </w:r>
      <w:r w:rsidR="00EA39A0" w:rsidRPr="00F02C5A">
        <w:rPr>
          <w:rStyle w:val="normaltextrun"/>
          <w:rFonts w:ascii="Verdana" w:hAnsi="Verdana" w:cs="Arial"/>
          <w:color w:val="000000"/>
          <w:shd w:val="clear" w:color="auto" w:fill="FFFFFF"/>
        </w:rPr>
        <w:t>C-149 del 1° de junio de 2023</w:t>
      </w:r>
      <w:r w:rsidR="00EA39A0">
        <w:rPr>
          <w:rStyle w:val="normaltextrun"/>
          <w:rFonts w:ascii="Verdana" w:hAnsi="Verdana" w:cs="Arial"/>
          <w:color w:val="000000"/>
          <w:shd w:val="clear" w:color="auto" w:fill="FFFFFF"/>
        </w:rPr>
        <w:t>, C-345 del 14 de julio de 2023</w:t>
      </w:r>
      <w:r w:rsidR="009D4D0B">
        <w:rPr>
          <w:rStyle w:val="normaltextrun"/>
          <w:rFonts w:ascii="Verdana" w:hAnsi="Verdana" w:cs="Arial"/>
          <w:color w:val="000000"/>
          <w:shd w:val="clear" w:color="auto" w:fill="FFFFFF"/>
        </w:rPr>
        <w:t>,</w:t>
      </w:r>
      <w:r w:rsidR="00752875">
        <w:rPr>
          <w:rStyle w:val="normaltextrun"/>
          <w:rFonts w:ascii="Verdana" w:hAnsi="Verdana" w:cs="Arial"/>
          <w:color w:val="000000"/>
          <w:shd w:val="clear" w:color="auto" w:fill="FFFFFF"/>
        </w:rPr>
        <w:t xml:space="preserve"> C-317 del 25 de abril de 2025</w:t>
      </w:r>
      <w:r w:rsidR="009D4D0B">
        <w:rPr>
          <w:rStyle w:val="normaltextrun"/>
          <w:rFonts w:ascii="Verdana" w:hAnsi="Verdana" w:cs="Arial"/>
          <w:color w:val="000000"/>
          <w:shd w:val="clear" w:color="auto" w:fill="FFFFFF"/>
        </w:rPr>
        <w:t xml:space="preserve"> y C-1096 del 28 de agosto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2" w:history="1">
        <w:r w:rsidRPr="00CC5C68">
          <w:rPr>
            <w:rStyle w:val="Hipervnculo"/>
            <w:rFonts w:ascii="Verdana" w:hAnsi="Verdana" w:cs="Arial"/>
            <w:shd w:val="clear" w:color="auto" w:fill="FFFFFF"/>
            <w:lang w:val="es-ES"/>
          </w:rPr>
          <w:t>https://relatoria.colombiacompra.gov.co/busqueda/conceptos</w:t>
        </w:r>
      </w:hyperlink>
    </w:p>
    <w:p w14:paraId="64E54BDA" w14:textId="77777777"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1292E5D"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También le contamos que ya se encuentra disponible la </w:t>
      </w:r>
      <w:r w:rsidRPr="00C71471">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C71471">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71471">
        <w:rPr>
          <w:rFonts w:ascii="Verdana" w:eastAsia="Calibri" w:hAnsi="Verdana" w:cs="Arial"/>
          <w:color w:val="000000" w:themeColor="text1"/>
          <w:shd w:val="clear" w:color="auto" w:fill="FFFFFF"/>
        </w:rPr>
        <w:t>Wayúu</w:t>
      </w:r>
      <w:proofErr w:type="spellEnd"/>
      <w:r w:rsidRPr="00C71471">
        <w:rPr>
          <w:rFonts w:ascii="Verdana" w:eastAsia="Calibri"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71471">
          <w:rPr>
            <w:rFonts w:ascii="Verdana" w:eastAsia="Calibri"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43E467F2"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2C7497AA"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Por último, lo invitamos a seguirnos en las redes sociales en las cuales se difunde información institucional: </w:t>
      </w:r>
    </w:p>
    <w:p w14:paraId="0FEB2C0D"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4C05B9A7"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Twitter: </w:t>
      </w:r>
      <w:r w:rsidRPr="00C71471">
        <w:rPr>
          <w:rFonts w:ascii="Verdana" w:eastAsia="Calibri" w:hAnsi="Verdana" w:cs="Arial"/>
          <w:color w:val="000000" w:themeColor="text1"/>
          <w:u w:val="single"/>
          <w:shd w:val="clear" w:color="auto" w:fill="FFFFFF"/>
        </w:rPr>
        <w:t>@colombiacompra</w:t>
      </w:r>
      <w:r w:rsidRPr="00C71471">
        <w:rPr>
          <w:rFonts w:ascii="Verdana" w:eastAsia="Calibri" w:hAnsi="Verdana" w:cs="Arial"/>
          <w:color w:val="000000" w:themeColor="text1"/>
          <w:shd w:val="clear" w:color="auto" w:fill="FFFFFF"/>
        </w:rPr>
        <w:t xml:space="preserve"> </w:t>
      </w:r>
    </w:p>
    <w:p w14:paraId="12B007B9"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Facebook: </w:t>
      </w:r>
      <w:proofErr w:type="spellStart"/>
      <w:r w:rsidRPr="00C71471">
        <w:rPr>
          <w:rFonts w:ascii="Verdana" w:eastAsia="Calibri" w:hAnsi="Verdana" w:cs="Arial"/>
          <w:color w:val="000000" w:themeColor="text1"/>
          <w:u w:val="single"/>
          <w:shd w:val="clear" w:color="auto" w:fill="FFFFFF"/>
        </w:rPr>
        <w:t>ColombiaCompraEficiente</w:t>
      </w:r>
      <w:proofErr w:type="spellEnd"/>
    </w:p>
    <w:p w14:paraId="062505B3" w14:textId="77777777" w:rsidR="004D0629" w:rsidRPr="00C71471" w:rsidRDefault="004D0629" w:rsidP="004D062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LinkedIn: </w:t>
      </w:r>
      <w:r w:rsidRPr="00C71471">
        <w:rPr>
          <w:rFonts w:ascii="Verdana" w:eastAsia="Calibri" w:hAnsi="Verdana" w:cs="Arial"/>
          <w:color w:val="000000" w:themeColor="text1"/>
          <w:u w:val="single"/>
          <w:shd w:val="clear" w:color="auto" w:fill="FFFFFF"/>
        </w:rPr>
        <w:t>Agencia Nacional de Contratación Pública - Colombia Compra Eficiente</w:t>
      </w:r>
      <w:r w:rsidRPr="00C71471">
        <w:rPr>
          <w:rFonts w:ascii="Verdana" w:eastAsia="Calibri" w:hAnsi="Verdana" w:cs="Arial"/>
          <w:color w:val="000000" w:themeColor="text1"/>
          <w:shd w:val="clear" w:color="auto" w:fill="FFFFFF"/>
        </w:rPr>
        <w:t xml:space="preserve"> Instagram: </w:t>
      </w:r>
      <w:r w:rsidRPr="00C71471">
        <w:rPr>
          <w:rFonts w:ascii="Verdana" w:eastAsia="Calibri" w:hAnsi="Verdana" w:cs="Arial"/>
          <w:color w:val="000000" w:themeColor="text1"/>
          <w:u w:val="single"/>
          <w:shd w:val="clear" w:color="auto" w:fill="FFFFFF"/>
        </w:rPr>
        <w:t>@colombiacompraeficiente_cce</w:t>
      </w:r>
    </w:p>
    <w:p w14:paraId="55584E10" w14:textId="77777777" w:rsidR="004D0629" w:rsidRPr="00C71471" w:rsidRDefault="004D0629" w:rsidP="004D0629">
      <w:pPr>
        <w:widowControl w:val="0"/>
        <w:autoSpaceDE w:val="0"/>
        <w:autoSpaceDN w:val="0"/>
        <w:spacing w:after="0" w:line="276" w:lineRule="auto"/>
        <w:jc w:val="both"/>
        <w:rPr>
          <w:rFonts w:ascii="Verdana" w:eastAsia="Calibri" w:hAnsi="Verdana" w:cs="Arial"/>
        </w:rPr>
      </w:pPr>
    </w:p>
    <w:p w14:paraId="37B791D5" w14:textId="77777777" w:rsidR="004D0629" w:rsidRPr="00C71471" w:rsidRDefault="004D0629" w:rsidP="004D0629">
      <w:pPr>
        <w:widowControl w:val="0"/>
        <w:autoSpaceDE w:val="0"/>
        <w:autoSpaceDN w:val="0"/>
        <w:spacing w:after="0" w:line="276" w:lineRule="auto"/>
        <w:jc w:val="both"/>
        <w:rPr>
          <w:rFonts w:ascii="Verdana" w:eastAsia="Calibri" w:hAnsi="Verdana" w:cs="Arial"/>
          <w:lang w:val="es-ES_tradnl"/>
        </w:rPr>
      </w:pPr>
      <w:r w:rsidRPr="00C71471">
        <w:rPr>
          <w:rFonts w:ascii="Verdana" w:eastAsia="Calibri" w:hAnsi="Verdana" w:cs="Arial"/>
        </w:rPr>
        <w:t xml:space="preserve">Este concepto tiene el alcance previsto en el artículo 28 del Código de Procedimiento Administrativo y de lo Contencioso Administrativo </w:t>
      </w:r>
      <w:r w:rsidRPr="00C71471">
        <w:rPr>
          <w:rFonts w:ascii="Verdana" w:eastAsia="Calibri" w:hAnsi="Verdana" w:cs="Arial"/>
          <w:lang w:val="es-ES_tradnl"/>
        </w:rPr>
        <w:t>y las expresiones aquí utilizadas con mayúscula inicial deben ser entendidas con el significado que les otorga el artículo 2.2.1.1.1.3.1. del Decreto 1082 de 2015.</w:t>
      </w:r>
    </w:p>
    <w:p w14:paraId="18625FF0" w14:textId="77777777" w:rsidR="004D0629" w:rsidRPr="00C71471" w:rsidRDefault="004D0629" w:rsidP="004D0629">
      <w:pPr>
        <w:widowControl w:val="0"/>
        <w:autoSpaceDE w:val="0"/>
        <w:autoSpaceDN w:val="0"/>
        <w:spacing w:after="0" w:line="276" w:lineRule="auto"/>
        <w:jc w:val="both"/>
        <w:rPr>
          <w:rFonts w:ascii="Verdana" w:eastAsia="Calibri" w:hAnsi="Verdana" w:cs="Arial"/>
        </w:rPr>
      </w:pPr>
    </w:p>
    <w:p w14:paraId="11073F93" w14:textId="77777777" w:rsidR="004D0629" w:rsidRPr="00C71471" w:rsidRDefault="004D0629" w:rsidP="004D0629">
      <w:pPr>
        <w:spacing w:after="0" w:line="240" w:lineRule="auto"/>
        <w:rPr>
          <w:rFonts w:ascii="Verdana" w:eastAsia="Calibri" w:hAnsi="Verdana" w:cs="Arial"/>
          <w:lang w:eastAsia="es-CO"/>
        </w:rPr>
      </w:pPr>
      <w:r w:rsidRPr="00C71471">
        <w:rPr>
          <w:rFonts w:ascii="Verdana" w:eastAsia="Times New Roman" w:hAnsi="Verdana" w:cs="Arial"/>
          <w:lang w:eastAsia="es-CO"/>
        </w:rPr>
        <w:t>Atentamente,</w:t>
      </w:r>
      <w:r w:rsidRPr="00C71471">
        <w:rPr>
          <w:rFonts w:ascii="Verdana" w:eastAsia="Calibri" w:hAnsi="Verdana" w:cs="Arial"/>
          <w:lang w:eastAsia="es-CO"/>
        </w:rPr>
        <w:t xml:space="preserve"> </w:t>
      </w:r>
    </w:p>
    <w:p w14:paraId="5E1EA585" w14:textId="2496E350" w:rsidR="004D0629" w:rsidRPr="00C71471" w:rsidRDefault="008401CC" w:rsidP="004D0629">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4B9B3A1F" wp14:editId="1D118AB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0629" w:rsidRPr="00C71471" w14:paraId="318E8A2E" w14:textId="77777777" w:rsidTr="0006196E">
        <w:trPr>
          <w:trHeight w:val="315"/>
        </w:trPr>
        <w:tc>
          <w:tcPr>
            <w:tcW w:w="893" w:type="dxa"/>
            <w:vAlign w:val="center"/>
            <w:hideMark/>
          </w:tcPr>
          <w:p w14:paraId="58C0C538" w14:textId="77777777" w:rsidR="004D0629" w:rsidRPr="00C71471" w:rsidRDefault="004D0629" w:rsidP="0006196E">
            <w:pPr>
              <w:spacing w:after="255"/>
              <w:contextualSpacing/>
              <w:rPr>
                <w:rFonts w:ascii="Verdana" w:eastAsia="Calibri" w:hAnsi="Verdana" w:cs="Arial"/>
                <w:sz w:val="16"/>
                <w:szCs w:val="16"/>
                <w:lang w:val="es-ES" w:eastAsia="es-ES"/>
              </w:rPr>
            </w:pPr>
            <w:r w:rsidRPr="00C71471">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65AD061"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val="pt-BR" w:eastAsia="es-ES"/>
              </w:rPr>
              <w:t>Ximena Ríos López</w:t>
            </w:r>
          </w:p>
          <w:p w14:paraId="14F90DAE"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val="pt-BR" w:eastAsia="es-ES"/>
              </w:rPr>
              <w:t xml:space="preserve">Gestor T1 ‒ 11 de </w:t>
            </w:r>
            <w:proofErr w:type="spellStart"/>
            <w:r w:rsidRPr="00C71471">
              <w:rPr>
                <w:rFonts w:ascii="Verdana" w:eastAsia="Calibri" w:hAnsi="Verdana" w:cs="Arial"/>
                <w:sz w:val="16"/>
                <w:szCs w:val="16"/>
                <w:lang w:val="pt-BR" w:eastAsia="es-ES"/>
              </w:rPr>
              <w:t>la</w:t>
            </w:r>
            <w:proofErr w:type="spellEnd"/>
            <w:r w:rsidRPr="00C71471">
              <w:rPr>
                <w:rFonts w:ascii="Verdana" w:eastAsia="Calibri" w:hAnsi="Verdana" w:cs="Arial"/>
                <w:sz w:val="16"/>
                <w:szCs w:val="16"/>
                <w:lang w:val="pt-BR" w:eastAsia="es-ES"/>
              </w:rPr>
              <w:t xml:space="preserve"> </w:t>
            </w:r>
            <w:proofErr w:type="spellStart"/>
            <w:r w:rsidRPr="00C71471">
              <w:rPr>
                <w:rFonts w:ascii="Verdana" w:eastAsia="Calibri" w:hAnsi="Verdana" w:cs="Arial"/>
                <w:sz w:val="16"/>
                <w:szCs w:val="16"/>
                <w:lang w:val="pt-BR" w:eastAsia="es-ES"/>
              </w:rPr>
              <w:t>Subdirección</w:t>
            </w:r>
            <w:proofErr w:type="spellEnd"/>
            <w:r w:rsidRPr="00C71471">
              <w:rPr>
                <w:rFonts w:ascii="Verdana" w:eastAsia="Calibri" w:hAnsi="Verdana" w:cs="Arial"/>
                <w:sz w:val="16"/>
                <w:szCs w:val="16"/>
                <w:lang w:val="pt-BR" w:eastAsia="es-ES"/>
              </w:rPr>
              <w:t xml:space="preserve"> de Gestión </w:t>
            </w:r>
            <w:proofErr w:type="spellStart"/>
            <w:r w:rsidRPr="00C71471">
              <w:rPr>
                <w:rFonts w:ascii="Verdana" w:eastAsia="Calibri" w:hAnsi="Verdana" w:cs="Arial"/>
                <w:sz w:val="16"/>
                <w:szCs w:val="16"/>
                <w:lang w:val="pt-BR" w:eastAsia="es-ES"/>
              </w:rPr>
              <w:t>Contractual</w:t>
            </w:r>
            <w:proofErr w:type="spellEnd"/>
          </w:p>
        </w:tc>
      </w:tr>
      <w:tr w:rsidR="004D0629" w:rsidRPr="00C71471" w14:paraId="5900250B" w14:textId="77777777" w:rsidTr="0006196E">
        <w:trPr>
          <w:trHeight w:val="330"/>
        </w:trPr>
        <w:tc>
          <w:tcPr>
            <w:tcW w:w="893" w:type="dxa"/>
            <w:vAlign w:val="center"/>
            <w:hideMark/>
          </w:tcPr>
          <w:p w14:paraId="4457C281" w14:textId="77777777" w:rsidR="004D0629" w:rsidRPr="00C71471" w:rsidRDefault="004D0629" w:rsidP="0006196E">
            <w:pPr>
              <w:spacing w:after="255"/>
              <w:contextualSpacing/>
              <w:rPr>
                <w:rFonts w:ascii="Verdana" w:eastAsia="Calibri" w:hAnsi="Verdana" w:cs="Arial"/>
                <w:sz w:val="16"/>
                <w:szCs w:val="16"/>
                <w:lang w:val="es-ES" w:eastAsia="es-ES"/>
              </w:rPr>
            </w:pPr>
            <w:r w:rsidRPr="00C71471">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CDA6C0"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val="pt-BR" w:eastAsia="es-ES"/>
              </w:rPr>
              <w:t>Juan Carlos Gonzalez</w:t>
            </w:r>
          </w:p>
          <w:p w14:paraId="6D83166C"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val="pt-BR" w:eastAsia="es-ES"/>
              </w:rPr>
              <w:t xml:space="preserve">Contratista de </w:t>
            </w:r>
            <w:proofErr w:type="spellStart"/>
            <w:r w:rsidRPr="00C71471">
              <w:rPr>
                <w:rFonts w:ascii="Verdana" w:eastAsia="Calibri" w:hAnsi="Verdana" w:cs="Arial"/>
                <w:sz w:val="16"/>
                <w:szCs w:val="16"/>
                <w:lang w:val="pt-BR" w:eastAsia="es-ES"/>
              </w:rPr>
              <w:t>la</w:t>
            </w:r>
            <w:proofErr w:type="spellEnd"/>
            <w:r w:rsidRPr="00C71471">
              <w:rPr>
                <w:rFonts w:ascii="Verdana" w:eastAsia="Calibri" w:hAnsi="Verdana" w:cs="Arial"/>
                <w:sz w:val="16"/>
                <w:szCs w:val="16"/>
                <w:lang w:val="pt-BR" w:eastAsia="es-ES"/>
              </w:rPr>
              <w:t xml:space="preserve"> </w:t>
            </w:r>
            <w:proofErr w:type="spellStart"/>
            <w:r w:rsidRPr="00C71471">
              <w:rPr>
                <w:rFonts w:ascii="Verdana" w:eastAsia="Calibri" w:hAnsi="Verdana" w:cs="Arial"/>
                <w:sz w:val="16"/>
                <w:szCs w:val="16"/>
                <w:lang w:val="pt-BR" w:eastAsia="es-ES"/>
              </w:rPr>
              <w:t>Subdirección</w:t>
            </w:r>
            <w:proofErr w:type="spellEnd"/>
            <w:r w:rsidRPr="00C71471">
              <w:rPr>
                <w:rFonts w:ascii="Verdana" w:eastAsia="Calibri" w:hAnsi="Verdana" w:cs="Arial"/>
                <w:sz w:val="16"/>
                <w:szCs w:val="16"/>
                <w:lang w:val="pt-BR" w:eastAsia="es-ES"/>
              </w:rPr>
              <w:t xml:space="preserve"> de Gestión </w:t>
            </w:r>
            <w:proofErr w:type="spellStart"/>
            <w:r w:rsidRPr="00C71471">
              <w:rPr>
                <w:rFonts w:ascii="Verdana" w:eastAsia="Calibri" w:hAnsi="Verdana" w:cs="Arial"/>
                <w:sz w:val="16"/>
                <w:szCs w:val="16"/>
                <w:lang w:val="pt-BR" w:eastAsia="es-ES"/>
              </w:rPr>
              <w:t>Contractual</w:t>
            </w:r>
            <w:proofErr w:type="spellEnd"/>
            <w:r w:rsidRPr="00C71471">
              <w:rPr>
                <w:rFonts w:ascii="Verdana" w:eastAsia="Calibri" w:hAnsi="Verdana" w:cs="Arial"/>
                <w:sz w:val="16"/>
                <w:szCs w:val="16"/>
                <w:lang w:val="pt-BR" w:eastAsia="es-ES"/>
              </w:rPr>
              <w:t> </w:t>
            </w:r>
          </w:p>
        </w:tc>
      </w:tr>
      <w:tr w:rsidR="004D0629" w:rsidRPr="00C71471" w14:paraId="5EB54DC0" w14:textId="77777777" w:rsidTr="0006196E">
        <w:trPr>
          <w:trHeight w:val="300"/>
        </w:trPr>
        <w:tc>
          <w:tcPr>
            <w:tcW w:w="893" w:type="dxa"/>
            <w:vAlign w:val="center"/>
            <w:hideMark/>
          </w:tcPr>
          <w:p w14:paraId="759A01EA" w14:textId="77777777" w:rsidR="004D0629" w:rsidRPr="00C71471" w:rsidRDefault="004D0629" w:rsidP="0006196E">
            <w:pPr>
              <w:spacing w:after="255"/>
              <w:contextualSpacing/>
              <w:rPr>
                <w:rFonts w:ascii="Verdana" w:eastAsia="Calibri" w:hAnsi="Verdana" w:cs="Arial"/>
                <w:sz w:val="16"/>
                <w:szCs w:val="16"/>
                <w:lang w:val="es-ES" w:eastAsia="es-ES"/>
              </w:rPr>
            </w:pPr>
            <w:r w:rsidRPr="00C71471">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4875EE"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val="pt-BR" w:eastAsia="es-ES"/>
              </w:rPr>
              <w:t>Carolina Quintero Gacharná</w:t>
            </w:r>
          </w:p>
          <w:p w14:paraId="66E0F21E" w14:textId="77777777" w:rsidR="004D0629" w:rsidRPr="00C71471" w:rsidRDefault="004D0629" w:rsidP="0006196E">
            <w:pPr>
              <w:spacing w:after="255"/>
              <w:contextualSpacing/>
              <w:rPr>
                <w:rFonts w:ascii="Verdana" w:eastAsia="Calibri" w:hAnsi="Verdana" w:cs="Arial"/>
                <w:sz w:val="16"/>
                <w:szCs w:val="16"/>
                <w:lang w:val="pt-BR" w:eastAsia="es-ES"/>
              </w:rPr>
            </w:pPr>
            <w:r w:rsidRPr="00C71471">
              <w:rPr>
                <w:rFonts w:ascii="Verdana" w:eastAsia="Calibri" w:hAnsi="Verdana" w:cs="Arial"/>
                <w:sz w:val="16"/>
                <w:szCs w:val="16"/>
                <w:lang w:eastAsia="es-ES"/>
              </w:rPr>
              <w:t>Subdirectora</w:t>
            </w:r>
            <w:r w:rsidRPr="00C71471">
              <w:rPr>
                <w:rFonts w:ascii="Verdana" w:eastAsia="Calibri" w:hAnsi="Verdana" w:cs="Arial"/>
                <w:sz w:val="16"/>
                <w:szCs w:val="16"/>
                <w:lang w:val="pt-BR" w:eastAsia="es-ES"/>
              </w:rPr>
              <w:t xml:space="preserve"> de Gestión Contractual ANCP – CCE</w:t>
            </w:r>
          </w:p>
        </w:tc>
      </w:tr>
    </w:tbl>
    <w:p w14:paraId="6C74AB52" w14:textId="77777777" w:rsidR="004D0629" w:rsidRPr="00C71471" w:rsidRDefault="004D0629" w:rsidP="004D0629">
      <w:pPr>
        <w:spacing w:after="0" w:line="240" w:lineRule="auto"/>
        <w:rPr>
          <w:rFonts w:ascii="Verdana" w:eastAsia="Times New Roman" w:hAnsi="Verdana" w:cs="Arial"/>
          <w:sz w:val="24"/>
          <w:szCs w:val="24"/>
          <w:lang w:eastAsia="es-ES"/>
        </w:rPr>
      </w:pPr>
    </w:p>
    <w:p w14:paraId="079E8C50" w14:textId="77777777" w:rsidR="00C24FFE" w:rsidRPr="00187855" w:rsidRDefault="00C24FFE" w:rsidP="004D0629">
      <w:pPr>
        <w:spacing w:after="0" w:line="276" w:lineRule="auto"/>
        <w:jc w:val="both"/>
      </w:pPr>
    </w:p>
    <w:sectPr w:rsidR="00C24FFE" w:rsidRPr="00187855" w:rsidSect="00187855">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95756" w14:textId="77777777" w:rsidR="00F32D51" w:rsidRDefault="00F32D51" w:rsidP="00187855">
      <w:pPr>
        <w:spacing w:after="0" w:line="240" w:lineRule="auto"/>
      </w:pPr>
      <w:r>
        <w:separator/>
      </w:r>
    </w:p>
  </w:endnote>
  <w:endnote w:type="continuationSeparator" w:id="0">
    <w:p w14:paraId="1F0A4864" w14:textId="77777777" w:rsidR="00F32D51" w:rsidRDefault="00F32D51" w:rsidP="00187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DF6F" w14:textId="77777777" w:rsidR="00187855" w:rsidRDefault="00187855">
    <w:pPr>
      <w:pStyle w:val="Piedepgina"/>
    </w:pPr>
  </w:p>
  <w:p w14:paraId="59268395" w14:textId="77777777" w:rsidR="00187855" w:rsidRPr="00174B77" w:rsidRDefault="0018785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592D84D" w14:textId="77777777" w:rsidR="00187855" w:rsidRDefault="0018785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D80CE66" w14:textId="77777777" w:rsidR="00187855" w:rsidRPr="00E41027" w:rsidRDefault="00187855" w:rsidP="00D520D8">
    <w:pPr>
      <w:spacing w:after="0"/>
      <w:jc w:val="both"/>
      <w:rPr>
        <w:rFonts w:ascii="Verdana" w:hAnsi="Verdana"/>
        <w:sz w:val="18"/>
        <w:szCs w:val="18"/>
      </w:rPr>
    </w:pPr>
    <w:r w:rsidRPr="00E41027">
      <w:rPr>
        <w:rFonts w:ascii="Verdana" w:hAnsi="Verdana"/>
        <w:sz w:val="18"/>
        <w:szCs w:val="18"/>
      </w:rPr>
      <w:t>Mesa de servicio: (+57) 601 7456788</w:t>
    </w:r>
  </w:p>
  <w:p w14:paraId="317B0363" w14:textId="77777777" w:rsidR="00187855" w:rsidRDefault="0018785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6AB45" w14:textId="77777777" w:rsidR="00F32D51" w:rsidRDefault="00F32D51" w:rsidP="00187855">
      <w:pPr>
        <w:spacing w:after="0" w:line="240" w:lineRule="auto"/>
      </w:pPr>
      <w:r>
        <w:separator/>
      </w:r>
    </w:p>
  </w:footnote>
  <w:footnote w:type="continuationSeparator" w:id="0">
    <w:p w14:paraId="0F99ECC3" w14:textId="77777777" w:rsidR="00F32D51" w:rsidRDefault="00F32D51" w:rsidP="00187855">
      <w:pPr>
        <w:spacing w:after="0" w:line="240" w:lineRule="auto"/>
      </w:pPr>
      <w:r>
        <w:continuationSeparator/>
      </w:r>
    </w:p>
  </w:footnote>
  <w:footnote w:id="1">
    <w:p w14:paraId="53B28727" w14:textId="77777777" w:rsidR="00624B56" w:rsidRPr="00B93D47" w:rsidRDefault="00624B56" w:rsidP="00B93D47">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20D656A0" w14:textId="77777777" w:rsidR="00B93D47" w:rsidRPr="00B93D47" w:rsidRDefault="00B93D47" w:rsidP="00B93D47">
      <w:pPr>
        <w:pStyle w:val="Textonotapie"/>
        <w:ind w:right="51" w:firstLine="709"/>
        <w:contextualSpacing/>
        <w:jc w:val="both"/>
        <w:rPr>
          <w:rFonts w:ascii="Verdana" w:hAnsi="Verdana" w:cs="Arial"/>
          <w:sz w:val="16"/>
          <w:szCs w:val="16"/>
        </w:rPr>
      </w:pPr>
    </w:p>
  </w:footnote>
  <w:footnote w:id="2">
    <w:p w14:paraId="02F7D643" w14:textId="77777777" w:rsidR="00624B56" w:rsidRPr="00B93D47" w:rsidRDefault="00624B56" w:rsidP="00B93D47">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3"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3"/>
      <w:r w:rsidRPr="00B93D47">
        <w:rPr>
          <w:rFonts w:ascii="Verdana" w:hAnsi="Verdana" w:cs="Arial"/>
          <w:sz w:val="16"/>
          <w:szCs w:val="16"/>
        </w:rPr>
        <w:t>Al respecto ver el concepto 1712 de 2 de febrero de 2006. Consejo de Estado Sala de Consulta y Servicio Civil”.</w:t>
      </w:r>
    </w:p>
    <w:p w14:paraId="1A8FF1BD" w14:textId="77777777" w:rsidR="00B93D47" w:rsidRPr="00B93D47" w:rsidRDefault="00B93D47" w:rsidP="00B93D47">
      <w:pPr>
        <w:pStyle w:val="Textonotapie"/>
        <w:ind w:right="51" w:firstLine="709"/>
        <w:contextualSpacing/>
        <w:jc w:val="both"/>
        <w:rPr>
          <w:rFonts w:ascii="Verdana" w:hAnsi="Verdana" w:cs="Arial"/>
          <w:sz w:val="16"/>
          <w:szCs w:val="16"/>
        </w:rPr>
      </w:pPr>
    </w:p>
  </w:footnote>
  <w:footnote w:id="3">
    <w:p w14:paraId="78E37BD0" w14:textId="77777777" w:rsidR="00624B56" w:rsidRPr="00B93D47" w:rsidRDefault="00624B56" w:rsidP="00B93D4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w:t>
      </w:r>
      <w:r w:rsidRPr="00B93D47">
        <w:rPr>
          <w:rFonts w:ascii="Verdana" w:hAnsi="Verdana" w:cs="Arial"/>
          <w:sz w:val="16"/>
          <w:szCs w:val="16"/>
        </w:rPr>
        <w:t>Namén Vargas.</w:t>
      </w:r>
    </w:p>
    <w:p w14:paraId="008EE337" w14:textId="77777777" w:rsidR="00B93D47" w:rsidRPr="00B93D47" w:rsidRDefault="00B93D47" w:rsidP="00B93D47">
      <w:pPr>
        <w:pStyle w:val="Textonotapie"/>
        <w:ind w:firstLine="709"/>
        <w:contextualSpacing/>
        <w:jc w:val="both"/>
        <w:rPr>
          <w:rFonts w:ascii="Verdana" w:hAnsi="Verdana" w:cs="Arial"/>
          <w:sz w:val="16"/>
          <w:szCs w:val="16"/>
        </w:rPr>
      </w:pPr>
    </w:p>
  </w:footnote>
  <w:footnote w:id="4">
    <w:p w14:paraId="4A11D29A" w14:textId="77777777" w:rsidR="00624B56" w:rsidRPr="00B93D47" w:rsidRDefault="00624B56" w:rsidP="00B93D4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5">
    <w:p w14:paraId="599A52EA" w14:textId="77777777" w:rsidR="00B93D47" w:rsidRPr="00B93D47" w:rsidRDefault="00B93D47" w:rsidP="00B93D47">
      <w:pPr>
        <w:pStyle w:val="Textonotapie"/>
        <w:ind w:firstLine="709"/>
        <w:contextualSpacing/>
        <w:jc w:val="both"/>
        <w:rPr>
          <w:rFonts w:ascii="Verdana" w:hAnsi="Verdana" w:cs="Arial"/>
          <w:sz w:val="16"/>
          <w:szCs w:val="16"/>
        </w:rPr>
      </w:pPr>
    </w:p>
    <w:p w14:paraId="28C9280D" w14:textId="04AF714D" w:rsidR="00624B56" w:rsidRPr="00B93D47" w:rsidRDefault="00624B56" w:rsidP="00B93D4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6">
    <w:p w14:paraId="481246DA" w14:textId="77777777" w:rsidR="00624B56" w:rsidRDefault="00624B56" w:rsidP="00B93D47">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0A5FB58B" w14:textId="77777777" w:rsidR="009D66B0" w:rsidRPr="00B93D47" w:rsidRDefault="009D66B0" w:rsidP="00B93D47">
      <w:pPr>
        <w:pStyle w:val="Textonotapie"/>
        <w:ind w:firstLine="709"/>
        <w:contextualSpacing/>
        <w:jc w:val="both"/>
        <w:rPr>
          <w:rFonts w:ascii="Verdana" w:hAnsi="Verdana" w:cs="Arial"/>
          <w:sz w:val="16"/>
          <w:szCs w:val="16"/>
          <w:lang w:val="es-ES"/>
        </w:rPr>
      </w:pPr>
    </w:p>
  </w:footnote>
  <w:footnote w:id="7">
    <w:p w14:paraId="0034E1A8" w14:textId="77777777" w:rsidR="00624B56" w:rsidRPr="00B93D47" w:rsidRDefault="00624B56" w:rsidP="00B93D47">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Consejo de Estado. Sala de Consulta y Servicio Civil, Concepto de 8 de mayo de 2018. Radicación Número: 11001-03-06-000-2018-00095-00(2382). Consejero Ponente: Álvaro </w:t>
      </w:r>
      <w:r w:rsidRPr="00B93D47">
        <w:rPr>
          <w:rFonts w:ascii="Verdana" w:hAnsi="Verdana" w:cs="Arial"/>
          <w:sz w:val="16"/>
          <w:szCs w:val="16"/>
          <w:lang w:val="es-ES"/>
        </w:rPr>
        <w:t>Namén Vargas.</w:t>
      </w:r>
    </w:p>
  </w:footnote>
  <w:footnote w:id="8">
    <w:p w14:paraId="47AF1B75" w14:textId="77777777" w:rsidR="009D66B0" w:rsidRDefault="009D66B0" w:rsidP="00B93D47">
      <w:pPr>
        <w:pStyle w:val="Textonotapie"/>
        <w:ind w:firstLine="709"/>
        <w:contextualSpacing/>
        <w:jc w:val="both"/>
        <w:rPr>
          <w:rFonts w:ascii="Verdana" w:hAnsi="Verdana" w:cs="Arial"/>
          <w:sz w:val="16"/>
          <w:szCs w:val="16"/>
        </w:rPr>
      </w:pPr>
    </w:p>
    <w:p w14:paraId="07C18FF3" w14:textId="14C43EEF" w:rsidR="00624B56" w:rsidRDefault="00624B56" w:rsidP="00B93D4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w:t>
      </w:r>
      <w:r w:rsidRPr="00B93D47">
        <w:rPr>
          <w:rFonts w:ascii="Verdana" w:hAnsi="Verdana" w:cs="Arial"/>
          <w:sz w:val="16"/>
          <w:szCs w:val="16"/>
        </w:rPr>
        <w:t>Exp. 2.382. C.P. Álvaro Namén Vargas.</w:t>
      </w:r>
    </w:p>
    <w:p w14:paraId="2E4E354B" w14:textId="77777777" w:rsidR="009D66B0" w:rsidRPr="00B93D47" w:rsidRDefault="009D66B0" w:rsidP="00B93D47">
      <w:pPr>
        <w:pStyle w:val="Textonotapie"/>
        <w:ind w:firstLine="709"/>
        <w:contextualSpacing/>
        <w:jc w:val="both"/>
        <w:rPr>
          <w:rFonts w:ascii="Verdana" w:hAnsi="Verdana" w:cs="Arial"/>
          <w:sz w:val="16"/>
          <w:szCs w:val="16"/>
        </w:rPr>
      </w:pPr>
    </w:p>
  </w:footnote>
  <w:footnote w:id="9">
    <w:p w14:paraId="27BC0D4F" w14:textId="77777777" w:rsidR="00624B56" w:rsidRPr="00B93D47" w:rsidRDefault="00624B56" w:rsidP="00B93D47">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8650" w14:textId="77777777" w:rsidR="00187855" w:rsidRDefault="0018785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37FF25D" wp14:editId="0E81DC7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6F36C51" wp14:editId="638F23E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ECB723E" w14:textId="77777777" w:rsidR="00187855" w:rsidRDefault="00187855">
    <w:pPr>
      <w:pStyle w:val="Encabezado"/>
    </w:pPr>
  </w:p>
  <w:p w14:paraId="5DEAA3CA" w14:textId="77777777" w:rsidR="00187855" w:rsidRDefault="00187855" w:rsidP="004A305D">
    <w:pPr>
      <w:spacing w:after="0"/>
      <w:rPr>
        <w:rFonts w:ascii="Verdana" w:hAnsi="Verdana"/>
        <w:b/>
        <w:bCs/>
      </w:rPr>
    </w:pPr>
  </w:p>
  <w:p w14:paraId="0D9A728C" w14:textId="77777777" w:rsidR="00187855" w:rsidRPr="004A305D" w:rsidRDefault="00187855" w:rsidP="00B01B1A">
    <w:pPr>
      <w:spacing w:after="0" w:line="120" w:lineRule="auto"/>
      <w:rPr>
        <w:rFonts w:ascii="Century Gothic" w:eastAsia="Geo" w:hAnsi="Century Gothic" w:cs="Geo"/>
        <w:sz w:val="16"/>
        <w:szCs w:val="16"/>
        <w:lang w:eastAsia="es-CO"/>
      </w:rPr>
    </w:pPr>
  </w:p>
  <w:p w14:paraId="7929297E" w14:textId="77777777" w:rsidR="00187855" w:rsidRDefault="0018785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55"/>
    <w:rsid w:val="00067BB4"/>
    <w:rsid w:val="000716AA"/>
    <w:rsid w:val="000744B6"/>
    <w:rsid w:val="00081FF2"/>
    <w:rsid w:val="00095D58"/>
    <w:rsid w:val="00096C2D"/>
    <w:rsid w:val="000A2B4E"/>
    <w:rsid w:val="000D3C2D"/>
    <w:rsid w:val="000D4E90"/>
    <w:rsid w:val="00135D5A"/>
    <w:rsid w:val="00145E4A"/>
    <w:rsid w:val="00165C0B"/>
    <w:rsid w:val="00187855"/>
    <w:rsid w:val="001B3613"/>
    <w:rsid w:val="001C4354"/>
    <w:rsid w:val="00222B0E"/>
    <w:rsid w:val="0027458F"/>
    <w:rsid w:val="002B69D1"/>
    <w:rsid w:val="003837CD"/>
    <w:rsid w:val="003A1F33"/>
    <w:rsid w:val="003B1151"/>
    <w:rsid w:val="003E412A"/>
    <w:rsid w:val="003F7B98"/>
    <w:rsid w:val="00474DF4"/>
    <w:rsid w:val="00494144"/>
    <w:rsid w:val="004D0629"/>
    <w:rsid w:val="004F471F"/>
    <w:rsid w:val="005034E6"/>
    <w:rsid w:val="00527739"/>
    <w:rsid w:val="00582479"/>
    <w:rsid w:val="005923A2"/>
    <w:rsid w:val="005C7B28"/>
    <w:rsid w:val="00624B56"/>
    <w:rsid w:val="006B1B51"/>
    <w:rsid w:val="006C24EC"/>
    <w:rsid w:val="00707ECB"/>
    <w:rsid w:val="00720768"/>
    <w:rsid w:val="00745748"/>
    <w:rsid w:val="00752875"/>
    <w:rsid w:val="007945E1"/>
    <w:rsid w:val="007A49D4"/>
    <w:rsid w:val="007C1B00"/>
    <w:rsid w:val="007E2C30"/>
    <w:rsid w:val="007E43EB"/>
    <w:rsid w:val="0080267E"/>
    <w:rsid w:val="00820CE0"/>
    <w:rsid w:val="008401CC"/>
    <w:rsid w:val="00896374"/>
    <w:rsid w:val="009336C8"/>
    <w:rsid w:val="009D4D0B"/>
    <w:rsid w:val="009D66B0"/>
    <w:rsid w:val="009E7E15"/>
    <w:rsid w:val="00A3624E"/>
    <w:rsid w:val="00A36A1C"/>
    <w:rsid w:val="00A6189F"/>
    <w:rsid w:val="00AF6210"/>
    <w:rsid w:val="00B01786"/>
    <w:rsid w:val="00B049D4"/>
    <w:rsid w:val="00B8312A"/>
    <w:rsid w:val="00B86BE3"/>
    <w:rsid w:val="00B93D47"/>
    <w:rsid w:val="00BA2DB8"/>
    <w:rsid w:val="00BF5D03"/>
    <w:rsid w:val="00C24FFE"/>
    <w:rsid w:val="00C619D2"/>
    <w:rsid w:val="00C73761"/>
    <w:rsid w:val="00CF39CF"/>
    <w:rsid w:val="00D35E4D"/>
    <w:rsid w:val="00D97ED6"/>
    <w:rsid w:val="00DB3CAF"/>
    <w:rsid w:val="00EA39A0"/>
    <w:rsid w:val="00EB7F4B"/>
    <w:rsid w:val="00EC4D4C"/>
    <w:rsid w:val="00EC5A97"/>
    <w:rsid w:val="00ED2181"/>
    <w:rsid w:val="00F32D51"/>
    <w:rsid w:val="00F44DFD"/>
    <w:rsid w:val="00F517AB"/>
    <w:rsid w:val="00F77490"/>
    <w:rsid w:val="00FF67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49D5A"/>
  <w15:chartTrackingRefBased/>
  <w15:docId w15:val="{B2C14908-F93E-4943-89D7-E8A625497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E4D"/>
    <w:rPr>
      <w:kern w:val="0"/>
      <w14:ligatures w14:val="none"/>
    </w:rPr>
  </w:style>
  <w:style w:type="paragraph" w:styleId="Ttulo1">
    <w:name w:val="heading 1"/>
    <w:basedOn w:val="Normal"/>
    <w:next w:val="Normal"/>
    <w:link w:val="Ttulo1Car"/>
    <w:uiPriority w:val="9"/>
    <w:qFormat/>
    <w:rsid w:val="00187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87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785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785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785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78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78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78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785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85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8785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8785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8785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8785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878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78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78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7855"/>
    <w:rPr>
      <w:rFonts w:eastAsiaTheme="majorEastAsia" w:cstheme="majorBidi"/>
      <w:color w:val="272727" w:themeColor="text1" w:themeTint="D8"/>
    </w:rPr>
  </w:style>
  <w:style w:type="paragraph" w:styleId="Ttulo">
    <w:name w:val="Title"/>
    <w:basedOn w:val="Normal"/>
    <w:next w:val="Normal"/>
    <w:link w:val="TtuloCar"/>
    <w:uiPriority w:val="10"/>
    <w:qFormat/>
    <w:rsid w:val="00187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78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785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78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7855"/>
    <w:pPr>
      <w:spacing w:before="160"/>
      <w:jc w:val="center"/>
    </w:pPr>
    <w:rPr>
      <w:i/>
      <w:iCs/>
      <w:color w:val="404040" w:themeColor="text1" w:themeTint="BF"/>
    </w:rPr>
  </w:style>
  <w:style w:type="character" w:customStyle="1" w:styleId="CitaCar">
    <w:name w:val="Cita Car"/>
    <w:basedOn w:val="Fuentedeprrafopredeter"/>
    <w:link w:val="Cita"/>
    <w:uiPriority w:val="29"/>
    <w:rsid w:val="0018785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87855"/>
    <w:pPr>
      <w:ind w:left="720"/>
      <w:contextualSpacing/>
    </w:pPr>
  </w:style>
  <w:style w:type="character" w:styleId="nfasisintenso">
    <w:name w:val="Intense Emphasis"/>
    <w:basedOn w:val="Fuentedeprrafopredeter"/>
    <w:uiPriority w:val="21"/>
    <w:qFormat/>
    <w:rsid w:val="00187855"/>
    <w:rPr>
      <w:i/>
      <w:iCs/>
      <w:color w:val="2F5496" w:themeColor="accent1" w:themeShade="BF"/>
    </w:rPr>
  </w:style>
  <w:style w:type="paragraph" w:styleId="Citadestacada">
    <w:name w:val="Intense Quote"/>
    <w:basedOn w:val="Normal"/>
    <w:next w:val="Normal"/>
    <w:link w:val="CitadestacadaCar"/>
    <w:uiPriority w:val="30"/>
    <w:qFormat/>
    <w:rsid w:val="00187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7855"/>
    <w:rPr>
      <w:i/>
      <w:iCs/>
      <w:color w:val="2F5496" w:themeColor="accent1" w:themeShade="BF"/>
    </w:rPr>
  </w:style>
  <w:style w:type="character" w:styleId="Referenciaintensa">
    <w:name w:val="Intense Reference"/>
    <w:basedOn w:val="Fuentedeprrafopredeter"/>
    <w:uiPriority w:val="32"/>
    <w:qFormat/>
    <w:rsid w:val="00187855"/>
    <w:rPr>
      <w:b/>
      <w:bCs/>
      <w:smallCaps/>
      <w:color w:val="2F5496" w:themeColor="accent1" w:themeShade="BF"/>
      <w:spacing w:val="5"/>
    </w:rPr>
  </w:style>
  <w:style w:type="paragraph" w:styleId="Encabezado">
    <w:name w:val="header"/>
    <w:basedOn w:val="Normal"/>
    <w:link w:val="EncabezadoCar"/>
    <w:uiPriority w:val="99"/>
    <w:unhideWhenUsed/>
    <w:rsid w:val="001878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7855"/>
    <w:rPr>
      <w:kern w:val="0"/>
      <w14:ligatures w14:val="none"/>
    </w:rPr>
  </w:style>
  <w:style w:type="paragraph" w:styleId="Piedepgina">
    <w:name w:val="footer"/>
    <w:basedOn w:val="Normal"/>
    <w:link w:val="PiedepginaCar"/>
    <w:uiPriority w:val="99"/>
    <w:unhideWhenUsed/>
    <w:rsid w:val="001878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785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878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878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878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87855"/>
    <w:rPr>
      <w:vertAlign w:val="superscript"/>
    </w:rPr>
  </w:style>
  <w:style w:type="character" w:customStyle="1" w:styleId="normaltextrun">
    <w:name w:val="normaltextrun"/>
    <w:basedOn w:val="Fuentedeprrafopredeter"/>
    <w:rsid w:val="00187855"/>
  </w:style>
  <w:style w:type="table" w:styleId="Tablaconcuadrcula">
    <w:name w:val="Table Grid"/>
    <w:basedOn w:val="Tablanormal"/>
    <w:uiPriority w:val="39"/>
    <w:qFormat/>
    <w:rsid w:val="0018785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7855"/>
    <w:rPr>
      <w:color w:val="0000FF"/>
      <w:u w:val="single"/>
    </w:rPr>
  </w:style>
  <w:style w:type="paragraph" w:styleId="NormalWeb">
    <w:name w:val="Normal (Web)"/>
    <w:basedOn w:val="Normal"/>
    <w:uiPriority w:val="99"/>
    <w:semiHidden/>
    <w:unhideWhenUsed/>
    <w:rsid w:val="0018785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187855"/>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8785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7855"/>
  </w:style>
  <w:style w:type="character" w:styleId="Textoennegrita">
    <w:name w:val="Strong"/>
    <w:basedOn w:val="Fuentedeprrafopredeter"/>
    <w:uiPriority w:val="22"/>
    <w:qFormat/>
    <w:rsid w:val="00187855"/>
    <w:rPr>
      <w:b/>
      <w:bCs/>
    </w:rPr>
  </w:style>
  <w:style w:type="character" w:styleId="nfasis">
    <w:name w:val="Emphasis"/>
    <w:basedOn w:val="Fuentedeprrafopredeter"/>
    <w:uiPriority w:val="20"/>
    <w:qFormat/>
    <w:rsid w:val="00187855"/>
    <w:rPr>
      <w:i/>
      <w:iCs/>
    </w:rPr>
  </w:style>
  <w:style w:type="character" w:styleId="Mencinsinresolver">
    <w:name w:val="Unresolved Mention"/>
    <w:basedOn w:val="Fuentedeprrafopredeter"/>
    <w:uiPriority w:val="99"/>
    <w:semiHidden/>
    <w:unhideWhenUsed/>
    <w:rsid w:val="00067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610024">
      <w:bodyDiv w:val="1"/>
      <w:marLeft w:val="0"/>
      <w:marRight w:val="0"/>
      <w:marTop w:val="0"/>
      <w:marBottom w:val="0"/>
      <w:divBdr>
        <w:top w:val="none" w:sz="0" w:space="0" w:color="auto"/>
        <w:left w:val="none" w:sz="0" w:space="0" w:color="auto"/>
        <w:bottom w:val="none" w:sz="0" w:space="0" w:color="auto"/>
        <w:right w:val="none" w:sz="0" w:space="0" w:color="auto"/>
      </w:divBdr>
      <w:divsChild>
        <w:div w:id="1350912748">
          <w:marLeft w:val="0"/>
          <w:marRight w:val="0"/>
          <w:marTop w:val="0"/>
          <w:marBottom w:val="0"/>
          <w:divBdr>
            <w:top w:val="none" w:sz="0" w:space="0" w:color="auto"/>
            <w:left w:val="none" w:sz="0" w:space="0" w:color="auto"/>
            <w:bottom w:val="none" w:sz="0" w:space="0" w:color="auto"/>
            <w:right w:val="none" w:sz="0" w:space="0" w:color="auto"/>
          </w:divBdr>
        </w:div>
        <w:div w:id="1865316331">
          <w:marLeft w:val="0"/>
          <w:marRight w:val="0"/>
          <w:marTop w:val="0"/>
          <w:marBottom w:val="0"/>
          <w:divBdr>
            <w:top w:val="none" w:sz="0" w:space="0" w:color="auto"/>
            <w:left w:val="none" w:sz="0" w:space="0" w:color="auto"/>
            <w:bottom w:val="none" w:sz="0" w:space="0" w:color="auto"/>
            <w:right w:val="none" w:sz="0" w:space="0" w:color="auto"/>
          </w:divBdr>
        </w:div>
        <w:div w:id="479149863">
          <w:marLeft w:val="0"/>
          <w:marRight w:val="0"/>
          <w:marTop w:val="0"/>
          <w:marBottom w:val="0"/>
          <w:divBdr>
            <w:top w:val="none" w:sz="0" w:space="0" w:color="auto"/>
            <w:left w:val="none" w:sz="0" w:space="0" w:color="auto"/>
            <w:bottom w:val="none" w:sz="0" w:space="0" w:color="auto"/>
            <w:right w:val="none" w:sz="0" w:space="0" w:color="auto"/>
          </w:divBdr>
        </w:div>
        <w:div w:id="1719697054">
          <w:marLeft w:val="0"/>
          <w:marRight w:val="0"/>
          <w:marTop w:val="240"/>
          <w:marBottom w:val="240"/>
          <w:divBdr>
            <w:top w:val="none" w:sz="0" w:space="0" w:color="auto"/>
            <w:left w:val="none" w:sz="0" w:space="0" w:color="auto"/>
            <w:bottom w:val="none" w:sz="0" w:space="0" w:color="auto"/>
            <w:right w:val="none" w:sz="0" w:space="0" w:color="auto"/>
          </w:divBdr>
        </w:div>
      </w:divsChild>
    </w:div>
    <w:div w:id="825895046">
      <w:bodyDiv w:val="1"/>
      <w:marLeft w:val="0"/>
      <w:marRight w:val="0"/>
      <w:marTop w:val="0"/>
      <w:marBottom w:val="0"/>
      <w:divBdr>
        <w:top w:val="none" w:sz="0" w:space="0" w:color="auto"/>
        <w:left w:val="none" w:sz="0" w:space="0" w:color="auto"/>
        <w:bottom w:val="none" w:sz="0" w:space="0" w:color="auto"/>
        <w:right w:val="none" w:sz="0" w:space="0" w:color="auto"/>
      </w:divBdr>
      <w:divsChild>
        <w:div w:id="1364018733">
          <w:marLeft w:val="0"/>
          <w:marRight w:val="0"/>
          <w:marTop w:val="0"/>
          <w:marBottom w:val="0"/>
          <w:divBdr>
            <w:top w:val="none" w:sz="0" w:space="0" w:color="auto"/>
            <w:left w:val="none" w:sz="0" w:space="0" w:color="auto"/>
            <w:bottom w:val="none" w:sz="0" w:space="0" w:color="auto"/>
            <w:right w:val="none" w:sz="0" w:space="0" w:color="auto"/>
          </w:divBdr>
        </w:div>
        <w:div w:id="1253245680">
          <w:marLeft w:val="0"/>
          <w:marRight w:val="0"/>
          <w:marTop w:val="0"/>
          <w:marBottom w:val="0"/>
          <w:divBdr>
            <w:top w:val="none" w:sz="0" w:space="0" w:color="auto"/>
            <w:left w:val="none" w:sz="0" w:space="0" w:color="auto"/>
            <w:bottom w:val="none" w:sz="0" w:space="0" w:color="auto"/>
            <w:right w:val="none" w:sz="0" w:space="0" w:color="auto"/>
          </w:divBdr>
        </w:div>
        <w:div w:id="1027177716">
          <w:marLeft w:val="0"/>
          <w:marRight w:val="0"/>
          <w:marTop w:val="0"/>
          <w:marBottom w:val="0"/>
          <w:divBdr>
            <w:top w:val="none" w:sz="0" w:space="0" w:color="auto"/>
            <w:left w:val="none" w:sz="0" w:space="0" w:color="auto"/>
            <w:bottom w:val="none" w:sz="0" w:space="0" w:color="auto"/>
            <w:right w:val="none" w:sz="0" w:space="0" w:color="auto"/>
          </w:divBdr>
        </w:div>
        <w:div w:id="1423718732">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sites/cce_public/files/cce_circulares/cce-eicp-ma-06_circular_externa_con_comentarios_de_ciudadanos-_v2f_002.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5C361A-6820-40D3-943C-42E8D28FD6D4}">
  <ds:schemaRefs>
    <ds:schemaRef ds:uri="http://purl.org/dc/dcmitype/"/>
    <ds:schemaRef ds:uri="a6cb9e4b-f1d1-4245-83ec-6cad768d538a"/>
    <ds:schemaRef ds:uri="http://purl.org/dc/elements/1.1/"/>
    <ds:schemaRef ds:uri="http://schemas.microsoft.com/office/2006/documentManagement/types"/>
    <ds:schemaRef ds:uri="9d85dbaf-23eb-4e57-a637-93dcacc8b1a1"/>
    <ds:schemaRef ds:uri="http://schemas.openxmlformats.org/package/2006/metadata/core-properties"/>
    <ds:schemaRef ds:uri="http://purl.org/dc/terms/"/>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1321D62-9A2D-46D0-BE95-A86404AEED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E1C687-4089-4A15-A586-DECEF0C2043F}">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11</Pages>
  <Words>3494</Words>
  <Characters>18034</Characters>
  <Application>Microsoft Office Word</Application>
  <DocSecurity>0</DocSecurity>
  <Lines>409</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2025-10-30T14:42:00Z</dcterms:created>
  <dcterms:modified xsi:type="dcterms:W3CDTF">2025-10-30T14:42:00Z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