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6CB88" w14:textId="77777777" w:rsidR="00940651" w:rsidRPr="00AF1555" w:rsidRDefault="00940651" w:rsidP="00940651">
      <w:pPr>
        <w:tabs>
          <w:tab w:val="left" w:pos="709"/>
        </w:tabs>
        <w:spacing w:after="0" w:line="240" w:lineRule="auto"/>
        <w:jc w:val="both"/>
        <w:rPr>
          <w:rFonts w:ascii="Verdana" w:eastAsia="Calibri" w:hAnsi="Verdana" w:cs="Arial"/>
          <w:bCs/>
          <w:sz w:val="20"/>
          <w:szCs w:val="20"/>
          <w:lang w:val="es-ES_tradnl" w:eastAsia="es-ES_tradnl"/>
        </w:rPr>
      </w:pPr>
    </w:p>
    <w:p w14:paraId="5EFB0A34" w14:textId="77777777" w:rsidR="00940651" w:rsidRPr="00AF1555" w:rsidRDefault="00940651" w:rsidP="00940651">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5FC35903" w14:textId="77777777" w:rsidR="00940651" w:rsidRPr="00AF1555" w:rsidRDefault="00940651" w:rsidP="00940651">
      <w:pPr>
        <w:spacing w:after="0" w:line="240" w:lineRule="auto"/>
        <w:jc w:val="both"/>
        <w:rPr>
          <w:rFonts w:ascii="Verdana" w:eastAsia="Calibri" w:hAnsi="Verdana" w:cs="Arial"/>
          <w:bCs/>
          <w:color w:val="000000" w:themeColor="text1"/>
          <w:sz w:val="20"/>
          <w:szCs w:val="20"/>
          <w:lang w:val="es-ES"/>
        </w:rPr>
      </w:pPr>
    </w:p>
    <w:p w14:paraId="643AA60C" w14:textId="77777777" w:rsidR="00940651" w:rsidRDefault="00940651" w:rsidP="00940651">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39011205" w14:textId="77777777" w:rsidR="00940651" w:rsidRPr="0006328C" w:rsidRDefault="00940651" w:rsidP="00940651">
      <w:pPr>
        <w:spacing w:after="0" w:line="240" w:lineRule="auto"/>
        <w:jc w:val="both"/>
        <w:rPr>
          <w:rFonts w:ascii="Verdana" w:eastAsia="Calibri" w:hAnsi="Verdana" w:cs="Arial"/>
          <w:bCs/>
          <w:color w:val="000000" w:themeColor="text1"/>
          <w:sz w:val="20"/>
          <w:szCs w:val="20"/>
          <w:lang w:val="es-ES" w:eastAsia="es-ES_tradnl"/>
        </w:rPr>
      </w:pPr>
    </w:p>
    <w:p w14:paraId="791D26B9" w14:textId="77777777" w:rsidR="00940651" w:rsidRPr="00604392" w:rsidRDefault="00940651" w:rsidP="00940651">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E639066" w14:textId="77777777" w:rsidR="00940651" w:rsidRPr="00EB0B5F" w:rsidRDefault="00940651" w:rsidP="00940651">
      <w:pPr>
        <w:spacing w:after="0" w:line="240" w:lineRule="auto"/>
        <w:jc w:val="both"/>
        <w:rPr>
          <w:rFonts w:ascii="Verdana" w:eastAsia="Calibri" w:hAnsi="Verdana" w:cs="Arial"/>
          <w:iCs/>
          <w:color w:val="000000" w:themeColor="text1"/>
          <w:sz w:val="20"/>
          <w:szCs w:val="20"/>
          <w:lang w:eastAsia="es-ES_tradnl"/>
        </w:rPr>
      </w:pPr>
    </w:p>
    <w:p w14:paraId="7CA7895E" w14:textId="77777777" w:rsidR="00940651" w:rsidRPr="00396DBB" w:rsidRDefault="00940651" w:rsidP="00940651">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CONTRATACIÓN DIRECTA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Ley 1150 de 2007 – Artículo 2.4 – Literales d) y j) – Alcance   </w:t>
      </w:r>
      <w:r w:rsidRPr="00396DBB">
        <w:rPr>
          <w:rFonts w:ascii="Verdana" w:eastAsia="Calibri" w:hAnsi="Verdana" w:cs="Arial"/>
          <w:b/>
          <w:color w:val="000000" w:themeColor="text1"/>
          <w:lang w:val="es-ES_tradnl"/>
        </w:rPr>
        <w:t xml:space="preserve"> </w:t>
      </w:r>
    </w:p>
    <w:p w14:paraId="424DE624" w14:textId="77777777" w:rsidR="00940651" w:rsidRPr="00396DBB" w:rsidRDefault="00940651" w:rsidP="00940651">
      <w:pPr>
        <w:spacing w:after="0" w:line="240" w:lineRule="auto"/>
        <w:jc w:val="both"/>
        <w:rPr>
          <w:rFonts w:ascii="Verdana" w:eastAsia="Calibri" w:hAnsi="Verdana" w:cs="Arial"/>
          <w:bCs/>
          <w:color w:val="000000" w:themeColor="text1"/>
          <w:sz w:val="20"/>
          <w:szCs w:val="20"/>
          <w:lang w:val="es-ES_tradnl"/>
        </w:rPr>
      </w:pPr>
    </w:p>
    <w:p w14:paraId="4182CAD2" w14:textId="77777777" w:rsidR="00940651" w:rsidRDefault="00940651" w:rsidP="00940651">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L</w:t>
      </w:r>
      <w:r w:rsidRPr="00604392">
        <w:rPr>
          <w:rFonts w:ascii="Verdana" w:hAnsi="Verdana" w:cs="Arial"/>
          <w:color w:val="000000" w:themeColor="text1"/>
          <w:sz w:val="20"/>
          <w:szCs w:val="20"/>
          <w:lang w:val="es-ES"/>
        </w:rPr>
        <w:t>os literales d) y j) del artículo 2.4 de la Ley 1150 de 2007 permiten la selección directa tratándose de la contratación de bienes y servicios en el sector defensa y de la Dirección Nacional de Inteligencia (DNI), que necesiten reserva para su adquisición. Dichas causales se sujetan al cumplimiento de dos (2) requisitos: uno de carácter orgánico y otro de carácter material. Por un lado, los bienes o servicios deben ser adquiridos por entidades del sector defensa o por la Dirección Nacional de Inteligencia y, por otro, su adquisición debe ser reservada.</w:t>
      </w:r>
    </w:p>
    <w:p w14:paraId="51ABA8AA" w14:textId="77777777" w:rsidR="00940651" w:rsidRPr="00604392" w:rsidRDefault="00940651" w:rsidP="00940651">
      <w:pPr>
        <w:spacing w:after="0" w:line="240" w:lineRule="auto"/>
        <w:jc w:val="both"/>
        <w:rPr>
          <w:rFonts w:ascii="Verdana" w:hAnsi="Verdana" w:cs="Arial"/>
          <w:color w:val="000000" w:themeColor="text1"/>
          <w:sz w:val="20"/>
          <w:szCs w:val="20"/>
          <w:lang w:val="es-ES"/>
        </w:rPr>
      </w:pPr>
    </w:p>
    <w:p w14:paraId="41725B72" w14:textId="77777777" w:rsidR="00940651" w:rsidRPr="006A61B6" w:rsidRDefault="00940651" w:rsidP="00940651">
      <w:pPr>
        <w:spacing w:after="0" w:line="240" w:lineRule="auto"/>
        <w:jc w:val="both"/>
        <w:rPr>
          <w:rFonts w:ascii="Verdana" w:hAnsi="Verdana" w:cs="Arial"/>
          <w:bCs/>
          <w:color w:val="000000" w:themeColor="text1"/>
          <w:sz w:val="20"/>
          <w:szCs w:val="20"/>
          <w:lang w:val="es-ES_tradnl"/>
        </w:rPr>
      </w:pPr>
      <w:r w:rsidRPr="00604392">
        <w:rPr>
          <w:rFonts w:ascii="Verdana" w:hAnsi="Verdana" w:cs="Arial"/>
          <w:color w:val="000000" w:themeColor="text1"/>
          <w:sz w:val="20"/>
          <w:szCs w:val="20"/>
          <w:lang w:val="es-ES"/>
        </w:rPr>
        <w:t>Como indica el artículo 2.2.1.2.1.4.6 del Decreto 1082 de 2015, “Las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 Por tanto, si no coexisten los requisitos de carácter orgánico y material en las condiciones que se explican en el presente oficio, deben privilegiarse los procedimientos de selección con pluralidad de oferentes, especialmente, cuando la contratación directa es excepcional y, por tanto, las causales son de interpretación estricta.</w:t>
      </w:r>
    </w:p>
    <w:p w14:paraId="5B2B0E83" w14:textId="77777777" w:rsidR="00940651" w:rsidRPr="00EB0B5F" w:rsidRDefault="00940651" w:rsidP="00940651">
      <w:pPr>
        <w:spacing w:after="0" w:line="240" w:lineRule="auto"/>
        <w:jc w:val="both"/>
        <w:rPr>
          <w:rFonts w:ascii="Verdana" w:eastAsia="Calibri" w:hAnsi="Verdana" w:cs="Arial"/>
          <w:iCs/>
          <w:color w:val="000000" w:themeColor="text1"/>
          <w:sz w:val="20"/>
          <w:szCs w:val="20"/>
          <w:lang w:eastAsia="es-ES_tradnl"/>
        </w:rPr>
      </w:pPr>
    </w:p>
    <w:p w14:paraId="1DD89939" w14:textId="77777777" w:rsidR="00940651" w:rsidRPr="00396DBB" w:rsidRDefault="00940651" w:rsidP="00940651">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SECTOR DEFENSA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Estructura – Entidades adscritas – Entidades vinculadas   </w:t>
      </w:r>
      <w:r w:rsidRPr="00396DBB">
        <w:rPr>
          <w:rFonts w:ascii="Verdana" w:eastAsia="Calibri" w:hAnsi="Verdana" w:cs="Arial"/>
          <w:b/>
          <w:color w:val="000000" w:themeColor="text1"/>
          <w:lang w:val="es-ES_tradnl"/>
        </w:rPr>
        <w:t xml:space="preserve"> </w:t>
      </w:r>
    </w:p>
    <w:p w14:paraId="197AED30" w14:textId="77777777" w:rsidR="00940651" w:rsidRPr="00396DBB" w:rsidRDefault="00940651" w:rsidP="00940651">
      <w:pPr>
        <w:spacing w:after="0" w:line="240" w:lineRule="auto"/>
        <w:jc w:val="both"/>
        <w:rPr>
          <w:rFonts w:ascii="Verdana" w:eastAsia="Calibri" w:hAnsi="Verdana" w:cs="Arial"/>
          <w:bCs/>
          <w:color w:val="000000" w:themeColor="text1"/>
          <w:sz w:val="20"/>
          <w:szCs w:val="20"/>
          <w:lang w:val="es-ES_tradnl"/>
        </w:rPr>
      </w:pPr>
    </w:p>
    <w:p w14:paraId="1BE9F6DF" w14:textId="77777777" w:rsidR="00940651" w:rsidRDefault="00940651" w:rsidP="00940651">
      <w:pPr>
        <w:spacing w:after="0" w:line="240" w:lineRule="auto"/>
        <w:jc w:val="both"/>
        <w:rPr>
          <w:rFonts w:ascii="Verdana" w:hAnsi="Verdana" w:cs="Arial"/>
          <w:color w:val="000000" w:themeColor="text1"/>
          <w:sz w:val="20"/>
          <w:szCs w:val="20"/>
        </w:rPr>
      </w:pPr>
      <w:r w:rsidRPr="00AF6312">
        <w:rPr>
          <w:rFonts w:ascii="Verdana" w:hAnsi="Verdana" w:cs="Arial"/>
          <w:color w:val="000000" w:themeColor="text1"/>
          <w:sz w:val="20"/>
          <w:szCs w:val="20"/>
        </w:rPr>
        <w:t xml:space="preserve">Respecto a la estructura administrativa del sector de defensa nacional, el Decreto 1070 de 2015 ubica al ministerio respectivo como cabeza del mismo –artículo 1.1.1.1–. Al ministerio se encuentran adscritas la Superintendencia de Vigilancia y Seguridad Privada </w:t>
      </w:r>
      <w:r w:rsidRPr="00AF6312">
        <w:rPr>
          <w:rFonts w:ascii="Verdana" w:hAnsi="Verdana" w:cs="Arial"/>
          <w:color w:val="000000" w:themeColor="text1"/>
          <w:sz w:val="20"/>
          <w:szCs w:val="20"/>
        </w:rPr>
        <w:lastRenderedPageBreak/>
        <w:t>–artículo 1.2.1.1.1–; la Caja de Retiro de las Fuerzas Militares, la Caja de Sueldos de Retiro de la Policía Nacional, el Hospital Militar Central, la Agencia Logística de las Fuerzas Militares, el Fondo Rotatorio de la Policía Nacional, el Instituto de Casas Fiscales del Ejército, el Club Militar, y la Defensa Civil Colombiana –artículo 1.2.1.2.1–. También están vinculadas la Industria Militar y la Caja Promotora de Vivienda Militar y de Policía –artículo 1.2.2.1.1–; el Servicio Aéreo a Territorios Nacionales S.A, la Corporación de la Industria Aeronáutica Colombiana S.A y la Sociedad Hotelera S.A –artículo 1.2.2.2.1–; así como la Corporación de Ciencia y Tecnología para el Desarrollo de la Industria Naval, Marítima y Fluvial y la Corporación de Alta Tecnología para la Defensa –artículo 1.2.3.1–</w:t>
      </w:r>
    </w:p>
    <w:p w14:paraId="79B097D5" w14:textId="77777777" w:rsidR="00940651" w:rsidRPr="00AF6312" w:rsidRDefault="00940651" w:rsidP="00940651">
      <w:pPr>
        <w:spacing w:after="0" w:line="240" w:lineRule="auto"/>
        <w:jc w:val="both"/>
        <w:rPr>
          <w:rFonts w:ascii="Verdana" w:hAnsi="Verdana" w:cs="Arial"/>
          <w:color w:val="000000" w:themeColor="text1"/>
          <w:sz w:val="20"/>
          <w:szCs w:val="20"/>
        </w:rPr>
      </w:pPr>
    </w:p>
    <w:p w14:paraId="06BDC9E2" w14:textId="77777777" w:rsidR="00940651" w:rsidRDefault="00940651" w:rsidP="00940651">
      <w:pPr>
        <w:spacing w:after="0" w:line="240" w:lineRule="auto"/>
        <w:jc w:val="both"/>
        <w:rPr>
          <w:rFonts w:ascii="Verdana" w:hAnsi="Verdana" w:cs="Arial"/>
          <w:color w:val="000000" w:themeColor="text1"/>
          <w:sz w:val="20"/>
          <w:szCs w:val="20"/>
        </w:rPr>
      </w:pPr>
      <w:r w:rsidRPr="00AF6312">
        <w:rPr>
          <w:rFonts w:ascii="Verdana" w:hAnsi="Verdana" w:cs="Arial"/>
          <w:color w:val="000000" w:themeColor="text1"/>
          <w:sz w:val="20"/>
          <w:szCs w:val="20"/>
        </w:rPr>
        <w:t xml:space="preserve">Sin perjuicio de lo regulado en el artículo 14 de la ley 1150 de 2007 sobre régimen del régimen contractual de las empresas industriales y comerciales del estado, las sociedades de economía mixta, sus filiales y empresas con participación mayoritaria del Estado, el artículo 16 </w:t>
      </w:r>
      <w:r w:rsidRPr="00AF6312">
        <w:rPr>
          <w:rFonts w:ascii="Verdana" w:hAnsi="Verdana" w:cs="Arial"/>
          <w:i/>
          <w:iCs/>
          <w:color w:val="000000" w:themeColor="text1"/>
          <w:sz w:val="20"/>
          <w:szCs w:val="20"/>
        </w:rPr>
        <w:t>ibidem</w:t>
      </w:r>
      <w:r w:rsidRPr="00AF6312">
        <w:rPr>
          <w:rFonts w:ascii="Verdana" w:hAnsi="Verdana" w:cs="Arial"/>
          <w:color w:val="000000" w:themeColor="text1"/>
          <w:sz w:val="20"/>
          <w:szCs w:val="20"/>
        </w:rPr>
        <w:t xml:space="preserve"> indica lo siguiente: “Los contratos que celebren Satena, Indumil, El Hotel Tequendama, la Corporación de Ciencia y Tecnología para el desarrollo de la industria naval, marítima y fluvial –Cotecmar– y la Corporación de la Industria Aeronáutica Colombiana –CIAC–, no estarán sujetos a las disposiciones del Estatuto General de Contratación de la Administración Pública y se regirán por las disposiciones legales y reglamentarias aplicables a su actividad”. Luego, la causal de contratación directa del literal d) del artículo 2.4 de la Ley 1150 de 2007 se circunscribe principalmente a las entidades del sector defensa regidas por la Ley 80 de 1993.</w:t>
      </w:r>
    </w:p>
    <w:p w14:paraId="39F68E30" w14:textId="77777777" w:rsidR="00940651" w:rsidRDefault="00940651" w:rsidP="00940651">
      <w:pPr>
        <w:spacing w:after="0" w:line="240" w:lineRule="auto"/>
        <w:jc w:val="both"/>
        <w:rPr>
          <w:rFonts w:ascii="Verdana" w:hAnsi="Verdana" w:cs="Arial"/>
          <w:color w:val="000000" w:themeColor="text1"/>
          <w:sz w:val="20"/>
          <w:szCs w:val="20"/>
          <w:lang w:val="es-ES"/>
        </w:rPr>
      </w:pPr>
    </w:p>
    <w:p w14:paraId="42B98BEC" w14:textId="77777777" w:rsidR="00940651" w:rsidRPr="00396DBB" w:rsidRDefault="00940651" w:rsidP="00940651">
      <w:pPr>
        <w:spacing w:after="0" w:line="240" w:lineRule="auto"/>
        <w:jc w:val="both"/>
        <w:rPr>
          <w:rFonts w:ascii="Verdana" w:eastAsia="Calibri" w:hAnsi="Verdana" w:cs="Arial"/>
          <w:b/>
          <w:color w:val="000000" w:themeColor="text1"/>
          <w:lang w:val="es-ES_tradnl"/>
        </w:rPr>
      </w:pPr>
      <w:r w:rsidRPr="00AF6312">
        <w:rPr>
          <w:rFonts w:ascii="Verdana" w:eastAsia="Calibri" w:hAnsi="Verdana" w:cs="Arial"/>
          <w:b/>
          <w:color w:val="000000" w:themeColor="text1"/>
          <w:lang w:val="es-ES_tradnl"/>
        </w:rPr>
        <w:t>DIRECCIÓN NACIONAL DE INTELIGENCIA</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Naturaleza jurídica – Objeto   </w:t>
      </w:r>
      <w:r w:rsidRPr="00396DBB">
        <w:rPr>
          <w:rFonts w:ascii="Verdana" w:eastAsia="Calibri" w:hAnsi="Verdana" w:cs="Arial"/>
          <w:b/>
          <w:color w:val="000000" w:themeColor="text1"/>
          <w:lang w:val="es-ES_tradnl"/>
        </w:rPr>
        <w:t xml:space="preserve"> </w:t>
      </w:r>
    </w:p>
    <w:p w14:paraId="6339B752" w14:textId="77777777" w:rsidR="00940651" w:rsidRPr="00396DBB" w:rsidRDefault="00940651" w:rsidP="00940651">
      <w:pPr>
        <w:spacing w:after="0" w:line="240" w:lineRule="auto"/>
        <w:jc w:val="both"/>
        <w:rPr>
          <w:rFonts w:ascii="Verdana" w:eastAsia="Calibri" w:hAnsi="Verdana" w:cs="Arial"/>
          <w:bCs/>
          <w:color w:val="000000" w:themeColor="text1"/>
          <w:sz w:val="20"/>
          <w:szCs w:val="20"/>
          <w:lang w:val="es-ES_tradnl"/>
        </w:rPr>
      </w:pPr>
    </w:p>
    <w:p w14:paraId="383AB5C8" w14:textId="77777777" w:rsidR="00940651" w:rsidRDefault="00940651" w:rsidP="00940651">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w:t>
      </w:r>
      <w:r w:rsidRPr="00AF6312">
        <w:rPr>
          <w:rFonts w:ascii="Verdana" w:hAnsi="Verdana" w:cs="Arial"/>
          <w:color w:val="000000" w:themeColor="text1"/>
          <w:sz w:val="20"/>
          <w:szCs w:val="20"/>
          <w:lang w:val="es-ES"/>
        </w:rPr>
        <w:t>l artículo 1 del Decreto Ley 4179 de 2011 dispone lo siguiente: “Créase un Departamento Administrativo que se denominará Dirección Nacional de Inteligencia, como un organismo civil de seguridad, que desarrolla actividades de inteligencia estratégica y contrainteligencia”. Conforme al artículo 2 ibidem, “[…] tendrá como objeto desarrollar actividades de inteligencia estratégica y contrainteligencia para proteger los derechos y libertades de los ciudadanos y de las personas residentes en Colombia, prevenir y contrarrestar amenazas internas o externas contra la vigencia del régimen democrático, el orden constitucional y legal, la seguridad y la defensa nacional, así como cumplir con los requerimientos que en materia de inteligencia le hagan el Presidente de la República y el Alto Gobierno para el logro de los fines esenciales del Estado, de conformidad con la ley”</w:t>
      </w:r>
      <w:r w:rsidRPr="00604392">
        <w:rPr>
          <w:rFonts w:ascii="Verdana" w:hAnsi="Verdana" w:cs="Arial"/>
          <w:color w:val="000000" w:themeColor="text1"/>
          <w:sz w:val="20"/>
          <w:szCs w:val="20"/>
          <w:lang w:val="es-ES"/>
        </w:rPr>
        <w:t>.</w:t>
      </w:r>
    </w:p>
    <w:p w14:paraId="3F5C9033" w14:textId="77777777" w:rsidR="00940651" w:rsidRDefault="00940651" w:rsidP="00940651">
      <w:pPr>
        <w:spacing w:after="0" w:line="240" w:lineRule="auto"/>
        <w:jc w:val="both"/>
        <w:rPr>
          <w:rFonts w:ascii="Verdana" w:hAnsi="Verdana" w:cs="Arial"/>
          <w:color w:val="000000" w:themeColor="text1"/>
          <w:sz w:val="20"/>
          <w:szCs w:val="20"/>
          <w:lang w:val="es-ES"/>
        </w:rPr>
      </w:pPr>
    </w:p>
    <w:p w14:paraId="5D14C67F" w14:textId="77777777" w:rsidR="00940651" w:rsidRPr="00396DBB" w:rsidRDefault="00940651" w:rsidP="00940651">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SEGURIDAD Y DEFENSA NACIONAL</w:t>
      </w:r>
      <w:r w:rsidRPr="00396DBB">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 xml:space="preserve">Concepto jurídico indeterminado   </w:t>
      </w:r>
      <w:r w:rsidRPr="00396DBB">
        <w:rPr>
          <w:rFonts w:ascii="Verdana" w:eastAsia="Calibri" w:hAnsi="Verdana" w:cs="Arial"/>
          <w:b/>
          <w:color w:val="000000" w:themeColor="text1"/>
          <w:lang w:val="es-ES_tradnl"/>
        </w:rPr>
        <w:t xml:space="preserve"> </w:t>
      </w:r>
    </w:p>
    <w:p w14:paraId="010FEB67" w14:textId="77777777" w:rsidR="00940651" w:rsidRPr="00396DBB" w:rsidRDefault="00940651" w:rsidP="00940651">
      <w:pPr>
        <w:spacing w:after="0" w:line="240" w:lineRule="auto"/>
        <w:jc w:val="both"/>
        <w:rPr>
          <w:rFonts w:ascii="Verdana" w:eastAsia="Calibri" w:hAnsi="Verdana" w:cs="Arial"/>
          <w:bCs/>
          <w:color w:val="000000" w:themeColor="text1"/>
          <w:sz w:val="20"/>
          <w:szCs w:val="20"/>
          <w:lang w:val="es-ES_tradnl"/>
        </w:rPr>
      </w:pPr>
    </w:p>
    <w:p w14:paraId="66667D7F" w14:textId="76599D3F" w:rsidR="00940651" w:rsidRPr="001C52D3" w:rsidRDefault="00940651" w:rsidP="00DD1C92">
      <w:pPr>
        <w:spacing w:after="0" w:line="240" w:lineRule="auto"/>
        <w:jc w:val="both"/>
        <w:rPr>
          <w:rFonts w:ascii="Verdana" w:hAnsi="Verdana" w:cs="Arial"/>
          <w:bCs/>
          <w:color w:val="000000" w:themeColor="text1"/>
          <w:sz w:val="20"/>
          <w:szCs w:val="20"/>
          <w:lang w:val="es-ES_tradnl"/>
        </w:rPr>
      </w:pPr>
      <w:r>
        <w:rPr>
          <w:rFonts w:ascii="Verdana" w:hAnsi="Verdana" w:cs="Arial"/>
          <w:color w:val="000000" w:themeColor="text1"/>
          <w:sz w:val="20"/>
          <w:szCs w:val="20"/>
          <w:lang w:val="es-ES"/>
        </w:rPr>
        <w:t>E</w:t>
      </w:r>
      <w:r w:rsidRPr="00AF6312">
        <w:rPr>
          <w:rFonts w:ascii="Verdana" w:hAnsi="Verdana" w:cs="Arial"/>
          <w:color w:val="000000" w:themeColor="text1"/>
          <w:sz w:val="20"/>
          <w:szCs w:val="20"/>
          <w:lang w:val="es-ES"/>
        </w:rPr>
        <w:t>s la necesidad de la reserva de los documentos del proceso la que habilita la causal de contratación directa para las entidades de sector defensa sometida al EGCAP y de la Dirección Nacional de Inteligencia. Dicha reserva por lo general se refiere a temas de defensa y seguridad nacional. 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604392">
        <w:rPr>
          <w:rFonts w:ascii="Verdana" w:hAnsi="Verdana" w:cs="Arial"/>
          <w:color w:val="000000" w:themeColor="text1"/>
          <w:sz w:val="20"/>
          <w:szCs w:val="20"/>
          <w:lang w:val="es-ES"/>
        </w:rPr>
        <w:t>.</w:t>
      </w:r>
    </w:p>
    <w:p w14:paraId="3B9010F0" w14:textId="683578C1" w:rsidR="00DD1C92" w:rsidRPr="004D5AF6" w:rsidRDefault="00DD1C92" w:rsidP="00DD1C92">
      <w:pPr>
        <w:spacing w:after="0" w:line="240" w:lineRule="auto"/>
        <w:jc w:val="both"/>
        <w:rPr>
          <w:rFonts w:ascii="Verdana" w:hAnsi="Verdana" w:cs="Arial"/>
          <w:color w:val="000000" w:themeColor="text1"/>
          <w:sz w:val="20"/>
          <w:szCs w:val="20"/>
          <w:lang w:val="es-ES_tradnl"/>
        </w:rPr>
      </w:pPr>
      <w:r w:rsidRPr="00593A5F">
        <w:rPr>
          <w:rFonts w:ascii="Verdana" w:eastAsia="Geomanist Light" w:hAnsi="Verdana" w:cs="Arial"/>
          <w:color w:val="000000" w:themeColor="text1"/>
          <w:lang w:val="es-MX"/>
        </w:rPr>
        <w:lastRenderedPageBreak/>
        <w:t>Bogotá D.C., </w:t>
      </w:r>
      <w:r w:rsidR="00C1236A">
        <w:rPr>
          <w:rFonts w:ascii="Verdana" w:eastAsia="Geomanist Light" w:hAnsi="Verdana" w:cs="Arial"/>
          <w:color w:val="000000" w:themeColor="text1"/>
          <w:lang w:val="es-MX"/>
        </w:rPr>
        <w:t>2</w:t>
      </w:r>
      <w:r w:rsidR="00B92CD6">
        <w:rPr>
          <w:rFonts w:ascii="Verdana" w:eastAsia="Geomanist Light" w:hAnsi="Verdana" w:cs="Arial"/>
          <w:color w:val="000000" w:themeColor="text1"/>
          <w:lang w:val="es-MX"/>
        </w:rPr>
        <w:t>7</w:t>
      </w:r>
      <w:r w:rsidR="00C1236A">
        <w:rPr>
          <w:rFonts w:ascii="Verdana" w:eastAsia="Geomanist Light" w:hAnsi="Verdana" w:cs="Arial"/>
          <w:color w:val="000000" w:themeColor="text1"/>
          <w:lang w:val="es-MX"/>
        </w:rPr>
        <w:t xml:space="preserve"> de Octubre de 2025</w:t>
      </w:r>
    </w:p>
    <w:p w14:paraId="20E69869" w14:textId="77777777" w:rsidR="00DD1C92" w:rsidRDefault="00DD1C92" w:rsidP="00DD1C92">
      <w:pPr>
        <w:spacing w:after="0" w:line="240" w:lineRule="auto"/>
        <w:jc w:val="both"/>
        <w:rPr>
          <w:rFonts w:ascii="Verdana" w:eastAsia="Calibri" w:hAnsi="Verdana" w:cs="Arial"/>
          <w:color w:val="000000"/>
          <w:lang w:val="es-ES"/>
        </w:rPr>
      </w:pPr>
    </w:p>
    <w:p w14:paraId="7DDBB390" w14:textId="29B69D90" w:rsidR="00564736" w:rsidRDefault="00564736" w:rsidP="00564736">
      <w:pPr>
        <w:spacing w:after="0" w:line="240" w:lineRule="auto"/>
        <w:jc w:val="right"/>
        <w:rPr>
          <w:rFonts w:ascii="Verdana" w:eastAsia="Calibri" w:hAnsi="Verdana" w:cs="Arial"/>
          <w:color w:val="000000"/>
          <w:lang w:val="es-ES"/>
        </w:rPr>
      </w:pPr>
      <w:r w:rsidRPr="00564736">
        <w:rPr>
          <w:rFonts w:ascii="Verdana" w:eastAsia="Calibri" w:hAnsi="Verdana" w:cs="Arial"/>
          <w:noProof/>
          <w:color w:val="000000"/>
          <w:lang w:val="es-ES"/>
        </w:rPr>
        <w:drawing>
          <wp:inline distT="0" distB="0" distL="0" distR="0" wp14:anchorId="5DC76624" wp14:editId="45A66232">
            <wp:extent cx="2400300" cy="622300"/>
            <wp:effectExtent l="0" t="0" r="0" b="0"/>
            <wp:docPr id="16704242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424249" name=""/>
                    <pic:cNvPicPr/>
                  </pic:nvPicPr>
                  <pic:blipFill>
                    <a:blip r:embed="rId10"/>
                    <a:stretch>
                      <a:fillRect/>
                    </a:stretch>
                  </pic:blipFill>
                  <pic:spPr>
                    <a:xfrm>
                      <a:off x="0" y="0"/>
                      <a:ext cx="2400300" cy="622300"/>
                    </a:xfrm>
                    <a:prstGeom prst="rect">
                      <a:avLst/>
                    </a:prstGeom>
                  </pic:spPr>
                </pic:pic>
              </a:graphicData>
            </a:graphic>
          </wp:inline>
        </w:drawing>
      </w:r>
    </w:p>
    <w:p w14:paraId="4971CA16" w14:textId="77777777" w:rsidR="00DD1C92" w:rsidRPr="00593A5F" w:rsidRDefault="00DD1C92" w:rsidP="00DD1C92">
      <w:pPr>
        <w:spacing w:after="0" w:line="240" w:lineRule="auto"/>
        <w:jc w:val="both"/>
        <w:rPr>
          <w:rFonts w:ascii="Verdana" w:eastAsia="Calibri" w:hAnsi="Verdana" w:cs="Arial"/>
          <w:color w:val="000000"/>
          <w:lang w:val="es-ES"/>
        </w:rPr>
      </w:pPr>
    </w:p>
    <w:p w14:paraId="2D6294F2" w14:textId="77777777" w:rsidR="00DD1C92" w:rsidRPr="00B96799" w:rsidRDefault="00DD1C92" w:rsidP="00DD1C92">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39F8D16B" w14:textId="77777777" w:rsidR="00DD1C92" w:rsidRPr="008723CE" w:rsidRDefault="00DD1C92" w:rsidP="00DD1C92">
      <w:pPr>
        <w:spacing w:after="0" w:line="240" w:lineRule="auto"/>
        <w:rPr>
          <w:rFonts w:ascii="Verdana" w:eastAsia="Calibri" w:hAnsi="Verdana" w:cs="Arial"/>
          <w:b/>
          <w:lang w:eastAsia="es-ES_tradnl"/>
        </w:rPr>
      </w:pPr>
      <w:r w:rsidRPr="00AE7E66">
        <w:rPr>
          <w:rFonts w:ascii="Verdana" w:eastAsia="Calibri" w:hAnsi="Verdana" w:cs="Arial"/>
          <w:b/>
          <w:lang w:eastAsia="es-ES_tradnl"/>
        </w:rPr>
        <w:t>Edilson Arenas Silva</w:t>
      </w:r>
      <w:r w:rsidRPr="008723CE">
        <w:rPr>
          <w:rFonts w:ascii="Verdana" w:eastAsia="Calibri" w:hAnsi="Verdana" w:cs="Arial"/>
          <w:b/>
          <w:lang w:eastAsia="es-ES_tradnl"/>
        </w:rPr>
        <w:t xml:space="preserve"> </w:t>
      </w:r>
    </w:p>
    <w:p w14:paraId="1986D6FB" w14:textId="77777777" w:rsidR="00DD1C92" w:rsidRPr="000B7620" w:rsidRDefault="00DD1C92" w:rsidP="00DD1C92">
      <w:pPr>
        <w:spacing w:after="0" w:line="240" w:lineRule="auto"/>
        <w:rPr>
          <w:rFonts w:ascii="Verdana" w:eastAsia="Calibri" w:hAnsi="Verdana" w:cs="Arial"/>
          <w:lang w:eastAsia="es-ES"/>
        </w:rPr>
      </w:pPr>
      <w:hyperlink r:id="rId11" w:history="1">
        <w:r w:rsidRPr="00410A71">
          <w:rPr>
            <w:rStyle w:val="Hipervnculo"/>
            <w:rFonts w:ascii="Verdana" w:hAnsi="Verdana"/>
          </w:rPr>
          <w:t>edilson.arenas@aerocivil.gov.co</w:t>
        </w:r>
      </w:hyperlink>
      <w:r>
        <w:rPr>
          <w:rFonts w:ascii="Verdana" w:hAnsi="Verdana"/>
        </w:rPr>
        <w:t xml:space="preserve"> </w:t>
      </w:r>
      <w:r w:rsidRPr="000B7620">
        <w:rPr>
          <w:rFonts w:ascii="Verdana" w:hAnsi="Verdana"/>
        </w:rPr>
        <w:t xml:space="preserve">         </w:t>
      </w:r>
      <w:r w:rsidRPr="000B7620">
        <w:rPr>
          <w:rFonts w:ascii="Verdana" w:eastAsia="Calibri" w:hAnsi="Verdana" w:cs="Arial"/>
          <w:lang w:eastAsia="es-ES"/>
        </w:rPr>
        <w:t xml:space="preserve">    </w:t>
      </w:r>
    </w:p>
    <w:p w14:paraId="64F21E3E" w14:textId="77777777" w:rsidR="00DD1C92" w:rsidRDefault="00DD1C92" w:rsidP="00DD1C92">
      <w:pPr>
        <w:spacing w:after="0" w:line="240" w:lineRule="auto"/>
        <w:rPr>
          <w:rFonts w:ascii="Verdana" w:eastAsia="Calibri" w:hAnsi="Verdana" w:cs="Arial"/>
          <w:lang w:val="es-ES" w:eastAsia="es-ES"/>
        </w:rPr>
      </w:pPr>
      <w:r w:rsidRPr="00AE7E66">
        <w:rPr>
          <w:rFonts w:ascii="Verdana" w:eastAsia="Calibri" w:hAnsi="Verdana" w:cs="Arial"/>
          <w:lang w:val="es-ES" w:eastAsia="es-ES"/>
        </w:rPr>
        <w:t>Bogotá D.C.</w:t>
      </w:r>
      <w:r>
        <w:rPr>
          <w:rFonts w:ascii="Verdana" w:eastAsia="Calibri" w:hAnsi="Verdana" w:cs="Arial"/>
          <w:lang w:val="es-ES" w:eastAsia="es-ES"/>
        </w:rPr>
        <w:t xml:space="preserve"> </w:t>
      </w:r>
    </w:p>
    <w:p w14:paraId="377F202B" w14:textId="77777777" w:rsidR="00DD1C92" w:rsidRPr="00593A5F" w:rsidRDefault="00DD1C92" w:rsidP="00DD1C92">
      <w:pPr>
        <w:spacing w:after="0" w:line="240" w:lineRule="auto"/>
        <w:rPr>
          <w:rFonts w:ascii="Verdana" w:eastAsia="Calibri" w:hAnsi="Verdana" w:cs="Arial"/>
          <w:b/>
          <w:bCs/>
          <w:color w:val="000000"/>
          <w:lang w:val="es-ES_tradnl" w:eastAsia="es-ES_tradnl"/>
        </w:rPr>
      </w:pPr>
    </w:p>
    <w:p w14:paraId="2301DDD3" w14:textId="77777777" w:rsidR="00DD1C92" w:rsidRPr="00593A5F" w:rsidRDefault="00DD1C92" w:rsidP="00DD1C9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D1C92" w:rsidRPr="00593A5F" w14:paraId="472C0000" w14:textId="77777777" w:rsidTr="00721607">
        <w:trPr>
          <w:trHeight w:val="884"/>
        </w:trPr>
        <w:tc>
          <w:tcPr>
            <w:tcW w:w="2689" w:type="dxa"/>
          </w:tcPr>
          <w:p w14:paraId="19A7B714" w14:textId="77777777" w:rsidR="00DD1C92" w:rsidRPr="00C00976" w:rsidRDefault="00DD1C92" w:rsidP="00721607">
            <w:pPr>
              <w:jc w:val="both"/>
              <w:rPr>
                <w:rFonts w:ascii="Verdana" w:eastAsia="Calibri" w:hAnsi="Verdana" w:cs="Arial"/>
                <w:b/>
                <w:bCs/>
                <w:color w:val="7030A0"/>
                <w:lang w:val="es-ES_tradnl" w:eastAsia="es-ES_tradnl"/>
              </w:rPr>
            </w:pPr>
          </w:p>
        </w:tc>
        <w:tc>
          <w:tcPr>
            <w:tcW w:w="6100" w:type="dxa"/>
          </w:tcPr>
          <w:p w14:paraId="5227426C" w14:textId="2D85D135" w:rsidR="00DD1C92" w:rsidRPr="00C00976" w:rsidRDefault="00DD1C92" w:rsidP="00721607">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4A2EAD">
              <w:rPr>
                <w:rFonts w:ascii="Verdana" w:eastAsia="Calibri" w:hAnsi="Verdana" w:cs="Arial"/>
                <w:b/>
                <w:bCs/>
                <w:lang w:val="es-ES" w:eastAsia="es-ES"/>
              </w:rPr>
              <w:t>1500</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DD1C92" w:rsidRPr="00593A5F" w14:paraId="149CF815" w14:textId="77777777" w:rsidTr="00721607">
        <w:trPr>
          <w:trHeight w:val="884"/>
        </w:trPr>
        <w:tc>
          <w:tcPr>
            <w:tcW w:w="2689" w:type="dxa"/>
          </w:tcPr>
          <w:p w14:paraId="7E08E6E0" w14:textId="77777777" w:rsidR="00DD1C92" w:rsidRPr="00593A5F" w:rsidRDefault="00DD1C92" w:rsidP="0072160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68E0847" w14:textId="77777777" w:rsidR="00DD1C92" w:rsidRPr="00A11406" w:rsidRDefault="00DD1C92" w:rsidP="00721607">
            <w:pPr>
              <w:spacing w:line="276" w:lineRule="auto"/>
              <w:jc w:val="both"/>
              <w:rPr>
                <w:rFonts w:ascii="Verdana" w:eastAsia="Calibri" w:hAnsi="Verdana" w:cs="Arial"/>
                <w:lang w:val="es-ES" w:eastAsia="es-ES"/>
              </w:rPr>
            </w:pPr>
            <w:r w:rsidRPr="00AF6312">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AF6312">
              <w:rPr>
                <w:rFonts w:ascii="Verdana" w:eastAsia="Calibri" w:hAnsi="Verdana" w:cs="Arial"/>
                <w:lang w:val="es-ES" w:eastAsia="es-ES"/>
              </w:rPr>
              <w:t>CONTRATACIÓN DIRECTA – Ley 1150 de 2007 – Artículo 2.4 – Literales d) y j) – Alcance</w:t>
            </w:r>
            <w:r>
              <w:rPr>
                <w:rFonts w:ascii="Verdana" w:eastAsia="Calibri" w:hAnsi="Verdana" w:cs="Arial"/>
                <w:lang w:val="es-ES" w:eastAsia="es-ES"/>
              </w:rPr>
              <w:t xml:space="preserve"> / </w:t>
            </w:r>
            <w:r w:rsidRPr="00AF6312">
              <w:rPr>
                <w:rFonts w:ascii="Verdana" w:eastAsia="Calibri" w:hAnsi="Verdana" w:cs="Arial"/>
                <w:lang w:val="es-ES" w:eastAsia="es-ES"/>
              </w:rPr>
              <w:t>SECTOR DEFENSA – Estructura – Entidades adscritas – Entidades vinculadas</w:t>
            </w:r>
            <w:r>
              <w:rPr>
                <w:rFonts w:ascii="Verdana" w:eastAsia="Calibri" w:hAnsi="Verdana" w:cs="Arial"/>
                <w:lang w:val="es-ES" w:eastAsia="es-ES"/>
              </w:rPr>
              <w:t xml:space="preserve"> / </w:t>
            </w:r>
            <w:r w:rsidRPr="00AF6312">
              <w:rPr>
                <w:rFonts w:ascii="Verdana" w:eastAsia="Calibri" w:hAnsi="Verdana" w:cs="Arial"/>
                <w:lang w:val="es-ES" w:eastAsia="es-ES"/>
              </w:rPr>
              <w:t>DIRECCIÓN NACIONAL DE INTELIGENCIA – Naturaleza jurídica – Objeto</w:t>
            </w:r>
            <w:r>
              <w:rPr>
                <w:rFonts w:ascii="Verdana" w:eastAsia="Calibri" w:hAnsi="Verdana" w:cs="Arial"/>
                <w:lang w:val="es-ES" w:eastAsia="es-ES"/>
              </w:rPr>
              <w:t xml:space="preserve"> / </w:t>
            </w:r>
            <w:r w:rsidRPr="00AF6312">
              <w:rPr>
                <w:rFonts w:ascii="Verdana" w:eastAsia="Calibri" w:hAnsi="Verdana" w:cs="Arial"/>
                <w:lang w:val="es-ES" w:eastAsia="es-ES"/>
              </w:rPr>
              <w:t xml:space="preserve">SEGURIDAD Y DEFENSA NACIONAL – Concepto jurídico indeterminado    </w:t>
            </w:r>
            <w:r w:rsidRPr="00982F47">
              <w:rPr>
                <w:rFonts w:ascii="Verdana" w:eastAsia="Calibri" w:hAnsi="Verdana" w:cs="Arial"/>
                <w:lang w:val="es-ES" w:eastAsia="es-ES"/>
              </w:rPr>
              <w:t xml:space="preserve">    </w:t>
            </w:r>
            <w:r w:rsidRPr="0003690B">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1E04AA9" w14:textId="77777777" w:rsidR="00DD1C92" w:rsidRPr="00593A5F" w:rsidRDefault="00DD1C92" w:rsidP="0072160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D1C92" w:rsidRPr="008E6AD9" w14:paraId="57EF116A" w14:textId="77777777" w:rsidTr="00721607">
        <w:tc>
          <w:tcPr>
            <w:tcW w:w="2689" w:type="dxa"/>
          </w:tcPr>
          <w:p w14:paraId="64E60A6E" w14:textId="77777777" w:rsidR="00DD1C92" w:rsidRPr="008E6AD9" w:rsidRDefault="00DD1C92" w:rsidP="0072160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82B15C5" w14:textId="77777777" w:rsidR="00DD1C92" w:rsidRPr="008E6AD9" w:rsidRDefault="00DD1C92" w:rsidP="00721607">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E7E66">
              <w:rPr>
                <w:rFonts w:ascii="Verdana" w:eastAsia="Calibri" w:hAnsi="Verdana" w:cs="Arial"/>
                <w:lang w:val="es-ES_tradnl" w:eastAsia="es-ES_tradnl"/>
              </w:rPr>
              <w:t>1_2025_10_15_011547</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97BEA1A" w14:textId="77777777" w:rsidR="00DD1C92" w:rsidRPr="00593A5F" w:rsidRDefault="00DD1C92" w:rsidP="00DD1C92">
      <w:pPr>
        <w:spacing w:after="0" w:line="240" w:lineRule="auto"/>
        <w:jc w:val="both"/>
        <w:rPr>
          <w:rFonts w:ascii="Verdana" w:eastAsia="Calibri" w:hAnsi="Verdana" w:cs="Arial"/>
          <w:color w:val="000000"/>
          <w:lang w:val="es-ES_tradnl" w:eastAsia="es-ES_tradnl"/>
        </w:rPr>
      </w:pPr>
    </w:p>
    <w:p w14:paraId="71D08BB5" w14:textId="77777777" w:rsidR="00DD1C92" w:rsidRPr="00593A5F" w:rsidRDefault="00DD1C92" w:rsidP="00DD1C92">
      <w:pPr>
        <w:spacing w:after="0" w:line="240" w:lineRule="auto"/>
        <w:jc w:val="both"/>
        <w:rPr>
          <w:rFonts w:ascii="Verdana" w:eastAsia="Calibri" w:hAnsi="Verdana" w:cs="Arial"/>
          <w:color w:val="000000"/>
          <w:lang w:val="es-ES_tradnl" w:eastAsia="es-ES_tradnl"/>
        </w:rPr>
      </w:pPr>
    </w:p>
    <w:p w14:paraId="688C9BA8" w14:textId="77777777" w:rsidR="00DD1C92" w:rsidRPr="008E6AD9" w:rsidRDefault="00DD1C92" w:rsidP="00DD1C92">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BD0D4F">
        <w:rPr>
          <w:rFonts w:ascii="Verdana" w:eastAsia="Calibri" w:hAnsi="Verdana" w:cs="Arial"/>
          <w:lang w:val="es-ES" w:eastAsia="es-ES"/>
        </w:rPr>
        <w:t>Arenas Silva</w:t>
      </w:r>
      <w:r w:rsidRPr="008E6AD9">
        <w:rPr>
          <w:rFonts w:ascii="Verdana" w:eastAsia="Calibri" w:hAnsi="Verdana" w:cs="Arial"/>
          <w:lang w:val="es-ES" w:eastAsia="es-ES"/>
        </w:rPr>
        <w:t xml:space="preserve">: </w:t>
      </w:r>
    </w:p>
    <w:p w14:paraId="753C7470" w14:textId="77777777" w:rsidR="00DD1C92" w:rsidRDefault="00DD1C92" w:rsidP="00DD1C9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B4BE8EC" w14:textId="77777777" w:rsidR="00DD1C92" w:rsidRPr="00593A5F" w:rsidRDefault="00DD1C92" w:rsidP="00DD1C92">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C82DF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15 de octubre</w:t>
      </w:r>
      <w:r w:rsidRPr="00C82DF7">
        <w:rPr>
          <w:rFonts w:ascii="Verdana" w:eastAsia="Calibri" w:hAnsi="Verdana" w:cs="Arial"/>
          <w:color w:val="000000" w:themeColor="text1"/>
          <w:lang w:val="es-ES" w:eastAsia="es-ES"/>
        </w:rPr>
        <w:t xml:space="preserve"> de 2025, en la cual </w:t>
      </w:r>
      <w:r>
        <w:rPr>
          <w:rFonts w:ascii="Verdana" w:eastAsia="Calibri" w:hAnsi="Verdana" w:cs="Arial"/>
          <w:color w:val="000000" w:themeColor="text1"/>
          <w:lang w:val="es-ES" w:eastAsia="es-ES"/>
        </w:rPr>
        <w:t>pregunta</w:t>
      </w:r>
      <w:r w:rsidRPr="00C82DF7">
        <w:rPr>
          <w:rFonts w:ascii="Verdana" w:eastAsia="Calibri" w:hAnsi="Verdana" w:cs="Arial"/>
          <w:color w:val="000000" w:themeColor="text1"/>
          <w:lang w:val="es-ES" w:eastAsia="es-ES"/>
        </w:rPr>
        <w:t xml:space="preserve"> lo siguiente</w:t>
      </w:r>
      <w:r w:rsidRPr="008E6AD9">
        <w:rPr>
          <w:rFonts w:ascii="Verdana" w:eastAsia="Calibri" w:hAnsi="Verdana" w:cs="Arial"/>
          <w:lang w:val="es-ES" w:eastAsia="es-ES"/>
        </w:rPr>
        <w:t xml:space="preserve">: </w:t>
      </w:r>
    </w:p>
    <w:p w14:paraId="1A335F5B" w14:textId="77777777" w:rsidR="00DD1C92" w:rsidRPr="00272A7B" w:rsidRDefault="00DD1C92" w:rsidP="00DD1C92">
      <w:pPr>
        <w:pStyle w:val="Prrafodelista"/>
        <w:tabs>
          <w:tab w:val="left" w:pos="142"/>
          <w:tab w:val="left" w:pos="284"/>
        </w:tabs>
        <w:spacing w:after="0" w:line="276" w:lineRule="auto"/>
        <w:ind w:left="0"/>
        <w:jc w:val="both"/>
        <w:rPr>
          <w:rFonts w:ascii="Verdana" w:eastAsia="Century Gothic" w:hAnsi="Verdana" w:cs="Century Gothic"/>
          <w:b/>
          <w:bCs/>
        </w:rPr>
      </w:pPr>
    </w:p>
    <w:p w14:paraId="3FDDF3AF"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bookmarkStart w:id="0" w:name="_Hlk95313578"/>
      <w:r w:rsidRPr="00BD0D4F">
        <w:rPr>
          <w:rFonts w:ascii="Verdana" w:eastAsia="Century Gothic" w:hAnsi="Verdana" w:cs="Century Gothic"/>
          <w:sz w:val="20"/>
          <w:szCs w:val="20"/>
          <w:lang w:val="es-ES"/>
        </w:rPr>
        <w:t>“</w:t>
      </w:r>
      <w:bookmarkEnd w:id="0"/>
      <w:r w:rsidRPr="00BD0D4F">
        <w:rPr>
          <w:rFonts w:ascii="Verdana" w:eastAsia="Century Gothic" w:hAnsi="Verdana" w:cs="Century Gothic"/>
          <w:sz w:val="20"/>
          <w:szCs w:val="20"/>
          <w:lang w:val="es-ES"/>
        </w:rPr>
        <w:t>[…]</w:t>
      </w:r>
    </w:p>
    <w:p w14:paraId="40DA614F"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lastRenderedPageBreak/>
        <w:t>1. ¿Puede comprender la seguridad y defensa nacional los sistemas de vigilancia aeronáutica PSR/MSSR/ADS-B y Centros de Control operados por la Aeronáutica Civil?</w:t>
      </w:r>
    </w:p>
    <w:p w14:paraId="14D3DA49"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2. ¿Puede comprender la ‘seguridad y defensa nacional’ los sistemas de vigilancia aeronáutica (PSR/MSSR/ADS-B) y los Centros de Control operados por la Aerocivil en coordinación con la FAC?</w:t>
      </w:r>
    </w:p>
    <w:p w14:paraId="1E69DA0B"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3. ¿Puede la Aeronáutica Civil adelantar un proceso de contratación directa reservada para la adquisición, instalación e integración de sistemas de vigilancia radar PSR 3D/MSSR - Modo S Enhanced y ADS-B y Centros de Control, considerando que en años anteriores se realizó licitación pública para el mismo objeto, y si la causal de bienes y servicios para la defensa y seguridad nacional que requieren reserva resulta aplicable en este caso?</w:t>
      </w:r>
    </w:p>
    <w:p w14:paraId="5DDEA253"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 xml:space="preserve">En el caso de resultar improcedente la contratación directa reservada, solicitamos se indique, qué o cual modalidad de selección y tipo de contrato es el idóneo para la adquisición de estos elementos que se enmarcan en la seguridad y defensa nacional. </w:t>
      </w:r>
    </w:p>
    <w:p w14:paraId="41062B2F" w14:textId="77777777" w:rsidR="00DD1C92" w:rsidRPr="00BD0D4F" w:rsidRDefault="00DD1C92" w:rsidP="00DD1C92">
      <w:pPr>
        <w:spacing w:after="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Así mismo, solicitamos las razones en derecho por medio del cual no se determinaría como causal de contratación directa la adquisición, instalación e integración de sistemas de vigilancia radar PSR 3D/MSSR - Modo S Enhanced y ADS-B y Centros de Control</w:t>
      </w:r>
    </w:p>
    <w:p w14:paraId="24B38C88"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w:t>
      </w:r>
    </w:p>
    <w:p w14:paraId="17230ACF" w14:textId="77777777" w:rsidR="00DD1C92" w:rsidRPr="00BD0D4F" w:rsidRDefault="00DD1C92" w:rsidP="00DD1C92">
      <w:pPr>
        <w:spacing w:after="120" w:line="240" w:lineRule="auto"/>
        <w:ind w:left="709" w:right="709"/>
        <w:jc w:val="both"/>
        <w:rPr>
          <w:rFonts w:ascii="Verdana" w:eastAsia="Century Gothic" w:hAnsi="Verdana" w:cs="Century Gothic"/>
          <w:b/>
          <w:bCs/>
          <w:sz w:val="20"/>
          <w:szCs w:val="20"/>
          <w:lang w:val="es-ES"/>
        </w:rPr>
      </w:pPr>
      <w:r w:rsidRPr="00BD0D4F">
        <w:rPr>
          <w:rFonts w:ascii="Verdana" w:eastAsia="Century Gothic" w:hAnsi="Verdana" w:cs="Century Gothic"/>
          <w:b/>
          <w:bCs/>
          <w:sz w:val="20"/>
          <w:szCs w:val="20"/>
          <w:lang w:val="es-ES"/>
        </w:rPr>
        <w:t>1.2 Objeto del Concepto</w:t>
      </w:r>
    </w:p>
    <w:p w14:paraId="36627307"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El objeto del presente concepto es determinar la viabilidad jurídica de adelantar un proceso de contratación directa reservada, a la luz de lo previsto en el artículo 2, numeral 4, literales d) y j) de la Ley 1150 de 2007, en concordancia con el marco constitucional y legal aplicable, la jurisprudencia del Consejo de Estado y la doctrina de Colombia Compra Eficiente.</w:t>
      </w:r>
    </w:p>
    <w:p w14:paraId="79E3A67C" w14:textId="77777777" w:rsidR="00DD1C92" w:rsidRPr="00BD0D4F" w:rsidRDefault="00DD1C92" w:rsidP="00DD1C92">
      <w:pPr>
        <w:spacing w:after="12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En particular, se analizará si la información técnica requerida para este proceso puede ser clasificada como reservada y, en consecuencia, si resulta procedente adoptar la contratación directa como modalidad de selección, sin contrariar los principios de publicidad y transparencia que rigen la contratación estatal.</w:t>
      </w:r>
    </w:p>
    <w:p w14:paraId="2D76E62C" w14:textId="77777777" w:rsidR="00DD1C92" w:rsidRPr="00BD0D4F" w:rsidRDefault="00DD1C92" w:rsidP="00DD1C92">
      <w:pPr>
        <w:spacing w:after="120" w:line="240" w:lineRule="auto"/>
        <w:ind w:left="709" w:right="709"/>
        <w:jc w:val="both"/>
        <w:rPr>
          <w:rFonts w:ascii="Verdana" w:eastAsia="Century Gothic" w:hAnsi="Verdana" w:cs="Century Gothic"/>
          <w:b/>
          <w:bCs/>
          <w:sz w:val="20"/>
          <w:szCs w:val="20"/>
          <w:lang w:val="es-ES"/>
        </w:rPr>
      </w:pPr>
      <w:r w:rsidRPr="00BD0D4F">
        <w:rPr>
          <w:rFonts w:ascii="Verdana" w:eastAsia="Century Gothic" w:hAnsi="Verdana" w:cs="Century Gothic"/>
          <w:b/>
          <w:bCs/>
          <w:sz w:val="20"/>
          <w:szCs w:val="20"/>
          <w:lang w:val="es-ES"/>
        </w:rPr>
        <w:t>1.3 Pregunta Jurídica Central</w:t>
      </w:r>
    </w:p>
    <w:p w14:paraId="4568FAE1" w14:textId="77777777" w:rsidR="00DD1C92" w:rsidRDefault="00DD1C92" w:rsidP="00DD1C92">
      <w:pPr>
        <w:spacing w:after="0" w:line="240" w:lineRule="auto"/>
        <w:ind w:left="709" w:right="709"/>
        <w:jc w:val="both"/>
        <w:rPr>
          <w:rFonts w:ascii="Verdana" w:eastAsia="Century Gothic" w:hAnsi="Verdana" w:cs="Century Gothic"/>
          <w:sz w:val="20"/>
          <w:szCs w:val="20"/>
          <w:lang w:val="es-ES"/>
        </w:rPr>
      </w:pPr>
      <w:r w:rsidRPr="00BD0D4F">
        <w:rPr>
          <w:rFonts w:ascii="Verdana" w:eastAsia="Century Gothic" w:hAnsi="Verdana" w:cs="Century Gothic"/>
          <w:sz w:val="20"/>
          <w:szCs w:val="20"/>
          <w:lang w:val="es-ES"/>
        </w:rPr>
        <w:t>¿Puede la Aeronáutica Civil adelantar un proceso de contratación directa con carácter reservado para la adquisición, instalación e integración de sistemas de vigilancia radar PSR 3D/MSSR – Modo S Enhanced y ADS-B,</w:t>
      </w:r>
      <w:r>
        <w:rPr>
          <w:rFonts w:ascii="Verdana" w:eastAsia="Century Gothic" w:hAnsi="Verdana" w:cs="Century Gothic"/>
          <w:sz w:val="20"/>
          <w:szCs w:val="20"/>
          <w:lang w:val="es-ES"/>
        </w:rPr>
        <w:t xml:space="preserve"> </w:t>
      </w:r>
      <w:r w:rsidRPr="00BD0D4F">
        <w:rPr>
          <w:rFonts w:ascii="Verdana" w:eastAsia="Century Gothic" w:hAnsi="Verdana" w:cs="Century Gothic"/>
          <w:sz w:val="20"/>
          <w:szCs w:val="20"/>
          <w:lang w:val="es-ES"/>
        </w:rPr>
        <w:t>y centros de control de última tecnología, teniendo en cuenta que en años anteriores se acudió a la licitación pública para objetos similares, y que la causal de bienes y servicios de defensa y seguridad nacional que requieren reserva debe aplicarse de manera restrictiva?</w:t>
      </w:r>
    </w:p>
    <w:p w14:paraId="676D5BDC" w14:textId="77777777" w:rsidR="00DD1C92" w:rsidRPr="005B7798" w:rsidRDefault="00DD1C92" w:rsidP="00DD1C92">
      <w:pPr>
        <w:spacing w:after="0" w:line="240" w:lineRule="auto"/>
        <w:ind w:left="709" w:right="709"/>
        <w:jc w:val="both"/>
        <w:rPr>
          <w:rFonts w:ascii="Verdana" w:eastAsia="Century Gothic" w:hAnsi="Verdana" w:cs="Century Gothic"/>
          <w:sz w:val="21"/>
          <w:szCs w:val="21"/>
          <w:lang w:val="es-ES"/>
        </w:rPr>
      </w:pPr>
      <w:r>
        <w:rPr>
          <w:rFonts w:ascii="Verdana" w:eastAsia="Century Gothic" w:hAnsi="Verdana" w:cs="Century Gothic"/>
          <w:sz w:val="20"/>
          <w:szCs w:val="20"/>
          <w:lang w:val="es-ES"/>
        </w:rPr>
        <w:t>[…]</w:t>
      </w:r>
      <w:r w:rsidRPr="00BD0D4F">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6969E3C1" w14:textId="77777777" w:rsidR="00DD1C92" w:rsidRPr="008E6AD9" w:rsidRDefault="00DD1C92" w:rsidP="00DD1C92">
      <w:pPr>
        <w:pStyle w:val="Prrafodelista"/>
        <w:tabs>
          <w:tab w:val="left" w:pos="142"/>
          <w:tab w:val="left" w:pos="284"/>
        </w:tabs>
        <w:spacing w:after="0" w:line="276" w:lineRule="auto"/>
        <w:ind w:left="0"/>
        <w:jc w:val="both"/>
        <w:rPr>
          <w:rFonts w:ascii="Verdana" w:eastAsia="Century Gothic" w:hAnsi="Verdana" w:cs="Century Gothic"/>
          <w:b/>
          <w:bCs/>
        </w:rPr>
      </w:pPr>
    </w:p>
    <w:p w14:paraId="1E536557" w14:textId="77777777" w:rsidR="00DD1C92" w:rsidRPr="00A652FF" w:rsidRDefault="00DD1C92" w:rsidP="00DD1C92">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063889C" w14:textId="77777777" w:rsidR="00DD1C92" w:rsidRDefault="00DD1C92" w:rsidP="00DD1C9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57C7F86" w14:textId="77777777" w:rsidR="00DD1C92" w:rsidRPr="00593A5F" w:rsidRDefault="00DD1C92" w:rsidP="00DD1C92">
      <w:pPr>
        <w:spacing w:after="0" w:line="276" w:lineRule="auto"/>
        <w:ind w:firstLine="709"/>
        <w:jc w:val="both"/>
        <w:rPr>
          <w:rFonts w:ascii="Verdana" w:eastAsia="Calibri" w:hAnsi="Verdana" w:cs="Arial"/>
          <w:color w:val="000000"/>
          <w:lang w:val="es-ES" w:eastAsia="es-ES"/>
        </w:rPr>
      </w:pPr>
    </w:p>
    <w:p w14:paraId="1434E9A9" w14:textId="77777777" w:rsidR="00DD1C92" w:rsidRPr="00593A5F" w:rsidRDefault="00DD1C92" w:rsidP="00DD1C9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CF4C029" w14:textId="77777777" w:rsidR="00DD1C92" w:rsidRPr="00593A5F" w:rsidRDefault="00DD1C92" w:rsidP="00DD1C92">
      <w:pPr>
        <w:tabs>
          <w:tab w:val="left" w:pos="426"/>
        </w:tabs>
        <w:spacing w:after="0" w:line="276" w:lineRule="auto"/>
        <w:jc w:val="both"/>
        <w:rPr>
          <w:rFonts w:ascii="Verdana" w:eastAsia="Century Gothic" w:hAnsi="Verdana" w:cs="Century Gothic"/>
          <w:lang w:val="es-ES"/>
        </w:rPr>
      </w:pPr>
    </w:p>
    <w:p w14:paraId="647CCEA7" w14:textId="77777777" w:rsidR="00DD1C92" w:rsidRPr="00B47324" w:rsidRDefault="00DD1C92" w:rsidP="00DD1C92">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su solicitud, esta Agencia resolverá el siguiente problema jurídico:</w:t>
      </w:r>
      <w:r>
        <w:rPr>
          <w:rFonts w:ascii="Verdana" w:eastAsia="Century Gothic" w:hAnsi="Verdana" w:cs="Century Gothic"/>
        </w:rPr>
        <w:t xml:space="preserve"> ¿cuál es el marco general para la contratación directa </w:t>
      </w:r>
      <w:r>
        <w:rPr>
          <w:rFonts w:ascii="Verdana" w:eastAsia="Times New Roman" w:hAnsi="Verdana" w:cs="Arial"/>
          <w:lang w:eastAsia="es-MX"/>
        </w:rPr>
        <w:t>tratándose del suministro</w:t>
      </w:r>
      <w:r w:rsidRPr="00DB1EA1">
        <w:rPr>
          <w:rFonts w:ascii="Verdana" w:eastAsia="Times New Roman" w:hAnsi="Verdana" w:cs="Arial"/>
          <w:lang w:eastAsia="es-MX"/>
        </w:rPr>
        <w:t xml:space="preserve">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y </w:t>
      </w:r>
      <w:r>
        <w:rPr>
          <w:rFonts w:ascii="Verdana" w:eastAsia="Times New Roman" w:hAnsi="Verdana" w:cs="Arial"/>
          <w:lang w:eastAsia="es-MX"/>
        </w:rPr>
        <w:t>d</w:t>
      </w:r>
      <w:r w:rsidRPr="00DB1EA1">
        <w:rPr>
          <w:rFonts w:ascii="Verdana" w:eastAsia="Times New Roman" w:hAnsi="Verdana" w:cs="Arial"/>
          <w:lang w:eastAsia="es-MX"/>
        </w:rPr>
        <w:t>e la Dirección Nacional de Inteligencia (DNI), que necesiten reserva para su adquisición</w:t>
      </w:r>
      <w:r>
        <w:rPr>
          <w:rFonts w:ascii="Verdana" w:eastAsia="Times New Roman" w:hAnsi="Verdana" w:cs="Arial"/>
          <w:lang w:eastAsia="es-MX"/>
        </w:rPr>
        <w:t>?</w:t>
      </w:r>
      <w:r w:rsidRPr="00B47324">
        <w:rPr>
          <w:rFonts w:ascii="Verdana" w:eastAsia="Century Gothic" w:hAnsi="Verdana" w:cs="Century Gothic"/>
        </w:rPr>
        <w:t xml:space="preserve">       </w:t>
      </w:r>
      <w:r w:rsidRPr="00B47324">
        <w:rPr>
          <w:rFonts w:ascii="Verdana" w:eastAsia="Century Gothic" w:hAnsi="Verdana" w:cs="Century Gothic"/>
          <w:color w:val="7030A0"/>
        </w:rPr>
        <w:t xml:space="preserve"> </w:t>
      </w:r>
    </w:p>
    <w:p w14:paraId="2310D887" w14:textId="77777777" w:rsidR="00DD1C92" w:rsidRPr="004B140F" w:rsidRDefault="00DD1C92" w:rsidP="00DD1C92">
      <w:pPr>
        <w:spacing w:after="0" w:line="276" w:lineRule="auto"/>
        <w:jc w:val="both"/>
        <w:rPr>
          <w:rFonts w:ascii="Verdana" w:eastAsia="Calibri" w:hAnsi="Verdana" w:cs="Arial"/>
          <w:color w:val="7030A0"/>
        </w:rPr>
      </w:pPr>
    </w:p>
    <w:p w14:paraId="584F702F" w14:textId="77777777" w:rsidR="00DD1C92" w:rsidRPr="00593A5F" w:rsidRDefault="00DD1C92" w:rsidP="00DD1C9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A8F9D4D" w14:textId="77777777" w:rsidR="00DD1C92" w:rsidRPr="00593A5F" w:rsidRDefault="00DD1C92" w:rsidP="00DD1C9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D1C92" w:rsidRPr="00593A5F" w14:paraId="5D182102" w14:textId="77777777" w:rsidTr="00721607">
        <w:trPr>
          <w:jc w:val="center"/>
        </w:trPr>
        <w:tc>
          <w:tcPr>
            <w:tcW w:w="8828" w:type="dxa"/>
          </w:tcPr>
          <w:p w14:paraId="72929831" w14:textId="77777777" w:rsidR="00DD1C92" w:rsidRDefault="00DD1C92" w:rsidP="00721607">
            <w:pPr>
              <w:widowControl w:val="0"/>
              <w:autoSpaceDE w:val="0"/>
              <w:autoSpaceDN w:val="0"/>
              <w:spacing w:after="120" w:line="276" w:lineRule="auto"/>
              <w:jc w:val="both"/>
              <w:rPr>
                <w:rFonts w:ascii="Verdana" w:eastAsia="Times New Roman" w:hAnsi="Verdana" w:cs="Arial"/>
                <w:lang w:eastAsia="es-MX"/>
              </w:rPr>
            </w:pPr>
            <w:bookmarkStart w:id="1" w:name="_Hlk171694685"/>
            <w:r>
              <w:rPr>
                <w:rFonts w:ascii="Verdana" w:eastAsia="Times New Roman" w:hAnsi="Verdana" w:cs="Arial"/>
                <w:color w:val="000000"/>
                <w:lang w:val="es-ES_tradnl" w:eastAsia="es-ES_tradnl"/>
              </w:rPr>
              <w:t xml:space="preserve">Conforme a la interpretación de las normas generales del sistema de compras públicas, </w:t>
            </w:r>
            <w:r>
              <w:rPr>
                <w:rFonts w:ascii="Verdana" w:eastAsia="Times New Roman" w:hAnsi="Verdana" w:cs="Arial"/>
                <w:lang w:eastAsia="es-MX"/>
              </w:rPr>
              <w:t>los literales d) y j) del artículo 2.4 de la Ley 1150 de 2007 permiten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y </w:t>
            </w:r>
            <w:r>
              <w:rPr>
                <w:rFonts w:ascii="Verdana" w:eastAsia="Times New Roman" w:hAnsi="Verdana" w:cs="Arial"/>
                <w:lang w:eastAsia="es-MX"/>
              </w:rPr>
              <w:t>d</w:t>
            </w:r>
            <w:r w:rsidRPr="00DB1EA1">
              <w:rPr>
                <w:rFonts w:ascii="Verdana" w:eastAsia="Times New Roman" w:hAnsi="Verdana" w:cs="Arial"/>
                <w:lang w:eastAsia="es-MX"/>
              </w:rPr>
              <w:t>e la Dirección Nacional de Inteligencia (DNI), que necesiten reserva para su adquisición</w:t>
            </w:r>
            <w:r>
              <w:rPr>
                <w:rFonts w:ascii="Verdana" w:eastAsia="Times New Roman" w:hAnsi="Verdana" w:cs="Arial"/>
                <w:lang w:eastAsia="es-MX"/>
              </w:rPr>
              <w:t xml:space="preserve">. Dichas causales se sujetan al cumplimiento de dos (2) requisitos: uno de carácter orgánico y otro de carácter material. Por un lado, los bienes o servicios deben ser adquiridos por entidades del sector defensa o por la </w:t>
            </w:r>
            <w:r w:rsidRPr="00DB1EA1">
              <w:rPr>
                <w:rFonts w:ascii="Verdana" w:eastAsia="Times New Roman" w:hAnsi="Verdana" w:cs="Arial"/>
                <w:lang w:eastAsia="es-MX"/>
              </w:rPr>
              <w:t>Dirección Nacional de Inteligencia</w:t>
            </w:r>
            <w:r>
              <w:rPr>
                <w:rFonts w:ascii="Verdana" w:eastAsia="Times New Roman" w:hAnsi="Verdana" w:cs="Arial"/>
                <w:lang w:eastAsia="es-MX"/>
              </w:rPr>
              <w:t xml:space="preserve"> y, por otro, su adquisición </w:t>
            </w:r>
            <w:r>
              <w:rPr>
                <w:rFonts w:ascii="Verdana" w:eastAsia="Times New Roman" w:hAnsi="Verdana" w:cs="Arial"/>
                <w:lang w:eastAsia="es-MX"/>
              </w:rPr>
              <w:lastRenderedPageBreak/>
              <w:t>debe ser reservada.</w:t>
            </w:r>
          </w:p>
          <w:p w14:paraId="7CE58E5A" w14:textId="77777777" w:rsidR="00DD1C92" w:rsidRDefault="00DD1C92" w:rsidP="00721607">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si no coexisten los requisitos de carácter orgánico y material en las condiciones que se explican en el presente oficio</w:t>
            </w:r>
            <w:r w:rsidRPr="00DB1EA1">
              <w:rPr>
                <w:rFonts w:ascii="Verdana" w:eastAsia="Times New Roman" w:hAnsi="Verdana" w:cs="Arial"/>
                <w:lang w:eastAsia="es-MX"/>
              </w:rPr>
              <w:t>, deben privilegiarse los procedimientos de selección con pluralidad de oferentes, especialmente, cuando la contratación directa es excepcional y, por tanto, las causales son de interpretación estricta.</w:t>
            </w:r>
          </w:p>
          <w:p w14:paraId="0D930AF5" w14:textId="77777777" w:rsidR="00DD1C92" w:rsidRPr="00BD0B8C" w:rsidRDefault="00DD1C92" w:rsidP="00721607">
            <w:pPr>
              <w:spacing w:line="276" w:lineRule="auto"/>
              <w:ind w:firstLine="709"/>
              <w:jc w:val="both"/>
              <w:rPr>
                <w:rFonts w:ascii="Verdana" w:hAnsi="Verdana" w:cs="Arial"/>
                <w:lang w:eastAsia="es-ES"/>
              </w:rPr>
            </w:pPr>
            <w:r w:rsidRPr="0073098F">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Pr>
                <w:rFonts w:ascii="Verdana" w:hAnsi="Verdana" w:cs="Arial"/>
                <w:lang w:eastAsia="es-ES"/>
              </w:rPr>
              <w:t xml:space="preserve"> </w:t>
            </w:r>
            <w:r w:rsidRPr="0073098F">
              <w:rPr>
                <w:rFonts w:ascii="Verdana" w:hAnsi="Verdana" w:cs="Arial"/>
                <w:lang w:eastAsia="es-ES"/>
              </w:rPr>
              <w:t>Dentro de este marco,</w:t>
            </w:r>
            <w:r>
              <w:rPr>
                <w:rFonts w:ascii="Verdana" w:hAnsi="Verdana" w:cs="Arial"/>
                <w:lang w:eastAsia="es-ES"/>
              </w:rPr>
              <w:t xml:space="preserve"> previo análisis de la naturaleza jurídica de la </w:t>
            </w:r>
            <w:r w:rsidRPr="00BB1FA7">
              <w:rPr>
                <w:rFonts w:ascii="Verdana" w:hAnsi="Verdana" w:cs="Arial"/>
                <w:lang w:eastAsia="es-ES"/>
              </w:rPr>
              <w:t>Aeronáutica Civil</w:t>
            </w:r>
            <w:r>
              <w:rPr>
                <w:rFonts w:ascii="Verdana" w:hAnsi="Verdana" w:cs="Arial"/>
                <w:lang w:eastAsia="es-ES"/>
              </w:rPr>
              <w:t xml:space="preserve"> respecto al sector administrativo al que está adscrito o vinculado así como de la reserva relacionada con la defensa y la seguridad nacional,</w:t>
            </w:r>
            <w:r w:rsidRPr="0073098F">
              <w:rPr>
                <w:rFonts w:ascii="Verdana" w:hAnsi="Verdana" w:cs="Arial"/>
                <w:lang w:eastAsia="es-ES"/>
              </w:rPr>
              <w:t xml:space="preserve"> la entidad contratante definirá en cada caso concreto </w:t>
            </w:r>
            <w:r>
              <w:rPr>
                <w:rFonts w:ascii="Verdana" w:hAnsi="Verdana" w:cs="Arial"/>
                <w:lang w:eastAsia="es-ES"/>
              </w:rPr>
              <w:t xml:space="preserve">la </w:t>
            </w:r>
            <w:r w:rsidRPr="00963473">
              <w:rPr>
                <w:rFonts w:ascii="Verdana" w:hAnsi="Verdana" w:cs="Arial"/>
                <w:lang w:eastAsia="es-ES"/>
              </w:rPr>
              <w:t xml:space="preserve">modalidad de selección </w:t>
            </w:r>
            <w:r>
              <w:rPr>
                <w:rFonts w:ascii="Verdana" w:hAnsi="Verdana" w:cs="Arial"/>
                <w:lang w:eastAsia="es-ES"/>
              </w:rPr>
              <w:t xml:space="preserve">aplicable </w:t>
            </w:r>
            <w:r w:rsidRPr="00963473">
              <w:rPr>
                <w:rFonts w:ascii="Verdana" w:hAnsi="Verdana" w:cs="Arial"/>
                <w:lang w:eastAsia="es-ES"/>
              </w:rPr>
              <w:t xml:space="preserve">y tipo de contrato para la adquisición </w:t>
            </w:r>
            <w:r>
              <w:rPr>
                <w:rFonts w:ascii="Verdana" w:hAnsi="Verdana" w:cs="Arial"/>
                <w:lang w:eastAsia="es-ES"/>
              </w:rPr>
              <w:t>de los bienes y servicios que requieran</w:t>
            </w:r>
            <w:r w:rsidRPr="0073098F">
              <w:rPr>
                <w:rFonts w:ascii="Verdana" w:hAnsi="Verdana" w:cs="Arial"/>
                <w:lang w:eastAsia="es-ES"/>
              </w:rPr>
              <w:t>.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1B738ED" w14:textId="77777777" w:rsidR="00DD1C92" w:rsidRPr="00593A5F" w:rsidRDefault="00DD1C92" w:rsidP="00DD1C92">
      <w:pPr>
        <w:tabs>
          <w:tab w:val="left" w:pos="142"/>
          <w:tab w:val="left" w:pos="284"/>
        </w:tabs>
        <w:spacing w:after="0" w:line="276" w:lineRule="auto"/>
        <w:jc w:val="both"/>
        <w:rPr>
          <w:rFonts w:ascii="Verdana" w:eastAsia="Century Gothic" w:hAnsi="Verdana" w:cs="Century Gothic"/>
          <w:b/>
          <w:bCs/>
          <w:lang w:val="es-ES"/>
        </w:rPr>
      </w:pPr>
    </w:p>
    <w:bookmarkEnd w:id="1"/>
    <w:p w14:paraId="6D0F7E7D" w14:textId="77777777" w:rsidR="00DD1C92" w:rsidRPr="00593A5F" w:rsidRDefault="00DD1C92" w:rsidP="00DD1C9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6746991" w14:textId="77777777" w:rsidR="00DD1C92" w:rsidRPr="00593A5F" w:rsidRDefault="00DD1C92" w:rsidP="00DD1C92">
      <w:pPr>
        <w:spacing w:after="0" w:line="276" w:lineRule="auto"/>
        <w:jc w:val="both"/>
        <w:rPr>
          <w:rFonts w:ascii="Verdana" w:eastAsia="Calibri" w:hAnsi="Verdana" w:cs="Arial"/>
          <w:color w:val="7030A0"/>
          <w:lang w:val="es-ES"/>
        </w:rPr>
      </w:pPr>
    </w:p>
    <w:p w14:paraId="3B029626" w14:textId="77777777" w:rsidR="00DD1C92" w:rsidRDefault="00DD1C92" w:rsidP="00DD1C92">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D470BAA" w14:textId="77777777" w:rsidR="00DD1C92" w:rsidRPr="00415608" w:rsidRDefault="00DD1C92" w:rsidP="00DD1C92">
      <w:pPr>
        <w:spacing w:after="0" w:line="276" w:lineRule="auto"/>
        <w:jc w:val="both"/>
        <w:rPr>
          <w:rFonts w:ascii="Verdana" w:eastAsia="Calibri" w:hAnsi="Verdana" w:cs="Arial"/>
          <w:lang w:val="es-ES"/>
        </w:rPr>
      </w:pPr>
    </w:p>
    <w:p w14:paraId="59976D1F" w14:textId="77777777" w:rsidR="00DD1C92" w:rsidRPr="00666B6A" w:rsidRDefault="00DD1C92" w:rsidP="00DD1C92">
      <w:pPr>
        <w:spacing w:after="120" w:line="276" w:lineRule="auto"/>
        <w:jc w:val="both"/>
        <w:rPr>
          <w:rFonts w:ascii="Verdana" w:hAnsi="Verdana" w:cs="Arial"/>
          <w:lang w:val="es-ES"/>
        </w:rPr>
      </w:pPr>
      <w:r w:rsidRPr="00666B6A">
        <w:rPr>
          <w:rFonts w:ascii="Verdana"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66B6A">
        <w:rPr>
          <w:rFonts w:ascii="Verdana" w:hAnsi="Verdana" w:cs="Arial"/>
          <w:i/>
          <w:iCs/>
          <w:lang w:val="es-ES"/>
        </w:rPr>
        <w:t>entidades estatales</w:t>
      </w:r>
      <w:r w:rsidRPr="00666B6A">
        <w:rPr>
          <w:rFonts w:ascii="Verdana" w:hAnsi="Verdana" w:cs="Arial"/>
          <w:lang w:val="es-ES"/>
        </w:rPr>
        <w:t xml:space="preserve">, esto es, aquellas previstas en los literales a) y b) del numeral 1 del </w:t>
      </w:r>
      <w:r w:rsidRPr="00666B6A">
        <w:rPr>
          <w:rFonts w:ascii="Verdana" w:hAnsi="Verdana" w:cs="Arial"/>
          <w:lang w:val="es-ES"/>
        </w:rPr>
        <w:lastRenderedPageBreak/>
        <w:t xml:space="preserve">artículo 2 </w:t>
      </w:r>
      <w:r w:rsidRPr="00666B6A">
        <w:rPr>
          <w:rFonts w:ascii="Verdana" w:hAnsi="Verdana" w:cs="Arial"/>
          <w:i/>
          <w:iCs/>
          <w:lang w:val="es-ES"/>
        </w:rPr>
        <w:t>ibidem</w:t>
      </w:r>
      <w:r w:rsidRPr="00666B6A">
        <w:rPr>
          <w:rFonts w:ascii="Verdana" w:hAnsi="Verdana" w:cs="Arial"/>
          <w:lang w:val="es-ES"/>
        </w:rPr>
        <w:t xml:space="preserve">. La norma citada define la competencia contractual en los siguientes términos: </w:t>
      </w:r>
    </w:p>
    <w:p w14:paraId="21421B8D" w14:textId="77777777" w:rsidR="00DD1C92" w:rsidRPr="00666B6A" w:rsidRDefault="00DD1C92" w:rsidP="00DD1C92">
      <w:pPr>
        <w:spacing w:after="120" w:line="276" w:lineRule="auto"/>
        <w:ind w:firstLine="708"/>
        <w:jc w:val="both"/>
        <w:rPr>
          <w:rFonts w:ascii="Verdana" w:hAnsi="Verdana" w:cs="Arial"/>
          <w:lang w:val="es-ES"/>
        </w:rPr>
      </w:pPr>
      <w:r w:rsidRPr="00666B6A">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027A92C" w14:textId="77777777" w:rsidR="00DD1C92" w:rsidRDefault="00DD1C92" w:rsidP="00DD1C92">
      <w:pPr>
        <w:spacing w:after="120" w:line="276" w:lineRule="auto"/>
        <w:ind w:firstLine="709"/>
        <w:jc w:val="both"/>
        <w:rPr>
          <w:rFonts w:ascii="Verdana" w:hAnsi="Verdana" w:cs="Arial"/>
          <w:lang w:val="es-ES"/>
        </w:rPr>
      </w:pPr>
      <w:r w:rsidRPr="00666B6A">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w:t>
      </w:r>
      <w:r>
        <w:rPr>
          <w:rFonts w:ascii="Verdana" w:hAnsi="Verdana" w:cs="Arial"/>
          <w:lang w:val="es-ES"/>
        </w:rPr>
        <w:t xml:space="preserve"> Ley</w:t>
      </w:r>
      <w:r w:rsidRPr="00666B6A">
        <w:rPr>
          <w:rFonts w:ascii="Verdana" w:hAnsi="Verdana" w:cs="Arial"/>
          <w:lang w:val="es-ES"/>
        </w:rPr>
        <w:t xml:space="preserve"> 111 de 1996, modificado por el artículo 124 de la Ley 1957 de 2019</w:t>
      </w:r>
      <w:r w:rsidRPr="00666B6A">
        <w:rPr>
          <w:rStyle w:val="Refdenotaalpie"/>
          <w:rFonts w:ascii="Verdana" w:hAnsi="Verdana" w:cs="Arial"/>
          <w:lang w:val="es-ES"/>
        </w:rPr>
        <w:footnoteReference w:id="2"/>
      </w:r>
      <w:r w:rsidRPr="00666B6A">
        <w:rPr>
          <w:rFonts w:ascii="Verdana" w:hAnsi="Verdana" w:cs="Arial"/>
          <w:lang w:val="es-ES"/>
        </w:rPr>
        <w:t xml:space="preserve">. </w:t>
      </w:r>
    </w:p>
    <w:p w14:paraId="0C91B243" w14:textId="77777777" w:rsidR="00DD1C92" w:rsidRDefault="00DD1C92" w:rsidP="00DD1C92">
      <w:pPr>
        <w:spacing w:after="120" w:line="276" w:lineRule="auto"/>
        <w:ind w:firstLine="709"/>
        <w:jc w:val="both"/>
        <w:rPr>
          <w:rFonts w:ascii="Verdana" w:hAnsi="Verdana" w:cs="Arial"/>
          <w:bCs/>
          <w:lang w:val="es-MX"/>
        </w:rPr>
      </w:pPr>
      <w:r>
        <w:rPr>
          <w:rFonts w:ascii="Verdana" w:hAnsi="Verdana" w:cs="Arial"/>
          <w:lang w:val="es-ES"/>
        </w:rPr>
        <w:t>En este contexto, p</w:t>
      </w:r>
      <w:r w:rsidRPr="00B47324">
        <w:rPr>
          <w:rFonts w:ascii="Verdana" w:hAnsi="Verdana" w:cs="Arial"/>
          <w:lang w:val="es-ES"/>
        </w:rPr>
        <w:t xml:space="preserve">ara las entidades </w:t>
      </w:r>
      <w:r>
        <w:rPr>
          <w:rFonts w:ascii="Verdana" w:hAnsi="Verdana" w:cs="Arial"/>
          <w:lang w:val="es-ES"/>
        </w:rPr>
        <w:t>sometidas a la Ley 80 de 1993,</w:t>
      </w:r>
      <w:r w:rsidRPr="00B47324">
        <w:rPr>
          <w:rFonts w:ascii="Verdana" w:hAnsi="Verdana" w:cs="Arial"/>
          <w:lang w:val="es-ES"/>
        </w:rPr>
        <w:t xml:space="preserve"> los procesos de selección 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w:t>
      </w:r>
      <w:r w:rsidRPr="00666B6A">
        <w:rPr>
          <w:rFonts w:ascii="Verdana" w:hAnsi="Verdana" w:cs="Arial"/>
          <w:bCs/>
          <w:lang w:val="es-MX"/>
        </w:rPr>
        <w:lastRenderedPageBreak/>
        <w:t>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3"/>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4"/>
      </w:r>
      <w:r w:rsidRPr="00666B6A">
        <w:rPr>
          <w:rFonts w:ascii="Verdana" w:hAnsi="Verdana" w:cs="Arial"/>
          <w:bCs/>
          <w:lang w:val="es-MX"/>
        </w:rPr>
        <w:t>.</w:t>
      </w:r>
    </w:p>
    <w:p w14:paraId="4C706D70" w14:textId="77777777" w:rsidR="00DD1C92" w:rsidRPr="00480D85" w:rsidRDefault="00DD1C92" w:rsidP="00DD1C92">
      <w:pPr>
        <w:spacing w:after="120" w:line="276" w:lineRule="auto"/>
        <w:ind w:firstLine="708"/>
        <w:jc w:val="both"/>
        <w:rPr>
          <w:rFonts w:ascii="Verdana" w:hAnsi="Verdana" w:cs="Arial"/>
          <w:lang w:val="es-ES" w:eastAsia="es-MX"/>
        </w:rPr>
      </w:pPr>
      <w:r w:rsidRPr="00480D85">
        <w:rPr>
          <w:rFonts w:ascii="Verdana" w:eastAsia="Times New Roman" w:hAnsi="Verdana" w:cs="Arial"/>
          <w:lang w:eastAsia="es-MX"/>
        </w:rPr>
        <w:t>La exposición de motivos de la Ley 1150 de 2007 señala las razones por las cuales se establecieron estos procedimientos, pues “[…] las experiencias exitosas a nivel internacional demuestran que el criterio de distinción que debe gobernar un esquema contractual eficiente es el de modular las modalidades de selección en razón a las características del objeto”</w:t>
      </w:r>
      <w:r w:rsidRPr="00480D85">
        <w:rPr>
          <w:rFonts w:ascii="Verdana" w:eastAsia="Times New Roman" w:hAnsi="Verdana" w:cs="Arial"/>
          <w:vertAlign w:val="superscript"/>
          <w:lang w:eastAsia="es-MX"/>
        </w:rPr>
        <w:footnoteReference w:id="5"/>
      </w:r>
      <w:r w:rsidRPr="00480D85">
        <w:rPr>
          <w:rFonts w:ascii="Verdana" w:eastAsia="Times New Roman" w:hAnsi="Verdana" w:cs="Arial"/>
          <w:lang w:eastAsia="es-MX"/>
        </w:rPr>
        <w:t>.</w:t>
      </w:r>
      <w:r w:rsidRPr="00480D85">
        <w:rPr>
          <w:rFonts w:ascii="Verdana" w:hAnsi="Verdana" w:cs="Arial"/>
          <w:lang w:eastAsia="es-MX"/>
        </w:rPr>
        <w:t xml:space="preserve"> Así, la</w:t>
      </w:r>
      <w:r>
        <w:rPr>
          <w:rFonts w:ascii="Verdana" w:hAnsi="Verdana" w:cs="Arial"/>
          <w:lang w:eastAsia="es-MX"/>
        </w:rPr>
        <w:t>s</w:t>
      </w:r>
      <w:r w:rsidRPr="00480D85">
        <w:rPr>
          <w:rFonts w:ascii="Verdana" w:hAnsi="Verdana" w:cs="Arial"/>
          <w:lang w:eastAsia="es-MX"/>
        </w:rPr>
        <w:t xml:space="preserve"> </w:t>
      </w:r>
      <w:r w:rsidRPr="00480D85">
        <w:rPr>
          <w:rFonts w:ascii="Verdana" w:eastAsia="Times New Roman" w:hAnsi="Verdana" w:cs="Arial"/>
          <w:lang w:eastAsia="es-MX"/>
        </w:rPr>
        <w:t>modalidades pueden dividirse en i) competitivas y ii)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480D85">
        <w:rPr>
          <w:rFonts w:ascii="Verdana" w:eastAsia="Times New Roman" w:hAnsi="Verdana" w:cs="Arial"/>
          <w:vertAlign w:val="superscript"/>
          <w:lang w:eastAsia="es-MX"/>
        </w:rPr>
        <w:footnoteReference w:id="6"/>
      </w:r>
      <w:r w:rsidRPr="00480D85">
        <w:rPr>
          <w:rFonts w:ascii="Verdana" w:eastAsia="Times New Roman" w:hAnsi="Verdana" w:cs="Arial"/>
          <w:lang w:eastAsia="es-MX"/>
        </w:rPr>
        <w:t xml:space="preserve">. </w:t>
      </w:r>
    </w:p>
    <w:p w14:paraId="10233347" w14:textId="77777777" w:rsidR="00DD1C92" w:rsidRPr="00480D85" w:rsidRDefault="00DD1C92" w:rsidP="00DD1C92">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lastRenderedPageBreak/>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3172EDEE" w14:textId="77777777" w:rsidR="00DD1C92" w:rsidRPr="00480D85" w:rsidRDefault="00DD1C92" w:rsidP="00DD1C92">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480D85">
        <w:rPr>
          <w:rFonts w:ascii="Verdana" w:eastAsia="Times New Roman" w:hAnsi="Verdana" w:cs="Century Gothic"/>
          <w:lang w:eastAsia="es-MX"/>
        </w:rPr>
        <w:t>ó</w:t>
      </w:r>
      <w:r w:rsidRPr="00480D85">
        <w:rPr>
          <w:rFonts w:ascii="Verdana" w:eastAsia="Times New Roman" w:hAnsi="Verdana" w:cs="Arial"/>
          <w:lang w:eastAsia="es-MX"/>
        </w:rPr>
        <w:t>n judicial se desarrollaron los principios de libre concurrencia y selecci</w:t>
      </w:r>
      <w:r w:rsidRPr="00480D85">
        <w:rPr>
          <w:rFonts w:ascii="Verdana" w:eastAsia="Times New Roman" w:hAnsi="Verdana" w:cs="Century Gothic"/>
          <w:lang w:eastAsia="es-MX"/>
        </w:rPr>
        <w:t>ó</w:t>
      </w:r>
      <w:r w:rsidRPr="00480D85">
        <w:rPr>
          <w:rFonts w:ascii="Verdana" w:eastAsia="Times New Roman" w:hAnsi="Verdana" w:cs="Arial"/>
          <w:lang w:eastAsia="es-MX"/>
        </w:rPr>
        <w:t>n objetiva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p</w:t>
      </w:r>
      <w:r w:rsidRPr="00480D85">
        <w:rPr>
          <w:rFonts w:ascii="Verdana" w:eastAsia="Times New Roman" w:hAnsi="Verdana" w:cs="Century Gothic"/>
          <w:lang w:eastAsia="es-MX"/>
        </w:rPr>
        <w:t>ú</w:t>
      </w:r>
      <w:r w:rsidRPr="00480D85">
        <w:rPr>
          <w:rFonts w:ascii="Verdana" w:eastAsia="Times New Roman" w:hAnsi="Verdana" w:cs="Arial"/>
          <w:lang w:eastAsia="es-MX"/>
        </w:rPr>
        <w:t>blica, como expresiones del derecho a la igualdad de oportunidades para quienes tengan inter</w:t>
      </w:r>
      <w:r w:rsidRPr="00480D85">
        <w:rPr>
          <w:rFonts w:ascii="Verdana" w:eastAsia="Times New Roman" w:hAnsi="Verdana" w:cs="Century Gothic"/>
          <w:lang w:eastAsia="es-MX"/>
        </w:rPr>
        <w:t>é</w:t>
      </w:r>
      <w:r w:rsidRPr="00480D85">
        <w:rPr>
          <w:rFonts w:ascii="Verdana" w:eastAsia="Times New Roman" w:hAnsi="Verdana" w:cs="Arial"/>
          <w:lang w:eastAsia="es-MX"/>
        </w:rPr>
        <w:t>s en participar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estatal.</w:t>
      </w:r>
      <w:r>
        <w:rPr>
          <w:rFonts w:ascii="Verdana" w:eastAsia="Times New Roman" w:hAnsi="Verdana" w:cs="Arial"/>
          <w:lang w:eastAsia="es-MX"/>
        </w:rPr>
        <w:t xml:space="preserve"> </w:t>
      </w:r>
      <w:r w:rsidRPr="00480D85">
        <w:rPr>
          <w:rFonts w:ascii="Verdana" w:eastAsia="Times New Roman" w:hAnsi="Verdana" w:cs="Arial"/>
          <w:lang w:eastAsia="es-MX"/>
        </w:rPr>
        <w:t>La materializaci</w:t>
      </w:r>
      <w:r w:rsidRPr="00480D85">
        <w:rPr>
          <w:rFonts w:ascii="Verdana" w:eastAsia="Times New Roman" w:hAnsi="Verdana" w:cs="Century Gothic"/>
          <w:lang w:eastAsia="es-MX"/>
        </w:rPr>
        <w:t>ó</w:t>
      </w:r>
      <w:r w:rsidRPr="00480D85">
        <w:rPr>
          <w:rFonts w:ascii="Verdana" w:eastAsia="Times New Roman" w:hAnsi="Verdana" w:cs="Arial"/>
          <w:lang w:eastAsia="es-MX"/>
        </w:rPr>
        <w:t>n de esos principios pretende que no exista discriminaci</w:t>
      </w:r>
      <w:r w:rsidRPr="00480D85">
        <w:rPr>
          <w:rFonts w:ascii="Verdana" w:eastAsia="Times New Roman" w:hAnsi="Verdana" w:cs="Century Gothic"/>
          <w:lang w:eastAsia="es-MX"/>
        </w:rPr>
        <w:t>ó</w:t>
      </w:r>
      <w:r w:rsidRPr="00480D85">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80D85">
        <w:rPr>
          <w:rFonts w:ascii="Verdana" w:eastAsia="Times New Roman" w:hAnsi="Verdana" w:cs="Arial"/>
          <w:vertAlign w:val="superscript"/>
          <w:lang w:eastAsia="es-MX"/>
        </w:rPr>
        <w:footnoteReference w:id="7"/>
      </w:r>
      <w:r w:rsidRPr="00480D85">
        <w:rPr>
          <w:rFonts w:ascii="Verdana" w:eastAsia="Times New Roman" w:hAnsi="Verdana" w:cs="Arial"/>
          <w:lang w:eastAsia="es-MX"/>
        </w:rPr>
        <w:t>.</w:t>
      </w:r>
    </w:p>
    <w:p w14:paraId="211E93B6" w14:textId="77777777" w:rsidR="00DD1C92" w:rsidRPr="00480D85" w:rsidRDefault="00DD1C92" w:rsidP="00DD1C92">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2D157533" w14:textId="77777777" w:rsidR="00DD1C92" w:rsidRPr="00480D85" w:rsidRDefault="00DD1C92" w:rsidP="00DD1C92">
      <w:pPr>
        <w:spacing w:after="120" w:line="276" w:lineRule="auto"/>
        <w:ind w:right="45" w:firstLine="709"/>
        <w:jc w:val="both"/>
        <w:rPr>
          <w:rFonts w:ascii="Verdana" w:eastAsia="Times New Roman" w:hAnsi="Verdana" w:cs="Arial"/>
          <w:lang w:eastAsia="es-MX"/>
        </w:rPr>
      </w:pPr>
      <w:r w:rsidRPr="00480D85">
        <w:rPr>
          <w:rFonts w:ascii="Verdana" w:eastAsia="Times New Roman" w:hAnsi="Verdana" w:cs="Arial"/>
          <w:lang w:eastAsia="es-MX"/>
        </w:rPr>
        <w:t xml:space="preserve">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w:t>
      </w:r>
      <w:r w:rsidRPr="00480D85">
        <w:rPr>
          <w:rFonts w:ascii="Verdana" w:eastAsia="Times New Roman" w:hAnsi="Verdana" w:cs="Arial"/>
          <w:lang w:eastAsia="es-MX"/>
        </w:rPr>
        <w:lastRenderedPageBreak/>
        <w:t>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80D85">
        <w:rPr>
          <w:rFonts w:ascii="Verdana" w:eastAsia="Times New Roman" w:hAnsi="Verdana" w:cs="Arial"/>
          <w:vertAlign w:val="superscript"/>
          <w:lang w:eastAsia="es-MX"/>
        </w:rPr>
        <w:footnoteReference w:id="8"/>
      </w:r>
      <w:r w:rsidRPr="00480D85">
        <w:rPr>
          <w:rFonts w:ascii="Verdana" w:eastAsia="Times New Roman" w:hAnsi="Verdana" w:cs="Arial"/>
          <w:lang w:eastAsia="es-MX"/>
        </w:rPr>
        <w:t>.</w:t>
      </w:r>
    </w:p>
    <w:p w14:paraId="2B3DF554" w14:textId="77777777" w:rsidR="00DD1C92" w:rsidRPr="00480D85" w:rsidRDefault="00DD1C92" w:rsidP="00DD1C92">
      <w:pPr>
        <w:spacing w:after="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80D85">
        <w:rPr>
          <w:rFonts w:ascii="Verdana" w:eastAsia="Times New Roman" w:hAnsi="Verdana" w:cs="Arial"/>
          <w:vertAlign w:val="superscript"/>
          <w:lang w:eastAsia="es-MX"/>
        </w:rPr>
        <w:footnoteReference w:id="9"/>
      </w:r>
      <w:r w:rsidRPr="00480D85">
        <w:rPr>
          <w:rFonts w:ascii="Verdana" w:eastAsia="Times New Roman" w:hAnsi="Verdana" w:cs="Arial"/>
          <w:lang w:eastAsia="es-MX"/>
        </w:rPr>
        <w:t>. Esta 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02F95C27" w14:textId="77777777" w:rsidR="00DD1C92" w:rsidRPr="00480D85" w:rsidRDefault="00DD1C92" w:rsidP="00DD1C92">
      <w:pPr>
        <w:spacing w:before="120"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w:t>
      </w:r>
      <w:r w:rsidRPr="00480D85">
        <w:rPr>
          <w:rFonts w:ascii="Verdana" w:eastAsia="Times New Roman" w:hAnsi="Verdana" w:cs="Arial"/>
          <w:lang w:eastAsia="es-MX"/>
        </w:rPr>
        <w:lastRenderedPageBreak/>
        <w:t>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80D85">
        <w:rPr>
          <w:rFonts w:ascii="Verdana" w:eastAsia="Times New Roman" w:hAnsi="Verdana" w:cs="Arial"/>
          <w:vertAlign w:val="superscript"/>
          <w:lang w:eastAsia="es-MX"/>
        </w:rPr>
        <w:footnoteReference w:id="10"/>
      </w:r>
      <w:r w:rsidRPr="00480D85">
        <w:rPr>
          <w:rFonts w:ascii="Verdana" w:eastAsia="Times New Roman" w:hAnsi="Verdana" w:cs="Arial"/>
          <w:lang w:eastAsia="es-MX"/>
        </w:rPr>
        <w:t>.</w:t>
      </w:r>
    </w:p>
    <w:p w14:paraId="33510655" w14:textId="77777777" w:rsidR="00DD1C92" w:rsidRPr="00480D85" w:rsidRDefault="00DD1C92" w:rsidP="00DD1C92">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Por consiguiente, en la contratación directa la entidad no establece puntaje para ponderar ofertas, porque se presenta una sola </w:t>
      </w:r>
      <w:r>
        <w:rPr>
          <w:rFonts w:ascii="Verdana" w:eastAsia="Times New Roman" w:hAnsi="Verdana" w:cs="Arial"/>
          <w:lang w:eastAsia="es-MX"/>
        </w:rPr>
        <w:t>propuesta</w:t>
      </w:r>
      <w:r w:rsidRPr="00480D85">
        <w:rPr>
          <w:rFonts w:ascii="Verdana" w:eastAsia="Times New Roman" w:hAnsi="Verdana" w:cs="Arial"/>
          <w:lang w:eastAsia="es-MX"/>
        </w:rPr>
        <w:t>,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466CAD45" w14:textId="77777777" w:rsidR="00DD1C92" w:rsidRDefault="00DD1C92" w:rsidP="00DD1C92">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 xml:space="preserve">De esta </w:t>
      </w:r>
      <w:r w:rsidRPr="00197520">
        <w:rPr>
          <w:rFonts w:ascii="Verdana" w:eastAsia="Times New Roman" w:hAnsi="Verdana" w:cs="Arial"/>
          <w:lang w:eastAsia="es-MX"/>
        </w:rPr>
        <w:t>manera,</w:t>
      </w:r>
      <w:r>
        <w:rPr>
          <w:rFonts w:ascii="Verdana" w:eastAsia="Times New Roman" w:hAnsi="Verdana" w:cs="Arial"/>
          <w:lang w:eastAsia="es-MX"/>
        </w:rPr>
        <w:t xml:space="preserve"> los literales d) y j) del artículo 2.4 de la Ley 1150 de 2007 permiten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y </w:t>
      </w:r>
      <w:r>
        <w:rPr>
          <w:rFonts w:ascii="Verdana" w:eastAsia="Times New Roman" w:hAnsi="Verdana" w:cs="Arial"/>
          <w:lang w:eastAsia="es-MX"/>
        </w:rPr>
        <w:t>d</w:t>
      </w:r>
      <w:r w:rsidRPr="00DB1EA1">
        <w:rPr>
          <w:rFonts w:ascii="Verdana" w:eastAsia="Times New Roman" w:hAnsi="Verdana" w:cs="Arial"/>
          <w:lang w:eastAsia="es-MX"/>
        </w:rPr>
        <w:t>e la Dirección Nacional de Inteligencia (DNI), que necesiten reserva para su adquisición</w:t>
      </w:r>
      <w:r>
        <w:rPr>
          <w:rFonts w:ascii="Verdana" w:eastAsia="Times New Roman" w:hAnsi="Verdana" w:cs="Arial"/>
          <w:lang w:eastAsia="es-MX"/>
        </w:rPr>
        <w:t xml:space="preserve">. Dichas causales se sujetan al cumplimiento de dos (2) requisitos: uno de carácter orgánico y otro de carácter material. Por un lado, los bienes o servicios deben ser adquiridos por entidades del sector defensa o por la </w:t>
      </w:r>
      <w:r w:rsidRPr="00DB1EA1">
        <w:rPr>
          <w:rFonts w:ascii="Verdana" w:eastAsia="Times New Roman" w:hAnsi="Verdana" w:cs="Arial"/>
          <w:lang w:eastAsia="es-MX"/>
        </w:rPr>
        <w:t>Dirección Nacional de Inteligencia</w:t>
      </w:r>
      <w:r>
        <w:rPr>
          <w:rFonts w:ascii="Verdana" w:eastAsia="Times New Roman" w:hAnsi="Verdana" w:cs="Arial"/>
          <w:lang w:eastAsia="es-MX"/>
        </w:rPr>
        <w:t xml:space="preserve"> y, por otro, su adquisición debe ser reservada</w:t>
      </w:r>
      <w:r>
        <w:rPr>
          <w:rStyle w:val="Refdenotaalpie"/>
          <w:rFonts w:ascii="Verdana" w:eastAsia="Times New Roman" w:hAnsi="Verdana" w:cs="Arial"/>
          <w:lang w:eastAsia="es-MX"/>
        </w:rPr>
        <w:footnoteReference w:id="11"/>
      </w:r>
      <w:r>
        <w:rPr>
          <w:rFonts w:ascii="Verdana" w:eastAsia="Times New Roman" w:hAnsi="Verdana" w:cs="Arial"/>
          <w:lang w:eastAsia="es-MX"/>
        </w:rPr>
        <w:t>.</w:t>
      </w:r>
    </w:p>
    <w:p w14:paraId="523FF7FF" w14:textId="77777777" w:rsidR="00DD1C92" w:rsidRDefault="00DD1C92" w:rsidP="00DD1C92">
      <w:pPr>
        <w:spacing w:after="120" w:line="276" w:lineRule="auto"/>
        <w:ind w:firstLine="709"/>
        <w:jc w:val="both"/>
        <w:rPr>
          <w:rFonts w:ascii="Verdana" w:eastAsia="Times New Roman" w:hAnsi="Verdana" w:cs="Arial"/>
          <w:lang w:eastAsia="es-MX"/>
        </w:rPr>
      </w:pPr>
      <w:r w:rsidRPr="00DB1EA1">
        <w:rPr>
          <w:rFonts w:ascii="Verdana" w:eastAsia="Times New Roman" w:hAnsi="Verdana" w:cs="Arial"/>
          <w:i/>
          <w:iCs/>
          <w:lang w:eastAsia="es-MX"/>
        </w:rPr>
        <w:t xml:space="preserve">En lo que respecta </w:t>
      </w:r>
      <w:r>
        <w:rPr>
          <w:rFonts w:ascii="Verdana" w:eastAsia="Times New Roman" w:hAnsi="Verdana" w:cs="Arial"/>
          <w:i/>
          <w:iCs/>
          <w:lang w:eastAsia="es-MX"/>
        </w:rPr>
        <w:t>al requisito</w:t>
      </w:r>
      <w:r w:rsidRPr="00DB1EA1">
        <w:rPr>
          <w:rFonts w:ascii="Verdana" w:eastAsia="Times New Roman" w:hAnsi="Verdana" w:cs="Arial"/>
          <w:i/>
          <w:iCs/>
          <w:lang w:eastAsia="es-MX"/>
        </w:rPr>
        <w:t xml:space="preserve"> orgánico</w:t>
      </w:r>
      <w:r>
        <w:rPr>
          <w:rFonts w:ascii="Verdana" w:eastAsia="Times New Roman" w:hAnsi="Verdana" w:cs="Arial"/>
          <w:lang w:eastAsia="es-MX"/>
        </w:rPr>
        <w:t>, el artículo 1 del Decreto Ley 4179 de 2011 dispone lo siguiente: “</w:t>
      </w:r>
      <w:r w:rsidRPr="008C7450">
        <w:rPr>
          <w:rFonts w:ascii="Verdana" w:eastAsia="Times New Roman" w:hAnsi="Verdana" w:cs="Arial"/>
          <w:lang w:eastAsia="es-MX"/>
        </w:rPr>
        <w:t>Créase un Departamento Administrativo que se denominará Dirección Nacional de Inteligencia, como un organismo civil de seguridad, que desarrolla actividades de inteligencia estratégica y contrainteligencia</w:t>
      </w:r>
      <w:r>
        <w:rPr>
          <w:rFonts w:ascii="Verdana" w:eastAsia="Times New Roman" w:hAnsi="Verdana" w:cs="Arial"/>
          <w:lang w:eastAsia="es-MX"/>
        </w:rPr>
        <w:t xml:space="preserve">”. Conforme al artículo 2 </w:t>
      </w:r>
      <w:r w:rsidRPr="008C7450">
        <w:rPr>
          <w:rFonts w:ascii="Verdana" w:eastAsia="Times New Roman" w:hAnsi="Verdana" w:cs="Arial"/>
          <w:i/>
          <w:iCs/>
          <w:lang w:eastAsia="es-MX"/>
        </w:rPr>
        <w:t>ibidem</w:t>
      </w:r>
      <w:r>
        <w:rPr>
          <w:rFonts w:ascii="Verdana" w:eastAsia="Times New Roman" w:hAnsi="Verdana" w:cs="Arial"/>
          <w:lang w:eastAsia="es-MX"/>
        </w:rPr>
        <w:t xml:space="preserve">, “[…] </w:t>
      </w:r>
      <w:r w:rsidRPr="008C7450">
        <w:rPr>
          <w:rFonts w:ascii="Verdana" w:eastAsia="Times New Roman" w:hAnsi="Verdana" w:cs="Arial"/>
          <w:lang w:eastAsia="es-MX"/>
        </w:rPr>
        <w:t xml:space="preserve">tendrá como objeto desarrollar actividades de inteligencia estratégica y contrainteligencia para proteger los derechos y libertades de los ciudadanos y de las personas residentes en Colombia, prevenir y contrarrestar amenazas internas o externas contra la </w:t>
      </w:r>
      <w:r w:rsidRPr="008C7450">
        <w:rPr>
          <w:rFonts w:ascii="Verdana" w:eastAsia="Times New Roman" w:hAnsi="Verdana" w:cs="Arial"/>
          <w:lang w:eastAsia="es-MX"/>
        </w:rPr>
        <w:lastRenderedPageBreak/>
        <w:t>vigencia del régimen democrático, el orden constitucional y legal, la seguridad y la defensa nacional, así como cumplir con los requerimientos que en materia de inteligencia le hagan el Presidente de la República y el Alto Gobierno para el logro de los fines esenciales del Estado, de conformidad con la ley</w:t>
      </w:r>
      <w:r>
        <w:rPr>
          <w:rFonts w:ascii="Verdana" w:eastAsia="Times New Roman" w:hAnsi="Verdana" w:cs="Arial"/>
          <w:lang w:eastAsia="es-MX"/>
        </w:rPr>
        <w:t>”</w:t>
      </w:r>
      <w:r w:rsidRPr="008C7450">
        <w:rPr>
          <w:rFonts w:ascii="Verdana" w:eastAsia="Times New Roman" w:hAnsi="Verdana" w:cs="Arial"/>
          <w:lang w:eastAsia="es-MX"/>
        </w:rPr>
        <w:t>.</w:t>
      </w:r>
      <w:r>
        <w:rPr>
          <w:rFonts w:ascii="Verdana" w:eastAsia="Times New Roman" w:hAnsi="Verdana" w:cs="Arial"/>
          <w:lang w:eastAsia="es-MX"/>
        </w:rPr>
        <w:t xml:space="preserve"> </w:t>
      </w:r>
    </w:p>
    <w:p w14:paraId="7B19D9DC" w14:textId="77777777" w:rsidR="00DD1C92" w:rsidRDefault="00DD1C92" w:rsidP="00DD1C92">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Asimismo, para entender qué entidades conforman el sector de defensa nacional, es necesario remitirse al artículo 42 de la Ley 489 de 1998. Dicha norma dispone que “</w:t>
      </w:r>
      <w:r w:rsidRPr="00535337">
        <w:rPr>
          <w:rFonts w:ascii="Verdana" w:eastAsia="Times New Roman" w:hAnsi="Verdana" w:cs="Arial"/>
          <w:lang w:eastAsia="es-MX"/>
        </w:rPr>
        <w:t>El Sector Administrativo está integrado por el Ministerio o Departamento Administrativo, las superintendencias y demás entidades que la ley definan como adscritas o vinculadas a aquéllos según correspondiere a cada área</w:t>
      </w:r>
      <w:r>
        <w:rPr>
          <w:rFonts w:ascii="Verdana" w:eastAsia="Times New Roman" w:hAnsi="Verdana" w:cs="Arial"/>
          <w:lang w:eastAsia="es-MX"/>
        </w:rPr>
        <w:t>”</w:t>
      </w:r>
      <w:r w:rsidRPr="00535337">
        <w:rPr>
          <w:rFonts w:ascii="Verdana" w:eastAsia="Times New Roman" w:hAnsi="Verdana" w:cs="Arial"/>
          <w:lang w:eastAsia="es-MX"/>
        </w:rPr>
        <w:t>.</w:t>
      </w:r>
      <w:r>
        <w:rPr>
          <w:rFonts w:ascii="Verdana" w:eastAsia="Times New Roman" w:hAnsi="Verdana" w:cs="Arial"/>
          <w:lang w:eastAsia="es-MX"/>
        </w:rPr>
        <w:t xml:space="preserve"> En la misma línea, el parágrafo del artículo 50 </w:t>
      </w:r>
      <w:r w:rsidRPr="00535337">
        <w:rPr>
          <w:rFonts w:ascii="Verdana" w:eastAsia="Times New Roman" w:hAnsi="Verdana" w:cs="Arial"/>
          <w:i/>
          <w:iCs/>
          <w:lang w:eastAsia="es-MX"/>
        </w:rPr>
        <w:t>ibidem</w:t>
      </w:r>
      <w:r>
        <w:rPr>
          <w:rFonts w:ascii="Verdana" w:eastAsia="Times New Roman" w:hAnsi="Verdana" w:cs="Arial"/>
          <w:lang w:eastAsia="es-MX"/>
        </w:rPr>
        <w:t xml:space="preserve"> indica lo siguiente: “</w:t>
      </w:r>
      <w:r w:rsidRPr="00535337">
        <w:rPr>
          <w:rFonts w:ascii="Verdana" w:eastAsia="Times New Roman" w:hAnsi="Verdana" w:cs="Arial"/>
          <w:lang w:eastAsia="es-MX"/>
        </w:rPr>
        <w:t>Las superintendencias, los establecimientos públicos y las unidades administrativas especiales estarán adscritos a los ministerios o departamentos administrativos; las empresas industriales y comerciales del Estado y las sociedades de economía mixta estarán vinculadas a aquellos; los demás organismos y entidades estarán adscritos o vinculados, según lo determine su acto de creación</w:t>
      </w:r>
      <w:r>
        <w:rPr>
          <w:rFonts w:ascii="Verdana" w:eastAsia="Times New Roman" w:hAnsi="Verdana" w:cs="Arial"/>
          <w:lang w:eastAsia="es-MX"/>
        </w:rPr>
        <w:t>”</w:t>
      </w:r>
      <w:r w:rsidRPr="00535337">
        <w:rPr>
          <w:rFonts w:ascii="Verdana" w:eastAsia="Times New Roman" w:hAnsi="Verdana" w:cs="Arial"/>
          <w:lang w:eastAsia="es-MX"/>
        </w:rPr>
        <w:t>.</w:t>
      </w:r>
      <w:r>
        <w:rPr>
          <w:rFonts w:ascii="Verdana" w:eastAsia="Times New Roman" w:hAnsi="Verdana" w:cs="Arial"/>
          <w:lang w:eastAsia="es-MX"/>
        </w:rPr>
        <w:t xml:space="preserve"> </w:t>
      </w:r>
    </w:p>
    <w:p w14:paraId="29C7C02A" w14:textId="77777777" w:rsidR="00DD1C92" w:rsidRDefault="00DD1C92" w:rsidP="00DD1C92">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Respecto a la estructura administrativa del sector de defensa nacional, el Decreto 1070 de 2015 ubica al ministerio respectivo como cabeza del mismo –artículo </w:t>
      </w:r>
      <w:r w:rsidRPr="003B03E0">
        <w:rPr>
          <w:rFonts w:ascii="Verdana" w:eastAsia="Times New Roman" w:hAnsi="Verdana" w:cs="Arial"/>
          <w:lang w:eastAsia="es-MX"/>
        </w:rPr>
        <w:t>1.1.1.1</w:t>
      </w:r>
      <w:r>
        <w:rPr>
          <w:rFonts w:ascii="Verdana" w:eastAsia="Times New Roman" w:hAnsi="Verdana" w:cs="Arial"/>
          <w:lang w:eastAsia="es-MX"/>
        </w:rPr>
        <w:t xml:space="preserve">–. Al ministerio se encuentran adscritas la </w:t>
      </w:r>
      <w:r w:rsidRPr="00B53481">
        <w:rPr>
          <w:rFonts w:ascii="Verdana" w:eastAsia="Times New Roman" w:hAnsi="Verdana" w:cs="Arial"/>
          <w:lang w:eastAsia="es-MX"/>
        </w:rPr>
        <w:t>Superintendencia de Vigilancia y Seguridad Privada</w:t>
      </w:r>
      <w:r>
        <w:rPr>
          <w:rFonts w:ascii="Verdana" w:eastAsia="Times New Roman" w:hAnsi="Verdana" w:cs="Arial"/>
          <w:lang w:eastAsia="es-MX"/>
        </w:rPr>
        <w:t xml:space="preserve"> –artículo </w:t>
      </w:r>
      <w:r w:rsidRPr="00B53481">
        <w:rPr>
          <w:rFonts w:ascii="Verdana" w:eastAsia="Times New Roman" w:hAnsi="Verdana" w:cs="Arial"/>
          <w:lang w:eastAsia="es-MX"/>
        </w:rPr>
        <w:t>1.2.1.1.1</w:t>
      </w:r>
      <w:r>
        <w:rPr>
          <w:rFonts w:ascii="Verdana" w:eastAsia="Times New Roman" w:hAnsi="Verdana" w:cs="Arial"/>
          <w:lang w:eastAsia="es-MX"/>
        </w:rPr>
        <w:t xml:space="preserve">–; la </w:t>
      </w:r>
      <w:r w:rsidRPr="00B53481">
        <w:rPr>
          <w:rFonts w:ascii="Verdana" w:eastAsia="Times New Roman" w:hAnsi="Verdana" w:cs="Arial"/>
          <w:lang w:eastAsia="es-MX"/>
        </w:rPr>
        <w:t>Caja de Retiro de las Fuerzas Militares</w:t>
      </w:r>
      <w:r>
        <w:rPr>
          <w:rFonts w:ascii="Verdana" w:eastAsia="Times New Roman" w:hAnsi="Verdana" w:cs="Arial"/>
          <w:lang w:eastAsia="es-MX"/>
        </w:rPr>
        <w:t xml:space="preserve">, la </w:t>
      </w:r>
      <w:r w:rsidRPr="00B53481">
        <w:rPr>
          <w:rFonts w:ascii="Verdana" w:eastAsia="Times New Roman" w:hAnsi="Verdana" w:cs="Arial"/>
          <w:lang w:eastAsia="es-MX"/>
        </w:rPr>
        <w:t>Caja de Sueldos de Retiro de la Policía Naciona</w:t>
      </w:r>
      <w:r>
        <w:rPr>
          <w:rFonts w:ascii="Verdana" w:eastAsia="Times New Roman" w:hAnsi="Verdana" w:cs="Arial"/>
          <w:lang w:eastAsia="es-MX"/>
        </w:rPr>
        <w:t xml:space="preserve">l, el </w:t>
      </w:r>
      <w:r w:rsidRPr="00B53481">
        <w:rPr>
          <w:rFonts w:ascii="Verdana" w:eastAsia="Times New Roman" w:hAnsi="Verdana" w:cs="Arial"/>
          <w:lang w:eastAsia="es-MX"/>
        </w:rPr>
        <w:t>Hospital Militar Central</w:t>
      </w:r>
      <w:r>
        <w:rPr>
          <w:rFonts w:ascii="Verdana" w:eastAsia="Times New Roman" w:hAnsi="Verdana" w:cs="Arial"/>
          <w:lang w:eastAsia="es-MX"/>
        </w:rPr>
        <w:t xml:space="preserve">, la </w:t>
      </w:r>
      <w:r w:rsidRPr="00B53481">
        <w:rPr>
          <w:rFonts w:ascii="Verdana" w:eastAsia="Times New Roman" w:hAnsi="Verdana" w:cs="Arial"/>
          <w:lang w:eastAsia="es-MX"/>
        </w:rPr>
        <w:t>Agencia Logística de las Fuerzas Militares</w:t>
      </w:r>
      <w:r>
        <w:rPr>
          <w:rFonts w:ascii="Verdana" w:eastAsia="Times New Roman" w:hAnsi="Verdana" w:cs="Arial"/>
          <w:lang w:eastAsia="es-MX"/>
        </w:rPr>
        <w:t xml:space="preserve">, el </w:t>
      </w:r>
      <w:r w:rsidRPr="00B53481">
        <w:rPr>
          <w:rFonts w:ascii="Verdana" w:eastAsia="Times New Roman" w:hAnsi="Verdana" w:cs="Arial"/>
          <w:lang w:eastAsia="es-MX"/>
        </w:rPr>
        <w:t>Fondo Rotatorio de la Policía Nacional</w:t>
      </w:r>
      <w:r>
        <w:rPr>
          <w:rFonts w:ascii="Verdana" w:eastAsia="Times New Roman" w:hAnsi="Verdana" w:cs="Arial"/>
          <w:lang w:eastAsia="es-MX"/>
        </w:rPr>
        <w:t xml:space="preserve">, el </w:t>
      </w:r>
      <w:r w:rsidRPr="00B53481">
        <w:rPr>
          <w:rFonts w:ascii="Verdana" w:eastAsia="Times New Roman" w:hAnsi="Verdana" w:cs="Arial"/>
          <w:lang w:eastAsia="es-MX"/>
        </w:rPr>
        <w:t>Instituto de Casas Fiscales del Ejército</w:t>
      </w:r>
      <w:r>
        <w:rPr>
          <w:rFonts w:ascii="Verdana" w:eastAsia="Times New Roman" w:hAnsi="Verdana" w:cs="Arial"/>
          <w:lang w:eastAsia="es-MX"/>
        </w:rPr>
        <w:t xml:space="preserve">, el </w:t>
      </w:r>
      <w:r w:rsidRPr="00B53481">
        <w:rPr>
          <w:rFonts w:ascii="Verdana" w:eastAsia="Times New Roman" w:hAnsi="Verdana" w:cs="Arial"/>
          <w:lang w:eastAsia="es-MX"/>
        </w:rPr>
        <w:t>Club Militar</w:t>
      </w:r>
      <w:r>
        <w:rPr>
          <w:rFonts w:ascii="Verdana" w:eastAsia="Times New Roman" w:hAnsi="Verdana" w:cs="Arial"/>
          <w:lang w:eastAsia="es-MX"/>
        </w:rPr>
        <w:t xml:space="preserve">, y la </w:t>
      </w:r>
      <w:r w:rsidRPr="00B53481">
        <w:rPr>
          <w:rFonts w:ascii="Verdana" w:eastAsia="Times New Roman" w:hAnsi="Verdana" w:cs="Arial"/>
          <w:lang w:eastAsia="es-MX"/>
        </w:rPr>
        <w:t>Defensa Civil Colombiana</w:t>
      </w:r>
      <w:r>
        <w:rPr>
          <w:rFonts w:ascii="Verdana" w:eastAsia="Times New Roman" w:hAnsi="Verdana" w:cs="Arial"/>
          <w:lang w:eastAsia="es-MX"/>
        </w:rPr>
        <w:t xml:space="preserve"> –artículo </w:t>
      </w:r>
      <w:r w:rsidRPr="00B53481">
        <w:rPr>
          <w:rFonts w:ascii="Verdana" w:eastAsia="Times New Roman" w:hAnsi="Verdana" w:cs="Arial"/>
          <w:lang w:eastAsia="es-MX"/>
        </w:rPr>
        <w:t>1.2.1.2.1</w:t>
      </w:r>
      <w:r>
        <w:rPr>
          <w:rFonts w:ascii="Verdana" w:eastAsia="Times New Roman" w:hAnsi="Verdana" w:cs="Arial"/>
          <w:lang w:eastAsia="es-MX"/>
        </w:rPr>
        <w:t xml:space="preserve">–. También están vinculadas la </w:t>
      </w:r>
      <w:r w:rsidRPr="00B53481">
        <w:rPr>
          <w:rFonts w:ascii="Verdana" w:eastAsia="Times New Roman" w:hAnsi="Verdana" w:cs="Arial"/>
          <w:lang w:eastAsia="es-MX"/>
        </w:rPr>
        <w:t>Industria Militar</w:t>
      </w:r>
      <w:r>
        <w:rPr>
          <w:rFonts w:ascii="Verdana" w:eastAsia="Times New Roman" w:hAnsi="Verdana" w:cs="Arial"/>
          <w:lang w:eastAsia="es-MX"/>
        </w:rPr>
        <w:t xml:space="preserve"> y la </w:t>
      </w:r>
      <w:r w:rsidRPr="00B53481">
        <w:rPr>
          <w:rFonts w:ascii="Verdana" w:eastAsia="Times New Roman" w:hAnsi="Verdana" w:cs="Arial"/>
          <w:lang w:eastAsia="es-MX"/>
        </w:rPr>
        <w:t>Caja Promotora de Vivienda Militar y de Policía</w:t>
      </w:r>
      <w:r>
        <w:rPr>
          <w:rFonts w:ascii="Verdana" w:eastAsia="Times New Roman" w:hAnsi="Verdana" w:cs="Arial"/>
          <w:lang w:eastAsia="es-MX"/>
        </w:rPr>
        <w:t xml:space="preserve"> –artículo </w:t>
      </w:r>
      <w:r w:rsidRPr="00B53481">
        <w:rPr>
          <w:rFonts w:ascii="Verdana" w:eastAsia="Times New Roman" w:hAnsi="Verdana" w:cs="Arial"/>
          <w:lang w:eastAsia="es-MX"/>
        </w:rPr>
        <w:t>1.2.2.1.1</w:t>
      </w:r>
      <w:r>
        <w:rPr>
          <w:rFonts w:ascii="Verdana" w:eastAsia="Times New Roman" w:hAnsi="Verdana" w:cs="Arial"/>
          <w:lang w:eastAsia="es-MX"/>
        </w:rPr>
        <w:t xml:space="preserve">–; el </w:t>
      </w:r>
      <w:r w:rsidRPr="00B53481">
        <w:rPr>
          <w:rFonts w:ascii="Verdana" w:eastAsia="Times New Roman" w:hAnsi="Verdana" w:cs="Arial"/>
          <w:lang w:eastAsia="es-MX"/>
        </w:rPr>
        <w:t>Servicio Aéreo a Territorios Nacionales S.A</w:t>
      </w:r>
      <w:r>
        <w:rPr>
          <w:rFonts w:ascii="Verdana" w:eastAsia="Times New Roman" w:hAnsi="Verdana" w:cs="Arial"/>
          <w:lang w:eastAsia="es-MX"/>
        </w:rPr>
        <w:t xml:space="preserve">, la </w:t>
      </w:r>
      <w:r w:rsidRPr="00B53481">
        <w:rPr>
          <w:rFonts w:ascii="Verdana" w:eastAsia="Times New Roman" w:hAnsi="Verdana" w:cs="Arial"/>
          <w:lang w:eastAsia="es-MX"/>
        </w:rPr>
        <w:t>Corporación de la Industria Aeronáutica Colombiana S.A</w:t>
      </w:r>
      <w:r>
        <w:rPr>
          <w:rFonts w:ascii="Verdana" w:eastAsia="Times New Roman" w:hAnsi="Verdana" w:cs="Arial"/>
          <w:lang w:eastAsia="es-MX"/>
        </w:rPr>
        <w:t xml:space="preserve"> y la </w:t>
      </w:r>
      <w:r w:rsidRPr="00B53481">
        <w:rPr>
          <w:rFonts w:ascii="Verdana" w:eastAsia="Times New Roman" w:hAnsi="Verdana" w:cs="Arial"/>
          <w:lang w:eastAsia="es-MX"/>
        </w:rPr>
        <w:t>Sociedad Hotelera S.A</w:t>
      </w:r>
      <w:r>
        <w:rPr>
          <w:rFonts w:ascii="Verdana" w:eastAsia="Times New Roman" w:hAnsi="Verdana" w:cs="Arial"/>
          <w:lang w:eastAsia="es-MX"/>
        </w:rPr>
        <w:t xml:space="preserve"> –artículo </w:t>
      </w:r>
      <w:r w:rsidRPr="00B53481">
        <w:rPr>
          <w:rFonts w:ascii="Verdana" w:eastAsia="Times New Roman" w:hAnsi="Verdana" w:cs="Arial"/>
          <w:lang w:eastAsia="es-MX"/>
        </w:rPr>
        <w:t>1.2.2.2.1</w:t>
      </w:r>
      <w:r>
        <w:rPr>
          <w:rFonts w:ascii="Verdana" w:eastAsia="Times New Roman" w:hAnsi="Verdana" w:cs="Arial"/>
          <w:lang w:eastAsia="es-MX"/>
        </w:rPr>
        <w:t xml:space="preserve">–; así como la </w:t>
      </w:r>
      <w:r w:rsidRPr="001F0185">
        <w:rPr>
          <w:rFonts w:ascii="Verdana" w:eastAsia="Times New Roman" w:hAnsi="Verdana" w:cs="Arial"/>
          <w:lang w:eastAsia="es-MX"/>
        </w:rPr>
        <w:t>Corporación de Ciencia y Tecnología para el Desarrollo de la Industria Naval, Marítima y Fluvial</w:t>
      </w:r>
      <w:r>
        <w:rPr>
          <w:rFonts w:ascii="Verdana" w:eastAsia="Times New Roman" w:hAnsi="Verdana" w:cs="Arial"/>
          <w:lang w:eastAsia="es-MX"/>
        </w:rPr>
        <w:t xml:space="preserve"> y la </w:t>
      </w:r>
      <w:r w:rsidRPr="001F0185">
        <w:rPr>
          <w:rFonts w:ascii="Verdana" w:eastAsia="Times New Roman" w:hAnsi="Verdana" w:cs="Arial"/>
          <w:lang w:eastAsia="es-MX"/>
        </w:rPr>
        <w:t>Corporación de Alta Tecnología para la Defensa</w:t>
      </w:r>
      <w:r>
        <w:rPr>
          <w:rFonts w:ascii="Verdana" w:eastAsia="Times New Roman" w:hAnsi="Verdana" w:cs="Arial"/>
          <w:lang w:eastAsia="es-MX"/>
        </w:rPr>
        <w:t xml:space="preserve"> –artículo </w:t>
      </w:r>
      <w:r w:rsidRPr="001F0185">
        <w:rPr>
          <w:rFonts w:ascii="Verdana" w:eastAsia="Times New Roman" w:hAnsi="Verdana" w:cs="Arial"/>
          <w:lang w:eastAsia="es-MX"/>
        </w:rPr>
        <w:t>1.2.3.1</w:t>
      </w:r>
      <w:r>
        <w:rPr>
          <w:rFonts w:ascii="Verdana" w:eastAsia="Times New Roman" w:hAnsi="Verdana" w:cs="Arial"/>
          <w:lang w:eastAsia="es-MX"/>
        </w:rPr>
        <w:t>–.</w:t>
      </w:r>
    </w:p>
    <w:p w14:paraId="6F23CCAB" w14:textId="77777777" w:rsidR="00DD1C92" w:rsidRDefault="00DD1C92" w:rsidP="00DD1C92">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Sin perjuicio de lo regulado en el artículo 14 de la ley 1150 de 2007 sobre régimen d</w:t>
      </w:r>
      <w:r w:rsidRPr="001F0185">
        <w:rPr>
          <w:rFonts w:ascii="Verdana" w:eastAsia="Times New Roman" w:hAnsi="Verdana" w:cs="Arial"/>
          <w:lang w:eastAsia="es-MX"/>
        </w:rPr>
        <w:t>el régimen contractual de las empresas industriales y comerciales del estado, las sociedades de economía mixta, sus filiales y empresas con participación mayoritaria del Estado</w:t>
      </w:r>
      <w:r>
        <w:rPr>
          <w:rFonts w:ascii="Verdana" w:eastAsia="Times New Roman" w:hAnsi="Verdana" w:cs="Arial"/>
          <w:lang w:eastAsia="es-MX"/>
        </w:rPr>
        <w:t xml:space="preserve">, el artículo 16 </w:t>
      </w:r>
      <w:r w:rsidRPr="001F0185">
        <w:rPr>
          <w:rFonts w:ascii="Verdana" w:eastAsia="Times New Roman" w:hAnsi="Verdana" w:cs="Arial"/>
          <w:i/>
          <w:iCs/>
          <w:lang w:eastAsia="es-MX"/>
        </w:rPr>
        <w:t>ibidem</w:t>
      </w:r>
      <w:r>
        <w:rPr>
          <w:rFonts w:ascii="Verdana" w:eastAsia="Times New Roman" w:hAnsi="Verdana" w:cs="Arial"/>
          <w:lang w:eastAsia="es-MX"/>
        </w:rPr>
        <w:t xml:space="preserve"> indica lo siguiente: “</w:t>
      </w:r>
      <w:r w:rsidRPr="001F0185">
        <w:rPr>
          <w:rFonts w:ascii="Verdana" w:eastAsia="Times New Roman" w:hAnsi="Verdana" w:cs="Arial"/>
          <w:lang w:eastAsia="es-MX"/>
        </w:rPr>
        <w:t xml:space="preserve">Los contratos que celebren Satena, Indumil, El Hotel Tequendama, la Corporación de Ciencia y Tecnología para el desarrollo de la industria naval, </w:t>
      </w:r>
      <w:r w:rsidRPr="001F0185">
        <w:rPr>
          <w:rFonts w:ascii="Verdana" w:eastAsia="Times New Roman" w:hAnsi="Verdana" w:cs="Arial"/>
          <w:lang w:eastAsia="es-MX"/>
        </w:rPr>
        <w:lastRenderedPageBreak/>
        <w:t>marítima y fluvial –Cotecmar– y la Corporación de la Industria Aeronáutica Colombiana –CIAC–, no estarán sujetos a las disposiciones del Estatuto General de Contratación de la Administración Pública y se regirán por las disposiciones legales y reglamentarias aplicables a su actividad</w:t>
      </w:r>
      <w:r>
        <w:rPr>
          <w:rFonts w:ascii="Verdana" w:eastAsia="Times New Roman" w:hAnsi="Verdana" w:cs="Arial"/>
          <w:lang w:eastAsia="es-MX"/>
        </w:rPr>
        <w:t>”</w:t>
      </w:r>
      <w:r w:rsidRPr="001F0185">
        <w:rPr>
          <w:rFonts w:ascii="Verdana" w:eastAsia="Times New Roman" w:hAnsi="Verdana" w:cs="Arial"/>
          <w:lang w:eastAsia="es-MX"/>
        </w:rPr>
        <w:t>.</w:t>
      </w:r>
      <w:r>
        <w:rPr>
          <w:rFonts w:ascii="Verdana" w:eastAsia="Times New Roman" w:hAnsi="Verdana" w:cs="Arial"/>
          <w:lang w:eastAsia="es-MX"/>
        </w:rPr>
        <w:t xml:space="preserve"> Luego, la causal de contratación directa del literal d) del artículo 2.4 de la Ley 1150 de 2007 se circunscribe principalmente a las entidades del sector defensa regidas por la Ley 80 de 1993. </w:t>
      </w:r>
    </w:p>
    <w:p w14:paraId="4B6FABEA" w14:textId="77777777" w:rsidR="00DD1C92" w:rsidRPr="00AD6B46" w:rsidRDefault="00DD1C92" w:rsidP="00DD1C92">
      <w:pPr>
        <w:spacing w:after="0" w:line="276" w:lineRule="auto"/>
        <w:ind w:firstLine="708"/>
        <w:jc w:val="both"/>
        <w:rPr>
          <w:rFonts w:ascii="Verdana" w:eastAsia="Calibri" w:hAnsi="Verdana" w:cs="Arial"/>
          <w:color w:val="000000"/>
        </w:rPr>
      </w:pPr>
      <w:r w:rsidRPr="0023720F">
        <w:rPr>
          <w:rFonts w:ascii="Verdana" w:eastAsia="Times New Roman" w:hAnsi="Verdana" w:cs="Arial"/>
          <w:i/>
          <w:iCs/>
          <w:lang w:eastAsia="es-MX"/>
        </w:rPr>
        <w:t>En lo que respecta al criterio material</w:t>
      </w:r>
      <w:r>
        <w:rPr>
          <w:rFonts w:ascii="Verdana" w:eastAsia="Times New Roman" w:hAnsi="Verdana" w:cs="Arial"/>
          <w:lang w:eastAsia="es-MX"/>
        </w:rPr>
        <w:t xml:space="preserve">, no es suficiente que una entidad de sector defensa sometida al EGCAP o que la </w:t>
      </w:r>
      <w:r w:rsidRPr="008C7450">
        <w:rPr>
          <w:rFonts w:ascii="Verdana" w:eastAsia="Times New Roman" w:hAnsi="Verdana" w:cs="Arial"/>
          <w:lang w:eastAsia="es-MX"/>
        </w:rPr>
        <w:t>Dirección Nacional de Inteligencia</w:t>
      </w:r>
      <w:r>
        <w:rPr>
          <w:rFonts w:ascii="Verdana" w:eastAsia="Times New Roman" w:hAnsi="Verdana" w:cs="Arial"/>
          <w:lang w:eastAsia="es-MX"/>
        </w:rPr>
        <w:t xml:space="preserve"> adquieran bienes o servicios, pues éstos deben requerir reserva en su adquisición. </w:t>
      </w:r>
      <w:r w:rsidRPr="00AD6B46">
        <w:rPr>
          <w:rFonts w:ascii="Verdana" w:eastAsia="Calibri" w:hAnsi="Verdana" w:cs="Arial"/>
          <w:color w:val="000000"/>
        </w:rPr>
        <w:t xml:space="preserve">Al respecto, la Ley Estatutaria 1712 de 2014 define en el artículo 5° dos tipos de información que tendrá el carácter reservado, como es la información pública clasificada y la información pública reservada: </w:t>
      </w:r>
    </w:p>
    <w:p w14:paraId="16230A26" w14:textId="77777777" w:rsidR="00DD1C92" w:rsidRPr="004D1947" w:rsidRDefault="00DD1C92" w:rsidP="00DD1C92">
      <w:pPr>
        <w:spacing w:after="0" w:line="276" w:lineRule="auto"/>
        <w:ind w:right="709"/>
        <w:jc w:val="both"/>
        <w:rPr>
          <w:rFonts w:ascii="Verdana" w:eastAsia="Calibri" w:hAnsi="Verdana" w:cs="Arial"/>
          <w:color w:val="000000"/>
        </w:rPr>
      </w:pPr>
    </w:p>
    <w:p w14:paraId="59491AFC" w14:textId="77777777" w:rsidR="00DD1C92" w:rsidRPr="004D1947" w:rsidRDefault="00DD1C92" w:rsidP="00DD1C92">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 xml:space="preserve">“Artículo 6°. </w:t>
      </w:r>
      <w:r w:rsidRPr="004D1947">
        <w:rPr>
          <w:rFonts w:ascii="Verdana" w:eastAsia="Calibri" w:hAnsi="Verdana" w:cs="Arial"/>
          <w:i/>
          <w:iCs/>
          <w:color w:val="000000"/>
          <w:sz w:val="20"/>
          <w:szCs w:val="20"/>
        </w:rPr>
        <w:t>Definiciones</w:t>
      </w:r>
      <w:r w:rsidRPr="004D1947">
        <w:rPr>
          <w:rFonts w:ascii="Verdana" w:eastAsia="Calibri" w:hAnsi="Verdana" w:cs="Arial"/>
          <w:color w:val="000000"/>
          <w:sz w:val="20"/>
          <w:szCs w:val="20"/>
        </w:rPr>
        <w:t xml:space="preserve">. </w:t>
      </w:r>
    </w:p>
    <w:p w14:paraId="649D24D0" w14:textId="77777777" w:rsidR="00DD1C92" w:rsidRPr="004D1947" w:rsidRDefault="00DD1C92" w:rsidP="00DD1C92">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bCs/>
          <w:color w:val="000000"/>
          <w:sz w:val="20"/>
          <w:szCs w:val="20"/>
        </w:rPr>
        <w:t>[</w:t>
      </w:r>
      <w:r w:rsidRPr="004D1947">
        <w:rPr>
          <w:rFonts w:ascii="Verdana" w:eastAsia="Calibri" w:hAnsi="Verdana" w:cs="Arial"/>
          <w:color w:val="000000"/>
          <w:sz w:val="20"/>
          <w:szCs w:val="20"/>
        </w:rPr>
        <w:t>…]</w:t>
      </w:r>
    </w:p>
    <w:p w14:paraId="7B9A35A5" w14:textId="77777777" w:rsidR="00DD1C92" w:rsidRPr="004D1947" w:rsidRDefault="00DD1C92" w:rsidP="00DD1C92">
      <w:pPr>
        <w:spacing w:after="12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c) </w:t>
      </w:r>
      <w:r w:rsidRPr="004D1947">
        <w:rPr>
          <w:rFonts w:ascii="Verdana" w:eastAsia="Calibri" w:hAnsi="Verdana" w:cs="Arial"/>
          <w:bCs/>
          <w:color w:val="000000"/>
          <w:sz w:val="20"/>
          <w:szCs w:val="20"/>
        </w:rPr>
        <w:t>Información pública clasificada. </w:t>
      </w:r>
      <w:r w:rsidRPr="004D1947">
        <w:rPr>
          <w:rFonts w:ascii="Verdana" w:eastAsia="Calibri" w:hAnsi="Verdana" w:cs="Arial"/>
          <w:color w:val="000000"/>
          <w:sz w:val="20"/>
          <w:szCs w:val="20"/>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 </w:t>
      </w:r>
    </w:p>
    <w:p w14:paraId="66090555" w14:textId="77777777" w:rsidR="00DD1C92" w:rsidRPr="004D1947" w:rsidRDefault="00DD1C92" w:rsidP="00DD1C92">
      <w:pPr>
        <w:spacing w:after="0" w:line="240" w:lineRule="auto"/>
        <w:ind w:left="709" w:right="709"/>
        <w:jc w:val="both"/>
        <w:rPr>
          <w:rFonts w:ascii="Verdana" w:eastAsia="Calibri" w:hAnsi="Verdana" w:cs="Arial"/>
          <w:color w:val="000000"/>
          <w:sz w:val="20"/>
          <w:szCs w:val="20"/>
        </w:rPr>
      </w:pPr>
      <w:r w:rsidRPr="004D1947">
        <w:rPr>
          <w:rFonts w:ascii="Verdana" w:eastAsia="Calibri" w:hAnsi="Verdana" w:cs="Arial"/>
          <w:color w:val="000000"/>
          <w:sz w:val="20"/>
          <w:szCs w:val="20"/>
        </w:rPr>
        <w:t>d) </w:t>
      </w:r>
      <w:r w:rsidRPr="004D1947">
        <w:rPr>
          <w:rFonts w:ascii="Verdana" w:eastAsia="Calibri" w:hAnsi="Verdana" w:cs="Arial"/>
          <w:bCs/>
          <w:color w:val="000000"/>
          <w:sz w:val="20"/>
          <w:szCs w:val="20"/>
        </w:rPr>
        <w:t>Información pública reservada. </w:t>
      </w:r>
      <w:r w:rsidRPr="004D1947">
        <w:rPr>
          <w:rFonts w:ascii="Verdana" w:eastAsia="Calibri" w:hAnsi="Verdana" w:cs="Arial"/>
          <w:color w:val="000000"/>
          <w:sz w:val="20"/>
          <w:szCs w:val="20"/>
        </w:rPr>
        <w:t>Es aquella información que estando en poder o custodia de un sujeto obligado en su calidad de tal, es exceptuada de acceso a la ciudadanía por daño a intereses públicos y bajo cumplimiento de la totalidad de los requisitos consagrados en el artículo 19 de esta ley”. </w:t>
      </w:r>
    </w:p>
    <w:p w14:paraId="031E7A9B" w14:textId="77777777" w:rsidR="00DD1C92" w:rsidRPr="00AD6B46" w:rsidRDefault="00DD1C92" w:rsidP="00DD1C92">
      <w:pPr>
        <w:spacing w:after="0" w:line="276" w:lineRule="auto"/>
        <w:jc w:val="both"/>
        <w:rPr>
          <w:rFonts w:ascii="Verdana" w:eastAsia="Calibri" w:hAnsi="Verdana" w:cs="Arial"/>
          <w:color w:val="000000"/>
        </w:rPr>
      </w:pPr>
    </w:p>
    <w:p w14:paraId="43522EED" w14:textId="77777777" w:rsidR="00DD1C92" w:rsidRPr="00AD6B46" w:rsidRDefault="00DD1C92" w:rsidP="00DD1C92">
      <w:pPr>
        <w:spacing w:after="120" w:line="276" w:lineRule="auto"/>
        <w:ind w:firstLine="708"/>
        <w:jc w:val="both"/>
        <w:rPr>
          <w:rFonts w:ascii="Verdana" w:eastAsia="Calibri" w:hAnsi="Verdana" w:cs="Arial"/>
          <w:color w:val="000000"/>
        </w:rPr>
      </w:pPr>
      <w:r w:rsidRPr="00AD6B46">
        <w:rPr>
          <w:rFonts w:ascii="Verdana" w:eastAsia="Calibri" w:hAnsi="Verdana" w:cs="Arial"/>
          <w:color w:val="000000"/>
        </w:rPr>
        <w:lastRenderedPageBreak/>
        <w:t>Estos dos tipos de información están contenidos en los artículos 18</w:t>
      </w:r>
      <w:r w:rsidRPr="00AD6B46">
        <w:rPr>
          <w:rFonts w:ascii="Verdana" w:eastAsia="Calibri" w:hAnsi="Verdana" w:cs="Arial"/>
          <w:color w:val="000000"/>
          <w:vertAlign w:val="superscript"/>
        </w:rPr>
        <w:footnoteReference w:id="12"/>
      </w:r>
      <w:r w:rsidRPr="00AD6B46">
        <w:rPr>
          <w:rFonts w:ascii="Verdana" w:eastAsia="Calibri" w:hAnsi="Verdana" w:cs="Arial"/>
          <w:color w:val="000000"/>
        </w:rPr>
        <w:t xml:space="preserve"> y 19 de la Ley 1712 de 2014</w:t>
      </w:r>
      <w:r w:rsidRPr="00AD6B46">
        <w:rPr>
          <w:rFonts w:ascii="Verdana" w:eastAsia="Calibri" w:hAnsi="Verdana" w:cs="Arial"/>
          <w:color w:val="000000"/>
          <w:vertAlign w:val="superscript"/>
        </w:rPr>
        <w:footnoteReference w:id="13"/>
      </w:r>
      <w:r w:rsidRPr="00AD6B46">
        <w:rPr>
          <w:rFonts w:ascii="Verdana" w:eastAsia="Calibri" w:hAnsi="Verdana" w:cs="Arial"/>
          <w:color w:val="000000"/>
        </w:rPr>
        <w:t xml:space="preserve">. Lo anterior significa que, respecto de datos que 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42DF10CB" w14:textId="77777777" w:rsidR="00DD1C92" w:rsidRDefault="00DD1C92" w:rsidP="00DD1C92">
      <w:pPr>
        <w:spacing w:after="120" w:line="276" w:lineRule="auto"/>
        <w:ind w:firstLine="709"/>
        <w:jc w:val="both"/>
        <w:rPr>
          <w:rFonts w:ascii="Verdana" w:eastAsia="Times New Roman" w:hAnsi="Verdana" w:cs="Arial"/>
          <w:lang w:eastAsia="es-MX"/>
        </w:rPr>
      </w:pPr>
      <w:r w:rsidRPr="00AD6B46">
        <w:rPr>
          <w:rFonts w:ascii="Verdana" w:eastAsia="Calibri" w:hAnsi="Verdana" w:cs="Arial"/>
          <w:color w:val="000000"/>
        </w:rPr>
        <w:t>En esta misma línea, el artículo 24 de la Ley 1437 de 2011 sustituido por el artículo 2 de la Ley 1755 de 2015 establece algunas materias que son sujetas de reserva de información</w:t>
      </w:r>
      <w:r w:rsidRPr="00AD6B46">
        <w:rPr>
          <w:rFonts w:ascii="Verdana" w:eastAsia="Calibri" w:hAnsi="Verdana" w:cs="Arial"/>
          <w:color w:val="000000"/>
          <w:vertAlign w:val="superscript"/>
        </w:rPr>
        <w:footnoteReference w:id="14"/>
      </w:r>
      <w:r w:rsidRPr="00AD6B46">
        <w:rPr>
          <w:rFonts w:ascii="Verdana" w:eastAsia="Calibri" w:hAnsi="Verdana" w:cs="Arial"/>
          <w:color w:val="000000"/>
        </w:rPr>
        <w:t xml:space="preserve">. De tal forma, que las reservas de información no </w:t>
      </w:r>
      <w:r w:rsidRPr="00AD6B46">
        <w:rPr>
          <w:rFonts w:ascii="Verdana" w:eastAsia="Calibri" w:hAnsi="Verdana" w:cs="Arial"/>
          <w:color w:val="000000"/>
        </w:rPr>
        <w:lastRenderedPageBreak/>
        <w:t xml:space="preserve">están solo reguladas en la Ley 1712 de 2014 y en el artículo 24 de la Ley 1437 de 2011 sustituido por el artículo 2 de la Ley 1755 de 2015, pues existen otras normatividades, como la Ley 1581 de 2012, Ley 1621 de 2013, entre otras, que establecen reservas a la información pública.  </w:t>
      </w:r>
      <w:r>
        <w:rPr>
          <w:rFonts w:ascii="Verdana" w:eastAsia="Times New Roman" w:hAnsi="Verdana" w:cs="Arial"/>
          <w:lang w:eastAsia="es-MX"/>
        </w:rPr>
        <w:t xml:space="preserve"> </w:t>
      </w:r>
    </w:p>
    <w:p w14:paraId="02940C4C" w14:textId="77777777" w:rsidR="00DD1C92" w:rsidRDefault="00DD1C92" w:rsidP="00DD1C92">
      <w:pPr>
        <w:spacing w:after="0" w:line="276" w:lineRule="auto"/>
        <w:ind w:firstLine="709"/>
        <w:jc w:val="both"/>
        <w:rPr>
          <w:rFonts w:ascii="Verdana" w:hAnsi="Verdana" w:cs="Arial"/>
          <w:color w:val="000000" w:themeColor="text1"/>
          <w:lang w:val="es-ES_tradnl"/>
        </w:rPr>
      </w:pPr>
      <w:r>
        <w:rPr>
          <w:rFonts w:ascii="Verdana" w:eastAsia="Times New Roman" w:hAnsi="Verdana" w:cs="Arial"/>
          <w:lang w:eastAsia="es-MX"/>
        </w:rPr>
        <w:t xml:space="preserve">En este contexto, es la necesidad de la reserva de los documentos del proceso la que habilita la causal de contratación directa para las entidades de sector defensa sometida al EGCAP y de la </w:t>
      </w:r>
      <w:r w:rsidRPr="008C7450">
        <w:rPr>
          <w:rFonts w:ascii="Verdana" w:eastAsia="Times New Roman" w:hAnsi="Verdana" w:cs="Arial"/>
          <w:lang w:eastAsia="es-MX"/>
        </w:rPr>
        <w:t>Dirección Nacional de Inteligencia</w:t>
      </w:r>
      <w:r>
        <w:rPr>
          <w:rFonts w:ascii="Verdana" w:eastAsia="Times New Roman" w:hAnsi="Verdana" w:cs="Arial"/>
          <w:lang w:eastAsia="es-MX"/>
        </w:rPr>
        <w:t xml:space="preserve">. Dicha reserva por lo general se refiere a temas de defensa y seguridad nacional. </w:t>
      </w:r>
      <w:r w:rsidRPr="003E5E57">
        <w:rPr>
          <w:rFonts w:ascii="Verdana" w:eastAsia="Calibri" w:hAnsi="Verdana" w:cs="Arial"/>
          <w:color w:val="000000"/>
          <w:lang w:val="es-ES"/>
        </w:rPr>
        <w:t>Este concepto no tiene una definición legal en el Estatuto General de Contratación de la Administración Pública.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3E5E57">
        <w:rPr>
          <w:rFonts w:ascii="Verdana" w:eastAsia="Calibri" w:hAnsi="Verdana" w:cs="Arial"/>
          <w:color w:val="000000"/>
          <w:vertAlign w:val="superscript"/>
          <w:lang w:val="es-ES"/>
        </w:rPr>
        <w:footnoteReference w:id="15"/>
      </w:r>
      <w:r w:rsidRPr="003E5E57">
        <w:rPr>
          <w:rFonts w:ascii="Verdana" w:eastAsia="Calibri" w:hAnsi="Verdana" w:cs="Arial"/>
          <w:color w:val="000000"/>
          <w:lang w:val="es-ES"/>
        </w:rPr>
        <w:t>.</w:t>
      </w:r>
      <w:r>
        <w:rPr>
          <w:rFonts w:ascii="Verdana" w:eastAsia="Calibri" w:hAnsi="Verdana" w:cs="Arial"/>
          <w:color w:val="000000"/>
          <w:lang w:val="es-ES"/>
        </w:rPr>
        <w:t xml:space="preserve"> </w:t>
      </w:r>
      <w:r w:rsidRPr="003E5E57">
        <w:rPr>
          <w:rFonts w:ascii="Verdana" w:hAnsi="Verdana" w:cs="Arial"/>
          <w:color w:val="000000" w:themeColor="text1"/>
          <w:lang w:val="es-ES_tradnl"/>
        </w:rPr>
        <w:t xml:space="preserve">Al </w:t>
      </w:r>
      <w:r w:rsidRPr="003E5E57">
        <w:rPr>
          <w:rFonts w:ascii="Verdana" w:eastAsia="Calibri" w:hAnsi="Verdana" w:cs="Arial"/>
          <w:color w:val="000000"/>
          <w:lang w:val="es-ES"/>
        </w:rPr>
        <w:t xml:space="preserve">respecto, </w:t>
      </w:r>
      <w:r w:rsidRPr="003E5E57">
        <w:rPr>
          <w:rFonts w:ascii="Verdana" w:hAnsi="Verdana" w:cs="Arial"/>
          <w:color w:val="000000" w:themeColor="text1"/>
          <w:lang w:val="es-ES_tradnl"/>
        </w:rPr>
        <w:t xml:space="preserve">en </w:t>
      </w:r>
      <w:r>
        <w:rPr>
          <w:rFonts w:ascii="Verdana" w:hAnsi="Verdana" w:cs="Arial"/>
          <w:color w:val="000000" w:themeColor="text1"/>
          <w:lang w:val="es-ES_tradnl"/>
        </w:rPr>
        <w:t>S</w:t>
      </w:r>
      <w:r w:rsidRPr="003E5E57">
        <w:rPr>
          <w:rFonts w:ascii="Verdana" w:hAnsi="Verdana" w:cs="Arial"/>
          <w:color w:val="000000" w:themeColor="text1"/>
          <w:lang w:val="es-ES_tradnl"/>
        </w:rPr>
        <w:t>entencia del 26 de julio de 2011, la Sección Tercera sostuvo:</w:t>
      </w:r>
    </w:p>
    <w:p w14:paraId="04A87D34" w14:textId="77777777" w:rsidR="00DD1C92" w:rsidRPr="00F00B09" w:rsidRDefault="00DD1C92" w:rsidP="00DD1C92">
      <w:pPr>
        <w:spacing w:after="0" w:line="276" w:lineRule="auto"/>
        <w:ind w:firstLine="709"/>
        <w:jc w:val="both"/>
        <w:rPr>
          <w:rFonts w:ascii="Verdana" w:eastAsia="Calibri" w:hAnsi="Verdana" w:cs="Arial"/>
          <w:color w:val="000000"/>
          <w:lang w:val="es-ES"/>
        </w:rPr>
      </w:pPr>
    </w:p>
    <w:p w14:paraId="4ED7F335" w14:textId="77777777" w:rsidR="00DD1C92" w:rsidRPr="003E5E57" w:rsidRDefault="00DD1C92" w:rsidP="00DD1C92">
      <w:pPr>
        <w:spacing w:after="0" w:line="240" w:lineRule="auto"/>
        <w:ind w:left="709" w:right="709"/>
        <w:jc w:val="both"/>
        <w:rPr>
          <w:rFonts w:ascii="Verdana" w:hAnsi="Verdana" w:cs="Arial"/>
          <w:bCs/>
          <w:sz w:val="20"/>
          <w:szCs w:val="20"/>
        </w:rPr>
      </w:pPr>
      <w:r w:rsidRPr="003E5E57">
        <w:rPr>
          <w:rFonts w:ascii="Verdana" w:hAnsi="Verdana" w:cs="Arial"/>
          <w:bCs/>
          <w:sz w:val="20"/>
          <w:szCs w:val="20"/>
        </w:rPr>
        <w:t xml:space="preserve">“[…] en vigencia de la ley 80 original –que rigió el proceso de selección </w:t>
      </w:r>
      <w:r w:rsidRPr="003E5E57">
        <w:rPr>
          <w:rFonts w:ascii="Verdana" w:hAnsi="Verdana" w:cs="Arial"/>
          <w:bCs/>
          <w:i/>
          <w:sz w:val="20"/>
          <w:szCs w:val="20"/>
        </w:rPr>
        <w:t>sub iudice</w:t>
      </w:r>
      <w:r w:rsidRPr="003E5E57">
        <w:rPr>
          <w:rFonts w:ascii="Verdana" w:hAnsi="Verdana" w:cs="Arial"/>
          <w:bCs/>
          <w:sz w:val="20"/>
          <w:szCs w:val="20"/>
        </w:rPr>
        <w:t xml:space="preserve">- la noción de bienes para la defensa y seguridad nacional fue un concepto jurídico indeterminado, </w:t>
      </w:r>
      <w:r w:rsidRPr="003E5E57">
        <w:rPr>
          <w:rFonts w:ascii="Verdana" w:hAnsi="Verdana" w:cs="Arial"/>
          <w:bCs/>
          <w:i/>
          <w:iCs/>
          <w:sz w:val="20"/>
          <w:szCs w:val="20"/>
        </w:rPr>
        <w:t>cuyo alcance, como acontece normalmente con estas nociones vagas y amplias, suele quedar en manos del operador jurídico del caso, que tiene el deber de precisar su contenido para aplicarlo al asunto concreto</w:t>
      </w:r>
      <w:r w:rsidRPr="003E5E57">
        <w:rPr>
          <w:rFonts w:ascii="Verdana" w:hAnsi="Verdana" w:cs="Arial"/>
          <w:bCs/>
          <w:sz w:val="20"/>
          <w:szCs w:val="20"/>
        </w:rPr>
        <w:t>. Claro está que luego procede el control judicial sobre los actos que definen el tema, y será el juez quien determinará la corrección o incorrección que la administración hace de su alcance</w:t>
      </w:r>
      <w:r w:rsidRPr="003E5E57">
        <w:rPr>
          <w:rFonts w:ascii="Verdana" w:hAnsi="Verdana"/>
          <w:sz w:val="20"/>
          <w:szCs w:val="20"/>
          <w:vertAlign w:val="superscript"/>
        </w:rPr>
        <w:footnoteReference w:id="16"/>
      </w:r>
      <w:r w:rsidRPr="003E5E57">
        <w:rPr>
          <w:rFonts w:ascii="Verdana" w:hAnsi="Verdana" w:cs="Arial"/>
          <w:bCs/>
          <w:sz w:val="20"/>
          <w:szCs w:val="20"/>
        </w:rPr>
        <w:t xml:space="preserve">”. </w:t>
      </w:r>
      <w:r>
        <w:rPr>
          <w:rFonts w:ascii="Verdana" w:hAnsi="Verdana" w:cs="Arial"/>
          <w:bCs/>
          <w:sz w:val="20"/>
          <w:szCs w:val="20"/>
        </w:rPr>
        <w:t>(</w:t>
      </w:r>
      <w:r w:rsidRPr="003E5E57">
        <w:rPr>
          <w:rFonts w:ascii="Verdana" w:hAnsi="Verdana" w:cs="Arial"/>
          <w:bCs/>
          <w:sz w:val="20"/>
          <w:szCs w:val="20"/>
        </w:rPr>
        <w:t>Énfasis por fuera de texto</w:t>
      </w:r>
      <w:r>
        <w:rPr>
          <w:rFonts w:ascii="Verdana" w:hAnsi="Verdana" w:cs="Arial"/>
          <w:bCs/>
          <w:sz w:val="20"/>
          <w:szCs w:val="20"/>
        </w:rPr>
        <w:t>)</w:t>
      </w:r>
    </w:p>
    <w:p w14:paraId="4D9A1562" w14:textId="77777777" w:rsidR="00DD1C92" w:rsidRPr="003E5E57" w:rsidRDefault="00DD1C92" w:rsidP="00DD1C92">
      <w:pPr>
        <w:spacing w:after="0" w:line="240" w:lineRule="auto"/>
        <w:ind w:left="709" w:right="709"/>
        <w:jc w:val="both"/>
        <w:rPr>
          <w:rFonts w:ascii="Verdana" w:hAnsi="Verdana" w:cs="Arial"/>
          <w:bCs/>
          <w:sz w:val="20"/>
          <w:szCs w:val="20"/>
        </w:rPr>
      </w:pPr>
    </w:p>
    <w:p w14:paraId="2B3340B2" w14:textId="77777777" w:rsidR="00DD1C92" w:rsidRDefault="00DD1C92" w:rsidP="00DD1C92">
      <w:pPr>
        <w:spacing w:after="0" w:line="276" w:lineRule="auto"/>
        <w:ind w:firstLine="709"/>
        <w:jc w:val="both"/>
        <w:rPr>
          <w:rFonts w:ascii="Verdana" w:hAnsi="Verdana" w:cs="Arial"/>
          <w:color w:val="000000" w:themeColor="text1"/>
          <w:lang w:val="es-ES_tradnl"/>
        </w:rPr>
      </w:pPr>
      <w:r w:rsidRPr="003E5E57">
        <w:rPr>
          <w:rFonts w:ascii="Verdana" w:eastAsia="Calibri" w:hAnsi="Verdana" w:cs="Arial"/>
          <w:color w:val="000000"/>
          <w:lang w:val="es-ES"/>
        </w:rPr>
        <w:lastRenderedPageBreak/>
        <w:t xml:space="preserve">Asimismo, </w:t>
      </w:r>
      <w:r w:rsidRPr="003E5E57">
        <w:rPr>
          <w:rFonts w:ascii="Verdana" w:hAnsi="Verdana" w:cs="Arial"/>
          <w:color w:val="000000" w:themeColor="text1"/>
          <w:lang w:val="es-ES_tradnl"/>
        </w:rPr>
        <w:t xml:space="preserve">en la </w:t>
      </w:r>
      <w:r>
        <w:rPr>
          <w:rFonts w:ascii="Verdana" w:hAnsi="Verdana" w:cs="Arial"/>
          <w:color w:val="000000" w:themeColor="text1"/>
          <w:lang w:val="es-ES_tradnl"/>
        </w:rPr>
        <w:t>S</w:t>
      </w:r>
      <w:r w:rsidRPr="003E5E57">
        <w:rPr>
          <w:rFonts w:ascii="Verdana" w:hAnsi="Verdana" w:cs="Arial"/>
          <w:color w:val="000000" w:themeColor="text1"/>
          <w:lang w:val="es-ES_tradnl"/>
        </w:rPr>
        <w:t>entencia del 23 de julio de 2015, la Sección Tercera indicó:</w:t>
      </w:r>
    </w:p>
    <w:p w14:paraId="6845BC50" w14:textId="77777777" w:rsidR="00DD1C92" w:rsidRPr="003E5E57" w:rsidRDefault="00DD1C92" w:rsidP="00DD1C92">
      <w:pPr>
        <w:spacing w:after="0" w:line="276" w:lineRule="auto"/>
        <w:ind w:firstLine="709"/>
        <w:jc w:val="both"/>
        <w:rPr>
          <w:rFonts w:ascii="Verdana" w:hAnsi="Verdana" w:cs="Arial"/>
          <w:color w:val="000000" w:themeColor="text1"/>
          <w:lang w:val="es-ES_tradnl"/>
        </w:rPr>
      </w:pPr>
    </w:p>
    <w:p w14:paraId="5656261F" w14:textId="77777777" w:rsidR="00DD1C92" w:rsidRPr="003E5E57" w:rsidRDefault="00DD1C92" w:rsidP="00DD1C92">
      <w:pPr>
        <w:spacing w:after="12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w:t>
      </w:r>
      <w:r w:rsidRPr="003E5E57">
        <w:rPr>
          <w:rFonts w:ascii="Verdana" w:hAnsi="Verdana" w:cs="Arial"/>
          <w:sz w:val="20"/>
          <w:szCs w:val="20"/>
          <w:lang w:val="es-ES" w:eastAsia="es-ES"/>
        </w:rPr>
        <w:t xml:space="preserve">La defensa y seguridad nacional son </w:t>
      </w:r>
      <w:r w:rsidRPr="003E5E57">
        <w:rPr>
          <w:rFonts w:ascii="Verdana" w:hAnsi="Verdana" w:cs="Arial"/>
          <w:i/>
          <w:sz w:val="20"/>
          <w:szCs w:val="20"/>
          <w:lang w:val="es-ES" w:eastAsia="es-ES"/>
        </w:rPr>
        <w:t>conceptos normativos indeterminados</w:t>
      </w:r>
      <w:r w:rsidRPr="003E5E57">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espacio-temporal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42016407" w14:textId="77777777" w:rsidR="00DD1C92" w:rsidRPr="003E5E57" w:rsidRDefault="00DD1C92" w:rsidP="00DD1C92">
      <w:pPr>
        <w:spacing w:after="0" w:line="240" w:lineRule="auto"/>
        <w:ind w:left="709" w:right="709"/>
        <w:jc w:val="both"/>
        <w:rPr>
          <w:rFonts w:ascii="Verdana" w:hAnsi="Verdana" w:cs="Arial"/>
          <w:sz w:val="20"/>
          <w:szCs w:val="20"/>
          <w:lang w:val="es-ES_tradnl" w:eastAsia="es-ES"/>
        </w:rPr>
      </w:pPr>
      <w:r w:rsidRPr="003E5E57">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3E5E57">
        <w:rPr>
          <w:rFonts w:ascii="Verdana" w:hAnsi="Verdana" w:cs="Arial"/>
          <w:i/>
          <w:sz w:val="20"/>
          <w:szCs w:val="20"/>
          <w:lang w:val="es-ES_tradnl" w:eastAsia="es-ES"/>
        </w:rPr>
        <w:t>el criterio conforme al cual la seguridad es apenas un conjunto de dispositivos para la guerra</w:t>
      </w:r>
      <w:r w:rsidRPr="003E5E57">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Pr>
          <w:rFonts w:ascii="Verdana" w:hAnsi="Verdana" w:cs="Arial"/>
          <w:sz w:val="20"/>
          <w:szCs w:val="20"/>
          <w:lang w:val="es-ES_tradnl" w:eastAsia="es-ES"/>
        </w:rPr>
        <w:t>”</w:t>
      </w:r>
      <w:r w:rsidRPr="003E5E57">
        <w:rPr>
          <w:rFonts w:ascii="Verdana" w:hAnsi="Verdana"/>
          <w:sz w:val="20"/>
          <w:szCs w:val="20"/>
          <w:vertAlign w:val="superscript"/>
        </w:rPr>
        <w:footnoteReference w:id="17"/>
      </w:r>
      <w:r w:rsidRPr="003E5E57">
        <w:rPr>
          <w:rFonts w:ascii="Verdana" w:hAnsi="Verdana" w:cs="Arial"/>
          <w:sz w:val="20"/>
          <w:szCs w:val="20"/>
          <w:lang w:val="es-ES_tradnl" w:eastAsia="es-ES"/>
        </w:rPr>
        <w:t>.</w:t>
      </w:r>
    </w:p>
    <w:p w14:paraId="4A67488B" w14:textId="77777777" w:rsidR="00DD1C92" w:rsidRPr="003E5E57" w:rsidRDefault="00DD1C92" w:rsidP="00DD1C92">
      <w:pPr>
        <w:spacing w:after="0" w:line="276" w:lineRule="auto"/>
        <w:ind w:firstLine="709"/>
        <w:jc w:val="both"/>
        <w:rPr>
          <w:rFonts w:ascii="Verdana" w:eastAsia="Calibri" w:hAnsi="Verdana" w:cs="Arial"/>
          <w:color w:val="000000"/>
          <w:lang w:val="es-ES"/>
        </w:rPr>
      </w:pPr>
    </w:p>
    <w:p w14:paraId="7756DAD4" w14:textId="77777777" w:rsidR="00DD1C92" w:rsidRPr="002A22D8" w:rsidRDefault="00DD1C92" w:rsidP="00DD1C92">
      <w:pPr>
        <w:spacing w:after="120" w:line="276" w:lineRule="auto"/>
        <w:ind w:firstLine="709"/>
        <w:jc w:val="both"/>
        <w:rPr>
          <w:rFonts w:ascii="Verdana" w:eastAsia="Times New Roman" w:hAnsi="Verdana" w:cs="Arial"/>
          <w:lang w:eastAsia="es-MX"/>
        </w:rPr>
      </w:pPr>
      <w:r w:rsidRPr="003E5E57">
        <w:rPr>
          <w:rFonts w:ascii="Verdana" w:eastAsia="Calibri" w:hAnsi="Verdana" w:cs="Arial"/>
          <w:color w:val="000000"/>
          <w:lang w:val="es-ES"/>
        </w:rPr>
        <w:t>Con base en lo anterior,</w:t>
      </w:r>
      <w:r>
        <w:rPr>
          <w:rFonts w:ascii="Verdana" w:eastAsia="Calibri" w:hAnsi="Verdana" w:cs="Arial"/>
          <w:color w:val="000000"/>
          <w:lang w:val="es-ES"/>
        </w:rPr>
        <w:t xml:space="preserve"> </w:t>
      </w:r>
      <w:r>
        <w:rPr>
          <w:rFonts w:ascii="Verdana" w:eastAsia="Times New Roman" w:hAnsi="Verdana" w:cs="Arial"/>
          <w:lang w:eastAsia="es-MX"/>
        </w:rPr>
        <w:t>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y </w:t>
      </w:r>
      <w:r>
        <w:rPr>
          <w:rFonts w:ascii="Verdana" w:eastAsia="Times New Roman" w:hAnsi="Verdana" w:cs="Arial"/>
          <w:lang w:eastAsia="es-MX"/>
        </w:rPr>
        <w:t>d</w:t>
      </w:r>
      <w:r w:rsidRPr="00DB1EA1">
        <w:rPr>
          <w:rFonts w:ascii="Verdana" w:eastAsia="Times New Roman" w:hAnsi="Verdana" w:cs="Arial"/>
          <w:lang w:eastAsia="es-MX"/>
        </w:rPr>
        <w:t>e la Dirección Nacional de Inteligencia (DNI)</w:t>
      </w:r>
      <w:r>
        <w:rPr>
          <w:rFonts w:ascii="Verdana" w:eastAsia="Times New Roman" w:hAnsi="Verdana" w:cs="Arial"/>
          <w:lang w:eastAsia="es-MX"/>
        </w:rPr>
        <w:t xml:space="preserve"> que no requieran reserva, están fuera de los literales d) y j) del artículo 2.4 de la Ley 1150 de 2007. Es lo que sucede, por ejemplo, con el suministro de papelería y los servicios de cafetería, pues son necesidades trasversales a todas las entidades públicas con independencia de su ubicación en la estructura del Estado. De lo contrario, 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 xml:space="preserve">si no coexisten los requisitos de carácter orgánico y material en las causales </w:t>
      </w:r>
      <w:r w:rsidRPr="002A22D8">
        <w:rPr>
          <w:rFonts w:ascii="Verdana" w:eastAsia="Times New Roman" w:hAnsi="Verdana" w:cs="Arial"/>
          <w:i/>
          <w:iCs/>
          <w:lang w:eastAsia="es-MX"/>
        </w:rPr>
        <w:t>sub examine</w:t>
      </w:r>
      <w:r w:rsidRPr="00DB1EA1">
        <w:rPr>
          <w:rFonts w:ascii="Verdana" w:eastAsia="Times New Roman" w:hAnsi="Verdana" w:cs="Arial"/>
          <w:lang w:eastAsia="es-MX"/>
        </w:rPr>
        <w:t xml:space="preserve">, deben privilegiarse los procedimientos de selección con pluralidad de oferentes, </w:t>
      </w:r>
      <w:r w:rsidRPr="00DB1EA1">
        <w:rPr>
          <w:rFonts w:ascii="Verdana" w:eastAsia="Times New Roman" w:hAnsi="Verdana" w:cs="Arial"/>
          <w:lang w:eastAsia="es-MX"/>
        </w:rPr>
        <w:lastRenderedPageBreak/>
        <w:t>especialmente, cuando la contratación directa es excepcional y, por tanto, las causales son de interpretación estricta.</w:t>
      </w:r>
      <w:r>
        <w:rPr>
          <w:rFonts w:ascii="Verdana" w:eastAsia="Times New Roman" w:hAnsi="Verdana" w:cs="Arial"/>
          <w:lang w:eastAsia="es-MX"/>
        </w:rPr>
        <w:t xml:space="preserve">  </w:t>
      </w:r>
      <w:r w:rsidRPr="00197520">
        <w:rPr>
          <w:rFonts w:ascii="Verdana" w:eastAsia="Times New Roman" w:hAnsi="Verdana" w:cs="Arial"/>
          <w:lang w:eastAsia="es-MX"/>
        </w:rPr>
        <w:t xml:space="preserve"> </w:t>
      </w:r>
    </w:p>
    <w:p w14:paraId="5A15EB27" w14:textId="77777777" w:rsidR="00DD1C92" w:rsidRPr="0073098F" w:rsidRDefault="00DD1C92" w:rsidP="00DD1C92">
      <w:pPr>
        <w:spacing w:before="120" w:after="0" w:line="276" w:lineRule="auto"/>
        <w:ind w:firstLine="709"/>
        <w:jc w:val="both"/>
        <w:rPr>
          <w:rFonts w:ascii="Verdana" w:hAnsi="Verdana" w:cs="Arial"/>
          <w:lang w:eastAsia="es-ES"/>
        </w:rPr>
      </w:pPr>
      <w:r w:rsidRPr="0073098F">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EB25D7" w14:textId="77777777" w:rsidR="00DD1C92" w:rsidRPr="00301910" w:rsidRDefault="00DD1C92" w:rsidP="00DD1C92">
      <w:pPr>
        <w:spacing w:before="120" w:after="0" w:line="276" w:lineRule="auto"/>
        <w:ind w:firstLine="709"/>
        <w:jc w:val="both"/>
        <w:rPr>
          <w:rFonts w:ascii="Verdana" w:hAnsi="Verdana" w:cs="Arial"/>
          <w:lang w:eastAsia="es-ES"/>
        </w:rPr>
      </w:pPr>
      <w:r w:rsidRPr="0073098F">
        <w:rPr>
          <w:rFonts w:ascii="Verdana" w:hAnsi="Verdana" w:cs="Arial"/>
          <w:lang w:eastAsia="es-ES"/>
        </w:rPr>
        <w:t>Dentro de este marco,</w:t>
      </w:r>
      <w:r>
        <w:rPr>
          <w:rFonts w:ascii="Verdana" w:hAnsi="Verdana" w:cs="Arial"/>
          <w:lang w:eastAsia="es-ES"/>
        </w:rPr>
        <w:t xml:space="preserve"> previo análisis de la naturaleza jurídica de la </w:t>
      </w:r>
      <w:r w:rsidRPr="00BB1FA7">
        <w:rPr>
          <w:rFonts w:ascii="Verdana" w:hAnsi="Verdana" w:cs="Arial"/>
          <w:lang w:eastAsia="es-ES"/>
        </w:rPr>
        <w:t>Aeronáutica Civil</w:t>
      </w:r>
      <w:r>
        <w:rPr>
          <w:rFonts w:ascii="Verdana" w:hAnsi="Verdana" w:cs="Arial"/>
          <w:lang w:eastAsia="es-ES"/>
        </w:rPr>
        <w:t xml:space="preserve"> respecto al sector administrativo al que está adscrito o vinculado así como de la reserva relacionada con la defensa y la seguridad nacional,</w:t>
      </w:r>
      <w:r w:rsidRPr="0073098F">
        <w:rPr>
          <w:rFonts w:ascii="Verdana" w:hAnsi="Verdana" w:cs="Arial"/>
          <w:lang w:eastAsia="es-ES"/>
        </w:rPr>
        <w:t xml:space="preserve"> la entidad contratante definirá en cada caso concreto </w:t>
      </w:r>
      <w:r>
        <w:rPr>
          <w:rFonts w:ascii="Verdana" w:hAnsi="Verdana" w:cs="Arial"/>
          <w:lang w:eastAsia="es-ES"/>
        </w:rPr>
        <w:t xml:space="preserve">la </w:t>
      </w:r>
      <w:r w:rsidRPr="00963473">
        <w:rPr>
          <w:rFonts w:ascii="Verdana" w:hAnsi="Verdana" w:cs="Arial"/>
          <w:lang w:eastAsia="es-ES"/>
        </w:rPr>
        <w:t xml:space="preserve">modalidad de selección </w:t>
      </w:r>
      <w:r>
        <w:rPr>
          <w:rFonts w:ascii="Verdana" w:hAnsi="Verdana" w:cs="Arial"/>
          <w:lang w:eastAsia="es-ES"/>
        </w:rPr>
        <w:t xml:space="preserve">aplicable </w:t>
      </w:r>
      <w:r w:rsidRPr="00963473">
        <w:rPr>
          <w:rFonts w:ascii="Verdana" w:hAnsi="Verdana" w:cs="Arial"/>
          <w:lang w:eastAsia="es-ES"/>
        </w:rPr>
        <w:t xml:space="preserve">y tipo de contrato para la adquisición </w:t>
      </w:r>
      <w:r>
        <w:rPr>
          <w:rFonts w:ascii="Verdana" w:hAnsi="Verdana" w:cs="Arial"/>
          <w:lang w:eastAsia="es-ES"/>
        </w:rPr>
        <w:t>de los bienes y servicios que requieran</w:t>
      </w:r>
      <w:r w:rsidRPr="0073098F">
        <w:rPr>
          <w:rFonts w:ascii="Verdana" w:hAnsi="Verdana" w:cs="Arial"/>
          <w:lang w:eastAsia="es-ES"/>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9176771" w14:textId="77777777" w:rsidR="00DD1C92" w:rsidRPr="00182C89" w:rsidRDefault="00DD1C92" w:rsidP="00DD1C92">
      <w:pPr>
        <w:tabs>
          <w:tab w:val="left" w:pos="709"/>
        </w:tabs>
        <w:spacing w:after="0" w:line="276" w:lineRule="auto"/>
        <w:jc w:val="both"/>
        <w:rPr>
          <w:rFonts w:ascii="Verdana" w:eastAsia="Calibri" w:hAnsi="Verdana" w:cs="Arial"/>
          <w:color w:val="000000" w:themeColor="text1"/>
        </w:rPr>
      </w:pPr>
    </w:p>
    <w:p w14:paraId="11E85F0D" w14:textId="77777777" w:rsidR="00DD1C92" w:rsidRPr="00593A5F" w:rsidRDefault="00DD1C92" w:rsidP="00DD1C9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A933916" w14:textId="77777777" w:rsidR="00DD1C92" w:rsidRPr="00593A5F" w:rsidRDefault="00DD1C92" w:rsidP="00DD1C9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D1C92" w:rsidRPr="002407CE" w14:paraId="75D16F38" w14:textId="77777777" w:rsidTr="00721607">
        <w:trPr>
          <w:trHeight w:val="870"/>
          <w:jc w:val="center"/>
        </w:trPr>
        <w:tc>
          <w:tcPr>
            <w:tcW w:w="8647" w:type="dxa"/>
          </w:tcPr>
          <w:p w14:paraId="1D01BFC9" w14:textId="77777777" w:rsidR="00DD1C92"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150 y 352.</w:t>
            </w:r>
          </w:p>
          <w:p w14:paraId="67273DBC" w14:textId="77777777" w:rsidR="00DD1C92"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F13C1">
              <w:rPr>
                <w:rFonts w:ascii="Verdana" w:hAnsi="Verdana" w:cs="Arial"/>
              </w:rPr>
              <w:t>Ley 80 de 1993, artículo</w:t>
            </w:r>
            <w:r>
              <w:rPr>
                <w:rFonts w:ascii="Verdana" w:hAnsi="Verdana" w:cs="Arial"/>
              </w:rPr>
              <w:t xml:space="preserve"> 2</w:t>
            </w:r>
            <w:r w:rsidRPr="00DF13C1">
              <w:rPr>
                <w:rFonts w:ascii="Verdana" w:hAnsi="Verdana" w:cs="Arial"/>
              </w:rPr>
              <w:t>.</w:t>
            </w:r>
          </w:p>
          <w:p w14:paraId="67784C95" w14:textId="77777777" w:rsidR="00DD1C92" w:rsidRPr="0025696D"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42 y 50.</w:t>
            </w:r>
          </w:p>
          <w:p w14:paraId="0D1ED091" w14:textId="77777777" w:rsidR="00DD1C92"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5, 14 y 16.</w:t>
            </w:r>
          </w:p>
          <w:p w14:paraId="7233F562" w14:textId="77777777" w:rsidR="00DD1C92"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24.</w:t>
            </w:r>
          </w:p>
          <w:p w14:paraId="4E599EF8" w14:textId="77777777" w:rsidR="00DD1C92" w:rsidRPr="00DF13C1"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 5, 18 y 19.</w:t>
            </w:r>
          </w:p>
          <w:p w14:paraId="5F347F5C" w14:textId="77777777" w:rsidR="00DD1C92" w:rsidRPr="00604392"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Decreto Ley 111 de 1996</w:t>
            </w:r>
            <w:r w:rsidRPr="00DF13C1">
              <w:rPr>
                <w:rFonts w:ascii="Verdana" w:hAnsi="Verdana" w:cs="Arial"/>
              </w:rPr>
              <w:t>, artículo</w:t>
            </w:r>
            <w:r>
              <w:rPr>
                <w:rFonts w:ascii="Verdana" w:hAnsi="Verdana" w:cs="Arial"/>
              </w:rPr>
              <w:t xml:space="preserve"> 110</w:t>
            </w:r>
            <w:r w:rsidRPr="00DF13C1">
              <w:rPr>
                <w:rFonts w:ascii="Verdana" w:hAnsi="Verdana" w:cs="Arial"/>
              </w:rPr>
              <w:t>.</w:t>
            </w:r>
          </w:p>
          <w:p w14:paraId="7C06E281" w14:textId="77777777" w:rsidR="00DD1C92" w:rsidRPr="00604392"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4179 de 2011, artículos 1 y 2.</w:t>
            </w:r>
          </w:p>
          <w:p w14:paraId="2F2C7942" w14:textId="77777777" w:rsidR="00DD1C92" w:rsidRPr="0025696D" w:rsidRDefault="00DD1C92" w:rsidP="00DD1C9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1070 de 2015, artículos </w:t>
            </w:r>
            <w:r w:rsidRPr="00604392">
              <w:rPr>
                <w:rFonts w:ascii="Verdana" w:hAnsi="Verdana" w:cs="Arial"/>
              </w:rPr>
              <w:t>1.2.1.1.1</w:t>
            </w:r>
            <w:r>
              <w:rPr>
                <w:rFonts w:ascii="Verdana" w:hAnsi="Verdana" w:cs="Arial"/>
              </w:rPr>
              <w:t xml:space="preserve">, </w:t>
            </w:r>
            <w:r w:rsidRPr="00604392">
              <w:rPr>
                <w:rFonts w:ascii="Verdana" w:hAnsi="Verdana" w:cs="Arial"/>
              </w:rPr>
              <w:t>1.2.1.2.1</w:t>
            </w:r>
            <w:r>
              <w:rPr>
                <w:rFonts w:ascii="Verdana" w:hAnsi="Verdana" w:cs="Arial"/>
              </w:rPr>
              <w:t xml:space="preserve">, </w:t>
            </w:r>
            <w:r w:rsidRPr="00604392">
              <w:rPr>
                <w:rFonts w:ascii="Verdana" w:hAnsi="Verdana" w:cs="Arial"/>
              </w:rPr>
              <w:t>1.2.2.1.1</w:t>
            </w:r>
            <w:r>
              <w:rPr>
                <w:rFonts w:ascii="Verdana" w:hAnsi="Verdana" w:cs="Arial"/>
              </w:rPr>
              <w:t xml:space="preserve">, </w:t>
            </w:r>
            <w:r w:rsidRPr="00604392">
              <w:rPr>
                <w:rFonts w:ascii="Verdana" w:hAnsi="Verdana" w:cs="Arial"/>
              </w:rPr>
              <w:t>1.2.2.2.1</w:t>
            </w:r>
            <w:r>
              <w:rPr>
                <w:rFonts w:ascii="Verdana" w:hAnsi="Verdana" w:cs="Arial"/>
              </w:rPr>
              <w:t xml:space="preserve"> y </w:t>
            </w:r>
            <w:r w:rsidRPr="00604392">
              <w:rPr>
                <w:rFonts w:ascii="Verdana" w:hAnsi="Verdana" w:cs="Arial"/>
              </w:rPr>
              <w:t>1.2.3.1</w:t>
            </w:r>
            <w:r>
              <w:rPr>
                <w:rFonts w:ascii="Verdana" w:hAnsi="Verdana" w:cs="Arial"/>
              </w:rPr>
              <w:t>.</w:t>
            </w:r>
          </w:p>
          <w:p w14:paraId="58349F55" w14:textId="77777777" w:rsidR="00DD1C92" w:rsidRPr="00C02F8B" w:rsidRDefault="00DD1C92" w:rsidP="00DD1C9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25696D">
              <w:rPr>
                <w:rFonts w:ascii="Verdana" w:hAnsi="Verdana" w:cs="Arial"/>
              </w:rPr>
              <w:t>2.2.1.2.1.4.6</w:t>
            </w:r>
            <w:r>
              <w:rPr>
                <w:rFonts w:ascii="Verdana" w:hAnsi="Verdana" w:cs="Arial"/>
              </w:rPr>
              <w:t>.</w:t>
            </w:r>
          </w:p>
        </w:tc>
      </w:tr>
    </w:tbl>
    <w:p w14:paraId="7EA4B465" w14:textId="77777777" w:rsidR="00DD1C92" w:rsidRPr="002407CE" w:rsidRDefault="00DD1C92" w:rsidP="00DD1C92">
      <w:pPr>
        <w:widowControl w:val="0"/>
        <w:autoSpaceDE w:val="0"/>
        <w:autoSpaceDN w:val="0"/>
        <w:spacing w:after="0" w:line="276" w:lineRule="auto"/>
        <w:jc w:val="both"/>
        <w:rPr>
          <w:rFonts w:ascii="Verdana" w:hAnsi="Verdana" w:cs="Arial"/>
        </w:rPr>
      </w:pPr>
    </w:p>
    <w:p w14:paraId="0FA98D0B" w14:textId="77777777" w:rsidR="00DD1C92" w:rsidRPr="00593A5F" w:rsidRDefault="00DD1C92" w:rsidP="00DD1C9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6948655" w14:textId="77777777" w:rsidR="00DD1C92" w:rsidRPr="00593A5F" w:rsidRDefault="00DD1C92" w:rsidP="00DD1C92">
      <w:pPr>
        <w:widowControl w:val="0"/>
        <w:autoSpaceDE w:val="0"/>
        <w:autoSpaceDN w:val="0"/>
        <w:spacing w:after="0" w:line="276" w:lineRule="auto"/>
        <w:jc w:val="both"/>
        <w:rPr>
          <w:rFonts w:ascii="Verdana" w:hAnsi="Verdana" w:cs="Arial"/>
        </w:rPr>
      </w:pPr>
    </w:p>
    <w:p w14:paraId="3AF25295" w14:textId="77777777" w:rsidR="00DD1C92" w:rsidRPr="00ED0098" w:rsidRDefault="00DD1C92" w:rsidP="00DD1C92">
      <w:pPr>
        <w:widowControl w:val="0"/>
        <w:autoSpaceDE w:val="0"/>
        <w:autoSpaceDN w:val="0"/>
        <w:spacing w:after="0" w:line="276" w:lineRule="auto"/>
        <w:jc w:val="both"/>
        <w:rPr>
          <w:rStyle w:val="normaltextrun"/>
          <w:rFonts w:ascii="Verdana" w:hAnsi="Verdana" w:cs="Arial"/>
          <w:shd w:val="clear" w:color="auto" w:fill="FFFFFF"/>
        </w:rPr>
      </w:pPr>
      <w:r w:rsidRPr="00BA623F">
        <w:rPr>
          <w:rFonts w:ascii="Verdana" w:hAnsi="Verdana" w:cs="Arial"/>
          <w:shd w:val="clear" w:color="auto" w:fill="FFFFFF"/>
        </w:rPr>
        <w:t>Los conceptos de esta Subdirección se encuentran disponibles para consulta en el Sistema de relatoría de la Agencia, al cual puede accederse a través del siguiente enlace</w:t>
      </w:r>
      <w:r w:rsidRPr="008D0AB0">
        <w:rPr>
          <w:rStyle w:val="normaltextrun"/>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D56E096" w14:textId="77777777" w:rsidR="00DD1C92" w:rsidRDefault="00DD1C92" w:rsidP="00DD1C9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8F2DF1E" w14:textId="77777777" w:rsidR="00DD1C92" w:rsidRPr="00AE7E66" w:rsidRDefault="00DD1C92" w:rsidP="00DD1C92">
      <w:pPr>
        <w:shd w:val="clear" w:color="auto" w:fill="FFFFFF"/>
        <w:spacing w:after="0" w:line="276" w:lineRule="auto"/>
        <w:jc w:val="both"/>
        <w:rPr>
          <w:rStyle w:val="normaltextrun"/>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r w:rsidRPr="00096788">
        <w:rPr>
          <w:rFonts w:ascii="Verdana" w:hAnsi="Verdana" w:cs="Arial"/>
          <w:color w:val="000000" w:themeColor="text1"/>
          <w:shd w:val="clear" w:color="auto" w:fill="FFFFFF"/>
        </w:rPr>
        <w:t> </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686648B4" w14:textId="77777777" w:rsidR="00DD1C92" w:rsidRPr="00593A5F" w:rsidRDefault="00DD1C92" w:rsidP="00DD1C92">
      <w:pPr>
        <w:widowControl w:val="0"/>
        <w:autoSpaceDE w:val="0"/>
        <w:autoSpaceDN w:val="0"/>
        <w:spacing w:after="0" w:line="276" w:lineRule="auto"/>
        <w:jc w:val="both"/>
        <w:rPr>
          <w:rFonts w:ascii="Verdana" w:hAnsi="Verdana" w:cs="Arial"/>
        </w:rPr>
      </w:pPr>
    </w:p>
    <w:p w14:paraId="3700142E" w14:textId="77777777" w:rsidR="00DD1C92" w:rsidRPr="00593A5F" w:rsidRDefault="00DD1C92" w:rsidP="00DD1C9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9130D0B" w14:textId="77777777" w:rsidR="00DD1C92" w:rsidRPr="00593A5F" w:rsidRDefault="00DD1C92" w:rsidP="00DD1C92">
      <w:pPr>
        <w:widowControl w:val="0"/>
        <w:autoSpaceDE w:val="0"/>
        <w:autoSpaceDN w:val="0"/>
        <w:spacing w:after="0" w:line="276" w:lineRule="auto"/>
        <w:jc w:val="both"/>
        <w:rPr>
          <w:rFonts w:ascii="Verdana" w:hAnsi="Verdana" w:cs="Arial"/>
        </w:rPr>
      </w:pPr>
    </w:p>
    <w:p w14:paraId="0AE81ACB" w14:textId="77777777" w:rsidR="00DD1C92" w:rsidRPr="00593A5F" w:rsidRDefault="00DD1C92" w:rsidP="00DD1C92">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5588F47" w14:textId="4DF501E4" w:rsidR="00DD1C92" w:rsidRPr="00593A5F" w:rsidRDefault="0004449C" w:rsidP="00DD1C92">
      <w:pPr>
        <w:spacing w:line="276" w:lineRule="auto"/>
        <w:jc w:val="center"/>
        <w:rPr>
          <w:rFonts w:ascii="Verdana" w:hAnsi="Verdana" w:cs="Arial"/>
          <w:color w:val="000000"/>
          <w:lang w:val="es-ES_tradnl" w:eastAsia="es-CO"/>
        </w:rPr>
      </w:pPr>
      <w:r>
        <w:rPr>
          <w:noProof/>
        </w:rPr>
        <w:lastRenderedPageBreak/>
        <w:drawing>
          <wp:inline distT="0" distB="0" distL="0" distR="0" wp14:anchorId="4B5679CB" wp14:editId="4F8B452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D1C92" w:rsidRPr="00593A5F" w14:paraId="0F5AEDA4" w14:textId="77777777" w:rsidTr="00721607">
        <w:trPr>
          <w:trHeight w:val="315"/>
        </w:trPr>
        <w:tc>
          <w:tcPr>
            <w:tcW w:w="893" w:type="dxa"/>
            <w:vAlign w:val="center"/>
            <w:hideMark/>
          </w:tcPr>
          <w:p w14:paraId="317D4CBE" w14:textId="77777777" w:rsidR="00DD1C92" w:rsidRPr="003751C7" w:rsidRDefault="00DD1C92" w:rsidP="0072160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EF5E679" w14:textId="77777777" w:rsidR="00DD1C92" w:rsidRPr="00254A7A" w:rsidRDefault="00DD1C92" w:rsidP="0072160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A977471" w14:textId="77777777" w:rsidR="00DD1C92" w:rsidRPr="00254A7A" w:rsidRDefault="00DD1C92" w:rsidP="0072160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D1C92" w:rsidRPr="00593A5F" w14:paraId="6FA7DA87" w14:textId="77777777" w:rsidTr="00721607">
        <w:trPr>
          <w:trHeight w:val="330"/>
        </w:trPr>
        <w:tc>
          <w:tcPr>
            <w:tcW w:w="893" w:type="dxa"/>
            <w:vAlign w:val="center"/>
            <w:hideMark/>
          </w:tcPr>
          <w:p w14:paraId="2E5B7735" w14:textId="77777777" w:rsidR="00DD1C92" w:rsidRPr="003751C7" w:rsidRDefault="00DD1C92" w:rsidP="0072160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F902CD" w14:textId="77777777" w:rsidR="00DD1C92" w:rsidRPr="00AE7E66" w:rsidRDefault="00DD1C92" w:rsidP="00721607">
            <w:pPr>
              <w:pStyle w:val="paragraph"/>
              <w:spacing w:after="0"/>
              <w:contextualSpacing/>
              <w:textAlignment w:val="baseline"/>
              <w:rPr>
                <w:rStyle w:val="normaltextrun"/>
                <w:rFonts w:ascii="Verdana" w:hAnsi="Verdana" w:cs="Arial"/>
                <w:sz w:val="16"/>
                <w:szCs w:val="16"/>
                <w:lang w:val="es-ES"/>
              </w:rPr>
            </w:pPr>
            <w:r w:rsidRPr="00AE7E66">
              <w:rPr>
                <w:rStyle w:val="normaltextrun"/>
                <w:rFonts w:ascii="Verdana" w:hAnsi="Verdana" w:cs="Arial"/>
                <w:sz w:val="16"/>
                <w:szCs w:val="16"/>
                <w:lang w:val="es-ES"/>
              </w:rPr>
              <w:t>Alejandro Sarmiento Cantillo</w:t>
            </w:r>
          </w:p>
          <w:p w14:paraId="3CED1E15" w14:textId="77777777" w:rsidR="00DD1C92" w:rsidRPr="00254A7A" w:rsidRDefault="00DD1C92" w:rsidP="00721607">
            <w:pPr>
              <w:pStyle w:val="paragraph"/>
              <w:spacing w:before="0" w:beforeAutospacing="0" w:after="0" w:afterAutospacing="0"/>
              <w:contextualSpacing/>
              <w:textAlignment w:val="baseline"/>
              <w:rPr>
                <w:rFonts w:ascii="Verdana" w:hAnsi="Verdana" w:cs="Segoe UI"/>
                <w:sz w:val="16"/>
                <w:szCs w:val="16"/>
              </w:rPr>
            </w:pPr>
            <w:r w:rsidRPr="00AE7E66">
              <w:rPr>
                <w:rStyle w:val="normaltextrun"/>
                <w:rFonts w:ascii="Verdana" w:hAnsi="Verdana" w:cs="Arial"/>
                <w:sz w:val="16"/>
                <w:szCs w:val="16"/>
                <w:lang w:val="es-ES"/>
              </w:rPr>
              <w:t>Gestor T1 ‒ 15 de la Subdirección de Gestión Contractual</w:t>
            </w:r>
          </w:p>
        </w:tc>
      </w:tr>
      <w:tr w:rsidR="00DD1C92" w:rsidRPr="00593A5F" w14:paraId="38FF19CB" w14:textId="77777777" w:rsidTr="00721607">
        <w:trPr>
          <w:trHeight w:val="300"/>
        </w:trPr>
        <w:tc>
          <w:tcPr>
            <w:tcW w:w="893" w:type="dxa"/>
            <w:vAlign w:val="center"/>
          </w:tcPr>
          <w:p w14:paraId="15775126" w14:textId="77777777" w:rsidR="00DD1C92" w:rsidRPr="003751C7" w:rsidRDefault="00DD1C92" w:rsidP="0072160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70EC0F" w14:textId="77777777" w:rsidR="00DD1C92" w:rsidRPr="003751C7" w:rsidRDefault="00DD1C92" w:rsidP="0072160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101CB958" w14:textId="77777777" w:rsidR="00DD1C92" w:rsidRPr="003751C7" w:rsidRDefault="00DD1C92" w:rsidP="0072160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2D8D5CC2" w14:textId="77777777" w:rsidR="00DD1C92" w:rsidRPr="00593A5F" w:rsidRDefault="00DD1C92" w:rsidP="00DD1C92">
      <w:pPr>
        <w:spacing w:after="0" w:line="240" w:lineRule="auto"/>
        <w:rPr>
          <w:rFonts w:ascii="Verdana" w:eastAsia="Times New Roman" w:hAnsi="Verdana" w:cs="Arial"/>
          <w:sz w:val="24"/>
          <w:szCs w:val="24"/>
          <w:lang w:eastAsia="es-ES"/>
        </w:rPr>
      </w:pPr>
    </w:p>
    <w:p w14:paraId="0F293BF4" w14:textId="6D941869" w:rsidR="00127233" w:rsidRPr="00126D49" w:rsidRDefault="00127233" w:rsidP="00126D49"/>
    <w:sectPr w:rsidR="00127233" w:rsidRPr="00126D4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1F9C9" w14:textId="77777777" w:rsidR="00705EA0" w:rsidRDefault="00705EA0" w:rsidP="004A1847">
      <w:pPr>
        <w:spacing w:after="0" w:line="240" w:lineRule="auto"/>
      </w:pPr>
      <w:r>
        <w:separator/>
      </w:r>
    </w:p>
  </w:endnote>
  <w:endnote w:type="continuationSeparator" w:id="0">
    <w:p w14:paraId="68BF415F" w14:textId="77777777" w:rsidR="00705EA0" w:rsidRDefault="00705EA0" w:rsidP="004A1847">
      <w:pPr>
        <w:spacing w:after="0" w:line="240" w:lineRule="auto"/>
      </w:pPr>
      <w:r>
        <w:continuationSeparator/>
      </w:r>
    </w:p>
  </w:endnote>
  <w:endnote w:type="continuationNotice" w:id="1">
    <w:p w14:paraId="6C8CB0A3" w14:textId="77777777" w:rsidR="00705EA0" w:rsidRDefault="00705E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7291C" w14:textId="77777777" w:rsidR="00705EA0" w:rsidRDefault="00705EA0" w:rsidP="004A1847">
      <w:pPr>
        <w:spacing w:after="0" w:line="240" w:lineRule="auto"/>
      </w:pPr>
      <w:r>
        <w:separator/>
      </w:r>
    </w:p>
  </w:footnote>
  <w:footnote w:type="continuationSeparator" w:id="0">
    <w:p w14:paraId="14765BA6" w14:textId="77777777" w:rsidR="00705EA0" w:rsidRDefault="00705EA0" w:rsidP="004A1847">
      <w:pPr>
        <w:spacing w:after="0" w:line="240" w:lineRule="auto"/>
      </w:pPr>
      <w:r>
        <w:continuationSeparator/>
      </w:r>
    </w:p>
  </w:footnote>
  <w:footnote w:type="continuationNotice" w:id="1">
    <w:p w14:paraId="664EDB54" w14:textId="77777777" w:rsidR="00705EA0" w:rsidRDefault="00705EA0">
      <w:pPr>
        <w:spacing w:after="0" w:line="240" w:lineRule="auto"/>
      </w:pPr>
    </w:p>
  </w:footnote>
  <w:footnote w:id="2">
    <w:p w14:paraId="39FC4669" w14:textId="77777777" w:rsidR="00DD1C92" w:rsidRPr="00480D85" w:rsidRDefault="00DD1C92" w:rsidP="00DD1C92">
      <w:pPr>
        <w:pStyle w:val="Textonotapie"/>
        <w:ind w:firstLine="708"/>
        <w:jc w:val="both"/>
        <w:rPr>
          <w:rFonts w:ascii="Verdana" w:hAnsi="Verdana"/>
          <w:sz w:val="16"/>
          <w:szCs w:val="16"/>
        </w:rPr>
      </w:pPr>
      <w:r w:rsidRPr="00480D85">
        <w:rPr>
          <w:rStyle w:val="Refdenotaalpie"/>
          <w:rFonts w:ascii="Verdana" w:hAnsi="Verdana"/>
          <w:sz w:val="16"/>
          <w:szCs w:val="16"/>
        </w:rPr>
        <w:footnoteRef/>
      </w:r>
      <w:r w:rsidRPr="00480D85">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1E2602F0" w14:textId="77777777" w:rsidR="00DD1C92" w:rsidRPr="00480D85" w:rsidRDefault="00DD1C92" w:rsidP="00DD1C92">
      <w:pPr>
        <w:pStyle w:val="Textonotapie"/>
        <w:ind w:firstLine="708"/>
        <w:jc w:val="both"/>
        <w:rPr>
          <w:rFonts w:ascii="Verdana" w:hAnsi="Verdana"/>
          <w:sz w:val="16"/>
          <w:szCs w:val="16"/>
        </w:rPr>
      </w:pPr>
      <w:r w:rsidRPr="00480D85">
        <w:rPr>
          <w:rFonts w:ascii="Verdana" w:hAnsi="Verdana"/>
          <w:sz w:val="16"/>
          <w:szCs w:val="16"/>
        </w:rPr>
        <w:t>[…]</w:t>
      </w:r>
    </w:p>
    <w:p w14:paraId="334B6E08" w14:textId="77777777" w:rsidR="00DD1C92" w:rsidRPr="00480D85" w:rsidRDefault="00DD1C92" w:rsidP="00DD1C92">
      <w:pPr>
        <w:pStyle w:val="Textonotapie"/>
        <w:ind w:firstLine="708"/>
        <w:jc w:val="both"/>
        <w:rPr>
          <w:rFonts w:ascii="Verdana" w:hAnsi="Verdana"/>
          <w:sz w:val="16"/>
          <w:szCs w:val="16"/>
        </w:rPr>
      </w:pPr>
      <w:r w:rsidRPr="00480D85">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6FC8EF43" w14:textId="77777777" w:rsidR="00DD1C92" w:rsidRPr="00480D85" w:rsidRDefault="00DD1C92" w:rsidP="00DD1C92">
      <w:pPr>
        <w:pStyle w:val="Textonotapie"/>
        <w:ind w:firstLine="708"/>
        <w:jc w:val="both"/>
        <w:rPr>
          <w:rFonts w:ascii="Verdana" w:hAnsi="Verdana"/>
          <w:sz w:val="16"/>
          <w:szCs w:val="16"/>
        </w:rPr>
      </w:pPr>
      <w:r w:rsidRPr="00480D85">
        <w:rPr>
          <w:rFonts w:ascii="Verdana" w:hAnsi="Verdana"/>
          <w:sz w:val="16"/>
          <w:szCs w:val="16"/>
        </w:rPr>
        <w:t>En todo caso, el Presidente de la República podrá celebrar contratos a nombre de la Nación”.</w:t>
      </w:r>
    </w:p>
  </w:footnote>
  <w:footnote w:id="3">
    <w:p w14:paraId="0A8FCCB0" w14:textId="77777777" w:rsidR="00DD1C92" w:rsidRPr="00480D85" w:rsidRDefault="00DD1C92" w:rsidP="00DD1C92">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El inciso primero de norma disponía que, conforme al principio de transparencia, “</w:t>
      </w:r>
      <w:r w:rsidRPr="00480D85">
        <w:rPr>
          <w:rFonts w:ascii="Verdana" w:hAnsi="Verdana" w:cs="Arial"/>
          <w:i/>
          <w:iCs/>
          <w:sz w:val="16"/>
          <w:szCs w:val="16"/>
        </w:rPr>
        <w:t>La escogencia del contratista se efectuará siempre a través de licitación o concurso públicos</w:t>
      </w:r>
      <w:r w:rsidRPr="00480D85">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49AC2C44" w14:textId="77777777" w:rsidR="00DD1C92" w:rsidRPr="00480D85" w:rsidRDefault="00DD1C92" w:rsidP="00DD1C92">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480D85">
        <w:rPr>
          <w:rFonts w:ascii="Verdana" w:hAnsi="Verdana" w:cs="Arial"/>
          <w:i/>
          <w:iCs/>
          <w:sz w:val="16"/>
          <w:szCs w:val="16"/>
        </w:rPr>
        <w:t>Presentación de la oferta de manera dinámica</w:t>
      </w:r>
      <w:r w:rsidRPr="00480D85">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6D2B0C9C" w14:textId="77777777" w:rsidR="00DD1C92" w:rsidRPr="00480D85" w:rsidRDefault="00DD1C92" w:rsidP="00DD1C92">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Congreso de la República, Gaceta 466 del 2 de agosto de 2005. Exposición de motivos del Proyecto de Ley 19 de 2005 – Senado. </w:t>
      </w:r>
    </w:p>
  </w:footnote>
  <w:footnote w:id="6">
    <w:p w14:paraId="278FA9B2" w14:textId="77777777" w:rsidR="00DD1C92" w:rsidRPr="00480D85" w:rsidRDefault="00DD1C92" w:rsidP="00DD1C92">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480D85">
          <w:rPr>
            <w:rStyle w:val="Hipervnculo"/>
            <w:rFonts w:ascii="Verdana" w:hAnsi="Verdana" w:cs="Arial"/>
            <w:sz w:val="16"/>
            <w:szCs w:val="16"/>
            <w:lang w:val="es-ES"/>
          </w:rPr>
          <w:t>https://colombiacompra.gov.co/sites/cce_public/files/cce_documents/cce_guia_competencia_0.pdf</w:t>
        </w:r>
      </w:hyperlink>
      <w:r w:rsidRPr="00480D85">
        <w:rPr>
          <w:rFonts w:ascii="Verdana" w:hAnsi="Verdana" w:cs="Arial"/>
          <w:sz w:val="16"/>
          <w:szCs w:val="16"/>
          <w:lang w:val="es-ES"/>
        </w:rPr>
        <w:t xml:space="preserve">. </w:t>
      </w:r>
    </w:p>
  </w:footnote>
  <w:footnote w:id="7">
    <w:p w14:paraId="4D6DD03B" w14:textId="77777777" w:rsidR="00DD1C92" w:rsidRPr="00480D85" w:rsidRDefault="00DD1C92" w:rsidP="00DD1C92">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lang w:val="pt-BR"/>
        </w:rPr>
        <w:t xml:space="preserve"> Corte Constitucional. </w:t>
      </w:r>
      <w:r w:rsidRPr="00480D85">
        <w:rPr>
          <w:rFonts w:ascii="Verdana" w:hAnsi="Verdana" w:cs="Arial"/>
          <w:sz w:val="16"/>
          <w:szCs w:val="16"/>
          <w:lang w:val="es-CO"/>
        </w:rPr>
        <w:t xml:space="preserve">Sentencia C-713 del 7 de octubre de 2009. </w:t>
      </w:r>
      <w:r w:rsidRPr="00480D85">
        <w:rPr>
          <w:rFonts w:ascii="Verdana" w:hAnsi="Verdana" w:cs="Arial"/>
          <w:sz w:val="16"/>
          <w:szCs w:val="16"/>
        </w:rPr>
        <w:t>M.P. María Victoria Calle Correa.</w:t>
      </w:r>
    </w:p>
  </w:footnote>
  <w:footnote w:id="8">
    <w:p w14:paraId="08DA349D" w14:textId="77777777" w:rsidR="00DD1C92" w:rsidRPr="00480D85" w:rsidRDefault="00DD1C92" w:rsidP="00DD1C92">
      <w:pPr>
        <w:pStyle w:val="Textonotapie"/>
        <w:ind w:firstLine="709"/>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Sección Tercera. Subsección A. Sentencia del 24 de mayo de 2018. Exp. 50.222. C.P. Marta Nubia Velásquez Rico.</w:t>
      </w:r>
    </w:p>
  </w:footnote>
  <w:footnote w:id="9">
    <w:p w14:paraId="362121F5" w14:textId="77777777" w:rsidR="00DD1C92" w:rsidRPr="00480D85" w:rsidRDefault="00DD1C92" w:rsidP="00DD1C92">
      <w:pPr>
        <w:pStyle w:val="Textonotapie"/>
        <w:ind w:firstLine="708"/>
        <w:jc w:val="both"/>
        <w:rPr>
          <w:rFonts w:ascii="Verdana" w:hAnsi="Verdana" w:cs="Arial"/>
          <w:iCs/>
          <w:sz w:val="16"/>
          <w:szCs w:val="16"/>
          <w:lang w:val="es-ES_tradnl"/>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_tradnl"/>
        </w:rPr>
        <w:t xml:space="preserve">En efecto, de acuerdo con el Consejo de Estado: </w:t>
      </w:r>
      <w:r w:rsidRPr="00480D85">
        <w:rPr>
          <w:rFonts w:ascii="Verdana" w:eastAsia="Times New Roman" w:hAnsi="Verdana" w:cs="Arial"/>
          <w:sz w:val="16"/>
          <w:szCs w:val="16"/>
          <w:lang w:val="es-CO" w:eastAsia="es-MX"/>
        </w:rPr>
        <w:t>“</w:t>
      </w:r>
      <w:r w:rsidRPr="00480D85">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480D85">
        <w:rPr>
          <w:rFonts w:ascii="Verdana" w:eastAsia="Times New Roman" w:hAnsi="Verdana" w:cs="Arial"/>
          <w:sz w:val="16"/>
          <w:szCs w:val="16"/>
          <w:lang w:val="es-CO" w:eastAsia="es-MX"/>
        </w:rPr>
        <w:t>”</w:t>
      </w:r>
      <w:r w:rsidRPr="00480D85">
        <w:rPr>
          <w:rFonts w:ascii="Verdana" w:hAnsi="Verdana" w:cs="Arial"/>
          <w:iCs/>
          <w:sz w:val="16"/>
          <w:szCs w:val="16"/>
          <w:lang w:val="es-ES_tradnl"/>
        </w:rPr>
        <w:t>.</w:t>
      </w:r>
      <w:r w:rsidRPr="00480D85">
        <w:rPr>
          <w:rFonts w:ascii="Verdana" w:hAnsi="Verdana" w:cs="Arial"/>
          <w:sz w:val="16"/>
          <w:szCs w:val="16"/>
        </w:rPr>
        <w:t xml:space="preserve"> Consejo de Estado. Sección Tercera. Sentencia del 23 de julio de 2015. Exp. 36.805. C.P. Hernán Andrade Rincón.</w:t>
      </w:r>
    </w:p>
  </w:footnote>
  <w:footnote w:id="10">
    <w:p w14:paraId="30209350" w14:textId="77777777" w:rsidR="00DD1C92" w:rsidRPr="00480D85" w:rsidRDefault="00DD1C92" w:rsidP="00DD1C92">
      <w:pPr>
        <w:pStyle w:val="Textonotapie"/>
        <w:ind w:firstLine="708"/>
        <w:jc w:val="both"/>
        <w:rPr>
          <w:rFonts w:ascii="Verdana" w:hAnsi="Verdana" w:cs="Arial"/>
          <w:sz w:val="16"/>
          <w:szCs w:val="16"/>
          <w:lang w:val="es-CO"/>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Sala de consulta y servicio civil. Sentencia del 20 de febrero de 2006. Exp. 1.727. C.P. Enrique José Arboleda Perdomo.</w:t>
      </w:r>
    </w:p>
  </w:footnote>
  <w:footnote w:id="11">
    <w:p w14:paraId="6CC03FB3" w14:textId="77777777" w:rsidR="00DD1C92" w:rsidRPr="00B2615B" w:rsidRDefault="00DD1C92" w:rsidP="00DD1C92">
      <w:pPr>
        <w:pStyle w:val="Textonotapie"/>
        <w:ind w:firstLine="708"/>
        <w:jc w:val="both"/>
        <w:rPr>
          <w:rFonts w:ascii="Verdana" w:hAnsi="Verdana"/>
          <w:sz w:val="16"/>
          <w:szCs w:val="16"/>
        </w:rPr>
      </w:pPr>
      <w:r w:rsidRPr="00B2615B">
        <w:rPr>
          <w:rStyle w:val="Refdenotaalpie"/>
          <w:rFonts w:ascii="Verdana" w:hAnsi="Verdana"/>
          <w:sz w:val="16"/>
          <w:szCs w:val="16"/>
        </w:rPr>
        <w:footnoteRef/>
      </w:r>
      <w:r w:rsidRPr="00B2615B">
        <w:rPr>
          <w:rFonts w:ascii="Verdana" w:hAnsi="Verdana"/>
          <w:sz w:val="16"/>
          <w:szCs w:val="16"/>
        </w:rPr>
        <w:t xml:space="preserve"> </w:t>
      </w:r>
      <w:r>
        <w:rPr>
          <w:rFonts w:ascii="Verdana" w:hAnsi="Verdana"/>
          <w:sz w:val="16"/>
          <w:szCs w:val="16"/>
        </w:rPr>
        <w:t>Respecto a la causal de selección abrevida del literal i) del artículo 2.2 de la Ley 1150 de 2007, la doctrina explica que “</w:t>
      </w:r>
      <w:r w:rsidRPr="00B2615B">
        <w:rPr>
          <w:rFonts w:ascii="Verdana" w:hAnsi="Verdana"/>
          <w:sz w:val="16"/>
          <w:szCs w:val="16"/>
        </w:rPr>
        <w:t>El legislador decidió, entonces, para contribuir a la pulcritud de los procedimientos</w:t>
      </w:r>
      <w:r>
        <w:rPr>
          <w:rFonts w:ascii="Verdana" w:hAnsi="Verdana"/>
          <w:sz w:val="16"/>
          <w:szCs w:val="16"/>
        </w:rPr>
        <w:t xml:space="preserve"> </w:t>
      </w:r>
      <w:r w:rsidRPr="00B2615B">
        <w:rPr>
          <w:rFonts w:ascii="Verdana" w:hAnsi="Verdana"/>
          <w:sz w:val="16"/>
          <w:szCs w:val="16"/>
        </w:rPr>
        <w:t>de selección a cargo del sector defensa, abrir la causal en dos. Por</w:t>
      </w:r>
      <w:r>
        <w:rPr>
          <w:rFonts w:ascii="Verdana" w:hAnsi="Verdana"/>
          <w:sz w:val="16"/>
          <w:szCs w:val="16"/>
        </w:rPr>
        <w:t xml:space="preserve"> </w:t>
      </w:r>
      <w:r w:rsidRPr="00B2615B">
        <w:rPr>
          <w:rFonts w:ascii="Verdana" w:hAnsi="Verdana"/>
          <w:sz w:val="16"/>
          <w:szCs w:val="16"/>
        </w:rPr>
        <w:t>un lado, aquellos bienes que si bien son requeridos para la defensa y seguridad</w:t>
      </w:r>
      <w:r>
        <w:rPr>
          <w:rFonts w:ascii="Verdana" w:hAnsi="Verdana"/>
          <w:sz w:val="16"/>
          <w:szCs w:val="16"/>
        </w:rPr>
        <w:t xml:space="preserve"> </w:t>
      </w:r>
      <w:r w:rsidRPr="00B2615B">
        <w:rPr>
          <w:rFonts w:ascii="Verdana" w:hAnsi="Verdana"/>
          <w:sz w:val="16"/>
          <w:szCs w:val="16"/>
        </w:rPr>
        <w:t>del Estado, pueden tener una contratación pública, los cuales sometió al</w:t>
      </w:r>
      <w:r>
        <w:rPr>
          <w:rFonts w:ascii="Verdana" w:hAnsi="Verdana"/>
          <w:sz w:val="16"/>
          <w:szCs w:val="16"/>
        </w:rPr>
        <w:t xml:space="preserve"> </w:t>
      </w:r>
      <w:r w:rsidRPr="00B2615B">
        <w:rPr>
          <w:rFonts w:ascii="Verdana" w:hAnsi="Verdana"/>
          <w:sz w:val="16"/>
          <w:szCs w:val="16"/>
        </w:rPr>
        <w:t>procedimiento especial de selección abreviada, y los que, por su naturaleza,</w:t>
      </w:r>
      <w:r>
        <w:rPr>
          <w:rFonts w:ascii="Verdana" w:hAnsi="Verdana"/>
          <w:sz w:val="16"/>
          <w:szCs w:val="16"/>
        </w:rPr>
        <w:t xml:space="preserve"> </w:t>
      </w:r>
      <w:r w:rsidRPr="00B2615B">
        <w:rPr>
          <w:rFonts w:ascii="Verdana" w:hAnsi="Verdana"/>
          <w:sz w:val="16"/>
          <w:szCs w:val="16"/>
        </w:rPr>
        <w:t>deben ser adquiridos de forma reservada</w:t>
      </w:r>
      <w:r>
        <w:rPr>
          <w:rFonts w:ascii="Verdana" w:hAnsi="Verdana"/>
          <w:sz w:val="16"/>
          <w:szCs w:val="16"/>
        </w:rPr>
        <w:t xml:space="preserve"> […]” (Cfr. ESTRADA SÁNCHEZ, Juan Pablo. Contratación directa, convenios interadministrativos y contratos de cooperación internacional. En: Contratación estatal. </w:t>
      </w:r>
      <w:r w:rsidRPr="00FB259D">
        <w:rPr>
          <w:rFonts w:ascii="Verdana" w:hAnsi="Verdana"/>
          <w:sz w:val="16"/>
          <w:szCs w:val="16"/>
        </w:rPr>
        <w:t>Estudios sobre la reforma</w:t>
      </w:r>
      <w:r>
        <w:rPr>
          <w:rFonts w:ascii="Verdana" w:hAnsi="Verdana"/>
          <w:sz w:val="16"/>
          <w:szCs w:val="16"/>
        </w:rPr>
        <w:t xml:space="preserve"> </w:t>
      </w:r>
      <w:r w:rsidRPr="00FB259D">
        <w:rPr>
          <w:rFonts w:ascii="Verdana" w:hAnsi="Verdana"/>
          <w:sz w:val="16"/>
          <w:szCs w:val="16"/>
        </w:rPr>
        <w:t xml:space="preserve">del </w:t>
      </w:r>
      <w:r>
        <w:rPr>
          <w:rFonts w:ascii="Verdana" w:hAnsi="Verdana"/>
          <w:sz w:val="16"/>
          <w:szCs w:val="16"/>
        </w:rPr>
        <w:t>E</w:t>
      </w:r>
      <w:r w:rsidRPr="00FB259D">
        <w:rPr>
          <w:rFonts w:ascii="Verdana" w:hAnsi="Verdana"/>
          <w:sz w:val="16"/>
          <w:szCs w:val="16"/>
        </w:rPr>
        <w:t xml:space="preserve">statuto </w:t>
      </w:r>
      <w:r>
        <w:rPr>
          <w:rFonts w:ascii="Verdana" w:hAnsi="Verdana"/>
          <w:sz w:val="16"/>
          <w:szCs w:val="16"/>
        </w:rPr>
        <w:t>C</w:t>
      </w:r>
      <w:r w:rsidRPr="00FB259D">
        <w:rPr>
          <w:rFonts w:ascii="Verdana" w:hAnsi="Verdana"/>
          <w:sz w:val="16"/>
          <w:szCs w:val="16"/>
        </w:rPr>
        <w:t>ontractual</w:t>
      </w:r>
      <w:r>
        <w:rPr>
          <w:rFonts w:ascii="Verdana" w:hAnsi="Verdana"/>
          <w:sz w:val="16"/>
          <w:szCs w:val="16"/>
        </w:rPr>
        <w:t xml:space="preserve"> L</w:t>
      </w:r>
      <w:r w:rsidRPr="00FB259D">
        <w:rPr>
          <w:rFonts w:ascii="Verdana" w:hAnsi="Verdana"/>
          <w:sz w:val="16"/>
          <w:szCs w:val="16"/>
        </w:rPr>
        <w:t>ey 1150 de 2007</w:t>
      </w:r>
      <w:r>
        <w:rPr>
          <w:rFonts w:ascii="Verdana" w:hAnsi="Verdana"/>
          <w:sz w:val="16"/>
          <w:szCs w:val="16"/>
        </w:rPr>
        <w:t>. Bogotá: Universidad Externado de Colombia, 2009. p</w:t>
      </w:r>
      <w:r w:rsidRPr="00B2615B">
        <w:rPr>
          <w:rFonts w:ascii="Verdana" w:hAnsi="Verdana"/>
          <w:sz w:val="16"/>
          <w:szCs w:val="16"/>
        </w:rPr>
        <w:t>.</w:t>
      </w:r>
      <w:r>
        <w:rPr>
          <w:rFonts w:ascii="Verdana" w:hAnsi="Verdana"/>
          <w:sz w:val="16"/>
          <w:szCs w:val="16"/>
        </w:rPr>
        <w:t xml:space="preserve"> 309).</w:t>
      </w:r>
    </w:p>
  </w:footnote>
  <w:footnote w:id="12">
    <w:p w14:paraId="2658957D" w14:textId="77777777" w:rsidR="00DD1C92" w:rsidRPr="002A1671" w:rsidRDefault="00DD1C92" w:rsidP="00DD1C92">
      <w:pPr>
        <w:pStyle w:val="Textonotapie"/>
        <w:ind w:firstLine="708"/>
        <w:jc w:val="both"/>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18. </w:t>
      </w:r>
      <w:r w:rsidRPr="002A1671">
        <w:rPr>
          <w:rFonts w:ascii="Verdana" w:hAnsi="Verdana"/>
          <w:i/>
          <w:iCs/>
          <w:sz w:val="15"/>
          <w:szCs w:val="15"/>
          <w:lang w:val="es-CO"/>
        </w:rPr>
        <w:t>Información exceptuada por daño de derechos a personas naturales o jurídicas. </w:t>
      </w:r>
      <w:r w:rsidRPr="002A1671">
        <w:rPr>
          <w:rFonts w:ascii="Verdana" w:hAnsi="Verdana"/>
          <w:sz w:val="15"/>
          <w:szCs w:val="15"/>
          <w:lang w:val="es-CO"/>
        </w:rPr>
        <w:t>Es toda aquella información pública clasificada, cuyo acceso podrá ser rechazado o denegado de manera motivada y por escrito, siempre que el acceso pudiere causar un daño a los siguientes derechos: </w:t>
      </w:r>
    </w:p>
    <w:p w14:paraId="2F6B9F9F" w14:textId="77777777" w:rsidR="00DD1C92" w:rsidRPr="002A1671" w:rsidRDefault="00DD1C92" w:rsidP="00DD1C92">
      <w:pPr>
        <w:pStyle w:val="Textonotapie"/>
        <w:ind w:firstLine="708"/>
        <w:jc w:val="both"/>
        <w:rPr>
          <w:rFonts w:ascii="Verdana" w:hAnsi="Verdana"/>
          <w:sz w:val="15"/>
          <w:szCs w:val="15"/>
          <w:lang w:val="es-CO"/>
        </w:rPr>
      </w:pPr>
      <w:r w:rsidRPr="002A1671">
        <w:rPr>
          <w:rFonts w:ascii="Verdana" w:hAnsi="Verdana"/>
          <w:sz w:val="15"/>
          <w:szCs w:val="15"/>
          <w:lang w:val="es-CO"/>
        </w:rPr>
        <w:t>a) El derecho de toda persona a la intimidad, bajo las limitaciones propias que impone la condición de servidor público, en concordancia con lo estipulado por el artículo 24 de la Ley 1437 de 2011; </w:t>
      </w:r>
    </w:p>
    <w:p w14:paraId="4ED76DFA" w14:textId="77777777" w:rsidR="00DD1C92" w:rsidRPr="002A1671" w:rsidRDefault="00DD1C92" w:rsidP="00DD1C92">
      <w:pPr>
        <w:pStyle w:val="Textonotapie"/>
        <w:ind w:firstLine="708"/>
        <w:jc w:val="both"/>
        <w:rPr>
          <w:rFonts w:ascii="Verdana" w:hAnsi="Verdana"/>
          <w:sz w:val="15"/>
          <w:szCs w:val="15"/>
          <w:lang w:val="es-CO"/>
        </w:rPr>
      </w:pPr>
      <w:r w:rsidRPr="002A1671">
        <w:rPr>
          <w:rFonts w:ascii="Verdana" w:hAnsi="Verdana"/>
          <w:sz w:val="15"/>
          <w:szCs w:val="15"/>
          <w:lang w:val="es-CO"/>
        </w:rPr>
        <w:t>b) El derecho de toda persona a la vida, la salud o la seguridad; </w:t>
      </w:r>
    </w:p>
    <w:p w14:paraId="39A2FA25" w14:textId="77777777" w:rsidR="00DD1C92" w:rsidRPr="002A1671" w:rsidRDefault="00DD1C92" w:rsidP="00DD1C92">
      <w:pPr>
        <w:pStyle w:val="Textonotapie"/>
        <w:ind w:firstLine="708"/>
        <w:jc w:val="both"/>
        <w:rPr>
          <w:rFonts w:ascii="Verdana" w:hAnsi="Verdana"/>
          <w:sz w:val="15"/>
          <w:szCs w:val="15"/>
          <w:lang w:val="es-CO"/>
        </w:rPr>
      </w:pPr>
      <w:r w:rsidRPr="002A1671">
        <w:rPr>
          <w:rFonts w:ascii="Verdana" w:hAnsi="Verdana"/>
          <w:sz w:val="15"/>
          <w:szCs w:val="15"/>
          <w:lang w:val="es-CO"/>
        </w:rPr>
        <w:t>c) Los secretos comerciales, industriales y profesionales, así como los estipulados en el parágrafo del artículo 77 de la Ley 1474 de 2011. </w:t>
      </w:r>
    </w:p>
    <w:p w14:paraId="3C632D9D" w14:textId="77777777" w:rsidR="00DD1C92" w:rsidRPr="002A1671" w:rsidRDefault="00DD1C92" w:rsidP="00DD1C92">
      <w:pPr>
        <w:pStyle w:val="Textonotapie"/>
        <w:ind w:firstLine="708"/>
        <w:jc w:val="both"/>
        <w:rPr>
          <w:rFonts w:ascii="Verdana" w:hAnsi="Verdana"/>
          <w:sz w:val="15"/>
          <w:szCs w:val="15"/>
          <w:lang w:val="es-CO"/>
        </w:rPr>
      </w:pPr>
      <w:r w:rsidRPr="002A1671">
        <w:rPr>
          <w:rFonts w:ascii="Verdana" w:hAnsi="Verdana"/>
          <w:sz w:val="15"/>
          <w:szCs w:val="15"/>
          <w:lang w:val="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footnote>
  <w:footnote w:id="13">
    <w:p w14:paraId="43D9C783" w14:textId="77777777" w:rsidR="00DD1C92" w:rsidRPr="002A1671" w:rsidRDefault="00DD1C92" w:rsidP="00DD1C92">
      <w:pPr>
        <w:pStyle w:val="Textonotapie"/>
        <w:ind w:firstLine="708"/>
        <w:rPr>
          <w:rFonts w:ascii="Verdana" w:hAnsi="Verdana"/>
          <w:sz w:val="15"/>
          <w:szCs w:val="15"/>
          <w:lang w:val="es-CO"/>
        </w:rPr>
      </w:pPr>
      <w:r w:rsidRPr="002A1671">
        <w:rPr>
          <w:rStyle w:val="Refdenotaalpie"/>
          <w:rFonts w:ascii="Verdana" w:hAnsi="Verdana"/>
          <w:sz w:val="15"/>
          <w:szCs w:val="15"/>
        </w:rPr>
        <w:footnoteRef/>
      </w:r>
      <w:r w:rsidRPr="002A1671">
        <w:rPr>
          <w:rFonts w:ascii="Verdana" w:hAnsi="Verdana"/>
          <w:sz w:val="15"/>
          <w:szCs w:val="15"/>
        </w:rPr>
        <w:t xml:space="preserve"> </w:t>
      </w:r>
      <w:r w:rsidRPr="002A1671">
        <w:rPr>
          <w:rFonts w:ascii="Verdana" w:hAnsi="Verdana"/>
          <w:sz w:val="15"/>
          <w:szCs w:val="15"/>
          <w:lang w:val="es-CO"/>
        </w:rPr>
        <w:t>Artículo 19. </w:t>
      </w:r>
      <w:r w:rsidRPr="002A1671">
        <w:rPr>
          <w:rFonts w:ascii="Verdana" w:hAnsi="Verdana"/>
          <w:i/>
          <w:iCs/>
          <w:sz w:val="15"/>
          <w:szCs w:val="15"/>
          <w:lang w:val="es-CO"/>
        </w:rPr>
        <w:t>Información exceptuada por daño a los intereses públicos. </w:t>
      </w:r>
      <w:r w:rsidRPr="002A1671">
        <w:rPr>
          <w:rFonts w:ascii="Verdana" w:hAnsi="Verdana"/>
          <w:sz w:val="15"/>
          <w:szCs w:val="15"/>
          <w:lang w:val="es-CO"/>
        </w:rPr>
        <w:t>Es toda aquella información pública reservada, cuyo acceso podrá ser rechazado o denegado de manera motivada y por escrito en las siguientes circunstancias, siempre que dicho acceso estuviere expresamente prohibido por una norma legal o constitucional:  </w:t>
      </w:r>
    </w:p>
    <w:p w14:paraId="14C7C083"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a) La defensa y seguridad nacional; </w:t>
      </w:r>
    </w:p>
    <w:p w14:paraId="4E3125D9"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b) La seguridad pública; </w:t>
      </w:r>
    </w:p>
    <w:p w14:paraId="4E85E1E1"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c) Las relaciones internacionales; </w:t>
      </w:r>
    </w:p>
    <w:p w14:paraId="01374BBC"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d) La prevención, investigación y persecución de los delitos y las faltas disciplinarias, mientras que no se haga efectiva la medida de aseguramiento o se formule pliego de cargos, según el caso; </w:t>
      </w:r>
    </w:p>
    <w:p w14:paraId="41611A5A"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e) El debido proceso y la igualdad de las partes en los procesos judiciales; </w:t>
      </w:r>
    </w:p>
    <w:p w14:paraId="453CCB3C"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f) La administración efectiva de la justicia; </w:t>
      </w:r>
    </w:p>
    <w:p w14:paraId="484D8840"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g) Los derechos de la infancia y la adolescencia; </w:t>
      </w:r>
    </w:p>
    <w:p w14:paraId="6170D5B7"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h) La estabilidad macroeconómica y financiera del país; </w:t>
      </w:r>
    </w:p>
    <w:p w14:paraId="40C3BED9"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i) La salud pública. </w:t>
      </w:r>
    </w:p>
    <w:p w14:paraId="307D5DDB" w14:textId="77777777" w:rsidR="00DD1C92" w:rsidRPr="002A1671" w:rsidRDefault="00DD1C92" w:rsidP="00DD1C92">
      <w:pPr>
        <w:pStyle w:val="Textonotapie"/>
        <w:ind w:firstLine="708"/>
        <w:rPr>
          <w:rFonts w:ascii="Verdana" w:hAnsi="Verdana"/>
          <w:sz w:val="15"/>
          <w:szCs w:val="15"/>
          <w:lang w:val="es-CO"/>
        </w:rPr>
      </w:pPr>
      <w:r w:rsidRPr="002A1671">
        <w:rPr>
          <w:rFonts w:ascii="Verdana" w:hAnsi="Verdana"/>
          <w:sz w:val="15"/>
          <w:szCs w:val="15"/>
          <w:lang w:val="es-CO"/>
        </w:rPr>
        <w:t>Parágrafo. Se exceptúan también los documentos que contengan las opiniones o puntos de vista que formen parte del proceso deliberativo de los servidores públicos. </w:t>
      </w:r>
    </w:p>
  </w:footnote>
  <w:footnote w:id="14">
    <w:p w14:paraId="548657ED" w14:textId="77777777" w:rsidR="00DD1C92" w:rsidRPr="002A1671" w:rsidRDefault="00DD1C92" w:rsidP="00DD1C92">
      <w:pPr>
        <w:pStyle w:val="Textonotapie"/>
        <w:ind w:firstLine="709"/>
        <w:jc w:val="both"/>
        <w:rPr>
          <w:rFonts w:ascii="Verdana" w:hAnsi="Verdana"/>
          <w:sz w:val="15"/>
          <w:szCs w:val="15"/>
          <w:lang w:val="es-CO"/>
        </w:rPr>
      </w:pPr>
      <w:r w:rsidRPr="002A1671">
        <w:rPr>
          <w:rStyle w:val="Refdenotaalpie"/>
          <w:sz w:val="15"/>
          <w:szCs w:val="15"/>
        </w:rPr>
        <w:footnoteRef/>
      </w:r>
      <w:r w:rsidRPr="002A1671">
        <w:rPr>
          <w:sz w:val="15"/>
          <w:szCs w:val="15"/>
        </w:rPr>
        <w:t xml:space="preserve"> </w:t>
      </w:r>
      <w:r w:rsidRPr="002A1671">
        <w:rPr>
          <w:rFonts w:ascii="Verdana" w:hAnsi="Verdana"/>
          <w:bCs/>
          <w:sz w:val="15"/>
          <w:szCs w:val="15"/>
          <w:lang w:val="es-CO"/>
        </w:rPr>
        <w:t>Artículo 24. </w:t>
      </w:r>
      <w:r w:rsidRPr="002A1671">
        <w:rPr>
          <w:rFonts w:ascii="Verdana" w:hAnsi="Verdana"/>
          <w:bCs/>
          <w:i/>
          <w:iCs/>
          <w:sz w:val="15"/>
          <w:szCs w:val="15"/>
          <w:lang w:val="es-CO"/>
        </w:rPr>
        <w:t xml:space="preserve">Informaciones y documentos reservados. </w:t>
      </w:r>
      <w:r w:rsidRPr="002A1671">
        <w:rPr>
          <w:rFonts w:ascii="Verdana" w:hAnsi="Verdana"/>
          <w:sz w:val="15"/>
          <w:szCs w:val="15"/>
          <w:lang w:val="es-CO"/>
        </w:rPr>
        <w:t>Solo tendrán carácter reservado las informaciones y documentos expresamente sometidos a reserva por la Constitución Política o la ley, y en especial:</w:t>
      </w:r>
    </w:p>
    <w:p w14:paraId="40E7EFDF"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1. Los relacionados con la defensa o seguridad nacionales.</w:t>
      </w:r>
    </w:p>
    <w:p w14:paraId="1CEA1083"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2. Las instrucciones en materia diplomática o sobre negociaciones reservadas.  </w:t>
      </w:r>
    </w:p>
    <w:p w14:paraId="5A88248A"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33EEAFC1"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66D94EFC"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S. Los datos referentes a la información financiera y comercial, en los términos de la Ley Estatutaria 1266 de 2008.  </w:t>
      </w:r>
    </w:p>
    <w:p w14:paraId="39B80B83"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6. Los protegidos por el secreto comercial o industrial, así como los planes estratégicos de las empresas públicas de servicios públicos.  </w:t>
      </w:r>
    </w:p>
    <w:p w14:paraId="649E84FE"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7. Los amparados por el secreto profesional.  </w:t>
      </w:r>
    </w:p>
    <w:p w14:paraId="3060ED66" w14:textId="77777777" w:rsidR="00DD1C92" w:rsidRPr="002A1671" w:rsidRDefault="00DD1C92" w:rsidP="00DD1C92">
      <w:pPr>
        <w:pStyle w:val="Textonotapie"/>
        <w:ind w:firstLine="709"/>
        <w:jc w:val="both"/>
        <w:rPr>
          <w:rFonts w:ascii="Verdana" w:hAnsi="Verdana"/>
          <w:sz w:val="15"/>
          <w:szCs w:val="15"/>
          <w:lang w:val="es-CO"/>
        </w:rPr>
      </w:pPr>
      <w:r w:rsidRPr="002A1671">
        <w:rPr>
          <w:rFonts w:ascii="Verdana" w:hAnsi="Verdana"/>
          <w:sz w:val="15"/>
          <w:szCs w:val="15"/>
          <w:lang w:val="es-CO"/>
        </w:rPr>
        <w:t>8. Los datos genéticos humanos.  </w:t>
      </w:r>
    </w:p>
    <w:p w14:paraId="118035D4" w14:textId="77777777" w:rsidR="00DD1C92" w:rsidRPr="002A1671" w:rsidRDefault="00DD1C92" w:rsidP="00DD1C92">
      <w:pPr>
        <w:pStyle w:val="Textonotapie"/>
        <w:ind w:firstLine="709"/>
        <w:jc w:val="both"/>
        <w:rPr>
          <w:sz w:val="15"/>
          <w:szCs w:val="15"/>
          <w:lang w:val="es-CO"/>
        </w:rPr>
      </w:pPr>
      <w:r w:rsidRPr="002A1671">
        <w:rPr>
          <w:rFonts w:ascii="Verdana" w:hAnsi="Verdana"/>
          <w:bCs/>
          <w:sz w:val="15"/>
          <w:szCs w:val="15"/>
          <w:lang w:val="es-CO"/>
        </w:rPr>
        <w:t>Parágrafo.</w:t>
      </w:r>
      <w:r w:rsidRPr="002A1671">
        <w:rPr>
          <w:rFonts w:ascii="Verdana" w:hAnsi="Verdana"/>
          <w:sz w:val="15"/>
          <w:szCs w:val="15"/>
          <w:lang w:val="es-CO"/>
        </w:rPr>
        <w:t>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 w:id="15">
    <w:p w14:paraId="7E9DBC56" w14:textId="77777777" w:rsidR="00DD1C92" w:rsidRDefault="00DD1C92" w:rsidP="00DD1C92">
      <w:pPr>
        <w:pStyle w:val="Textonotapie"/>
        <w:ind w:firstLine="708"/>
        <w:jc w:val="both"/>
        <w:rPr>
          <w:rFonts w:ascii="Verdana" w:eastAsia="Calibri" w:hAnsi="Verdana" w:cs="Arial"/>
          <w:color w:val="000000"/>
          <w:sz w:val="16"/>
          <w:szCs w:val="16"/>
        </w:rPr>
      </w:pPr>
      <w:r w:rsidRPr="00D56A94">
        <w:rPr>
          <w:rStyle w:val="Refdenotaalpie"/>
          <w:rFonts w:ascii="Verdana" w:hAnsi="Verdana" w:cs="Arial"/>
          <w:sz w:val="16"/>
          <w:szCs w:val="16"/>
        </w:rPr>
        <w:footnoteRef/>
      </w:r>
      <w:r w:rsidRPr="00D56A94">
        <w:rPr>
          <w:rFonts w:ascii="Verdana" w:hAnsi="Verdana" w:cs="Arial"/>
          <w:sz w:val="16"/>
          <w:szCs w:val="16"/>
        </w:rPr>
        <w:t xml:space="preserve"> </w:t>
      </w:r>
      <w:r>
        <w:rPr>
          <w:rFonts w:ascii="Verdana" w:eastAsia="Calibri" w:hAnsi="Verdana" w:cs="Arial"/>
          <w:color w:val="000000"/>
          <w:sz w:val="16"/>
          <w:szCs w:val="16"/>
        </w:rPr>
        <w:t>L</w:t>
      </w:r>
      <w:r w:rsidRPr="00D56A94">
        <w:rPr>
          <w:rFonts w:ascii="Verdana" w:eastAsia="Calibri" w:hAnsi="Verdana" w:cs="Arial"/>
          <w:color w:val="000000"/>
          <w:sz w:val="16"/>
          <w:szCs w:val="16"/>
        </w:rPr>
        <w:t xml:space="preserve">a Sección Tercera del Consejo de Estado, en sentencia del 27 de marzo de 2008. Exp. 29.393, C. P. Ruth Stella Correa Palacio, consideró: </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[L]a seguridad y la defensa nacional constituyen sin lugar a dudas presupuesto material de la vigencia efectiva del orden constitucional. Sin embargo no existe norma alguna que defina estos vocablos. Se trata de conceptos que tienen distintas significaciones, en tanto varias nociones los informan. En el caso de la seguridad, además, esta acusa cierto grado de relatividad según la </w:t>
      </w:r>
      <w:r>
        <w:rPr>
          <w:rFonts w:ascii="Verdana" w:eastAsia="Calibri" w:hAnsi="Verdana" w:cs="Arial"/>
          <w:color w:val="000000"/>
          <w:sz w:val="16"/>
          <w:szCs w:val="16"/>
        </w:rPr>
        <w:t>‘</w:t>
      </w:r>
      <w:r w:rsidRPr="00D56A94">
        <w:rPr>
          <w:rFonts w:ascii="Verdana" w:eastAsia="Calibri" w:hAnsi="Verdana" w:cs="Arial"/>
          <w:color w:val="000000"/>
          <w:sz w:val="16"/>
          <w:szCs w:val="16"/>
        </w:rPr>
        <w:t>intensidad en los antagonismos</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se trata igualmente de un </w:t>
      </w:r>
      <w:r>
        <w:rPr>
          <w:rFonts w:ascii="Verdana" w:eastAsia="Calibri" w:hAnsi="Verdana" w:cs="Arial"/>
          <w:color w:val="000000"/>
          <w:sz w:val="16"/>
          <w:szCs w:val="16"/>
        </w:rPr>
        <w:t>‘</w:t>
      </w:r>
      <w:r w:rsidRPr="00D56A94">
        <w:rPr>
          <w:rFonts w:ascii="Verdana" w:eastAsia="Calibri" w:hAnsi="Verdana" w:cs="Arial"/>
          <w:color w:val="000000"/>
          <w:sz w:val="16"/>
          <w:szCs w:val="16"/>
        </w:rPr>
        <w:t>concepto dinámico</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que impone la actualización de mecanismos para su efectividad y que encuentra significado en los objetivos que se propone alcanzar el Estado en una época determinada. Noción a la vez relativa y coyuntural, merced a que su contenido jurídico no es inmutable sino que necesariamente sufre constantes transformaciones. En tanto </w:t>
      </w:r>
      <w:r>
        <w:rPr>
          <w:rFonts w:ascii="Verdana" w:eastAsia="Calibri" w:hAnsi="Verdana" w:cs="Arial"/>
          <w:color w:val="000000"/>
          <w:sz w:val="16"/>
          <w:szCs w:val="16"/>
        </w:rPr>
        <w:t>‘</w:t>
      </w:r>
      <w:r w:rsidRPr="00D56A94">
        <w:rPr>
          <w:rFonts w:ascii="Verdana" w:eastAsia="Calibri" w:hAnsi="Verdana" w:cs="Arial"/>
          <w:color w:val="000000"/>
          <w:sz w:val="16"/>
          <w:szCs w:val="16"/>
        </w:rPr>
        <w:t>noción ambigua</w:t>
      </w:r>
      <w:r>
        <w:rPr>
          <w:rFonts w:ascii="Verdana" w:eastAsia="Calibri" w:hAnsi="Verdana" w:cs="Arial"/>
          <w:color w:val="000000"/>
          <w:sz w:val="16"/>
          <w:szCs w:val="16"/>
        </w:rPr>
        <w:t>’</w:t>
      </w:r>
      <w:r w:rsidRPr="00D56A94">
        <w:rPr>
          <w:rFonts w:ascii="Verdana" w:eastAsia="Calibri" w:hAnsi="Verdana" w:cs="Arial"/>
          <w:color w:val="000000"/>
          <w:sz w:val="16"/>
          <w:szCs w:val="16"/>
        </w:rPr>
        <w:t xml:space="preserve"> es difícil de definir la seguridad, pues depende del entorno de cada país (en Canadá por ejemplo suele ser asociada a </w:t>
      </w:r>
      <w:r>
        <w:rPr>
          <w:rFonts w:ascii="Verdana" w:eastAsia="Calibri" w:hAnsi="Verdana" w:cs="Arial"/>
          <w:color w:val="000000"/>
          <w:sz w:val="16"/>
          <w:szCs w:val="16"/>
        </w:rPr>
        <w:t>‘</w:t>
      </w:r>
      <w:r w:rsidRPr="00D56A94">
        <w:rPr>
          <w:rFonts w:ascii="Verdana" w:eastAsia="Calibri" w:hAnsi="Verdana" w:cs="Arial"/>
          <w:color w:val="000000"/>
          <w:sz w:val="16"/>
          <w:szCs w:val="16"/>
        </w:rPr>
        <w:t>estabilidad económica</w:t>
      </w:r>
      <w:r>
        <w:rPr>
          <w:rFonts w:ascii="Verdana" w:eastAsia="Calibri" w:hAnsi="Verdana" w:cs="Arial"/>
          <w:color w:val="000000"/>
          <w:sz w:val="16"/>
          <w:szCs w:val="16"/>
        </w:rPr>
        <w:t>’</w:t>
      </w:r>
      <w:r w:rsidRPr="00D56A94">
        <w:rPr>
          <w:rFonts w:ascii="Verdana" w:eastAsia="Calibri" w:hAnsi="Verdana" w:cs="Arial"/>
          <w:color w:val="000000"/>
          <w:sz w:val="16"/>
          <w:szCs w:val="16"/>
        </w:rPr>
        <w:t>). Con todo, y aunque se trate de una noción en constante cambio según cada país, conviene agregar que se trata del concepto base sobre el que se construye la estrategia para proteger a los ciudadanos</w:t>
      </w:r>
      <w:r>
        <w:rPr>
          <w:rFonts w:ascii="Verdana" w:eastAsia="Calibri" w:hAnsi="Verdana" w:cs="Arial"/>
          <w:color w:val="000000"/>
          <w:sz w:val="16"/>
          <w:szCs w:val="16"/>
        </w:rPr>
        <w:t>”</w:t>
      </w:r>
      <w:r w:rsidRPr="00D56A94">
        <w:rPr>
          <w:rFonts w:ascii="Verdana" w:eastAsia="Calibri" w:hAnsi="Verdana" w:cs="Arial"/>
          <w:color w:val="000000"/>
          <w:sz w:val="16"/>
          <w:szCs w:val="16"/>
        </w:rPr>
        <w:t>.</w:t>
      </w:r>
    </w:p>
    <w:p w14:paraId="044F2389" w14:textId="77777777" w:rsidR="00DD1C92" w:rsidRPr="00D56A94" w:rsidRDefault="00DD1C92" w:rsidP="00DD1C92">
      <w:pPr>
        <w:pStyle w:val="Textonotapie"/>
        <w:ind w:firstLine="708"/>
        <w:jc w:val="both"/>
        <w:rPr>
          <w:rFonts w:ascii="Verdana" w:eastAsia="Calibri" w:hAnsi="Verdana" w:cs="Arial"/>
          <w:color w:val="000000"/>
          <w:sz w:val="16"/>
          <w:szCs w:val="16"/>
        </w:rPr>
      </w:pPr>
    </w:p>
  </w:footnote>
  <w:footnote w:id="16">
    <w:p w14:paraId="6B12EEA5" w14:textId="77777777" w:rsidR="00DD1C92" w:rsidRPr="00D56A94" w:rsidRDefault="00DD1C92" w:rsidP="00DD1C92">
      <w:pPr>
        <w:pStyle w:val="Textonotapie"/>
        <w:ind w:firstLine="709"/>
        <w:jc w:val="both"/>
        <w:rPr>
          <w:rFonts w:ascii="Verdana" w:hAnsi="Verdana" w:cs="Arial"/>
          <w:sz w:val="16"/>
          <w:szCs w:val="16"/>
          <w:lang w:val="es-ES"/>
        </w:rPr>
      </w:pPr>
      <w:r w:rsidRPr="00D56A94">
        <w:rPr>
          <w:rStyle w:val="Refdenotaalpie"/>
          <w:rFonts w:ascii="Verdana" w:hAnsi="Verdana"/>
          <w:sz w:val="16"/>
          <w:szCs w:val="16"/>
        </w:rPr>
        <w:footnoteRef/>
      </w:r>
      <w:r w:rsidRPr="00D56A94">
        <w:rPr>
          <w:rFonts w:ascii="Verdana" w:hAnsi="Verdana" w:cs="Arial"/>
          <w:sz w:val="16"/>
          <w:szCs w:val="16"/>
        </w:rPr>
        <w:t xml:space="preserve"> Consejo de Estado. Sección Tercera. Subsección C. Sentencia del 26 de julio de 2011. Consejero Ponente: Enrique Gil Botero. Expediente: </w:t>
      </w:r>
      <w:r w:rsidRPr="00D56A94">
        <w:rPr>
          <w:rFonts w:ascii="Verdana" w:hAnsi="Verdana" w:cs="Arial"/>
          <w:iCs/>
          <w:sz w:val="16"/>
          <w:szCs w:val="16"/>
        </w:rPr>
        <w:t>17661</w:t>
      </w:r>
      <w:r>
        <w:rPr>
          <w:rFonts w:ascii="Verdana" w:hAnsi="Verdana" w:cs="Arial"/>
          <w:iCs/>
          <w:sz w:val="16"/>
          <w:szCs w:val="16"/>
        </w:rPr>
        <w:t>.</w:t>
      </w:r>
    </w:p>
  </w:footnote>
  <w:footnote w:id="17">
    <w:p w14:paraId="505A32C4" w14:textId="77777777" w:rsidR="00DD1C92" w:rsidRPr="00D56A94" w:rsidRDefault="00DD1C92" w:rsidP="00DD1C92">
      <w:pPr>
        <w:pStyle w:val="Textonotapie"/>
        <w:ind w:firstLine="709"/>
        <w:jc w:val="both"/>
        <w:rPr>
          <w:rFonts w:ascii="Verdana" w:hAnsi="Verdana" w:cs="Arial"/>
          <w:sz w:val="16"/>
          <w:szCs w:val="16"/>
          <w:lang w:val="es-ES"/>
        </w:rPr>
      </w:pPr>
      <w:r w:rsidRPr="00D56A94">
        <w:rPr>
          <w:rStyle w:val="Refdenotaalpie"/>
          <w:rFonts w:ascii="Verdana" w:hAnsi="Verdana"/>
          <w:sz w:val="16"/>
          <w:szCs w:val="16"/>
        </w:rPr>
        <w:footnoteRef/>
      </w:r>
      <w:r w:rsidRPr="00D56A94">
        <w:rPr>
          <w:rFonts w:ascii="Verdana" w:hAnsi="Verdana" w:cs="Arial"/>
          <w:sz w:val="16"/>
          <w:szCs w:val="16"/>
        </w:rPr>
        <w:t xml:space="preserve"> </w:t>
      </w:r>
      <w:r w:rsidRPr="00D56A94">
        <w:rPr>
          <w:rFonts w:ascii="Verdana" w:hAnsi="Verdana" w:cs="Arial"/>
          <w:sz w:val="16"/>
          <w:szCs w:val="16"/>
          <w:lang w:val="es-ES"/>
        </w:rPr>
        <w:t xml:space="preserve">Consejo de Estado. Sección Tercera. Sala Plena. Sentencia del 23 de julio de 2015. Consejero Ponente: Hernán Andrade Rincón. Expediente: </w:t>
      </w:r>
      <w:r w:rsidRPr="00D56A94">
        <w:rPr>
          <w:rFonts w:ascii="Verdana" w:hAnsi="Verdana" w:cs="Arial"/>
          <w:spacing w:val="4"/>
          <w:sz w:val="16"/>
          <w:szCs w:val="16"/>
          <w:lang w:val="es-ES_tradnl"/>
        </w:rPr>
        <w:t>36805.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056"/>
    <w:rsid w:val="0004449C"/>
    <w:rsid w:val="00046945"/>
    <w:rsid w:val="00061B2A"/>
    <w:rsid w:val="00082362"/>
    <w:rsid w:val="000A683E"/>
    <w:rsid w:val="000B19B9"/>
    <w:rsid w:val="000D0334"/>
    <w:rsid w:val="000D4326"/>
    <w:rsid w:val="000F6486"/>
    <w:rsid w:val="00125105"/>
    <w:rsid w:val="00126D49"/>
    <w:rsid w:val="00127233"/>
    <w:rsid w:val="001337B8"/>
    <w:rsid w:val="001455E8"/>
    <w:rsid w:val="001A700F"/>
    <w:rsid w:val="001C52D3"/>
    <w:rsid w:val="001E4177"/>
    <w:rsid w:val="001F7DC6"/>
    <w:rsid w:val="002421BB"/>
    <w:rsid w:val="0025796E"/>
    <w:rsid w:val="002707A2"/>
    <w:rsid w:val="002951A0"/>
    <w:rsid w:val="002962BC"/>
    <w:rsid w:val="002A093D"/>
    <w:rsid w:val="002A0DD0"/>
    <w:rsid w:val="002A49AC"/>
    <w:rsid w:val="002A64FD"/>
    <w:rsid w:val="002C4788"/>
    <w:rsid w:val="002C7A84"/>
    <w:rsid w:val="002E4FD9"/>
    <w:rsid w:val="002E775A"/>
    <w:rsid w:val="00322A85"/>
    <w:rsid w:val="00324168"/>
    <w:rsid w:val="003448F4"/>
    <w:rsid w:val="003474C4"/>
    <w:rsid w:val="003701DD"/>
    <w:rsid w:val="00374F5E"/>
    <w:rsid w:val="00377E3E"/>
    <w:rsid w:val="003A779E"/>
    <w:rsid w:val="003D0F4D"/>
    <w:rsid w:val="003D5B0D"/>
    <w:rsid w:val="003E0499"/>
    <w:rsid w:val="003F3941"/>
    <w:rsid w:val="00406575"/>
    <w:rsid w:val="00414C74"/>
    <w:rsid w:val="0042722E"/>
    <w:rsid w:val="00435667"/>
    <w:rsid w:val="0044528D"/>
    <w:rsid w:val="00466E50"/>
    <w:rsid w:val="004A1847"/>
    <w:rsid w:val="004A2EAD"/>
    <w:rsid w:val="004A305D"/>
    <w:rsid w:val="004F21C4"/>
    <w:rsid w:val="004F685F"/>
    <w:rsid w:val="00543584"/>
    <w:rsid w:val="005566E8"/>
    <w:rsid w:val="0056388E"/>
    <w:rsid w:val="00564736"/>
    <w:rsid w:val="00574867"/>
    <w:rsid w:val="00584A87"/>
    <w:rsid w:val="00591460"/>
    <w:rsid w:val="005C3777"/>
    <w:rsid w:val="005C5CDC"/>
    <w:rsid w:val="005D476C"/>
    <w:rsid w:val="006219F8"/>
    <w:rsid w:val="0063028D"/>
    <w:rsid w:val="006302F7"/>
    <w:rsid w:val="00665D70"/>
    <w:rsid w:val="006900D9"/>
    <w:rsid w:val="006A760C"/>
    <w:rsid w:val="00705EA0"/>
    <w:rsid w:val="00706C16"/>
    <w:rsid w:val="00756841"/>
    <w:rsid w:val="00760EAD"/>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D67E1"/>
    <w:rsid w:val="008F0EA7"/>
    <w:rsid w:val="00923EEF"/>
    <w:rsid w:val="00940651"/>
    <w:rsid w:val="009419F9"/>
    <w:rsid w:val="0095685E"/>
    <w:rsid w:val="00961B09"/>
    <w:rsid w:val="00965334"/>
    <w:rsid w:val="0097093E"/>
    <w:rsid w:val="009A0DFA"/>
    <w:rsid w:val="009B25A8"/>
    <w:rsid w:val="009B2D26"/>
    <w:rsid w:val="009C0AAA"/>
    <w:rsid w:val="009C162A"/>
    <w:rsid w:val="009C71FA"/>
    <w:rsid w:val="009C72E7"/>
    <w:rsid w:val="009D3058"/>
    <w:rsid w:val="009F3A13"/>
    <w:rsid w:val="00A122D3"/>
    <w:rsid w:val="00A17F13"/>
    <w:rsid w:val="00A20739"/>
    <w:rsid w:val="00A33C78"/>
    <w:rsid w:val="00A539F3"/>
    <w:rsid w:val="00AB0ADB"/>
    <w:rsid w:val="00B00C0E"/>
    <w:rsid w:val="00B01B1A"/>
    <w:rsid w:val="00B44A47"/>
    <w:rsid w:val="00B72CD3"/>
    <w:rsid w:val="00B72FFF"/>
    <w:rsid w:val="00B92CD6"/>
    <w:rsid w:val="00BB27F5"/>
    <w:rsid w:val="00BC3D36"/>
    <w:rsid w:val="00BD7F72"/>
    <w:rsid w:val="00C04FB3"/>
    <w:rsid w:val="00C1236A"/>
    <w:rsid w:val="00C330EB"/>
    <w:rsid w:val="00C6706A"/>
    <w:rsid w:val="00C754BE"/>
    <w:rsid w:val="00C76B1C"/>
    <w:rsid w:val="00CB6357"/>
    <w:rsid w:val="00CC1B26"/>
    <w:rsid w:val="00D423A2"/>
    <w:rsid w:val="00D520D8"/>
    <w:rsid w:val="00D63AC2"/>
    <w:rsid w:val="00D7383B"/>
    <w:rsid w:val="00DA231B"/>
    <w:rsid w:val="00DC39FC"/>
    <w:rsid w:val="00DD1C92"/>
    <w:rsid w:val="00DF5254"/>
    <w:rsid w:val="00E16408"/>
    <w:rsid w:val="00E20894"/>
    <w:rsid w:val="00E245AB"/>
    <w:rsid w:val="00E2764C"/>
    <w:rsid w:val="00E27F2E"/>
    <w:rsid w:val="00E36C0D"/>
    <w:rsid w:val="00E50AFE"/>
    <w:rsid w:val="00E75C92"/>
    <w:rsid w:val="00E771DC"/>
    <w:rsid w:val="00E8772A"/>
    <w:rsid w:val="00E90F6B"/>
    <w:rsid w:val="00E92C27"/>
    <w:rsid w:val="00EA0E3D"/>
    <w:rsid w:val="00EC38A7"/>
    <w:rsid w:val="00ED37A0"/>
    <w:rsid w:val="00EE1AA8"/>
    <w:rsid w:val="00F31EDC"/>
    <w:rsid w:val="00F43F0C"/>
    <w:rsid w:val="00F462B3"/>
    <w:rsid w:val="00F5664F"/>
    <w:rsid w:val="00F666C4"/>
    <w:rsid w:val="00F76AFC"/>
    <w:rsid w:val="00FA47C0"/>
    <w:rsid w:val="00FB5DD1"/>
    <w:rsid w:val="00FC18CF"/>
    <w:rsid w:val="00FC2B5D"/>
    <w:rsid w:val="00FD2F45"/>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D1C9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D1C92"/>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ilson.arenas@aerocivil.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BFA5687-F56A-435F-B353-576D1521E3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19</Pages>
  <Words>6142</Words>
  <Characters>32372</Characters>
  <Application>Microsoft Office Word</Application>
  <DocSecurity>0</DocSecurity>
  <Lines>634</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2025-10-24T14:26:00Z</dcterms:created>
  <dcterms:modified xsi:type="dcterms:W3CDTF">2025-10-27T18:48:00Z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